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3"/>
      </w:tblGrid>
      <w:tr w:rsidR="00340721" w:rsidRPr="00231FC8" w14:paraId="6F4CF002" w14:textId="77777777" w:rsidTr="00DE304A">
        <w:trPr>
          <w:trHeight w:val="839"/>
        </w:trPr>
        <w:tc>
          <w:tcPr>
            <w:tcW w:w="5245" w:type="dxa"/>
          </w:tcPr>
          <w:p w14:paraId="06333D42" w14:textId="77777777" w:rsidR="00340721" w:rsidRPr="00231FC8" w:rsidRDefault="00340721" w:rsidP="00340721">
            <w:pPr>
              <w:jc w:val="center"/>
              <w:rPr>
                <w:rFonts w:ascii="Times New Roman" w:hAnsi="Times New Roman" w:cs="Times New Roman"/>
                <w:b/>
                <w:bCs/>
                <w:sz w:val="26"/>
                <w:szCs w:val="26"/>
              </w:rPr>
            </w:pPr>
            <w:r w:rsidRPr="00231FC8">
              <w:rPr>
                <w:rFonts w:ascii="Times New Roman" w:hAnsi="Times New Roman" w:cs="Times New Roman"/>
                <w:b/>
                <w:bCs/>
                <w:sz w:val="26"/>
                <w:szCs w:val="26"/>
              </w:rPr>
              <w:t>BỘ GIÁO DỤC VÀ ĐÀO TẠO</w:t>
            </w:r>
          </w:p>
          <w:p w14:paraId="33759215" w14:textId="4307CB15" w:rsidR="00340721" w:rsidRPr="00231FC8" w:rsidRDefault="00340721" w:rsidP="00340721">
            <w:pPr>
              <w:jc w:val="center"/>
              <w:rPr>
                <w:rFonts w:ascii="Times New Roman" w:hAnsi="Times New Roman" w:cs="Times New Roman"/>
                <w:b/>
                <w:bCs/>
                <w:sz w:val="26"/>
                <w:szCs w:val="26"/>
              </w:rPr>
            </w:pPr>
            <w:r w:rsidRPr="00231FC8">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BE3A033" wp14:editId="198CE670">
                      <wp:simplePos x="0" y="0"/>
                      <wp:positionH relativeFrom="column">
                        <wp:posOffset>703580</wp:posOffset>
                      </wp:positionH>
                      <wp:positionV relativeFrom="paragraph">
                        <wp:posOffset>214721</wp:posOffset>
                      </wp:positionV>
                      <wp:extent cx="127362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736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DE1C9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4pt,16.9pt" to="155.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tUmAEAAIgDAAAOAAAAZHJzL2Uyb0RvYy54bWysU02P0zAQvSPxHyzfadIiLR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" strokecolor="black [3200]" strokeweight=".5pt">
                      <v:stroke joinstyle="miter"/>
                    </v:line>
                  </w:pict>
                </mc:Fallback>
              </mc:AlternateContent>
            </w:r>
            <w:r w:rsidR="00694138" w:rsidRPr="00231FC8">
              <w:rPr>
                <w:rFonts w:ascii="Times New Roman" w:hAnsi="Times New Roman" w:cs="Times New Roman"/>
                <w:b/>
                <w:bCs/>
                <w:sz w:val="26"/>
                <w:szCs w:val="26"/>
              </w:rPr>
              <w:t>ĐƠN VỊ</w:t>
            </w:r>
            <w:r w:rsidR="00DE304A" w:rsidRPr="00231FC8">
              <w:rPr>
                <w:rFonts w:ascii="Times New Roman" w:hAnsi="Times New Roman" w:cs="Times New Roman"/>
                <w:b/>
                <w:bCs/>
                <w:sz w:val="26"/>
                <w:szCs w:val="26"/>
              </w:rPr>
              <w:t>: TRƯỜNG ĐẠI HỌC QUY NHƠN</w:t>
            </w:r>
          </w:p>
        </w:tc>
        <w:tc>
          <w:tcPr>
            <w:tcW w:w="4673" w:type="dxa"/>
          </w:tcPr>
          <w:p w14:paraId="4071F83C" w14:textId="1530FCEA" w:rsidR="00340721" w:rsidRPr="00231FC8" w:rsidRDefault="00694138" w:rsidP="00694138">
            <w:pPr>
              <w:jc w:val="right"/>
              <w:rPr>
                <w:rFonts w:ascii="Times New Roman" w:hAnsi="Times New Roman" w:cs="Times New Roman"/>
                <w:b/>
                <w:bCs/>
                <w:sz w:val="26"/>
                <w:szCs w:val="26"/>
              </w:rPr>
            </w:pPr>
            <w:r w:rsidRPr="00231FC8">
              <w:rPr>
                <w:rFonts w:ascii="Times New Roman" w:hAnsi="Times New Roman" w:cs="Times New Roman"/>
                <w:b/>
                <w:bCs/>
                <w:sz w:val="26"/>
                <w:szCs w:val="26"/>
              </w:rPr>
              <w:t>Mẫu 1</w:t>
            </w:r>
          </w:p>
        </w:tc>
      </w:tr>
      <w:tr w:rsidR="00340721" w:rsidRPr="00231FC8" w14:paraId="55BEB2BE" w14:textId="77777777" w:rsidTr="00DE304A">
        <w:tc>
          <w:tcPr>
            <w:tcW w:w="5245" w:type="dxa"/>
          </w:tcPr>
          <w:p w14:paraId="75A0713D" w14:textId="77777777" w:rsidR="00340721" w:rsidRPr="00231FC8" w:rsidRDefault="00340721">
            <w:pPr>
              <w:rPr>
                <w:rFonts w:ascii="Times New Roman" w:hAnsi="Times New Roman" w:cs="Times New Roman"/>
                <w:sz w:val="26"/>
                <w:szCs w:val="26"/>
              </w:rPr>
            </w:pPr>
          </w:p>
        </w:tc>
        <w:tc>
          <w:tcPr>
            <w:tcW w:w="4673" w:type="dxa"/>
          </w:tcPr>
          <w:p w14:paraId="27251C62" w14:textId="77777777" w:rsidR="00340721" w:rsidRPr="00231FC8" w:rsidRDefault="00340721">
            <w:pPr>
              <w:rPr>
                <w:rFonts w:ascii="Times New Roman" w:hAnsi="Times New Roman" w:cs="Times New Roman"/>
                <w:sz w:val="26"/>
                <w:szCs w:val="26"/>
              </w:rPr>
            </w:pPr>
          </w:p>
        </w:tc>
      </w:tr>
    </w:tbl>
    <w:p w14:paraId="5F436F5C" w14:textId="57D521BD" w:rsidR="009F57E3" w:rsidRPr="00231FC8" w:rsidRDefault="009F57E3">
      <w:pPr>
        <w:rPr>
          <w:rFonts w:ascii="Times New Roman" w:hAnsi="Times New Roman" w:cs="Times New Roman"/>
          <w:sz w:val="26"/>
          <w:szCs w:val="26"/>
        </w:rPr>
      </w:pPr>
    </w:p>
    <w:p w14:paraId="03B6E969" w14:textId="5BBACFC7" w:rsidR="00340721" w:rsidRPr="00231FC8" w:rsidRDefault="009F57E3" w:rsidP="00340721">
      <w:pPr>
        <w:spacing w:before="120" w:after="0" w:line="288" w:lineRule="auto"/>
        <w:jc w:val="center"/>
        <w:rPr>
          <w:rFonts w:ascii="Times New Roman" w:hAnsi="Times New Roman" w:cs="Times New Roman"/>
          <w:color w:val="000000"/>
          <w:sz w:val="28"/>
          <w:szCs w:val="28"/>
        </w:rPr>
      </w:pPr>
      <w:r w:rsidRPr="00231FC8">
        <w:rPr>
          <w:rStyle w:val="fontstyle01"/>
          <w:rFonts w:ascii="Times New Roman" w:hAnsi="Times New Roman" w:cs="Times New Roman"/>
          <w:b/>
          <w:bCs/>
          <w:sz w:val="28"/>
          <w:szCs w:val="28"/>
        </w:rPr>
        <w:t>BÁO CÁO THỰC TRẠNG VÀ PHƯƠNG ÁN QUY HOẠCH CÁC T</w:t>
      </w:r>
      <w:r w:rsidR="00DD1B7F" w:rsidRPr="00231FC8">
        <w:rPr>
          <w:rStyle w:val="fontstyle01"/>
          <w:rFonts w:ascii="Times New Roman" w:hAnsi="Times New Roman" w:cs="Times New Roman"/>
          <w:b/>
          <w:bCs/>
          <w:sz w:val="28"/>
          <w:szCs w:val="28"/>
        </w:rPr>
        <w:t>Ổ</w:t>
      </w:r>
      <w:r w:rsidRPr="00231FC8">
        <w:rPr>
          <w:rFonts w:ascii="Times New Roman" w:hAnsi="Times New Roman" w:cs="Times New Roman"/>
          <w:b/>
          <w:bCs/>
          <w:color w:val="000000"/>
          <w:sz w:val="28"/>
          <w:szCs w:val="28"/>
        </w:rPr>
        <w:br/>
      </w:r>
      <w:r w:rsidRPr="00231FC8">
        <w:rPr>
          <w:rStyle w:val="fontstyle01"/>
          <w:rFonts w:ascii="Times New Roman" w:hAnsi="Times New Roman" w:cs="Times New Roman"/>
          <w:b/>
          <w:bCs/>
          <w:sz w:val="28"/>
          <w:szCs w:val="28"/>
        </w:rPr>
        <w:t>CHỨC KH&amp;CN CÔNG LẬP CỦA ĐƠN VỊ GIAI ĐOẠN 2021-2030</w:t>
      </w:r>
    </w:p>
    <w:p w14:paraId="6A4CCE1D" w14:textId="77777777" w:rsidR="00DD1B7F" w:rsidRPr="00231FC8" w:rsidRDefault="00DD1B7F" w:rsidP="00DD1B7F">
      <w:pPr>
        <w:spacing w:before="120" w:after="0" w:line="288" w:lineRule="auto"/>
        <w:ind w:firstLine="567"/>
        <w:jc w:val="both"/>
        <w:rPr>
          <w:rFonts w:ascii="Times New Roman" w:hAnsi="Times New Roman" w:cs="Times New Roman"/>
          <w:color w:val="000000"/>
          <w:sz w:val="28"/>
          <w:szCs w:val="28"/>
        </w:rPr>
      </w:pPr>
    </w:p>
    <w:p w14:paraId="1DEFF7F8" w14:textId="12BE8139" w:rsidR="00DD1B7F" w:rsidRPr="00231FC8" w:rsidRDefault="009F57E3" w:rsidP="00DD1B7F">
      <w:pPr>
        <w:spacing w:before="120" w:after="0" w:line="288" w:lineRule="auto"/>
        <w:ind w:firstLine="567"/>
        <w:jc w:val="both"/>
        <w:rPr>
          <w:rStyle w:val="fontstyle01"/>
          <w:rFonts w:ascii="Times New Roman" w:hAnsi="Times New Roman" w:cs="Times New Roman"/>
          <w:sz w:val="28"/>
          <w:szCs w:val="28"/>
        </w:rPr>
      </w:pPr>
      <w:r w:rsidRPr="00231FC8">
        <w:rPr>
          <w:rStyle w:val="fontstyle01"/>
          <w:rFonts w:ascii="Times New Roman" w:hAnsi="Times New Roman" w:cs="Times New Roman"/>
          <w:sz w:val="28"/>
          <w:szCs w:val="28"/>
        </w:rPr>
        <w:t>Căn cứ hướng dẫn tại: khoản 3 Điều 25 Luật Quy hoạch; Điều 23 và Mục</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X Phụ lục II Nghị định số 37/2019/NĐ-CP ngày 07/5/2019 của Chính phủ quy</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định ch</w:t>
      </w:r>
      <w:r w:rsidR="005674E3" w:rsidRPr="00231FC8">
        <w:rPr>
          <w:rStyle w:val="fontstyle01"/>
          <w:rFonts w:ascii="Times New Roman" w:hAnsi="Times New Roman" w:cs="Times New Roman"/>
          <w:sz w:val="28"/>
          <w:szCs w:val="28"/>
        </w:rPr>
        <w:t xml:space="preserve">i </w:t>
      </w:r>
      <w:r w:rsidRPr="00231FC8">
        <w:rPr>
          <w:rStyle w:val="fontstyle01"/>
          <w:rFonts w:ascii="Times New Roman" w:hAnsi="Times New Roman" w:cs="Times New Roman"/>
          <w:sz w:val="28"/>
          <w:szCs w:val="28"/>
        </w:rPr>
        <w:t>tiết thi hành một số điều của Luật Quy hoạch; Quyết định số 279/QĐ-</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TTg ngày 26/02/2021 của Thủ tướng Chính phủ phê duyệt Nhiệm vụ lập quy</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hoạch mạng lưới tổ chức KH&amp;CN công lập thời kỳ 2021-2030 tầm nhìn đến năm</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2050.</w:t>
      </w:r>
    </w:p>
    <w:p w14:paraId="32A7F55C" w14:textId="1A08ABFB" w:rsidR="00DD1B7F" w:rsidRPr="00231FC8" w:rsidRDefault="009F57E3" w:rsidP="00DD1B7F">
      <w:pPr>
        <w:spacing w:before="120" w:after="0" w:line="288" w:lineRule="auto"/>
        <w:ind w:firstLine="567"/>
        <w:jc w:val="center"/>
        <w:rPr>
          <w:rStyle w:val="fontstyle01"/>
          <w:rFonts w:ascii="Times New Roman" w:hAnsi="Times New Roman" w:cs="Times New Roman"/>
          <w:b/>
          <w:bCs/>
          <w:sz w:val="28"/>
          <w:szCs w:val="28"/>
        </w:rPr>
      </w:pPr>
      <w:r w:rsidRPr="00231FC8">
        <w:rPr>
          <w:rStyle w:val="fontstyle01"/>
          <w:rFonts w:ascii="Times New Roman" w:hAnsi="Times New Roman" w:cs="Times New Roman"/>
          <w:b/>
          <w:bCs/>
          <w:sz w:val="28"/>
          <w:szCs w:val="28"/>
        </w:rPr>
        <w:t>NỘI DUNG</w:t>
      </w:r>
    </w:p>
    <w:p w14:paraId="74DC7C5E" w14:textId="59BA6937" w:rsidR="00DD1B7F" w:rsidRPr="00231FC8" w:rsidRDefault="009F57E3" w:rsidP="00340721">
      <w:pPr>
        <w:spacing w:before="120" w:after="0" w:line="288" w:lineRule="auto"/>
        <w:jc w:val="both"/>
        <w:rPr>
          <w:rStyle w:val="fontstyle01"/>
          <w:rFonts w:ascii="Times New Roman" w:hAnsi="Times New Roman" w:cs="Times New Roman"/>
          <w:b/>
          <w:bCs/>
          <w:sz w:val="28"/>
          <w:szCs w:val="28"/>
        </w:rPr>
      </w:pPr>
      <w:r w:rsidRPr="00231FC8">
        <w:rPr>
          <w:rStyle w:val="fontstyle01"/>
          <w:rFonts w:ascii="Times New Roman" w:hAnsi="Times New Roman" w:cs="Times New Roman"/>
          <w:b/>
          <w:bCs/>
          <w:sz w:val="28"/>
          <w:szCs w:val="28"/>
        </w:rPr>
        <w:t>I. Các văn bản chỉ đạo, chiến lược, quy hoạch</w:t>
      </w:r>
    </w:p>
    <w:p w14:paraId="3B058441" w14:textId="67076A9B" w:rsidR="00501030" w:rsidRPr="00231FC8" w:rsidRDefault="00501030" w:rsidP="00C00A20">
      <w:pPr>
        <w:spacing w:before="120" w:after="0" w:line="288" w:lineRule="auto"/>
        <w:ind w:firstLine="567"/>
        <w:jc w:val="both"/>
        <w:rPr>
          <w:rStyle w:val="fontstyle01"/>
          <w:rFonts w:ascii="Times New Roman" w:hAnsi="Times New Roman" w:cs="Times New Roman"/>
          <w:sz w:val="28"/>
          <w:szCs w:val="28"/>
        </w:rPr>
      </w:pPr>
      <w:r w:rsidRPr="00231FC8">
        <w:rPr>
          <w:rFonts w:ascii="Times New Roman" w:hAnsi="Times New Roman" w:cs="Times New Roman"/>
          <w:color w:val="000000"/>
          <w:sz w:val="28"/>
          <w:szCs w:val="28"/>
        </w:rPr>
        <w:t>Sổ tay chất lượng Phòng thí nghiệm</w:t>
      </w:r>
    </w:p>
    <w:p w14:paraId="3387FA7E" w14:textId="5136B689" w:rsidR="005674E3" w:rsidRPr="00231FC8" w:rsidRDefault="00C00A20" w:rsidP="00C00A20">
      <w:pPr>
        <w:spacing w:before="120" w:after="0" w:line="288" w:lineRule="auto"/>
        <w:ind w:firstLine="567"/>
        <w:jc w:val="both"/>
        <w:rPr>
          <w:rStyle w:val="fontstyle01"/>
          <w:rFonts w:ascii="Times New Roman" w:hAnsi="Times New Roman" w:cs="Times New Roman"/>
          <w:sz w:val="28"/>
          <w:szCs w:val="28"/>
        </w:rPr>
      </w:pPr>
      <w:r w:rsidRPr="00231FC8">
        <w:rPr>
          <w:rStyle w:val="fontstyle01"/>
          <w:rFonts w:ascii="Times New Roman" w:hAnsi="Times New Roman" w:cs="Times New Roman"/>
          <w:sz w:val="28"/>
          <w:szCs w:val="28"/>
        </w:rPr>
        <w:t>Hệ thống quản lý chất lượng ISO/IEC 17025</w:t>
      </w:r>
    </w:p>
    <w:p w14:paraId="79F83AE8" w14:textId="1393706F" w:rsidR="00DD1B7F" w:rsidRPr="00231FC8" w:rsidRDefault="009F57E3" w:rsidP="00340721">
      <w:pPr>
        <w:spacing w:before="120" w:after="0" w:line="288" w:lineRule="auto"/>
        <w:jc w:val="both"/>
        <w:rPr>
          <w:rStyle w:val="fontstyle01"/>
          <w:rFonts w:ascii="Times New Roman" w:hAnsi="Times New Roman" w:cs="Times New Roman"/>
          <w:b/>
          <w:bCs/>
          <w:sz w:val="28"/>
          <w:szCs w:val="28"/>
        </w:rPr>
      </w:pPr>
      <w:r w:rsidRPr="00231FC8">
        <w:rPr>
          <w:rStyle w:val="fontstyle01"/>
          <w:rFonts w:ascii="Times New Roman" w:hAnsi="Times New Roman" w:cs="Times New Roman"/>
          <w:b/>
          <w:bCs/>
          <w:sz w:val="28"/>
          <w:szCs w:val="28"/>
        </w:rPr>
        <w:t>I</w:t>
      </w:r>
      <w:r w:rsidR="00DD1B7F" w:rsidRPr="00231FC8">
        <w:rPr>
          <w:rStyle w:val="fontstyle01"/>
          <w:rFonts w:ascii="Times New Roman" w:hAnsi="Times New Roman" w:cs="Times New Roman"/>
          <w:b/>
          <w:bCs/>
          <w:sz w:val="28"/>
          <w:szCs w:val="28"/>
        </w:rPr>
        <w:t xml:space="preserve">I. </w:t>
      </w:r>
      <w:r w:rsidRPr="00231FC8">
        <w:rPr>
          <w:rStyle w:val="fontstyle01"/>
          <w:rFonts w:ascii="Times New Roman" w:hAnsi="Times New Roman" w:cs="Times New Roman"/>
          <w:b/>
          <w:bCs/>
          <w:sz w:val="28"/>
          <w:szCs w:val="28"/>
        </w:rPr>
        <w:t>Báo cáo về các tổ chức khoa học và công nghệ thuộc th</w:t>
      </w:r>
      <w:r w:rsidR="00694138" w:rsidRPr="00231FC8">
        <w:rPr>
          <w:rStyle w:val="fontstyle01"/>
          <w:rFonts w:ascii="Times New Roman" w:hAnsi="Times New Roman" w:cs="Times New Roman"/>
          <w:b/>
          <w:bCs/>
          <w:sz w:val="28"/>
          <w:szCs w:val="28"/>
        </w:rPr>
        <w:t>ẩ</w:t>
      </w:r>
      <w:r w:rsidRPr="00231FC8">
        <w:rPr>
          <w:rStyle w:val="fontstyle01"/>
          <w:rFonts w:ascii="Times New Roman" w:hAnsi="Times New Roman" w:cs="Times New Roman"/>
          <w:b/>
          <w:bCs/>
          <w:sz w:val="28"/>
          <w:szCs w:val="28"/>
        </w:rPr>
        <w:t>m quyền quản lý</w:t>
      </w:r>
    </w:p>
    <w:p w14:paraId="0F560302" w14:textId="77777777" w:rsidR="00DD1B7F" w:rsidRPr="00231FC8" w:rsidRDefault="009F57E3" w:rsidP="00340721">
      <w:pPr>
        <w:spacing w:before="120" w:after="0" w:line="288" w:lineRule="auto"/>
        <w:jc w:val="both"/>
        <w:rPr>
          <w:rStyle w:val="fontstyle01"/>
          <w:rFonts w:ascii="Times New Roman" w:hAnsi="Times New Roman" w:cs="Times New Roman"/>
          <w:b/>
          <w:bCs/>
          <w:i/>
          <w:iCs/>
          <w:sz w:val="28"/>
          <w:szCs w:val="28"/>
        </w:rPr>
      </w:pPr>
      <w:r w:rsidRPr="00231FC8">
        <w:rPr>
          <w:rStyle w:val="fontstyle01"/>
          <w:rFonts w:ascii="Times New Roman" w:hAnsi="Times New Roman" w:cs="Times New Roman"/>
          <w:b/>
          <w:bCs/>
          <w:i/>
          <w:iCs/>
          <w:sz w:val="28"/>
          <w:szCs w:val="28"/>
        </w:rPr>
        <w:t>2.1 Phân tích bỗi cảnh chung tác động đến hệ thống tổ chức KH&amp;CN công lập</w:t>
      </w:r>
      <w:r w:rsidRPr="00231FC8">
        <w:rPr>
          <w:rFonts w:ascii="Times New Roman" w:hAnsi="Times New Roman" w:cs="Times New Roman"/>
          <w:b/>
          <w:bCs/>
          <w:i/>
          <w:iCs/>
          <w:color w:val="000000"/>
          <w:sz w:val="28"/>
          <w:szCs w:val="28"/>
        </w:rPr>
        <w:br/>
      </w:r>
      <w:r w:rsidRPr="00231FC8">
        <w:rPr>
          <w:rStyle w:val="fontstyle01"/>
          <w:rFonts w:ascii="Times New Roman" w:hAnsi="Times New Roman" w:cs="Times New Roman"/>
          <w:b/>
          <w:bCs/>
          <w:i/>
          <w:iCs/>
          <w:sz w:val="28"/>
          <w:szCs w:val="28"/>
        </w:rPr>
        <w:t xml:space="preserve">của đơn </w:t>
      </w:r>
      <w:r w:rsidR="00DD1B7F" w:rsidRPr="00231FC8">
        <w:rPr>
          <w:rStyle w:val="fontstyle01"/>
          <w:rFonts w:ascii="Times New Roman" w:hAnsi="Times New Roman" w:cs="Times New Roman"/>
          <w:b/>
          <w:bCs/>
          <w:i/>
          <w:iCs/>
          <w:sz w:val="28"/>
          <w:szCs w:val="28"/>
        </w:rPr>
        <w:t>vị</w:t>
      </w:r>
    </w:p>
    <w:p w14:paraId="577E66FC" w14:textId="109E9E92" w:rsidR="00DD1B7F" w:rsidRPr="00231FC8" w:rsidRDefault="009F57E3" w:rsidP="00694138">
      <w:pPr>
        <w:spacing w:before="120" w:after="0" w:line="288" w:lineRule="auto"/>
        <w:ind w:firstLine="567"/>
        <w:jc w:val="both"/>
        <w:rPr>
          <w:rStyle w:val="fontstyle01"/>
          <w:rFonts w:ascii="Times New Roman" w:hAnsi="Times New Roman" w:cs="Times New Roman"/>
          <w:i/>
          <w:iCs/>
          <w:sz w:val="28"/>
          <w:szCs w:val="28"/>
        </w:rPr>
      </w:pPr>
      <w:r w:rsidRPr="00231FC8">
        <w:rPr>
          <w:rStyle w:val="fontstyle01"/>
          <w:rFonts w:ascii="Times New Roman" w:hAnsi="Times New Roman" w:cs="Times New Roman"/>
          <w:i/>
          <w:iCs/>
          <w:sz w:val="28"/>
          <w:szCs w:val="28"/>
        </w:rPr>
        <w:t>a) Phân tích, đánh giá về các yếu tố, điều kiện tự nhiên, ngu</w:t>
      </w:r>
      <w:r w:rsidR="00694138" w:rsidRPr="00231FC8">
        <w:rPr>
          <w:rStyle w:val="fontstyle01"/>
          <w:rFonts w:ascii="Times New Roman" w:hAnsi="Times New Roman" w:cs="Times New Roman"/>
          <w:i/>
          <w:iCs/>
          <w:sz w:val="28"/>
          <w:szCs w:val="28"/>
        </w:rPr>
        <w:t>ồ</w:t>
      </w:r>
      <w:r w:rsidRPr="00231FC8">
        <w:rPr>
          <w:rStyle w:val="fontstyle01"/>
          <w:rFonts w:ascii="Times New Roman" w:hAnsi="Times New Roman" w:cs="Times New Roman"/>
          <w:i/>
          <w:iCs/>
          <w:sz w:val="28"/>
          <w:szCs w:val="28"/>
        </w:rPr>
        <w:t>n lực, bối cảnh</w:t>
      </w:r>
      <w:r w:rsidRPr="00231FC8">
        <w:rPr>
          <w:rFonts w:ascii="Times New Roman" w:hAnsi="Times New Roman" w:cs="Times New Roman"/>
          <w:i/>
          <w:iCs/>
          <w:color w:val="000000"/>
          <w:sz w:val="28"/>
          <w:szCs w:val="28"/>
        </w:rPr>
        <w:br/>
      </w:r>
      <w:r w:rsidRPr="00231FC8">
        <w:rPr>
          <w:rStyle w:val="fontstyle01"/>
          <w:rFonts w:ascii="Times New Roman" w:hAnsi="Times New Roman" w:cs="Times New Roman"/>
          <w:i/>
          <w:iCs/>
          <w:sz w:val="28"/>
          <w:szCs w:val="28"/>
        </w:rPr>
        <w:t>tác động đến hệ thống tổ chức KH&amp;CN công lập</w:t>
      </w:r>
    </w:p>
    <w:p w14:paraId="42B27176" w14:textId="77777777" w:rsidR="00DD1B7F" w:rsidRPr="00231FC8" w:rsidRDefault="009F57E3" w:rsidP="00694138">
      <w:pPr>
        <w:spacing w:before="120" w:after="0" w:line="288" w:lineRule="auto"/>
        <w:ind w:firstLine="567"/>
        <w:jc w:val="both"/>
        <w:rPr>
          <w:rStyle w:val="fontstyle01"/>
          <w:rFonts w:ascii="Times New Roman" w:hAnsi="Times New Roman" w:cs="Times New Roman"/>
          <w:sz w:val="28"/>
          <w:szCs w:val="28"/>
        </w:rPr>
      </w:pPr>
      <w:r w:rsidRPr="00231FC8">
        <w:rPr>
          <w:rStyle w:val="fontstyle01"/>
          <w:rFonts w:ascii="Times New Roman" w:hAnsi="Times New Roman" w:cs="Times New Roman"/>
          <w:sz w:val="28"/>
          <w:szCs w:val="28"/>
        </w:rPr>
        <w:t>- Phân tích các yêu cầu đặt ra đối với tổ chức KH&amp;CN công lập trong Chiến</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lược phát triển kinh tế - xã hội 2021-2030 đã được thông qua tại Đại hội Đảng</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toàn quốc lần thứ XI, đặc biệt là quan điểm về phát triển KH&amp;CN trong giai</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đoạn 2021-2030.</w:t>
      </w:r>
    </w:p>
    <w:p w14:paraId="204A5045" w14:textId="5E66CA35" w:rsidR="00DD1B7F" w:rsidRPr="00231FC8" w:rsidRDefault="009F57E3" w:rsidP="00694138">
      <w:pPr>
        <w:spacing w:before="120" w:after="0" w:line="288" w:lineRule="auto"/>
        <w:ind w:firstLine="567"/>
        <w:jc w:val="both"/>
        <w:rPr>
          <w:rStyle w:val="fontstyle01"/>
          <w:rFonts w:ascii="Times New Roman" w:hAnsi="Times New Roman" w:cs="Times New Roman"/>
          <w:sz w:val="28"/>
          <w:szCs w:val="28"/>
        </w:rPr>
      </w:pPr>
      <w:r w:rsidRPr="00231FC8">
        <w:rPr>
          <w:rStyle w:val="fontstyle01"/>
          <w:rFonts w:ascii="Times New Roman" w:hAnsi="Times New Roman" w:cs="Times New Roman"/>
          <w:sz w:val="28"/>
          <w:szCs w:val="28"/>
        </w:rPr>
        <w:t>- Phân tích, đánh giá về hệ thống chính sách pháp luật đối với phát triển tổ</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chức KH&amp;CN công lập (về ưu đãi đối với tổ chức KH&amp;CN công lập; v</w:t>
      </w:r>
      <w:r w:rsidR="00694138" w:rsidRPr="00231FC8">
        <w:rPr>
          <w:rStyle w:val="fontstyle01"/>
          <w:rFonts w:ascii="Times New Roman" w:hAnsi="Times New Roman" w:cs="Times New Roman"/>
          <w:sz w:val="28"/>
          <w:szCs w:val="28"/>
        </w:rPr>
        <w:t>ề</w:t>
      </w:r>
      <w:r w:rsidRPr="00231FC8">
        <w:rPr>
          <w:rStyle w:val="fontstyle01"/>
          <w:rFonts w:ascii="Times New Roman" w:hAnsi="Times New Roman" w:cs="Times New Roman"/>
          <w:sz w:val="28"/>
          <w:szCs w:val="28"/>
        </w:rPr>
        <w:t xml:space="preserve"> tổ chức</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thực hiện chính sách ưu đãi, trọng dụng nhân lực KH&amp;CN; về các ngu</w:t>
      </w:r>
      <w:r w:rsidR="00694138" w:rsidRPr="00231FC8">
        <w:rPr>
          <w:rStyle w:val="fontstyle01"/>
          <w:rFonts w:ascii="Times New Roman" w:hAnsi="Times New Roman" w:cs="Times New Roman"/>
          <w:sz w:val="28"/>
          <w:szCs w:val="28"/>
        </w:rPr>
        <w:t>ồ</w:t>
      </w:r>
      <w:r w:rsidRPr="00231FC8">
        <w:rPr>
          <w:rStyle w:val="fontstyle01"/>
          <w:rFonts w:ascii="Times New Roman" w:hAnsi="Times New Roman" w:cs="Times New Roman"/>
          <w:sz w:val="28"/>
          <w:szCs w:val="28"/>
        </w:rPr>
        <w:t>n lực dành</w:t>
      </w:r>
      <w:r w:rsidRPr="00231FC8">
        <w:rPr>
          <w:rFonts w:ascii="Times New Roman" w:hAnsi="Times New Roman" w:cs="Times New Roman"/>
          <w:color w:val="000000"/>
          <w:sz w:val="28"/>
          <w:szCs w:val="28"/>
        </w:rPr>
        <w:br/>
      </w:r>
      <w:r w:rsidRPr="00231FC8">
        <w:rPr>
          <w:rStyle w:val="fontstyle01"/>
          <w:rFonts w:ascii="Times New Roman" w:hAnsi="Times New Roman" w:cs="Times New Roman"/>
          <w:sz w:val="28"/>
          <w:szCs w:val="28"/>
        </w:rPr>
        <w:t>cho hoạt động KH&amp;CN....).</w:t>
      </w:r>
    </w:p>
    <w:p w14:paraId="2ECD89B6" w14:textId="635D4522" w:rsidR="00334B46" w:rsidRPr="00231FC8" w:rsidRDefault="00334B46" w:rsidP="00334B46">
      <w:pPr>
        <w:spacing w:before="120" w:after="0" w:line="288" w:lineRule="auto"/>
        <w:ind w:firstLine="567"/>
        <w:jc w:val="both"/>
        <w:rPr>
          <w:rStyle w:val="fontstyle01"/>
          <w:rFonts w:ascii="Times New Roman" w:hAnsi="Times New Roman" w:cs="Times New Roman"/>
          <w:sz w:val="28"/>
          <w:szCs w:val="28"/>
        </w:rPr>
      </w:pPr>
      <w:r w:rsidRPr="00231FC8">
        <w:rPr>
          <w:rStyle w:val="fontstyle01"/>
          <w:rFonts w:ascii="Times New Roman" w:hAnsi="Times New Roman" w:cs="Times New Roman"/>
          <w:sz w:val="28"/>
          <w:szCs w:val="28"/>
        </w:rPr>
        <w:t>- Đánh giá tình hình thực hiện các quy hoạch đã được phê duyệt có liên quan đến tổ chức KH&amp;CN công lập trong giai đoạn 2021-2030 (Căn cứ pháp lý và khoa học; Những kết quả đạt được; Những hạn chế, thách thức; Kiến nghị, đề xuất.</w:t>
      </w:r>
    </w:p>
    <w:p w14:paraId="1E28E5EF" w14:textId="77777777" w:rsidR="00334B46" w:rsidRPr="00231FC8" w:rsidRDefault="00334B46" w:rsidP="00334B46">
      <w:pPr>
        <w:spacing w:before="120" w:after="0" w:line="288" w:lineRule="auto"/>
        <w:ind w:firstLine="567"/>
        <w:jc w:val="both"/>
        <w:rPr>
          <w:rStyle w:val="fontstyle01"/>
          <w:rFonts w:ascii="Times New Roman" w:hAnsi="Times New Roman" w:cs="Times New Roman"/>
          <w:sz w:val="28"/>
          <w:szCs w:val="28"/>
        </w:rPr>
      </w:pPr>
      <w:r w:rsidRPr="00231FC8">
        <w:rPr>
          <w:rStyle w:val="fontstyle01"/>
          <w:rFonts w:ascii="Times New Roman" w:hAnsi="Times New Roman" w:cs="Times New Roman"/>
          <w:sz w:val="28"/>
          <w:szCs w:val="28"/>
        </w:rPr>
        <w:lastRenderedPageBreak/>
        <w:t>+ Những kết quả đạt được: tiếp tục đổi mới hệ thống tổ chức quản lý, nâng cao chất lượng và hiệu quả hoạt động trung tâm. Đồng thời đảy mạnh thực hiện tự chủ, từng bước chuyển các tổ chức nghiên cứu ứng dụng, dịch vụ KH &amp; CN.</w:t>
      </w:r>
    </w:p>
    <w:p w14:paraId="2209BAFF" w14:textId="77777777" w:rsidR="00334B46" w:rsidRPr="00231FC8" w:rsidRDefault="00334B46" w:rsidP="00334B46">
      <w:pPr>
        <w:spacing w:before="120" w:after="0" w:line="288" w:lineRule="auto"/>
        <w:ind w:firstLine="567"/>
        <w:jc w:val="both"/>
        <w:rPr>
          <w:rStyle w:val="fontstyle01"/>
          <w:rFonts w:ascii="Times New Roman" w:hAnsi="Times New Roman" w:cs="Times New Roman"/>
          <w:sz w:val="28"/>
          <w:szCs w:val="28"/>
        </w:rPr>
      </w:pPr>
      <w:r w:rsidRPr="00231FC8">
        <w:rPr>
          <w:rStyle w:val="fontstyle01"/>
          <w:rFonts w:ascii="Times New Roman" w:hAnsi="Times New Roman" w:cs="Times New Roman"/>
          <w:sz w:val="28"/>
          <w:szCs w:val="28"/>
        </w:rPr>
        <w:t>+ Những hạn chế, thách thức: Hiệu quả hoạt động còn thấp, chưa thoát khỏi thói quen được bao cấp. Kinh phí để thực hiện KH &amp; CN còn hạn chế.</w:t>
      </w:r>
    </w:p>
    <w:p w14:paraId="28683F14" w14:textId="6A5792D0" w:rsidR="00334B46" w:rsidRPr="00231FC8" w:rsidRDefault="00334B46" w:rsidP="00334B46">
      <w:pPr>
        <w:spacing w:before="120" w:after="0" w:line="288" w:lineRule="auto"/>
        <w:ind w:firstLine="567"/>
        <w:jc w:val="both"/>
        <w:rPr>
          <w:rStyle w:val="fontstyle01"/>
          <w:rFonts w:ascii="Times New Roman" w:hAnsi="Times New Roman" w:cs="Times New Roman"/>
          <w:sz w:val="28"/>
          <w:szCs w:val="28"/>
        </w:rPr>
      </w:pPr>
      <w:r w:rsidRPr="00231FC8">
        <w:rPr>
          <w:rStyle w:val="fontstyle01"/>
          <w:rFonts w:ascii="Times New Roman" w:hAnsi="Times New Roman" w:cs="Times New Roman"/>
          <w:sz w:val="28"/>
          <w:szCs w:val="28"/>
        </w:rPr>
        <w:t>+ Kiến nghị, đề xuất: cần nâng cao tính tự chủ, tự chịu trách nhiệm của tổ chức, thu hút đa dạng nguồn đầu tư phát triển cho đơn vị.</w:t>
      </w:r>
    </w:p>
    <w:p w14:paraId="2A53BD51" w14:textId="7716F28B" w:rsidR="00FD55DB" w:rsidRPr="00231FC8" w:rsidRDefault="00FD55DB" w:rsidP="00694138">
      <w:pPr>
        <w:spacing w:before="120" w:after="0" w:line="288" w:lineRule="auto"/>
        <w:ind w:firstLine="567"/>
        <w:jc w:val="both"/>
        <w:rPr>
          <w:rFonts w:ascii="Times New Roman" w:hAnsi="Times New Roman" w:cs="Times New Roman"/>
          <w:i/>
          <w:iCs/>
          <w:color w:val="000000"/>
          <w:sz w:val="28"/>
          <w:szCs w:val="28"/>
        </w:rPr>
      </w:pPr>
      <w:r w:rsidRPr="00231FC8">
        <w:rPr>
          <w:rFonts w:ascii="Times New Roman" w:hAnsi="Times New Roman" w:cs="Times New Roman"/>
          <w:i/>
          <w:iCs/>
          <w:color w:val="000000"/>
          <w:sz w:val="28"/>
          <w:szCs w:val="28"/>
        </w:rPr>
        <w:t>b) Dự báo xu thể phát triển và các kịch bản phái triển ảnh hưởng trực tiếp tổ chức</w:t>
      </w:r>
      <w:r w:rsidR="00694138" w:rsidRPr="00231FC8">
        <w:rPr>
          <w:rFonts w:ascii="Times New Roman" w:hAnsi="Times New Roman" w:cs="Times New Roman"/>
          <w:i/>
          <w:iCs/>
          <w:color w:val="000000"/>
          <w:sz w:val="28"/>
          <w:szCs w:val="28"/>
        </w:rPr>
        <w:t xml:space="preserve"> </w:t>
      </w:r>
      <w:r w:rsidRPr="00231FC8">
        <w:rPr>
          <w:rFonts w:ascii="Times New Roman" w:hAnsi="Times New Roman" w:cs="Times New Roman"/>
          <w:i/>
          <w:iCs/>
          <w:color w:val="000000"/>
          <w:sz w:val="28"/>
          <w:szCs w:val="28"/>
        </w:rPr>
        <w:t>KH&amp;CN công lập thuộc thẩm quy</w:t>
      </w:r>
      <w:r w:rsidR="00694138" w:rsidRPr="00231FC8">
        <w:rPr>
          <w:rFonts w:ascii="Times New Roman" w:hAnsi="Times New Roman" w:cs="Times New Roman"/>
          <w:i/>
          <w:iCs/>
          <w:color w:val="000000"/>
          <w:sz w:val="28"/>
          <w:szCs w:val="28"/>
        </w:rPr>
        <w:t>ề</w:t>
      </w:r>
      <w:r w:rsidRPr="00231FC8">
        <w:rPr>
          <w:rFonts w:ascii="Times New Roman" w:hAnsi="Times New Roman" w:cs="Times New Roman"/>
          <w:i/>
          <w:iCs/>
          <w:color w:val="000000"/>
          <w:sz w:val="28"/>
          <w:szCs w:val="28"/>
        </w:rPr>
        <w:t>n quản lý của đơn vị</w:t>
      </w:r>
    </w:p>
    <w:p w14:paraId="358C23B8" w14:textId="217F8EA9"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xml:space="preserve">- Phân tích, đánh giá, dự báo tác động của sự </w:t>
      </w:r>
      <w:r w:rsidR="00694138" w:rsidRPr="00231FC8">
        <w:rPr>
          <w:rFonts w:ascii="Times New Roman" w:hAnsi="Times New Roman" w:cs="Times New Roman"/>
          <w:color w:val="000000"/>
          <w:sz w:val="28"/>
          <w:szCs w:val="28"/>
        </w:rPr>
        <w:t>d</w:t>
      </w:r>
      <w:r w:rsidRPr="00231FC8">
        <w:rPr>
          <w:rFonts w:ascii="Times New Roman" w:hAnsi="Times New Roman" w:cs="Times New Roman"/>
          <w:color w:val="000000"/>
          <w:sz w:val="28"/>
          <w:szCs w:val="28"/>
        </w:rPr>
        <w:t>ịch chuyền về địa chính trị, địa kinh tế toàn cầu.</w:t>
      </w:r>
    </w:p>
    <w:p w14:paraId="14A33A6F" w14:textId="09EFD0E4"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Phân tích, đánh giá, dự báo tác động của toàn cầu hóa, hội nhập quốc tế,</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các luồng đầu tư, thương mại, tài chính.</w:t>
      </w:r>
    </w:p>
    <w:p w14:paraId="4BDC101A" w14:textId="67DCF830"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Phân tích, đánh giá, dự báo tác động của cuộc các mạng công nghiệp lần</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thứ tư, hoạt động đổi mới sáng tạo, chuy</w:t>
      </w:r>
      <w:r w:rsidR="00694138" w:rsidRPr="00231FC8">
        <w:rPr>
          <w:rFonts w:ascii="Times New Roman" w:hAnsi="Times New Roman" w:cs="Times New Roman"/>
          <w:color w:val="000000"/>
          <w:sz w:val="28"/>
          <w:szCs w:val="28"/>
        </w:rPr>
        <w:t>ể</w:t>
      </w:r>
      <w:r w:rsidRPr="00231FC8">
        <w:rPr>
          <w:rFonts w:ascii="Times New Roman" w:hAnsi="Times New Roman" w:cs="Times New Roman"/>
          <w:color w:val="000000"/>
          <w:sz w:val="28"/>
          <w:szCs w:val="28"/>
        </w:rPr>
        <w:t>n đổi số.</w:t>
      </w:r>
    </w:p>
    <w:p w14:paraId="62F7A283" w14:textId="64FF9FBE"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Phân tích, đánh giá, dự báo tác động từ những vấn đề n</w:t>
      </w:r>
      <w:r w:rsidR="00694138" w:rsidRPr="00231FC8">
        <w:rPr>
          <w:rFonts w:ascii="Times New Roman" w:hAnsi="Times New Roman" w:cs="Times New Roman"/>
          <w:color w:val="000000"/>
          <w:sz w:val="28"/>
          <w:szCs w:val="28"/>
        </w:rPr>
        <w:t>ổ</w:t>
      </w:r>
      <w:r w:rsidRPr="00231FC8">
        <w:rPr>
          <w:rFonts w:ascii="Times New Roman" w:hAnsi="Times New Roman" w:cs="Times New Roman"/>
          <w:color w:val="000000"/>
          <w:sz w:val="28"/>
          <w:szCs w:val="28"/>
        </w:rPr>
        <w:t>i lên trong phát</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triển của đất nước.</w:t>
      </w:r>
    </w:p>
    <w:p w14:paraId="675B0149" w14:textId="416D6A1F"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c) Đánh giá về liên kết ngành, liên kết vùng; xác định yêu cầu phát triển kinh tế-xã hội đ</w:t>
      </w:r>
      <w:r w:rsidR="00694138" w:rsidRPr="00231FC8">
        <w:rPr>
          <w:rFonts w:ascii="Times New Roman" w:hAnsi="Times New Roman" w:cs="Times New Roman"/>
          <w:color w:val="000000"/>
          <w:sz w:val="28"/>
          <w:szCs w:val="28"/>
        </w:rPr>
        <w:t>ố</w:t>
      </w:r>
      <w:r w:rsidRPr="00231FC8">
        <w:rPr>
          <w:rFonts w:ascii="Times New Roman" w:hAnsi="Times New Roman" w:cs="Times New Roman"/>
          <w:color w:val="000000"/>
          <w:sz w:val="28"/>
          <w:szCs w:val="28"/>
        </w:rPr>
        <w:t>i với ngành giáo dục; những cơ hội và thách thức đối với tổ chức</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KH&amp;CN công lập</w:t>
      </w:r>
    </w:p>
    <w:p w14:paraId="526EE250" w14:textId="217A9048"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Phân tích, đánh giá sự phối hợp giữa các ngành, lĩnh vực nhằm phát triển</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và nâng cao hiệu quả hoạt động của tổ chức KH&amp;CN công lập thuộc thẩm quyền</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quản lý của đơn vị.</w:t>
      </w:r>
    </w:p>
    <w:p w14:paraId="03C18B27" w14:textId="6E4DE94F"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Đánh giá liên kết giữa tổ chức KH&amp;CN công lập do Bộ Giáo dục và Đào</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tạo quản lý với các t</w:t>
      </w:r>
      <w:r w:rsidR="00694138" w:rsidRPr="00231FC8">
        <w:rPr>
          <w:rFonts w:ascii="Times New Roman" w:hAnsi="Times New Roman" w:cs="Times New Roman"/>
          <w:color w:val="000000"/>
          <w:sz w:val="28"/>
          <w:szCs w:val="28"/>
        </w:rPr>
        <w:t>ổ</w:t>
      </w:r>
      <w:r w:rsidRPr="00231FC8">
        <w:rPr>
          <w:rFonts w:ascii="Times New Roman" w:hAnsi="Times New Roman" w:cs="Times New Roman"/>
          <w:color w:val="000000"/>
          <w:sz w:val="28"/>
          <w:szCs w:val="28"/>
        </w:rPr>
        <w:t xml:space="preserve"> chức KH&amp;CN trong cùng địa bàn (tỉnh/vùng) không do Bộ</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Giáo dục và Đào tạo quản lý (nếu có).</w:t>
      </w:r>
    </w:p>
    <w:p w14:paraId="3BFC9A6B" w14:textId="169AE7BD"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Đánh giá liên kết với các tổ chức KH&amp;CN công lập khác nhau do Bộ Giáo</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dục và Đào tạo quản lý.</w:t>
      </w:r>
    </w:p>
    <w:p w14:paraId="390E54C0" w14:textId="075AA29F"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Phân tích, đánh giá, dự báo tác động của rủi ro, thiên tai và biến đổi khí</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hậu đối với sự phát triển của tổ chức KH&amp;CN công lập.</w:t>
      </w:r>
    </w:p>
    <w:p w14:paraId="75D618DF" w14:textId="77777777" w:rsidR="00FD55DB" w:rsidRPr="00231FC8" w:rsidRDefault="00FD55DB" w:rsidP="00FD55DB">
      <w:pPr>
        <w:spacing w:before="120" w:after="0" w:line="288" w:lineRule="auto"/>
        <w:jc w:val="both"/>
        <w:rPr>
          <w:rFonts w:ascii="Times New Roman" w:hAnsi="Times New Roman" w:cs="Times New Roman"/>
          <w:b/>
          <w:bCs/>
          <w:i/>
          <w:iCs/>
          <w:color w:val="000000"/>
          <w:sz w:val="28"/>
          <w:szCs w:val="28"/>
        </w:rPr>
      </w:pPr>
      <w:r w:rsidRPr="00231FC8">
        <w:rPr>
          <w:rFonts w:ascii="Times New Roman" w:hAnsi="Times New Roman" w:cs="Times New Roman"/>
          <w:b/>
          <w:bCs/>
          <w:i/>
          <w:iCs/>
          <w:color w:val="000000"/>
          <w:sz w:val="28"/>
          <w:szCs w:val="28"/>
        </w:rPr>
        <w:t>2.2 Thực trạng hệ thống các tỗ chức KH&amp;CN công lập của đơn vị</w:t>
      </w:r>
    </w:p>
    <w:p w14:paraId="0100F86E" w14:textId="6291CE5B"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lastRenderedPageBreak/>
        <w:t>a) Phân tích đánh giá vị thế, vai trò của tổ chức KH&amp;CN công lập thuộc</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th</w:t>
      </w:r>
      <w:r w:rsidR="00694138" w:rsidRPr="00231FC8">
        <w:rPr>
          <w:rFonts w:ascii="Times New Roman" w:hAnsi="Times New Roman" w:cs="Times New Roman"/>
          <w:color w:val="000000"/>
          <w:sz w:val="28"/>
          <w:szCs w:val="28"/>
        </w:rPr>
        <w:t>ẩ</w:t>
      </w:r>
      <w:r w:rsidRPr="00231FC8">
        <w:rPr>
          <w:rFonts w:ascii="Times New Roman" w:hAnsi="Times New Roman" w:cs="Times New Roman"/>
          <w:color w:val="000000"/>
          <w:sz w:val="28"/>
          <w:szCs w:val="28"/>
        </w:rPr>
        <w:t>m quyền quản lý của đơn vị; phạm vi của Bộ Giáo dục và Đào tạo; phạm vi</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quốc gia; phạm vi khu vực hoặc quốc tế.</w:t>
      </w:r>
    </w:p>
    <w:p w14:paraId="6C5B9A34" w14:textId="77777777" w:rsidR="00CD4D11" w:rsidRPr="00231FC8" w:rsidRDefault="00CD4D11" w:rsidP="00CD4D11">
      <w:pPr>
        <w:spacing w:before="120" w:after="0" w:line="288" w:lineRule="auto"/>
        <w:ind w:firstLine="567"/>
        <w:jc w:val="both"/>
        <w:rPr>
          <w:rFonts w:ascii="Times New Roman" w:hAnsi="Times New Roman" w:cs="Times New Roman"/>
          <w:b/>
          <w:color w:val="000000"/>
          <w:sz w:val="28"/>
          <w:szCs w:val="28"/>
        </w:rPr>
      </w:pPr>
      <w:r w:rsidRPr="00231FC8">
        <w:rPr>
          <w:rFonts w:ascii="Times New Roman" w:hAnsi="Times New Roman" w:cs="Times New Roman"/>
          <w:b/>
          <w:color w:val="000000"/>
          <w:sz w:val="28"/>
          <w:szCs w:val="28"/>
        </w:rPr>
        <w:t>Chức năng của Trung tâm</w:t>
      </w:r>
    </w:p>
    <w:p w14:paraId="1137A9C4" w14:textId="77777777" w:rsidR="00CD4D11" w:rsidRPr="00231FC8" w:rsidRDefault="00CD4D11" w:rsidP="00CD4D11">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Trung tâm là đơn vị dịch vụ về đào tạo, nghiên cứu khoa học, tư vấn, chuyển giao kỹ thuật và công nghệ thuộc các lĩnh vực xây dựng, điện, điện tử viễn thông thông và tự động hóa, có các chức năng cụ thể:</w:t>
      </w:r>
    </w:p>
    <w:p w14:paraId="1F7874D5" w14:textId="77777777" w:rsidR="00CD4D11" w:rsidRPr="00231FC8" w:rsidRDefault="00CD4D11" w:rsidP="00CD4D11">
      <w:pPr>
        <w:numPr>
          <w:ilvl w:val="0"/>
          <w:numId w:val="2"/>
        </w:numPr>
        <w:spacing w:before="120" w:after="0" w:line="288" w:lineRule="auto"/>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Đào tạo;</w:t>
      </w:r>
      <w:r w:rsidRPr="00231FC8">
        <w:rPr>
          <w:rFonts w:ascii="Times New Roman" w:hAnsi="Times New Roman" w:cs="Times New Roman"/>
          <w:color w:val="000000"/>
          <w:sz w:val="28"/>
          <w:szCs w:val="28"/>
        </w:rPr>
        <w:tab/>
      </w:r>
    </w:p>
    <w:p w14:paraId="6B26E4CB" w14:textId="77777777" w:rsidR="00CD4D11" w:rsidRPr="00231FC8" w:rsidRDefault="00CD4D11" w:rsidP="00CD4D11">
      <w:pPr>
        <w:numPr>
          <w:ilvl w:val="0"/>
          <w:numId w:val="2"/>
        </w:numPr>
        <w:spacing w:before="120" w:after="0" w:line="288" w:lineRule="auto"/>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Nghiên cứu khoa học và chuyển giao công nghệ;</w:t>
      </w:r>
    </w:p>
    <w:p w14:paraId="4E2442A5" w14:textId="77777777" w:rsidR="00CD4D11" w:rsidRPr="00231FC8" w:rsidRDefault="00CD4D11" w:rsidP="00CD4D11">
      <w:pPr>
        <w:numPr>
          <w:ilvl w:val="0"/>
          <w:numId w:val="2"/>
        </w:numPr>
        <w:spacing w:before="120" w:after="0" w:line="288" w:lineRule="auto"/>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Cung cấp dịch vụ tư vấn thiết kế, giám sát, thi công công trình xây dựng, điện;</w:t>
      </w:r>
    </w:p>
    <w:p w14:paraId="601D9A5E" w14:textId="77777777" w:rsidR="00CD4D11" w:rsidRPr="00231FC8" w:rsidRDefault="00CD4D11" w:rsidP="00CD4D11">
      <w:pPr>
        <w:numPr>
          <w:ilvl w:val="0"/>
          <w:numId w:val="2"/>
        </w:numPr>
        <w:spacing w:before="120" w:after="0" w:line="288" w:lineRule="auto"/>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Thí nghiệm và kiểm định chất lượng công trình;</w:t>
      </w:r>
    </w:p>
    <w:p w14:paraId="6AB7ED99" w14:textId="77777777" w:rsidR="00CD4D11" w:rsidRPr="00231FC8" w:rsidRDefault="00CD4D11" w:rsidP="00CD4D11">
      <w:pPr>
        <w:numPr>
          <w:ilvl w:val="0"/>
          <w:numId w:val="2"/>
        </w:numPr>
        <w:spacing w:before="120" w:after="0" w:line="288" w:lineRule="auto"/>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Khảo sát công trình;</w:t>
      </w:r>
      <w:r w:rsidRPr="00231FC8">
        <w:rPr>
          <w:rFonts w:ascii="Times New Roman" w:hAnsi="Times New Roman" w:cs="Times New Roman"/>
          <w:color w:val="000000"/>
          <w:sz w:val="28"/>
          <w:szCs w:val="28"/>
        </w:rPr>
        <w:tab/>
      </w:r>
    </w:p>
    <w:p w14:paraId="2D23048A" w14:textId="77777777" w:rsidR="00CD4D11" w:rsidRPr="00231FC8" w:rsidRDefault="00CD4D11" w:rsidP="00CD4D11">
      <w:pPr>
        <w:numPr>
          <w:ilvl w:val="0"/>
          <w:numId w:val="2"/>
        </w:numPr>
        <w:spacing w:before="120" w:after="0" w:line="288" w:lineRule="auto"/>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Sản xuất, kinh doanh, hợp tác chuyển giao các sản phẩm về xây dựng, điện, điện tử viễn thông, tự động hóa.</w:t>
      </w:r>
    </w:p>
    <w:p w14:paraId="470D1B65" w14:textId="77777777" w:rsidR="00CD4D11" w:rsidRPr="00231FC8" w:rsidRDefault="00CD4D11" w:rsidP="00CD4D11">
      <w:pPr>
        <w:spacing w:before="120" w:after="0" w:line="288" w:lineRule="auto"/>
        <w:ind w:firstLine="567"/>
        <w:jc w:val="both"/>
        <w:rPr>
          <w:rFonts w:ascii="Times New Roman" w:hAnsi="Times New Roman" w:cs="Times New Roman"/>
          <w:b/>
          <w:sz w:val="26"/>
          <w:szCs w:val="26"/>
        </w:rPr>
      </w:pPr>
      <w:r w:rsidRPr="00231FC8">
        <w:rPr>
          <w:rFonts w:ascii="Times New Roman" w:hAnsi="Times New Roman" w:cs="Times New Roman"/>
          <w:b/>
          <w:sz w:val="26"/>
          <w:szCs w:val="26"/>
        </w:rPr>
        <w:t xml:space="preserve">Nhiệm vụ </w:t>
      </w:r>
      <w:r w:rsidRPr="00231FC8">
        <w:rPr>
          <w:rFonts w:ascii="Times New Roman" w:hAnsi="Times New Roman" w:cs="Times New Roman"/>
          <w:b/>
          <w:color w:val="000000"/>
          <w:sz w:val="28"/>
          <w:szCs w:val="28"/>
        </w:rPr>
        <w:t>của</w:t>
      </w:r>
      <w:r w:rsidRPr="00231FC8">
        <w:rPr>
          <w:rFonts w:ascii="Times New Roman" w:hAnsi="Times New Roman" w:cs="Times New Roman"/>
          <w:b/>
          <w:sz w:val="26"/>
          <w:szCs w:val="26"/>
        </w:rPr>
        <w:t xml:space="preserve"> Trung tâm</w:t>
      </w:r>
    </w:p>
    <w:p w14:paraId="5CE0B952" w14:textId="2C27EA65" w:rsidR="00CD4D11" w:rsidRPr="00231FC8" w:rsidRDefault="00CD4D11" w:rsidP="00CD4D11">
      <w:pPr>
        <w:pStyle w:val="ListParagraph"/>
        <w:numPr>
          <w:ilvl w:val="0"/>
          <w:numId w:val="4"/>
        </w:numPr>
        <w:spacing w:before="120" w:after="0" w:line="288" w:lineRule="auto"/>
        <w:ind w:left="1276"/>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Tổ chức các khóa bồi dưỡng về chuyên môn, nghiệp vụ trong lĩnh vực xây dựng, điện, điện tử viễn thông, tự động hóa cho các tổ chức, cá nhân có nhu cầu;</w:t>
      </w:r>
    </w:p>
    <w:p w14:paraId="34327181" w14:textId="77777777" w:rsidR="00CD4D11" w:rsidRPr="00231FC8" w:rsidRDefault="00CD4D11" w:rsidP="00CD4D11">
      <w:pPr>
        <w:numPr>
          <w:ilvl w:val="0"/>
          <w:numId w:val="4"/>
        </w:numPr>
        <w:spacing w:before="120" w:after="0" w:line="288" w:lineRule="auto"/>
        <w:ind w:left="1276"/>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Triển khai, ứng dụng và chuyển giao các kết quả nghiên cứu khoa học và công nghệ theo nhu cầu xã hội;</w:t>
      </w:r>
    </w:p>
    <w:p w14:paraId="0E393F3A" w14:textId="77777777" w:rsidR="00CD4D11" w:rsidRPr="00231FC8" w:rsidRDefault="00CD4D11" w:rsidP="00CD4D11">
      <w:pPr>
        <w:numPr>
          <w:ilvl w:val="0"/>
          <w:numId w:val="4"/>
        </w:numPr>
        <w:spacing w:before="120" w:after="0" w:line="288" w:lineRule="auto"/>
        <w:ind w:left="1276"/>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Thực hiện tư vấn xây dựng: quản lý dự án, thiết kế, giám sát và thi công xây dựng công trình dân dụng và công nghiệp, công trình điện;</w:t>
      </w:r>
    </w:p>
    <w:p w14:paraId="453B53FC" w14:textId="77777777" w:rsidR="00CD4D11" w:rsidRPr="00231FC8" w:rsidRDefault="00CD4D11" w:rsidP="00CD4D11">
      <w:pPr>
        <w:numPr>
          <w:ilvl w:val="0"/>
          <w:numId w:val="4"/>
        </w:numPr>
        <w:spacing w:before="120" w:after="0" w:line="288" w:lineRule="auto"/>
        <w:ind w:left="1276"/>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Thực hiện thí nghiệm trong phòng và thí nghiệm hiện trường các tính chất cơ lý của đất, thí nghiệm vật liệu xây dựng; thí nghiệm, kiểm nghiệm hệ thống nối đất, cáp điện lực;</w:t>
      </w:r>
    </w:p>
    <w:p w14:paraId="1011C211" w14:textId="77777777" w:rsidR="00CD4D11" w:rsidRPr="00231FC8" w:rsidRDefault="00CD4D11" w:rsidP="00CD4D11">
      <w:pPr>
        <w:numPr>
          <w:ilvl w:val="0"/>
          <w:numId w:val="4"/>
        </w:numPr>
        <w:spacing w:before="120" w:after="0" w:line="288" w:lineRule="auto"/>
        <w:ind w:left="1276"/>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Thực hiện kiểm định và đánh giá chất lượng công trình xây dựng mới, công trình đã đưa vào sử dụng, công trình sửa chữa, cải tạo nâng cấp, xác định các nguyên nhân hư hỏng, đề xuất biện pháp sửa chữa;</w:t>
      </w:r>
    </w:p>
    <w:p w14:paraId="144EBFA6" w14:textId="77777777" w:rsidR="00CD4D11" w:rsidRPr="00231FC8" w:rsidRDefault="00CD4D11" w:rsidP="00CD4D11">
      <w:pPr>
        <w:numPr>
          <w:ilvl w:val="0"/>
          <w:numId w:val="4"/>
        </w:numPr>
        <w:spacing w:before="120" w:after="0" w:line="288" w:lineRule="auto"/>
        <w:ind w:left="1276"/>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Thực hiện khảo sát địa chất công trình, địa chất thủy văn;</w:t>
      </w:r>
    </w:p>
    <w:p w14:paraId="2C1B02FF" w14:textId="77777777" w:rsidR="00CD4D11" w:rsidRPr="00231FC8" w:rsidRDefault="00CD4D11" w:rsidP="00CD4D11">
      <w:pPr>
        <w:numPr>
          <w:ilvl w:val="0"/>
          <w:numId w:val="4"/>
        </w:numPr>
        <w:spacing w:before="120" w:after="0" w:line="288" w:lineRule="auto"/>
        <w:ind w:left="1276"/>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lastRenderedPageBreak/>
        <w:t>Tự đảm bảo kinh phí hoạt động, thu hút nguồn vốn nhằm phát triển đơn vị theo quy định về tài chính, tài sản của Trường và các qui định hiện hành của Nhà nước;</w:t>
      </w:r>
    </w:p>
    <w:p w14:paraId="234EB340" w14:textId="77777777" w:rsidR="00CD4D11" w:rsidRPr="00231FC8" w:rsidRDefault="00CD4D11" w:rsidP="00CD4D11">
      <w:pPr>
        <w:numPr>
          <w:ilvl w:val="0"/>
          <w:numId w:val="4"/>
        </w:numPr>
        <w:spacing w:before="120" w:after="0" w:line="288" w:lineRule="auto"/>
        <w:ind w:left="1276"/>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Thực hiện các nhiệm vụ khác do Hiệu trưởng giao.</w:t>
      </w:r>
    </w:p>
    <w:p w14:paraId="1D473A1A" w14:textId="0CC5664C"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b) Phân tích cấu trúc t</w:t>
      </w:r>
      <w:r w:rsidR="00694138" w:rsidRPr="00231FC8">
        <w:rPr>
          <w:rFonts w:ascii="Times New Roman" w:hAnsi="Times New Roman" w:cs="Times New Roman"/>
          <w:color w:val="000000"/>
          <w:sz w:val="28"/>
          <w:szCs w:val="28"/>
        </w:rPr>
        <w:t>ổ</w:t>
      </w:r>
      <w:r w:rsidRPr="00231FC8">
        <w:rPr>
          <w:rFonts w:ascii="Times New Roman" w:hAnsi="Times New Roman" w:cs="Times New Roman"/>
          <w:color w:val="000000"/>
          <w:sz w:val="28"/>
          <w:szCs w:val="28"/>
        </w:rPr>
        <w:t xml:space="preserve"> chức KH&amp;CN công lập của đơn vi.</w:t>
      </w:r>
    </w:p>
    <w:p w14:paraId="705A98E1" w14:textId="5D2D1898"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Theo cơ cấu: cơ cấu theo lĩnh vực hoạt động Khoa học Kỹ thuật và công nghệ</w:t>
      </w:r>
      <w:r w:rsidR="00DE304A" w:rsidRPr="00231FC8">
        <w:rPr>
          <w:rFonts w:ascii="Times New Roman" w:hAnsi="Times New Roman" w:cs="Times New Roman"/>
          <w:color w:val="000000"/>
          <w:sz w:val="28"/>
          <w:szCs w:val="28"/>
        </w:rPr>
        <w:t xml:space="preserve"> bao gồm: Giám đốc, Phó Giám đốc, Phòng Hành chính, Phòng Thí nghiệm kiểm định công trình, Phòng tư vấn kỹ thuật công nghệ</w:t>
      </w:r>
    </w:p>
    <w:p w14:paraId="0696A5D7" w14:textId="77777777" w:rsidR="00746411"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xml:space="preserve">- Theo quy mô tổ chức: </w:t>
      </w:r>
    </w:p>
    <w:p w14:paraId="4688FED7" w14:textId="352ECC78" w:rsidR="00746411" w:rsidRPr="00231FC8" w:rsidRDefault="00746411"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xml:space="preserve">+ Nhân lực: </w:t>
      </w:r>
    </w:p>
    <w:p w14:paraId="7905328B" w14:textId="77777777"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Nhân sự của PTN, cả nội bộ hoặc bên ngoài, có thể ảnh hưởng đến hoạt động thử nghiệm đều phải có năng lực, hành động một cách khách quan và tuân thủ HTQLPTN.</w:t>
      </w:r>
    </w:p>
    <w:p w14:paraId="5770E4B2" w14:textId="59B64732"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Để đảm bảo PTN có đủ nhân lực thực hiện đúng các chức năng, nhiệm vụ của mình, PTN và Trung tâm quy định cụ thể:</w:t>
      </w:r>
    </w:p>
    <w:p w14:paraId="21027794" w14:textId="77777777"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Yêu cầu về năng lực đối với từng vị trí chức năng có ảnh hưởng đến kết quả hoạt động thí nghiệm</w:t>
      </w:r>
    </w:p>
    <w:p w14:paraId="76B2265B" w14:textId="77777777"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Quy trình tuyển dụng, đào tạo, giám sát, giao việc, giám sát và giao quyền cho nhân sự.</w:t>
      </w:r>
    </w:p>
    <w:p w14:paraId="2B7656BD" w14:textId="77777777"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Việc trao đổi thông tin với nhân sự về nhiệm vụ, trách nhiệm và quyền hạn của họ.</w:t>
      </w:r>
    </w:p>
    <w:p w14:paraId="75EA56DD" w14:textId="1C1B0441" w:rsidR="0075193D" w:rsidRPr="00231FC8" w:rsidRDefault="0075193D" w:rsidP="0075193D">
      <w:pPr>
        <w:spacing w:before="120" w:after="0" w:line="288" w:lineRule="auto"/>
        <w:ind w:firstLine="567"/>
        <w:jc w:val="both"/>
        <w:rPr>
          <w:rFonts w:ascii="Times New Roman" w:hAnsi="Times New Roman" w:cs="Times New Roman"/>
          <w:b/>
          <w:color w:val="000000"/>
          <w:sz w:val="28"/>
          <w:szCs w:val="28"/>
        </w:rPr>
      </w:pPr>
      <w:r w:rsidRPr="00231FC8">
        <w:rPr>
          <w:rFonts w:ascii="Times New Roman" w:hAnsi="Times New Roman" w:cs="Times New Roman"/>
          <w:color w:val="000000"/>
          <w:sz w:val="28"/>
          <w:szCs w:val="28"/>
        </w:rPr>
        <w:t xml:space="preserve">Việc đảm bảo ngụồn nhân lực đáp ứng yêu cầu trên của PTN được thực hiện theo Quy trình Quản lý nguồn nhân lực - </w:t>
      </w:r>
      <w:r w:rsidRPr="00231FC8">
        <w:rPr>
          <w:rFonts w:ascii="Times New Roman" w:hAnsi="Times New Roman" w:cs="Times New Roman"/>
          <w:b/>
          <w:color w:val="000000"/>
          <w:sz w:val="28"/>
          <w:szCs w:val="28"/>
        </w:rPr>
        <w:t>QT.08.</w:t>
      </w:r>
    </w:p>
    <w:p w14:paraId="60E55F65" w14:textId="7A7CDA4C" w:rsidR="00746411" w:rsidRPr="00231FC8" w:rsidRDefault="00746411" w:rsidP="00E44221">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T</w:t>
      </w:r>
      <w:r w:rsidR="00FD55DB" w:rsidRPr="00231FC8">
        <w:rPr>
          <w:rFonts w:ascii="Times New Roman" w:hAnsi="Times New Roman" w:cs="Times New Roman"/>
          <w:color w:val="000000"/>
          <w:sz w:val="28"/>
          <w:szCs w:val="28"/>
        </w:rPr>
        <w:t>hực trạng cơ sở vật chất, thiết bị</w:t>
      </w:r>
      <w:r w:rsidR="00E44221" w:rsidRPr="00231FC8">
        <w:rPr>
          <w:rFonts w:ascii="Times New Roman" w:hAnsi="Times New Roman" w:cs="Times New Roman"/>
          <w:color w:val="000000"/>
          <w:sz w:val="28"/>
          <w:szCs w:val="28"/>
        </w:rPr>
        <w:t>: Tát cả các máy móc, thiết bị đ</w:t>
      </w:r>
      <w:r w:rsidRPr="00231FC8">
        <w:rPr>
          <w:rFonts w:ascii="Times New Roman" w:hAnsi="Times New Roman" w:cs="Times New Roman"/>
          <w:color w:val="000000"/>
          <w:sz w:val="28"/>
          <w:szCs w:val="28"/>
        </w:rPr>
        <w:t>ã được kiểm định</w:t>
      </w:r>
      <w:r w:rsidR="00E44221" w:rsidRPr="00231FC8">
        <w:rPr>
          <w:rFonts w:ascii="Times New Roman" w:hAnsi="Times New Roman" w:cs="Times New Roman"/>
          <w:color w:val="000000"/>
          <w:sz w:val="28"/>
          <w:szCs w:val="28"/>
        </w:rPr>
        <w:t xml:space="preserve"> bởi Trung tâm kiểm định hiệu chuẩn đo lường Miền Nam (SMETEST).</w:t>
      </w:r>
    </w:p>
    <w:p w14:paraId="7258606A" w14:textId="77777777" w:rsidR="0075193D" w:rsidRPr="00231FC8" w:rsidRDefault="0075193D" w:rsidP="0075193D">
      <w:pPr>
        <w:spacing w:before="120" w:after="0" w:line="288" w:lineRule="auto"/>
        <w:ind w:firstLine="567"/>
        <w:jc w:val="both"/>
        <w:rPr>
          <w:rFonts w:ascii="Times New Roman" w:hAnsi="Times New Roman" w:cs="Times New Roman"/>
          <w:b/>
          <w:color w:val="000000"/>
          <w:sz w:val="28"/>
          <w:szCs w:val="28"/>
        </w:rPr>
      </w:pPr>
      <w:r w:rsidRPr="00231FC8">
        <w:rPr>
          <w:rFonts w:ascii="Times New Roman" w:hAnsi="Times New Roman" w:cs="Times New Roman"/>
          <w:b/>
          <w:color w:val="000000"/>
          <w:sz w:val="28"/>
          <w:szCs w:val="28"/>
        </w:rPr>
        <w:t>Cơ sở vật chất và điều kiện môi trường:</w:t>
      </w:r>
    </w:p>
    <w:p w14:paraId="5FE20857" w14:textId="10D26424"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PTN đảm bảo rằng, cơ sở vật chất và điều kiện môi trường phù hợp với hoạt động thử nghiệm thông qua việc đáp ứng các yêu cầu quy định tại phương pháp thử tương ứng và không gây ảnh hưởng bất lợi đến giá trị sử dụng của kết quả thử nghiệm</w:t>
      </w:r>
    </w:p>
    <w:p w14:paraId="7D66E06C" w14:textId="09BB04F5"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xml:space="preserve">Các yêu câu về cơ sở vật chất và điều kiện môi trường cần thiết cho việc thực hiện hoạt động thử nghiệm cụ thể, việc theo dõi, kiểm soát và ghi nhận các điều kiện môi trường theo các quy định kỹ thuật, phương pháp hoặc thủ tục có liên quan được </w:t>
      </w:r>
      <w:r w:rsidRPr="00231FC8">
        <w:rPr>
          <w:rFonts w:ascii="Times New Roman" w:hAnsi="Times New Roman" w:cs="Times New Roman"/>
          <w:color w:val="000000"/>
          <w:sz w:val="28"/>
          <w:szCs w:val="28"/>
        </w:rPr>
        <w:lastRenderedPageBreak/>
        <w:t xml:space="preserve">thực hiện theo Quy trình Quản lý cơ sở vật chất và điều kiện môi trường phòng thí nghiệm – </w:t>
      </w:r>
      <w:r w:rsidRPr="00231FC8">
        <w:rPr>
          <w:rFonts w:ascii="Times New Roman" w:hAnsi="Times New Roman" w:cs="Times New Roman"/>
          <w:b/>
          <w:color w:val="000000"/>
          <w:sz w:val="28"/>
          <w:szCs w:val="28"/>
        </w:rPr>
        <w:t>QT.03</w:t>
      </w:r>
    </w:p>
    <w:p w14:paraId="6EBC81DF" w14:textId="66F074FD"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Khi thực hiện hoạt động thử nghiệm tại các địa điểm hoặc cơ sở nằm ngoài sự kiểm soát thường xuyên của PTN, PTN đảm bảo rằng các yêu cầu liên quan đến cơ sở vật chất và điều kiện môi trường cũng phải được đáp ứng.</w:t>
      </w:r>
    </w:p>
    <w:p w14:paraId="22CFA254" w14:textId="5562F35E" w:rsidR="0075193D" w:rsidRPr="00231FC8" w:rsidRDefault="0075193D" w:rsidP="00E44221">
      <w:pPr>
        <w:spacing w:before="120" w:after="0" w:line="288" w:lineRule="auto"/>
        <w:ind w:firstLine="567"/>
        <w:jc w:val="both"/>
        <w:rPr>
          <w:rFonts w:ascii="Times New Roman" w:hAnsi="Times New Roman" w:cs="Times New Roman"/>
          <w:b/>
          <w:color w:val="000000"/>
          <w:sz w:val="28"/>
          <w:szCs w:val="28"/>
        </w:rPr>
      </w:pPr>
      <w:r w:rsidRPr="00231FC8">
        <w:rPr>
          <w:rFonts w:ascii="Times New Roman" w:hAnsi="Times New Roman" w:cs="Times New Roman"/>
          <w:b/>
          <w:color w:val="000000"/>
          <w:sz w:val="28"/>
          <w:szCs w:val="28"/>
        </w:rPr>
        <w:t>Thiết bị:</w:t>
      </w:r>
    </w:p>
    <w:p w14:paraId="72DC2BF9" w14:textId="77777777"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PTN được cung cấp đầy đủ trang thiết bị, bao gồm cả phần mềm, thiết bị phụ trợ cần thiết (sau này gọi chung là thiết bị) cho việc thực hiện chính xác các hoạt động thử nghiệm</w:t>
      </w:r>
    </w:p>
    <w:p w14:paraId="038FF37C" w14:textId="6C0A3AB7"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Thiết bị của PTN, kể cả thiết bị nằm ngoài kiểm soát thường xuyên, đảm bảo đáp ứng các yêu cầu:</w:t>
      </w:r>
    </w:p>
    <w:p w14:paraId="447C919F" w14:textId="77777777"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Đạt được độ chính xác hoặc độ không đảm bảo đo cần thiết để cho ra kết quả có giá trị sử dụng</w:t>
      </w:r>
    </w:p>
    <w:p w14:paraId="79EB55BA" w14:textId="77777777"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Được kiểm tra xác nhận là phù hợp với yêu cầu xác định trước khi được đưa vào sử dụng hoặc trước khi đưa trở lại sử dụng.</w:t>
      </w:r>
    </w:p>
    <w:p w14:paraId="5444C006" w14:textId="77777777"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Liên kết chuẩn đo lường thể hiện qua việc được hiệu chuẩn, kiểm định theo kế hoạch hiệu chuẩn, kiểm định tại các tổ chức có đủ năng lực.</w:t>
      </w:r>
    </w:p>
    <w:p w14:paraId="6C877EF8" w14:textId="77777777"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Không sử dụng thiết bị quá tải đang chờ bảo trì, bảo dưỡng định kỳ, hoặc thiết bị sai, hỏng, hoặc quá thời hạn giá trị của chứng chỉ kiểm định, hiệu chuẩn.</w:t>
      </w:r>
    </w:p>
    <w:p w14:paraId="251ED34D" w14:textId="6CB51611" w:rsidR="0075193D" w:rsidRPr="00231FC8" w:rsidRDefault="0075193D" w:rsidP="0075193D">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xml:space="preserve">Việc đảm bảo các trang thiết bị của PTN đáp ứng được các yêu cầu được thực hiện theo Quy trình Quản lý máy móc, thiết bị - </w:t>
      </w:r>
      <w:r w:rsidRPr="00231FC8">
        <w:rPr>
          <w:rFonts w:ascii="Times New Roman" w:hAnsi="Times New Roman" w:cs="Times New Roman"/>
          <w:b/>
          <w:color w:val="000000"/>
          <w:sz w:val="28"/>
          <w:szCs w:val="28"/>
        </w:rPr>
        <w:t>QT.04.</w:t>
      </w:r>
    </w:p>
    <w:p w14:paraId="58931703" w14:textId="16F609CA" w:rsidR="00FD55DB" w:rsidRPr="00231FC8" w:rsidRDefault="00E44221"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T</w:t>
      </w:r>
      <w:r w:rsidR="00FD55DB" w:rsidRPr="00231FC8">
        <w:rPr>
          <w:rFonts w:ascii="Times New Roman" w:hAnsi="Times New Roman" w:cs="Times New Roman"/>
          <w:color w:val="000000"/>
          <w:sz w:val="28"/>
          <w:szCs w:val="28"/>
        </w:rPr>
        <w:t>ài</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chính: chưa đi vào hoạt động</w:t>
      </w:r>
    </w:p>
    <w:p w14:paraId="4AEA27B7" w14:textId="5E8B1FDB"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Theo năng lực nghiên cứu phát triển, cung ứng địch vụ KH&amp;CN (Mẫu 06</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Phụ lục).</w:t>
      </w:r>
    </w:p>
    <w:p w14:paraId="488369DD" w14:textId="3E5BBCF0"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Số liệu về thực trạng các tổ chức KH&amp;CN tại Mẫu 2, 3, 4, 5, 6 Phụ lục,</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được tông hợp từ Báo cáo tình hình hoạt động hàng năm của tổ chức khoa học và</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công nghệ công lập. Từ hiện trạng nêu trên, phần tích để đưa ra các đánh giá sau:</w:t>
      </w:r>
    </w:p>
    <w:p w14:paraId="451D38C3" w14:textId="6F68470D" w:rsidR="00694138" w:rsidRPr="00231FC8" w:rsidRDefault="00FD55DB" w:rsidP="00694138">
      <w:pPr>
        <w:pStyle w:val="ListParagraph"/>
        <w:numPr>
          <w:ilvl w:val="0"/>
          <w:numId w:val="1"/>
        </w:numPr>
        <w:spacing w:before="120" w:after="0" w:line="288" w:lineRule="auto"/>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Đánh giá, phân tích vị thế, vai trò của từng tổ chức KH&amp;CN công lập</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thuộc th</w:t>
      </w:r>
      <w:r w:rsidR="00694138" w:rsidRPr="00231FC8">
        <w:rPr>
          <w:rFonts w:ascii="Times New Roman" w:hAnsi="Times New Roman" w:cs="Times New Roman"/>
          <w:color w:val="000000"/>
          <w:sz w:val="28"/>
          <w:szCs w:val="28"/>
        </w:rPr>
        <w:t>ẩ</w:t>
      </w:r>
      <w:r w:rsidRPr="00231FC8">
        <w:rPr>
          <w:rFonts w:ascii="Times New Roman" w:hAnsi="Times New Roman" w:cs="Times New Roman"/>
          <w:color w:val="000000"/>
          <w:sz w:val="28"/>
          <w:szCs w:val="28"/>
        </w:rPr>
        <w:t>m quyên quản lý đơn vị trong hệ thống các tổ chức KH&amp;CN</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của ngành, lĩnh vực.</w:t>
      </w:r>
    </w:p>
    <w:p w14:paraId="49523A25" w14:textId="3FB2746C" w:rsidR="00FD55DB" w:rsidRPr="00231FC8" w:rsidRDefault="00FD55DB" w:rsidP="00694138">
      <w:pPr>
        <w:pStyle w:val="ListParagraph"/>
        <w:numPr>
          <w:ilvl w:val="0"/>
          <w:numId w:val="1"/>
        </w:numPr>
        <w:spacing w:before="120" w:after="0" w:line="288" w:lineRule="auto"/>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Đánh giá mức độ đáp ứng của các tổ chức KH&amp;CN công lập trong phạm</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vi quản lý của đơn vị với định hướng (hoặc chiến lược) phát triển trong</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lĩnh vực mà đơn vị quản lý.</w:t>
      </w:r>
    </w:p>
    <w:p w14:paraId="3B5911F9" w14:textId="15FD3D09"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lastRenderedPageBreak/>
        <w:t>c) Phân tích, đánh giá thực trạng phán bồ, sử dụng không gian của tổ chức</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KH&amp;CN của thời kỳ quy hoạch trước (2016-2021)</w:t>
      </w:r>
    </w:p>
    <w:p w14:paraId="31B3D18A" w14:textId="6C8E87E8" w:rsidR="00FD55DB" w:rsidRPr="00231FC8" w:rsidRDefault="00FD55DB" w:rsidP="00DB190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xml:space="preserve">- </w:t>
      </w:r>
      <w:r w:rsidR="00DB1908" w:rsidRPr="00231FC8">
        <w:rPr>
          <w:rFonts w:ascii="Times New Roman" w:hAnsi="Times New Roman" w:cs="Times New Roman"/>
          <w:color w:val="000000"/>
          <w:sz w:val="28"/>
          <w:szCs w:val="28"/>
        </w:rPr>
        <w:t>Trung tâm thành lập từ tháng 4 năm 2021 nhưng chưa đi vào hoạt động.</w:t>
      </w:r>
    </w:p>
    <w:p w14:paraId="5A7A5E31" w14:textId="1DF7D1BD" w:rsidR="00FD55DB" w:rsidRPr="00231FC8" w:rsidRDefault="007A62B2" w:rsidP="00FD55DB">
      <w:pPr>
        <w:spacing w:before="120" w:after="0" w:line="288" w:lineRule="auto"/>
        <w:jc w:val="both"/>
        <w:rPr>
          <w:rFonts w:ascii="Times New Roman" w:hAnsi="Times New Roman" w:cs="Times New Roman"/>
          <w:b/>
          <w:bCs/>
          <w:color w:val="000000"/>
          <w:sz w:val="28"/>
          <w:szCs w:val="28"/>
        </w:rPr>
      </w:pPr>
      <w:r w:rsidRPr="00231FC8">
        <w:rPr>
          <w:rFonts w:ascii="Times New Roman" w:hAnsi="Times New Roman" w:cs="Times New Roman"/>
          <w:b/>
          <w:bCs/>
          <w:color w:val="000000"/>
          <w:sz w:val="28"/>
          <w:szCs w:val="28"/>
        </w:rPr>
        <w:t>III</w:t>
      </w:r>
      <w:r w:rsidR="00FD55DB" w:rsidRPr="00231FC8">
        <w:rPr>
          <w:rFonts w:ascii="Times New Roman" w:hAnsi="Times New Roman" w:cs="Times New Roman"/>
          <w:b/>
          <w:bCs/>
          <w:color w:val="000000"/>
          <w:sz w:val="28"/>
          <w:szCs w:val="28"/>
        </w:rPr>
        <w:t>. Báo cáo phương ấn quy hoạch tổ chức KH&amp;CN công lập của đơn vị giai</w:t>
      </w:r>
    </w:p>
    <w:p w14:paraId="237C6D72" w14:textId="77777777" w:rsidR="00FD55DB" w:rsidRPr="00231FC8" w:rsidRDefault="00FD55DB" w:rsidP="00FD55DB">
      <w:pPr>
        <w:spacing w:before="120" w:after="0" w:line="288" w:lineRule="auto"/>
        <w:jc w:val="both"/>
        <w:rPr>
          <w:rFonts w:ascii="Times New Roman" w:hAnsi="Times New Roman" w:cs="Times New Roman"/>
          <w:b/>
          <w:bCs/>
          <w:color w:val="000000"/>
          <w:sz w:val="28"/>
          <w:szCs w:val="28"/>
        </w:rPr>
      </w:pPr>
      <w:r w:rsidRPr="00231FC8">
        <w:rPr>
          <w:rFonts w:ascii="Times New Roman" w:hAnsi="Times New Roman" w:cs="Times New Roman"/>
          <w:b/>
          <w:bCs/>
          <w:color w:val="000000"/>
          <w:sz w:val="28"/>
          <w:szCs w:val="28"/>
        </w:rPr>
        <w:t>đoạn 2021-2030</w:t>
      </w:r>
    </w:p>
    <w:p w14:paraId="708FCED2" w14:textId="7D401C83" w:rsidR="00FD55DB" w:rsidRPr="00231FC8" w:rsidRDefault="00FD55DB" w:rsidP="00FD55DB">
      <w:pPr>
        <w:spacing w:before="120" w:after="0" w:line="288" w:lineRule="auto"/>
        <w:jc w:val="both"/>
        <w:rPr>
          <w:rFonts w:ascii="Times New Roman" w:hAnsi="Times New Roman" w:cs="Times New Roman"/>
          <w:b/>
          <w:bCs/>
          <w:i/>
          <w:iCs/>
          <w:color w:val="000000"/>
          <w:sz w:val="28"/>
          <w:szCs w:val="28"/>
        </w:rPr>
      </w:pPr>
      <w:r w:rsidRPr="00231FC8">
        <w:rPr>
          <w:rFonts w:ascii="Times New Roman" w:hAnsi="Times New Roman" w:cs="Times New Roman"/>
          <w:b/>
          <w:bCs/>
          <w:i/>
          <w:iCs/>
          <w:color w:val="000000"/>
          <w:sz w:val="28"/>
          <w:szCs w:val="28"/>
        </w:rPr>
        <w:t>3.1. Xác định các quan điểm, mục tiêu phát triển các tổ chức KH&amp;C</w:t>
      </w:r>
      <w:r w:rsidR="00694138" w:rsidRPr="00231FC8">
        <w:rPr>
          <w:rFonts w:ascii="Times New Roman" w:hAnsi="Times New Roman" w:cs="Times New Roman"/>
          <w:b/>
          <w:bCs/>
          <w:i/>
          <w:iCs/>
          <w:color w:val="000000"/>
          <w:sz w:val="28"/>
          <w:szCs w:val="28"/>
        </w:rPr>
        <w:t xml:space="preserve">N </w:t>
      </w:r>
      <w:r w:rsidRPr="00231FC8">
        <w:rPr>
          <w:rFonts w:ascii="Times New Roman" w:hAnsi="Times New Roman" w:cs="Times New Roman"/>
          <w:b/>
          <w:bCs/>
          <w:i/>
          <w:iCs/>
          <w:color w:val="000000"/>
          <w:sz w:val="28"/>
          <w:szCs w:val="28"/>
        </w:rPr>
        <w:t>công lậ</w:t>
      </w:r>
      <w:r w:rsidR="00694138" w:rsidRPr="00231FC8">
        <w:rPr>
          <w:rFonts w:ascii="Times New Roman" w:hAnsi="Times New Roman" w:cs="Times New Roman"/>
          <w:b/>
          <w:bCs/>
          <w:i/>
          <w:iCs/>
          <w:color w:val="000000"/>
          <w:sz w:val="28"/>
          <w:szCs w:val="28"/>
        </w:rPr>
        <w:t>p</w:t>
      </w:r>
      <w:r w:rsidRPr="00231FC8">
        <w:rPr>
          <w:rFonts w:ascii="Times New Roman" w:hAnsi="Times New Roman" w:cs="Times New Roman"/>
          <w:b/>
          <w:bCs/>
          <w:i/>
          <w:iCs/>
          <w:color w:val="000000"/>
          <w:sz w:val="28"/>
          <w:szCs w:val="28"/>
        </w:rPr>
        <w:t xml:space="preserve"> thuộc thẩm quy</w:t>
      </w:r>
      <w:r w:rsidR="00694138" w:rsidRPr="00231FC8">
        <w:rPr>
          <w:rFonts w:ascii="Times New Roman" w:hAnsi="Times New Roman" w:cs="Times New Roman"/>
          <w:b/>
          <w:bCs/>
          <w:i/>
          <w:iCs/>
          <w:color w:val="000000"/>
          <w:sz w:val="28"/>
          <w:szCs w:val="28"/>
        </w:rPr>
        <w:t>ề</w:t>
      </w:r>
      <w:r w:rsidRPr="00231FC8">
        <w:rPr>
          <w:rFonts w:ascii="Times New Roman" w:hAnsi="Times New Roman" w:cs="Times New Roman"/>
          <w:b/>
          <w:bCs/>
          <w:i/>
          <w:iCs/>
          <w:color w:val="000000"/>
          <w:sz w:val="28"/>
          <w:szCs w:val="28"/>
        </w:rPr>
        <w:t>n quản lý của đơn vị giai đoạn 2021-2030</w:t>
      </w:r>
    </w:p>
    <w:p w14:paraId="57FE3CCF" w14:textId="2E277AA9"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a) Quan điểm phát triển</w:t>
      </w:r>
      <w:r w:rsidR="00DE304A" w:rsidRPr="00231FC8">
        <w:rPr>
          <w:rFonts w:ascii="Times New Roman" w:hAnsi="Times New Roman" w:cs="Times New Roman"/>
          <w:color w:val="000000"/>
          <w:sz w:val="28"/>
          <w:szCs w:val="28"/>
        </w:rPr>
        <w:t xml:space="preserve">: </w:t>
      </w:r>
    </w:p>
    <w:p w14:paraId="5F147B79" w14:textId="77777777" w:rsidR="00510CD5" w:rsidRPr="00510CD5" w:rsidRDefault="00510CD5" w:rsidP="005C414E">
      <w:pPr>
        <w:spacing w:before="120" w:after="0" w:line="288" w:lineRule="auto"/>
        <w:ind w:firstLine="567"/>
        <w:jc w:val="both"/>
        <w:rPr>
          <w:rFonts w:ascii="Times New Roman" w:eastAsia="Calibri" w:hAnsi="Times New Roman" w:cs="Times New Roman"/>
          <w:sz w:val="28"/>
          <w:szCs w:val="28"/>
        </w:rPr>
      </w:pPr>
      <w:r w:rsidRPr="00510CD5">
        <w:rPr>
          <w:rFonts w:ascii="Times New Roman" w:eastAsia="Calibri" w:hAnsi="Times New Roman" w:cs="Times New Roman"/>
          <w:sz w:val="28"/>
          <w:szCs w:val="28"/>
        </w:rPr>
        <w:t xml:space="preserve">Lãnh đạo PTN cam </w:t>
      </w:r>
      <w:bookmarkStart w:id="0" w:name="_GoBack"/>
      <w:bookmarkEnd w:id="0"/>
      <w:r w:rsidRPr="00510CD5">
        <w:rPr>
          <w:rFonts w:ascii="Times New Roman" w:eastAsia="Calibri" w:hAnsi="Times New Roman" w:cs="Times New Roman"/>
          <w:sz w:val="28"/>
          <w:szCs w:val="28"/>
        </w:rPr>
        <w:t>kết rằng, hoạt động thí nghiệm của PTN, trong mọi trường hợp luôn luôn được thực hiện một cách khách quan, chịu trách nhiệm trước Lãnh đạo Trung tâm, khách hàng, cơ quan có thẩm quyền và các lợi ích liên quan khác về tính khách quan của hoạt động thí nghiệm của mình. Và nó được quy định trong Quy định đảm bào tính khách quan trong hoạt động thử nghiệm QĐ.02</w:t>
      </w:r>
    </w:p>
    <w:p w14:paraId="2FD1BF2E" w14:textId="0F832E5A" w:rsidR="00510CD5" w:rsidRPr="00510CD5" w:rsidRDefault="00510CD5" w:rsidP="00510CD5">
      <w:pPr>
        <w:spacing w:before="120" w:after="0" w:line="276" w:lineRule="auto"/>
        <w:ind w:firstLine="680"/>
        <w:jc w:val="both"/>
        <w:rPr>
          <w:rFonts w:ascii="Times New Roman" w:eastAsia="Calibri" w:hAnsi="Times New Roman" w:cs="Times New Roman"/>
          <w:sz w:val="28"/>
          <w:szCs w:val="28"/>
        </w:rPr>
      </w:pPr>
      <w:r w:rsidRPr="00510CD5">
        <w:rPr>
          <w:rFonts w:ascii="Times New Roman" w:eastAsia="Calibri" w:hAnsi="Times New Roman" w:cs="Times New Roman"/>
          <w:sz w:val="28"/>
          <w:szCs w:val="28"/>
        </w:rPr>
        <w:t>Tính khách quan trong hoạt động thí nghiệm của PTN được đảm bảo bởi CHÍNH SÁCH CHẤT LƯỢNG của Trung tâm. CHÍNH SÁCH CHẤT LƯỢNG của Trung tâm cụ thể như sau:</w:t>
      </w:r>
    </w:p>
    <w:p w14:paraId="1CA0029B" w14:textId="77777777" w:rsidR="00510CD5" w:rsidRPr="00510CD5" w:rsidRDefault="00510CD5" w:rsidP="00510CD5">
      <w:pPr>
        <w:spacing w:before="120" w:after="0" w:line="276" w:lineRule="auto"/>
        <w:ind w:firstLine="680"/>
        <w:jc w:val="both"/>
        <w:rPr>
          <w:rFonts w:ascii="Times New Roman" w:eastAsia="Calibri" w:hAnsi="Times New Roman" w:cs="Times New Roman"/>
          <w:sz w:val="28"/>
          <w:szCs w:val="28"/>
        </w:rPr>
      </w:pPr>
      <w:r w:rsidRPr="00510CD5">
        <w:rPr>
          <w:rFonts w:ascii="Times New Roman" w:eastAsia="Calibri" w:hAnsi="Times New Roman" w:cs="Times New Roman"/>
          <w:sz w:val="28"/>
          <w:szCs w:val="28"/>
        </w:rPr>
        <w:t>Trung tâm cam kết:</w:t>
      </w:r>
    </w:p>
    <w:p w14:paraId="4190C54E" w14:textId="77777777" w:rsidR="00510CD5" w:rsidRPr="00510CD5" w:rsidRDefault="00510CD5" w:rsidP="00510CD5">
      <w:pPr>
        <w:numPr>
          <w:ilvl w:val="0"/>
          <w:numId w:val="5"/>
        </w:numPr>
        <w:spacing w:before="120" w:after="0" w:line="276" w:lineRule="auto"/>
        <w:contextualSpacing/>
        <w:jc w:val="both"/>
        <w:rPr>
          <w:rFonts w:ascii="Times New Roman" w:eastAsia="Calibri" w:hAnsi="Times New Roman" w:cs="Times New Roman"/>
          <w:sz w:val="28"/>
          <w:szCs w:val="28"/>
        </w:rPr>
      </w:pPr>
      <w:r w:rsidRPr="00510CD5">
        <w:rPr>
          <w:rFonts w:ascii="Times New Roman" w:eastAsia="Calibri" w:hAnsi="Times New Roman" w:cs="Times New Roman"/>
          <w:sz w:val="28"/>
          <w:szCs w:val="28"/>
        </w:rPr>
        <w:t>Tìm hiểu kỹ nhu cẩu của khách hàng để đảm bảo sản phẩm mà Trung tâm cung ứng luôn được đáp ứng;</w:t>
      </w:r>
    </w:p>
    <w:p w14:paraId="69EE28BC" w14:textId="77777777" w:rsidR="00510CD5" w:rsidRPr="00510CD5" w:rsidRDefault="00510CD5" w:rsidP="00510CD5">
      <w:pPr>
        <w:numPr>
          <w:ilvl w:val="0"/>
          <w:numId w:val="5"/>
        </w:numPr>
        <w:spacing w:before="120" w:after="0" w:line="276" w:lineRule="auto"/>
        <w:contextualSpacing/>
        <w:jc w:val="both"/>
        <w:rPr>
          <w:rFonts w:ascii="Times New Roman" w:eastAsia="Calibri" w:hAnsi="Times New Roman" w:cs="Times New Roman"/>
          <w:sz w:val="28"/>
          <w:szCs w:val="28"/>
        </w:rPr>
      </w:pPr>
      <w:r w:rsidRPr="00510CD5">
        <w:rPr>
          <w:rFonts w:ascii="Times New Roman" w:eastAsia="Calibri" w:hAnsi="Times New Roman" w:cs="Times New Roman"/>
          <w:sz w:val="28"/>
          <w:szCs w:val="28"/>
        </w:rPr>
        <w:t>Tổ chức giáo dục, đào tạo để nâng cao năng lực, trình độ chuyên môn, tạo phong cách chuyên nghiệp cho CNV, để cho CNV hiểu rằng chất lượng là lương tâm, trách nhiệm của mỗi người, là điều kiện để Trung tâm phát triển;</w:t>
      </w:r>
    </w:p>
    <w:p w14:paraId="709DA79C" w14:textId="77777777" w:rsidR="00510CD5" w:rsidRPr="00510CD5" w:rsidRDefault="00510CD5" w:rsidP="00510CD5">
      <w:pPr>
        <w:numPr>
          <w:ilvl w:val="0"/>
          <w:numId w:val="5"/>
        </w:numPr>
        <w:spacing w:before="120" w:after="0" w:line="276" w:lineRule="auto"/>
        <w:contextualSpacing/>
        <w:jc w:val="both"/>
        <w:rPr>
          <w:rFonts w:ascii="Times New Roman" w:eastAsia="Calibri" w:hAnsi="Times New Roman" w:cs="Times New Roman"/>
          <w:sz w:val="28"/>
          <w:szCs w:val="28"/>
        </w:rPr>
      </w:pPr>
      <w:r w:rsidRPr="00510CD5">
        <w:rPr>
          <w:rFonts w:ascii="Times New Roman" w:eastAsia="Calibri" w:hAnsi="Times New Roman" w:cs="Times New Roman"/>
          <w:sz w:val="28"/>
          <w:szCs w:val="28"/>
        </w:rPr>
        <w:t>Lãnh đạo Trung tâm cam kết tạo mọi điều kiện, cung cấp nguồn lực cho việc vận hành hệ thống quản lý chất lượng ISO/IEC 17025: 2017 tại phòng thí nghiệm;</w:t>
      </w:r>
    </w:p>
    <w:p w14:paraId="6B33FA6A" w14:textId="77777777" w:rsidR="00510CD5" w:rsidRPr="00510CD5" w:rsidRDefault="00510CD5" w:rsidP="00510CD5">
      <w:pPr>
        <w:numPr>
          <w:ilvl w:val="0"/>
          <w:numId w:val="5"/>
        </w:numPr>
        <w:spacing w:before="120" w:after="0" w:line="276" w:lineRule="auto"/>
        <w:contextualSpacing/>
        <w:jc w:val="both"/>
        <w:rPr>
          <w:rFonts w:ascii="Times New Roman" w:eastAsia="Calibri" w:hAnsi="Times New Roman" w:cs="Times New Roman"/>
          <w:sz w:val="28"/>
          <w:szCs w:val="28"/>
        </w:rPr>
      </w:pPr>
      <w:r w:rsidRPr="00510CD5">
        <w:rPr>
          <w:rFonts w:ascii="Times New Roman" w:eastAsia="Calibri" w:hAnsi="Times New Roman" w:cs="Times New Roman"/>
          <w:sz w:val="28"/>
          <w:szCs w:val="28"/>
        </w:rPr>
        <w:t>Duy trì và không ngừng cải tiến HTQLCL một cách có hiệu quả dựa trên cơ sở tham gia của tất cả CNV và trên nền tảng của ISO/IEC 17025: 2017.</w:t>
      </w:r>
    </w:p>
    <w:p w14:paraId="441AA054" w14:textId="2F3D3656" w:rsidR="00510CD5" w:rsidRPr="00510CD5" w:rsidRDefault="00510CD5" w:rsidP="00510CD5">
      <w:pPr>
        <w:spacing w:before="120" w:after="0" w:line="276" w:lineRule="auto"/>
        <w:ind w:firstLine="680"/>
        <w:jc w:val="both"/>
        <w:rPr>
          <w:rFonts w:ascii="Times New Roman" w:eastAsia="Calibri" w:hAnsi="Times New Roman" w:cs="Times New Roman"/>
          <w:sz w:val="28"/>
          <w:szCs w:val="28"/>
        </w:rPr>
      </w:pPr>
      <w:r w:rsidRPr="00510CD5">
        <w:rPr>
          <w:rFonts w:ascii="Times New Roman" w:eastAsia="Calibri" w:hAnsi="Times New Roman" w:cs="Times New Roman"/>
          <w:sz w:val="28"/>
          <w:szCs w:val="28"/>
        </w:rPr>
        <w:t>Các rủi ro đối với tính khách quan của PTN có thể nảy sinh từ các hoạt động; từ các mối quan hệ của PTN hoặc từ các mối quan hệ của nhân sự PTN (quyền sở hữu, sự điều hành, quản lý, nhân sự, chia sẻ nguồn lực, tài chính, hợp đồng, marketing, chi trả hoa hồng hay chi trả khác cho việc giới thiệu khách hàng mới, ...) được nhận diện một cách liên tục thông qua việc giao quyền, phân công công việc và chính sách về thu nhập và quyền lợi khác của cán bộ, nhân viên trong Trung tâm</w:t>
      </w:r>
    </w:p>
    <w:p w14:paraId="4F6FA80A" w14:textId="27650B0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lastRenderedPageBreak/>
        <w:t>b) Mục tiêu phát triển</w:t>
      </w:r>
      <w:r w:rsidR="00510CD5" w:rsidRPr="00231FC8">
        <w:rPr>
          <w:rFonts w:ascii="Times New Roman" w:hAnsi="Times New Roman" w:cs="Times New Roman"/>
          <w:color w:val="000000"/>
          <w:sz w:val="28"/>
          <w:szCs w:val="28"/>
        </w:rPr>
        <w:t>:</w:t>
      </w:r>
    </w:p>
    <w:p w14:paraId="2E68B9FB" w14:textId="2D07AA63" w:rsidR="00510CD5" w:rsidRPr="00510CD5" w:rsidRDefault="00510CD5" w:rsidP="00510CD5">
      <w:pPr>
        <w:spacing w:before="120" w:after="0" w:line="276" w:lineRule="auto"/>
        <w:ind w:firstLine="680"/>
        <w:jc w:val="both"/>
        <w:rPr>
          <w:rFonts w:ascii="Times New Roman" w:eastAsia="Calibri" w:hAnsi="Times New Roman" w:cs="Times New Roman"/>
          <w:sz w:val="28"/>
          <w:szCs w:val="28"/>
        </w:rPr>
      </w:pPr>
      <w:r w:rsidRPr="00231FC8">
        <w:rPr>
          <w:rFonts w:ascii="Times New Roman" w:eastAsia="Calibri" w:hAnsi="Times New Roman" w:cs="Times New Roman"/>
          <w:sz w:val="28"/>
          <w:szCs w:val="28"/>
        </w:rPr>
        <w:t xml:space="preserve">- </w:t>
      </w:r>
      <w:r w:rsidRPr="00510CD5">
        <w:rPr>
          <w:rFonts w:ascii="Times New Roman" w:eastAsia="Calibri" w:hAnsi="Times New Roman" w:cs="Times New Roman"/>
          <w:sz w:val="28"/>
          <w:szCs w:val="28"/>
        </w:rPr>
        <w:t>Nghiên cứu khoa học, chuyển giao công nghệ trong các lĩnh vực tư vấn thiết kế, giám sát, thi công, thí nghiệm và kiểm định chất lượng công trình.</w:t>
      </w:r>
    </w:p>
    <w:p w14:paraId="02B39134" w14:textId="5B10B374" w:rsidR="00510CD5" w:rsidRPr="00510CD5" w:rsidRDefault="00510CD5" w:rsidP="00510CD5">
      <w:pPr>
        <w:spacing w:before="120" w:after="0" w:line="276" w:lineRule="auto"/>
        <w:ind w:firstLine="680"/>
        <w:jc w:val="both"/>
        <w:rPr>
          <w:rFonts w:ascii="Times New Roman" w:eastAsia="Calibri" w:hAnsi="Times New Roman" w:cs="Times New Roman"/>
          <w:sz w:val="28"/>
          <w:szCs w:val="28"/>
        </w:rPr>
      </w:pPr>
      <w:r w:rsidRPr="00231FC8">
        <w:rPr>
          <w:rFonts w:ascii="Times New Roman" w:eastAsia="Calibri" w:hAnsi="Times New Roman" w:cs="Times New Roman"/>
          <w:sz w:val="28"/>
          <w:szCs w:val="28"/>
        </w:rPr>
        <w:t xml:space="preserve">- </w:t>
      </w:r>
      <w:r w:rsidRPr="00510CD5">
        <w:rPr>
          <w:rFonts w:ascii="Times New Roman" w:eastAsia="Calibri" w:hAnsi="Times New Roman" w:cs="Times New Roman"/>
          <w:sz w:val="28"/>
          <w:szCs w:val="28"/>
        </w:rPr>
        <w:t xml:space="preserve">Thực hiện thí nghiệm vật liệu và kiểm định chất lượng công trình: </w:t>
      </w:r>
    </w:p>
    <w:p w14:paraId="3DD62227" w14:textId="47FFCB66" w:rsidR="00510CD5" w:rsidRPr="00231FC8" w:rsidRDefault="00510CD5" w:rsidP="00510CD5">
      <w:pPr>
        <w:pStyle w:val="ListParagraph"/>
        <w:numPr>
          <w:ilvl w:val="2"/>
          <w:numId w:val="7"/>
        </w:numPr>
        <w:spacing w:before="120" w:after="0" w:line="276" w:lineRule="auto"/>
        <w:ind w:left="1418"/>
        <w:jc w:val="both"/>
        <w:rPr>
          <w:rFonts w:ascii="Times New Roman" w:eastAsia="Calibri" w:hAnsi="Times New Roman" w:cs="Times New Roman"/>
          <w:sz w:val="28"/>
          <w:szCs w:val="28"/>
        </w:rPr>
      </w:pPr>
      <w:r w:rsidRPr="00231FC8">
        <w:rPr>
          <w:rFonts w:ascii="Times New Roman" w:eastAsia="Calibri" w:hAnsi="Times New Roman" w:cs="Times New Roman"/>
          <w:sz w:val="28"/>
          <w:szCs w:val="28"/>
        </w:rPr>
        <w:t xml:space="preserve">Thí nghiệm, kiểm nghiệm hệ thống nối đất, cáp điện </w:t>
      </w:r>
      <w:proofErr w:type="gramStart"/>
      <w:r w:rsidRPr="00231FC8">
        <w:rPr>
          <w:rFonts w:ascii="Times New Roman" w:eastAsia="Calibri" w:hAnsi="Times New Roman" w:cs="Times New Roman"/>
          <w:sz w:val="28"/>
          <w:szCs w:val="28"/>
        </w:rPr>
        <w:t>lực,…</w:t>
      </w:r>
      <w:proofErr w:type="gramEnd"/>
    </w:p>
    <w:p w14:paraId="5AE8F6BA" w14:textId="06FF2CC1" w:rsidR="00510CD5" w:rsidRPr="00231FC8" w:rsidRDefault="00510CD5" w:rsidP="00510CD5">
      <w:pPr>
        <w:pStyle w:val="ListParagraph"/>
        <w:numPr>
          <w:ilvl w:val="2"/>
          <w:numId w:val="7"/>
        </w:numPr>
        <w:spacing w:before="120" w:after="0" w:line="276" w:lineRule="auto"/>
        <w:ind w:left="1418"/>
        <w:jc w:val="both"/>
        <w:rPr>
          <w:rFonts w:ascii="Times New Roman" w:eastAsia="Calibri" w:hAnsi="Times New Roman" w:cs="Times New Roman"/>
          <w:sz w:val="28"/>
          <w:szCs w:val="28"/>
        </w:rPr>
      </w:pPr>
      <w:r w:rsidRPr="00231FC8">
        <w:rPr>
          <w:rFonts w:ascii="Times New Roman" w:eastAsia="Calibri" w:hAnsi="Times New Roman" w:cs="Times New Roman"/>
          <w:sz w:val="28"/>
          <w:szCs w:val="28"/>
        </w:rPr>
        <w:t>Kiểm tra và chứng nhận sự phù hợp về chất lượng công trình xây dựng.</w:t>
      </w:r>
    </w:p>
    <w:p w14:paraId="364E3621" w14:textId="47F1857C" w:rsidR="00510CD5" w:rsidRPr="00231FC8" w:rsidRDefault="00510CD5" w:rsidP="00510CD5">
      <w:pPr>
        <w:pStyle w:val="ListParagraph"/>
        <w:numPr>
          <w:ilvl w:val="2"/>
          <w:numId w:val="7"/>
        </w:numPr>
        <w:spacing w:before="120" w:after="0" w:line="276" w:lineRule="auto"/>
        <w:ind w:left="1418"/>
        <w:jc w:val="both"/>
        <w:rPr>
          <w:rFonts w:ascii="Times New Roman" w:eastAsia="Calibri" w:hAnsi="Times New Roman" w:cs="Times New Roman"/>
          <w:sz w:val="28"/>
          <w:szCs w:val="28"/>
        </w:rPr>
      </w:pPr>
      <w:r w:rsidRPr="00231FC8">
        <w:rPr>
          <w:rFonts w:ascii="Times New Roman" w:eastAsia="Calibri" w:hAnsi="Times New Roman" w:cs="Times New Roman"/>
          <w:sz w:val="28"/>
          <w:szCs w:val="28"/>
        </w:rPr>
        <w:t>Kiểm định các cấu kiện xây dựng và chất lượng thi công xây dựng công trình dân dụng, công nghiệp, giao thông, thủy lợi và các công trình hạ tầng kỹ thuật khác từ khi khởi công xây dựng công trình đến khi hoàn thành đưa vào sử dụng theo quy định của Pháp luật.</w:t>
      </w:r>
    </w:p>
    <w:p w14:paraId="717F73CA" w14:textId="20C7EC20" w:rsidR="00510CD5" w:rsidRPr="00231FC8" w:rsidRDefault="00510CD5" w:rsidP="00510CD5">
      <w:pPr>
        <w:pStyle w:val="ListParagraph"/>
        <w:numPr>
          <w:ilvl w:val="2"/>
          <w:numId w:val="7"/>
        </w:numPr>
        <w:spacing w:before="120" w:after="0" w:line="276" w:lineRule="auto"/>
        <w:ind w:left="1418"/>
        <w:jc w:val="both"/>
        <w:rPr>
          <w:rFonts w:ascii="Times New Roman" w:eastAsia="Calibri" w:hAnsi="Times New Roman" w:cs="Times New Roman"/>
          <w:sz w:val="28"/>
          <w:szCs w:val="28"/>
        </w:rPr>
      </w:pPr>
      <w:r w:rsidRPr="00231FC8">
        <w:rPr>
          <w:rFonts w:ascii="Times New Roman" w:eastAsia="Calibri" w:hAnsi="Times New Roman" w:cs="Times New Roman"/>
          <w:sz w:val="28"/>
          <w:szCs w:val="28"/>
        </w:rPr>
        <w:t>Kiểm định và đánh giá chất lượng công trình xây dựng mới, công trình đã đưa vào sử dụng, công trình sửa chữa, cải tạo nâng cấp, các công trình cần chuyển đổi mục đích sử dụng hoặc thanh lý, các thiết bị nội thất, xác định các nguyên nhân hư hỏng, đề xuất biện pháp sửa chữa.</w:t>
      </w:r>
    </w:p>
    <w:p w14:paraId="418A0A7D" w14:textId="10508B96" w:rsidR="00510CD5" w:rsidRPr="00231FC8" w:rsidRDefault="00510CD5" w:rsidP="00510CD5">
      <w:pPr>
        <w:pStyle w:val="ListParagraph"/>
        <w:numPr>
          <w:ilvl w:val="2"/>
          <w:numId w:val="7"/>
        </w:numPr>
        <w:spacing w:before="120" w:after="0" w:line="276" w:lineRule="auto"/>
        <w:ind w:left="1418"/>
        <w:jc w:val="both"/>
        <w:rPr>
          <w:rFonts w:ascii="Times New Roman" w:eastAsia="Calibri" w:hAnsi="Times New Roman" w:cs="Times New Roman"/>
          <w:sz w:val="28"/>
          <w:szCs w:val="28"/>
        </w:rPr>
      </w:pPr>
      <w:r w:rsidRPr="00231FC8">
        <w:rPr>
          <w:rFonts w:ascii="Times New Roman" w:eastAsia="Calibri" w:hAnsi="Times New Roman" w:cs="Times New Roman"/>
          <w:sz w:val="28"/>
          <w:szCs w:val="28"/>
        </w:rPr>
        <w:t xml:space="preserve">Thí nghiệm kiểm định chất lượng vật liệu xây dựng, xác định các chỉ tiêu cơ lý, hóa học của các mẫu vật tư, vật liệu như: đất, gạch, cát, xi măng, thép, bê </w:t>
      </w:r>
      <w:proofErr w:type="gramStart"/>
      <w:r w:rsidRPr="00231FC8">
        <w:rPr>
          <w:rFonts w:ascii="Times New Roman" w:eastAsia="Calibri" w:hAnsi="Times New Roman" w:cs="Times New Roman"/>
          <w:sz w:val="28"/>
          <w:szCs w:val="28"/>
        </w:rPr>
        <w:t>tông,…</w:t>
      </w:r>
      <w:proofErr w:type="gramEnd"/>
    </w:p>
    <w:p w14:paraId="67C12BDC" w14:textId="53C966C8" w:rsidR="00510CD5" w:rsidRPr="00510CD5" w:rsidRDefault="00510CD5" w:rsidP="00510CD5">
      <w:pPr>
        <w:spacing w:before="120" w:after="0" w:line="276" w:lineRule="auto"/>
        <w:ind w:firstLine="680"/>
        <w:jc w:val="both"/>
        <w:rPr>
          <w:rFonts w:ascii="Times New Roman" w:eastAsia="Calibri" w:hAnsi="Times New Roman" w:cs="Times New Roman"/>
          <w:sz w:val="28"/>
          <w:szCs w:val="28"/>
        </w:rPr>
      </w:pPr>
      <w:r w:rsidRPr="00231FC8">
        <w:rPr>
          <w:rFonts w:ascii="Times New Roman" w:eastAsia="Calibri" w:hAnsi="Times New Roman" w:cs="Times New Roman"/>
          <w:sz w:val="28"/>
          <w:szCs w:val="28"/>
        </w:rPr>
        <w:t xml:space="preserve">- </w:t>
      </w:r>
      <w:r w:rsidRPr="00510CD5">
        <w:rPr>
          <w:rFonts w:ascii="Times New Roman" w:eastAsia="Calibri" w:hAnsi="Times New Roman" w:cs="Times New Roman"/>
          <w:sz w:val="28"/>
          <w:szCs w:val="28"/>
        </w:rPr>
        <w:t>Thực hiện khảo sát địa chất công trình, địa chất thủy văn.</w:t>
      </w:r>
    </w:p>
    <w:p w14:paraId="78BC7794" w14:textId="2F0D0B39" w:rsidR="00510CD5" w:rsidRPr="00510CD5" w:rsidRDefault="00510CD5" w:rsidP="00510CD5">
      <w:pPr>
        <w:spacing w:before="120" w:after="0" w:line="276" w:lineRule="auto"/>
        <w:ind w:firstLine="680"/>
        <w:jc w:val="both"/>
        <w:rPr>
          <w:rFonts w:ascii="Times New Roman" w:eastAsia="Calibri" w:hAnsi="Times New Roman" w:cs="Times New Roman"/>
          <w:sz w:val="28"/>
          <w:szCs w:val="28"/>
        </w:rPr>
      </w:pPr>
      <w:r w:rsidRPr="00231FC8">
        <w:rPr>
          <w:rFonts w:ascii="Times New Roman" w:eastAsia="Calibri" w:hAnsi="Times New Roman" w:cs="Times New Roman"/>
          <w:sz w:val="28"/>
          <w:szCs w:val="28"/>
        </w:rPr>
        <w:t xml:space="preserve">- </w:t>
      </w:r>
      <w:r w:rsidRPr="00510CD5">
        <w:rPr>
          <w:rFonts w:ascii="Times New Roman" w:eastAsia="Calibri" w:hAnsi="Times New Roman" w:cs="Times New Roman"/>
          <w:sz w:val="28"/>
          <w:szCs w:val="28"/>
        </w:rPr>
        <w:t>Thực hiện tư vấn xây dựng: quản lý dự án, thiết kế, giám sát và thi công xây dựng công trình dân dụng và công nghiệp, công trình điện.</w:t>
      </w:r>
    </w:p>
    <w:p w14:paraId="0E4CDAB0" w14:textId="3A176BEB"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Từ quan điểm, mục tiêu, nguyên tắc lập quy hoạch tại Quyết định số</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279/QĐ-TTg, nêu những nội dung cụ thể hóa, đặc thù của đơn vị về quan đi</w:t>
      </w:r>
      <w:r w:rsidR="00694138" w:rsidRPr="00231FC8">
        <w:rPr>
          <w:rFonts w:ascii="Times New Roman" w:hAnsi="Times New Roman" w:cs="Times New Roman"/>
          <w:color w:val="000000"/>
          <w:sz w:val="28"/>
          <w:szCs w:val="28"/>
        </w:rPr>
        <w:t>ể</w:t>
      </w:r>
      <w:r w:rsidRPr="00231FC8">
        <w:rPr>
          <w:rFonts w:ascii="Times New Roman" w:hAnsi="Times New Roman" w:cs="Times New Roman"/>
          <w:color w:val="000000"/>
          <w:sz w:val="28"/>
          <w:szCs w:val="28"/>
        </w:rPr>
        <w:t>m</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phát triển, mục tiêu phát triển các tổ chức KH&amp;CN trong thời kỳ quy hoạch.</w:t>
      </w:r>
    </w:p>
    <w:p w14:paraId="356E511A" w14:textId="0B292961" w:rsidR="00FD55DB" w:rsidRPr="00231FC8" w:rsidRDefault="00FD55DB" w:rsidP="00FD55DB">
      <w:pPr>
        <w:spacing w:before="120" w:after="0" w:line="288" w:lineRule="auto"/>
        <w:jc w:val="both"/>
        <w:rPr>
          <w:rFonts w:ascii="Times New Roman" w:hAnsi="Times New Roman" w:cs="Times New Roman"/>
          <w:b/>
          <w:bCs/>
          <w:i/>
          <w:iCs/>
          <w:color w:val="000000"/>
          <w:sz w:val="28"/>
          <w:szCs w:val="28"/>
        </w:rPr>
      </w:pPr>
      <w:r w:rsidRPr="00231FC8">
        <w:rPr>
          <w:rFonts w:ascii="Times New Roman" w:hAnsi="Times New Roman" w:cs="Times New Roman"/>
          <w:b/>
          <w:bCs/>
          <w:i/>
          <w:iCs/>
          <w:color w:val="000000"/>
          <w:sz w:val="28"/>
          <w:szCs w:val="28"/>
        </w:rPr>
        <w:t>3.2. Phương án phá</w:t>
      </w:r>
      <w:r w:rsidR="00694138" w:rsidRPr="00231FC8">
        <w:rPr>
          <w:rFonts w:ascii="Times New Roman" w:hAnsi="Times New Roman" w:cs="Times New Roman"/>
          <w:b/>
          <w:bCs/>
          <w:i/>
          <w:iCs/>
          <w:color w:val="000000"/>
          <w:sz w:val="28"/>
          <w:szCs w:val="28"/>
        </w:rPr>
        <w:t>t</w:t>
      </w:r>
      <w:r w:rsidRPr="00231FC8">
        <w:rPr>
          <w:rFonts w:ascii="Times New Roman" w:hAnsi="Times New Roman" w:cs="Times New Roman"/>
          <w:b/>
          <w:bCs/>
          <w:i/>
          <w:iCs/>
          <w:color w:val="000000"/>
          <w:sz w:val="28"/>
          <w:szCs w:val="28"/>
        </w:rPr>
        <w:t xml:space="preserve"> triển t</w:t>
      </w:r>
      <w:r w:rsidR="00694138" w:rsidRPr="00231FC8">
        <w:rPr>
          <w:rFonts w:ascii="Times New Roman" w:hAnsi="Times New Roman" w:cs="Times New Roman"/>
          <w:b/>
          <w:bCs/>
          <w:i/>
          <w:iCs/>
          <w:color w:val="000000"/>
          <w:sz w:val="28"/>
          <w:szCs w:val="28"/>
        </w:rPr>
        <w:t>ổ</w:t>
      </w:r>
      <w:r w:rsidRPr="00231FC8">
        <w:rPr>
          <w:rFonts w:ascii="Times New Roman" w:hAnsi="Times New Roman" w:cs="Times New Roman"/>
          <w:b/>
          <w:bCs/>
          <w:i/>
          <w:iCs/>
          <w:color w:val="000000"/>
          <w:sz w:val="28"/>
          <w:szCs w:val="28"/>
        </w:rPr>
        <w:t xml:space="preserve"> chức KH&amp;CN công lập</w:t>
      </w:r>
    </w:p>
    <w:p w14:paraId="41A6D60B" w14:textId="07F3DD35"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Phương án phát triển các tổ chức KH&amp;CN công lập được phân kỳ theo hai</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giai đoạ</w:t>
      </w:r>
      <w:r w:rsidR="00E06AF1" w:rsidRPr="00231FC8">
        <w:rPr>
          <w:rFonts w:ascii="Times New Roman" w:hAnsi="Times New Roman" w:cs="Times New Roman"/>
          <w:color w:val="000000"/>
          <w:sz w:val="28"/>
          <w:szCs w:val="28"/>
        </w:rPr>
        <w:t>n: 2021-2030, 203</w:t>
      </w:r>
      <w:r w:rsidRPr="00231FC8">
        <w:rPr>
          <w:rFonts w:ascii="Times New Roman" w:hAnsi="Times New Roman" w:cs="Times New Roman"/>
          <w:color w:val="000000"/>
          <w:sz w:val="28"/>
          <w:szCs w:val="28"/>
        </w:rPr>
        <w:t>1-2050. Cụ thể như sau:</w:t>
      </w:r>
    </w:p>
    <w:p w14:paraId="25CD86F4" w14:textId="08410E8D"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a) Phương án quy hoạch cấu trúc các tổ chức KH&amp;CN: về tăng, giảm số</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lượng tổ chức; về điều chỉnh quy mô các tổ chức; về điều chỉnh chức năng, nhiệm</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vụ, vị trí pháp lý của các tổ chức; về nâng cao tính tự chủ, tự chịu trách nhiệm của</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các t</w:t>
      </w:r>
      <w:r w:rsidR="00694138" w:rsidRPr="00231FC8">
        <w:rPr>
          <w:rFonts w:ascii="Times New Roman" w:hAnsi="Times New Roman" w:cs="Times New Roman"/>
          <w:color w:val="000000"/>
          <w:sz w:val="28"/>
          <w:szCs w:val="28"/>
        </w:rPr>
        <w:t>ổ</w:t>
      </w:r>
      <w:r w:rsidRPr="00231FC8">
        <w:rPr>
          <w:rFonts w:ascii="Times New Roman" w:hAnsi="Times New Roman" w:cs="Times New Roman"/>
          <w:color w:val="000000"/>
          <w:sz w:val="28"/>
          <w:szCs w:val="28"/>
        </w:rPr>
        <w:t xml:space="preserve"> chức KH&amp;CN công lập; ... Báo cáo phương án quy hoạch của các tổ </w:t>
      </w:r>
      <w:r w:rsidR="00694138" w:rsidRPr="00231FC8">
        <w:rPr>
          <w:rFonts w:ascii="Times New Roman" w:hAnsi="Times New Roman" w:cs="Times New Roman"/>
          <w:color w:val="000000"/>
          <w:sz w:val="28"/>
          <w:szCs w:val="28"/>
        </w:rPr>
        <w:t xml:space="preserve">chức </w:t>
      </w:r>
      <w:r w:rsidRPr="00231FC8">
        <w:rPr>
          <w:rFonts w:ascii="Times New Roman" w:hAnsi="Times New Roman" w:cs="Times New Roman"/>
          <w:color w:val="000000"/>
          <w:sz w:val="28"/>
          <w:szCs w:val="28"/>
        </w:rPr>
        <w:t>KH&amp;CN công lập thuộc đơn vị trong giai đoạn 2021-2030, t</w:t>
      </w:r>
      <w:r w:rsidR="00694138" w:rsidRPr="00231FC8">
        <w:rPr>
          <w:rFonts w:ascii="Times New Roman" w:hAnsi="Times New Roman" w:cs="Times New Roman"/>
          <w:color w:val="000000"/>
          <w:sz w:val="28"/>
          <w:szCs w:val="28"/>
        </w:rPr>
        <w:t>ầ</w:t>
      </w:r>
      <w:r w:rsidRPr="00231FC8">
        <w:rPr>
          <w:rFonts w:ascii="Times New Roman" w:hAnsi="Times New Roman" w:cs="Times New Roman"/>
          <w:color w:val="000000"/>
          <w:sz w:val="28"/>
          <w:szCs w:val="28"/>
        </w:rPr>
        <w:t>m nhìn đến năm</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2050 (Mẫu 7 Phụ lục);</w:t>
      </w:r>
    </w:p>
    <w:p w14:paraId="3615389D" w14:textId="136EAD2D"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b) Phương án đầu tư cơ sở vật chất, nguồn nhân lực để đáp ứng nhu cầu</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phát triên hệ thống t</w:t>
      </w:r>
      <w:r w:rsidR="00694138" w:rsidRPr="00231FC8">
        <w:rPr>
          <w:rFonts w:ascii="Times New Roman" w:hAnsi="Times New Roman" w:cs="Times New Roman"/>
          <w:color w:val="000000"/>
          <w:sz w:val="28"/>
          <w:szCs w:val="28"/>
        </w:rPr>
        <w:t>ổ</w:t>
      </w:r>
      <w:r w:rsidRPr="00231FC8">
        <w:rPr>
          <w:rFonts w:ascii="Times New Roman" w:hAnsi="Times New Roman" w:cs="Times New Roman"/>
          <w:color w:val="000000"/>
          <w:sz w:val="28"/>
          <w:szCs w:val="28"/>
        </w:rPr>
        <w:t xml:space="preserve"> chức KH&amp;CN.</w:t>
      </w:r>
    </w:p>
    <w:p w14:paraId="3ECF1961" w14:textId="327CC4AE"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lastRenderedPageBreak/>
        <w:t>c) Định hướng phân bố không gian các tổ chức KH&amp;CN. Báo cáo định</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hướng phân bố không gian của các tổ chức KH&amp;CN công lập thuộc đơn vị giai</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đoạn 2021-2030 t</w:t>
      </w:r>
      <w:r w:rsidR="00694138" w:rsidRPr="00231FC8">
        <w:rPr>
          <w:rFonts w:ascii="Times New Roman" w:hAnsi="Times New Roman" w:cs="Times New Roman"/>
          <w:color w:val="000000"/>
          <w:sz w:val="28"/>
          <w:szCs w:val="28"/>
        </w:rPr>
        <w:t>ầ</w:t>
      </w:r>
      <w:r w:rsidRPr="00231FC8">
        <w:rPr>
          <w:rFonts w:ascii="Times New Roman" w:hAnsi="Times New Roman" w:cs="Times New Roman"/>
          <w:color w:val="000000"/>
          <w:sz w:val="28"/>
          <w:szCs w:val="28"/>
        </w:rPr>
        <w:t>m nhìn đến năm 2050 (Mẫu 8 Phụ lục);</w:t>
      </w:r>
    </w:p>
    <w:p w14:paraId="31EA262F" w14:textId="6801654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d) Phương án bố trí sử dụng đất cho phát triển các tổ chức KH&amp;CN và các</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 xml:space="preserve">hoạt động KH&amp;CN. Báo cáo phương án quy hoạch bố trí sử dụng đất của các </w:t>
      </w:r>
      <w:r w:rsidR="00694138" w:rsidRPr="00231FC8">
        <w:rPr>
          <w:rFonts w:ascii="Times New Roman" w:hAnsi="Times New Roman" w:cs="Times New Roman"/>
          <w:color w:val="000000"/>
          <w:sz w:val="28"/>
          <w:szCs w:val="28"/>
        </w:rPr>
        <w:t>t</w:t>
      </w:r>
      <w:r w:rsidRPr="00231FC8">
        <w:rPr>
          <w:rFonts w:ascii="Times New Roman" w:hAnsi="Times New Roman" w:cs="Times New Roman"/>
          <w:color w:val="000000"/>
          <w:sz w:val="28"/>
          <w:szCs w:val="28"/>
        </w:rPr>
        <w:t>ổ</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chức KH&amp;CN công lập thuộc đơn vị giai đoạn 2021-2030</w:t>
      </w:r>
      <w:r w:rsidR="00694138" w:rsidRPr="00231FC8">
        <w:rPr>
          <w:rFonts w:ascii="Times New Roman" w:hAnsi="Times New Roman" w:cs="Times New Roman"/>
          <w:color w:val="000000"/>
          <w:sz w:val="28"/>
          <w:szCs w:val="28"/>
        </w:rPr>
        <w:t>,</w:t>
      </w:r>
      <w:r w:rsidRPr="00231FC8">
        <w:rPr>
          <w:rFonts w:ascii="Times New Roman" w:hAnsi="Times New Roman" w:cs="Times New Roman"/>
          <w:color w:val="000000"/>
          <w:sz w:val="28"/>
          <w:szCs w:val="28"/>
        </w:rPr>
        <w:t xml:space="preserve"> t</w:t>
      </w:r>
      <w:r w:rsidR="00694138" w:rsidRPr="00231FC8">
        <w:rPr>
          <w:rFonts w:ascii="Times New Roman" w:hAnsi="Times New Roman" w:cs="Times New Roman"/>
          <w:color w:val="000000"/>
          <w:sz w:val="28"/>
          <w:szCs w:val="28"/>
        </w:rPr>
        <w:t>ầ</w:t>
      </w:r>
      <w:r w:rsidRPr="00231FC8">
        <w:rPr>
          <w:rFonts w:ascii="Times New Roman" w:hAnsi="Times New Roman" w:cs="Times New Roman"/>
          <w:color w:val="000000"/>
          <w:sz w:val="28"/>
          <w:szCs w:val="28"/>
        </w:rPr>
        <w:t>m nhìn đến năm 2050</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(Mẫu 9 Phụ lục);</w:t>
      </w:r>
    </w:p>
    <w:p w14:paraId="4EE54425" w14:textId="31C871C9" w:rsidR="00FD55DB" w:rsidRPr="00231FC8" w:rsidRDefault="00FD55DB" w:rsidP="00FD55DB">
      <w:pPr>
        <w:spacing w:before="120" w:after="0" w:line="288" w:lineRule="auto"/>
        <w:jc w:val="both"/>
        <w:rPr>
          <w:rFonts w:ascii="Times New Roman" w:hAnsi="Times New Roman" w:cs="Times New Roman"/>
          <w:b/>
          <w:bCs/>
          <w:i/>
          <w:iCs/>
          <w:color w:val="000000"/>
          <w:sz w:val="28"/>
          <w:szCs w:val="28"/>
        </w:rPr>
      </w:pPr>
      <w:r w:rsidRPr="00231FC8">
        <w:rPr>
          <w:rFonts w:ascii="Times New Roman" w:hAnsi="Times New Roman" w:cs="Times New Roman"/>
          <w:b/>
          <w:bCs/>
          <w:i/>
          <w:iCs/>
          <w:color w:val="000000"/>
          <w:sz w:val="28"/>
          <w:szCs w:val="28"/>
        </w:rPr>
        <w:t xml:space="preserve">3.3 Đề xuất Danh mục dự án trọng diễm quốc gia, dự </w:t>
      </w:r>
      <w:r w:rsidR="00694138" w:rsidRPr="00231FC8">
        <w:rPr>
          <w:rFonts w:ascii="Times New Roman" w:hAnsi="Times New Roman" w:cs="Times New Roman"/>
          <w:b/>
          <w:bCs/>
          <w:i/>
          <w:iCs/>
          <w:color w:val="000000"/>
          <w:sz w:val="28"/>
          <w:szCs w:val="28"/>
        </w:rPr>
        <w:t>á</w:t>
      </w:r>
      <w:r w:rsidRPr="00231FC8">
        <w:rPr>
          <w:rFonts w:ascii="Times New Roman" w:hAnsi="Times New Roman" w:cs="Times New Roman"/>
          <w:b/>
          <w:bCs/>
          <w:i/>
          <w:iCs/>
          <w:color w:val="000000"/>
          <w:sz w:val="28"/>
          <w:szCs w:val="28"/>
        </w:rPr>
        <w:t xml:space="preserve">n </w:t>
      </w:r>
      <w:r w:rsidR="00694138" w:rsidRPr="00231FC8">
        <w:rPr>
          <w:rFonts w:ascii="Times New Roman" w:hAnsi="Times New Roman" w:cs="Times New Roman"/>
          <w:b/>
          <w:bCs/>
          <w:i/>
          <w:iCs/>
          <w:color w:val="000000"/>
          <w:sz w:val="28"/>
          <w:szCs w:val="28"/>
        </w:rPr>
        <w:t>ưu tiên</w:t>
      </w:r>
      <w:r w:rsidRPr="00231FC8">
        <w:rPr>
          <w:rFonts w:ascii="Times New Roman" w:hAnsi="Times New Roman" w:cs="Times New Roman"/>
          <w:b/>
          <w:bCs/>
          <w:i/>
          <w:iCs/>
          <w:color w:val="000000"/>
          <w:sz w:val="28"/>
          <w:szCs w:val="28"/>
        </w:rPr>
        <w:t xml:space="preserve"> đầu tư</w:t>
      </w:r>
      <w:r w:rsidR="00694138" w:rsidRPr="00231FC8">
        <w:rPr>
          <w:rFonts w:ascii="Times New Roman" w:hAnsi="Times New Roman" w:cs="Times New Roman"/>
          <w:b/>
          <w:bCs/>
          <w:i/>
          <w:iCs/>
          <w:color w:val="000000"/>
          <w:sz w:val="28"/>
          <w:szCs w:val="28"/>
        </w:rPr>
        <w:t xml:space="preserve"> </w:t>
      </w:r>
      <w:r w:rsidRPr="00231FC8">
        <w:rPr>
          <w:rFonts w:ascii="Times New Roman" w:hAnsi="Times New Roman" w:cs="Times New Roman"/>
          <w:b/>
          <w:bCs/>
          <w:i/>
          <w:iCs/>
          <w:color w:val="000000"/>
          <w:sz w:val="28"/>
          <w:szCs w:val="28"/>
        </w:rPr>
        <w:t xml:space="preserve">của ngành và thứ tự </w:t>
      </w:r>
      <w:r w:rsidR="00694138" w:rsidRPr="00231FC8">
        <w:rPr>
          <w:rFonts w:ascii="Times New Roman" w:hAnsi="Times New Roman" w:cs="Times New Roman"/>
          <w:b/>
          <w:bCs/>
          <w:i/>
          <w:iCs/>
          <w:color w:val="000000"/>
          <w:sz w:val="28"/>
          <w:szCs w:val="28"/>
        </w:rPr>
        <w:t>ưu</w:t>
      </w:r>
      <w:r w:rsidRPr="00231FC8">
        <w:rPr>
          <w:rFonts w:ascii="Times New Roman" w:hAnsi="Times New Roman" w:cs="Times New Roman"/>
          <w:b/>
          <w:bCs/>
          <w:i/>
          <w:iCs/>
          <w:color w:val="000000"/>
          <w:sz w:val="28"/>
          <w:szCs w:val="28"/>
        </w:rPr>
        <w:t xml:space="preserve"> tiên thực hiện</w:t>
      </w:r>
    </w:p>
    <w:p w14:paraId="4C741562" w14:textId="7777777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a) Xác định các tiêu chí ưu tiên đầu tư</w:t>
      </w:r>
    </w:p>
    <w:p w14:paraId="72110C16" w14:textId="620A872B"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Các tiêu chí cần bám sát quy định về tiêu chí phân loại dự án quan trọng</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quốc gia (quy định tại Điều 7 Luật Đ</w:t>
      </w:r>
      <w:r w:rsidR="00694138" w:rsidRPr="00231FC8">
        <w:rPr>
          <w:rFonts w:ascii="Times New Roman" w:hAnsi="Times New Roman" w:cs="Times New Roman"/>
          <w:color w:val="000000"/>
          <w:sz w:val="28"/>
          <w:szCs w:val="28"/>
        </w:rPr>
        <w:t>ầ</w:t>
      </w:r>
      <w:r w:rsidRPr="00231FC8">
        <w:rPr>
          <w:rFonts w:ascii="Times New Roman" w:hAnsi="Times New Roman" w:cs="Times New Roman"/>
          <w:color w:val="000000"/>
          <w:sz w:val="28"/>
          <w:szCs w:val="28"/>
        </w:rPr>
        <w:t>u t</w:t>
      </w:r>
      <w:r w:rsidR="00694138" w:rsidRPr="00231FC8">
        <w:rPr>
          <w:rFonts w:ascii="Times New Roman" w:hAnsi="Times New Roman" w:cs="Times New Roman"/>
          <w:color w:val="000000"/>
          <w:sz w:val="28"/>
          <w:szCs w:val="28"/>
        </w:rPr>
        <w:t>ư</w:t>
      </w:r>
      <w:r w:rsidRPr="00231FC8">
        <w:rPr>
          <w:rFonts w:ascii="Times New Roman" w:hAnsi="Times New Roman" w:cs="Times New Roman"/>
          <w:color w:val="000000"/>
          <w:sz w:val="28"/>
          <w:szCs w:val="28"/>
        </w:rPr>
        <w:t xml:space="preserve"> công).</w:t>
      </w:r>
    </w:p>
    <w:p w14:paraId="1309AF77" w14:textId="7777777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b) Đề xuất danh mục các dự án theo thứ tự ưu tiên</w:t>
      </w:r>
    </w:p>
    <w:p w14:paraId="5A616F91" w14:textId="3FB06CB2"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Mỗi dự án mô tả theo các nội dung sau: Tên dự án; Sự cần thiết đầu tư;</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Mục tiêu, quy mô, địa điểm, phạm vi đầu tư và nội dung đầu tư; Dự kiến tổng</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mức đầu tư và cơ cầu nguồn vốn đầu tư; Dự kiến ti</w:t>
      </w:r>
      <w:r w:rsidR="00694138" w:rsidRPr="00231FC8">
        <w:rPr>
          <w:rFonts w:ascii="Times New Roman" w:hAnsi="Times New Roman" w:cs="Times New Roman"/>
          <w:color w:val="000000"/>
          <w:sz w:val="28"/>
          <w:szCs w:val="28"/>
        </w:rPr>
        <w:t>ế</w:t>
      </w:r>
      <w:r w:rsidRPr="00231FC8">
        <w:rPr>
          <w:rFonts w:ascii="Times New Roman" w:hAnsi="Times New Roman" w:cs="Times New Roman"/>
          <w:color w:val="000000"/>
          <w:sz w:val="28"/>
          <w:szCs w:val="28"/>
        </w:rPr>
        <w:t>n độ triển khai thực hiện đầu</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tư, dự kiến kế hoạch b</w:t>
      </w:r>
      <w:r w:rsidR="00694138" w:rsidRPr="00231FC8">
        <w:rPr>
          <w:rFonts w:ascii="Times New Roman" w:hAnsi="Times New Roman" w:cs="Times New Roman"/>
          <w:color w:val="000000"/>
          <w:sz w:val="28"/>
          <w:szCs w:val="28"/>
        </w:rPr>
        <w:t>ố</w:t>
      </w:r>
      <w:r w:rsidRPr="00231FC8">
        <w:rPr>
          <w:rFonts w:ascii="Times New Roman" w:hAnsi="Times New Roman" w:cs="Times New Roman"/>
          <w:color w:val="000000"/>
          <w:sz w:val="28"/>
          <w:szCs w:val="28"/>
        </w:rPr>
        <w:t xml:space="preserve"> trí vốn phù hợp với điều kiện thực tế và khả năng huy</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động các nguồn lực theo thứ tự ưu tiên hợp lý, bảo đảm đầu tư tập trung, có hiệu</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quả. Danh mục dự án đ</w:t>
      </w:r>
      <w:r w:rsidR="00694138" w:rsidRPr="00231FC8">
        <w:rPr>
          <w:rFonts w:ascii="Times New Roman" w:hAnsi="Times New Roman" w:cs="Times New Roman"/>
          <w:color w:val="000000"/>
          <w:sz w:val="28"/>
          <w:szCs w:val="28"/>
        </w:rPr>
        <w:t>ầ</w:t>
      </w:r>
      <w:r w:rsidRPr="00231FC8">
        <w:rPr>
          <w:rFonts w:ascii="Times New Roman" w:hAnsi="Times New Roman" w:cs="Times New Roman"/>
          <w:color w:val="000000"/>
          <w:sz w:val="28"/>
          <w:szCs w:val="28"/>
        </w:rPr>
        <w:t xml:space="preserve">u tư </w:t>
      </w:r>
      <w:r w:rsidR="00694138" w:rsidRPr="00231FC8">
        <w:rPr>
          <w:rFonts w:ascii="Times New Roman" w:hAnsi="Times New Roman" w:cs="Times New Roman"/>
          <w:color w:val="000000"/>
          <w:sz w:val="28"/>
          <w:szCs w:val="28"/>
        </w:rPr>
        <w:t>trọ</w:t>
      </w:r>
      <w:r w:rsidRPr="00231FC8">
        <w:rPr>
          <w:rFonts w:ascii="Times New Roman" w:hAnsi="Times New Roman" w:cs="Times New Roman"/>
          <w:color w:val="000000"/>
          <w:sz w:val="28"/>
          <w:szCs w:val="28"/>
        </w:rPr>
        <w:t>ng điểm quốc gia, dự án đầu tư của ngành trong</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thời kỳ quy hoạch (Mẫu 10 Phụ lục)</w:t>
      </w:r>
      <w:r w:rsidR="00694138" w:rsidRPr="00231FC8">
        <w:rPr>
          <w:rFonts w:ascii="Times New Roman" w:hAnsi="Times New Roman" w:cs="Times New Roman"/>
          <w:color w:val="000000"/>
          <w:sz w:val="28"/>
          <w:szCs w:val="28"/>
        </w:rPr>
        <w:t>.</w:t>
      </w:r>
    </w:p>
    <w:p w14:paraId="6701F47A" w14:textId="77777777" w:rsidR="00FD55DB" w:rsidRPr="00231FC8" w:rsidRDefault="00FD55DB" w:rsidP="00FD55DB">
      <w:pPr>
        <w:spacing w:before="120" w:after="0" w:line="288" w:lineRule="auto"/>
        <w:jc w:val="both"/>
        <w:rPr>
          <w:rFonts w:ascii="Times New Roman" w:hAnsi="Times New Roman" w:cs="Times New Roman"/>
          <w:b/>
          <w:bCs/>
          <w:i/>
          <w:iCs/>
          <w:color w:val="000000"/>
          <w:sz w:val="28"/>
          <w:szCs w:val="28"/>
        </w:rPr>
      </w:pPr>
      <w:r w:rsidRPr="00231FC8">
        <w:rPr>
          <w:rFonts w:ascii="Times New Roman" w:hAnsi="Times New Roman" w:cs="Times New Roman"/>
          <w:b/>
          <w:bCs/>
          <w:i/>
          <w:iCs/>
          <w:color w:val="000000"/>
          <w:sz w:val="28"/>
          <w:szCs w:val="28"/>
        </w:rPr>
        <w:t>3.4 Giải pháp thực hiện quy hoạch</w:t>
      </w:r>
    </w:p>
    <w:p w14:paraId="510CCE40" w14:textId="7777777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Giải pháp về cơ chế, chính sách</w:t>
      </w:r>
    </w:p>
    <w:p w14:paraId="73515699" w14:textId="7777777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Giải pháp về phát triển nguồn nhân lực</w:t>
      </w:r>
    </w:p>
    <w:p w14:paraId="12741443" w14:textId="7777777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Giải pháp về môi trường, giải pháp về công nghệ (nếu có)</w:t>
      </w:r>
    </w:p>
    <w:p w14:paraId="0A39F861" w14:textId="7777777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Giải pháp về liên kết, hợp tác phát triển</w:t>
      </w:r>
    </w:p>
    <w:p w14:paraId="3FF8B855" w14:textId="59FE28BF"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Giải pháp về giáo dục tuyên truyền, truyền thông</w:t>
      </w:r>
    </w:p>
    <w:p w14:paraId="27519D50" w14:textId="7777777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Giải pháp về hợp tác quốc tế</w:t>
      </w:r>
    </w:p>
    <w:p w14:paraId="010CCAB3" w14:textId="3BA7D2FA"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Giải pháp về huy động và phân b</w:t>
      </w:r>
      <w:r w:rsidR="00694138" w:rsidRPr="00231FC8">
        <w:rPr>
          <w:rFonts w:ascii="Times New Roman" w:hAnsi="Times New Roman" w:cs="Times New Roman"/>
          <w:color w:val="000000"/>
          <w:sz w:val="28"/>
          <w:szCs w:val="28"/>
        </w:rPr>
        <w:t>ố</w:t>
      </w:r>
      <w:r w:rsidRPr="00231FC8">
        <w:rPr>
          <w:rFonts w:ascii="Times New Roman" w:hAnsi="Times New Roman" w:cs="Times New Roman"/>
          <w:color w:val="000000"/>
          <w:sz w:val="28"/>
          <w:szCs w:val="28"/>
        </w:rPr>
        <w:t xml:space="preserve"> vốn đầu tư</w:t>
      </w:r>
    </w:p>
    <w:p w14:paraId="62C8F730" w14:textId="7777777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Giải pháp về mô hình quản lý và tổ chức hoạt động</w:t>
      </w:r>
    </w:p>
    <w:p w14:paraId="52BFD530" w14:textId="77777777" w:rsidR="00FD55DB" w:rsidRPr="00231FC8"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t>- Giải pháp về tổ chức thực hiện và giám sát thực hiện quy hoạch</w:t>
      </w:r>
    </w:p>
    <w:p w14:paraId="24627532" w14:textId="77777777" w:rsidR="00FD55DB" w:rsidRPr="00231FC8" w:rsidRDefault="00FD55DB" w:rsidP="00FD55DB">
      <w:pPr>
        <w:spacing w:before="120" w:after="0" w:line="288" w:lineRule="auto"/>
        <w:jc w:val="both"/>
        <w:rPr>
          <w:rFonts w:ascii="Times New Roman" w:hAnsi="Times New Roman" w:cs="Times New Roman"/>
          <w:b/>
          <w:bCs/>
          <w:color w:val="000000"/>
          <w:sz w:val="28"/>
          <w:szCs w:val="28"/>
        </w:rPr>
      </w:pPr>
      <w:r w:rsidRPr="00231FC8">
        <w:rPr>
          <w:rFonts w:ascii="Times New Roman" w:hAnsi="Times New Roman" w:cs="Times New Roman"/>
          <w:b/>
          <w:bCs/>
          <w:color w:val="000000"/>
          <w:sz w:val="28"/>
          <w:szCs w:val="28"/>
        </w:rPr>
        <w:t>IV. Cơ sở dữ liệu để phục vụ tích hợp trong Quy hoạch chung của Bộ Giáo</w:t>
      </w:r>
    </w:p>
    <w:p w14:paraId="7036C213" w14:textId="77777777" w:rsidR="00FD55DB" w:rsidRPr="00231FC8" w:rsidRDefault="00FD55DB" w:rsidP="00FD55DB">
      <w:pPr>
        <w:spacing w:before="120" w:after="0" w:line="288" w:lineRule="auto"/>
        <w:jc w:val="both"/>
        <w:rPr>
          <w:rFonts w:ascii="Times New Roman" w:hAnsi="Times New Roman" w:cs="Times New Roman"/>
          <w:b/>
          <w:bCs/>
          <w:color w:val="000000"/>
          <w:sz w:val="28"/>
          <w:szCs w:val="28"/>
        </w:rPr>
      </w:pPr>
      <w:r w:rsidRPr="00231FC8">
        <w:rPr>
          <w:rFonts w:ascii="Times New Roman" w:hAnsi="Times New Roman" w:cs="Times New Roman"/>
          <w:b/>
          <w:bCs/>
          <w:color w:val="000000"/>
          <w:sz w:val="28"/>
          <w:szCs w:val="28"/>
        </w:rPr>
        <w:t>dục và Đào tạo</w:t>
      </w:r>
    </w:p>
    <w:p w14:paraId="066E1336" w14:textId="3580457F" w:rsidR="00FD55DB" w:rsidRPr="00DD1B7F" w:rsidRDefault="00FD55DB" w:rsidP="00694138">
      <w:pPr>
        <w:spacing w:before="120" w:after="0" w:line="288" w:lineRule="auto"/>
        <w:ind w:firstLine="567"/>
        <w:jc w:val="both"/>
        <w:rPr>
          <w:rFonts w:ascii="Times New Roman" w:hAnsi="Times New Roman" w:cs="Times New Roman"/>
          <w:color w:val="000000"/>
          <w:sz w:val="28"/>
          <w:szCs w:val="28"/>
        </w:rPr>
      </w:pPr>
      <w:r w:rsidRPr="00231FC8">
        <w:rPr>
          <w:rFonts w:ascii="Times New Roman" w:hAnsi="Times New Roman" w:cs="Times New Roman"/>
          <w:color w:val="000000"/>
          <w:sz w:val="28"/>
          <w:szCs w:val="28"/>
        </w:rPr>
        <w:lastRenderedPageBreak/>
        <w:t>Đối với đơn vị đã triển khai xây dựng quy hoạch ngành, lĩnh vực đã có các</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dữ liệu trong quy hoạch, đ</w:t>
      </w:r>
      <w:r w:rsidR="00694138" w:rsidRPr="00231FC8">
        <w:rPr>
          <w:rFonts w:ascii="Times New Roman" w:hAnsi="Times New Roman" w:cs="Times New Roman"/>
          <w:color w:val="000000"/>
          <w:sz w:val="28"/>
          <w:szCs w:val="28"/>
        </w:rPr>
        <w:t>ề</w:t>
      </w:r>
      <w:r w:rsidRPr="00231FC8">
        <w:rPr>
          <w:rFonts w:ascii="Times New Roman" w:hAnsi="Times New Roman" w:cs="Times New Roman"/>
          <w:color w:val="000000"/>
          <w:sz w:val="28"/>
          <w:szCs w:val="28"/>
        </w:rPr>
        <w:t xml:space="preserve"> nghị cung c</w:t>
      </w:r>
      <w:r w:rsidR="00694138" w:rsidRPr="00231FC8">
        <w:rPr>
          <w:rFonts w:ascii="Times New Roman" w:hAnsi="Times New Roman" w:cs="Times New Roman"/>
          <w:color w:val="000000"/>
          <w:sz w:val="28"/>
          <w:szCs w:val="28"/>
        </w:rPr>
        <w:t>ấ</w:t>
      </w:r>
      <w:r w:rsidRPr="00231FC8">
        <w:rPr>
          <w:rFonts w:ascii="Times New Roman" w:hAnsi="Times New Roman" w:cs="Times New Roman"/>
          <w:color w:val="000000"/>
          <w:sz w:val="28"/>
          <w:szCs w:val="28"/>
        </w:rPr>
        <w:t>p các bản đô, sơ đô đ</w:t>
      </w:r>
      <w:r w:rsidR="00694138" w:rsidRPr="00231FC8">
        <w:rPr>
          <w:rFonts w:ascii="Times New Roman" w:hAnsi="Times New Roman" w:cs="Times New Roman"/>
          <w:color w:val="000000"/>
          <w:sz w:val="28"/>
          <w:szCs w:val="28"/>
        </w:rPr>
        <w:t>ể</w:t>
      </w:r>
      <w:r w:rsidRPr="00231FC8">
        <w:rPr>
          <w:rFonts w:ascii="Times New Roman" w:hAnsi="Times New Roman" w:cs="Times New Roman"/>
          <w:color w:val="000000"/>
          <w:sz w:val="28"/>
          <w:szCs w:val="28"/>
        </w:rPr>
        <w:t xml:space="preserve"> tích hợp trong quy</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hoạch</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ngành quốc gia như sau: Bản đồ số và bản đồ in (tỷ lệ theo quy định tại</w:t>
      </w:r>
      <w:r w:rsidR="00694138" w:rsidRPr="00231FC8">
        <w:rPr>
          <w:rFonts w:ascii="Times New Roman" w:hAnsi="Times New Roman" w:cs="Times New Roman"/>
          <w:color w:val="000000"/>
          <w:sz w:val="28"/>
          <w:szCs w:val="28"/>
        </w:rPr>
        <w:t xml:space="preserve"> </w:t>
      </w:r>
      <w:r w:rsidRPr="00231FC8">
        <w:rPr>
          <w:rFonts w:ascii="Times New Roman" w:hAnsi="Times New Roman" w:cs="Times New Roman"/>
          <w:color w:val="000000"/>
          <w:sz w:val="28"/>
          <w:szCs w:val="28"/>
        </w:rPr>
        <w:t xml:space="preserve">mục TV Phụ lục I của Nghị định 37/2019/NĐ-CP ngày 07/05/2019 của </w:t>
      </w:r>
      <w:r w:rsidR="00694138" w:rsidRPr="00231FC8">
        <w:rPr>
          <w:rFonts w:ascii="Times New Roman" w:hAnsi="Times New Roman" w:cs="Times New Roman"/>
          <w:color w:val="000000"/>
          <w:sz w:val="28"/>
          <w:szCs w:val="28"/>
        </w:rPr>
        <w:t xml:space="preserve">Chính </w:t>
      </w:r>
      <w:r w:rsidRPr="00231FC8">
        <w:rPr>
          <w:rFonts w:ascii="Times New Roman" w:hAnsi="Times New Roman" w:cs="Times New Roman"/>
          <w:color w:val="000000"/>
          <w:sz w:val="28"/>
          <w:szCs w:val="28"/>
        </w:rPr>
        <w:t>phủ).</w:t>
      </w:r>
    </w:p>
    <w:sectPr w:rsidR="00FD55DB" w:rsidRPr="00DD1B7F" w:rsidSect="00660F23">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95E77" w14:textId="77777777" w:rsidR="00492DD1" w:rsidRDefault="00492DD1" w:rsidP="00660F23">
      <w:pPr>
        <w:spacing w:after="0" w:line="240" w:lineRule="auto"/>
      </w:pPr>
      <w:r>
        <w:separator/>
      </w:r>
    </w:p>
  </w:endnote>
  <w:endnote w:type="continuationSeparator" w:id="0">
    <w:p w14:paraId="3C2D45A8" w14:textId="77777777" w:rsidR="00492DD1" w:rsidRDefault="00492DD1" w:rsidP="0066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lyphLessFon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85519049"/>
      <w:docPartObj>
        <w:docPartGallery w:val="Page Numbers (Bottom of Page)"/>
        <w:docPartUnique/>
      </w:docPartObj>
    </w:sdtPr>
    <w:sdtEndPr>
      <w:rPr>
        <w:noProof/>
      </w:rPr>
    </w:sdtEndPr>
    <w:sdtContent>
      <w:p w14:paraId="5B7C638D" w14:textId="49DD3391" w:rsidR="00660F23" w:rsidRPr="00660F23" w:rsidRDefault="00660F23" w:rsidP="00660F23">
        <w:pPr>
          <w:pStyle w:val="Footer"/>
          <w:jc w:val="center"/>
          <w:rPr>
            <w:rFonts w:ascii="Times New Roman" w:hAnsi="Times New Roman" w:cs="Times New Roman"/>
            <w:sz w:val="24"/>
            <w:szCs w:val="24"/>
          </w:rPr>
        </w:pPr>
        <w:r w:rsidRPr="00660F23">
          <w:rPr>
            <w:rFonts w:ascii="Times New Roman" w:hAnsi="Times New Roman" w:cs="Times New Roman"/>
            <w:sz w:val="24"/>
            <w:szCs w:val="24"/>
          </w:rPr>
          <w:fldChar w:fldCharType="begin"/>
        </w:r>
        <w:r w:rsidRPr="00660F23">
          <w:rPr>
            <w:rFonts w:ascii="Times New Roman" w:hAnsi="Times New Roman" w:cs="Times New Roman"/>
            <w:sz w:val="24"/>
            <w:szCs w:val="24"/>
          </w:rPr>
          <w:instrText xml:space="preserve"> PAGE   \* MERGEFORMAT </w:instrText>
        </w:r>
        <w:r w:rsidRPr="00660F23">
          <w:rPr>
            <w:rFonts w:ascii="Times New Roman" w:hAnsi="Times New Roman" w:cs="Times New Roman"/>
            <w:sz w:val="24"/>
            <w:szCs w:val="24"/>
          </w:rPr>
          <w:fldChar w:fldCharType="separate"/>
        </w:r>
        <w:r w:rsidR="005C414E">
          <w:rPr>
            <w:rFonts w:ascii="Times New Roman" w:hAnsi="Times New Roman" w:cs="Times New Roman"/>
            <w:noProof/>
            <w:sz w:val="24"/>
            <w:szCs w:val="24"/>
          </w:rPr>
          <w:t>1</w:t>
        </w:r>
        <w:r w:rsidRPr="00660F2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231CD" w14:textId="77777777" w:rsidR="00492DD1" w:rsidRDefault="00492DD1" w:rsidP="00660F23">
      <w:pPr>
        <w:spacing w:after="0" w:line="240" w:lineRule="auto"/>
      </w:pPr>
      <w:r>
        <w:separator/>
      </w:r>
    </w:p>
  </w:footnote>
  <w:footnote w:type="continuationSeparator" w:id="0">
    <w:p w14:paraId="3B66A4BB" w14:textId="77777777" w:rsidR="00492DD1" w:rsidRDefault="00492DD1" w:rsidP="00660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14433"/>
    <w:multiLevelType w:val="hybridMultilevel"/>
    <w:tmpl w:val="48B6BEE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257520B"/>
    <w:multiLevelType w:val="hybridMultilevel"/>
    <w:tmpl w:val="8E142A86"/>
    <w:lvl w:ilvl="0" w:tplc="FD486CA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1CDE3832"/>
    <w:multiLevelType w:val="hybridMultilevel"/>
    <w:tmpl w:val="10DE84B6"/>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 w15:restartNumberingAfterBreak="0">
    <w:nsid w:val="418E1CCB"/>
    <w:multiLevelType w:val="hybridMultilevel"/>
    <w:tmpl w:val="7654EA5C"/>
    <w:lvl w:ilvl="0" w:tplc="0409000F">
      <w:start w:val="1"/>
      <w:numFmt w:val="decimal"/>
      <w:lvlText w:val="%1."/>
      <w:lvlJc w:val="left"/>
      <w:pPr>
        <w:ind w:left="1287" w:hanging="360"/>
      </w:pPr>
    </w:lvl>
    <w:lvl w:ilvl="1" w:tplc="34F86F16">
      <w:start w:val="1"/>
      <w:numFmt w:val="lowerLetter"/>
      <w:lvlText w:val="%2)"/>
      <w:lvlJc w:val="left"/>
      <w:pPr>
        <w:ind w:left="2007" w:hanging="360"/>
      </w:pPr>
      <w:rPr>
        <w:rFonts w:hint="default"/>
      </w:rPr>
    </w:lvl>
    <w:lvl w:ilvl="2" w:tplc="4B6E4B8C">
      <w:numFmt w:val="bullet"/>
      <w:lvlText w:val="-"/>
      <w:lvlJc w:val="left"/>
      <w:pPr>
        <w:ind w:left="2907" w:hanging="360"/>
      </w:pPr>
      <w:rPr>
        <w:rFonts w:ascii="Times New Roman" w:eastAsia="Calibri" w:hAnsi="Times New Roman"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7286D2A"/>
    <w:multiLevelType w:val="hybridMultilevel"/>
    <w:tmpl w:val="4F3AB780"/>
    <w:lvl w:ilvl="0" w:tplc="D33E9310">
      <w:start w:val="1"/>
      <w:numFmt w:val="bullet"/>
      <w:lvlText w:val="+"/>
      <w:lvlJc w:val="left"/>
      <w:pPr>
        <w:ind w:left="1400" w:hanging="360"/>
      </w:pPr>
      <w:rPr>
        <w:rFonts w:ascii="Times New Roman" w:eastAsia="Times New Roman"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D33E9310">
      <w:start w:val="1"/>
      <w:numFmt w:val="bullet"/>
      <w:lvlText w:val="+"/>
      <w:lvlJc w:val="left"/>
      <w:pPr>
        <w:ind w:left="2840" w:hanging="360"/>
      </w:pPr>
      <w:rPr>
        <w:rFonts w:ascii="Times New Roman" w:eastAsia="Times New Roman" w:hAnsi="Times New Roman" w:cs="Times New Roman"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58766524"/>
    <w:multiLevelType w:val="hybridMultilevel"/>
    <w:tmpl w:val="BD304B6C"/>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 w15:restartNumberingAfterBreak="0">
    <w:nsid w:val="675B627F"/>
    <w:multiLevelType w:val="hybridMultilevel"/>
    <w:tmpl w:val="ED464D7C"/>
    <w:lvl w:ilvl="0" w:tplc="D33E9310">
      <w:start w:val="1"/>
      <w:numFmt w:val="bullet"/>
      <w:lvlText w:val="+"/>
      <w:lvlJc w:val="left"/>
      <w:pPr>
        <w:ind w:left="1400" w:hanging="360"/>
      </w:pPr>
      <w:rPr>
        <w:rFonts w:ascii="Times New Roman" w:eastAsia="Times New Roman"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E3"/>
    <w:rsid w:val="000C4337"/>
    <w:rsid w:val="000F0155"/>
    <w:rsid w:val="00163BAB"/>
    <w:rsid w:val="00231FC8"/>
    <w:rsid w:val="00334B46"/>
    <w:rsid w:val="00340721"/>
    <w:rsid w:val="00492DD1"/>
    <w:rsid w:val="00501030"/>
    <w:rsid w:val="00510CD5"/>
    <w:rsid w:val="00532180"/>
    <w:rsid w:val="005550D5"/>
    <w:rsid w:val="005674E3"/>
    <w:rsid w:val="005C414E"/>
    <w:rsid w:val="00660F23"/>
    <w:rsid w:val="00694138"/>
    <w:rsid w:val="006A3330"/>
    <w:rsid w:val="00746411"/>
    <w:rsid w:val="0075193D"/>
    <w:rsid w:val="007A62B2"/>
    <w:rsid w:val="008A2183"/>
    <w:rsid w:val="009E5F29"/>
    <w:rsid w:val="009F57E3"/>
    <w:rsid w:val="00C00A20"/>
    <w:rsid w:val="00CD4D11"/>
    <w:rsid w:val="00DB1908"/>
    <w:rsid w:val="00DD1B7F"/>
    <w:rsid w:val="00DE304A"/>
    <w:rsid w:val="00E06AF1"/>
    <w:rsid w:val="00E44221"/>
    <w:rsid w:val="00FD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750D4"/>
  <w15:chartTrackingRefBased/>
  <w15:docId w15:val="{2CFF3142-7CB0-4E05-B974-9D5E07B5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F57E3"/>
    <w:rPr>
      <w:rFonts w:ascii="GlyphLessFont" w:hAnsi="GlyphLessFont" w:hint="default"/>
      <w:b w:val="0"/>
      <w:bCs w:val="0"/>
      <w:i w:val="0"/>
      <w:iCs w:val="0"/>
      <w:color w:val="000000"/>
      <w:sz w:val="30"/>
      <w:szCs w:val="30"/>
    </w:rPr>
  </w:style>
  <w:style w:type="table" w:styleId="TableGrid">
    <w:name w:val="Table Grid"/>
    <w:basedOn w:val="TableNormal"/>
    <w:uiPriority w:val="39"/>
    <w:rsid w:val="0034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138"/>
    <w:pPr>
      <w:ind w:left="720"/>
      <w:contextualSpacing/>
    </w:pPr>
  </w:style>
  <w:style w:type="paragraph" w:styleId="Header">
    <w:name w:val="header"/>
    <w:basedOn w:val="Normal"/>
    <w:link w:val="HeaderChar"/>
    <w:uiPriority w:val="99"/>
    <w:unhideWhenUsed/>
    <w:rsid w:val="0066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F23"/>
  </w:style>
  <w:style w:type="paragraph" w:styleId="Footer">
    <w:name w:val="footer"/>
    <w:basedOn w:val="Normal"/>
    <w:link w:val="FooterChar"/>
    <w:uiPriority w:val="99"/>
    <w:unhideWhenUsed/>
    <w:rsid w:val="0066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9</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dc:creator>
  <cp:keywords/>
  <dc:description/>
  <cp:lastModifiedBy>HoangCongVu</cp:lastModifiedBy>
  <cp:revision>24</cp:revision>
  <dcterms:created xsi:type="dcterms:W3CDTF">2022-04-14T04:22:00Z</dcterms:created>
  <dcterms:modified xsi:type="dcterms:W3CDTF">2022-04-21T07:34:00Z</dcterms:modified>
</cp:coreProperties>
</file>