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F7891" w14:textId="77777777" w:rsidR="00CC09D1" w:rsidRDefault="00CC09D1" w:rsidP="006F112B">
      <w:pPr>
        <w:spacing w:line="360" w:lineRule="auto"/>
        <w:ind w:firstLine="567"/>
        <w:jc w:val="center"/>
        <w:rPr>
          <w:rFonts w:asciiTheme="majorHAnsi" w:hAnsiTheme="majorHAnsi" w:cstheme="majorHAnsi"/>
          <w:b/>
          <w:sz w:val="28"/>
          <w:szCs w:val="28"/>
          <w:lang w:val="en-US"/>
        </w:rPr>
      </w:pPr>
      <w:bookmarkStart w:id="0" w:name="_Toc316631734"/>
      <w:bookmarkStart w:id="1" w:name="_Toc317368077"/>
      <w:bookmarkStart w:id="2" w:name="_Toc317493834"/>
      <w:bookmarkStart w:id="3" w:name="_Toc346561220"/>
      <w:bookmarkStart w:id="4" w:name="_Toc316288999"/>
    </w:p>
    <w:p w14:paraId="149DC96A" w14:textId="77777777" w:rsidR="00CC09D1" w:rsidRDefault="00CC09D1" w:rsidP="006F112B">
      <w:pPr>
        <w:spacing w:line="360" w:lineRule="auto"/>
        <w:ind w:firstLine="567"/>
        <w:jc w:val="center"/>
        <w:rPr>
          <w:rFonts w:asciiTheme="majorHAnsi" w:hAnsiTheme="majorHAnsi" w:cstheme="majorHAnsi"/>
          <w:b/>
          <w:sz w:val="28"/>
          <w:szCs w:val="28"/>
          <w:lang w:val="en-US"/>
        </w:rPr>
      </w:pPr>
    </w:p>
    <w:p w14:paraId="67B186A5" w14:textId="429825AB" w:rsidR="006F112B" w:rsidRPr="00252EFB" w:rsidRDefault="00252EFB" w:rsidP="006F112B">
      <w:pPr>
        <w:spacing w:line="360" w:lineRule="auto"/>
        <w:ind w:firstLine="567"/>
        <w:jc w:val="center"/>
        <w:rPr>
          <w:rFonts w:ascii="Arial" w:hAnsi="Arial" w:cs="Arial"/>
          <w:b/>
          <w:sz w:val="32"/>
          <w:szCs w:val="32"/>
          <w:lang w:val="en-US"/>
        </w:rPr>
      </w:pPr>
      <w:r w:rsidRPr="00252EFB">
        <w:rPr>
          <w:rFonts w:ascii="Arial" w:hAnsi="Arial" w:cs="Arial"/>
          <w:b/>
          <w:sz w:val="32"/>
          <w:szCs w:val="32"/>
          <w:lang w:val="en-US"/>
        </w:rPr>
        <w:t>Attracting FDI technology transfer in Viet</w:t>
      </w:r>
      <w:r>
        <w:rPr>
          <w:rFonts w:ascii="Arial" w:hAnsi="Arial" w:cs="Arial"/>
          <w:b/>
          <w:sz w:val="32"/>
          <w:szCs w:val="32"/>
          <w:lang w:val="en-US"/>
        </w:rPr>
        <w:t xml:space="preserve"> </w:t>
      </w:r>
      <w:r w:rsidRPr="00252EFB">
        <w:rPr>
          <w:rFonts w:ascii="Arial" w:hAnsi="Arial" w:cs="Arial"/>
          <w:b/>
          <w:sz w:val="32"/>
          <w:szCs w:val="32"/>
          <w:lang w:val="en-US"/>
        </w:rPr>
        <w:t>Nam: situation and solutions</w:t>
      </w:r>
    </w:p>
    <w:p w14:paraId="3CC67276" w14:textId="77777777" w:rsidR="00E83867" w:rsidRPr="00456906" w:rsidRDefault="00E83867" w:rsidP="007D4B3D">
      <w:pPr>
        <w:tabs>
          <w:tab w:val="left" w:pos="1134"/>
        </w:tabs>
        <w:snapToGrid w:val="0"/>
        <w:ind w:left="357"/>
        <w:jc w:val="center"/>
        <w:rPr>
          <w:rFonts w:asciiTheme="majorHAnsi" w:hAnsiTheme="majorHAnsi" w:cstheme="majorHAnsi"/>
          <w:b/>
          <w:bCs/>
          <w:sz w:val="22"/>
          <w:szCs w:val="22"/>
        </w:rPr>
      </w:pPr>
    </w:p>
    <w:p w14:paraId="595E273C" w14:textId="1B040A48" w:rsidR="00013AB6" w:rsidRPr="006F5704" w:rsidRDefault="00D64B66" w:rsidP="00013AB6">
      <w:pPr>
        <w:tabs>
          <w:tab w:val="left" w:pos="1134"/>
        </w:tabs>
        <w:snapToGrid w:val="0"/>
        <w:ind w:left="360"/>
        <w:jc w:val="center"/>
        <w:rPr>
          <w:rFonts w:asciiTheme="majorHAnsi" w:hAnsiTheme="majorHAnsi" w:cstheme="majorHAnsi"/>
          <w:b/>
          <w:bCs/>
        </w:rPr>
      </w:pPr>
      <w:r w:rsidRPr="006F5704">
        <w:rPr>
          <w:rFonts w:asciiTheme="majorHAnsi" w:hAnsiTheme="majorHAnsi" w:cstheme="majorHAnsi"/>
          <w:b/>
          <w:bCs/>
          <w:lang w:val="en-US"/>
        </w:rPr>
        <w:t>Cao Ngoc Van, Bui Thi Mo</w:t>
      </w:r>
    </w:p>
    <w:p w14:paraId="0C14105A" w14:textId="77777777" w:rsidR="00013AB6" w:rsidRPr="00456906" w:rsidRDefault="00013AB6" w:rsidP="007D4B3D">
      <w:pPr>
        <w:tabs>
          <w:tab w:val="left" w:pos="1134"/>
        </w:tabs>
        <w:snapToGrid w:val="0"/>
        <w:ind w:left="357"/>
        <w:jc w:val="center"/>
        <w:rPr>
          <w:rFonts w:asciiTheme="majorHAnsi" w:hAnsiTheme="majorHAnsi" w:cstheme="majorHAnsi"/>
          <w:b/>
          <w:bCs/>
          <w:sz w:val="22"/>
          <w:szCs w:val="22"/>
        </w:rPr>
      </w:pPr>
    </w:p>
    <w:p w14:paraId="78C40138" w14:textId="5B6328F9" w:rsidR="00013AB6" w:rsidRPr="00456906" w:rsidRDefault="008C7E34" w:rsidP="00013AB6">
      <w:pPr>
        <w:tabs>
          <w:tab w:val="left" w:pos="1134"/>
        </w:tabs>
        <w:snapToGrid w:val="0"/>
        <w:ind w:left="360"/>
        <w:jc w:val="center"/>
        <w:rPr>
          <w:rFonts w:asciiTheme="majorHAnsi" w:hAnsiTheme="majorHAnsi" w:cstheme="majorHAnsi"/>
          <w:i/>
          <w:iCs/>
          <w:sz w:val="22"/>
          <w:szCs w:val="22"/>
          <w:lang w:val="en-US"/>
        </w:rPr>
      </w:pPr>
      <w:r w:rsidRPr="008C7E34">
        <w:rPr>
          <w:rFonts w:asciiTheme="majorHAnsi" w:hAnsiTheme="majorHAnsi" w:cstheme="majorHAnsi"/>
          <w:i/>
          <w:iCs/>
          <w:sz w:val="22"/>
          <w:szCs w:val="22"/>
        </w:rPr>
        <w:t>HoChiMinh University of Banking</w:t>
      </w:r>
      <w:r w:rsidR="005C261B" w:rsidRPr="00456906">
        <w:rPr>
          <w:rFonts w:asciiTheme="majorHAnsi" w:hAnsiTheme="majorHAnsi" w:cstheme="majorHAnsi"/>
          <w:i/>
          <w:iCs/>
          <w:sz w:val="22"/>
          <w:szCs w:val="22"/>
          <w:lang w:val="en-US"/>
        </w:rPr>
        <w:t>, Vietnam</w:t>
      </w:r>
    </w:p>
    <w:p w14:paraId="126FA7D9" w14:textId="77777777" w:rsidR="00013AB6" w:rsidRPr="00456906" w:rsidRDefault="00013AB6" w:rsidP="007D4B3D">
      <w:pPr>
        <w:tabs>
          <w:tab w:val="left" w:pos="1134"/>
        </w:tabs>
        <w:snapToGrid w:val="0"/>
        <w:ind w:left="357"/>
        <w:jc w:val="center"/>
        <w:rPr>
          <w:rFonts w:asciiTheme="majorHAnsi" w:hAnsiTheme="majorHAnsi" w:cstheme="majorHAnsi"/>
          <w:i/>
          <w:iCs/>
          <w:sz w:val="22"/>
          <w:szCs w:val="22"/>
        </w:rPr>
      </w:pPr>
    </w:p>
    <w:p w14:paraId="5A2F9D87" w14:textId="77B0D6E3" w:rsidR="00E83867" w:rsidRPr="00456906" w:rsidRDefault="00013AB6" w:rsidP="009A0228">
      <w:pPr>
        <w:snapToGrid w:val="0"/>
        <w:jc w:val="center"/>
        <w:rPr>
          <w:i/>
          <w:iCs/>
          <w:sz w:val="22"/>
          <w:szCs w:val="22"/>
        </w:rPr>
      </w:pPr>
      <w:r w:rsidRPr="00456906">
        <w:rPr>
          <w:i/>
          <w:iCs/>
          <w:sz w:val="22"/>
          <w:szCs w:val="22"/>
        </w:rPr>
        <w:t>Corresponding author</w:t>
      </w:r>
      <w:r w:rsidR="007D4B3D" w:rsidRPr="00456906">
        <w:rPr>
          <w:i/>
          <w:iCs/>
          <w:sz w:val="22"/>
          <w:szCs w:val="22"/>
          <w:lang w:val="en-US"/>
        </w:rPr>
        <w:t>. Email</w:t>
      </w:r>
      <w:r w:rsidRPr="00456906">
        <w:rPr>
          <w:i/>
          <w:iCs/>
          <w:sz w:val="22"/>
          <w:szCs w:val="22"/>
        </w:rPr>
        <w:t xml:space="preserve">: </w:t>
      </w:r>
      <w:r w:rsidR="006D2E0F" w:rsidRPr="006D2E0F">
        <w:rPr>
          <w:i/>
          <w:iCs/>
        </w:rPr>
        <w:t>ngocvannckh@gmail.com</w:t>
      </w:r>
    </w:p>
    <w:p w14:paraId="29BC650A" w14:textId="77777777" w:rsidR="009A0228" w:rsidRPr="00456906" w:rsidRDefault="009A0228" w:rsidP="009A0228">
      <w:pPr>
        <w:snapToGrid w:val="0"/>
        <w:jc w:val="center"/>
        <w:rPr>
          <w:i/>
          <w:sz w:val="22"/>
          <w:szCs w:val="22"/>
        </w:rPr>
      </w:pPr>
    </w:p>
    <w:p w14:paraId="7C644B82" w14:textId="77777777" w:rsidR="00E83867" w:rsidRPr="00456906" w:rsidRDefault="00E83867" w:rsidP="006A5D52">
      <w:pPr>
        <w:tabs>
          <w:tab w:val="left" w:pos="1134"/>
        </w:tabs>
        <w:snapToGrid w:val="0"/>
        <w:spacing w:before="120" w:after="120"/>
        <w:jc w:val="both"/>
        <w:rPr>
          <w:rFonts w:asciiTheme="majorHAnsi" w:hAnsiTheme="majorHAnsi" w:cstheme="majorHAnsi"/>
          <w:b/>
          <w:bCs/>
          <w:sz w:val="22"/>
          <w:szCs w:val="22"/>
        </w:rPr>
      </w:pPr>
      <w:r w:rsidRPr="00456906">
        <w:rPr>
          <w:rFonts w:asciiTheme="majorHAnsi" w:hAnsiTheme="majorHAnsi" w:cstheme="majorHAnsi"/>
          <w:b/>
          <w:bCs/>
          <w:sz w:val="22"/>
          <w:szCs w:val="22"/>
        </w:rPr>
        <w:t>ABSTRACT</w:t>
      </w:r>
    </w:p>
    <w:p w14:paraId="4592716F" w14:textId="150AA3B9" w:rsidR="0027716B" w:rsidRPr="00E52EB9" w:rsidRDefault="00E52EB9" w:rsidP="006F5704">
      <w:pPr>
        <w:tabs>
          <w:tab w:val="left" w:pos="567"/>
          <w:tab w:val="left" w:pos="1134"/>
        </w:tabs>
        <w:snapToGrid w:val="0"/>
        <w:spacing w:before="120" w:after="120"/>
        <w:jc w:val="both"/>
        <w:rPr>
          <w:rFonts w:asciiTheme="majorHAnsi" w:hAnsiTheme="majorHAnsi" w:cstheme="majorHAnsi"/>
          <w:sz w:val="20"/>
          <w:szCs w:val="20"/>
        </w:rPr>
      </w:pPr>
      <w:r>
        <w:rPr>
          <w:rFonts w:asciiTheme="majorHAnsi" w:hAnsiTheme="majorHAnsi" w:cstheme="majorHAnsi"/>
          <w:sz w:val="20"/>
          <w:szCs w:val="20"/>
        </w:rPr>
        <w:tab/>
      </w:r>
      <w:r w:rsidR="00A435C0" w:rsidRPr="00A435C0">
        <w:rPr>
          <w:rFonts w:asciiTheme="majorHAnsi" w:hAnsiTheme="majorHAnsi" w:cstheme="majorHAnsi"/>
          <w:sz w:val="20"/>
          <w:szCs w:val="20"/>
        </w:rPr>
        <w:t>With more than 35 years of attracting and operating foreign investment, Vietnam has continuously improved domestic production technology in outstanding fields such as information technology, post, telecommunications, and infrastructure construction. Furthermore, Vietnam can also exploit and produce oil and gas, electronic chips, circuit networks, consumer electronics, automobiles, motorbike,... with beautiful designs and high quality. The 13th National Party Congress Resolution in Ha Noi capital (2021), developing and attracting FDI technology transfer was considered a breakthrough to restructure the economy and bring Vietnam to rapid and sustainable development. However, technology transfer through FDI attractive activities still faces many difficulties. The article analyzes the current situation, causes and limitations, recommend some solutions to promote the transfer technology FDI into Vietnam</w:t>
      </w:r>
      <w:r w:rsidR="0027716B" w:rsidRPr="00E52EB9">
        <w:rPr>
          <w:rFonts w:asciiTheme="majorHAnsi" w:hAnsiTheme="majorHAnsi" w:cstheme="majorHAnsi"/>
          <w:sz w:val="20"/>
          <w:szCs w:val="20"/>
        </w:rPr>
        <w:t>.</w:t>
      </w:r>
    </w:p>
    <w:p w14:paraId="6FC9080E" w14:textId="70E837C4" w:rsidR="00E83867" w:rsidRPr="00E52EB9" w:rsidRDefault="00E83867" w:rsidP="006A5D52">
      <w:pPr>
        <w:tabs>
          <w:tab w:val="left" w:pos="1134"/>
        </w:tabs>
        <w:snapToGrid w:val="0"/>
        <w:spacing w:before="120" w:after="120"/>
        <w:ind w:left="360" w:hanging="360"/>
        <w:jc w:val="both"/>
        <w:rPr>
          <w:rFonts w:asciiTheme="majorHAnsi" w:hAnsiTheme="majorHAnsi" w:cstheme="majorHAnsi"/>
          <w:i/>
          <w:iCs/>
          <w:sz w:val="20"/>
          <w:szCs w:val="20"/>
          <w:lang w:val="en-US"/>
        </w:rPr>
      </w:pPr>
      <w:r w:rsidRPr="00E52EB9">
        <w:rPr>
          <w:rFonts w:asciiTheme="majorHAnsi" w:hAnsiTheme="majorHAnsi" w:cstheme="majorHAnsi"/>
          <w:b/>
          <w:bCs/>
          <w:sz w:val="20"/>
          <w:szCs w:val="20"/>
        </w:rPr>
        <w:t>Keywords:</w:t>
      </w:r>
      <w:r w:rsidRPr="00E52EB9">
        <w:rPr>
          <w:rFonts w:asciiTheme="majorHAnsi" w:hAnsiTheme="majorHAnsi" w:cstheme="majorHAnsi"/>
          <w:i/>
          <w:iCs/>
          <w:sz w:val="20"/>
          <w:szCs w:val="20"/>
        </w:rPr>
        <w:t xml:space="preserve"> </w:t>
      </w:r>
      <w:r w:rsidR="00A435C0" w:rsidRPr="00A435C0">
        <w:rPr>
          <w:rFonts w:asciiTheme="majorHAnsi" w:hAnsiTheme="majorHAnsi" w:cstheme="majorHAnsi"/>
          <w:i/>
          <w:iCs/>
          <w:sz w:val="20"/>
          <w:szCs w:val="20"/>
        </w:rPr>
        <w:t>FDI, technology transfer, foreign direct investment</w:t>
      </w:r>
      <w:r w:rsidR="0027716B" w:rsidRPr="00E52EB9">
        <w:rPr>
          <w:rFonts w:asciiTheme="majorHAnsi" w:hAnsiTheme="majorHAnsi" w:cstheme="majorHAnsi"/>
          <w:i/>
          <w:iCs/>
          <w:sz w:val="20"/>
          <w:szCs w:val="20"/>
          <w:lang w:val="en-US"/>
        </w:rPr>
        <w:t>.</w:t>
      </w:r>
    </w:p>
    <w:p w14:paraId="7B5ACF12" w14:textId="77777777" w:rsidR="004A4EF0" w:rsidRPr="00E52EB9" w:rsidRDefault="004A4EF0" w:rsidP="006A5D52">
      <w:pPr>
        <w:snapToGrid w:val="0"/>
        <w:spacing w:before="120" w:after="120"/>
        <w:jc w:val="center"/>
        <w:rPr>
          <w:rFonts w:asciiTheme="majorHAnsi" w:hAnsiTheme="majorHAnsi" w:cstheme="majorHAnsi"/>
          <w:b/>
          <w:sz w:val="20"/>
          <w:szCs w:val="20"/>
          <w:lang w:val="en-US"/>
        </w:rPr>
      </w:pPr>
    </w:p>
    <w:p w14:paraId="6EBD9506" w14:textId="3AB4F3CA" w:rsidR="003359AA" w:rsidRPr="00456906" w:rsidRDefault="00E83867" w:rsidP="006A5D52">
      <w:pPr>
        <w:snapToGrid w:val="0"/>
        <w:spacing w:before="120" w:after="120"/>
        <w:jc w:val="center"/>
        <w:rPr>
          <w:rFonts w:asciiTheme="majorHAnsi" w:hAnsiTheme="majorHAnsi" w:cstheme="majorHAnsi"/>
          <w:b/>
          <w:sz w:val="22"/>
          <w:szCs w:val="22"/>
          <w:lang w:val="en-US"/>
        </w:rPr>
      </w:pPr>
      <w:r w:rsidRPr="00456906">
        <w:rPr>
          <w:rFonts w:asciiTheme="majorHAnsi" w:hAnsiTheme="majorHAnsi" w:cstheme="majorHAnsi"/>
          <w:b/>
          <w:sz w:val="22"/>
          <w:szCs w:val="22"/>
          <w:lang w:val="en-US"/>
        </w:rPr>
        <w:br w:type="column"/>
      </w:r>
    </w:p>
    <w:p w14:paraId="6212F0D2" w14:textId="4E3BBA6E" w:rsidR="000975F3" w:rsidRDefault="004500EE" w:rsidP="000975F3">
      <w:pPr>
        <w:snapToGrid w:val="0"/>
        <w:jc w:val="center"/>
        <w:rPr>
          <w:rFonts w:asciiTheme="minorHAnsi" w:hAnsiTheme="minorHAnsi" w:cstheme="minorHAnsi"/>
          <w:b/>
          <w:sz w:val="32"/>
          <w:szCs w:val="32"/>
          <w:lang w:val="en-US"/>
        </w:rPr>
      </w:pPr>
      <w:r w:rsidRPr="00351970">
        <w:rPr>
          <w:rFonts w:asciiTheme="minorHAnsi" w:hAnsiTheme="minorHAnsi" w:cstheme="minorHAnsi"/>
          <w:b/>
          <w:sz w:val="32"/>
          <w:szCs w:val="32"/>
          <w:lang w:val="en-US"/>
        </w:rPr>
        <w:t>Đầu tư trực tiếp nước ngoài và chuyển giao công nghệ tại Việt Nam</w:t>
      </w:r>
    </w:p>
    <w:p w14:paraId="486C3B8E" w14:textId="77777777" w:rsidR="007C0748" w:rsidRPr="00456906" w:rsidRDefault="007C0748" w:rsidP="000975F3">
      <w:pPr>
        <w:snapToGrid w:val="0"/>
        <w:jc w:val="center"/>
        <w:rPr>
          <w:rFonts w:asciiTheme="majorHAnsi" w:hAnsiTheme="majorHAnsi" w:cstheme="majorHAnsi"/>
          <w:b/>
          <w:lang w:val="en-US"/>
        </w:rPr>
      </w:pPr>
    </w:p>
    <w:p w14:paraId="7F432C1B" w14:textId="5E12683F" w:rsidR="000975F3" w:rsidRPr="00456906" w:rsidRDefault="007C0748" w:rsidP="000975F3">
      <w:pPr>
        <w:snapToGrid w:val="0"/>
        <w:jc w:val="center"/>
        <w:rPr>
          <w:rFonts w:asciiTheme="majorHAnsi" w:hAnsiTheme="majorHAnsi" w:cstheme="majorHAnsi"/>
          <w:b/>
          <w:lang w:val="en-US"/>
        </w:rPr>
      </w:pPr>
      <w:r w:rsidRPr="007C0748">
        <w:rPr>
          <w:rFonts w:asciiTheme="majorHAnsi" w:hAnsiTheme="majorHAnsi" w:cstheme="majorHAnsi"/>
          <w:b/>
          <w:lang w:val="en-US"/>
        </w:rPr>
        <w:t>Cao Ngọc Văn</w:t>
      </w:r>
      <w:r>
        <w:rPr>
          <w:rStyle w:val="FootnoteReference"/>
          <w:rFonts w:asciiTheme="majorHAnsi" w:hAnsiTheme="majorHAnsi"/>
          <w:b/>
          <w:lang w:val="en-US"/>
        </w:rPr>
        <w:footnoteReference w:id="1"/>
      </w:r>
      <w:r>
        <w:rPr>
          <w:rFonts w:asciiTheme="majorHAnsi" w:hAnsiTheme="majorHAnsi" w:cstheme="majorHAnsi"/>
          <w:b/>
          <w:lang w:val="en-US"/>
        </w:rPr>
        <w:t xml:space="preserve">, </w:t>
      </w:r>
      <w:r w:rsidRPr="007C0748">
        <w:rPr>
          <w:rFonts w:asciiTheme="majorHAnsi" w:hAnsiTheme="majorHAnsi" w:cstheme="majorHAnsi"/>
          <w:b/>
          <w:lang w:val="en-US"/>
        </w:rPr>
        <w:t>Bùi Thị Mơ</w:t>
      </w:r>
      <w:r>
        <w:rPr>
          <w:rStyle w:val="FootnoteReference"/>
          <w:rFonts w:asciiTheme="majorHAnsi" w:hAnsiTheme="majorHAnsi"/>
          <w:b/>
          <w:lang w:val="en-US"/>
        </w:rPr>
        <w:footnoteReference w:id="2"/>
      </w:r>
    </w:p>
    <w:p w14:paraId="4F000B9B" w14:textId="77777777" w:rsidR="000975F3" w:rsidRPr="00456906" w:rsidRDefault="000975F3" w:rsidP="000975F3">
      <w:pPr>
        <w:snapToGrid w:val="0"/>
        <w:jc w:val="center"/>
        <w:rPr>
          <w:rFonts w:asciiTheme="majorHAnsi" w:hAnsiTheme="majorHAnsi"/>
          <w:b/>
          <w:lang w:val="en-US"/>
        </w:rPr>
      </w:pPr>
    </w:p>
    <w:p w14:paraId="4FCA26A1" w14:textId="1D81E8A6" w:rsidR="000975F3" w:rsidRPr="00456906" w:rsidRDefault="00F14080" w:rsidP="000975F3">
      <w:pPr>
        <w:snapToGrid w:val="0"/>
        <w:jc w:val="center"/>
        <w:rPr>
          <w:i/>
          <w:iCs/>
          <w:sz w:val="22"/>
          <w:szCs w:val="22"/>
          <w:lang w:val="en-US"/>
        </w:rPr>
      </w:pPr>
      <w:r>
        <w:rPr>
          <w:i/>
          <w:iCs/>
          <w:sz w:val="22"/>
          <w:szCs w:val="22"/>
          <w:lang w:val="en-US"/>
        </w:rPr>
        <w:t>Khoa Sau đại học</w:t>
      </w:r>
      <w:r w:rsidR="000975F3" w:rsidRPr="00456906">
        <w:rPr>
          <w:i/>
          <w:iCs/>
          <w:sz w:val="22"/>
          <w:szCs w:val="22"/>
        </w:rPr>
        <w:t xml:space="preserve">, Trường Đại học </w:t>
      </w:r>
      <w:r>
        <w:rPr>
          <w:i/>
          <w:iCs/>
          <w:sz w:val="22"/>
          <w:szCs w:val="22"/>
          <w:lang w:val="en-US"/>
        </w:rPr>
        <w:t>Ngân Hàng</w:t>
      </w:r>
      <w:r w:rsidR="001E5BC5" w:rsidRPr="00456906">
        <w:rPr>
          <w:i/>
          <w:iCs/>
          <w:sz w:val="22"/>
          <w:szCs w:val="22"/>
          <w:lang w:val="en-US"/>
        </w:rPr>
        <w:t>, Vi</w:t>
      </w:r>
      <w:r w:rsidR="006C6ADF" w:rsidRPr="00456906">
        <w:rPr>
          <w:i/>
          <w:iCs/>
          <w:sz w:val="22"/>
          <w:szCs w:val="22"/>
          <w:lang w:val="en-US"/>
        </w:rPr>
        <w:t>ệt Nam</w:t>
      </w:r>
    </w:p>
    <w:p w14:paraId="1938C8DB" w14:textId="77777777" w:rsidR="000975F3" w:rsidRPr="00456906" w:rsidRDefault="000975F3" w:rsidP="000975F3">
      <w:pPr>
        <w:snapToGrid w:val="0"/>
        <w:jc w:val="center"/>
        <w:rPr>
          <w:i/>
          <w:iCs/>
          <w:sz w:val="22"/>
          <w:szCs w:val="22"/>
        </w:rPr>
      </w:pPr>
    </w:p>
    <w:p w14:paraId="1A687BC6" w14:textId="44C44D70" w:rsidR="004A4EF0" w:rsidRPr="00456906" w:rsidRDefault="000975F3" w:rsidP="000975F3">
      <w:pPr>
        <w:snapToGrid w:val="0"/>
        <w:jc w:val="center"/>
        <w:rPr>
          <w:rFonts w:asciiTheme="majorHAnsi" w:hAnsiTheme="majorHAnsi" w:cstheme="majorHAnsi"/>
          <w:b/>
          <w:sz w:val="22"/>
          <w:szCs w:val="22"/>
        </w:rPr>
      </w:pPr>
      <w:r w:rsidRPr="00456906">
        <w:rPr>
          <w:i/>
          <w:iCs/>
          <w:sz w:val="22"/>
          <w:szCs w:val="22"/>
        </w:rPr>
        <w:t xml:space="preserve">Tác giả liên hệ chính. Email: </w:t>
      </w:r>
      <w:r w:rsidR="00290193" w:rsidRPr="006D2E0F">
        <w:rPr>
          <w:i/>
          <w:iCs/>
        </w:rPr>
        <w:t>ngocvannckh@gmail.com</w:t>
      </w:r>
    </w:p>
    <w:p w14:paraId="4FCF5FFA" w14:textId="77777777" w:rsidR="00124A91" w:rsidRPr="00456906" w:rsidRDefault="00124A91" w:rsidP="00124A91">
      <w:pPr>
        <w:tabs>
          <w:tab w:val="left" w:pos="284"/>
          <w:tab w:val="left" w:pos="567"/>
        </w:tabs>
        <w:jc w:val="center"/>
        <w:rPr>
          <w:i/>
          <w:sz w:val="22"/>
          <w:lang w:val="fr-FR"/>
        </w:rPr>
      </w:pPr>
    </w:p>
    <w:p w14:paraId="50563BE7" w14:textId="03A0AD9A" w:rsidR="00124A91" w:rsidRPr="00456906" w:rsidRDefault="00124A91" w:rsidP="00124A91">
      <w:pPr>
        <w:tabs>
          <w:tab w:val="left" w:pos="284"/>
          <w:tab w:val="left" w:pos="567"/>
        </w:tabs>
        <w:jc w:val="center"/>
        <w:rPr>
          <w:rFonts w:ascii="Arial" w:hAnsi="Arial" w:cs="Arial"/>
          <w:b/>
          <w:sz w:val="32"/>
          <w:szCs w:val="32"/>
        </w:rPr>
      </w:pPr>
      <w:r w:rsidRPr="00456906">
        <w:rPr>
          <w:i/>
          <w:sz w:val="22"/>
          <w:lang w:val="fr-FR"/>
        </w:rPr>
        <w:t>Ngày nhận bài</w:t>
      </w:r>
      <w:r w:rsidR="00290193">
        <w:rPr>
          <w:i/>
          <w:sz w:val="22"/>
          <w:lang w:val="fr-FR"/>
        </w:rPr>
        <w:t xml:space="preserve">  </w:t>
      </w:r>
      <w:r w:rsidRPr="00456906">
        <w:rPr>
          <w:i/>
          <w:sz w:val="22"/>
          <w:lang w:val="fr-FR"/>
        </w:rPr>
        <w:t>; Ngày sửa bài:</w:t>
      </w:r>
      <w:r w:rsidR="00FA2B8B" w:rsidRPr="00456906">
        <w:rPr>
          <w:i/>
          <w:sz w:val="22"/>
          <w:lang w:val="fr-FR"/>
        </w:rPr>
        <w:t xml:space="preserve"> </w:t>
      </w:r>
      <w:r w:rsidRPr="00456906">
        <w:rPr>
          <w:i/>
          <w:sz w:val="22"/>
          <w:lang w:val="fr-FR"/>
        </w:rPr>
        <w:t>; Ngày nhận đăng:</w:t>
      </w:r>
      <w:r w:rsidR="00FA2B8B" w:rsidRPr="00456906">
        <w:rPr>
          <w:i/>
          <w:sz w:val="22"/>
          <w:lang w:val="fr-FR"/>
        </w:rPr>
        <w:t xml:space="preserve"> </w:t>
      </w:r>
      <w:r w:rsidRPr="00456906">
        <w:rPr>
          <w:i/>
          <w:sz w:val="22"/>
          <w:lang w:val="fr-FR"/>
        </w:rPr>
        <w:t>;</w:t>
      </w:r>
    </w:p>
    <w:p w14:paraId="0C26D2CB" w14:textId="4630A631" w:rsidR="004A4EF0" w:rsidRPr="00456906" w:rsidRDefault="00124A91" w:rsidP="00124A91">
      <w:pPr>
        <w:snapToGrid w:val="0"/>
        <w:jc w:val="center"/>
        <w:rPr>
          <w:rFonts w:asciiTheme="majorHAnsi" w:hAnsiTheme="majorHAnsi" w:cstheme="majorHAnsi"/>
          <w:b/>
          <w:i/>
          <w:iCs/>
          <w:sz w:val="22"/>
          <w:szCs w:val="22"/>
        </w:rPr>
      </w:pPr>
      <w:r w:rsidRPr="00456906">
        <w:rPr>
          <w:i/>
          <w:sz w:val="22"/>
          <w:lang w:val="fr-FR"/>
        </w:rPr>
        <w:t xml:space="preserve">Ngày xuất bản: </w:t>
      </w:r>
    </w:p>
    <w:p w14:paraId="7C6031BD" w14:textId="3215F48E" w:rsidR="00D2240B" w:rsidRPr="00456906" w:rsidRDefault="004A4EF0" w:rsidP="006A5D52">
      <w:pPr>
        <w:snapToGrid w:val="0"/>
        <w:spacing w:before="120" w:after="120"/>
        <w:rPr>
          <w:rFonts w:asciiTheme="majorHAnsi" w:hAnsiTheme="majorHAnsi" w:cstheme="majorHAnsi"/>
          <w:b/>
          <w:sz w:val="22"/>
          <w:szCs w:val="22"/>
        </w:rPr>
      </w:pPr>
      <w:r w:rsidRPr="00456906">
        <w:rPr>
          <w:rFonts w:asciiTheme="majorHAnsi" w:hAnsiTheme="majorHAnsi" w:cstheme="majorHAnsi"/>
          <w:b/>
          <w:sz w:val="22"/>
          <w:szCs w:val="22"/>
        </w:rPr>
        <w:t>TÓM TẮT</w:t>
      </w:r>
    </w:p>
    <w:p w14:paraId="7AEE2938" w14:textId="19469890" w:rsidR="004A6EB6" w:rsidRPr="00E52EB9" w:rsidRDefault="009F54A0" w:rsidP="00ED2544">
      <w:pPr>
        <w:tabs>
          <w:tab w:val="left" w:pos="1134"/>
        </w:tabs>
        <w:snapToGrid w:val="0"/>
        <w:spacing w:before="120" w:after="120"/>
        <w:ind w:firstLine="567"/>
        <w:jc w:val="both"/>
        <w:rPr>
          <w:rFonts w:asciiTheme="majorHAnsi" w:hAnsiTheme="majorHAnsi" w:cstheme="majorHAnsi"/>
          <w:sz w:val="20"/>
          <w:szCs w:val="20"/>
        </w:rPr>
      </w:pPr>
      <w:r w:rsidRPr="009F54A0">
        <w:rPr>
          <w:rFonts w:asciiTheme="majorHAnsi" w:hAnsiTheme="majorHAnsi" w:cstheme="majorHAnsi"/>
          <w:sz w:val="20"/>
          <w:szCs w:val="20"/>
        </w:rPr>
        <w:t>Với chặng đường hơn 35 năm hoạt động và thu hút đầu tư nước ngoài, Việt Nam đã không ngừng nâng cao trình công nghệ sản xuất trong nước trên các lĩnh vực nổi trội như công nghệ thông tin, bưu chính viễn thông, xây dựng cơ sở hạ tầng, cầu đường, hoạt động sôi nổi trong lĩnh vực bất động sản, ngân hàng, bảo hiểm,... Không chỉ vậy, Việt Nam đã khai thác và sản xuất được dầu khí, chip điện tử, mạng mạch, điện tử gia dụng, ô tô, lắp ráp xe máy,... với kiểu dáng đẹp mắt và chất lượng cao, cũng như đã xuất khẩu sang các quốc gia trên thế giới. Tại Đại hội Đảng lần XIII (2021) đã xem việc phát triển, thu hút chuyển giao công nghệ FDI là một bước đột phát để tái cấu trúc nền kinh tế và đưa Việt Nam đến sự phát triển nhanh chóng bền vững. Tuy nhiên, chuyển giao công nghệ thông qua các hoạt động thu hút FDI còn gặp nhiều khó khăn, bài viết phân tích thực trạng, đánh giá tình hình, nguyên nhân và những hạn chế, đề xuất một số giải pháp nhằm thúc đẩy chuyển giao công nghệ thông qua hoạt động thu hút đầu tư trực tiếp nước ngoài vào Việt Nam</w:t>
      </w:r>
      <w:r w:rsidR="00A949FE" w:rsidRPr="00E52EB9">
        <w:rPr>
          <w:rFonts w:asciiTheme="majorHAnsi" w:hAnsiTheme="majorHAnsi" w:cstheme="majorHAnsi"/>
          <w:sz w:val="20"/>
          <w:szCs w:val="20"/>
        </w:rPr>
        <w:t>.</w:t>
      </w:r>
    </w:p>
    <w:p w14:paraId="170ABAFD" w14:textId="12DB0A8A" w:rsidR="00053152" w:rsidRPr="00E52EB9" w:rsidRDefault="00053152" w:rsidP="006A5D52">
      <w:pPr>
        <w:tabs>
          <w:tab w:val="left" w:pos="1134"/>
        </w:tabs>
        <w:snapToGrid w:val="0"/>
        <w:spacing w:before="120" w:after="120"/>
        <w:jc w:val="both"/>
        <w:rPr>
          <w:rFonts w:asciiTheme="majorHAnsi" w:hAnsiTheme="majorHAnsi" w:cstheme="majorHAnsi"/>
          <w:i/>
          <w:iCs/>
          <w:sz w:val="20"/>
          <w:szCs w:val="20"/>
        </w:rPr>
      </w:pPr>
      <w:r w:rsidRPr="00E52EB9">
        <w:rPr>
          <w:rFonts w:asciiTheme="majorHAnsi" w:hAnsiTheme="majorHAnsi" w:cstheme="majorHAnsi"/>
          <w:b/>
          <w:bCs/>
          <w:sz w:val="20"/>
          <w:szCs w:val="20"/>
        </w:rPr>
        <w:t>Từ khoá:</w:t>
      </w:r>
      <w:r w:rsidRPr="00E52EB9">
        <w:rPr>
          <w:rFonts w:asciiTheme="majorHAnsi" w:hAnsiTheme="majorHAnsi" w:cstheme="majorHAnsi"/>
          <w:b/>
          <w:bCs/>
          <w:i/>
          <w:iCs/>
          <w:sz w:val="20"/>
          <w:szCs w:val="20"/>
        </w:rPr>
        <w:t xml:space="preserve"> </w:t>
      </w:r>
      <w:r w:rsidR="000A0279" w:rsidRPr="000A0279">
        <w:rPr>
          <w:rFonts w:asciiTheme="majorHAnsi" w:hAnsiTheme="majorHAnsi" w:cstheme="majorHAnsi"/>
          <w:i/>
          <w:iCs/>
          <w:sz w:val="20"/>
          <w:szCs w:val="20"/>
        </w:rPr>
        <w:t>FDI, chuyển giao công nghệ, đầu tư trực tiếp nước ngoài</w:t>
      </w:r>
      <w:r w:rsidR="006A639E" w:rsidRPr="00E52EB9">
        <w:rPr>
          <w:rFonts w:asciiTheme="majorHAnsi" w:hAnsiTheme="majorHAnsi" w:cstheme="majorHAnsi"/>
          <w:i/>
          <w:iCs/>
          <w:sz w:val="20"/>
          <w:szCs w:val="20"/>
        </w:rPr>
        <w:t>.</w:t>
      </w:r>
    </w:p>
    <w:p w14:paraId="27DADA7B" w14:textId="77777777" w:rsidR="007F2E9A" w:rsidRPr="00456906" w:rsidRDefault="007F2E9A" w:rsidP="006A5D52">
      <w:pPr>
        <w:tabs>
          <w:tab w:val="left" w:pos="1134"/>
        </w:tabs>
        <w:snapToGrid w:val="0"/>
        <w:spacing w:before="120" w:after="120"/>
        <w:rPr>
          <w:rFonts w:asciiTheme="majorHAnsi" w:hAnsiTheme="majorHAnsi" w:cstheme="majorHAnsi"/>
          <w:b/>
          <w:bCs/>
          <w:sz w:val="22"/>
          <w:szCs w:val="22"/>
        </w:rPr>
      </w:pPr>
      <w:bookmarkStart w:id="5" w:name="_Toc298004131"/>
      <w:bookmarkStart w:id="6" w:name="_Toc313180742"/>
      <w:bookmarkStart w:id="7" w:name="_Toc313180927"/>
      <w:bookmarkStart w:id="8" w:name="_Toc313181236"/>
      <w:bookmarkStart w:id="9" w:name="_Toc316631735"/>
      <w:bookmarkStart w:id="10" w:name="_Toc317368078"/>
      <w:bookmarkStart w:id="11" w:name="_Toc317493835"/>
      <w:bookmarkStart w:id="12" w:name="_Toc346561221"/>
      <w:bookmarkEnd w:id="0"/>
      <w:bookmarkEnd w:id="1"/>
      <w:bookmarkEnd w:id="2"/>
      <w:bookmarkEnd w:id="3"/>
    </w:p>
    <w:p w14:paraId="7F3BC606" w14:textId="452F7003" w:rsidR="0059108F" w:rsidRPr="00456906" w:rsidRDefault="0059108F" w:rsidP="006A5D52">
      <w:pPr>
        <w:tabs>
          <w:tab w:val="left" w:pos="1134"/>
        </w:tabs>
        <w:snapToGrid w:val="0"/>
        <w:spacing w:before="120" w:after="120"/>
        <w:rPr>
          <w:rFonts w:asciiTheme="majorHAnsi" w:hAnsiTheme="majorHAnsi" w:cstheme="majorHAnsi"/>
          <w:b/>
          <w:bCs/>
          <w:sz w:val="22"/>
          <w:szCs w:val="22"/>
        </w:rPr>
        <w:sectPr w:rsidR="0059108F" w:rsidRPr="00456906" w:rsidSect="00840867">
          <w:footerReference w:type="default" r:id="rId8"/>
          <w:endnotePr>
            <w:numFmt w:val="decimalEnclosedCircleChinese"/>
          </w:endnotePr>
          <w:pgSz w:w="11907" w:h="16840" w:code="9"/>
          <w:pgMar w:top="1134" w:right="1134" w:bottom="1134" w:left="1418" w:header="720" w:footer="720" w:gutter="0"/>
          <w:pgNumType w:start="1"/>
          <w:cols w:space="720"/>
          <w:docGrid w:linePitch="360"/>
        </w:sectPr>
      </w:pPr>
    </w:p>
    <w:p w14:paraId="526FBCBA" w14:textId="5C0F5E7A" w:rsidR="00F94BC8" w:rsidRPr="00456906" w:rsidRDefault="007F2E9A" w:rsidP="006A5D52">
      <w:pPr>
        <w:tabs>
          <w:tab w:val="left" w:pos="1134"/>
        </w:tabs>
        <w:snapToGrid w:val="0"/>
        <w:spacing w:before="120" w:after="120"/>
        <w:rPr>
          <w:rFonts w:asciiTheme="majorHAnsi" w:hAnsiTheme="majorHAnsi" w:cstheme="majorHAnsi"/>
          <w:b/>
          <w:sz w:val="22"/>
          <w:szCs w:val="22"/>
        </w:rPr>
      </w:pPr>
      <w:r w:rsidRPr="00456906">
        <w:rPr>
          <w:rFonts w:asciiTheme="majorHAnsi" w:hAnsiTheme="majorHAnsi" w:cstheme="majorHAnsi"/>
          <w:b/>
          <w:sz w:val="22"/>
          <w:szCs w:val="22"/>
        </w:rPr>
        <w:t xml:space="preserve">1. </w:t>
      </w:r>
      <w:bookmarkEnd w:id="5"/>
      <w:bookmarkEnd w:id="6"/>
      <w:bookmarkEnd w:id="7"/>
      <w:bookmarkEnd w:id="8"/>
      <w:bookmarkEnd w:id="9"/>
      <w:bookmarkEnd w:id="10"/>
      <w:bookmarkEnd w:id="11"/>
      <w:bookmarkEnd w:id="12"/>
      <w:r w:rsidRPr="00456906">
        <w:rPr>
          <w:rFonts w:asciiTheme="majorHAnsi" w:hAnsiTheme="majorHAnsi" w:cstheme="majorHAnsi"/>
          <w:b/>
          <w:sz w:val="22"/>
          <w:szCs w:val="22"/>
        </w:rPr>
        <w:t>ĐẶT VẤN ĐỀ</w:t>
      </w:r>
    </w:p>
    <w:p w14:paraId="2D770EA8" w14:textId="71A013AC" w:rsidR="00DD4EF8" w:rsidRPr="00456906" w:rsidRDefault="00DE66FC" w:rsidP="00560110">
      <w:pPr>
        <w:pStyle w:val="ListParagraph"/>
        <w:tabs>
          <w:tab w:val="left" w:pos="567"/>
          <w:tab w:val="left" w:pos="1134"/>
        </w:tabs>
        <w:snapToGrid w:val="0"/>
        <w:spacing w:before="120" w:after="120"/>
        <w:ind w:left="0" w:firstLine="567"/>
        <w:contextualSpacing w:val="0"/>
        <w:jc w:val="both"/>
        <w:rPr>
          <w:rFonts w:asciiTheme="majorHAnsi" w:hAnsiTheme="majorHAnsi" w:cstheme="majorHAnsi"/>
          <w:noProof/>
          <w:spacing w:val="0"/>
          <w:sz w:val="22"/>
          <w:szCs w:val="22"/>
          <w:lang w:val="vi-VN" w:eastAsia="zh-CN"/>
        </w:rPr>
      </w:pPr>
      <w:r w:rsidRPr="00DE66FC">
        <w:rPr>
          <w:rFonts w:asciiTheme="majorHAnsi" w:hAnsiTheme="majorHAnsi" w:cstheme="majorHAnsi"/>
          <w:noProof/>
          <w:spacing w:val="0"/>
          <w:sz w:val="22"/>
          <w:szCs w:val="22"/>
          <w:lang w:val="vi-VN" w:eastAsia="zh-CN"/>
        </w:rPr>
        <w:t xml:space="preserve">Đối với các quốc gia đang phát triển thì đầu tư trực tiếp nước ngoài đã trở thành một nguồn lực quan trọng bắt buộc phải có nếu quốc gia mong muốn tăng trưởng và phát triển nhanh hơn, hội nhập với các quốc gia trong khu vực. Việc chuyển giao công nghệ FDI thể hiện trên hai khía cạnh chính: một là, tiếp nhận công nghệ từ các quốc gia nước ngoài, sau đó sẽ tìm cách nghiên cứu và phát triển công nghệ, cải thiện công nghệ để ngày càng phù hợp với Việt Nam. Hai là thông qua việc tiếp nhận các công nghệ chuyển giao, các doanh nghiệp FDI và các doanh nghiệp trong nước tạo nên một mối liên kết với nhau, từ đó các doanh nghiệp trong nước sẽ trở thành đối tác hỗ trợ cho các doanh nghiệp FDI để cung cấp những yếu tố đầu vào, nguyên nhiên liệu, doanh nghiệp trung gian hoặc lựa chọn hình thức hoạt động gần giống như công ty con của công ty FDI (tức là tiếp nhận các công nghệ chuyển giao của FDI theo những điều kiện FDI), nhờ đó doanh nghiệp trong nước có thể phụ trợ cho doanh nghiệp FDI và nhận được sự lan tỏa công nghệ cũng như năng lực quản lý. Từ đó các doanh nghiệp Việt Nam sẽ không ngừng phát triển bản thân để trở thành </w:t>
      </w:r>
      <w:r w:rsidRPr="00DE66FC">
        <w:rPr>
          <w:rFonts w:asciiTheme="majorHAnsi" w:hAnsiTheme="majorHAnsi" w:cstheme="majorHAnsi"/>
          <w:noProof/>
          <w:spacing w:val="0"/>
          <w:sz w:val="22"/>
          <w:szCs w:val="22"/>
          <w:lang w:val="vi-VN" w:eastAsia="zh-CN"/>
        </w:rPr>
        <w:t>doanh nghiệp Việt Nam vững mạnh, có năng lực nghiên cứu và phát triển công nghệ, có mối quan hệ buôn bán hàng hóa với các quốc gia trên thế giới. Nhờ vào đó, Việt Nam tiếp tục duy trì là quốc gia có tốc độ tăng trưởng cao và ổn định, hiện đại trong sự nghiệp công nghiệp hóa – hiện đại học đất nước</w:t>
      </w:r>
      <w:r w:rsidR="009F1DE8" w:rsidRPr="00456906">
        <w:rPr>
          <w:rFonts w:asciiTheme="majorHAnsi" w:hAnsiTheme="majorHAnsi" w:cstheme="majorHAnsi"/>
          <w:noProof/>
          <w:spacing w:val="0"/>
          <w:sz w:val="22"/>
          <w:szCs w:val="22"/>
          <w:lang w:val="vi-VN" w:eastAsia="zh-CN"/>
        </w:rPr>
        <w:t>.</w:t>
      </w:r>
    </w:p>
    <w:p w14:paraId="59BF3DB7" w14:textId="4BA08BB4" w:rsidR="007F2E9A" w:rsidRPr="00456906" w:rsidRDefault="007F2E9A" w:rsidP="00C159A0">
      <w:pPr>
        <w:pStyle w:val="ListParagraph"/>
        <w:tabs>
          <w:tab w:val="left" w:pos="1134"/>
        </w:tabs>
        <w:snapToGrid w:val="0"/>
        <w:spacing w:before="120" w:after="120"/>
        <w:ind w:left="0"/>
        <w:contextualSpacing w:val="0"/>
        <w:jc w:val="both"/>
        <w:rPr>
          <w:rFonts w:asciiTheme="majorHAnsi" w:hAnsiTheme="majorHAnsi" w:cstheme="majorHAnsi"/>
          <w:b/>
          <w:bCs/>
          <w:noProof/>
          <w:spacing w:val="0"/>
          <w:sz w:val="22"/>
          <w:szCs w:val="22"/>
          <w:lang w:val="vi-VN" w:eastAsia="zh-CN"/>
        </w:rPr>
      </w:pPr>
      <w:bookmarkStart w:id="13" w:name="_Toc346561229"/>
      <w:bookmarkStart w:id="14" w:name="_Toc316289000"/>
      <w:bookmarkEnd w:id="4"/>
      <w:r w:rsidRPr="00456906">
        <w:rPr>
          <w:rFonts w:asciiTheme="majorHAnsi" w:hAnsiTheme="majorHAnsi" w:cstheme="majorHAnsi"/>
          <w:b/>
          <w:bCs/>
          <w:noProof/>
          <w:spacing w:val="0"/>
          <w:sz w:val="22"/>
          <w:szCs w:val="22"/>
          <w:lang w:val="vi-VN" w:eastAsia="zh-CN"/>
        </w:rPr>
        <w:t>2. NỘI DUNG</w:t>
      </w:r>
    </w:p>
    <w:p w14:paraId="33DC55D3" w14:textId="012073D8" w:rsidR="00F94BC8" w:rsidRDefault="00413ADC" w:rsidP="006A5D52">
      <w:pPr>
        <w:pStyle w:val="ListParagraph"/>
        <w:tabs>
          <w:tab w:val="left" w:pos="1134"/>
        </w:tabs>
        <w:snapToGrid w:val="0"/>
        <w:spacing w:before="120" w:after="120"/>
        <w:ind w:left="0"/>
        <w:contextualSpacing w:val="0"/>
        <w:jc w:val="both"/>
        <w:rPr>
          <w:rFonts w:asciiTheme="majorHAnsi" w:hAnsiTheme="majorHAnsi" w:cstheme="majorHAnsi"/>
          <w:b/>
          <w:bCs/>
          <w:sz w:val="22"/>
          <w:szCs w:val="22"/>
        </w:rPr>
      </w:pPr>
      <w:r w:rsidRPr="00456906">
        <w:rPr>
          <w:rFonts w:asciiTheme="majorHAnsi" w:hAnsiTheme="majorHAnsi" w:cstheme="majorHAnsi"/>
          <w:b/>
          <w:bCs/>
          <w:sz w:val="22"/>
          <w:szCs w:val="22"/>
          <w:lang w:val="vi-VN"/>
        </w:rPr>
        <w:t>2</w:t>
      </w:r>
      <w:r w:rsidR="00F94BC8" w:rsidRPr="00456906">
        <w:rPr>
          <w:rFonts w:asciiTheme="majorHAnsi" w:hAnsiTheme="majorHAnsi" w:cstheme="majorHAnsi"/>
          <w:b/>
          <w:bCs/>
          <w:sz w:val="22"/>
          <w:szCs w:val="22"/>
          <w:lang w:val="vi-VN"/>
        </w:rPr>
        <w:t>.</w:t>
      </w:r>
      <w:r w:rsidR="007F2E9A" w:rsidRPr="00456906">
        <w:rPr>
          <w:rFonts w:asciiTheme="majorHAnsi" w:hAnsiTheme="majorHAnsi" w:cstheme="majorHAnsi"/>
          <w:b/>
          <w:bCs/>
          <w:sz w:val="22"/>
          <w:szCs w:val="22"/>
          <w:lang w:val="vi-VN"/>
        </w:rPr>
        <w:t>1</w:t>
      </w:r>
      <w:r w:rsidR="00AF6293" w:rsidRPr="00456906">
        <w:rPr>
          <w:rFonts w:asciiTheme="majorHAnsi" w:hAnsiTheme="majorHAnsi" w:cstheme="majorHAnsi"/>
          <w:b/>
          <w:bCs/>
          <w:sz w:val="22"/>
          <w:szCs w:val="22"/>
          <w:lang w:val="vi-VN"/>
        </w:rPr>
        <w:t xml:space="preserve">. </w:t>
      </w:r>
      <w:bookmarkEnd w:id="13"/>
      <w:r w:rsidR="000A24ED" w:rsidRPr="000A24ED">
        <w:rPr>
          <w:rFonts w:asciiTheme="majorHAnsi" w:hAnsiTheme="majorHAnsi" w:cstheme="majorHAnsi"/>
          <w:b/>
          <w:bCs/>
          <w:sz w:val="22"/>
          <w:szCs w:val="22"/>
          <w:lang w:val="vi-VN"/>
        </w:rPr>
        <w:t>Cơ sở lý thuyết</w:t>
      </w:r>
      <w:r w:rsidR="00BD5FA0">
        <w:rPr>
          <w:rFonts w:asciiTheme="majorHAnsi" w:hAnsiTheme="majorHAnsi" w:cstheme="majorHAnsi"/>
          <w:b/>
          <w:bCs/>
          <w:sz w:val="22"/>
          <w:szCs w:val="22"/>
        </w:rPr>
        <w:t xml:space="preserve"> </w:t>
      </w:r>
    </w:p>
    <w:p w14:paraId="2229B53F" w14:textId="77777777" w:rsidR="00D80BD7" w:rsidRPr="00D80BD7" w:rsidRDefault="00D80BD7" w:rsidP="001F3B10">
      <w:pPr>
        <w:tabs>
          <w:tab w:val="left" w:pos="567"/>
          <w:tab w:val="left" w:pos="1134"/>
        </w:tabs>
        <w:snapToGrid w:val="0"/>
        <w:spacing w:before="120" w:after="120"/>
        <w:ind w:firstLine="567"/>
        <w:jc w:val="both"/>
        <w:rPr>
          <w:rFonts w:asciiTheme="majorHAnsi" w:hAnsiTheme="majorHAnsi" w:cstheme="majorHAnsi"/>
          <w:sz w:val="22"/>
          <w:szCs w:val="22"/>
        </w:rPr>
      </w:pPr>
      <w:r w:rsidRPr="00D80BD7">
        <w:rPr>
          <w:rFonts w:asciiTheme="majorHAnsi" w:hAnsiTheme="majorHAnsi" w:cstheme="majorHAnsi"/>
          <w:sz w:val="22"/>
          <w:szCs w:val="22"/>
        </w:rPr>
        <w:t xml:space="preserve">Nhận thức được vai trò của chuyển giao công nghệ của các dự án FDI trong suốt 35 năm đổi mới, công nghiệp hóa – hiện đại hóa Việt Nam, cho nên Chính Phủ Việt Nam đã không ngừng hoàn thiện Luật cũng như cơ cấu thể chế để có thể thu hút chuyển giao công nghệ vào Việt Nam thông qua các dự án FDI ngày càng nhiều hơn. Cụ thể, vào năm 1987 nhà nước ban hành Luật Đầu tư nước ngoài, đến năm 1988 thì ban hành Pháp lệnh về chuyển giao công nghệ từ nước ngoài vào Việt Nam; năm 2006 thì Quốc hội thông qua Luật chuyển giao công nghệ; năm 2008 là Luật công nghệ cao; đến năm 2017 Quốc Hội đã thông qua Luật chuyển giao công nghệ 2017 (thay cho Luật chuyển giao công nghệ 2006). </w:t>
      </w:r>
    </w:p>
    <w:p w14:paraId="351B0941" w14:textId="77777777" w:rsidR="00D80BD7" w:rsidRPr="00D80BD7" w:rsidRDefault="00D80BD7" w:rsidP="001F3B10">
      <w:pPr>
        <w:tabs>
          <w:tab w:val="left" w:pos="567"/>
          <w:tab w:val="left" w:pos="1134"/>
        </w:tabs>
        <w:snapToGrid w:val="0"/>
        <w:spacing w:before="120" w:after="120"/>
        <w:ind w:firstLine="567"/>
        <w:jc w:val="both"/>
        <w:rPr>
          <w:rFonts w:asciiTheme="majorHAnsi" w:hAnsiTheme="majorHAnsi" w:cstheme="majorHAnsi"/>
          <w:sz w:val="22"/>
          <w:szCs w:val="22"/>
        </w:rPr>
      </w:pPr>
      <w:r w:rsidRPr="00D80BD7">
        <w:rPr>
          <w:rFonts w:asciiTheme="majorHAnsi" w:hAnsiTheme="majorHAnsi" w:cstheme="majorHAnsi"/>
          <w:sz w:val="22"/>
          <w:szCs w:val="22"/>
        </w:rPr>
        <w:lastRenderedPageBreak/>
        <w:t>Theo đó, Luật chuyển giao công nghệ định nghĩa: “Chuyển giao công nghệ là chuyển giao quyền sở hữu hoặc quyền sử dụng một phần hoặc toàn bộ công nghệ từ bên có quyền chuyển giao công nghệ sang bên nhận công nghệ. Chuyển giao công nghệ có thể ở Việt Nam, từ nước ngoài vào Việt Nam hoặc từ Việt Nam ra nước ngoài” (Luật số 07/2017/QH14 ngày 19/06/2017). Điều đó có nghĩa là để thu hút các công nghệ hiện đại đến từ nước ngoài nhằm thúc đẩy và nâng cao năng suất sản xuất, thu hẹp khoảng cách tiến bộ giữa các quốc gia thì có nhiều hình thức như đầu tư trực tiếp nước ngoài FDI, thương mại xuyên biên giới hay hội thảo giới thiệu và trao đổi điều kiện và các nghiên cứu chuyển giao,… trong đó dự án chuyển giao công nghệ nhiều nhất hiện nay vẫn thuộc về hình thức đầu tư trực tiếp nước ngoài.</w:t>
      </w:r>
    </w:p>
    <w:p w14:paraId="1762892F" w14:textId="77777777" w:rsidR="00AF1C21" w:rsidRPr="0097564A" w:rsidRDefault="00D80BD7" w:rsidP="001F3B10">
      <w:pPr>
        <w:tabs>
          <w:tab w:val="left" w:pos="567"/>
          <w:tab w:val="left" w:pos="1134"/>
        </w:tabs>
        <w:snapToGrid w:val="0"/>
        <w:spacing w:before="120" w:after="120"/>
        <w:ind w:firstLine="567"/>
        <w:jc w:val="both"/>
        <w:rPr>
          <w:rFonts w:asciiTheme="majorHAnsi" w:hAnsiTheme="majorHAnsi" w:cstheme="majorHAnsi"/>
          <w:sz w:val="22"/>
          <w:szCs w:val="22"/>
        </w:rPr>
      </w:pPr>
      <w:r w:rsidRPr="00D80BD7">
        <w:rPr>
          <w:rFonts w:asciiTheme="majorHAnsi" w:hAnsiTheme="majorHAnsi" w:cstheme="majorHAnsi"/>
          <w:sz w:val="22"/>
          <w:szCs w:val="22"/>
        </w:rPr>
        <w:t xml:space="preserve">Hiện nay, Quyết định 29/2021/QĐ-TTg quy định về ưu đãi đầu tư đặc biệt nhằm thúc đẩy hoạt động thu hút đầu tư FDI và chuyển giao công nghệ, những nhà đầu tư FDI được cấp giấy chứng nhận và chuyển giao công nghệ cho doanh nghiệp Việt Nam trong thời hạn 5 năm đáp ứng được một trong bốn tiêu chí là dự án công nghệ cao ở mức 1, hay có doanh nghiệp Việt Nam tham gia, đáp ứng tiêu chí ở mức 1 hoặc có giá trị gia tăng từ 30% - 40% trong giá thành sản phẩm đầu ra thì các doanh nghiệp FDI này sẽ được hưởng thuế </w:t>
      </w:r>
      <w:r w:rsidRPr="0097564A">
        <w:rPr>
          <w:rFonts w:asciiTheme="majorHAnsi" w:hAnsiTheme="majorHAnsi" w:cstheme="majorHAnsi"/>
          <w:sz w:val="22"/>
          <w:szCs w:val="22"/>
        </w:rPr>
        <w:t>ưu đãi ở mức 7% trong suốt 33 năm (mức 1). Còn nếu chuyển giao công nghệ cho từ 3 doanh nghiệp Việt Nam hoặc nhiều hơn tham gia chuỗi mức 2 thì theo điều 20 Luật Đầu tư thì nhà đầu tư sẽ được hưởng thuế thu nhập 5% trong thời gian là 37 năm. Không chỉ dừng ở đó, Chính Phủ còn ưu đãi về thuế đất và các loại thuế khác, khuyến khích phát triển doanh nghiệp Khoa Học và Công Nghệ theo Nghị định số 13/2019/NĐ-CP ngày 01/02/2019 về doanh nghiệp Khoa Học và Công Nghệ</w:t>
      </w:r>
      <w:r w:rsidR="00F94BC8" w:rsidRPr="0097564A">
        <w:rPr>
          <w:rFonts w:asciiTheme="majorHAnsi" w:hAnsiTheme="majorHAnsi" w:cstheme="majorHAnsi"/>
          <w:sz w:val="22"/>
          <w:szCs w:val="22"/>
        </w:rPr>
        <w:t>.</w:t>
      </w:r>
    </w:p>
    <w:p w14:paraId="447BFDA7" w14:textId="412208EB" w:rsidR="00AF1C21" w:rsidRPr="001F3B10" w:rsidRDefault="00AF1C21" w:rsidP="001F3B10">
      <w:pPr>
        <w:tabs>
          <w:tab w:val="left" w:pos="567"/>
          <w:tab w:val="left" w:pos="1134"/>
        </w:tabs>
        <w:snapToGrid w:val="0"/>
        <w:spacing w:before="120" w:after="120"/>
        <w:ind w:firstLine="567"/>
        <w:jc w:val="both"/>
        <w:rPr>
          <w:rFonts w:asciiTheme="majorHAnsi" w:hAnsiTheme="majorHAnsi" w:cstheme="majorHAnsi"/>
          <w:sz w:val="22"/>
          <w:szCs w:val="22"/>
          <w:lang w:val="en-US"/>
        </w:rPr>
      </w:pPr>
      <w:r w:rsidRPr="0097564A">
        <w:rPr>
          <w:rFonts w:asciiTheme="majorHAnsi" w:hAnsiTheme="majorHAnsi" w:cstheme="majorHAnsi"/>
          <w:sz w:val="22"/>
          <w:szCs w:val="22"/>
        </w:rPr>
        <w:t>Các hình thức và phạm vi chuyển giao công nghệ</w:t>
      </w:r>
      <w:r w:rsidR="001F3B10">
        <w:rPr>
          <w:rFonts w:asciiTheme="majorHAnsi" w:hAnsiTheme="majorHAnsi" w:cstheme="majorHAnsi"/>
          <w:sz w:val="22"/>
          <w:szCs w:val="22"/>
          <w:lang w:val="en-US"/>
        </w:rPr>
        <w:t>:</w:t>
      </w:r>
    </w:p>
    <w:p w14:paraId="63BEC1A3" w14:textId="169EE176" w:rsidR="00AF1C21" w:rsidRPr="00DD4160" w:rsidRDefault="00AF1C21" w:rsidP="001F3B10">
      <w:pPr>
        <w:tabs>
          <w:tab w:val="left" w:pos="567"/>
          <w:tab w:val="left" w:pos="1134"/>
        </w:tabs>
        <w:snapToGrid w:val="0"/>
        <w:spacing w:before="120" w:after="120"/>
        <w:ind w:firstLine="567"/>
        <w:jc w:val="both"/>
        <w:rPr>
          <w:rFonts w:asciiTheme="majorHAnsi" w:hAnsiTheme="majorHAnsi" w:cstheme="majorHAnsi"/>
          <w:sz w:val="22"/>
          <w:szCs w:val="22"/>
        </w:rPr>
      </w:pPr>
      <w:r w:rsidRPr="00DD4160">
        <w:rPr>
          <w:rFonts w:asciiTheme="majorHAnsi" w:hAnsiTheme="majorHAnsi" w:cstheme="majorHAnsi"/>
          <w:sz w:val="22"/>
          <w:szCs w:val="22"/>
        </w:rPr>
        <w:t>Chuyển giao tri thức là hình thức chuyển giao mà công ty nước ngoài chỉ hướng dẫn, tư vấn và huấn luyện kiến thức về công nghệ cho công ty nước nhận chuyển giao.</w:t>
      </w:r>
    </w:p>
    <w:p w14:paraId="28177F7B" w14:textId="5F586065" w:rsidR="00AF1C21" w:rsidRPr="00DD4160" w:rsidRDefault="00AF1C21" w:rsidP="001F3B10">
      <w:pPr>
        <w:tabs>
          <w:tab w:val="left" w:pos="567"/>
          <w:tab w:val="left" w:pos="1134"/>
        </w:tabs>
        <w:snapToGrid w:val="0"/>
        <w:spacing w:before="120" w:after="120"/>
        <w:ind w:firstLine="567"/>
        <w:jc w:val="both"/>
        <w:rPr>
          <w:rFonts w:asciiTheme="majorHAnsi" w:hAnsiTheme="majorHAnsi" w:cstheme="majorHAnsi"/>
          <w:sz w:val="22"/>
          <w:szCs w:val="22"/>
        </w:rPr>
      </w:pPr>
      <w:r w:rsidRPr="00DD4160">
        <w:rPr>
          <w:rFonts w:asciiTheme="majorHAnsi" w:hAnsiTheme="majorHAnsi" w:cstheme="majorHAnsi"/>
          <w:sz w:val="22"/>
          <w:szCs w:val="22"/>
        </w:rPr>
        <w:t>Chìa khóa trao tay là hình thức chuyển giao công ty nước ngoài không chỉ tư vấn kiến thức mà còn vận hành cho công ty trong nước, tuy nhiên, vẫn có trường hợp là sau thời gian vận hành mẫu thì xảy ra lỗi và công ty nước tiếp nhận sau đó gặp nhiều rắc rối không vận hành được</w:t>
      </w:r>
    </w:p>
    <w:p w14:paraId="28824F6D" w14:textId="60355017" w:rsidR="00AF1C21" w:rsidRPr="00DD4160" w:rsidRDefault="00AF1C21" w:rsidP="001F3B10">
      <w:pPr>
        <w:tabs>
          <w:tab w:val="left" w:pos="567"/>
          <w:tab w:val="left" w:pos="1134"/>
        </w:tabs>
        <w:snapToGrid w:val="0"/>
        <w:spacing w:before="120" w:after="120"/>
        <w:ind w:firstLine="567"/>
        <w:jc w:val="both"/>
        <w:rPr>
          <w:rFonts w:asciiTheme="majorHAnsi" w:hAnsiTheme="majorHAnsi" w:cstheme="majorHAnsi"/>
          <w:sz w:val="22"/>
          <w:szCs w:val="22"/>
        </w:rPr>
      </w:pPr>
      <w:r w:rsidRPr="00DD4160">
        <w:rPr>
          <w:rFonts w:asciiTheme="majorHAnsi" w:hAnsiTheme="majorHAnsi" w:cstheme="majorHAnsi"/>
          <w:sz w:val="22"/>
          <w:szCs w:val="22"/>
        </w:rPr>
        <w:t xml:space="preserve">Chuyển giao thị trường trao tay là hình thức mà công ty nước ngoài sau khi chuyển giao máy móc thì có chế độ bảo đảm để công ty nước tiếp nhận có thể sản xuất được hàng hóa tiêu thụ </w:t>
      </w:r>
      <w:r w:rsidRPr="00DD4160">
        <w:rPr>
          <w:rFonts w:asciiTheme="majorHAnsi" w:hAnsiTheme="majorHAnsi" w:cstheme="majorHAnsi"/>
          <w:sz w:val="22"/>
          <w:szCs w:val="22"/>
        </w:rPr>
        <w:t>trên thị trường. Do đó, hình thức này được xem là ít rủi ro nhất cho nước nhận chuyển giao</w:t>
      </w:r>
    </w:p>
    <w:p w14:paraId="5CC1B044" w14:textId="2A2DD5DA" w:rsidR="00F94BC8" w:rsidRPr="00DD4160" w:rsidRDefault="00AF1C21" w:rsidP="001F3B10">
      <w:pPr>
        <w:tabs>
          <w:tab w:val="left" w:pos="567"/>
          <w:tab w:val="left" w:pos="1134"/>
        </w:tabs>
        <w:snapToGrid w:val="0"/>
        <w:spacing w:before="120" w:after="120"/>
        <w:ind w:firstLine="567"/>
        <w:jc w:val="both"/>
        <w:rPr>
          <w:rFonts w:asciiTheme="majorHAnsi" w:hAnsiTheme="majorHAnsi" w:cstheme="majorHAnsi"/>
          <w:sz w:val="22"/>
          <w:szCs w:val="22"/>
        </w:rPr>
      </w:pPr>
      <w:r w:rsidRPr="00DD4160">
        <w:rPr>
          <w:rFonts w:asciiTheme="majorHAnsi" w:hAnsiTheme="majorHAnsi" w:cstheme="majorHAnsi"/>
          <w:sz w:val="22"/>
          <w:szCs w:val="22"/>
        </w:rPr>
        <w:t>Các hình thức chuyển giao công nghệ này có thể được thỏa thuận giữa các bên theo đó có thể chọn hình thức độc quyền công nghệ để công ty nước ngoài không bị công ty khác sao chép công nghệ hoặc không độc quyền, cho phép sao chép theo thỏa thuận hợp đồng, cũng như độc quyền hay không độc quyền cho bên người nhận công nghệ để tránh công ty nước ngoài lại bán công nghệ cho đối thủ cạnh tranh, những thỏa thuận về cải tiến công nghệ trong tương lai và việc phân phối sản phẩm sản xuất ra từ công nghệ...</w:t>
      </w:r>
    </w:p>
    <w:p w14:paraId="0D940423" w14:textId="2F31FAAD" w:rsidR="00F94BC8" w:rsidRPr="0097564A" w:rsidRDefault="00AF6293" w:rsidP="00C159A0">
      <w:pPr>
        <w:pStyle w:val="Heading3"/>
        <w:snapToGrid w:val="0"/>
        <w:spacing w:before="120" w:after="120"/>
        <w:jc w:val="both"/>
        <w:rPr>
          <w:rFonts w:asciiTheme="majorHAnsi" w:hAnsiTheme="majorHAnsi" w:cstheme="majorHAnsi"/>
          <w:b w:val="0"/>
          <w:color w:val="auto"/>
          <w:sz w:val="22"/>
          <w:szCs w:val="22"/>
        </w:rPr>
      </w:pPr>
      <w:bookmarkStart w:id="15" w:name="_Toc346561230"/>
      <w:r w:rsidRPr="0097564A">
        <w:rPr>
          <w:rFonts w:asciiTheme="majorHAnsi" w:hAnsiTheme="majorHAnsi" w:cstheme="majorHAnsi"/>
          <w:color w:val="auto"/>
          <w:sz w:val="22"/>
          <w:szCs w:val="22"/>
        </w:rPr>
        <w:t>2.</w:t>
      </w:r>
      <w:r w:rsidR="0063716C" w:rsidRPr="0097564A">
        <w:rPr>
          <w:rFonts w:asciiTheme="majorHAnsi" w:hAnsiTheme="majorHAnsi" w:cstheme="majorHAnsi"/>
          <w:color w:val="auto"/>
          <w:sz w:val="22"/>
          <w:szCs w:val="22"/>
        </w:rPr>
        <w:t>2</w:t>
      </w:r>
      <w:r w:rsidR="007D6886" w:rsidRPr="0097564A">
        <w:rPr>
          <w:rFonts w:asciiTheme="majorHAnsi" w:hAnsiTheme="majorHAnsi" w:cstheme="majorHAnsi"/>
          <w:color w:val="auto"/>
          <w:sz w:val="22"/>
          <w:szCs w:val="22"/>
        </w:rPr>
        <w:t>.</w:t>
      </w:r>
      <w:r w:rsidR="00F94BC8" w:rsidRPr="0097564A">
        <w:rPr>
          <w:rFonts w:asciiTheme="majorHAnsi" w:hAnsiTheme="majorHAnsi" w:cstheme="majorHAnsi"/>
          <w:color w:val="auto"/>
          <w:sz w:val="22"/>
          <w:szCs w:val="22"/>
        </w:rPr>
        <w:t xml:space="preserve"> </w:t>
      </w:r>
      <w:bookmarkEnd w:id="15"/>
      <w:r w:rsidR="00AF1C21" w:rsidRPr="0097564A">
        <w:rPr>
          <w:rFonts w:asciiTheme="majorHAnsi" w:hAnsiTheme="majorHAnsi" w:cstheme="majorHAnsi"/>
          <w:color w:val="auto"/>
          <w:sz w:val="22"/>
          <w:szCs w:val="22"/>
        </w:rPr>
        <w:t>Phương pháp nghiên cứu</w:t>
      </w:r>
    </w:p>
    <w:p w14:paraId="7DC6EBF3" w14:textId="40CF9B6D" w:rsidR="00473E1D" w:rsidRDefault="00473E1D" w:rsidP="00CC418B">
      <w:pPr>
        <w:tabs>
          <w:tab w:val="left" w:pos="1134"/>
        </w:tabs>
        <w:snapToGrid w:val="0"/>
        <w:spacing w:before="120" w:after="120"/>
        <w:ind w:firstLine="567"/>
        <w:jc w:val="both"/>
        <w:rPr>
          <w:rFonts w:asciiTheme="majorHAnsi" w:hAnsiTheme="majorHAnsi" w:cstheme="majorHAnsi"/>
          <w:sz w:val="22"/>
          <w:szCs w:val="22"/>
        </w:rPr>
      </w:pPr>
      <w:bookmarkStart w:id="16" w:name="_Toc346561231"/>
      <w:r w:rsidRPr="0097564A">
        <w:rPr>
          <w:rFonts w:asciiTheme="majorHAnsi" w:hAnsiTheme="majorHAnsi" w:cstheme="majorHAnsi"/>
          <w:sz w:val="22"/>
          <w:szCs w:val="22"/>
        </w:rPr>
        <w:t>Bài viết kết hợp sử dụng các phương pháp tổng hợp, hệ thống và phân tích để làm rõ cơ sở lý thuyết về chuyển giao công nghệ của các dự án đầu tư trực tiếp nước ngoài. Trên cơ sở đó, bài viết sử dụng nguồn dữ liệu thứ cấp từ các cơ quan Chính Phủ để tổng hợp và đánh giá thực trạng, những mặt tích cực cũng như những vấn đề còn tồn đọng của chuyển giao công nghệ FDI. Qua đó đề xuất một số giải pháp thúc đẩy phát triển công nghệ và chuyển giao công nghệ từ các dự án đầu tư trực tiếp nước ngoài hiện nay</w:t>
      </w:r>
    </w:p>
    <w:p w14:paraId="6DB4FDF1" w14:textId="61E4C289" w:rsidR="00F94BC8" w:rsidRPr="0097564A" w:rsidRDefault="001600FD" w:rsidP="00CC418B">
      <w:pPr>
        <w:pStyle w:val="Heading3"/>
        <w:snapToGrid w:val="0"/>
        <w:spacing w:before="120" w:after="120"/>
        <w:jc w:val="both"/>
        <w:rPr>
          <w:rFonts w:asciiTheme="majorHAnsi" w:hAnsiTheme="majorHAnsi" w:cstheme="majorHAnsi"/>
          <w:b w:val="0"/>
          <w:color w:val="auto"/>
          <w:sz w:val="22"/>
          <w:szCs w:val="22"/>
        </w:rPr>
      </w:pPr>
      <w:r w:rsidRPr="0097564A">
        <w:rPr>
          <w:rFonts w:asciiTheme="majorHAnsi" w:hAnsiTheme="majorHAnsi" w:cstheme="majorHAnsi"/>
          <w:color w:val="auto"/>
          <w:sz w:val="22"/>
          <w:szCs w:val="22"/>
        </w:rPr>
        <w:t>2.</w:t>
      </w:r>
      <w:r w:rsidR="003359AA" w:rsidRPr="0097564A">
        <w:rPr>
          <w:rFonts w:asciiTheme="majorHAnsi" w:hAnsiTheme="majorHAnsi" w:cstheme="majorHAnsi"/>
          <w:color w:val="auto"/>
          <w:sz w:val="22"/>
          <w:szCs w:val="22"/>
        </w:rPr>
        <w:t>3</w:t>
      </w:r>
      <w:r w:rsidR="007D6886" w:rsidRPr="0097564A">
        <w:rPr>
          <w:rFonts w:asciiTheme="majorHAnsi" w:hAnsiTheme="majorHAnsi" w:cstheme="majorHAnsi"/>
          <w:color w:val="auto"/>
          <w:sz w:val="22"/>
          <w:szCs w:val="22"/>
        </w:rPr>
        <w:t>.</w:t>
      </w:r>
      <w:r w:rsidR="00F94BC8" w:rsidRPr="0097564A">
        <w:rPr>
          <w:rFonts w:asciiTheme="majorHAnsi" w:hAnsiTheme="majorHAnsi" w:cstheme="majorHAnsi"/>
          <w:color w:val="auto"/>
          <w:sz w:val="22"/>
          <w:szCs w:val="22"/>
        </w:rPr>
        <w:t xml:space="preserve">  </w:t>
      </w:r>
      <w:bookmarkEnd w:id="16"/>
      <w:r w:rsidR="00473E1D" w:rsidRPr="0097564A">
        <w:rPr>
          <w:rFonts w:asciiTheme="majorHAnsi" w:hAnsiTheme="majorHAnsi" w:cstheme="majorHAnsi"/>
          <w:color w:val="auto"/>
          <w:sz w:val="22"/>
          <w:szCs w:val="22"/>
        </w:rPr>
        <w:t>Thực trạng chuyển giao công nghệ đối với đầu tư trực tiếp nước ngoài vào Việt Nam</w:t>
      </w:r>
      <w:r w:rsidR="00F94BC8" w:rsidRPr="0097564A">
        <w:rPr>
          <w:rFonts w:asciiTheme="majorHAnsi" w:hAnsiTheme="majorHAnsi" w:cstheme="majorHAnsi"/>
          <w:color w:val="auto"/>
          <w:sz w:val="22"/>
          <w:szCs w:val="22"/>
        </w:rPr>
        <w:t xml:space="preserve"> </w:t>
      </w:r>
    </w:p>
    <w:p w14:paraId="3384681C" w14:textId="1D7D5C20" w:rsidR="00F93E25" w:rsidRDefault="00690B74" w:rsidP="00CC418B">
      <w:pPr>
        <w:snapToGrid w:val="0"/>
        <w:spacing w:before="120" w:after="120"/>
        <w:ind w:firstLine="567"/>
        <w:jc w:val="both"/>
        <w:rPr>
          <w:rFonts w:asciiTheme="majorHAnsi" w:hAnsiTheme="majorHAnsi" w:cstheme="majorHAnsi"/>
          <w:sz w:val="22"/>
          <w:szCs w:val="22"/>
        </w:rPr>
      </w:pPr>
      <w:r w:rsidRPr="00690B74">
        <w:rPr>
          <w:rFonts w:asciiTheme="majorHAnsi" w:hAnsiTheme="majorHAnsi" w:cstheme="majorHAnsi"/>
          <w:sz w:val="22"/>
          <w:szCs w:val="22"/>
        </w:rPr>
        <w:t>Tổng vốn đầu tư FDI vào Việt Nam năm 2015 có 62 quốc gia và vùng lãnh thổ mà  Hàn Quốc dẫn đầu với 6.983,2 triệu USD, đứng thứ hai là Singapore với tổng vốn đầu tư là 2.082,5 triệu USD và thứ ba là Nhật Bản với 180,4 triệu USD</w:t>
      </w:r>
      <w:r w:rsidR="00F93E25" w:rsidRPr="00456906">
        <w:rPr>
          <w:rFonts w:asciiTheme="majorHAnsi" w:hAnsiTheme="majorHAnsi" w:cstheme="majorHAnsi"/>
          <w:sz w:val="22"/>
          <w:szCs w:val="22"/>
        </w:rPr>
        <w:t>.</w:t>
      </w:r>
    </w:p>
    <w:p w14:paraId="6D440B3E" w14:textId="12AAF43F" w:rsidR="00752658" w:rsidRPr="00A85E78" w:rsidRDefault="00752658" w:rsidP="00CC418B">
      <w:pPr>
        <w:snapToGrid w:val="0"/>
        <w:spacing w:before="120" w:after="120"/>
        <w:ind w:firstLine="567"/>
        <w:jc w:val="both"/>
        <w:rPr>
          <w:rFonts w:asciiTheme="majorHAnsi" w:hAnsiTheme="majorHAnsi" w:cstheme="majorHAnsi"/>
          <w:sz w:val="22"/>
          <w:szCs w:val="22"/>
        </w:rPr>
      </w:pPr>
      <w:r w:rsidRPr="00A85E78">
        <w:rPr>
          <w:rFonts w:asciiTheme="majorHAnsi" w:hAnsiTheme="majorHAnsi" w:cstheme="majorHAnsi"/>
          <w:sz w:val="22"/>
          <w:szCs w:val="22"/>
        </w:rPr>
        <w:t>Chỉ sau 5 năm 2016 - 2021, Việt Nam đã thu hút được đầu tư FDI từ 108 quốc gia và vùng lãnh thổ. Theo đó, FDI Singapore đã dẫn đầu với tổng vốn đầu tư tăng gấp 5,1 lần là 10.711,98 triệu USD, Hàn Quốc đứng thứ hai với 4.943,19 triệu USD, FDI Nhật Bản đứng thứ ba đã tăng gấp 21,6 lần là 3.897,48 triệu USD, tiếp đó là Trung Quốc, Hồng Kông, Đài Loan. Như vậy, chỉ 6 quốc gia đứng đầu trong 108 quốc gia và vùng lãnh thổ thì tổng vốn đầu tư FDI đã đóng góp vào Việt Nam là 26.052,13 triệu USD, chiếm 85,12% tổng FDI trong số 108 quốc gia và vùng lãnh thổ đầu tư vào Việt Nam. Từ đây, có thể thấy các quốc gia có vốn đầu tư FDI lớn nhất đầu tư vào Việt Nam là từ các quốc gia Châu Á</w:t>
      </w:r>
    </w:p>
    <w:p w14:paraId="36E665D5" w14:textId="77777777" w:rsidR="00F255A4" w:rsidRDefault="00182930" w:rsidP="00182930">
      <w:pPr>
        <w:tabs>
          <w:tab w:val="left" w:pos="567"/>
        </w:tabs>
        <w:snapToGrid w:val="0"/>
        <w:spacing w:before="120" w:after="120"/>
        <w:jc w:val="both"/>
        <w:rPr>
          <w:rFonts w:asciiTheme="majorHAnsi" w:hAnsiTheme="majorHAnsi" w:cstheme="majorHAnsi"/>
          <w:bCs/>
          <w:i/>
          <w:iCs/>
          <w:sz w:val="22"/>
          <w:szCs w:val="22"/>
        </w:rPr>
      </w:pPr>
      <w:r w:rsidRPr="00456906">
        <w:rPr>
          <w:rFonts w:asciiTheme="majorHAnsi" w:hAnsiTheme="majorHAnsi" w:cstheme="majorHAnsi"/>
          <w:bCs/>
          <w:i/>
          <w:iCs/>
          <w:sz w:val="22"/>
          <w:szCs w:val="22"/>
        </w:rPr>
        <w:tab/>
      </w:r>
    </w:p>
    <w:p w14:paraId="29FF62B4" w14:textId="77777777" w:rsidR="00A85E78" w:rsidRDefault="00A85E78" w:rsidP="00182930">
      <w:pPr>
        <w:tabs>
          <w:tab w:val="left" w:pos="567"/>
        </w:tabs>
        <w:snapToGrid w:val="0"/>
        <w:spacing w:before="120" w:after="120"/>
        <w:jc w:val="both"/>
        <w:rPr>
          <w:rFonts w:asciiTheme="majorHAnsi" w:hAnsiTheme="majorHAnsi" w:cstheme="majorHAnsi"/>
          <w:bCs/>
          <w:i/>
          <w:iCs/>
          <w:sz w:val="22"/>
          <w:szCs w:val="22"/>
        </w:rPr>
      </w:pPr>
    </w:p>
    <w:p w14:paraId="03673180" w14:textId="77777777" w:rsidR="00A85E78" w:rsidRDefault="00A85E78" w:rsidP="00182930">
      <w:pPr>
        <w:tabs>
          <w:tab w:val="left" w:pos="567"/>
        </w:tabs>
        <w:snapToGrid w:val="0"/>
        <w:spacing w:before="120" w:after="120"/>
        <w:jc w:val="both"/>
        <w:rPr>
          <w:rFonts w:asciiTheme="majorHAnsi" w:hAnsiTheme="majorHAnsi" w:cstheme="majorHAnsi"/>
          <w:bCs/>
          <w:i/>
          <w:iCs/>
          <w:sz w:val="22"/>
          <w:szCs w:val="22"/>
        </w:rPr>
      </w:pPr>
    </w:p>
    <w:p w14:paraId="58CACBD9" w14:textId="457A6450" w:rsidR="00A85E78" w:rsidRDefault="00A85E78" w:rsidP="00182930">
      <w:pPr>
        <w:tabs>
          <w:tab w:val="left" w:pos="567"/>
        </w:tabs>
        <w:snapToGrid w:val="0"/>
        <w:spacing w:before="120" w:after="120"/>
        <w:jc w:val="both"/>
        <w:rPr>
          <w:rFonts w:asciiTheme="majorHAnsi" w:hAnsiTheme="majorHAnsi" w:cstheme="majorHAnsi"/>
          <w:bCs/>
          <w:i/>
          <w:iCs/>
          <w:sz w:val="22"/>
          <w:szCs w:val="22"/>
        </w:rPr>
        <w:sectPr w:rsidR="00A85E78" w:rsidSect="00ED2544">
          <w:footerReference w:type="default" r:id="rId9"/>
          <w:endnotePr>
            <w:numFmt w:val="decimalEnclosedCircleChinese"/>
          </w:endnotePr>
          <w:type w:val="continuous"/>
          <w:pgSz w:w="11907" w:h="16840" w:code="9"/>
          <w:pgMar w:top="1134" w:right="1134" w:bottom="1134" w:left="1418" w:header="720" w:footer="720" w:gutter="0"/>
          <w:pgNumType w:start="1"/>
          <w:cols w:num="2" w:space="720"/>
          <w:docGrid w:linePitch="360"/>
        </w:sectPr>
      </w:pPr>
    </w:p>
    <w:tbl>
      <w:tblPr>
        <w:tblW w:w="10356" w:type="dxa"/>
        <w:tblInd w:w="-431" w:type="dxa"/>
        <w:tblLook w:val="04A0" w:firstRow="1" w:lastRow="0" w:firstColumn="1" w:lastColumn="0" w:noHBand="0" w:noVBand="1"/>
      </w:tblPr>
      <w:tblGrid>
        <w:gridCol w:w="618"/>
        <w:gridCol w:w="1155"/>
        <w:gridCol w:w="1054"/>
        <w:gridCol w:w="1054"/>
        <w:gridCol w:w="1053"/>
        <w:gridCol w:w="1053"/>
        <w:gridCol w:w="1052"/>
        <w:gridCol w:w="1094"/>
        <w:gridCol w:w="1094"/>
        <w:gridCol w:w="1129"/>
      </w:tblGrid>
      <w:tr w:rsidR="00F255A4" w:rsidRPr="00D42FB0" w14:paraId="1CD34101" w14:textId="77777777" w:rsidTr="00B80B46">
        <w:trPr>
          <w:trHeight w:val="570"/>
        </w:trPr>
        <w:tc>
          <w:tcPr>
            <w:tcW w:w="10356" w:type="dxa"/>
            <w:gridSpan w:val="10"/>
            <w:tcBorders>
              <w:bottom w:val="single" w:sz="4" w:space="0" w:color="auto"/>
            </w:tcBorders>
            <w:shd w:val="clear" w:color="auto" w:fill="auto"/>
            <w:vAlign w:val="center"/>
          </w:tcPr>
          <w:p w14:paraId="4F6CD279" w14:textId="77777777" w:rsidR="00F255A4" w:rsidRPr="00D42FB0" w:rsidRDefault="00F255A4" w:rsidP="007051BF">
            <w:pPr>
              <w:spacing w:line="360" w:lineRule="auto"/>
              <w:ind w:firstLine="42"/>
              <w:jc w:val="center"/>
              <w:rPr>
                <w:rFonts w:asciiTheme="majorHAnsi" w:eastAsia="Times New Roman" w:hAnsiTheme="majorHAnsi" w:cstheme="majorHAnsi"/>
                <w:b/>
                <w:bCs/>
                <w:color w:val="000000"/>
                <w:sz w:val="22"/>
                <w:szCs w:val="22"/>
                <w:lang w:val="en-US" w:eastAsia="vi-VN"/>
              </w:rPr>
            </w:pPr>
            <w:r w:rsidRPr="00D42FB0">
              <w:rPr>
                <w:rFonts w:asciiTheme="majorHAnsi" w:eastAsia="Times New Roman" w:hAnsiTheme="majorHAnsi" w:cstheme="majorHAnsi"/>
                <w:b/>
                <w:bCs/>
                <w:color w:val="000000"/>
                <w:sz w:val="22"/>
                <w:szCs w:val="22"/>
                <w:lang w:val="en-US" w:eastAsia="vi-VN"/>
              </w:rPr>
              <w:lastRenderedPageBreak/>
              <w:t xml:space="preserve">Bảng 1. </w:t>
            </w:r>
            <w:r w:rsidRPr="00D42FB0">
              <w:rPr>
                <w:rFonts w:asciiTheme="majorHAnsi" w:eastAsia="Times New Roman" w:hAnsiTheme="majorHAnsi" w:cstheme="majorHAnsi"/>
                <w:color w:val="000000"/>
                <w:sz w:val="22"/>
                <w:szCs w:val="22"/>
                <w:lang w:val="en-US" w:eastAsia="vi-VN"/>
              </w:rPr>
              <w:t>Vốn đăng ký của 20 nhà đầu tư FDI lớn nhất tại Việt Nam giai đoạn 2015-2022 (triệu USD)</w:t>
            </w:r>
          </w:p>
        </w:tc>
      </w:tr>
      <w:tr w:rsidR="00F255A4" w:rsidRPr="00D42FB0" w14:paraId="1FB597B8" w14:textId="77777777" w:rsidTr="00B80B46">
        <w:trPr>
          <w:trHeight w:val="30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tcPr>
          <w:p w14:paraId="6F717D0E" w14:textId="77777777" w:rsidR="00F255A4" w:rsidRPr="00D42FB0" w:rsidRDefault="00F255A4" w:rsidP="00B80B46">
            <w:pPr>
              <w:spacing w:line="360" w:lineRule="auto"/>
              <w:jc w:val="both"/>
              <w:rPr>
                <w:rFonts w:asciiTheme="majorHAnsi" w:eastAsia="Times New Roman" w:hAnsiTheme="majorHAnsi" w:cstheme="majorHAnsi"/>
                <w:b/>
                <w:bCs/>
                <w:color w:val="000000"/>
                <w:sz w:val="20"/>
                <w:szCs w:val="20"/>
                <w:lang w:eastAsia="vi-VN"/>
              </w:rPr>
            </w:pPr>
            <w:r w:rsidRPr="00D42FB0">
              <w:rPr>
                <w:rFonts w:asciiTheme="majorHAnsi" w:eastAsia="Times New Roman" w:hAnsiTheme="majorHAnsi" w:cstheme="majorHAnsi"/>
                <w:b/>
                <w:bCs/>
                <w:color w:val="000000"/>
                <w:sz w:val="20"/>
                <w:szCs w:val="20"/>
                <w:lang w:eastAsia="vi-VN"/>
              </w:rPr>
              <w:t>TT</w:t>
            </w:r>
          </w:p>
        </w:tc>
        <w:tc>
          <w:tcPr>
            <w:tcW w:w="1157" w:type="dxa"/>
            <w:tcBorders>
              <w:top w:val="single" w:sz="4" w:space="0" w:color="auto"/>
              <w:left w:val="nil"/>
              <w:bottom w:val="single" w:sz="4" w:space="0" w:color="auto"/>
              <w:right w:val="single" w:sz="4" w:space="0" w:color="auto"/>
            </w:tcBorders>
            <w:shd w:val="clear" w:color="auto" w:fill="auto"/>
            <w:vAlign w:val="center"/>
          </w:tcPr>
          <w:p w14:paraId="6FD77D0A" w14:textId="77777777" w:rsidR="00F255A4" w:rsidRPr="00D42FB0" w:rsidRDefault="00F255A4" w:rsidP="00B80B46">
            <w:pPr>
              <w:spacing w:line="360" w:lineRule="auto"/>
              <w:ind w:firstLineChars="100" w:firstLine="201"/>
              <w:jc w:val="both"/>
              <w:rPr>
                <w:rFonts w:asciiTheme="majorHAnsi" w:eastAsia="Times New Roman" w:hAnsiTheme="majorHAnsi" w:cstheme="majorHAnsi"/>
                <w:b/>
                <w:bCs/>
                <w:color w:val="000000"/>
                <w:sz w:val="20"/>
                <w:szCs w:val="20"/>
                <w:lang w:eastAsia="vi-VN"/>
              </w:rPr>
            </w:pPr>
            <w:r w:rsidRPr="00D42FB0">
              <w:rPr>
                <w:rFonts w:asciiTheme="majorHAnsi" w:eastAsia="Times New Roman" w:hAnsiTheme="majorHAnsi" w:cstheme="majorHAnsi"/>
                <w:b/>
                <w:bCs/>
                <w:color w:val="000000"/>
                <w:sz w:val="20"/>
                <w:szCs w:val="20"/>
                <w:lang w:eastAsia="vi-VN"/>
              </w:rPr>
              <w:t>Nước Đầu tư</w:t>
            </w:r>
          </w:p>
        </w:tc>
        <w:tc>
          <w:tcPr>
            <w:tcW w:w="1059" w:type="dxa"/>
            <w:tcBorders>
              <w:top w:val="single" w:sz="4" w:space="0" w:color="auto"/>
              <w:left w:val="nil"/>
              <w:bottom w:val="single" w:sz="4" w:space="0" w:color="auto"/>
              <w:right w:val="single" w:sz="4" w:space="0" w:color="auto"/>
            </w:tcBorders>
            <w:shd w:val="clear" w:color="auto" w:fill="auto"/>
            <w:vAlign w:val="center"/>
          </w:tcPr>
          <w:p w14:paraId="38E4EBAF" w14:textId="77777777" w:rsidR="00F255A4" w:rsidRPr="00D42FB0" w:rsidRDefault="00F255A4" w:rsidP="00B80B46">
            <w:pPr>
              <w:spacing w:line="360" w:lineRule="auto"/>
              <w:jc w:val="both"/>
              <w:rPr>
                <w:rFonts w:asciiTheme="majorHAnsi" w:eastAsia="Times New Roman" w:hAnsiTheme="majorHAnsi" w:cstheme="majorHAnsi"/>
                <w:b/>
                <w:bCs/>
                <w:color w:val="000000"/>
                <w:sz w:val="20"/>
                <w:szCs w:val="20"/>
                <w:lang w:eastAsia="vi-VN"/>
              </w:rPr>
            </w:pPr>
            <w:r w:rsidRPr="00D42FB0">
              <w:rPr>
                <w:rFonts w:asciiTheme="majorHAnsi" w:eastAsia="Times New Roman" w:hAnsiTheme="majorHAnsi" w:cstheme="majorHAnsi"/>
                <w:b/>
                <w:bCs/>
                <w:color w:val="000000"/>
                <w:sz w:val="20"/>
                <w:szCs w:val="20"/>
                <w:lang w:eastAsia="vi-VN"/>
              </w:rPr>
              <w:t>2015</w:t>
            </w:r>
          </w:p>
        </w:tc>
        <w:tc>
          <w:tcPr>
            <w:tcW w:w="1059" w:type="dxa"/>
            <w:tcBorders>
              <w:top w:val="single" w:sz="4" w:space="0" w:color="auto"/>
              <w:left w:val="nil"/>
              <w:bottom w:val="single" w:sz="4" w:space="0" w:color="auto"/>
              <w:right w:val="single" w:sz="4" w:space="0" w:color="auto"/>
            </w:tcBorders>
            <w:shd w:val="clear" w:color="auto" w:fill="auto"/>
            <w:vAlign w:val="center"/>
          </w:tcPr>
          <w:p w14:paraId="41326693" w14:textId="77777777" w:rsidR="00F255A4" w:rsidRPr="00D42FB0" w:rsidRDefault="00F255A4" w:rsidP="00B80B46">
            <w:pPr>
              <w:spacing w:line="360" w:lineRule="auto"/>
              <w:jc w:val="both"/>
              <w:rPr>
                <w:rFonts w:asciiTheme="majorHAnsi" w:eastAsia="Times New Roman" w:hAnsiTheme="majorHAnsi" w:cstheme="majorHAnsi"/>
                <w:b/>
                <w:bCs/>
                <w:color w:val="000000"/>
                <w:sz w:val="20"/>
                <w:szCs w:val="20"/>
                <w:lang w:eastAsia="vi-VN"/>
              </w:rPr>
            </w:pPr>
            <w:r w:rsidRPr="00D42FB0">
              <w:rPr>
                <w:rFonts w:asciiTheme="majorHAnsi" w:eastAsia="Times New Roman" w:hAnsiTheme="majorHAnsi" w:cstheme="majorHAnsi"/>
                <w:b/>
                <w:bCs/>
                <w:color w:val="000000"/>
                <w:sz w:val="20"/>
                <w:szCs w:val="20"/>
                <w:lang w:eastAsia="vi-VN"/>
              </w:rPr>
              <w:t>2016</w:t>
            </w:r>
          </w:p>
        </w:tc>
        <w:tc>
          <w:tcPr>
            <w:tcW w:w="1058" w:type="dxa"/>
            <w:tcBorders>
              <w:top w:val="single" w:sz="4" w:space="0" w:color="auto"/>
              <w:left w:val="nil"/>
              <w:bottom w:val="single" w:sz="4" w:space="0" w:color="auto"/>
              <w:right w:val="single" w:sz="4" w:space="0" w:color="auto"/>
            </w:tcBorders>
            <w:shd w:val="clear" w:color="auto" w:fill="auto"/>
            <w:vAlign w:val="center"/>
          </w:tcPr>
          <w:p w14:paraId="4595F29D" w14:textId="77777777" w:rsidR="00F255A4" w:rsidRPr="00D42FB0" w:rsidRDefault="00F255A4" w:rsidP="00B80B46">
            <w:pPr>
              <w:spacing w:line="360" w:lineRule="auto"/>
              <w:jc w:val="both"/>
              <w:rPr>
                <w:rFonts w:asciiTheme="majorHAnsi" w:eastAsia="Times New Roman" w:hAnsiTheme="majorHAnsi" w:cstheme="majorHAnsi"/>
                <w:b/>
                <w:bCs/>
                <w:color w:val="000000"/>
                <w:sz w:val="20"/>
                <w:szCs w:val="20"/>
                <w:lang w:eastAsia="vi-VN"/>
              </w:rPr>
            </w:pPr>
            <w:r w:rsidRPr="00D42FB0">
              <w:rPr>
                <w:rFonts w:asciiTheme="majorHAnsi" w:eastAsia="Times New Roman" w:hAnsiTheme="majorHAnsi" w:cstheme="majorHAnsi"/>
                <w:b/>
                <w:bCs/>
                <w:color w:val="000000"/>
                <w:sz w:val="20"/>
                <w:szCs w:val="20"/>
                <w:lang w:eastAsia="vi-VN"/>
              </w:rPr>
              <w:t>2017</w:t>
            </w:r>
          </w:p>
        </w:tc>
        <w:tc>
          <w:tcPr>
            <w:tcW w:w="1058" w:type="dxa"/>
            <w:tcBorders>
              <w:top w:val="single" w:sz="4" w:space="0" w:color="auto"/>
              <w:left w:val="nil"/>
              <w:bottom w:val="single" w:sz="4" w:space="0" w:color="auto"/>
              <w:right w:val="single" w:sz="4" w:space="0" w:color="auto"/>
            </w:tcBorders>
            <w:shd w:val="clear" w:color="auto" w:fill="auto"/>
            <w:vAlign w:val="center"/>
          </w:tcPr>
          <w:p w14:paraId="24894961" w14:textId="77777777" w:rsidR="00F255A4" w:rsidRPr="00D42FB0" w:rsidRDefault="00F255A4" w:rsidP="00B80B46">
            <w:pPr>
              <w:spacing w:line="360" w:lineRule="auto"/>
              <w:jc w:val="both"/>
              <w:rPr>
                <w:rFonts w:asciiTheme="majorHAnsi" w:eastAsia="Times New Roman" w:hAnsiTheme="majorHAnsi" w:cstheme="majorHAnsi"/>
                <w:b/>
                <w:bCs/>
                <w:color w:val="000000"/>
                <w:sz w:val="20"/>
                <w:szCs w:val="20"/>
                <w:lang w:eastAsia="vi-VN"/>
              </w:rPr>
            </w:pPr>
            <w:r w:rsidRPr="00D42FB0">
              <w:rPr>
                <w:rFonts w:asciiTheme="majorHAnsi" w:eastAsia="Times New Roman" w:hAnsiTheme="majorHAnsi" w:cstheme="majorHAnsi"/>
                <w:b/>
                <w:bCs/>
                <w:color w:val="000000"/>
                <w:sz w:val="20"/>
                <w:szCs w:val="20"/>
                <w:lang w:eastAsia="vi-VN"/>
              </w:rPr>
              <w:t>2018</w:t>
            </w:r>
          </w:p>
        </w:tc>
        <w:tc>
          <w:tcPr>
            <w:tcW w:w="1057" w:type="dxa"/>
            <w:tcBorders>
              <w:top w:val="single" w:sz="4" w:space="0" w:color="auto"/>
              <w:left w:val="nil"/>
              <w:bottom w:val="single" w:sz="4" w:space="0" w:color="auto"/>
              <w:right w:val="single" w:sz="4" w:space="0" w:color="auto"/>
            </w:tcBorders>
            <w:shd w:val="clear" w:color="auto" w:fill="auto"/>
            <w:vAlign w:val="center"/>
          </w:tcPr>
          <w:p w14:paraId="41D0C7A2" w14:textId="77777777" w:rsidR="00F255A4" w:rsidRPr="00D42FB0" w:rsidRDefault="00F255A4" w:rsidP="00B80B46">
            <w:pPr>
              <w:spacing w:line="360" w:lineRule="auto"/>
              <w:jc w:val="both"/>
              <w:rPr>
                <w:rFonts w:asciiTheme="majorHAnsi" w:eastAsia="Times New Roman" w:hAnsiTheme="majorHAnsi" w:cstheme="majorHAnsi"/>
                <w:b/>
                <w:bCs/>
                <w:color w:val="000000"/>
                <w:sz w:val="20"/>
                <w:szCs w:val="20"/>
                <w:lang w:eastAsia="vi-VN"/>
              </w:rPr>
            </w:pPr>
            <w:r w:rsidRPr="00D42FB0">
              <w:rPr>
                <w:rFonts w:asciiTheme="majorHAnsi" w:eastAsia="Times New Roman" w:hAnsiTheme="majorHAnsi" w:cstheme="majorHAnsi"/>
                <w:b/>
                <w:bCs/>
                <w:color w:val="000000"/>
                <w:sz w:val="20"/>
                <w:szCs w:val="20"/>
                <w:lang w:eastAsia="vi-VN"/>
              </w:rPr>
              <w:t>2019</w:t>
            </w:r>
          </w:p>
        </w:tc>
        <w:tc>
          <w:tcPr>
            <w:tcW w:w="1096" w:type="dxa"/>
            <w:tcBorders>
              <w:top w:val="single" w:sz="4" w:space="0" w:color="auto"/>
              <w:left w:val="nil"/>
              <w:bottom w:val="single" w:sz="4" w:space="0" w:color="auto"/>
              <w:right w:val="single" w:sz="4" w:space="0" w:color="auto"/>
            </w:tcBorders>
            <w:shd w:val="clear" w:color="auto" w:fill="auto"/>
            <w:vAlign w:val="center"/>
          </w:tcPr>
          <w:p w14:paraId="018770F1" w14:textId="77777777" w:rsidR="00F255A4" w:rsidRPr="00D42FB0" w:rsidRDefault="00F255A4" w:rsidP="00B80B46">
            <w:pPr>
              <w:spacing w:line="360" w:lineRule="auto"/>
              <w:jc w:val="both"/>
              <w:rPr>
                <w:rFonts w:asciiTheme="majorHAnsi" w:eastAsia="Times New Roman" w:hAnsiTheme="majorHAnsi" w:cstheme="majorHAnsi"/>
                <w:b/>
                <w:bCs/>
                <w:color w:val="000000"/>
                <w:sz w:val="20"/>
                <w:szCs w:val="20"/>
                <w:lang w:eastAsia="vi-VN"/>
              </w:rPr>
            </w:pPr>
            <w:r w:rsidRPr="00D42FB0">
              <w:rPr>
                <w:rFonts w:asciiTheme="majorHAnsi" w:eastAsia="Times New Roman" w:hAnsiTheme="majorHAnsi" w:cstheme="majorHAnsi"/>
                <w:b/>
                <w:bCs/>
                <w:color w:val="000000"/>
                <w:sz w:val="20"/>
                <w:szCs w:val="20"/>
                <w:lang w:eastAsia="vi-VN"/>
              </w:rPr>
              <w:t>2020</w:t>
            </w:r>
          </w:p>
        </w:tc>
        <w:tc>
          <w:tcPr>
            <w:tcW w:w="1096" w:type="dxa"/>
            <w:tcBorders>
              <w:top w:val="single" w:sz="4" w:space="0" w:color="auto"/>
              <w:left w:val="nil"/>
              <w:bottom w:val="single" w:sz="4" w:space="0" w:color="auto"/>
              <w:right w:val="single" w:sz="4" w:space="0" w:color="auto"/>
            </w:tcBorders>
            <w:shd w:val="clear" w:color="auto" w:fill="auto"/>
            <w:vAlign w:val="center"/>
          </w:tcPr>
          <w:p w14:paraId="44046DEB" w14:textId="77777777" w:rsidR="00F255A4" w:rsidRPr="00D42FB0" w:rsidRDefault="00F255A4" w:rsidP="00B80B46">
            <w:pPr>
              <w:spacing w:line="360" w:lineRule="auto"/>
              <w:jc w:val="both"/>
              <w:rPr>
                <w:rFonts w:asciiTheme="majorHAnsi" w:eastAsia="Times New Roman" w:hAnsiTheme="majorHAnsi" w:cstheme="majorHAnsi"/>
                <w:b/>
                <w:bCs/>
                <w:color w:val="000000"/>
                <w:sz w:val="20"/>
                <w:szCs w:val="20"/>
                <w:lang w:eastAsia="vi-VN"/>
              </w:rPr>
            </w:pPr>
            <w:r w:rsidRPr="00D42FB0">
              <w:rPr>
                <w:rFonts w:asciiTheme="majorHAnsi" w:eastAsia="Times New Roman" w:hAnsiTheme="majorHAnsi" w:cstheme="majorHAnsi"/>
                <w:b/>
                <w:bCs/>
                <w:color w:val="000000"/>
                <w:sz w:val="20"/>
                <w:szCs w:val="20"/>
                <w:lang w:eastAsia="vi-VN"/>
              </w:rPr>
              <w:t>2021</w:t>
            </w:r>
          </w:p>
        </w:tc>
        <w:tc>
          <w:tcPr>
            <w:tcW w:w="1096" w:type="dxa"/>
            <w:tcBorders>
              <w:top w:val="single" w:sz="4" w:space="0" w:color="auto"/>
              <w:left w:val="nil"/>
              <w:bottom w:val="single" w:sz="4" w:space="0" w:color="auto"/>
              <w:right w:val="single" w:sz="4" w:space="0" w:color="auto"/>
            </w:tcBorders>
            <w:vAlign w:val="center"/>
          </w:tcPr>
          <w:p w14:paraId="78F9BC31" w14:textId="77777777" w:rsidR="00F255A4" w:rsidRPr="00D42FB0" w:rsidRDefault="00F255A4" w:rsidP="00B80B46">
            <w:pPr>
              <w:spacing w:line="360" w:lineRule="auto"/>
              <w:jc w:val="both"/>
              <w:rPr>
                <w:rFonts w:asciiTheme="majorHAnsi" w:eastAsia="Times New Roman" w:hAnsiTheme="majorHAnsi" w:cstheme="majorHAnsi"/>
                <w:b/>
                <w:bCs/>
                <w:color w:val="000000"/>
                <w:sz w:val="20"/>
                <w:szCs w:val="20"/>
                <w:lang w:val="en-US" w:eastAsia="vi-VN"/>
              </w:rPr>
            </w:pPr>
            <w:r w:rsidRPr="00D42FB0">
              <w:rPr>
                <w:rFonts w:asciiTheme="majorHAnsi" w:eastAsia="Times New Roman" w:hAnsiTheme="majorHAnsi" w:cstheme="majorHAnsi"/>
                <w:b/>
                <w:bCs/>
                <w:color w:val="000000"/>
                <w:sz w:val="20"/>
                <w:szCs w:val="20"/>
                <w:lang w:val="en-US" w:eastAsia="vi-VN"/>
              </w:rPr>
              <w:t>2022</w:t>
            </w:r>
          </w:p>
        </w:tc>
      </w:tr>
      <w:tr w:rsidR="00F255A4" w:rsidRPr="00D42FB0" w14:paraId="1CA2E5BF" w14:textId="77777777" w:rsidTr="00B80B46">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48A2153"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w:t>
            </w:r>
          </w:p>
        </w:tc>
        <w:tc>
          <w:tcPr>
            <w:tcW w:w="1157" w:type="dxa"/>
            <w:tcBorders>
              <w:top w:val="nil"/>
              <w:left w:val="nil"/>
              <w:bottom w:val="single" w:sz="4" w:space="0" w:color="auto"/>
              <w:right w:val="single" w:sz="4" w:space="0" w:color="auto"/>
            </w:tcBorders>
            <w:shd w:val="clear" w:color="auto" w:fill="auto"/>
            <w:vAlign w:val="center"/>
            <w:hideMark/>
          </w:tcPr>
          <w:p w14:paraId="122D1877"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Singapore</w:t>
            </w:r>
          </w:p>
        </w:tc>
        <w:tc>
          <w:tcPr>
            <w:tcW w:w="1059" w:type="dxa"/>
            <w:tcBorders>
              <w:top w:val="nil"/>
              <w:left w:val="nil"/>
              <w:bottom w:val="single" w:sz="4" w:space="0" w:color="auto"/>
              <w:right w:val="single" w:sz="4" w:space="0" w:color="auto"/>
            </w:tcBorders>
            <w:shd w:val="clear" w:color="auto" w:fill="auto"/>
            <w:vAlign w:val="center"/>
            <w:hideMark/>
          </w:tcPr>
          <w:p w14:paraId="67104041"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2.082,5</w:t>
            </w:r>
          </w:p>
        </w:tc>
        <w:tc>
          <w:tcPr>
            <w:tcW w:w="1059" w:type="dxa"/>
            <w:tcBorders>
              <w:top w:val="nil"/>
              <w:left w:val="nil"/>
              <w:bottom w:val="single" w:sz="4" w:space="0" w:color="auto"/>
              <w:right w:val="single" w:sz="4" w:space="0" w:color="auto"/>
            </w:tcBorders>
            <w:shd w:val="clear" w:color="auto" w:fill="auto"/>
            <w:vAlign w:val="center"/>
            <w:hideMark/>
          </w:tcPr>
          <w:p w14:paraId="757DF233"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2.419,1</w:t>
            </w:r>
          </w:p>
        </w:tc>
        <w:tc>
          <w:tcPr>
            <w:tcW w:w="1058" w:type="dxa"/>
            <w:tcBorders>
              <w:top w:val="nil"/>
              <w:left w:val="nil"/>
              <w:bottom w:val="single" w:sz="4" w:space="0" w:color="auto"/>
              <w:right w:val="single" w:sz="4" w:space="0" w:color="auto"/>
            </w:tcBorders>
            <w:shd w:val="clear" w:color="auto" w:fill="auto"/>
            <w:vAlign w:val="center"/>
            <w:hideMark/>
          </w:tcPr>
          <w:p w14:paraId="7BC180A4"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5.307,8</w:t>
            </w:r>
          </w:p>
        </w:tc>
        <w:tc>
          <w:tcPr>
            <w:tcW w:w="1058" w:type="dxa"/>
            <w:tcBorders>
              <w:top w:val="nil"/>
              <w:left w:val="nil"/>
              <w:bottom w:val="single" w:sz="4" w:space="0" w:color="auto"/>
              <w:right w:val="single" w:sz="4" w:space="0" w:color="auto"/>
            </w:tcBorders>
            <w:shd w:val="clear" w:color="auto" w:fill="auto"/>
            <w:vAlign w:val="center"/>
            <w:hideMark/>
          </w:tcPr>
          <w:p w14:paraId="497105FE"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5.071,0</w:t>
            </w:r>
          </w:p>
        </w:tc>
        <w:tc>
          <w:tcPr>
            <w:tcW w:w="1057" w:type="dxa"/>
            <w:tcBorders>
              <w:top w:val="nil"/>
              <w:left w:val="nil"/>
              <w:bottom w:val="single" w:sz="4" w:space="0" w:color="auto"/>
              <w:right w:val="single" w:sz="4" w:space="0" w:color="auto"/>
            </w:tcBorders>
            <w:shd w:val="clear" w:color="auto" w:fill="auto"/>
            <w:vAlign w:val="center"/>
            <w:hideMark/>
          </w:tcPr>
          <w:p w14:paraId="0FFFC934"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4.501,7</w:t>
            </w:r>
          </w:p>
        </w:tc>
        <w:tc>
          <w:tcPr>
            <w:tcW w:w="1096" w:type="dxa"/>
            <w:tcBorders>
              <w:top w:val="nil"/>
              <w:left w:val="nil"/>
              <w:bottom w:val="single" w:sz="4" w:space="0" w:color="auto"/>
              <w:right w:val="single" w:sz="4" w:space="0" w:color="auto"/>
            </w:tcBorders>
            <w:shd w:val="clear" w:color="auto" w:fill="auto"/>
            <w:vAlign w:val="center"/>
            <w:hideMark/>
          </w:tcPr>
          <w:p w14:paraId="62D680E4"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8.994,11</w:t>
            </w:r>
          </w:p>
        </w:tc>
        <w:tc>
          <w:tcPr>
            <w:tcW w:w="1096" w:type="dxa"/>
            <w:tcBorders>
              <w:top w:val="nil"/>
              <w:left w:val="nil"/>
              <w:bottom w:val="single" w:sz="4" w:space="0" w:color="auto"/>
              <w:right w:val="single" w:sz="4" w:space="0" w:color="auto"/>
            </w:tcBorders>
            <w:shd w:val="clear" w:color="auto" w:fill="auto"/>
            <w:vAlign w:val="center"/>
            <w:hideMark/>
          </w:tcPr>
          <w:p w14:paraId="5A1BA316"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10.711,98</w:t>
            </w:r>
          </w:p>
        </w:tc>
        <w:tc>
          <w:tcPr>
            <w:tcW w:w="1096" w:type="dxa"/>
            <w:tcBorders>
              <w:top w:val="nil"/>
              <w:left w:val="nil"/>
              <w:bottom w:val="single" w:sz="4" w:space="0" w:color="auto"/>
              <w:right w:val="single" w:sz="4" w:space="0" w:color="auto"/>
            </w:tcBorders>
            <w:vAlign w:val="center"/>
          </w:tcPr>
          <w:p w14:paraId="714C7149"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val="en-US" w:eastAsia="vi-VN"/>
              </w:rPr>
            </w:pPr>
            <w:r w:rsidRPr="00D42FB0">
              <w:rPr>
                <w:rFonts w:asciiTheme="majorHAnsi" w:eastAsia="Times New Roman" w:hAnsiTheme="majorHAnsi" w:cstheme="majorHAnsi"/>
                <w:color w:val="000000"/>
                <w:sz w:val="20"/>
                <w:szCs w:val="20"/>
                <w:lang w:val="en-US" w:eastAsia="vi-VN"/>
              </w:rPr>
              <w:t>6.455,01</w:t>
            </w:r>
          </w:p>
        </w:tc>
      </w:tr>
      <w:tr w:rsidR="00F255A4" w:rsidRPr="00D42FB0" w14:paraId="3EE25D92" w14:textId="77777777" w:rsidTr="00B80B46">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0549D57"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w:t>
            </w:r>
          </w:p>
        </w:tc>
        <w:tc>
          <w:tcPr>
            <w:tcW w:w="1157" w:type="dxa"/>
            <w:tcBorders>
              <w:top w:val="nil"/>
              <w:left w:val="nil"/>
              <w:bottom w:val="single" w:sz="4" w:space="0" w:color="auto"/>
              <w:right w:val="single" w:sz="4" w:space="0" w:color="auto"/>
            </w:tcBorders>
            <w:shd w:val="clear" w:color="auto" w:fill="auto"/>
            <w:vAlign w:val="center"/>
            <w:hideMark/>
          </w:tcPr>
          <w:p w14:paraId="3924DAFD"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Hàn Quốc</w:t>
            </w:r>
          </w:p>
        </w:tc>
        <w:tc>
          <w:tcPr>
            <w:tcW w:w="1059" w:type="dxa"/>
            <w:tcBorders>
              <w:top w:val="nil"/>
              <w:left w:val="nil"/>
              <w:bottom w:val="single" w:sz="4" w:space="0" w:color="auto"/>
              <w:right w:val="single" w:sz="4" w:space="0" w:color="auto"/>
            </w:tcBorders>
            <w:shd w:val="clear" w:color="auto" w:fill="auto"/>
            <w:vAlign w:val="center"/>
            <w:hideMark/>
          </w:tcPr>
          <w:p w14:paraId="55F1E138"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6.983,2</w:t>
            </w:r>
          </w:p>
        </w:tc>
        <w:tc>
          <w:tcPr>
            <w:tcW w:w="1059" w:type="dxa"/>
            <w:tcBorders>
              <w:top w:val="nil"/>
              <w:left w:val="nil"/>
              <w:bottom w:val="single" w:sz="4" w:space="0" w:color="auto"/>
              <w:right w:val="single" w:sz="4" w:space="0" w:color="auto"/>
            </w:tcBorders>
            <w:shd w:val="clear" w:color="auto" w:fill="auto"/>
            <w:vAlign w:val="center"/>
            <w:hideMark/>
          </w:tcPr>
          <w:p w14:paraId="3B59FBDC"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7.036,3</w:t>
            </w:r>
          </w:p>
        </w:tc>
        <w:tc>
          <w:tcPr>
            <w:tcW w:w="1058" w:type="dxa"/>
            <w:tcBorders>
              <w:top w:val="nil"/>
              <w:left w:val="nil"/>
              <w:bottom w:val="single" w:sz="4" w:space="0" w:color="auto"/>
              <w:right w:val="single" w:sz="4" w:space="0" w:color="auto"/>
            </w:tcBorders>
            <w:shd w:val="clear" w:color="auto" w:fill="auto"/>
            <w:vAlign w:val="center"/>
            <w:hideMark/>
          </w:tcPr>
          <w:p w14:paraId="061FEA96"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8.494,3</w:t>
            </w:r>
          </w:p>
        </w:tc>
        <w:tc>
          <w:tcPr>
            <w:tcW w:w="1058" w:type="dxa"/>
            <w:tcBorders>
              <w:top w:val="nil"/>
              <w:left w:val="nil"/>
              <w:bottom w:val="single" w:sz="4" w:space="0" w:color="auto"/>
              <w:right w:val="single" w:sz="4" w:space="0" w:color="auto"/>
            </w:tcBorders>
            <w:shd w:val="clear" w:color="auto" w:fill="auto"/>
            <w:vAlign w:val="center"/>
            <w:hideMark/>
          </w:tcPr>
          <w:p w14:paraId="117730CC"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7.212,1</w:t>
            </w:r>
          </w:p>
        </w:tc>
        <w:tc>
          <w:tcPr>
            <w:tcW w:w="1057" w:type="dxa"/>
            <w:tcBorders>
              <w:top w:val="nil"/>
              <w:left w:val="nil"/>
              <w:bottom w:val="single" w:sz="4" w:space="0" w:color="auto"/>
              <w:right w:val="single" w:sz="4" w:space="0" w:color="auto"/>
            </w:tcBorders>
            <w:shd w:val="clear" w:color="auto" w:fill="auto"/>
            <w:vAlign w:val="center"/>
            <w:hideMark/>
          </w:tcPr>
          <w:p w14:paraId="2497AD58"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7.917,0</w:t>
            </w:r>
          </w:p>
        </w:tc>
        <w:tc>
          <w:tcPr>
            <w:tcW w:w="1096" w:type="dxa"/>
            <w:tcBorders>
              <w:top w:val="nil"/>
              <w:left w:val="nil"/>
              <w:bottom w:val="single" w:sz="4" w:space="0" w:color="auto"/>
              <w:right w:val="single" w:sz="4" w:space="0" w:color="auto"/>
            </w:tcBorders>
            <w:shd w:val="clear" w:color="auto" w:fill="auto"/>
            <w:vAlign w:val="center"/>
            <w:hideMark/>
          </w:tcPr>
          <w:p w14:paraId="69E1DB63"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3.949,11</w:t>
            </w:r>
          </w:p>
        </w:tc>
        <w:tc>
          <w:tcPr>
            <w:tcW w:w="1096" w:type="dxa"/>
            <w:tcBorders>
              <w:top w:val="nil"/>
              <w:left w:val="nil"/>
              <w:bottom w:val="single" w:sz="4" w:space="0" w:color="auto"/>
              <w:right w:val="single" w:sz="4" w:space="0" w:color="auto"/>
            </w:tcBorders>
            <w:shd w:val="clear" w:color="auto" w:fill="auto"/>
            <w:vAlign w:val="center"/>
            <w:hideMark/>
          </w:tcPr>
          <w:p w14:paraId="18AA5DAD"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4.953,19</w:t>
            </w:r>
          </w:p>
        </w:tc>
        <w:tc>
          <w:tcPr>
            <w:tcW w:w="1096" w:type="dxa"/>
            <w:tcBorders>
              <w:top w:val="nil"/>
              <w:left w:val="nil"/>
              <w:bottom w:val="single" w:sz="4" w:space="0" w:color="auto"/>
              <w:right w:val="single" w:sz="4" w:space="0" w:color="auto"/>
            </w:tcBorders>
            <w:vAlign w:val="center"/>
          </w:tcPr>
          <w:p w14:paraId="5AD88139"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val="en-US" w:eastAsia="vi-VN"/>
              </w:rPr>
            </w:pPr>
            <w:r w:rsidRPr="00D42FB0">
              <w:rPr>
                <w:rFonts w:asciiTheme="majorHAnsi" w:eastAsia="Times New Roman" w:hAnsiTheme="majorHAnsi" w:cstheme="majorHAnsi"/>
                <w:color w:val="000000"/>
                <w:sz w:val="20"/>
                <w:szCs w:val="20"/>
                <w:lang w:val="en-US" w:eastAsia="vi-VN"/>
              </w:rPr>
              <w:t>4.879,01</w:t>
            </w:r>
          </w:p>
        </w:tc>
      </w:tr>
      <w:tr w:rsidR="00F255A4" w:rsidRPr="00D42FB0" w14:paraId="5A1C9717" w14:textId="77777777" w:rsidTr="00B80B46">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D2C792B"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3</w:t>
            </w:r>
          </w:p>
        </w:tc>
        <w:tc>
          <w:tcPr>
            <w:tcW w:w="1157" w:type="dxa"/>
            <w:tcBorders>
              <w:top w:val="nil"/>
              <w:left w:val="nil"/>
              <w:bottom w:val="single" w:sz="4" w:space="0" w:color="auto"/>
              <w:right w:val="single" w:sz="4" w:space="0" w:color="auto"/>
            </w:tcBorders>
            <w:shd w:val="clear" w:color="auto" w:fill="auto"/>
            <w:vAlign w:val="center"/>
            <w:hideMark/>
          </w:tcPr>
          <w:p w14:paraId="7E3112E6"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Nhật Bản</w:t>
            </w:r>
          </w:p>
        </w:tc>
        <w:tc>
          <w:tcPr>
            <w:tcW w:w="1059" w:type="dxa"/>
            <w:tcBorders>
              <w:top w:val="nil"/>
              <w:left w:val="nil"/>
              <w:bottom w:val="single" w:sz="4" w:space="0" w:color="auto"/>
              <w:right w:val="single" w:sz="4" w:space="0" w:color="auto"/>
            </w:tcBorders>
            <w:shd w:val="clear" w:color="auto" w:fill="auto"/>
            <w:vAlign w:val="center"/>
            <w:hideMark/>
          </w:tcPr>
          <w:p w14:paraId="3BAF0F2B"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180,4</w:t>
            </w:r>
          </w:p>
        </w:tc>
        <w:tc>
          <w:tcPr>
            <w:tcW w:w="1059" w:type="dxa"/>
            <w:tcBorders>
              <w:top w:val="nil"/>
              <w:left w:val="nil"/>
              <w:bottom w:val="single" w:sz="4" w:space="0" w:color="auto"/>
              <w:right w:val="single" w:sz="4" w:space="0" w:color="auto"/>
            </w:tcBorders>
            <w:shd w:val="clear" w:color="auto" w:fill="auto"/>
            <w:vAlign w:val="center"/>
            <w:hideMark/>
          </w:tcPr>
          <w:p w14:paraId="45E5CA26"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2.589,9</w:t>
            </w:r>
          </w:p>
        </w:tc>
        <w:tc>
          <w:tcPr>
            <w:tcW w:w="1058" w:type="dxa"/>
            <w:tcBorders>
              <w:top w:val="nil"/>
              <w:left w:val="nil"/>
              <w:bottom w:val="single" w:sz="4" w:space="0" w:color="auto"/>
              <w:right w:val="single" w:sz="4" w:space="0" w:color="auto"/>
            </w:tcBorders>
            <w:shd w:val="clear" w:color="auto" w:fill="auto"/>
            <w:vAlign w:val="center"/>
            <w:hideMark/>
          </w:tcPr>
          <w:p w14:paraId="1B88F25E"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9.111,9</w:t>
            </w:r>
          </w:p>
        </w:tc>
        <w:tc>
          <w:tcPr>
            <w:tcW w:w="1058" w:type="dxa"/>
            <w:tcBorders>
              <w:top w:val="nil"/>
              <w:left w:val="nil"/>
              <w:bottom w:val="single" w:sz="4" w:space="0" w:color="auto"/>
              <w:right w:val="single" w:sz="4" w:space="0" w:color="auto"/>
            </w:tcBorders>
            <w:shd w:val="clear" w:color="auto" w:fill="auto"/>
            <w:vAlign w:val="center"/>
            <w:hideMark/>
          </w:tcPr>
          <w:p w14:paraId="6FC6BC77"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8.599,0</w:t>
            </w:r>
          </w:p>
        </w:tc>
        <w:tc>
          <w:tcPr>
            <w:tcW w:w="1057" w:type="dxa"/>
            <w:tcBorders>
              <w:top w:val="nil"/>
              <w:left w:val="nil"/>
              <w:bottom w:val="single" w:sz="4" w:space="0" w:color="auto"/>
              <w:right w:val="single" w:sz="4" w:space="0" w:color="auto"/>
            </w:tcBorders>
            <w:shd w:val="clear" w:color="auto" w:fill="auto"/>
            <w:vAlign w:val="center"/>
            <w:hideMark/>
          </w:tcPr>
          <w:p w14:paraId="3639038A"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4.137,6</w:t>
            </w:r>
          </w:p>
        </w:tc>
        <w:tc>
          <w:tcPr>
            <w:tcW w:w="1096" w:type="dxa"/>
            <w:tcBorders>
              <w:top w:val="nil"/>
              <w:left w:val="nil"/>
              <w:bottom w:val="single" w:sz="4" w:space="0" w:color="auto"/>
              <w:right w:val="single" w:sz="4" w:space="0" w:color="auto"/>
            </w:tcBorders>
            <w:shd w:val="clear" w:color="auto" w:fill="auto"/>
            <w:vAlign w:val="center"/>
            <w:hideMark/>
          </w:tcPr>
          <w:p w14:paraId="44498499"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2.367,98</w:t>
            </w:r>
          </w:p>
        </w:tc>
        <w:tc>
          <w:tcPr>
            <w:tcW w:w="1096" w:type="dxa"/>
            <w:tcBorders>
              <w:top w:val="nil"/>
              <w:left w:val="nil"/>
              <w:bottom w:val="single" w:sz="4" w:space="0" w:color="auto"/>
              <w:right w:val="single" w:sz="4" w:space="0" w:color="auto"/>
            </w:tcBorders>
            <w:shd w:val="clear" w:color="auto" w:fill="auto"/>
            <w:vAlign w:val="center"/>
            <w:hideMark/>
          </w:tcPr>
          <w:p w14:paraId="5370B5A7"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3.897,48</w:t>
            </w:r>
          </w:p>
        </w:tc>
        <w:tc>
          <w:tcPr>
            <w:tcW w:w="1096" w:type="dxa"/>
            <w:tcBorders>
              <w:top w:val="nil"/>
              <w:left w:val="nil"/>
              <w:bottom w:val="single" w:sz="4" w:space="0" w:color="auto"/>
              <w:right w:val="single" w:sz="4" w:space="0" w:color="auto"/>
            </w:tcBorders>
            <w:vAlign w:val="center"/>
          </w:tcPr>
          <w:p w14:paraId="25F599DE"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4</w:t>
            </w:r>
            <w:r w:rsidRPr="00D42FB0">
              <w:rPr>
                <w:rFonts w:asciiTheme="majorHAnsi" w:eastAsia="Times New Roman" w:hAnsiTheme="majorHAnsi" w:cstheme="majorHAnsi"/>
                <w:color w:val="000000"/>
                <w:sz w:val="20"/>
                <w:szCs w:val="20"/>
                <w:lang w:val="en-US" w:eastAsia="vi-VN"/>
              </w:rPr>
              <w:t>.</w:t>
            </w:r>
            <w:r w:rsidRPr="00D42FB0">
              <w:rPr>
                <w:rFonts w:asciiTheme="majorHAnsi" w:eastAsia="Times New Roman" w:hAnsiTheme="majorHAnsi" w:cstheme="majorHAnsi"/>
                <w:color w:val="000000"/>
                <w:sz w:val="20"/>
                <w:szCs w:val="20"/>
                <w:lang w:eastAsia="vi-VN"/>
              </w:rPr>
              <w:t>781,39</w:t>
            </w:r>
          </w:p>
        </w:tc>
      </w:tr>
      <w:tr w:rsidR="00F255A4" w:rsidRPr="00D42FB0" w14:paraId="7DEB685F" w14:textId="77777777" w:rsidTr="00B80B46">
        <w:trPr>
          <w:trHeight w:val="6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5DD2519"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4</w:t>
            </w:r>
          </w:p>
        </w:tc>
        <w:tc>
          <w:tcPr>
            <w:tcW w:w="1157" w:type="dxa"/>
            <w:tcBorders>
              <w:top w:val="nil"/>
              <w:left w:val="nil"/>
              <w:bottom w:val="single" w:sz="4" w:space="0" w:color="auto"/>
              <w:right w:val="single" w:sz="4" w:space="0" w:color="auto"/>
            </w:tcBorders>
            <w:shd w:val="clear" w:color="auto" w:fill="auto"/>
            <w:vAlign w:val="center"/>
            <w:hideMark/>
          </w:tcPr>
          <w:p w14:paraId="5FE4FE75"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Trung Quốc</w:t>
            </w:r>
          </w:p>
        </w:tc>
        <w:tc>
          <w:tcPr>
            <w:tcW w:w="1059" w:type="dxa"/>
            <w:tcBorders>
              <w:top w:val="nil"/>
              <w:left w:val="nil"/>
              <w:bottom w:val="single" w:sz="4" w:space="0" w:color="auto"/>
              <w:right w:val="single" w:sz="4" w:space="0" w:color="auto"/>
            </w:tcBorders>
            <w:shd w:val="clear" w:color="auto" w:fill="auto"/>
            <w:vAlign w:val="center"/>
            <w:hideMark/>
          </w:tcPr>
          <w:p w14:paraId="6F02A831"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744,1</w:t>
            </w:r>
          </w:p>
        </w:tc>
        <w:tc>
          <w:tcPr>
            <w:tcW w:w="1059" w:type="dxa"/>
            <w:tcBorders>
              <w:top w:val="nil"/>
              <w:left w:val="nil"/>
              <w:bottom w:val="single" w:sz="4" w:space="0" w:color="auto"/>
              <w:right w:val="single" w:sz="4" w:space="0" w:color="auto"/>
            </w:tcBorders>
            <w:shd w:val="clear" w:color="auto" w:fill="auto"/>
            <w:vAlign w:val="center"/>
            <w:hideMark/>
          </w:tcPr>
          <w:p w14:paraId="53FB49E6"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1.875,2</w:t>
            </w:r>
          </w:p>
        </w:tc>
        <w:tc>
          <w:tcPr>
            <w:tcW w:w="1058" w:type="dxa"/>
            <w:tcBorders>
              <w:top w:val="nil"/>
              <w:left w:val="nil"/>
              <w:bottom w:val="single" w:sz="4" w:space="0" w:color="auto"/>
              <w:right w:val="single" w:sz="4" w:space="0" w:color="auto"/>
            </w:tcBorders>
            <w:shd w:val="clear" w:color="auto" w:fill="auto"/>
            <w:vAlign w:val="center"/>
            <w:hideMark/>
          </w:tcPr>
          <w:p w14:paraId="6A4EDE2F"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2.168,4</w:t>
            </w:r>
          </w:p>
        </w:tc>
        <w:tc>
          <w:tcPr>
            <w:tcW w:w="1058" w:type="dxa"/>
            <w:tcBorders>
              <w:top w:val="nil"/>
              <w:left w:val="nil"/>
              <w:bottom w:val="single" w:sz="4" w:space="0" w:color="auto"/>
              <w:right w:val="single" w:sz="4" w:space="0" w:color="auto"/>
            </w:tcBorders>
            <w:shd w:val="clear" w:color="auto" w:fill="auto"/>
            <w:vAlign w:val="center"/>
            <w:hideMark/>
          </w:tcPr>
          <w:p w14:paraId="6EAEA4E9"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2.464,9</w:t>
            </w:r>
          </w:p>
        </w:tc>
        <w:tc>
          <w:tcPr>
            <w:tcW w:w="1057" w:type="dxa"/>
            <w:tcBorders>
              <w:top w:val="nil"/>
              <w:left w:val="nil"/>
              <w:bottom w:val="single" w:sz="4" w:space="0" w:color="auto"/>
              <w:right w:val="single" w:sz="4" w:space="0" w:color="auto"/>
            </w:tcBorders>
            <w:shd w:val="clear" w:color="auto" w:fill="auto"/>
            <w:vAlign w:val="center"/>
            <w:hideMark/>
          </w:tcPr>
          <w:p w14:paraId="3CF977CE"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4.062,9</w:t>
            </w:r>
          </w:p>
        </w:tc>
        <w:tc>
          <w:tcPr>
            <w:tcW w:w="1096" w:type="dxa"/>
            <w:tcBorders>
              <w:top w:val="nil"/>
              <w:left w:val="nil"/>
              <w:bottom w:val="single" w:sz="4" w:space="0" w:color="auto"/>
              <w:right w:val="single" w:sz="4" w:space="0" w:color="auto"/>
            </w:tcBorders>
            <w:shd w:val="clear" w:color="auto" w:fill="auto"/>
            <w:vAlign w:val="center"/>
            <w:hideMark/>
          </w:tcPr>
          <w:p w14:paraId="4975E8BC"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2.459,43</w:t>
            </w:r>
          </w:p>
        </w:tc>
        <w:tc>
          <w:tcPr>
            <w:tcW w:w="1096" w:type="dxa"/>
            <w:tcBorders>
              <w:top w:val="nil"/>
              <w:left w:val="nil"/>
              <w:bottom w:val="single" w:sz="4" w:space="0" w:color="auto"/>
              <w:right w:val="single" w:sz="4" w:space="0" w:color="auto"/>
            </w:tcBorders>
            <w:shd w:val="clear" w:color="auto" w:fill="auto"/>
            <w:vAlign w:val="center"/>
            <w:hideMark/>
          </w:tcPr>
          <w:p w14:paraId="4B6E5867"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2.921,72</w:t>
            </w:r>
          </w:p>
        </w:tc>
        <w:tc>
          <w:tcPr>
            <w:tcW w:w="1134" w:type="dxa"/>
            <w:tcBorders>
              <w:top w:val="nil"/>
              <w:left w:val="nil"/>
              <w:bottom w:val="single" w:sz="4" w:space="0" w:color="auto"/>
              <w:right w:val="single" w:sz="4" w:space="0" w:color="auto"/>
            </w:tcBorders>
            <w:vAlign w:val="center"/>
          </w:tcPr>
          <w:p w14:paraId="634234AB" w14:textId="77777777" w:rsidR="00F255A4" w:rsidRPr="00D42FB0" w:rsidRDefault="00F255A4" w:rsidP="00B80B46">
            <w:pPr>
              <w:spacing w:line="360" w:lineRule="auto"/>
              <w:jc w:val="both"/>
              <w:rPr>
                <w:rFonts w:asciiTheme="majorHAnsi" w:hAnsiTheme="majorHAnsi" w:cstheme="majorHAnsi"/>
                <w:color w:val="000000"/>
                <w:sz w:val="20"/>
                <w:szCs w:val="20"/>
              </w:rPr>
            </w:pPr>
            <w:r w:rsidRPr="00D42FB0">
              <w:rPr>
                <w:rFonts w:asciiTheme="majorHAnsi" w:hAnsiTheme="majorHAnsi" w:cstheme="majorHAnsi"/>
                <w:color w:val="000000"/>
                <w:sz w:val="20"/>
                <w:szCs w:val="20"/>
              </w:rPr>
              <w:t>2</w:t>
            </w:r>
            <w:r w:rsidRPr="00D42FB0">
              <w:rPr>
                <w:rFonts w:asciiTheme="majorHAnsi" w:hAnsiTheme="majorHAnsi" w:cstheme="majorHAnsi"/>
                <w:color w:val="000000"/>
                <w:sz w:val="20"/>
                <w:szCs w:val="20"/>
                <w:lang w:val="en-US"/>
              </w:rPr>
              <w:t>.</w:t>
            </w:r>
            <w:r w:rsidRPr="00D42FB0">
              <w:rPr>
                <w:rFonts w:asciiTheme="majorHAnsi" w:hAnsiTheme="majorHAnsi" w:cstheme="majorHAnsi"/>
                <w:color w:val="000000"/>
                <w:sz w:val="20"/>
                <w:szCs w:val="20"/>
              </w:rPr>
              <w:t>518,01</w:t>
            </w:r>
          </w:p>
        </w:tc>
      </w:tr>
      <w:tr w:rsidR="00F255A4" w:rsidRPr="00D42FB0" w14:paraId="27EAD7EA" w14:textId="77777777" w:rsidTr="00B80B46">
        <w:trPr>
          <w:trHeight w:val="6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B100610"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5</w:t>
            </w:r>
          </w:p>
        </w:tc>
        <w:tc>
          <w:tcPr>
            <w:tcW w:w="1157" w:type="dxa"/>
            <w:tcBorders>
              <w:top w:val="nil"/>
              <w:left w:val="nil"/>
              <w:bottom w:val="single" w:sz="4" w:space="0" w:color="auto"/>
              <w:right w:val="single" w:sz="4" w:space="0" w:color="auto"/>
            </w:tcBorders>
            <w:shd w:val="clear" w:color="auto" w:fill="auto"/>
            <w:vAlign w:val="center"/>
            <w:hideMark/>
          </w:tcPr>
          <w:p w14:paraId="40C56FE6"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Hồng Kông</w:t>
            </w:r>
          </w:p>
        </w:tc>
        <w:tc>
          <w:tcPr>
            <w:tcW w:w="1059" w:type="dxa"/>
            <w:tcBorders>
              <w:top w:val="nil"/>
              <w:left w:val="nil"/>
              <w:bottom w:val="single" w:sz="4" w:space="0" w:color="auto"/>
              <w:right w:val="single" w:sz="4" w:space="0" w:color="auto"/>
            </w:tcBorders>
            <w:shd w:val="clear" w:color="auto" w:fill="auto"/>
            <w:vAlign w:val="center"/>
            <w:hideMark/>
          </w:tcPr>
          <w:p w14:paraId="7162AD75"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1.148,1</w:t>
            </w:r>
          </w:p>
        </w:tc>
        <w:tc>
          <w:tcPr>
            <w:tcW w:w="1059" w:type="dxa"/>
            <w:tcBorders>
              <w:top w:val="nil"/>
              <w:left w:val="nil"/>
              <w:bottom w:val="single" w:sz="4" w:space="0" w:color="auto"/>
              <w:right w:val="single" w:sz="4" w:space="0" w:color="auto"/>
            </w:tcBorders>
            <w:shd w:val="clear" w:color="auto" w:fill="auto"/>
            <w:vAlign w:val="center"/>
            <w:hideMark/>
          </w:tcPr>
          <w:p w14:paraId="71A558B6"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1.640,2</w:t>
            </w:r>
          </w:p>
        </w:tc>
        <w:tc>
          <w:tcPr>
            <w:tcW w:w="1058" w:type="dxa"/>
            <w:tcBorders>
              <w:top w:val="nil"/>
              <w:left w:val="nil"/>
              <w:bottom w:val="single" w:sz="4" w:space="0" w:color="auto"/>
              <w:right w:val="single" w:sz="4" w:space="0" w:color="auto"/>
            </w:tcBorders>
            <w:shd w:val="clear" w:color="auto" w:fill="auto"/>
            <w:vAlign w:val="center"/>
            <w:hideMark/>
          </w:tcPr>
          <w:p w14:paraId="6F493E04"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1.486,3</w:t>
            </w:r>
          </w:p>
        </w:tc>
        <w:tc>
          <w:tcPr>
            <w:tcW w:w="1058" w:type="dxa"/>
            <w:tcBorders>
              <w:top w:val="nil"/>
              <w:left w:val="nil"/>
              <w:bottom w:val="single" w:sz="4" w:space="0" w:color="auto"/>
              <w:right w:val="single" w:sz="4" w:space="0" w:color="auto"/>
            </w:tcBorders>
            <w:shd w:val="clear" w:color="auto" w:fill="auto"/>
            <w:vAlign w:val="center"/>
            <w:hideMark/>
          </w:tcPr>
          <w:p w14:paraId="67DD220D"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3.231,6</w:t>
            </w:r>
          </w:p>
        </w:tc>
        <w:tc>
          <w:tcPr>
            <w:tcW w:w="1057" w:type="dxa"/>
            <w:tcBorders>
              <w:top w:val="nil"/>
              <w:left w:val="nil"/>
              <w:bottom w:val="single" w:sz="4" w:space="0" w:color="auto"/>
              <w:right w:val="single" w:sz="4" w:space="0" w:color="auto"/>
            </w:tcBorders>
            <w:shd w:val="clear" w:color="auto" w:fill="auto"/>
            <w:vAlign w:val="center"/>
            <w:hideMark/>
          </w:tcPr>
          <w:p w14:paraId="29703DA4"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7.868,6</w:t>
            </w:r>
          </w:p>
        </w:tc>
        <w:tc>
          <w:tcPr>
            <w:tcW w:w="1096" w:type="dxa"/>
            <w:tcBorders>
              <w:top w:val="nil"/>
              <w:left w:val="nil"/>
              <w:bottom w:val="single" w:sz="4" w:space="0" w:color="auto"/>
              <w:right w:val="single" w:sz="4" w:space="0" w:color="auto"/>
            </w:tcBorders>
            <w:shd w:val="clear" w:color="auto" w:fill="auto"/>
            <w:vAlign w:val="center"/>
            <w:hideMark/>
          </w:tcPr>
          <w:p w14:paraId="51F98C27"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1.999,57</w:t>
            </w:r>
          </w:p>
        </w:tc>
        <w:tc>
          <w:tcPr>
            <w:tcW w:w="1096" w:type="dxa"/>
            <w:tcBorders>
              <w:top w:val="nil"/>
              <w:left w:val="nil"/>
              <w:bottom w:val="single" w:sz="4" w:space="0" w:color="auto"/>
              <w:right w:val="single" w:sz="4" w:space="0" w:color="auto"/>
            </w:tcBorders>
            <w:shd w:val="clear" w:color="auto" w:fill="auto"/>
            <w:vAlign w:val="center"/>
            <w:hideMark/>
          </w:tcPr>
          <w:p w14:paraId="6D828A42"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2.315,77</w:t>
            </w:r>
          </w:p>
        </w:tc>
        <w:tc>
          <w:tcPr>
            <w:tcW w:w="1134" w:type="dxa"/>
            <w:tcBorders>
              <w:top w:val="nil"/>
              <w:left w:val="nil"/>
              <w:bottom w:val="single" w:sz="4" w:space="0" w:color="auto"/>
              <w:right w:val="single" w:sz="4" w:space="0" w:color="auto"/>
            </w:tcBorders>
            <w:vAlign w:val="center"/>
          </w:tcPr>
          <w:p w14:paraId="43FEFADD" w14:textId="77777777" w:rsidR="00F255A4" w:rsidRPr="00D42FB0" w:rsidRDefault="00F255A4" w:rsidP="00B80B46">
            <w:pPr>
              <w:spacing w:line="360" w:lineRule="auto"/>
              <w:jc w:val="both"/>
              <w:rPr>
                <w:rFonts w:asciiTheme="majorHAnsi" w:hAnsiTheme="majorHAnsi" w:cstheme="majorHAnsi"/>
                <w:color w:val="000000"/>
                <w:sz w:val="20"/>
                <w:szCs w:val="20"/>
              </w:rPr>
            </w:pPr>
            <w:r w:rsidRPr="00D42FB0">
              <w:rPr>
                <w:rFonts w:asciiTheme="majorHAnsi" w:hAnsiTheme="majorHAnsi" w:cstheme="majorHAnsi"/>
                <w:color w:val="000000"/>
                <w:sz w:val="20"/>
                <w:szCs w:val="20"/>
              </w:rPr>
              <w:t>2</w:t>
            </w:r>
            <w:r w:rsidRPr="00D42FB0">
              <w:rPr>
                <w:rFonts w:asciiTheme="majorHAnsi" w:hAnsiTheme="majorHAnsi" w:cstheme="majorHAnsi"/>
                <w:color w:val="000000"/>
                <w:sz w:val="20"/>
                <w:szCs w:val="20"/>
                <w:lang w:val="en-US"/>
              </w:rPr>
              <w:t>.</w:t>
            </w:r>
            <w:r w:rsidRPr="00D42FB0">
              <w:rPr>
                <w:rFonts w:asciiTheme="majorHAnsi" w:hAnsiTheme="majorHAnsi" w:cstheme="majorHAnsi"/>
                <w:color w:val="000000"/>
                <w:sz w:val="20"/>
                <w:szCs w:val="20"/>
              </w:rPr>
              <w:t>223,88</w:t>
            </w:r>
          </w:p>
        </w:tc>
      </w:tr>
      <w:tr w:rsidR="00F255A4" w:rsidRPr="00D42FB0" w14:paraId="7947FE6D" w14:textId="77777777" w:rsidTr="00B80B46">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769E77F"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6</w:t>
            </w:r>
          </w:p>
        </w:tc>
        <w:tc>
          <w:tcPr>
            <w:tcW w:w="1157" w:type="dxa"/>
            <w:tcBorders>
              <w:top w:val="nil"/>
              <w:left w:val="nil"/>
              <w:bottom w:val="single" w:sz="4" w:space="0" w:color="auto"/>
              <w:right w:val="single" w:sz="4" w:space="0" w:color="auto"/>
            </w:tcBorders>
            <w:shd w:val="clear" w:color="auto" w:fill="auto"/>
            <w:vAlign w:val="center"/>
            <w:hideMark/>
          </w:tcPr>
          <w:p w14:paraId="34E2FBE2"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Đài Loan</w:t>
            </w:r>
          </w:p>
        </w:tc>
        <w:tc>
          <w:tcPr>
            <w:tcW w:w="1059" w:type="dxa"/>
            <w:tcBorders>
              <w:top w:val="nil"/>
              <w:left w:val="nil"/>
              <w:bottom w:val="single" w:sz="4" w:space="0" w:color="auto"/>
              <w:right w:val="single" w:sz="4" w:space="0" w:color="auto"/>
            </w:tcBorders>
            <w:shd w:val="clear" w:color="auto" w:fill="auto"/>
            <w:vAlign w:val="center"/>
            <w:hideMark/>
          </w:tcPr>
          <w:p w14:paraId="02E5D39D"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1.468,2</w:t>
            </w:r>
          </w:p>
        </w:tc>
        <w:tc>
          <w:tcPr>
            <w:tcW w:w="1059" w:type="dxa"/>
            <w:tcBorders>
              <w:top w:val="nil"/>
              <w:left w:val="nil"/>
              <w:bottom w:val="single" w:sz="4" w:space="0" w:color="auto"/>
              <w:right w:val="single" w:sz="4" w:space="0" w:color="auto"/>
            </w:tcBorders>
            <w:shd w:val="clear" w:color="auto" w:fill="auto"/>
            <w:vAlign w:val="center"/>
            <w:hideMark/>
          </w:tcPr>
          <w:p w14:paraId="45F3DE97"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1.860,2</w:t>
            </w:r>
          </w:p>
        </w:tc>
        <w:tc>
          <w:tcPr>
            <w:tcW w:w="1058" w:type="dxa"/>
            <w:tcBorders>
              <w:top w:val="nil"/>
              <w:left w:val="nil"/>
              <w:bottom w:val="single" w:sz="4" w:space="0" w:color="auto"/>
              <w:right w:val="single" w:sz="4" w:space="0" w:color="auto"/>
            </w:tcBorders>
            <w:shd w:val="clear" w:color="auto" w:fill="auto"/>
            <w:vAlign w:val="center"/>
            <w:hideMark/>
          </w:tcPr>
          <w:p w14:paraId="37AF154F"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1.459,9</w:t>
            </w:r>
          </w:p>
        </w:tc>
        <w:tc>
          <w:tcPr>
            <w:tcW w:w="1058" w:type="dxa"/>
            <w:tcBorders>
              <w:top w:val="nil"/>
              <w:left w:val="nil"/>
              <w:bottom w:val="single" w:sz="4" w:space="0" w:color="auto"/>
              <w:right w:val="single" w:sz="4" w:space="0" w:color="auto"/>
            </w:tcBorders>
            <w:shd w:val="clear" w:color="auto" w:fill="auto"/>
            <w:vAlign w:val="center"/>
            <w:hideMark/>
          </w:tcPr>
          <w:p w14:paraId="52D148FF"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1.074,1</w:t>
            </w:r>
          </w:p>
        </w:tc>
        <w:tc>
          <w:tcPr>
            <w:tcW w:w="1057" w:type="dxa"/>
            <w:tcBorders>
              <w:top w:val="nil"/>
              <w:left w:val="nil"/>
              <w:bottom w:val="single" w:sz="4" w:space="0" w:color="auto"/>
              <w:right w:val="single" w:sz="4" w:space="0" w:color="auto"/>
            </w:tcBorders>
            <w:shd w:val="clear" w:color="auto" w:fill="auto"/>
            <w:vAlign w:val="center"/>
            <w:hideMark/>
          </w:tcPr>
          <w:p w14:paraId="41EA3B8C"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1.842,3</w:t>
            </w:r>
          </w:p>
        </w:tc>
        <w:tc>
          <w:tcPr>
            <w:tcW w:w="1096" w:type="dxa"/>
            <w:tcBorders>
              <w:top w:val="nil"/>
              <w:left w:val="nil"/>
              <w:bottom w:val="single" w:sz="4" w:space="0" w:color="auto"/>
              <w:right w:val="single" w:sz="4" w:space="0" w:color="auto"/>
            </w:tcBorders>
            <w:shd w:val="clear" w:color="auto" w:fill="auto"/>
            <w:vAlign w:val="center"/>
            <w:hideMark/>
          </w:tcPr>
          <w:p w14:paraId="51FB4CB0"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2.058,40</w:t>
            </w:r>
          </w:p>
        </w:tc>
        <w:tc>
          <w:tcPr>
            <w:tcW w:w="1096" w:type="dxa"/>
            <w:tcBorders>
              <w:top w:val="nil"/>
              <w:left w:val="nil"/>
              <w:bottom w:val="single" w:sz="4" w:space="0" w:color="auto"/>
              <w:right w:val="single" w:sz="4" w:space="0" w:color="auto"/>
            </w:tcBorders>
            <w:shd w:val="clear" w:color="auto" w:fill="auto"/>
            <w:vAlign w:val="center"/>
            <w:hideMark/>
          </w:tcPr>
          <w:p w14:paraId="30B9EC2E"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1.251,99</w:t>
            </w:r>
          </w:p>
        </w:tc>
        <w:tc>
          <w:tcPr>
            <w:tcW w:w="1134" w:type="dxa"/>
            <w:tcBorders>
              <w:top w:val="nil"/>
              <w:left w:val="nil"/>
              <w:bottom w:val="single" w:sz="4" w:space="0" w:color="auto"/>
              <w:right w:val="single" w:sz="4" w:space="0" w:color="auto"/>
            </w:tcBorders>
            <w:vAlign w:val="center"/>
          </w:tcPr>
          <w:p w14:paraId="67A67E4B" w14:textId="77777777" w:rsidR="00F255A4" w:rsidRPr="00D42FB0" w:rsidRDefault="00F255A4" w:rsidP="00B80B46">
            <w:pPr>
              <w:spacing w:line="360" w:lineRule="auto"/>
              <w:jc w:val="both"/>
              <w:rPr>
                <w:rFonts w:asciiTheme="majorHAnsi" w:hAnsiTheme="majorHAnsi" w:cstheme="majorHAnsi"/>
                <w:color w:val="000000"/>
                <w:sz w:val="20"/>
                <w:szCs w:val="20"/>
              </w:rPr>
            </w:pPr>
            <w:r w:rsidRPr="00D42FB0">
              <w:rPr>
                <w:rFonts w:asciiTheme="majorHAnsi" w:hAnsiTheme="majorHAnsi" w:cstheme="majorHAnsi"/>
                <w:color w:val="000000"/>
                <w:sz w:val="20"/>
                <w:szCs w:val="20"/>
              </w:rPr>
              <w:t>1</w:t>
            </w:r>
            <w:r w:rsidRPr="00D42FB0">
              <w:rPr>
                <w:rFonts w:asciiTheme="majorHAnsi" w:hAnsiTheme="majorHAnsi" w:cstheme="majorHAnsi"/>
                <w:color w:val="000000"/>
                <w:sz w:val="20"/>
                <w:szCs w:val="20"/>
                <w:lang w:val="en-US"/>
              </w:rPr>
              <w:t>.</w:t>
            </w:r>
            <w:r w:rsidRPr="00D42FB0">
              <w:rPr>
                <w:rFonts w:asciiTheme="majorHAnsi" w:hAnsiTheme="majorHAnsi" w:cstheme="majorHAnsi"/>
                <w:color w:val="000000"/>
                <w:sz w:val="20"/>
                <w:szCs w:val="20"/>
              </w:rPr>
              <w:t>351,62</w:t>
            </w:r>
          </w:p>
        </w:tc>
      </w:tr>
      <w:tr w:rsidR="00F255A4" w:rsidRPr="00D42FB0" w14:paraId="6CC27030" w14:textId="77777777" w:rsidTr="00B80B46">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9F88D1D"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7</w:t>
            </w:r>
          </w:p>
        </w:tc>
        <w:tc>
          <w:tcPr>
            <w:tcW w:w="1157" w:type="dxa"/>
            <w:tcBorders>
              <w:top w:val="nil"/>
              <w:left w:val="nil"/>
              <w:bottom w:val="single" w:sz="4" w:space="0" w:color="auto"/>
              <w:right w:val="single" w:sz="4" w:space="0" w:color="auto"/>
            </w:tcBorders>
            <w:shd w:val="clear" w:color="auto" w:fill="auto"/>
            <w:vAlign w:val="center"/>
            <w:hideMark/>
          </w:tcPr>
          <w:p w14:paraId="2F4A7292"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Hà Lan</w:t>
            </w:r>
          </w:p>
        </w:tc>
        <w:tc>
          <w:tcPr>
            <w:tcW w:w="1059" w:type="dxa"/>
            <w:tcBorders>
              <w:top w:val="nil"/>
              <w:left w:val="nil"/>
              <w:bottom w:val="single" w:sz="4" w:space="0" w:color="auto"/>
              <w:right w:val="single" w:sz="4" w:space="0" w:color="auto"/>
            </w:tcBorders>
            <w:shd w:val="clear" w:color="auto" w:fill="auto"/>
            <w:vAlign w:val="center"/>
            <w:hideMark/>
          </w:tcPr>
          <w:p w14:paraId="561A0721"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430,5</w:t>
            </w:r>
          </w:p>
        </w:tc>
        <w:tc>
          <w:tcPr>
            <w:tcW w:w="1059" w:type="dxa"/>
            <w:tcBorders>
              <w:top w:val="nil"/>
              <w:left w:val="nil"/>
              <w:bottom w:val="single" w:sz="4" w:space="0" w:color="auto"/>
              <w:right w:val="single" w:sz="4" w:space="0" w:color="auto"/>
            </w:tcBorders>
            <w:shd w:val="clear" w:color="auto" w:fill="auto"/>
            <w:vAlign w:val="center"/>
            <w:hideMark/>
          </w:tcPr>
          <w:p w14:paraId="3F9070C1"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86,6</w:t>
            </w:r>
          </w:p>
        </w:tc>
        <w:tc>
          <w:tcPr>
            <w:tcW w:w="1058" w:type="dxa"/>
            <w:tcBorders>
              <w:top w:val="nil"/>
              <w:left w:val="nil"/>
              <w:bottom w:val="single" w:sz="4" w:space="0" w:color="auto"/>
              <w:right w:val="single" w:sz="4" w:space="0" w:color="auto"/>
            </w:tcBorders>
            <w:shd w:val="clear" w:color="auto" w:fill="auto"/>
            <w:vAlign w:val="center"/>
            <w:hideMark/>
          </w:tcPr>
          <w:p w14:paraId="234267F1"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1036,3</w:t>
            </w:r>
          </w:p>
        </w:tc>
        <w:tc>
          <w:tcPr>
            <w:tcW w:w="1058" w:type="dxa"/>
            <w:tcBorders>
              <w:top w:val="nil"/>
              <w:left w:val="nil"/>
              <w:bottom w:val="single" w:sz="4" w:space="0" w:color="auto"/>
              <w:right w:val="single" w:sz="4" w:space="0" w:color="auto"/>
            </w:tcBorders>
            <w:shd w:val="clear" w:color="auto" w:fill="auto"/>
            <w:vAlign w:val="center"/>
            <w:hideMark/>
          </w:tcPr>
          <w:p w14:paraId="459A5B7F"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387</w:t>
            </w:r>
          </w:p>
        </w:tc>
        <w:tc>
          <w:tcPr>
            <w:tcW w:w="1057" w:type="dxa"/>
            <w:tcBorders>
              <w:top w:val="nil"/>
              <w:left w:val="nil"/>
              <w:bottom w:val="single" w:sz="4" w:space="0" w:color="auto"/>
              <w:right w:val="single" w:sz="4" w:space="0" w:color="auto"/>
            </w:tcBorders>
            <w:shd w:val="clear" w:color="auto" w:fill="auto"/>
            <w:vAlign w:val="center"/>
            <w:hideMark/>
          </w:tcPr>
          <w:p w14:paraId="4DB4F3E6"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827,8</w:t>
            </w:r>
          </w:p>
        </w:tc>
        <w:tc>
          <w:tcPr>
            <w:tcW w:w="1096" w:type="dxa"/>
            <w:tcBorders>
              <w:top w:val="nil"/>
              <w:left w:val="nil"/>
              <w:bottom w:val="single" w:sz="4" w:space="0" w:color="auto"/>
              <w:right w:val="single" w:sz="4" w:space="0" w:color="auto"/>
            </w:tcBorders>
            <w:shd w:val="clear" w:color="auto" w:fill="auto"/>
            <w:vAlign w:val="center"/>
            <w:hideMark/>
          </w:tcPr>
          <w:p w14:paraId="31FD9373"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896,54</w:t>
            </w:r>
          </w:p>
        </w:tc>
        <w:tc>
          <w:tcPr>
            <w:tcW w:w="1096" w:type="dxa"/>
            <w:tcBorders>
              <w:top w:val="nil"/>
              <w:left w:val="nil"/>
              <w:bottom w:val="single" w:sz="4" w:space="0" w:color="auto"/>
              <w:right w:val="single" w:sz="4" w:space="0" w:color="auto"/>
            </w:tcBorders>
            <w:shd w:val="clear" w:color="auto" w:fill="auto"/>
            <w:vAlign w:val="center"/>
            <w:hideMark/>
          </w:tcPr>
          <w:p w14:paraId="680E74E6"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1.122,32</w:t>
            </w:r>
          </w:p>
        </w:tc>
        <w:tc>
          <w:tcPr>
            <w:tcW w:w="1096" w:type="dxa"/>
            <w:tcBorders>
              <w:top w:val="nil"/>
              <w:left w:val="nil"/>
              <w:bottom w:val="single" w:sz="4" w:space="0" w:color="auto"/>
              <w:right w:val="single" w:sz="4" w:space="0" w:color="auto"/>
            </w:tcBorders>
            <w:vAlign w:val="center"/>
          </w:tcPr>
          <w:p w14:paraId="0DA77865"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702,19</w:t>
            </w:r>
          </w:p>
        </w:tc>
      </w:tr>
      <w:tr w:rsidR="00F255A4" w:rsidRPr="00D42FB0" w14:paraId="7BB25D38" w14:textId="77777777" w:rsidTr="00B80B46">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A56D5CC"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8</w:t>
            </w:r>
          </w:p>
        </w:tc>
        <w:tc>
          <w:tcPr>
            <w:tcW w:w="1157" w:type="dxa"/>
            <w:tcBorders>
              <w:top w:val="nil"/>
              <w:left w:val="nil"/>
              <w:bottom w:val="single" w:sz="4" w:space="0" w:color="auto"/>
              <w:right w:val="single" w:sz="4" w:space="0" w:color="auto"/>
            </w:tcBorders>
            <w:shd w:val="clear" w:color="auto" w:fill="auto"/>
            <w:vAlign w:val="center"/>
            <w:hideMark/>
          </w:tcPr>
          <w:p w14:paraId="7054F6C1"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Hoa Kỳ</w:t>
            </w:r>
          </w:p>
        </w:tc>
        <w:tc>
          <w:tcPr>
            <w:tcW w:w="1059" w:type="dxa"/>
            <w:tcBorders>
              <w:top w:val="nil"/>
              <w:left w:val="nil"/>
              <w:bottom w:val="single" w:sz="4" w:space="0" w:color="auto"/>
              <w:right w:val="single" w:sz="4" w:space="0" w:color="auto"/>
            </w:tcBorders>
            <w:shd w:val="clear" w:color="auto" w:fill="auto"/>
            <w:vAlign w:val="center"/>
            <w:hideMark/>
          </w:tcPr>
          <w:p w14:paraId="068B4FDD"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224,4</w:t>
            </w:r>
          </w:p>
        </w:tc>
        <w:tc>
          <w:tcPr>
            <w:tcW w:w="1059" w:type="dxa"/>
            <w:tcBorders>
              <w:top w:val="nil"/>
              <w:left w:val="nil"/>
              <w:bottom w:val="single" w:sz="4" w:space="0" w:color="auto"/>
              <w:right w:val="single" w:sz="4" w:space="0" w:color="auto"/>
            </w:tcBorders>
            <w:shd w:val="clear" w:color="auto" w:fill="auto"/>
            <w:vAlign w:val="center"/>
            <w:hideMark/>
          </w:tcPr>
          <w:p w14:paraId="29838D9B"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400,4</w:t>
            </w:r>
          </w:p>
        </w:tc>
        <w:tc>
          <w:tcPr>
            <w:tcW w:w="1058" w:type="dxa"/>
            <w:tcBorders>
              <w:top w:val="nil"/>
              <w:left w:val="nil"/>
              <w:bottom w:val="single" w:sz="4" w:space="0" w:color="auto"/>
              <w:right w:val="single" w:sz="4" w:space="0" w:color="auto"/>
            </w:tcBorders>
            <w:shd w:val="clear" w:color="auto" w:fill="auto"/>
            <w:vAlign w:val="center"/>
            <w:hideMark/>
          </w:tcPr>
          <w:p w14:paraId="36DC2F41"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868,8</w:t>
            </w:r>
          </w:p>
        </w:tc>
        <w:tc>
          <w:tcPr>
            <w:tcW w:w="1058" w:type="dxa"/>
            <w:tcBorders>
              <w:top w:val="nil"/>
              <w:left w:val="nil"/>
              <w:bottom w:val="single" w:sz="4" w:space="0" w:color="auto"/>
              <w:right w:val="single" w:sz="4" w:space="0" w:color="auto"/>
            </w:tcBorders>
            <w:shd w:val="clear" w:color="auto" w:fill="auto"/>
            <w:vAlign w:val="center"/>
            <w:hideMark/>
          </w:tcPr>
          <w:p w14:paraId="380D9014"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550,5</w:t>
            </w:r>
          </w:p>
        </w:tc>
        <w:tc>
          <w:tcPr>
            <w:tcW w:w="1057" w:type="dxa"/>
            <w:tcBorders>
              <w:top w:val="nil"/>
              <w:left w:val="nil"/>
              <w:bottom w:val="single" w:sz="4" w:space="0" w:color="auto"/>
              <w:right w:val="single" w:sz="4" w:space="0" w:color="auto"/>
            </w:tcBorders>
            <w:shd w:val="clear" w:color="auto" w:fill="auto"/>
            <w:vAlign w:val="center"/>
            <w:hideMark/>
          </w:tcPr>
          <w:p w14:paraId="7B5D2355"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460,5</w:t>
            </w:r>
          </w:p>
        </w:tc>
        <w:tc>
          <w:tcPr>
            <w:tcW w:w="1096" w:type="dxa"/>
            <w:tcBorders>
              <w:top w:val="nil"/>
              <w:left w:val="nil"/>
              <w:bottom w:val="single" w:sz="4" w:space="0" w:color="auto"/>
              <w:right w:val="single" w:sz="4" w:space="0" w:color="auto"/>
            </w:tcBorders>
            <w:shd w:val="clear" w:color="auto" w:fill="auto"/>
            <w:vAlign w:val="center"/>
            <w:hideMark/>
          </w:tcPr>
          <w:p w14:paraId="3F216C70"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360,24</w:t>
            </w:r>
          </w:p>
        </w:tc>
        <w:tc>
          <w:tcPr>
            <w:tcW w:w="1096" w:type="dxa"/>
            <w:tcBorders>
              <w:top w:val="nil"/>
              <w:left w:val="nil"/>
              <w:bottom w:val="single" w:sz="4" w:space="0" w:color="auto"/>
              <w:right w:val="single" w:sz="4" w:space="0" w:color="auto"/>
            </w:tcBorders>
            <w:shd w:val="clear" w:color="auto" w:fill="auto"/>
            <w:vAlign w:val="center"/>
            <w:hideMark/>
          </w:tcPr>
          <w:p w14:paraId="0049E892"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738,66</w:t>
            </w:r>
          </w:p>
        </w:tc>
        <w:tc>
          <w:tcPr>
            <w:tcW w:w="1096" w:type="dxa"/>
            <w:tcBorders>
              <w:top w:val="nil"/>
              <w:left w:val="nil"/>
              <w:bottom w:val="single" w:sz="4" w:space="0" w:color="auto"/>
              <w:right w:val="single" w:sz="4" w:space="0" w:color="auto"/>
            </w:tcBorders>
            <w:vAlign w:val="center"/>
          </w:tcPr>
          <w:p w14:paraId="2E6BE163"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748,17</w:t>
            </w:r>
          </w:p>
        </w:tc>
      </w:tr>
      <w:tr w:rsidR="00F255A4" w:rsidRPr="00D42FB0" w14:paraId="3F9D7B8A" w14:textId="77777777" w:rsidTr="00B80B46">
        <w:trPr>
          <w:trHeight w:val="6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4AF15CC"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9</w:t>
            </w:r>
          </w:p>
        </w:tc>
        <w:tc>
          <w:tcPr>
            <w:tcW w:w="1157" w:type="dxa"/>
            <w:tcBorders>
              <w:top w:val="nil"/>
              <w:left w:val="nil"/>
              <w:bottom w:val="single" w:sz="4" w:space="0" w:color="auto"/>
              <w:right w:val="single" w:sz="4" w:space="0" w:color="auto"/>
            </w:tcBorders>
            <w:shd w:val="clear" w:color="auto" w:fill="auto"/>
            <w:vAlign w:val="center"/>
            <w:hideMark/>
          </w:tcPr>
          <w:p w14:paraId="4BE3EEAD"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Vigin của Anh</w:t>
            </w:r>
          </w:p>
        </w:tc>
        <w:tc>
          <w:tcPr>
            <w:tcW w:w="1059" w:type="dxa"/>
            <w:tcBorders>
              <w:top w:val="nil"/>
              <w:left w:val="nil"/>
              <w:bottom w:val="single" w:sz="4" w:space="0" w:color="auto"/>
              <w:right w:val="single" w:sz="4" w:space="0" w:color="auto"/>
            </w:tcBorders>
            <w:shd w:val="clear" w:color="auto" w:fill="auto"/>
            <w:vAlign w:val="center"/>
            <w:hideMark/>
          </w:tcPr>
          <w:p w14:paraId="02484C33"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1.217,3</w:t>
            </w:r>
          </w:p>
        </w:tc>
        <w:tc>
          <w:tcPr>
            <w:tcW w:w="1059" w:type="dxa"/>
            <w:tcBorders>
              <w:top w:val="nil"/>
              <w:left w:val="nil"/>
              <w:bottom w:val="single" w:sz="4" w:space="0" w:color="auto"/>
              <w:right w:val="single" w:sz="4" w:space="0" w:color="auto"/>
            </w:tcBorders>
            <w:shd w:val="clear" w:color="auto" w:fill="auto"/>
            <w:vAlign w:val="center"/>
            <w:hideMark/>
          </w:tcPr>
          <w:p w14:paraId="2AA002D7"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858,2</w:t>
            </w:r>
          </w:p>
        </w:tc>
        <w:tc>
          <w:tcPr>
            <w:tcW w:w="1058" w:type="dxa"/>
            <w:tcBorders>
              <w:top w:val="nil"/>
              <w:left w:val="nil"/>
              <w:bottom w:val="single" w:sz="4" w:space="0" w:color="auto"/>
              <w:right w:val="single" w:sz="4" w:space="0" w:color="auto"/>
            </w:tcBorders>
            <w:shd w:val="clear" w:color="auto" w:fill="auto"/>
            <w:vAlign w:val="center"/>
            <w:hideMark/>
          </w:tcPr>
          <w:p w14:paraId="5799C26E"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1651,3</w:t>
            </w:r>
          </w:p>
        </w:tc>
        <w:tc>
          <w:tcPr>
            <w:tcW w:w="1058" w:type="dxa"/>
            <w:tcBorders>
              <w:top w:val="nil"/>
              <w:left w:val="nil"/>
              <w:bottom w:val="single" w:sz="4" w:space="0" w:color="auto"/>
              <w:right w:val="single" w:sz="4" w:space="0" w:color="auto"/>
            </w:tcBorders>
            <w:shd w:val="clear" w:color="auto" w:fill="auto"/>
            <w:vAlign w:val="center"/>
            <w:hideMark/>
          </w:tcPr>
          <w:p w14:paraId="40C4DC03"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1.866,3</w:t>
            </w:r>
          </w:p>
        </w:tc>
        <w:tc>
          <w:tcPr>
            <w:tcW w:w="1057" w:type="dxa"/>
            <w:tcBorders>
              <w:top w:val="nil"/>
              <w:left w:val="nil"/>
              <w:bottom w:val="single" w:sz="4" w:space="0" w:color="auto"/>
              <w:right w:val="single" w:sz="4" w:space="0" w:color="auto"/>
            </w:tcBorders>
            <w:shd w:val="clear" w:color="auto" w:fill="auto"/>
            <w:vAlign w:val="center"/>
            <w:hideMark/>
          </w:tcPr>
          <w:p w14:paraId="5B394810"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1.372,0</w:t>
            </w:r>
          </w:p>
        </w:tc>
        <w:tc>
          <w:tcPr>
            <w:tcW w:w="1096" w:type="dxa"/>
            <w:tcBorders>
              <w:top w:val="nil"/>
              <w:left w:val="nil"/>
              <w:bottom w:val="single" w:sz="4" w:space="0" w:color="auto"/>
              <w:right w:val="single" w:sz="4" w:space="0" w:color="auto"/>
            </w:tcBorders>
            <w:shd w:val="clear" w:color="auto" w:fill="auto"/>
            <w:vAlign w:val="center"/>
            <w:hideMark/>
          </w:tcPr>
          <w:p w14:paraId="3F8E7A02"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902,93</w:t>
            </w:r>
          </w:p>
        </w:tc>
        <w:tc>
          <w:tcPr>
            <w:tcW w:w="1096" w:type="dxa"/>
            <w:tcBorders>
              <w:top w:val="nil"/>
              <w:left w:val="nil"/>
              <w:bottom w:val="single" w:sz="4" w:space="0" w:color="auto"/>
              <w:right w:val="single" w:sz="4" w:space="0" w:color="auto"/>
            </w:tcBorders>
            <w:shd w:val="clear" w:color="auto" w:fill="auto"/>
            <w:vAlign w:val="center"/>
            <w:hideMark/>
          </w:tcPr>
          <w:p w14:paraId="57EB83A7"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569,56</w:t>
            </w:r>
          </w:p>
        </w:tc>
        <w:tc>
          <w:tcPr>
            <w:tcW w:w="1096" w:type="dxa"/>
            <w:tcBorders>
              <w:top w:val="nil"/>
              <w:left w:val="nil"/>
              <w:bottom w:val="single" w:sz="4" w:space="0" w:color="auto"/>
              <w:right w:val="single" w:sz="4" w:space="0" w:color="auto"/>
            </w:tcBorders>
            <w:vAlign w:val="center"/>
          </w:tcPr>
          <w:p w14:paraId="01269136"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607,00</w:t>
            </w:r>
          </w:p>
        </w:tc>
      </w:tr>
      <w:tr w:rsidR="00F255A4" w:rsidRPr="00D42FB0" w14:paraId="039834D2" w14:textId="77777777" w:rsidTr="00B80B46">
        <w:trPr>
          <w:trHeight w:val="6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7993C72"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10</w:t>
            </w:r>
          </w:p>
        </w:tc>
        <w:tc>
          <w:tcPr>
            <w:tcW w:w="1157" w:type="dxa"/>
            <w:tcBorders>
              <w:top w:val="nil"/>
              <w:left w:val="nil"/>
              <w:bottom w:val="single" w:sz="4" w:space="0" w:color="auto"/>
              <w:right w:val="single" w:sz="4" w:space="0" w:color="auto"/>
            </w:tcBorders>
            <w:shd w:val="clear" w:color="auto" w:fill="auto"/>
            <w:vAlign w:val="center"/>
            <w:hideMark/>
          </w:tcPr>
          <w:p w14:paraId="6CB0A226"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Quần đảo Caymon</w:t>
            </w:r>
          </w:p>
        </w:tc>
        <w:tc>
          <w:tcPr>
            <w:tcW w:w="1059" w:type="dxa"/>
            <w:tcBorders>
              <w:top w:val="nil"/>
              <w:left w:val="nil"/>
              <w:bottom w:val="single" w:sz="4" w:space="0" w:color="auto"/>
              <w:right w:val="single" w:sz="4" w:space="0" w:color="auto"/>
            </w:tcBorders>
            <w:shd w:val="clear" w:color="auto" w:fill="auto"/>
            <w:vAlign w:val="center"/>
            <w:hideMark/>
          </w:tcPr>
          <w:p w14:paraId="4F49899C"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258,3</w:t>
            </w:r>
          </w:p>
        </w:tc>
        <w:tc>
          <w:tcPr>
            <w:tcW w:w="1059" w:type="dxa"/>
            <w:tcBorders>
              <w:top w:val="nil"/>
              <w:left w:val="nil"/>
              <w:bottom w:val="single" w:sz="4" w:space="0" w:color="auto"/>
              <w:right w:val="single" w:sz="4" w:space="0" w:color="auto"/>
            </w:tcBorders>
            <w:shd w:val="clear" w:color="auto" w:fill="auto"/>
            <w:vAlign w:val="center"/>
            <w:hideMark/>
          </w:tcPr>
          <w:p w14:paraId="5330FE9C"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644,8</w:t>
            </w:r>
          </w:p>
        </w:tc>
        <w:tc>
          <w:tcPr>
            <w:tcW w:w="1058" w:type="dxa"/>
            <w:tcBorders>
              <w:top w:val="nil"/>
              <w:left w:val="nil"/>
              <w:bottom w:val="single" w:sz="4" w:space="0" w:color="auto"/>
              <w:right w:val="single" w:sz="4" w:space="0" w:color="auto"/>
            </w:tcBorders>
            <w:shd w:val="clear" w:color="auto" w:fill="auto"/>
            <w:vAlign w:val="center"/>
            <w:hideMark/>
          </w:tcPr>
          <w:p w14:paraId="19A497D1"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398,0</w:t>
            </w:r>
          </w:p>
        </w:tc>
        <w:tc>
          <w:tcPr>
            <w:tcW w:w="1058" w:type="dxa"/>
            <w:tcBorders>
              <w:top w:val="nil"/>
              <w:left w:val="nil"/>
              <w:bottom w:val="single" w:sz="4" w:space="0" w:color="auto"/>
              <w:right w:val="single" w:sz="4" w:space="0" w:color="auto"/>
            </w:tcBorders>
            <w:shd w:val="clear" w:color="auto" w:fill="auto"/>
            <w:vAlign w:val="center"/>
            <w:hideMark/>
          </w:tcPr>
          <w:p w14:paraId="5A60EB0A"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242,9</w:t>
            </w:r>
          </w:p>
        </w:tc>
        <w:tc>
          <w:tcPr>
            <w:tcW w:w="1057" w:type="dxa"/>
            <w:tcBorders>
              <w:top w:val="nil"/>
              <w:left w:val="nil"/>
              <w:bottom w:val="single" w:sz="4" w:space="0" w:color="auto"/>
              <w:right w:val="single" w:sz="4" w:space="0" w:color="auto"/>
            </w:tcBorders>
            <w:shd w:val="clear" w:color="auto" w:fill="auto"/>
            <w:vAlign w:val="center"/>
            <w:hideMark/>
          </w:tcPr>
          <w:p w14:paraId="5325CEBA"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508,2</w:t>
            </w:r>
          </w:p>
        </w:tc>
        <w:tc>
          <w:tcPr>
            <w:tcW w:w="1096" w:type="dxa"/>
            <w:tcBorders>
              <w:top w:val="nil"/>
              <w:left w:val="nil"/>
              <w:bottom w:val="single" w:sz="4" w:space="0" w:color="auto"/>
              <w:right w:val="single" w:sz="4" w:space="0" w:color="auto"/>
            </w:tcBorders>
            <w:shd w:val="clear" w:color="auto" w:fill="auto"/>
            <w:vAlign w:val="center"/>
            <w:hideMark/>
          </w:tcPr>
          <w:p w14:paraId="6C788537"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388,27</w:t>
            </w:r>
          </w:p>
        </w:tc>
        <w:tc>
          <w:tcPr>
            <w:tcW w:w="1096" w:type="dxa"/>
            <w:tcBorders>
              <w:top w:val="nil"/>
              <w:left w:val="nil"/>
              <w:bottom w:val="single" w:sz="4" w:space="0" w:color="auto"/>
              <w:right w:val="single" w:sz="4" w:space="0" w:color="auto"/>
            </w:tcBorders>
            <w:shd w:val="clear" w:color="auto" w:fill="auto"/>
            <w:vAlign w:val="center"/>
            <w:hideMark/>
          </w:tcPr>
          <w:p w14:paraId="669B9267"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431,27</w:t>
            </w:r>
          </w:p>
        </w:tc>
        <w:tc>
          <w:tcPr>
            <w:tcW w:w="1096" w:type="dxa"/>
            <w:tcBorders>
              <w:top w:val="nil"/>
              <w:left w:val="nil"/>
              <w:bottom w:val="single" w:sz="4" w:space="0" w:color="auto"/>
              <w:right w:val="single" w:sz="4" w:space="0" w:color="auto"/>
            </w:tcBorders>
            <w:vAlign w:val="center"/>
          </w:tcPr>
          <w:p w14:paraId="794C6A55"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222,62</w:t>
            </w:r>
          </w:p>
        </w:tc>
      </w:tr>
      <w:tr w:rsidR="00F255A4" w:rsidRPr="00D42FB0" w14:paraId="6F55AEBD" w14:textId="77777777" w:rsidTr="00B80B46">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12F0C2C"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11</w:t>
            </w:r>
          </w:p>
        </w:tc>
        <w:tc>
          <w:tcPr>
            <w:tcW w:w="1157" w:type="dxa"/>
            <w:tcBorders>
              <w:top w:val="nil"/>
              <w:left w:val="nil"/>
              <w:bottom w:val="single" w:sz="4" w:space="0" w:color="auto"/>
              <w:right w:val="single" w:sz="4" w:space="0" w:color="auto"/>
            </w:tcBorders>
            <w:shd w:val="clear" w:color="auto" w:fill="auto"/>
            <w:vAlign w:val="center"/>
            <w:hideMark/>
          </w:tcPr>
          <w:p w14:paraId="04F2AA16"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Thái Lan</w:t>
            </w:r>
          </w:p>
        </w:tc>
        <w:tc>
          <w:tcPr>
            <w:tcW w:w="1059" w:type="dxa"/>
            <w:tcBorders>
              <w:top w:val="nil"/>
              <w:left w:val="nil"/>
              <w:bottom w:val="single" w:sz="4" w:space="0" w:color="auto"/>
              <w:right w:val="single" w:sz="4" w:space="0" w:color="auto"/>
            </w:tcBorders>
            <w:shd w:val="clear" w:color="auto" w:fill="auto"/>
            <w:vAlign w:val="center"/>
            <w:hideMark/>
          </w:tcPr>
          <w:p w14:paraId="6C73C703"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430,5</w:t>
            </w:r>
          </w:p>
        </w:tc>
        <w:tc>
          <w:tcPr>
            <w:tcW w:w="1059" w:type="dxa"/>
            <w:tcBorders>
              <w:top w:val="nil"/>
              <w:left w:val="nil"/>
              <w:bottom w:val="single" w:sz="4" w:space="0" w:color="auto"/>
              <w:right w:val="single" w:sz="4" w:space="0" w:color="auto"/>
            </w:tcBorders>
            <w:shd w:val="clear" w:color="auto" w:fill="auto"/>
            <w:vAlign w:val="center"/>
            <w:hideMark/>
          </w:tcPr>
          <w:p w14:paraId="30A6AC32"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86,6</w:t>
            </w:r>
          </w:p>
        </w:tc>
        <w:tc>
          <w:tcPr>
            <w:tcW w:w="1058" w:type="dxa"/>
            <w:tcBorders>
              <w:top w:val="nil"/>
              <w:left w:val="nil"/>
              <w:bottom w:val="single" w:sz="4" w:space="0" w:color="auto"/>
              <w:right w:val="single" w:sz="4" w:space="0" w:color="auto"/>
            </w:tcBorders>
            <w:shd w:val="clear" w:color="auto" w:fill="auto"/>
            <w:vAlign w:val="center"/>
            <w:hideMark/>
          </w:tcPr>
          <w:p w14:paraId="0528B62F"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1036,3</w:t>
            </w:r>
          </w:p>
        </w:tc>
        <w:tc>
          <w:tcPr>
            <w:tcW w:w="1058" w:type="dxa"/>
            <w:tcBorders>
              <w:top w:val="nil"/>
              <w:left w:val="nil"/>
              <w:bottom w:val="single" w:sz="4" w:space="0" w:color="auto"/>
              <w:right w:val="single" w:sz="4" w:space="0" w:color="auto"/>
            </w:tcBorders>
            <w:shd w:val="clear" w:color="auto" w:fill="auto"/>
            <w:vAlign w:val="center"/>
            <w:hideMark/>
          </w:tcPr>
          <w:p w14:paraId="05E1EF83"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387</w:t>
            </w:r>
          </w:p>
        </w:tc>
        <w:tc>
          <w:tcPr>
            <w:tcW w:w="1057" w:type="dxa"/>
            <w:tcBorders>
              <w:top w:val="nil"/>
              <w:left w:val="nil"/>
              <w:bottom w:val="single" w:sz="4" w:space="0" w:color="auto"/>
              <w:right w:val="single" w:sz="4" w:space="0" w:color="auto"/>
            </w:tcBorders>
            <w:shd w:val="clear" w:color="auto" w:fill="auto"/>
            <w:vAlign w:val="center"/>
            <w:hideMark/>
          </w:tcPr>
          <w:p w14:paraId="47AE1E2D"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827,8</w:t>
            </w:r>
          </w:p>
        </w:tc>
        <w:tc>
          <w:tcPr>
            <w:tcW w:w="1096" w:type="dxa"/>
            <w:tcBorders>
              <w:top w:val="nil"/>
              <w:left w:val="nil"/>
              <w:bottom w:val="single" w:sz="4" w:space="0" w:color="auto"/>
              <w:right w:val="single" w:sz="4" w:space="0" w:color="auto"/>
            </w:tcBorders>
            <w:shd w:val="clear" w:color="auto" w:fill="auto"/>
            <w:vAlign w:val="center"/>
            <w:hideMark/>
          </w:tcPr>
          <w:p w14:paraId="7DC876EA"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1.785,49</w:t>
            </w:r>
          </w:p>
        </w:tc>
        <w:tc>
          <w:tcPr>
            <w:tcW w:w="1096" w:type="dxa"/>
            <w:tcBorders>
              <w:top w:val="nil"/>
              <w:left w:val="nil"/>
              <w:bottom w:val="single" w:sz="4" w:space="0" w:color="auto"/>
              <w:right w:val="single" w:sz="4" w:space="0" w:color="auto"/>
            </w:tcBorders>
            <w:shd w:val="clear" w:color="auto" w:fill="auto"/>
            <w:vAlign w:val="center"/>
            <w:hideMark/>
          </w:tcPr>
          <w:p w14:paraId="0E86F5A8"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349,74</w:t>
            </w:r>
          </w:p>
        </w:tc>
        <w:tc>
          <w:tcPr>
            <w:tcW w:w="1096" w:type="dxa"/>
            <w:tcBorders>
              <w:top w:val="nil"/>
              <w:left w:val="nil"/>
              <w:bottom w:val="single" w:sz="4" w:space="0" w:color="auto"/>
              <w:right w:val="single" w:sz="4" w:space="0" w:color="auto"/>
            </w:tcBorders>
            <w:vAlign w:val="center"/>
          </w:tcPr>
          <w:p w14:paraId="6A8AF13D"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198,86</w:t>
            </w:r>
          </w:p>
        </w:tc>
      </w:tr>
      <w:tr w:rsidR="00F255A4" w:rsidRPr="00D42FB0" w14:paraId="6A2C7B29" w14:textId="77777777" w:rsidTr="00B80B46">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51D72FC"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12</w:t>
            </w:r>
          </w:p>
        </w:tc>
        <w:tc>
          <w:tcPr>
            <w:tcW w:w="1157" w:type="dxa"/>
            <w:tcBorders>
              <w:top w:val="nil"/>
              <w:left w:val="nil"/>
              <w:bottom w:val="single" w:sz="4" w:space="0" w:color="auto"/>
              <w:right w:val="single" w:sz="4" w:space="0" w:color="auto"/>
            </w:tcBorders>
            <w:shd w:val="clear" w:color="auto" w:fill="auto"/>
            <w:vAlign w:val="center"/>
            <w:hideMark/>
          </w:tcPr>
          <w:p w14:paraId="15D0FDCC"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Anh</w:t>
            </w:r>
          </w:p>
        </w:tc>
        <w:tc>
          <w:tcPr>
            <w:tcW w:w="1059" w:type="dxa"/>
            <w:tcBorders>
              <w:top w:val="nil"/>
              <w:left w:val="nil"/>
              <w:bottom w:val="single" w:sz="4" w:space="0" w:color="auto"/>
              <w:right w:val="single" w:sz="4" w:space="0" w:color="auto"/>
            </w:tcBorders>
            <w:shd w:val="clear" w:color="auto" w:fill="auto"/>
            <w:vAlign w:val="center"/>
            <w:hideMark/>
          </w:tcPr>
          <w:p w14:paraId="0DA54332"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1288,7</w:t>
            </w:r>
          </w:p>
        </w:tc>
        <w:tc>
          <w:tcPr>
            <w:tcW w:w="1059" w:type="dxa"/>
            <w:tcBorders>
              <w:top w:val="nil"/>
              <w:left w:val="nil"/>
              <w:bottom w:val="single" w:sz="4" w:space="0" w:color="auto"/>
              <w:right w:val="single" w:sz="4" w:space="0" w:color="auto"/>
            </w:tcBorders>
            <w:shd w:val="clear" w:color="auto" w:fill="auto"/>
            <w:vAlign w:val="center"/>
            <w:hideMark/>
          </w:tcPr>
          <w:p w14:paraId="180F7E9A"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220,3</w:t>
            </w:r>
          </w:p>
        </w:tc>
        <w:tc>
          <w:tcPr>
            <w:tcW w:w="1058" w:type="dxa"/>
            <w:tcBorders>
              <w:top w:val="nil"/>
              <w:left w:val="nil"/>
              <w:bottom w:val="single" w:sz="4" w:space="0" w:color="auto"/>
              <w:right w:val="single" w:sz="4" w:space="0" w:color="auto"/>
            </w:tcBorders>
            <w:shd w:val="clear" w:color="auto" w:fill="auto"/>
            <w:vAlign w:val="center"/>
            <w:hideMark/>
          </w:tcPr>
          <w:p w14:paraId="25789E95"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239,5</w:t>
            </w:r>
          </w:p>
        </w:tc>
        <w:tc>
          <w:tcPr>
            <w:tcW w:w="1058" w:type="dxa"/>
            <w:tcBorders>
              <w:top w:val="nil"/>
              <w:left w:val="nil"/>
              <w:bottom w:val="single" w:sz="4" w:space="0" w:color="auto"/>
              <w:right w:val="single" w:sz="4" w:space="0" w:color="auto"/>
            </w:tcBorders>
            <w:shd w:val="clear" w:color="auto" w:fill="auto"/>
            <w:vAlign w:val="center"/>
            <w:hideMark/>
          </w:tcPr>
          <w:p w14:paraId="1F687C4B"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234,3</w:t>
            </w:r>
          </w:p>
        </w:tc>
        <w:tc>
          <w:tcPr>
            <w:tcW w:w="1057" w:type="dxa"/>
            <w:tcBorders>
              <w:top w:val="nil"/>
              <w:left w:val="nil"/>
              <w:bottom w:val="single" w:sz="4" w:space="0" w:color="auto"/>
              <w:right w:val="single" w:sz="4" w:space="0" w:color="auto"/>
            </w:tcBorders>
            <w:shd w:val="clear" w:color="auto" w:fill="auto"/>
            <w:vAlign w:val="center"/>
            <w:hideMark/>
          </w:tcPr>
          <w:p w14:paraId="06750BA3"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303,3</w:t>
            </w:r>
          </w:p>
        </w:tc>
        <w:tc>
          <w:tcPr>
            <w:tcW w:w="1096" w:type="dxa"/>
            <w:tcBorders>
              <w:top w:val="nil"/>
              <w:left w:val="nil"/>
              <w:bottom w:val="single" w:sz="4" w:space="0" w:color="auto"/>
              <w:right w:val="single" w:sz="4" w:space="0" w:color="auto"/>
            </w:tcBorders>
            <w:shd w:val="clear" w:color="auto" w:fill="auto"/>
            <w:vAlign w:val="center"/>
            <w:hideMark/>
          </w:tcPr>
          <w:p w14:paraId="534C1D24"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249,44</w:t>
            </w:r>
          </w:p>
        </w:tc>
        <w:tc>
          <w:tcPr>
            <w:tcW w:w="1096" w:type="dxa"/>
            <w:tcBorders>
              <w:top w:val="nil"/>
              <w:left w:val="nil"/>
              <w:bottom w:val="single" w:sz="4" w:space="0" w:color="auto"/>
              <w:right w:val="single" w:sz="4" w:space="0" w:color="auto"/>
            </w:tcBorders>
            <w:shd w:val="clear" w:color="auto" w:fill="auto"/>
            <w:vAlign w:val="center"/>
            <w:hideMark/>
          </w:tcPr>
          <w:p w14:paraId="2A06DF5F"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303,00</w:t>
            </w:r>
          </w:p>
        </w:tc>
        <w:tc>
          <w:tcPr>
            <w:tcW w:w="1096" w:type="dxa"/>
            <w:tcBorders>
              <w:top w:val="nil"/>
              <w:left w:val="nil"/>
              <w:bottom w:val="single" w:sz="4" w:space="0" w:color="auto"/>
              <w:right w:val="single" w:sz="4" w:space="0" w:color="auto"/>
            </w:tcBorders>
            <w:vAlign w:val="center"/>
          </w:tcPr>
          <w:p w14:paraId="64B40B90"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134,66</w:t>
            </w:r>
          </w:p>
        </w:tc>
      </w:tr>
      <w:tr w:rsidR="00F255A4" w:rsidRPr="00D42FB0" w14:paraId="7EB20918" w14:textId="77777777" w:rsidTr="00B80B46">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77DCAA8"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13</w:t>
            </w:r>
          </w:p>
        </w:tc>
        <w:tc>
          <w:tcPr>
            <w:tcW w:w="1157" w:type="dxa"/>
            <w:tcBorders>
              <w:top w:val="nil"/>
              <w:left w:val="nil"/>
              <w:bottom w:val="single" w:sz="4" w:space="0" w:color="auto"/>
              <w:right w:val="single" w:sz="4" w:space="0" w:color="auto"/>
            </w:tcBorders>
            <w:shd w:val="clear" w:color="auto" w:fill="auto"/>
            <w:vAlign w:val="center"/>
            <w:hideMark/>
          </w:tcPr>
          <w:p w14:paraId="3FD4650D"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Samoa</w:t>
            </w:r>
          </w:p>
        </w:tc>
        <w:tc>
          <w:tcPr>
            <w:tcW w:w="1059" w:type="dxa"/>
            <w:tcBorders>
              <w:top w:val="nil"/>
              <w:left w:val="nil"/>
              <w:bottom w:val="single" w:sz="4" w:space="0" w:color="auto"/>
              <w:right w:val="single" w:sz="4" w:space="0" w:color="auto"/>
            </w:tcBorders>
            <w:shd w:val="clear" w:color="auto" w:fill="auto"/>
            <w:vAlign w:val="center"/>
            <w:hideMark/>
          </w:tcPr>
          <w:p w14:paraId="52356B47"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1.394,7</w:t>
            </w:r>
          </w:p>
        </w:tc>
        <w:tc>
          <w:tcPr>
            <w:tcW w:w="1059" w:type="dxa"/>
            <w:tcBorders>
              <w:top w:val="nil"/>
              <w:left w:val="nil"/>
              <w:bottom w:val="single" w:sz="4" w:space="0" w:color="auto"/>
              <w:right w:val="single" w:sz="4" w:space="0" w:color="auto"/>
            </w:tcBorders>
            <w:shd w:val="clear" w:color="auto" w:fill="auto"/>
            <w:vAlign w:val="center"/>
            <w:hideMark/>
          </w:tcPr>
          <w:p w14:paraId="66616E8A"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527,8</w:t>
            </w:r>
          </w:p>
        </w:tc>
        <w:tc>
          <w:tcPr>
            <w:tcW w:w="1058" w:type="dxa"/>
            <w:tcBorders>
              <w:top w:val="nil"/>
              <w:left w:val="nil"/>
              <w:bottom w:val="single" w:sz="4" w:space="0" w:color="auto"/>
              <w:right w:val="single" w:sz="4" w:space="0" w:color="auto"/>
            </w:tcBorders>
            <w:shd w:val="clear" w:color="auto" w:fill="auto"/>
            <w:vAlign w:val="center"/>
            <w:hideMark/>
          </w:tcPr>
          <w:p w14:paraId="42DA859D"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466,8</w:t>
            </w:r>
          </w:p>
        </w:tc>
        <w:tc>
          <w:tcPr>
            <w:tcW w:w="1058" w:type="dxa"/>
            <w:tcBorders>
              <w:top w:val="nil"/>
              <w:left w:val="nil"/>
              <w:bottom w:val="single" w:sz="4" w:space="0" w:color="auto"/>
              <w:right w:val="single" w:sz="4" w:space="0" w:color="auto"/>
            </w:tcBorders>
            <w:shd w:val="clear" w:color="auto" w:fill="auto"/>
            <w:vAlign w:val="center"/>
            <w:hideMark/>
          </w:tcPr>
          <w:p w14:paraId="5444BDF0"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336</w:t>
            </w:r>
          </w:p>
        </w:tc>
        <w:tc>
          <w:tcPr>
            <w:tcW w:w="1057" w:type="dxa"/>
            <w:tcBorders>
              <w:top w:val="nil"/>
              <w:left w:val="nil"/>
              <w:bottom w:val="single" w:sz="4" w:space="0" w:color="auto"/>
              <w:right w:val="single" w:sz="4" w:space="0" w:color="auto"/>
            </w:tcBorders>
            <w:shd w:val="clear" w:color="auto" w:fill="auto"/>
            <w:vAlign w:val="center"/>
            <w:hideMark/>
          </w:tcPr>
          <w:p w14:paraId="6C377B39"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886,7</w:t>
            </w:r>
          </w:p>
        </w:tc>
        <w:tc>
          <w:tcPr>
            <w:tcW w:w="1096" w:type="dxa"/>
            <w:tcBorders>
              <w:top w:val="nil"/>
              <w:left w:val="nil"/>
              <w:bottom w:val="single" w:sz="4" w:space="0" w:color="auto"/>
              <w:right w:val="single" w:sz="4" w:space="0" w:color="auto"/>
            </w:tcBorders>
            <w:shd w:val="clear" w:color="auto" w:fill="auto"/>
            <w:vAlign w:val="center"/>
            <w:hideMark/>
          </w:tcPr>
          <w:p w14:paraId="277F2E26"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242,18</w:t>
            </w:r>
          </w:p>
        </w:tc>
        <w:tc>
          <w:tcPr>
            <w:tcW w:w="1096" w:type="dxa"/>
            <w:tcBorders>
              <w:top w:val="nil"/>
              <w:left w:val="nil"/>
              <w:bottom w:val="single" w:sz="4" w:space="0" w:color="auto"/>
              <w:right w:val="single" w:sz="4" w:space="0" w:color="auto"/>
            </w:tcBorders>
            <w:shd w:val="clear" w:color="auto" w:fill="auto"/>
            <w:vAlign w:val="center"/>
            <w:hideMark/>
          </w:tcPr>
          <w:p w14:paraId="551A25C5"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277,56</w:t>
            </w:r>
          </w:p>
        </w:tc>
        <w:tc>
          <w:tcPr>
            <w:tcW w:w="1096" w:type="dxa"/>
            <w:tcBorders>
              <w:top w:val="nil"/>
              <w:left w:val="nil"/>
              <w:bottom w:val="single" w:sz="4" w:space="0" w:color="auto"/>
              <w:right w:val="single" w:sz="4" w:space="0" w:color="auto"/>
            </w:tcBorders>
            <w:vAlign w:val="center"/>
          </w:tcPr>
          <w:p w14:paraId="6727D8B8"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305,77</w:t>
            </w:r>
          </w:p>
        </w:tc>
      </w:tr>
      <w:tr w:rsidR="00F255A4" w:rsidRPr="00D42FB0" w14:paraId="08F4D3C2" w14:textId="77777777" w:rsidTr="00B80B46">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F13E066"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14</w:t>
            </w:r>
          </w:p>
        </w:tc>
        <w:tc>
          <w:tcPr>
            <w:tcW w:w="1157" w:type="dxa"/>
            <w:tcBorders>
              <w:top w:val="nil"/>
              <w:left w:val="nil"/>
              <w:bottom w:val="single" w:sz="4" w:space="0" w:color="auto"/>
              <w:right w:val="single" w:sz="4" w:space="0" w:color="auto"/>
            </w:tcBorders>
            <w:shd w:val="clear" w:color="auto" w:fill="auto"/>
            <w:vAlign w:val="center"/>
            <w:hideMark/>
          </w:tcPr>
          <w:p w14:paraId="08945424"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Thụy Điển</w:t>
            </w:r>
          </w:p>
        </w:tc>
        <w:tc>
          <w:tcPr>
            <w:tcW w:w="1059" w:type="dxa"/>
            <w:tcBorders>
              <w:top w:val="nil"/>
              <w:left w:val="nil"/>
              <w:bottom w:val="single" w:sz="4" w:space="0" w:color="auto"/>
              <w:right w:val="single" w:sz="4" w:space="0" w:color="auto"/>
            </w:tcBorders>
            <w:shd w:val="clear" w:color="auto" w:fill="auto"/>
            <w:vAlign w:val="center"/>
            <w:hideMark/>
          </w:tcPr>
          <w:p w14:paraId="3D6CAD90"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102,2</w:t>
            </w:r>
          </w:p>
        </w:tc>
        <w:tc>
          <w:tcPr>
            <w:tcW w:w="1059" w:type="dxa"/>
            <w:tcBorders>
              <w:top w:val="nil"/>
              <w:left w:val="nil"/>
              <w:bottom w:val="single" w:sz="4" w:space="0" w:color="auto"/>
              <w:right w:val="single" w:sz="4" w:space="0" w:color="auto"/>
            </w:tcBorders>
            <w:shd w:val="clear" w:color="auto" w:fill="auto"/>
            <w:vAlign w:val="center"/>
            <w:hideMark/>
          </w:tcPr>
          <w:p w14:paraId="0D4B47E7"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54,4</w:t>
            </w:r>
          </w:p>
        </w:tc>
        <w:tc>
          <w:tcPr>
            <w:tcW w:w="1058" w:type="dxa"/>
            <w:tcBorders>
              <w:top w:val="nil"/>
              <w:left w:val="nil"/>
              <w:bottom w:val="single" w:sz="4" w:space="0" w:color="auto"/>
              <w:right w:val="single" w:sz="4" w:space="0" w:color="auto"/>
            </w:tcBorders>
            <w:shd w:val="clear" w:color="auto" w:fill="auto"/>
            <w:vAlign w:val="center"/>
            <w:hideMark/>
          </w:tcPr>
          <w:p w14:paraId="1C12338D"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44,7</w:t>
            </w:r>
          </w:p>
        </w:tc>
        <w:tc>
          <w:tcPr>
            <w:tcW w:w="1058" w:type="dxa"/>
            <w:tcBorders>
              <w:top w:val="nil"/>
              <w:left w:val="nil"/>
              <w:bottom w:val="single" w:sz="4" w:space="0" w:color="auto"/>
              <w:right w:val="single" w:sz="4" w:space="0" w:color="auto"/>
            </w:tcBorders>
            <w:shd w:val="clear" w:color="auto" w:fill="auto"/>
            <w:vAlign w:val="center"/>
            <w:hideMark/>
          </w:tcPr>
          <w:p w14:paraId="01505868"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85,5</w:t>
            </w:r>
          </w:p>
        </w:tc>
        <w:tc>
          <w:tcPr>
            <w:tcW w:w="1057" w:type="dxa"/>
            <w:tcBorders>
              <w:top w:val="nil"/>
              <w:left w:val="nil"/>
              <w:bottom w:val="single" w:sz="4" w:space="0" w:color="auto"/>
              <w:right w:val="single" w:sz="4" w:space="0" w:color="auto"/>
            </w:tcBorders>
            <w:shd w:val="clear" w:color="auto" w:fill="auto"/>
            <w:vAlign w:val="center"/>
            <w:hideMark/>
          </w:tcPr>
          <w:p w14:paraId="025C3965"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110,4</w:t>
            </w:r>
          </w:p>
        </w:tc>
        <w:tc>
          <w:tcPr>
            <w:tcW w:w="1096" w:type="dxa"/>
            <w:tcBorders>
              <w:top w:val="nil"/>
              <w:left w:val="nil"/>
              <w:bottom w:val="single" w:sz="4" w:space="0" w:color="auto"/>
              <w:right w:val="single" w:sz="4" w:space="0" w:color="auto"/>
            </w:tcBorders>
            <w:shd w:val="clear" w:color="auto" w:fill="auto"/>
            <w:vAlign w:val="center"/>
            <w:hideMark/>
          </w:tcPr>
          <w:p w14:paraId="2712803B"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102,23</w:t>
            </w:r>
          </w:p>
        </w:tc>
        <w:tc>
          <w:tcPr>
            <w:tcW w:w="1096" w:type="dxa"/>
            <w:tcBorders>
              <w:top w:val="nil"/>
              <w:left w:val="nil"/>
              <w:bottom w:val="single" w:sz="4" w:space="0" w:color="auto"/>
              <w:right w:val="single" w:sz="4" w:space="0" w:color="auto"/>
            </w:tcBorders>
            <w:shd w:val="clear" w:color="auto" w:fill="auto"/>
            <w:vAlign w:val="center"/>
            <w:hideMark/>
          </w:tcPr>
          <w:p w14:paraId="0BCE20AD"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170,73</w:t>
            </w:r>
          </w:p>
        </w:tc>
        <w:tc>
          <w:tcPr>
            <w:tcW w:w="1096" w:type="dxa"/>
            <w:tcBorders>
              <w:top w:val="nil"/>
              <w:left w:val="nil"/>
              <w:bottom w:val="single" w:sz="4" w:space="0" w:color="auto"/>
              <w:right w:val="single" w:sz="4" w:space="0" w:color="auto"/>
            </w:tcBorders>
            <w:vAlign w:val="center"/>
          </w:tcPr>
          <w:p w14:paraId="7DC851BE"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43,93</w:t>
            </w:r>
          </w:p>
        </w:tc>
      </w:tr>
      <w:tr w:rsidR="00F255A4" w:rsidRPr="00D42FB0" w14:paraId="695E4068" w14:textId="77777777" w:rsidTr="00B80B46">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36C80BC"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15</w:t>
            </w:r>
          </w:p>
        </w:tc>
        <w:tc>
          <w:tcPr>
            <w:tcW w:w="1157" w:type="dxa"/>
            <w:tcBorders>
              <w:top w:val="nil"/>
              <w:left w:val="nil"/>
              <w:bottom w:val="single" w:sz="4" w:space="0" w:color="auto"/>
              <w:right w:val="single" w:sz="4" w:space="0" w:color="auto"/>
            </w:tcBorders>
            <w:shd w:val="clear" w:color="auto" w:fill="auto"/>
            <w:vAlign w:val="center"/>
            <w:hideMark/>
          </w:tcPr>
          <w:p w14:paraId="64937C2B"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Seychelles</w:t>
            </w:r>
          </w:p>
        </w:tc>
        <w:tc>
          <w:tcPr>
            <w:tcW w:w="1059" w:type="dxa"/>
            <w:tcBorders>
              <w:top w:val="nil"/>
              <w:left w:val="nil"/>
              <w:bottom w:val="single" w:sz="4" w:space="0" w:color="auto"/>
              <w:right w:val="single" w:sz="4" w:space="0" w:color="auto"/>
            </w:tcBorders>
            <w:shd w:val="clear" w:color="auto" w:fill="auto"/>
            <w:vAlign w:val="center"/>
            <w:hideMark/>
          </w:tcPr>
          <w:p w14:paraId="090F6F97"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289,2</w:t>
            </w:r>
          </w:p>
        </w:tc>
        <w:tc>
          <w:tcPr>
            <w:tcW w:w="1059" w:type="dxa"/>
            <w:tcBorders>
              <w:top w:val="nil"/>
              <w:left w:val="nil"/>
              <w:bottom w:val="single" w:sz="4" w:space="0" w:color="auto"/>
              <w:right w:val="single" w:sz="4" w:space="0" w:color="auto"/>
            </w:tcBorders>
            <w:shd w:val="clear" w:color="auto" w:fill="auto"/>
            <w:vAlign w:val="center"/>
            <w:hideMark/>
          </w:tcPr>
          <w:p w14:paraId="3038B1E6"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283,9</w:t>
            </w:r>
          </w:p>
        </w:tc>
        <w:tc>
          <w:tcPr>
            <w:tcW w:w="1058" w:type="dxa"/>
            <w:tcBorders>
              <w:top w:val="nil"/>
              <w:left w:val="nil"/>
              <w:bottom w:val="single" w:sz="4" w:space="0" w:color="auto"/>
              <w:right w:val="single" w:sz="4" w:space="0" w:color="auto"/>
            </w:tcBorders>
            <w:shd w:val="clear" w:color="auto" w:fill="auto"/>
            <w:vAlign w:val="center"/>
            <w:hideMark/>
          </w:tcPr>
          <w:p w14:paraId="0A0D8752"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164,7</w:t>
            </w:r>
          </w:p>
        </w:tc>
        <w:tc>
          <w:tcPr>
            <w:tcW w:w="1058" w:type="dxa"/>
            <w:tcBorders>
              <w:top w:val="nil"/>
              <w:left w:val="nil"/>
              <w:bottom w:val="single" w:sz="4" w:space="0" w:color="auto"/>
              <w:right w:val="single" w:sz="4" w:space="0" w:color="auto"/>
            </w:tcBorders>
            <w:shd w:val="clear" w:color="auto" w:fill="auto"/>
            <w:vAlign w:val="center"/>
            <w:hideMark/>
          </w:tcPr>
          <w:p w14:paraId="440D0232"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207,2</w:t>
            </w:r>
          </w:p>
        </w:tc>
        <w:tc>
          <w:tcPr>
            <w:tcW w:w="1057" w:type="dxa"/>
            <w:tcBorders>
              <w:top w:val="nil"/>
              <w:left w:val="nil"/>
              <w:bottom w:val="single" w:sz="4" w:space="0" w:color="auto"/>
              <w:right w:val="single" w:sz="4" w:space="0" w:color="auto"/>
            </w:tcBorders>
            <w:shd w:val="clear" w:color="auto" w:fill="auto"/>
            <w:vAlign w:val="center"/>
            <w:hideMark/>
          </w:tcPr>
          <w:p w14:paraId="421A14DA"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267,1</w:t>
            </w:r>
          </w:p>
        </w:tc>
        <w:tc>
          <w:tcPr>
            <w:tcW w:w="1096" w:type="dxa"/>
            <w:tcBorders>
              <w:top w:val="nil"/>
              <w:left w:val="nil"/>
              <w:bottom w:val="single" w:sz="4" w:space="0" w:color="auto"/>
              <w:right w:val="single" w:sz="4" w:space="0" w:color="auto"/>
            </w:tcBorders>
            <w:shd w:val="clear" w:color="auto" w:fill="auto"/>
            <w:vAlign w:val="center"/>
            <w:hideMark/>
          </w:tcPr>
          <w:p w14:paraId="7D9EBD1E"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258,65</w:t>
            </w:r>
          </w:p>
        </w:tc>
        <w:tc>
          <w:tcPr>
            <w:tcW w:w="1096" w:type="dxa"/>
            <w:tcBorders>
              <w:top w:val="nil"/>
              <w:left w:val="nil"/>
              <w:bottom w:val="single" w:sz="4" w:space="0" w:color="auto"/>
              <w:right w:val="single" w:sz="4" w:space="0" w:color="auto"/>
            </w:tcBorders>
            <w:shd w:val="clear" w:color="auto" w:fill="auto"/>
            <w:vAlign w:val="center"/>
            <w:hideMark/>
          </w:tcPr>
          <w:p w14:paraId="4DCA2481"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152,83</w:t>
            </w:r>
          </w:p>
        </w:tc>
        <w:tc>
          <w:tcPr>
            <w:tcW w:w="1096" w:type="dxa"/>
            <w:tcBorders>
              <w:top w:val="nil"/>
              <w:left w:val="nil"/>
              <w:bottom w:val="single" w:sz="4" w:space="0" w:color="auto"/>
              <w:right w:val="single" w:sz="4" w:space="0" w:color="auto"/>
            </w:tcBorders>
            <w:vAlign w:val="center"/>
          </w:tcPr>
          <w:p w14:paraId="5EE74566"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114,136</w:t>
            </w:r>
          </w:p>
        </w:tc>
      </w:tr>
      <w:tr w:rsidR="00F255A4" w:rsidRPr="00D42FB0" w14:paraId="3C77CE6F" w14:textId="77777777" w:rsidTr="00B80B46">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FD9B444"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16</w:t>
            </w:r>
          </w:p>
        </w:tc>
        <w:tc>
          <w:tcPr>
            <w:tcW w:w="1157" w:type="dxa"/>
            <w:tcBorders>
              <w:top w:val="nil"/>
              <w:left w:val="nil"/>
              <w:bottom w:val="single" w:sz="4" w:space="0" w:color="auto"/>
              <w:right w:val="single" w:sz="4" w:space="0" w:color="auto"/>
            </w:tcBorders>
            <w:shd w:val="clear" w:color="auto" w:fill="auto"/>
            <w:vAlign w:val="center"/>
            <w:hideMark/>
          </w:tcPr>
          <w:p w14:paraId="3DE5706A"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Malaysia</w:t>
            </w:r>
          </w:p>
        </w:tc>
        <w:tc>
          <w:tcPr>
            <w:tcW w:w="1059" w:type="dxa"/>
            <w:tcBorders>
              <w:top w:val="nil"/>
              <w:left w:val="nil"/>
              <w:bottom w:val="single" w:sz="4" w:space="0" w:color="auto"/>
              <w:right w:val="single" w:sz="4" w:space="0" w:color="auto"/>
            </w:tcBorders>
            <w:shd w:val="clear" w:color="auto" w:fill="auto"/>
            <w:vAlign w:val="center"/>
            <w:hideMark/>
          </w:tcPr>
          <w:p w14:paraId="261678F0"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2.478,8</w:t>
            </w:r>
          </w:p>
        </w:tc>
        <w:tc>
          <w:tcPr>
            <w:tcW w:w="1059" w:type="dxa"/>
            <w:tcBorders>
              <w:top w:val="nil"/>
              <w:left w:val="nil"/>
              <w:bottom w:val="single" w:sz="4" w:space="0" w:color="auto"/>
              <w:right w:val="single" w:sz="4" w:space="0" w:color="auto"/>
            </w:tcBorders>
            <w:shd w:val="clear" w:color="auto" w:fill="auto"/>
            <w:vAlign w:val="center"/>
            <w:hideMark/>
          </w:tcPr>
          <w:p w14:paraId="472A4E47"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914,0</w:t>
            </w:r>
          </w:p>
        </w:tc>
        <w:tc>
          <w:tcPr>
            <w:tcW w:w="1058" w:type="dxa"/>
            <w:tcBorders>
              <w:top w:val="nil"/>
              <w:left w:val="nil"/>
              <w:bottom w:val="single" w:sz="4" w:space="0" w:color="auto"/>
              <w:right w:val="single" w:sz="4" w:space="0" w:color="auto"/>
            </w:tcBorders>
            <w:shd w:val="clear" w:color="auto" w:fill="auto"/>
            <w:vAlign w:val="center"/>
            <w:hideMark/>
          </w:tcPr>
          <w:p w14:paraId="3D09D162"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291,3</w:t>
            </w:r>
          </w:p>
        </w:tc>
        <w:tc>
          <w:tcPr>
            <w:tcW w:w="1058" w:type="dxa"/>
            <w:tcBorders>
              <w:top w:val="nil"/>
              <w:left w:val="nil"/>
              <w:bottom w:val="single" w:sz="4" w:space="0" w:color="auto"/>
              <w:right w:val="single" w:sz="4" w:space="0" w:color="auto"/>
            </w:tcBorders>
            <w:shd w:val="clear" w:color="auto" w:fill="auto"/>
            <w:vAlign w:val="center"/>
            <w:hideMark/>
          </w:tcPr>
          <w:p w14:paraId="3CB28367"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435,5</w:t>
            </w:r>
          </w:p>
        </w:tc>
        <w:tc>
          <w:tcPr>
            <w:tcW w:w="1057" w:type="dxa"/>
            <w:tcBorders>
              <w:top w:val="nil"/>
              <w:left w:val="nil"/>
              <w:bottom w:val="single" w:sz="4" w:space="0" w:color="auto"/>
              <w:right w:val="single" w:sz="4" w:space="0" w:color="auto"/>
            </w:tcBorders>
            <w:shd w:val="clear" w:color="auto" w:fill="auto"/>
            <w:vAlign w:val="center"/>
            <w:hideMark/>
          </w:tcPr>
          <w:p w14:paraId="2767E85A"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216,1</w:t>
            </w:r>
          </w:p>
        </w:tc>
        <w:tc>
          <w:tcPr>
            <w:tcW w:w="1096" w:type="dxa"/>
            <w:tcBorders>
              <w:top w:val="nil"/>
              <w:left w:val="nil"/>
              <w:bottom w:val="single" w:sz="4" w:space="0" w:color="auto"/>
              <w:right w:val="single" w:sz="4" w:space="0" w:color="auto"/>
            </w:tcBorders>
            <w:shd w:val="clear" w:color="auto" w:fill="auto"/>
            <w:vAlign w:val="center"/>
            <w:hideMark/>
          </w:tcPr>
          <w:p w14:paraId="584987AE"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195,02</w:t>
            </w:r>
          </w:p>
        </w:tc>
        <w:tc>
          <w:tcPr>
            <w:tcW w:w="1096" w:type="dxa"/>
            <w:tcBorders>
              <w:top w:val="nil"/>
              <w:left w:val="nil"/>
              <w:bottom w:val="single" w:sz="4" w:space="0" w:color="auto"/>
              <w:right w:val="single" w:sz="4" w:space="0" w:color="auto"/>
            </w:tcBorders>
            <w:shd w:val="clear" w:color="auto" w:fill="auto"/>
            <w:vAlign w:val="center"/>
            <w:hideMark/>
          </w:tcPr>
          <w:p w14:paraId="17E706E3"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142,84</w:t>
            </w:r>
          </w:p>
        </w:tc>
        <w:tc>
          <w:tcPr>
            <w:tcW w:w="1096" w:type="dxa"/>
            <w:tcBorders>
              <w:top w:val="nil"/>
              <w:left w:val="nil"/>
              <w:bottom w:val="single" w:sz="4" w:space="0" w:color="auto"/>
              <w:right w:val="single" w:sz="4" w:space="0" w:color="auto"/>
            </w:tcBorders>
            <w:vAlign w:val="center"/>
          </w:tcPr>
          <w:p w14:paraId="150002CA"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185,18</w:t>
            </w:r>
          </w:p>
        </w:tc>
      </w:tr>
      <w:tr w:rsidR="00F255A4" w:rsidRPr="00D42FB0" w14:paraId="14006F78" w14:textId="77777777" w:rsidTr="00B80B46">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B374400"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17</w:t>
            </w:r>
          </w:p>
        </w:tc>
        <w:tc>
          <w:tcPr>
            <w:tcW w:w="1157" w:type="dxa"/>
            <w:tcBorders>
              <w:top w:val="nil"/>
              <w:left w:val="nil"/>
              <w:bottom w:val="single" w:sz="4" w:space="0" w:color="auto"/>
              <w:right w:val="single" w:sz="4" w:space="0" w:color="auto"/>
            </w:tcBorders>
            <w:shd w:val="clear" w:color="auto" w:fill="auto"/>
            <w:vAlign w:val="center"/>
            <w:hideMark/>
          </w:tcPr>
          <w:p w14:paraId="72389F5F"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Đức</w:t>
            </w:r>
          </w:p>
        </w:tc>
        <w:tc>
          <w:tcPr>
            <w:tcW w:w="1059" w:type="dxa"/>
            <w:tcBorders>
              <w:top w:val="nil"/>
              <w:left w:val="nil"/>
              <w:bottom w:val="single" w:sz="4" w:space="0" w:color="auto"/>
              <w:right w:val="single" w:sz="4" w:space="0" w:color="auto"/>
            </w:tcBorders>
            <w:shd w:val="clear" w:color="auto" w:fill="auto"/>
            <w:vAlign w:val="center"/>
            <w:hideMark/>
          </w:tcPr>
          <w:p w14:paraId="0146E485"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74,3</w:t>
            </w:r>
          </w:p>
        </w:tc>
        <w:tc>
          <w:tcPr>
            <w:tcW w:w="1059" w:type="dxa"/>
            <w:tcBorders>
              <w:top w:val="nil"/>
              <w:left w:val="nil"/>
              <w:bottom w:val="single" w:sz="4" w:space="0" w:color="auto"/>
              <w:right w:val="single" w:sz="4" w:space="0" w:color="auto"/>
            </w:tcBorders>
            <w:shd w:val="clear" w:color="auto" w:fill="auto"/>
            <w:vAlign w:val="center"/>
            <w:hideMark/>
          </w:tcPr>
          <w:p w14:paraId="17B9701A"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44,9</w:t>
            </w:r>
          </w:p>
        </w:tc>
        <w:tc>
          <w:tcPr>
            <w:tcW w:w="1058" w:type="dxa"/>
            <w:tcBorders>
              <w:top w:val="nil"/>
              <w:left w:val="nil"/>
              <w:bottom w:val="single" w:sz="4" w:space="0" w:color="auto"/>
              <w:right w:val="single" w:sz="4" w:space="0" w:color="auto"/>
            </w:tcBorders>
            <w:shd w:val="clear" w:color="auto" w:fill="auto"/>
            <w:vAlign w:val="center"/>
            <w:hideMark/>
          </w:tcPr>
          <w:p w14:paraId="400E4840"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414,0</w:t>
            </w:r>
          </w:p>
        </w:tc>
        <w:tc>
          <w:tcPr>
            <w:tcW w:w="1058" w:type="dxa"/>
            <w:tcBorders>
              <w:top w:val="nil"/>
              <w:left w:val="nil"/>
              <w:bottom w:val="single" w:sz="4" w:space="0" w:color="auto"/>
              <w:right w:val="single" w:sz="4" w:space="0" w:color="auto"/>
            </w:tcBorders>
            <w:shd w:val="clear" w:color="auto" w:fill="auto"/>
            <w:vAlign w:val="center"/>
            <w:hideMark/>
          </w:tcPr>
          <w:p w14:paraId="7EF68411"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397,6</w:t>
            </w:r>
          </w:p>
        </w:tc>
        <w:tc>
          <w:tcPr>
            <w:tcW w:w="1057" w:type="dxa"/>
            <w:tcBorders>
              <w:top w:val="nil"/>
              <w:left w:val="nil"/>
              <w:bottom w:val="single" w:sz="4" w:space="0" w:color="auto"/>
              <w:right w:val="single" w:sz="4" w:space="0" w:color="auto"/>
            </w:tcBorders>
            <w:shd w:val="clear" w:color="auto" w:fill="auto"/>
            <w:vAlign w:val="center"/>
            <w:hideMark/>
          </w:tcPr>
          <w:p w14:paraId="52358D57"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137,7</w:t>
            </w:r>
          </w:p>
        </w:tc>
        <w:tc>
          <w:tcPr>
            <w:tcW w:w="1096" w:type="dxa"/>
            <w:tcBorders>
              <w:top w:val="nil"/>
              <w:left w:val="nil"/>
              <w:bottom w:val="single" w:sz="4" w:space="0" w:color="auto"/>
              <w:right w:val="single" w:sz="4" w:space="0" w:color="auto"/>
            </w:tcBorders>
            <w:shd w:val="clear" w:color="auto" w:fill="auto"/>
            <w:vAlign w:val="center"/>
            <w:hideMark/>
          </w:tcPr>
          <w:p w14:paraId="6B7C2489"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146,06</w:t>
            </w:r>
          </w:p>
        </w:tc>
        <w:tc>
          <w:tcPr>
            <w:tcW w:w="1096" w:type="dxa"/>
            <w:tcBorders>
              <w:top w:val="nil"/>
              <w:left w:val="nil"/>
              <w:bottom w:val="single" w:sz="4" w:space="0" w:color="auto"/>
              <w:right w:val="single" w:sz="4" w:space="0" w:color="auto"/>
            </w:tcBorders>
            <w:shd w:val="clear" w:color="auto" w:fill="auto"/>
            <w:vAlign w:val="center"/>
            <w:hideMark/>
          </w:tcPr>
          <w:p w14:paraId="1492851F"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126,01</w:t>
            </w:r>
          </w:p>
        </w:tc>
        <w:tc>
          <w:tcPr>
            <w:tcW w:w="1096" w:type="dxa"/>
            <w:tcBorders>
              <w:top w:val="nil"/>
              <w:left w:val="nil"/>
              <w:bottom w:val="single" w:sz="4" w:space="0" w:color="auto"/>
              <w:right w:val="single" w:sz="4" w:space="0" w:color="auto"/>
            </w:tcBorders>
            <w:vAlign w:val="center"/>
          </w:tcPr>
          <w:p w14:paraId="5409B8B9"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185,18</w:t>
            </w:r>
          </w:p>
        </w:tc>
      </w:tr>
      <w:tr w:rsidR="00F255A4" w:rsidRPr="00D42FB0" w14:paraId="40A4EA3D" w14:textId="77777777" w:rsidTr="00B80B46">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FC11566"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18</w:t>
            </w:r>
          </w:p>
        </w:tc>
        <w:tc>
          <w:tcPr>
            <w:tcW w:w="1157" w:type="dxa"/>
            <w:tcBorders>
              <w:top w:val="nil"/>
              <w:left w:val="nil"/>
              <w:bottom w:val="single" w:sz="4" w:space="0" w:color="auto"/>
              <w:right w:val="single" w:sz="4" w:space="0" w:color="auto"/>
            </w:tcBorders>
            <w:shd w:val="clear" w:color="auto" w:fill="auto"/>
            <w:vAlign w:val="center"/>
            <w:hideMark/>
          </w:tcPr>
          <w:p w14:paraId="5D5EDCD8"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Úc</w:t>
            </w:r>
          </w:p>
        </w:tc>
        <w:tc>
          <w:tcPr>
            <w:tcW w:w="1059" w:type="dxa"/>
            <w:tcBorders>
              <w:top w:val="nil"/>
              <w:left w:val="nil"/>
              <w:bottom w:val="single" w:sz="4" w:space="0" w:color="auto"/>
              <w:right w:val="single" w:sz="4" w:space="0" w:color="auto"/>
            </w:tcBorders>
            <w:shd w:val="clear" w:color="auto" w:fill="auto"/>
            <w:vAlign w:val="center"/>
            <w:hideMark/>
          </w:tcPr>
          <w:p w14:paraId="1B4B2ECD"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200,4</w:t>
            </w:r>
          </w:p>
        </w:tc>
        <w:tc>
          <w:tcPr>
            <w:tcW w:w="1059" w:type="dxa"/>
            <w:tcBorders>
              <w:top w:val="nil"/>
              <w:left w:val="nil"/>
              <w:bottom w:val="single" w:sz="4" w:space="0" w:color="auto"/>
              <w:right w:val="single" w:sz="4" w:space="0" w:color="auto"/>
            </w:tcBorders>
            <w:shd w:val="clear" w:color="auto" w:fill="auto"/>
            <w:vAlign w:val="center"/>
            <w:hideMark/>
          </w:tcPr>
          <w:p w14:paraId="2E4F2A44"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447,6</w:t>
            </w:r>
          </w:p>
        </w:tc>
        <w:tc>
          <w:tcPr>
            <w:tcW w:w="1058" w:type="dxa"/>
            <w:tcBorders>
              <w:top w:val="nil"/>
              <w:left w:val="nil"/>
              <w:bottom w:val="single" w:sz="4" w:space="0" w:color="auto"/>
              <w:right w:val="single" w:sz="4" w:space="0" w:color="auto"/>
            </w:tcBorders>
            <w:shd w:val="clear" w:color="auto" w:fill="auto"/>
            <w:vAlign w:val="center"/>
            <w:hideMark/>
          </w:tcPr>
          <w:p w14:paraId="2E154A98"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159,5</w:t>
            </w:r>
          </w:p>
        </w:tc>
        <w:tc>
          <w:tcPr>
            <w:tcW w:w="1058" w:type="dxa"/>
            <w:tcBorders>
              <w:top w:val="nil"/>
              <w:left w:val="nil"/>
              <w:bottom w:val="single" w:sz="4" w:space="0" w:color="auto"/>
              <w:right w:val="single" w:sz="4" w:space="0" w:color="auto"/>
            </w:tcBorders>
            <w:shd w:val="clear" w:color="auto" w:fill="auto"/>
            <w:vAlign w:val="center"/>
            <w:hideMark/>
          </w:tcPr>
          <w:p w14:paraId="01DB8589"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609,1</w:t>
            </w:r>
          </w:p>
        </w:tc>
        <w:tc>
          <w:tcPr>
            <w:tcW w:w="1057" w:type="dxa"/>
            <w:tcBorders>
              <w:top w:val="nil"/>
              <w:left w:val="nil"/>
              <w:bottom w:val="single" w:sz="4" w:space="0" w:color="auto"/>
              <w:right w:val="single" w:sz="4" w:space="0" w:color="auto"/>
            </w:tcBorders>
            <w:shd w:val="clear" w:color="auto" w:fill="auto"/>
            <w:vAlign w:val="center"/>
            <w:hideMark/>
          </w:tcPr>
          <w:p w14:paraId="5D9E83DA"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226,5</w:t>
            </w:r>
          </w:p>
        </w:tc>
        <w:tc>
          <w:tcPr>
            <w:tcW w:w="1096" w:type="dxa"/>
            <w:tcBorders>
              <w:top w:val="nil"/>
              <w:left w:val="nil"/>
              <w:bottom w:val="single" w:sz="4" w:space="0" w:color="auto"/>
              <w:right w:val="single" w:sz="4" w:space="0" w:color="auto"/>
            </w:tcBorders>
            <w:shd w:val="clear" w:color="auto" w:fill="auto"/>
            <w:vAlign w:val="center"/>
            <w:hideMark/>
          </w:tcPr>
          <w:p w14:paraId="25352D0C"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71,26</w:t>
            </w:r>
          </w:p>
        </w:tc>
        <w:tc>
          <w:tcPr>
            <w:tcW w:w="1096" w:type="dxa"/>
            <w:tcBorders>
              <w:top w:val="nil"/>
              <w:left w:val="nil"/>
              <w:bottom w:val="single" w:sz="4" w:space="0" w:color="auto"/>
              <w:right w:val="single" w:sz="4" w:space="0" w:color="auto"/>
            </w:tcBorders>
            <w:shd w:val="clear" w:color="auto" w:fill="auto"/>
            <w:vAlign w:val="center"/>
            <w:hideMark/>
          </w:tcPr>
          <w:p w14:paraId="040DF097"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65,25</w:t>
            </w:r>
          </w:p>
        </w:tc>
        <w:tc>
          <w:tcPr>
            <w:tcW w:w="1096" w:type="dxa"/>
            <w:tcBorders>
              <w:top w:val="nil"/>
              <w:left w:val="nil"/>
              <w:bottom w:val="single" w:sz="4" w:space="0" w:color="auto"/>
              <w:right w:val="single" w:sz="4" w:space="0" w:color="auto"/>
            </w:tcBorders>
            <w:vAlign w:val="center"/>
          </w:tcPr>
          <w:p w14:paraId="25D3926B"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71,25</w:t>
            </w:r>
          </w:p>
        </w:tc>
      </w:tr>
      <w:tr w:rsidR="00F255A4" w:rsidRPr="00D42FB0" w14:paraId="6816500E" w14:textId="77777777" w:rsidTr="00B80B46">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1BAF80F"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19</w:t>
            </w:r>
          </w:p>
        </w:tc>
        <w:tc>
          <w:tcPr>
            <w:tcW w:w="1157" w:type="dxa"/>
            <w:tcBorders>
              <w:top w:val="nil"/>
              <w:left w:val="nil"/>
              <w:bottom w:val="single" w:sz="4" w:space="0" w:color="auto"/>
              <w:right w:val="single" w:sz="4" w:space="0" w:color="auto"/>
            </w:tcBorders>
            <w:shd w:val="clear" w:color="auto" w:fill="auto"/>
            <w:vAlign w:val="center"/>
            <w:hideMark/>
          </w:tcPr>
          <w:p w14:paraId="4CCB1F61"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Canada</w:t>
            </w:r>
          </w:p>
        </w:tc>
        <w:tc>
          <w:tcPr>
            <w:tcW w:w="1059" w:type="dxa"/>
            <w:tcBorders>
              <w:top w:val="nil"/>
              <w:left w:val="nil"/>
              <w:bottom w:val="single" w:sz="4" w:space="0" w:color="auto"/>
              <w:right w:val="single" w:sz="4" w:space="0" w:color="auto"/>
            </w:tcBorders>
            <w:shd w:val="clear" w:color="auto" w:fill="auto"/>
            <w:vAlign w:val="center"/>
            <w:hideMark/>
          </w:tcPr>
          <w:p w14:paraId="277FB477"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6,1</w:t>
            </w:r>
          </w:p>
        </w:tc>
        <w:tc>
          <w:tcPr>
            <w:tcW w:w="1059" w:type="dxa"/>
            <w:tcBorders>
              <w:top w:val="nil"/>
              <w:left w:val="nil"/>
              <w:bottom w:val="single" w:sz="4" w:space="0" w:color="auto"/>
              <w:right w:val="single" w:sz="4" w:space="0" w:color="auto"/>
            </w:tcBorders>
            <w:shd w:val="clear" w:color="auto" w:fill="auto"/>
            <w:vAlign w:val="center"/>
            <w:hideMark/>
          </w:tcPr>
          <w:p w14:paraId="693B061B"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67,7</w:t>
            </w:r>
          </w:p>
        </w:tc>
        <w:tc>
          <w:tcPr>
            <w:tcW w:w="1058" w:type="dxa"/>
            <w:tcBorders>
              <w:top w:val="nil"/>
              <w:left w:val="nil"/>
              <w:bottom w:val="single" w:sz="4" w:space="0" w:color="auto"/>
              <w:right w:val="single" w:sz="4" w:space="0" w:color="auto"/>
            </w:tcBorders>
            <w:shd w:val="clear" w:color="auto" w:fill="auto"/>
            <w:vAlign w:val="center"/>
            <w:hideMark/>
          </w:tcPr>
          <w:p w14:paraId="18662196"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45,3</w:t>
            </w:r>
          </w:p>
        </w:tc>
        <w:tc>
          <w:tcPr>
            <w:tcW w:w="1058" w:type="dxa"/>
            <w:tcBorders>
              <w:top w:val="nil"/>
              <w:left w:val="nil"/>
              <w:bottom w:val="single" w:sz="4" w:space="0" w:color="auto"/>
              <w:right w:val="single" w:sz="4" w:space="0" w:color="auto"/>
            </w:tcBorders>
            <w:shd w:val="clear" w:color="auto" w:fill="auto"/>
            <w:vAlign w:val="center"/>
            <w:hideMark/>
          </w:tcPr>
          <w:p w14:paraId="212340ED"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85,8</w:t>
            </w:r>
          </w:p>
        </w:tc>
        <w:tc>
          <w:tcPr>
            <w:tcW w:w="1057" w:type="dxa"/>
            <w:tcBorders>
              <w:top w:val="nil"/>
              <w:left w:val="nil"/>
              <w:bottom w:val="single" w:sz="4" w:space="0" w:color="auto"/>
              <w:right w:val="single" w:sz="4" w:space="0" w:color="auto"/>
            </w:tcBorders>
            <w:shd w:val="clear" w:color="auto" w:fill="auto"/>
            <w:vAlign w:val="center"/>
            <w:hideMark/>
          </w:tcPr>
          <w:p w14:paraId="607E77DF"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178,5</w:t>
            </w:r>
          </w:p>
        </w:tc>
        <w:tc>
          <w:tcPr>
            <w:tcW w:w="1096" w:type="dxa"/>
            <w:tcBorders>
              <w:top w:val="nil"/>
              <w:left w:val="nil"/>
              <w:bottom w:val="single" w:sz="4" w:space="0" w:color="auto"/>
              <w:right w:val="single" w:sz="4" w:space="0" w:color="auto"/>
            </w:tcBorders>
            <w:shd w:val="clear" w:color="auto" w:fill="auto"/>
            <w:vAlign w:val="center"/>
            <w:hideMark/>
          </w:tcPr>
          <w:p w14:paraId="6EC9938E"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67,46</w:t>
            </w:r>
          </w:p>
        </w:tc>
        <w:tc>
          <w:tcPr>
            <w:tcW w:w="1096" w:type="dxa"/>
            <w:tcBorders>
              <w:top w:val="nil"/>
              <w:left w:val="nil"/>
              <w:bottom w:val="single" w:sz="4" w:space="0" w:color="auto"/>
              <w:right w:val="single" w:sz="4" w:space="0" w:color="auto"/>
            </w:tcBorders>
            <w:shd w:val="clear" w:color="auto" w:fill="auto"/>
            <w:vAlign w:val="center"/>
            <w:hideMark/>
          </w:tcPr>
          <w:p w14:paraId="462E9DDB"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62,35</w:t>
            </w:r>
          </w:p>
        </w:tc>
        <w:tc>
          <w:tcPr>
            <w:tcW w:w="1096" w:type="dxa"/>
            <w:tcBorders>
              <w:top w:val="nil"/>
              <w:left w:val="nil"/>
              <w:bottom w:val="single" w:sz="4" w:space="0" w:color="auto"/>
              <w:right w:val="single" w:sz="4" w:space="0" w:color="auto"/>
            </w:tcBorders>
            <w:vAlign w:val="center"/>
          </w:tcPr>
          <w:p w14:paraId="056AAA5C"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57,34</w:t>
            </w:r>
          </w:p>
        </w:tc>
      </w:tr>
      <w:tr w:rsidR="00F255A4" w:rsidRPr="00D42FB0" w14:paraId="501B9930" w14:textId="77777777" w:rsidTr="00B80B46">
        <w:trPr>
          <w:trHeight w:val="30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B0A119D"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20</w:t>
            </w:r>
          </w:p>
        </w:tc>
        <w:tc>
          <w:tcPr>
            <w:tcW w:w="1157" w:type="dxa"/>
            <w:tcBorders>
              <w:top w:val="nil"/>
              <w:left w:val="nil"/>
              <w:bottom w:val="single" w:sz="4" w:space="0" w:color="auto"/>
              <w:right w:val="single" w:sz="4" w:space="0" w:color="auto"/>
            </w:tcBorders>
            <w:shd w:val="clear" w:color="auto" w:fill="auto"/>
            <w:vAlign w:val="center"/>
            <w:hideMark/>
          </w:tcPr>
          <w:p w14:paraId="0C52766D"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Pháp</w:t>
            </w:r>
          </w:p>
        </w:tc>
        <w:tc>
          <w:tcPr>
            <w:tcW w:w="1059" w:type="dxa"/>
            <w:tcBorders>
              <w:top w:val="nil"/>
              <w:left w:val="nil"/>
              <w:bottom w:val="single" w:sz="4" w:space="0" w:color="auto"/>
              <w:right w:val="single" w:sz="4" w:space="0" w:color="auto"/>
            </w:tcBorders>
            <w:shd w:val="clear" w:color="auto" w:fill="auto"/>
            <w:vAlign w:val="center"/>
            <w:hideMark/>
          </w:tcPr>
          <w:p w14:paraId="5295E486"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99,0</w:t>
            </w:r>
          </w:p>
        </w:tc>
        <w:tc>
          <w:tcPr>
            <w:tcW w:w="1059" w:type="dxa"/>
            <w:tcBorders>
              <w:top w:val="nil"/>
              <w:left w:val="nil"/>
              <w:bottom w:val="single" w:sz="4" w:space="0" w:color="auto"/>
              <w:right w:val="single" w:sz="4" w:space="0" w:color="auto"/>
            </w:tcBorders>
            <w:shd w:val="clear" w:color="auto" w:fill="auto"/>
            <w:vAlign w:val="center"/>
            <w:hideMark/>
          </w:tcPr>
          <w:p w14:paraId="5B6CD9F8"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198,3</w:t>
            </w:r>
          </w:p>
        </w:tc>
        <w:tc>
          <w:tcPr>
            <w:tcW w:w="1058" w:type="dxa"/>
            <w:tcBorders>
              <w:top w:val="nil"/>
              <w:left w:val="nil"/>
              <w:bottom w:val="single" w:sz="4" w:space="0" w:color="auto"/>
              <w:right w:val="single" w:sz="4" w:space="0" w:color="auto"/>
            </w:tcBorders>
            <w:shd w:val="clear" w:color="auto" w:fill="auto"/>
            <w:vAlign w:val="center"/>
            <w:hideMark/>
          </w:tcPr>
          <w:p w14:paraId="79F2F182"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106,3</w:t>
            </w:r>
          </w:p>
        </w:tc>
        <w:tc>
          <w:tcPr>
            <w:tcW w:w="1058" w:type="dxa"/>
            <w:tcBorders>
              <w:top w:val="nil"/>
              <w:left w:val="nil"/>
              <w:bottom w:val="single" w:sz="4" w:space="0" w:color="auto"/>
              <w:right w:val="single" w:sz="4" w:space="0" w:color="auto"/>
            </w:tcBorders>
            <w:shd w:val="clear" w:color="auto" w:fill="auto"/>
            <w:vAlign w:val="center"/>
            <w:hideMark/>
          </w:tcPr>
          <w:p w14:paraId="7827F013"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587,3</w:t>
            </w:r>
          </w:p>
        </w:tc>
        <w:tc>
          <w:tcPr>
            <w:tcW w:w="1057" w:type="dxa"/>
            <w:tcBorders>
              <w:top w:val="nil"/>
              <w:left w:val="nil"/>
              <w:bottom w:val="single" w:sz="4" w:space="0" w:color="auto"/>
              <w:right w:val="single" w:sz="4" w:space="0" w:color="auto"/>
            </w:tcBorders>
            <w:shd w:val="clear" w:color="auto" w:fill="auto"/>
            <w:vAlign w:val="center"/>
            <w:hideMark/>
          </w:tcPr>
          <w:p w14:paraId="2F31FFD1"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178,5</w:t>
            </w:r>
          </w:p>
        </w:tc>
        <w:tc>
          <w:tcPr>
            <w:tcW w:w="1096" w:type="dxa"/>
            <w:tcBorders>
              <w:top w:val="nil"/>
              <w:left w:val="nil"/>
              <w:bottom w:val="single" w:sz="4" w:space="0" w:color="auto"/>
              <w:right w:val="single" w:sz="4" w:space="0" w:color="auto"/>
            </w:tcBorders>
            <w:shd w:val="clear" w:color="auto" w:fill="auto"/>
            <w:vAlign w:val="center"/>
            <w:hideMark/>
          </w:tcPr>
          <w:p w14:paraId="2C2FB298"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134,38</w:t>
            </w:r>
          </w:p>
        </w:tc>
        <w:tc>
          <w:tcPr>
            <w:tcW w:w="1096" w:type="dxa"/>
            <w:tcBorders>
              <w:top w:val="nil"/>
              <w:left w:val="nil"/>
              <w:bottom w:val="single" w:sz="4" w:space="0" w:color="auto"/>
              <w:right w:val="single" w:sz="4" w:space="0" w:color="auto"/>
            </w:tcBorders>
            <w:shd w:val="clear" w:color="auto" w:fill="auto"/>
            <w:vAlign w:val="center"/>
            <w:hideMark/>
          </w:tcPr>
          <w:p w14:paraId="3CE33781"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39,22</w:t>
            </w:r>
          </w:p>
        </w:tc>
        <w:tc>
          <w:tcPr>
            <w:tcW w:w="1096" w:type="dxa"/>
            <w:tcBorders>
              <w:top w:val="nil"/>
              <w:left w:val="nil"/>
              <w:bottom w:val="single" w:sz="4" w:space="0" w:color="auto"/>
              <w:right w:val="single" w:sz="4" w:space="0" w:color="auto"/>
            </w:tcBorders>
            <w:vAlign w:val="center"/>
          </w:tcPr>
          <w:p w14:paraId="73D511DF"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164,94</w:t>
            </w:r>
          </w:p>
        </w:tc>
      </w:tr>
      <w:tr w:rsidR="00F255A4" w:rsidRPr="00D42FB0" w14:paraId="5DBED993" w14:textId="77777777" w:rsidTr="00B80B46">
        <w:trPr>
          <w:trHeight w:val="315"/>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DD0A5F8" w14:textId="77777777" w:rsidR="00F255A4" w:rsidRPr="00D42FB0" w:rsidRDefault="00F255A4" w:rsidP="00B80B46">
            <w:pPr>
              <w:spacing w:line="360" w:lineRule="auto"/>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 </w:t>
            </w:r>
          </w:p>
        </w:tc>
        <w:tc>
          <w:tcPr>
            <w:tcW w:w="1157" w:type="dxa"/>
            <w:tcBorders>
              <w:top w:val="nil"/>
              <w:left w:val="nil"/>
              <w:bottom w:val="single" w:sz="4" w:space="0" w:color="auto"/>
              <w:right w:val="single" w:sz="4" w:space="0" w:color="auto"/>
            </w:tcBorders>
            <w:shd w:val="clear" w:color="auto" w:fill="auto"/>
            <w:vAlign w:val="center"/>
            <w:hideMark/>
          </w:tcPr>
          <w:p w14:paraId="587C0BA3" w14:textId="77777777" w:rsidR="00F255A4" w:rsidRPr="00D42FB0" w:rsidRDefault="00F255A4" w:rsidP="00B80B46">
            <w:pPr>
              <w:spacing w:line="360" w:lineRule="auto"/>
              <w:ind w:firstLineChars="100" w:firstLine="200"/>
              <w:jc w:val="both"/>
              <w:rPr>
                <w:rFonts w:asciiTheme="majorHAnsi" w:eastAsia="Times New Roman" w:hAnsiTheme="majorHAnsi" w:cstheme="majorHAnsi"/>
                <w:color w:val="000000"/>
                <w:sz w:val="20"/>
                <w:szCs w:val="20"/>
                <w:lang w:eastAsia="vi-VN"/>
              </w:rPr>
            </w:pPr>
            <w:r w:rsidRPr="00D42FB0">
              <w:rPr>
                <w:rFonts w:asciiTheme="majorHAnsi" w:eastAsia="Times New Roman" w:hAnsiTheme="majorHAnsi" w:cstheme="majorHAnsi"/>
                <w:color w:val="000000"/>
                <w:sz w:val="20"/>
                <w:szCs w:val="20"/>
                <w:lang w:eastAsia="vi-VN"/>
              </w:rPr>
              <w:t>TỔNG</w:t>
            </w:r>
          </w:p>
        </w:tc>
        <w:tc>
          <w:tcPr>
            <w:tcW w:w="1059" w:type="dxa"/>
            <w:tcBorders>
              <w:top w:val="nil"/>
              <w:left w:val="nil"/>
              <w:bottom w:val="single" w:sz="4" w:space="0" w:color="auto"/>
              <w:right w:val="single" w:sz="4" w:space="0" w:color="auto"/>
            </w:tcBorders>
            <w:shd w:val="clear" w:color="auto" w:fill="auto"/>
            <w:vAlign w:val="center"/>
            <w:hideMark/>
          </w:tcPr>
          <w:p w14:paraId="29D73F50" w14:textId="77777777" w:rsidR="00F255A4" w:rsidRPr="00D42FB0" w:rsidRDefault="00F255A4" w:rsidP="00B80B46">
            <w:pPr>
              <w:spacing w:line="360" w:lineRule="auto"/>
              <w:jc w:val="both"/>
              <w:rPr>
                <w:rFonts w:asciiTheme="majorHAnsi" w:eastAsia="Times New Roman" w:hAnsiTheme="majorHAnsi" w:cstheme="majorHAnsi"/>
                <w:b/>
                <w:bCs/>
                <w:color w:val="000000"/>
                <w:sz w:val="20"/>
                <w:szCs w:val="20"/>
                <w:lang w:eastAsia="vi-VN"/>
              </w:rPr>
            </w:pPr>
            <w:r w:rsidRPr="00D42FB0">
              <w:rPr>
                <w:rFonts w:asciiTheme="majorHAnsi" w:eastAsia="Times New Roman" w:hAnsiTheme="majorHAnsi" w:cstheme="majorHAnsi"/>
                <w:b/>
                <w:bCs/>
                <w:color w:val="000000"/>
                <w:sz w:val="20"/>
                <w:szCs w:val="20"/>
                <w:lang w:eastAsia="vi-VN"/>
              </w:rPr>
              <w:t>22.757</w:t>
            </w:r>
          </w:p>
        </w:tc>
        <w:tc>
          <w:tcPr>
            <w:tcW w:w="1059" w:type="dxa"/>
            <w:tcBorders>
              <w:top w:val="nil"/>
              <w:left w:val="nil"/>
              <w:bottom w:val="single" w:sz="4" w:space="0" w:color="auto"/>
              <w:right w:val="single" w:sz="4" w:space="0" w:color="auto"/>
            </w:tcBorders>
            <w:shd w:val="clear" w:color="auto" w:fill="auto"/>
            <w:vAlign w:val="center"/>
            <w:hideMark/>
          </w:tcPr>
          <w:p w14:paraId="41A4A466" w14:textId="77777777" w:rsidR="00F255A4" w:rsidRPr="00D42FB0" w:rsidRDefault="00F255A4" w:rsidP="00B80B46">
            <w:pPr>
              <w:spacing w:line="360" w:lineRule="auto"/>
              <w:jc w:val="both"/>
              <w:rPr>
                <w:rFonts w:asciiTheme="majorHAnsi" w:eastAsia="Times New Roman" w:hAnsiTheme="majorHAnsi" w:cstheme="majorHAnsi"/>
                <w:b/>
                <w:bCs/>
                <w:color w:val="000000"/>
                <w:sz w:val="20"/>
                <w:szCs w:val="20"/>
                <w:lang w:eastAsia="vi-VN"/>
              </w:rPr>
            </w:pPr>
            <w:r w:rsidRPr="00D42FB0">
              <w:rPr>
                <w:rFonts w:asciiTheme="majorHAnsi" w:eastAsia="Times New Roman" w:hAnsiTheme="majorHAnsi" w:cstheme="majorHAnsi"/>
                <w:b/>
                <w:bCs/>
                <w:color w:val="000000"/>
                <w:sz w:val="20"/>
                <w:szCs w:val="20"/>
                <w:lang w:eastAsia="vi-VN"/>
              </w:rPr>
              <w:t>24.858</w:t>
            </w:r>
          </w:p>
        </w:tc>
        <w:tc>
          <w:tcPr>
            <w:tcW w:w="1058" w:type="dxa"/>
            <w:tcBorders>
              <w:top w:val="nil"/>
              <w:left w:val="nil"/>
              <w:bottom w:val="single" w:sz="4" w:space="0" w:color="auto"/>
              <w:right w:val="single" w:sz="4" w:space="0" w:color="auto"/>
            </w:tcBorders>
            <w:shd w:val="clear" w:color="auto" w:fill="auto"/>
            <w:vAlign w:val="center"/>
            <w:hideMark/>
          </w:tcPr>
          <w:p w14:paraId="6443A9B4" w14:textId="77777777" w:rsidR="00F255A4" w:rsidRPr="00D42FB0" w:rsidRDefault="00F255A4" w:rsidP="00B80B46">
            <w:pPr>
              <w:spacing w:line="360" w:lineRule="auto"/>
              <w:jc w:val="both"/>
              <w:rPr>
                <w:rFonts w:asciiTheme="majorHAnsi" w:eastAsia="Times New Roman" w:hAnsiTheme="majorHAnsi" w:cstheme="majorHAnsi"/>
                <w:b/>
                <w:bCs/>
                <w:color w:val="000000"/>
                <w:sz w:val="20"/>
                <w:szCs w:val="20"/>
                <w:lang w:eastAsia="vi-VN"/>
              </w:rPr>
            </w:pPr>
            <w:r w:rsidRPr="00D42FB0">
              <w:rPr>
                <w:rFonts w:asciiTheme="majorHAnsi" w:eastAsia="Times New Roman" w:hAnsiTheme="majorHAnsi" w:cstheme="majorHAnsi"/>
                <w:b/>
                <w:bCs/>
                <w:color w:val="000000"/>
                <w:sz w:val="20"/>
                <w:szCs w:val="20"/>
                <w:lang w:eastAsia="vi-VN"/>
              </w:rPr>
              <w:t>35.884</w:t>
            </w:r>
          </w:p>
        </w:tc>
        <w:tc>
          <w:tcPr>
            <w:tcW w:w="1058" w:type="dxa"/>
            <w:tcBorders>
              <w:top w:val="nil"/>
              <w:left w:val="nil"/>
              <w:bottom w:val="single" w:sz="4" w:space="0" w:color="auto"/>
              <w:right w:val="single" w:sz="4" w:space="0" w:color="auto"/>
            </w:tcBorders>
            <w:shd w:val="clear" w:color="auto" w:fill="auto"/>
            <w:vAlign w:val="center"/>
            <w:hideMark/>
          </w:tcPr>
          <w:p w14:paraId="12D257A1" w14:textId="77777777" w:rsidR="00F255A4" w:rsidRPr="00D42FB0" w:rsidRDefault="00F255A4" w:rsidP="00B80B46">
            <w:pPr>
              <w:spacing w:line="360" w:lineRule="auto"/>
              <w:jc w:val="both"/>
              <w:rPr>
                <w:rFonts w:asciiTheme="majorHAnsi" w:eastAsia="Times New Roman" w:hAnsiTheme="majorHAnsi" w:cstheme="majorHAnsi"/>
                <w:b/>
                <w:bCs/>
                <w:color w:val="000000"/>
                <w:sz w:val="20"/>
                <w:szCs w:val="20"/>
                <w:lang w:eastAsia="vi-VN"/>
              </w:rPr>
            </w:pPr>
            <w:r w:rsidRPr="00D42FB0">
              <w:rPr>
                <w:rFonts w:asciiTheme="majorHAnsi" w:eastAsia="Times New Roman" w:hAnsiTheme="majorHAnsi" w:cstheme="majorHAnsi"/>
                <w:b/>
                <w:bCs/>
                <w:color w:val="000000"/>
                <w:sz w:val="20"/>
                <w:szCs w:val="20"/>
                <w:lang w:eastAsia="vi-VN"/>
              </w:rPr>
              <w:t>35.466</w:t>
            </w:r>
          </w:p>
        </w:tc>
        <w:tc>
          <w:tcPr>
            <w:tcW w:w="1057" w:type="dxa"/>
            <w:tcBorders>
              <w:top w:val="nil"/>
              <w:left w:val="nil"/>
              <w:bottom w:val="single" w:sz="4" w:space="0" w:color="auto"/>
              <w:right w:val="single" w:sz="4" w:space="0" w:color="auto"/>
            </w:tcBorders>
            <w:shd w:val="clear" w:color="auto" w:fill="auto"/>
            <w:vAlign w:val="center"/>
            <w:hideMark/>
          </w:tcPr>
          <w:p w14:paraId="2A786AEB" w14:textId="77777777" w:rsidR="00F255A4" w:rsidRPr="00D42FB0" w:rsidRDefault="00F255A4" w:rsidP="00B80B46">
            <w:pPr>
              <w:spacing w:line="360" w:lineRule="auto"/>
              <w:jc w:val="both"/>
              <w:rPr>
                <w:rFonts w:asciiTheme="majorHAnsi" w:eastAsia="Times New Roman" w:hAnsiTheme="majorHAnsi" w:cstheme="majorHAnsi"/>
                <w:b/>
                <w:bCs/>
                <w:color w:val="000000"/>
                <w:sz w:val="20"/>
                <w:szCs w:val="20"/>
                <w:lang w:eastAsia="vi-VN"/>
              </w:rPr>
            </w:pPr>
            <w:r w:rsidRPr="00D42FB0">
              <w:rPr>
                <w:rFonts w:asciiTheme="majorHAnsi" w:eastAsia="Times New Roman" w:hAnsiTheme="majorHAnsi" w:cstheme="majorHAnsi"/>
                <w:b/>
                <w:bCs/>
                <w:color w:val="000000"/>
                <w:sz w:val="20"/>
                <w:szCs w:val="20"/>
                <w:lang w:eastAsia="vi-VN"/>
              </w:rPr>
              <w:t>38.019</w:t>
            </w:r>
          </w:p>
        </w:tc>
        <w:tc>
          <w:tcPr>
            <w:tcW w:w="1096" w:type="dxa"/>
            <w:tcBorders>
              <w:top w:val="nil"/>
              <w:left w:val="nil"/>
              <w:bottom w:val="single" w:sz="4" w:space="0" w:color="auto"/>
              <w:right w:val="single" w:sz="4" w:space="0" w:color="auto"/>
            </w:tcBorders>
            <w:shd w:val="clear" w:color="auto" w:fill="auto"/>
            <w:vAlign w:val="center"/>
            <w:hideMark/>
          </w:tcPr>
          <w:p w14:paraId="68AA9262" w14:textId="77777777" w:rsidR="00F255A4" w:rsidRPr="00D42FB0" w:rsidRDefault="00F255A4" w:rsidP="00B80B46">
            <w:pPr>
              <w:spacing w:line="360" w:lineRule="auto"/>
              <w:jc w:val="both"/>
              <w:rPr>
                <w:rFonts w:asciiTheme="majorHAnsi" w:eastAsia="Times New Roman" w:hAnsiTheme="majorHAnsi" w:cstheme="majorHAnsi"/>
                <w:b/>
                <w:bCs/>
                <w:color w:val="000000"/>
                <w:sz w:val="20"/>
                <w:szCs w:val="20"/>
                <w:lang w:eastAsia="vi-VN"/>
              </w:rPr>
            </w:pPr>
            <w:r w:rsidRPr="00D42FB0">
              <w:rPr>
                <w:rFonts w:asciiTheme="majorHAnsi" w:eastAsia="Times New Roman" w:hAnsiTheme="majorHAnsi" w:cstheme="majorHAnsi"/>
                <w:b/>
                <w:bCs/>
                <w:color w:val="000000"/>
                <w:sz w:val="20"/>
                <w:szCs w:val="20"/>
                <w:lang w:eastAsia="vi-VN"/>
              </w:rPr>
              <w:t>27.628,75</w:t>
            </w:r>
          </w:p>
        </w:tc>
        <w:tc>
          <w:tcPr>
            <w:tcW w:w="1096" w:type="dxa"/>
            <w:tcBorders>
              <w:top w:val="nil"/>
              <w:left w:val="nil"/>
              <w:bottom w:val="single" w:sz="4" w:space="0" w:color="auto"/>
              <w:right w:val="single" w:sz="4" w:space="0" w:color="auto"/>
            </w:tcBorders>
            <w:shd w:val="clear" w:color="auto" w:fill="auto"/>
            <w:vAlign w:val="center"/>
            <w:hideMark/>
          </w:tcPr>
          <w:p w14:paraId="72BEB1B5" w14:textId="77777777" w:rsidR="00F255A4" w:rsidRPr="00D42FB0" w:rsidRDefault="00F255A4" w:rsidP="00B80B46">
            <w:pPr>
              <w:spacing w:line="360" w:lineRule="auto"/>
              <w:jc w:val="both"/>
              <w:rPr>
                <w:rFonts w:asciiTheme="majorHAnsi" w:eastAsia="Times New Roman" w:hAnsiTheme="majorHAnsi" w:cstheme="majorHAnsi"/>
                <w:b/>
                <w:bCs/>
                <w:color w:val="000000"/>
                <w:sz w:val="20"/>
                <w:szCs w:val="20"/>
                <w:lang w:eastAsia="vi-VN"/>
              </w:rPr>
            </w:pPr>
            <w:r w:rsidRPr="00D42FB0">
              <w:rPr>
                <w:rFonts w:asciiTheme="majorHAnsi" w:eastAsia="Times New Roman" w:hAnsiTheme="majorHAnsi" w:cstheme="majorHAnsi"/>
                <w:b/>
                <w:bCs/>
                <w:color w:val="000000"/>
                <w:sz w:val="20"/>
                <w:szCs w:val="20"/>
                <w:lang w:eastAsia="vi-VN"/>
              </w:rPr>
              <w:t>30.603,47</w:t>
            </w:r>
          </w:p>
        </w:tc>
        <w:tc>
          <w:tcPr>
            <w:tcW w:w="1096" w:type="dxa"/>
            <w:tcBorders>
              <w:top w:val="nil"/>
              <w:left w:val="nil"/>
              <w:bottom w:val="single" w:sz="4" w:space="0" w:color="auto"/>
              <w:right w:val="single" w:sz="4" w:space="0" w:color="auto"/>
            </w:tcBorders>
            <w:vAlign w:val="center"/>
          </w:tcPr>
          <w:p w14:paraId="18B4737A" w14:textId="77777777" w:rsidR="00F255A4" w:rsidRPr="00D42FB0" w:rsidRDefault="00F255A4" w:rsidP="00B80B46">
            <w:pPr>
              <w:spacing w:line="360" w:lineRule="auto"/>
              <w:jc w:val="both"/>
              <w:rPr>
                <w:rFonts w:asciiTheme="majorHAnsi" w:eastAsia="Times New Roman" w:hAnsiTheme="majorHAnsi" w:cstheme="majorHAnsi"/>
                <w:b/>
                <w:bCs/>
                <w:color w:val="000000"/>
                <w:sz w:val="20"/>
                <w:szCs w:val="20"/>
                <w:lang w:val="en-US" w:eastAsia="vi-VN"/>
              </w:rPr>
            </w:pPr>
            <w:r w:rsidRPr="00D42FB0">
              <w:rPr>
                <w:rFonts w:asciiTheme="majorHAnsi" w:eastAsia="Times New Roman" w:hAnsiTheme="majorHAnsi" w:cstheme="majorHAnsi"/>
                <w:b/>
                <w:bCs/>
                <w:color w:val="000000"/>
                <w:sz w:val="20"/>
                <w:szCs w:val="20"/>
                <w:lang w:val="en-US" w:eastAsia="vi-VN"/>
              </w:rPr>
              <w:t>25.950,1</w:t>
            </w:r>
          </w:p>
        </w:tc>
      </w:tr>
      <w:tr w:rsidR="00F255A4" w:rsidRPr="00D42FB0" w14:paraId="3BD9A74D" w14:textId="77777777" w:rsidTr="00B80B46">
        <w:trPr>
          <w:trHeight w:val="315"/>
        </w:trPr>
        <w:tc>
          <w:tcPr>
            <w:tcW w:w="9260" w:type="dxa"/>
            <w:gridSpan w:val="9"/>
            <w:tcBorders>
              <w:top w:val="single" w:sz="4" w:space="0" w:color="auto"/>
            </w:tcBorders>
            <w:shd w:val="clear" w:color="auto" w:fill="auto"/>
            <w:vAlign w:val="center"/>
          </w:tcPr>
          <w:p w14:paraId="7DADB676" w14:textId="77777777" w:rsidR="00F255A4" w:rsidRPr="00D42FB0" w:rsidRDefault="00F255A4" w:rsidP="00B80B46">
            <w:pPr>
              <w:spacing w:line="360" w:lineRule="auto"/>
              <w:jc w:val="both"/>
              <w:rPr>
                <w:rFonts w:asciiTheme="majorHAnsi" w:eastAsia="Times New Roman" w:hAnsiTheme="majorHAnsi" w:cstheme="majorHAnsi"/>
                <w:bCs/>
                <w:color w:val="000000"/>
                <w:sz w:val="20"/>
                <w:szCs w:val="20"/>
                <w:lang w:val="en-US" w:eastAsia="vi-VN"/>
              </w:rPr>
            </w:pPr>
            <w:r w:rsidRPr="00D42FB0">
              <w:rPr>
                <w:rFonts w:asciiTheme="majorHAnsi" w:eastAsia="Times New Roman" w:hAnsiTheme="majorHAnsi" w:cstheme="majorHAnsi"/>
                <w:bCs/>
                <w:i/>
                <w:color w:val="000000"/>
                <w:sz w:val="20"/>
                <w:szCs w:val="20"/>
                <w:lang w:val="en-US" w:eastAsia="vi-VN"/>
              </w:rPr>
              <w:t>Nguồn: Bộ Kế hoạch và Đầu tư (2023)</w:t>
            </w:r>
          </w:p>
        </w:tc>
        <w:tc>
          <w:tcPr>
            <w:tcW w:w="1096" w:type="dxa"/>
            <w:tcBorders>
              <w:top w:val="single" w:sz="4" w:space="0" w:color="auto"/>
            </w:tcBorders>
          </w:tcPr>
          <w:p w14:paraId="0C3DD9D0" w14:textId="77777777" w:rsidR="00F255A4" w:rsidRPr="00D42FB0" w:rsidRDefault="00F255A4" w:rsidP="00B80B46">
            <w:pPr>
              <w:spacing w:line="360" w:lineRule="auto"/>
              <w:ind w:firstLine="567"/>
              <w:jc w:val="both"/>
              <w:rPr>
                <w:rFonts w:asciiTheme="majorHAnsi" w:eastAsia="Times New Roman" w:hAnsiTheme="majorHAnsi" w:cstheme="majorHAnsi"/>
                <w:bCs/>
                <w:i/>
                <w:color w:val="000000"/>
                <w:sz w:val="20"/>
                <w:szCs w:val="20"/>
                <w:lang w:val="en-US" w:eastAsia="vi-VN"/>
              </w:rPr>
            </w:pPr>
          </w:p>
        </w:tc>
      </w:tr>
    </w:tbl>
    <w:p w14:paraId="06F2A607" w14:textId="77777777" w:rsidR="00F255A4" w:rsidRDefault="00F255A4" w:rsidP="00182930">
      <w:pPr>
        <w:tabs>
          <w:tab w:val="left" w:pos="567"/>
        </w:tabs>
        <w:snapToGrid w:val="0"/>
        <w:spacing w:before="120" w:after="120"/>
        <w:jc w:val="both"/>
        <w:rPr>
          <w:rFonts w:asciiTheme="majorHAnsi" w:hAnsiTheme="majorHAnsi" w:cstheme="majorHAnsi"/>
          <w:bCs/>
          <w:i/>
          <w:iCs/>
          <w:sz w:val="22"/>
          <w:szCs w:val="22"/>
        </w:rPr>
      </w:pPr>
    </w:p>
    <w:p w14:paraId="199A2D93" w14:textId="77777777" w:rsidR="00F255A4" w:rsidRDefault="00F255A4" w:rsidP="00182930">
      <w:pPr>
        <w:tabs>
          <w:tab w:val="left" w:pos="567"/>
        </w:tabs>
        <w:snapToGrid w:val="0"/>
        <w:spacing w:before="120" w:after="120"/>
        <w:jc w:val="both"/>
        <w:rPr>
          <w:rFonts w:asciiTheme="majorHAnsi" w:hAnsiTheme="majorHAnsi" w:cstheme="majorHAnsi"/>
          <w:bCs/>
          <w:i/>
          <w:iCs/>
          <w:sz w:val="22"/>
          <w:szCs w:val="22"/>
        </w:rPr>
        <w:sectPr w:rsidR="00F255A4" w:rsidSect="00F255A4">
          <w:endnotePr>
            <w:numFmt w:val="decimalEnclosedCircleChinese"/>
          </w:endnotePr>
          <w:type w:val="continuous"/>
          <w:pgSz w:w="11907" w:h="16840" w:code="9"/>
          <w:pgMar w:top="1134" w:right="1134" w:bottom="1134" w:left="1418" w:header="720" w:footer="720" w:gutter="0"/>
          <w:pgNumType w:start="1"/>
          <w:cols w:space="720"/>
          <w:docGrid w:linePitch="360"/>
        </w:sectPr>
      </w:pPr>
    </w:p>
    <w:p w14:paraId="6F114B4B" w14:textId="1A40B965" w:rsidR="00F255A4" w:rsidRPr="00403B89" w:rsidRDefault="00403B89" w:rsidP="000E6846">
      <w:pPr>
        <w:tabs>
          <w:tab w:val="left" w:pos="567"/>
        </w:tabs>
        <w:snapToGrid w:val="0"/>
        <w:spacing w:before="120" w:after="120"/>
        <w:jc w:val="both"/>
        <w:rPr>
          <w:rFonts w:asciiTheme="majorHAnsi" w:hAnsiTheme="majorHAnsi" w:cstheme="majorHAnsi"/>
          <w:bCs/>
          <w:sz w:val="22"/>
          <w:szCs w:val="22"/>
        </w:rPr>
      </w:pPr>
      <w:r w:rsidRPr="00403B89">
        <w:rPr>
          <w:rFonts w:asciiTheme="majorHAnsi" w:hAnsiTheme="majorHAnsi" w:cstheme="majorHAnsi"/>
          <w:bCs/>
          <w:sz w:val="22"/>
          <w:szCs w:val="22"/>
        </w:rPr>
        <w:t xml:space="preserve">Riêng năm 2022 đến 7 tháng đầu năm 2023 thì tổng vốn đầu tư FDI thu hút vào Việt Nam đều có khuynh hướng sụt giảm so với trước. Cụ thể, FDI Singapore năm 2022 là 6455.01 triệu USD và 7 tháng đầu năm 2023 là 3.640 triệu USD (giảm 39,7% so với cùng kỳ), Hàn Quốc là 4.879,1 triệu USD và 2.340 triệu USD (giảm 28,2% so với cùng kỳ), Nhật Bản là 4.781,39 triệu USD và 2.334 triệu USD (tăng 22,6% so với cùng kỳ), Trung Quốc là 2.518,01 triệu USD và 2.330 triệu USD (giảm 13,8% so với cùng kỳ)…  Nhìn chung </w:t>
      </w:r>
      <w:r w:rsidRPr="00403B89">
        <w:rPr>
          <w:rFonts w:asciiTheme="majorHAnsi" w:hAnsiTheme="majorHAnsi" w:cstheme="majorHAnsi"/>
          <w:bCs/>
          <w:sz w:val="22"/>
          <w:szCs w:val="22"/>
        </w:rPr>
        <w:t>về chuyển giao công nghệ thì hầu hết nhà đầu tư trực tiếp nước ngoài từ các quốc gia thuộc Châu Á là vào ngành công nghiệp chế biến, chế tạo chiếm 60,1% tổng vốn đăng ký cấp mới, bất động sản chiếm 28,7% tổng vốn đăng ký cấp mới. Đặc điểm chuyển giao công nghệ của các quốc gia này chủ yếu là tầm trung và có nhiều máy móc lỗi thời, lạc hậu, sử dụng chủ yếu là thâm dụng lao động từ nguồn lao động giá rẻ của Việt Nam</w:t>
      </w:r>
    </w:p>
    <w:p w14:paraId="01BCBDD3" w14:textId="77777777" w:rsidR="000A24B5" w:rsidRDefault="000A24B5" w:rsidP="00182930">
      <w:pPr>
        <w:tabs>
          <w:tab w:val="left" w:pos="567"/>
        </w:tabs>
        <w:snapToGrid w:val="0"/>
        <w:spacing w:before="120" w:after="120"/>
        <w:jc w:val="both"/>
        <w:rPr>
          <w:rFonts w:asciiTheme="majorHAnsi" w:hAnsiTheme="majorHAnsi" w:cstheme="majorHAnsi"/>
          <w:bCs/>
          <w:sz w:val="22"/>
          <w:szCs w:val="22"/>
        </w:rPr>
      </w:pPr>
    </w:p>
    <w:p w14:paraId="29AFA977" w14:textId="615E8261" w:rsidR="000E6846" w:rsidRDefault="000E6846" w:rsidP="00182930">
      <w:pPr>
        <w:tabs>
          <w:tab w:val="left" w:pos="567"/>
        </w:tabs>
        <w:snapToGrid w:val="0"/>
        <w:spacing w:before="120" w:after="120"/>
        <w:jc w:val="both"/>
        <w:rPr>
          <w:rFonts w:asciiTheme="majorHAnsi" w:hAnsiTheme="majorHAnsi" w:cstheme="majorHAnsi"/>
          <w:bCs/>
          <w:sz w:val="22"/>
          <w:szCs w:val="22"/>
        </w:rPr>
        <w:sectPr w:rsidR="000E6846" w:rsidSect="00857B39">
          <w:endnotePr>
            <w:numFmt w:val="decimalEnclosedCircleChinese"/>
          </w:endnotePr>
          <w:type w:val="continuous"/>
          <w:pgSz w:w="11907" w:h="16840" w:code="9"/>
          <w:pgMar w:top="1134" w:right="1134" w:bottom="1134" w:left="1418" w:header="720" w:footer="720" w:gutter="0"/>
          <w:pgNumType w:start="1"/>
          <w:cols w:num="2" w:space="720"/>
          <w:docGrid w:linePitch="360"/>
        </w:sectPr>
      </w:pPr>
    </w:p>
    <w:p w14:paraId="470267CD" w14:textId="77777777" w:rsidR="000E6846" w:rsidRDefault="000E6846" w:rsidP="002E4B87">
      <w:pPr>
        <w:tabs>
          <w:tab w:val="left" w:pos="567"/>
        </w:tabs>
        <w:snapToGrid w:val="0"/>
        <w:spacing w:before="120" w:after="120"/>
        <w:jc w:val="center"/>
        <w:rPr>
          <w:rFonts w:asciiTheme="majorHAnsi" w:hAnsiTheme="majorHAnsi" w:cstheme="majorHAnsi"/>
          <w:b/>
          <w:sz w:val="22"/>
          <w:szCs w:val="22"/>
        </w:rPr>
      </w:pPr>
    </w:p>
    <w:p w14:paraId="4F05B493" w14:textId="77777777" w:rsidR="000E6846" w:rsidRDefault="000E6846" w:rsidP="002E4B87">
      <w:pPr>
        <w:tabs>
          <w:tab w:val="left" w:pos="567"/>
        </w:tabs>
        <w:snapToGrid w:val="0"/>
        <w:spacing w:before="120" w:after="120"/>
        <w:jc w:val="center"/>
        <w:rPr>
          <w:rFonts w:asciiTheme="majorHAnsi" w:hAnsiTheme="majorHAnsi" w:cstheme="majorHAnsi"/>
          <w:b/>
          <w:sz w:val="22"/>
          <w:szCs w:val="22"/>
        </w:rPr>
      </w:pPr>
    </w:p>
    <w:p w14:paraId="7774B5F9" w14:textId="4254EC9A" w:rsidR="00F255A4" w:rsidRPr="002E4B87" w:rsidRDefault="000A24B5" w:rsidP="002E4B87">
      <w:pPr>
        <w:tabs>
          <w:tab w:val="left" w:pos="567"/>
        </w:tabs>
        <w:snapToGrid w:val="0"/>
        <w:spacing w:before="120" w:after="120"/>
        <w:jc w:val="center"/>
        <w:rPr>
          <w:rFonts w:asciiTheme="majorHAnsi" w:hAnsiTheme="majorHAnsi" w:cstheme="majorHAnsi"/>
          <w:b/>
          <w:sz w:val="22"/>
          <w:szCs w:val="22"/>
        </w:rPr>
      </w:pPr>
      <w:r w:rsidRPr="002E4B87">
        <w:rPr>
          <w:rFonts w:asciiTheme="majorHAnsi" w:hAnsiTheme="majorHAnsi" w:cstheme="majorHAnsi"/>
          <w:b/>
          <w:sz w:val="22"/>
          <w:szCs w:val="22"/>
        </w:rPr>
        <w:lastRenderedPageBreak/>
        <w:t>Hình 1. Lũy kế các dự án FDI còn hiệu lực tại Việt Nam 2022</w:t>
      </w:r>
    </w:p>
    <w:p w14:paraId="726DFF46" w14:textId="6F758B62" w:rsidR="00F255A4" w:rsidRPr="000A24B5" w:rsidRDefault="002E4B87" w:rsidP="00182930">
      <w:pPr>
        <w:tabs>
          <w:tab w:val="left" w:pos="567"/>
        </w:tabs>
        <w:snapToGrid w:val="0"/>
        <w:spacing w:before="120" w:after="120"/>
        <w:jc w:val="both"/>
        <w:rPr>
          <w:rFonts w:asciiTheme="majorHAnsi" w:hAnsiTheme="majorHAnsi" w:cstheme="majorHAnsi"/>
          <w:bCs/>
          <w:sz w:val="22"/>
          <w:szCs w:val="22"/>
        </w:rPr>
      </w:pPr>
      <w:r w:rsidRPr="006A2CA3">
        <w:rPr>
          <w:lang w:eastAsia="vi-VN"/>
        </w:rPr>
        <w:drawing>
          <wp:inline distT="0" distB="0" distL="0" distR="0" wp14:anchorId="0B711BDA" wp14:editId="50A7EE9B">
            <wp:extent cx="5731510" cy="3990975"/>
            <wp:effectExtent l="0" t="0" r="254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F692E6" w14:textId="77777777" w:rsidR="00F255A4" w:rsidRDefault="00F255A4" w:rsidP="00182930">
      <w:pPr>
        <w:tabs>
          <w:tab w:val="left" w:pos="567"/>
        </w:tabs>
        <w:snapToGrid w:val="0"/>
        <w:spacing w:before="120" w:after="120"/>
        <w:jc w:val="both"/>
        <w:rPr>
          <w:rFonts w:asciiTheme="majorHAnsi" w:hAnsiTheme="majorHAnsi" w:cstheme="majorHAnsi"/>
          <w:bCs/>
          <w:i/>
          <w:iCs/>
          <w:sz w:val="22"/>
          <w:szCs w:val="22"/>
        </w:rPr>
      </w:pPr>
    </w:p>
    <w:p w14:paraId="019E2DB8" w14:textId="77777777" w:rsidR="000A24B5" w:rsidRDefault="000A24B5" w:rsidP="00182930">
      <w:pPr>
        <w:tabs>
          <w:tab w:val="left" w:pos="567"/>
        </w:tabs>
        <w:snapToGrid w:val="0"/>
        <w:spacing w:before="120" w:after="120"/>
        <w:jc w:val="both"/>
        <w:rPr>
          <w:rFonts w:asciiTheme="majorHAnsi" w:hAnsiTheme="majorHAnsi" w:cstheme="majorHAnsi"/>
          <w:bCs/>
          <w:i/>
          <w:iCs/>
          <w:sz w:val="22"/>
          <w:szCs w:val="22"/>
        </w:rPr>
        <w:sectPr w:rsidR="000A24B5" w:rsidSect="000A24B5">
          <w:endnotePr>
            <w:numFmt w:val="decimalEnclosedCircleChinese"/>
          </w:endnotePr>
          <w:type w:val="continuous"/>
          <w:pgSz w:w="11907" w:h="16840" w:code="9"/>
          <w:pgMar w:top="1134" w:right="1134" w:bottom="1134" w:left="1418" w:header="720" w:footer="720" w:gutter="0"/>
          <w:pgNumType w:start="1"/>
          <w:cols w:space="720"/>
          <w:docGrid w:linePitch="360"/>
        </w:sectPr>
      </w:pPr>
    </w:p>
    <w:p w14:paraId="52B11873" w14:textId="77777777" w:rsidR="00402078" w:rsidRPr="00402078" w:rsidRDefault="00402078" w:rsidP="000E6846">
      <w:pPr>
        <w:tabs>
          <w:tab w:val="left" w:pos="567"/>
        </w:tabs>
        <w:snapToGrid w:val="0"/>
        <w:spacing w:before="120" w:after="120"/>
        <w:ind w:firstLine="567"/>
        <w:jc w:val="both"/>
        <w:rPr>
          <w:rFonts w:asciiTheme="majorHAnsi" w:hAnsiTheme="majorHAnsi" w:cstheme="majorHAnsi"/>
          <w:bCs/>
          <w:sz w:val="22"/>
          <w:szCs w:val="22"/>
        </w:rPr>
      </w:pPr>
      <w:r w:rsidRPr="00402078">
        <w:rPr>
          <w:rFonts w:asciiTheme="majorHAnsi" w:hAnsiTheme="majorHAnsi" w:cstheme="majorHAnsi"/>
          <w:bCs/>
          <w:sz w:val="22"/>
          <w:szCs w:val="22"/>
        </w:rPr>
        <w:t>Còn tình hình thu hút FDI từ các nước đã phát triển Phương Tây như Hà Lan, Hoa Kỳ, quần đảo Anh và Anh quốc, Thụy Sĩ, Đức, Úc, Pháp, Canada,... đầu tư FDI không có sự tăng lên mà có dấu hiệu giảm nhẹ. Theo đó, nếu như năm 2015 là 3.642,9 triệu USD thì đến năm 2020 là 3.795,2 triệu USD, năm 2021 là 3.197,1 triệu USD và năm 2022 là 2.714,66 triệu USD. Có thể nói, các quốc gia Phương Tây chiếm khoảng 15% - 19.5% tổng vốn FDI đầu tư vào Việt Nam. Lĩnh vực các quốc gia phía Tây đầu tư là giáo dục, vận tải – khách sạn – giải trí và nông nghiệp. Một số rất ít dự án FDI là vào công nghệ cao, điện tử viễn thông. Điều này cho thấy tuy đầu tư trực tiếp nước ngoài vào Việt Nam nhiều và có khuynh hướng tăng lên nhưng mức độ cải tiến công nghệ, khoa học kỹ thuật thì thật sự không cao. Các nhà doanh nghiệp nước ngoài vẫn nghĩ về thị trường Việt Nam như là nơi “gia công” sản xuất có nguồn lao động đông đảo, giá rẻ, trẻ và sức khỏe để phù hợp làm công nhân lao động tay chân, lao động đơn giản.</w:t>
      </w:r>
    </w:p>
    <w:p w14:paraId="6F03E18B" w14:textId="061C61B8" w:rsidR="00402078" w:rsidRPr="00402078" w:rsidRDefault="00402078" w:rsidP="000E6846">
      <w:pPr>
        <w:tabs>
          <w:tab w:val="left" w:pos="567"/>
        </w:tabs>
        <w:snapToGrid w:val="0"/>
        <w:spacing w:before="120" w:after="120"/>
        <w:ind w:firstLine="567"/>
        <w:jc w:val="both"/>
        <w:rPr>
          <w:rFonts w:asciiTheme="majorHAnsi" w:hAnsiTheme="majorHAnsi" w:cstheme="majorHAnsi"/>
          <w:bCs/>
          <w:sz w:val="22"/>
          <w:szCs w:val="22"/>
        </w:rPr>
      </w:pPr>
      <w:r w:rsidRPr="00402078">
        <w:rPr>
          <w:rFonts w:asciiTheme="majorHAnsi" w:hAnsiTheme="majorHAnsi" w:cstheme="majorHAnsi"/>
          <w:bCs/>
          <w:sz w:val="22"/>
          <w:szCs w:val="22"/>
        </w:rPr>
        <w:t>Nguyên nhân của sự sụt giảm trong thực tr</w:t>
      </w:r>
      <w:r w:rsidR="00550A4C">
        <w:rPr>
          <w:rFonts w:asciiTheme="majorHAnsi" w:hAnsiTheme="majorHAnsi" w:cstheme="majorHAnsi"/>
          <w:bCs/>
          <w:sz w:val="22"/>
          <w:szCs w:val="22"/>
          <w:lang w:val="en-US"/>
        </w:rPr>
        <w:t>ạ</w:t>
      </w:r>
      <w:r w:rsidRPr="00402078">
        <w:rPr>
          <w:rFonts w:asciiTheme="majorHAnsi" w:hAnsiTheme="majorHAnsi" w:cstheme="majorHAnsi"/>
          <w:bCs/>
          <w:sz w:val="22"/>
          <w:szCs w:val="22"/>
        </w:rPr>
        <w:t xml:space="preserve">ng thu hút đầu tư nước ngoài sau năm 2022 - 2023 là do sau thời kỳ dịch bệnh Covid-19 thì các doanh nghiệp FDI có tình trạng bị giảm khoảng 10% lợi nhuận, thêm vào đó, thủ tục hành chính, đặc biệt là thuế, lệ phí, các khoản thu phí còn khá </w:t>
      </w:r>
      <w:r w:rsidRPr="00402078">
        <w:rPr>
          <w:rFonts w:asciiTheme="majorHAnsi" w:hAnsiTheme="majorHAnsi" w:cstheme="majorHAnsi"/>
          <w:bCs/>
          <w:sz w:val="22"/>
          <w:szCs w:val="22"/>
        </w:rPr>
        <w:t xml:space="preserve">rườm rà; bảo hiểm xã hội, an toàn lao động, bảo vệ môi trường, phòng cháy chữa cháy,.. còn nhiều bất cập trong khi tình trạng tham nhũng, quan liêu nhiều năm vẫn không được giải quyết, những chi phí thiếu minh bạch lại lớn,.. gây nên trở ngại đối với các nhà đầu tư FDI. Nguyên nhân thứ hai là do xung đột chính trị một số quốc gia, giá cả và lạm phát tăng cao, nhu cầu hàng hóa toàn cầu có khuynh hướng giảm. Và nguyên nhân cuối cùng là điều kiện tài chính toàn cầu đều có khuynh hướng thắt chặt, chuỗi cung ứng đứt gãy, và các nhà đầu tư nước ngoài cảm thấy ít tin tưởng hợp tác với các doanh nghiệp Việt Nam, cũng như ít tin tưởng vào tương lai thị trường các nước đang phát triển,.. </w:t>
      </w:r>
    </w:p>
    <w:p w14:paraId="02F095AC" w14:textId="77FFE819" w:rsidR="00402078" w:rsidRPr="00402078" w:rsidRDefault="00402078" w:rsidP="000E6846">
      <w:pPr>
        <w:tabs>
          <w:tab w:val="left" w:pos="567"/>
        </w:tabs>
        <w:snapToGrid w:val="0"/>
        <w:spacing w:before="120" w:after="120"/>
        <w:ind w:firstLine="567"/>
        <w:jc w:val="both"/>
        <w:rPr>
          <w:rFonts w:asciiTheme="majorHAnsi" w:hAnsiTheme="majorHAnsi" w:cstheme="majorHAnsi"/>
          <w:bCs/>
          <w:sz w:val="22"/>
          <w:szCs w:val="22"/>
        </w:rPr>
      </w:pPr>
      <w:r w:rsidRPr="00402078">
        <w:rPr>
          <w:rFonts w:asciiTheme="majorHAnsi" w:hAnsiTheme="majorHAnsi" w:cstheme="majorHAnsi"/>
          <w:bCs/>
          <w:sz w:val="22"/>
          <w:szCs w:val="22"/>
        </w:rPr>
        <w:t>Những dự án thu hút công nghệ và chuyển giao công nghệ FDI được đánh giá thành công khoảng 6% tổng vốn FDI cả nước</w:t>
      </w:r>
      <w:r w:rsidR="00D6567E">
        <w:rPr>
          <w:rFonts w:asciiTheme="majorHAnsi" w:hAnsiTheme="majorHAnsi" w:cstheme="majorHAnsi"/>
          <w:bCs/>
          <w:sz w:val="22"/>
          <w:szCs w:val="22"/>
          <w:lang w:val="en-US"/>
        </w:rPr>
        <w:t xml:space="preserve"> (</w:t>
      </w:r>
      <w:r w:rsidR="004D5E4A">
        <w:rPr>
          <w:rFonts w:asciiTheme="majorHAnsi" w:hAnsiTheme="majorHAnsi" w:cstheme="majorHAnsi"/>
          <w:bCs/>
          <w:sz w:val="22"/>
          <w:szCs w:val="22"/>
          <w:lang w:val="en-US"/>
        </w:rPr>
        <w:t>Tổng cục thống kê</w:t>
      </w:r>
      <w:r w:rsidR="00D6567E">
        <w:rPr>
          <w:rFonts w:asciiTheme="majorHAnsi" w:hAnsiTheme="majorHAnsi" w:cstheme="majorHAnsi"/>
          <w:bCs/>
          <w:sz w:val="22"/>
          <w:szCs w:val="22"/>
          <w:lang w:val="en-US"/>
        </w:rPr>
        <w:t>, 2022)</w:t>
      </w:r>
      <w:r w:rsidRPr="00402078">
        <w:rPr>
          <w:rFonts w:asciiTheme="majorHAnsi" w:hAnsiTheme="majorHAnsi" w:cstheme="majorHAnsi"/>
          <w:bCs/>
          <w:sz w:val="22"/>
          <w:szCs w:val="22"/>
        </w:rPr>
        <w:t xml:space="preserve">. Một vài dự án tiêu biểu về phát triển và chuyển giao công nghệ: </w:t>
      </w:r>
    </w:p>
    <w:p w14:paraId="62AAAAD8" w14:textId="755B9552" w:rsidR="00402078" w:rsidRPr="008F32F3" w:rsidRDefault="00402078" w:rsidP="000E6846">
      <w:pPr>
        <w:tabs>
          <w:tab w:val="left" w:pos="567"/>
        </w:tabs>
        <w:snapToGrid w:val="0"/>
        <w:spacing w:before="120" w:after="120"/>
        <w:jc w:val="both"/>
        <w:rPr>
          <w:rFonts w:asciiTheme="majorHAnsi" w:hAnsiTheme="majorHAnsi" w:cstheme="majorHAnsi"/>
          <w:bCs/>
          <w:sz w:val="22"/>
          <w:szCs w:val="22"/>
          <w:lang w:val="en-US"/>
        </w:rPr>
      </w:pPr>
      <w:r w:rsidRPr="00402078">
        <w:rPr>
          <w:rFonts w:asciiTheme="majorHAnsi" w:hAnsiTheme="majorHAnsi" w:cstheme="majorHAnsi"/>
          <w:bCs/>
          <w:sz w:val="22"/>
          <w:szCs w:val="22"/>
        </w:rPr>
        <w:t>(i)</w:t>
      </w:r>
      <w:r w:rsidRPr="00402078">
        <w:rPr>
          <w:rFonts w:asciiTheme="majorHAnsi" w:hAnsiTheme="majorHAnsi" w:cstheme="majorHAnsi"/>
          <w:bCs/>
          <w:sz w:val="22"/>
          <w:szCs w:val="22"/>
        </w:rPr>
        <w:tab/>
        <w:t>Hoa Kỳ với dự án Jabil Circuit JBL xây dựng khu công nghệ cao với tổng diện tích là 93.000 m</w:t>
      </w:r>
      <w:r w:rsidRPr="00D473A5">
        <w:rPr>
          <w:rFonts w:asciiTheme="majorHAnsi" w:hAnsiTheme="majorHAnsi" w:cstheme="majorHAnsi"/>
          <w:bCs/>
          <w:sz w:val="22"/>
          <w:szCs w:val="22"/>
          <w:vertAlign w:val="superscript"/>
        </w:rPr>
        <w:t>2</w:t>
      </w:r>
      <w:r w:rsidRPr="00402078">
        <w:rPr>
          <w:rFonts w:asciiTheme="majorHAnsi" w:hAnsiTheme="majorHAnsi" w:cstheme="majorHAnsi"/>
          <w:bCs/>
          <w:sz w:val="22"/>
          <w:szCs w:val="22"/>
        </w:rPr>
        <w:t xml:space="preserve">, giai đoạn 1 đầu tư là 30 triệu USD, chuyên sản xuất các sản phẩm về máy tính, lưu trữ, thiết bị mạng, viễn thông, di động, kỹ thuật số và thiết bị năng lượng, giải quyết khoảng 4.500 việc làm. Dự án Microsoft, Intel, Foxconn,.. với khoảng đầu tư hơn 1,5 tỷ USD tạo nên một cơ sở </w:t>
      </w:r>
      <w:r w:rsidRPr="00402078">
        <w:rPr>
          <w:rFonts w:asciiTheme="majorHAnsi" w:hAnsiTheme="majorHAnsi" w:cstheme="majorHAnsi"/>
          <w:bCs/>
          <w:sz w:val="22"/>
          <w:szCs w:val="22"/>
        </w:rPr>
        <w:lastRenderedPageBreak/>
        <w:t>sản xuất và thử nghiệm lắp ráp chip. Dự án Sunshine của UNIVERSAL ALLOY với mức đầu tư 170 triệu USD chuyên sản xuất linh kiện hàng không vũ trụ và sản xuất linh kiện máy bay Boeing tại Đà Nẵng. Dự án United States Enterprises đầu tư tại Đà Nẵng với 110 triệu USD chuyên sản xuất các vật liệu bán dẫn, các khối silic tinh thể, hợp kim, phi kim, các vật bán dẫn khác...</w:t>
      </w:r>
      <w:r w:rsidR="008F32F3">
        <w:rPr>
          <w:rFonts w:asciiTheme="majorHAnsi" w:hAnsiTheme="majorHAnsi" w:cstheme="majorHAnsi"/>
          <w:bCs/>
          <w:sz w:val="22"/>
          <w:szCs w:val="22"/>
          <w:lang w:val="en-US"/>
        </w:rPr>
        <w:t xml:space="preserve"> Hoa Kỳ đầu tư vào Việt Nam với những dự án mang đến công nghệ phát triển cao mang tính đột phá, tuy nhiên nhìn chung so với tổng FDI thì tỷ lệ này thật sự rất nhỏ.</w:t>
      </w:r>
    </w:p>
    <w:p w14:paraId="486905A0" w14:textId="221E9A12" w:rsidR="00402078" w:rsidRPr="0088113C" w:rsidRDefault="00402078" w:rsidP="000E6846">
      <w:pPr>
        <w:tabs>
          <w:tab w:val="left" w:pos="567"/>
        </w:tabs>
        <w:snapToGrid w:val="0"/>
        <w:spacing w:before="120" w:after="120"/>
        <w:jc w:val="both"/>
        <w:rPr>
          <w:rFonts w:asciiTheme="majorHAnsi" w:hAnsiTheme="majorHAnsi" w:cstheme="majorHAnsi"/>
          <w:bCs/>
          <w:sz w:val="22"/>
          <w:szCs w:val="22"/>
          <w:lang w:val="en-US"/>
        </w:rPr>
      </w:pPr>
      <w:r w:rsidRPr="00402078">
        <w:rPr>
          <w:rFonts w:asciiTheme="majorHAnsi" w:hAnsiTheme="majorHAnsi" w:cstheme="majorHAnsi"/>
          <w:bCs/>
          <w:sz w:val="22"/>
          <w:szCs w:val="22"/>
        </w:rPr>
        <w:t>(ii)</w:t>
      </w:r>
      <w:r w:rsidRPr="00402078">
        <w:rPr>
          <w:rFonts w:asciiTheme="majorHAnsi" w:hAnsiTheme="majorHAnsi" w:cstheme="majorHAnsi"/>
          <w:bCs/>
          <w:sz w:val="22"/>
          <w:szCs w:val="22"/>
        </w:rPr>
        <w:tab/>
        <w:t>Nhật Bản với dự án Nipro giai đoạn 1 là 300 triệu USD, giai đoạn 2 là 500 triệu USD tại khu công nghệ cao TP.HCM, chuyên sản xuất các thiết bị y tế, lọc thận, ống dẫn máu, ống thông... Dự án Nidec Shimpo với tổng vốn đầu tư FDI là 200 triệu USD tại Hà Nội chuyên sản xuất máy giảm tốc cỡ nhỏ, mô-tơ điện một chiều. Dự án Mitsubishi Chemical tại khu công nghệ cao Hòa Lạc-Hà Nội với 92 triệu USD chuyên sản xuất màng OPC. Dự án Sumimoto và BRG với 94.000 tỷ đồng xây dựng dự án thành phố thông minh và trung tâm thương mại,...</w:t>
      </w:r>
      <w:r w:rsidR="0088113C">
        <w:rPr>
          <w:rFonts w:asciiTheme="majorHAnsi" w:hAnsiTheme="majorHAnsi" w:cstheme="majorHAnsi"/>
          <w:bCs/>
          <w:sz w:val="22"/>
          <w:szCs w:val="22"/>
          <w:lang w:val="en-US"/>
        </w:rPr>
        <w:t>, các dự án chủ yếu là công nghệ sản xuất hàng tiêu dùng.</w:t>
      </w:r>
    </w:p>
    <w:p w14:paraId="00099DDA" w14:textId="77777777" w:rsidR="00402078" w:rsidRPr="00402078" w:rsidRDefault="00402078" w:rsidP="00882D10">
      <w:pPr>
        <w:tabs>
          <w:tab w:val="left" w:pos="567"/>
        </w:tabs>
        <w:snapToGrid w:val="0"/>
        <w:spacing w:before="120" w:after="120"/>
        <w:jc w:val="both"/>
        <w:rPr>
          <w:rFonts w:asciiTheme="majorHAnsi" w:hAnsiTheme="majorHAnsi" w:cstheme="majorHAnsi"/>
          <w:bCs/>
          <w:sz w:val="22"/>
          <w:szCs w:val="22"/>
        </w:rPr>
      </w:pPr>
      <w:r w:rsidRPr="00402078">
        <w:rPr>
          <w:rFonts w:asciiTheme="majorHAnsi" w:hAnsiTheme="majorHAnsi" w:cstheme="majorHAnsi"/>
          <w:bCs/>
          <w:sz w:val="22"/>
          <w:szCs w:val="22"/>
        </w:rPr>
        <w:t>(iii)</w:t>
      </w:r>
      <w:r w:rsidRPr="00402078">
        <w:rPr>
          <w:rFonts w:asciiTheme="majorHAnsi" w:hAnsiTheme="majorHAnsi" w:cstheme="majorHAnsi"/>
          <w:bCs/>
          <w:sz w:val="22"/>
          <w:szCs w:val="22"/>
        </w:rPr>
        <w:tab/>
        <w:t xml:space="preserve">Hàn Quốc với dự án Samsung gồm 6 nhà máy và 1 trung tâm nghiên cứu R&amp;D tại TP.HCM, Thái Nguyên và Bắc Ninh chuyên về điện tử gia dụng, điện thoại di động, vi mạch… với giai đoạn 1 là 670 triệu USD đến nay đã là 17,3 tỷ USD và trở thành nhà đầu tư FDI lớn nhất Việt Nam. Dự án LG Innotek tại Hải Phòng được đầu tư khoảng 1,05 tỷ USD trên khu công nghiệp Tràng Duệ với diện tích 17,2 ha sản xuất sản phẩm mô-đun camera, điện tử công nghệ cao, công nghệ thân thiện với môi trường. </w:t>
      </w:r>
    </w:p>
    <w:p w14:paraId="55E4065A" w14:textId="0BF955B1" w:rsidR="00F255A4" w:rsidRPr="00402078" w:rsidRDefault="00402078" w:rsidP="000E6846">
      <w:pPr>
        <w:tabs>
          <w:tab w:val="left" w:pos="567"/>
        </w:tabs>
        <w:snapToGrid w:val="0"/>
        <w:spacing w:before="120" w:after="120"/>
        <w:jc w:val="both"/>
        <w:rPr>
          <w:rFonts w:asciiTheme="majorHAnsi" w:hAnsiTheme="majorHAnsi" w:cstheme="majorHAnsi"/>
          <w:bCs/>
          <w:sz w:val="22"/>
          <w:szCs w:val="22"/>
        </w:rPr>
      </w:pPr>
      <w:r w:rsidRPr="00402078">
        <w:rPr>
          <w:rFonts w:asciiTheme="majorHAnsi" w:hAnsiTheme="majorHAnsi" w:cstheme="majorHAnsi"/>
          <w:bCs/>
          <w:sz w:val="22"/>
          <w:szCs w:val="22"/>
        </w:rPr>
        <w:t>(iv)</w:t>
      </w:r>
      <w:r w:rsidRPr="00402078">
        <w:rPr>
          <w:rFonts w:asciiTheme="majorHAnsi" w:hAnsiTheme="majorHAnsi" w:cstheme="majorHAnsi"/>
          <w:bCs/>
          <w:sz w:val="22"/>
          <w:szCs w:val="22"/>
        </w:rPr>
        <w:tab/>
        <w:t>Ngoài ra, các dự án chuyển giao khác như Dự án Datologic của Italy với 100% vốn nước ngoài với việc sản xuất sản phẩm là máy đọc mã vạch, máy tính di động, dây chuyền lắp ráp bo mạch điện tử... có 46,6 triệu USD. Hay nhà máy điện khí hóa lỏng tại Bạc Liêu với vốn đầu tư 4 tỷ USD của Singapore. Dự án hóa dầu Long Sơn Petrochemicals với 1,38 tỷ USD tại Bà Rịa – Vũng Tàu. Dự án Trung Quốc Jinyu Tire đầu tư 300 triệu USD sản xuất lốp xe và lốp xe toàn thép với 300 triệu USD. Dự án Pegatron Đài Loan đầu tư 481 triệu USD với thiết bị phụ kiện chơi game, điện thoại, loa thông minh. Hay ứng dụng mạng viễn thông công nghệ CDMA và công nghệ GSM, số hóa viễn thông, mạng cáp quan, tiến hành thử nghiệm và hoạt động mạng 4,5G (LTE-A) và 5G từ Hoa Kỳ và Nhật Bản,…</w:t>
      </w:r>
    </w:p>
    <w:p w14:paraId="652A5286" w14:textId="77777777" w:rsidR="00F255A4" w:rsidRDefault="00F255A4" w:rsidP="000E6846">
      <w:pPr>
        <w:tabs>
          <w:tab w:val="left" w:pos="567"/>
        </w:tabs>
        <w:snapToGrid w:val="0"/>
        <w:spacing w:before="120" w:after="120"/>
        <w:jc w:val="both"/>
        <w:rPr>
          <w:rFonts w:asciiTheme="majorHAnsi" w:hAnsiTheme="majorHAnsi" w:cstheme="majorHAnsi"/>
          <w:bCs/>
          <w:i/>
          <w:iCs/>
          <w:sz w:val="22"/>
          <w:szCs w:val="22"/>
        </w:rPr>
      </w:pPr>
    </w:p>
    <w:p w14:paraId="3B9447C3" w14:textId="58811946" w:rsidR="00507C32" w:rsidRDefault="00507C32" w:rsidP="00882D10">
      <w:pPr>
        <w:pStyle w:val="Heading3"/>
        <w:snapToGrid w:val="0"/>
        <w:spacing w:before="120" w:after="120"/>
        <w:jc w:val="both"/>
        <w:rPr>
          <w:rFonts w:asciiTheme="majorHAnsi" w:hAnsiTheme="majorHAnsi" w:cstheme="majorHAnsi"/>
          <w:color w:val="auto"/>
          <w:sz w:val="22"/>
          <w:szCs w:val="22"/>
        </w:rPr>
      </w:pPr>
      <w:r w:rsidRPr="00535BE2">
        <w:rPr>
          <w:rFonts w:asciiTheme="majorHAnsi" w:hAnsiTheme="majorHAnsi" w:cstheme="majorHAnsi"/>
          <w:color w:val="auto"/>
          <w:sz w:val="22"/>
          <w:szCs w:val="22"/>
        </w:rPr>
        <w:t xml:space="preserve">2.4. </w:t>
      </w:r>
      <w:r w:rsidR="00712C66" w:rsidRPr="00712C66">
        <w:rPr>
          <w:rFonts w:asciiTheme="majorHAnsi" w:hAnsiTheme="majorHAnsi" w:cstheme="majorHAnsi"/>
          <w:color w:val="auto"/>
          <w:sz w:val="22"/>
          <w:szCs w:val="22"/>
        </w:rPr>
        <w:t>Đánh giá chung về chuyển giao công nghệ thông qua hoạt động thu hút vốn FDI Việt Nam</w:t>
      </w:r>
    </w:p>
    <w:p w14:paraId="6BB36E4A" w14:textId="11F025C2" w:rsidR="00712C66" w:rsidRPr="00712C66" w:rsidRDefault="00712C66" w:rsidP="00882D10">
      <w:pPr>
        <w:pStyle w:val="Heading3"/>
        <w:snapToGrid w:val="0"/>
        <w:spacing w:before="120" w:after="120"/>
        <w:jc w:val="both"/>
        <w:rPr>
          <w:rFonts w:asciiTheme="majorHAnsi" w:hAnsiTheme="majorHAnsi" w:cstheme="majorHAnsi"/>
          <w:color w:val="auto"/>
          <w:sz w:val="22"/>
          <w:szCs w:val="22"/>
        </w:rPr>
      </w:pPr>
      <w:bookmarkStart w:id="17" w:name="_Hlk155644744"/>
      <w:r w:rsidRPr="00712C66">
        <w:rPr>
          <w:rFonts w:asciiTheme="majorHAnsi" w:hAnsiTheme="majorHAnsi" w:cstheme="majorHAnsi"/>
          <w:color w:val="auto"/>
          <w:sz w:val="22"/>
          <w:szCs w:val="22"/>
        </w:rPr>
        <w:t xml:space="preserve">2.4.1. </w:t>
      </w:r>
      <w:bookmarkEnd w:id="17"/>
      <w:r w:rsidRPr="00712C66">
        <w:rPr>
          <w:rFonts w:asciiTheme="majorHAnsi" w:hAnsiTheme="majorHAnsi" w:cstheme="majorHAnsi"/>
          <w:color w:val="auto"/>
          <w:sz w:val="22"/>
          <w:szCs w:val="22"/>
        </w:rPr>
        <w:t>Những mặt tích cực, lạc quan trong chuyển giao công nghệ</w:t>
      </w:r>
    </w:p>
    <w:p w14:paraId="3E3F48DE" w14:textId="77777777" w:rsidR="00F61C6E" w:rsidRPr="00F61C6E" w:rsidRDefault="00F61C6E" w:rsidP="00882D10">
      <w:pPr>
        <w:spacing w:before="120" w:after="120"/>
        <w:ind w:firstLine="567"/>
        <w:jc w:val="both"/>
        <w:rPr>
          <w:rFonts w:asciiTheme="majorHAnsi" w:hAnsiTheme="majorHAnsi" w:cstheme="majorHAnsi"/>
          <w:sz w:val="22"/>
          <w:szCs w:val="22"/>
        </w:rPr>
      </w:pPr>
      <w:r w:rsidRPr="00F61C6E">
        <w:rPr>
          <w:rFonts w:asciiTheme="majorHAnsi" w:hAnsiTheme="majorHAnsi" w:cstheme="majorHAnsi"/>
          <w:sz w:val="22"/>
          <w:szCs w:val="22"/>
        </w:rPr>
        <w:t>Nhìn chung, chuyển giao công nghệ của các dự án đã diễn ra theo hướng tích cực với nhiều lĩnh vực đa dạng phong phú như ngân hàng, công nghệ thông tin, viễn thông, điện tử, ô tô xe máy,… trên khắp các miền đất nước từ Bắc vào Nam, trong đó có nhiều sản phẩm mới đạt được chất lượng cao với công nghệ khoa học hiện đại. Điều này đã góp phần chuyển dịch cơ cấu kinh tế Việt Nam theo hướng công nghiệp hóa – hiện đại hóa ngày càng tốt hơn, cũng như nhờ vào các dự án này mà các nguồn lực trong nước được sử dụng hiệu quả, tạo được nhiều việc làm, nâng cao trình độ và có năng suất cao.</w:t>
      </w:r>
    </w:p>
    <w:p w14:paraId="1CDB3FD2" w14:textId="77777777" w:rsidR="00F61C6E" w:rsidRPr="00F61C6E" w:rsidRDefault="00F61C6E" w:rsidP="00882D10">
      <w:pPr>
        <w:spacing w:before="120" w:after="120"/>
        <w:ind w:firstLine="567"/>
        <w:jc w:val="both"/>
        <w:rPr>
          <w:rFonts w:asciiTheme="majorHAnsi" w:hAnsiTheme="majorHAnsi" w:cstheme="majorHAnsi"/>
          <w:sz w:val="22"/>
          <w:szCs w:val="22"/>
        </w:rPr>
      </w:pPr>
      <w:r w:rsidRPr="00F61C6E">
        <w:rPr>
          <w:rFonts w:asciiTheme="majorHAnsi" w:hAnsiTheme="majorHAnsi" w:cstheme="majorHAnsi"/>
          <w:sz w:val="22"/>
          <w:szCs w:val="22"/>
        </w:rPr>
        <w:t>Không chỉ như vậy, các doanh nghiệp FDI còn cung cấp các sản phẩm có chất lượng cao hơn, giá rẻ hơn, hình thức phù hợp với thị trường trường trong nước và thị trường quốc tế, đặc biệt là các sản phẩm về điện tử, chế tạo, cơ khí, công nghệ thông tin… Qua đó, mà lĩnh vực bưu chính viễn thông, hạ tầng cơ sở, vận tải logistic,.. đã không ngừng phát triển và hiện đại. Các dự án FDI còn sử dụng các nguồn nguyên liệu đầu vào, các công nghệ xanh làm ảnh hưởng trên tất cả lĩnh vực kinh tế từ nông lâm thủy hải sản cho đến lĩnh vực công nghiệp và dịch vụ.</w:t>
      </w:r>
    </w:p>
    <w:p w14:paraId="222C2698" w14:textId="77777777" w:rsidR="00F61C6E" w:rsidRPr="00F61C6E" w:rsidRDefault="00F61C6E" w:rsidP="00882D10">
      <w:pPr>
        <w:spacing w:before="120" w:after="120"/>
        <w:ind w:firstLine="567"/>
        <w:jc w:val="both"/>
        <w:rPr>
          <w:rFonts w:asciiTheme="majorHAnsi" w:hAnsiTheme="majorHAnsi" w:cstheme="majorHAnsi"/>
          <w:sz w:val="22"/>
          <w:szCs w:val="22"/>
        </w:rPr>
      </w:pPr>
      <w:r w:rsidRPr="00F61C6E">
        <w:rPr>
          <w:rFonts w:asciiTheme="majorHAnsi" w:hAnsiTheme="majorHAnsi" w:cstheme="majorHAnsi"/>
          <w:sz w:val="22"/>
          <w:szCs w:val="22"/>
        </w:rPr>
        <w:t>Tương ứng với sự phát triển đó thì trình độ lao động công nghệ cao cũng tăng lên, xu hướng người lao động có kỹ năng ngoại ngữ anh văn-vi tính cũng tăng lên không ngừng, đội ngũ chuyên gia, kỹ sư được đào tạo chuyên môn ở nước ngoài, kinh nghiệm quản lý tiên tiến trên thế giới cũng được nâng lên cả về số lượng lẫn chất lượng</w:t>
      </w:r>
    </w:p>
    <w:p w14:paraId="16DA8731" w14:textId="05066200" w:rsidR="00712C66" w:rsidRPr="00F61C6E" w:rsidRDefault="00F61C6E" w:rsidP="00882D10">
      <w:pPr>
        <w:spacing w:before="120" w:after="120"/>
        <w:ind w:firstLine="567"/>
        <w:jc w:val="both"/>
        <w:rPr>
          <w:rFonts w:asciiTheme="majorHAnsi" w:hAnsiTheme="majorHAnsi" w:cstheme="majorHAnsi"/>
          <w:sz w:val="22"/>
          <w:szCs w:val="22"/>
        </w:rPr>
      </w:pPr>
      <w:r w:rsidRPr="00F61C6E">
        <w:rPr>
          <w:rFonts w:asciiTheme="majorHAnsi" w:hAnsiTheme="majorHAnsi" w:cstheme="majorHAnsi"/>
          <w:sz w:val="22"/>
          <w:szCs w:val="22"/>
        </w:rPr>
        <w:t>Tuy nhiên theo nội dung báo cáo từ Đề án Chiến lược hợp tác đầu tư nước ngoài (2020) thì tỷ trọng chuyển giao công nghệ hiện đại từ trước đến nay chỉ chiếm khoảng 6% doanh nghiệp đầu tư FDI, còn 94% là sử dụng các công nghệ trung bình và thấp gây ô nhiễm môi trường (tiêu biểu như dự án Vedan, Miwon, ô nhiễm môi trường biển tại Miền Trung của Formosa, khói bụi ô nhiễm của Lee&amp;Men, nhà máy giấy Hậu Giang, nhà máy Nhiệt điện Vĩnh Tân 2...). Từ đây có thể thấy, mặc dù cơ bản thì số vốn góp và số dự án FDI có khuynh hướng tăng lên theo thời gian nhưng tình hình chuyển giao công nghệ còn nhiều hạn chế bất cập</w:t>
      </w:r>
    </w:p>
    <w:p w14:paraId="60EA45E8" w14:textId="6642F5D1" w:rsidR="00F61C6E" w:rsidRPr="00F2043A" w:rsidRDefault="00F2043A" w:rsidP="000E6846">
      <w:pPr>
        <w:pStyle w:val="Heading3"/>
        <w:snapToGrid w:val="0"/>
        <w:spacing w:before="120" w:after="120"/>
        <w:jc w:val="both"/>
        <w:rPr>
          <w:rFonts w:asciiTheme="majorHAnsi" w:hAnsiTheme="majorHAnsi" w:cstheme="majorHAnsi"/>
          <w:color w:val="auto"/>
          <w:sz w:val="22"/>
          <w:szCs w:val="22"/>
        </w:rPr>
      </w:pPr>
      <w:r w:rsidRPr="00712C66">
        <w:rPr>
          <w:rFonts w:asciiTheme="majorHAnsi" w:hAnsiTheme="majorHAnsi" w:cstheme="majorHAnsi"/>
          <w:color w:val="auto"/>
          <w:sz w:val="22"/>
          <w:szCs w:val="22"/>
        </w:rPr>
        <w:lastRenderedPageBreak/>
        <w:t>2.4.</w:t>
      </w:r>
      <w:r>
        <w:rPr>
          <w:rFonts w:asciiTheme="majorHAnsi" w:hAnsiTheme="majorHAnsi" w:cstheme="majorHAnsi"/>
          <w:color w:val="auto"/>
          <w:sz w:val="22"/>
          <w:szCs w:val="22"/>
          <w:lang w:val="en-US"/>
        </w:rPr>
        <w:t>2</w:t>
      </w:r>
      <w:r w:rsidRPr="00712C66">
        <w:rPr>
          <w:rFonts w:asciiTheme="majorHAnsi" w:hAnsiTheme="majorHAnsi" w:cstheme="majorHAnsi"/>
          <w:color w:val="auto"/>
          <w:sz w:val="22"/>
          <w:szCs w:val="22"/>
        </w:rPr>
        <w:t xml:space="preserve">. </w:t>
      </w:r>
      <w:r w:rsidRPr="00F2043A">
        <w:rPr>
          <w:rFonts w:asciiTheme="majorHAnsi" w:hAnsiTheme="majorHAnsi" w:cstheme="majorHAnsi"/>
          <w:color w:val="auto"/>
          <w:sz w:val="22"/>
          <w:szCs w:val="22"/>
        </w:rPr>
        <w:t xml:space="preserve">Một số bất cập trong tình trạng chuyển giao công nghệ FDI </w:t>
      </w:r>
    </w:p>
    <w:p w14:paraId="517379FE" w14:textId="77777777" w:rsidR="00E04307" w:rsidRPr="00E04307" w:rsidRDefault="00E04307" w:rsidP="00882D10">
      <w:pPr>
        <w:shd w:val="clear" w:color="auto" w:fill="FFFFFF"/>
        <w:tabs>
          <w:tab w:val="left" w:pos="567"/>
        </w:tabs>
        <w:snapToGrid w:val="0"/>
        <w:spacing w:before="120" w:after="120"/>
        <w:ind w:firstLine="567"/>
        <w:jc w:val="both"/>
        <w:outlineLvl w:val="1"/>
        <w:rPr>
          <w:rFonts w:asciiTheme="majorHAnsi" w:hAnsiTheme="majorHAnsi" w:cstheme="majorHAnsi"/>
          <w:sz w:val="22"/>
          <w:szCs w:val="22"/>
        </w:rPr>
      </w:pPr>
      <w:r w:rsidRPr="00E04307">
        <w:rPr>
          <w:rFonts w:asciiTheme="majorHAnsi" w:hAnsiTheme="majorHAnsi" w:cstheme="majorHAnsi"/>
          <w:sz w:val="22"/>
          <w:szCs w:val="22"/>
        </w:rPr>
        <w:t>Hình thức chuyển giao công nghệ tầm trung và hiện đại hiện nay diễn ra chủ yếu là từ công ty trụ sở nước ngoài sang công ty chi nhánh (công ty con của công ty này) tại Việt Nam, nghĩa là thực ra các công ty nội địa Việt Nam vẫn chưa thực sự nhận được các công nghệ chuyển giao.</w:t>
      </w:r>
    </w:p>
    <w:p w14:paraId="561BE362" w14:textId="77777777" w:rsidR="00E04307" w:rsidRPr="00E04307" w:rsidRDefault="00E04307" w:rsidP="00882D10">
      <w:pPr>
        <w:shd w:val="clear" w:color="auto" w:fill="FFFFFF"/>
        <w:tabs>
          <w:tab w:val="left" w:pos="567"/>
        </w:tabs>
        <w:snapToGrid w:val="0"/>
        <w:spacing w:before="120" w:after="120"/>
        <w:ind w:firstLine="567"/>
        <w:jc w:val="both"/>
        <w:outlineLvl w:val="1"/>
        <w:rPr>
          <w:rFonts w:asciiTheme="majorHAnsi" w:hAnsiTheme="majorHAnsi" w:cstheme="majorHAnsi"/>
          <w:sz w:val="22"/>
          <w:szCs w:val="22"/>
        </w:rPr>
      </w:pPr>
      <w:r w:rsidRPr="00E04307">
        <w:rPr>
          <w:rFonts w:asciiTheme="majorHAnsi" w:hAnsiTheme="majorHAnsi" w:cstheme="majorHAnsi"/>
          <w:sz w:val="22"/>
          <w:szCs w:val="22"/>
        </w:rPr>
        <w:t>Lợi thế thu hút FDI của Việt Nam là một thị trường đầu tư có nguồn lao động trẻ rẻ, trình độ thấp và giàu nguyên nhiên liệu, tiêu chuẩn đánh giá tác hại ảnh hưởng đến môi trường, khả năng hồi phục lại môi trường sau ô nhiễm và sự nghiêm khắc trong luật chế tài rác thải, xả thải đều thấp, do đó đầu tư FDI chủ yếu vẫn là gia công lắp ráp, sản xuất thô, phát thải lớn...  Vì vậy, xét về thời gian dài thì lợi thế thu hút FDI của Việt Nam sẽ mất dần đi và môi trường sống, chất lượng cuộc sống cũng không còn bền vững.</w:t>
      </w:r>
    </w:p>
    <w:p w14:paraId="4BE01497" w14:textId="335B621D" w:rsidR="002772E5" w:rsidRDefault="00E04307" w:rsidP="00882D10">
      <w:pPr>
        <w:shd w:val="clear" w:color="auto" w:fill="FFFFFF"/>
        <w:tabs>
          <w:tab w:val="left" w:pos="567"/>
        </w:tabs>
        <w:snapToGrid w:val="0"/>
        <w:spacing w:before="120" w:after="120"/>
        <w:ind w:firstLine="567"/>
        <w:jc w:val="both"/>
        <w:outlineLvl w:val="1"/>
        <w:rPr>
          <w:rFonts w:asciiTheme="majorHAnsi" w:hAnsiTheme="majorHAnsi" w:cstheme="majorHAnsi"/>
          <w:bCs/>
          <w:sz w:val="22"/>
          <w:szCs w:val="22"/>
        </w:rPr>
      </w:pPr>
      <w:r w:rsidRPr="00E04307">
        <w:rPr>
          <w:rFonts w:asciiTheme="majorHAnsi" w:hAnsiTheme="majorHAnsi" w:cstheme="majorHAnsi"/>
          <w:sz w:val="22"/>
          <w:szCs w:val="22"/>
        </w:rPr>
        <w:t>Một trong những kỳ vọng của Chính Phủ khi thu hút công nghệ FDI là để tạo ra hiệu ứng lan tỏa công nghệ đến các doanh nghiệp trong nước, từ đó sẽ tạo động lực thúc đẩy các doanh nghiệp trong nước hiện đại hóa, nâng cao trình độ nhân lực và năng lực quản lý, tuy nhiên thực tế đến nay thì hiệu quả này vẫn chưa thực sự rõ ràng. Khoảng cách công nghệ giữa khu vực công nghệ cao, chip phần mềm của Mỹ và Nhật so với các công ty nội địa là quá lớn, do đó công nghệ vẫn có tính bảo mật từ công ty nước ngoài, và nguồn nhân lực trình độ cao này cũng khó hòa hợp vào các công ty Việt Nam. Điều này đã trở thành rào cản cản trở sự lan tỏa các hiệu ứng tích cực của FDI vào các doanh nghiệp Việt Nam</w:t>
      </w:r>
      <w:r w:rsidR="00880926" w:rsidRPr="00456906">
        <w:rPr>
          <w:rFonts w:asciiTheme="majorHAnsi" w:hAnsiTheme="majorHAnsi" w:cstheme="majorHAnsi"/>
          <w:bCs/>
          <w:sz w:val="22"/>
          <w:szCs w:val="22"/>
        </w:rPr>
        <w:t>.</w:t>
      </w:r>
    </w:p>
    <w:p w14:paraId="448E8DCF" w14:textId="04B54295" w:rsidR="00CD558E" w:rsidRPr="00F2043A" w:rsidRDefault="00CD558E" w:rsidP="000E6846">
      <w:pPr>
        <w:pStyle w:val="Heading3"/>
        <w:snapToGrid w:val="0"/>
        <w:spacing w:before="120" w:after="120"/>
        <w:jc w:val="both"/>
        <w:rPr>
          <w:rFonts w:asciiTheme="majorHAnsi" w:hAnsiTheme="majorHAnsi" w:cstheme="majorHAnsi"/>
          <w:color w:val="auto"/>
          <w:sz w:val="22"/>
          <w:szCs w:val="22"/>
        </w:rPr>
      </w:pPr>
      <w:r w:rsidRPr="00712C66">
        <w:rPr>
          <w:rFonts w:asciiTheme="majorHAnsi" w:hAnsiTheme="majorHAnsi" w:cstheme="majorHAnsi"/>
          <w:color w:val="auto"/>
          <w:sz w:val="22"/>
          <w:szCs w:val="22"/>
        </w:rPr>
        <w:t>2.4.</w:t>
      </w:r>
      <w:r>
        <w:rPr>
          <w:rFonts w:asciiTheme="majorHAnsi" w:hAnsiTheme="majorHAnsi" w:cstheme="majorHAnsi"/>
          <w:color w:val="auto"/>
          <w:sz w:val="22"/>
          <w:szCs w:val="22"/>
          <w:lang w:val="en-US"/>
        </w:rPr>
        <w:t>3</w:t>
      </w:r>
      <w:r w:rsidRPr="00712C66">
        <w:rPr>
          <w:rFonts w:asciiTheme="majorHAnsi" w:hAnsiTheme="majorHAnsi" w:cstheme="majorHAnsi"/>
          <w:color w:val="auto"/>
          <w:sz w:val="22"/>
          <w:szCs w:val="22"/>
        </w:rPr>
        <w:t xml:space="preserve">. </w:t>
      </w:r>
      <w:r w:rsidRPr="00CD558E">
        <w:rPr>
          <w:rFonts w:asciiTheme="majorHAnsi" w:hAnsiTheme="majorHAnsi" w:cstheme="majorHAnsi"/>
          <w:color w:val="auto"/>
          <w:sz w:val="22"/>
          <w:szCs w:val="22"/>
        </w:rPr>
        <w:t xml:space="preserve">Nguyên nhân của những tình trạng bất cập về chuyển giao công nghệ của FDI vào Việt Nam </w:t>
      </w:r>
    </w:p>
    <w:p w14:paraId="20373B74" w14:textId="77777777" w:rsidR="00850F57" w:rsidRPr="00850F57" w:rsidRDefault="00850F57" w:rsidP="00882D10">
      <w:pPr>
        <w:shd w:val="clear" w:color="auto" w:fill="FFFFFF"/>
        <w:tabs>
          <w:tab w:val="left" w:pos="567"/>
        </w:tabs>
        <w:snapToGrid w:val="0"/>
        <w:spacing w:before="120" w:after="120"/>
        <w:ind w:firstLine="567"/>
        <w:jc w:val="both"/>
        <w:outlineLvl w:val="1"/>
        <w:rPr>
          <w:rFonts w:asciiTheme="majorHAnsi" w:hAnsiTheme="majorHAnsi" w:cstheme="majorHAnsi"/>
          <w:bCs/>
          <w:sz w:val="22"/>
          <w:szCs w:val="22"/>
        </w:rPr>
      </w:pPr>
      <w:r w:rsidRPr="00850F57">
        <w:rPr>
          <w:rFonts w:asciiTheme="majorHAnsi" w:hAnsiTheme="majorHAnsi" w:cstheme="majorHAnsi"/>
          <w:bCs/>
          <w:sz w:val="22"/>
          <w:szCs w:val="22"/>
        </w:rPr>
        <w:t>Thứ nhất là do mức độ hiện đại của công nghệ chuyển giao chỉ ở mức trung bình và lạc hậu chiếm tỷ lệ quá cao. Thêm vào đó mức độ định hướng trong việc thu hút FDI theo hướng chuyển giao công nghệ vẫn chưa được quan tâm đúng mức. Tức là, bộ máy quản lý nhà nước hiện nay vẫn chú trọng vào việc thu hút FDI càng nhiều càng tốt hơn là khả năng lan tỏa công nghệ của dự án. Do đó, những ưu đãi thật đặc biệt dành riêng cho loại dự án mang tính lan tỏa công nghệ vẫn chưa rõ ràng.</w:t>
      </w:r>
    </w:p>
    <w:p w14:paraId="01F0A3B7" w14:textId="77777777" w:rsidR="00850F57" w:rsidRPr="00850F57" w:rsidRDefault="00850F57" w:rsidP="00882D10">
      <w:pPr>
        <w:shd w:val="clear" w:color="auto" w:fill="FFFFFF"/>
        <w:tabs>
          <w:tab w:val="left" w:pos="567"/>
        </w:tabs>
        <w:snapToGrid w:val="0"/>
        <w:spacing w:before="120" w:after="120"/>
        <w:ind w:firstLine="567"/>
        <w:jc w:val="both"/>
        <w:outlineLvl w:val="1"/>
        <w:rPr>
          <w:rFonts w:asciiTheme="majorHAnsi" w:hAnsiTheme="majorHAnsi" w:cstheme="majorHAnsi"/>
          <w:bCs/>
          <w:sz w:val="22"/>
          <w:szCs w:val="22"/>
        </w:rPr>
      </w:pPr>
      <w:r w:rsidRPr="00850F57">
        <w:rPr>
          <w:rFonts w:asciiTheme="majorHAnsi" w:hAnsiTheme="majorHAnsi" w:cstheme="majorHAnsi"/>
          <w:bCs/>
          <w:sz w:val="22"/>
          <w:szCs w:val="22"/>
        </w:rPr>
        <w:t xml:space="preserve">Thứ hai, khả năng quản lý và thẩm định các dự án đầu tư FDI chưa cao, luật pháp chế tài cho những xử lý vi phạm sản xuất và sau sản xuất, phân phối các sản phẩm từ các dự án FDI, quản lý và xử lý về xả thải, quản lý và xử lý các tiêu chí môi trường không khí, đất, nước,... đều chưa </w:t>
      </w:r>
      <w:r w:rsidRPr="00850F57">
        <w:rPr>
          <w:rFonts w:asciiTheme="majorHAnsi" w:hAnsiTheme="majorHAnsi" w:cstheme="majorHAnsi"/>
          <w:bCs/>
          <w:sz w:val="22"/>
          <w:szCs w:val="22"/>
        </w:rPr>
        <w:t>thật nghiêm minh. Dẫn đến từ quá trình lắp đặt và sản xuất rơi vào công nghệ lạc hậu, dẫn đến công nghệ gây ô nhiễm nghiêm trọng hơn so với tình trạng lúc cam kết trên dự án đều không được xử lý mạnh mẽ, rõ ràng.</w:t>
      </w:r>
    </w:p>
    <w:p w14:paraId="07C55D67" w14:textId="77777777" w:rsidR="00850F57" w:rsidRPr="00850F57" w:rsidRDefault="00850F57" w:rsidP="00882D10">
      <w:pPr>
        <w:shd w:val="clear" w:color="auto" w:fill="FFFFFF"/>
        <w:tabs>
          <w:tab w:val="left" w:pos="567"/>
        </w:tabs>
        <w:snapToGrid w:val="0"/>
        <w:spacing w:before="120" w:after="120"/>
        <w:ind w:firstLine="567"/>
        <w:jc w:val="both"/>
        <w:outlineLvl w:val="1"/>
        <w:rPr>
          <w:rFonts w:asciiTheme="majorHAnsi" w:hAnsiTheme="majorHAnsi" w:cstheme="majorHAnsi"/>
          <w:bCs/>
          <w:sz w:val="22"/>
          <w:szCs w:val="22"/>
        </w:rPr>
      </w:pPr>
      <w:r w:rsidRPr="00850F57">
        <w:rPr>
          <w:rFonts w:asciiTheme="majorHAnsi" w:hAnsiTheme="majorHAnsi" w:cstheme="majorHAnsi"/>
          <w:bCs/>
          <w:sz w:val="22"/>
          <w:szCs w:val="22"/>
        </w:rPr>
        <w:t>Thứ ba, chính sách đào tạo nguồn kỹ sư, nhân lực công nghệ cao vẫn chưa phát huy được tính tích cực cả về số lượng đến chất lượng. Do đó, việc bố trí nguồn nhân công kỹ thuật cao để quản lý, vận hành các máy móc thiết bị, khả năng làm chủ được các thiết bị công nghệ và hơn nữa là khả năng học hỏi sao chép, cải tiến các công nghệ cao này thì Việt Nam vẫn chưa làm được. Còn nguồn công nhân trình độ thấp thì lại rất thấp, do đó mặc dù làm việc tại các lĩnh vực FDI nhưng chỉ đông về số lượng còn chất lượng vẫn không đạt, do đó mà công nhân chỉ có thể làm những công việc mang tính gia công, lắp ráp đơn giản, sơ chế đơn giản,... chủ yếu là dùng sự chịu khó và sức khỏe hơn là dùng trí óc, phát huy tính logic và sáng tạo của họ.</w:t>
      </w:r>
    </w:p>
    <w:p w14:paraId="53CFCCAC" w14:textId="7A6C3280" w:rsidR="00550BD6" w:rsidRDefault="00850F57" w:rsidP="00882D10">
      <w:pPr>
        <w:shd w:val="clear" w:color="auto" w:fill="FFFFFF"/>
        <w:tabs>
          <w:tab w:val="left" w:pos="567"/>
        </w:tabs>
        <w:snapToGrid w:val="0"/>
        <w:spacing w:before="120" w:after="120"/>
        <w:ind w:firstLine="567"/>
        <w:jc w:val="both"/>
        <w:outlineLvl w:val="1"/>
        <w:rPr>
          <w:rFonts w:asciiTheme="majorHAnsi" w:hAnsiTheme="majorHAnsi" w:cstheme="majorHAnsi"/>
          <w:bCs/>
          <w:sz w:val="22"/>
          <w:szCs w:val="22"/>
        </w:rPr>
      </w:pPr>
      <w:r w:rsidRPr="00850F57">
        <w:rPr>
          <w:rFonts w:asciiTheme="majorHAnsi" w:hAnsiTheme="majorHAnsi" w:cstheme="majorHAnsi"/>
          <w:bCs/>
          <w:sz w:val="22"/>
          <w:szCs w:val="22"/>
        </w:rPr>
        <w:t>Cuối cùng, các trường đại học cao đẳng, đào tạo nghề hiện nay vẫn còn nặng tính lý thuyết và máy móc cũng không đủ hiện đại, khả năng liên kết của trường đại học với các doanh nghiệp FDI công nghệ cao yếu kém. Dẫn đến, người học ít được thực hành trên các máy móc hiện đại và cũng ít được thao tác thực hành lành nghề, năng lực tư duy sáng tạo cũng kém hơn các nước phát triển vì không có môi trường khuyến khích, những máy móc thiết kế của người học sau khi đạt giải các kỳ thi thì cũng không được tài trợ phát triển thêm hay đưa vào ứng dụng cuộc sống. Những điều này đã dẫn đến có khoảng cách rất lớn giữa học và hành, giữa cái hiểu biết về lý thuyết và thực sự am hiểu, vận hành, sáng tạo trong thực tế là cách xa nhau</w:t>
      </w:r>
    </w:p>
    <w:p w14:paraId="683E2CC8" w14:textId="4388589E" w:rsidR="00E16B98" w:rsidRDefault="00E16B98" w:rsidP="00882D10">
      <w:pPr>
        <w:pStyle w:val="Heading3"/>
        <w:snapToGrid w:val="0"/>
        <w:spacing w:before="120" w:after="120"/>
        <w:jc w:val="both"/>
        <w:rPr>
          <w:rFonts w:asciiTheme="majorHAnsi" w:hAnsiTheme="majorHAnsi" w:cstheme="majorHAnsi"/>
          <w:color w:val="auto"/>
          <w:sz w:val="22"/>
          <w:szCs w:val="22"/>
        </w:rPr>
      </w:pPr>
      <w:r w:rsidRPr="00535BE2">
        <w:rPr>
          <w:rFonts w:asciiTheme="majorHAnsi" w:hAnsiTheme="majorHAnsi" w:cstheme="majorHAnsi"/>
          <w:color w:val="auto"/>
          <w:sz w:val="22"/>
          <w:szCs w:val="22"/>
        </w:rPr>
        <w:t>2.</w:t>
      </w:r>
      <w:r>
        <w:rPr>
          <w:rFonts w:asciiTheme="majorHAnsi" w:hAnsiTheme="majorHAnsi" w:cstheme="majorHAnsi"/>
          <w:color w:val="auto"/>
          <w:sz w:val="22"/>
          <w:szCs w:val="22"/>
          <w:lang w:val="en-US"/>
        </w:rPr>
        <w:t>5</w:t>
      </w:r>
      <w:r w:rsidRPr="00535BE2">
        <w:rPr>
          <w:rFonts w:asciiTheme="majorHAnsi" w:hAnsiTheme="majorHAnsi" w:cstheme="majorHAnsi"/>
          <w:color w:val="auto"/>
          <w:sz w:val="22"/>
          <w:szCs w:val="22"/>
        </w:rPr>
        <w:t xml:space="preserve">. </w:t>
      </w:r>
      <w:r w:rsidRPr="00712C66">
        <w:rPr>
          <w:rFonts w:asciiTheme="majorHAnsi" w:hAnsiTheme="majorHAnsi" w:cstheme="majorHAnsi"/>
          <w:color w:val="auto"/>
          <w:sz w:val="22"/>
          <w:szCs w:val="22"/>
        </w:rPr>
        <w:t>Đánh giá chung về chuyển giao công nghệ thông qua hoạt động thu hút vốn FDI Việt Nam</w:t>
      </w:r>
    </w:p>
    <w:p w14:paraId="428FC1C8" w14:textId="335CF3F5" w:rsidR="00E16B98" w:rsidRPr="00E16B98" w:rsidRDefault="00E16B98" w:rsidP="00882D10">
      <w:pPr>
        <w:shd w:val="clear" w:color="auto" w:fill="FFFFFF"/>
        <w:tabs>
          <w:tab w:val="left" w:pos="567"/>
        </w:tabs>
        <w:snapToGrid w:val="0"/>
        <w:spacing w:before="120" w:after="120"/>
        <w:ind w:firstLine="567"/>
        <w:jc w:val="both"/>
        <w:outlineLvl w:val="1"/>
        <w:rPr>
          <w:rFonts w:asciiTheme="majorHAnsi" w:hAnsiTheme="majorHAnsi" w:cstheme="majorHAnsi"/>
          <w:bCs/>
          <w:sz w:val="22"/>
          <w:szCs w:val="22"/>
        </w:rPr>
      </w:pPr>
      <w:r w:rsidRPr="00E16B98">
        <w:rPr>
          <w:rFonts w:asciiTheme="majorHAnsi" w:hAnsiTheme="majorHAnsi" w:cstheme="majorHAnsi"/>
          <w:bCs/>
          <w:sz w:val="22"/>
          <w:szCs w:val="22"/>
        </w:rPr>
        <w:t xml:space="preserve">Chính phủ cần có sự ưu tiên và ưu đãi rõ ràng trong việc tìm kiếm và thu hút đầu tư trực tiếp nước ngoài, ưu tiên về mức độ hiện đại công nghệ, hay ưu tiên mức độ lan tỏa của công nghệ chuyển giao, ưu tiên về quy mô dự án FDI, hay ưu tiên về dự án FDI có thể giải quyết việc làm, lượng lao động nhân công lớn,... Những ưu tiên khác nhau này sẽ dẫn đến những chính sách khác nhau, cũng như khả năng quản lý, thẩm định kiểm soát công nghệ lắp đặt sản xuất tại Việt Nam khác nhau, và cả tình trạng xử lý xả thải trong sản xuất. Việc thu hút FDI đã rất khó, nhưng việc tính nghiêm khắc trong việc xử lý vi phạm xả thải, kiểm soát xây dựng và chế tài rõ ràng lại còn khó hơn, nhưng cần nghiêm túc thực hiện để Việt </w:t>
      </w:r>
      <w:r w:rsidRPr="00E16B98">
        <w:rPr>
          <w:rFonts w:asciiTheme="majorHAnsi" w:hAnsiTheme="majorHAnsi" w:cstheme="majorHAnsi"/>
          <w:bCs/>
          <w:sz w:val="22"/>
          <w:szCs w:val="22"/>
        </w:rPr>
        <w:lastRenderedPageBreak/>
        <w:t>Nam có thể phát triển trong hiện tại và tương lai. Chẳng hạn như dự án Vedan, Miwon hay Formosa khu vực xả thải xây thành dạng hai đường ống xả thải, một đường ống là xả thải vào bể xử lý xả thải đúng quy chuẩn môi trường, nhưng lại tồn tại một đường ống ngầm xả thẳng ra sông ra biển, đợi ban đêm hoặc khi thủy triều lên thì sẽ xả thải hòa lẫn vào nước cống, gây ô nhiễm nghiêm trọng mà theo thống kê đến trăm năm sau thì những nhánh sông vẫn không thể hồi phục được như ban đầu.</w:t>
      </w:r>
    </w:p>
    <w:p w14:paraId="2009F44B" w14:textId="77777777" w:rsidR="00E16B98" w:rsidRPr="00E16B98" w:rsidRDefault="00E16B98" w:rsidP="00882D10">
      <w:pPr>
        <w:shd w:val="clear" w:color="auto" w:fill="FFFFFF"/>
        <w:tabs>
          <w:tab w:val="left" w:pos="567"/>
        </w:tabs>
        <w:snapToGrid w:val="0"/>
        <w:spacing w:before="120" w:after="120"/>
        <w:ind w:firstLine="567"/>
        <w:jc w:val="both"/>
        <w:outlineLvl w:val="1"/>
        <w:rPr>
          <w:rFonts w:asciiTheme="majorHAnsi" w:hAnsiTheme="majorHAnsi" w:cstheme="majorHAnsi"/>
          <w:bCs/>
          <w:sz w:val="22"/>
          <w:szCs w:val="22"/>
        </w:rPr>
      </w:pPr>
      <w:r w:rsidRPr="00E16B98">
        <w:rPr>
          <w:rFonts w:asciiTheme="majorHAnsi" w:hAnsiTheme="majorHAnsi" w:cstheme="majorHAnsi"/>
          <w:bCs/>
          <w:sz w:val="22"/>
          <w:szCs w:val="22"/>
        </w:rPr>
        <w:t>Thêm vào đó, thể chế chính sách đầu tư, chính sách ưu đãi, môi trường pháp lý thuận lợi một cửa, kết nối được các cơ quan chính quyền từ Chính Phủ đến địa phương cần có sự thống nhất để tạo điều kiện cho các doanh nghiệp FDI dễ dàng đầu tư vào Việt Nam, thủ tục giấy tờ đơn giản, rõ ràng dễ thực hiện, cũng như thời gian giải quyết thủ tục được nhanh gọn hơn.</w:t>
      </w:r>
    </w:p>
    <w:p w14:paraId="38EDA488" w14:textId="77777777" w:rsidR="00E16B98" w:rsidRPr="00E16B98" w:rsidRDefault="00E16B98" w:rsidP="00882D10">
      <w:pPr>
        <w:shd w:val="clear" w:color="auto" w:fill="FFFFFF"/>
        <w:tabs>
          <w:tab w:val="left" w:pos="567"/>
        </w:tabs>
        <w:snapToGrid w:val="0"/>
        <w:spacing w:before="120" w:after="120"/>
        <w:ind w:firstLine="567"/>
        <w:jc w:val="both"/>
        <w:outlineLvl w:val="1"/>
        <w:rPr>
          <w:rFonts w:asciiTheme="majorHAnsi" w:hAnsiTheme="majorHAnsi" w:cstheme="majorHAnsi"/>
          <w:bCs/>
          <w:sz w:val="22"/>
          <w:szCs w:val="22"/>
        </w:rPr>
      </w:pPr>
      <w:r w:rsidRPr="00E16B98">
        <w:rPr>
          <w:rFonts w:asciiTheme="majorHAnsi" w:hAnsiTheme="majorHAnsi" w:cstheme="majorHAnsi"/>
          <w:bCs/>
          <w:sz w:val="22"/>
          <w:szCs w:val="22"/>
        </w:rPr>
        <w:t>Không chỉ thế, cần hình thành cơ quan bộ phận chuyên trách về kiểm soát, thẩm định các máy móc, dây chuyền sản xuất từ lúc bắt đầu lắp đặt đến vận hành, khả năng đảm bảo công nghệ giống như trên dự án đã ký kết. Cũng như kết hợp các cơ quan chức năng, đào tạo nguồn nhân lực kỹ sư, quy hoạch và xây dựng các chiến lược kinh doanh, từ đó có thể xem xét về phạm vi chuyển giao công nghệ, lựa chọn ngông nghệ thích hợp có ảnh hưởng tốt đến sản xuất kinh doanh trong nước, hoạt động xuất nhập khẩu sản phẩm ra nước ngoài và khai thác được các lợi thế khác nhau của các địa phương trong nước Việt Nam</w:t>
      </w:r>
    </w:p>
    <w:p w14:paraId="23DA5C4D" w14:textId="0FCDD398" w:rsidR="00E16B98" w:rsidRPr="00456906" w:rsidRDefault="00E16B98" w:rsidP="00882D10">
      <w:pPr>
        <w:shd w:val="clear" w:color="auto" w:fill="FFFFFF"/>
        <w:tabs>
          <w:tab w:val="left" w:pos="567"/>
        </w:tabs>
        <w:snapToGrid w:val="0"/>
        <w:spacing w:before="120" w:after="120"/>
        <w:ind w:firstLine="567"/>
        <w:jc w:val="both"/>
        <w:outlineLvl w:val="1"/>
        <w:rPr>
          <w:rFonts w:asciiTheme="majorHAnsi" w:hAnsiTheme="majorHAnsi" w:cstheme="majorHAnsi"/>
          <w:bCs/>
          <w:sz w:val="22"/>
          <w:szCs w:val="22"/>
        </w:rPr>
      </w:pPr>
      <w:r w:rsidRPr="00E16B98">
        <w:rPr>
          <w:rFonts w:asciiTheme="majorHAnsi" w:hAnsiTheme="majorHAnsi" w:cstheme="majorHAnsi"/>
          <w:bCs/>
          <w:sz w:val="22"/>
          <w:szCs w:val="22"/>
        </w:rPr>
        <w:t>Cuối cùng, cần xây dựng các chiến lược phát huy năng lực nội sinh của các địa phương và vùng miền, chú trọng phát triển công nghệ và cải tiến công nghệ phù hợp với tiềm lực của từng địa phương, bao gồm cả hình thức chuyển giao công nghệ, nội dung, cách thức và đối tượng đầu tư FDI để tạo nên sự gắn kết giữa các doanh nghiệp địa phương, doanh nghiệp trong nước và doanh nghiệp nước ngoài, các tổ chức nghiên cứu khoa học và cải tiến công nghệ trong và ngoài nước. Qua đó, tạo nên mối liên kết từ đầu vào cho chu trình sản xuất cho đến đầu ra và phân phối sản phẩm trong nước và ngoài quốc tế, cải tiến công nghệ để tăng năng suất và thiết kế mẫu mã phù hợp hơn với nhu cầu các quốc gia trên thế giới</w:t>
      </w:r>
    </w:p>
    <w:p w14:paraId="75B5201B" w14:textId="1A399F94" w:rsidR="00F94BC8" w:rsidRPr="00456906" w:rsidRDefault="00ED566A" w:rsidP="000E6846">
      <w:pPr>
        <w:tabs>
          <w:tab w:val="left" w:pos="1134"/>
        </w:tabs>
        <w:snapToGrid w:val="0"/>
        <w:spacing w:before="120" w:after="120"/>
        <w:jc w:val="both"/>
        <w:rPr>
          <w:rFonts w:asciiTheme="majorHAnsi" w:hAnsiTheme="majorHAnsi" w:cstheme="majorHAnsi"/>
          <w:b/>
          <w:sz w:val="22"/>
          <w:szCs w:val="22"/>
        </w:rPr>
      </w:pPr>
      <w:bookmarkStart w:id="18" w:name="_Toc346561264"/>
      <w:bookmarkStart w:id="19" w:name="_Toc316289027"/>
      <w:bookmarkEnd w:id="14"/>
      <w:r w:rsidRPr="00456906">
        <w:rPr>
          <w:rFonts w:asciiTheme="majorHAnsi" w:hAnsiTheme="majorHAnsi" w:cstheme="majorHAnsi"/>
          <w:b/>
          <w:sz w:val="22"/>
          <w:szCs w:val="22"/>
        </w:rPr>
        <w:t>3. KẾT LUẬN</w:t>
      </w:r>
      <w:bookmarkEnd w:id="18"/>
    </w:p>
    <w:p w14:paraId="4F1A3601" w14:textId="5B89CD10" w:rsidR="00E16B98" w:rsidRPr="00D039AF" w:rsidRDefault="00D039AF" w:rsidP="000E6846">
      <w:pPr>
        <w:tabs>
          <w:tab w:val="left" w:pos="1134"/>
        </w:tabs>
        <w:snapToGrid w:val="0"/>
        <w:spacing w:before="120" w:after="120"/>
        <w:jc w:val="both"/>
        <w:rPr>
          <w:rFonts w:asciiTheme="majorHAnsi" w:hAnsiTheme="majorHAnsi" w:cstheme="majorHAnsi"/>
          <w:bCs/>
          <w:sz w:val="22"/>
          <w:szCs w:val="22"/>
          <w:lang w:val="en-US"/>
        </w:rPr>
      </w:pPr>
      <w:bookmarkStart w:id="20" w:name="_Toc346561265"/>
      <w:bookmarkEnd w:id="19"/>
      <w:r>
        <w:rPr>
          <w:rFonts w:asciiTheme="majorHAnsi" w:hAnsiTheme="majorHAnsi" w:cstheme="majorHAnsi"/>
          <w:bCs/>
          <w:sz w:val="22"/>
          <w:szCs w:val="22"/>
          <w:lang w:val="en-US"/>
        </w:rPr>
        <w:t>Trong chiến lược phát triển đất nước, FDI luôn giữ vai trò quan trọng trong thúc đẩy tăng trưởng kinh tế Việt Nam, bởi vì FDI không chỉ bổ sung nguồn vốn đầu tư mà c</w:t>
      </w:r>
      <w:r w:rsidR="0010138D">
        <w:rPr>
          <w:rFonts w:asciiTheme="majorHAnsi" w:hAnsiTheme="majorHAnsi" w:cstheme="majorHAnsi"/>
          <w:bCs/>
          <w:sz w:val="22"/>
          <w:szCs w:val="22"/>
          <w:lang w:val="en-US"/>
        </w:rPr>
        <w:t xml:space="preserve">òn mang đến các hoạt động chuyển giao công nghệ và cả nguồn nhân lực quản lý chất lượng cao, nhờ đó mà giúp cho Việt Nam có thể nâng cao năng suất lao động và thúc </w:t>
      </w:r>
      <w:r w:rsidR="0010138D">
        <w:rPr>
          <w:rFonts w:asciiTheme="majorHAnsi" w:hAnsiTheme="majorHAnsi" w:cstheme="majorHAnsi"/>
          <w:bCs/>
          <w:sz w:val="22"/>
          <w:szCs w:val="22"/>
          <w:lang w:val="en-US"/>
        </w:rPr>
        <w:t xml:space="preserve">đẩy tăng trưởng kinh tế. </w:t>
      </w:r>
      <w:r w:rsidR="00D32044">
        <w:rPr>
          <w:rFonts w:asciiTheme="majorHAnsi" w:hAnsiTheme="majorHAnsi" w:cstheme="majorHAnsi"/>
          <w:bCs/>
          <w:sz w:val="22"/>
          <w:szCs w:val="22"/>
          <w:lang w:val="en-US"/>
        </w:rPr>
        <w:t>Tuy nhiên, hoạt động thu hút và chuyển giao công nghệ của Việt Nam hiện nay vẫn còn gặp nhiều trở ngại khó khăn, một phần là do dịch bệnh và sau dịch bệnh, các quốc gia trên thế giới đều chú trọng hồi phục quốc gia của mình cho nên hoạt động FDI bị giảm bớt. Tuy nhiên, phần quan trọng nhất là vì thủ tục Việt Nam còn nhiều khó khăn, đội ngũ thẩm định kỹ thuật công nghệ để đảm bảo đúng như cam kết ban đầu của nhà đầu tư còn yếu</w:t>
      </w:r>
      <w:r w:rsidR="00335FAC">
        <w:rPr>
          <w:rFonts w:asciiTheme="majorHAnsi" w:hAnsiTheme="majorHAnsi" w:cstheme="majorHAnsi"/>
          <w:bCs/>
          <w:sz w:val="22"/>
          <w:szCs w:val="22"/>
          <w:lang w:val="en-US"/>
        </w:rPr>
        <w:t>, d</w:t>
      </w:r>
      <w:r w:rsidR="00D32044">
        <w:rPr>
          <w:rFonts w:asciiTheme="majorHAnsi" w:hAnsiTheme="majorHAnsi" w:cstheme="majorHAnsi"/>
          <w:bCs/>
          <w:sz w:val="22"/>
          <w:szCs w:val="22"/>
          <w:lang w:val="en-US"/>
        </w:rPr>
        <w:t xml:space="preserve">ẫn đến, máy móc khi nhập vào đã </w:t>
      </w:r>
      <w:r w:rsidR="00335FAC">
        <w:rPr>
          <w:rFonts w:asciiTheme="majorHAnsi" w:hAnsiTheme="majorHAnsi" w:cstheme="majorHAnsi"/>
          <w:bCs/>
          <w:sz w:val="22"/>
          <w:szCs w:val="22"/>
          <w:lang w:val="en-US"/>
        </w:rPr>
        <w:t xml:space="preserve">bắt đầu lạc hậu. Thêm vào đó, </w:t>
      </w:r>
      <w:r w:rsidR="00D32044">
        <w:rPr>
          <w:rFonts w:asciiTheme="majorHAnsi" w:hAnsiTheme="majorHAnsi" w:cstheme="majorHAnsi"/>
          <w:bCs/>
          <w:sz w:val="22"/>
          <w:szCs w:val="22"/>
          <w:lang w:val="en-US"/>
        </w:rPr>
        <w:t xml:space="preserve">nguồn nhân lực để làm các dự án công nghệ cao ít, </w:t>
      </w:r>
      <w:r w:rsidR="00335FAC">
        <w:rPr>
          <w:rFonts w:asciiTheme="majorHAnsi" w:hAnsiTheme="majorHAnsi" w:cstheme="majorHAnsi"/>
          <w:bCs/>
          <w:sz w:val="22"/>
          <w:szCs w:val="22"/>
          <w:lang w:val="en-US"/>
        </w:rPr>
        <w:t xml:space="preserve">do đó, các công ty FDI thường chỉ đầu tư FDI vào Việt Nam dưới dạng nhỏ lẻ, dạng thủ công, sơ chế nguồn lao động đông trẻ giá rẻ. Điều đó tuy vẫn giải quyết được vấn đề việc làm nhưng không giải quyết được vấn đề lâu dài cho phát triển bền vững Việt Nam, khi mà công nghệ ngày càng hiện đại, công nghệ kỹ thuật cao. Do đó, cần có sự giải quyết từ thủ tục hành chính Việt Nam trở nên nhanh gọn, vừa cần có chế độ khuyến khích đào tạo chất lượng cao, trình độ công nghệ tiên tiến để đội ngũ thẩm định, đội ngũ quản lý dự án và cả nguồn </w:t>
      </w:r>
      <w:r w:rsidR="00456145">
        <w:rPr>
          <w:rFonts w:asciiTheme="majorHAnsi" w:hAnsiTheme="majorHAnsi" w:cstheme="majorHAnsi"/>
          <w:bCs/>
          <w:sz w:val="22"/>
          <w:szCs w:val="22"/>
          <w:lang w:val="en-US"/>
        </w:rPr>
        <w:t>cung lao động đều đáp ứng được những yêu cầu thu hút và giữ chân các nhà đầu tư trực tiếp nước ngoài công nghệ cao được lâu dài.</w:t>
      </w:r>
    </w:p>
    <w:p w14:paraId="1D0C1962" w14:textId="77777777" w:rsidR="00E16B98" w:rsidRDefault="00E16B98" w:rsidP="000E6846">
      <w:pPr>
        <w:tabs>
          <w:tab w:val="left" w:pos="1134"/>
        </w:tabs>
        <w:snapToGrid w:val="0"/>
        <w:spacing w:before="120" w:after="120"/>
        <w:jc w:val="both"/>
        <w:rPr>
          <w:rFonts w:asciiTheme="majorHAnsi" w:hAnsiTheme="majorHAnsi" w:cstheme="majorHAnsi"/>
          <w:bCs/>
          <w:sz w:val="22"/>
          <w:szCs w:val="22"/>
        </w:rPr>
      </w:pPr>
    </w:p>
    <w:bookmarkEnd w:id="20"/>
    <w:p w14:paraId="30022D80" w14:textId="5962069B" w:rsidR="00F94BC8" w:rsidRPr="00456906" w:rsidRDefault="00FD51D6" w:rsidP="00EB4DC9">
      <w:pPr>
        <w:pStyle w:val="Heading1"/>
        <w:snapToGrid w:val="0"/>
        <w:spacing w:before="120" w:after="120"/>
        <w:rPr>
          <w:rFonts w:asciiTheme="majorHAnsi" w:hAnsiTheme="majorHAnsi" w:cstheme="majorHAnsi"/>
          <w:b w:val="0"/>
          <w:bCs w:val="0"/>
          <w:color w:val="auto"/>
          <w:sz w:val="22"/>
          <w:szCs w:val="22"/>
        </w:rPr>
      </w:pPr>
      <w:r w:rsidRPr="00456906">
        <w:rPr>
          <w:rFonts w:asciiTheme="majorHAnsi" w:hAnsiTheme="majorHAnsi" w:cstheme="majorHAnsi"/>
          <w:color w:val="auto"/>
          <w:sz w:val="22"/>
          <w:szCs w:val="22"/>
        </w:rPr>
        <w:t>TÀI LIỆU THAM KHẢO</w:t>
      </w:r>
    </w:p>
    <w:p w14:paraId="673001AC" w14:textId="681B4698" w:rsidR="00C44865" w:rsidRPr="00C44865" w:rsidRDefault="00E16B98" w:rsidP="00C44865">
      <w:pPr>
        <w:pStyle w:val="ListParagraph"/>
        <w:numPr>
          <w:ilvl w:val="0"/>
          <w:numId w:val="2"/>
        </w:numPr>
        <w:tabs>
          <w:tab w:val="left" w:pos="426"/>
        </w:tabs>
        <w:spacing w:before="120" w:after="120"/>
        <w:ind w:left="0" w:firstLine="0"/>
        <w:jc w:val="both"/>
        <w:rPr>
          <w:rFonts w:ascii="Times New Roman" w:hAnsi="Times New Roman"/>
          <w:sz w:val="20"/>
          <w:szCs w:val="20"/>
        </w:rPr>
      </w:pPr>
      <w:r w:rsidRPr="008D22C1">
        <w:rPr>
          <w:rFonts w:ascii="Times New Roman" w:hAnsi="Times New Roman"/>
          <w:sz w:val="20"/>
          <w:szCs w:val="20"/>
        </w:rPr>
        <w:t xml:space="preserve">Bộ Kế hoạch và đầu tư. </w:t>
      </w:r>
      <w:r w:rsidRPr="008D22C1">
        <w:rPr>
          <w:rFonts w:ascii="Times New Roman" w:hAnsi="Times New Roman"/>
          <w:i/>
          <w:sz w:val="20"/>
          <w:szCs w:val="20"/>
        </w:rPr>
        <w:t>Báo cáo tình hình thu hút đầu tư nước ngoài 2022</w:t>
      </w:r>
      <w:r w:rsidR="002A6726" w:rsidRPr="008D22C1">
        <w:rPr>
          <w:rFonts w:ascii="Times New Roman" w:hAnsi="Times New Roman"/>
          <w:sz w:val="20"/>
          <w:szCs w:val="20"/>
        </w:rPr>
        <w:t>,</w:t>
      </w:r>
      <w:r w:rsidRPr="008D22C1">
        <w:rPr>
          <w:rFonts w:ascii="Times New Roman" w:hAnsi="Times New Roman"/>
          <w:sz w:val="20"/>
          <w:szCs w:val="20"/>
        </w:rPr>
        <w:t xml:space="preserve"> </w:t>
      </w:r>
      <w:r w:rsidR="002A6726" w:rsidRPr="008D22C1">
        <w:rPr>
          <w:rFonts w:ascii="Times New Roman" w:hAnsi="Times New Roman"/>
          <w:sz w:val="20"/>
          <w:szCs w:val="20"/>
        </w:rPr>
        <w:t>&lt;</w:t>
      </w:r>
      <w:hyperlink r:id="rId11" w:history="1">
        <w:r w:rsidRPr="008D22C1">
          <w:rPr>
            <w:rStyle w:val="Hyperlink"/>
            <w:rFonts w:ascii="Times New Roman" w:hAnsi="Times New Roman"/>
            <w:color w:val="auto"/>
            <w:sz w:val="20"/>
            <w:szCs w:val="20"/>
          </w:rPr>
          <w:t>https://ipcs.mpi.gov.vn/co-so-du-lieu/bao-cao-dau-tu/</w:t>
        </w:r>
      </w:hyperlink>
      <w:r w:rsidR="002A6726" w:rsidRPr="008D22C1">
        <w:rPr>
          <w:rStyle w:val="Hyperlink"/>
          <w:rFonts w:ascii="Times New Roman" w:hAnsi="Times New Roman"/>
          <w:color w:val="auto"/>
          <w:sz w:val="20"/>
          <w:szCs w:val="20"/>
          <w:u w:val="none"/>
        </w:rPr>
        <w:t>&gt;, truy cập ngày 30/12/2023</w:t>
      </w:r>
    </w:p>
    <w:p w14:paraId="61E4D9CC" w14:textId="487EFB85" w:rsidR="00E16B98" w:rsidRPr="008D22C1" w:rsidRDefault="00E16B98" w:rsidP="00C44865">
      <w:pPr>
        <w:pStyle w:val="ListParagraph"/>
        <w:numPr>
          <w:ilvl w:val="0"/>
          <w:numId w:val="2"/>
        </w:numPr>
        <w:tabs>
          <w:tab w:val="left" w:pos="426"/>
        </w:tabs>
        <w:spacing w:before="120" w:after="120"/>
        <w:ind w:left="0" w:firstLine="0"/>
        <w:rPr>
          <w:rFonts w:ascii="Times New Roman" w:hAnsi="Times New Roman"/>
          <w:sz w:val="20"/>
          <w:szCs w:val="20"/>
        </w:rPr>
      </w:pPr>
      <w:r w:rsidRPr="008D22C1">
        <w:rPr>
          <w:rFonts w:ascii="Times New Roman" w:hAnsi="Times New Roman"/>
          <w:sz w:val="20"/>
          <w:szCs w:val="20"/>
        </w:rPr>
        <w:t xml:space="preserve">Cổng thông tin Bộ Tài Chính. </w:t>
      </w:r>
      <w:r w:rsidRPr="008D22C1">
        <w:rPr>
          <w:rFonts w:ascii="Times New Roman" w:hAnsi="Times New Roman"/>
          <w:i/>
          <w:sz w:val="20"/>
          <w:szCs w:val="20"/>
        </w:rPr>
        <w:t>Chính sách thu hút đầu tư trực tiếp nước ngoài năm 2021</w:t>
      </w:r>
      <w:r w:rsidR="005547B5">
        <w:rPr>
          <w:rFonts w:ascii="Times New Roman" w:hAnsi="Times New Roman"/>
          <w:i/>
          <w:sz w:val="20"/>
          <w:szCs w:val="20"/>
        </w:rPr>
        <w:t xml:space="preserve"> &lt;</w:t>
      </w:r>
      <w:hyperlink r:id="rId12" w:history="1">
        <w:r w:rsidRPr="008D22C1">
          <w:rPr>
            <w:rStyle w:val="Hyperlink"/>
            <w:rFonts w:ascii="Times New Roman" w:hAnsi="Times New Roman"/>
            <w:color w:val="auto"/>
            <w:sz w:val="20"/>
            <w:szCs w:val="20"/>
          </w:rPr>
          <w:t>https://mof.gov.vn/webcenter/portal/ttpltc/pages_r/l/chi-tiet-tin-ttpltc?dDocName=MOFUCM198685</w:t>
        </w:r>
      </w:hyperlink>
      <w:r w:rsidR="005547B5">
        <w:rPr>
          <w:rStyle w:val="Hyperlink"/>
          <w:rFonts w:ascii="Times New Roman" w:hAnsi="Times New Roman"/>
          <w:color w:val="auto"/>
          <w:sz w:val="20"/>
          <w:szCs w:val="20"/>
          <w:u w:val="none"/>
        </w:rPr>
        <w:t xml:space="preserve"> &gt;, </w:t>
      </w:r>
      <w:r w:rsidR="005547B5" w:rsidRPr="008D22C1">
        <w:rPr>
          <w:rStyle w:val="Hyperlink"/>
          <w:rFonts w:ascii="Times New Roman" w:hAnsi="Times New Roman"/>
          <w:color w:val="auto"/>
          <w:sz w:val="20"/>
          <w:szCs w:val="20"/>
          <w:u w:val="none"/>
        </w:rPr>
        <w:t>truy cập ngày 30/12/2023</w:t>
      </w:r>
    </w:p>
    <w:p w14:paraId="238464FE" w14:textId="69980794" w:rsidR="00E16B98" w:rsidRPr="008D22C1" w:rsidRDefault="00E16B98" w:rsidP="00C44865">
      <w:pPr>
        <w:pStyle w:val="ListParagraph"/>
        <w:numPr>
          <w:ilvl w:val="0"/>
          <w:numId w:val="2"/>
        </w:numPr>
        <w:tabs>
          <w:tab w:val="left" w:pos="426"/>
        </w:tabs>
        <w:spacing w:before="120" w:after="120"/>
        <w:ind w:left="0" w:firstLine="0"/>
        <w:jc w:val="both"/>
        <w:rPr>
          <w:rFonts w:ascii="Times New Roman" w:hAnsi="Times New Roman"/>
          <w:i/>
          <w:sz w:val="20"/>
          <w:szCs w:val="20"/>
        </w:rPr>
      </w:pPr>
      <w:r w:rsidRPr="008D22C1">
        <w:rPr>
          <w:rFonts w:ascii="Times New Roman" w:hAnsi="Times New Roman"/>
          <w:sz w:val="20"/>
          <w:szCs w:val="20"/>
          <w:shd w:val="clear" w:color="auto" w:fill="FFFFFF"/>
        </w:rPr>
        <w:t xml:space="preserve">Đặng Thị Hương. Các yếu tố tác động đến chuyển giao kỹ năng quản trị từ doanh nghiệp FDI vào doanh nghiệp nhỏ và vừa Việt Nam. </w:t>
      </w:r>
      <w:r w:rsidRPr="008D22C1">
        <w:rPr>
          <w:rFonts w:ascii="Times New Roman" w:hAnsi="Times New Roman"/>
          <w:i/>
          <w:sz w:val="20"/>
          <w:szCs w:val="20"/>
          <w:shd w:val="clear" w:color="auto" w:fill="FFFFFF"/>
        </w:rPr>
        <w:t>Tạp chí Khoa học Đại học Quốc gia Hà Nội Kinh tế và Kinh doanh</w:t>
      </w:r>
      <w:r w:rsidR="00FC41A3">
        <w:rPr>
          <w:rFonts w:ascii="Times New Roman" w:hAnsi="Times New Roman"/>
          <w:i/>
          <w:sz w:val="20"/>
          <w:szCs w:val="20"/>
          <w:shd w:val="clear" w:color="auto" w:fill="FFFFFF"/>
        </w:rPr>
        <w:t xml:space="preserve">, </w:t>
      </w:r>
      <w:r w:rsidR="00FC41A3" w:rsidRPr="00FC41A3">
        <w:rPr>
          <w:rFonts w:ascii="Times New Roman" w:hAnsi="Times New Roman"/>
          <w:b/>
          <w:bCs/>
          <w:iCs/>
          <w:sz w:val="20"/>
          <w:szCs w:val="20"/>
          <w:shd w:val="clear" w:color="auto" w:fill="FFFFFF"/>
        </w:rPr>
        <w:t>2018</w:t>
      </w:r>
      <w:r w:rsidR="00F71775">
        <w:rPr>
          <w:rFonts w:ascii="Times New Roman" w:hAnsi="Times New Roman"/>
          <w:iCs/>
          <w:sz w:val="20"/>
          <w:szCs w:val="20"/>
          <w:shd w:val="clear" w:color="auto" w:fill="FFFFFF"/>
        </w:rPr>
        <w:t>, 51 – 58.</w:t>
      </w:r>
    </w:p>
    <w:p w14:paraId="29231DBF" w14:textId="474F5A4D" w:rsidR="00E16B98" w:rsidRPr="008D22C1" w:rsidRDefault="00E16B98" w:rsidP="00C44865">
      <w:pPr>
        <w:pStyle w:val="ListParagraph"/>
        <w:numPr>
          <w:ilvl w:val="0"/>
          <w:numId w:val="2"/>
        </w:numPr>
        <w:tabs>
          <w:tab w:val="left" w:pos="426"/>
        </w:tabs>
        <w:spacing w:before="120" w:after="120"/>
        <w:ind w:left="0" w:firstLine="0"/>
        <w:jc w:val="both"/>
        <w:rPr>
          <w:rFonts w:ascii="Times New Roman" w:hAnsi="Times New Roman"/>
          <w:sz w:val="20"/>
          <w:szCs w:val="20"/>
        </w:rPr>
      </w:pPr>
      <w:r w:rsidRPr="008D22C1">
        <w:rPr>
          <w:rFonts w:ascii="Times New Roman" w:hAnsi="Times New Roman"/>
          <w:sz w:val="20"/>
          <w:szCs w:val="20"/>
        </w:rPr>
        <w:t xml:space="preserve">Lê Như Quỳnh. Thúc đẩy chuyển giao công nghệ qua hoạt động thu hút vốn đầu tư trực tiếp nước ngoài vào Việt Nam. </w:t>
      </w:r>
      <w:r w:rsidRPr="008D22C1">
        <w:rPr>
          <w:rFonts w:ascii="Times New Roman" w:hAnsi="Times New Roman"/>
          <w:i/>
          <w:sz w:val="20"/>
          <w:szCs w:val="20"/>
        </w:rPr>
        <w:t>Kỷ yếu hội thảo phát triển khoa học, công nghệ và đổi mới sáng tạo phù hợp với tiềm năng của địa phương và khu vực</w:t>
      </w:r>
      <w:r w:rsidR="0027072B">
        <w:rPr>
          <w:rFonts w:ascii="Times New Roman" w:hAnsi="Times New Roman"/>
          <w:i/>
          <w:sz w:val="20"/>
          <w:szCs w:val="20"/>
        </w:rPr>
        <w:t xml:space="preserve">, </w:t>
      </w:r>
      <w:r w:rsidR="0027072B" w:rsidRPr="0027072B">
        <w:rPr>
          <w:rFonts w:ascii="Times New Roman" w:hAnsi="Times New Roman"/>
          <w:b/>
          <w:bCs/>
          <w:iCs/>
          <w:sz w:val="20"/>
          <w:szCs w:val="20"/>
        </w:rPr>
        <w:t>2020</w:t>
      </w:r>
      <w:r w:rsidR="00195C3E" w:rsidRPr="00195C3E">
        <w:rPr>
          <w:rFonts w:ascii="Times New Roman" w:hAnsi="Times New Roman"/>
          <w:iCs/>
          <w:sz w:val="20"/>
          <w:szCs w:val="20"/>
        </w:rPr>
        <w:t xml:space="preserve">, </w:t>
      </w:r>
      <w:r w:rsidR="00195C3E">
        <w:rPr>
          <w:rFonts w:ascii="Times New Roman" w:hAnsi="Times New Roman"/>
          <w:iCs/>
          <w:sz w:val="20"/>
          <w:szCs w:val="20"/>
        </w:rPr>
        <w:t>63-73</w:t>
      </w:r>
    </w:p>
    <w:p w14:paraId="4338E813" w14:textId="7CC77FD5" w:rsidR="00E16B98" w:rsidRPr="008D22C1" w:rsidRDefault="00E16B98" w:rsidP="00C44865">
      <w:pPr>
        <w:pStyle w:val="ListParagraph"/>
        <w:numPr>
          <w:ilvl w:val="0"/>
          <w:numId w:val="2"/>
        </w:numPr>
        <w:tabs>
          <w:tab w:val="left" w:pos="426"/>
        </w:tabs>
        <w:spacing w:before="120" w:after="120"/>
        <w:ind w:left="0" w:firstLine="0"/>
        <w:jc w:val="both"/>
        <w:rPr>
          <w:rFonts w:ascii="Times New Roman" w:hAnsi="Times New Roman"/>
          <w:sz w:val="20"/>
          <w:szCs w:val="20"/>
          <w:shd w:val="clear" w:color="auto" w:fill="FFFFFF"/>
        </w:rPr>
      </w:pPr>
      <w:r w:rsidRPr="008D22C1">
        <w:rPr>
          <w:rFonts w:ascii="Times New Roman" w:hAnsi="Times New Roman"/>
          <w:sz w:val="20"/>
          <w:szCs w:val="20"/>
          <w:shd w:val="clear" w:color="auto" w:fill="FFFFFF"/>
        </w:rPr>
        <w:t xml:space="preserve">Nguyễn Anh Tuấn. Chuyển giao công nghệ qua FDI: thực tiễn ở một số nước phát triển và Việt Nam. </w:t>
      </w:r>
      <w:r w:rsidRPr="008D22C1">
        <w:rPr>
          <w:rFonts w:ascii="Times New Roman" w:hAnsi="Times New Roman"/>
          <w:i/>
          <w:sz w:val="20"/>
          <w:szCs w:val="20"/>
          <w:shd w:val="clear" w:color="auto" w:fill="FFFFFF"/>
        </w:rPr>
        <w:t>Tạp chí Nghiên cứu Kinh tế</w:t>
      </w:r>
      <w:r w:rsidR="00103516">
        <w:rPr>
          <w:rFonts w:ascii="Times New Roman" w:hAnsi="Times New Roman"/>
          <w:i/>
          <w:sz w:val="20"/>
          <w:szCs w:val="20"/>
          <w:shd w:val="clear" w:color="auto" w:fill="FFFFFF"/>
        </w:rPr>
        <w:t xml:space="preserve">, </w:t>
      </w:r>
      <w:r w:rsidR="00103516">
        <w:rPr>
          <w:rFonts w:ascii="Times New Roman" w:hAnsi="Times New Roman"/>
          <w:b/>
          <w:bCs/>
          <w:iCs/>
          <w:sz w:val="20"/>
          <w:szCs w:val="20"/>
          <w:shd w:val="clear" w:color="auto" w:fill="FFFFFF"/>
        </w:rPr>
        <w:t>2017</w:t>
      </w:r>
      <w:r w:rsidR="00103516">
        <w:rPr>
          <w:rFonts w:ascii="Times New Roman" w:hAnsi="Times New Roman"/>
          <w:iCs/>
          <w:sz w:val="20"/>
          <w:szCs w:val="20"/>
          <w:shd w:val="clear" w:color="auto" w:fill="FFFFFF"/>
        </w:rPr>
        <w:t xml:space="preserve">, </w:t>
      </w:r>
      <w:r w:rsidR="00103516">
        <w:rPr>
          <w:rFonts w:ascii="Times New Roman" w:hAnsi="Times New Roman"/>
          <w:i/>
          <w:sz w:val="20"/>
          <w:szCs w:val="20"/>
          <w:shd w:val="clear" w:color="auto" w:fill="FFFFFF"/>
        </w:rPr>
        <w:t>1, 51-67.</w:t>
      </w:r>
    </w:p>
    <w:p w14:paraId="792C09E0" w14:textId="5F5E37EE" w:rsidR="00E16B98" w:rsidRPr="008D22C1" w:rsidRDefault="00E16B98" w:rsidP="00C44865">
      <w:pPr>
        <w:pStyle w:val="ListParagraph"/>
        <w:numPr>
          <w:ilvl w:val="0"/>
          <w:numId w:val="2"/>
        </w:numPr>
        <w:tabs>
          <w:tab w:val="left" w:pos="426"/>
        </w:tabs>
        <w:spacing w:before="120" w:after="120"/>
        <w:ind w:left="0" w:firstLine="0"/>
        <w:jc w:val="both"/>
        <w:rPr>
          <w:rFonts w:ascii="Times New Roman" w:hAnsi="Times New Roman"/>
          <w:sz w:val="20"/>
          <w:szCs w:val="20"/>
        </w:rPr>
      </w:pPr>
      <w:r w:rsidRPr="008D22C1">
        <w:rPr>
          <w:rFonts w:ascii="Times New Roman" w:hAnsi="Times New Roman"/>
          <w:sz w:val="20"/>
          <w:szCs w:val="20"/>
        </w:rPr>
        <w:t xml:space="preserve">Nguyễn Thị Thương. Thực trạng tác động của đầu tư nước ngoài tới môi trường sinh thái tại Việt Nam. </w:t>
      </w:r>
      <w:r w:rsidRPr="0095515E">
        <w:rPr>
          <w:rFonts w:ascii="Times New Roman" w:hAnsi="Times New Roman"/>
          <w:i/>
          <w:iCs/>
          <w:sz w:val="20"/>
          <w:szCs w:val="20"/>
        </w:rPr>
        <w:t>Tạp chí Công Thương</w:t>
      </w:r>
      <w:r w:rsidR="0095515E">
        <w:rPr>
          <w:rFonts w:ascii="Times New Roman" w:hAnsi="Times New Roman"/>
          <w:i/>
          <w:iCs/>
          <w:sz w:val="20"/>
          <w:szCs w:val="20"/>
        </w:rPr>
        <w:t xml:space="preserve">, </w:t>
      </w:r>
      <w:r w:rsidR="0095515E">
        <w:rPr>
          <w:rFonts w:ascii="Times New Roman" w:hAnsi="Times New Roman"/>
          <w:b/>
          <w:bCs/>
          <w:sz w:val="20"/>
          <w:szCs w:val="20"/>
        </w:rPr>
        <w:t>2023</w:t>
      </w:r>
      <w:r w:rsidR="0095515E">
        <w:rPr>
          <w:rFonts w:ascii="Times New Roman" w:hAnsi="Times New Roman"/>
          <w:sz w:val="20"/>
          <w:szCs w:val="20"/>
        </w:rPr>
        <w:t xml:space="preserve">, </w:t>
      </w:r>
      <w:r w:rsidR="00FC71FB" w:rsidRPr="00FC71FB">
        <w:rPr>
          <w:rFonts w:ascii="Times New Roman" w:hAnsi="Times New Roman"/>
          <w:i/>
          <w:iCs/>
          <w:sz w:val="20"/>
          <w:szCs w:val="20"/>
        </w:rPr>
        <w:t>26</w:t>
      </w:r>
    </w:p>
    <w:p w14:paraId="2983C293" w14:textId="1922DB0D" w:rsidR="00E16B98" w:rsidRPr="008D22C1" w:rsidRDefault="00E16B98" w:rsidP="00C44865">
      <w:pPr>
        <w:pStyle w:val="ListParagraph"/>
        <w:numPr>
          <w:ilvl w:val="0"/>
          <w:numId w:val="2"/>
        </w:numPr>
        <w:tabs>
          <w:tab w:val="left" w:pos="426"/>
        </w:tabs>
        <w:spacing w:before="120" w:after="120"/>
        <w:ind w:left="0" w:firstLine="0"/>
        <w:jc w:val="both"/>
        <w:rPr>
          <w:rFonts w:ascii="Times New Roman" w:hAnsi="Times New Roman"/>
          <w:i/>
          <w:sz w:val="20"/>
          <w:szCs w:val="20"/>
          <w:shd w:val="clear" w:color="auto" w:fill="FFFFFF"/>
        </w:rPr>
      </w:pPr>
      <w:r w:rsidRPr="008D22C1">
        <w:rPr>
          <w:rFonts w:ascii="Times New Roman" w:hAnsi="Times New Roman"/>
          <w:sz w:val="20"/>
          <w:szCs w:val="20"/>
          <w:shd w:val="clear" w:color="auto" w:fill="FFFFFF"/>
        </w:rPr>
        <w:t>Nguyễn Quang</w:t>
      </w:r>
      <w:r w:rsidR="006556A4">
        <w:rPr>
          <w:rFonts w:ascii="Times New Roman" w:hAnsi="Times New Roman"/>
          <w:sz w:val="20"/>
          <w:szCs w:val="20"/>
          <w:shd w:val="clear" w:color="auto" w:fill="FFFFFF"/>
        </w:rPr>
        <w:t xml:space="preserve">. </w:t>
      </w:r>
      <w:r w:rsidRPr="008D22C1">
        <w:rPr>
          <w:rFonts w:ascii="Times New Roman" w:hAnsi="Times New Roman"/>
          <w:sz w:val="20"/>
          <w:szCs w:val="20"/>
          <w:shd w:val="clear" w:color="auto" w:fill="FFFFFF"/>
        </w:rPr>
        <w:t xml:space="preserve">Ảnh hưởng của FDI và chuyển giao công nghệ đến phát triển công nghiệp và xuất khẩu của các nước khu vực Đông á và Đông Nam á. </w:t>
      </w:r>
      <w:r w:rsidRPr="008D22C1">
        <w:rPr>
          <w:rFonts w:ascii="Times New Roman" w:hAnsi="Times New Roman"/>
          <w:i/>
          <w:sz w:val="20"/>
          <w:szCs w:val="20"/>
          <w:shd w:val="clear" w:color="auto" w:fill="FFFFFF"/>
        </w:rPr>
        <w:t>Tạp chí Kinh tế Thế giới</w:t>
      </w:r>
      <w:r w:rsidR="006556A4">
        <w:rPr>
          <w:rFonts w:ascii="Times New Roman" w:hAnsi="Times New Roman"/>
          <w:i/>
          <w:sz w:val="20"/>
          <w:szCs w:val="20"/>
          <w:shd w:val="clear" w:color="auto" w:fill="FFFFFF"/>
        </w:rPr>
        <w:t xml:space="preserve">, </w:t>
      </w:r>
      <w:r w:rsidR="006556A4">
        <w:rPr>
          <w:rFonts w:ascii="Times New Roman" w:hAnsi="Times New Roman"/>
          <w:b/>
          <w:bCs/>
          <w:iCs/>
          <w:sz w:val="20"/>
          <w:szCs w:val="20"/>
          <w:shd w:val="clear" w:color="auto" w:fill="FFFFFF"/>
        </w:rPr>
        <w:t>2005</w:t>
      </w:r>
      <w:r w:rsidR="006556A4">
        <w:rPr>
          <w:rFonts w:ascii="Times New Roman" w:hAnsi="Times New Roman"/>
          <w:iCs/>
          <w:sz w:val="20"/>
          <w:szCs w:val="20"/>
          <w:shd w:val="clear" w:color="auto" w:fill="FFFFFF"/>
        </w:rPr>
        <w:t xml:space="preserve">, </w:t>
      </w:r>
      <w:r w:rsidR="00787B7F">
        <w:rPr>
          <w:rFonts w:ascii="Times New Roman" w:hAnsi="Times New Roman"/>
          <w:i/>
          <w:sz w:val="20"/>
          <w:szCs w:val="20"/>
          <w:shd w:val="clear" w:color="auto" w:fill="FFFFFF"/>
        </w:rPr>
        <w:t xml:space="preserve">9, </w:t>
      </w:r>
      <w:r w:rsidR="00787B7F">
        <w:rPr>
          <w:rFonts w:ascii="Times New Roman" w:hAnsi="Times New Roman"/>
          <w:iCs/>
          <w:sz w:val="20"/>
          <w:szCs w:val="20"/>
          <w:shd w:val="clear" w:color="auto" w:fill="FFFFFF"/>
        </w:rPr>
        <w:t>64-72.</w:t>
      </w:r>
    </w:p>
    <w:p w14:paraId="7328BC57" w14:textId="1C8E1763" w:rsidR="00C44865" w:rsidRPr="00C44865" w:rsidRDefault="00E16B98" w:rsidP="00C44865">
      <w:pPr>
        <w:pStyle w:val="ListParagraph"/>
        <w:numPr>
          <w:ilvl w:val="0"/>
          <w:numId w:val="2"/>
        </w:numPr>
        <w:tabs>
          <w:tab w:val="left" w:pos="426"/>
        </w:tabs>
        <w:spacing w:before="120" w:after="120"/>
        <w:ind w:left="0" w:firstLine="0"/>
        <w:jc w:val="both"/>
        <w:rPr>
          <w:rFonts w:ascii="Times New Roman" w:hAnsi="Times New Roman"/>
          <w:sz w:val="20"/>
          <w:szCs w:val="20"/>
        </w:rPr>
      </w:pPr>
      <w:r w:rsidRPr="008D22C1">
        <w:rPr>
          <w:rFonts w:ascii="Times New Roman" w:hAnsi="Times New Roman"/>
          <w:sz w:val="20"/>
          <w:szCs w:val="20"/>
        </w:rPr>
        <w:t xml:space="preserve">Phạm Chí Trung. Chuyển giao công nghệ từ FDI: Cần một chiến lược thu hút FDI. </w:t>
      </w:r>
      <w:r w:rsidRPr="008D22C1">
        <w:rPr>
          <w:rFonts w:ascii="Times New Roman" w:hAnsi="Times New Roman"/>
          <w:i/>
          <w:sz w:val="20"/>
          <w:szCs w:val="20"/>
        </w:rPr>
        <w:t>Diễn đàn Khoa học Công nghệ</w:t>
      </w:r>
      <w:r w:rsidR="009C7CEF">
        <w:rPr>
          <w:rFonts w:ascii="Times New Roman" w:hAnsi="Times New Roman"/>
          <w:i/>
          <w:sz w:val="20"/>
          <w:szCs w:val="20"/>
        </w:rPr>
        <w:t xml:space="preserve">, </w:t>
      </w:r>
      <w:r w:rsidR="009C7CEF">
        <w:rPr>
          <w:rFonts w:ascii="Times New Roman" w:hAnsi="Times New Roman"/>
          <w:b/>
          <w:bCs/>
          <w:iCs/>
          <w:sz w:val="20"/>
          <w:szCs w:val="20"/>
        </w:rPr>
        <w:t>2018</w:t>
      </w:r>
      <w:r w:rsidR="009C7CEF">
        <w:rPr>
          <w:rFonts w:ascii="Times New Roman" w:hAnsi="Times New Roman"/>
          <w:iCs/>
          <w:sz w:val="20"/>
          <w:szCs w:val="20"/>
        </w:rPr>
        <w:t xml:space="preserve">, </w:t>
      </w:r>
      <w:r w:rsidR="009C7CEF">
        <w:rPr>
          <w:rFonts w:ascii="Times New Roman" w:hAnsi="Times New Roman"/>
          <w:i/>
          <w:sz w:val="20"/>
          <w:szCs w:val="20"/>
        </w:rPr>
        <w:t xml:space="preserve">10, </w:t>
      </w:r>
      <w:r w:rsidR="009C7CEF" w:rsidRPr="009C7CEF">
        <w:rPr>
          <w:rFonts w:ascii="Times New Roman" w:hAnsi="Times New Roman"/>
          <w:iCs/>
          <w:sz w:val="20"/>
          <w:szCs w:val="20"/>
        </w:rPr>
        <w:t>15-18.</w:t>
      </w:r>
    </w:p>
    <w:p w14:paraId="3604ACC8" w14:textId="29561C29" w:rsidR="008F15F5" w:rsidRPr="00AF0576" w:rsidRDefault="00E16B98" w:rsidP="004D5E4A">
      <w:pPr>
        <w:pStyle w:val="ListParagraph"/>
        <w:numPr>
          <w:ilvl w:val="0"/>
          <w:numId w:val="2"/>
        </w:numPr>
        <w:tabs>
          <w:tab w:val="left" w:pos="426"/>
        </w:tabs>
        <w:spacing w:before="120" w:after="120"/>
        <w:ind w:left="0" w:firstLine="0"/>
        <w:jc w:val="both"/>
        <w:rPr>
          <w:rFonts w:ascii="Times New Roman" w:hAnsi="Times New Roman"/>
          <w:i/>
          <w:sz w:val="20"/>
          <w:szCs w:val="20"/>
        </w:rPr>
      </w:pPr>
      <w:r w:rsidRPr="008D22C1">
        <w:rPr>
          <w:rFonts w:ascii="Times New Roman" w:hAnsi="Times New Roman"/>
          <w:sz w:val="20"/>
          <w:szCs w:val="20"/>
        </w:rPr>
        <w:lastRenderedPageBreak/>
        <w:t xml:space="preserve">Tổng cục Thống kê. </w:t>
      </w:r>
      <w:r w:rsidRPr="008D22C1">
        <w:rPr>
          <w:rFonts w:ascii="Times New Roman" w:hAnsi="Times New Roman"/>
          <w:i/>
          <w:sz w:val="20"/>
          <w:szCs w:val="20"/>
        </w:rPr>
        <w:t>Kết quả hoạt động đầu tư nước ngoài tại Việt Nam giai đoạn 2016 – 2020</w:t>
      </w:r>
      <w:r w:rsidR="00E377F3">
        <w:rPr>
          <w:rFonts w:ascii="Times New Roman" w:hAnsi="Times New Roman"/>
          <w:i/>
          <w:sz w:val="20"/>
          <w:szCs w:val="20"/>
        </w:rPr>
        <w:t xml:space="preserve">, </w:t>
      </w:r>
      <w:r w:rsidR="00E377F3">
        <w:rPr>
          <w:rFonts w:ascii="Times New Roman" w:hAnsi="Times New Roman"/>
          <w:b/>
          <w:bCs/>
          <w:iCs/>
          <w:sz w:val="20"/>
          <w:szCs w:val="20"/>
        </w:rPr>
        <w:t>2022</w:t>
      </w:r>
      <w:r w:rsidR="00E377F3">
        <w:rPr>
          <w:rFonts w:ascii="Times New Roman" w:hAnsi="Times New Roman"/>
          <w:iCs/>
          <w:sz w:val="20"/>
          <w:szCs w:val="20"/>
        </w:rPr>
        <w:t>, 11-74</w:t>
      </w:r>
    </w:p>
    <w:p w14:paraId="6783263C" w14:textId="290AB2C0" w:rsidR="00AF0576" w:rsidRPr="008D22C1" w:rsidRDefault="00153E46" w:rsidP="004D5E4A">
      <w:pPr>
        <w:pStyle w:val="ListParagraph"/>
        <w:numPr>
          <w:ilvl w:val="0"/>
          <w:numId w:val="2"/>
        </w:numPr>
        <w:tabs>
          <w:tab w:val="left" w:pos="426"/>
        </w:tabs>
        <w:spacing w:before="120" w:after="120"/>
        <w:ind w:left="0" w:firstLine="0"/>
        <w:jc w:val="both"/>
        <w:rPr>
          <w:rFonts w:ascii="Times New Roman" w:hAnsi="Times New Roman"/>
          <w:i/>
          <w:sz w:val="20"/>
          <w:szCs w:val="20"/>
        </w:rPr>
      </w:pPr>
      <w:r>
        <w:rPr>
          <w:rFonts w:ascii="Times New Roman" w:hAnsi="Times New Roman"/>
          <w:iCs/>
          <w:sz w:val="20"/>
          <w:szCs w:val="20"/>
        </w:rPr>
        <w:t xml:space="preserve">Trương Thanh Hoài. </w:t>
      </w:r>
      <w:r w:rsidRPr="00153E46">
        <w:rPr>
          <w:rFonts w:ascii="Times New Roman" w:hAnsi="Times New Roman"/>
          <w:iCs/>
          <w:sz w:val="20"/>
          <w:szCs w:val="20"/>
        </w:rPr>
        <w:t xml:space="preserve">Nâng cao năng lực hấp thu công nghệ của doanh nghiệp trong nước trên cơ sở tăng cường </w:t>
      </w:r>
      <w:r w:rsidRPr="00153E46">
        <w:rPr>
          <w:rFonts w:ascii="Times New Roman" w:hAnsi="Times New Roman"/>
          <w:iCs/>
          <w:sz w:val="20"/>
          <w:szCs w:val="20"/>
        </w:rPr>
        <w:t>liên kết với khu vực FDI và cơ cấu lại sản xuất theo chuỗi giá trị</w:t>
      </w:r>
      <w:r>
        <w:rPr>
          <w:rFonts w:ascii="Times New Roman" w:hAnsi="Times New Roman"/>
          <w:iCs/>
          <w:sz w:val="20"/>
          <w:szCs w:val="20"/>
        </w:rPr>
        <w:t xml:space="preserve">. </w:t>
      </w:r>
      <w:r>
        <w:rPr>
          <w:rFonts w:ascii="Times New Roman" w:hAnsi="Times New Roman"/>
          <w:i/>
          <w:sz w:val="20"/>
          <w:szCs w:val="20"/>
        </w:rPr>
        <w:t xml:space="preserve">Tạp chí Cộng Sản, </w:t>
      </w:r>
      <w:r>
        <w:rPr>
          <w:rFonts w:ascii="Times New Roman" w:hAnsi="Times New Roman"/>
          <w:b/>
          <w:bCs/>
          <w:iCs/>
          <w:sz w:val="20"/>
          <w:szCs w:val="20"/>
        </w:rPr>
        <w:t>2022</w:t>
      </w:r>
      <w:r w:rsidR="004D30DA">
        <w:rPr>
          <w:rFonts w:ascii="Times New Roman" w:hAnsi="Times New Roman"/>
          <w:iCs/>
          <w:sz w:val="20"/>
          <w:szCs w:val="20"/>
        </w:rPr>
        <w:t>.</w:t>
      </w:r>
    </w:p>
    <w:p w14:paraId="644ADEF5" w14:textId="77777777" w:rsidR="00E16B98" w:rsidRPr="00032FAD" w:rsidRDefault="00E16B98" w:rsidP="00C44865">
      <w:pPr>
        <w:pStyle w:val="ListParagraph"/>
        <w:tabs>
          <w:tab w:val="left" w:pos="284"/>
          <w:tab w:val="left" w:pos="450"/>
          <w:tab w:val="left" w:pos="540"/>
          <w:tab w:val="left" w:pos="993"/>
          <w:tab w:val="left" w:pos="1134"/>
        </w:tabs>
        <w:snapToGrid w:val="0"/>
        <w:spacing w:before="120" w:after="120"/>
        <w:ind w:left="360" w:hanging="360"/>
        <w:contextualSpacing w:val="0"/>
        <w:jc w:val="both"/>
        <w:rPr>
          <w:rFonts w:asciiTheme="majorHAnsi" w:hAnsiTheme="majorHAnsi" w:cstheme="majorHAnsi"/>
          <w:sz w:val="22"/>
          <w:szCs w:val="22"/>
        </w:rPr>
      </w:pPr>
    </w:p>
    <w:p w14:paraId="790CD921" w14:textId="29ADCDC0" w:rsidR="00667D62" w:rsidRPr="00032FAD" w:rsidRDefault="00667D62" w:rsidP="00EB4DC9">
      <w:pPr>
        <w:snapToGrid w:val="0"/>
        <w:spacing w:before="120" w:after="120"/>
        <w:jc w:val="both"/>
        <w:rPr>
          <w:rFonts w:asciiTheme="majorHAnsi" w:hAnsiTheme="majorHAnsi" w:cstheme="majorHAnsi"/>
          <w:sz w:val="22"/>
          <w:szCs w:val="22"/>
        </w:rPr>
        <w:sectPr w:rsidR="00667D62" w:rsidRPr="00032FAD" w:rsidSect="00857B39">
          <w:endnotePr>
            <w:numFmt w:val="decimalEnclosedCircleChinese"/>
          </w:endnotePr>
          <w:type w:val="continuous"/>
          <w:pgSz w:w="11907" w:h="16840" w:code="9"/>
          <w:pgMar w:top="1134" w:right="1134" w:bottom="1134" w:left="1418" w:header="720" w:footer="720" w:gutter="0"/>
          <w:pgNumType w:start="1"/>
          <w:cols w:num="2" w:space="720"/>
          <w:docGrid w:linePitch="360"/>
        </w:sectPr>
      </w:pPr>
    </w:p>
    <w:p w14:paraId="5512B26F" w14:textId="77777777" w:rsidR="00EB4DC9" w:rsidRPr="00032FAD" w:rsidRDefault="00EB4DC9" w:rsidP="00EB4DC9">
      <w:pPr>
        <w:snapToGrid w:val="0"/>
        <w:spacing w:before="120" w:after="120"/>
        <w:jc w:val="both"/>
        <w:rPr>
          <w:rFonts w:asciiTheme="majorHAnsi" w:hAnsiTheme="majorHAnsi" w:cstheme="majorHAnsi"/>
          <w:sz w:val="22"/>
          <w:szCs w:val="22"/>
        </w:rPr>
      </w:pPr>
    </w:p>
    <w:p w14:paraId="4185948E" w14:textId="77777777" w:rsidR="003A295B" w:rsidRPr="00032FAD" w:rsidRDefault="003A295B" w:rsidP="00EB4DC9">
      <w:pPr>
        <w:pStyle w:val="EndnoteText"/>
        <w:snapToGrid w:val="0"/>
        <w:spacing w:before="120" w:after="120"/>
        <w:jc w:val="both"/>
        <w:rPr>
          <w:rFonts w:asciiTheme="majorHAnsi" w:hAnsiTheme="majorHAnsi" w:cstheme="majorHAnsi"/>
          <w:sz w:val="22"/>
          <w:szCs w:val="22"/>
          <w:lang w:val="vi-VN"/>
        </w:rPr>
      </w:pPr>
    </w:p>
    <w:p w14:paraId="19B0AE3C" w14:textId="77777777" w:rsidR="004566A6" w:rsidRPr="00032FAD" w:rsidRDefault="004566A6" w:rsidP="004566A6">
      <w:pPr>
        <w:rPr>
          <w:rFonts w:asciiTheme="majorHAnsi" w:hAnsiTheme="majorHAnsi" w:cstheme="majorHAnsi"/>
          <w:sz w:val="22"/>
          <w:szCs w:val="22"/>
        </w:rPr>
      </w:pPr>
    </w:p>
    <w:p w14:paraId="1149E051" w14:textId="75CEF3DA" w:rsidR="004566A6" w:rsidRDefault="004566A6" w:rsidP="006451A5">
      <w:pPr>
        <w:tabs>
          <w:tab w:val="left" w:pos="1134"/>
        </w:tabs>
        <w:snapToGrid w:val="0"/>
        <w:spacing w:before="120" w:after="120"/>
        <w:jc w:val="both"/>
        <w:rPr>
          <w:rFonts w:ascii="Helvetica" w:hAnsi="Helvetica"/>
          <w:noProof w:val="0"/>
          <w:spacing w:val="-8"/>
          <w:sz w:val="22"/>
          <w:szCs w:val="22"/>
        </w:rPr>
      </w:pPr>
    </w:p>
    <w:p w14:paraId="1F6DF420" w14:textId="583B21E7" w:rsidR="00FF375C" w:rsidRDefault="00FF375C" w:rsidP="006451A5">
      <w:pPr>
        <w:tabs>
          <w:tab w:val="left" w:pos="1134"/>
        </w:tabs>
        <w:snapToGrid w:val="0"/>
        <w:spacing w:before="120" w:after="120"/>
        <w:jc w:val="both"/>
        <w:rPr>
          <w:rFonts w:ascii="Helvetica" w:hAnsi="Helvetica"/>
          <w:noProof w:val="0"/>
          <w:spacing w:val="-8"/>
          <w:sz w:val="22"/>
          <w:szCs w:val="22"/>
        </w:rPr>
      </w:pPr>
    </w:p>
    <w:p w14:paraId="6F90702F" w14:textId="132CB00A" w:rsidR="00FF375C" w:rsidRDefault="00FF375C" w:rsidP="006451A5">
      <w:pPr>
        <w:tabs>
          <w:tab w:val="left" w:pos="1134"/>
        </w:tabs>
        <w:snapToGrid w:val="0"/>
        <w:spacing w:before="120" w:after="120"/>
        <w:jc w:val="both"/>
        <w:rPr>
          <w:rFonts w:ascii="Helvetica" w:hAnsi="Helvetica"/>
          <w:noProof w:val="0"/>
          <w:spacing w:val="-8"/>
          <w:sz w:val="22"/>
          <w:szCs w:val="22"/>
        </w:rPr>
      </w:pPr>
    </w:p>
    <w:p w14:paraId="346A37F1" w14:textId="69F0D6E4" w:rsidR="00FF375C" w:rsidRDefault="00FF375C" w:rsidP="006451A5">
      <w:pPr>
        <w:tabs>
          <w:tab w:val="left" w:pos="1134"/>
        </w:tabs>
        <w:snapToGrid w:val="0"/>
        <w:spacing w:before="120" w:after="120"/>
        <w:jc w:val="both"/>
        <w:rPr>
          <w:rFonts w:ascii="Helvetica" w:hAnsi="Helvetica"/>
          <w:noProof w:val="0"/>
          <w:spacing w:val="-8"/>
          <w:sz w:val="22"/>
          <w:szCs w:val="22"/>
        </w:rPr>
      </w:pPr>
    </w:p>
    <w:p w14:paraId="5770C776" w14:textId="1CA0E385" w:rsidR="00FF375C" w:rsidRDefault="00FF375C" w:rsidP="006451A5">
      <w:pPr>
        <w:tabs>
          <w:tab w:val="left" w:pos="1134"/>
        </w:tabs>
        <w:snapToGrid w:val="0"/>
        <w:spacing w:before="120" w:after="120"/>
        <w:jc w:val="both"/>
        <w:rPr>
          <w:rFonts w:ascii="Helvetica" w:hAnsi="Helvetica"/>
          <w:noProof w:val="0"/>
          <w:spacing w:val="-8"/>
          <w:sz w:val="22"/>
          <w:szCs w:val="22"/>
        </w:rPr>
      </w:pPr>
    </w:p>
    <w:p w14:paraId="63451D23" w14:textId="6D7BADEA" w:rsidR="00FF375C" w:rsidRDefault="00FF375C" w:rsidP="006451A5">
      <w:pPr>
        <w:tabs>
          <w:tab w:val="left" w:pos="1134"/>
        </w:tabs>
        <w:snapToGrid w:val="0"/>
        <w:spacing w:before="120" w:after="120"/>
        <w:jc w:val="both"/>
        <w:rPr>
          <w:rFonts w:ascii="Helvetica" w:hAnsi="Helvetica"/>
          <w:noProof w:val="0"/>
          <w:spacing w:val="-8"/>
          <w:sz w:val="22"/>
          <w:szCs w:val="22"/>
        </w:rPr>
      </w:pPr>
    </w:p>
    <w:p w14:paraId="4C88249F" w14:textId="77777777" w:rsidR="00C14955" w:rsidRPr="00AA1915" w:rsidRDefault="00C14955" w:rsidP="00C14955">
      <w:pPr>
        <w:pStyle w:val="ListParagraph"/>
        <w:spacing w:line="360" w:lineRule="auto"/>
        <w:ind w:left="0" w:firstLine="567"/>
        <w:jc w:val="both"/>
        <w:rPr>
          <w:rFonts w:asciiTheme="majorHAnsi" w:hAnsiTheme="majorHAnsi" w:cstheme="majorHAnsi"/>
        </w:rPr>
      </w:pPr>
      <w:r w:rsidRPr="00AA1915">
        <w:rPr>
          <w:rFonts w:asciiTheme="majorHAnsi" w:hAnsiTheme="majorHAnsi" w:cstheme="majorHAnsi"/>
        </w:rPr>
        <w:t>THÔNG TIN TÁC GIẢ</w:t>
      </w:r>
    </w:p>
    <w:p w14:paraId="1DF1BB3C" w14:textId="77777777" w:rsidR="00C14955" w:rsidRPr="00AA1915" w:rsidRDefault="00C14955" w:rsidP="00C14955">
      <w:pPr>
        <w:pStyle w:val="ListParagraph"/>
        <w:spacing w:line="360" w:lineRule="auto"/>
        <w:ind w:left="0" w:firstLine="567"/>
        <w:jc w:val="both"/>
        <w:rPr>
          <w:rFonts w:asciiTheme="majorHAnsi" w:hAnsiTheme="majorHAnsi" w:cstheme="majorHAnsi"/>
          <w:b/>
          <w:bCs/>
        </w:rPr>
      </w:pPr>
      <w:r w:rsidRPr="00AA1915">
        <w:rPr>
          <w:rFonts w:asciiTheme="majorHAnsi" w:hAnsiTheme="majorHAnsi" w:cstheme="majorHAnsi"/>
          <w:b/>
          <w:bCs/>
        </w:rPr>
        <w:t>1. Thạc sĩ Cao Ngọc Văn</w:t>
      </w:r>
    </w:p>
    <w:p w14:paraId="5DA8AD9C" w14:textId="77777777" w:rsidR="00C14955" w:rsidRPr="00AA1915" w:rsidRDefault="00C14955" w:rsidP="00C14955">
      <w:pPr>
        <w:pStyle w:val="ListParagraph"/>
        <w:spacing w:line="360" w:lineRule="auto"/>
        <w:ind w:left="0" w:firstLine="567"/>
        <w:jc w:val="both"/>
        <w:rPr>
          <w:rFonts w:asciiTheme="majorHAnsi" w:hAnsiTheme="majorHAnsi" w:cstheme="majorHAnsi"/>
        </w:rPr>
      </w:pPr>
      <w:r w:rsidRPr="00AA1915">
        <w:rPr>
          <w:rFonts w:asciiTheme="majorHAnsi" w:hAnsiTheme="majorHAnsi" w:cstheme="majorHAnsi"/>
        </w:rPr>
        <w:t>Chuyên viên khoa Sau Đại Học</w:t>
      </w:r>
    </w:p>
    <w:p w14:paraId="2B191815" w14:textId="77777777" w:rsidR="00C14955" w:rsidRPr="00AA1915" w:rsidRDefault="00C14955" w:rsidP="00C14955">
      <w:pPr>
        <w:pStyle w:val="ListParagraph"/>
        <w:spacing w:line="360" w:lineRule="auto"/>
        <w:ind w:left="0" w:firstLine="567"/>
        <w:jc w:val="both"/>
        <w:rPr>
          <w:rFonts w:asciiTheme="majorHAnsi" w:hAnsiTheme="majorHAnsi" w:cstheme="majorHAnsi"/>
        </w:rPr>
      </w:pPr>
      <w:r w:rsidRPr="00AA1915">
        <w:rPr>
          <w:rFonts w:asciiTheme="majorHAnsi" w:hAnsiTheme="majorHAnsi" w:cstheme="majorHAnsi"/>
        </w:rPr>
        <w:t xml:space="preserve">Email: </w:t>
      </w:r>
      <w:hyperlink r:id="rId13" w:history="1">
        <w:r w:rsidRPr="00AA1915">
          <w:rPr>
            <w:rStyle w:val="Hyperlink"/>
            <w:rFonts w:asciiTheme="majorHAnsi" w:hAnsiTheme="majorHAnsi" w:cstheme="majorHAnsi"/>
          </w:rPr>
          <w:t>ngocvannckh@gmail.com</w:t>
        </w:r>
      </w:hyperlink>
    </w:p>
    <w:p w14:paraId="7CBDB25F" w14:textId="77777777" w:rsidR="00C14955" w:rsidRPr="00AA1915" w:rsidRDefault="00C14955" w:rsidP="00C14955">
      <w:pPr>
        <w:pStyle w:val="ListParagraph"/>
        <w:spacing w:line="360" w:lineRule="auto"/>
        <w:ind w:left="0" w:firstLine="567"/>
        <w:jc w:val="both"/>
        <w:rPr>
          <w:rFonts w:asciiTheme="majorHAnsi" w:hAnsiTheme="majorHAnsi" w:cstheme="majorHAnsi"/>
        </w:rPr>
      </w:pPr>
      <w:r w:rsidRPr="00AA1915">
        <w:rPr>
          <w:rFonts w:asciiTheme="majorHAnsi" w:hAnsiTheme="majorHAnsi" w:cstheme="majorHAnsi"/>
        </w:rPr>
        <w:t>ĐT: 0906596268</w:t>
      </w:r>
    </w:p>
    <w:p w14:paraId="1470D110" w14:textId="77777777" w:rsidR="00C14955" w:rsidRPr="00AA1915" w:rsidRDefault="00C14955" w:rsidP="00C14955">
      <w:pPr>
        <w:pStyle w:val="ListParagraph"/>
        <w:spacing w:line="360" w:lineRule="auto"/>
        <w:ind w:left="0" w:firstLine="567"/>
        <w:jc w:val="both"/>
        <w:rPr>
          <w:rFonts w:asciiTheme="majorHAnsi" w:hAnsiTheme="majorHAnsi" w:cstheme="majorHAnsi"/>
        </w:rPr>
      </w:pPr>
      <w:r w:rsidRPr="00AA1915">
        <w:rPr>
          <w:rFonts w:asciiTheme="majorHAnsi" w:hAnsiTheme="majorHAnsi" w:cstheme="majorHAnsi"/>
        </w:rPr>
        <w:t>Địa chỉ: Đại Học Ngân Hàng, 36 Tôn Thất Đạm, Nguyễn Thái Bình, quận 1 TPHCM</w:t>
      </w:r>
    </w:p>
    <w:p w14:paraId="471111AD" w14:textId="77777777" w:rsidR="00C14955" w:rsidRPr="00AA1915" w:rsidRDefault="00C14955" w:rsidP="00C14955">
      <w:pPr>
        <w:pStyle w:val="ListParagraph"/>
        <w:spacing w:line="360" w:lineRule="auto"/>
        <w:ind w:left="0" w:firstLine="567"/>
        <w:jc w:val="both"/>
        <w:rPr>
          <w:rFonts w:asciiTheme="majorHAnsi" w:hAnsiTheme="majorHAnsi" w:cstheme="majorHAnsi"/>
          <w:b/>
          <w:bCs/>
        </w:rPr>
      </w:pPr>
      <w:r w:rsidRPr="00AA1915">
        <w:rPr>
          <w:rFonts w:asciiTheme="majorHAnsi" w:hAnsiTheme="majorHAnsi" w:cstheme="majorHAnsi"/>
          <w:b/>
          <w:bCs/>
        </w:rPr>
        <w:t>2. Cử nhân Bùi Thị Mơ</w:t>
      </w:r>
    </w:p>
    <w:p w14:paraId="74E002E5" w14:textId="77777777" w:rsidR="00C14955" w:rsidRPr="00AA1915" w:rsidRDefault="00C14955" w:rsidP="00C14955">
      <w:pPr>
        <w:pStyle w:val="ListParagraph"/>
        <w:spacing w:line="360" w:lineRule="auto"/>
        <w:ind w:left="0" w:firstLine="567"/>
        <w:jc w:val="both"/>
        <w:rPr>
          <w:rFonts w:asciiTheme="majorHAnsi" w:hAnsiTheme="majorHAnsi" w:cstheme="majorHAnsi"/>
        </w:rPr>
      </w:pPr>
      <w:r w:rsidRPr="00AA1915">
        <w:rPr>
          <w:rFonts w:asciiTheme="majorHAnsi" w:hAnsiTheme="majorHAnsi" w:cstheme="majorHAnsi"/>
        </w:rPr>
        <w:t>Chuyên viên văn phòng hội đồng trường Đại học Ngân Hàng TP.HCM</w:t>
      </w:r>
    </w:p>
    <w:p w14:paraId="50DBFE5B" w14:textId="77777777" w:rsidR="00C14955" w:rsidRPr="00AA1915" w:rsidRDefault="00C14955" w:rsidP="00C14955">
      <w:pPr>
        <w:pStyle w:val="ListParagraph"/>
        <w:spacing w:line="360" w:lineRule="auto"/>
        <w:ind w:left="0" w:firstLine="567"/>
        <w:jc w:val="both"/>
        <w:rPr>
          <w:rFonts w:asciiTheme="majorHAnsi" w:hAnsiTheme="majorHAnsi" w:cstheme="majorHAnsi"/>
        </w:rPr>
      </w:pPr>
      <w:r w:rsidRPr="00AA1915">
        <w:rPr>
          <w:rFonts w:asciiTheme="majorHAnsi" w:hAnsiTheme="majorHAnsi" w:cstheme="majorHAnsi"/>
        </w:rPr>
        <w:t xml:space="preserve">Email: </w:t>
      </w:r>
      <w:hyperlink r:id="rId14" w:history="1">
        <w:r w:rsidRPr="00AA1915">
          <w:rPr>
            <w:rStyle w:val="Hyperlink"/>
            <w:rFonts w:asciiTheme="majorHAnsi" w:hAnsiTheme="majorHAnsi" w:cstheme="majorHAnsi"/>
          </w:rPr>
          <w:t>mobt@huh.edu.vn</w:t>
        </w:r>
      </w:hyperlink>
    </w:p>
    <w:p w14:paraId="22B9C9F1" w14:textId="77777777" w:rsidR="00C14955" w:rsidRPr="00AA1915" w:rsidRDefault="00C14955" w:rsidP="00C14955">
      <w:pPr>
        <w:pStyle w:val="ListParagraph"/>
        <w:spacing w:line="360" w:lineRule="auto"/>
        <w:ind w:left="0" w:firstLine="567"/>
        <w:jc w:val="both"/>
        <w:rPr>
          <w:rFonts w:asciiTheme="majorHAnsi" w:hAnsiTheme="majorHAnsi" w:cstheme="majorHAnsi"/>
        </w:rPr>
      </w:pPr>
      <w:r w:rsidRPr="00AA1915">
        <w:rPr>
          <w:rFonts w:asciiTheme="majorHAnsi" w:hAnsiTheme="majorHAnsi" w:cstheme="majorHAnsi"/>
        </w:rPr>
        <w:t>Điện thoại: 0909075082</w:t>
      </w:r>
    </w:p>
    <w:p w14:paraId="4C84F712" w14:textId="77777777" w:rsidR="00C14955" w:rsidRPr="00AA1915" w:rsidRDefault="00C14955" w:rsidP="00C14955">
      <w:pPr>
        <w:pStyle w:val="ListParagraph"/>
        <w:spacing w:line="360" w:lineRule="auto"/>
        <w:ind w:left="0" w:firstLine="567"/>
        <w:jc w:val="both"/>
        <w:rPr>
          <w:rFonts w:asciiTheme="majorHAnsi" w:hAnsiTheme="majorHAnsi" w:cstheme="majorHAnsi"/>
        </w:rPr>
      </w:pPr>
      <w:r w:rsidRPr="00AA1915">
        <w:rPr>
          <w:rFonts w:asciiTheme="majorHAnsi" w:hAnsiTheme="majorHAnsi" w:cstheme="majorHAnsi"/>
        </w:rPr>
        <w:t>Địa chỉ: Đại Học Ngân Hàng, 36 Tôn Thất Đạm, Nguyễn Thái Bình, quận 1 TPHCM</w:t>
      </w:r>
    </w:p>
    <w:p w14:paraId="3CCBE0EB" w14:textId="77777777" w:rsidR="00FF375C" w:rsidRPr="00032FAD" w:rsidRDefault="00FF375C" w:rsidP="006451A5">
      <w:pPr>
        <w:tabs>
          <w:tab w:val="left" w:pos="1134"/>
        </w:tabs>
        <w:snapToGrid w:val="0"/>
        <w:spacing w:before="120" w:after="120"/>
        <w:jc w:val="both"/>
        <w:rPr>
          <w:rFonts w:ascii="Helvetica" w:hAnsi="Helvetica"/>
          <w:noProof w:val="0"/>
          <w:spacing w:val="-8"/>
          <w:sz w:val="22"/>
          <w:szCs w:val="22"/>
        </w:rPr>
      </w:pPr>
    </w:p>
    <w:sectPr w:rsidR="00FF375C" w:rsidRPr="00032FAD" w:rsidSect="00840867">
      <w:endnotePr>
        <w:numFmt w:val="decimalEnclosedCircleChinese"/>
      </w:endnotePr>
      <w:type w:val="continuous"/>
      <w:pgSz w:w="11907" w:h="16840" w:code="9"/>
      <w:pgMar w:top="1134" w:right="1134" w:bottom="1134"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B4511" w14:textId="77777777" w:rsidR="00461FAE" w:rsidRDefault="00461FAE" w:rsidP="00172AD5">
      <w:r>
        <w:separator/>
      </w:r>
    </w:p>
  </w:endnote>
  <w:endnote w:type="continuationSeparator" w:id="0">
    <w:p w14:paraId="4BA0AF8D" w14:textId="77777777" w:rsidR="00461FAE" w:rsidRDefault="00461FAE" w:rsidP="0017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021588"/>
      <w:docPartObj>
        <w:docPartGallery w:val="Page Numbers (Bottom of Page)"/>
        <w:docPartUnique/>
      </w:docPartObj>
    </w:sdtPr>
    <w:sdtEndPr/>
    <w:sdtContent>
      <w:p w14:paraId="55E512FA" w14:textId="09630DEF" w:rsidR="0088470F" w:rsidRDefault="0088470F">
        <w:pPr>
          <w:pStyle w:val="Footer"/>
          <w:jc w:val="right"/>
        </w:pPr>
        <w:r>
          <w:fldChar w:fldCharType="begin"/>
        </w:r>
        <w:r>
          <w:instrText>PAGE   \* MERGEFORMAT</w:instrText>
        </w:r>
        <w:r>
          <w:fldChar w:fldCharType="separate"/>
        </w:r>
        <w:r w:rsidR="002808D7">
          <w:t>1</w:t>
        </w:r>
        <w:r>
          <w:fldChar w:fldCharType="end"/>
        </w:r>
      </w:p>
    </w:sdtContent>
  </w:sdt>
  <w:p w14:paraId="1301283B" w14:textId="77777777" w:rsidR="0056059A" w:rsidRDefault="00560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3AF4" w14:textId="77777777" w:rsidR="00BE1F93" w:rsidRDefault="00BE1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5D318" w14:textId="77777777" w:rsidR="00461FAE" w:rsidRDefault="00461FAE" w:rsidP="00172AD5">
      <w:r>
        <w:separator/>
      </w:r>
    </w:p>
  </w:footnote>
  <w:footnote w:type="continuationSeparator" w:id="0">
    <w:p w14:paraId="28F28531" w14:textId="77777777" w:rsidR="00461FAE" w:rsidRDefault="00461FAE" w:rsidP="00172AD5">
      <w:r>
        <w:continuationSeparator/>
      </w:r>
    </w:p>
  </w:footnote>
  <w:footnote w:id="1">
    <w:p w14:paraId="3514D0E0" w14:textId="71B2F469" w:rsidR="007C0748" w:rsidRDefault="007C0748">
      <w:pPr>
        <w:pStyle w:val="FootnoteText"/>
      </w:pPr>
      <w:r>
        <w:rPr>
          <w:rStyle w:val="FootnoteReference"/>
        </w:rPr>
        <w:footnoteRef/>
      </w:r>
      <w:r>
        <w:t xml:space="preserve"> Cao Ngọc Văn, Đại học Ngân Hàng TP.HCM</w:t>
      </w:r>
    </w:p>
  </w:footnote>
  <w:footnote w:id="2">
    <w:p w14:paraId="03361940" w14:textId="25606761" w:rsidR="007C0748" w:rsidRDefault="007C0748">
      <w:pPr>
        <w:pStyle w:val="FootnoteText"/>
      </w:pPr>
      <w:r>
        <w:rPr>
          <w:rStyle w:val="FootnoteReference"/>
        </w:rPr>
        <w:footnoteRef/>
      </w:r>
      <w:r>
        <w:t xml:space="preserve"> Bùi Thị Mơ, </w:t>
      </w:r>
      <w:r w:rsidR="00690A3B">
        <w:t>Đại học Ngân Hàng TP.HCM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52387"/>
    <w:multiLevelType w:val="hybridMultilevel"/>
    <w:tmpl w:val="6068F580"/>
    <w:lvl w:ilvl="0" w:tplc="C7127FB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227DD"/>
    <w:multiLevelType w:val="hybridMultilevel"/>
    <w:tmpl w:val="1C0ECE00"/>
    <w:lvl w:ilvl="0" w:tplc="353A8274">
      <w:start w:val="1"/>
      <w:numFmt w:val="decimal"/>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 w15:restartNumberingAfterBreak="0">
    <w:nsid w:val="4368294E"/>
    <w:multiLevelType w:val="hybridMultilevel"/>
    <w:tmpl w:val="9022F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3B65E6"/>
    <w:multiLevelType w:val="hybridMultilevel"/>
    <w:tmpl w:val="FCF03500"/>
    <w:lvl w:ilvl="0" w:tplc="2A426D42">
      <w:numFmt w:val="bullet"/>
      <w:lvlText w:val="-"/>
      <w:lvlJc w:val="left"/>
      <w:pPr>
        <w:ind w:left="930" w:hanging="57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EnclosedCircleChinese"/>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D5"/>
    <w:rsid w:val="0000014B"/>
    <w:rsid w:val="00000152"/>
    <w:rsid w:val="00001224"/>
    <w:rsid w:val="0000157F"/>
    <w:rsid w:val="00001991"/>
    <w:rsid w:val="000036A5"/>
    <w:rsid w:val="000056D4"/>
    <w:rsid w:val="00005FA7"/>
    <w:rsid w:val="00006AB3"/>
    <w:rsid w:val="0000778F"/>
    <w:rsid w:val="00010194"/>
    <w:rsid w:val="0001062C"/>
    <w:rsid w:val="00012157"/>
    <w:rsid w:val="000127E1"/>
    <w:rsid w:val="000132A7"/>
    <w:rsid w:val="000137A5"/>
    <w:rsid w:val="00013AB6"/>
    <w:rsid w:val="000153CE"/>
    <w:rsid w:val="00017AD7"/>
    <w:rsid w:val="000205CE"/>
    <w:rsid w:val="00023965"/>
    <w:rsid w:val="00023D27"/>
    <w:rsid w:val="000244D1"/>
    <w:rsid w:val="000244FE"/>
    <w:rsid w:val="0002451E"/>
    <w:rsid w:val="00025589"/>
    <w:rsid w:val="000256E6"/>
    <w:rsid w:val="0002576A"/>
    <w:rsid w:val="000260FE"/>
    <w:rsid w:val="00030F79"/>
    <w:rsid w:val="00032C5C"/>
    <w:rsid w:val="00032FAD"/>
    <w:rsid w:val="00034F18"/>
    <w:rsid w:val="00035FBF"/>
    <w:rsid w:val="000361AA"/>
    <w:rsid w:val="00040483"/>
    <w:rsid w:val="00040C72"/>
    <w:rsid w:val="00041F50"/>
    <w:rsid w:val="00042CE9"/>
    <w:rsid w:val="0004315A"/>
    <w:rsid w:val="000434DA"/>
    <w:rsid w:val="00044275"/>
    <w:rsid w:val="000450D1"/>
    <w:rsid w:val="00046235"/>
    <w:rsid w:val="000462FE"/>
    <w:rsid w:val="000467A1"/>
    <w:rsid w:val="000478BF"/>
    <w:rsid w:val="000515B9"/>
    <w:rsid w:val="000522EE"/>
    <w:rsid w:val="00053152"/>
    <w:rsid w:val="000536AD"/>
    <w:rsid w:val="00053EEE"/>
    <w:rsid w:val="00056A42"/>
    <w:rsid w:val="00056B39"/>
    <w:rsid w:val="00056F81"/>
    <w:rsid w:val="00057162"/>
    <w:rsid w:val="00057699"/>
    <w:rsid w:val="00057CB1"/>
    <w:rsid w:val="00061261"/>
    <w:rsid w:val="0006168C"/>
    <w:rsid w:val="000616DA"/>
    <w:rsid w:val="00063FB7"/>
    <w:rsid w:val="00064412"/>
    <w:rsid w:val="00065F49"/>
    <w:rsid w:val="00066798"/>
    <w:rsid w:val="00066E4A"/>
    <w:rsid w:val="00067978"/>
    <w:rsid w:val="00067E38"/>
    <w:rsid w:val="00070969"/>
    <w:rsid w:val="0007264B"/>
    <w:rsid w:val="00072E9F"/>
    <w:rsid w:val="00073375"/>
    <w:rsid w:val="0007342B"/>
    <w:rsid w:val="00074DB6"/>
    <w:rsid w:val="000755F6"/>
    <w:rsid w:val="000762F1"/>
    <w:rsid w:val="00076771"/>
    <w:rsid w:val="00076A01"/>
    <w:rsid w:val="00077DC4"/>
    <w:rsid w:val="00077E68"/>
    <w:rsid w:val="0008111E"/>
    <w:rsid w:val="000815AF"/>
    <w:rsid w:val="00081B73"/>
    <w:rsid w:val="00081BDF"/>
    <w:rsid w:val="00081CC4"/>
    <w:rsid w:val="000824AF"/>
    <w:rsid w:val="000836D7"/>
    <w:rsid w:val="00083997"/>
    <w:rsid w:val="0008547B"/>
    <w:rsid w:val="00085EF2"/>
    <w:rsid w:val="00085FD2"/>
    <w:rsid w:val="000860A5"/>
    <w:rsid w:val="00087223"/>
    <w:rsid w:val="00087A4A"/>
    <w:rsid w:val="00091A28"/>
    <w:rsid w:val="00093064"/>
    <w:rsid w:val="00093D78"/>
    <w:rsid w:val="00094E28"/>
    <w:rsid w:val="00095E7C"/>
    <w:rsid w:val="00096595"/>
    <w:rsid w:val="00096DC4"/>
    <w:rsid w:val="000975F3"/>
    <w:rsid w:val="000A0279"/>
    <w:rsid w:val="000A1A14"/>
    <w:rsid w:val="000A1AFD"/>
    <w:rsid w:val="000A24B2"/>
    <w:rsid w:val="000A24B5"/>
    <w:rsid w:val="000A24ED"/>
    <w:rsid w:val="000A2AA0"/>
    <w:rsid w:val="000A3D98"/>
    <w:rsid w:val="000A4309"/>
    <w:rsid w:val="000A45CA"/>
    <w:rsid w:val="000B1459"/>
    <w:rsid w:val="000B4073"/>
    <w:rsid w:val="000B40CD"/>
    <w:rsid w:val="000B5D28"/>
    <w:rsid w:val="000B6980"/>
    <w:rsid w:val="000B6D96"/>
    <w:rsid w:val="000B7BC9"/>
    <w:rsid w:val="000B7CD0"/>
    <w:rsid w:val="000C1C23"/>
    <w:rsid w:val="000C2590"/>
    <w:rsid w:val="000C360A"/>
    <w:rsid w:val="000C39FB"/>
    <w:rsid w:val="000C3D42"/>
    <w:rsid w:val="000C5077"/>
    <w:rsid w:val="000C78B4"/>
    <w:rsid w:val="000C7C74"/>
    <w:rsid w:val="000D046D"/>
    <w:rsid w:val="000D0546"/>
    <w:rsid w:val="000D05CC"/>
    <w:rsid w:val="000D0798"/>
    <w:rsid w:val="000D0FF2"/>
    <w:rsid w:val="000D17A1"/>
    <w:rsid w:val="000D1D9B"/>
    <w:rsid w:val="000D5927"/>
    <w:rsid w:val="000D6CBF"/>
    <w:rsid w:val="000E1E37"/>
    <w:rsid w:val="000E2599"/>
    <w:rsid w:val="000E31CA"/>
    <w:rsid w:val="000E3A77"/>
    <w:rsid w:val="000E3E58"/>
    <w:rsid w:val="000E47F4"/>
    <w:rsid w:val="000E5F34"/>
    <w:rsid w:val="000E66A2"/>
    <w:rsid w:val="000E6846"/>
    <w:rsid w:val="000E6A2C"/>
    <w:rsid w:val="000F0012"/>
    <w:rsid w:val="000F0998"/>
    <w:rsid w:val="000F201E"/>
    <w:rsid w:val="000F385D"/>
    <w:rsid w:val="000F39F6"/>
    <w:rsid w:val="000F48A4"/>
    <w:rsid w:val="000F490D"/>
    <w:rsid w:val="000F5807"/>
    <w:rsid w:val="000F723D"/>
    <w:rsid w:val="000F72A0"/>
    <w:rsid w:val="001008FC"/>
    <w:rsid w:val="00100907"/>
    <w:rsid w:val="001009DE"/>
    <w:rsid w:val="0010138D"/>
    <w:rsid w:val="0010197F"/>
    <w:rsid w:val="0010273B"/>
    <w:rsid w:val="00103516"/>
    <w:rsid w:val="00105283"/>
    <w:rsid w:val="00106D0A"/>
    <w:rsid w:val="00107470"/>
    <w:rsid w:val="00107ADD"/>
    <w:rsid w:val="001105D1"/>
    <w:rsid w:val="00112782"/>
    <w:rsid w:val="00113092"/>
    <w:rsid w:val="001132AE"/>
    <w:rsid w:val="0011469A"/>
    <w:rsid w:val="00114A50"/>
    <w:rsid w:val="001150C6"/>
    <w:rsid w:val="00115519"/>
    <w:rsid w:val="00115FA3"/>
    <w:rsid w:val="001161AC"/>
    <w:rsid w:val="001162E0"/>
    <w:rsid w:val="001165F1"/>
    <w:rsid w:val="0011714C"/>
    <w:rsid w:val="001234C3"/>
    <w:rsid w:val="0012393B"/>
    <w:rsid w:val="00123CC6"/>
    <w:rsid w:val="00124A91"/>
    <w:rsid w:val="00124CAF"/>
    <w:rsid w:val="00124FCF"/>
    <w:rsid w:val="00125F42"/>
    <w:rsid w:val="00127066"/>
    <w:rsid w:val="00130F47"/>
    <w:rsid w:val="00132D98"/>
    <w:rsid w:val="001340D2"/>
    <w:rsid w:val="00134C35"/>
    <w:rsid w:val="00134E7E"/>
    <w:rsid w:val="00135050"/>
    <w:rsid w:val="001351CA"/>
    <w:rsid w:val="001358D4"/>
    <w:rsid w:val="001359E8"/>
    <w:rsid w:val="00136686"/>
    <w:rsid w:val="001368FE"/>
    <w:rsid w:val="00136F4E"/>
    <w:rsid w:val="00137752"/>
    <w:rsid w:val="00137EE5"/>
    <w:rsid w:val="0014028A"/>
    <w:rsid w:val="00140D23"/>
    <w:rsid w:val="00142774"/>
    <w:rsid w:val="0014284A"/>
    <w:rsid w:val="00143543"/>
    <w:rsid w:val="00143B79"/>
    <w:rsid w:val="00145162"/>
    <w:rsid w:val="00145EEE"/>
    <w:rsid w:val="00147FB4"/>
    <w:rsid w:val="0015014C"/>
    <w:rsid w:val="0015076D"/>
    <w:rsid w:val="00150EDE"/>
    <w:rsid w:val="00151B2C"/>
    <w:rsid w:val="00152989"/>
    <w:rsid w:val="00152A8C"/>
    <w:rsid w:val="00152CDD"/>
    <w:rsid w:val="0015394C"/>
    <w:rsid w:val="00153E46"/>
    <w:rsid w:val="00154AEE"/>
    <w:rsid w:val="00154EB4"/>
    <w:rsid w:val="001552D7"/>
    <w:rsid w:val="00156C99"/>
    <w:rsid w:val="00156DC8"/>
    <w:rsid w:val="00157C9F"/>
    <w:rsid w:val="001600FD"/>
    <w:rsid w:val="00160C20"/>
    <w:rsid w:val="001617C5"/>
    <w:rsid w:val="00161AC9"/>
    <w:rsid w:val="00162AD8"/>
    <w:rsid w:val="001636A7"/>
    <w:rsid w:val="00164780"/>
    <w:rsid w:val="0016603A"/>
    <w:rsid w:val="00166241"/>
    <w:rsid w:val="00167F85"/>
    <w:rsid w:val="001709CA"/>
    <w:rsid w:val="00171C34"/>
    <w:rsid w:val="00171E00"/>
    <w:rsid w:val="00171E81"/>
    <w:rsid w:val="00172ABA"/>
    <w:rsid w:val="00172AD5"/>
    <w:rsid w:val="001735BF"/>
    <w:rsid w:val="00173AE1"/>
    <w:rsid w:val="00175C1D"/>
    <w:rsid w:val="001767B3"/>
    <w:rsid w:val="001771D9"/>
    <w:rsid w:val="00177DC0"/>
    <w:rsid w:val="0018052E"/>
    <w:rsid w:val="001815C6"/>
    <w:rsid w:val="0018192C"/>
    <w:rsid w:val="00182930"/>
    <w:rsid w:val="00182E90"/>
    <w:rsid w:val="00184DAF"/>
    <w:rsid w:val="00185168"/>
    <w:rsid w:val="0018532F"/>
    <w:rsid w:val="00185F08"/>
    <w:rsid w:val="0018635E"/>
    <w:rsid w:val="00187BBD"/>
    <w:rsid w:val="00190513"/>
    <w:rsid w:val="00190874"/>
    <w:rsid w:val="00190CD0"/>
    <w:rsid w:val="00190D97"/>
    <w:rsid w:val="001910E5"/>
    <w:rsid w:val="001912A1"/>
    <w:rsid w:val="00191437"/>
    <w:rsid w:val="001914D3"/>
    <w:rsid w:val="001940CC"/>
    <w:rsid w:val="001949A2"/>
    <w:rsid w:val="00195A90"/>
    <w:rsid w:val="00195BC8"/>
    <w:rsid w:val="00195C3E"/>
    <w:rsid w:val="00195FF1"/>
    <w:rsid w:val="00197188"/>
    <w:rsid w:val="0019768F"/>
    <w:rsid w:val="001A0E4F"/>
    <w:rsid w:val="001A2D0A"/>
    <w:rsid w:val="001A36B5"/>
    <w:rsid w:val="001A39B8"/>
    <w:rsid w:val="001A5179"/>
    <w:rsid w:val="001A74CC"/>
    <w:rsid w:val="001B2614"/>
    <w:rsid w:val="001B277A"/>
    <w:rsid w:val="001B4047"/>
    <w:rsid w:val="001B475B"/>
    <w:rsid w:val="001B4905"/>
    <w:rsid w:val="001B4BA1"/>
    <w:rsid w:val="001B6E88"/>
    <w:rsid w:val="001C0A5B"/>
    <w:rsid w:val="001C1B76"/>
    <w:rsid w:val="001C1EC3"/>
    <w:rsid w:val="001C36E0"/>
    <w:rsid w:val="001C5E12"/>
    <w:rsid w:val="001C65A8"/>
    <w:rsid w:val="001C74E4"/>
    <w:rsid w:val="001D014C"/>
    <w:rsid w:val="001D091C"/>
    <w:rsid w:val="001D37BE"/>
    <w:rsid w:val="001D62E2"/>
    <w:rsid w:val="001D7AE9"/>
    <w:rsid w:val="001D7D65"/>
    <w:rsid w:val="001E183E"/>
    <w:rsid w:val="001E4151"/>
    <w:rsid w:val="001E5105"/>
    <w:rsid w:val="001E5BC5"/>
    <w:rsid w:val="001E6BBD"/>
    <w:rsid w:val="001E7672"/>
    <w:rsid w:val="001F0DC2"/>
    <w:rsid w:val="001F101F"/>
    <w:rsid w:val="001F2178"/>
    <w:rsid w:val="001F26E2"/>
    <w:rsid w:val="001F2923"/>
    <w:rsid w:val="001F29A4"/>
    <w:rsid w:val="001F379B"/>
    <w:rsid w:val="001F37B5"/>
    <w:rsid w:val="001F3B10"/>
    <w:rsid w:val="001F4864"/>
    <w:rsid w:val="001F59C4"/>
    <w:rsid w:val="001F6BC9"/>
    <w:rsid w:val="001F7667"/>
    <w:rsid w:val="001F7A43"/>
    <w:rsid w:val="002009EC"/>
    <w:rsid w:val="00201E38"/>
    <w:rsid w:val="00201E72"/>
    <w:rsid w:val="00202E72"/>
    <w:rsid w:val="00203F3B"/>
    <w:rsid w:val="00204A07"/>
    <w:rsid w:val="00204D57"/>
    <w:rsid w:val="00205992"/>
    <w:rsid w:val="0020715D"/>
    <w:rsid w:val="00207261"/>
    <w:rsid w:val="00207612"/>
    <w:rsid w:val="002124B1"/>
    <w:rsid w:val="00212FB0"/>
    <w:rsid w:val="002135DF"/>
    <w:rsid w:val="00213DD3"/>
    <w:rsid w:val="00214EF0"/>
    <w:rsid w:val="00215515"/>
    <w:rsid w:val="002164D1"/>
    <w:rsid w:val="002168AC"/>
    <w:rsid w:val="00216DCA"/>
    <w:rsid w:val="00217BA6"/>
    <w:rsid w:val="00217C96"/>
    <w:rsid w:val="0022075D"/>
    <w:rsid w:val="002216F0"/>
    <w:rsid w:val="00221B81"/>
    <w:rsid w:val="00222184"/>
    <w:rsid w:val="00223240"/>
    <w:rsid w:val="00223313"/>
    <w:rsid w:val="00226098"/>
    <w:rsid w:val="002310C1"/>
    <w:rsid w:val="002313FC"/>
    <w:rsid w:val="00231BAC"/>
    <w:rsid w:val="00231C80"/>
    <w:rsid w:val="0023202C"/>
    <w:rsid w:val="00232713"/>
    <w:rsid w:val="00232D23"/>
    <w:rsid w:val="002337BD"/>
    <w:rsid w:val="00234164"/>
    <w:rsid w:val="002345A0"/>
    <w:rsid w:val="0023603E"/>
    <w:rsid w:val="0023664E"/>
    <w:rsid w:val="00236BE5"/>
    <w:rsid w:val="00237D61"/>
    <w:rsid w:val="00240AC3"/>
    <w:rsid w:val="00240BF1"/>
    <w:rsid w:val="00241026"/>
    <w:rsid w:val="00241219"/>
    <w:rsid w:val="0024288C"/>
    <w:rsid w:val="00242DAA"/>
    <w:rsid w:val="0024440D"/>
    <w:rsid w:val="002450AD"/>
    <w:rsid w:val="0025003A"/>
    <w:rsid w:val="002527F0"/>
    <w:rsid w:val="00252E4C"/>
    <w:rsid w:val="00252EFB"/>
    <w:rsid w:val="0025383A"/>
    <w:rsid w:val="00257A70"/>
    <w:rsid w:val="00260BE5"/>
    <w:rsid w:val="00260C0E"/>
    <w:rsid w:val="00261157"/>
    <w:rsid w:val="002619D2"/>
    <w:rsid w:val="00261CC1"/>
    <w:rsid w:val="00261DCD"/>
    <w:rsid w:val="00263D5A"/>
    <w:rsid w:val="002663BD"/>
    <w:rsid w:val="002671B3"/>
    <w:rsid w:val="00267490"/>
    <w:rsid w:val="0027072B"/>
    <w:rsid w:val="00270837"/>
    <w:rsid w:val="00272AD8"/>
    <w:rsid w:val="00272E57"/>
    <w:rsid w:val="00274B32"/>
    <w:rsid w:val="002762C3"/>
    <w:rsid w:val="0027716B"/>
    <w:rsid w:val="002772E5"/>
    <w:rsid w:val="00277657"/>
    <w:rsid w:val="002808D7"/>
    <w:rsid w:val="00280C17"/>
    <w:rsid w:val="00280DDF"/>
    <w:rsid w:val="00282009"/>
    <w:rsid w:val="0028269D"/>
    <w:rsid w:val="00282DE7"/>
    <w:rsid w:val="00283217"/>
    <w:rsid w:val="00283DFC"/>
    <w:rsid w:val="00285B52"/>
    <w:rsid w:val="0028693E"/>
    <w:rsid w:val="00286D8A"/>
    <w:rsid w:val="00290193"/>
    <w:rsid w:val="0029090A"/>
    <w:rsid w:val="002916F6"/>
    <w:rsid w:val="00291CF8"/>
    <w:rsid w:val="00291EB1"/>
    <w:rsid w:val="0029248A"/>
    <w:rsid w:val="00292DC7"/>
    <w:rsid w:val="00294407"/>
    <w:rsid w:val="002955E6"/>
    <w:rsid w:val="00295BEE"/>
    <w:rsid w:val="00295CDC"/>
    <w:rsid w:val="00296047"/>
    <w:rsid w:val="00296B88"/>
    <w:rsid w:val="00296C35"/>
    <w:rsid w:val="002972DB"/>
    <w:rsid w:val="0029792A"/>
    <w:rsid w:val="0029793E"/>
    <w:rsid w:val="002A0422"/>
    <w:rsid w:val="002A1981"/>
    <w:rsid w:val="002A2362"/>
    <w:rsid w:val="002A443B"/>
    <w:rsid w:val="002A4462"/>
    <w:rsid w:val="002A4E77"/>
    <w:rsid w:val="002A62C5"/>
    <w:rsid w:val="002A6726"/>
    <w:rsid w:val="002A676F"/>
    <w:rsid w:val="002A6CE8"/>
    <w:rsid w:val="002A76C2"/>
    <w:rsid w:val="002B1C2A"/>
    <w:rsid w:val="002B22D6"/>
    <w:rsid w:val="002B51D2"/>
    <w:rsid w:val="002B51F6"/>
    <w:rsid w:val="002B5375"/>
    <w:rsid w:val="002B54A1"/>
    <w:rsid w:val="002B57E7"/>
    <w:rsid w:val="002B589D"/>
    <w:rsid w:val="002B61A9"/>
    <w:rsid w:val="002B6810"/>
    <w:rsid w:val="002B6AAC"/>
    <w:rsid w:val="002B7524"/>
    <w:rsid w:val="002B7597"/>
    <w:rsid w:val="002C25E8"/>
    <w:rsid w:val="002C305F"/>
    <w:rsid w:val="002C3219"/>
    <w:rsid w:val="002C4F6A"/>
    <w:rsid w:val="002C5193"/>
    <w:rsid w:val="002C6672"/>
    <w:rsid w:val="002C6D2B"/>
    <w:rsid w:val="002C7368"/>
    <w:rsid w:val="002C7D6C"/>
    <w:rsid w:val="002D0445"/>
    <w:rsid w:val="002D0636"/>
    <w:rsid w:val="002D0ADC"/>
    <w:rsid w:val="002D1A8C"/>
    <w:rsid w:val="002D22A2"/>
    <w:rsid w:val="002D3AC1"/>
    <w:rsid w:val="002D3EDE"/>
    <w:rsid w:val="002D5209"/>
    <w:rsid w:val="002D5239"/>
    <w:rsid w:val="002D56DF"/>
    <w:rsid w:val="002D6A61"/>
    <w:rsid w:val="002E0035"/>
    <w:rsid w:val="002E0D59"/>
    <w:rsid w:val="002E1365"/>
    <w:rsid w:val="002E1AD0"/>
    <w:rsid w:val="002E309B"/>
    <w:rsid w:val="002E4B87"/>
    <w:rsid w:val="002E61AB"/>
    <w:rsid w:val="002E721C"/>
    <w:rsid w:val="002E7474"/>
    <w:rsid w:val="002E7DA9"/>
    <w:rsid w:val="002F369D"/>
    <w:rsid w:val="002F3FA2"/>
    <w:rsid w:val="002F44DB"/>
    <w:rsid w:val="002F4922"/>
    <w:rsid w:val="002F5472"/>
    <w:rsid w:val="002F5A99"/>
    <w:rsid w:val="002F62EB"/>
    <w:rsid w:val="002F6CF6"/>
    <w:rsid w:val="003001B8"/>
    <w:rsid w:val="00300EFE"/>
    <w:rsid w:val="0030244E"/>
    <w:rsid w:val="00302CEA"/>
    <w:rsid w:val="00303726"/>
    <w:rsid w:val="00303C31"/>
    <w:rsid w:val="00303E7C"/>
    <w:rsid w:val="003069C5"/>
    <w:rsid w:val="00310063"/>
    <w:rsid w:val="00310AFE"/>
    <w:rsid w:val="00311632"/>
    <w:rsid w:val="00311BED"/>
    <w:rsid w:val="00314862"/>
    <w:rsid w:val="00315044"/>
    <w:rsid w:val="00315816"/>
    <w:rsid w:val="00317D8E"/>
    <w:rsid w:val="0032148C"/>
    <w:rsid w:val="00321DC0"/>
    <w:rsid w:val="0032340B"/>
    <w:rsid w:val="00323756"/>
    <w:rsid w:val="00324706"/>
    <w:rsid w:val="00324B5B"/>
    <w:rsid w:val="00324CD8"/>
    <w:rsid w:val="00325462"/>
    <w:rsid w:val="003257EE"/>
    <w:rsid w:val="003264B8"/>
    <w:rsid w:val="00327113"/>
    <w:rsid w:val="003306BE"/>
    <w:rsid w:val="003310B4"/>
    <w:rsid w:val="003311B8"/>
    <w:rsid w:val="003319F8"/>
    <w:rsid w:val="00331ADF"/>
    <w:rsid w:val="00334E9C"/>
    <w:rsid w:val="0033509E"/>
    <w:rsid w:val="00335470"/>
    <w:rsid w:val="0033561F"/>
    <w:rsid w:val="003359AA"/>
    <w:rsid w:val="00335FAC"/>
    <w:rsid w:val="00337856"/>
    <w:rsid w:val="0034018C"/>
    <w:rsid w:val="0034310B"/>
    <w:rsid w:val="003441C7"/>
    <w:rsid w:val="003464CE"/>
    <w:rsid w:val="00346947"/>
    <w:rsid w:val="003474EB"/>
    <w:rsid w:val="003476E8"/>
    <w:rsid w:val="00350B08"/>
    <w:rsid w:val="003515B0"/>
    <w:rsid w:val="0035164F"/>
    <w:rsid w:val="00351970"/>
    <w:rsid w:val="00352F0E"/>
    <w:rsid w:val="00354888"/>
    <w:rsid w:val="0035546E"/>
    <w:rsid w:val="0035554D"/>
    <w:rsid w:val="00355C8D"/>
    <w:rsid w:val="00356A33"/>
    <w:rsid w:val="00356B2F"/>
    <w:rsid w:val="00361861"/>
    <w:rsid w:val="003631D7"/>
    <w:rsid w:val="003635B1"/>
    <w:rsid w:val="0036470A"/>
    <w:rsid w:val="00364B2F"/>
    <w:rsid w:val="00364FB8"/>
    <w:rsid w:val="00365250"/>
    <w:rsid w:val="00365283"/>
    <w:rsid w:val="00371A43"/>
    <w:rsid w:val="00372A38"/>
    <w:rsid w:val="00373F1C"/>
    <w:rsid w:val="00375768"/>
    <w:rsid w:val="00375E09"/>
    <w:rsid w:val="00376053"/>
    <w:rsid w:val="003760D2"/>
    <w:rsid w:val="003765C6"/>
    <w:rsid w:val="0037793A"/>
    <w:rsid w:val="0038079C"/>
    <w:rsid w:val="00382297"/>
    <w:rsid w:val="0038340F"/>
    <w:rsid w:val="00384CBC"/>
    <w:rsid w:val="00384EAD"/>
    <w:rsid w:val="00386A34"/>
    <w:rsid w:val="003877D3"/>
    <w:rsid w:val="00387891"/>
    <w:rsid w:val="003879FC"/>
    <w:rsid w:val="00387AB5"/>
    <w:rsid w:val="00387BF8"/>
    <w:rsid w:val="00390600"/>
    <w:rsid w:val="00393394"/>
    <w:rsid w:val="003933CB"/>
    <w:rsid w:val="00393885"/>
    <w:rsid w:val="0039407E"/>
    <w:rsid w:val="00395DDD"/>
    <w:rsid w:val="00396A75"/>
    <w:rsid w:val="00396DEE"/>
    <w:rsid w:val="00396E8B"/>
    <w:rsid w:val="0039702D"/>
    <w:rsid w:val="00397CF1"/>
    <w:rsid w:val="003A0841"/>
    <w:rsid w:val="003A2112"/>
    <w:rsid w:val="003A261A"/>
    <w:rsid w:val="003A295B"/>
    <w:rsid w:val="003A3292"/>
    <w:rsid w:val="003A43D2"/>
    <w:rsid w:val="003A4A97"/>
    <w:rsid w:val="003A58DE"/>
    <w:rsid w:val="003A623D"/>
    <w:rsid w:val="003A65D2"/>
    <w:rsid w:val="003A7B6A"/>
    <w:rsid w:val="003B0988"/>
    <w:rsid w:val="003B0A73"/>
    <w:rsid w:val="003B0F2C"/>
    <w:rsid w:val="003B2232"/>
    <w:rsid w:val="003B3A9E"/>
    <w:rsid w:val="003B3D7F"/>
    <w:rsid w:val="003B42E2"/>
    <w:rsid w:val="003B5550"/>
    <w:rsid w:val="003B7E99"/>
    <w:rsid w:val="003C0719"/>
    <w:rsid w:val="003C1223"/>
    <w:rsid w:val="003C2955"/>
    <w:rsid w:val="003C2AAC"/>
    <w:rsid w:val="003C401C"/>
    <w:rsid w:val="003C5560"/>
    <w:rsid w:val="003C582A"/>
    <w:rsid w:val="003C5A9C"/>
    <w:rsid w:val="003C75A7"/>
    <w:rsid w:val="003D01B0"/>
    <w:rsid w:val="003D0722"/>
    <w:rsid w:val="003D0833"/>
    <w:rsid w:val="003D1CB2"/>
    <w:rsid w:val="003D2F32"/>
    <w:rsid w:val="003D45D6"/>
    <w:rsid w:val="003D5CAB"/>
    <w:rsid w:val="003D6C9E"/>
    <w:rsid w:val="003D795B"/>
    <w:rsid w:val="003E0C1C"/>
    <w:rsid w:val="003E1764"/>
    <w:rsid w:val="003E22A3"/>
    <w:rsid w:val="003E2A7E"/>
    <w:rsid w:val="003E5386"/>
    <w:rsid w:val="003E5743"/>
    <w:rsid w:val="003E6823"/>
    <w:rsid w:val="003F013F"/>
    <w:rsid w:val="003F1174"/>
    <w:rsid w:val="003F1557"/>
    <w:rsid w:val="003F3415"/>
    <w:rsid w:val="003F4E98"/>
    <w:rsid w:val="003F5987"/>
    <w:rsid w:val="003F5A2C"/>
    <w:rsid w:val="003F6CFA"/>
    <w:rsid w:val="003F7C17"/>
    <w:rsid w:val="00400B79"/>
    <w:rsid w:val="00401128"/>
    <w:rsid w:val="00401315"/>
    <w:rsid w:val="0040166E"/>
    <w:rsid w:val="00401994"/>
    <w:rsid w:val="00402078"/>
    <w:rsid w:val="004032C1"/>
    <w:rsid w:val="00403B89"/>
    <w:rsid w:val="00403C61"/>
    <w:rsid w:val="00406373"/>
    <w:rsid w:val="00406C04"/>
    <w:rsid w:val="004071C9"/>
    <w:rsid w:val="00410F55"/>
    <w:rsid w:val="004112ED"/>
    <w:rsid w:val="00411827"/>
    <w:rsid w:val="00412128"/>
    <w:rsid w:val="00412849"/>
    <w:rsid w:val="0041300D"/>
    <w:rsid w:val="0041316B"/>
    <w:rsid w:val="004133B7"/>
    <w:rsid w:val="004138C2"/>
    <w:rsid w:val="00413A48"/>
    <w:rsid w:val="00413AA4"/>
    <w:rsid w:val="00413ADC"/>
    <w:rsid w:val="00415314"/>
    <w:rsid w:val="004167CC"/>
    <w:rsid w:val="004169CC"/>
    <w:rsid w:val="00421035"/>
    <w:rsid w:val="00421D77"/>
    <w:rsid w:val="00423464"/>
    <w:rsid w:val="00423CC8"/>
    <w:rsid w:val="00425DDF"/>
    <w:rsid w:val="00425E52"/>
    <w:rsid w:val="004264EE"/>
    <w:rsid w:val="004300F2"/>
    <w:rsid w:val="004307A9"/>
    <w:rsid w:val="00431846"/>
    <w:rsid w:val="00431FC1"/>
    <w:rsid w:val="004322A9"/>
    <w:rsid w:val="00432E66"/>
    <w:rsid w:val="00434EA6"/>
    <w:rsid w:val="00435A41"/>
    <w:rsid w:val="00440523"/>
    <w:rsid w:val="00441E19"/>
    <w:rsid w:val="004420BE"/>
    <w:rsid w:val="00442480"/>
    <w:rsid w:val="00443532"/>
    <w:rsid w:val="0044405C"/>
    <w:rsid w:val="0044477F"/>
    <w:rsid w:val="004475BE"/>
    <w:rsid w:val="0044771E"/>
    <w:rsid w:val="004500EE"/>
    <w:rsid w:val="004501E9"/>
    <w:rsid w:val="0045137C"/>
    <w:rsid w:val="004526AB"/>
    <w:rsid w:val="00453AFF"/>
    <w:rsid w:val="00454465"/>
    <w:rsid w:val="00455936"/>
    <w:rsid w:val="004559E7"/>
    <w:rsid w:val="00456145"/>
    <w:rsid w:val="00456338"/>
    <w:rsid w:val="004563AC"/>
    <w:rsid w:val="004566A6"/>
    <w:rsid w:val="00456906"/>
    <w:rsid w:val="00456F75"/>
    <w:rsid w:val="004578C2"/>
    <w:rsid w:val="0046017A"/>
    <w:rsid w:val="00460E56"/>
    <w:rsid w:val="00460EF6"/>
    <w:rsid w:val="00461314"/>
    <w:rsid w:val="004613EB"/>
    <w:rsid w:val="00461FAE"/>
    <w:rsid w:val="00462F2B"/>
    <w:rsid w:val="00462FA1"/>
    <w:rsid w:val="00464133"/>
    <w:rsid w:val="00466E67"/>
    <w:rsid w:val="004730A8"/>
    <w:rsid w:val="004734BC"/>
    <w:rsid w:val="004734E8"/>
    <w:rsid w:val="00473E1D"/>
    <w:rsid w:val="004755F8"/>
    <w:rsid w:val="00475F2E"/>
    <w:rsid w:val="00476CF2"/>
    <w:rsid w:val="004804C7"/>
    <w:rsid w:val="00480ED2"/>
    <w:rsid w:val="00481D3A"/>
    <w:rsid w:val="004825B3"/>
    <w:rsid w:val="00484197"/>
    <w:rsid w:val="0048561A"/>
    <w:rsid w:val="00485B04"/>
    <w:rsid w:val="004861D3"/>
    <w:rsid w:val="00486E4A"/>
    <w:rsid w:val="004876A7"/>
    <w:rsid w:val="00490AFB"/>
    <w:rsid w:val="00491517"/>
    <w:rsid w:val="00491E77"/>
    <w:rsid w:val="00493E04"/>
    <w:rsid w:val="00495F46"/>
    <w:rsid w:val="004A0DE7"/>
    <w:rsid w:val="004A0E6E"/>
    <w:rsid w:val="004A19FF"/>
    <w:rsid w:val="004A219C"/>
    <w:rsid w:val="004A33DD"/>
    <w:rsid w:val="004A371A"/>
    <w:rsid w:val="004A376F"/>
    <w:rsid w:val="004A3F29"/>
    <w:rsid w:val="004A4EF0"/>
    <w:rsid w:val="004A5286"/>
    <w:rsid w:val="004A5E9E"/>
    <w:rsid w:val="004A60C5"/>
    <w:rsid w:val="004A6EB6"/>
    <w:rsid w:val="004B02BD"/>
    <w:rsid w:val="004B1757"/>
    <w:rsid w:val="004B297A"/>
    <w:rsid w:val="004B2BCA"/>
    <w:rsid w:val="004B3F04"/>
    <w:rsid w:val="004B452A"/>
    <w:rsid w:val="004B4D1C"/>
    <w:rsid w:val="004B6EEC"/>
    <w:rsid w:val="004C0455"/>
    <w:rsid w:val="004C293E"/>
    <w:rsid w:val="004C2FF4"/>
    <w:rsid w:val="004C3143"/>
    <w:rsid w:val="004C448E"/>
    <w:rsid w:val="004C545D"/>
    <w:rsid w:val="004C5E5C"/>
    <w:rsid w:val="004C61AA"/>
    <w:rsid w:val="004C6B81"/>
    <w:rsid w:val="004C6B9E"/>
    <w:rsid w:val="004C77E6"/>
    <w:rsid w:val="004D0CFC"/>
    <w:rsid w:val="004D138C"/>
    <w:rsid w:val="004D30DA"/>
    <w:rsid w:val="004D3E19"/>
    <w:rsid w:val="004D43E1"/>
    <w:rsid w:val="004D461D"/>
    <w:rsid w:val="004D5643"/>
    <w:rsid w:val="004D5E4A"/>
    <w:rsid w:val="004D6695"/>
    <w:rsid w:val="004D66FE"/>
    <w:rsid w:val="004D6A55"/>
    <w:rsid w:val="004D7545"/>
    <w:rsid w:val="004D7881"/>
    <w:rsid w:val="004E017E"/>
    <w:rsid w:val="004E01A6"/>
    <w:rsid w:val="004E0576"/>
    <w:rsid w:val="004E1077"/>
    <w:rsid w:val="004E1E34"/>
    <w:rsid w:val="004E2279"/>
    <w:rsid w:val="004E33A9"/>
    <w:rsid w:val="004E4DFB"/>
    <w:rsid w:val="004E53E6"/>
    <w:rsid w:val="004E5729"/>
    <w:rsid w:val="004E6935"/>
    <w:rsid w:val="004E7223"/>
    <w:rsid w:val="004F2699"/>
    <w:rsid w:val="004F3492"/>
    <w:rsid w:val="004F4244"/>
    <w:rsid w:val="004F45A0"/>
    <w:rsid w:val="004F46D1"/>
    <w:rsid w:val="004F4C8F"/>
    <w:rsid w:val="004F50DD"/>
    <w:rsid w:val="004F5407"/>
    <w:rsid w:val="004F6A02"/>
    <w:rsid w:val="004F79FB"/>
    <w:rsid w:val="004F7A7B"/>
    <w:rsid w:val="00500654"/>
    <w:rsid w:val="00500A30"/>
    <w:rsid w:val="00502E5D"/>
    <w:rsid w:val="00506012"/>
    <w:rsid w:val="00506F81"/>
    <w:rsid w:val="00507368"/>
    <w:rsid w:val="0050772B"/>
    <w:rsid w:val="00507C32"/>
    <w:rsid w:val="00507C7C"/>
    <w:rsid w:val="00507EB4"/>
    <w:rsid w:val="005101DF"/>
    <w:rsid w:val="00512C9E"/>
    <w:rsid w:val="0051306E"/>
    <w:rsid w:val="005131D5"/>
    <w:rsid w:val="0051339F"/>
    <w:rsid w:val="00515ADD"/>
    <w:rsid w:val="0051732D"/>
    <w:rsid w:val="005200BB"/>
    <w:rsid w:val="0052288C"/>
    <w:rsid w:val="00524F8C"/>
    <w:rsid w:val="005255CC"/>
    <w:rsid w:val="00525987"/>
    <w:rsid w:val="005274FD"/>
    <w:rsid w:val="00527943"/>
    <w:rsid w:val="00527985"/>
    <w:rsid w:val="005307C6"/>
    <w:rsid w:val="00531168"/>
    <w:rsid w:val="0053257E"/>
    <w:rsid w:val="00532BB7"/>
    <w:rsid w:val="00533C07"/>
    <w:rsid w:val="00533ECF"/>
    <w:rsid w:val="00534B8E"/>
    <w:rsid w:val="005358A8"/>
    <w:rsid w:val="00535BE2"/>
    <w:rsid w:val="0053627E"/>
    <w:rsid w:val="005365CC"/>
    <w:rsid w:val="0053749F"/>
    <w:rsid w:val="00537701"/>
    <w:rsid w:val="0054011B"/>
    <w:rsid w:val="005405B4"/>
    <w:rsid w:val="00540B0E"/>
    <w:rsid w:val="005416DF"/>
    <w:rsid w:val="00542C70"/>
    <w:rsid w:val="00544D03"/>
    <w:rsid w:val="00545641"/>
    <w:rsid w:val="00546633"/>
    <w:rsid w:val="00546DE2"/>
    <w:rsid w:val="00550A4C"/>
    <w:rsid w:val="00550BD6"/>
    <w:rsid w:val="005513A0"/>
    <w:rsid w:val="005514C9"/>
    <w:rsid w:val="00552A3B"/>
    <w:rsid w:val="00553673"/>
    <w:rsid w:val="005547B5"/>
    <w:rsid w:val="005548C5"/>
    <w:rsid w:val="005554AB"/>
    <w:rsid w:val="00556613"/>
    <w:rsid w:val="00560110"/>
    <w:rsid w:val="0056059A"/>
    <w:rsid w:val="005629AE"/>
    <w:rsid w:val="005644FF"/>
    <w:rsid w:val="0056565D"/>
    <w:rsid w:val="00565C79"/>
    <w:rsid w:val="0056621B"/>
    <w:rsid w:val="005701AB"/>
    <w:rsid w:val="005703D6"/>
    <w:rsid w:val="005713B4"/>
    <w:rsid w:val="005714A3"/>
    <w:rsid w:val="005727AF"/>
    <w:rsid w:val="00574DAE"/>
    <w:rsid w:val="005756B3"/>
    <w:rsid w:val="00575823"/>
    <w:rsid w:val="00576547"/>
    <w:rsid w:val="005766FA"/>
    <w:rsid w:val="00576794"/>
    <w:rsid w:val="00577524"/>
    <w:rsid w:val="00577819"/>
    <w:rsid w:val="00577A6E"/>
    <w:rsid w:val="00580352"/>
    <w:rsid w:val="0058081C"/>
    <w:rsid w:val="005821BE"/>
    <w:rsid w:val="00583B54"/>
    <w:rsid w:val="00584CEF"/>
    <w:rsid w:val="00584D58"/>
    <w:rsid w:val="00585253"/>
    <w:rsid w:val="0058613E"/>
    <w:rsid w:val="005864C3"/>
    <w:rsid w:val="00586516"/>
    <w:rsid w:val="00586632"/>
    <w:rsid w:val="00586D49"/>
    <w:rsid w:val="00586E26"/>
    <w:rsid w:val="00587554"/>
    <w:rsid w:val="005904C9"/>
    <w:rsid w:val="005905AD"/>
    <w:rsid w:val="00590CAE"/>
    <w:rsid w:val="0059108F"/>
    <w:rsid w:val="00593AFD"/>
    <w:rsid w:val="0059405F"/>
    <w:rsid w:val="0059422D"/>
    <w:rsid w:val="0059456F"/>
    <w:rsid w:val="0059500C"/>
    <w:rsid w:val="00596FBC"/>
    <w:rsid w:val="005977BD"/>
    <w:rsid w:val="005A1272"/>
    <w:rsid w:val="005A29B6"/>
    <w:rsid w:val="005A3BC5"/>
    <w:rsid w:val="005A47DF"/>
    <w:rsid w:val="005A566B"/>
    <w:rsid w:val="005A6619"/>
    <w:rsid w:val="005B0AEA"/>
    <w:rsid w:val="005B407A"/>
    <w:rsid w:val="005B52FB"/>
    <w:rsid w:val="005B62B1"/>
    <w:rsid w:val="005C0D61"/>
    <w:rsid w:val="005C1546"/>
    <w:rsid w:val="005C1D10"/>
    <w:rsid w:val="005C261B"/>
    <w:rsid w:val="005C273E"/>
    <w:rsid w:val="005C2BB4"/>
    <w:rsid w:val="005C30EB"/>
    <w:rsid w:val="005C39D7"/>
    <w:rsid w:val="005C60F6"/>
    <w:rsid w:val="005C69A0"/>
    <w:rsid w:val="005C7101"/>
    <w:rsid w:val="005D2C22"/>
    <w:rsid w:val="005D4205"/>
    <w:rsid w:val="005D476A"/>
    <w:rsid w:val="005D4EC6"/>
    <w:rsid w:val="005D6772"/>
    <w:rsid w:val="005D6D96"/>
    <w:rsid w:val="005D6E09"/>
    <w:rsid w:val="005D7F8D"/>
    <w:rsid w:val="005E12BB"/>
    <w:rsid w:val="005E13A6"/>
    <w:rsid w:val="005E3109"/>
    <w:rsid w:val="005E36C2"/>
    <w:rsid w:val="005E5539"/>
    <w:rsid w:val="005E5C3E"/>
    <w:rsid w:val="005E6AB8"/>
    <w:rsid w:val="005E714E"/>
    <w:rsid w:val="005E7FEB"/>
    <w:rsid w:val="005F1491"/>
    <w:rsid w:val="005F201E"/>
    <w:rsid w:val="005F269C"/>
    <w:rsid w:val="005F298D"/>
    <w:rsid w:val="005F2C12"/>
    <w:rsid w:val="005F2CCF"/>
    <w:rsid w:val="005F505F"/>
    <w:rsid w:val="005F5AC5"/>
    <w:rsid w:val="005F6F4D"/>
    <w:rsid w:val="005F73A1"/>
    <w:rsid w:val="005F7CB2"/>
    <w:rsid w:val="00600331"/>
    <w:rsid w:val="00600D8F"/>
    <w:rsid w:val="0060117E"/>
    <w:rsid w:val="00601CE0"/>
    <w:rsid w:val="00602F2E"/>
    <w:rsid w:val="00603335"/>
    <w:rsid w:val="0060388E"/>
    <w:rsid w:val="00605A62"/>
    <w:rsid w:val="0060689E"/>
    <w:rsid w:val="006077A8"/>
    <w:rsid w:val="006110C9"/>
    <w:rsid w:val="0061162E"/>
    <w:rsid w:val="0061279E"/>
    <w:rsid w:val="00612BB0"/>
    <w:rsid w:val="00612DC6"/>
    <w:rsid w:val="0061541C"/>
    <w:rsid w:val="00615C0A"/>
    <w:rsid w:val="00615C20"/>
    <w:rsid w:val="0061670D"/>
    <w:rsid w:val="00617B1D"/>
    <w:rsid w:val="0062010C"/>
    <w:rsid w:val="00621520"/>
    <w:rsid w:val="00621F9E"/>
    <w:rsid w:val="006222A4"/>
    <w:rsid w:val="006228B4"/>
    <w:rsid w:val="00622959"/>
    <w:rsid w:val="006234AF"/>
    <w:rsid w:val="0062398F"/>
    <w:rsid w:val="00624F0E"/>
    <w:rsid w:val="00624F89"/>
    <w:rsid w:val="00625ADF"/>
    <w:rsid w:val="00626D48"/>
    <w:rsid w:val="006300DD"/>
    <w:rsid w:val="0063071F"/>
    <w:rsid w:val="00633D88"/>
    <w:rsid w:val="0063483C"/>
    <w:rsid w:val="00634EFC"/>
    <w:rsid w:val="0063716C"/>
    <w:rsid w:val="00637656"/>
    <w:rsid w:val="00640808"/>
    <w:rsid w:val="0064132E"/>
    <w:rsid w:val="006427EC"/>
    <w:rsid w:val="00642AEE"/>
    <w:rsid w:val="00642F19"/>
    <w:rsid w:val="006434B1"/>
    <w:rsid w:val="00643D14"/>
    <w:rsid w:val="006451A5"/>
    <w:rsid w:val="00645850"/>
    <w:rsid w:val="00645870"/>
    <w:rsid w:val="00645A49"/>
    <w:rsid w:val="00645F26"/>
    <w:rsid w:val="00646B23"/>
    <w:rsid w:val="0065174E"/>
    <w:rsid w:val="00651EB4"/>
    <w:rsid w:val="00652587"/>
    <w:rsid w:val="0065464F"/>
    <w:rsid w:val="00654BA4"/>
    <w:rsid w:val="006556A4"/>
    <w:rsid w:val="006561F8"/>
    <w:rsid w:val="006561FA"/>
    <w:rsid w:val="00656670"/>
    <w:rsid w:val="0065779A"/>
    <w:rsid w:val="006604F5"/>
    <w:rsid w:val="006621E8"/>
    <w:rsid w:val="006663D7"/>
    <w:rsid w:val="00667D62"/>
    <w:rsid w:val="00667F18"/>
    <w:rsid w:val="00672E47"/>
    <w:rsid w:val="00673093"/>
    <w:rsid w:val="00673EDF"/>
    <w:rsid w:val="006762E0"/>
    <w:rsid w:val="00676658"/>
    <w:rsid w:val="006766C8"/>
    <w:rsid w:val="00677BD9"/>
    <w:rsid w:val="00677DD9"/>
    <w:rsid w:val="00680C50"/>
    <w:rsid w:val="00680FCC"/>
    <w:rsid w:val="0068296D"/>
    <w:rsid w:val="00682E2E"/>
    <w:rsid w:val="00684B9E"/>
    <w:rsid w:val="00685DA5"/>
    <w:rsid w:val="00687B4C"/>
    <w:rsid w:val="00687ECB"/>
    <w:rsid w:val="00690A3B"/>
    <w:rsid w:val="00690B74"/>
    <w:rsid w:val="00691796"/>
    <w:rsid w:val="0069233D"/>
    <w:rsid w:val="0069494B"/>
    <w:rsid w:val="0069682E"/>
    <w:rsid w:val="00697CEF"/>
    <w:rsid w:val="006A0A0A"/>
    <w:rsid w:val="006A1847"/>
    <w:rsid w:val="006A1DD0"/>
    <w:rsid w:val="006A20B0"/>
    <w:rsid w:val="006A362E"/>
    <w:rsid w:val="006A3D04"/>
    <w:rsid w:val="006A5D52"/>
    <w:rsid w:val="006A639E"/>
    <w:rsid w:val="006A6727"/>
    <w:rsid w:val="006A6CE2"/>
    <w:rsid w:val="006B0635"/>
    <w:rsid w:val="006B11AB"/>
    <w:rsid w:val="006B19FC"/>
    <w:rsid w:val="006B1C97"/>
    <w:rsid w:val="006B2B1D"/>
    <w:rsid w:val="006B2BB6"/>
    <w:rsid w:val="006B2C34"/>
    <w:rsid w:val="006B3220"/>
    <w:rsid w:val="006B3B94"/>
    <w:rsid w:val="006B434D"/>
    <w:rsid w:val="006B504F"/>
    <w:rsid w:val="006B603E"/>
    <w:rsid w:val="006C0196"/>
    <w:rsid w:val="006C01F9"/>
    <w:rsid w:val="006C0BA3"/>
    <w:rsid w:val="006C264C"/>
    <w:rsid w:val="006C29CE"/>
    <w:rsid w:val="006C4990"/>
    <w:rsid w:val="006C549C"/>
    <w:rsid w:val="006C6ADF"/>
    <w:rsid w:val="006C6B6D"/>
    <w:rsid w:val="006C79DD"/>
    <w:rsid w:val="006D0B12"/>
    <w:rsid w:val="006D25F1"/>
    <w:rsid w:val="006D2E0F"/>
    <w:rsid w:val="006D43BB"/>
    <w:rsid w:val="006D43FC"/>
    <w:rsid w:val="006D5407"/>
    <w:rsid w:val="006D569A"/>
    <w:rsid w:val="006D600F"/>
    <w:rsid w:val="006D6432"/>
    <w:rsid w:val="006D710A"/>
    <w:rsid w:val="006D73D4"/>
    <w:rsid w:val="006E0746"/>
    <w:rsid w:val="006E10AC"/>
    <w:rsid w:val="006E1BF4"/>
    <w:rsid w:val="006E1EF5"/>
    <w:rsid w:val="006E278B"/>
    <w:rsid w:val="006E5BC9"/>
    <w:rsid w:val="006E7F23"/>
    <w:rsid w:val="006F06A9"/>
    <w:rsid w:val="006F112B"/>
    <w:rsid w:val="006F19A8"/>
    <w:rsid w:val="006F2660"/>
    <w:rsid w:val="006F286A"/>
    <w:rsid w:val="006F4375"/>
    <w:rsid w:val="006F4778"/>
    <w:rsid w:val="006F5704"/>
    <w:rsid w:val="006F5A23"/>
    <w:rsid w:val="006F6705"/>
    <w:rsid w:val="006F6F6A"/>
    <w:rsid w:val="006F750D"/>
    <w:rsid w:val="006F76E2"/>
    <w:rsid w:val="006F779C"/>
    <w:rsid w:val="006F7B20"/>
    <w:rsid w:val="0070011B"/>
    <w:rsid w:val="0070050D"/>
    <w:rsid w:val="00700C34"/>
    <w:rsid w:val="00700CBE"/>
    <w:rsid w:val="00702B15"/>
    <w:rsid w:val="0070392A"/>
    <w:rsid w:val="00704982"/>
    <w:rsid w:val="007051BF"/>
    <w:rsid w:val="007054AD"/>
    <w:rsid w:val="00705734"/>
    <w:rsid w:val="00705E0D"/>
    <w:rsid w:val="00706035"/>
    <w:rsid w:val="0070619E"/>
    <w:rsid w:val="007100B1"/>
    <w:rsid w:val="00710662"/>
    <w:rsid w:val="007111AD"/>
    <w:rsid w:val="00711A0A"/>
    <w:rsid w:val="00712695"/>
    <w:rsid w:val="00712A69"/>
    <w:rsid w:val="00712C66"/>
    <w:rsid w:val="00712C8C"/>
    <w:rsid w:val="00712F3A"/>
    <w:rsid w:val="007131B2"/>
    <w:rsid w:val="00713C15"/>
    <w:rsid w:val="007145DA"/>
    <w:rsid w:val="00715A7D"/>
    <w:rsid w:val="0071642B"/>
    <w:rsid w:val="007169AD"/>
    <w:rsid w:val="00716FB2"/>
    <w:rsid w:val="00717798"/>
    <w:rsid w:val="00723379"/>
    <w:rsid w:val="0072373B"/>
    <w:rsid w:val="007248D7"/>
    <w:rsid w:val="00724F49"/>
    <w:rsid w:val="00724FE7"/>
    <w:rsid w:val="007254CF"/>
    <w:rsid w:val="007256CD"/>
    <w:rsid w:val="0072610E"/>
    <w:rsid w:val="00726875"/>
    <w:rsid w:val="0072718B"/>
    <w:rsid w:val="00727D3A"/>
    <w:rsid w:val="007303B9"/>
    <w:rsid w:val="00733230"/>
    <w:rsid w:val="007336C0"/>
    <w:rsid w:val="00734064"/>
    <w:rsid w:val="007359EF"/>
    <w:rsid w:val="00740644"/>
    <w:rsid w:val="0074082C"/>
    <w:rsid w:val="00742620"/>
    <w:rsid w:val="0074264B"/>
    <w:rsid w:val="007434DF"/>
    <w:rsid w:val="00743B23"/>
    <w:rsid w:val="00743C7D"/>
    <w:rsid w:val="0074546F"/>
    <w:rsid w:val="00745A79"/>
    <w:rsid w:val="00746192"/>
    <w:rsid w:val="007461F9"/>
    <w:rsid w:val="00746393"/>
    <w:rsid w:val="0074645E"/>
    <w:rsid w:val="007468C2"/>
    <w:rsid w:val="00747805"/>
    <w:rsid w:val="00750ACC"/>
    <w:rsid w:val="00752389"/>
    <w:rsid w:val="00752658"/>
    <w:rsid w:val="00752C50"/>
    <w:rsid w:val="00753732"/>
    <w:rsid w:val="00753F1F"/>
    <w:rsid w:val="00754717"/>
    <w:rsid w:val="007555D0"/>
    <w:rsid w:val="007603DC"/>
    <w:rsid w:val="0076134D"/>
    <w:rsid w:val="00761540"/>
    <w:rsid w:val="007617D5"/>
    <w:rsid w:val="00765A81"/>
    <w:rsid w:val="00766599"/>
    <w:rsid w:val="007706C6"/>
    <w:rsid w:val="00771324"/>
    <w:rsid w:val="00771409"/>
    <w:rsid w:val="0077182E"/>
    <w:rsid w:val="00772B22"/>
    <w:rsid w:val="0077311D"/>
    <w:rsid w:val="007731F3"/>
    <w:rsid w:val="0077386E"/>
    <w:rsid w:val="00773CC4"/>
    <w:rsid w:val="0077405E"/>
    <w:rsid w:val="007740FA"/>
    <w:rsid w:val="00775521"/>
    <w:rsid w:val="00775548"/>
    <w:rsid w:val="0077586B"/>
    <w:rsid w:val="00775CE3"/>
    <w:rsid w:val="007766BF"/>
    <w:rsid w:val="00776CAB"/>
    <w:rsid w:val="007770CA"/>
    <w:rsid w:val="00777191"/>
    <w:rsid w:val="007772CC"/>
    <w:rsid w:val="00782EC2"/>
    <w:rsid w:val="00783A05"/>
    <w:rsid w:val="007847FA"/>
    <w:rsid w:val="00786800"/>
    <w:rsid w:val="00786BC6"/>
    <w:rsid w:val="00787B7F"/>
    <w:rsid w:val="0079035A"/>
    <w:rsid w:val="00791400"/>
    <w:rsid w:val="00791B4C"/>
    <w:rsid w:val="00792519"/>
    <w:rsid w:val="00792710"/>
    <w:rsid w:val="00792780"/>
    <w:rsid w:val="007927A2"/>
    <w:rsid w:val="007930BA"/>
    <w:rsid w:val="00796034"/>
    <w:rsid w:val="00797F14"/>
    <w:rsid w:val="007A01DF"/>
    <w:rsid w:val="007A06DA"/>
    <w:rsid w:val="007A06DE"/>
    <w:rsid w:val="007A08B8"/>
    <w:rsid w:val="007A0F5F"/>
    <w:rsid w:val="007A23F0"/>
    <w:rsid w:val="007A2AC7"/>
    <w:rsid w:val="007A393E"/>
    <w:rsid w:val="007A5E0E"/>
    <w:rsid w:val="007A6AF0"/>
    <w:rsid w:val="007B18D3"/>
    <w:rsid w:val="007B1E26"/>
    <w:rsid w:val="007B27A8"/>
    <w:rsid w:val="007B3DE0"/>
    <w:rsid w:val="007B436F"/>
    <w:rsid w:val="007B51D9"/>
    <w:rsid w:val="007B5AF7"/>
    <w:rsid w:val="007B6F37"/>
    <w:rsid w:val="007B702F"/>
    <w:rsid w:val="007B70BD"/>
    <w:rsid w:val="007B724A"/>
    <w:rsid w:val="007C0748"/>
    <w:rsid w:val="007C0897"/>
    <w:rsid w:val="007C14D7"/>
    <w:rsid w:val="007C1AD6"/>
    <w:rsid w:val="007C3018"/>
    <w:rsid w:val="007C30F7"/>
    <w:rsid w:val="007C46A2"/>
    <w:rsid w:val="007C623D"/>
    <w:rsid w:val="007C6602"/>
    <w:rsid w:val="007C675F"/>
    <w:rsid w:val="007C6F08"/>
    <w:rsid w:val="007C7DE5"/>
    <w:rsid w:val="007D03FB"/>
    <w:rsid w:val="007D059A"/>
    <w:rsid w:val="007D32E8"/>
    <w:rsid w:val="007D364F"/>
    <w:rsid w:val="007D3BF4"/>
    <w:rsid w:val="007D3C27"/>
    <w:rsid w:val="007D3F45"/>
    <w:rsid w:val="007D4150"/>
    <w:rsid w:val="007D4B3D"/>
    <w:rsid w:val="007D4C00"/>
    <w:rsid w:val="007D55E4"/>
    <w:rsid w:val="007D6886"/>
    <w:rsid w:val="007E0BD0"/>
    <w:rsid w:val="007E0C84"/>
    <w:rsid w:val="007E12F1"/>
    <w:rsid w:val="007E1895"/>
    <w:rsid w:val="007E3C8D"/>
    <w:rsid w:val="007E457B"/>
    <w:rsid w:val="007E4BC9"/>
    <w:rsid w:val="007E641C"/>
    <w:rsid w:val="007E743B"/>
    <w:rsid w:val="007F05DB"/>
    <w:rsid w:val="007F0A99"/>
    <w:rsid w:val="007F0C25"/>
    <w:rsid w:val="007F0CCE"/>
    <w:rsid w:val="007F1E0F"/>
    <w:rsid w:val="007F2E9A"/>
    <w:rsid w:val="007F4260"/>
    <w:rsid w:val="007F4926"/>
    <w:rsid w:val="007F4B48"/>
    <w:rsid w:val="007F4B90"/>
    <w:rsid w:val="007F541D"/>
    <w:rsid w:val="007F5AF8"/>
    <w:rsid w:val="007F5D9C"/>
    <w:rsid w:val="007F66BA"/>
    <w:rsid w:val="007F70F1"/>
    <w:rsid w:val="007F732C"/>
    <w:rsid w:val="007F78C6"/>
    <w:rsid w:val="007F7F5F"/>
    <w:rsid w:val="00800FBE"/>
    <w:rsid w:val="00801A8C"/>
    <w:rsid w:val="008024F0"/>
    <w:rsid w:val="0080260D"/>
    <w:rsid w:val="00803F3E"/>
    <w:rsid w:val="0080416A"/>
    <w:rsid w:val="0080426C"/>
    <w:rsid w:val="008046EF"/>
    <w:rsid w:val="00804B6D"/>
    <w:rsid w:val="00804C7D"/>
    <w:rsid w:val="0080501B"/>
    <w:rsid w:val="00805067"/>
    <w:rsid w:val="0080603F"/>
    <w:rsid w:val="00806080"/>
    <w:rsid w:val="00806668"/>
    <w:rsid w:val="00810D60"/>
    <w:rsid w:val="00810D98"/>
    <w:rsid w:val="00810F75"/>
    <w:rsid w:val="00814D73"/>
    <w:rsid w:val="00816C8F"/>
    <w:rsid w:val="00816D23"/>
    <w:rsid w:val="00820EE2"/>
    <w:rsid w:val="00823250"/>
    <w:rsid w:val="00823D3C"/>
    <w:rsid w:val="00824390"/>
    <w:rsid w:val="00825C4E"/>
    <w:rsid w:val="00825FD1"/>
    <w:rsid w:val="008300D5"/>
    <w:rsid w:val="00830BC1"/>
    <w:rsid w:val="0083149F"/>
    <w:rsid w:val="008333E4"/>
    <w:rsid w:val="008334FC"/>
    <w:rsid w:val="0083418D"/>
    <w:rsid w:val="00835115"/>
    <w:rsid w:val="008355DB"/>
    <w:rsid w:val="00835B20"/>
    <w:rsid w:val="00836BE7"/>
    <w:rsid w:val="008401F0"/>
    <w:rsid w:val="00840867"/>
    <w:rsid w:val="0084408C"/>
    <w:rsid w:val="0084414A"/>
    <w:rsid w:val="0084454F"/>
    <w:rsid w:val="00846A02"/>
    <w:rsid w:val="00847360"/>
    <w:rsid w:val="008500D1"/>
    <w:rsid w:val="00850892"/>
    <w:rsid w:val="00850AAD"/>
    <w:rsid w:val="00850F57"/>
    <w:rsid w:val="00851E70"/>
    <w:rsid w:val="008524BD"/>
    <w:rsid w:val="00852538"/>
    <w:rsid w:val="00853752"/>
    <w:rsid w:val="00853A03"/>
    <w:rsid w:val="008543F5"/>
    <w:rsid w:val="00854F14"/>
    <w:rsid w:val="0085554D"/>
    <w:rsid w:val="0085585D"/>
    <w:rsid w:val="00855D15"/>
    <w:rsid w:val="00856CD7"/>
    <w:rsid w:val="00856EBB"/>
    <w:rsid w:val="00857B39"/>
    <w:rsid w:val="00857C8B"/>
    <w:rsid w:val="008613CF"/>
    <w:rsid w:val="00861471"/>
    <w:rsid w:val="00863B45"/>
    <w:rsid w:val="00864C5D"/>
    <w:rsid w:val="008669A7"/>
    <w:rsid w:val="00866D43"/>
    <w:rsid w:val="00867AF1"/>
    <w:rsid w:val="00867E68"/>
    <w:rsid w:val="008702D6"/>
    <w:rsid w:val="00870793"/>
    <w:rsid w:val="00870CE5"/>
    <w:rsid w:val="00871BD9"/>
    <w:rsid w:val="00871E04"/>
    <w:rsid w:val="00872546"/>
    <w:rsid w:val="00872836"/>
    <w:rsid w:val="008761D0"/>
    <w:rsid w:val="0087622F"/>
    <w:rsid w:val="00876A89"/>
    <w:rsid w:val="00876FFC"/>
    <w:rsid w:val="00880926"/>
    <w:rsid w:val="0088113C"/>
    <w:rsid w:val="00881FC4"/>
    <w:rsid w:val="00882505"/>
    <w:rsid w:val="00882D10"/>
    <w:rsid w:val="0088370E"/>
    <w:rsid w:val="00883984"/>
    <w:rsid w:val="00884661"/>
    <w:rsid w:val="0088470F"/>
    <w:rsid w:val="00884CB2"/>
    <w:rsid w:val="00886435"/>
    <w:rsid w:val="0089050C"/>
    <w:rsid w:val="008912A2"/>
    <w:rsid w:val="00893645"/>
    <w:rsid w:val="008938F1"/>
    <w:rsid w:val="0089400F"/>
    <w:rsid w:val="0089478B"/>
    <w:rsid w:val="00894B8C"/>
    <w:rsid w:val="00897A36"/>
    <w:rsid w:val="00897C52"/>
    <w:rsid w:val="008A005D"/>
    <w:rsid w:val="008A0178"/>
    <w:rsid w:val="008A0843"/>
    <w:rsid w:val="008A169D"/>
    <w:rsid w:val="008A46A1"/>
    <w:rsid w:val="008A4BAB"/>
    <w:rsid w:val="008A4C45"/>
    <w:rsid w:val="008A620F"/>
    <w:rsid w:val="008B01E2"/>
    <w:rsid w:val="008B0A32"/>
    <w:rsid w:val="008B203E"/>
    <w:rsid w:val="008B3148"/>
    <w:rsid w:val="008B383A"/>
    <w:rsid w:val="008B384F"/>
    <w:rsid w:val="008B41D7"/>
    <w:rsid w:val="008B506D"/>
    <w:rsid w:val="008B6FF8"/>
    <w:rsid w:val="008B740A"/>
    <w:rsid w:val="008C0D72"/>
    <w:rsid w:val="008C2596"/>
    <w:rsid w:val="008C2D21"/>
    <w:rsid w:val="008C3FC0"/>
    <w:rsid w:val="008C4643"/>
    <w:rsid w:val="008C6520"/>
    <w:rsid w:val="008C6841"/>
    <w:rsid w:val="008C6C07"/>
    <w:rsid w:val="008C7E34"/>
    <w:rsid w:val="008C7F95"/>
    <w:rsid w:val="008D004B"/>
    <w:rsid w:val="008D03D1"/>
    <w:rsid w:val="008D0A97"/>
    <w:rsid w:val="008D0FDC"/>
    <w:rsid w:val="008D22C1"/>
    <w:rsid w:val="008D5EC9"/>
    <w:rsid w:val="008E0FE0"/>
    <w:rsid w:val="008E2444"/>
    <w:rsid w:val="008E45B3"/>
    <w:rsid w:val="008E5284"/>
    <w:rsid w:val="008E5994"/>
    <w:rsid w:val="008E5EF9"/>
    <w:rsid w:val="008E6F55"/>
    <w:rsid w:val="008E7653"/>
    <w:rsid w:val="008F035A"/>
    <w:rsid w:val="008F105F"/>
    <w:rsid w:val="008F11C2"/>
    <w:rsid w:val="008F11FD"/>
    <w:rsid w:val="008F15F5"/>
    <w:rsid w:val="008F32F3"/>
    <w:rsid w:val="008F3FF1"/>
    <w:rsid w:val="008F4053"/>
    <w:rsid w:val="008F40D0"/>
    <w:rsid w:val="008F4376"/>
    <w:rsid w:val="008F487A"/>
    <w:rsid w:val="008F6C59"/>
    <w:rsid w:val="008F7409"/>
    <w:rsid w:val="009003E5"/>
    <w:rsid w:val="009005C6"/>
    <w:rsid w:val="00900FD7"/>
    <w:rsid w:val="00901CB7"/>
    <w:rsid w:val="009035E6"/>
    <w:rsid w:val="0090429F"/>
    <w:rsid w:val="00904F7E"/>
    <w:rsid w:val="00904FE5"/>
    <w:rsid w:val="0090560D"/>
    <w:rsid w:val="00906DD6"/>
    <w:rsid w:val="0090757E"/>
    <w:rsid w:val="00910B8D"/>
    <w:rsid w:val="00911406"/>
    <w:rsid w:val="009138C5"/>
    <w:rsid w:val="00913ADB"/>
    <w:rsid w:val="00914155"/>
    <w:rsid w:val="00914819"/>
    <w:rsid w:val="00915403"/>
    <w:rsid w:val="009158E1"/>
    <w:rsid w:val="00920566"/>
    <w:rsid w:val="00922E3D"/>
    <w:rsid w:val="00923717"/>
    <w:rsid w:val="00923DA1"/>
    <w:rsid w:val="009243FE"/>
    <w:rsid w:val="0092479B"/>
    <w:rsid w:val="0092491A"/>
    <w:rsid w:val="00925138"/>
    <w:rsid w:val="00925D5C"/>
    <w:rsid w:val="00926322"/>
    <w:rsid w:val="0092658C"/>
    <w:rsid w:val="00926983"/>
    <w:rsid w:val="00926A3B"/>
    <w:rsid w:val="009277F7"/>
    <w:rsid w:val="00930620"/>
    <w:rsid w:val="00930706"/>
    <w:rsid w:val="00930BE3"/>
    <w:rsid w:val="009316B0"/>
    <w:rsid w:val="0093185E"/>
    <w:rsid w:val="00932D72"/>
    <w:rsid w:val="00932E45"/>
    <w:rsid w:val="00932F4E"/>
    <w:rsid w:val="009330A7"/>
    <w:rsid w:val="00933261"/>
    <w:rsid w:val="009343C6"/>
    <w:rsid w:val="00934CEE"/>
    <w:rsid w:val="009369E2"/>
    <w:rsid w:val="00936EBE"/>
    <w:rsid w:val="009375C1"/>
    <w:rsid w:val="009375D7"/>
    <w:rsid w:val="009401BA"/>
    <w:rsid w:val="00941298"/>
    <w:rsid w:val="00941548"/>
    <w:rsid w:val="00942125"/>
    <w:rsid w:val="00943477"/>
    <w:rsid w:val="009448DE"/>
    <w:rsid w:val="00944FE7"/>
    <w:rsid w:val="009451AC"/>
    <w:rsid w:val="00946C1D"/>
    <w:rsid w:val="00946FDE"/>
    <w:rsid w:val="0094778A"/>
    <w:rsid w:val="00947BD7"/>
    <w:rsid w:val="00950C80"/>
    <w:rsid w:val="00950DC2"/>
    <w:rsid w:val="009513E1"/>
    <w:rsid w:val="009517B4"/>
    <w:rsid w:val="009519CC"/>
    <w:rsid w:val="00952740"/>
    <w:rsid w:val="009527DA"/>
    <w:rsid w:val="00953439"/>
    <w:rsid w:val="00954B57"/>
    <w:rsid w:val="0095515E"/>
    <w:rsid w:val="00956A0E"/>
    <w:rsid w:val="00957196"/>
    <w:rsid w:val="00957A18"/>
    <w:rsid w:val="00957D83"/>
    <w:rsid w:val="0096089A"/>
    <w:rsid w:val="0096192D"/>
    <w:rsid w:val="0096282B"/>
    <w:rsid w:val="00962BA2"/>
    <w:rsid w:val="00962C1C"/>
    <w:rsid w:val="00963402"/>
    <w:rsid w:val="00963B8E"/>
    <w:rsid w:val="00965948"/>
    <w:rsid w:val="009659C9"/>
    <w:rsid w:val="00966223"/>
    <w:rsid w:val="00966332"/>
    <w:rsid w:val="0096675F"/>
    <w:rsid w:val="00966782"/>
    <w:rsid w:val="009670E4"/>
    <w:rsid w:val="00967913"/>
    <w:rsid w:val="00970480"/>
    <w:rsid w:val="00972E79"/>
    <w:rsid w:val="00973496"/>
    <w:rsid w:val="009738F4"/>
    <w:rsid w:val="00974733"/>
    <w:rsid w:val="00974A91"/>
    <w:rsid w:val="00974AEC"/>
    <w:rsid w:val="009755B6"/>
    <w:rsid w:val="0097564A"/>
    <w:rsid w:val="00975904"/>
    <w:rsid w:val="00976DB8"/>
    <w:rsid w:val="0098130E"/>
    <w:rsid w:val="00982C1C"/>
    <w:rsid w:val="00983553"/>
    <w:rsid w:val="00983F74"/>
    <w:rsid w:val="00984895"/>
    <w:rsid w:val="0098689D"/>
    <w:rsid w:val="00986C5D"/>
    <w:rsid w:val="00990EF0"/>
    <w:rsid w:val="009913C4"/>
    <w:rsid w:val="009928E2"/>
    <w:rsid w:val="00992FA8"/>
    <w:rsid w:val="0099363E"/>
    <w:rsid w:val="009950E9"/>
    <w:rsid w:val="00996917"/>
    <w:rsid w:val="0099796E"/>
    <w:rsid w:val="009A0228"/>
    <w:rsid w:val="009A27A8"/>
    <w:rsid w:val="009A2F4C"/>
    <w:rsid w:val="009A3C44"/>
    <w:rsid w:val="009A45A7"/>
    <w:rsid w:val="009A5929"/>
    <w:rsid w:val="009A642B"/>
    <w:rsid w:val="009A69F6"/>
    <w:rsid w:val="009A731D"/>
    <w:rsid w:val="009A7579"/>
    <w:rsid w:val="009B01D6"/>
    <w:rsid w:val="009B3E85"/>
    <w:rsid w:val="009B4CF0"/>
    <w:rsid w:val="009B6274"/>
    <w:rsid w:val="009C00AD"/>
    <w:rsid w:val="009C1233"/>
    <w:rsid w:val="009C1841"/>
    <w:rsid w:val="009C1B1D"/>
    <w:rsid w:val="009C283C"/>
    <w:rsid w:val="009C2AF3"/>
    <w:rsid w:val="009C5C2D"/>
    <w:rsid w:val="009C6FD7"/>
    <w:rsid w:val="009C7CEF"/>
    <w:rsid w:val="009D0AD9"/>
    <w:rsid w:val="009D251E"/>
    <w:rsid w:val="009D31CA"/>
    <w:rsid w:val="009D4AD3"/>
    <w:rsid w:val="009D501A"/>
    <w:rsid w:val="009E01EF"/>
    <w:rsid w:val="009E0269"/>
    <w:rsid w:val="009E072D"/>
    <w:rsid w:val="009E14F1"/>
    <w:rsid w:val="009E180F"/>
    <w:rsid w:val="009E35A7"/>
    <w:rsid w:val="009E4D7E"/>
    <w:rsid w:val="009E4D8C"/>
    <w:rsid w:val="009E57C4"/>
    <w:rsid w:val="009E7FEF"/>
    <w:rsid w:val="009F1099"/>
    <w:rsid w:val="009F1249"/>
    <w:rsid w:val="009F1CD9"/>
    <w:rsid w:val="009F1DE8"/>
    <w:rsid w:val="009F25EF"/>
    <w:rsid w:val="009F4194"/>
    <w:rsid w:val="009F4A14"/>
    <w:rsid w:val="009F4AFB"/>
    <w:rsid w:val="009F543D"/>
    <w:rsid w:val="009F54A0"/>
    <w:rsid w:val="009F5996"/>
    <w:rsid w:val="009F5CB2"/>
    <w:rsid w:val="009F6821"/>
    <w:rsid w:val="00A00B8F"/>
    <w:rsid w:val="00A01B1A"/>
    <w:rsid w:val="00A01F1A"/>
    <w:rsid w:val="00A02862"/>
    <w:rsid w:val="00A03794"/>
    <w:rsid w:val="00A04AFA"/>
    <w:rsid w:val="00A06A3F"/>
    <w:rsid w:val="00A10575"/>
    <w:rsid w:val="00A11BED"/>
    <w:rsid w:val="00A14CD2"/>
    <w:rsid w:val="00A1596D"/>
    <w:rsid w:val="00A209B4"/>
    <w:rsid w:val="00A23338"/>
    <w:rsid w:val="00A23CC8"/>
    <w:rsid w:val="00A23DD7"/>
    <w:rsid w:val="00A2501B"/>
    <w:rsid w:val="00A257DD"/>
    <w:rsid w:val="00A2643F"/>
    <w:rsid w:val="00A27A13"/>
    <w:rsid w:val="00A27E0C"/>
    <w:rsid w:val="00A27EA0"/>
    <w:rsid w:val="00A302F7"/>
    <w:rsid w:val="00A304BF"/>
    <w:rsid w:val="00A309CB"/>
    <w:rsid w:val="00A316C5"/>
    <w:rsid w:val="00A317B7"/>
    <w:rsid w:val="00A32746"/>
    <w:rsid w:val="00A3292F"/>
    <w:rsid w:val="00A329E8"/>
    <w:rsid w:val="00A32E3B"/>
    <w:rsid w:val="00A331FF"/>
    <w:rsid w:val="00A3384F"/>
    <w:rsid w:val="00A35BA7"/>
    <w:rsid w:val="00A36BF4"/>
    <w:rsid w:val="00A36F6D"/>
    <w:rsid w:val="00A377CC"/>
    <w:rsid w:val="00A377F2"/>
    <w:rsid w:val="00A404C7"/>
    <w:rsid w:val="00A42012"/>
    <w:rsid w:val="00A42778"/>
    <w:rsid w:val="00A4292A"/>
    <w:rsid w:val="00A435C0"/>
    <w:rsid w:val="00A43FA4"/>
    <w:rsid w:val="00A44267"/>
    <w:rsid w:val="00A44D74"/>
    <w:rsid w:val="00A453B5"/>
    <w:rsid w:val="00A456C2"/>
    <w:rsid w:val="00A46B12"/>
    <w:rsid w:val="00A502F3"/>
    <w:rsid w:val="00A50855"/>
    <w:rsid w:val="00A5324D"/>
    <w:rsid w:val="00A533AD"/>
    <w:rsid w:val="00A54A86"/>
    <w:rsid w:val="00A55E2D"/>
    <w:rsid w:val="00A560CD"/>
    <w:rsid w:val="00A574EA"/>
    <w:rsid w:val="00A579CD"/>
    <w:rsid w:val="00A579EF"/>
    <w:rsid w:val="00A57D73"/>
    <w:rsid w:val="00A6104C"/>
    <w:rsid w:val="00A615EE"/>
    <w:rsid w:val="00A62AEC"/>
    <w:rsid w:val="00A642AC"/>
    <w:rsid w:val="00A6514A"/>
    <w:rsid w:val="00A65AAB"/>
    <w:rsid w:val="00A66066"/>
    <w:rsid w:val="00A66E13"/>
    <w:rsid w:val="00A708A7"/>
    <w:rsid w:val="00A71492"/>
    <w:rsid w:val="00A715CD"/>
    <w:rsid w:val="00A723E8"/>
    <w:rsid w:val="00A7241C"/>
    <w:rsid w:val="00A7257A"/>
    <w:rsid w:val="00A72D9A"/>
    <w:rsid w:val="00A73816"/>
    <w:rsid w:val="00A73A24"/>
    <w:rsid w:val="00A74712"/>
    <w:rsid w:val="00A75072"/>
    <w:rsid w:val="00A7678B"/>
    <w:rsid w:val="00A76B62"/>
    <w:rsid w:val="00A7729E"/>
    <w:rsid w:val="00A80415"/>
    <w:rsid w:val="00A80C52"/>
    <w:rsid w:val="00A811ED"/>
    <w:rsid w:val="00A81650"/>
    <w:rsid w:val="00A83725"/>
    <w:rsid w:val="00A83857"/>
    <w:rsid w:val="00A85B9F"/>
    <w:rsid w:val="00A85BFC"/>
    <w:rsid w:val="00A85E78"/>
    <w:rsid w:val="00A86438"/>
    <w:rsid w:val="00A871EE"/>
    <w:rsid w:val="00A87492"/>
    <w:rsid w:val="00A8751F"/>
    <w:rsid w:val="00A91913"/>
    <w:rsid w:val="00A949FE"/>
    <w:rsid w:val="00A954A2"/>
    <w:rsid w:val="00A95BCC"/>
    <w:rsid w:val="00AA00AD"/>
    <w:rsid w:val="00AA399F"/>
    <w:rsid w:val="00AA3AE3"/>
    <w:rsid w:val="00AA4A92"/>
    <w:rsid w:val="00AA794C"/>
    <w:rsid w:val="00AB5680"/>
    <w:rsid w:val="00AB599B"/>
    <w:rsid w:val="00AB69CF"/>
    <w:rsid w:val="00AB7B9F"/>
    <w:rsid w:val="00AC046C"/>
    <w:rsid w:val="00AC0552"/>
    <w:rsid w:val="00AC077B"/>
    <w:rsid w:val="00AC0940"/>
    <w:rsid w:val="00AC1303"/>
    <w:rsid w:val="00AC1338"/>
    <w:rsid w:val="00AC3545"/>
    <w:rsid w:val="00AC483C"/>
    <w:rsid w:val="00AC492E"/>
    <w:rsid w:val="00AC5540"/>
    <w:rsid w:val="00AC67E5"/>
    <w:rsid w:val="00AC6BB7"/>
    <w:rsid w:val="00AC78C9"/>
    <w:rsid w:val="00AD273D"/>
    <w:rsid w:val="00AD2A40"/>
    <w:rsid w:val="00AD3DAA"/>
    <w:rsid w:val="00AD5276"/>
    <w:rsid w:val="00AD55CC"/>
    <w:rsid w:val="00AD5F27"/>
    <w:rsid w:val="00AD7559"/>
    <w:rsid w:val="00AE12DD"/>
    <w:rsid w:val="00AE2B6B"/>
    <w:rsid w:val="00AE3142"/>
    <w:rsid w:val="00AE5901"/>
    <w:rsid w:val="00AE5DCE"/>
    <w:rsid w:val="00AE6049"/>
    <w:rsid w:val="00AE6B0D"/>
    <w:rsid w:val="00AE7A89"/>
    <w:rsid w:val="00AE7CE7"/>
    <w:rsid w:val="00AE7F41"/>
    <w:rsid w:val="00AF0039"/>
    <w:rsid w:val="00AF0193"/>
    <w:rsid w:val="00AF0576"/>
    <w:rsid w:val="00AF062F"/>
    <w:rsid w:val="00AF0D68"/>
    <w:rsid w:val="00AF12C0"/>
    <w:rsid w:val="00AF1C21"/>
    <w:rsid w:val="00AF2972"/>
    <w:rsid w:val="00AF3758"/>
    <w:rsid w:val="00AF50FD"/>
    <w:rsid w:val="00AF626E"/>
    <w:rsid w:val="00AF6293"/>
    <w:rsid w:val="00AF6479"/>
    <w:rsid w:val="00AF7727"/>
    <w:rsid w:val="00AF785E"/>
    <w:rsid w:val="00B001F8"/>
    <w:rsid w:val="00B0085A"/>
    <w:rsid w:val="00B00A7F"/>
    <w:rsid w:val="00B00D67"/>
    <w:rsid w:val="00B018C6"/>
    <w:rsid w:val="00B01C9C"/>
    <w:rsid w:val="00B02C87"/>
    <w:rsid w:val="00B03058"/>
    <w:rsid w:val="00B04A81"/>
    <w:rsid w:val="00B0505A"/>
    <w:rsid w:val="00B0517B"/>
    <w:rsid w:val="00B053CD"/>
    <w:rsid w:val="00B05644"/>
    <w:rsid w:val="00B05B07"/>
    <w:rsid w:val="00B07E36"/>
    <w:rsid w:val="00B1140A"/>
    <w:rsid w:val="00B11C0C"/>
    <w:rsid w:val="00B12F58"/>
    <w:rsid w:val="00B132A9"/>
    <w:rsid w:val="00B13DAF"/>
    <w:rsid w:val="00B1585D"/>
    <w:rsid w:val="00B15A99"/>
    <w:rsid w:val="00B168E1"/>
    <w:rsid w:val="00B20937"/>
    <w:rsid w:val="00B20E71"/>
    <w:rsid w:val="00B214E7"/>
    <w:rsid w:val="00B23C76"/>
    <w:rsid w:val="00B25960"/>
    <w:rsid w:val="00B2613D"/>
    <w:rsid w:val="00B261B8"/>
    <w:rsid w:val="00B26A1F"/>
    <w:rsid w:val="00B315E4"/>
    <w:rsid w:val="00B326F3"/>
    <w:rsid w:val="00B335DC"/>
    <w:rsid w:val="00B3523E"/>
    <w:rsid w:val="00B40772"/>
    <w:rsid w:val="00B40DF3"/>
    <w:rsid w:val="00B40E12"/>
    <w:rsid w:val="00B4330B"/>
    <w:rsid w:val="00B45557"/>
    <w:rsid w:val="00B46D2B"/>
    <w:rsid w:val="00B51A00"/>
    <w:rsid w:val="00B526E2"/>
    <w:rsid w:val="00B52F76"/>
    <w:rsid w:val="00B530C4"/>
    <w:rsid w:val="00B534E2"/>
    <w:rsid w:val="00B54B3E"/>
    <w:rsid w:val="00B54F9E"/>
    <w:rsid w:val="00B5516D"/>
    <w:rsid w:val="00B55FB2"/>
    <w:rsid w:val="00B57FB6"/>
    <w:rsid w:val="00B60F5F"/>
    <w:rsid w:val="00B6128F"/>
    <w:rsid w:val="00B6207A"/>
    <w:rsid w:val="00B626D6"/>
    <w:rsid w:val="00B6300A"/>
    <w:rsid w:val="00B6519F"/>
    <w:rsid w:val="00B65452"/>
    <w:rsid w:val="00B66732"/>
    <w:rsid w:val="00B71468"/>
    <w:rsid w:val="00B719B2"/>
    <w:rsid w:val="00B71DF8"/>
    <w:rsid w:val="00B71E37"/>
    <w:rsid w:val="00B722A8"/>
    <w:rsid w:val="00B72763"/>
    <w:rsid w:val="00B7495B"/>
    <w:rsid w:val="00B74F76"/>
    <w:rsid w:val="00B75C19"/>
    <w:rsid w:val="00B7699D"/>
    <w:rsid w:val="00B76DDB"/>
    <w:rsid w:val="00B81416"/>
    <w:rsid w:val="00B82401"/>
    <w:rsid w:val="00B83819"/>
    <w:rsid w:val="00B84B83"/>
    <w:rsid w:val="00B86F5B"/>
    <w:rsid w:val="00B86FBF"/>
    <w:rsid w:val="00B87BD3"/>
    <w:rsid w:val="00B87FA6"/>
    <w:rsid w:val="00B90A7A"/>
    <w:rsid w:val="00B92211"/>
    <w:rsid w:val="00B922FF"/>
    <w:rsid w:val="00B92FB6"/>
    <w:rsid w:val="00B93FA3"/>
    <w:rsid w:val="00B94546"/>
    <w:rsid w:val="00B955CB"/>
    <w:rsid w:val="00B9700E"/>
    <w:rsid w:val="00B9793B"/>
    <w:rsid w:val="00B97A28"/>
    <w:rsid w:val="00BA2120"/>
    <w:rsid w:val="00BA2C80"/>
    <w:rsid w:val="00BA2E72"/>
    <w:rsid w:val="00BA3BED"/>
    <w:rsid w:val="00BA41AC"/>
    <w:rsid w:val="00BA458F"/>
    <w:rsid w:val="00BA5442"/>
    <w:rsid w:val="00BA6780"/>
    <w:rsid w:val="00BA78C2"/>
    <w:rsid w:val="00BB2755"/>
    <w:rsid w:val="00BB3014"/>
    <w:rsid w:val="00BB3F70"/>
    <w:rsid w:val="00BB438F"/>
    <w:rsid w:val="00BB59EA"/>
    <w:rsid w:val="00BC1E91"/>
    <w:rsid w:val="00BC23AF"/>
    <w:rsid w:val="00BC2D90"/>
    <w:rsid w:val="00BC3146"/>
    <w:rsid w:val="00BC31FC"/>
    <w:rsid w:val="00BC3FD1"/>
    <w:rsid w:val="00BC4C5D"/>
    <w:rsid w:val="00BC692F"/>
    <w:rsid w:val="00BC7B71"/>
    <w:rsid w:val="00BD08EA"/>
    <w:rsid w:val="00BD0A79"/>
    <w:rsid w:val="00BD100C"/>
    <w:rsid w:val="00BD302C"/>
    <w:rsid w:val="00BD3FEF"/>
    <w:rsid w:val="00BD4251"/>
    <w:rsid w:val="00BD53EF"/>
    <w:rsid w:val="00BD547E"/>
    <w:rsid w:val="00BD5FA0"/>
    <w:rsid w:val="00BD65ED"/>
    <w:rsid w:val="00BD68C0"/>
    <w:rsid w:val="00BD78E3"/>
    <w:rsid w:val="00BD7CF1"/>
    <w:rsid w:val="00BD7D9E"/>
    <w:rsid w:val="00BE0732"/>
    <w:rsid w:val="00BE1463"/>
    <w:rsid w:val="00BE1846"/>
    <w:rsid w:val="00BE1F93"/>
    <w:rsid w:val="00BE289B"/>
    <w:rsid w:val="00BE2C53"/>
    <w:rsid w:val="00BE2CCD"/>
    <w:rsid w:val="00BE33C4"/>
    <w:rsid w:val="00BE73F7"/>
    <w:rsid w:val="00BE79BE"/>
    <w:rsid w:val="00BF0C6B"/>
    <w:rsid w:val="00BF17F1"/>
    <w:rsid w:val="00BF1E67"/>
    <w:rsid w:val="00BF1FF9"/>
    <w:rsid w:val="00BF31C0"/>
    <w:rsid w:val="00BF56B8"/>
    <w:rsid w:val="00BF6339"/>
    <w:rsid w:val="00BF6CEC"/>
    <w:rsid w:val="00BF765F"/>
    <w:rsid w:val="00BF7738"/>
    <w:rsid w:val="00C000E6"/>
    <w:rsid w:val="00C002B2"/>
    <w:rsid w:val="00C01D95"/>
    <w:rsid w:val="00C01F18"/>
    <w:rsid w:val="00C02B1A"/>
    <w:rsid w:val="00C0350F"/>
    <w:rsid w:val="00C049B5"/>
    <w:rsid w:val="00C050B0"/>
    <w:rsid w:val="00C05294"/>
    <w:rsid w:val="00C05FEA"/>
    <w:rsid w:val="00C060F7"/>
    <w:rsid w:val="00C0636B"/>
    <w:rsid w:val="00C07121"/>
    <w:rsid w:val="00C076EA"/>
    <w:rsid w:val="00C07865"/>
    <w:rsid w:val="00C079D2"/>
    <w:rsid w:val="00C07AA2"/>
    <w:rsid w:val="00C07DB2"/>
    <w:rsid w:val="00C1002D"/>
    <w:rsid w:val="00C11B9A"/>
    <w:rsid w:val="00C138D4"/>
    <w:rsid w:val="00C14955"/>
    <w:rsid w:val="00C1533F"/>
    <w:rsid w:val="00C159A0"/>
    <w:rsid w:val="00C16528"/>
    <w:rsid w:val="00C166A5"/>
    <w:rsid w:val="00C16C63"/>
    <w:rsid w:val="00C17374"/>
    <w:rsid w:val="00C17821"/>
    <w:rsid w:val="00C17866"/>
    <w:rsid w:val="00C17C5B"/>
    <w:rsid w:val="00C17E77"/>
    <w:rsid w:val="00C2073E"/>
    <w:rsid w:val="00C21697"/>
    <w:rsid w:val="00C23568"/>
    <w:rsid w:val="00C24828"/>
    <w:rsid w:val="00C2533F"/>
    <w:rsid w:val="00C2707A"/>
    <w:rsid w:val="00C27A52"/>
    <w:rsid w:val="00C3189C"/>
    <w:rsid w:val="00C31E40"/>
    <w:rsid w:val="00C33BE5"/>
    <w:rsid w:val="00C35577"/>
    <w:rsid w:val="00C37664"/>
    <w:rsid w:val="00C37909"/>
    <w:rsid w:val="00C40571"/>
    <w:rsid w:val="00C41E2D"/>
    <w:rsid w:val="00C42A48"/>
    <w:rsid w:val="00C42CB3"/>
    <w:rsid w:val="00C43CE0"/>
    <w:rsid w:val="00C44865"/>
    <w:rsid w:val="00C450C3"/>
    <w:rsid w:val="00C462E3"/>
    <w:rsid w:val="00C47053"/>
    <w:rsid w:val="00C5079F"/>
    <w:rsid w:val="00C51643"/>
    <w:rsid w:val="00C51B0D"/>
    <w:rsid w:val="00C54142"/>
    <w:rsid w:val="00C54D50"/>
    <w:rsid w:val="00C54FB4"/>
    <w:rsid w:val="00C559CE"/>
    <w:rsid w:val="00C57478"/>
    <w:rsid w:val="00C60B74"/>
    <w:rsid w:val="00C60CC4"/>
    <w:rsid w:val="00C618B2"/>
    <w:rsid w:val="00C621CE"/>
    <w:rsid w:val="00C62C09"/>
    <w:rsid w:val="00C63C40"/>
    <w:rsid w:val="00C64AEF"/>
    <w:rsid w:val="00C65C84"/>
    <w:rsid w:val="00C66BED"/>
    <w:rsid w:val="00C67120"/>
    <w:rsid w:val="00C70B94"/>
    <w:rsid w:val="00C71EB2"/>
    <w:rsid w:val="00C72804"/>
    <w:rsid w:val="00C72A26"/>
    <w:rsid w:val="00C74DD4"/>
    <w:rsid w:val="00C74F88"/>
    <w:rsid w:val="00C7680C"/>
    <w:rsid w:val="00C803FF"/>
    <w:rsid w:val="00C81C14"/>
    <w:rsid w:val="00C82AC8"/>
    <w:rsid w:val="00C833A3"/>
    <w:rsid w:val="00C84C8A"/>
    <w:rsid w:val="00C8510F"/>
    <w:rsid w:val="00C866B7"/>
    <w:rsid w:val="00C869E2"/>
    <w:rsid w:val="00C879A7"/>
    <w:rsid w:val="00C90A08"/>
    <w:rsid w:val="00C9127D"/>
    <w:rsid w:val="00C91624"/>
    <w:rsid w:val="00C92C9F"/>
    <w:rsid w:val="00C937D1"/>
    <w:rsid w:val="00C93B71"/>
    <w:rsid w:val="00C94213"/>
    <w:rsid w:val="00C954B3"/>
    <w:rsid w:val="00C96132"/>
    <w:rsid w:val="00C96B3B"/>
    <w:rsid w:val="00C974D2"/>
    <w:rsid w:val="00C97F4B"/>
    <w:rsid w:val="00CA16B5"/>
    <w:rsid w:val="00CA1813"/>
    <w:rsid w:val="00CA1FDF"/>
    <w:rsid w:val="00CA2F60"/>
    <w:rsid w:val="00CA6BF0"/>
    <w:rsid w:val="00CA6F3D"/>
    <w:rsid w:val="00CA7093"/>
    <w:rsid w:val="00CA76A3"/>
    <w:rsid w:val="00CB0F1C"/>
    <w:rsid w:val="00CB139B"/>
    <w:rsid w:val="00CB1456"/>
    <w:rsid w:val="00CB1C21"/>
    <w:rsid w:val="00CB3390"/>
    <w:rsid w:val="00CB4625"/>
    <w:rsid w:val="00CB79C1"/>
    <w:rsid w:val="00CC09D1"/>
    <w:rsid w:val="00CC1558"/>
    <w:rsid w:val="00CC1CE0"/>
    <w:rsid w:val="00CC28D6"/>
    <w:rsid w:val="00CC31B7"/>
    <w:rsid w:val="00CC3954"/>
    <w:rsid w:val="00CC418B"/>
    <w:rsid w:val="00CC551B"/>
    <w:rsid w:val="00CC55DE"/>
    <w:rsid w:val="00CC5C7B"/>
    <w:rsid w:val="00CC6A73"/>
    <w:rsid w:val="00CC6D26"/>
    <w:rsid w:val="00CC6E45"/>
    <w:rsid w:val="00CD09FC"/>
    <w:rsid w:val="00CD180B"/>
    <w:rsid w:val="00CD24DD"/>
    <w:rsid w:val="00CD29F0"/>
    <w:rsid w:val="00CD35C3"/>
    <w:rsid w:val="00CD3E67"/>
    <w:rsid w:val="00CD4181"/>
    <w:rsid w:val="00CD4240"/>
    <w:rsid w:val="00CD431D"/>
    <w:rsid w:val="00CD4FA5"/>
    <w:rsid w:val="00CD50AF"/>
    <w:rsid w:val="00CD5185"/>
    <w:rsid w:val="00CD518E"/>
    <w:rsid w:val="00CD558E"/>
    <w:rsid w:val="00CD60B6"/>
    <w:rsid w:val="00CD7C6D"/>
    <w:rsid w:val="00CE0CBB"/>
    <w:rsid w:val="00CE0CF4"/>
    <w:rsid w:val="00CE1332"/>
    <w:rsid w:val="00CE26DC"/>
    <w:rsid w:val="00CE28E6"/>
    <w:rsid w:val="00CE2A20"/>
    <w:rsid w:val="00CE30FC"/>
    <w:rsid w:val="00CE39BA"/>
    <w:rsid w:val="00CE463D"/>
    <w:rsid w:val="00CE6007"/>
    <w:rsid w:val="00CE63BF"/>
    <w:rsid w:val="00CF0343"/>
    <w:rsid w:val="00CF03B5"/>
    <w:rsid w:val="00CF1FD5"/>
    <w:rsid w:val="00CF2357"/>
    <w:rsid w:val="00CF2BE1"/>
    <w:rsid w:val="00CF3D8F"/>
    <w:rsid w:val="00CF638D"/>
    <w:rsid w:val="00CF642B"/>
    <w:rsid w:val="00CF712B"/>
    <w:rsid w:val="00D002F2"/>
    <w:rsid w:val="00D00E2A"/>
    <w:rsid w:val="00D02F01"/>
    <w:rsid w:val="00D038C7"/>
    <w:rsid w:val="00D039AF"/>
    <w:rsid w:val="00D0479C"/>
    <w:rsid w:val="00D04F52"/>
    <w:rsid w:val="00D0580E"/>
    <w:rsid w:val="00D058ED"/>
    <w:rsid w:val="00D06805"/>
    <w:rsid w:val="00D07F02"/>
    <w:rsid w:val="00D1185E"/>
    <w:rsid w:val="00D1263D"/>
    <w:rsid w:val="00D12D6E"/>
    <w:rsid w:val="00D14643"/>
    <w:rsid w:val="00D147EE"/>
    <w:rsid w:val="00D14B04"/>
    <w:rsid w:val="00D14EED"/>
    <w:rsid w:val="00D15165"/>
    <w:rsid w:val="00D154F8"/>
    <w:rsid w:val="00D1566E"/>
    <w:rsid w:val="00D15BC1"/>
    <w:rsid w:val="00D2097A"/>
    <w:rsid w:val="00D21045"/>
    <w:rsid w:val="00D21378"/>
    <w:rsid w:val="00D21411"/>
    <w:rsid w:val="00D2209F"/>
    <w:rsid w:val="00D2240B"/>
    <w:rsid w:val="00D241C9"/>
    <w:rsid w:val="00D255E7"/>
    <w:rsid w:val="00D263D0"/>
    <w:rsid w:val="00D265F9"/>
    <w:rsid w:val="00D2714A"/>
    <w:rsid w:val="00D27F22"/>
    <w:rsid w:val="00D306B0"/>
    <w:rsid w:val="00D3074E"/>
    <w:rsid w:val="00D31E49"/>
    <w:rsid w:val="00D32044"/>
    <w:rsid w:val="00D332DC"/>
    <w:rsid w:val="00D341BA"/>
    <w:rsid w:val="00D34E18"/>
    <w:rsid w:val="00D36019"/>
    <w:rsid w:val="00D3744D"/>
    <w:rsid w:val="00D376D6"/>
    <w:rsid w:val="00D37789"/>
    <w:rsid w:val="00D4103B"/>
    <w:rsid w:val="00D41554"/>
    <w:rsid w:val="00D41BB9"/>
    <w:rsid w:val="00D42454"/>
    <w:rsid w:val="00D42FB0"/>
    <w:rsid w:val="00D43FE1"/>
    <w:rsid w:val="00D46647"/>
    <w:rsid w:val="00D466BC"/>
    <w:rsid w:val="00D46F05"/>
    <w:rsid w:val="00D47319"/>
    <w:rsid w:val="00D473A5"/>
    <w:rsid w:val="00D47C19"/>
    <w:rsid w:val="00D51E04"/>
    <w:rsid w:val="00D527AA"/>
    <w:rsid w:val="00D52FF7"/>
    <w:rsid w:val="00D5366F"/>
    <w:rsid w:val="00D549E9"/>
    <w:rsid w:val="00D56A35"/>
    <w:rsid w:val="00D57392"/>
    <w:rsid w:val="00D60EF4"/>
    <w:rsid w:val="00D61BC6"/>
    <w:rsid w:val="00D62BC1"/>
    <w:rsid w:val="00D6326B"/>
    <w:rsid w:val="00D64B66"/>
    <w:rsid w:val="00D6567E"/>
    <w:rsid w:val="00D65B15"/>
    <w:rsid w:val="00D65D85"/>
    <w:rsid w:val="00D66A8D"/>
    <w:rsid w:val="00D66A9C"/>
    <w:rsid w:val="00D70DFC"/>
    <w:rsid w:val="00D7138D"/>
    <w:rsid w:val="00D7232A"/>
    <w:rsid w:val="00D72876"/>
    <w:rsid w:val="00D733EE"/>
    <w:rsid w:val="00D76A57"/>
    <w:rsid w:val="00D77743"/>
    <w:rsid w:val="00D77BD7"/>
    <w:rsid w:val="00D80272"/>
    <w:rsid w:val="00D80789"/>
    <w:rsid w:val="00D80BD7"/>
    <w:rsid w:val="00D818E5"/>
    <w:rsid w:val="00D83303"/>
    <w:rsid w:val="00D863AC"/>
    <w:rsid w:val="00D87033"/>
    <w:rsid w:val="00D870C1"/>
    <w:rsid w:val="00D87E9F"/>
    <w:rsid w:val="00D9044D"/>
    <w:rsid w:val="00D91E9E"/>
    <w:rsid w:val="00D92CCB"/>
    <w:rsid w:val="00D93476"/>
    <w:rsid w:val="00D936D8"/>
    <w:rsid w:val="00D93DF3"/>
    <w:rsid w:val="00D93F95"/>
    <w:rsid w:val="00D94287"/>
    <w:rsid w:val="00D94CD2"/>
    <w:rsid w:val="00D95875"/>
    <w:rsid w:val="00D967CA"/>
    <w:rsid w:val="00D97D06"/>
    <w:rsid w:val="00DA1157"/>
    <w:rsid w:val="00DA1D63"/>
    <w:rsid w:val="00DA2725"/>
    <w:rsid w:val="00DA322A"/>
    <w:rsid w:val="00DA3D32"/>
    <w:rsid w:val="00DA40BC"/>
    <w:rsid w:val="00DA4C7E"/>
    <w:rsid w:val="00DA59F5"/>
    <w:rsid w:val="00DA5E0D"/>
    <w:rsid w:val="00DA67D6"/>
    <w:rsid w:val="00DA68E1"/>
    <w:rsid w:val="00DB1814"/>
    <w:rsid w:val="00DB1DC0"/>
    <w:rsid w:val="00DB2750"/>
    <w:rsid w:val="00DB36BD"/>
    <w:rsid w:val="00DB442F"/>
    <w:rsid w:val="00DB4571"/>
    <w:rsid w:val="00DB470E"/>
    <w:rsid w:val="00DB4FC3"/>
    <w:rsid w:val="00DB5082"/>
    <w:rsid w:val="00DB576A"/>
    <w:rsid w:val="00DB58F1"/>
    <w:rsid w:val="00DB5AA6"/>
    <w:rsid w:val="00DB6571"/>
    <w:rsid w:val="00DB774F"/>
    <w:rsid w:val="00DB7DE7"/>
    <w:rsid w:val="00DC02C2"/>
    <w:rsid w:val="00DC0B83"/>
    <w:rsid w:val="00DC0D63"/>
    <w:rsid w:val="00DC1A42"/>
    <w:rsid w:val="00DC50FC"/>
    <w:rsid w:val="00DC54E4"/>
    <w:rsid w:val="00DC5C4F"/>
    <w:rsid w:val="00DD0EDC"/>
    <w:rsid w:val="00DD1460"/>
    <w:rsid w:val="00DD1E3C"/>
    <w:rsid w:val="00DD280E"/>
    <w:rsid w:val="00DD2CF8"/>
    <w:rsid w:val="00DD4160"/>
    <w:rsid w:val="00DD4376"/>
    <w:rsid w:val="00DD4EF8"/>
    <w:rsid w:val="00DD5A1E"/>
    <w:rsid w:val="00DD651E"/>
    <w:rsid w:val="00DD6CF5"/>
    <w:rsid w:val="00DD7759"/>
    <w:rsid w:val="00DE05C3"/>
    <w:rsid w:val="00DE07A3"/>
    <w:rsid w:val="00DE0922"/>
    <w:rsid w:val="00DE1190"/>
    <w:rsid w:val="00DE1A51"/>
    <w:rsid w:val="00DE2582"/>
    <w:rsid w:val="00DE2E12"/>
    <w:rsid w:val="00DE3ABA"/>
    <w:rsid w:val="00DE3F5A"/>
    <w:rsid w:val="00DE5521"/>
    <w:rsid w:val="00DE5A2C"/>
    <w:rsid w:val="00DE5BBD"/>
    <w:rsid w:val="00DE66FC"/>
    <w:rsid w:val="00DE720C"/>
    <w:rsid w:val="00DE7504"/>
    <w:rsid w:val="00DE7F49"/>
    <w:rsid w:val="00DF02E7"/>
    <w:rsid w:val="00DF031E"/>
    <w:rsid w:val="00DF0A35"/>
    <w:rsid w:val="00DF0C3D"/>
    <w:rsid w:val="00DF2081"/>
    <w:rsid w:val="00DF31C5"/>
    <w:rsid w:val="00DF3817"/>
    <w:rsid w:val="00DF5337"/>
    <w:rsid w:val="00DF74BF"/>
    <w:rsid w:val="00DF7A59"/>
    <w:rsid w:val="00E008C8"/>
    <w:rsid w:val="00E00B7A"/>
    <w:rsid w:val="00E02023"/>
    <w:rsid w:val="00E02203"/>
    <w:rsid w:val="00E02735"/>
    <w:rsid w:val="00E03358"/>
    <w:rsid w:val="00E03898"/>
    <w:rsid w:val="00E03B6E"/>
    <w:rsid w:val="00E04307"/>
    <w:rsid w:val="00E0501E"/>
    <w:rsid w:val="00E05492"/>
    <w:rsid w:val="00E069BF"/>
    <w:rsid w:val="00E07802"/>
    <w:rsid w:val="00E102D4"/>
    <w:rsid w:val="00E113EC"/>
    <w:rsid w:val="00E114FD"/>
    <w:rsid w:val="00E12A4A"/>
    <w:rsid w:val="00E13295"/>
    <w:rsid w:val="00E13E74"/>
    <w:rsid w:val="00E13F0D"/>
    <w:rsid w:val="00E14173"/>
    <w:rsid w:val="00E14AC9"/>
    <w:rsid w:val="00E14EA9"/>
    <w:rsid w:val="00E1694D"/>
    <w:rsid w:val="00E16B98"/>
    <w:rsid w:val="00E17662"/>
    <w:rsid w:val="00E20CAD"/>
    <w:rsid w:val="00E21227"/>
    <w:rsid w:val="00E212FC"/>
    <w:rsid w:val="00E213EA"/>
    <w:rsid w:val="00E21CDB"/>
    <w:rsid w:val="00E21F85"/>
    <w:rsid w:val="00E22130"/>
    <w:rsid w:val="00E226F5"/>
    <w:rsid w:val="00E238D3"/>
    <w:rsid w:val="00E25499"/>
    <w:rsid w:val="00E254EC"/>
    <w:rsid w:val="00E25580"/>
    <w:rsid w:val="00E2677F"/>
    <w:rsid w:val="00E27D38"/>
    <w:rsid w:val="00E27D9A"/>
    <w:rsid w:val="00E3021E"/>
    <w:rsid w:val="00E31AA5"/>
    <w:rsid w:val="00E332B0"/>
    <w:rsid w:val="00E35110"/>
    <w:rsid w:val="00E377F3"/>
    <w:rsid w:val="00E37C4E"/>
    <w:rsid w:val="00E40627"/>
    <w:rsid w:val="00E40CE9"/>
    <w:rsid w:val="00E43205"/>
    <w:rsid w:val="00E4338A"/>
    <w:rsid w:val="00E43F71"/>
    <w:rsid w:val="00E44794"/>
    <w:rsid w:val="00E44835"/>
    <w:rsid w:val="00E4496F"/>
    <w:rsid w:val="00E45383"/>
    <w:rsid w:val="00E45E6B"/>
    <w:rsid w:val="00E46DFA"/>
    <w:rsid w:val="00E50015"/>
    <w:rsid w:val="00E529C2"/>
    <w:rsid w:val="00E52EB9"/>
    <w:rsid w:val="00E54847"/>
    <w:rsid w:val="00E55BAA"/>
    <w:rsid w:val="00E5700C"/>
    <w:rsid w:val="00E57241"/>
    <w:rsid w:val="00E61F16"/>
    <w:rsid w:val="00E62677"/>
    <w:rsid w:val="00E62AF8"/>
    <w:rsid w:val="00E63DEA"/>
    <w:rsid w:val="00E64778"/>
    <w:rsid w:val="00E666A4"/>
    <w:rsid w:val="00E666EE"/>
    <w:rsid w:val="00E6756B"/>
    <w:rsid w:val="00E7057D"/>
    <w:rsid w:val="00E71A73"/>
    <w:rsid w:val="00E725BE"/>
    <w:rsid w:val="00E72775"/>
    <w:rsid w:val="00E72EA6"/>
    <w:rsid w:val="00E73CDF"/>
    <w:rsid w:val="00E74165"/>
    <w:rsid w:val="00E74694"/>
    <w:rsid w:val="00E814BD"/>
    <w:rsid w:val="00E82366"/>
    <w:rsid w:val="00E825C3"/>
    <w:rsid w:val="00E8341C"/>
    <w:rsid w:val="00E83867"/>
    <w:rsid w:val="00E83AF1"/>
    <w:rsid w:val="00E8527A"/>
    <w:rsid w:val="00E85C90"/>
    <w:rsid w:val="00E86C21"/>
    <w:rsid w:val="00E91620"/>
    <w:rsid w:val="00E91800"/>
    <w:rsid w:val="00E91B36"/>
    <w:rsid w:val="00E9283F"/>
    <w:rsid w:val="00E9364A"/>
    <w:rsid w:val="00E959F2"/>
    <w:rsid w:val="00E95EAA"/>
    <w:rsid w:val="00EA0160"/>
    <w:rsid w:val="00EA1171"/>
    <w:rsid w:val="00EA2103"/>
    <w:rsid w:val="00EA37E7"/>
    <w:rsid w:val="00EA4466"/>
    <w:rsid w:val="00EA59F7"/>
    <w:rsid w:val="00EA69C1"/>
    <w:rsid w:val="00EB15B8"/>
    <w:rsid w:val="00EB1AAA"/>
    <w:rsid w:val="00EB1F98"/>
    <w:rsid w:val="00EB21E7"/>
    <w:rsid w:val="00EB2637"/>
    <w:rsid w:val="00EB2A39"/>
    <w:rsid w:val="00EB2C45"/>
    <w:rsid w:val="00EB3BC0"/>
    <w:rsid w:val="00EB4DC9"/>
    <w:rsid w:val="00EB59B2"/>
    <w:rsid w:val="00EB5A86"/>
    <w:rsid w:val="00EB7B29"/>
    <w:rsid w:val="00EC0D3E"/>
    <w:rsid w:val="00EC1117"/>
    <w:rsid w:val="00EC25DA"/>
    <w:rsid w:val="00EC2B23"/>
    <w:rsid w:val="00EC3CAD"/>
    <w:rsid w:val="00EC4223"/>
    <w:rsid w:val="00EC4448"/>
    <w:rsid w:val="00EC45AD"/>
    <w:rsid w:val="00EC45CA"/>
    <w:rsid w:val="00EC45E3"/>
    <w:rsid w:val="00EC6075"/>
    <w:rsid w:val="00EC682E"/>
    <w:rsid w:val="00ED0A04"/>
    <w:rsid w:val="00ED0E0F"/>
    <w:rsid w:val="00ED1A93"/>
    <w:rsid w:val="00ED1C91"/>
    <w:rsid w:val="00ED2544"/>
    <w:rsid w:val="00ED3305"/>
    <w:rsid w:val="00ED3783"/>
    <w:rsid w:val="00ED4461"/>
    <w:rsid w:val="00ED45C7"/>
    <w:rsid w:val="00ED566A"/>
    <w:rsid w:val="00ED5E59"/>
    <w:rsid w:val="00ED75F7"/>
    <w:rsid w:val="00ED76A2"/>
    <w:rsid w:val="00EE0734"/>
    <w:rsid w:val="00EE0956"/>
    <w:rsid w:val="00EE1EC5"/>
    <w:rsid w:val="00EE2B3A"/>
    <w:rsid w:val="00EE3912"/>
    <w:rsid w:val="00EE48EC"/>
    <w:rsid w:val="00EE50FD"/>
    <w:rsid w:val="00EE568E"/>
    <w:rsid w:val="00EE5BA9"/>
    <w:rsid w:val="00EE60CC"/>
    <w:rsid w:val="00EE6806"/>
    <w:rsid w:val="00EF177B"/>
    <w:rsid w:val="00EF2608"/>
    <w:rsid w:val="00EF2C0C"/>
    <w:rsid w:val="00EF59B5"/>
    <w:rsid w:val="00EF5F91"/>
    <w:rsid w:val="00EF72EF"/>
    <w:rsid w:val="00F00B3F"/>
    <w:rsid w:val="00F02271"/>
    <w:rsid w:val="00F022D4"/>
    <w:rsid w:val="00F0258F"/>
    <w:rsid w:val="00F025FC"/>
    <w:rsid w:val="00F0334E"/>
    <w:rsid w:val="00F03778"/>
    <w:rsid w:val="00F03921"/>
    <w:rsid w:val="00F0456E"/>
    <w:rsid w:val="00F045DD"/>
    <w:rsid w:val="00F0518C"/>
    <w:rsid w:val="00F05B9D"/>
    <w:rsid w:val="00F07664"/>
    <w:rsid w:val="00F078C4"/>
    <w:rsid w:val="00F07B08"/>
    <w:rsid w:val="00F07BD2"/>
    <w:rsid w:val="00F1033A"/>
    <w:rsid w:val="00F125E5"/>
    <w:rsid w:val="00F1265E"/>
    <w:rsid w:val="00F12F7B"/>
    <w:rsid w:val="00F13595"/>
    <w:rsid w:val="00F13DE3"/>
    <w:rsid w:val="00F14080"/>
    <w:rsid w:val="00F14F36"/>
    <w:rsid w:val="00F157D4"/>
    <w:rsid w:val="00F1631E"/>
    <w:rsid w:val="00F2043A"/>
    <w:rsid w:val="00F20F51"/>
    <w:rsid w:val="00F24FE4"/>
    <w:rsid w:val="00F255A4"/>
    <w:rsid w:val="00F26916"/>
    <w:rsid w:val="00F26DC3"/>
    <w:rsid w:val="00F26E24"/>
    <w:rsid w:val="00F2741C"/>
    <w:rsid w:val="00F27A93"/>
    <w:rsid w:val="00F307B6"/>
    <w:rsid w:val="00F307D5"/>
    <w:rsid w:val="00F30BD9"/>
    <w:rsid w:val="00F32114"/>
    <w:rsid w:val="00F33DD8"/>
    <w:rsid w:val="00F34F08"/>
    <w:rsid w:val="00F36359"/>
    <w:rsid w:val="00F37C72"/>
    <w:rsid w:val="00F411F1"/>
    <w:rsid w:val="00F429F2"/>
    <w:rsid w:val="00F42DC8"/>
    <w:rsid w:val="00F43C99"/>
    <w:rsid w:val="00F43D83"/>
    <w:rsid w:val="00F43FD7"/>
    <w:rsid w:val="00F44AC2"/>
    <w:rsid w:val="00F4566A"/>
    <w:rsid w:val="00F4599C"/>
    <w:rsid w:val="00F4632E"/>
    <w:rsid w:val="00F471CD"/>
    <w:rsid w:val="00F54B7C"/>
    <w:rsid w:val="00F55BB1"/>
    <w:rsid w:val="00F56D71"/>
    <w:rsid w:val="00F613E3"/>
    <w:rsid w:val="00F61C6E"/>
    <w:rsid w:val="00F621E6"/>
    <w:rsid w:val="00F637C6"/>
    <w:rsid w:val="00F63927"/>
    <w:rsid w:val="00F64016"/>
    <w:rsid w:val="00F64DE4"/>
    <w:rsid w:val="00F6565F"/>
    <w:rsid w:val="00F668BD"/>
    <w:rsid w:val="00F66E22"/>
    <w:rsid w:val="00F67EA3"/>
    <w:rsid w:val="00F71775"/>
    <w:rsid w:val="00F71CAE"/>
    <w:rsid w:val="00F741BA"/>
    <w:rsid w:val="00F74EE4"/>
    <w:rsid w:val="00F76039"/>
    <w:rsid w:val="00F76DAA"/>
    <w:rsid w:val="00F774C4"/>
    <w:rsid w:val="00F80AB8"/>
    <w:rsid w:val="00F80B76"/>
    <w:rsid w:val="00F80FF1"/>
    <w:rsid w:val="00F810F3"/>
    <w:rsid w:val="00F817B4"/>
    <w:rsid w:val="00F82023"/>
    <w:rsid w:val="00F85315"/>
    <w:rsid w:val="00F85446"/>
    <w:rsid w:val="00F87FAF"/>
    <w:rsid w:val="00F90F1C"/>
    <w:rsid w:val="00F9212F"/>
    <w:rsid w:val="00F92250"/>
    <w:rsid w:val="00F92FC8"/>
    <w:rsid w:val="00F93D75"/>
    <w:rsid w:val="00F93E0B"/>
    <w:rsid w:val="00F93E25"/>
    <w:rsid w:val="00F94BC8"/>
    <w:rsid w:val="00FA083F"/>
    <w:rsid w:val="00FA2391"/>
    <w:rsid w:val="00FA2B8B"/>
    <w:rsid w:val="00FA315E"/>
    <w:rsid w:val="00FA38EF"/>
    <w:rsid w:val="00FA3E44"/>
    <w:rsid w:val="00FA5D22"/>
    <w:rsid w:val="00FA5FF4"/>
    <w:rsid w:val="00FA620A"/>
    <w:rsid w:val="00FA64F9"/>
    <w:rsid w:val="00FB0E05"/>
    <w:rsid w:val="00FB1200"/>
    <w:rsid w:val="00FB1329"/>
    <w:rsid w:val="00FB1BA3"/>
    <w:rsid w:val="00FB1E8B"/>
    <w:rsid w:val="00FB1F99"/>
    <w:rsid w:val="00FB2A3F"/>
    <w:rsid w:val="00FB3B24"/>
    <w:rsid w:val="00FB4A80"/>
    <w:rsid w:val="00FB55EB"/>
    <w:rsid w:val="00FB5E4D"/>
    <w:rsid w:val="00FB6886"/>
    <w:rsid w:val="00FC0DC7"/>
    <w:rsid w:val="00FC13D3"/>
    <w:rsid w:val="00FC1936"/>
    <w:rsid w:val="00FC3FA3"/>
    <w:rsid w:val="00FC41A3"/>
    <w:rsid w:val="00FC6308"/>
    <w:rsid w:val="00FC6E11"/>
    <w:rsid w:val="00FC71FB"/>
    <w:rsid w:val="00FD0EC0"/>
    <w:rsid w:val="00FD0EDB"/>
    <w:rsid w:val="00FD1136"/>
    <w:rsid w:val="00FD1CBE"/>
    <w:rsid w:val="00FD1D41"/>
    <w:rsid w:val="00FD2B96"/>
    <w:rsid w:val="00FD2C59"/>
    <w:rsid w:val="00FD3AF9"/>
    <w:rsid w:val="00FD4DD6"/>
    <w:rsid w:val="00FD51D6"/>
    <w:rsid w:val="00FD55C2"/>
    <w:rsid w:val="00FD5D19"/>
    <w:rsid w:val="00FD6809"/>
    <w:rsid w:val="00FD760B"/>
    <w:rsid w:val="00FE012C"/>
    <w:rsid w:val="00FE01A7"/>
    <w:rsid w:val="00FE1384"/>
    <w:rsid w:val="00FE28DC"/>
    <w:rsid w:val="00FE39CB"/>
    <w:rsid w:val="00FE4402"/>
    <w:rsid w:val="00FE4AE4"/>
    <w:rsid w:val="00FE4C58"/>
    <w:rsid w:val="00FE6157"/>
    <w:rsid w:val="00FE799E"/>
    <w:rsid w:val="00FF015F"/>
    <w:rsid w:val="00FF09F6"/>
    <w:rsid w:val="00FF21B4"/>
    <w:rsid w:val="00FF2B32"/>
    <w:rsid w:val="00FF3101"/>
    <w:rsid w:val="00FF33F2"/>
    <w:rsid w:val="00FF3456"/>
    <w:rsid w:val="00FF375C"/>
    <w:rsid w:val="00FF3B54"/>
    <w:rsid w:val="00FF5F14"/>
    <w:rsid w:val="00FF66ED"/>
    <w:rsid w:val="00FF6796"/>
    <w:rsid w:val="00FF6D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vi-V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5A2CC0"/>
  <w15:docId w15:val="{6EC8CB37-1552-45BE-831D-0207494A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imes New Roman"/>
        <w:lang w:val="vi-VN"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5CC"/>
    <w:rPr>
      <w:rFonts w:ascii="Times New Roman" w:hAnsi="Times New Roman"/>
      <w:noProof/>
      <w:sz w:val="24"/>
      <w:szCs w:val="24"/>
    </w:rPr>
  </w:style>
  <w:style w:type="paragraph" w:styleId="Heading1">
    <w:name w:val="heading 1"/>
    <w:basedOn w:val="Normal"/>
    <w:next w:val="Normal"/>
    <w:link w:val="Heading1Char"/>
    <w:uiPriority w:val="99"/>
    <w:qFormat/>
    <w:rsid w:val="00DE1A51"/>
    <w:pPr>
      <w:keepNext/>
      <w:keepLines/>
      <w:spacing w:before="480"/>
      <w:outlineLvl w:val="0"/>
    </w:pPr>
    <w:rPr>
      <w:b/>
      <w:bCs/>
      <w:color w:val="365F91"/>
      <w:sz w:val="28"/>
      <w:szCs w:val="28"/>
    </w:rPr>
  </w:style>
  <w:style w:type="paragraph" w:styleId="Heading2">
    <w:name w:val="heading 2"/>
    <w:basedOn w:val="Normal"/>
    <w:next w:val="Normal"/>
    <w:link w:val="Heading2Char"/>
    <w:uiPriority w:val="99"/>
    <w:qFormat/>
    <w:rsid w:val="00DE1A51"/>
    <w:pPr>
      <w:keepNext/>
      <w:keepLines/>
      <w:spacing w:before="200"/>
      <w:outlineLvl w:val="1"/>
    </w:pPr>
    <w:rPr>
      <w:b/>
      <w:bCs/>
      <w:color w:val="4F81BD"/>
      <w:sz w:val="26"/>
      <w:szCs w:val="26"/>
    </w:rPr>
  </w:style>
  <w:style w:type="paragraph" w:styleId="Heading3">
    <w:name w:val="heading 3"/>
    <w:basedOn w:val="Normal"/>
    <w:next w:val="Normal"/>
    <w:link w:val="Heading3Char"/>
    <w:uiPriority w:val="99"/>
    <w:qFormat/>
    <w:rsid w:val="00DE1A51"/>
    <w:pPr>
      <w:keepNext/>
      <w:keepLines/>
      <w:spacing w:before="200"/>
      <w:outlineLvl w:val="2"/>
    </w:pPr>
    <w:rPr>
      <w:b/>
      <w:bCs/>
      <w:color w:val="4F81BD"/>
    </w:rPr>
  </w:style>
  <w:style w:type="paragraph" w:styleId="Heading4">
    <w:name w:val="heading 4"/>
    <w:basedOn w:val="Normal"/>
    <w:next w:val="Normal"/>
    <w:link w:val="Heading4Char"/>
    <w:uiPriority w:val="99"/>
    <w:qFormat/>
    <w:rsid w:val="00DE1A51"/>
    <w:pPr>
      <w:keepNext/>
      <w:keepLines/>
      <w:spacing w:before="200"/>
      <w:outlineLvl w:val="3"/>
    </w:pPr>
    <w:rPr>
      <w:b/>
      <w:bCs/>
      <w:i/>
      <w:iCs/>
      <w:color w:val="4F81BD"/>
    </w:rPr>
  </w:style>
  <w:style w:type="paragraph" w:styleId="Heading5">
    <w:name w:val="heading 5"/>
    <w:basedOn w:val="Normal"/>
    <w:next w:val="Normal"/>
    <w:link w:val="Heading5Char"/>
    <w:uiPriority w:val="99"/>
    <w:qFormat/>
    <w:rsid w:val="000244FE"/>
    <w:pPr>
      <w:keepNext/>
      <w:keepLines/>
      <w:spacing w:before="200"/>
      <w:outlineLvl w:val="4"/>
    </w:pPr>
    <w:rPr>
      <w:color w:val="243F60"/>
    </w:rPr>
  </w:style>
  <w:style w:type="paragraph" w:styleId="Heading6">
    <w:name w:val="heading 6"/>
    <w:basedOn w:val="Normal"/>
    <w:next w:val="Normal"/>
    <w:link w:val="Heading6Char"/>
    <w:uiPriority w:val="99"/>
    <w:qFormat/>
    <w:rsid w:val="00296C35"/>
    <w:pPr>
      <w:keepNext/>
      <w:keepLines/>
      <w:spacing w:before="200"/>
      <w:outlineLvl w:val="5"/>
    </w:pPr>
    <w:rPr>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E1A51"/>
    <w:rPr>
      <w:rFonts w:ascii="Times New Roman" w:eastAsia="SimSun" w:hAnsi="Times New Roman" w:cs="Times New Roman"/>
      <w:b/>
      <w:bCs/>
      <w:noProof/>
      <w:color w:val="365F91"/>
      <w:sz w:val="28"/>
      <w:szCs w:val="28"/>
      <w:lang w:val="vi-VN"/>
    </w:rPr>
  </w:style>
  <w:style w:type="character" w:customStyle="1" w:styleId="Heading2Char">
    <w:name w:val="Heading 2 Char"/>
    <w:basedOn w:val="DefaultParagraphFont"/>
    <w:link w:val="Heading2"/>
    <w:uiPriority w:val="99"/>
    <w:locked/>
    <w:rsid w:val="00DE1A51"/>
    <w:rPr>
      <w:rFonts w:ascii="Times New Roman" w:eastAsia="SimSun" w:hAnsi="Times New Roman" w:cs="Times New Roman"/>
      <w:b/>
      <w:bCs/>
      <w:noProof/>
      <w:color w:val="4F81BD"/>
      <w:sz w:val="26"/>
      <w:szCs w:val="26"/>
      <w:lang w:val="vi-VN"/>
    </w:rPr>
  </w:style>
  <w:style w:type="character" w:customStyle="1" w:styleId="Heading3Char">
    <w:name w:val="Heading 3 Char"/>
    <w:basedOn w:val="DefaultParagraphFont"/>
    <w:link w:val="Heading3"/>
    <w:uiPriority w:val="99"/>
    <w:locked/>
    <w:rsid w:val="00DE1A51"/>
    <w:rPr>
      <w:rFonts w:ascii="Times New Roman" w:eastAsia="SimSun" w:hAnsi="Times New Roman" w:cs="Times New Roman"/>
      <w:b/>
      <w:bCs/>
      <w:noProof/>
      <w:color w:val="4F81BD"/>
      <w:sz w:val="24"/>
      <w:szCs w:val="24"/>
      <w:lang w:val="vi-VN"/>
    </w:rPr>
  </w:style>
  <w:style w:type="character" w:customStyle="1" w:styleId="Heading4Char">
    <w:name w:val="Heading 4 Char"/>
    <w:basedOn w:val="DefaultParagraphFont"/>
    <w:link w:val="Heading4"/>
    <w:uiPriority w:val="99"/>
    <w:locked/>
    <w:rsid w:val="00DE1A51"/>
    <w:rPr>
      <w:rFonts w:ascii="Times New Roman" w:eastAsia="SimSun" w:hAnsi="Times New Roman" w:cs="Times New Roman"/>
      <w:b/>
      <w:bCs/>
      <w:i/>
      <w:iCs/>
      <w:noProof/>
      <w:color w:val="4F81BD"/>
      <w:sz w:val="24"/>
      <w:szCs w:val="24"/>
      <w:lang w:val="vi-VN"/>
    </w:rPr>
  </w:style>
  <w:style w:type="character" w:customStyle="1" w:styleId="Heading5Char">
    <w:name w:val="Heading 5 Char"/>
    <w:basedOn w:val="DefaultParagraphFont"/>
    <w:link w:val="Heading5"/>
    <w:uiPriority w:val="99"/>
    <w:semiHidden/>
    <w:locked/>
    <w:rsid w:val="000244FE"/>
    <w:rPr>
      <w:rFonts w:ascii="Times New Roman" w:eastAsia="SimSun" w:hAnsi="Times New Roman" w:cs="Times New Roman"/>
      <w:noProof/>
      <w:color w:val="243F60"/>
      <w:sz w:val="24"/>
      <w:szCs w:val="24"/>
      <w:lang w:val="vi-VN"/>
    </w:rPr>
  </w:style>
  <w:style w:type="character" w:customStyle="1" w:styleId="Heading6Char">
    <w:name w:val="Heading 6 Char"/>
    <w:basedOn w:val="DefaultParagraphFont"/>
    <w:link w:val="Heading6"/>
    <w:uiPriority w:val="99"/>
    <w:semiHidden/>
    <w:locked/>
    <w:rsid w:val="00296C35"/>
    <w:rPr>
      <w:rFonts w:ascii="Times New Roman" w:eastAsia="SimSun" w:hAnsi="Times New Roman" w:cs="Times New Roman"/>
      <w:i/>
      <w:iCs/>
      <w:noProof/>
      <w:color w:val="243F60"/>
      <w:sz w:val="24"/>
      <w:szCs w:val="24"/>
      <w:lang w:val="vi-VN"/>
    </w:rPr>
  </w:style>
  <w:style w:type="character" w:styleId="Strong">
    <w:name w:val="Strong"/>
    <w:basedOn w:val="DefaultParagraphFont"/>
    <w:uiPriority w:val="22"/>
    <w:qFormat/>
    <w:rsid w:val="00983F74"/>
    <w:rPr>
      <w:rFonts w:cs="Times New Roman"/>
      <w:b/>
      <w:bCs/>
    </w:rPr>
  </w:style>
  <w:style w:type="paragraph" w:styleId="NoSpacing">
    <w:name w:val="No Spacing"/>
    <w:uiPriority w:val="99"/>
    <w:qFormat/>
    <w:rsid w:val="00983F74"/>
    <w:rPr>
      <w:rFonts w:ascii="Times New Roman" w:hAnsi="Times New Roman"/>
      <w:noProof/>
      <w:sz w:val="24"/>
      <w:szCs w:val="24"/>
    </w:rPr>
  </w:style>
  <w:style w:type="character" w:styleId="IntenseEmphasis">
    <w:name w:val="Intense Emphasis"/>
    <w:basedOn w:val="DefaultParagraphFont"/>
    <w:uiPriority w:val="99"/>
    <w:qFormat/>
    <w:rsid w:val="00983F74"/>
    <w:rPr>
      <w:rFonts w:cs="Times New Roman"/>
      <w:b/>
      <w:bCs/>
      <w:i/>
      <w:iCs/>
      <w:color w:val="4F81BD"/>
    </w:rPr>
  </w:style>
  <w:style w:type="paragraph" w:styleId="DocumentMap">
    <w:name w:val="Document Map"/>
    <w:basedOn w:val="Normal"/>
    <w:link w:val="DocumentMapChar"/>
    <w:uiPriority w:val="99"/>
    <w:semiHidden/>
    <w:rsid w:val="00DE1A51"/>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E1A51"/>
    <w:rPr>
      <w:rFonts w:ascii="Tahoma" w:hAnsi="Tahoma" w:cs="Tahoma"/>
      <w:noProof/>
      <w:sz w:val="16"/>
      <w:szCs w:val="16"/>
      <w:lang w:val="vi-VN"/>
    </w:rPr>
  </w:style>
  <w:style w:type="paragraph" w:styleId="Header">
    <w:name w:val="header"/>
    <w:basedOn w:val="Normal"/>
    <w:link w:val="HeaderChar"/>
    <w:uiPriority w:val="99"/>
    <w:rsid w:val="00B5516D"/>
    <w:pPr>
      <w:tabs>
        <w:tab w:val="center" w:pos="4680"/>
        <w:tab w:val="right" w:pos="9360"/>
      </w:tabs>
    </w:pPr>
  </w:style>
  <w:style w:type="character" w:customStyle="1" w:styleId="HeaderChar">
    <w:name w:val="Header Char"/>
    <w:basedOn w:val="DefaultParagraphFont"/>
    <w:link w:val="Header"/>
    <w:uiPriority w:val="99"/>
    <w:locked/>
    <w:rsid w:val="00B5516D"/>
    <w:rPr>
      <w:rFonts w:ascii="Times New Roman" w:hAnsi="Times New Roman" w:cs="Times New Roman"/>
      <w:noProof/>
      <w:sz w:val="24"/>
      <w:szCs w:val="24"/>
      <w:lang w:val="vi-VN"/>
    </w:rPr>
  </w:style>
  <w:style w:type="paragraph" w:styleId="Footer">
    <w:name w:val="footer"/>
    <w:basedOn w:val="Normal"/>
    <w:link w:val="FooterChar"/>
    <w:uiPriority w:val="99"/>
    <w:rsid w:val="00B5516D"/>
    <w:pPr>
      <w:tabs>
        <w:tab w:val="center" w:pos="4680"/>
        <w:tab w:val="right" w:pos="9360"/>
      </w:tabs>
    </w:pPr>
  </w:style>
  <w:style w:type="character" w:customStyle="1" w:styleId="FooterChar">
    <w:name w:val="Footer Char"/>
    <w:basedOn w:val="DefaultParagraphFont"/>
    <w:link w:val="Footer"/>
    <w:uiPriority w:val="99"/>
    <w:locked/>
    <w:rsid w:val="00B5516D"/>
    <w:rPr>
      <w:rFonts w:ascii="Times New Roman" w:hAnsi="Times New Roman" w:cs="Times New Roman"/>
      <w:noProof/>
      <w:sz w:val="24"/>
      <w:szCs w:val="24"/>
      <w:lang w:val="vi-VN"/>
    </w:rPr>
  </w:style>
  <w:style w:type="paragraph" w:styleId="TOCHeading">
    <w:name w:val="TOC Heading"/>
    <w:basedOn w:val="Heading1"/>
    <w:next w:val="Normal"/>
    <w:uiPriority w:val="99"/>
    <w:qFormat/>
    <w:rsid w:val="00E73CDF"/>
    <w:pPr>
      <w:spacing w:line="276" w:lineRule="auto"/>
      <w:outlineLvl w:val="9"/>
    </w:pPr>
    <w:rPr>
      <w:noProof w:val="0"/>
      <w:lang w:val="en-US" w:eastAsia="en-US"/>
    </w:rPr>
  </w:style>
  <w:style w:type="paragraph" w:styleId="TOC1">
    <w:name w:val="toc 1"/>
    <w:basedOn w:val="Normal"/>
    <w:next w:val="Normal"/>
    <w:autoRedefine/>
    <w:uiPriority w:val="39"/>
    <w:rsid w:val="00FD2C59"/>
    <w:pPr>
      <w:tabs>
        <w:tab w:val="right" w:leader="dot" w:pos="9214"/>
      </w:tabs>
      <w:spacing w:line="400" w:lineRule="atLeast"/>
      <w:ind w:right="-426"/>
      <w:jc w:val="center"/>
    </w:pPr>
    <w:rPr>
      <w:b/>
      <w:sz w:val="28"/>
      <w:szCs w:val="28"/>
      <w:lang w:val="en-US"/>
    </w:rPr>
  </w:style>
  <w:style w:type="paragraph" w:styleId="TOC2">
    <w:name w:val="toc 2"/>
    <w:basedOn w:val="Normal"/>
    <w:next w:val="Normal"/>
    <w:autoRedefine/>
    <w:uiPriority w:val="39"/>
    <w:rsid w:val="0035554D"/>
    <w:pPr>
      <w:tabs>
        <w:tab w:val="left" w:pos="426"/>
        <w:tab w:val="right" w:leader="dot" w:pos="8778"/>
      </w:tabs>
      <w:spacing w:line="360" w:lineRule="auto"/>
      <w:jc w:val="both"/>
    </w:pPr>
  </w:style>
  <w:style w:type="paragraph" w:styleId="TOC3">
    <w:name w:val="toc 3"/>
    <w:basedOn w:val="Normal"/>
    <w:next w:val="Normal"/>
    <w:autoRedefine/>
    <w:uiPriority w:val="39"/>
    <w:rsid w:val="004559E7"/>
    <w:pPr>
      <w:tabs>
        <w:tab w:val="right" w:leader="dot" w:pos="8505"/>
      </w:tabs>
      <w:spacing w:line="360" w:lineRule="auto"/>
      <w:ind w:firstLine="284"/>
      <w:jc w:val="both"/>
    </w:pPr>
  </w:style>
  <w:style w:type="character" w:styleId="Hyperlink">
    <w:name w:val="Hyperlink"/>
    <w:basedOn w:val="DefaultParagraphFont"/>
    <w:uiPriority w:val="99"/>
    <w:rsid w:val="00E73CDF"/>
    <w:rPr>
      <w:rFonts w:cs="Times New Roman"/>
      <w:color w:val="0000FF"/>
      <w:u w:val="single"/>
    </w:rPr>
  </w:style>
  <w:style w:type="paragraph" w:styleId="BalloonText">
    <w:name w:val="Balloon Text"/>
    <w:basedOn w:val="Normal"/>
    <w:link w:val="BalloonTextChar"/>
    <w:uiPriority w:val="99"/>
    <w:semiHidden/>
    <w:rsid w:val="00E73CD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3CDF"/>
    <w:rPr>
      <w:rFonts w:ascii="Tahoma" w:hAnsi="Tahoma" w:cs="Tahoma"/>
      <w:noProof/>
      <w:sz w:val="16"/>
      <w:szCs w:val="16"/>
      <w:lang w:val="vi-VN"/>
    </w:rPr>
  </w:style>
  <w:style w:type="paragraph" w:styleId="NormalWeb">
    <w:name w:val="Normal (Web)"/>
    <w:basedOn w:val="Normal"/>
    <w:uiPriority w:val="99"/>
    <w:rsid w:val="00A377CC"/>
    <w:pPr>
      <w:spacing w:before="100" w:beforeAutospacing="1" w:after="100" w:afterAutospacing="1"/>
    </w:pPr>
    <w:rPr>
      <w:noProof w:val="0"/>
      <w:lang w:val="en-US"/>
    </w:rPr>
  </w:style>
  <w:style w:type="paragraph" w:styleId="FootnoteText">
    <w:name w:val="footnote text"/>
    <w:basedOn w:val="Normal"/>
    <w:link w:val="FootnoteTextChar"/>
    <w:uiPriority w:val="99"/>
    <w:rsid w:val="00A377CC"/>
    <w:rPr>
      <w:noProof w:val="0"/>
      <w:sz w:val="20"/>
      <w:szCs w:val="20"/>
      <w:lang w:val="en-US"/>
    </w:rPr>
  </w:style>
  <w:style w:type="character" w:customStyle="1" w:styleId="FootnoteTextChar">
    <w:name w:val="Footnote Text Char"/>
    <w:basedOn w:val="DefaultParagraphFont"/>
    <w:link w:val="FootnoteText"/>
    <w:uiPriority w:val="99"/>
    <w:locked/>
    <w:rsid w:val="00A377CC"/>
    <w:rPr>
      <w:rFonts w:ascii="Times New Roman" w:hAnsi="Times New Roman" w:cs="Times New Roman"/>
      <w:sz w:val="20"/>
      <w:szCs w:val="20"/>
    </w:rPr>
  </w:style>
  <w:style w:type="paragraph" w:styleId="EndnoteText">
    <w:name w:val="endnote text"/>
    <w:basedOn w:val="Normal"/>
    <w:link w:val="EndnoteTextChar"/>
    <w:uiPriority w:val="99"/>
    <w:semiHidden/>
    <w:rsid w:val="00A377CC"/>
    <w:rPr>
      <w:noProof w:val="0"/>
      <w:sz w:val="20"/>
      <w:szCs w:val="20"/>
      <w:lang w:val="en-US"/>
    </w:rPr>
  </w:style>
  <w:style w:type="character" w:customStyle="1" w:styleId="EndnoteTextChar">
    <w:name w:val="Endnote Text Char"/>
    <w:basedOn w:val="DefaultParagraphFont"/>
    <w:link w:val="EndnoteText"/>
    <w:uiPriority w:val="99"/>
    <w:semiHidden/>
    <w:locked/>
    <w:rsid w:val="00A377CC"/>
    <w:rPr>
      <w:rFonts w:ascii="Times New Roman" w:hAnsi="Times New Roman" w:cs="Times New Roman"/>
      <w:sz w:val="20"/>
      <w:szCs w:val="20"/>
    </w:rPr>
  </w:style>
  <w:style w:type="character" w:styleId="FootnoteReference">
    <w:name w:val="footnote reference"/>
    <w:basedOn w:val="DefaultParagraphFont"/>
    <w:uiPriority w:val="99"/>
    <w:rsid w:val="00A377CC"/>
    <w:rPr>
      <w:rFonts w:cs="Times New Roman"/>
      <w:vertAlign w:val="superscript"/>
    </w:rPr>
  </w:style>
  <w:style w:type="character" w:styleId="EndnoteReference">
    <w:name w:val="endnote reference"/>
    <w:basedOn w:val="DefaultParagraphFont"/>
    <w:uiPriority w:val="99"/>
    <w:semiHidden/>
    <w:rsid w:val="00A377CC"/>
    <w:rPr>
      <w:rFonts w:cs="Times New Roman"/>
      <w:vertAlign w:val="superscript"/>
    </w:rPr>
  </w:style>
  <w:style w:type="character" w:customStyle="1" w:styleId="name">
    <w:name w:val="name"/>
    <w:basedOn w:val="DefaultParagraphFont"/>
    <w:uiPriority w:val="99"/>
    <w:rsid w:val="00A377CC"/>
    <w:rPr>
      <w:rFonts w:cs="Times New Roman"/>
    </w:rPr>
  </w:style>
  <w:style w:type="character" w:customStyle="1" w:styleId="apple-style-span">
    <w:name w:val="apple-style-span"/>
    <w:basedOn w:val="DefaultParagraphFont"/>
    <w:uiPriority w:val="99"/>
    <w:rsid w:val="00A377CC"/>
    <w:rPr>
      <w:rFonts w:cs="Times New Roman"/>
    </w:rPr>
  </w:style>
  <w:style w:type="character" w:styleId="Emphasis">
    <w:name w:val="Emphasis"/>
    <w:basedOn w:val="DefaultParagraphFont"/>
    <w:uiPriority w:val="20"/>
    <w:qFormat/>
    <w:rsid w:val="00A377CC"/>
    <w:rPr>
      <w:rFonts w:cs="Times New Roman"/>
      <w:i/>
      <w:iCs/>
    </w:rPr>
  </w:style>
  <w:style w:type="paragraph" w:styleId="Caption">
    <w:name w:val="caption"/>
    <w:basedOn w:val="Normal"/>
    <w:next w:val="Normal"/>
    <w:uiPriority w:val="99"/>
    <w:qFormat/>
    <w:rsid w:val="00A81650"/>
    <w:pPr>
      <w:spacing w:after="200"/>
    </w:pPr>
    <w:rPr>
      <w:rFonts w:ascii="VNI-Times" w:hAnsi="VNI-Times"/>
      <w:b/>
      <w:bCs/>
      <w:noProof w:val="0"/>
      <w:color w:val="4F81BD"/>
      <w:spacing w:val="-8"/>
      <w:sz w:val="18"/>
      <w:szCs w:val="18"/>
      <w:lang w:val="en-US" w:eastAsia="en-US"/>
    </w:rPr>
  </w:style>
  <w:style w:type="paragraph" w:styleId="ListParagraph">
    <w:name w:val="List Paragraph"/>
    <w:basedOn w:val="Normal"/>
    <w:uiPriority w:val="34"/>
    <w:qFormat/>
    <w:rsid w:val="00A81650"/>
    <w:pPr>
      <w:ind w:left="720"/>
      <w:contextualSpacing/>
    </w:pPr>
    <w:rPr>
      <w:rFonts w:ascii="VNI-Times" w:hAnsi="VNI-Times"/>
      <w:noProof w:val="0"/>
      <w:spacing w:val="-8"/>
      <w:sz w:val="26"/>
      <w:szCs w:val="26"/>
      <w:lang w:val="en-US" w:eastAsia="en-US"/>
    </w:rPr>
  </w:style>
  <w:style w:type="paragraph" w:styleId="TOC5">
    <w:name w:val="toc 5"/>
    <w:basedOn w:val="Normal"/>
    <w:next w:val="Normal"/>
    <w:autoRedefine/>
    <w:uiPriority w:val="99"/>
    <w:rsid w:val="00EF2608"/>
    <w:pPr>
      <w:spacing w:after="100"/>
      <w:ind w:left="960"/>
    </w:pPr>
  </w:style>
  <w:style w:type="paragraph" w:styleId="TOC4">
    <w:name w:val="toc 4"/>
    <w:basedOn w:val="Normal"/>
    <w:next w:val="Normal"/>
    <w:autoRedefine/>
    <w:uiPriority w:val="99"/>
    <w:rsid w:val="00151B2C"/>
    <w:pPr>
      <w:tabs>
        <w:tab w:val="right" w:leader="dot" w:pos="8505"/>
      </w:tabs>
      <w:spacing w:after="100"/>
      <w:ind w:left="720" w:hanging="11"/>
    </w:pPr>
  </w:style>
  <w:style w:type="paragraph" w:customStyle="1" w:styleId="articleabstract">
    <w:name w:val="article_abstract"/>
    <w:basedOn w:val="Normal"/>
    <w:uiPriority w:val="99"/>
    <w:rsid w:val="0070050D"/>
    <w:pPr>
      <w:spacing w:before="100" w:beforeAutospacing="1" w:after="100" w:afterAutospacing="1"/>
    </w:pPr>
    <w:rPr>
      <w:noProof w:val="0"/>
      <w:lang w:val="en-US"/>
    </w:rPr>
  </w:style>
  <w:style w:type="character" w:styleId="HTMLCite">
    <w:name w:val="HTML Cite"/>
    <w:basedOn w:val="DefaultParagraphFont"/>
    <w:uiPriority w:val="99"/>
    <w:rsid w:val="00137EE5"/>
    <w:rPr>
      <w:rFonts w:cs="Times New Roman"/>
      <w:i/>
      <w:iCs/>
    </w:rPr>
  </w:style>
  <w:style w:type="character" w:styleId="FollowedHyperlink">
    <w:name w:val="FollowedHyperlink"/>
    <w:basedOn w:val="DefaultParagraphFont"/>
    <w:uiPriority w:val="99"/>
    <w:semiHidden/>
    <w:rsid w:val="00934CEE"/>
    <w:rPr>
      <w:rFonts w:cs="Times New Roman"/>
      <w:color w:val="800080"/>
      <w:u w:val="single"/>
    </w:rPr>
  </w:style>
  <w:style w:type="table" w:styleId="TableGrid">
    <w:name w:val="Table Grid"/>
    <w:basedOn w:val="TableNormal"/>
    <w:uiPriority w:val="99"/>
    <w:rsid w:val="00930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
    <w:name w:val="st"/>
    <w:basedOn w:val="DefaultParagraphFont"/>
    <w:uiPriority w:val="99"/>
    <w:rsid w:val="00EA1171"/>
    <w:rPr>
      <w:rFonts w:cs="Times New Roman"/>
    </w:rPr>
  </w:style>
  <w:style w:type="character" w:styleId="CommentReference">
    <w:name w:val="annotation reference"/>
    <w:basedOn w:val="DefaultParagraphFont"/>
    <w:uiPriority w:val="99"/>
    <w:semiHidden/>
    <w:rsid w:val="0085585D"/>
    <w:rPr>
      <w:rFonts w:cs="Times New Roman"/>
      <w:sz w:val="16"/>
      <w:szCs w:val="16"/>
    </w:rPr>
  </w:style>
  <w:style w:type="paragraph" w:styleId="CommentText">
    <w:name w:val="annotation text"/>
    <w:basedOn w:val="Normal"/>
    <w:link w:val="CommentTextChar"/>
    <w:uiPriority w:val="99"/>
    <w:semiHidden/>
    <w:rsid w:val="0085585D"/>
    <w:rPr>
      <w:sz w:val="20"/>
      <w:szCs w:val="20"/>
    </w:rPr>
  </w:style>
  <w:style w:type="character" w:customStyle="1" w:styleId="CommentTextChar">
    <w:name w:val="Comment Text Char"/>
    <w:basedOn w:val="DefaultParagraphFont"/>
    <w:link w:val="CommentText"/>
    <w:uiPriority w:val="99"/>
    <w:semiHidden/>
    <w:locked/>
    <w:rsid w:val="0085585D"/>
    <w:rPr>
      <w:rFonts w:ascii="Times New Roman" w:hAnsi="Times New Roman" w:cs="Times New Roman"/>
      <w:noProof/>
      <w:sz w:val="20"/>
      <w:szCs w:val="20"/>
      <w:lang w:val="vi-VN"/>
    </w:rPr>
  </w:style>
  <w:style w:type="paragraph" w:styleId="CommentSubject">
    <w:name w:val="annotation subject"/>
    <w:basedOn w:val="CommentText"/>
    <w:next w:val="CommentText"/>
    <w:link w:val="CommentSubjectChar"/>
    <w:uiPriority w:val="99"/>
    <w:semiHidden/>
    <w:rsid w:val="0085585D"/>
    <w:rPr>
      <w:b/>
      <w:bCs/>
    </w:rPr>
  </w:style>
  <w:style w:type="character" w:customStyle="1" w:styleId="CommentSubjectChar">
    <w:name w:val="Comment Subject Char"/>
    <w:basedOn w:val="CommentTextChar"/>
    <w:link w:val="CommentSubject"/>
    <w:uiPriority w:val="99"/>
    <w:semiHidden/>
    <w:locked/>
    <w:rsid w:val="0085585D"/>
    <w:rPr>
      <w:rFonts w:ascii="Times New Roman" w:hAnsi="Times New Roman" w:cs="Times New Roman"/>
      <w:b/>
      <w:bCs/>
      <w:noProof/>
      <w:sz w:val="20"/>
      <w:szCs w:val="20"/>
      <w:lang w:val="vi-VN"/>
    </w:rPr>
  </w:style>
  <w:style w:type="character" w:customStyle="1" w:styleId="upper">
    <w:name w:val="upper"/>
    <w:basedOn w:val="DefaultParagraphFont"/>
    <w:uiPriority w:val="99"/>
    <w:rsid w:val="00321DC0"/>
    <w:rPr>
      <w:rFonts w:cs="Times New Roman"/>
    </w:rPr>
  </w:style>
  <w:style w:type="paragraph" w:styleId="TOC6">
    <w:name w:val="toc 6"/>
    <w:basedOn w:val="Normal"/>
    <w:next w:val="Normal"/>
    <w:autoRedefine/>
    <w:uiPriority w:val="99"/>
    <w:rsid w:val="00423CC8"/>
    <w:pPr>
      <w:spacing w:after="100"/>
      <w:ind w:left="1200"/>
    </w:pPr>
  </w:style>
  <w:style w:type="paragraph" w:customStyle="1" w:styleId="content">
    <w:name w:val="content"/>
    <w:basedOn w:val="Normal"/>
    <w:uiPriority w:val="99"/>
    <w:rsid w:val="006B2C34"/>
    <w:pPr>
      <w:spacing w:before="100" w:beforeAutospacing="1" w:after="100" w:afterAutospacing="1"/>
    </w:pPr>
    <w:rPr>
      <w:noProof w:val="0"/>
      <w:lang w:val="en-US" w:eastAsia="en-US"/>
    </w:rPr>
  </w:style>
  <w:style w:type="character" w:customStyle="1" w:styleId="apple-converted-space">
    <w:name w:val="apple-converted-space"/>
    <w:basedOn w:val="DefaultParagraphFont"/>
    <w:uiPriority w:val="99"/>
    <w:rsid w:val="006B2C34"/>
    <w:rPr>
      <w:rFonts w:cs="Times New Roman"/>
    </w:rPr>
  </w:style>
  <w:style w:type="character" w:customStyle="1" w:styleId="newstt">
    <w:name w:val="newstt"/>
    <w:basedOn w:val="DefaultParagraphFont"/>
    <w:uiPriority w:val="99"/>
    <w:rsid w:val="00076771"/>
    <w:rPr>
      <w:rFonts w:cs="Times New Roman"/>
    </w:rPr>
  </w:style>
  <w:style w:type="character" w:customStyle="1" w:styleId="byline-name">
    <w:name w:val="byline-name"/>
    <w:basedOn w:val="DefaultParagraphFont"/>
    <w:uiPriority w:val="99"/>
    <w:rsid w:val="00076771"/>
    <w:rPr>
      <w:rFonts w:cs="Times New Roman"/>
    </w:rPr>
  </w:style>
  <w:style w:type="character" w:customStyle="1" w:styleId="dttitle">
    <w:name w:val="dttitle"/>
    <w:basedOn w:val="DefaultParagraphFont"/>
    <w:uiPriority w:val="99"/>
    <w:rsid w:val="00076771"/>
    <w:rPr>
      <w:rFonts w:cs="Times New Roman"/>
    </w:rPr>
  </w:style>
  <w:style w:type="character" w:customStyle="1" w:styleId="timedate">
    <w:name w:val="timedate"/>
    <w:basedOn w:val="DefaultParagraphFont"/>
    <w:uiPriority w:val="99"/>
    <w:rsid w:val="00076771"/>
    <w:rPr>
      <w:rFonts w:cs="Times New Roman"/>
    </w:rPr>
  </w:style>
  <w:style w:type="character" w:styleId="PageNumber">
    <w:name w:val="page number"/>
    <w:basedOn w:val="DefaultParagraphFont"/>
    <w:uiPriority w:val="99"/>
    <w:rsid w:val="00CA2F60"/>
    <w:rPr>
      <w:rFonts w:cs="Times New Roman"/>
    </w:rPr>
  </w:style>
  <w:style w:type="character" w:customStyle="1" w:styleId="cpChagiiquyt1">
    <w:name w:val="Đề cập Chưa giải quyết1"/>
    <w:basedOn w:val="DefaultParagraphFont"/>
    <w:uiPriority w:val="99"/>
    <w:semiHidden/>
    <w:unhideWhenUsed/>
    <w:rsid w:val="009316B0"/>
    <w:rPr>
      <w:color w:val="605E5C"/>
      <w:shd w:val="clear" w:color="auto" w:fill="E1DFDD"/>
    </w:rPr>
  </w:style>
  <w:style w:type="paragraph" w:styleId="Revision">
    <w:name w:val="Revision"/>
    <w:hidden/>
    <w:uiPriority w:val="99"/>
    <w:semiHidden/>
    <w:rsid w:val="007A06DA"/>
    <w:rPr>
      <w:rFonts w:ascii="Times New Roman" w:hAnsi="Times New Roman"/>
      <w:noProof/>
      <w:sz w:val="24"/>
      <w:szCs w:val="24"/>
    </w:rPr>
  </w:style>
  <w:style w:type="character" w:customStyle="1" w:styleId="cpChagiiquyt2">
    <w:name w:val="Đề cập Chưa giải quyết2"/>
    <w:basedOn w:val="DefaultParagraphFont"/>
    <w:uiPriority w:val="99"/>
    <w:semiHidden/>
    <w:unhideWhenUsed/>
    <w:rsid w:val="00BC31FC"/>
    <w:rPr>
      <w:color w:val="605E5C"/>
      <w:shd w:val="clear" w:color="auto" w:fill="E1DFDD"/>
    </w:rPr>
  </w:style>
  <w:style w:type="character" w:styleId="HTMLTypewriter">
    <w:name w:val="HTML Typewriter"/>
    <w:basedOn w:val="DefaultParagraphFont"/>
    <w:rsid w:val="00214EF0"/>
    <w:rPr>
      <w:rFonts w:ascii="Courier New" w:eastAsia="SimSun" w:hAnsi="Courier New" w:cs="Courier New"/>
      <w:sz w:val="20"/>
      <w:szCs w:val="20"/>
    </w:rPr>
  </w:style>
  <w:style w:type="character" w:styleId="UnresolvedMention">
    <w:name w:val="Unresolved Mention"/>
    <w:basedOn w:val="DefaultParagraphFont"/>
    <w:uiPriority w:val="99"/>
    <w:semiHidden/>
    <w:unhideWhenUsed/>
    <w:rsid w:val="007E1895"/>
    <w:rPr>
      <w:color w:val="605E5C"/>
      <w:shd w:val="clear" w:color="auto" w:fill="E1DFDD"/>
    </w:rPr>
  </w:style>
  <w:style w:type="character" w:customStyle="1" w:styleId="a-size-extra-large">
    <w:name w:val="a-size-extra-large"/>
    <w:basedOn w:val="DefaultParagraphFont"/>
    <w:rsid w:val="008B0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20058">
      <w:bodyDiv w:val="1"/>
      <w:marLeft w:val="0"/>
      <w:marRight w:val="0"/>
      <w:marTop w:val="0"/>
      <w:marBottom w:val="0"/>
      <w:divBdr>
        <w:top w:val="none" w:sz="0" w:space="0" w:color="auto"/>
        <w:left w:val="none" w:sz="0" w:space="0" w:color="auto"/>
        <w:bottom w:val="none" w:sz="0" w:space="0" w:color="auto"/>
        <w:right w:val="none" w:sz="0" w:space="0" w:color="auto"/>
      </w:divBdr>
    </w:div>
    <w:div w:id="99184658">
      <w:bodyDiv w:val="1"/>
      <w:marLeft w:val="0"/>
      <w:marRight w:val="0"/>
      <w:marTop w:val="0"/>
      <w:marBottom w:val="0"/>
      <w:divBdr>
        <w:top w:val="none" w:sz="0" w:space="0" w:color="auto"/>
        <w:left w:val="none" w:sz="0" w:space="0" w:color="auto"/>
        <w:bottom w:val="none" w:sz="0" w:space="0" w:color="auto"/>
        <w:right w:val="none" w:sz="0" w:space="0" w:color="auto"/>
      </w:divBdr>
    </w:div>
    <w:div w:id="162354160">
      <w:bodyDiv w:val="1"/>
      <w:marLeft w:val="0"/>
      <w:marRight w:val="0"/>
      <w:marTop w:val="0"/>
      <w:marBottom w:val="0"/>
      <w:divBdr>
        <w:top w:val="none" w:sz="0" w:space="0" w:color="auto"/>
        <w:left w:val="none" w:sz="0" w:space="0" w:color="auto"/>
        <w:bottom w:val="none" w:sz="0" w:space="0" w:color="auto"/>
        <w:right w:val="none" w:sz="0" w:space="0" w:color="auto"/>
      </w:divBdr>
    </w:div>
    <w:div w:id="227154072">
      <w:bodyDiv w:val="1"/>
      <w:marLeft w:val="0"/>
      <w:marRight w:val="0"/>
      <w:marTop w:val="0"/>
      <w:marBottom w:val="0"/>
      <w:divBdr>
        <w:top w:val="none" w:sz="0" w:space="0" w:color="auto"/>
        <w:left w:val="none" w:sz="0" w:space="0" w:color="auto"/>
        <w:bottom w:val="none" w:sz="0" w:space="0" w:color="auto"/>
        <w:right w:val="none" w:sz="0" w:space="0" w:color="auto"/>
      </w:divBdr>
    </w:div>
    <w:div w:id="227766905">
      <w:bodyDiv w:val="1"/>
      <w:marLeft w:val="0"/>
      <w:marRight w:val="0"/>
      <w:marTop w:val="0"/>
      <w:marBottom w:val="0"/>
      <w:divBdr>
        <w:top w:val="none" w:sz="0" w:space="0" w:color="auto"/>
        <w:left w:val="none" w:sz="0" w:space="0" w:color="auto"/>
        <w:bottom w:val="none" w:sz="0" w:space="0" w:color="auto"/>
        <w:right w:val="none" w:sz="0" w:space="0" w:color="auto"/>
      </w:divBdr>
    </w:div>
    <w:div w:id="325404673">
      <w:bodyDiv w:val="1"/>
      <w:marLeft w:val="0"/>
      <w:marRight w:val="0"/>
      <w:marTop w:val="0"/>
      <w:marBottom w:val="0"/>
      <w:divBdr>
        <w:top w:val="none" w:sz="0" w:space="0" w:color="auto"/>
        <w:left w:val="none" w:sz="0" w:space="0" w:color="auto"/>
        <w:bottom w:val="none" w:sz="0" w:space="0" w:color="auto"/>
        <w:right w:val="none" w:sz="0" w:space="0" w:color="auto"/>
      </w:divBdr>
    </w:div>
    <w:div w:id="344751431">
      <w:bodyDiv w:val="1"/>
      <w:marLeft w:val="0"/>
      <w:marRight w:val="0"/>
      <w:marTop w:val="0"/>
      <w:marBottom w:val="0"/>
      <w:divBdr>
        <w:top w:val="none" w:sz="0" w:space="0" w:color="auto"/>
        <w:left w:val="none" w:sz="0" w:space="0" w:color="auto"/>
        <w:bottom w:val="none" w:sz="0" w:space="0" w:color="auto"/>
        <w:right w:val="none" w:sz="0" w:space="0" w:color="auto"/>
      </w:divBdr>
    </w:div>
    <w:div w:id="434831923">
      <w:bodyDiv w:val="1"/>
      <w:marLeft w:val="0"/>
      <w:marRight w:val="0"/>
      <w:marTop w:val="0"/>
      <w:marBottom w:val="0"/>
      <w:divBdr>
        <w:top w:val="none" w:sz="0" w:space="0" w:color="auto"/>
        <w:left w:val="none" w:sz="0" w:space="0" w:color="auto"/>
        <w:bottom w:val="none" w:sz="0" w:space="0" w:color="auto"/>
        <w:right w:val="none" w:sz="0" w:space="0" w:color="auto"/>
      </w:divBdr>
    </w:div>
    <w:div w:id="464273492">
      <w:bodyDiv w:val="1"/>
      <w:marLeft w:val="0"/>
      <w:marRight w:val="0"/>
      <w:marTop w:val="0"/>
      <w:marBottom w:val="0"/>
      <w:divBdr>
        <w:top w:val="none" w:sz="0" w:space="0" w:color="auto"/>
        <w:left w:val="none" w:sz="0" w:space="0" w:color="auto"/>
        <w:bottom w:val="none" w:sz="0" w:space="0" w:color="auto"/>
        <w:right w:val="none" w:sz="0" w:space="0" w:color="auto"/>
      </w:divBdr>
    </w:div>
    <w:div w:id="509221804">
      <w:bodyDiv w:val="1"/>
      <w:marLeft w:val="0"/>
      <w:marRight w:val="0"/>
      <w:marTop w:val="0"/>
      <w:marBottom w:val="0"/>
      <w:divBdr>
        <w:top w:val="none" w:sz="0" w:space="0" w:color="auto"/>
        <w:left w:val="none" w:sz="0" w:space="0" w:color="auto"/>
        <w:bottom w:val="none" w:sz="0" w:space="0" w:color="auto"/>
        <w:right w:val="none" w:sz="0" w:space="0" w:color="auto"/>
      </w:divBdr>
    </w:div>
    <w:div w:id="535578224">
      <w:bodyDiv w:val="1"/>
      <w:marLeft w:val="0"/>
      <w:marRight w:val="0"/>
      <w:marTop w:val="0"/>
      <w:marBottom w:val="0"/>
      <w:divBdr>
        <w:top w:val="none" w:sz="0" w:space="0" w:color="auto"/>
        <w:left w:val="none" w:sz="0" w:space="0" w:color="auto"/>
        <w:bottom w:val="none" w:sz="0" w:space="0" w:color="auto"/>
        <w:right w:val="none" w:sz="0" w:space="0" w:color="auto"/>
      </w:divBdr>
    </w:div>
    <w:div w:id="572740628">
      <w:bodyDiv w:val="1"/>
      <w:marLeft w:val="0"/>
      <w:marRight w:val="0"/>
      <w:marTop w:val="0"/>
      <w:marBottom w:val="0"/>
      <w:divBdr>
        <w:top w:val="none" w:sz="0" w:space="0" w:color="auto"/>
        <w:left w:val="none" w:sz="0" w:space="0" w:color="auto"/>
        <w:bottom w:val="none" w:sz="0" w:space="0" w:color="auto"/>
        <w:right w:val="none" w:sz="0" w:space="0" w:color="auto"/>
      </w:divBdr>
    </w:div>
    <w:div w:id="574323935">
      <w:bodyDiv w:val="1"/>
      <w:marLeft w:val="0"/>
      <w:marRight w:val="0"/>
      <w:marTop w:val="0"/>
      <w:marBottom w:val="0"/>
      <w:divBdr>
        <w:top w:val="none" w:sz="0" w:space="0" w:color="auto"/>
        <w:left w:val="none" w:sz="0" w:space="0" w:color="auto"/>
        <w:bottom w:val="none" w:sz="0" w:space="0" w:color="auto"/>
        <w:right w:val="none" w:sz="0" w:space="0" w:color="auto"/>
      </w:divBdr>
    </w:div>
    <w:div w:id="634146554">
      <w:bodyDiv w:val="1"/>
      <w:marLeft w:val="0"/>
      <w:marRight w:val="0"/>
      <w:marTop w:val="0"/>
      <w:marBottom w:val="0"/>
      <w:divBdr>
        <w:top w:val="none" w:sz="0" w:space="0" w:color="auto"/>
        <w:left w:val="none" w:sz="0" w:space="0" w:color="auto"/>
        <w:bottom w:val="none" w:sz="0" w:space="0" w:color="auto"/>
        <w:right w:val="none" w:sz="0" w:space="0" w:color="auto"/>
      </w:divBdr>
    </w:div>
    <w:div w:id="676006737">
      <w:bodyDiv w:val="1"/>
      <w:marLeft w:val="0"/>
      <w:marRight w:val="0"/>
      <w:marTop w:val="0"/>
      <w:marBottom w:val="0"/>
      <w:divBdr>
        <w:top w:val="none" w:sz="0" w:space="0" w:color="auto"/>
        <w:left w:val="none" w:sz="0" w:space="0" w:color="auto"/>
        <w:bottom w:val="none" w:sz="0" w:space="0" w:color="auto"/>
        <w:right w:val="none" w:sz="0" w:space="0" w:color="auto"/>
      </w:divBdr>
    </w:div>
    <w:div w:id="716903738">
      <w:bodyDiv w:val="1"/>
      <w:marLeft w:val="0"/>
      <w:marRight w:val="0"/>
      <w:marTop w:val="0"/>
      <w:marBottom w:val="0"/>
      <w:divBdr>
        <w:top w:val="none" w:sz="0" w:space="0" w:color="auto"/>
        <w:left w:val="none" w:sz="0" w:space="0" w:color="auto"/>
        <w:bottom w:val="none" w:sz="0" w:space="0" w:color="auto"/>
        <w:right w:val="none" w:sz="0" w:space="0" w:color="auto"/>
      </w:divBdr>
    </w:div>
    <w:div w:id="905604416">
      <w:marLeft w:val="0"/>
      <w:marRight w:val="0"/>
      <w:marTop w:val="0"/>
      <w:marBottom w:val="0"/>
      <w:divBdr>
        <w:top w:val="none" w:sz="0" w:space="0" w:color="auto"/>
        <w:left w:val="none" w:sz="0" w:space="0" w:color="auto"/>
        <w:bottom w:val="none" w:sz="0" w:space="0" w:color="auto"/>
        <w:right w:val="none" w:sz="0" w:space="0" w:color="auto"/>
      </w:divBdr>
    </w:div>
    <w:div w:id="905604417">
      <w:marLeft w:val="0"/>
      <w:marRight w:val="0"/>
      <w:marTop w:val="0"/>
      <w:marBottom w:val="0"/>
      <w:divBdr>
        <w:top w:val="none" w:sz="0" w:space="0" w:color="auto"/>
        <w:left w:val="none" w:sz="0" w:space="0" w:color="auto"/>
        <w:bottom w:val="none" w:sz="0" w:space="0" w:color="auto"/>
        <w:right w:val="none" w:sz="0" w:space="0" w:color="auto"/>
      </w:divBdr>
    </w:div>
    <w:div w:id="905604418">
      <w:marLeft w:val="0"/>
      <w:marRight w:val="0"/>
      <w:marTop w:val="0"/>
      <w:marBottom w:val="0"/>
      <w:divBdr>
        <w:top w:val="none" w:sz="0" w:space="0" w:color="auto"/>
        <w:left w:val="none" w:sz="0" w:space="0" w:color="auto"/>
        <w:bottom w:val="none" w:sz="0" w:space="0" w:color="auto"/>
        <w:right w:val="none" w:sz="0" w:space="0" w:color="auto"/>
      </w:divBdr>
    </w:div>
    <w:div w:id="905604419">
      <w:marLeft w:val="0"/>
      <w:marRight w:val="0"/>
      <w:marTop w:val="0"/>
      <w:marBottom w:val="0"/>
      <w:divBdr>
        <w:top w:val="none" w:sz="0" w:space="0" w:color="auto"/>
        <w:left w:val="none" w:sz="0" w:space="0" w:color="auto"/>
        <w:bottom w:val="none" w:sz="0" w:space="0" w:color="auto"/>
        <w:right w:val="none" w:sz="0" w:space="0" w:color="auto"/>
      </w:divBdr>
    </w:div>
    <w:div w:id="905604420">
      <w:marLeft w:val="0"/>
      <w:marRight w:val="0"/>
      <w:marTop w:val="0"/>
      <w:marBottom w:val="0"/>
      <w:divBdr>
        <w:top w:val="none" w:sz="0" w:space="0" w:color="auto"/>
        <w:left w:val="none" w:sz="0" w:space="0" w:color="auto"/>
        <w:bottom w:val="none" w:sz="0" w:space="0" w:color="auto"/>
        <w:right w:val="none" w:sz="0" w:space="0" w:color="auto"/>
      </w:divBdr>
    </w:div>
    <w:div w:id="905604421">
      <w:marLeft w:val="0"/>
      <w:marRight w:val="0"/>
      <w:marTop w:val="0"/>
      <w:marBottom w:val="0"/>
      <w:divBdr>
        <w:top w:val="none" w:sz="0" w:space="0" w:color="auto"/>
        <w:left w:val="none" w:sz="0" w:space="0" w:color="auto"/>
        <w:bottom w:val="none" w:sz="0" w:space="0" w:color="auto"/>
        <w:right w:val="none" w:sz="0" w:space="0" w:color="auto"/>
      </w:divBdr>
    </w:div>
    <w:div w:id="905604422">
      <w:marLeft w:val="0"/>
      <w:marRight w:val="0"/>
      <w:marTop w:val="0"/>
      <w:marBottom w:val="0"/>
      <w:divBdr>
        <w:top w:val="none" w:sz="0" w:space="0" w:color="auto"/>
        <w:left w:val="none" w:sz="0" w:space="0" w:color="auto"/>
        <w:bottom w:val="none" w:sz="0" w:space="0" w:color="auto"/>
        <w:right w:val="none" w:sz="0" w:space="0" w:color="auto"/>
      </w:divBdr>
    </w:div>
    <w:div w:id="905604423">
      <w:marLeft w:val="0"/>
      <w:marRight w:val="0"/>
      <w:marTop w:val="0"/>
      <w:marBottom w:val="0"/>
      <w:divBdr>
        <w:top w:val="none" w:sz="0" w:space="0" w:color="auto"/>
        <w:left w:val="none" w:sz="0" w:space="0" w:color="auto"/>
        <w:bottom w:val="none" w:sz="0" w:space="0" w:color="auto"/>
        <w:right w:val="none" w:sz="0" w:space="0" w:color="auto"/>
      </w:divBdr>
    </w:div>
    <w:div w:id="905604424">
      <w:marLeft w:val="0"/>
      <w:marRight w:val="0"/>
      <w:marTop w:val="0"/>
      <w:marBottom w:val="0"/>
      <w:divBdr>
        <w:top w:val="none" w:sz="0" w:space="0" w:color="auto"/>
        <w:left w:val="none" w:sz="0" w:space="0" w:color="auto"/>
        <w:bottom w:val="none" w:sz="0" w:space="0" w:color="auto"/>
        <w:right w:val="none" w:sz="0" w:space="0" w:color="auto"/>
      </w:divBdr>
    </w:div>
    <w:div w:id="905604425">
      <w:marLeft w:val="0"/>
      <w:marRight w:val="0"/>
      <w:marTop w:val="0"/>
      <w:marBottom w:val="0"/>
      <w:divBdr>
        <w:top w:val="none" w:sz="0" w:space="0" w:color="auto"/>
        <w:left w:val="none" w:sz="0" w:space="0" w:color="auto"/>
        <w:bottom w:val="none" w:sz="0" w:space="0" w:color="auto"/>
        <w:right w:val="none" w:sz="0" w:space="0" w:color="auto"/>
      </w:divBdr>
    </w:div>
    <w:div w:id="905604426">
      <w:marLeft w:val="0"/>
      <w:marRight w:val="0"/>
      <w:marTop w:val="0"/>
      <w:marBottom w:val="0"/>
      <w:divBdr>
        <w:top w:val="none" w:sz="0" w:space="0" w:color="auto"/>
        <w:left w:val="none" w:sz="0" w:space="0" w:color="auto"/>
        <w:bottom w:val="none" w:sz="0" w:space="0" w:color="auto"/>
        <w:right w:val="none" w:sz="0" w:space="0" w:color="auto"/>
      </w:divBdr>
    </w:div>
    <w:div w:id="905604427">
      <w:marLeft w:val="0"/>
      <w:marRight w:val="0"/>
      <w:marTop w:val="0"/>
      <w:marBottom w:val="0"/>
      <w:divBdr>
        <w:top w:val="none" w:sz="0" w:space="0" w:color="auto"/>
        <w:left w:val="none" w:sz="0" w:space="0" w:color="auto"/>
        <w:bottom w:val="none" w:sz="0" w:space="0" w:color="auto"/>
        <w:right w:val="none" w:sz="0" w:space="0" w:color="auto"/>
      </w:divBdr>
    </w:div>
    <w:div w:id="905604428">
      <w:marLeft w:val="0"/>
      <w:marRight w:val="0"/>
      <w:marTop w:val="0"/>
      <w:marBottom w:val="0"/>
      <w:divBdr>
        <w:top w:val="none" w:sz="0" w:space="0" w:color="auto"/>
        <w:left w:val="none" w:sz="0" w:space="0" w:color="auto"/>
        <w:bottom w:val="none" w:sz="0" w:space="0" w:color="auto"/>
        <w:right w:val="none" w:sz="0" w:space="0" w:color="auto"/>
      </w:divBdr>
    </w:div>
    <w:div w:id="905604429">
      <w:marLeft w:val="0"/>
      <w:marRight w:val="0"/>
      <w:marTop w:val="0"/>
      <w:marBottom w:val="0"/>
      <w:divBdr>
        <w:top w:val="none" w:sz="0" w:space="0" w:color="auto"/>
        <w:left w:val="none" w:sz="0" w:space="0" w:color="auto"/>
        <w:bottom w:val="none" w:sz="0" w:space="0" w:color="auto"/>
        <w:right w:val="none" w:sz="0" w:space="0" w:color="auto"/>
      </w:divBdr>
    </w:div>
    <w:div w:id="905604430">
      <w:marLeft w:val="0"/>
      <w:marRight w:val="0"/>
      <w:marTop w:val="0"/>
      <w:marBottom w:val="0"/>
      <w:divBdr>
        <w:top w:val="none" w:sz="0" w:space="0" w:color="auto"/>
        <w:left w:val="none" w:sz="0" w:space="0" w:color="auto"/>
        <w:bottom w:val="none" w:sz="0" w:space="0" w:color="auto"/>
        <w:right w:val="none" w:sz="0" w:space="0" w:color="auto"/>
      </w:divBdr>
    </w:div>
    <w:div w:id="905604431">
      <w:marLeft w:val="0"/>
      <w:marRight w:val="0"/>
      <w:marTop w:val="0"/>
      <w:marBottom w:val="0"/>
      <w:divBdr>
        <w:top w:val="none" w:sz="0" w:space="0" w:color="auto"/>
        <w:left w:val="none" w:sz="0" w:space="0" w:color="auto"/>
        <w:bottom w:val="none" w:sz="0" w:space="0" w:color="auto"/>
        <w:right w:val="none" w:sz="0" w:space="0" w:color="auto"/>
      </w:divBdr>
    </w:div>
    <w:div w:id="905604432">
      <w:marLeft w:val="0"/>
      <w:marRight w:val="0"/>
      <w:marTop w:val="0"/>
      <w:marBottom w:val="0"/>
      <w:divBdr>
        <w:top w:val="none" w:sz="0" w:space="0" w:color="auto"/>
        <w:left w:val="none" w:sz="0" w:space="0" w:color="auto"/>
        <w:bottom w:val="none" w:sz="0" w:space="0" w:color="auto"/>
        <w:right w:val="none" w:sz="0" w:space="0" w:color="auto"/>
      </w:divBdr>
    </w:div>
    <w:div w:id="905604433">
      <w:marLeft w:val="0"/>
      <w:marRight w:val="0"/>
      <w:marTop w:val="0"/>
      <w:marBottom w:val="0"/>
      <w:divBdr>
        <w:top w:val="none" w:sz="0" w:space="0" w:color="auto"/>
        <w:left w:val="none" w:sz="0" w:space="0" w:color="auto"/>
        <w:bottom w:val="none" w:sz="0" w:space="0" w:color="auto"/>
        <w:right w:val="none" w:sz="0" w:space="0" w:color="auto"/>
      </w:divBdr>
    </w:div>
    <w:div w:id="905604434">
      <w:marLeft w:val="0"/>
      <w:marRight w:val="0"/>
      <w:marTop w:val="0"/>
      <w:marBottom w:val="0"/>
      <w:divBdr>
        <w:top w:val="none" w:sz="0" w:space="0" w:color="auto"/>
        <w:left w:val="none" w:sz="0" w:space="0" w:color="auto"/>
        <w:bottom w:val="none" w:sz="0" w:space="0" w:color="auto"/>
        <w:right w:val="none" w:sz="0" w:space="0" w:color="auto"/>
      </w:divBdr>
    </w:div>
    <w:div w:id="905604435">
      <w:marLeft w:val="0"/>
      <w:marRight w:val="0"/>
      <w:marTop w:val="0"/>
      <w:marBottom w:val="0"/>
      <w:divBdr>
        <w:top w:val="none" w:sz="0" w:space="0" w:color="auto"/>
        <w:left w:val="none" w:sz="0" w:space="0" w:color="auto"/>
        <w:bottom w:val="none" w:sz="0" w:space="0" w:color="auto"/>
        <w:right w:val="none" w:sz="0" w:space="0" w:color="auto"/>
      </w:divBdr>
    </w:div>
    <w:div w:id="905604436">
      <w:marLeft w:val="0"/>
      <w:marRight w:val="0"/>
      <w:marTop w:val="0"/>
      <w:marBottom w:val="0"/>
      <w:divBdr>
        <w:top w:val="none" w:sz="0" w:space="0" w:color="auto"/>
        <w:left w:val="none" w:sz="0" w:space="0" w:color="auto"/>
        <w:bottom w:val="none" w:sz="0" w:space="0" w:color="auto"/>
        <w:right w:val="none" w:sz="0" w:space="0" w:color="auto"/>
      </w:divBdr>
    </w:div>
    <w:div w:id="905604437">
      <w:marLeft w:val="0"/>
      <w:marRight w:val="0"/>
      <w:marTop w:val="0"/>
      <w:marBottom w:val="0"/>
      <w:divBdr>
        <w:top w:val="none" w:sz="0" w:space="0" w:color="auto"/>
        <w:left w:val="none" w:sz="0" w:space="0" w:color="auto"/>
        <w:bottom w:val="none" w:sz="0" w:space="0" w:color="auto"/>
        <w:right w:val="none" w:sz="0" w:space="0" w:color="auto"/>
      </w:divBdr>
    </w:div>
    <w:div w:id="905604438">
      <w:marLeft w:val="0"/>
      <w:marRight w:val="0"/>
      <w:marTop w:val="0"/>
      <w:marBottom w:val="0"/>
      <w:divBdr>
        <w:top w:val="none" w:sz="0" w:space="0" w:color="auto"/>
        <w:left w:val="none" w:sz="0" w:space="0" w:color="auto"/>
        <w:bottom w:val="none" w:sz="0" w:space="0" w:color="auto"/>
        <w:right w:val="none" w:sz="0" w:space="0" w:color="auto"/>
      </w:divBdr>
    </w:div>
    <w:div w:id="905604439">
      <w:marLeft w:val="0"/>
      <w:marRight w:val="0"/>
      <w:marTop w:val="0"/>
      <w:marBottom w:val="0"/>
      <w:divBdr>
        <w:top w:val="none" w:sz="0" w:space="0" w:color="auto"/>
        <w:left w:val="none" w:sz="0" w:space="0" w:color="auto"/>
        <w:bottom w:val="none" w:sz="0" w:space="0" w:color="auto"/>
        <w:right w:val="none" w:sz="0" w:space="0" w:color="auto"/>
      </w:divBdr>
    </w:div>
    <w:div w:id="905604440">
      <w:marLeft w:val="0"/>
      <w:marRight w:val="0"/>
      <w:marTop w:val="0"/>
      <w:marBottom w:val="0"/>
      <w:divBdr>
        <w:top w:val="none" w:sz="0" w:space="0" w:color="auto"/>
        <w:left w:val="none" w:sz="0" w:space="0" w:color="auto"/>
        <w:bottom w:val="none" w:sz="0" w:space="0" w:color="auto"/>
        <w:right w:val="none" w:sz="0" w:space="0" w:color="auto"/>
      </w:divBdr>
    </w:div>
    <w:div w:id="905604441">
      <w:marLeft w:val="0"/>
      <w:marRight w:val="0"/>
      <w:marTop w:val="0"/>
      <w:marBottom w:val="0"/>
      <w:divBdr>
        <w:top w:val="none" w:sz="0" w:space="0" w:color="auto"/>
        <w:left w:val="none" w:sz="0" w:space="0" w:color="auto"/>
        <w:bottom w:val="none" w:sz="0" w:space="0" w:color="auto"/>
        <w:right w:val="none" w:sz="0" w:space="0" w:color="auto"/>
      </w:divBdr>
    </w:div>
    <w:div w:id="905604442">
      <w:marLeft w:val="0"/>
      <w:marRight w:val="0"/>
      <w:marTop w:val="0"/>
      <w:marBottom w:val="0"/>
      <w:divBdr>
        <w:top w:val="none" w:sz="0" w:space="0" w:color="auto"/>
        <w:left w:val="none" w:sz="0" w:space="0" w:color="auto"/>
        <w:bottom w:val="none" w:sz="0" w:space="0" w:color="auto"/>
        <w:right w:val="none" w:sz="0" w:space="0" w:color="auto"/>
      </w:divBdr>
    </w:div>
    <w:div w:id="905604443">
      <w:marLeft w:val="0"/>
      <w:marRight w:val="0"/>
      <w:marTop w:val="0"/>
      <w:marBottom w:val="0"/>
      <w:divBdr>
        <w:top w:val="none" w:sz="0" w:space="0" w:color="auto"/>
        <w:left w:val="none" w:sz="0" w:space="0" w:color="auto"/>
        <w:bottom w:val="none" w:sz="0" w:space="0" w:color="auto"/>
        <w:right w:val="none" w:sz="0" w:space="0" w:color="auto"/>
      </w:divBdr>
    </w:div>
    <w:div w:id="905604444">
      <w:marLeft w:val="0"/>
      <w:marRight w:val="0"/>
      <w:marTop w:val="0"/>
      <w:marBottom w:val="0"/>
      <w:divBdr>
        <w:top w:val="none" w:sz="0" w:space="0" w:color="auto"/>
        <w:left w:val="none" w:sz="0" w:space="0" w:color="auto"/>
        <w:bottom w:val="none" w:sz="0" w:space="0" w:color="auto"/>
        <w:right w:val="none" w:sz="0" w:space="0" w:color="auto"/>
      </w:divBdr>
    </w:div>
    <w:div w:id="905604445">
      <w:marLeft w:val="0"/>
      <w:marRight w:val="0"/>
      <w:marTop w:val="0"/>
      <w:marBottom w:val="0"/>
      <w:divBdr>
        <w:top w:val="none" w:sz="0" w:space="0" w:color="auto"/>
        <w:left w:val="none" w:sz="0" w:space="0" w:color="auto"/>
        <w:bottom w:val="none" w:sz="0" w:space="0" w:color="auto"/>
        <w:right w:val="none" w:sz="0" w:space="0" w:color="auto"/>
      </w:divBdr>
    </w:div>
    <w:div w:id="905604446">
      <w:marLeft w:val="0"/>
      <w:marRight w:val="0"/>
      <w:marTop w:val="0"/>
      <w:marBottom w:val="0"/>
      <w:divBdr>
        <w:top w:val="none" w:sz="0" w:space="0" w:color="auto"/>
        <w:left w:val="none" w:sz="0" w:space="0" w:color="auto"/>
        <w:bottom w:val="none" w:sz="0" w:space="0" w:color="auto"/>
        <w:right w:val="none" w:sz="0" w:space="0" w:color="auto"/>
      </w:divBdr>
    </w:div>
    <w:div w:id="905604447">
      <w:marLeft w:val="0"/>
      <w:marRight w:val="0"/>
      <w:marTop w:val="0"/>
      <w:marBottom w:val="0"/>
      <w:divBdr>
        <w:top w:val="none" w:sz="0" w:space="0" w:color="auto"/>
        <w:left w:val="none" w:sz="0" w:space="0" w:color="auto"/>
        <w:bottom w:val="none" w:sz="0" w:space="0" w:color="auto"/>
        <w:right w:val="none" w:sz="0" w:space="0" w:color="auto"/>
      </w:divBdr>
    </w:div>
    <w:div w:id="905604448">
      <w:marLeft w:val="0"/>
      <w:marRight w:val="0"/>
      <w:marTop w:val="0"/>
      <w:marBottom w:val="0"/>
      <w:divBdr>
        <w:top w:val="none" w:sz="0" w:space="0" w:color="auto"/>
        <w:left w:val="none" w:sz="0" w:space="0" w:color="auto"/>
        <w:bottom w:val="none" w:sz="0" w:space="0" w:color="auto"/>
        <w:right w:val="none" w:sz="0" w:space="0" w:color="auto"/>
      </w:divBdr>
    </w:div>
    <w:div w:id="905604449">
      <w:marLeft w:val="0"/>
      <w:marRight w:val="0"/>
      <w:marTop w:val="0"/>
      <w:marBottom w:val="0"/>
      <w:divBdr>
        <w:top w:val="none" w:sz="0" w:space="0" w:color="auto"/>
        <w:left w:val="none" w:sz="0" w:space="0" w:color="auto"/>
        <w:bottom w:val="none" w:sz="0" w:space="0" w:color="auto"/>
        <w:right w:val="none" w:sz="0" w:space="0" w:color="auto"/>
      </w:divBdr>
    </w:div>
    <w:div w:id="905604450">
      <w:marLeft w:val="0"/>
      <w:marRight w:val="0"/>
      <w:marTop w:val="0"/>
      <w:marBottom w:val="0"/>
      <w:divBdr>
        <w:top w:val="none" w:sz="0" w:space="0" w:color="auto"/>
        <w:left w:val="none" w:sz="0" w:space="0" w:color="auto"/>
        <w:bottom w:val="none" w:sz="0" w:space="0" w:color="auto"/>
        <w:right w:val="none" w:sz="0" w:space="0" w:color="auto"/>
      </w:divBdr>
    </w:div>
    <w:div w:id="905604451">
      <w:marLeft w:val="0"/>
      <w:marRight w:val="0"/>
      <w:marTop w:val="0"/>
      <w:marBottom w:val="0"/>
      <w:divBdr>
        <w:top w:val="none" w:sz="0" w:space="0" w:color="auto"/>
        <w:left w:val="none" w:sz="0" w:space="0" w:color="auto"/>
        <w:bottom w:val="none" w:sz="0" w:space="0" w:color="auto"/>
        <w:right w:val="none" w:sz="0" w:space="0" w:color="auto"/>
      </w:divBdr>
    </w:div>
    <w:div w:id="905604452">
      <w:marLeft w:val="0"/>
      <w:marRight w:val="0"/>
      <w:marTop w:val="0"/>
      <w:marBottom w:val="0"/>
      <w:divBdr>
        <w:top w:val="none" w:sz="0" w:space="0" w:color="auto"/>
        <w:left w:val="none" w:sz="0" w:space="0" w:color="auto"/>
        <w:bottom w:val="none" w:sz="0" w:space="0" w:color="auto"/>
        <w:right w:val="none" w:sz="0" w:space="0" w:color="auto"/>
      </w:divBdr>
    </w:div>
    <w:div w:id="905604453">
      <w:marLeft w:val="0"/>
      <w:marRight w:val="0"/>
      <w:marTop w:val="0"/>
      <w:marBottom w:val="0"/>
      <w:divBdr>
        <w:top w:val="none" w:sz="0" w:space="0" w:color="auto"/>
        <w:left w:val="none" w:sz="0" w:space="0" w:color="auto"/>
        <w:bottom w:val="none" w:sz="0" w:space="0" w:color="auto"/>
        <w:right w:val="none" w:sz="0" w:space="0" w:color="auto"/>
      </w:divBdr>
    </w:div>
    <w:div w:id="905604454">
      <w:marLeft w:val="0"/>
      <w:marRight w:val="0"/>
      <w:marTop w:val="0"/>
      <w:marBottom w:val="0"/>
      <w:divBdr>
        <w:top w:val="none" w:sz="0" w:space="0" w:color="auto"/>
        <w:left w:val="none" w:sz="0" w:space="0" w:color="auto"/>
        <w:bottom w:val="none" w:sz="0" w:space="0" w:color="auto"/>
        <w:right w:val="none" w:sz="0" w:space="0" w:color="auto"/>
      </w:divBdr>
    </w:div>
    <w:div w:id="905604455">
      <w:marLeft w:val="0"/>
      <w:marRight w:val="0"/>
      <w:marTop w:val="0"/>
      <w:marBottom w:val="0"/>
      <w:divBdr>
        <w:top w:val="none" w:sz="0" w:space="0" w:color="auto"/>
        <w:left w:val="none" w:sz="0" w:space="0" w:color="auto"/>
        <w:bottom w:val="none" w:sz="0" w:space="0" w:color="auto"/>
        <w:right w:val="none" w:sz="0" w:space="0" w:color="auto"/>
      </w:divBdr>
    </w:div>
    <w:div w:id="905604456">
      <w:marLeft w:val="0"/>
      <w:marRight w:val="0"/>
      <w:marTop w:val="0"/>
      <w:marBottom w:val="0"/>
      <w:divBdr>
        <w:top w:val="none" w:sz="0" w:space="0" w:color="auto"/>
        <w:left w:val="none" w:sz="0" w:space="0" w:color="auto"/>
        <w:bottom w:val="none" w:sz="0" w:space="0" w:color="auto"/>
        <w:right w:val="none" w:sz="0" w:space="0" w:color="auto"/>
      </w:divBdr>
    </w:div>
    <w:div w:id="905604457">
      <w:marLeft w:val="0"/>
      <w:marRight w:val="0"/>
      <w:marTop w:val="0"/>
      <w:marBottom w:val="0"/>
      <w:divBdr>
        <w:top w:val="none" w:sz="0" w:space="0" w:color="auto"/>
        <w:left w:val="none" w:sz="0" w:space="0" w:color="auto"/>
        <w:bottom w:val="none" w:sz="0" w:space="0" w:color="auto"/>
        <w:right w:val="none" w:sz="0" w:space="0" w:color="auto"/>
      </w:divBdr>
    </w:div>
    <w:div w:id="905604458">
      <w:marLeft w:val="0"/>
      <w:marRight w:val="0"/>
      <w:marTop w:val="0"/>
      <w:marBottom w:val="0"/>
      <w:divBdr>
        <w:top w:val="none" w:sz="0" w:space="0" w:color="auto"/>
        <w:left w:val="none" w:sz="0" w:space="0" w:color="auto"/>
        <w:bottom w:val="none" w:sz="0" w:space="0" w:color="auto"/>
        <w:right w:val="none" w:sz="0" w:space="0" w:color="auto"/>
      </w:divBdr>
    </w:div>
    <w:div w:id="905604459">
      <w:marLeft w:val="0"/>
      <w:marRight w:val="0"/>
      <w:marTop w:val="0"/>
      <w:marBottom w:val="0"/>
      <w:divBdr>
        <w:top w:val="none" w:sz="0" w:space="0" w:color="auto"/>
        <w:left w:val="none" w:sz="0" w:space="0" w:color="auto"/>
        <w:bottom w:val="none" w:sz="0" w:space="0" w:color="auto"/>
        <w:right w:val="none" w:sz="0" w:space="0" w:color="auto"/>
      </w:divBdr>
    </w:div>
    <w:div w:id="905604460">
      <w:marLeft w:val="0"/>
      <w:marRight w:val="0"/>
      <w:marTop w:val="0"/>
      <w:marBottom w:val="0"/>
      <w:divBdr>
        <w:top w:val="none" w:sz="0" w:space="0" w:color="auto"/>
        <w:left w:val="none" w:sz="0" w:space="0" w:color="auto"/>
        <w:bottom w:val="none" w:sz="0" w:space="0" w:color="auto"/>
        <w:right w:val="none" w:sz="0" w:space="0" w:color="auto"/>
      </w:divBdr>
    </w:div>
    <w:div w:id="905604461">
      <w:marLeft w:val="0"/>
      <w:marRight w:val="0"/>
      <w:marTop w:val="0"/>
      <w:marBottom w:val="0"/>
      <w:divBdr>
        <w:top w:val="none" w:sz="0" w:space="0" w:color="auto"/>
        <w:left w:val="none" w:sz="0" w:space="0" w:color="auto"/>
        <w:bottom w:val="none" w:sz="0" w:space="0" w:color="auto"/>
        <w:right w:val="none" w:sz="0" w:space="0" w:color="auto"/>
      </w:divBdr>
    </w:div>
    <w:div w:id="905604462">
      <w:marLeft w:val="0"/>
      <w:marRight w:val="0"/>
      <w:marTop w:val="0"/>
      <w:marBottom w:val="0"/>
      <w:divBdr>
        <w:top w:val="none" w:sz="0" w:space="0" w:color="auto"/>
        <w:left w:val="none" w:sz="0" w:space="0" w:color="auto"/>
        <w:bottom w:val="none" w:sz="0" w:space="0" w:color="auto"/>
        <w:right w:val="none" w:sz="0" w:space="0" w:color="auto"/>
      </w:divBdr>
    </w:div>
    <w:div w:id="905604463">
      <w:marLeft w:val="0"/>
      <w:marRight w:val="0"/>
      <w:marTop w:val="0"/>
      <w:marBottom w:val="0"/>
      <w:divBdr>
        <w:top w:val="none" w:sz="0" w:space="0" w:color="auto"/>
        <w:left w:val="none" w:sz="0" w:space="0" w:color="auto"/>
        <w:bottom w:val="none" w:sz="0" w:space="0" w:color="auto"/>
        <w:right w:val="none" w:sz="0" w:space="0" w:color="auto"/>
      </w:divBdr>
    </w:div>
    <w:div w:id="905604464">
      <w:marLeft w:val="0"/>
      <w:marRight w:val="0"/>
      <w:marTop w:val="0"/>
      <w:marBottom w:val="0"/>
      <w:divBdr>
        <w:top w:val="none" w:sz="0" w:space="0" w:color="auto"/>
        <w:left w:val="none" w:sz="0" w:space="0" w:color="auto"/>
        <w:bottom w:val="none" w:sz="0" w:space="0" w:color="auto"/>
        <w:right w:val="none" w:sz="0" w:space="0" w:color="auto"/>
      </w:divBdr>
    </w:div>
    <w:div w:id="905604465">
      <w:marLeft w:val="0"/>
      <w:marRight w:val="0"/>
      <w:marTop w:val="0"/>
      <w:marBottom w:val="0"/>
      <w:divBdr>
        <w:top w:val="none" w:sz="0" w:space="0" w:color="auto"/>
        <w:left w:val="none" w:sz="0" w:space="0" w:color="auto"/>
        <w:bottom w:val="none" w:sz="0" w:space="0" w:color="auto"/>
        <w:right w:val="none" w:sz="0" w:space="0" w:color="auto"/>
      </w:divBdr>
    </w:div>
    <w:div w:id="905604466">
      <w:marLeft w:val="0"/>
      <w:marRight w:val="0"/>
      <w:marTop w:val="0"/>
      <w:marBottom w:val="0"/>
      <w:divBdr>
        <w:top w:val="none" w:sz="0" w:space="0" w:color="auto"/>
        <w:left w:val="none" w:sz="0" w:space="0" w:color="auto"/>
        <w:bottom w:val="none" w:sz="0" w:space="0" w:color="auto"/>
        <w:right w:val="none" w:sz="0" w:space="0" w:color="auto"/>
      </w:divBdr>
    </w:div>
    <w:div w:id="905604467">
      <w:marLeft w:val="0"/>
      <w:marRight w:val="0"/>
      <w:marTop w:val="0"/>
      <w:marBottom w:val="0"/>
      <w:divBdr>
        <w:top w:val="none" w:sz="0" w:space="0" w:color="auto"/>
        <w:left w:val="none" w:sz="0" w:space="0" w:color="auto"/>
        <w:bottom w:val="none" w:sz="0" w:space="0" w:color="auto"/>
        <w:right w:val="none" w:sz="0" w:space="0" w:color="auto"/>
      </w:divBdr>
    </w:div>
    <w:div w:id="905604468">
      <w:marLeft w:val="0"/>
      <w:marRight w:val="0"/>
      <w:marTop w:val="0"/>
      <w:marBottom w:val="0"/>
      <w:divBdr>
        <w:top w:val="none" w:sz="0" w:space="0" w:color="auto"/>
        <w:left w:val="none" w:sz="0" w:space="0" w:color="auto"/>
        <w:bottom w:val="none" w:sz="0" w:space="0" w:color="auto"/>
        <w:right w:val="none" w:sz="0" w:space="0" w:color="auto"/>
      </w:divBdr>
    </w:div>
    <w:div w:id="905604469">
      <w:marLeft w:val="0"/>
      <w:marRight w:val="0"/>
      <w:marTop w:val="0"/>
      <w:marBottom w:val="0"/>
      <w:divBdr>
        <w:top w:val="none" w:sz="0" w:space="0" w:color="auto"/>
        <w:left w:val="none" w:sz="0" w:space="0" w:color="auto"/>
        <w:bottom w:val="none" w:sz="0" w:space="0" w:color="auto"/>
        <w:right w:val="none" w:sz="0" w:space="0" w:color="auto"/>
      </w:divBdr>
    </w:div>
    <w:div w:id="905604470">
      <w:marLeft w:val="0"/>
      <w:marRight w:val="0"/>
      <w:marTop w:val="0"/>
      <w:marBottom w:val="0"/>
      <w:divBdr>
        <w:top w:val="none" w:sz="0" w:space="0" w:color="auto"/>
        <w:left w:val="none" w:sz="0" w:space="0" w:color="auto"/>
        <w:bottom w:val="none" w:sz="0" w:space="0" w:color="auto"/>
        <w:right w:val="none" w:sz="0" w:space="0" w:color="auto"/>
      </w:divBdr>
    </w:div>
    <w:div w:id="905604471">
      <w:marLeft w:val="0"/>
      <w:marRight w:val="0"/>
      <w:marTop w:val="0"/>
      <w:marBottom w:val="0"/>
      <w:divBdr>
        <w:top w:val="none" w:sz="0" w:space="0" w:color="auto"/>
        <w:left w:val="none" w:sz="0" w:space="0" w:color="auto"/>
        <w:bottom w:val="none" w:sz="0" w:space="0" w:color="auto"/>
        <w:right w:val="none" w:sz="0" w:space="0" w:color="auto"/>
      </w:divBdr>
    </w:div>
    <w:div w:id="905604472">
      <w:marLeft w:val="0"/>
      <w:marRight w:val="0"/>
      <w:marTop w:val="0"/>
      <w:marBottom w:val="0"/>
      <w:divBdr>
        <w:top w:val="none" w:sz="0" w:space="0" w:color="auto"/>
        <w:left w:val="none" w:sz="0" w:space="0" w:color="auto"/>
        <w:bottom w:val="none" w:sz="0" w:space="0" w:color="auto"/>
        <w:right w:val="none" w:sz="0" w:space="0" w:color="auto"/>
      </w:divBdr>
    </w:div>
    <w:div w:id="905604473">
      <w:marLeft w:val="0"/>
      <w:marRight w:val="0"/>
      <w:marTop w:val="0"/>
      <w:marBottom w:val="0"/>
      <w:divBdr>
        <w:top w:val="none" w:sz="0" w:space="0" w:color="auto"/>
        <w:left w:val="none" w:sz="0" w:space="0" w:color="auto"/>
        <w:bottom w:val="none" w:sz="0" w:space="0" w:color="auto"/>
        <w:right w:val="none" w:sz="0" w:space="0" w:color="auto"/>
      </w:divBdr>
    </w:div>
    <w:div w:id="905604474">
      <w:marLeft w:val="0"/>
      <w:marRight w:val="0"/>
      <w:marTop w:val="0"/>
      <w:marBottom w:val="0"/>
      <w:divBdr>
        <w:top w:val="none" w:sz="0" w:space="0" w:color="auto"/>
        <w:left w:val="none" w:sz="0" w:space="0" w:color="auto"/>
        <w:bottom w:val="none" w:sz="0" w:space="0" w:color="auto"/>
        <w:right w:val="none" w:sz="0" w:space="0" w:color="auto"/>
      </w:divBdr>
    </w:div>
    <w:div w:id="905604475">
      <w:marLeft w:val="0"/>
      <w:marRight w:val="0"/>
      <w:marTop w:val="0"/>
      <w:marBottom w:val="0"/>
      <w:divBdr>
        <w:top w:val="none" w:sz="0" w:space="0" w:color="auto"/>
        <w:left w:val="none" w:sz="0" w:space="0" w:color="auto"/>
        <w:bottom w:val="none" w:sz="0" w:space="0" w:color="auto"/>
        <w:right w:val="none" w:sz="0" w:space="0" w:color="auto"/>
      </w:divBdr>
    </w:div>
    <w:div w:id="905604476">
      <w:marLeft w:val="0"/>
      <w:marRight w:val="0"/>
      <w:marTop w:val="0"/>
      <w:marBottom w:val="0"/>
      <w:divBdr>
        <w:top w:val="none" w:sz="0" w:space="0" w:color="auto"/>
        <w:left w:val="none" w:sz="0" w:space="0" w:color="auto"/>
        <w:bottom w:val="none" w:sz="0" w:space="0" w:color="auto"/>
        <w:right w:val="none" w:sz="0" w:space="0" w:color="auto"/>
      </w:divBdr>
    </w:div>
    <w:div w:id="905604477">
      <w:marLeft w:val="0"/>
      <w:marRight w:val="0"/>
      <w:marTop w:val="0"/>
      <w:marBottom w:val="0"/>
      <w:divBdr>
        <w:top w:val="none" w:sz="0" w:space="0" w:color="auto"/>
        <w:left w:val="none" w:sz="0" w:space="0" w:color="auto"/>
        <w:bottom w:val="none" w:sz="0" w:space="0" w:color="auto"/>
        <w:right w:val="none" w:sz="0" w:space="0" w:color="auto"/>
      </w:divBdr>
    </w:div>
    <w:div w:id="905604478">
      <w:marLeft w:val="0"/>
      <w:marRight w:val="0"/>
      <w:marTop w:val="0"/>
      <w:marBottom w:val="0"/>
      <w:divBdr>
        <w:top w:val="none" w:sz="0" w:space="0" w:color="auto"/>
        <w:left w:val="none" w:sz="0" w:space="0" w:color="auto"/>
        <w:bottom w:val="none" w:sz="0" w:space="0" w:color="auto"/>
        <w:right w:val="none" w:sz="0" w:space="0" w:color="auto"/>
      </w:divBdr>
    </w:div>
    <w:div w:id="905604479">
      <w:marLeft w:val="0"/>
      <w:marRight w:val="0"/>
      <w:marTop w:val="0"/>
      <w:marBottom w:val="0"/>
      <w:divBdr>
        <w:top w:val="none" w:sz="0" w:space="0" w:color="auto"/>
        <w:left w:val="none" w:sz="0" w:space="0" w:color="auto"/>
        <w:bottom w:val="none" w:sz="0" w:space="0" w:color="auto"/>
        <w:right w:val="none" w:sz="0" w:space="0" w:color="auto"/>
      </w:divBdr>
    </w:div>
    <w:div w:id="905604480">
      <w:marLeft w:val="0"/>
      <w:marRight w:val="0"/>
      <w:marTop w:val="0"/>
      <w:marBottom w:val="0"/>
      <w:divBdr>
        <w:top w:val="none" w:sz="0" w:space="0" w:color="auto"/>
        <w:left w:val="none" w:sz="0" w:space="0" w:color="auto"/>
        <w:bottom w:val="none" w:sz="0" w:space="0" w:color="auto"/>
        <w:right w:val="none" w:sz="0" w:space="0" w:color="auto"/>
      </w:divBdr>
    </w:div>
    <w:div w:id="905604481">
      <w:marLeft w:val="0"/>
      <w:marRight w:val="0"/>
      <w:marTop w:val="0"/>
      <w:marBottom w:val="0"/>
      <w:divBdr>
        <w:top w:val="none" w:sz="0" w:space="0" w:color="auto"/>
        <w:left w:val="none" w:sz="0" w:space="0" w:color="auto"/>
        <w:bottom w:val="none" w:sz="0" w:space="0" w:color="auto"/>
        <w:right w:val="none" w:sz="0" w:space="0" w:color="auto"/>
      </w:divBdr>
    </w:div>
    <w:div w:id="905604482">
      <w:marLeft w:val="0"/>
      <w:marRight w:val="0"/>
      <w:marTop w:val="0"/>
      <w:marBottom w:val="0"/>
      <w:divBdr>
        <w:top w:val="none" w:sz="0" w:space="0" w:color="auto"/>
        <w:left w:val="none" w:sz="0" w:space="0" w:color="auto"/>
        <w:bottom w:val="none" w:sz="0" w:space="0" w:color="auto"/>
        <w:right w:val="none" w:sz="0" w:space="0" w:color="auto"/>
      </w:divBdr>
    </w:div>
    <w:div w:id="905604483">
      <w:marLeft w:val="0"/>
      <w:marRight w:val="0"/>
      <w:marTop w:val="0"/>
      <w:marBottom w:val="0"/>
      <w:divBdr>
        <w:top w:val="none" w:sz="0" w:space="0" w:color="auto"/>
        <w:left w:val="none" w:sz="0" w:space="0" w:color="auto"/>
        <w:bottom w:val="none" w:sz="0" w:space="0" w:color="auto"/>
        <w:right w:val="none" w:sz="0" w:space="0" w:color="auto"/>
      </w:divBdr>
    </w:div>
    <w:div w:id="905604484">
      <w:marLeft w:val="0"/>
      <w:marRight w:val="0"/>
      <w:marTop w:val="0"/>
      <w:marBottom w:val="0"/>
      <w:divBdr>
        <w:top w:val="none" w:sz="0" w:space="0" w:color="auto"/>
        <w:left w:val="none" w:sz="0" w:space="0" w:color="auto"/>
        <w:bottom w:val="none" w:sz="0" w:space="0" w:color="auto"/>
        <w:right w:val="none" w:sz="0" w:space="0" w:color="auto"/>
      </w:divBdr>
    </w:div>
    <w:div w:id="905604485">
      <w:marLeft w:val="0"/>
      <w:marRight w:val="0"/>
      <w:marTop w:val="0"/>
      <w:marBottom w:val="0"/>
      <w:divBdr>
        <w:top w:val="none" w:sz="0" w:space="0" w:color="auto"/>
        <w:left w:val="none" w:sz="0" w:space="0" w:color="auto"/>
        <w:bottom w:val="none" w:sz="0" w:space="0" w:color="auto"/>
        <w:right w:val="none" w:sz="0" w:space="0" w:color="auto"/>
      </w:divBdr>
    </w:div>
    <w:div w:id="905604486">
      <w:marLeft w:val="0"/>
      <w:marRight w:val="0"/>
      <w:marTop w:val="0"/>
      <w:marBottom w:val="0"/>
      <w:divBdr>
        <w:top w:val="none" w:sz="0" w:space="0" w:color="auto"/>
        <w:left w:val="none" w:sz="0" w:space="0" w:color="auto"/>
        <w:bottom w:val="none" w:sz="0" w:space="0" w:color="auto"/>
        <w:right w:val="none" w:sz="0" w:space="0" w:color="auto"/>
      </w:divBdr>
    </w:div>
    <w:div w:id="905604487">
      <w:marLeft w:val="0"/>
      <w:marRight w:val="0"/>
      <w:marTop w:val="0"/>
      <w:marBottom w:val="0"/>
      <w:divBdr>
        <w:top w:val="none" w:sz="0" w:space="0" w:color="auto"/>
        <w:left w:val="none" w:sz="0" w:space="0" w:color="auto"/>
        <w:bottom w:val="none" w:sz="0" w:space="0" w:color="auto"/>
        <w:right w:val="none" w:sz="0" w:space="0" w:color="auto"/>
      </w:divBdr>
    </w:div>
    <w:div w:id="905604488">
      <w:marLeft w:val="0"/>
      <w:marRight w:val="0"/>
      <w:marTop w:val="0"/>
      <w:marBottom w:val="0"/>
      <w:divBdr>
        <w:top w:val="none" w:sz="0" w:space="0" w:color="auto"/>
        <w:left w:val="none" w:sz="0" w:space="0" w:color="auto"/>
        <w:bottom w:val="none" w:sz="0" w:space="0" w:color="auto"/>
        <w:right w:val="none" w:sz="0" w:space="0" w:color="auto"/>
      </w:divBdr>
    </w:div>
    <w:div w:id="905604489">
      <w:marLeft w:val="0"/>
      <w:marRight w:val="0"/>
      <w:marTop w:val="0"/>
      <w:marBottom w:val="0"/>
      <w:divBdr>
        <w:top w:val="none" w:sz="0" w:space="0" w:color="auto"/>
        <w:left w:val="none" w:sz="0" w:space="0" w:color="auto"/>
        <w:bottom w:val="none" w:sz="0" w:space="0" w:color="auto"/>
        <w:right w:val="none" w:sz="0" w:space="0" w:color="auto"/>
      </w:divBdr>
    </w:div>
    <w:div w:id="905604490">
      <w:marLeft w:val="0"/>
      <w:marRight w:val="0"/>
      <w:marTop w:val="0"/>
      <w:marBottom w:val="0"/>
      <w:divBdr>
        <w:top w:val="none" w:sz="0" w:space="0" w:color="auto"/>
        <w:left w:val="none" w:sz="0" w:space="0" w:color="auto"/>
        <w:bottom w:val="none" w:sz="0" w:space="0" w:color="auto"/>
        <w:right w:val="none" w:sz="0" w:space="0" w:color="auto"/>
      </w:divBdr>
    </w:div>
    <w:div w:id="905604491">
      <w:marLeft w:val="0"/>
      <w:marRight w:val="0"/>
      <w:marTop w:val="0"/>
      <w:marBottom w:val="0"/>
      <w:divBdr>
        <w:top w:val="none" w:sz="0" w:space="0" w:color="auto"/>
        <w:left w:val="none" w:sz="0" w:space="0" w:color="auto"/>
        <w:bottom w:val="none" w:sz="0" w:space="0" w:color="auto"/>
        <w:right w:val="none" w:sz="0" w:space="0" w:color="auto"/>
      </w:divBdr>
    </w:div>
    <w:div w:id="905604492">
      <w:marLeft w:val="0"/>
      <w:marRight w:val="0"/>
      <w:marTop w:val="0"/>
      <w:marBottom w:val="0"/>
      <w:divBdr>
        <w:top w:val="none" w:sz="0" w:space="0" w:color="auto"/>
        <w:left w:val="none" w:sz="0" w:space="0" w:color="auto"/>
        <w:bottom w:val="none" w:sz="0" w:space="0" w:color="auto"/>
        <w:right w:val="none" w:sz="0" w:space="0" w:color="auto"/>
      </w:divBdr>
    </w:div>
    <w:div w:id="905604493">
      <w:marLeft w:val="0"/>
      <w:marRight w:val="0"/>
      <w:marTop w:val="0"/>
      <w:marBottom w:val="0"/>
      <w:divBdr>
        <w:top w:val="none" w:sz="0" w:space="0" w:color="auto"/>
        <w:left w:val="none" w:sz="0" w:space="0" w:color="auto"/>
        <w:bottom w:val="none" w:sz="0" w:space="0" w:color="auto"/>
        <w:right w:val="none" w:sz="0" w:space="0" w:color="auto"/>
      </w:divBdr>
    </w:div>
    <w:div w:id="905604494">
      <w:marLeft w:val="0"/>
      <w:marRight w:val="0"/>
      <w:marTop w:val="0"/>
      <w:marBottom w:val="0"/>
      <w:divBdr>
        <w:top w:val="none" w:sz="0" w:space="0" w:color="auto"/>
        <w:left w:val="none" w:sz="0" w:space="0" w:color="auto"/>
        <w:bottom w:val="none" w:sz="0" w:space="0" w:color="auto"/>
        <w:right w:val="none" w:sz="0" w:space="0" w:color="auto"/>
      </w:divBdr>
    </w:div>
    <w:div w:id="905604495">
      <w:marLeft w:val="0"/>
      <w:marRight w:val="0"/>
      <w:marTop w:val="0"/>
      <w:marBottom w:val="0"/>
      <w:divBdr>
        <w:top w:val="none" w:sz="0" w:space="0" w:color="auto"/>
        <w:left w:val="none" w:sz="0" w:space="0" w:color="auto"/>
        <w:bottom w:val="none" w:sz="0" w:space="0" w:color="auto"/>
        <w:right w:val="none" w:sz="0" w:space="0" w:color="auto"/>
      </w:divBdr>
    </w:div>
    <w:div w:id="905604496">
      <w:marLeft w:val="0"/>
      <w:marRight w:val="0"/>
      <w:marTop w:val="0"/>
      <w:marBottom w:val="0"/>
      <w:divBdr>
        <w:top w:val="none" w:sz="0" w:space="0" w:color="auto"/>
        <w:left w:val="none" w:sz="0" w:space="0" w:color="auto"/>
        <w:bottom w:val="none" w:sz="0" w:space="0" w:color="auto"/>
        <w:right w:val="none" w:sz="0" w:space="0" w:color="auto"/>
      </w:divBdr>
    </w:div>
    <w:div w:id="905604497">
      <w:marLeft w:val="0"/>
      <w:marRight w:val="0"/>
      <w:marTop w:val="0"/>
      <w:marBottom w:val="0"/>
      <w:divBdr>
        <w:top w:val="none" w:sz="0" w:space="0" w:color="auto"/>
        <w:left w:val="none" w:sz="0" w:space="0" w:color="auto"/>
        <w:bottom w:val="none" w:sz="0" w:space="0" w:color="auto"/>
        <w:right w:val="none" w:sz="0" w:space="0" w:color="auto"/>
      </w:divBdr>
    </w:div>
    <w:div w:id="905604498">
      <w:marLeft w:val="0"/>
      <w:marRight w:val="0"/>
      <w:marTop w:val="0"/>
      <w:marBottom w:val="0"/>
      <w:divBdr>
        <w:top w:val="none" w:sz="0" w:space="0" w:color="auto"/>
        <w:left w:val="none" w:sz="0" w:space="0" w:color="auto"/>
        <w:bottom w:val="none" w:sz="0" w:space="0" w:color="auto"/>
        <w:right w:val="none" w:sz="0" w:space="0" w:color="auto"/>
      </w:divBdr>
    </w:div>
    <w:div w:id="905604499">
      <w:marLeft w:val="0"/>
      <w:marRight w:val="0"/>
      <w:marTop w:val="0"/>
      <w:marBottom w:val="0"/>
      <w:divBdr>
        <w:top w:val="none" w:sz="0" w:space="0" w:color="auto"/>
        <w:left w:val="none" w:sz="0" w:space="0" w:color="auto"/>
        <w:bottom w:val="none" w:sz="0" w:space="0" w:color="auto"/>
        <w:right w:val="none" w:sz="0" w:space="0" w:color="auto"/>
      </w:divBdr>
    </w:div>
    <w:div w:id="905604500">
      <w:marLeft w:val="0"/>
      <w:marRight w:val="0"/>
      <w:marTop w:val="0"/>
      <w:marBottom w:val="0"/>
      <w:divBdr>
        <w:top w:val="none" w:sz="0" w:space="0" w:color="auto"/>
        <w:left w:val="none" w:sz="0" w:space="0" w:color="auto"/>
        <w:bottom w:val="none" w:sz="0" w:space="0" w:color="auto"/>
        <w:right w:val="none" w:sz="0" w:space="0" w:color="auto"/>
      </w:divBdr>
    </w:div>
    <w:div w:id="905604501">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905604503">
      <w:marLeft w:val="0"/>
      <w:marRight w:val="0"/>
      <w:marTop w:val="0"/>
      <w:marBottom w:val="0"/>
      <w:divBdr>
        <w:top w:val="none" w:sz="0" w:space="0" w:color="auto"/>
        <w:left w:val="none" w:sz="0" w:space="0" w:color="auto"/>
        <w:bottom w:val="none" w:sz="0" w:space="0" w:color="auto"/>
        <w:right w:val="none" w:sz="0" w:space="0" w:color="auto"/>
      </w:divBdr>
    </w:div>
    <w:div w:id="905604504">
      <w:marLeft w:val="0"/>
      <w:marRight w:val="0"/>
      <w:marTop w:val="0"/>
      <w:marBottom w:val="0"/>
      <w:divBdr>
        <w:top w:val="none" w:sz="0" w:space="0" w:color="auto"/>
        <w:left w:val="none" w:sz="0" w:space="0" w:color="auto"/>
        <w:bottom w:val="none" w:sz="0" w:space="0" w:color="auto"/>
        <w:right w:val="none" w:sz="0" w:space="0" w:color="auto"/>
      </w:divBdr>
    </w:div>
    <w:div w:id="905604505">
      <w:marLeft w:val="0"/>
      <w:marRight w:val="0"/>
      <w:marTop w:val="0"/>
      <w:marBottom w:val="0"/>
      <w:divBdr>
        <w:top w:val="none" w:sz="0" w:space="0" w:color="auto"/>
        <w:left w:val="none" w:sz="0" w:space="0" w:color="auto"/>
        <w:bottom w:val="none" w:sz="0" w:space="0" w:color="auto"/>
        <w:right w:val="none" w:sz="0" w:space="0" w:color="auto"/>
      </w:divBdr>
    </w:div>
    <w:div w:id="905604506">
      <w:marLeft w:val="0"/>
      <w:marRight w:val="0"/>
      <w:marTop w:val="0"/>
      <w:marBottom w:val="0"/>
      <w:divBdr>
        <w:top w:val="none" w:sz="0" w:space="0" w:color="auto"/>
        <w:left w:val="none" w:sz="0" w:space="0" w:color="auto"/>
        <w:bottom w:val="none" w:sz="0" w:space="0" w:color="auto"/>
        <w:right w:val="none" w:sz="0" w:space="0" w:color="auto"/>
      </w:divBdr>
    </w:div>
    <w:div w:id="905604507">
      <w:marLeft w:val="0"/>
      <w:marRight w:val="0"/>
      <w:marTop w:val="0"/>
      <w:marBottom w:val="0"/>
      <w:divBdr>
        <w:top w:val="none" w:sz="0" w:space="0" w:color="auto"/>
        <w:left w:val="none" w:sz="0" w:space="0" w:color="auto"/>
        <w:bottom w:val="none" w:sz="0" w:space="0" w:color="auto"/>
        <w:right w:val="none" w:sz="0" w:space="0" w:color="auto"/>
      </w:divBdr>
    </w:div>
    <w:div w:id="905604508">
      <w:marLeft w:val="0"/>
      <w:marRight w:val="0"/>
      <w:marTop w:val="0"/>
      <w:marBottom w:val="0"/>
      <w:divBdr>
        <w:top w:val="none" w:sz="0" w:space="0" w:color="auto"/>
        <w:left w:val="none" w:sz="0" w:space="0" w:color="auto"/>
        <w:bottom w:val="none" w:sz="0" w:space="0" w:color="auto"/>
        <w:right w:val="none" w:sz="0" w:space="0" w:color="auto"/>
      </w:divBdr>
    </w:div>
    <w:div w:id="905604509">
      <w:marLeft w:val="0"/>
      <w:marRight w:val="0"/>
      <w:marTop w:val="0"/>
      <w:marBottom w:val="0"/>
      <w:divBdr>
        <w:top w:val="none" w:sz="0" w:space="0" w:color="auto"/>
        <w:left w:val="none" w:sz="0" w:space="0" w:color="auto"/>
        <w:bottom w:val="none" w:sz="0" w:space="0" w:color="auto"/>
        <w:right w:val="none" w:sz="0" w:space="0" w:color="auto"/>
      </w:divBdr>
    </w:div>
    <w:div w:id="905604510">
      <w:marLeft w:val="0"/>
      <w:marRight w:val="0"/>
      <w:marTop w:val="0"/>
      <w:marBottom w:val="0"/>
      <w:divBdr>
        <w:top w:val="none" w:sz="0" w:space="0" w:color="auto"/>
        <w:left w:val="none" w:sz="0" w:space="0" w:color="auto"/>
        <w:bottom w:val="none" w:sz="0" w:space="0" w:color="auto"/>
        <w:right w:val="none" w:sz="0" w:space="0" w:color="auto"/>
      </w:divBdr>
    </w:div>
    <w:div w:id="905604511">
      <w:marLeft w:val="0"/>
      <w:marRight w:val="0"/>
      <w:marTop w:val="0"/>
      <w:marBottom w:val="0"/>
      <w:divBdr>
        <w:top w:val="none" w:sz="0" w:space="0" w:color="auto"/>
        <w:left w:val="none" w:sz="0" w:space="0" w:color="auto"/>
        <w:bottom w:val="none" w:sz="0" w:space="0" w:color="auto"/>
        <w:right w:val="none" w:sz="0" w:space="0" w:color="auto"/>
      </w:divBdr>
    </w:div>
    <w:div w:id="905604512">
      <w:marLeft w:val="0"/>
      <w:marRight w:val="0"/>
      <w:marTop w:val="0"/>
      <w:marBottom w:val="0"/>
      <w:divBdr>
        <w:top w:val="none" w:sz="0" w:space="0" w:color="auto"/>
        <w:left w:val="none" w:sz="0" w:space="0" w:color="auto"/>
        <w:bottom w:val="none" w:sz="0" w:space="0" w:color="auto"/>
        <w:right w:val="none" w:sz="0" w:space="0" w:color="auto"/>
      </w:divBdr>
    </w:div>
    <w:div w:id="905604513">
      <w:marLeft w:val="0"/>
      <w:marRight w:val="0"/>
      <w:marTop w:val="0"/>
      <w:marBottom w:val="0"/>
      <w:divBdr>
        <w:top w:val="none" w:sz="0" w:space="0" w:color="auto"/>
        <w:left w:val="none" w:sz="0" w:space="0" w:color="auto"/>
        <w:bottom w:val="none" w:sz="0" w:space="0" w:color="auto"/>
        <w:right w:val="none" w:sz="0" w:space="0" w:color="auto"/>
      </w:divBdr>
    </w:div>
    <w:div w:id="905604514">
      <w:marLeft w:val="0"/>
      <w:marRight w:val="0"/>
      <w:marTop w:val="0"/>
      <w:marBottom w:val="0"/>
      <w:divBdr>
        <w:top w:val="none" w:sz="0" w:space="0" w:color="auto"/>
        <w:left w:val="none" w:sz="0" w:space="0" w:color="auto"/>
        <w:bottom w:val="none" w:sz="0" w:space="0" w:color="auto"/>
        <w:right w:val="none" w:sz="0" w:space="0" w:color="auto"/>
      </w:divBdr>
    </w:div>
    <w:div w:id="905604515">
      <w:marLeft w:val="0"/>
      <w:marRight w:val="0"/>
      <w:marTop w:val="0"/>
      <w:marBottom w:val="0"/>
      <w:divBdr>
        <w:top w:val="none" w:sz="0" w:space="0" w:color="auto"/>
        <w:left w:val="none" w:sz="0" w:space="0" w:color="auto"/>
        <w:bottom w:val="none" w:sz="0" w:space="0" w:color="auto"/>
        <w:right w:val="none" w:sz="0" w:space="0" w:color="auto"/>
      </w:divBdr>
    </w:div>
    <w:div w:id="905604516">
      <w:marLeft w:val="0"/>
      <w:marRight w:val="0"/>
      <w:marTop w:val="0"/>
      <w:marBottom w:val="0"/>
      <w:divBdr>
        <w:top w:val="none" w:sz="0" w:space="0" w:color="auto"/>
        <w:left w:val="none" w:sz="0" w:space="0" w:color="auto"/>
        <w:bottom w:val="none" w:sz="0" w:space="0" w:color="auto"/>
        <w:right w:val="none" w:sz="0" w:space="0" w:color="auto"/>
      </w:divBdr>
    </w:div>
    <w:div w:id="905604517">
      <w:marLeft w:val="0"/>
      <w:marRight w:val="0"/>
      <w:marTop w:val="0"/>
      <w:marBottom w:val="0"/>
      <w:divBdr>
        <w:top w:val="none" w:sz="0" w:space="0" w:color="auto"/>
        <w:left w:val="none" w:sz="0" w:space="0" w:color="auto"/>
        <w:bottom w:val="none" w:sz="0" w:space="0" w:color="auto"/>
        <w:right w:val="none" w:sz="0" w:space="0" w:color="auto"/>
      </w:divBdr>
    </w:div>
    <w:div w:id="905604518">
      <w:marLeft w:val="0"/>
      <w:marRight w:val="0"/>
      <w:marTop w:val="0"/>
      <w:marBottom w:val="0"/>
      <w:divBdr>
        <w:top w:val="none" w:sz="0" w:space="0" w:color="auto"/>
        <w:left w:val="none" w:sz="0" w:space="0" w:color="auto"/>
        <w:bottom w:val="none" w:sz="0" w:space="0" w:color="auto"/>
        <w:right w:val="none" w:sz="0" w:space="0" w:color="auto"/>
      </w:divBdr>
    </w:div>
    <w:div w:id="905604519">
      <w:marLeft w:val="0"/>
      <w:marRight w:val="0"/>
      <w:marTop w:val="0"/>
      <w:marBottom w:val="0"/>
      <w:divBdr>
        <w:top w:val="none" w:sz="0" w:space="0" w:color="auto"/>
        <w:left w:val="none" w:sz="0" w:space="0" w:color="auto"/>
        <w:bottom w:val="none" w:sz="0" w:space="0" w:color="auto"/>
        <w:right w:val="none" w:sz="0" w:space="0" w:color="auto"/>
      </w:divBdr>
    </w:div>
    <w:div w:id="905604520">
      <w:marLeft w:val="0"/>
      <w:marRight w:val="0"/>
      <w:marTop w:val="0"/>
      <w:marBottom w:val="0"/>
      <w:divBdr>
        <w:top w:val="none" w:sz="0" w:space="0" w:color="auto"/>
        <w:left w:val="none" w:sz="0" w:space="0" w:color="auto"/>
        <w:bottom w:val="none" w:sz="0" w:space="0" w:color="auto"/>
        <w:right w:val="none" w:sz="0" w:space="0" w:color="auto"/>
      </w:divBdr>
    </w:div>
    <w:div w:id="905604521">
      <w:marLeft w:val="0"/>
      <w:marRight w:val="0"/>
      <w:marTop w:val="0"/>
      <w:marBottom w:val="0"/>
      <w:divBdr>
        <w:top w:val="none" w:sz="0" w:space="0" w:color="auto"/>
        <w:left w:val="none" w:sz="0" w:space="0" w:color="auto"/>
        <w:bottom w:val="none" w:sz="0" w:space="0" w:color="auto"/>
        <w:right w:val="none" w:sz="0" w:space="0" w:color="auto"/>
      </w:divBdr>
    </w:div>
    <w:div w:id="905604522">
      <w:marLeft w:val="0"/>
      <w:marRight w:val="0"/>
      <w:marTop w:val="0"/>
      <w:marBottom w:val="0"/>
      <w:divBdr>
        <w:top w:val="none" w:sz="0" w:space="0" w:color="auto"/>
        <w:left w:val="none" w:sz="0" w:space="0" w:color="auto"/>
        <w:bottom w:val="none" w:sz="0" w:space="0" w:color="auto"/>
        <w:right w:val="none" w:sz="0" w:space="0" w:color="auto"/>
      </w:divBdr>
    </w:div>
    <w:div w:id="905604523">
      <w:marLeft w:val="0"/>
      <w:marRight w:val="0"/>
      <w:marTop w:val="0"/>
      <w:marBottom w:val="0"/>
      <w:divBdr>
        <w:top w:val="none" w:sz="0" w:space="0" w:color="auto"/>
        <w:left w:val="none" w:sz="0" w:space="0" w:color="auto"/>
        <w:bottom w:val="none" w:sz="0" w:space="0" w:color="auto"/>
        <w:right w:val="none" w:sz="0" w:space="0" w:color="auto"/>
      </w:divBdr>
    </w:div>
    <w:div w:id="905604524">
      <w:marLeft w:val="0"/>
      <w:marRight w:val="0"/>
      <w:marTop w:val="0"/>
      <w:marBottom w:val="0"/>
      <w:divBdr>
        <w:top w:val="none" w:sz="0" w:space="0" w:color="auto"/>
        <w:left w:val="none" w:sz="0" w:space="0" w:color="auto"/>
        <w:bottom w:val="none" w:sz="0" w:space="0" w:color="auto"/>
        <w:right w:val="none" w:sz="0" w:space="0" w:color="auto"/>
      </w:divBdr>
    </w:div>
    <w:div w:id="905604525">
      <w:marLeft w:val="0"/>
      <w:marRight w:val="0"/>
      <w:marTop w:val="0"/>
      <w:marBottom w:val="0"/>
      <w:divBdr>
        <w:top w:val="none" w:sz="0" w:space="0" w:color="auto"/>
        <w:left w:val="none" w:sz="0" w:space="0" w:color="auto"/>
        <w:bottom w:val="none" w:sz="0" w:space="0" w:color="auto"/>
        <w:right w:val="none" w:sz="0" w:space="0" w:color="auto"/>
      </w:divBdr>
    </w:div>
    <w:div w:id="905604526">
      <w:marLeft w:val="0"/>
      <w:marRight w:val="0"/>
      <w:marTop w:val="0"/>
      <w:marBottom w:val="0"/>
      <w:divBdr>
        <w:top w:val="none" w:sz="0" w:space="0" w:color="auto"/>
        <w:left w:val="none" w:sz="0" w:space="0" w:color="auto"/>
        <w:bottom w:val="none" w:sz="0" w:space="0" w:color="auto"/>
        <w:right w:val="none" w:sz="0" w:space="0" w:color="auto"/>
      </w:divBdr>
    </w:div>
    <w:div w:id="905604527">
      <w:marLeft w:val="0"/>
      <w:marRight w:val="0"/>
      <w:marTop w:val="0"/>
      <w:marBottom w:val="0"/>
      <w:divBdr>
        <w:top w:val="none" w:sz="0" w:space="0" w:color="auto"/>
        <w:left w:val="none" w:sz="0" w:space="0" w:color="auto"/>
        <w:bottom w:val="none" w:sz="0" w:space="0" w:color="auto"/>
        <w:right w:val="none" w:sz="0" w:space="0" w:color="auto"/>
      </w:divBdr>
    </w:div>
    <w:div w:id="905604528">
      <w:marLeft w:val="0"/>
      <w:marRight w:val="0"/>
      <w:marTop w:val="0"/>
      <w:marBottom w:val="0"/>
      <w:divBdr>
        <w:top w:val="none" w:sz="0" w:space="0" w:color="auto"/>
        <w:left w:val="none" w:sz="0" w:space="0" w:color="auto"/>
        <w:bottom w:val="none" w:sz="0" w:space="0" w:color="auto"/>
        <w:right w:val="none" w:sz="0" w:space="0" w:color="auto"/>
      </w:divBdr>
    </w:div>
    <w:div w:id="905604529">
      <w:marLeft w:val="0"/>
      <w:marRight w:val="0"/>
      <w:marTop w:val="0"/>
      <w:marBottom w:val="0"/>
      <w:divBdr>
        <w:top w:val="none" w:sz="0" w:space="0" w:color="auto"/>
        <w:left w:val="none" w:sz="0" w:space="0" w:color="auto"/>
        <w:bottom w:val="none" w:sz="0" w:space="0" w:color="auto"/>
        <w:right w:val="none" w:sz="0" w:space="0" w:color="auto"/>
      </w:divBdr>
    </w:div>
    <w:div w:id="905604530">
      <w:marLeft w:val="0"/>
      <w:marRight w:val="0"/>
      <w:marTop w:val="0"/>
      <w:marBottom w:val="0"/>
      <w:divBdr>
        <w:top w:val="none" w:sz="0" w:space="0" w:color="auto"/>
        <w:left w:val="none" w:sz="0" w:space="0" w:color="auto"/>
        <w:bottom w:val="none" w:sz="0" w:space="0" w:color="auto"/>
        <w:right w:val="none" w:sz="0" w:space="0" w:color="auto"/>
      </w:divBdr>
    </w:div>
    <w:div w:id="905604531">
      <w:marLeft w:val="0"/>
      <w:marRight w:val="0"/>
      <w:marTop w:val="0"/>
      <w:marBottom w:val="0"/>
      <w:divBdr>
        <w:top w:val="none" w:sz="0" w:space="0" w:color="auto"/>
        <w:left w:val="none" w:sz="0" w:space="0" w:color="auto"/>
        <w:bottom w:val="none" w:sz="0" w:space="0" w:color="auto"/>
        <w:right w:val="none" w:sz="0" w:space="0" w:color="auto"/>
      </w:divBdr>
    </w:div>
    <w:div w:id="905604532">
      <w:marLeft w:val="0"/>
      <w:marRight w:val="0"/>
      <w:marTop w:val="0"/>
      <w:marBottom w:val="0"/>
      <w:divBdr>
        <w:top w:val="none" w:sz="0" w:space="0" w:color="auto"/>
        <w:left w:val="none" w:sz="0" w:space="0" w:color="auto"/>
        <w:bottom w:val="none" w:sz="0" w:space="0" w:color="auto"/>
        <w:right w:val="none" w:sz="0" w:space="0" w:color="auto"/>
      </w:divBdr>
    </w:div>
    <w:div w:id="905604533">
      <w:marLeft w:val="0"/>
      <w:marRight w:val="0"/>
      <w:marTop w:val="0"/>
      <w:marBottom w:val="0"/>
      <w:divBdr>
        <w:top w:val="none" w:sz="0" w:space="0" w:color="auto"/>
        <w:left w:val="none" w:sz="0" w:space="0" w:color="auto"/>
        <w:bottom w:val="none" w:sz="0" w:space="0" w:color="auto"/>
        <w:right w:val="none" w:sz="0" w:space="0" w:color="auto"/>
      </w:divBdr>
    </w:div>
    <w:div w:id="905604534">
      <w:marLeft w:val="0"/>
      <w:marRight w:val="0"/>
      <w:marTop w:val="0"/>
      <w:marBottom w:val="0"/>
      <w:divBdr>
        <w:top w:val="none" w:sz="0" w:space="0" w:color="auto"/>
        <w:left w:val="none" w:sz="0" w:space="0" w:color="auto"/>
        <w:bottom w:val="none" w:sz="0" w:space="0" w:color="auto"/>
        <w:right w:val="none" w:sz="0" w:space="0" w:color="auto"/>
      </w:divBdr>
    </w:div>
    <w:div w:id="905604535">
      <w:marLeft w:val="0"/>
      <w:marRight w:val="0"/>
      <w:marTop w:val="0"/>
      <w:marBottom w:val="0"/>
      <w:divBdr>
        <w:top w:val="none" w:sz="0" w:space="0" w:color="auto"/>
        <w:left w:val="none" w:sz="0" w:space="0" w:color="auto"/>
        <w:bottom w:val="none" w:sz="0" w:space="0" w:color="auto"/>
        <w:right w:val="none" w:sz="0" w:space="0" w:color="auto"/>
      </w:divBdr>
    </w:div>
    <w:div w:id="905604536">
      <w:marLeft w:val="0"/>
      <w:marRight w:val="0"/>
      <w:marTop w:val="0"/>
      <w:marBottom w:val="0"/>
      <w:divBdr>
        <w:top w:val="none" w:sz="0" w:space="0" w:color="auto"/>
        <w:left w:val="none" w:sz="0" w:space="0" w:color="auto"/>
        <w:bottom w:val="none" w:sz="0" w:space="0" w:color="auto"/>
        <w:right w:val="none" w:sz="0" w:space="0" w:color="auto"/>
      </w:divBdr>
    </w:div>
    <w:div w:id="905604537">
      <w:marLeft w:val="0"/>
      <w:marRight w:val="0"/>
      <w:marTop w:val="0"/>
      <w:marBottom w:val="0"/>
      <w:divBdr>
        <w:top w:val="none" w:sz="0" w:space="0" w:color="auto"/>
        <w:left w:val="none" w:sz="0" w:space="0" w:color="auto"/>
        <w:bottom w:val="none" w:sz="0" w:space="0" w:color="auto"/>
        <w:right w:val="none" w:sz="0" w:space="0" w:color="auto"/>
      </w:divBdr>
    </w:div>
    <w:div w:id="905604538">
      <w:marLeft w:val="0"/>
      <w:marRight w:val="0"/>
      <w:marTop w:val="0"/>
      <w:marBottom w:val="0"/>
      <w:divBdr>
        <w:top w:val="none" w:sz="0" w:space="0" w:color="auto"/>
        <w:left w:val="none" w:sz="0" w:space="0" w:color="auto"/>
        <w:bottom w:val="none" w:sz="0" w:space="0" w:color="auto"/>
        <w:right w:val="none" w:sz="0" w:space="0" w:color="auto"/>
      </w:divBdr>
    </w:div>
    <w:div w:id="905604539">
      <w:marLeft w:val="0"/>
      <w:marRight w:val="0"/>
      <w:marTop w:val="0"/>
      <w:marBottom w:val="0"/>
      <w:divBdr>
        <w:top w:val="none" w:sz="0" w:space="0" w:color="auto"/>
        <w:left w:val="none" w:sz="0" w:space="0" w:color="auto"/>
        <w:bottom w:val="none" w:sz="0" w:space="0" w:color="auto"/>
        <w:right w:val="none" w:sz="0" w:space="0" w:color="auto"/>
      </w:divBdr>
    </w:div>
    <w:div w:id="905604540">
      <w:marLeft w:val="0"/>
      <w:marRight w:val="0"/>
      <w:marTop w:val="0"/>
      <w:marBottom w:val="0"/>
      <w:divBdr>
        <w:top w:val="none" w:sz="0" w:space="0" w:color="auto"/>
        <w:left w:val="none" w:sz="0" w:space="0" w:color="auto"/>
        <w:bottom w:val="none" w:sz="0" w:space="0" w:color="auto"/>
        <w:right w:val="none" w:sz="0" w:space="0" w:color="auto"/>
      </w:divBdr>
    </w:div>
    <w:div w:id="905604541">
      <w:marLeft w:val="0"/>
      <w:marRight w:val="0"/>
      <w:marTop w:val="0"/>
      <w:marBottom w:val="0"/>
      <w:divBdr>
        <w:top w:val="none" w:sz="0" w:space="0" w:color="auto"/>
        <w:left w:val="none" w:sz="0" w:space="0" w:color="auto"/>
        <w:bottom w:val="none" w:sz="0" w:space="0" w:color="auto"/>
        <w:right w:val="none" w:sz="0" w:space="0" w:color="auto"/>
      </w:divBdr>
    </w:div>
    <w:div w:id="905604542">
      <w:marLeft w:val="0"/>
      <w:marRight w:val="0"/>
      <w:marTop w:val="0"/>
      <w:marBottom w:val="0"/>
      <w:divBdr>
        <w:top w:val="none" w:sz="0" w:space="0" w:color="auto"/>
        <w:left w:val="none" w:sz="0" w:space="0" w:color="auto"/>
        <w:bottom w:val="none" w:sz="0" w:space="0" w:color="auto"/>
        <w:right w:val="none" w:sz="0" w:space="0" w:color="auto"/>
      </w:divBdr>
    </w:div>
    <w:div w:id="905604543">
      <w:marLeft w:val="0"/>
      <w:marRight w:val="0"/>
      <w:marTop w:val="0"/>
      <w:marBottom w:val="0"/>
      <w:divBdr>
        <w:top w:val="none" w:sz="0" w:space="0" w:color="auto"/>
        <w:left w:val="none" w:sz="0" w:space="0" w:color="auto"/>
        <w:bottom w:val="none" w:sz="0" w:space="0" w:color="auto"/>
        <w:right w:val="none" w:sz="0" w:space="0" w:color="auto"/>
      </w:divBdr>
    </w:div>
    <w:div w:id="905604544">
      <w:marLeft w:val="0"/>
      <w:marRight w:val="0"/>
      <w:marTop w:val="0"/>
      <w:marBottom w:val="0"/>
      <w:divBdr>
        <w:top w:val="none" w:sz="0" w:space="0" w:color="auto"/>
        <w:left w:val="none" w:sz="0" w:space="0" w:color="auto"/>
        <w:bottom w:val="none" w:sz="0" w:space="0" w:color="auto"/>
        <w:right w:val="none" w:sz="0" w:space="0" w:color="auto"/>
      </w:divBdr>
    </w:div>
    <w:div w:id="905604545">
      <w:marLeft w:val="0"/>
      <w:marRight w:val="0"/>
      <w:marTop w:val="0"/>
      <w:marBottom w:val="0"/>
      <w:divBdr>
        <w:top w:val="none" w:sz="0" w:space="0" w:color="auto"/>
        <w:left w:val="none" w:sz="0" w:space="0" w:color="auto"/>
        <w:bottom w:val="none" w:sz="0" w:space="0" w:color="auto"/>
        <w:right w:val="none" w:sz="0" w:space="0" w:color="auto"/>
      </w:divBdr>
    </w:div>
    <w:div w:id="905604546">
      <w:marLeft w:val="0"/>
      <w:marRight w:val="0"/>
      <w:marTop w:val="0"/>
      <w:marBottom w:val="0"/>
      <w:divBdr>
        <w:top w:val="none" w:sz="0" w:space="0" w:color="auto"/>
        <w:left w:val="none" w:sz="0" w:space="0" w:color="auto"/>
        <w:bottom w:val="none" w:sz="0" w:space="0" w:color="auto"/>
        <w:right w:val="none" w:sz="0" w:space="0" w:color="auto"/>
      </w:divBdr>
    </w:div>
    <w:div w:id="905604547">
      <w:marLeft w:val="0"/>
      <w:marRight w:val="0"/>
      <w:marTop w:val="0"/>
      <w:marBottom w:val="0"/>
      <w:divBdr>
        <w:top w:val="none" w:sz="0" w:space="0" w:color="auto"/>
        <w:left w:val="none" w:sz="0" w:space="0" w:color="auto"/>
        <w:bottom w:val="none" w:sz="0" w:space="0" w:color="auto"/>
        <w:right w:val="none" w:sz="0" w:space="0" w:color="auto"/>
      </w:divBdr>
    </w:div>
    <w:div w:id="905604548">
      <w:marLeft w:val="0"/>
      <w:marRight w:val="0"/>
      <w:marTop w:val="0"/>
      <w:marBottom w:val="0"/>
      <w:divBdr>
        <w:top w:val="none" w:sz="0" w:space="0" w:color="auto"/>
        <w:left w:val="none" w:sz="0" w:space="0" w:color="auto"/>
        <w:bottom w:val="none" w:sz="0" w:space="0" w:color="auto"/>
        <w:right w:val="none" w:sz="0" w:space="0" w:color="auto"/>
      </w:divBdr>
    </w:div>
    <w:div w:id="905604549">
      <w:marLeft w:val="0"/>
      <w:marRight w:val="0"/>
      <w:marTop w:val="0"/>
      <w:marBottom w:val="0"/>
      <w:divBdr>
        <w:top w:val="none" w:sz="0" w:space="0" w:color="auto"/>
        <w:left w:val="none" w:sz="0" w:space="0" w:color="auto"/>
        <w:bottom w:val="none" w:sz="0" w:space="0" w:color="auto"/>
        <w:right w:val="none" w:sz="0" w:space="0" w:color="auto"/>
      </w:divBdr>
    </w:div>
    <w:div w:id="905604550">
      <w:marLeft w:val="0"/>
      <w:marRight w:val="0"/>
      <w:marTop w:val="0"/>
      <w:marBottom w:val="0"/>
      <w:divBdr>
        <w:top w:val="none" w:sz="0" w:space="0" w:color="auto"/>
        <w:left w:val="none" w:sz="0" w:space="0" w:color="auto"/>
        <w:bottom w:val="none" w:sz="0" w:space="0" w:color="auto"/>
        <w:right w:val="none" w:sz="0" w:space="0" w:color="auto"/>
      </w:divBdr>
    </w:div>
    <w:div w:id="905604551">
      <w:marLeft w:val="0"/>
      <w:marRight w:val="0"/>
      <w:marTop w:val="0"/>
      <w:marBottom w:val="0"/>
      <w:divBdr>
        <w:top w:val="none" w:sz="0" w:space="0" w:color="auto"/>
        <w:left w:val="none" w:sz="0" w:space="0" w:color="auto"/>
        <w:bottom w:val="none" w:sz="0" w:space="0" w:color="auto"/>
        <w:right w:val="none" w:sz="0" w:space="0" w:color="auto"/>
      </w:divBdr>
    </w:div>
    <w:div w:id="905604552">
      <w:marLeft w:val="0"/>
      <w:marRight w:val="0"/>
      <w:marTop w:val="0"/>
      <w:marBottom w:val="0"/>
      <w:divBdr>
        <w:top w:val="none" w:sz="0" w:space="0" w:color="auto"/>
        <w:left w:val="none" w:sz="0" w:space="0" w:color="auto"/>
        <w:bottom w:val="none" w:sz="0" w:space="0" w:color="auto"/>
        <w:right w:val="none" w:sz="0" w:space="0" w:color="auto"/>
      </w:divBdr>
    </w:div>
    <w:div w:id="905604553">
      <w:marLeft w:val="0"/>
      <w:marRight w:val="0"/>
      <w:marTop w:val="0"/>
      <w:marBottom w:val="0"/>
      <w:divBdr>
        <w:top w:val="none" w:sz="0" w:space="0" w:color="auto"/>
        <w:left w:val="none" w:sz="0" w:space="0" w:color="auto"/>
        <w:bottom w:val="none" w:sz="0" w:space="0" w:color="auto"/>
        <w:right w:val="none" w:sz="0" w:space="0" w:color="auto"/>
      </w:divBdr>
    </w:div>
    <w:div w:id="905604554">
      <w:marLeft w:val="0"/>
      <w:marRight w:val="0"/>
      <w:marTop w:val="0"/>
      <w:marBottom w:val="0"/>
      <w:divBdr>
        <w:top w:val="none" w:sz="0" w:space="0" w:color="auto"/>
        <w:left w:val="none" w:sz="0" w:space="0" w:color="auto"/>
        <w:bottom w:val="none" w:sz="0" w:space="0" w:color="auto"/>
        <w:right w:val="none" w:sz="0" w:space="0" w:color="auto"/>
      </w:divBdr>
    </w:div>
    <w:div w:id="905604555">
      <w:marLeft w:val="0"/>
      <w:marRight w:val="0"/>
      <w:marTop w:val="0"/>
      <w:marBottom w:val="0"/>
      <w:divBdr>
        <w:top w:val="none" w:sz="0" w:space="0" w:color="auto"/>
        <w:left w:val="none" w:sz="0" w:space="0" w:color="auto"/>
        <w:bottom w:val="none" w:sz="0" w:space="0" w:color="auto"/>
        <w:right w:val="none" w:sz="0" w:space="0" w:color="auto"/>
      </w:divBdr>
    </w:div>
    <w:div w:id="905604556">
      <w:marLeft w:val="0"/>
      <w:marRight w:val="0"/>
      <w:marTop w:val="0"/>
      <w:marBottom w:val="0"/>
      <w:divBdr>
        <w:top w:val="none" w:sz="0" w:space="0" w:color="auto"/>
        <w:left w:val="none" w:sz="0" w:space="0" w:color="auto"/>
        <w:bottom w:val="none" w:sz="0" w:space="0" w:color="auto"/>
        <w:right w:val="none" w:sz="0" w:space="0" w:color="auto"/>
      </w:divBdr>
    </w:div>
    <w:div w:id="905604557">
      <w:marLeft w:val="0"/>
      <w:marRight w:val="0"/>
      <w:marTop w:val="0"/>
      <w:marBottom w:val="0"/>
      <w:divBdr>
        <w:top w:val="none" w:sz="0" w:space="0" w:color="auto"/>
        <w:left w:val="none" w:sz="0" w:space="0" w:color="auto"/>
        <w:bottom w:val="none" w:sz="0" w:space="0" w:color="auto"/>
        <w:right w:val="none" w:sz="0" w:space="0" w:color="auto"/>
      </w:divBdr>
    </w:div>
    <w:div w:id="905604558">
      <w:marLeft w:val="0"/>
      <w:marRight w:val="0"/>
      <w:marTop w:val="0"/>
      <w:marBottom w:val="0"/>
      <w:divBdr>
        <w:top w:val="none" w:sz="0" w:space="0" w:color="auto"/>
        <w:left w:val="none" w:sz="0" w:space="0" w:color="auto"/>
        <w:bottom w:val="none" w:sz="0" w:space="0" w:color="auto"/>
        <w:right w:val="none" w:sz="0" w:space="0" w:color="auto"/>
      </w:divBdr>
    </w:div>
    <w:div w:id="905604559">
      <w:marLeft w:val="0"/>
      <w:marRight w:val="0"/>
      <w:marTop w:val="0"/>
      <w:marBottom w:val="0"/>
      <w:divBdr>
        <w:top w:val="none" w:sz="0" w:space="0" w:color="auto"/>
        <w:left w:val="none" w:sz="0" w:space="0" w:color="auto"/>
        <w:bottom w:val="none" w:sz="0" w:space="0" w:color="auto"/>
        <w:right w:val="none" w:sz="0" w:space="0" w:color="auto"/>
      </w:divBdr>
    </w:div>
    <w:div w:id="905604560">
      <w:marLeft w:val="0"/>
      <w:marRight w:val="0"/>
      <w:marTop w:val="0"/>
      <w:marBottom w:val="0"/>
      <w:divBdr>
        <w:top w:val="none" w:sz="0" w:space="0" w:color="auto"/>
        <w:left w:val="none" w:sz="0" w:space="0" w:color="auto"/>
        <w:bottom w:val="none" w:sz="0" w:space="0" w:color="auto"/>
        <w:right w:val="none" w:sz="0" w:space="0" w:color="auto"/>
      </w:divBdr>
    </w:div>
    <w:div w:id="905604561">
      <w:marLeft w:val="0"/>
      <w:marRight w:val="0"/>
      <w:marTop w:val="0"/>
      <w:marBottom w:val="0"/>
      <w:divBdr>
        <w:top w:val="none" w:sz="0" w:space="0" w:color="auto"/>
        <w:left w:val="none" w:sz="0" w:space="0" w:color="auto"/>
        <w:bottom w:val="none" w:sz="0" w:space="0" w:color="auto"/>
        <w:right w:val="none" w:sz="0" w:space="0" w:color="auto"/>
      </w:divBdr>
    </w:div>
    <w:div w:id="905604562">
      <w:marLeft w:val="0"/>
      <w:marRight w:val="0"/>
      <w:marTop w:val="0"/>
      <w:marBottom w:val="0"/>
      <w:divBdr>
        <w:top w:val="none" w:sz="0" w:space="0" w:color="auto"/>
        <w:left w:val="none" w:sz="0" w:space="0" w:color="auto"/>
        <w:bottom w:val="none" w:sz="0" w:space="0" w:color="auto"/>
        <w:right w:val="none" w:sz="0" w:space="0" w:color="auto"/>
      </w:divBdr>
    </w:div>
    <w:div w:id="905604563">
      <w:marLeft w:val="0"/>
      <w:marRight w:val="0"/>
      <w:marTop w:val="0"/>
      <w:marBottom w:val="0"/>
      <w:divBdr>
        <w:top w:val="none" w:sz="0" w:space="0" w:color="auto"/>
        <w:left w:val="none" w:sz="0" w:space="0" w:color="auto"/>
        <w:bottom w:val="none" w:sz="0" w:space="0" w:color="auto"/>
        <w:right w:val="none" w:sz="0" w:space="0" w:color="auto"/>
      </w:divBdr>
    </w:div>
    <w:div w:id="905604564">
      <w:marLeft w:val="0"/>
      <w:marRight w:val="0"/>
      <w:marTop w:val="0"/>
      <w:marBottom w:val="0"/>
      <w:divBdr>
        <w:top w:val="none" w:sz="0" w:space="0" w:color="auto"/>
        <w:left w:val="none" w:sz="0" w:space="0" w:color="auto"/>
        <w:bottom w:val="none" w:sz="0" w:space="0" w:color="auto"/>
        <w:right w:val="none" w:sz="0" w:space="0" w:color="auto"/>
      </w:divBdr>
    </w:div>
    <w:div w:id="905604565">
      <w:marLeft w:val="0"/>
      <w:marRight w:val="0"/>
      <w:marTop w:val="0"/>
      <w:marBottom w:val="0"/>
      <w:divBdr>
        <w:top w:val="none" w:sz="0" w:space="0" w:color="auto"/>
        <w:left w:val="none" w:sz="0" w:space="0" w:color="auto"/>
        <w:bottom w:val="none" w:sz="0" w:space="0" w:color="auto"/>
        <w:right w:val="none" w:sz="0" w:space="0" w:color="auto"/>
      </w:divBdr>
    </w:div>
    <w:div w:id="905604566">
      <w:marLeft w:val="0"/>
      <w:marRight w:val="0"/>
      <w:marTop w:val="0"/>
      <w:marBottom w:val="0"/>
      <w:divBdr>
        <w:top w:val="none" w:sz="0" w:space="0" w:color="auto"/>
        <w:left w:val="none" w:sz="0" w:space="0" w:color="auto"/>
        <w:bottom w:val="none" w:sz="0" w:space="0" w:color="auto"/>
        <w:right w:val="none" w:sz="0" w:space="0" w:color="auto"/>
      </w:divBdr>
    </w:div>
    <w:div w:id="905604567">
      <w:marLeft w:val="0"/>
      <w:marRight w:val="0"/>
      <w:marTop w:val="0"/>
      <w:marBottom w:val="0"/>
      <w:divBdr>
        <w:top w:val="none" w:sz="0" w:space="0" w:color="auto"/>
        <w:left w:val="none" w:sz="0" w:space="0" w:color="auto"/>
        <w:bottom w:val="none" w:sz="0" w:space="0" w:color="auto"/>
        <w:right w:val="none" w:sz="0" w:space="0" w:color="auto"/>
      </w:divBdr>
    </w:div>
    <w:div w:id="905604568">
      <w:marLeft w:val="0"/>
      <w:marRight w:val="0"/>
      <w:marTop w:val="0"/>
      <w:marBottom w:val="0"/>
      <w:divBdr>
        <w:top w:val="none" w:sz="0" w:space="0" w:color="auto"/>
        <w:left w:val="none" w:sz="0" w:space="0" w:color="auto"/>
        <w:bottom w:val="none" w:sz="0" w:space="0" w:color="auto"/>
        <w:right w:val="none" w:sz="0" w:space="0" w:color="auto"/>
      </w:divBdr>
    </w:div>
    <w:div w:id="905604569">
      <w:marLeft w:val="0"/>
      <w:marRight w:val="0"/>
      <w:marTop w:val="0"/>
      <w:marBottom w:val="0"/>
      <w:divBdr>
        <w:top w:val="none" w:sz="0" w:space="0" w:color="auto"/>
        <w:left w:val="none" w:sz="0" w:space="0" w:color="auto"/>
        <w:bottom w:val="none" w:sz="0" w:space="0" w:color="auto"/>
        <w:right w:val="none" w:sz="0" w:space="0" w:color="auto"/>
      </w:divBdr>
    </w:div>
    <w:div w:id="905604570">
      <w:marLeft w:val="0"/>
      <w:marRight w:val="0"/>
      <w:marTop w:val="0"/>
      <w:marBottom w:val="0"/>
      <w:divBdr>
        <w:top w:val="none" w:sz="0" w:space="0" w:color="auto"/>
        <w:left w:val="none" w:sz="0" w:space="0" w:color="auto"/>
        <w:bottom w:val="none" w:sz="0" w:space="0" w:color="auto"/>
        <w:right w:val="none" w:sz="0" w:space="0" w:color="auto"/>
      </w:divBdr>
    </w:div>
    <w:div w:id="905604571">
      <w:marLeft w:val="0"/>
      <w:marRight w:val="0"/>
      <w:marTop w:val="0"/>
      <w:marBottom w:val="0"/>
      <w:divBdr>
        <w:top w:val="none" w:sz="0" w:space="0" w:color="auto"/>
        <w:left w:val="none" w:sz="0" w:space="0" w:color="auto"/>
        <w:bottom w:val="none" w:sz="0" w:space="0" w:color="auto"/>
        <w:right w:val="none" w:sz="0" w:space="0" w:color="auto"/>
      </w:divBdr>
    </w:div>
    <w:div w:id="905604572">
      <w:marLeft w:val="0"/>
      <w:marRight w:val="0"/>
      <w:marTop w:val="0"/>
      <w:marBottom w:val="0"/>
      <w:divBdr>
        <w:top w:val="none" w:sz="0" w:space="0" w:color="auto"/>
        <w:left w:val="none" w:sz="0" w:space="0" w:color="auto"/>
        <w:bottom w:val="none" w:sz="0" w:space="0" w:color="auto"/>
        <w:right w:val="none" w:sz="0" w:space="0" w:color="auto"/>
      </w:divBdr>
    </w:div>
    <w:div w:id="905604573">
      <w:marLeft w:val="0"/>
      <w:marRight w:val="0"/>
      <w:marTop w:val="0"/>
      <w:marBottom w:val="0"/>
      <w:divBdr>
        <w:top w:val="none" w:sz="0" w:space="0" w:color="auto"/>
        <w:left w:val="none" w:sz="0" w:space="0" w:color="auto"/>
        <w:bottom w:val="none" w:sz="0" w:space="0" w:color="auto"/>
        <w:right w:val="none" w:sz="0" w:space="0" w:color="auto"/>
      </w:divBdr>
    </w:div>
    <w:div w:id="905604574">
      <w:marLeft w:val="0"/>
      <w:marRight w:val="0"/>
      <w:marTop w:val="0"/>
      <w:marBottom w:val="0"/>
      <w:divBdr>
        <w:top w:val="none" w:sz="0" w:space="0" w:color="auto"/>
        <w:left w:val="none" w:sz="0" w:space="0" w:color="auto"/>
        <w:bottom w:val="none" w:sz="0" w:space="0" w:color="auto"/>
        <w:right w:val="none" w:sz="0" w:space="0" w:color="auto"/>
      </w:divBdr>
    </w:div>
    <w:div w:id="905604575">
      <w:marLeft w:val="0"/>
      <w:marRight w:val="0"/>
      <w:marTop w:val="0"/>
      <w:marBottom w:val="0"/>
      <w:divBdr>
        <w:top w:val="none" w:sz="0" w:space="0" w:color="auto"/>
        <w:left w:val="none" w:sz="0" w:space="0" w:color="auto"/>
        <w:bottom w:val="none" w:sz="0" w:space="0" w:color="auto"/>
        <w:right w:val="none" w:sz="0" w:space="0" w:color="auto"/>
      </w:divBdr>
    </w:div>
    <w:div w:id="905604576">
      <w:marLeft w:val="0"/>
      <w:marRight w:val="0"/>
      <w:marTop w:val="0"/>
      <w:marBottom w:val="0"/>
      <w:divBdr>
        <w:top w:val="none" w:sz="0" w:space="0" w:color="auto"/>
        <w:left w:val="none" w:sz="0" w:space="0" w:color="auto"/>
        <w:bottom w:val="none" w:sz="0" w:space="0" w:color="auto"/>
        <w:right w:val="none" w:sz="0" w:space="0" w:color="auto"/>
      </w:divBdr>
    </w:div>
    <w:div w:id="905604577">
      <w:marLeft w:val="0"/>
      <w:marRight w:val="0"/>
      <w:marTop w:val="0"/>
      <w:marBottom w:val="0"/>
      <w:divBdr>
        <w:top w:val="none" w:sz="0" w:space="0" w:color="auto"/>
        <w:left w:val="none" w:sz="0" w:space="0" w:color="auto"/>
        <w:bottom w:val="none" w:sz="0" w:space="0" w:color="auto"/>
        <w:right w:val="none" w:sz="0" w:space="0" w:color="auto"/>
      </w:divBdr>
    </w:div>
    <w:div w:id="905604578">
      <w:marLeft w:val="0"/>
      <w:marRight w:val="0"/>
      <w:marTop w:val="0"/>
      <w:marBottom w:val="0"/>
      <w:divBdr>
        <w:top w:val="none" w:sz="0" w:space="0" w:color="auto"/>
        <w:left w:val="none" w:sz="0" w:space="0" w:color="auto"/>
        <w:bottom w:val="none" w:sz="0" w:space="0" w:color="auto"/>
        <w:right w:val="none" w:sz="0" w:space="0" w:color="auto"/>
      </w:divBdr>
    </w:div>
    <w:div w:id="905604579">
      <w:marLeft w:val="0"/>
      <w:marRight w:val="0"/>
      <w:marTop w:val="0"/>
      <w:marBottom w:val="0"/>
      <w:divBdr>
        <w:top w:val="none" w:sz="0" w:space="0" w:color="auto"/>
        <w:left w:val="none" w:sz="0" w:space="0" w:color="auto"/>
        <w:bottom w:val="none" w:sz="0" w:space="0" w:color="auto"/>
        <w:right w:val="none" w:sz="0" w:space="0" w:color="auto"/>
      </w:divBdr>
    </w:div>
    <w:div w:id="905604580">
      <w:marLeft w:val="0"/>
      <w:marRight w:val="0"/>
      <w:marTop w:val="0"/>
      <w:marBottom w:val="0"/>
      <w:divBdr>
        <w:top w:val="none" w:sz="0" w:space="0" w:color="auto"/>
        <w:left w:val="none" w:sz="0" w:space="0" w:color="auto"/>
        <w:bottom w:val="none" w:sz="0" w:space="0" w:color="auto"/>
        <w:right w:val="none" w:sz="0" w:space="0" w:color="auto"/>
      </w:divBdr>
    </w:div>
    <w:div w:id="905604581">
      <w:marLeft w:val="0"/>
      <w:marRight w:val="0"/>
      <w:marTop w:val="0"/>
      <w:marBottom w:val="0"/>
      <w:divBdr>
        <w:top w:val="none" w:sz="0" w:space="0" w:color="auto"/>
        <w:left w:val="none" w:sz="0" w:space="0" w:color="auto"/>
        <w:bottom w:val="none" w:sz="0" w:space="0" w:color="auto"/>
        <w:right w:val="none" w:sz="0" w:space="0" w:color="auto"/>
      </w:divBdr>
    </w:div>
    <w:div w:id="905604582">
      <w:marLeft w:val="0"/>
      <w:marRight w:val="0"/>
      <w:marTop w:val="0"/>
      <w:marBottom w:val="0"/>
      <w:divBdr>
        <w:top w:val="none" w:sz="0" w:space="0" w:color="auto"/>
        <w:left w:val="none" w:sz="0" w:space="0" w:color="auto"/>
        <w:bottom w:val="none" w:sz="0" w:space="0" w:color="auto"/>
        <w:right w:val="none" w:sz="0" w:space="0" w:color="auto"/>
      </w:divBdr>
    </w:div>
    <w:div w:id="905604583">
      <w:marLeft w:val="0"/>
      <w:marRight w:val="0"/>
      <w:marTop w:val="0"/>
      <w:marBottom w:val="0"/>
      <w:divBdr>
        <w:top w:val="none" w:sz="0" w:space="0" w:color="auto"/>
        <w:left w:val="none" w:sz="0" w:space="0" w:color="auto"/>
        <w:bottom w:val="none" w:sz="0" w:space="0" w:color="auto"/>
        <w:right w:val="none" w:sz="0" w:space="0" w:color="auto"/>
      </w:divBdr>
    </w:div>
    <w:div w:id="905604584">
      <w:marLeft w:val="0"/>
      <w:marRight w:val="0"/>
      <w:marTop w:val="0"/>
      <w:marBottom w:val="0"/>
      <w:divBdr>
        <w:top w:val="none" w:sz="0" w:space="0" w:color="auto"/>
        <w:left w:val="none" w:sz="0" w:space="0" w:color="auto"/>
        <w:bottom w:val="none" w:sz="0" w:space="0" w:color="auto"/>
        <w:right w:val="none" w:sz="0" w:space="0" w:color="auto"/>
      </w:divBdr>
    </w:div>
    <w:div w:id="981619720">
      <w:bodyDiv w:val="1"/>
      <w:marLeft w:val="0"/>
      <w:marRight w:val="0"/>
      <w:marTop w:val="0"/>
      <w:marBottom w:val="0"/>
      <w:divBdr>
        <w:top w:val="none" w:sz="0" w:space="0" w:color="auto"/>
        <w:left w:val="none" w:sz="0" w:space="0" w:color="auto"/>
        <w:bottom w:val="none" w:sz="0" w:space="0" w:color="auto"/>
        <w:right w:val="none" w:sz="0" w:space="0" w:color="auto"/>
      </w:divBdr>
    </w:div>
    <w:div w:id="1115366447">
      <w:bodyDiv w:val="1"/>
      <w:marLeft w:val="0"/>
      <w:marRight w:val="0"/>
      <w:marTop w:val="0"/>
      <w:marBottom w:val="0"/>
      <w:divBdr>
        <w:top w:val="none" w:sz="0" w:space="0" w:color="auto"/>
        <w:left w:val="none" w:sz="0" w:space="0" w:color="auto"/>
        <w:bottom w:val="none" w:sz="0" w:space="0" w:color="auto"/>
        <w:right w:val="none" w:sz="0" w:space="0" w:color="auto"/>
      </w:divBdr>
    </w:div>
    <w:div w:id="1206986872">
      <w:bodyDiv w:val="1"/>
      <w:marLeft w:val="0"/>
      <w:marRight w:val="0"/>
      <w:marTop w:val="0"/>
      <w:marBottom w:val="0"/>
      <w:divBdr>
        <w:top w:val="none" w:sz="0" w:space="0" w:color="auto"/>
        <w:left w:val="none" w:sz="0" w:space="0" w:color="auto"/>
        <w:bottom w:val="none" w:sz="0" w:space="0" w:color="auto"/>
        <w:right w:val="none" w:sz="0" w:space="0" w:color="auto"/>
      </w:divBdr>
    </w:div>
    <w:div w:id="1222715204">
      <w:bodyDiv w:val="1"/>
      <w:marLeft w:val="0"/>
      <w:marRight w:val="0"/>
      <w:marTop w:val="0"/>
      <w:marBottom w:val="0"/>
      <w:divBdr>
        <w:top w:val="none" w:sz="0" w:space="0" w:color="auto"/>
        <w:left w:val="none" w:sz="0" w:space="0" w:color="auto"/>
        <w:bottom w:val="none" w:sz="0" w:space="0" w:color="auto"/>
        <w:right w:val="none" w:sz="0" w:space="0" w:color="auto"/>
      </w:divBdr>
    </w:div>
    <w:div w:id="1292900840">
      <w:bodyDiv w:val="1"/>
      <w:marLeft w:val="0"/>
      <w:marRight w:val="0"/>
      <w:marTop w:val="0"/>
      <w:marBottom w:val="0"/>
      <w:divBdr>
        <w:top w:val="none" w:sz="0" w:space="0" w:color="auto"/>
        <w:left w:val="none" w:sz="0" w:space="0" w:color="auto"/>
        <w:bottom w:val="none" w:sz="0" w:space="0" w:color="auto"/>
        <w:right w:val="none" w:sz="0" w:space="0" w:color="auto"/>
      </w:divBdr>
    </w:div>
    <w:div w:id="1461338068">
      <w:bodyDiv w:val="1"/>
      <w:marLeft w:val="0"/>
      <w:marRight w:val="0"/>
      <w:marTop w:val="0"/>
      <w:marBottom w:val="0"/>
      <w:divBdr>
        <w:top w:val="none" w:sz="0" w:space="0" w:color="auto"/>
        <w:left w:val="none" w:sz="0" w:space="0" w:color="auto"/>
        <w:bottom w:val="none" w:sz="0" w:space="0" w:color="auto"/>
        <w:right w:val="none" w:sz="0" w:space="0" w:color="auto"/>
      </w:divBdr>
    </w:div>
    <w:div w:id="1483233480">
      <w:bodyDiv w:val="1"/>
      <w:marLeft w:val="0"/>
      <w:marRight w:val="0"/>
      <w:marTop w:val="0"/>
      <w:marBottom w:val="0"/>
      <w:divBdr>
        <w:top w:val="none" w:sz="0" w:space="0" w:color="auto"/>
        <w:left w:val="none" w:sz="0" w:space="0" w:color="auto"/>
        <w:bottom w:val="none" w:sz="0" w:space="0" w:color="auto"/>
        <w:right w:val="none" w:sz="0" w:space="0" w:color="auto"/>
      </w:divBdr>
    </w:div>
    <w:div w:id="1536846648">
      <w:bodyDiv w:val="1"/>
      <w:marLeft w:val="0"/>
      <w:marRight w:val="0"/>
      <w:marTop w:val="0"/>
      <w:marBottom w:val="0"/>
      <w:divBdr>
        <w:top w:val="none" w:sz="0" w:space="0" w:color="auto"/>
        <w:left w:val="none" w:sz="0" w:space="0" w:color="auto"/>
        <w:bottom w:val="none" w:sz="0" w:space="0" w:color="auto"/>
        <w:right w:val="none" w:sz="0" w:space="0" w:color="auto"/>
      </w:divBdr>
    </w:div>
    <w:div w:id="1592660438">
      <w:bodyDiv w:val="1"/>
      <w:marLeft w:val="0"/>
      <w:marRight w:val="0"/>
      <w:marTop w:val="0"/>
      <w:marBottom w:val="0"/>
      <w:divBdr>
        <w:top w:val="none" w:sz="0" w:space="0" w:color="auto"/>
        <w:left w:val="none" w:sz="0" w:space="0" w:color="auto"/>
        <w:bottom w:val="none" w:sz="0" w:space="0" w:color="auto"/>
        <w:right w:val="none" w:sz="0" w:space="0" w:color="auto"/>
      </w:divBdr>
    </w:div>
    <w:div w:id="1641762164">
      <w:bodyDiv w:val="1"/>
      <w:marLeft w:val="0"/>
      <w:marRight w:val="0"/>
      <w:marTop w:val="0"/>
      <w:marBottom w:val="0"/>
      <w:divBdr>
        <w:top w:val="none" w:sz="0" w:space="0" w:color="auto"/>
        <w:left w:val="none" w:sz="0" w:space="0" w:color="auto"/>
        <w:bottom w:val="none" w:sz="0" w:space="0" w:color="auto"/>
        <w:right w:val="none" w:sz="0" w:space="0" w:color="auto"/>
      </w:divBdr>
    </w:div>
    <w:div w:id="1658068958">
      <w:bodyDiv w:val="1"/>
      <w:marLeft w:val="0"/>
      <w:marRight w:val="0"/>
      <w:marTop w:val="0"/>
      <w:marBottom w:val="0"/>
      <w:divBdr>
        <w:top w:val="none" w:sz="0" w:space="0" w:color="auto"/>
        <w:left w:val="none" w:sz="0" w:space="0" w:color="auto"/>
        <w:bottom w:val="none" w:sz="0" w:space="0" w:color="auto"/>
        <w:right w:val="none" w:sz="0" w:space="0" w:color="auto"/>
      </w:divBdr>
    </w:div>
    <w:div w:id="1792086813">
      <w:bodyDiv w:val="1"/>
      <w:marLeft w:val="0"/>
      <w:marRight w:val="0"/>
      <w:marTop w:val="0"/>
      <w:marBottom w:val="0"/>
      <w:divBdr>
        <w:top w:val="none" w:sz="0" w:space="0" w:color="auto"/>
        <w:left w:val="none" w:sz="0" w:space="0" w:color="auto"/>
        <w:bottom w:val="none" w:sz="0" w:space="0" w:color="auto"/>
        <w:right w:val="none" w:sz="0" w:space="0" w:color="auto"/>
      </w:divBdr>
    </w:div>
    <w:div w:id="1858885472">
      <w:bodyDiv w:val="1"/>
      <w:marLeft w:val="0"/>
      <w:marRight w:val="0"/>
      <w:marTop w:val="0"/>
      <w:marBottom w:val="0"/>
      <w:divBdr>
        <w:top w:val="none" w:sz="0" w:space="0" w:color="auto"/>
        <w:left w:val="none" w:sz="0" w:space="0" w:color="auto"/>
        <w:bottom w:val="none" w:sz="0" w:space="0" w:color="auto"/>
        <w:right w:val="none" w:sz="0" w:space="0" w:color="auto"/>
      </w:divBdr>
    </w:div>
    <w:div w:id="1972860174">
      <w:bodyDiv w:val="1"/>
      <w:marLeft w:val="0"/>
      <w:marRight w:val="0"/>
      <w:marTop w:val="0"/>
      <w:marBottom w:val="0"/>
      <w:divBdr>
        <w:top w:val="none" w:sz="0" w:space="0" w:color="auto"/>
        <w:left w:val="none" w:sz="0" w:space="0" w:color="auto"/>
        <w:bottom w:val="none" w:sz="0" w:space="0" w:color="auto"/>
        <w:right w:val="none" w:sz="0" w:space="0" w:color="auto"/>
      </w:divBdr>
    </w:div>
    <w:div w:id="2012372294">
      <w:bodyDiv w:val="1"/>
      <w:marLeft w:val="0"/>
      <w:marRight w:val="0"/>
      <w:marTop w:val="0"/>
      <w:marBottom w:val="0"/>
      <w:divBdr>
        <w:top w:val="none" w:sz="0" w:space="0" w:color="auto"/>
        <w:left w:val="none" w:sz="0" w:space="0" w:color="auto"/>
        <w:bottom w:val="none" w:sz="0" w:space="0" w:color="auto"/>
        <w:right w:val="none" w:sz="0" w:space="0" w:color="auto"/>
      </w:divBdr>
    </w:div>
    <w:div w:id="20992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gocvannckh@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f.gov.vn/webcenter/portal/ttpltc/pages_r/l/chi-tiet-tin-ttpltc?dDocName=MOFUCM19868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pcs.mpi.gov.vn/co-so-du-lieu/bao-cao-dau-t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mobt@huh.edu.v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Book1.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27527300833463E-2"/>
          <c:y val="5.2210550053558333E-2"/>
          <c:w val="0.8767684568139581"/>
          <c:h val="0.605199856807901"/>
        </c:manualLayout>
      </c:layout>
      <c:barChart>
        <c:barDir val="col"/>
        <c:grouping val="clustered"/>
        <c:varyColors val="0"/>
        <c:ser>
          <c:idx val="0"/>
          <c:order val="0"/>
          <c:tx>
            <c:v>Tổng vốn đầu tư đăng ký</c:v>
          </c:tx>
          <c:spPr>
            <a:solidFill>
              <a:schemeClr val="accent1">
                <a:lumMod val="40000"/>
                <a:lumOff val="60000"/>
              </a:schemeClr>
            </a:solidFill>
            <a:ln w="6350">
              <a:solidFill>
                <a:schemeClr val="accent1">
                  <a:lumMod val="50000"/>
                </a:schemeClr>
              </a:solidFill>
            </a:ln>
            <a:effectLst/>
          </c:spPr>
          <c:invertIfNegative val="0"/>
          <c:cat>
            <c:strRef>
              <c:f>Sheet1!$E$35:$E$54</c:f>
              <c:strCache>
                <c:ptCount val="20"/>
                <c:pt idx="0">
                  <c:v>Hàn Quốc</c:v>
                </c:pt>
                <c:pt idx="1">
                  <c:v>Singapore</c:v>
                </c:pt>
                <c:pt idx="2">
                  <c:v>Nhật Bản</c:v>
                </c:pt>
                <c:pt idx="3">
                  <c:v>Đài Loan</c:v>
                </c:pt>
                <c:pt idx="4">
                  <c:v>Hồng Kông</c:v>
                </c:pt>
                <c:pt idx="5">
                  <c:v>BritishVirginIslands</c:v>
                </c:pt>
                <c:pt idx="6">
                  <c:v>Trung Quốc</c:v>
                </c:pt>
                <c:pt idx="7">
                  <c:v>Hà Lan</c:v>
                </c:pt>
                <c:pt idx="8">
                  <c:v>Thái Lan</c:v>
                </c:pt>
                <c:pt idx="9">
                  <c:v>Malaysia</c:v>
                </c:pt>
                <c:pt idx="10">
                  <c:v>Hoa Kỳ</c:v>
                </c:pt>
                <c:pt idx="11">
                  <c:v>Samoa</c:v>
                </c:pt>
                <c:pt idx="12">
                  <c:v>Cayman Islands</c:v>
                </c:pt>
                <c:pt idx="13">
                  <c:v>Canada</c:v>
                </c:pt>
                <c:pt idx="14">
                  <c:v>Vương quốc Anh</c:v>
                </c:pt>
                <c:pt idx="15">
                  <c:v>Pháp</c:v>
                </c:pt>
                <c:pt idx="16">
                  <c:v>Luxembourg</c:v>
                </c:pt>
                <c:pt idx="17">
                  <c:v>CHLB Đức</c:v>
                </c:pt>
                <c:pt idx="18">
                  <c:v>Seychelles</c:v>
                </c:pt>
                <c:pt idx="19">
                  <c:v>Australia</c:v>
                </c:pt>
              </c:strCache>
            </c:strRef>
          </c:cat>
          <c:val>
            <c:numRef>
              <c:f>Sheet1!$G$35:$G$54</c:f>
              <c:numCache>
                <c:formatCode>General</c:formatCode>
                <c:ptCount val="20"/>
                <c:pt idx="0">
                  <c:v>78568.179999999993</c:v>
                </c:pt>
                <c:pt idx="1">
                  <c:v>67564.33</c:v>
                </c:pt>
                <c:pt idx="2">
                  <c:v>64410.61</c:v>
                </c:pt>
                <c:pt idx="3">
                  <c:v>35857.43</c:v>
                </c:pt>
                <c:pt idx="4">
                  <c:v>28553.98</c:v>
                </c:pt>
                <c:pt idx="5">
                  <c:v>22099</c:v>
                </c:pt>
                <c:pt idx="6">
                  <c:v>21964.21</c:v>
                </c:pt>
                <c:pt idx="7">
                  <c:v>13559</c:v>
                </c:pt>
                <c:pt idx="8">
                  <c:v>13037.83</c:v>
                </c:pt>
                <c:pt idx="9">
                  <c:v>12848.02</c:v>
                </c:pt>
                <c:pt idx="10">
                  <c:v>10433.81</c:v>
                </c:pt>
                <c:pt idx="11">
                  <c:v>9042.0300000000007</c:v>
                </c:pt>
                <c:pt idx="12">
                  <c:v>7048.98</c:v>
                </c:pt>
                <c:pt idx="13">
                  <c:v>4818.2299999999996</c:v>
                </c:pt>
                <c:pt idx="14">
                  <c:v>4039.25</c:v>
                </c:pt>
                <c:pt idx="15">
                  <c:v>3616.69</c:v>
                </c:pt>
                <c:pt idx="16">
                  <c:v>2484.66</c:v>
                </c:pt>
                <c:pt idx="17">
                  <c:v>2303.04</c:v>
                </c:pt>
                <c:pt idx="18">
                  <c:v>1955.76</c:v>
                </c:pt>
                <c:pt idx="19">
                  <c:v>1941.11</c:v>
                </c:pt>
              </c:numCache>
            </c:numRef>
          </c:val>
          <c:extLst>
            <c:ext xmlns:c16="http://schemas.microsoft.com/office/drawing/2014/chart" uri="{C3380CC4-5D6E-409C-BE32-E72D297353CC}">
              <c16:uniqueId val="{00000000-754E-467B-BA2A-2CB7F6268FC0}"/>
            </c:ext>
          </c:extLst>
        </c:ser>
        <c:dLbls>
          <c:showLegendKey val="0"/>
          <c:showVal val="0"/>
          <c:showCatName val="0"/>
          <c:showSerName val="0"/>
          <c:showPercent val="0"/>
          <c:showBubbleSize val="0"/>
        </c:dLbls>
        <c:gapWidth val="75"/>
        <c:overlap val="40"/>
        <c:axId val="422229464"/>
        <c:axId val="422231104"/>
      </c:barChart>
      <c:lineChart>
        <c:grouping val="standard"/>
        <c:varyColors val="0"/>
        <c:ser>
          <c:idx val="1"/>
          <c:order val="1"/>
          <c:tx>
            <c:v>Số dự án</c:v>
          </c:tx>
          <c:spPr>
            <a:ln w="28575" cap="rnd">
              <a:solidFill>
                <a:schemeClr val="accent2"/>
              </a:solidFill>
              <a:round/>
            </a:ln>
            <a:effectLst/>
          </c:spPr>
          <c:marker>
            <c:symbol val="diamond"/>
            <c:size val="8"/>
            <c:spPr>
              <a:solidFill>
                <a:schemeClr val="accent2"/>
              </a:solidFill>
              <a:ln w="9525">
                <a:solidFill>
                  <a:schemeClr val="tx1"/>
                </a:solidFill>
              </a:ln>
              <a:effectLst/>
            </c:spPr>
          </c:marker>
          <c:dLbls>
            <c:dLbl>
              <c:idx val="1"/>
              <c:layout>
                <c:manualLayout>
                  <c:x val="-4.6532240194992268E-2"/>
                  <c:y val="4.72347962999409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4E-467B-BA2A-2CB7F6268FC0}"/>
                </c:ext>
              </c:extLst>
            </c:dLbl>
            <c:dLbl>
              <c:idx val="2"/>
              <c:layout>
                <c:manualLayout>
                  <c:x val="-4.8748061156658543E-2"/>
                  <c:y val="-5.90434953749261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54E-467B-BA2A-2CB7F6268FC0}"/>
                </c:ext>
              </c:extLst>
            </c:dLbl>
            <c:dLbl>
              <c:idx val="3"/>
              <c:layout>
                <c:manualLayout>
                  <c:x val="-5.7611345003323773E-2"/>
                  <c:y val="7.87246604999015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4E-467B-BA2A-2CB7F6268FC0}"/>
                </c:ext>
              </c:extLst>
            </c:dLbl>
            <c:dLbl>
              <c:idx val="4"/>
              <c:layout>
                <c:manualLayout>
                  <c:x val="-4.6532240194992247E-2"/>
                  <c:y val="-8.26608935248966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54E-467B-BA2A-2CB7F6268FC0}"/>
                </c:ext>
              </c:extLst>
            </c:dLbl>
            <c:dLbl>
              <c:idx val="5"/>
              <c:layout>
                <c:manualLayout>
                  <c:x val="-3.9884777309993354E-2"/>
                  <c:y val="3.14898641999606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54E-467B-BA2A-2CB7F6268FC0}"/>
                </c:ext>
              </c:extLst>
            </c:dLbl>
            <c:dLbl>
              <c:idx val="6"/>
              <c:layout>
                <c:manualLayout>
                  <c:x val="-3.9884777309993312E-2"/>
                  <c:y val="-3.93623302499507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54E-467B-BA2A-2CB7F6268FC0}"/>
                </c:ext>
              </c:extLst>
            </c:dLbl>
            <c:dLbl>
              <c:idx val="7"/>
              <c:layout>
                <c:manualLayout>
                  <c:x val="-4.4316419233325986E-2"/>
                  <c:y val="2.75536311749655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54E-467B-BA2A-2CB7F6268FC0}"/>
                </c:ext>
              </c:extLst>
            </c:dLbl>
            <c:dLbl>
              <c:idx val="8"/>
              <c:layout>
                <c:manualLayout>
                  <c:x val="-3.9884777309993437E-2"/>
                  <c:y val="-6.68257756563245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54E-467B-BA2A-2CB7F6268FC0}"/>
                </c:ext>
              </c:extLst>
            </c:dLbl>
            <c:dLbl>
              <c:idx val="9"/>
              <c:layout>
                <c:manualLayout>
                  <c:x val="-3.5453135386660756E-2"/>
                  <c:y val="4.1368337311057955E-2"/>
                </c:manualLayout>
              </c:layout>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4.6997562596942169E-2"/>
                      <c:h val="5.4749528623957808E-2"/>
                    </c:manualLayout>
                  </c15:layout>
                </c:ext>
                <c:ext xmlns:c16="http://schemas.microsoft.com/office/drawing/2014/chart" uri="{C3380CC4-5D6E-409C-BE32-E72D297353CC}">
                  <c16:uniqueId val="{00000009-754E-467B-BA2A-2CB7F6268FC0}"/>
                </c:ext>
              </c:extLst>
            </c:dLbl>
            <c:dLbl>
              <c:idx val="10"/>
              <c:layout>
                <c:manualLayout>
                  <c:x val="-4.4316419233325945E-2"/>
                  <c:y val="-3.81861575178997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54E-467B-BA2A-2CB7F6268FC0}"/>
                </c:ext>
              </c:extLst>
            </c:dLbl>
            <c:dLbl>
              <c:idx val="11"/>
              <c:layout>
                <c:manualLayout>
                  <c:x val="-3.9884777309993437E-2"/>
                  <c:y val="3.81861575178997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54E-467B-BA2A-2CB7F6268FC0}"/>
                </c:ext>
              </c:extLst>
            </c:dLbl>
            <c:dLbl>
              <c:idx val="12"/>
              <c:layout>
                <c:manualLayout>
                  <c:x val="-3.5453135386660839E-2"/>
                  <c:y val="-6.36435958631663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54E-467B-BA2A-2CB7F6268FC0}"/>
                </c:ext>
              </c:extLst>
            </c:dLbl>
            <c:dLbl>
              <c:idx val="13"/>
              <c:layout>
                <c:manualLayout>
                  <c:x val="-3.3237314424994543E-2"/>
                  <c:y val="2.86396181384247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54E-467B-BA2A-2CB7F6268FC0}"/>
                </c:ext>
              </c:extLst>
            </c:dLbl>
            <c:dLbl>
              <c:idx val="14"/>
              <c:layout>
                <c:manualLayout>
                  <c:x val="-3.3237314424994543E-2"/>
                  <c:y val="-4.4550517104216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54E-467B-BA2A-2CB7F6268FC0}"/>
                </c:ext>
              </c:extLst>
            </c:dLbl>
            <c:dLbl>
              <c:idx val="15"/>
              <c:layout>
                <c:manualLayout>
                  <c:x val="-3.3237314424994543E-2"/>
                  <c:y val="5.09148766905328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54E-467B-BA2A-2CB7F6268FC0}"/>
                </c:ext>
              </c:extLst>
            </c:dLbl>
            <c:dLbl>
              <c:idx val="16"/>
              <c:layout>
                <c:manualLayout>
                  <c:x val="-2.5481941059162419E-2"/>
                  <c:y val="-5.88703261734288E-2"/>
                </c:manualLayout>
              </c:layout>
              <c:tx>
                <c:rich>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fld id="{0E697F86-66AB-48AD-AE03-3C1F6B59EA77}" type="VALUE">
                      <a:rPr lang="en-US" sz="800">
                        <a:latin typeface="Times New Roman" panose="02020603050405020304" pitchFamily="18" charset="0"/>
                        <a:cs typeface="Times New Roman" panose="02020603050405020304" pitchFamily="18" charset="0"/>
                      </a:rPr>
                      <a:pPr>
                        <a:defRPr sz="800" b="1">
                          <a:solidFill>
                            <a:sysClr val="windowText" lastClr="000000"/>
                          </a:solidFill>
                          <a:latin typeface="Times New Roman" panose="02020603050405020304" pitchFamily="18" charset="0"/>
                          <a:cs typeface="Times New Roman" panose="02020603050405020304" pitchFamily="18" charset="0"/>
                        </a:defRPr>
                      </a:pPr>
                      <a:t>[VALUE]</a:t>
                    </a:fld>
                    <a:r>
                      <a:rPr lang="en-US" sz="800">
                        <a:latin typeface="Times New Roman" panose="02020603050405020304" pitchFamily="18" charset="0"/>
                        <a:cs typeface="Times New Roman" panose="02020603050405020304" pitchFamily="18" charset="0"/>
                      </a:rPr>
                      <a:t>0</a:t>
                    </a:r>
                  </a:p>
                </c:rich>
              </c:tx>
              <c:spPr>
                <a:noFill/>
                <a:ln>
                  <a:noFill/>
                </a:ln>
                <a:effectLst/>
              </c:spPr>
              <c:txPr>
                <a:bodyPr rot="0" spcFirstLastPara="1" vertOverflow="ellipsis" vert="horz" wrap="square" lIns="38100" tIns="19050" rIns="38100" bIns="19050" anchor="ctr" anchorCtr="1">
                  <a:no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5.1274097052958122E-2"/>
                      <c:h val="4.5202989244482863E-2"/>
                    </c:manualLayout>
                  </c15:layout>
                  <c15:dlblFieldTable/>
                  <c15:showDataLabelsRange val="0"/>
                </c:ext>
                <c:ext xmlns:c16="http://schemas.microsoft.com/office/drawing/2014/chart" uri="{C3380CC4-5D6E-409C-BE32-E72D297353CC}">
                  <c16:uniqueId val="{00000010-754E-467B-BA2A-2CB7F6268FC0}"/>
                </c:ext>
              </c:extLst>
            </c:dLbl>
            <c:dLbl>
              <c:idx val="17"/>
              <c:layout>
                <c:manualLayout>
                  <c:x val="-3.323731442499446E-2"/>
                  <c:y val="4.4550517104216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54E-467B-BA2A-2CB7F6268FC0}"/>
                </c:ext>
              </c:extLst>
            </c:dLbl>
            <c:dLbl>
              <c:idx val="18"/>
              <c:layout>
                <c:manualLayout>
                  <c:x val="-4.6532240194992247E-2"/>
                  <c:y val="-3.50039777247414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54E-467B-BA2A-2CB7F6268FC0}"/>
                </c:ext>
              </c:extLst>
            </c:dLbl>
            <c:dLbl>
              <c:idx val="19"/>
              <c:layout>
                <c:manualLayout>
                  <c:x val="-1.3294925769997946E-2"/>
                  <c:y val="6.68257756563244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54E-467B-BA2A-2CB7F6268FC0}"/>
                </c:ext>
              </c:extLst>
            </c:dLbl>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Sheet1!$E$35:$E$54</c:f>
              <c:strCache>
                <c:ptCount val="20"/>
                <c:pt idx="0">
                  <c:v>Hàn Quốc</c:v>
                </c:pt>
                <c:pt idx="1">
                  <c:v>Singapore</c:v>
                </c:pt>
                <c:pt idx="2">
                  <c:v>Nhật Bản</c:v>
                </c:pt>
                <c:pt idx="3">
                  <c:v>Đài Loan</c:v>
                </c:pt>
                <c:pt idx="4">
                  <c:v>Hồng Kông</c:v>
                </c:pt>
                <c:pt idx="5">
                  <c:v>BritishVirginIslands</c:v>
                </c:pt>
                <c:pt idx="6">
                  <c:v>Trung Quốc</c:v>
                </c:pt>
                <c:pt idx="7">
                  <c:v>Hà Lan</c:v>
                </c:pt>
                <c:pt idx="8">
                  <c:v>Thái Lan</c:v>
                </c:pt>
                <c:pt idx="9">
                  <c:v>Malaysia</c:v>
                </c:pt>
                <c:pt idx="10">
                  <c:v>Hoa Kỳ</c:v>
                </c:pt>
                <c:pt idx="11">
                  <c:v>Samoa</c:v>
                </c:pt>
                <c:pt idx="12">
                  <c:v>Cayman Islands</c:v>
                </c:pt>
                <c:pt idx="13">
                  <c:v>Canada</c:v>
                </c:pt>
                <c:pt idx="14">
                  <c:v>Vương quốc Anh</c:v>
                </c:pt>
                <c:pt idx="15">
                  <c:v>Pháp</c:v>
                </c:pt>
                <c:pt idx="16">
                  <c:v>Luxembourg</c:v>
                </c:pt>
                <c:pt idx="17">
                  <c:v>CHLB Đức</c:v>
                </c:pt>
                <c:pt idx="18">
                  <c:v>Seychelles</c:v>
                </c:pt>
                <c:pt idx="19">
                  <c:v>Australia</c:v>
                </c:pt>
              </c:strCache>
            </c:strRef>
          </c:cat>
          <c:val>
            <c:numRef>
              <c:f>Sheet1!$F$35:$F$54</c:f>
              <c:numCache>
                <c:formatCode>General</c:formatCode>
                <c:ptCount val="20"/>
                <c:pt idx="0">
                  <c:v>9265</c:v>
                </c:pt>
                <c:pt idx="1">
                  <c:v>2866</c:v>
                </c:pt>
                <c:pt idx="2">
                  <c:v>4828</c:v>
                </c:pt>
                <c:pt idx="3">
                  <c:v>2860</c:v>
                </c:pt>
                <c:pt idx="4">
                  <c:v>2065</c:v>
                </c:pt>
                <c:pt idx="5">
                  <c:v>887</c:v>
                </c:pt>
                <c:pt idx="6">
                  <c:v>3372</c:v>
                </c:pt>
                <c:pt idx="7">
                  <c:v>380</c:v>
                </c:pt>
                <c:pt idx="8">
                  <c:v>652</c:v>
                </c:pt>
                <c:pt idx="9">
                  <c:v>669</c:v>
                </c:pt>
                <c:pt idx="10">
                  <c:v>1155</c:v>
                </c:pt>
                <c:pt idx="11">
                  <c:v>407</c:v>
                </c:pt>
                <c:pt idx="12">
                  <c:v>126</c:v>
                </c:pt>
                <c:pt idx="13">
                  <c:v>234</c:v>
                </c:pt>
                <c:pt idx="14">
                  <c:v>455</c:v>
                </c:pt>
                <c:pt idx="15">
                  <c:v>645</c:v>
                </c:pt>
                <c:pt idx="16">
                  <c:v>56</c:v>
                </c:pt>
                <c:pt idx="17">
                  <c:v>420</c:v>
                </c:pt>
                <c:pt idx="18">
                  <c:v>271</c:v>
                </c:pt>
                <c:pt idx="19">
                  <c:v>557</c:v>
                </c:pt>
              </c:numCache>
            </c:numRef>
          </c:val>
          <c:smooth val="0"/>
          <c:extLst>
            <c:ext xmlns:c16="http://schemas.microsoft.com/office/drawing/2014/chart" uri="{C3380CC4-5D6E-409C-BE32-E72D297353CC}">
              <c16:uniqueId val="{00000014-754E-467B-BA2A-2CB7F6268FC0}"/>
            </c:ext>
          </c:extLst>
        </c:ser>
        <c:dLbls>
          <c:showLegendKey val="0"/>
          <c:showVal val="0"/>
          <c:showCatName val="0"/>
          <c:showSerName val="0"/>
          <c:showPercent val="0"/>
          <c:showBubbleSize val="0"/>
        </c:dLbls>
        <c:marker val="1"/>
        <c:smooth val="0"/>
        <c:axId val="571272296"/>
        <c:axId val="571269672"/>
      </c:lineChart>
      <c:catAx>
        <c:axId val="422229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22231104"/>
        <c:crosses val="autoZero"/>
        <c:auto val="1"/>
        <c:lblAlgn val="ctr"/>
        <c:lblOffset val="100"/>
        <c:noMultiLvlLbl val="0"/>
      </c:catAx>
      <c:valAx>
        <c:axId val="4222311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2229464"/>
        <c:crosses val="autoZero"/>
        <c:crossBetween val="between"/>
      </c:valAx>
      <c:valAx>
        <c:axId val="57126967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1272296"/>
        <c:crosses val="max"/>
        <c:crossBetween val="between"/>
      </c:valAx>
      <c:catAx>
        <c:axId val="571272296"/>
        <c:scaling>
          <c:orientation val="minMax"/>
        </c:scaling>
        <c:delete val="1"/>
        <c:axPos val="b"/>
        <c:numFmt formatCode="General" sourceLinked="1"/>
        <c:majorTickMark val="out"/>
        <c:minorTickMark val="none"/>
        <c:tickLblPos val="nextTo"/>
        <c:crossAx val="571269672"/>
        <c:crosses val="autoZero"/>
        <c:auto val="1"/>
        <c:lblAlgn val="ctr"/>
        <c:lblOffset val="100"/>
        <c:noMultiLvlLbl val="0"/>
      </c:catAx>
      <c:spPr>
        <a:noFill/>
        <a:ln>
          <a:noFill/>
        </a:ln>
        <a:effectLst/>
      </c:spPr>
    </c:plotArea>
    <c:legend>
      <c:legendPos val="r"/>
      <c:layout>
        <c:manualLayout>
          <c:xMode val="edge"/>
          <c:yMode val="edge"/>
          <c:x val="0.25736568548253425"/>
          <c:y val="0.87875945101134445"/>
          <c:w val="0.59986555144740539"/>
          <c:h val="6.396109834712587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0.02659</cdr:x>
      <cdr:y>0.93317</cdr:y>
    </cdr:from>
    <cdr:to>
      <cdr:x>0.45535</cdr:x>
      <cdr:y>0.99761</cdr:y>
    </cdr:to>
    <cdr:sp macro="" textlink="">
      <cdr:nvSpPr>
        <cdr:cNvPr id="2" name="Text Box 1"/>
        <cdr:cNvSpPr txBox="1"/>
      </cdr:nvSpPr>
      <cdr:spPr>
        <a:xfrm xmlns:a="http://schemas.openxmlformats.org/drawingml/2006/main">
          <a:off x="152400" y="3724275"/>
          <a:ext cx="2457450" cy="2571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i="1">
              <a:effectLst/>
              <a:latin typeface="Times New Roman" panose="02020603050405020304" pitchFamily="18" charset="0"/>
              <a:ea typeface="+mn-ea"/>
              <a:cs typeface="Times New Roman" panose="02020603050405020304" pitchFamily="18" charset="0"/>
            </a:rPr>
            <a:t>Nguồn: Tổng</a:t>
          </a:r>
          <a:r>
            <a:rPr lang="en-US" sz="1100" i="1" baseline="0">
              <a:effectLst/>
              <a:latin typeface="Times New Roman" panose="02020603050405020304" pitchFamily="18" charset="0"/>
              <a:ea typeface="+mn-ea"/>
              <a:cs typeface="Times New Roman" panose="02020603050405020304" pitchFamily="18" charset="0"/>
            </a:rPr>
            <a:t> cục Thống kê </a:t>
          </a:r>
          <a:r>
            <a:rPr lang="en-US" sz="1100" i="1">
              <a:effectLst/>
              <a:latin typeface="Times New Roman" panose="02020603050405020304" pitchFamily="18" charset="0"/>
              <a:ea typeface="+mn-ea"/>
              <a:cs typeface="Times New Roman" panose="02020603050405020304" pitchFamily="18" charset="0"/>
            </a:rPr>
            <a:t>(2021)</a:t>
          </a:r>
          <a:endParaRPr lang="vi-VN" sz="1100">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BBBB2-2007-4BC6-A6C1-678952A4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4476</Words>
  <Characters>25516</Characters>
  <Application>Microsoft Office Word</Application>
  <DocSecurity>0</DocSecurity>
  <Lines>212</Lines>
  <Paragraphs>59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vncdt</Company>
  <LinksUpToDate>false</LinksUpToDate>
  <CharactersWithSpaces>29933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NganTam</dc:creator>
  <cp:lastModifiedBy>hoangoanhlive@outlook.com</cp:lastModifiedBy>
  <cp:revision>23</cp:revision>
  <cp:lastPrinted>2023-09-19T03:19:00Z</cp:lastPrinted>
  <dcterms:created xsi:type="dcterms:W3CDTF">2024-01-08T17:10:00Z</dcterms:created>
  <dcterms:modified xsi:type="dcterms:W3CDTF">2024-01-10T07:07:00Z</dcterms:modified>
</cp:coreProperties>
</file>