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0C3BE0F" w14:textId="350C3AE4" w:rsidR="00F60B23" w:rsidRPr="00F60B23" w:rsidRDefault="00F60B23" w:rsidP="00D3269D">
      <w:pPr>
        <w:spacing w:before="120" w:after="120" w:line="240" w:lineRule="auto"/>
        <w:jc w:val="center"/>
        <w:rPr>
          <w:rFonts w:cstheme="minorHAnsi"/>
          <w:b/>
          <w:bCs/>
          <w:sz w:val="32"/>
          <w:szCs w:val="32"/>
          <w:lang w:val="vi-VN"/>
        </w:rPr>
      </w:pPr>
      <w:r w:rsidRPr="00F60B23">
        <w:rPr>
          <w:rFonts w:cstheme="minorHAnsi"/>
          <w:b/>
          <w:bCs/>
          <w:sz w:val="32"/>
          <w:szCs w:val="32"/>
          <w:lang w:val="vi-VN"/>
        </w:rPr>
        <w:t>Tác động của chuyển đổi số đến mức độ chấp nhận rủi ro tại các ngân hàng thương mại Việt Nam: Vai trò điều tiết của sở hữu nhà nước</w:t>
      </w:r>
    </w:p>
    <w:p w14:paraId="25C0A776" w14:textId="7A2F1709" w:rsidR="00F60B23" w:rsidRPr="00F60B23" w:rsidRDefault="00F60B23" w:rsidP="00F60B23">
      <w:pPr>
        <w:spacing w:before="120" w:after="120" w:line="240" w:lineRule="auto"/>
        <w:jc w:val="center"/>
        <w:rPr>
          <w:rFonts w:asciiTheme="majorHAnsi" w:hAnsiTheme="majorHAnsi" w:cstheme="majorHAnsi"/>
          <w:b/>
          <w:bCs/>
          <w:sz w:val="24"/>
          <w:szCs w:val="24"/>
          <w:lang w:val="vi-VN"/>
        </w:rPr>
      </w:pPr>
      <w:r w:rsidRPr="00F60B23">
        <w:rPr>
          <w:rFonts w:asciiTheme="majorHAnsi" w:hAnsiTheme="majorHAnsi" w:cstheme="majorHAnsi"/>
          <w:b/>
          <w:bCs/>
          <w:sz w:val="24"/>
          <w:szCs w:val="24"/>
          <w:lang w:val="vi-VN"/>
        </w:rPr>
        <w:t xml:space="preserve">Trần Thị Thanh Diệu </w:t>
      </w:r>
      <w:r w:rsidRPr="00F60B23">
        <w:rPr>
          <w:rFonts w:asciiTheme="majorHAnsi" w:hAnsiTheme="majorHAnsi" w:cstheme="majorHAnsi"/>
          <w:b/>
          <w:bCs/>
          <w:sz w:val="24"/>
          <w:szCs w:val="24"/>
          <w:vertAlign w:val="superscript"/>
          <w:lang w:val="vi-VN"/>
        </w:rPr>
        <w:t>*</w:t>
      </w:r>
      <w:r w:rsidRPr="00F60B23">
        <w:rPr>
          <w:rFonts w:asciiTheme="majorHAnsi" w:hAnsiTheme="majorHAnsi" w:cstheme="majorHAnsi"/>
          <w:b/>
          <w:bCs/>
          <w:sz w:val="24"/>
          <w:szCs w:val="24"/>
          <w:lang w:val="vi-VN"/>
        </w:rPr>
        <w:t>, Nguyễn Tiến Dũng</w:t>
      </w:r>
    </w:p>
    <w:p w14:paraId="6BE6FEA1" w14:textId="4DF3EC46" w:rsidR="00F60B23" w:rsidRDefault="00F60B23" w:rsidP="00F60B23">
      <w:pPr>
        <w:spacing w:before="120" w:after="120" w:line="240" w:lineRule="auto"/>
        <w:jc w:val="center"/>
        <w:rPr>
          <w:rFonts w:asciiTheme="majorHAnsi" w:hAnsiTheme="majorHAnsi" w:cstheme="majorHAnsi"/>
          <w:b/>
          <w:bCs/>
          <w:sz w:val="24"/>
          <w:szCs w:val="24"/>
          <w:lang w:val="vi-VN"/>
        </w:rPr>
      </w:pPr>
      <w:r w:rsidRPr="00F60B23">
        <w:rPr>
          <w:rFonts w:asciiTheme="majorHAnsi" w:hAnsiTheme="majorHAnsi" w:cstheme="majorHAnsi"/>
          <w:b/>
          <w:bCs/>
          <w:sz w:val="24"/>
          <w:szCs w:val="24"/>
          <w:lang w:val="vi-VN"/>
        </w:rPr>
        <w:t>Khoa Tài chính – Ngân hàng &amp; Quản trị kinh doanh, trường Đại học Quy Nhơn</w:t>
      </w:r>
    </w:p>
    <w:p w14:paraId="409D2D6F" w14:textId="77777777" w:rsidR="00F60B23" w:rsidRDefault="00F60B23" w:rsidP="00F60B23">
      <w:pPr>
        <w:spacing w:before="120" w:after="120" w:line="240" w:lineRule="auto"/>
        <w:rPr>
          <w:rFonts w:asciiTheme="majorHAnsi" w:hAnsiTheme="majorHAnsi" w:cstheme="majorHAnsi"/>
          <w:b/>
          <w:bCs/>
          <w:sz w:val="24"/>
          <w:szCs w:val="24"/>
          <w:lang w:val="vi-VN"/>
        </w:rPr>
      </w:pPr>
      <w:r>
        <w:rPr>
          <w:rFonts w:asciiTheme="majorHAnsi" w:hAnsiTheme="majorHAnsi" w:cstheme="majorHAnsi"/>
          <w:b/>
          <w:bCs/>
          <w:sz w:val="24"/>
          <w:szCs w:val="24"/>
          <w:lang w:val="vi-VN"/>
        </w:rPr>
        <w:t>Tác giả liên hệ chính:</w:t>
      </w:r>
    </w:p>
    <w:p w14:paraId="4A38AD56" w14:textId="195A8496" w:rsidR="00F60B23" w:rsidRPr="00F60B23" w:rsidRDefault="00F60B23" w:rsidP="00F60B23">
      <w:pPr>
        <w:spacing w:before="120" w:after="120" w:line="240" w:lineRule="auto"/>
        <w:rPr>
          <w:rFonts w:asciiTheme="majorHAnsi" w:hAnsiTheme="majorHAnsi" w:cstheme="majorHAnsi"/>
          <w:sz w:val="24"/>
          <w:szCs w:val="24"/>
          <w:lang w:val="vi-VN"/>
        </w:rPr>
      </w:pPr>
      <w:r w:rsidRPr="00F60B23">
        <w:rPr>
          <w:rFonts w:asciiTheme="majorHAnsi" w:hAnsiTheme="majorHAnsi" w:cstheme="majorHAnsi"/>
          <w:sz w:val="24"/>
          <w:szCs w:val="24"/>
          <w:lang w:val="vi-VN"/>
        </w:rPr>
        <w:t>Trần Thị Thanh Diệu</w:t>
      </w:r>
    </w:p>
    <w:p w14:paraId="2DBC5EF9" w14:textId="7AAB31DE" w:rsidR="00F60B23" w:rsidRPr="00F60B23" w:rsidRDefault="00F60B23" w:rsidP="00F60B23">
      <w:pPr>
        <w:spacing w:before="120" w:after="120" w:line="240" w:lineRule="auto"/>
        <w:rPr>
          <w:rFonts w:asciiTheme="majorHAnsi" w:hAnsiTheme="majorHAnsi" w:cstheme="majorHAnsi"/>
          <w:sz w:val="24"/>
          <w:szCs w:val="24"/>
          <w:lang w:val="vi-VN"/>
        </w:rPr>
      </w:pPr>
      <w:r w:rsidRPr="00F60B23">
        <w:rPr>
          <w:rFonts w:asciiTheme="majorHAnsi" w:hAnsiTheme="majorHAnsi" w:cstheme="majorHAnsi"/>
          <w:sz w:val="24"/>
          <w:szCs w:val="24"/>
          <w:lang w:val="vi-VN"/>
        </w:rPr>
        <w:t>Email: tranthithanhdieu@qnu.edu.vn</w:t>
      </w:r>
    </w:p>
    <w:p w14:paraId="07129688" w14:textId="6F259820" w:rsidR="00F60B23" w:rsidRDefault="00F60B23" w:rsidP="00D3269D">
      <w:pPr>
        <w:spacing w:before="120" w:after="120" w:line="240" w:lineRule="auto"/>
        <w:jc w:val="both"/>
        <w:rPr>
          <w:rFonts w:asciiTheme="majorHAnsi" w:hAnsiTheme="majorHAnsi" w:cstheme="majorHAnsi"/>
          <w:b/>
          <w:bCs/>
          <w:lang w:val="vi-VN"/>
        </w:rPr>
      </w:pPr>
      <w:r>
        <w:rPr>
          <w:rFonts w:asciiTheme="majorHAnsi" w:hAnsiTheme="majorHAnsi" w:cstheme="majorHAnsi"/>
          <w:b/>
          <w:bCs/>
          <w:lang w:val="vi-VN"/>
        </w:rPr>
        <w:t>TÓM TẮT</w:t>
      </w:r>
    </w:p>
    <w:p w14:paraId="2B6CE97D" w14:textId="3693F0EB" w:rsidR="007B2E80" w:rsidRPr="0028790C" w:rsidRDefault="0028790C" w:rsidP="0028790C">
      <w:pPr>
        <w:spacing w:before="120" w:after="120" w:line="240" w:lineRule="auto"/>
        <w:ind w:firstLine="720"/>
        <w:jc w:val="both"/>
        <w:rPr>
          <w:rFonts w:asciiTheme="majorHAnsi" w:hAnsiTheme="majorHAnsi" w:cstheme="majorHAnsi"/>
          <w:sz w:val="20"/>
          <w:szCs w:val="20"/>
          <w:lang w:val="vi-VN"/>
        </w:rPr>
      </w:pPr>
      <w:r>
        <w:rPr>
          <w:rFonts w:asciiTheme="majorHAnsi" w:hAnsiTheme="majorHAnsi" w:cstheme="majorHAnsi"/>
          <w:sz w:val="20"/>
          <w:szCs w:val="20"/>
          <w:lang w:val="vi-VN"/>
        </w:rPr>
        <w:t xml:space="preserve">Nghiên cứu này tập trung nghiên cứu về </w:t>
      </w:r>
      <w:r w:rsidR="007B2E80">
        <w:rPr>
          <w:rFonts w:asciiTheme="majorHAnsi" w:hAnsiTheme="majorHAnsi" w:cstheme="majorHAnsi"/>
          <w:sz w:val="20"/>
          <w:szCs w:val="20"/>
          <w:lang w:val="vi-VN"/>
        </w:rPr>
        <w:t xml:space="preserve">vai trò điều tiết của sở hữu nhà nước đến tác động </w:t>
      </w:r>
      <w:r w:rsidR="00F60B23" w:rsidRPr="00F60B23">
        <w:rPr>
          <w:rFonts w:asciiTheme="majorHAnsi" w:hAnsiTheme="majorHAnsi" w:cstheme="majorHAnsi"/>
          <w:sz w:val="20"/>
          <w:szCs w:val="20"/>
          <w:lang w:val="vi-VN"/>
        </w:rPr>
        <w:t>của</w:t>
      </w:r>
      <w:r w:rsidR="007B2E80">
        <w:rPr>
          <w:rFonts w:asciiTheme="majorHAnsi" w:hAnsiTheme="majorHAnsi" w:cstheme="majorHAnsi"/>
          <w:sz w:val="20"/>
          <w:szCs w:val="20"/>
          <w:lang w:val="vi-VN"/>
        </w:rPr>
        <w:t xml:space="preserve"> chuyển đổi số </w:t>
      </w:r>
      <w:r w:rsidR="00F60B23" w:rsidRPr="00F60B23">
        <w:rPr>
          <w:rFonts w:asciiTheme="majorHAnsi" w:hAnsiTheme="majorHAnsi" w:cstheme="majorHAnsi"/>
          <w:sz w:val="20"/>
          <w:szCs w:val="20"/>
          <w:lang w:val="vi-VN"/>
        </w:rPr>
        <w:t xml:space="preserve">đến mức độ chấp nhận rủi ro tại các ngân hàng thương mại Việt Nam. </w:t>
      </w:r>
      <w:r>
        <w:rPr>
          <w:rFonts w:asciiTheme="majorHAnsi" w:hAnsiTheme="majorHAnsi" w:cstheme="majorHAnsi"/>
          <w:sz w:val="20"/>
          <w:szCs w:val="20"/>
          <w:lang w:val="vi-VN"/>
        </w:rPr>
        <w:t xml:space="preserve">Dữ liệu nghiên cứu </w:t>
      </w:r>
      <w:r w:rsidR="00F60B23" w:rsidRPr="00F60B23">
        <w:rPr>
          <w:rFonts w:asciiTheme="majorHAnsi" w:hAnsiTheme="majorHAnsi" w:cstheme="majorHAnsi"/>
          <w:sz w:val="20"/>
          <w:szCs w:val="20"/>
          <w:lang w:val="vi-VN"/>
        </w:rPr>
        <w:t xml:space="preserve">được thu thập từ báo cáo tài chính đã kiểm toán của </w:t>
      </w:r>
      <w:r w:rsidR="007B2E80">
        <w:rPr>
          <w:rFonts w:asciiTheme="majorHAnsi" w:hAnsiTheme="majorHAnsi" w:cstheme="majorHAnsi"/>
          <w:sz w:val="20"/>
          <w:szCs w:val="20"/>
          <w:lang w:val="vi-VN"/>
        </w:rPr>
        <w:t>27</w:t>
      </w:r>
      <w:r w:rsidR="00F60B23" w:rsidRPr="00F60B23">
        <w:rPr>
          <w:rFonts w:asciiTheme="majorHAnsi" w:hAnsiTheme="majorHAnsi" w:cstheme="majorHAnsi"/>
          <w:sz w:val="20"/>
          <w:szCs w:val="20"/>
          <w:lang w:val="vi-VN"/>
        </w:rPr>
        <w:t xml:space="preserve"> ngân hàng thương mại Việt Nam và cơ sở dữ liệu của Ngân hàng Thế giới trong giai đoạn từ năm </w:t>
      </w:r>
      <w:r w:rsidR="007B2E80">
        <w:rPr>
          <w:rFonts w:asciiTheme="majorHAnsi" w:hAnsiTheme="majorHAnsi" w:cstheme="majorHAnsi"/>
          <w:sz w:val="20"/>
          <w:szCs w:val="20"/>
          <w:lang w:val="vi-VN"/>
        </w:rPr>
        <w:t>2011</w:t>
      </w:r>
      <w:r w:rsidR="00F60B23" w:rsidRPr="00F60B23">
        <w:rPr>
          <w:rFonts w:asciiTheme="majorHAnsi" w:hAnsiTheme="majorHAnsi" w:cstheme="majorHAnsi"/>
          <w:sz w:val="20"/>
          <w:szCs w:val="20"/>
          <w:lang w:val="vi-VN"/>
        </w:rPr>
        <w:t xml:space="preserve"> đến </w:t>
      </w:r>
      <w:r w:rsidR="007B2E80">
        <w:rPr>
          <w:rFonts w:asciiTheme="majorHAnsi" w:hAnsiTheme="majorHAnsi" w:cstheme="majorHAnsi"/>
          <w:sz w:val="20"/>
          <w:szCs w:val="20"/>
          <w:lang w:val="vi-VN"/>
        </w:rPr>
        <w:t>2021</w:t>
      </w:r>
      <w:r w:rsidR="00F60B23" w:rsidRPr="00F60B23">
        <w:rPr>
          <w:rFonts w:asciiTheme="majorHAnsi" w:hAnsiTheme="majorHAnsi" w:cstheme="majorHAnsi"/>
          <w:sz w:val="20"/>
          <w:szCs w:val="20"/>
          <w:lang w:val="vi-VN"/>
        </w:rPr>
        <w:t xml:space="preserve">. Kết quả ước lượng bằng phương pháp </w:t>
      </w:r>
      <w:r w:rsidR="007B2E80">
        <w:rPr>
          <w:rFonts w:asciiTheme="majorHAnsi" w:hAnsiTheme="majorHAnsi" w:cstheme="majorHAnsi"/>
          <w:color w:val="242021"/>
          <w:sz w:val="20"/>
          <w:szCs w:val="20"/>
          <w:lang w:val="vi-VN"/>
        </w:rPr>
        <w:t xml:space="preserve">GMM </w:t>
      </w:r>
      <w:r w:rsidR="00F60B23" w:rsidRPr="00F60B23">
        <w:rPr>
          <w:rFonts w:asciiTheme="majorHAnsi" w:hAnsiTheme="majorHAnsi" w:cstheme="majorHAnsi"/>
          <w:color w:val="242021"/>
          <w:sz w:val="20"/>
          <w:szCs w:val="20"/>
          <w:lang w:val="vi-VN"/>
        </w:rPr>
        <w:t xml:space="preserve">hệ thống </w:t>
      </w:r>
      <w:r w:rsidR="00F60B23" w:rsidRPr="00F60B23">
        <w:rPr>
          <w:rFonts w:asciiTheme="majorHAnsi" w:hAnsiTheme="majorHAnsi" w:cstheme="majorHAnsi"/>
          <w:sz w:val="20"/>
          <w:szCs w:val="20"/>
          <w:lang w:val="vi-VN"/>
        </w:rPr>
        <w:t xml:space="preserve">hai bước </w:t>
      </w:r>
      <w:r w:rsidR="007B2E80">
        <w:rPr>
          <w:rFonts w:asciiTheme="majorHAnsi" w:hAnsiTheme="majorHAnsi" w:cstheme="majorHAnsi"/>
          <w:sz w:val="20"/>
          <w:szCs w:val="20"/>
          <w:lang w:val="vi-VN"/>
        </w:rPr>
        <w:t xml:space="preserve">đã cung cấp thêm </w:t>
      </w:r>
      <w:r w:rsidR="007B2E80" w:rsidRPr="007B2E80">
        <w:rPr>
          <w:rFonts w:ascii="Times New Roman" w:hAnsi="Times New Roman" w:cs="Times New Roman"/>
          <w:sz w:val="20"/>
          <w:szCs w:val="20"/>
          <w:lang w:val="vi-VN"/>
        </w:rPr>
        <w:t>bằng chứng thực nghiệm về mối quan hệ ngược chiều giữa chuyển đổi số và mức độ chấp nhận rủi ro trong lĩnh vực ngân hàng,</w:t>
      </w:r>
      <w:r w:rsidR="007B2E80">
        <w:rPr>
          <w:rFonts w:ascii="Times New Roman" w:hAnsi="Times New Roman" w:cs="Times New Roman"/>
          <w:sz w:val="20"/>
          <w:szCs w:val="20"/>
          <w:lang w:val="vi-VN"/>
        </w:rPr>
        <w:t xml:space="preserve"> đồng thời chỉ ra rằng s</w:t>
      </w:r>
      <w:r w:rsidR="007B2E80" w:rsidRPr="007B2E80">
        <w:rPr>
          <w:rFonts w:ascii="Times New Roman" w:hAnsi="Times New Roman" w:cs="Times New Roman"/>
          <w:sz w:val="20"/>
          <w:szCs w:val="20"/>
          <w:lang w:val="vi-VN"/>
        </w:rPr>
        <w:t>ở hữu nhà nước có thể xem là một yếu tố điều tiết quan trọng giúp ngân hàng ứng dụng chuyển đổi số trong việc giảm thiểu rủi ro.</w:t>
      </w:r>
      <w:r w:rsidR="007B2E80">
        <w:rPr>
          <w:rFonts w:ascii="Times New Roman" w:hAnsi="Times New Roman" w:cs="Times New Roman"/>
          <w:sz w:val="20"/>
          <w:szCs w:val="20"/>
          <w:lang w:val="vi-VN"/>
        </w:rPr>
        <w:t xml:space="preserve"> </w:t>
      </w:r>
      <w:r w:rsidR="009E1EA2" w:rsidRPr="009E1EA2">
        <w:rPr>
          <w:rFonts w:ascii="Times New Roman" w:hAnsi="Times New Roman" w:cs="Times New Roman"/>
          <w:sz w:val="20"/>
          <w:szCs w:val="20"/>
          <w:lang w:val="vi-VN"/>
        </w:rPr>
        <w:t xml:space="preserve">Kết quả nghiên cứu là cơ sở để đề xuất các hàm ý chính sách như: Các ngân hàng thương mại Việt Nam cần thúc đẩy chuyển đổi số để nâng cao khả năng kiểm soát rủi </w:t>
      </w:r>
      <w:r w:rsidR="009E1EA2">
        <w:rPr>
          <w:rFonts w:ascii="Times New Roman" w:hAnsi="Times New Roman" w:cs="Times New Roman"/>
          <w:sz w:val="20"/>
          <w:szCs w:val="20"/>
          <w:lang w:val="vi-VN"/>
        </w:rPr>
        <w:t>ro,</w:t>
      </w:r>
      <w:r w:rsidR="009E1EA2" w:rsidRPr="009E1EA2">
        <w:rPr>
          <w:rFonts w:ascii="Times New Roman" w:hAnsi="Times New Roman" w:cs="Times New Roman"/>
          <w:sz w:val="20"/>
          <w:szCs w:val="20"/>
          <w:lang w:val="vi-VN"/>
        </w:rPr>
        <w:t xml:space="preserve"> cần phát triển khung quản trị rủi ro tích hợp công nghệ </w:t>
      </w:r>
      <w:r w:rsidR="009E1EA2">
        <w:rPr>
          <w:rFonts w:ascii="Times New Roman" w:hAnsi="Times New Roman" w:cs="Times New Roman"/>
          <w:sz w:val="20"/>
          <w:szCs w:val="20"/>
          <w:lang w:val="vi-VN"/>
        </w:rPr>
        <w:t xml:space="preserve">và </w:t>
      </w:r>
      <w:r w:rsidR="009E1EA2" w:rsidRPr="009E1EA2">
        <w:rPr>
          <w:rFonts w:ascii="Times New Roman" w:hAnsi="Times New Roman" w:cs="Times New Roman"/>
          <w:sz w:val="20"/>
          <w:szCs w:val="20"/>
          <w:lang w:val="vi-VN"/>
        </w:rPr>
        <w:t>nâng cao năng lực của nhân viên trong việc ứng dụng công nghệ số; cần tăng cường sự tham gia</w:t>
      </w:r>
      <w:r w:rsidR="00C14E92">
        <w:rPr>
          <w:rFonts w:ascii="Times New Roman" w:hAnsi="Times New Roman" w:cs="Times New Roman"/>
          <w:sz w:val="20"/>
          <w:szCs w:val="20"/>
          <w:lang w:val="vi-VN"/>
        </w:rPr>
        <w:t xml:space="preserve"> của Nhà nước</w:t>
      </w:r>
      <w:r w:rsidR="009E1EA2" w:rsidRPr="009E1EA2">
        <w:rPr>
          <w:rFonts w:ascii="Times New Roman" w:hAnsi="Times New Roman" w:cs="Times New Roman"/>
          <w:sz w:val="20"/>
          <w:szCs w:val="20"/>
          <w:lang w:val="vi-VN"/>
        </w:rPr>
        <w:t xml:space="preserve"> vào quá trình chuyển đổi số của các ngân hàng và cân nhắc trong việc duy trì mức sở hữu </w:t>
      </w:r>
      <w:r w:rsidR="00C14E92">
        <w:rPr>
          <w:rFonts w:ascii="Times New Roman" w:hAnsi="Times New Roman" w:cs="Times New Roman"/>
          <w:sz w:val="20"/>
          <w:szCs w:val="20"/>
          <w:lang w:val="vi-VN"/>
        </w:rPr>
        <w:t xml:space="preserve">Nhà nước </w:t>
      </w:r>
      <w:r w:rsidR="009E1EA2" w:rsidRPr="009E1EA2">
        <w:rPr>
          <w:rFonts w:ascii="Times New Roman" w:hAnsi="Times New Roman" w:cs="Times New Roman"/>
          <w:sz w:val="20"/>
          <w:szCs w:val="20"/>
          <w:lang w:val="vi-VN"/>
        </w:rPr>
        <w:t xml:space="preserve">hợp lý nhằm cân bằng giữa mục tiêu an toàn tài </w:t>
      </w:r>
      <w:r w:rsidR="009E1EA2">
        <w:rPr>
          <w:rFonts w:ascii="Times New Roman" w:hAnsi="Times New Roman" w:cs="Times New Roman"/>
          <w:sz w:val="20"/>
          <w:szCs w:val="20"/>
          <w:lang w:val="vi-VN"/>
        </w:rPr>
        <w:t xml:space="preserve">chính, </w:t>
      </w:r>
      <w:r w:rsidR="009E1EA2" w:rsidRPr="009E1EA2">
        <w:rPr>
          <w:rFonts w:ascii="Times New Roman" w:hAnsi="Times New Roman" w:cs="Times New Roman"/>
          <w:sz w:val="20"/>
          <w:szCs w:val="20"/>
          <w:lang w:val="vi-VN"/>
        </w:rPr>
        <w:t xml:space="preserve">ứng dụng công nghệ </w:t>
      </w:r>
      <w:r w:rsidR="009E1EA2">
        <w:rPr>
          <w:rFonts w:ascii="Times New Roman" w:hAnsi="Times New Roman" w:cs="Times New Roman"/>
          <w:sz w:val="20"/>
          <w:szCs w:val="20"/>
          <w:lang w:val="vi-VN"/>
        </w:rPr>
        <w:t>và</w:t>
      </w:r>
      <w:r w:rsidR="009E1EA2" w:rsidRPr="009E1EA2">
        <w:rPr>
          <w:rFonts w:ascii="Times New Roman" w:hAnsi="Times New Roman" w:cs="Times New Roman"/>
          <w:sz w:val="20"/>
          <w:szCs w:val="20"/>
          <w:lang w:val="vi-VN"/>
        </w:rPr>
        <w:t xml:space="preserve"> giảm rủi ro hiệu quả hơn.</w:t>
      </w:r>
    </w:p>
    <w:p w14:paraId="4B0D33C4" w14:textId="5D0C58B8" w:rsidR="00823469" w:rsidRDefault="005853C1" w:rsidP="00D3269D">
      <w:pPr>
        <w:spacing w:before="120" w:after="120" w:line="240" w:lineRule="auto"/>
        <w:jc w:val="both"/>
        <w:rPr>
          <w:rFonts w:asciiTheme="majorHAnsi" w:hAnsiTheme="majorHAnsi" w:cstheme="majorHAnsi"/>
          <w:lang w:val="vi-VN"/>
        </w:rPr>
      </w:pPr>
      <w:r w:rsidRPr="00D3269D">
        <w:rPr>
          <w:rFonts w:asciiTheme="majorHAnsi" w:hAnsiTheme="majorHAnsi" w:cstheme="majorHAnsi"/>
          <w:b/>
          <w:bCs/>
          <w:lang w:val="vi-VN"/>
        </w:rPr>
        <w:t xml:space="preserve">Từ khóa: </w:t>
      </w:r>
      <w:r w:rsidR="00BE4B8E" w:rsidRPr="00D3269D">
        <w:rPr>
          <w:rFonts w:asciiTheme="majorHAnsi" w:hAnsiTheme="majorHAnsi" w:cstheme="majorHAnsi"/>
          <w:lang w:val="vi-VN"/>
        </w:rPr>
        <w:t xml:space="preserve">cấu trúc sở </w:t>
      </w:r>
      <w:r w:rsidR="00BE4B8E">
        <w:rPr>
          <w:rFonts w:asciiTheme="majorHAnsi" w:hAnsiTheme="majorHAnsi" w:cstheme="majorHAnsi"/>
          <w:lang w:val="vi-VN"/>
        </w:rPr>
        <w:t xml:space="preserve">hữu, </w:t>
      </w:r>
      <w:r w:rsidRPr="00D3269D">
        <w:rPr>
          <w:rFonts w:asciiTheme="majorHAnsi" w:hAnsiTheme="majorHAnsi" w:cstheme="majorHAnsi"/>
          <w:lang w:val="vi-VN"/>
        </w:rPr>
        <w:t xml:space="preserve">chuyển đổi số, mức độ chấp nhận rủi ro, </w:t>
      </w:r>
      <w:r w:rsidR="00BE4B8E">
        <w:rPr>
          <w:rFonts w:asciiTheme="majorHAnsi" w:hAnsiTheme="majorHAnsi" w:cstheme="majorHAnsi"/>
          <w:lang w:val="vi-VN"/>
        </w:rPr>
        <w:t>sở hữu nhà nước</w:t>
      </w:r>
    </w:p>
    <w:p w14:paraId="61491082" w14:textId="77777777" w:rsidR="00FF7401" w:rsidRDefault="00FF7401" w:rsidP="00FF7401">
      <w:pPr>
        <w:spacing w:before="120" w:after="120" w:line="240" w:lineRule="auto"/>
        <w:jc w:val="center"/>
        <w:rPr>
          <w:rFonts w:cstheme="minorHAnsi"/>
          <w:b/>
          <w:bCs/>
          <w:sz w:val="32"/>
          <w:szCs w:val="32"/>
          <w:lang w:val="vi-VN"/>
        </w:rPr>
      </w:pPr>
    </w:p>
    <w:p w14:paraId="154F4884" w14:textId="7F7A0B33" w:rsidR="00FF7401" w:rsidRDefault="00FF7401" w:rsidP="00FF7401">
      <w:pPr>
        <w:spacing w:before="120" w:after="120" w:line="240" w:lineRule="auto"/>
        <w:jc w:val="center"/>
        <w:rPr>
          <w:rFonts w:cstheme="minorHAnsi"/>
          <w:b/>
          <w:bCs/>
          <w:sz w:val="32"/>
          <w:szCs w:val="32"/>
          <w:lang w:val="vi-VN"/>
        </w:rPr>
      </w:pPr>
      <w:r>
        <w:rPr>
          <w:rFonts w:cstheme="minorHAnsi"/>
          <w:b/>
          <w:bCs/>
          <w:sz w:val="32"/>
          <w:szCs w:val="32"/>
          <w:lang w:val="vi-VN"/>
        </w:rPr>
        <w:t>The impact of digital transformation on risk-taking in Vietnamese commercial banks: The moderating role of state ownership</w:t>
      </w:r>
    </w:p>
    <w:p w14:paraId="28F8474B" w14:textId="6A82ABCE" w:rsidR="00FF7401" w:rsidRPr="00F60B23" w:rsidRDefault="005049F0" w:rsidP="00FF7401">
      <w:pPr>
        <w:spacing w:before="120" w:after="120" w:line="240" w:lineRule="auto"/>
        <w:jc w:val="center"/>
        <w:rPr>
          <w:rFonts w:asciiTheme="majorHAnsi" w:hAnsiTheme="majorHAnsi" w:cstheme="majorHAnsi"/>
          <w:b/>
          <w:bCs/>
          <w:sz w:val="24"/>
          <w:szCs w:val="24"/>
          <w:lang w:val="vi-VN"/>
        </w:rPr>
      </w:pPr>
      <w:r>
        <w:rPr>
          <w:rFonts w:asciiTheme="majorHAnsi" w:hAnsiTheme="majorHAnsi" w:cstheme="majorHAnsi"/>
          <w:b/>
          <w:bCs/>
          <w:sz w:val="24"/>
          <w:szCs w:val="24"/>
          <w:lang w:val="vi-VN"/>
        </w:rPr>
        <w:t>Tra</w:t>
      </w:r>
      <w:r w:rsidR="00FF7401" w:rsidRPr="00F60B23">
        <w:rPr>
          <w:rFonts w:asciiTheme="majorHAnsi" w:hAnsiTheme="majorHAnsi" w:cstheme="majorHAnsi"/>
          <w:b/>
          <w:bCs/>
          <w:sz w:val="24"/>
          <w:szCs w:val="24"/>
          <w:lang w:val="vi-VN"/>
        </w:rPr>
        <w:t xml:space="preserve">n </w:t>
      </w:r>
      <w:r>
        <w:rPr>
          <w:rFonts w:asciiTheme="majorHAnsi" w:hAnsiTheme="majorHAnsi" w:cstheme="majorHAnsi"/>
          <w:b/>
          <w:bCs/>
          <w:sz w:val="24"/>
          <w:szCs w:val="24"/>
          <w:lang w:val="vi-VN"/>
        </w:rPr>
        <w:t>Thi</w:t>
      </w:r>
      <w:r w:rsidR="00FF7401" w:rsidRPr="00F60B23">
        <w:rPr>
          <w:rFonts w:asciiTheme="majorHAnsi" w:hAnsiTheme="majorHAnsi" w:cstheme="majorHAnsi"/>
          <w:b/>
          <w:bCs/>
          <w:sz w:val="24"/>
          <w:szCs w:val="24"/>
          <w:lang w:val="vi-VN"/>
        </w:rPr>
        <w:t xml:space="preserve"> Thanh </w:t>
      </w:r>
      <w:r>
        <w:rPr>
          <w:rFonts w:asciiTheme="majorHAnsi" w:hAnsiTheme="majorHAnsi" w:cstheme="majorHAnsi"/>
          <w:b/>
          <w:bCs/>
          <w:sz w:val="24"/>
          <w:szCs w:val="24"/>
          <w:lang w:val="vi-VN"/>
        </w:rPr>
        <w:t>Die</w:t>
      </w:r>
      <w:r w:rsidR="00FF7401" w:rsidRPr="00F60B23">
        <w:rPr>
          <w:rFonts w:asciiTheme="majorHAnsi" w:hAnsiTheme="majorHAnsi" w:cstheme="majorHAnsi"/>
          <w:b/>
          <w:bCs/>
          <w:sz w:val="24"/>
          <w:szCs w:val="24"/>
          <w:lang w:val="vi-VN"/>
        </w:rPr>
        <w:t xml:space="preserve">u </w:t>
      </w:r>
      <w:r w:rsidR="00FF7401" w:rsidRPr="00F60B23">
        <w:rPr>
          <w:rFonts w:asciiTheme="majorHAnsi" w:hAnsiTheme="majorHAnsi" w:cstheme="majorHAnsi"/>
          <w:b/>
          <w:bCs/>
          <w:sz w:val="24"/>
          <w:szCs w:val="24"/>
          <w:vertAlign w:val="superscript"/>
          <w:lang w:val="vi-VN"/>
        </w:rPr>
        <w:t>*</w:t>
      </w:r>
      <w:r w:rsidR="00FF7401" w:rsidRPr="00F60B23">
        <w:rPr>
          <w:rFonts w:asciiTheme="majorHAnsi" w:hAnsiTheme="majorHAnsi" w:cstheme="majorHAnsi"/>
          <w:b/>
          <w:bCs/>
          <w:sz w:val="24"/>
          <w:szCs w:val="24"/>
          <w:lang w:val="vi-VN"/>
        </w:rPr>
        <w:t xml:space="preserve">, </w:t>
      </w:r>
      <w:r>
        <w:rPr>
          <w:rFonts w:asciiTheme="majorHAnsi" w:hAnsiTheme="majorHAnsi" w:cstheme="majorHAnsi"/>
          <w:b/>
          <w:bCs/>
          <w:sz w:val="24"/>
          <w:szCs w:val="24"/>
          <w:lang w:val="vi-VN"/>
        </w:rPr>
        <w:t>Nguye</w:t>
      </w:r>
      <w:r w:rsidR="00FF7401" w:rsidRPr="00F60B23">
        <w:rPr>
          <w:rFonts w:asciiTheme="majorHAnsi" w:hAnsiTheme="majorHAnsi" w:cstheme="majorHAnsi"/>
          <w:b/>
          <w:bCs/>
          <w:sz w:val="24"/>
          <w:szCs w:val="24"/>
          <w:lang w:val="vi-VN"/>
        </w:rPr>
        <w:t xml:space="preserve">n </w:t>
      </w:r>
      <w:r>
        <w:rPr>
          <w:rFonts w:asciiTheme="majorHAnsi" w:hAnsiTheme="majorHAnsi" w:cstheme="majorHAnsi"/>
          <w:b/>
          <w:bCs/>
          <w:sz w:val="24"/>
          <w:szCs w:val="24"/>
          <w:lang w:val="vi-VN"/>
        </w:rPr>
        <w:t>Tie</w:t>
      </w:r>
      <w:r w:rsidR="00FF7401" w:rsidRPr="00F60B23">
        <w:rPr>
          <w:rFonts w:asciiTheme="majorHAnsi" w:hAnsiTheme="majorHAnsi" w:cstheme="majorHAnsi"/>
          <w:b/>
          <w:bCs/>
          <w:sz w:val="24"/>
          <w:szCs w:val="24"/>
          <w:lang w:val="vi-VN"/>
        </w:rPr>
        <w:t xml:space="preserve">n </w:t>
      </w:r>
      <w:r>
        <w:rPr>
          <w:rFonts w:asciiTheme="majorHAnsi" w:hAnsiTheme="majorHAnsi" w:cstheme="majorHAnsi"/>
          <w:b/>
          <w:bCs/>
          <w:sz w:val="24"/>
          <w:szCs w:val="24"/>
          <w:lang w:val="vi-VN"/>
        </w:rPr>
        <w:t>Du</w:t>
      </w:r>
      <w:r w:rsidR="00FF7401" w:rsidRPr="00F60B23">
        <w:rPr>
          <w:rFonts w:asciiTheme="majorHAnsi" w:hAnsiTheme="majorHAnsi" w:cstheme="majorHAnsi"/>
          <w:b/>
          <w:bCs/>
          <w:sz w:val="24"/>
          <w:szCs w:val="24"/>
          <w:lang w:val="vi-VN"/>
        </w:rPr>
        <w:t>ng</w:t>
      </w:r>
    </w:p>
    <w:p w14:paraId="57D3D964" w14:textId="5AEC22E7" w:rsidR="00FF7401" w:rsidRDefault="005049F0" w:rsidP="00FF7401">
      <w:pPr>
        <w:spacing w:before="120" w:after="120" w:line="240" w:lineRule="auto"/>
        <w:jc w:val="center"/>
        <w:rPr>
          <w:rFonts w:asciiTheme="majorHAnsi" w:hAnsiTheme="majorHAnsi" w:cstheme="majorHAnsi"/>
          <w:b/>
          <w:bCs/>
          <w:sz w:val="24"/>
          <w:szCs w:val="24"/>
          <w:lang w:val="vi-VN"/>
        </w:rPr>
      </w:pPr>
      <w:r>
        <w:rPr>
          <w:rFonts w:asciiTheme="majorHAnsi" w:hAnsiTheme="majorHAnsi" w:cstheme="majorHAnsi"/>
          <w:b/>
          <w:bCs/>
          <w:sz w:val="24"/>
          <w:szCs w:val="24"/>
          <w:lang w:val="vi-VN"/>
        </w:rPr>
        <w:t>Department of Finance-Banking &amp; Business Administration, Quy Nhon University</w:t>
      </w:r>
    </w:p>
    <w:p w14:paraId="7547C6AA" w14:textId="34F76466" w:rsidR="00FF7401" w:rsidRDefault="005049F0" w:rsidP="00FF7401">
      <w:pPr>
        <w:spacing w:before="120" w:after="120" w:line="240" w:lineRule="auto"/>
        <w:rPr>
          <w:rFonts w:asciiTheme="majorHAnsi" w:hAnsiTheme="majorHAnsi" w:cstheme="majorHAnsi"/>
          <w:b/>
          <w:bCs/>
          <w:sz w:val="24"/>
          <w:szCs w:val="24"/>
          <w:lang w:val="vi-VN"/>
        </w:rPr>
      </w:pPr>
      <w:r>
        <w:rPr>
          <w:rFonts w:asciiTheme="majorHAnsi" w:hAnsiTheme="majorHAnsi" w:cstheme="majorHAnsi"/>
          <w:b/>
          <w:bCs/>
          <w:sz w:val="24"/>
          <w:szCs w:val="24"/>
          <w:lang w:val="vi-VN"/>
        </w:rPr>
        <w:t>Corresponding author</w:t>
      </w:r>
      <w:r w:rsidR="00FF7401">
        <w:rPr>
          <w:rFonts w:asciiTheme="majorHAnsi" w:hAnsiTheme="majorHAnsi" w:cstheme="majorHAnsi"/>
          <w:b/>
          <w:bCs/>
          <w:sz w:val="24"/>
          <w:szCs w:val="24"/>
          <w:lang w:val="vi-VN"/>
        </w:rPr>
        <w:t>:</w:t>
      </w:r>
    </w:p>
    <w:p w14:paraId="5D9D52D4" w14:textId="201BF7BF" w:rsidR="00FF7401" w:rsidRPr="00F60B23" w:rsidRDefault="005049F0" w:rsidP="00FF7401">
      <w:pPr>
        <w:spacing w:before="120" w:after="120" w:line="240" w:lineRule="auto"/>
        <w:rPr>
          <w:rFonts w:asciiTheme="majorHAnsi" w:hAnsiTheme="majorHAnsi" w:cstheme="majorHAnsi"/>
          <w:sz w:val="24"/>
          <w:szCs w:val="24"/>
          <w:lang w:val="vi-VN"/>
        </w:rPr>
      </w:pPr>
      <w:r>
        <w:rPr>
          <w:rFonts w:asciiTheme="majorHAnsi" w:hAnsiTheme="majorHAnsi" w:cstheme="majorHAnsi"/>
          <w:sz w:val="24"/>
          <w:szCs w:val="24"/>
          <w:lang w:val="vi-VN"/>
        </w:rPr>
        <w:t>Tra</w:t>
      </w:r>
      <w:r w:rsidR="00FF7401" w:rsidRPr="00F60B23">
        <w:rPr>
          <w:rFonts w:asciiTheme="majorHAnsi" w:hAnsiTheme="majorHAnsi" w:cstheme="majorHAnsi"/>
          <w:sz w:val="24"/>
          <w:szCs w:val="24"/>
          <w:lang w:val="vi-VN"/>
        </w:rPr>
        <w:t xml:space="preserve">n </w:t>
      </w:r>
      <w:r>
        <w:rPr>
          <w:rFonts w:asciiTheme="majorHAnsi" w:hAnsiTheme="majorHAnsi" w:cstheme="majorHAnsi"/>
          <w:sz w:val="24"/>
          <w:szCs w:val="24"/>
          <w:lang w:val="vi-VN"/>
        </w:rPr>
        <w:t>Thi</w:t>
      </w:r>
      <w:r w:rsidR="00FF7401" w:rsidRPr="00F60B23">
        <w:rPr>
          <w:rFonts w:asciiTheme="majorHAnsi" w:hAnsiTheme="majorHAnsi" w:cstheme="majorHAnsi"/>
          <w:sz w:val="24"/>
          <w:szCs w:val="24"/>
          <w:lang w:val="vi-VN"/>
        </w:rPr>
        <w:t xml:space="preserve"> Thanh </w:t>
      </w:r>
      <w:r>
        <w:rPr>
          <w:rFonts w:asciiTheme="majorHAnsi" w:hAnsiTheme="majorHAnsi" w:cstheme="majorHAnsi"/>
          <w:sz w:val="24"/>
          <w:szCs w:val="24"/>
          <w:lang w:val="vi-VN"/>
        </w:rPr>
        <w:t>Die</w:t>
      </w:r>
      <w:r w:rsidR="00FF7401" w:rsidRPr="00F60B23">
        <w:rPr>
          <w:rFonts w:asciiTheme="majorHAnsi" w:hAnsiTheme="majorHAnsi" w:cstheme="majorHAnsi"/>
          <w:sz w:val="24"/>
          <w:szCs w:val="24"/>
          <w:lang w:val="vi-VN"/>
        </w:rPr>
        <w:t>u</w:t>
      </w:r>
    </w:p>
    <w:p w14:paraId="777F7E95" w14:textId="77777777" w:rsidR="00FF7401" w:rsidRPr="00F60B23" w:rsidRDefault="00FF7401" w:rsidP="00FF7401">
      <w:pPr>
        <w:spacing w:before="120" w:after="120" w:line="240" w:lineRule="auto"/>
        <w:rPr>
          <w:rFonts w:asciiTheme="majorHAnsi" w:hAnsiTheme="majorHAnsi" w:cstheme="majorHAnsi"/>
          <w:sz w:val="24"/>
          <w:szCs w:val="24"/>
          <w:lang w:val="vi-VN"/>
        </w:rPr>
      </w:pPr>
      <w:r w:rsidRPr="00F60B23">
        <w:rPr>
          <w:rFonts w:asciiTheme="majorHAnsi" w:hAnsiTheme="majorHAnsi" w:cstheme="majorHAnsi"/>
          <w:sz w:val="24"/>
          <w:szCs w:val="24"/>
          <w:lang w:val="vi-VN"/>
        </w:rPr>
        <w:t>Email: tranthithanhdieu@qnu.edu.vn</w:t>
      </w:r>
    </w:p>
    <w:p w14:paraId="712805B9" w14:textId="3A328E3F" w:rsidR="00FF7401" w:rsidRDefault="005049F0" w:rsidP="00FF7401">
      <w:pPr>
        <w:spacing w:before="120" w:after="120" w:line="240" w:lineRule="auto"/>
        <w:jc w:val="both"/>
        <w:rPr>
          <w:rFonts w:asciiTheme="majorHAnsi" w:hAnsiTheme="majorHAnsi" w:cstheme="majorHAnsi"/>
          <w:b/>
          <w:bCs/>
          <w:lang w:val="vi-VN"/>
        </w:rPr>
      </w:pPr>
      <w:r>
        <w:rPr>
          <w:rFonts w:asciiTheme="majorHAnsi" w:hAnsiTheme="majorHAnsi" w:cstheme="majorHAnsi"/>
          <w:b/>
          <w:bCs/>
          <w:lang w:val="vi-VN"/>
        </w:rPr>
        <w:t>ABSTRACT</w:t>
      </w:r>
    </w:p>
    <w:p w14:paraId="76A92107" w14:textId="37F71371" w:rsidR="005049F0" w:rsidRDefault="005049F0" w:rsidP="005049F0">
      <w:pPr>
        <w:spacing w:before="120" w:after="120" w:line="240" w:lineRule="auto"/>
        <w:ind w:firstLine="720"/>
        <w:jc w:val="both"/>
        <w:rPr>
          <w:rFonts w:asciiTheme="majorHAnsi" w:hAnsiTheme="majorHAnsi" w:cstheme="majorHAnsi"/>
          <w:sz w:val="20"/>
          <w:szCs w:val="20"/>
          <w:lang w:val="vi-VN"/>
        </w:rPr>
      </w:pPr>
      <w:r w:rsidRPr="005049F0">
        <w:rPr>
          <w:rFonts w:asciiTheme="majorHAnsi" w:hAnsiTheme="majorHAnsi" w:cstheme="majorHAnsi"/>
          <w:sz w:val="20"/>
          <w:szCs w:val="20"/>
          <w:lang w:val="vi-VN"/>
        </w:rPr>
        <w:t xml:space="preserve">This study focuses on the moderating role of state ownership on the impact of digital transformation on </w:t>
      </w:r>
      <w:r>
        <w:rPr>
          <w:rFonts w:asciiTheme="majorHAnsi" w:hAnsiTheme="majorHAnsi" w:cstheme="majorHAnsi"/>
          <w:sz w:val="20"/>
          <w:szCs w:val="20"/>
          <w:lang w:val="vi-VN"/>
        </w:rPr>
        <w:t xml:space="preserve">risk-taking in </w:t>
      </w:r>
      <w:r w:rsidRPr="005049F0">
        <w:rPr>
          <w:rFonts w:asciiTheme="majorHAnsi" w:hAnsiTheme="majorHAnsi" w:cstheme="majorHAnsi"/>
          <w:sz w:val="20"/>
          <w:szCs w:val="20"/>
          <w:lang w:val="vi-VN"/>
        </w:rPr>
        <w:t xml:space="preserve">Vietnamese commercial banks. Research data is collected from audited financial statements of 27 Vietnamese commercial banks and the World Bank database for the period from 2011 to 2021. The estimation results using the two-step system GMM method have provided additional empirical evidence on the inverse relationship between digital transformation and </w:t>
      </w:r>
      <w:r>
        <w:rPr>
          <w:rFonts w:asciiTheme="majorHAnsi" w:hAnsiTheme="majorHAnsi" w:cstheme="majorHAnsi"/>
          <w:sz w:val="20"/>
          <w:szCs w:val="20"/>
          <w:lang w:val="vi-VN"/>
        </w:rPr>
        <w:t xml:space="preserve">risk-taking </w:t>
      </w:r>
      <w:r w:rsidRPr="005049F0">
        <w:rPr>
          <w:rFonts w:asciiTheme="majorHAnsi" w:hAnsiTheme="majorHAnsi" w:cstheme="majorHAnsi"/>
          <w:sz w:val="20"/>
          <w:szCs w:val="20"/>
          <w:lang w:val="vi-VN"/>
        </w:rPr>
        <w:t>in the banking sector, and at the same time indicated that state ownership can be considered an important moderating factor that helps banks apply digital transformation in minimizing risks.</w:t>
      </w:r>
      <w:r w:rsidR="009E1EA2">
        <w:rPr>
          <w:rFonts w:asciiTheme="majorHAnsi" w:hAnsiTheme="majorHAnsi" w:cstheme="majorHAnsi"/>
          <w:sz w:val="20"/>
          <w:szCs w:val="20"/>
          <w:lang w:val="vi-VN"/>
        </w:rPr>
        <w:t xml:space="preserve"> </w:t>
      </w:r>
      <w:r w:rsidR="009E1EA2" w:rsidRPr="009E1EA2">
        <w:rPr>
          <w:rFonts w:asciiTheme="majorHAnsi" w:hAnsiTheme="majorHAnsi" w:cstheme="majorHAnsi"/>
          <w:sz w:val="20"/>
          <w:szCs w:val="20"/>
          <w:lang w:val="vi-VN"/>
        </w:rPr>
        <w:t xml:space="preserve">The research results are the basis for proposing policy implications such as: Vietnamese commercial banks need to promote digital transformation to improve risk control capabilities, develop a technology-integrated risk management framework and improve staff capacity in applying digital technology; </w:t>
      </w:r>
      <w:r w:rsidR="00C14E92" w:rsidRPr="00C14E92">
        <w:rPr>
          <w:rFonts w:asciiTheme="majorHAnsi" w:hAnsiTheme="majorHAnsi" w:cstheme="majorHAnsi"/>
          <w:sz w:val="20"/>
          <w:szCs w:val="20"/>
          <w:lang w:val="vi-VN"/>
        </w:rPr>
        <w:t>It is necessary to increase State participation in the</w:t>
      </w:r>
      <w:r w:rsidR="00C14E92">
        <w:rPr>
          <w:rFonts w:asciiTheme="majorHAnsi" w:hAnsiTheme="majorHAnsi" w:cstheme="majorHAnsi"/>
          <w:sz w:val="20"/>
          <w:szCs w:val="20"/>
          <w:lang w:val="vi-VN"/>
        </w:rPr>
        <w:t xml:space="preserve"> banks’</w:t>
      </w:r>
      <w:r w:rsidR="00C14E92" w:rsidRPr="00C14E92">
        <w:rPr>
          <w:rFonts w:asciiTheme="majorHAnsi" w:hAnsiTheme="majorHAnsi" w:cstheme="majorHAnsi"/>
          <w:sz w:val="20"/>
          <w:szCs w:val="20"/>
          <w:lang w:val="vi-VN"/>
        </w:rPr>
        <w:t xml:space="preserve"> digital transformation process and consider maintaining a reasonable level of State ownership to balance the goals of financial safety, technology application and more effective risk reduction</w:t>
      </w:r>
      <w:r w:rsidR="009E1EA2" w:rsidRPr="009E1EA2">
        <w:rPr>
          <w:rFonts w:asciiTheme="majorHAnsi" w:hAnsiTheme="majorHAnsi" w:cstheme="majorHAnsi"/>
          <w:sz w:val="20"/>
          <w:szCs w:val="20"/>
          <w:lang w:val="vi-VN"/>
        </w:rPr>
        <w:t>.</w:t>
      </w:r>
    </w:p>
    <w:p w14:paraId="1BE9D0A1" w14:textId="5CB714E3" w:rsidR="00FF7401" w:rsidRDefault="005049F0" w:rsidP="005049F0">
      <w:pPr>
        <w:spacing w:before="120" w:after="120" w:line="240" w:lineRule="auto"/>
        <w:jc w:val="both"/>
        <w:rPr>
          <w:rFonts w:asciiTheme="majorHAnsi" w:hAnsiTheme="majorHAnsi" w:cstheme="majorHAnsi"/>
          <w:b/>
          <w:bCs/>
          <w:lang w:val="vi-VN"/>
        </w:rPr>
      </w:pPr>
      <w:r>
        <w:rPr>
          <w:rFonts w:asciiTheme="majorHAnsi" w:hAnsiTheme="majorHAnsi" w:cstheme="majorHAnsi"/>
          <w:b/>
          <w:bCs/>
          <w:lang w:val="vi-VN"/>
        </w:rPr>
        <w:t>Keywords</w:t>
      </w:r>
      <w:r w:rsidR="00FF7401" w:rsidRPr="00D3269D">
        <w:rPr>
          <w:rFonts w:asciiTheme="majorHAnsi" w:hAnsiTheme="majorHAnsi" w:cstheme="majorHAnsi"/>
          <w:b/>
          <w:bCs/>
          <w:lang w:val="vi-VN"/>
        </w:rPr>
        <w:t xml:space="preserve">: </w:t>
      </w:r>
      <w:r w:rsidRPr="00C244ED">
        <w:rPr>
          <w:rFonts w:asciiTheme="majorHAnsi" w:hAnsiTheme="majorHAnsi" w:cstheme="majorHAnsi"/>
          <w:lang w:val="vi-VN"/>
        </w:rPr>
        <w:t>owner structure, digital transformation, risk-taking, state ownership</w:t>
      </w:r>
    </w:p>
    <w:p w14:paraId="3A337E6E" w14:textId="77777777" w:rsidR="00C14E92" w:rsidRPr="005049F0" w:rsidRDefault="00C14E92" w:rsidP="005049F0">
      <w:pPr>
        <w:spacing w:before="120" w:after="120" w:line="240" w:lineRule="auto"/>
        <w:jc w:val="both"/>
        <w:rPr>
          <w:rFonts w:asciiTheme="majorHAnsi" w:hAnsiTheme="majorHAnsi" w:cstheme="majorHAnsi"/>
          <w:b/>
          <w:bCs/>
          <w:lang w:val="vi-VN"/>
        </w:rPr>
      </w:pPr>
    </w:p>
    <w:p w14:paraId="22D660CD" w14:textId="62B102FF" w:rsidR="00823469" w:rsidRDefault="007B2E80" w:rsidP="00E34C01">
      <w:pPr>
        <w:pStyle w:val="ListParagraph"/>
        <w:numPr>
          <w:ilvl w:val="0"/>
          <w:numId w:val="1"/>
        </w:numPr>
        <w:spacing w:before="120" w:after="120" w:line="240" w:lineRule="auto"/>
        <w:ind w:left="360" w:hanging="360"/>
        <w:jc w:val="both"/>
        <w:rPr>
          <w:rFonts w:asciiTheme="majorHAnsi" w:hAnsiTheme="majorHAnsi" w:cstheme="majorHAnsi"/>
          <w:b/>
          <w:bCs/>
          <w:lang w:val="vi-VN"/>
        </w:rPr>
      </w:pPr>
      <w:r>
        <w:rPr>
          <w:rFonts w:asciiTheme="majorHAnsi" w:hAnsiTheme="majorHAnsi" w:cstheme="majorHAnsi"/>
          <w:b/>
          <w:bCs/>
          <w:lang w:val="vi-VN"/>
        </w:rPr>
        <w:lastRenderedPageBreak/>
        <w:t>MỞ ĐẦU</w:t>
      </w:r>
    </w:p>
    <w:p w14:paraId="0867B5B4" w14:textId="539B09E5" w:rsidR="00E34C01" w:rsidRPr="00E34C01" w:rsidRDefault="00E34C01" w:rsidP="00E34C01">
      <w:pPr>
        <w:spacing w:before="120" w:after="120" w:line="240" w:lineRule="auto"/>
        <w:ind w:firstLine="360"/>
        <w:jc w:val="both"/>
        <w:rPr>
          <w:rFonts w:asciiTheme="majorHAnsi" w:hAnsiTheme="majorHAnsi" w:cstheme="majorHAnsi"/>
          <w:bCs/>
          <w:lang w:val="vi-VN"/>
        </w:rPr>
      </w:pPr>
      <w:r w:rsidRPr="00E34C01">
        <w:rPr>
          <w:rFonts w:asciiTheme="majorHAnsi" w:hAnsiTheme="majorHAnsi" w:cstheme="majorHAnsi"/>
          <w:bCs/>
          <w:lang w:val="vi-VN"/>
        </w:rPr>
        <w:t>Trong những năm gần đây, chuyển đổi số đã dẫn đến những thay đổi đáng kể trong tất cả các lĩnh vực, dẫn đến sự phát triển mạnh mẽ của Fintech, thanh toán kỹ thuật số, cho vay trực tuyến công nghệ cao hay tư vấn tài chính tự động trong lĩnh vực tài chính – ngân hàng. Trong đại dịch Covid-19, ngành ngân hàng</w:t>
      </w:r>
      <w:r>
        <w:rPr>
          <w:rFonts w:asciiTheme="majorHAnsi" w:hAnsiTheme="majorHAnsi" w:cstheme="majorHAnsi"/>
          <w:bCs/>
          <w:lang w:val="vi-VN"/>
        </w:rPr>
        <w:t xml:space="preserve"> </w:t>
      </w:r>
      <w:r w:rsidRPr="00E34C01">
        <w:rPr>
          <w:rFonts w:asciiTheme="majorHAnsi" w:hAnsiTheme="majorHAnsi" w:cstheme="majorHAnsi"/>
          <w:bCs/>
          <w:lang w:val="vi-VN"/>
        </w:rPr>
        <w:t xml:space="preserve">có nhiều đổi mới nhằm thúc đẩy chuyển đổi số toàn diện, giúp các ngân hàng thương mại (NHTM) cải thiện hiệu quả hoạt động thông qua việc cắt giảm chi phí tìm kiếm thông tin (nhờ Internet), cải thiện chất lượng và tốc độ thu thập thông tin (nhờ việc phân tích dữ liệu lớn) và sử dụng mật mã để xây dựng các cơ chế quản lý đáng tin cậy (như Blockchain); từ đó góp phần nâng cao trình độ quản lý rủi ro, hướng đến ổn định tài chính toàn diện cho hệ thống </w:t>
      </w:r>
      <w:r>
        <w:rPr>
          <w:rFonts w:asciiTheme="majorHAnsi" w:hAnsiTheme="majorHAnsi" w:cstheme="majorHAnsi"/>
          <w:bCs/>
          <w:lang w:val="vi-VN"/>
        </w:rPr>
        <w:t>ngân hàng</w:t>
      </w:r>
      <w:r w:rsidRPr="00E34C01">
        <w:rPr>
          <w:rFonts w:asciiTheme="majorHAnsi" w:hAnsiTheme="majorHAnsi" w:cstheme="majorHAnsi"/>
          <w:bCs/>
          <w:lang w:val="vi-VN"/>
        </w:rPr>
        <w:t xml:space="preserve">. Tuy nhiên, những thay đổi về công nghệ cũng mang lại nhiều thách thức, đặc biệt là sự phát triển nhanh chóng của công nghệ tài chính và những rủi ro tiềm ẩn mà các </w:t>
      </w:r>
      <w:r>
        <w:rPr>
          <w:rFonts w:asciiTheme="majorHAnsi" w:hAnsiTheme="majorHAnsi" w:cstheme="majorHAnsi"/>
          <w:bCs/>
          <w:lang w:val="vi-VN"/>
        </w:rPr>
        <w:t>ngân hàng</w:t>
      </w:r>
      <w:r w:rsidRPr="00E34C01">
        <w:rPr>
          <w:rFonts w:asciiTheme="majorHAnsi" w:hAnsiTheme="majorHAnsi" w:cstheme="majorHAnsi"/>
          <w:bCs/>
          <w:lang w:val="vi-VN"/>
        </w:rPr>
        <w:t xml:space="preserve"> phải đối mặt. Các nghiên cứu gần đây cho thấy việc ứng dụng công nghệ số, hay quá trình chuyển đổi số, đã tác động đến mức độ chấp nhận rủi ro của các NHTM theo những hướng khác nhau.</w:t>
      </w:r>
    </w:p>
    <w:p w14:paraId="6B8C9D83" w14:textId="4229C18E" w:rsidR="00E34C01" w:rsidRDefault="00E34C01" w:rsidP="00E34C01">
      <w:pPr>
        <w:spacing w:before="120" w:after="120" w:line="240" w:lineRule="auto"/>
        <w:ind w:firstLine="360"/>
        <w:jc w:val="both"/>
        <w:rPr>
          <w:rFonts w:asciiTheme="majorHAnsi" w:hAnsiTheme="majorHAnsi" w:cstheme="majorHAnsi"/>
          <w:bCs/>
          <w:lang w:val="vi-VN"/>
        </w:rPr>
      </w:pPr>
      <w:r w:rsidRPr="00E34C01">
        <w:rPr>
          <w:rFonts w:asciiTheme="majorHAnsi" w:hAnsiTheme="majorHAnsi" w:cstheme="majorHAnsi"/>
          <w:bCs/>
          <w:lang w:val="vi-VN"/>
        </w:rPr>
        <w:t>Chuyển đổi số được hiểu là việc sử dụng các kết nối kỹ thuật số và ứng dụng công nghệ như trí tuệ nhân tạo (AI), dữ liệu số, các kết nối và mạng lưới internet; dẫn đến sự phá vỡ của toàn bộ cấu trúc xã hội trong việc khởi tạo, quản lý, sử dụng và phân phối các nguồn tài nguyên</w:t>
      </w:r>
      <w:r w:rsidR="00D2274C">
        <w:rPr>
          <w:rFonts w:asciiTheme="majorHAnsi" w:hAnsiTheme="majorHAnsi" w:cstheme="majorHAnsi"/>
          <w:bCs/>
          <w:lang w:val="vi-VN"/>
        </w:rPr>
        <w:fldChar w:fldCharType="begin"/>
      </w:r>
      <w:r w:rsidR="00D2274C">
        <w:rPr>
          <w:rFonts w:asciiTheme="majorHAnsi" w:hAnsiTheme="majorHAnsi" w:cstheme="majorHAnsi"/>
          <w:bCs/>
          <w:lang w:val="vi-VN"/>
        </w:rPr>
        <w:instrText xml:space="preserve"> ADDIN ZOTERO_ITEM CSL_CITATION {"citationID":"1jLHgBxI","properties":{"formattedCitation":"\\super 1\\nosupersub{}","plainCitation":"1","noteIndex":0},"citationItems":[{"id":701,"uris":["http://zotero.org/users/local/1km6A5n5/items/N23FMXIZ"],"itemData":{"id":701,"type":"webpage","title":"Asia-Pacific digital transformation report 2022 : shaping our digital future","URL":"https://repository-uat.unescap.org/items/89d8df5c-71ba-4bf7-82a6-957b29edf615","author":[{"family":"UN.ESCAP","given":""}],"accessed":{"date-parts":[["2024",10,30]]},"issued":{"date-parts":[["2022"]]}}}],"schema":"https://github.com/citation-style-language/schema/raw/master/csl-citation.json"} </w:instrText>
      </w:r>
      <w:r w:rsidR="00D2274C">
        <w:rPr>
          <w:rFonts w:asciiTheme="majorHAnsi" w:hAnsiTheme="majorHAnsi" w:cstheme="majorHAnsi"/>
          <w:bCs/>
          <w:lang w:val="vi-VN"/>
        </w:rPr>
        <w:fldChar w:fldCharType="separate"/>
      </w:r>
      <w:r w:rsidR="00D2274C" w:rsidRPr="00BE4B8E">
        <w:rPr>
          <w:rFonts w:ascii="Times New Roman" w:hAnsi="Times New Roman" w:cs="Times New Roman"/>
          <w:szCs w:val="24"/>
          <w:vertAlign w:val="superscript"/>
          <w:lang w:val="vi-VN"/>
        </w:rPr>
        <w:t>1</w:t>
      </w:r>
      <w:r w:rsidR="00D2274C">
        <w:rPr>
          <w:rFonts w:asciiTheme="majorHAnsi" w:hAnsiTheme="majorHAnsi" w:cstheme="majorHAnsi"/>
          <w:bCs/>
          <w:lang w:val="vi-VN"/>
        </w:rPr>
        <w:fldChar w:fldCharType="end"/>
      </w:r>
      <w:r w:rsidRPr="00E34C01">
        <w:rPr>
          <w:rFonts w:asciiTheme="majorHAnsi" w:hAnsiTheme="majorHAnsi" w:cstheme="majorHAnsi"/>
          <w:bCs/>
          <w:lang w:val="vi-VN"/>
        </w:rPr>
        <w:t>. Chuyển đổi số là một mô hình phát triển mới, góp phần thúc đẩy năng suất lao động xã hội và năng lực cạnh tranh của các quốc gia, từ đó tạo ra các dịch vụ cao cấp hơn cũng như các giá trị và nhu cầu xã hội mới. Con người không chỉ là người tiêu dùng mà còn là người tạo ra các sản phẩm và dịch vụ chưa từng có trước đây, do đó thúc đẩy quá trình chuyển đổi các hệ thống giá trị và cơ cấu kinh tế - xã hội. Trong lĩnh vực tài chính ngân hàng, chuyển đổi số đã làm thay đổi cách cung cấp các dịch vụ, đặc biệt làm thay đổi đáng kể các dịch vụ thanh toán (cả trong nước và xuyên biên giới), hệ sinh thái cho vay, dịch vụ quản lý tài sản, bảo hiểm… Sự tiện lợi và tốc độ nhanh chóng đã khiến cho chuyển đổi số trở thành một thách thức lớn đối với các dịch vụ tài chính truyền thống lâu đời</w:t>
      </w:r>
      <w:r w:rsidR="00D2274C">
        <w:rPr>
          <w:rFonts w:asciiTheme="majorHAnsi" w:hAnsiTheme="majorHAnsi" w:cstheme="majorHAnsi"/>
          <w:bCs/>
          <w:lang w:val="vi-VN"/>
        </w:rPr>
        <w:fldChar w:fldCharType="begin"/>
      </w:r>
      <w:r w:rsidR="00D2274C">
        <w:rPr>
          <w:rFonts w:asciiTheme="majorHAnsi" w:hAnsiTheme="majorHAnsi" w:cstheme="majorHAnsi"/>
          <w:bCs/>
          <w:lang w:val="vi-VN"/>
        </w:rPr>
        <w:instrText xml:space="preserve"> ADDIN ZOTERO_ITEM CSL_CITATION {"citationID":"rV55KQHq","properties":{"formattedCitation":"\\super 2\\nosupersub{}","plainCitation":"2","noteIndex":0},"citationItems":[{"id":678,"uris":["http://zotero.org/users/local/1km6A5n5/items/37YFZAFM"],"itemData":{"id":678,"type":"article-journal","abstract":"Banks focus on digital transformation to improve their overall efficiency and reduce operational costs. In this study, we argue that banks focusing on diversification might not benefit from digital transformation in context of stability. Precisely, this study explores the impact of digital transformation on banks’ stability while considering diversification as an important factor. Overall, the results suggest that investment in technology and increased diversification makes banks riskier and more fragile. More importantly, we report digital transformation and the diversification to be substitutes in impacting the stability. In other words, we show digital transformation is beneficial for banks with low-income diversification. The reported findings have implications.","container-title":"Economic Analysis and Policy","DOI":"10.1016/j.eap.2023.03.004","ISSN":"0313-5926","journalAbbreviation":"Economic Analysis and Policy","page":"122-132","source":"ScienceDirect","title":"Digital transformation, diversification and stability: What do we know about banks?","title-short":"Digital transformation, diversification and stability","volume":"78","author":[{"family":"Khattak","given":"Mudeer Ahmed"},{"family":"Ali","given":"Mohsin"},{"family":"Azmi","given":"Wajahat"},{"family":"Rizvi","given":"Syed Aun R."}],"issued":{"date-parts":[["2023",6,1]]}}}],"schema":"https://github.com/citation-style-language/schema/raw/master/csl-citation.json"} </w:instrText>
      </w:r>
      <w:r w:rsidR="00D2274C">
        <w:rPr>
          <w:rFonts w:asciiTheme="majorHAnsi" w:hAnsiTheme="majorHAnsi" w:cstheme="majorHAnsi"/>
          <w:bCs/>
          <w:lang w:val="vi-VN"/>
        </w:rPr>
        <w:fldChar w:fldCharType="separate"/>
      </w:r>
      <w:r w:rsidR="00D2274C" w:rsidRPr="00BE4B8E">
        <w:rPr>
          <w:rFonts w:ascii="Times New Roman" w:hAnsi="Times New Roman" w:cs="Times New Roman"/>
          <w:szCs w:val="24"/>
          <w:vertAlign w:val="superscript"/>
          <w:lang w:val="vi-VN"/>
        </w:rPr>
        <w:t>2</w:t>
      </w:r>
      <w:r w:rsidR="00D2274C">
        <w:rPr>
          <w:rFonts w:asciiTheme="majorHAnsi" w:hAnsiTheme="majorHAnsi" w:cstheme="majorHAnsi"/>
          <w:bCs/>
          <w:lang w:val="vi-VN"/>
        </w:rPr>
        <w:fldChar w:fldCharType="end"/>
      </w:r>
      <w:r w:rsidR="00D2274C">
        <w:rPr>
          <w:rFonts w:asciiTheme="majorHAnsi" w:hAnsiTheme="majorHAnsi" w:cstheme="majorHAnsi"/>
          <w:bCs/>
          <w:lang w:val="vi-VN"/>
        </w:rPr>
        <w:t>.</w:t>
      </w:r>
    </w:p>
    <w:p w14:paraId="60E10F92" w14:textId="7E1F18C1" w:rsidR="00747CE2" w:rsidRPr="00CD4FC0" w:rsidRDefault="00783D91" w:rsidP="00747CE2">
      <w:pPr>
        <w:spacing w:before="120" w:after="120" w:line="240" w:lineRule="auto"/>
        <w:ind w:firstLine="720"/>
        <w:jc w:val="both"/>
        <w:rPr>
          <w:rFonts w:asciiTheme="majorHAnsi" w:eastAsiaTheme="majorEastAsia" w:hAnsiTheme="majorHAnsi" w:cstheme="majorHAnsi"/>
          <w:lang w:val="vi-VN"/>
        </w:rPr>
      </w:pPr>
      <w:r w:rsidRPr="00783D91">
        <w:rPr>
          <w:rFonts w:asciiTheme="majorHAnsi" w:hAnsiTheme="majorHAnsi" w:cstheme="majorHAnsi"/>
          <w:bCs/>
          <w:lang w:val="vi-VN"/>
        </w:rPr>
        <w:t>Theo lý thuyết ngân hàng hiện đại, sự ổn định và lợi nhuận của ngân hàng bị ảnh hưởng bởi các cuộc khủng hoảng hoặc rủi ro của thị trường tài chính, đặc tính của người đi vay và người gửi tiền, và chịu ảnh hưởng bởi bất kỳ đối tượng nào có quan hệ mật thiết với ngân hàng</w:t>
      </w:r>
      <w:r w:rsidR="00D2274C">
        <w:rPr>
          <w:rFonts w:asciiTheme="majorHAnsi" w:hAnsiTheme="majorHAnsi" w:cstheme="majorHAnsi"/>
          <w:bCs/>
          <w:lang w:val="vi-VN"/>
        </w:rPr>
        <w:fldChar w:fldCharType="begin"/>
      </w:r>
      <w:r w:rsidR="00D2274C">
        <w:rPr>
          <w:rFonts w:asciiTheme="majorHAnsi" w:hAnsiTheme="majorHAnsi" w:cstheme="majorHAnsi"/>
          <w:bCs/>
          <w:lang w:val="vi-VN"/>
        </w:rPr>
        <w:instrText xml:space="preserve"> ADDIN ZOTERO_ITEM CSL_CITATION {"citationID":"v0kX8xff","properties":{"formattedCitation":"\\super 3\\nosupersub{}","plainCitation":"3","noteIndex":0},"citationItems":[{"id":668,"uris":["http://zotero.org/users/local/1km6A5n5/items/XUHT3V65"],"itemData":{"id":668,"type":"article-journal","abstract":"Nowadays, digital transformation has become an urgent strategic task for traditional commercial banks. Due to the lack of measurement of banks’ digital transformation, whether digital transformation could enhance the competitiveness of banks is still inconclusive. In this paper, we construct an index system to measure digital transformation of banks from three dimensions: strategy transformation, business transformation and management transformation. Using data from Chinese commercial banks, this paper measures the progress of digital transformation of banks in China. The empirical results show that digital transformation can improve bank performance, reduce the negative impact of new technology entrants, and promote the exit of offline channels.","container-title":"China Economic Quarterly International","DOI":"10.1016/j.ceqi.2023.03.002","ISSN":"2666-9331","issue":"1","journalAbbreviation":"China Economic Quarterly International","page":"35-45","source":"ScienceDirect","title":"Digital transformation of commercial banks in China: Measurement, progress and impact","title-short":"Digital transformation of commercial banks in China","volume":"3","author":[{"family":"Xie","given":"Xuanli"},{"family":"Wang","given":"Shihui"}],"issued":{"date-parts":[["2023",3,1]]}}}],"schema":"https://github.com/citation-style-language/schema/raw/master/csl-citation.json"} </w:instrText>
      </w:r>
      <w:r w:rsidR="00D2274C">
        <w:rPr>
          <w:rFonts w:asciiTheme="majorHAnsi" w:hAnsiTheme="majorHAnsi" w:cstheme="majorHAnsi"/>
          <w:bCs/>
          <w:lang w:val="vi-VN"/>
        </w:rPr>
        <w:fldChar w:fldCharType="separate"/>
      </w:r>
      <w:r w:rsidR="00D2274C" w:rsidRPr="00BE4B8E">
        <w:rPr>
          <w:rFonts w:ascii="Times New Roman" w:hAnsi="Times New Roman" w:cs="Times New Roman"/>
          <w:szCs w:val="24"/>
          <w:vertAlign w:val="superscript"/>
          <w:lang w:val="vi-VN"/>
        </w:rPr>
        <w:t>3</w:t>
      </w:r>
      <w:r w:rsidR="00D2274C">
        <w:rPr>
          <w:rFonts w:asciiTheme="majorHAnsi" w:hAnsiTheme="majorHAnsi" w:cstheme="majorHAnsi"/>
          <w:bCs/>
          <w:lang w:val="vi-VN"/>
        </w:rPr>
        <w:fldChar w:fldCharType="end"/>
      </w:r>
      <w:r w:rsidRPr="00783D91">
        <w:rPr>
          <w:rFonts w:asciiTheme="majorHAnsi" w:hAnsiTheme="majorHAnsi" w:cstheme="majorHAnsi"/>
          <w:bCs/>
          <w:lang w:val="vi-VN"/>
        </w:rPr>
        <w:t>. Những tình huống khủng hoảng hoặc sự không chắc chắn này được gọi là mức độ chấp nhận rủi ro (CNRR), cho thấy khả năng chịu đựng rủi ro của một số ngân hàng trong giai đoạn khủng hoảng, trong đó mức độ CNRR tùy thuộc vào chiến lược quản trị doanh nghiệp, khung pháp lý và khả năng cạnh tranh của họ</w:t>
      </w:r>
      <w:r w:rsidR="00D2274C">
        <w:rPr>
          <w:rFonts w:asciiTheme="majorHAnsi" w:hAnsiTheme="majorHAnsi" w:cstheme="majorHAnsi"/>
          <w:bCs/>
          <w:lang w:val="vi-VN"/>
        </w:rPr>
        <w:fldChar w:fldCharType="begin"/>
      </w:r>
      <w:r w:rsidR="00D2274C">
        <w:rPr>
          <w:rFonts w:asciiTheme="majorHAnsi" w:hAnsiTheme="majorHAnsi" w:cstheme="majorHAnsi"/>
          <w:bCs/>
          <w:lang w:val="vi-VN"/>
        </w:rPr>
        <w:instrText xml:space="preserve"> ADDIN ZOTERO_ITEM CSL_CITATION {"citationID":"qWw0rpD1","properties":{"formattedCitation":"\\super 4\\nosupersub{}","plainCitation":"4","noteIndex":0},"citationItems":[{"id":955,"uris":["http://zotero.org/users/local/1km6A5n5/items/HRAWX5R3"],"itemData":{"id":955,"type":"article-journal","abstract":"This study investigates whether regulations have an independent effect on bank risk-taking or whether their effect is channeled through the market power possessed by banks. Given a well-established set of theoretical priors, the regulations considered are capital requirements, restrictions on bank activities and official supervisory power. We use data from the Central and Eastern European banking sectors over the period 1998–2005. The empirical results suggest that banks with market power tend to take on lower credit risk and have a lower probability of default. Capital requirements reduce risk in general, but for banks with market power this effect significantly weakens or can even be reversed. Higher activity restrictions in combination with more market power reduce both credit risk and the risk of default, while official supervisory power has only a direct impact on bank risk.","container-title":"Journal of Financial Stability","DOI":"10.1016/j.jfs.2009.08.002","ISSN":"1572-3089","issue":"1","journalAbbreviation":"Journal of Financial Stability","page":"38-48","source":"ScienceDirect","title":"Regulations, competition and bank risk-taking in transition countries","volume":"7","author":[{"family":"Agoraki","given":"Maria-Eleni K."},{"family":"Delis","given":"Manthos D."},{"family":"Pasiouras","given":"Fotios"}],"issued":{"date-parts":[["2011",1,1]]}}}],"schema":"https://github.com/citation-style-language/schema/raw/master/csl-citation.json"} </w:instrText>
      </w:r>
      <w:r w:rsidR="00D2274C">
        <w:rPr>
          <w:rFonts w:asciiTheme="majorHAnsi" w:hAnsiTheme="majorHAnsi" w:cstheme="majorHAnsi"/>
          <w:bCs/>
          <w:lang w:val="vi-VN"/>
        </w:rPr>
        <w:fldChar w:fldCharType="separate"/>
      </w:r>
      <w:r w:rsidR="00D2274C" w:rsidRPr="00BE4B8E">
        <w:rPr>
          <w:rFonts w:ascii="Times New Roman" w:hAnsi="Times New Roman" w:cs="Times New Roman"/>
          <w:szCs w:val="24"/>
          <w:vertAlign w:val="superscript"/>
          <w:lang w:val="vi-VN"/>
        </w:rPr>
        <w:t>4</w:t>
      </w:r>
      <w:r w:rsidR="00D2274C">
        <w:rPr>
          <w:rFonts w:asciiTheme="majorHAnsi" w:hAnsiTheme="majorHAnsi" w:cstheme="majorHAnsi"/>
          <w:bCs/>
          <w:lang w:val="vi-VN"/>
        </w:rPr>
        <w:fldChar w:fldCharType="end"/>
      </w:r>
      <w:r w:rsidR="00747CE2">
        <w:rPr>
          <w:rFonts w:asciiTheme="majorHAnsi" w:eastAsiaTheme="majorEastAsia" w:hAnsiTheme="majorHAnsi" w:cstheme="majorHAnsi"/>
          <w:lang w:val="vi-VN"/>
        </w:rPr>
        <w:t xml:space="preserve">. </w:t>
      </w:r>
      <w:r w:rsidR="005676B1">
        <w:rPr>
          <w:rFonts w:ascii="Times New Roman" w:hAnsi="Times New Roman" w:cs="Times New Roman"/>
          <w:lang w:val="vi-VN"/>
        </w:rPr>
        <w:t xml:space="preserve">Tổng quan nghiên cứu cho thấy </w:t>
      </w:r>
      <w:r w:rsidR="005676B1">
        <w:rPr>
          <w:rFonts w:asciiTheme="majorHAnsi" w:eastAsiaTheme="majorEastAsia" w:hAnsiTheme="majorHAnsi" w:cstheme="majorHAnsi"/>
          <w:lang w:val="vi-VN"/>
        </w:rPr>
        <w:t>c</w:t>
      </w:r>
      <w:r w:rsidR="00CD4FC0">
        <w:rPr>
          <w:rFonts w:asciiTheme="majorHAnsi" w:eastAsiaTheme="majorEastAsia" w:hAnsiTheme="majorHAnsi" w:cstheme="majorHAnsi"/>
          <w:lang w:val="vi-VN"/>
        </w:rPr>
        <w:t xml:space="preserve">ác nghiên cứu về tác động của chuyển đổi số đến mức độ CNRR </w:t>
      </w:r>
      <w:r w:rsidR="005676B1">
        <w:rPr>
          <w:rFonts w:asciiTheme="majorHAnsi" w:eastAsiaTheme="majorEastAsia" w:hAnsiTheme="majorHAnsi" w:cstheme="majorHAnsi"/>
          <w:lang w:val="vi-VN"/>
        </w:rPr>
        <w:t xml:space="preserve">tại </w:t>
      </w:r>
      <w:r w:rsidR="00CD4FC0">
        <w:rPr>
          <w:rFonts w:asciiTheme="majorHAnsi" w:eastAsiaTheme="majorEastAsia" w:hAnsiTheme="majorHAnsi" w:cstheme="majorHAnsi"/>
          <w:lang w:val="vi-VN"/>
        </w:rPr>
        <w:t xml:space="preserve">NHTM </w:t>
      </w:r>
      <w:r w:rsidR="005676B1">
        <w:rPr>
          <w:rFonts w:asciiTheme="majorHAnsi" w:eastAsiaTheme="majorEastAsia" w:hAnsiTheme="majorHAnsi" w:cstheme="majorHAnsi"/>
          <w:lang w:val="vi-VN"/>
        </w:rPr>
        <w:t xml:space="preserve">có </w:t>
      </w:r>
      <w:r w:rsidR="00CD4FC0">
        <w:rPr>
          <w:rFonts w:asciiTheme="majorHAnsi" w:eastAsiaTheme="majorEastAsia" w:hAnsiTheme="majorHAnsi" w:cstheme="majorHAnsi"/>
          <w:lang w:val="vi-VN"/>
        </w:rPr>
        <w:t>sự không thống nhất về chiều hướng tác động, có thể cùng chiề</w:t>
      </w:r>
      <w:r w:rsidR="00D2274C">
        <w:rPr>
          <w:rFonts w:asciiTheme="majorHAnsi" w:eastAsiaTheme="majorEastAsia" w:hAnsiTheme="majorHAnsi" w:cstheme="majorHAnsi"/>
          <w:lang w:val="vi-VN"/>
        </w:rPr>
        <w:t>u</w:t>
      </w:r>
      <w:r w:rsidR="00CD4FC0" w:rsidRPr="00CD4FC0">
        <w:rPr>
          <w:rFonts w:ascii="Times New Roman" w:hAnsi="Times New Roman" w:cs="Times New Roman"/>
          <w:highlight w:val="yellow"/>
        </w:rPr>
        <w:fldChar w:fldCharType="begin"/>
      </w:r>
      <w:r w:rsidR="00D2274C">
        <w:rPr>
          <w:rFonts w:ascii="Times New Roman" w:hAnsi="Times New Roman" w:cs="Times New Roman"/>
          <w:highlight w:val="yellow"/>
          <w:lang w:val="vi-VN"/>
        </w:rPr>
        <w:instrText xml:space="preserve"> ADDIN ZOTERO_ITEM CSL_CITATION {"citationID":"fXJNOVdW","properties":{"formattedCitation":"\\super 3,5,6\\nosupersub{}","plainCitation":"3,5,6","noteIndex":0},"citationItems":[{"id":668,"uris":["http://zotero.org/users/local/1km6A5n5/items/XUHT3V65"],"itemData":{"id":668,"type":"article-journal","abstract":"Nowadays, digital transformation has become an urgent strategic task for traditional commercial banks. Due to the lack of measurement of banks’ digital transformation, whether digital transformation could enhance the competitiveness of banks is still inconclusive. In this paper, we construct an index system to measure digital transformation of banks from three dimensions: strategy transformation, business transformation and management transformation. Using data from Chinese commercial banks, this paper measures the progress of digital transformation of banks in China. The empirical results show that digital transformation can improve bank performance, reduce the negative impact of new technology entrants, and promote the exit of offline channels.","container-title":"China Economic Quarterly International","DOI":"10.1016/j.ceqi.2023.03.002","ISSN":"2666-9331","issue":"1","journalAbbreviation":"China Economic Quarterly International","page":"35-45","source":"ScienceDirect","title":"Digital transformation of commercial banks in China: Measurement, progress and impact","title-short":"Digital transformation of commercial banks in China","volume":"3","author":[{"family":"Xie","given":"Xuanli"},{"family":"Wang","given":"Shihui"}],"issued":{"date-parts":[["2023",3,1]]}}},{"id":800,"uris":["http://zotero.org/users/local/1km6A5n5/items/7JTYLPRT"],"itemData":{"id":800,"type":"article-journal","abstract":"No abstract is available for this item.","container-title":"China Finance and Economic Review","issue":"3","language":"en","note":"publisher: De Gruyter","page":"89-109","source":"ideas.repec.org","title":"The impact of internet finance on commercial banks’ risktaking: Theoretical interpretation and empirical test","title-short":"The impact of internet finance on commercial banks’ risktaking","volume":"5","author":[{"family":"Guo","given":"Pin"},{"family":"Shen","given":"Yue"}],"issued":{"date-parts":[["2016"]]}}},{"id":781,"uris":["http://zotero.org/users/local/1km6A5n5/items/2BPM6R2Z"],"itemData":{"id":781,"type":"article-journal","abstract":"Debt is now a substantial aspect of family finances. Yet, research on how household debt is linked with child development has been limited. We use data from the National Longitudinal Survey of Youth 1979 cohort and hierarchical linear models to estimate associations of amounts and types of parental debt (home, education, auto, unsecured/ uncollateralized) with child socioemotional well-being. We find that unsecured debt is associated with growth in child behavior problems, whereas this is not the case for other forms of debt. Moreover, the association of unsecured debt with child behavior problems varies by child age and socioeconomic status, with younger children and children from less-advantaged families experiencing larger associations of unsecured debt with greater behavior problems.","container-title":"Demography","ISSN":"0070-3370","issue":"4","note":"publisher: [Population Association of America, Springer]","page":"1273-1301","source":"JSTOR","title":"Rising Household Debt and Children's Socioemotional Well-being Trajectories","volume":"56","author":[{"family":"Berger","given":"Lawrence M."},{"family":"Houle","given":"Jason N."}],"issued":{"date-parts":[["2019"]]}}}],"schema":"https://github.com/citation-style-language/schema/raw/master/csl-citation.json"} </w:instrText>
      </w:r>
      <w:r w:rsidR="00CD4FC0" w:rsidRPr="00CD4FC0">
        <w:rPr>
          <w:rFonts w:ascii="Times New Roman" w:hAnsi="Times New Roman" w:cs="Times New Roman"/>
          <w:highlight w:val="yellow"/>
        </w:rPr>
        <w:fldChar w:fldCharType="separate"/>
      </w:r>
      <w:r w:rsidR="00D2274C" w:rsidRPr="00D2274C">
        <w:rPr>
          <w:rFonts w:ascii="Times New Roman" w:hAnsi="Times New Roman" w:cs="Times New Roman"/>
          <w:szCs w:val="24"/>
          <w:vertAlign w:val="superscript"/>
        </w:rPr>
        <w:t>3,5,6</w:t>
      </w:r>
      <w:r w:rsidR="00CD4FC0" w:rsidRPr="00CD4FC0">
        <w:rPr>
          <w:rFonts w:ascii="Times New Roman" w:hAnsi="Times New Roman" w:cs="Times New Roman"/>
          <w:highlight w:val="yellow"/>
        </w:rPr>
        <w:fldChar w:fldCharType="end"/>
      </w:r>
      <w:r w:rsidR="00CD4FC0">
        <w:rPr>
          <w:rFonts w:ascii="Times New Roman" w:hAnsi="Times New Roman" w:cs="Times New Roman"/>
          <w:lang w:val="vi-VN"/>
        </w:rPr>
        <w:t>, ngược chiều</w:t>
      </w:r>
      <w:r w:rsidR="00D2274C">
        <w:rPr>
          <w:rFonts w:ascii="Times New Roman" w:hAnsi="Times New Roman" w:cs="Times New Roman"/>
          <w:lang w:val="vi-VN"/>
        </w:rPr>
        <w:fldChar w:fldCharType="begin"/>
      </w:r>
      <w:r w:rsidR="00D2274C">
        <w:rPr>
          <w:rFonts w:ascii="Times New Roman" w:hAnsi="Times New Roman" w:cs="Times New Roman"/>
          <w:lang w:val="vi-VN"/>
        </w:rPr>
        <w:instrText xml:space="preserve"> ADDIN ZOTERO_ITEM CSL_CITATION {"citationID":"qXvXMWBg","properties":{"formattedCitation":"\\super 7\\uc0\\u8211{}9\\nosupersub{}","plainCitation":"7–9","noteIndex":0},"citationItems":[{"id":675,"uris":["http://zotero.org/users/local/1km6A5n5/items/954CTFVT"],"itemData":{"id":675,"type":"article-journal","abstract":"This article focuses on the relationship between Fintech and bank risk-taking behavior. Since Robo-Advisor is one of the mature applications of Fintech, we found that the development of Fintech will have a greater impact on small and medium-sized banks through the establishment of a Robo-Advisor model. This paper uses a benchmark regression model to analyze the municipal digital financial inclusion index compiled by Peking University and the annual report data of 155 small and medium-sized banks from 2011 to 2016. We found that the development of Fintech has significantly reduced bank risk-taking level. This result is still valid after the robustness test of replacing the bank’s risk-taking index and replacing the Fintech development index. We used the urban innovation index as an instrumental variable to deal with the endogenous problem, and obtained consistent estimation results. The test of the intermediary effect shows that the development of Fintech will affect the bank risk-taking through channels such as the bank’s internal interest margin, management capabilities, the bank’s external competition intensity, and residents’ saving willingness. Heterogeneity analysis shows the reduction effect of Fintech on bank risk-taking is more pronounced in banks in eastern and western regions in China, the large banks and the urban commercial banks.","container-title":"Risks","DOI":"10.3390/risks9050099","ISSN":"2227-9091","issue":"5","language":"en","license":"http://creativecommons.org/licenses/by/3.0/","note":"number: 5\npublisher: Multidisciplinary Digital Publishing Institute","page":"99","source":"www.mdpi.com","title":"Impact of Fintech on Bank Risk-Taking: Evidence from China","title-short":"Impact of Fintech on Bank Risk-Taking","volume":"9","author":[{"family":"Deng","given":"Liurui"},{"family":"Lv","given":"Yongbin"},{"family":"Liu","given":"Ye"},{"family":"Zhao","given":"Yiwen"}],"issued":{"date-parts":[["2021",5]]}}},{"id":674,"uris":["http://zotero.org/users/local/1km6A5n5/items/TY34FYQD"],"itemData":{"id":674,"type":"article-journal","abstract":"This study examines whether digital transformation reduces banks' risk-taking in the Vietnamese commercial banking sector. Our research sheds light on how banks' digital transformation affects their risks, specifically regarding credit, insolvency, and liquidity. The study utilizes the readiness index for the Vietnamese commercial banks' Information and Communication Technology (ICT) Index, which the Vietnamese government has officially constructed. The OLS, PCSE, and FGLS models are employed to analyze how digital transformation reduces banks' risk-taking based on the longitudinal data from 26 commercial banks in Vietnam from 2013 to 2022. The results indicate that digital transformation significantly reduces credit risk by improving risk management capacity and reducing asymmetric information. It also helps mitigate insolvency risk by lowering costs and increasing profitability. However, digitalization does not significantly impact liquidity risk as digital channels leverage banks' lending and deposit activities. This research provides empirical evidence on the role of bank digitalization in risk-taking and concludes with recommendations for developing bank digital transformation in Vietnam and other developing countries, including suggestions for further research in this area.","container-title":"Journal of Open Innovation: Technology, Market, and Complexity","DOI":"10.1016/j.joitmc.2024.100260","ISSN":"2199-8531","issue":"2","journalAbbreviation":"Journal of Open Innovation: Technology, Market, and Complexity","page":"100260","source":"ScienceDirect","title":"Does digital transformation reduce bank's risk-taking? evidence from vietnamese commercial banks","title-short":"Does digital transformation reduce bank's risk-taking?","volume":"10","author":[{"family":"Hoque","given":"Ariful"},{"family":"Le","given":"Duong Thuy"},{"family":"Le","given":"Thi"}],"issued":{"date-parts":[["2024",6,1]]}}},{"id":670,"uris":["http://zotero.org/users/local/1km6A5n5/items/QQPKQ5GM"],"itemData":{"id":670,"type":"article-journal","abstract":"&lt;p&gt;Fintech risks commercial banks in three ways, particularly operational efficiency, financial innovation, and risk management. Based on the data of 37 Chinese-listed commercial banks from 2011 to 2020, the study empirically analyzes the impact of fintech on bank risk-taking, and the intermediary effects of the three channels, such as operational efficiency, financial innovation, and risk management. The results show that fintech can effectively reduce the risk of banks. The results of heterogeneity analysis revealed that fintech strongly affects the risk-taking of state-owned banks but not obviously for rural commercial banks. Financial efficiency, financial innovation, and risk management indirectly affect the risk-taking of banks that contributed 8.51, 7.18, and 5.77%, respectively. We also constructed the commercial bank risk-warning index. Based on the quarterly data of banks from 2011 to 2020, we empirically tested the early warning effect of the bank risk-warning index. The results showed that when the signal month is set to 12 months, the bank risk-warning index can have a warning effect in this period.&lt;/p&gt;","container-title":"Frontiers in Psychology","DOI":"10.3389/fpsyg.2022.934053","ISSN":"1664-1078","journalAbbreviation":"Front. Psychol.","language":"English","note":"publisher: Frontiers","source":"Frontiers","title":"Fintech, Bank Risk-Taking, and Risk-Warning for Commercial Banks in the Era of Digital Technology","URL":"https://www.frontiersin.org/journals/psychology/articles/10.3389/fpsyg.2022.934053/full","volume":"13","author":[{"family":"Li","given":"Gang"},{"family":"Elahi","given":"Ehsan"},{"family":"Zhao","given":"Liangliang"}],"accessed":{"date-parts":[["2024",10,30]]},"issued":{"date-parts":[["2022",7,13]]}}}],"schema":"https://github.com/citation-style-language/schema/raw/master/csl-citation.json"} </w:instrText>
      </w:r>
      <w:r w:rsidR="00D2274C">
        <w:rPr>
          <w:rFonts w:ascii="Times New Roman" w:hAnsi="Times New Roman" w:cs="Times New Roman"/>
          <w:lang w:val="vi-VN"/>
        </w:rPr>
        <w:fldChar w:fldCharType="separate"/>
      </w:r>
      <w:r w:rsidR="00D2274C" w:rsidRPr="00D2274C">
        <w:rPr>
          <w:rFonts w:ascii="Times New Roman" w:hAnsi="Times New Roman" w:cs="Times New Roman"/>
          <w:szCs w:val="24"/>
          <w:vertAlign w:val="superscript"/>
        </w:rPr>
        <w:t>7–9</w:t>
      </w:r>
      <w:r w:rsidR="00D2274C">
        <w:rPr>
          <w:rFonts w:ascii="Times New Roman" w:hAnsi="Times New Roman" w:cs="Times New Roman"/>
          <w:lang w:val="vi-VN"/>
        </w:rPr>
        <w:fldChar w:fldCharType="end"/>
      </w:r>
      <w:r w:rsidR="00CD4FC0" w:rsidRPr="00D2274C">
        <w:rPr>
          <w:rFonts w:ascii="Times New Roman" w:hAnsi="Times New Roman" w:cs="Times New Roman"/>
          <w:lang w:val="vi-VN"/>
        </w:rPr>
        <w:t>,</w:t>
      </w:r>
      <w:r w:rsidR="00CD4FC0">
        <w:rPr>
          <w:rFonts w:ascii="Times New Roman" w:hAnsi="Times New Roman" w:cs="Times New Roman"/>
          <w:lang w:val="vi-VN"/>
        </w:rPr>
        <w:t xml:space="preserve"> hoặc có mối quan hệ phi tuyến tính</w:t>
      </w:r>
      <w:r w:rsidR="00D2274C">
        <w:rPr>
          <w:rFonts w:ascii="Times New Roman" w:hAnsi="Times New Roman" w:cs="Times New Roman"/>
          <w:lang w:val="vi-VN"/>
        </w:rPr>
        <w:fldChar w:fldCharType="begin"/>
      </w:r>
      <w:r w:rsidR="00D2274C">
        <w:rPr>
          <w:rFonts w:ascii="Times New Roman" w:hAnsi="Times New Roman" w:cs="Times New Roman"/>
          <w:lang w:val="vi-VN"/>
        </w:rPr>
        <w:instrText xml:space="preserve"> ADDIN ZOTERO_ITEM CSL_CITATION {"citationID":"2QInXcYY","properties":{"formattedCitation":"\\super 10,11\\nosupersub{}","plainCitation":"10,11","noteIndex":0},"citationItems":[{"id":804,"uris":["http://zotero.org/users/local/1km6A5n5/items/REWYA8N8"],"itemData":{"id":804,"type":"article-journal","abstract":"The past decade has seen impressive developments in financial technology (FinTech) in China. As a new technology and innovative method that competes with, and also supplements, traditional financial methods, fintech has had a significant impact on traditional financial businesses and has thus challenged the role of commercial banks as credit intermediaries in the financial sector. This paper examines the potential risks that fintech brings to commercial banks in China, and collects data from 19 systemically important banks from 2011–2020 to analyze the effect of fintech development on commercial banks’ financial risks in order to achieve sustainable development in the financial sector. Using the Z value and non-performing loan ratio as the criterion variables, this study shows that the impact of fintech on the financial risks of systemically important banks demonstrates an inverted U-shaped pattern, with the financial risk increasing first and then decreasing alongside the further development of fintech. The results also show that commercial banks’ responses to fintech development has been comparatively slow. Managerial suggestions are then discussed on risk supervision for commercial banks and the financial sector in China and other emerging markets.","container-title":"Sustainability","issue":"10","language":"en","note":"publisher: MDPI","page":"1-20","source":"ideas.repec.org","title":"Fintech and Financial Risks of Systemically Important Commercial Banks in China: An Inverted U-Shaped Relationship","title-short":"Fintech and Financial Risks of Systemically Important Commercial Banks in China","volume":"14","author":[{"family":"Chen","given":"Baomin"},{"family":"Yang","given":"Xinyun"},{"family":"Ma","given":"Zhenzhong"}],"issued":{"date-parts":[["2022"]]}}},{"id":938,"uris":["http://zotero.org/users/local/1km6A5n5/items/JYYBE46Y"],"itemData":{"id":938,"type":"article-journal","abstract":"This paper empirically tests the effect of FinTech development on bank risk taking using unbalanced bank-level panel data from China for the period from 2011 to 2018. We use the media's attention paid to FinTech-related information to gauge FinTech development. We find robust evidence that the development of FinTech exacerbates banks’ risk taking in general. The heterogeneity analysis further indicates that the asset quality deterioration effect brought about by prosperous FinTech is more salient in banks with larger sizes, lower efficiency, more shadow banking business and more interest-based income. Moreover, the nexus between FinTech and banks’ risk taking is a U-shaped trend, with FinTech initially intensifying and then weakening banks’ risk taking. Moreover, the banks’ responses regarding the U-shaped effect are heterogeneous among different ownership structures. The responses by state- and jointly owned banks are not notable, while those of city banks, foreign banks and rural banks are more sensitive.","container-title":"The European Journal of Finance","DOI":"10.1080/1351847X.2020.1805782","ISSN":"1351-847X","issue":"4-5","note":"publisher: Routledge\n_eprint: https://doi.org/10.1080/1351847X.2020.1805782","page":"397-418","source":"Taylor and Francis+NEJM","title":"Fintech development and bank risk taking in China","volume":"27","author":[{"family":"Wang","given":"Rui"},{"family":"Liu","given":"Jiangtao"},{"family":"Luo","given":"Hang(Robin)"}],"issued":{"date-parts":[["2021",3,24]]}}}],"schema":"https://github.com/citation-style-language/schema/raw/master/csl-citation.json"} </w:instrText>
      </w:r>
      <w:r w:rsidR="00D2274C">
        <w:rPr>
          <w:rFonts w:ascii="Times New Roman" w:hAnsi="Times New Roman" w:cs="Times New Roman"/>
          <w:lang w:val="vi-VN"/>
        </w:rPr>
        <w:fldChar w:fldCharType="separate"/>
      </w:r>
      <w:r w:rsidR="00D2274C" w:rsidRPr="00BE4B8E">
        <w:rPr>
          <w:rFonts w:ascii="Times New Roman" w:hAnsi="Times New Roman" w:cs="Times New Roman"/>
          <w:szCs w:val="24"/>
          <w:vertAlign w:val="superscript"/>
          <w:lang w:val="vi-VN"/>
        </w:rPr>
        <w:t>10,11</w:t>
      </w:r>
      <w:r w:rsidR="00D2274C">
        <w:rPr>
          <w:rFonts w:ascii="Times New Roman" w:hAnsi="Times New Roman" w:cs="Times New Roman"/>
          <w:lang w:val="vi-VN"/>
        </w:rPr>
        <w:fldChar w:fldCharType="end"/>
      </w:r>
      <w:r w:rsidR="00CD4FC0">
        <w:rPr>
          <w:rFonts w:ascii="Times New Roman" w:hAnsi="Times New Roman" w:cs="Times New Roman"/>
          <w:lang w:val="vi-VN"/>
        </w:rPr>
        <w:t xml:space="preserve">. </w:t>
      </w:r>
      <w:r w:rsidR="005676B1">
        <w:rPr>
          <w:rFonts w:ascii="Times New Roman" w:hAnsi="Times New Roman" w:cs="Times New Roman"/>
          <w:lang w:val="vi-VN"/>
        </w:rPr>
        <w:t>Q</w:t>
      </w:r>
      <w:r w:rsidR="00CD4FC0">
        <w:rPr>
          <w:rFonts w:ascii="Times New Roman" w:hAnsi="Times New Roman" w:cs="Times New Roman"/>
          <w:lang w:val="vi-VN"/>
        </w:rPr>
        <w:t xml:space="preserve">uá trình chuyển đổi số và mức độ CNRR của NHTM có thể chịu tác động bởi nhiều yếu tố cả về đặc trưng của ngân hàng và các điều kiện môi trường vĩ mô. </w:t>
      </w:r>
      <w:r w:rsidR="005676B1">
        <w:rPr>
          <w:rFonts w:ascii="Times New Roman" w:hAnsi="Times New Roman" w:cs="Times New Roman"/>
          <w:lang w:val="vi-VN"/>
        </w:rPr>
        <w:t xml:space="preserve">Tuy nhiên, cho đến nay, chưa có nghiên cứu nào xem xét vai trò điều tiết của cấu trúc sở hữu, đặc biệt là sở hữu nhà nước, đến tác động của quá trình chuyển đổi số đến mức độ CNRR của các NHTM. Do vậy, nghiên cứu này góp phần làm rõ chiều hướng tác động của chuyển đổi số đến mức độ CNRR tại 27 NHTM Việt Nam trong giai đoạn từ năm 2011 đến 2021, đồng thời, xem xét vai trò điều tiết của sở hữu nhà nước đối với mối quan hệ giữa hai biến số này. </w:t>
      </w:r>
      <w:r w:rsidR="00987765">
        <w:rPr>
          <w:rFonts w:ascii="Times New Roman" w:hAnsi="Times New Roman" w:cs="Times New Roman"/>
          <w:lang w:val="vi-VN"/>
        </w:rPr>
        <w:t>Theo sự hiểu biết của nhóm tác giả, đ</w:t>
      </w:r>
      <w:r w:rsidR="005676B1">
        <w:rPr>
          <w:rFonts w:ascii="Times New Roman" w:hAnsi="Times New Roman" w:cs="Times New Roman"/>
          <w:lang w:val="vi-VN"/>
        </w:rPr>
        <w:t>ây có thể được xem là nghiên cứu tiên phong trong việc tìm ra bằng chứng thực nghiệm về vai trò điều tiết của SHNN đối với tác động của chuyển đổi số đến mức độ CNRR tại các NHTM Việt Nam. Kết quả nghiên cứu sẽ là cơ sở để đề xuất các hàm ý chính sách, làm cơ sở tham khảo cho các nhà quản lý và các nhà hoạch định chính sách trong bối cảnh chuyển đổi số ngày càng mạnh mẽ như hiện nay.</w:t>
      </w:r>
    </w:p>
    <w:p w14:paraId="2BE1EA7C" w14:textId="0711CFAB" w:rsidR="00823469" w:rsidRPr="00136211" w:rsidRDefault="007B2E80" w:rsidP="00136211">
      <w:pPr>
        <w:pStyle w:val="ListParagraph"/>
        <w:numPr>
          <w:ilvl w:val="0"/>
          <w:numId w:val="1"/>
        </w:numPr>
        <w:spacing w:before="120" w:after="120" w:line="240" w:lineRule="auto"/>
        <w:ind w:left="360" w:hanging="360"/>
        <w:jc w:val="both"/>
        <w:rPr>
          <w:rFonts w:asciiTheme="majorHAnsi" w:hAnsiTheme="majorHAnsi" w:cstheme="majorHAnsi"/>
          <w:b/>
          <w:bCs/>
          <w:lang w:val="vi-VN"/>
        </w:rPr>
      </w:pPr>
      <w:r>
        <w:rPr>
          <w:rFonts w:asciiTheme="majorHAnsi" w:hAnsiTheme="majorHAnsi" w:cstheme="majorHAnsi"/>
          <w:b/>
          <w:bCs/>
          <w:lang w:val="vi-VN"/>
        </w:rPr>
        <w:t>CƠ SỞ LÝ THUYẾT</w:t>
      </w:r>
    </w:p>
    <w:p w14:paraId="117C03B4" w14:textId="42915D7F" w:rsidR="00136211" w:rsidRPr="00C603F8" w:rsidRDefault="00136211" w:rsidP="00136211">
      <w:pPr>
        <w:spacing w:before="120" w:after="120" w:line="240" w:lineRule="auto"/>
        <w:jc w:val="both"/>
        <w:rPr>
          <w:rFonts w:ascii="Times New Roman" w:hAnsi="Times New Roman" w:cs="Times New Roman"/>
          <w:b/>
          <w:lang w:val="vi-VN"/>
        </w:rPr>
      </w:pPr>
      <w:r w:rsidRPr="00C603F8">
        <w:rPr>
          <w:rFonts w:ascii="Times New Roman" w:hAnsi="Times New Roman" w:cs="Times New Roman"/>
          <w:b/>
          <w:lang w:val="vi-VN"/>
        </w:rPr>
        <w:t>1. Tác động của chuyển đổi số tới mức độ chấp nhận rủi ro của ngân hàng</w:t>
      </w:r>
    </w:p>
    <w:p w14:paraId="0D746F19" w14:textId="6ABFFBB4" w:rsidR="00136211" w:rsidRDefault="00136211" w:rsidP="00136211">
      <w:pPr>
        <w:spacing w:before="120" w:after="120" w:line="240" w:lineRule="auto"/>
        <w:ind w:firstLine="360"/>
        <w:jc w:val="both"/>
        <w:rPr>
          <w:rFonts w:ascii="Times New Roman" w:hAnsi="Times New Roman" w:cs="Times New Roman"/>
          <w:lang w:val="vi-VN"/>
        </w:rPr>
      </w:pPr>
      <w:r w:rsidRPr="00136211">
        <w:rPr>
          <w:rFonts w:ascii="Times New Roman" w:hAnsi="Times New Roman" w:cs="Times New Roman"/>
          <w:lang w:val="vi-VN"/>
        </w:rPr>
        <w:t xml:space="preserve">Chuyển đổi số </w:t>
      </w:r>
      <w:r w:rsidR="00D51656">
        <w:rPr>
          <w:rFonts w:ascii="Times New Roman" w:hAnsi="Times New Roman" w:cs="Times New Roman"/>
          <w:lang w:val="vi-VN"/>
        </w:rPr>
        <w:t xml:space="preserve">có thể được hiểu </w:t>
      </w:r>
      <w:r w:rsidRPr="00136211">
        <w:rPr>
          <w:rFonts w:ascii="Times New Roman" w:hAnsi="Times New Roman" w:cs="Times New Roman"/>
          <w:lang w:val="vi-VN"/>
        </w:rPr>
        <w:t>là việc áp dụng các công nghệ hiện đại để giúp doanh nghiệp cải thiện cách vận hành, đáp ứng tốt hơn nhu cầu khách hàng, đồng thời mở ra những cơ hội kinh doanh mới và hiệu quả</w:t>
      </w:r>
      <w:r w:rsidR="00D2274C">
        <w:rPr>
          <w:rFonts w:ascii="Times New Roman" w:hAnsi="Times New Roman" w:cs="Times New Roman"/>
          <w:lang w:val="vi-VN"/>
        </w:rPr>
        <w:t xml:space="preserve"> hơn</w:t>
      </w:r>
      <w:r w:rsidRPr="00136211">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{"citationID":"1NR4ddX8","properties":{"formattedCitation":"\\super 12\\nosupersub{}","plainCitation":"12","noteIndex":0},"citationItems":[{"id":925,"uris":["http://zotero.org/users/local/1km6A5n5/items/YSZJ6BRD"],"itemData":{"id":925,"type":"paper-conference","abstract":"In the information systems (IS) literature, there is a gap in understanding the role of middle managers (MMs) in the digital transformation in organizations. IS research has focused on understanding top management and user roles in IT-related transformational change but the role of MMs has rarely been examined. To fill this gap, this paper reports on an open-ended exploration of the influence and contribution of the MMs in the digital transformation of a large Finnish public sector meal production company. Data were collected from a ten-year digital transformation effort in the company. The analysis suggests that MMs play an active role in influencing both top management and end users and importantly shows that the role MMs play differs from one stage to another of the digital transformation of the organisation. The study identifies a three-stage model of modular digital transformation, where MMs acted as implementers and negotiators in the initial core digitalisation stage of digital transformation, as champions in the digital expansion stage, and as shakers and strategists in the shake down and complementary stage. The paper concludes by discussing the implications for theory and highlighting the practical consequences of our results.","event-title":"European Conference on Information Systems","source":"Semantic Scholar","title":"Role of Middle Managers in Modular Digital Transformation: the Case of Servu","title-short":"Role of Middle Managers in Modular Digital Transformation","URL":"https://www.semanticscholar.org/paper/Role-of-Middle-Managers-in-Modular-Digital-the-Case-Paavola-Hallikainen/dea0f590af954f7f940d694c16f808e0624f2ae9","author":[{"family":"Paavola","given":"Risto"},{"family":"Hallikainen","given":"Petri"},{"family":"Elbanna","given":"Amany R."}],"accessed":{"date-parts":[["2024",11,18]]},"issued":{"date-parts":[["2017"]]}}}],"schema":"https://github.com/citation-style-language/schema/raw/master/csl-citation.json"} </w:instrText>
      </w:r>
      <w:r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12</w:t>
      </w:r>
      <w:r w:rsidRPr="00136211">
        <w:rPr>
          <w:rFonts w:ascii="Times New Roman" w:hAnsi="Times New Roman" w:cs="Times New Roman"/>
        </w:rPr>
        <w:fldChar w:fldCharType="end"/>
      </w:r>
      <w:r w:rsidRPr="00136211">
        <w:rPr>
          <w:rFonts w:ascii="Times New Roman" w:hAnsi="Times New Roman" w:cs="Times New Roman"/>
          <w:lang w:val="vi-VN"/>
        </w:rPr>
        <w:t>. Trong lĩnh vực ngân hàng, các công nghệ tiên tiến giúp thực hiện chuyển đổi số có thể kể đến như: trí tuệ nhân tạo (AI), dữ liệu lớn (Big Data), công nghệ chuỗi khối (blockchain) và Internet vạn vậ</w:t>
      </w:r>
      <w:r w:rsidR="00D2274C">
        <w:rPr>
          <w:rFonts w:ascii="Times New Roman" w:hAnsi="Times New Roman" w:cs="Times New Roman"/>
          <w:lang w:val="vi-VN"/>
        </w:rPr>
        <w:t>t (IoT)</w:t>
      </w:r>
      <w:r w:rsidRPr="00136211">
        <w:rPr>
          <w:rFonts w:ascii="Times New Roman" w:hAnsi="Times New Roman" w:cs="Times New Roman"/>
          <w:lang w:val="vi-VN"/>
        </w:rPr>
        <w:fldChar w:fldCharType="begin"/>
      </w:r>
      <w:r w:rsidR="00D2274C">
        <w:rPr>
          <w:rFonts w:ascii="Times New Roman" w:hAnsi="Times New Roman" w:cs="Times New Roman"/>
          <w:lang w:val="vi-VN"/>
        </w:rPr>
        <w:instrText xml:space="preserve"> ADDIN ZOTERO_ITEM CSL_CITATION {"citationID":"AkIG6Iu1","properties":{"formattedCitation":"\\super 13,14\\nosupersub{}","plainCitation":"13,14","noteIndex":0},"citationItems":[{"id":928,"uris":["http://zotero.org/users/local/1km6A5n5/items/C7NHS6WR"],"itemData":{"id":928,"type":"article-journal","container-title":"Migration Letters","ISSN":"1741-8992","issue":"S2","language":"en","page":"372-384","source":"migrationletters.com","title":"Assessing the Impact of Digital Transformation on Risk Management in Vietnam's Joint-Stock Commercial Banks","volume":"21","author":[{"family":"Hoai","given":"Pham Thi Thu"},{"family":"Vu","given":"Nguyen Thanh"}],"issued":{"date-parts":[["2024",1,7]]}}},{"id":835,"uris":["http://zotero.org/users/local/1km6A5n5/items/N52WC7F8"],"itemData":{"id":835,"type":"article-journal","abstract":"The development of financial technology has promoted the innovation and digital transformation of commercial banks. Through digital transformation, commercial banks can improve bank efficiency and operational capabilities. Through empirical analysis, this study explored the relationship between digital bank transformation and commercial bank operating capabilities and how COVID-19, bank categories, and enterprise life cycles affect the relationship between digital bank transformation and commercial bank operating capabilities. This study selected data from China’s commercial banks from 2011 to 2021 and used the regression method of fixed effects to conduct an empirical analysis. The research results show that the digital transformation of banks has improved the operational capabilities of commercial banks. Further analysis showed that the emergence of COVID-19 has negatively affected their relationship. At the same time, compared with rural commercial banks and commercial banks in the recession and phase-out periods, non-rural commercial banks and commercial banks in the growth and maturity stages play a more vital moderating role in the impact of the digital transformation of banks on the financial performance of commercial banks. The main research object of this study is Chinese commercial banks, and this study examines the results of banks’ digital transformation and enriches the research on digital transformation. At the same time, this study is helpful to investors who like investment banks and has good practical significance.","container-title":"Sustainability","DOI":"10.3390/su15118783","ISSN":"2071-1050","issue":"11","language":"en","license":"http://creativecommons.org/licenses/by/3.0/","note":"number: 11\npublisher: Multidisciplinary Digital Publishing Institute","page":"8783","source":"www.mdpi.com","title":"COVID-19, Digital Transformation of Banks, and Operational Capabilities of Commercial Banks","volume":"15","author":[{"family":"Zhu","given":"Yongjie"},{"family":"Jin","given":"Shanyue"}],"issued":{"date-parts":[["2023",1]]}}}],"schema":"https://github.com/citation-style-language/schema/raw/master/csl-citation.json"} </w:instrText>
      </w:r>
      <w:r w:rsidRPr="00136211">
        <w:rPr>
          <w:rFonts w:ascii="Times New Roman" w:hAnsi="Times New Roman" w:cs="Times New Roman"/>
          <w:lang w:val="vi-VN"/>
        </w:rPr>
        <w:fldChar w:fldCharType="separate"/>
      </w:r>
      <w:r w:rsidR="00D2274C" w:rsidRPr="00BE4B8E">
        <w:rPr>
          <w:rFonts w:ascii="Times New Roman" w:hAnsi="Times New Roman" w:cs="Times New Roman"/>
          <w:szCs w:val="24"/>
          <w:vertAlign w:val="superscript"/>
          <w:lang w:val="vi-VN"/>
        </w:rPr>
        <w:t>13,14</w:t>
      </w:r>
      <w:r w:rsidRPr="00136211">
        <w:rPr>
          <w:rFonts w:ascii="Times New Roman" w:hAnsi="Times New Roman" w:cs="Times New Roman"/>
          <w:lang w:val="vi-VN"/>
        </w:rPr>
        <w:fldChar w:fldCharType="end"/>
      </w:r>
      <w:r w:rsidRPr="00136211">
        <w:rPr>
          <w:rFonts w:ascii="Times New Roman" w:hAnsi="Times New Roman" w:cs="Times New Roman"/>
          <w:lang w:val="vi-VN"/>
        </w:rPr>
        <w:t>. Quá trình chuyển đổi số trong ngân hàng diễn ra nhanh hay chậm có thể bị ảnh hưởng bởi các yếu tố như: vai trò của nhà quản lý, văn hóa tổ chức, sự phát triển nhanh chóng của các công nghệ số, kỹ năng chuyển đổi số của nhân viên, chiến lược số hóa và mục tiêu đáp ứng tối đa nhu cầu khách hàng củ</w:t>
      </w:r>
      <w:r w:rsidR="00D2274C">
        <w:rPr>
          <w:rFonts w:ascii="Times New Roman" w:hAnsi="Times New Roman" w:cs="Times New Roman"/>
          <w:lang w:val="vi-VN"/>
        </w:rPr>
        <w:t>a ngân hàng</w:t>
      </w:r>
      <w:r w:rsidRPr="00136211">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{"citationID":"spI5G5pA","properties":{"formattedCitation":"\\super 15,16\\nosupersub{}","plainCitation":"15,16","noteIndex":0},"citationItems":[{"id":930,"uris":["http://zotero.org/users/local/1km6A5n5/items/2W8F8YTL"],"itemData":{"id":930,"type":"article-journal","abstract":"The digitalisation of banks is seen as the omnipresent challenge which the banking industry is currently facing. In this digital change process, banks are facing disruptive innovation that requires adaptation of almost all cooperative processes. Digital transformation in the financial industry is associated with obstacles that seem to hinder smooth implementation of digital approaches. This issue has not been adequately addressed in the current academic literature. The main purpose of this qualitative exploratory study is to identify the main perceived obstacles to digital transformation in both the private and commercial banking sectors from a managerial point of view and to analyse them accordingly. The methodology is based on a methodological approach using a combination of contextual interviews with German board members of banks, inductive content analysis, and the exploration of best-practice approaches. The findings revealed that elements of strategy and management, technology and regulation, customers, and employees receive a high level of attention within the digital transformation. The other main barriers can be found in the areas of market knowledge and products, employee and customer participation, and public benefit. Each main barrier is characterised by several sub-barriers of varying importance for the digital transformation of banks and is described in detail.","container-title":"Sustainability","DOI":"10.3390/su13042032","ISSN":"2071-1050","issue":"4","language":"en","license":"http://creativecommons.org/licenses/by/3.0/","note":"number: 4\npublisher: Multidisciplinary Digital Publishing Institute","page":"2032","source":"www.mdpi.com","title":"Digital Transformation in Banking: A Managerial Perspective on Barriers to Change","title-short":"Digital Transformation in Banking","volume":"13","author":[{"family":"Diener","given":"Florian"},{"family":"Špaček","given":"Miroslav"}],"issued":{"date-parts":[["2021",1]]}}},{"id":932,"uris":["http://zotero.org/users/local/1km6A5n5/items/QBUQG2PK"],"itemData":{"id":932,"type":"article-journal","abstract":"Extant literature has increased our understanding of specific aspects of digital transformation, however we lack a comprehensive portrait of its nature and implications. Through a review of 282 works, we inductively build a framework of digital transformation articulated across eight building blocks. Our framework foregrounds digital transformation as a process where digital technologies create disruptions triggering strategic responses from organizations that seek to alter their value creation paths while managing the structural changes and organizational barriers that affect the positive and negative outcomes of this process. Building on this framework, we elaborate a research agenda that proposes [1] examining the role of dynamic capabilities, and [2] accounting for ethical issues as important avenues for future strategic IS research on digital transformation.","collection-title":"SI: Review issue","container-title":"The Journal of Strategic Information Systems","DOI":"10.1016/j.jsis.2019.01.003","ISSN":"0963-8687","issue":"2","journalAbbreviation":"The Journal of Strategic Information Systems","page":"118-144","source":"ScienceDirect","title":"Understanding digital transformation: A review and a research agenda","title-short":"Understanding digital transformation","volume":"28","author":[{"family":"Vial","given":"Gregory"}],"issued":{"date-parts":[["2019",6,1]]}}}],"schema":"https://github.com/citation-style-language/schema/raw/master/csl-citation.json"} </w:instrText>
      </w:r>
      <w:r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15,16</w:t>
      </w:r>
      <w:r w:rsidRPr="00136211">
        <w:rPr>
          <w:rFonts w:ascii="Times New Roman" w:hAnsi="Times New Roman" w:cs="Times New Roman"/>
        </w:rPr>
        <w:fldChar w:fldCharType="end"/>
      </w:r>
      <w:r w:rsidRPr="00BE4B8E">
        <w:rPr>
          <w:rFonts w:ascii="Times New Roman" w:hAnsi="Times New Roman" w:cs="Times New Roman"/>
          <w:lang w:val="vi-VN"/>
        </w:rPr>
        <w:t xml:space="preserve">. </w:t>
      </w:r>
    </w:p>
    <w:p w14:paraId="3C5E9332" w14:textId="7D99E44D" w:rsidR="00136211" w:rsidRDefault="00136211" w:rsidP="00136211">
      <w:pPr>
        <w:spacing w:before="120" w:after="120" w:line="240" w:lineRule="auto"/>
        <w:ind w:firstLine="360"/>
        <w:jc w:val="both"/>
        <w:rPr>
          <w:rFonts w:ascii="Times New Roman" w:hAnsi="Times New Roman" w:cs="Times New Roman"/>
          <w:lang w:val="vi-VN"/>
        </w:rPr>
      </w:pPr>
      <w:r w:rsidRPr="00136211">
        <w:rPr>
          <w:rFonts w:ascii="Times New Roman" w:hAnsi="Times New Roman" w:cs="Times New Roman"/>
          <w:lang w:val="vi-VN"/>
        </w:rPr>
        <w:lastRenderedPageBreak/>
        <w:t>Khi các ngân hàng thực hiện quá trình chuyển đổi số sẽ giúp cho các ngân hàng này cải thiện chất lượng dịch vụ và nâng cao hiệu quả hoạt động</w:t>
      </w:r>
      <w:r w:rsidRPr="00136211">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{"citationID":"96U9YTkw","properties":{"formattedCitation":"\\super 2\\nosupersub{}","plainCitation":"2","noteIndex":0},"citationItems":[{"id":678,"uris":["http://zotero.org/users/local/1km6A5n5/items/37YFZAFM"],"itemData":{"id":678,"type":"article-journal","abstract":"Banks focus on digital transformation to improve their overall efficiency and reduce operational costs. In this study, we argue that banks focusing on diversification might not benefit from digital transformation in context of stability. Precisely, this study explores the impact of digital transformation on banks’ stability while considering diversification as an important factor. Overall, the results suggest that investment in technology and increased diversification makes banks riskier and more fragile. More importantly, we report digital transformation and the diversification to be substitutes in impacting the stability. In other words, we show digital transformation is beneficial for banks with low-income diversification. The reported findings have implications.","container-title":"Economic Analysis and Policy","DOI":"10.1016/j.eap.2023.03.004","ISSN":"0313-5926","journalAbbreviation":"Economic Analysis and Policy","page":"122-132","source":"ScienceDirect","title":"Digital transformation, diversification and stability: What do we know about banks?","title-short":"Digital transformation, diversification and stability","volume":"78","author":[{"family":"Khattak","given":"Mudeer Ahmed"},{"family":"Ali","given":"Mohsin"},{"family":"Azmi","given":"Wajahat"},{"family":"Rizvi","given":"Syed Aun R."}],"issued":{"date-parts":[["2023",6,1]]}}}],"schema":"https://github.com/citation-style-language/schema/raw/master/csl-citation.json"} </w:instrText>
      </w:r>
      <w:r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2</w:t>
      </w:r>
      <w:r w:rsidRPr="00136211">
        <w:rPr>
          <w:rFonts w:ascii="Times New Roman" w:hAnsi="Times New Roman" w:cs="Times New Roman"/>
        </w:rPr>
        <w:fldChar w:fldCharType="end"/>
      </w:r>
      <w:r w:rsidRPr="00136211">
        <w:rPr>
          <w:rFonts w:ascii="Times New Roman" w:hAnsi="Times New Roman" w:cs="Times New Roman"/>
          <w:lang w:val="vi-VN"/>
        </w:rPr>
        <w:t xml:space="preserve">. </w:t>
      </w:r>
      <w:r w:rsidRPr="00F50E01">
        <w:rPr>
          <w:rFonts w:ascii="Times New Roman" w:hAnsi="Times New Roman" w:cs="Times New Roman"/>
          <w:lang w:val="vi-VN"/>
        </w:rPr>
        <w:t>Đồng thời, chuyển đổi số cũng giúp thay đổi đáng kể cách các ngân hàng tương tác với khách hàng và quản lý các hoạt động của mình trong đó có việc quản lý hành vi chấp nhận rủ</w:t>
      </w:r>
      <w:r w:rsidR="00D2274C">
        <w:rPr>
          <w:rFonts w:ascii="Times New Roman" w:hAnsi="Times New Roman" w:cs="Times New Roman"/>
          <w:lang w:val="vi-VN"/>
        </w:rPr>
        <w:t>i ro</w:t>
      </w:r>
      <w:r w:rsidRPr="00136211">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{"citationID":"wUzaafqi","properties":{"formattedCitation":"\\super 16\\nosupersub{}","plainCitation":"16","noteIndex":0},"citationItems":[{"id":932,"uris":["http://zotero.org/users/local/1km6A5n5/items/QBUQG2PK"],"itemData":{"id":932,"type":"article-journal","abstract":"Extant literature has increased our understanding of specific aspects of digital transformation, however we lack a comprehensive portrait of its nature and implications. Through a review of 282 works, we inductively build a framework of digital transformation articulated across eight building blocks. Our framework foregrounds digital transformation as a process where digital technologies create disruptions triggering strategic responses from organizations that seek to alter their value creation paths while managing the structural changes and organizational barriers that affect the positive and negative outcomes of this process. Building on this framework, we elaborate a research agenda that proposes [1] examining the role of dynamic capabilities, and [2] accounting for ethical issues as important avenues for future strategic IS research on digital transformation.","collection-title":"SI: Review issue","container-title":"The Journal of Strategic Information Systems","DOI":"10.1016/j.jsis.2019.01.003","ISSN":"0963-8687","issue":"2","journalAbbreviation":"The Journal of Strategic Information Systems","page":"118-144","source":"ScienceDirect","title":"Understanding digital transformation: A review and a research agenda","title-short":"Understanding digital transformation","volume":"28","author":[{"family":"Vial","given":"Gregory"}],"issued":{"date-parts":[["2019",6,1]]}}}],"schema":"https://github.com/citation-style-language/schema/raw/master/csl-citation.json"} </w:instrText>
      </w:r>
      <w:r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16</w:t>
      </w:r>
      <w:r w:rsidRPr="00136211">
        <w:rPr>
          <w:rFonts w:ascii="Times New Roman" w:hAnsi="Times New Roman" w:cs="Times New Roman"/>
        </w:rPr>
        <w:fldChar w:fldCharType="end"/>
      </w:r>
      <w:r w:rsidRPr="00F50E01">
        <w:rPr>
          <w:rFonts w:ascii="Times New Roman" w:hAnsi="Times New Roman" w:cs="Times New Roman"/>
          <w:lang w:val="vi-VN"/>
        </w:rPr>
        <w:t xml:space="preserve">. </w:t>
      </w:r>
      <w:r w:rsidR="00D51656">
        <w:rPr>
          <w:rFonts w:ascii="Times New Roman" w:hAnsi="Times New Roman" w:cs="Times New Roman"/>
          <w:lang w:val="vi-VN"/>
        </w:rPr>
        <w:t>H</w:t>
      </w:r>
      <w:r w:rsidRPr="00F50E01">
        <w:rPr>
          <w:rFonts w:ascii="Times New Roman" w:hAnsi="Times New Roman" w:cs="Times New Roman"/>
          <w:lang w:val="vi-VN"/>
        </w:rPr>
        <w:t>ành vi chấp nhận rủi ro của ngân hàng có thể được định nghĩa là việc các ngân hàng chủ động chấp nhận rủi ro nhằm đạt được lợi nhuận cao hơn</w:t>
      </w:r>
      <w:r w:rsidR="000F1C9A">
        <w:rPr>
          <w:rFonts w:ascii="Times New Roman" w:hAnsi="Times New Roman" w:cs="Times New Roman"/>
          <w:lang w:val="vi-VN"/>
        </w:rPr>
        <w:fldChar w:fldCharType="begin"/>
      </w:r>
      <w:r w:rsidR="000F1C9A">
        <w:rPr>
          <w:rFonts w:ascii="Times New Roman" w:hAnsi="Times New Roman" w:cs="Times New Roman"/>
          <w:lang w:val="vi-VN"/>
        </w:rPr>
        <w:instrText xml:space="preserve"> ADDIN ZOTERO_ITEM CSL_CITATION {"citationID":"RHc7IKPE","properties":{"formattedCitation":"\\super 9\\nosupersub{}","plainCitation":"9","noteIndex":0},"citationItems":[{"id":670,"uris":["http://zotero.org/users/local/1km6A5n5/items/QQPKQ5GM"],"itemData":{"id":670,"type":"article-journal","abstract":"&lt;p&gt;Fintech risks commercial banks in three ways, particularly operational efficiency, financial innovation, and risk management. Based on the data of 37 Chinese-listed commercial banks from 2011 to 2020, the study empirically analyzes the impact of fintech on bank risk-taking, and the intermediary effects of the three channels, such as operational efficiency, financial innovation, and risk management. The results show that fintech can effectively reduce the risk of banks. The results of heterogeneity analysis revealed that fintech strongly affects the risk-taking of state-owned banks but not obviously for rural commercial banks. Financial efficiency, financial innovation, and risk management indirectly affect the risk-taking of banks that contributed 8.51, 7.18, and 5.77%, respectively. We also constructed the commercial bank risk-warning index. Based on the quarterly data of banks from 2011 to 2020, we empirically tested the early warning effect of the bank risk-warning index. The results showed that when the signal month is set to 12 months, the bank risk-warning index can have a warning effect in this period.&lt;/p&gt;","container-title":"Frontiers in Psychology","DOI":"10.3389/fpsyg.2022.934053","ISSN":"1664-1078","journalAbbreviation":"Front. Psychol.","language":"English","note":"publisher: Frontiers","source":"Frontiers","title":"Fintech, Bank Risk-Taking, and Risk-Warning for Commercial Banks in the Era of Digital Technology","URL":"https://www.frontiersin.org/journals/psychology/articles/10.3389/fpsyg.2022.934053/full","volume":"13","author":[{"family":"Li","given":"Gang"},{"family":"Elahi","given":"Ehsan"},{"family":"Zhao","given":"Liangliang"}],"accessed":{"date-parts":[["2024",10,30]]},"issued":{"date-parts":[["2022",7,13]]}}}],"schema":"https://github.com/citation-style-language/schema/raw/master/csl-citation.json"} </w:instrText>
      </w:r>
      <w:r w:rsidR="000F1C9A">
        <w:rPr>
          <w:rFonts w:ascii="Times New Roman" w:hAnsi="Times New Roman" w:cs="Times New Roman"/>
          <w:lang w:val="vi-VN"/>
        </w:rPr>
        <w:fldChar w:fldCharType="separate"/>
      </w:r>
      <w:r w:rsidR="000F1C9A" w:rsidRPr="00BE4B8E">
        <w:rPr>
          <w:rFonts w:ascii="Times New Roman" w:hAnsi="Times New Roman" w:cs="Times New Roman"/>
          <w:szCs w:val="24"/>
          <w:vertAlign w:val="superscript"/>
          <w:lang w:val="vi-VN"/>
        </w:rPr>
        <w:t>9</w:t>
      </w:r>
      <w:r w:rsidR="000F1C9A">
        <w:rPr>
          <w:rFonts w:ascii="Times New Roman" w:hAnsi="Times New Roman" w:cs="Times New Roman"/>
          <w:lang w:val="vi-VN"/>
        </w:rPr>
        <w:fldChar w:fldCharType="end"/>
      </w:r>
      <w:r w:rsidRPr="00F50E01">
        <w:rPr>
          <w:rFonts w:ascii="Times New Roman" w:hAnsi="Times New Roman" w:cs="Times New Roman"/>
          <w:lang w:val="vi-VN"/>
        </w:rPr>
        <w:t xml:space="preserve">. Theo nghiên cứu của </w:t>
      </w:r>
      <w:r w:rsidR="00D51656" w:rsidRPr="00F50E01">
        <w:rPr>
          <w:rFonts w:ascii="Times New Roman" w:hAnsi="Times New Roman" w:cs="Times New Roman"/>
          <w:lang w:val="vi-VN"/>
        </w:rPr>
        <w:t>Hoque</w:t>
      </w:r>
      <w:r w:rsidR="00D51656" w:rsidRPr="00BE4B8E">
        <w:rPr>
          <w:rFonts w:ascii="Times New Roman" w:hAnsi="Times New Roman" w:cs="Times New Roman"/>
          <w:lang w:val="vi-VN"/>
        </w:rPr>
        <w:t xml:space="preserve"> </w:t>
      </w:r>
      <w:r w:rsidR="00D51656">
        <w:rPr>
          <w:rFonts w:ascii="Times New Roman" w:hAnsi="Times New Roman" w:cs="Times New Roman"/>
          <w:lang w:val="vi-VN"/>
        </w:rPr>
        <w:t>và cộng sự</w:t>
      </w:r>
      <w:r w:rsidR="000F1C9A">
        <w:rPr>
          <w:rFonts w:ascii="Times New Roman" w:hAnsi="Times New Roman" w:cs="Times New Roman"/>
          <w:lang w:val="vi-VN"/>
        </w:rPr>
        <w:fldChar w:fldCharType="begin"/>
      </w:r>
      <w:r w:rsidR="000F1C9A">
        <w:rPr>
          <w:rFonts w:ascii="Times New Roman" w:hAnsi="Times New Roman" w:cs="Times New Roman"/>
          <w:lang w:val="vi-VN"/>
        </w:rPr>
        <w:instrText xml:space="preserve"> ADDIN ZOTERO_ITEM CSL_CITATION {"citationID":"7awfOkav","properties":{"formattedCitation":"\\super 8\\nosupersub{}","plainCitation":"8","noteIndex":0},"citationItems":[{"id":674,"uris":["http://zotero.org/users/local/1km6A5n5/items/TY34FYQD"],"itemData":{"id":674,"type":"article-journal","abstract":"This study examines whether digital transformation reduces banks' risk-taking in the Vietnamese commercial banking sector. Our research sheds light on how banks' digital transformation affects their risks, specifically regarding credit, insolvency, and liquidity. The study utilizes the readiness index for the Vietnamese commercial banks' Information and Communication Technology (ICT) Index, which the Vietnamese government has officially constructed. The OLS, PCSE, and FGLS models are employed to analyze how digital transformation reduces banks' risk-taking based on the longitudinal data from 26 commercial banks in Vietnam from 2013 to 2022. The results indicate that digital transformation significantly reduces credit risk by improving risk management capacity and reducing asymmetric information. It also helps mitigate insolvency risk by lowering costs and increasing profitability. However, digitalization does not significantly impact liquidity risk as digital channels leverage banks' lending and deposit activities. This research provides empirical evidence on the role of bank digitalization in risk-taking and concludes with recommendations for developing bank digital transformation in Vietnam and other developing countries, including suggestions for further research in this area.","container-title":"Journal of Open Innovation: Technology, Market, and Complexity","DOI":"10.1016/j.joitmc.2024.100260","ISSN":"2199-8531","issue":"2","journalAbbreviation":"Journal of Open Innovation: Technology, Market, and Complexity","page":"100260","source":"ScienceDirect","title":"Does digital transformation reduce bank's risk-taking? evidence from vietnamese commercial banks","title-short":"Does digital transformation reduce bank's risk-taking?","volume":"10","author":[{"family":"Hoque","given":"Ariful"},{"family":"Le","given":"Duong Thuy"},{"family":"Le","given":"Thi"}],"issued":{"date-parts":[["2024",6,1]]}}}],"schema":"https://github.com/citation-style-language/schema/raw/master/csl-citation.json"} </w:instrText>
      </w:r>
      <w:r w:rsidR="000F1C9A">
        <w:rPr>
          <w:rFonts w:ascii="Times New Roman" w:hAnsi="Times New Roman" w:cs="Times New Roman"/>
          <w:lang w:val="vi-VN"/>
        </w:rPr>
        <w:fldChar w:fldCharType="separate"/>
      </w:r>
      <w:r w:rsidR="000F1C9A" w:rsidRPr="00BE4B8E">
        <w:rPr>
          <w:rFonts w:ascii="Times New Roman" w:hAnsi="Times New Roman" w:cs="Times New Roman"/>
          <w:szCs w:val="24"/>
          <w:vertAlign w:val="superscript"/>
          <w:lang w:val="vi-VN"/>
        </w:rPr>
        <w:t>8</w:t>
      </w:r>
      <w:r w:rsidR="000F1C9A">
        <w:rPr>
          <w:rFonts w:ascii="Times New Roman" w:hAnsi="Times New Roman" w:cs="Times New Roman"/>
          <w:lang w:val="vi-VN"/>
        </w:rPr>
        <w:fldChar w:fldCharType="end"/>
      </w:r>
      <w:r w:rsidRPr="00F50E01">
        <w:rPr>
          <w:rFonts w:ascii="Times New Roman" w:hAnsi="Times New Roman" w:cs="Times New Roman"/>
          <w:lang w:val="vi-VN"/>
        </w:rPr>
        <w:t>, các loại rủi ro chính mà ngân hàng phải đối mặt bao gồm: rủi ro tín dụng, rủi ro thanh khoản và rủi ro phá sản. Rủi ro tín dụng phát sinh khi người vay không thể thực hiện nghĩa vụ nợ đúng hạn, dẫn đến tổn thất tài chính cho ngân hàng. Rủi ro thanh khoản xảy ra khi ngân hàng không thể đáp ứng yêu cầu rút tiền ngắn hạn của khách hàng hoặc không có khả năng cung cấp các khoản vay ngắn hạn. Rủi ro phá sản phát sinh khi ngân hàng không có khả năng chi trả các khoản nợ dài hạn hoặc xảy ra sự suy giảm đáng kể về giá trị tài sản.</w:t>
      </w:r>
    </w:p>
    <w:p w14:paraId="3EEB7AC2" w14:textId="5882DC47" w:rsidR="00136211" w:rsidRDefault="00136211" w:rsidP="00136211">
      <w:pPr>
        <w:spacing w:before="120" w:after="120" w:line="240" w:lineRule="auto"/>
        <w:ind w:firstLine="360"/>
        <w:jc w:val="both"/>
        <w:rPr>
          <w:rFonts w:ascii="Times New Roman" w:hAnsi="Times New Roman" w:cs="Times New Roman"/>
          <w:lang w:val="vi-VN"/>
        </w:rPr>
      </w:pPr>
      <w:r w:rsidRPr="00136211">
        <w:rPr>
          <w:rFonts w:ascii="Times New Roman" w:hAnsi="Times New Roman" w:cs="Times New Roman"/>
          <w:lang w:val="vi-VN"/>
        </w:rPr>
        <w:t xml:space="preserve">Cho đến nay, đã có nhiều nghiên cứu được thực hiện nhằm đánh giá tác động của chuyển đổi số đến hành vi chấp nhận rủi ro của ngân hàng và kết quả của các nghiên cứu này không đồng nhất. </w:t>
      </w:r>
      <w:r w:rsidRPr="00F50E01">
        <w:rPr>
          <w:rFonts w:ascii="Times New Roman" w:hAnsi="Times New Roman" w:cs="Times New Roman"/>
          <w:lang w:val="vi-VN"/>
        </w:rPr>
        <w:t xml:space="preserve">Một số nghiên cứu cho rằng </w:t>
      </w:r>
      <w:r w:rsidRPr="00136211">
        <w:rPr>
          <w:rFonts w:ascii="Times New Roman" w:hAnsi="Times New Roman" w:cs="Times New Roman"/>
          <w:lang w:val="vi-VN"/>
        </w:rPr>
        <w:t>chuyển đổi số</w:t>
      </w:r>
      <w:r w:rsidRPr="00F50E01">
        <w:rPr>
          <w:rFonts w:ascii="Times New Roman" w:hAnsi="Times New Roman" w:cs="Times New Roman"/>
          <w:lang w:val="vi-VN"/>
        </w:rPr>
        <w:t xml:space="preserve"> đã thay đổi mô hình kinh doanh của ngân hàng và gia tăng mức độ chấp nhận rủi ro của </w:t>
      </w:r>
      <w:r w:rsidRPr="00136211">
        <w:rPr>
          <w:rFonts w:ascii="Times New Roman" w:hAnsi="Times New Roman" w:cs="Times New Roman"/>
          <w:lang w:val="vi-VN"/>
        </w:rPr>
        <w:t>các ngân hàng này</w:t>
      </w:r>
      <w:r w:rsidRPr="00136211">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{"citationID":"2poQpr6k","properties":{"formattedCitation":"\\super 5\\nosupersub{}","plainCitation":"5","noteIndex":0},"citationItems":[{"id":800,"uris":["http://zotero.org/users/local/1km6A5n5/items/7JTYLPRT"],"itemData":{"id":800,"type":"article-journal","abstract":"No abstract is available for this item.","container-title":"China Finance and Economic Review","issue":"3","language":"en","note":"publisher: De Gruyter","page":"89-109","source":"ideas.repec.org","title":"The impact of internet finance on commercial banks’ risktaking: Theoretical interpretation and empirical test","title-short":"The impact of internet finance on commercial banks’ risktaking","volume":"5","author":[{"family":"Guo","given":"Pin"},{"family":"Shen","given":"Yue"}],"issued":{"date-parts":[["2016"]]}}}],"schema":"https://github.com/citation-style-language/schema/raw/master/csl-citation.json"} </w:instrText>
      </w:r>
      <w:r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5</w:t>
      </w:r>
      <w:r w:rsidRPr="00136211">
        <w:rPr>
          <w:rFonts w:ascii="Times New Roman" w:hAnsi="Times New Roman" w:cs="Times New Roman"/>
        </w:rPr>
        <w:fldChar w:fldCharType="end"/>
      </w:r>
      <w:r w:rsidRPr="00F50E01">
        <w:rPr>
          <w:rFonts w:ascii="Times New Roman" w:hAnsi="Times New Roman" w:cs="Times New Roman"/>
          <w:lang w:val="vi-VN"/>
        </w:rPr>
        <w:t xml:space="preserve">. </w:t>
      </w:r>
      <w:r w:rsidRPr="00136211">
        <w:rPr>
          <w:rFonts w:ascii="Times New Roman" w:hAnsi="Times New Roman" w:cs="Times New Roman"/>
          <w:lang w:val="vi-VN"/>
        </w:rPr>
        <w:t>Điều này có thể được giải thích là do s</w:t>
      </w:r>
      <w:r w:rsidRPr="00F50E01">
        <w:rPr>
          <w:rFonts w:ascii="Times New Roman" w:hAnsi="Times New Roman" w:cs="Times New Roman"/>
          <w:lang w:val="vi-VN"/>
        </w:rPr>
        <w:t xml:space="preserve">ự phát triển liên tục của </w:t>
      </w:r>
      <w:r w:rsidRPr="00136211">
        <w:rPr>
          <w:rFonts w:ascii="Times New Roman" w:hAnsi="Times New Roman" w:cs="Times New Roman"/>
          <w:lang w:val="vi-VN"/>
        </w:rPr>
        <w:t xml:space="preserve">các loại </w:t>
      </w:r>
      <w:r w:rsidRPr="00F50E01">
        <w:rPr>
          <w:rFonts w:ascii="Times New Roman" w:hAnsi="Times New Roman" w:cs="Times New Roman"/>
          <w:lang w:val="vi-VN"/>
        </w:rPr>
        <w:t>công nghệ số, đặc biệt là công nghệ tài chính, đã dẫn đến việc hình thành các mức lãi suất định hướng thị trường, từ đó thay đổi cấu trúc vốn của NHTM và làm cho chi phí nợ phải trả củ</w:t>
      </w:r>
      <w:r w:rsidR="000F1C9A">
        <w:rPr>
          <w:rFonts w:ascii="Times New Roman" w:hAnsi="Times New Roman" w:cs="Times New Roman"/>
          <w:lang w:val="vi-VN"/>
        </w:rPr>
        <w:t>a các NHTM tăng lên</w:t>
      </w:r>
      <w:r w:rsidRPr="00136211">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{"citationID":"13aEk8wl","properties":{"formattedCitation":"\\super 3\\nosupersub{}","plainCitation":"3","noteIndex":0},"citationItems":[{"id":668,"uris":["http://zotero.org/users/local/1km6A5n5/items/XUHT3V65"],"itemData":{"id":668,"type":"article-journal","abstract":"Nowadays, digital transformation has become an urgent strategic task for traditional commercial banks. Due to the lack of measurement of banks’ digital transformation, whether digital transformation could enhance the competitiveness of banks is still inconclusive. In this paper, we construct an index system to measure digital transformation of banks from three dimensions: strategy transformation, business transformation and management transformation. Using data from Chinese commercial banks, this paper measures the progress of digital transformation of banks in China. The empirical results show that digital transformation can improve bank performance, reduce the negative impact of new technology entrants, and promote the exit of offline channels.","container-title":"China Economic Quarterly International","DOI":"10.1016/j.ceqi.2023.03.002","ISSN":"2666-9331","issue":"1","journalAbbreviation":"China Economic Quarterly International","page":"35-45","source":"ScienceDirect","title":"Digital transformation of commercial banks in China: Measurement, progress and impact","title-short":"Digital transformation of commercial banks in China","volume":"3","author":[{"family":"Xie","given":"Xuanli"},{"family":"Wang","given":"Shihui"}],"issued":{"date-parts":[["2023",3,1]]}}}],"schema":"https://github.com/citation-style-language/schema/raw/master/csl-citation.json"} </w:instrText>
      </w:r>
      <w:r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3</w:t>
      </w:r>
      <w:r w:rsidRPr="00136211">
        <w:rPr>
          <w:rFonts w:ascii="Times New Roman" w:hAnsi="Times New Roman" w:cs="Times New Roman"/>
        </w:rPr>
        <w:fldChar w:fldCharType="end"/>
      </w:r>
      <w:r w:rsidRPr="00F50E01">
        <w:rPr>
          <w:rFonts w:ascii="Times New Roman" w:hAnsi="Times New Roman" w:cs="Times New Roman"/>
          <w:lang w:val="vi-VN"/>
        </w:rPr>
        <w:t>. Để đối phó với chi phí gia tăng, các ngân hàng thường đầu tư vào các dự án có rủi ro cao hơn nhưng mang lại lợi nhuận cao hơn.</w:t>
      </w:r>
      <w:r w:rsidRPr="00136211">
        <w:rPr>
          <w:rFonts w:ascii="Times New Roman" w:hAnsi="Times New Roman" w:cs="Times New Roman"/>
          <w:lang w:val="vi-VN"/>
        </w:rPr>
        <w:t xml:space="preserve"> Ngoài ra, chuyển đổi số còn tạo điều kiện tiếp cận dễ dàng hơn với các nguồn lực tài chính, vươn tới những khu vực mà các tổ chức tài chính truyền thống không thể tiếp cận, chẳng hạn như các khách hàng dưới tiêu chuẩn cho vay, doanh nghiệp nhỏ và siêu nhỏ</w:t>
      </w:r>
      <w:r w:rsidRPr="00136211">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{"citationID":"4bhSs32j","properties":{"formattedCitation":"\\super 17\\nosupersub{}","plainCitation":"17","noteIndex":0},"citationItems":[{"id":696,"uris":["http://zotero.org/users/local/1km6A5n5/items/D4NEQ779"],"itemData":{"id":696,"type":"article-journal","abstract":"Fintech has been playing an increasing role in shaping financial and banking landscapes. In this paper, we use account-level data from LendingClub and Y-14M data reported by U.S. banks with assets over $50 billion to examine whether the fintech lending platform could expand credit access to consumers. We find that LendingClub’s consumer lending activities have penetrated areas that may be underserved by traditional banks, such as in highly concentrated markets and areas that have fewer bank branches per capita. We also find that the portion of LendingClub loans increases in areas where the local economy is not performing well.","collection-title":"FinTech – Impact on Consumers, Banking and Regulatory Policy","container-title":"Journal of Economics and Business","DOI":"10.1016/j.jeconbus.2018.03.001","ISSN":"0148-6195","journalAbbreviation":"Journal of Economics and Business","page":"43-54","source":"ScienceDirect","title":"Do fintech lenders penetrate areas that are underserved by traditional banks?","volume":"100","author":[{"family":"Jagtiani","given":"Julapa"},{"family":"Lemieux","given":"Catharine"}],"issued":{"date-parts":[["2018",11,1]]}}}],"schema":"https://github.com/citation-style-language/schema/raw/master/csl-citation.json"} </w:instrText>
      </w:r>
      <w:r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17</w:t>
      </w:r>
      <w:r w:rsidRPr="00136211">
        <w:rPr>
          <w:rFonts w:ascii="Times New Roman" w:hAnsi="Times New Roman" w:cs="Times New Roman"/>
        </w:rPr>
        <w:fldChar w:fldCharType="end"/>
      </w:r>
      <w:r w:rsidRPr="00136211">
        <w:rPr>
          <w:rFonts w:ascii="Times New Roman" w:hAnsi="Times New Roman" w:cs="Times New Roman"/>
          <w:lang w:val="vi-VN"/>
        </w:rPr>
        <w:t>. Kết quả là một lượng vốn lớn được chuyển hướng sang các nền tảng trực tuyến, bỏ qua các tổ chức tài chính truyền thống như ngân hàng thương mại. Điều này ảnh hưởng đến các hoạt động cốt lõi tạo ra lợi nhuận của ngân hàng thương mại, đặc biệt là hoạt động</w:t>
      </w:r>
      <w:r w:rsidR="000F1C9A">
        <w:rPr>
          <w:rFonts w:ascii="Times New Roman" w:hAnsi="Times New Roman" w:cs="Times New Roman"/>
          <w:lang w:val="vi-VN"/>
        </w:rPr>
        <w:t xml:space="preserve"> cho vay</w:t>
      </w:r>
      <w:r w:rsidRPr="00136211">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{"citationID":"IPnv4lI7","properties":{"formattedCitation":"\\super 6\\nosupersub{}","plainCitation":"6","noteIndex":0},"citationItems":[{"id":781,"uris":["http://zotero.org/users/local/1km6A5n5/items/2BPM6R2Z"],"itemData":{"id":781,"type":"article-journal","abstract":"Debt is now a substantial aspect of family finances. Yet, research on how household debt is linked with child development has been limited. We use data from the National Longitudinal Survey of Youth 1979 cohort and hierarchical linear models to estimate associations of amounts and types of parental debt (home, education, auto, unsecured/ uncollateralized) with child socioemotional well-being. We find that unsecured debt is associated with growth in child behavior problems, whereas this is not the case for other forms of debt. Moreover, the association of unsecured debt with child behavior problems varies by child age and socioeconomic status, with younger children and children from less-advantaged families experiencing larger associations of unsecured debt with greater behavior problems.","container-title":"Demography","ISSN":"0070-3370","issue":"4","note":"publisher: [Population Association of America, Springer]","page":"1273-1301","source":"JSTOR","title":"Rising Household Debt and Children's Socioemotional Well-being Trajectories","volume":"56","author":[{"family":"Berger","given":"Lawrence M."},{"family":"Houle","given":"Jason N."}],"issued":{"date-parts":[["2019"]]}}}],"schema":"https://github.com/citation-style-language/schema/raw/master/csl-citation.json"} </w:instrText>
      </w:r>
      <w:r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6</w:t>
      </w:r>
      <w:r w:rsidRPr="00136211">
        <w:rPr>
          <w:rFonts w:ascii="Times New Roman" w:hAnsi="Times New Roman" w:cs="Times New Roman"/>
        </w:rPr>
        <w:fldChar w:fldCharType="end"/>
      </w:r>
      <w:r w:rsidRPr="00136211">
        <w:rPr>
          <w:rFonts w:ascii="Times New Roman" w:hAnsi="Times New Roman" w:cs="Times New Roman"/>
          <w:lang w:val="vi-VN"/>
        </w:rPr>
        <w:t>. Ngoài ra, các khoản thanh toán định kỳ như tiền điện, nước, gas, bảo hiểm và vốn được thanh toán qua ngân hàng, sẽ được thay thế bởi các tổ chức Fintech, việc này có thể làm ảnh hưởng đến doanh thu từ việc cung ứng các dịch vụ</w:t>
      </w:r>
      <w:r w:rsidR="000F1C9A">
        <w:rPr>
          <w:rFonts w:ascii="Times New Roman" w:hAnsi="Times New Roman" w:cs="Times New Roman"/>
          <w:lang w:val="vi-VN"/>
        </w:rPr>
        <w:t xml:space="preserve"> trên</w:t>
      </w:r>
      <w:r w:rsidRPr="00136211">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{"citationID":"O53TddNA","properties":{"formattedCitation":"\\super 18\\nosupersub{}","plainCitation":"18","noteIndex":0},"citationItems":[{"id":868,"uris":["http://zotero.org/users/local/1km6A5n5/items/2RBB3RV6"],"itemData":{"id":868,"type":"article-journal","abstract":"Banks are unique financial institutions in that they combine the production of liquid claims—that is, demand deposits—with loans. Though banks can replicate most of what FinTech firms can do, FinTech firms benefit from an uneven playing field in that they are less regulated than banks. The uneven playing field enables nonbank FinTech firms to challenge banks in specific product areas where success is not tied to what makes banks unique—namely, their deposit-gathering abilities and the potential for synergies with borrowers provided by deposits. And although banks’ responses to FinTech have also been hampered by their legacy IT systems and by internal frictions inherent in large diversified firms, FinTech's narrow product offerings and lack of established “franchises” appear to put clear limits on Fintech's ability to displace banks. Unlike Fintech, however, BigTech firms have some advantages that banks will find it harder to replicate, and so they present a much stronger challenge to established banks in two main areas: consumer finance and loans to small firms. And FinTech as well as BigTech are contributing to a trend in which banks are losing a comparative advantage that has derived from having more immediate access to information about parties seeking credit. The extent to which banks succeed in warding off such threats will depend on (1) their ability to make effective—and possibly even better—use of the same information technology now being used by its new competitors, and (2) their success in realizing economies of scale and scope that their nonbank competitors will find hard to match.","container-title":"Journal of Applied Corporate Finance","DOI":"10.1111/jacf.12378","ISSN":"1745-6622","issue":"4","language":"en","note":"_eprint: https://onlinelibrary.wiley.com/doi/pdf/10.1111/jacf.12378","page":"86-97","source":"Wiley Online Library","title":"FinTech, BigTech, and the Future of Banks","volume":"31","author":[{"family":"Stulz","given":"René M."}],"issued":{"date-parts":[["2019"]]}}}],"schema":"https://github.com/citation-style-language/schema/raw/master/csl-citation.json"} </w:instrText>
      </w:r>
      <w:r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18</w:t>
      </w:r>
      <w:r w:rsidRPr="00136211">
        <w:rPr>
          <w:rFonts w:ascii="Times New Roman" w:hAnsi="Times New Roman" w:cs="Times New Roman"/>
        </w:rPr>
        <w:fldChar w:fldCharType="end"/>
      </w:r>
      <w:r w:rsidRPr="00136211">
        <w:rPr>
          <w:rFonts w:ascii="Times New Roman" w:hAnsi="Times New Roman" w:cs="Times New Roman"/>
          <w:lang w:val="vi-VN"/>
        </w:rPr>
        <w:t>. Do đó, để bù đắp các khoản lợi nhuận sụt giảm này, các ngân hàng có thể tăng cường tham gia vào các hoạt động đầu tư rủi ro cao.</w:t>
      </w:r>
    </w:p>
    <w:p w14:paraId="2AF54D95" w14:textId="4E96799F" w:rsidR="00136211" w:rsidRDefault="00136211" w:rsidP="00136211">
      <w:pPr>
        <w:spacing w:before="120" w:after="120" w:line="240" w:lineRule="auto"/>
        <w:ind w:firstLine="360"/>
        <w:jc w:val="both"/>
        <w:rPr>
          <w:rFonts w:ascii="Times New Roman" w:hAnsi="Times New Roman" w:cs="Times New Roman"/>
          <w:lang w:val="vi-VN"/>
        </w:rPr>
      </w:pPr>
      <w:r w:rsidRPr="00136211">
        <w:rPr>
          <w:rFonts w:ascii="Times New Roman" w:hAnsi="Times New Roman" w:cs="Times New Roman"/>
          <w:lang w:val="vi-VN"/>
        </w:rPr>
        <w:t>Ngược lại với quan điểm trên, một số nghiên cứu khác đã chỉ ra rằng quá trình chuyển đổi số có thể làm giảm hành vi chấp nhận rủi ro của ngân hàng thương mại bằng cách cải thiện tình trạng bất cân xứng thông tin giữa khách hàng và ngân hàng, giảm chi phí giao dịch, nâng cao khả năng quản lý rủi ro tín dụng và tăng cường sự ổn định trong hoạt độ</w:t>
      </w:r>
      <w:r w:rsidR="000F1C9A">
        <w:rPr>
          <w:rFonts w:ascii="Times New Roman" w:hAnsi="Times New Roman" w:cs="Times New Roman"/>
          <w:lang w:val="vi-VN"/>
        </w:rPr>
        <w:t>ng</w:t>
      </w:r>
      <w:r w:rsidRPr="00136211">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{"citationID":"1S3PRv01","properties":{"formattedCitation":"\\super 7,8\\nosupersub{}","plainCitation":"7,8","noteIndex":0},"citationItems":[{"id":675,"uris":["http://zotero.org/users/local/1km6A5n5/items/954CTFVT"],"itemData":{"id":675,"type":"article-journal","abstract":"This article focuses on the relationship between Fintech and bank risk-taking behavior. Since Robo-Advisor is one of the mature applications of Fintech, we found that the development of Fintech will have a greater impact on small and medium-sized banks through the establishment of a Robo-Advisor model. This paper uses a benchmark regression model to analyze the municipal digital financial inclusion index compiled by Peking University and the annual report data of 155 small and medium-sized banks from 2011 to 2016. We found that the development of Fintech has significantly reduced bank risk-taking level. This result is still valid after the robustness test of replacing the bank’s risk-taking index and replacing the Fintech development index. We used the urban innovation index as an instrumental variable to deal with the endogenous problem, and obtained consistent estimation results. The test of the intermediary effect shows that the development of Fintech will affect the bank risk-taking through channels such as the bank’s internal interest margin, management capabilities, the bank’s external competition intensity, and residents’ saving willingness. Heterogeneity analysis shows the reduction effect of Fintech on bank risk-taking is more pronounced in banks in eastern and western regions in China, the large banks and the urban commercial banks.","container-title":"Risks","DOI":"10.3390/risks9050099","ISSN":"2227-9091","issue":"5","language":"en","license":"http://creativecommons.org/licenses/by/3.0/","note":"number: 5\npublisher: Multidisciplinary Digital Publishing Institute","page":"99","source":"www.mdpi.com","title":"Impact of Fintech on Bank Risk-Taking: Evidence from China","title-short":"Impact of Fintech on Bank Risk-Taking","volume":"9","author":[{"family":"Deng","given":"Liurui"},{"family":"Lv","given":"Yongbin"},{"family":"Liu","given":"Ye"},{"family":"Zhao","given":"Yiwen"}],"issued":{"date-parts":[["2021",5]]}}},{"id":674,"uris":["http://zotero.org/users/local/1km6A5n5/items/TY34FYQD"],"itemData":{"id":674,"type":"article-journal","abstract":"This study examines whether digital transformation reduces banks' risk-taking in the Vietnamese commercial banking sector. Our research sheds light on how banks' digital transformation affects their risks, specifically regarding credit, insolvency, and liquidity. The study utilizes the readiness index for the Vietnamese commercial banks' Information and Communication Technology (ICT) Index, which the Vietnamese government has officially constructed. The OLS, PCSE, and FGLS models are employed to analyze how digital transformation reduces banks' risk-taking based on the longitudinal data from 26 commercial banks in Vietnam from 2013 to 2022. The results indicate that digital transformation significantly reduces credit risk by improving risk management capacity and reducing asymmetric information. It also helps mitigate insolvency risk by lowering costs and increasing profitability. However, digitalization does not significantly impact liquidity risk as digital channels leverage banks' lending and deposit activities. This research provides empirical evidence on the role of bank digitalization in risk-taking and concludes with recommendations for developing bank digital transformation in Vietnam and other developing countries, including suggestions for further research in this area.","container-title":"Journal of Open Innovation: Technology, Market, and Complexity","DOI":"10.1016/j.joitmc.2024.100260","ISSN":"2199-8531","issue":"2","journalAbbreviation":"Journal of Open Innovation: Technology, Market, and Complexity","page":"100260","source":"ScienceDirect","title":"Does digital transformation reduce bank's risk-taking? evidence from vietnamese commercial banks","title-short":"Does digital transformation reduce bank's risk-taking?","volume":"10","author":[{"family":"Hoque","given":"Ariful"},{"family":"Le","given":"Duong Thuy"},{"family":"Le","given":"Thi"}],"issued":{"date-parts":[["2024",6,1]]}}}],"schema":"https://github.com/citation-style-language/schema/raw/master/csl-citation.json"} </w:instrText>
      </w:r>
      <w:r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7,8</w:t>
      </w:r>
      <w:r w:rsidRPr="00136211">
        <w:rPr>
          <w:rFonts w:ascii="Times New Roman" w:hAnsi="Times New Roman" w:cs="Times New Roman"/>
        </w:rPr>
        <w:fldChar w:fldCharType="end"/>
      </w:r>
      <w:r w:rsidRPr="00BE4B8E">
        <w:rPr>
          <w:rFonts w:ascii="Times New Roman" w:hAnsi="Times New Roman" w:cs="Times New Roman"/>
          <w:lang w:val="vi-VN"/>
        </w:rPr>
        <w:t xml:space="preserve">. Sự phát triển của công nghệ tài chính có thể giúp tiết kiệm hoặc thay thế các yếu tố sản xuất cơ bản như vốn, lao động và đất đai, từ đó giảm chi phí vận hành của ngân hàng thương mại. Kết quả là các ngân hàng buộc phải đổi mới mô hình kinh doanh, cung cấp các sản phẩm và dịch vụ trực tuyến, </w:t>
      </w:r>
      <w:r w:rsidRPr="00136211">
        <w:rPr>
          <w:rFonts w:ascii="Times New Roman" w:hAnsi="Times New Roman" w:cs="Times New Roman"/>
          <w:lang w:val="vi-VN"/>
        </w:rPr>
        <w:t>mở ra</w:t>
      </w:r>
      <w:r w:rsidRPr="00BE4B8E">
        <w:rPr>
          <w:rFonts w:ascii="Times New Roman" w:hAnsi="Times New Roman" w:cs="Times New Roman"/>
          <w:lang w:val="vi-VN"/>
        </w:rPr>
        <w:t xml:space="preserve"> thị trường mới, thu hút </w:t>
      </w:r>
      <w:r w:rsidRPr="00136211">
        <w:rPr>
          <w:rFonts w:ascii="Times New Roman" w:hAnsi="Times New Roman" w:cs="Times New Roman"/>
          <w:lang w:val="vi-VN"/>
        </w:rPr>
        <w:t xml:space="preserve">thêm </w:t>
      </w:r>
      <w:r w:rsidRPr="00BE4B8E">
        <w:rPr>
          <w:rFonts w:ascii="Times New Roman" w:hAnsi="Times New Roman" w:cs="Times New Roman"/>
          <w:lang w:val="vi-VN"/>
        </w:rPr>
        <w:t>khách hàng và nâng cao hiệu quả kinh doanh. Khi hiệu quả hoạt động được cải thiện, các ngân hàng có xu hướng giảm hành vi chấp nhận rủ</w:t>
      </w:r>
      <w:r w:rsidR="000F1C9A" w:rsidRPr="00BE4B8E">
        <w:rPr>
          <w:rFonts w:ascii="Times New Roman" w:hAnsi="Times New Roman" w:cs="Times New Roman"/>
          <w:lang w:val="vi-VN"/>
        </w:rPr>
        <w:t>i ro cao</w:t>
      </w:r>
      <w:r w:rsidRPr="00136211">
        <w:rPr>
          <w:rFonts w:ascii="Times New Roman" w:hAnsi="Times New Roman" w:cs="Times New Roman"/>
        </w:rPr>
        <w:fldChar w:fldCharType="begin"/>
      </w:r>
      <w:r w:rsidR="00D2274C" w:rsidRPr="00BE4B8E">
        <w:rPr>
          <w:rFonts w:ascii="Times New Roman" w:hAnsi="Times New Roman" w:cs="Times New Roman"/>
          <w:lang w:val="vi-VN"/>
        </w:rPr>
        <w:instrText xml:space="preserve"> ADDIN ZOTERO_ITEM CSL_CITATION {"citationID":"8TivMbwD","properties":{"formattedCitation":"\\super 9\\nosupersub{}","plainCitation":"9","noteIndex":0},"citationItems":[{"id":670,"uris":["http://zotero.org/users/local/1km6A5n5/items/QQPKQ5GM"],"itemData":{"id":670,"type":"article-journal","abstract":"&lt;p&gt;Fintech risks commercial banks in three ways, particularly operational efficiency, financial innovation, and risk management. Based on the data of 37 Chinese-listed commercial banks from 2011 to 2020, the study empirically analyzes the impact of fintech on bank risk-taking, and the intermediary effects of the three channels, such as operational efficiency, financial innovation, and risk management. The results show that fintech can effectively reduce the risk of banks. The results of heterogeneity analysis revealed that fintech strongly affects the risk-taking of state-owned banks but not obviously for rural commercial banks. Financial efficiency, financial innovation, and risk management indirectly affect the risk-taking of banks that contributed 8.51, 7.18, and 5.77%, respectively. We also constructed the commercial bank risk-warning index. Based on the quarterly data of banks from 2011 to 2020, we empirically tested the early warning effect of the bank risk-warning index. The results showed that when the signal month is set to 12 months, the bank risk-warning index can have a warning effect in this period.&lt;/p&gt;","container-title":"Frontiers in Psychology","DOI":"10.3389/fpsyg.2022.934053","ISSN":"1664-1078","journalAbbreviation":"Front. Psychol.","language":"English","note":"publisher: Frontiers","source":"Frontiers","title":"Fintech, Bank Risk-Taking, and Risk-Warning for Commercial Banks in the Era of Digital Technology","URL":"https://www.frontiersin.org/journals/psychology/articles/10.3389/fpsyg.2022.934053/full","volume":"13","author":[{"family":"Li","given":"Gang"},{"family":"Elahi","given":"Ehsan"},{"family":"Zhao","given":"Liangliang"}],"accessed":{"date-parts":[["2024",10,30]]},"issued":{"date-parts":[["2022",7,13]]}}}],"schema":"https://github.com/citation-style-language/schema/raw/master/csl-citation.json"} </w:instrText>
      </w:r>
      <w:r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9</w:t>
      </w:r>
      <w:r w:rsidRPr="00136211">
        <w:rPr>
          <w:rFonts w:ascii="Times New Roman" w:hAnsi="Times New Roman" w:cs="Times New Roman"/>
        </w:rPr>
        <w:fldChar w:fldCharType="end"/>
      </w:r>
      <w:r w:rsidRPr="00BE4B8E">
        <w:rPr>
          <w:rFonts w:ascii="Times New Roman" w:hAnsi="Times New Roman" w:cs="Times New Roman"/>
          <w:lang w:val="vi-VN"/>
        </w:rPr>
        <w:t>.</w:t>
      </w:r>
      <w:r w:rsidRPr="00136211">
        <w:rPr>
          <w:rFonts w:ascii="Times New Roman" w:hAnsi="Times New Roman" w:cs="Times New Roman"/>
          <w:lang w:val="vi-VN"/>
        </w:rPr>
        <w:t xml:space="preserve"> Bên cạnh đó, khi m</w:t>
      </w:r>
      <w:r w:rsidRPr="00BE4B8E">
        <w:rPr>
          <w:rFonts w:ascii="Times New Roman" w:hAnsi="Times New Roman" w:cs="Times New Roman"/>
          <w:lang w:val="vi-VN"/>
        </w:rPr>
        <w:t xml:space="preserve">ức độ </w:t>
      </w:r>
      <w:r w:rsidRPr="00136211">
        <w:rPr>
          <w:rFonts w:ascii="Times New Roman" w:hAnsi="Times New Roman" w:cs="Times New Roman"/>
          <w:lang w:val="vi-VN"/>
        </w:rPr>
        <w:t>chuyển đổi số diễn ra nhanh chóng</w:t>
      </w:r>
      <w:r w:rsidRPr="00BE4B8E">
        <w:rPr>
          <w:rFonts w:ascii="Times New Roman" w:hAnsi="Times New Roman" w:cs="Times New Roman"/>
          <w:lang w:val="vi-VN"/>
        </w:rPr>
        <w:t xml:space="preserve"> sẽ tạo điều kiện </w:t>
      </w:r>
      <w:r w:rsidRPr="00136211">
        <w:rPr>
          <w:rFonts w:ascii="Times New Roman" w:hAnsi="Times New Roman" w:cs="Times New Roman"/>
          <w:lang w:val="vi-VN"/>
        </w:rPr>
        <w:t xml:space="preserve">cho ngân hàng </w:t>
      </w:r>
      <w:r w:rsidRPr="00BE4B8E">
        <w:rPr>
          <w:rFonts w:ascii="Times New Roman" w:hAnsi="Times New Roman" w:cs="Times New Roman"/>
          <w:lang w:val="vi-VN"/>
        </w:rPr>
        <w:t>tích lũy thu nhập ròng và giảm xu hướng phân bổ vốn vào các dự án rủi ro cao, từ đó thúc đẩy đổi mới công nghệ tài chính và đa dạng hóa hoạt động, đồng thời giảm hành vi chấp nhận rủi ro cao. Về quản lý rủi ro, các ngân hàng thương mại có thể tận dụng công nghệ số để nâng cao hiệu quả, độ chính xác, tính kịp thời và ổn định trong các hoạt động quản lý rủi ro, đặc biệt trong việc nhận diện và đánh giá rủi ro. Công nghệ số giúp ngân hàng vượt qua các giới hạn về thời gian và không gian, mở rộng phạm vi tiếp cận khách hàng và đa dạng hóa nguồn dữ liệu, từ đó giải quyết hiệu quả các vấn đề như thiếu hụt thông tin và cập nhật không kịp thời. Hơn nữa, việc ứng dụng trí tuệ nhân tạo và dữ liệu lớn có thể thúc đẩy quá trình trí tuệ hóa các hoạt động đánh giá rủi ro. Hiệu quả quản lý rủi ro được nâng cao sẽ góp phần giảm hành vi chấp nhận rủi ro cao của các nhà quả</w:t>
      </w:r>
      <w:r w:rsidR="000F1C9A" w:rsidRPr="00BE4B8E">
        <w:rPr>
          <w:rFonts w:ascii="Times New Roman" w:hAnsi="Times New Roman" w:cs="Times New Roman"/>
          <w:lang w:val="vi-VN"/>
        </w:rPr>
        <w:t>n lý ngân hàng</w:t>
      </w:r>
      <w:r w:rsidRPr="00136211">
        <w:rPr>
          <w:rFonts w:ascii="Times New Roman" w:hAnsi="Times New Roman" w:cs="Times New Roman"/>
        </w:rPr>
        <w:fldChar w:fldCharType="begin"/>
      </w:r>
      <w:r w:rsidR="00D2274C" w:rsidRPr="00BE4B8E">
        <w:rPr>
          <w:rFonts w:ascii="Times New Roman" w:hAnsi="Times New Roman" w:cs="Times New Roman"/>
          <w:lang w:val="vi-VN"/>
        </w:rPr>
        <w:instrText xml:space="preserve"> ADDIN ZOTERO_ITEM CSL_CITATION {"citationID":"KGcFormC","properties":{"formattedCitation":"\\super 9\\nosupersub{}","plainCitation":"9","noteIndex":0},"citationItems":[{"id":670,"uris":["http://zotero.org/users/local/1km6A5n5/items/QQPKQ5GM"],"itemData":{"id":670,"type":"article-journal","abstract":"&lt;p&gt;Fintech risks commercial banks in three ways, particularly operational efficiency, financial innovation, and risk management. Based on the data of 37 Chinese-listed commercial banks from 2011 to 2020, the study empirically analyzes the impact of fintech on bank risk-taking, and the intermediary effects of the three channels, such as operational efficiency, financial innovation, and risk management. The results show that fintech can effectively reduce the risk of banks. The results of heterogeneity analysis revealed that fintech strongly affects the risk-taking of state-owned banks but not obviously for rural commercial banks. Financial efficiency, financial innovation, and risk management indirectly affect the risk-taking of banks that contributed 8.51, 7.18, and 5.77%, respectively. We also constructed the commercial bank risk-warning index. Based on the quarterly data of banks from 2011 to 2020, we empirically tested the early warning effect of the bank risk-warning index. The results showed that when the signal month is set to 12 months, the bank risk-warning index can have a warning effect in this period.&lt;/p&gt;","container-title":"Frontiers in Psychology","DOI":"10.3389/fpsyg.2022.934053","ISSN":"1664-1078","journalAbbreviation":"Front. Psychol.","language":"English","note":"publisher: Frontiers","source":"Frontiers","title":"Fintech, Bank Risk-Taking, and Risk-Warning for Commercial Banks in the Era of Digital Technology","URL":"https://www.frontiersin.org/journals/psychology/articles/10.3389/fpsyg.2022.934053/full","volume":"13","author":[{"family":"Li","given":"Gang"},{"family":"Elahi","given":"Ehsan"},{"family":"Zhao","given":"Liangliang"}],"accessed":{"date-parts":[["2024",10,30]]},"issued":{"date-parts":[["2022",7,13]]}}}],"schema":"https://github.com/citation-style-language/schema/raw/master/csl-citation.json"} </w:instrText>
      </w:r>
      <w:r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9</w:t>
      </w:r>
      <w:r w:rsidRPr="00136211">
        <w:rPr>
          <w:rFonts w:ascii="Times New Roman" w:hAnsi="Times New Roman" w:cs="Times New Roman"/>
        </w:rPr>
        <w:fldChar w:fldCharType="end"/>
      </w:r>
      <w:r w:rsidRPr="00BE4B8E">
        <w:rPr>
          <w:rFonts w:ascii="Times New Roman" w:hAnsi="Times New Roman" w:cs="Times New Roman"/>
          <w:lang w:val="vi-VN"/>
        </w:rPr>
        <w:t>.</w:t>
      </w:r>
    </w:p>
    <w:p w14:paraId="675ECA7F" w14:textId="0AE90BBC" w:rsidR="00136211" w:rsidRDefault="00136211" w:rsidP="00136211">
      <w:pPr>
        <w:spacing w:before="120" w:after="120" w:line="240" w:lineRule="auto"/>
        <w:ind w:firstLine="360"/>
        <w:jc w:val="both"/>
        <w:rPr>
          <w:rFonts w:ascii="Times New Roman" w:hAnsi="Times New Roman" w:cs="Times New Roman"/>
          <w:lang w:val="vi-VN"/>
        </w:rPr>
      </w:pPr>
      <w:r w:rsidRPr="00136211">
        <w:rPr>
          <w:rFonts w:ascii="Times New Roman" w:hAnsi="Times New Roman" w:cs="Times New Roman"/>
          <w:lang w:val="vi-VN"/>
        </w:rPr>
        <w:t xml:space="preserve">Bên cạnh các nghiên cứu chỉ ra mối quan hệ tuyến tính giữa chuyển đổi số và hành vi chấp nhận rủi ro của ngân hàng, </w:t>
      </w:r>
      <w:r w:rsidR="00D51656">
        <w:rPr>
          <w:rFonts w:ascii="Times New Roman" w:hAnsi="Times New Roman" w:cs="Times New Roman"/>
          <w:lang w:val="vi-VN"/>
        </w:rPr>
        <w:t xml:space="preserve">một số </w:t>
      </w:r>
      <w:r w:rsidRPr="00136211">
        <w:rPr>
          <w:rFonts w:ascii="Times New Roman" w:hAnsi="Times New Roman" w:cs="Times New Roman"/>
          <w:lang w:val="vi-VN"/>
        </w:rPr>
        <w:t xml:space="preserve">nghiên cứu </w:t>
      </w:r>
      <w:r w:rsidR="00D51656">
        <w:rPr>
          <w:rFonts w:ascii="Times New Roman" w:hAnsi="Times New Roman" w:cs="Times New Roman"/>
          <w:lang w:val="vi-VN"/>
        </w:rPr>
        <w:t>khác</w:t>
      </w:r>
      <w:r w:rsidRPr="00136211">
        <w:rPr>
          <w:rFonts w:ascii="Times New Roman" w:hAnsi="Times New Roman" w:cs="Times New Roman"/>
          <w:lang w:val="vi-VN"/>
        </w:rPr>
        <w:t xml:space="preserve"> đã chỉ ra tác động phi tuyến nghịch hình chữ U giữa Fintech và hành vi chấp nhận rủi ro của ngân hàng</w:t>
      </w:r>
      <w:r w:rsidR="00D51656" w:rsidRPr="00136211">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{"citationID":"ih1fa2ux","properties":{"formattedCitation":"\\super 10,11\\nosupersub{}","plainCitation":"10,11","noteIndex":0},"citationItems":[{"id":804,"uris":["http://zotero.org/users/local/1km6A5n5/items/REWYA8N8"],"itemData":{"id":804,"type":"article-journal","abstract":"The past decade has seen impressive developments in financial technology (FinTech) in China. As a new technology and innovative method that competes with, and also supplements, traditional financial methods, fintech has had a significant impact on traditional financial businesses and has thus challenged the role of commercial banks as credit intermediaries in the financial sector. This paper examines the potential risks that fintech brings to commercial banks in China, and collects data from 19 systemically important banks from 2011–2020 to analyze the effect of fintech development on commercial banks’ financial risks in order to achieve sustainable development in the financial sector. Using the Z value and non-performing loan ratio as the criterion variables, this study shows that the impact of fintech on the financial risks of systemically important banks demonstrates an inverted U-shaped pattern, with the financial risk increasing first and then decreasing alongside the further development of fintech. The results also show that commercial banks’ responses to fintech development has been comparatively slow. Managerial suggestions are then discussed on risk supervision for commercial banks and the financial sector in China and other emerging markets.","container-title":"Sustainability","issue":"10","language":"en","note":"publisher: MDPI","page":"1-20","source":"ideas.repec.org","title":"Fintech and Financial Risks of Systemically Important Commercial Banks in China: An Inverted U-Shaped Relationship","title-short":"Fintech and Financial Risks of Systemically Important Commercial Banks in China","volume":"14","author":[{"family":"Chen","given":"Baomin"},{"family":"Yang","given":"Xinyun"},{"family":"Ma","given":"Zhenzhong"}],"issued":{"date-parts":[["2022"]]}}},{"id":938,"uris":["http://zotero.org/users/local/1km6A5n5/items/JYYBE46Y"],"itemData":{"id":938,"type":"article-journal","abstract":"This paper empirically tests the effect of FinTech development on bank risk taking using unbalanced bank-level panel data from China for the period from 2011 to 2018. We use the media's attention paid to FinTech-related information to gauge FinTech development. We find robust evidence that the development of FinTech exacerbates banks’ risk taking in general. The heterogeneity analysis further indicates that the asset quality deterioration effect brought about by prosperous FinTech is more salient in banks with larger sizes, lower efficiency, more shadow banking business and more interest-based income. Moreover, the nexus between FinTech and banks’ risk taking is a U-shaped trend, with FinTech initially intensifying and then weakening banks’ risk taking. Moreover, the banks’ responses regarding the U-shaped effect are heterogeneous among different ownership structures. The responses by state- and jointly owned banks are not notable, while those of city banks, foreign banks and rural banks are more sensitive.","container-title":"The European Journal of Finance","DOI":"10.1080/1351847X.2020.1805782","ISSN":"1351-847X","issue":"4-5","note":"publisher: Routledge\n_eprint: https://doi.org/10.1080/1351847X.2020.1805782","page":"397-418","source":"Taylor and Francis+NEJM","title":"Fintech development and bank risk taking in China","volume":"27","author":[{"family":"Wang","given":"Rui"},{"family":"Liu","given":"Jiangtao"},{"family":"Luo","given":"Hang(Robin)"}],"issued":{"date-parts":[["2021",3,24]]}}}],"schema":"https://github.com/citation-style-language/schema/raw/master/csl-citation.json"} </w:instrText>
      </w:r>
      <w:r w:rsidR="00D51656"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10,11</w:t>
      </w:r>
      <w:r w:rsidR="00D51656" w:rsidRPr="00136211">
        <w:rPr>
          <w:rFonts w:ascii="Times New Roman" w:hAnsi="Times New Roman" w:cs="Times New Roman"/>
        </w:rPr>
        <w:fldChar w:fldCharType="end"/>
      </w:r>
      <w:r w:rsidRPr="00136211">
        <w:rPr>
          <w:rFonts w:ascii="Times New Roman" w:hAnsi="Times New Roman" w:cs="Times New Roman"/>
          <w:lang w:val="vi-VN"/>
        </w:rPr>
        <w:t>. Cụ thể, trong giai đoạn đầu,</w:t>
      </w:r>
      <w:r w:rsidRPr="00F50E01">
        <w:rPr>
          <w:rFonts w:ascii="Times New Roman" w:hAnsi="Times New Roman" w:cs="Times New Roman"/>
          <w:lang w:val="vi-VN"/>
        </w:rPr>
        <w:t xml:space="preserve"> sự phát triển của Fintech đe dọa lợi nhuận của ngân hàng và làm tăng mức độ chấp nhận rủi ro; tuy nhiên, khi các ngân hàng bắt đầu hợp tác với các công ty Fintech, sự hợp tác này thúc đẩy nâng cấp công nghệ, đổi mới kinh doanh và tối ưu hóa dịch vụ, </w:t>
      </w:r>
      <w:r w:rsidRPr="00136211">
        <w:rPr>
          <w:rFonts w:ascii="Times New Roman" w:hAnsi="Times New Roman" w:cs="Times New Roman"/>
          <w:lang w:val="vi-VN"/>
        </w:rPr>
        <w:t>điều này giúp</w:t>
      </w:r>
      <w:r w:rsidRPr="00F50E01">
        <w:rPr>
          <w:rFonts w:ascii="Times New Roman" w:hAnsi="Times New Roman" w:cs="Times New Roman"/>
          <w:lang w:val="vi-VN"/>
        </w:rPr>
        <w:t xml:space="preserve"> tăng cường sự ổn định của ngân hàng và </w:t>
      </w:r>
      <w:r w:rsidRPr="00136211">
        <w:rPr>
          <w:rFonts w:ascii="Times New Roman" w:hAnsi="Times New Roman" w:cs="Times New Roman"/>
          <w:lang w:val="vi-VN"/>
        </w:rPr>
        <w:t xml:space="preserve">làm </w:t>
      </w:r>
      <w:r w:rsidRPr="00F50E01">
        <w:rPr>
          <w:rFonts w:ascii="Times New Roman" w:hAnsi="Times New Roman" w:cs="Times New Roman"/>
          <w:lang w:val="vi-VN"/>
        </w:rPr>
        <w:t>giảm hành vi chấp nhận rủi ro. Ngược lại,</w:t>
      </w:r>
      <w:r w:rsidR="00D51656">
        <w:rPr>
          <w:rFonts w:ascii="Times New Roman" w:hAnsi="Times New Roman" w:cs="Times New Roman"/>
          <w:lang w:val="vi-VN"/>
        </w:rPr>
        <w:t xml:space="preserve"> tồn tại nghiên cứu thực nghiệm khác lại</w:t>
      </w:r>
      <w:r w:rsidRPr="00136211">
        <w:rPr>
          <w:rFonts w:ascii="Times New Roman" w:hAnsi="Times New Roman" w:cs="Times New Roman"/>
          <w:lang w:val="vi-VN"/>
        </w:rPr>
        <w:t xml:space="preserve"> chỉ ra</w:t>
      </w:r>
      <w:r w:rsidRPr="00F50E01">
        <w:rPr>
          <w:rFonts w:ascii="Times New Roman" w:hAnsi="Times New Roman" w:cs="Times New Roman"/>
          <w:lang w:val="vi-VN"/>
        </w:rPr>
        <w:t xml:space="preserve"> tác động của tài chính Internet đến hành vi chấp nhận rủi ro của ngân hàng </w:t>
      </w:r>
      <w:r w:rsidRPr="00136211">
        <w:rPr>
          <w:rFonts w:ascii="Times New Roman" w:hAnsi="Times New Roman" w:cs="Times New Roman"/>
          <w:lang w:val="vi-VN"/>
        </w:rPr>
        <w:t xml:space="preserve">theo dạng </w:t>
      </w:r>
      <w:r w:rsidRPr="00F50E01">
        <w:rPr>
          <w:rFonts w:ascii="Times New Roman" w:hAnsi="Times New Roman" w:cs="Times New Roman"/>
          <w:lang w:val="vi-VN"/>
        </w:rPr>
        <w:t>phi tuyến hình chữ U</w:t>
      </w:r>
      <w:r w:rsidR="00D51656" w:rsidRPr="00136211">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{"citationID":"z2Facc4I","properties":{"formattedCitation":"\\super 19\\nosupersub{}","plainCitation":"19","noteIndex":0},"citationItems":[{"id":802,"uris":["http://zotero.org/users/local/1km6A5n5/items/WWYZKSKF"],"itemData":{"id":802,"type":"article-journal","abstract":"Background Internet finance has grown rapidly in China over the past years. Through introducing internet finance’s “reducing management cost” and “raising capital cost” effects into bank risk-taking model, this paper systematically investigates the dynamic and heterogeneous influence of internet finance on China commercial banks’ risk-taking. Methods Using internet finance index based on “text mining” and data of 36 commercial banks from 2003 to 2013, we makes an SYS-GMM test. Results The results show, firstly, the impact of internet finance on China commercial banks’ risk-taking is a “U” trend. The initial development of internet finance can help commercial banks to reduce management cost and risk-taking, but then internet finance will raise capital cost, and turn to exacerbate banks’ risk-taking. Secondly, the response of China commercial banks’ risk-taking is heterogeneous. Large commercial banks’ response is slow, while small and medium banks’ response is relatively sensitive. Conclusions The conclusion showed the complexity of the implication mechanism and functional process of how internet finance affected China commercial banks’ risk-taking.","container-title":"China Finance and Economic Review","issue":"1","language":"en","note":"publisher: Springer","page":"1-19","source":"ideas.repec.org","title":"The impact of Internet finance on commercial banks’ risk taking: evidence from China","title-short":"The impact of Internet finance on commercial banks’ risk taking","volume":"4","author":[{"family":"Guo","given":"Pin"},{"family":"Shen","given":"Yue"}],"issued":{"date-parts":[["2016"]]}}}],"schema":"https://github.com/citation-style-language/schema/raw/master/csl-citation.json"} </w:instrText>
      </w:r>
      <w:r w:rsidR="00D51656"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19</w:t>
      </w:r>
      <w:r w:rsidR="00D51656" w:rsidRPr="00136211">
        <w:rPr>
          <w:rFonts w:ascii="Times New Roman" w:hAnsi="Times New Roman" w:cs="Times New Roman"/>
        </w:rPr>
        <w:fldChar w:fldCharType="end"/>
      </w:r>
      <w:r w:rsidRPr="00F50E01">
        <w:rPr>
          <w:rFonts w:ascii="Times New Roman" w:hAnsi="Times New Roman" w:cs="Times New Roman"/>
          <w:lang w:val="vi-VN"/>
        </w:rPr>
        <w:t>. T</w:t>
      </w:r>
      <w:r w:rsidRPr="00136211">
        <w:rPr>
          <w:rFonts w:ascii="Times New Roman" w:hAnsi="Times New Roman" w:cs="Times New Roman"/>
          <w:lang w:val="vi-VN"/>
        </w:rPr>
        <w:t>ác giả</w:t>
      </w:r>
      <w:r w:rsidR="00D51656">
        <w:rPr>
          <w:rFonts w:ascii="Times New Roman" w:hAnsi="Times New Roman" w:cs="Times New Roman"/>
          <w:lang w:val="vi-VN"/>
        </w:rPr>
        <w:t xml:space="preserve"> </w:t>
      </w:r>
      <w:r w:rsidR="00CB1628" w:rsidRPr="00BE4B8E">
        <w:rPr>
          <w:rFonts w:ascii="Times New Roman" w:hAnsi="Times New Roman" w:cs="Times New Roman"/>
          <w:lang w:val="vi-VN"/>
        </w:rPr>
        <w:t xml:space="preserve">của nghiên cứu </w:t>
      </w:r>
      <w:r w:rsidR="00D51656">
        <w:rPr>
          <w:rFonts w:ascii="Times New Roman" w:hAnsi="Times New Roman" w:cs="Times New Roman"/>
          <w:lang w:val="vi-VN"/>
        </w:rPr>
        <w:t>này</w:t>
      </w:r>
      <w:r w:rsidRPr="00136211">
        <w:rPr>
          <w:rFonts w:ascii="Times New Roman" w:hAnsi="Times New Roman" w:cs="Times New Roman"/>
          <w:lang w:val="vi-VN"/>
        </w:rPr>
        <w:t xml:space="preserve"> cho rằng, t</w:t>
      </w:r>
      <w:r w:rsidRPr="00F50E01">
        <w:rPr>
          <w:rFonts w:ascii="Times New Roman" w:hAnsi="Times New Roman" w:cs="Times New Roman"/>
          <w:lang w:val="vi-VN"/>
        </w:rPr>
        <w:t xml:space="preserve">rong giai đoạn đầu của sự phát triển tài chính Internet, các ngân hàng thương mại được hưởng lợi từ việc giảm </w:t>
      </w:r>
      <w:r w:rsidRPr="00F50E01">
        <w:rPr>
          <w:rFonts w:ascii="Times New Roman" w:hAnsi="Times New Roman" w:cs="Times New Roman"/>
          <w:lang w:val="vi-VN"/>
        </w:rPr>
        <w:lastRenderedPageBreak/>
        <w:t>chi phí quản lý và giảm mức độ chấp nhận rủi ro; tuy nhiên, khi tài chính Internet phát triển hơn, chi phí vốn gia tăng, làm trầm trọng thêm hành vi chấp nhận rủi ro của ngân hàng.</w:t>
      </w:r>
    </w:p>
    <w:p w14:paraId="376609BC" w14:textId="01AAEF2A" w:rsidR="00136211" w:rsidRDefault="00136211" w:rsidP="00136211">
      <w:pPr>
        <w:spacing w:before="120" w:after="120" w:line="240" w:lineRule="auto"/>
        <w:ind w:firstLine="360"/>
        <w:jc w:val="both"/>
        <w:rPr>
          <w:rFonts w:ascii="Times New Roman" w:hAnsi="Times New Roman" w:cs="Times New Roman"/>
          <w:lang w:val="vi-VN"/>
        </w:rPr>
      </w:pPr>
      <w:r w:rsidRPr="00136211">
        <w:rPr>
          <w:rFonts w:ascii="Times New Roman" w:hAnsi="Times New Roman" w:cs="Times New Roman"/>
          <w:lang w:val="vi-VN"/>
        </w:rPr>
        <w:t xml:space="preserve">Các nghiên cứu về tác động của Fintech hoặc chuyển đổi số đến hành vi chấp nhận rủi ro của ngân hàng thương mại thường sử dụng nhiều phương pháp đo lường khác nhau để đo lường mức độ chuyển đổi số. </w:t>
      </w:r>
      <w:r w:rsidRPr="00F50E01">
        <w:rPr>
          <w:rFonts w:ascii="Times New Roman" w:hAnsi="Times New Roman" w:cs="Times New Roman"/>
          <w:lang w:val="vi-VN"/>
        </w:rPr>
        <w:t xml:space="preserve">Các phương pháp này bao gồm </w:t>
      </w:r>
      <w:r w:rsidRPr="00136211">
        <w:rPr>
          <w:rFonts w:ascii="Times New Roman" w:hAnsi="Times New Roman" w:cs="Times New Roman"/>
          <w:lang w:val="vi-VN"/>
        </w:rPr>
        <w:t>đo lường</w:t>
      </w:r>
      <w:r w:rsidRPr="00F50E01">
        <w:rPr>
          <w:rFonts w:ascii="Times New Roman" w:hAnsi="Times New Roman" w:cs="Times New Roman"/>
          <w:lang w:val="vi-VN"/>
        </w:rPr>
        <w:t xml:space="preserve"> chi phí đầu tư </w:t>
      </w:r>
      <w:r w:rsidRPr="00136211">
        <w:rPr>
          <w:rFonts w:ascii="Times New Roman" w:hAnsi="Times New Roman" w:cs="Times New Roman"/>
          <w:lang w:val="vi-VN"/>
        </w:rPr>
        <w:t xml:space="preserve">cho </w:t>
      </w:r>
      <w:r w:rsidRPr="00F50E01">
        <w:rPr>
          <w:rFonts w:ascii="Times New Roman" w:hAnsi="Times New Roman" w:cs="Times New Roman"/>
          <w:lang w:val="vi-VN"/>
        </w:rPr>
        <w:t>công nghệ</w:t>
      </w:r>
      <w:r w:rsidRPr="00136211">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{"citationID":"FDuh5Lyc","properties":{"formattedCitation":"\\super 2,20\\nosupersub{}","plainCitation":"2,20","noteIndex":0},"citationItems":[{"id":678,"uris":["http://zotero.org/users/local/1km6A5n5/items/37YFZAFM"],"itemData":{"id":678,"type":"article-journal","abstract":"Banks focus on digital transformation to improve their overall efficiency and reduce operational costs. In this study, we argue that banks focusing on diversification might not benefit from digital transformation in context of stability. Precisely, this study explores the impact of digital transformation on banks’ stability while considering diversification as an important factor. Overall, the results suggest that investment in technology and increased diversification makes banks riskier and more fragile. More importantly, we report digital transformation and the diversification to be substitutes in impacting the stability. In other words, we show digital transformation is beneficial for banks with low-income diversification. The reported findings have implications.","container-title":"Economic Analysis and Policy","DOI":"10.1016/j.eap.2023.03.004","ISSN":"0313-5926","journalAbbreviation":"Economic Analysis and Policy","page":"122-132","source":"ScienceDirect","title":"Digital transformation, diversification and stability: What do we know about banks?","title-short":"Digital transformation, diversification and stability","volume":"78","author":[{"family":"Khattak","given":"Mudeer Ahmed"},{"family":"Ali","given":"Mohsin"},{"family":"Azmi","given":"Wajahat"},{"family":"Rizvi","given":"Syed Aun R."}],"issued":{"date-parts":[["2023",6,1]]}}},{"id":699,"uris":["http://zotero.org/users/local/1km6A5n5/items/2W289P9V"],"itemData":{"id":699,"type":"article-journal","abstract":"Over the past years, the financial technology industry has gained considerable attention from policy makers and regulators, market participants, as well as the general public. Despite the interest of these stakeholders, academic research on the topic is scarce and we aim to extend the literature by examining the impact of financial leverage on the performance of FinTech firms. Using a sample of 146 U.S. FinTech firms operating in ten market segments over the period 2000–2016, we find that financial leverage has a negative impact on profitability and risk-adjusted performance. We also reveal that the magnitude of the influence of leverage depends on firm age. The results are robust to the use of a cross-country sample, alternative model specifications and estimation approaches.","container-title":"Applied Economics","DOI":"10.1080/00036846.2021.1915949","ISSN":"0003-6846","issue":"44","note":"publisher: Routledge\n_eprint: https://doi.org/10.1080/00036846.2021.1915949","page":"5103-5121","source":"Taylor and Francis+NEJM","title":"Financial leverage and performance: the case of financial technology firms","title-short":"Financial leverage and performance","volume":"53","author":[{"family":"Papadimitri","given":"Panagiota"},{"family":"Pasiouras","given":"Fotios"},{"family":"Tasiou","given":"Menelaos"}],"issued":{"date-parts":[["2021",9,20]]}}}],"schema":"https://github.com/citation-style-language/schema/raw/master/csl-citation.json"} </w:instrText>
      </w:r>
      <w:r w:rsidRPr="00136211">
        <w:rPr>
          <w:rFonts w:ascii="Times New Roman" w:hAnsi="Times New Roman" w:cs="Times New Roman"/>
        </w:rPr>
        <w:fldChar w:fldCharType="separate"/>
      </w:r>
      <w:r w:rsidR="00D2274C" w:rsidRPr="00D2274C">
        <w:rPr>
          <w:rFonts w:ascii="Times New Roman" w:hAnsi="Times New Roman" w:cs="Times New Roman"/>
          <w:szCs w:val="24"/>
          <w:vertAlign w:val="superscript"/>
        </w:rPr>
        <w:t>2,20</w:t>
      </w:r>
      <w:r w:rsidRPr="00136211">
        <w:rPr>
          <w:rFonts w:ascii="Times New Roman" w:hAnsi="Times New Roman" w:cs="Times New Roman"/>
        </w:rPr>
        <w:fldChar w:fldCharType="end"/>
      </w:r>
      <w:r w:rsidRPr="00F50E01">
        <w:rPr>
          <w:rFonts w:ascii="Times New Roman" w:hAnsi="Times New Roman" w:cs="Times New Roman"/>
          <w:lang w:val="vi-VN"/>
        </w:rPr>
        <w:t>; thực hiện phỏng vấn chuyên sâu và khả</w:t>
      </w:r>
      <w:r w:rsidR="000F1C9A">
        <w:rPr>
          <w:rFonts w:ascii="Times New Roman" w:hAnsi="Times New Roman" w:cs="Times New Roman"/>
          <w:lang w:val="vi-VN"/>
        </w:rPr>
        <w:t>o sát</w:t>
      </w:r>
      <w:r w:rsidRPr="00136211">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{"citationID":"zfXuuo8e","properties":{"formattedCitation":"\\super 21,22\\nosupersub{}","plainCitation":"21,22","noteIndex":0},"citationItems":[{"id":901,"uris":["http://zotero.org/users/local/1km6A5n5/items/F7WR287H"],"itemData":{"id":901,"type":"article-journal","abstract":"Dai, H. and Yin, W., 2020. Evaluation method of customs' price evaluation risks in China's coastal special economic zones. In: Yang, Y.; Mi, C.; Zhao, L., and Lam, S. (eds.), Global Topics and New Trends in Coastal Research: Port, Coastal and Ocean Engineering. Journal of Coastal Research, Special Issue No. 103, pp. 151–154. Coconut Creek (Florida), ISSN 0749-0208.The traditional Chinese coastal special economic zone customs price assessment risk assessment method has a large evaluation error. To this end, a method for assessing the customs valuation risk of China's coastal special economic zones is designed. Collecting relevant data on customs price evaluation in China's coastal special economic zones, determining risk factors for customs price evaluation in China's coastal special economic zones, calculating risk index weights for each indicator, and using a weighted average fuzzy synthesis calculation method to comprehensively evaluate customs price evaluation risks in China's coastal special economic zones. The experimental comparison results show that this design of the China coastal special economic zone customs' price assessment risk assessment method has less error than traditional methods, and can be applied to the actual China coastal special economic zone customs price assessment risk assessment.","container-title":"Journal of Coastal Research","DOI":"10.2112/SI103-032.1","ISSN":"0749-0208, 1551-5036","issue":"sp1","journalAbbreviation":"coas","note":"publisher: Coastal Education and Research Foundation","page":"151-154","source":"bioone.org","title":"Evaluation Method of Customs' Price Evaluation Risks in China's Coastal Special Economic Zones","volume":"103","author":[{"family":"Dai","given":"Hao"},{"family":"Yin","given":"Wenjie"}],"issued":{"date-parts":[["2020",6]]}}},{"id":900,"uris":["http://zotero.org/users/local/1km6A5n5/items/WCRQUG78"],"itemData":{"id":900,"type":"chapter","abstract":"Gait, the walking manner of a person, has been perceived as a physical and behavioral trait for human identification. Compared with cameras and wearable sensors, Wi-Fi-based gait recognition is more attractive because Wi-Fi infrastructure is almost available everywhere and is able to sense passively without the requirement of on-body devices. However, the existing Wi-Fi sensing approaches impose strong assumptions of fixed user walking trajectory and sufficient training data. In this chapter, we present GaitID, a Wi-Fi-based human identification system, to overcome the above unrealistic assumptions. To deal with various walking trajectories and speeds, GaitID first extracts target specific features that best characterize gait patterns and applies novel normalization algorithms to eliminate gait-irrelevant perturbation in signals. On this basis, GaitID reduces the training efforts in new deployment scenarios by transfer learning. Extensive experiments have been conducted on the implementation and the outcomes are satisfying. To the best of our knowledge, GaitID is the first gait-based identification approach without any restriction on walking trajectory and speed. (This chapter is based on our previously published paper. Reprinted from Zhang et al. (GaitID: Robust Wi-Fi based gait recognition. In: Proceedings of Springer WASA, 2020), with permission of Springer.)","container-title":"Smart Wireless Sensing: From IoT to AIoT","event-place":"Singapore","ISBN":"9789811656583","language":"en","note":"DOI: 10.1007/978-981-16-5658-3_10","page":"215-230","publisher":"Springer","publisher-place":"Singapore","source":"Springer Link","title":"Human Gait Recognition with Wi-Fi","URL":"https://doi.org/10.1007/978-981-16-5658-3_10","author":[{"family":"Yang","given":"Zheng"},{"family":"Qian","given":"Kun"},{"family":"Wu","given":"Chenshu"},{"family":"Zhang","given":"Yi"}],"editor":[{"family":"Yang","given":"Zheng"},{"family":"Qian","given":"Kun"},{"family":"Wu","given":"Chenshu"},{"family":"Zhang","given":"Yi"}],"accessed":{"date-parts":[["2024",11,7]]},"issued":{"date-parts":[["2021"]]}}}],"schema":"https://github.com/citation-style-language/schema/raw/master/csl-citation.json"} </w:instrText>
      </w:r>
      <w:r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21,22</w:t>
      </w:r>
      <w:r w:rsidRPr="00136211">
        <w:rPr>
          <w:rFonts w:ascii="Times New Roman" w:hAnsi="Times New Roman" w:cs="Times New Roman"/>
        </w:rPr>
        <w:fldChar w:fldCharType="end"/>
      </w:r>
      <w:r w:rsidRPr="00BE4B8E">
        <w:rPr>
          <w:rFonts w:ascii="Times New Roman" w:hAnsi="Times New Roman" w:cs="Times New Roman"/>
          <w:lang w:val="vi-VN"/>
        </w:rPr>
        <w:t>; sử dụng các chỉ số chuyển đổi số từ cơ quan quản lý nhà nước</w:t>
      </w:r>
      <w:r w:rsidR="000F1C9A">
        <w:rPr>
          <w:rFonts w:ascii="Times New Roman" w:hAnsi="Times New Roman" w:cs="Times New Roman"/>
        </w:rPr>
        <w:fldChar w:fldCharType="begin"/>
      </w:r>
      <w:r w:rsidR="000F1C9A" w:rsidRPr="00BE4B8E">
        <w:rPr>
          <w:rFonts w:ascii="Times New Roman" w:hAnsi="Times New Roman" w:cs="Times New Roman"/>
          <w:lang w:val="vi-VN"/>
        </w:rPr>
        <w:instrText xml:space="preserve"> ADDIN ZOTERO_ITEM CSL_CITATION {"citationID":"bpsoLaW6","properties":{"formattedCitation":"\\super 8\\nosupersub{}","plainCitation":"8","noteIndex":0},"citationItems":[{"id":674,"uris":["http://zotero.org/users/local/1km6A5n5/items/TY34FYQD"],"itemData":{"id":674,"type":"article-journal","abstract":"This study examines whether digital transformation reduces banks' risk-taking in the Vietnamese commercial banking sector. Our research sheds light on how banks' digital transformation affects their risks, specifically regarding credit, insolvency, and liquidity. The study utilizes the readiness index for the Vietnamese commercial banks' Information and Communication Technology (ICT) Index, which the Vietnamese government has officially constructed. The OLS, PCSE, and FGLS models are employed to analyze how digital transformation reduces banks' risk-taking based on the longitudinal data from 26 commercial banks in Vietnam from 2013 to 2022. The results indicate that digital transformation significantly reduces credit risk by improving risk management capacity and reducing asymmetric information. It also helps mitigate insolvency risk by lowering costs and increasing profitability. However, digitalization does not significantly impact liquidity risk as digital channels leverage banks' lending and deposit activities. This research provides empirical evidence on the role of bank digitalization in risk-taking and concludes with recommendations for developing bank digital transformation in Vietnam and other developing countries, including suggestions for further research in this area.","container-title":"Journal of Open Innovation: Technology, Market, and Complexity","DOI":"10.1016/j.joitmc.2024.100260","ISSN":"2199-8531","issue":"2","journalAbbreviation":"Journal of Open Innovation: Technology, Market, and Complexity","page":"100260","source":"ScienceDirect","title":"Does digital transformation reduce bank's risk-taking? evidence from vietnamese commercial banks","title-short":"Does digital transformation reduce bank's risk-taking?","volume":"10","author":[{"family":"Hoque","given":"Ariful"},{"family":"Le","given":"Duong Thuy"},{"family":"Le","given":"Thi"}],"issued":{"date-parts":[["2024",6,1]]}}}],"schema":"https://github.com/citation-style-language/schema/raw/master/csl-citation.json"} </w:instrText>
      </w:r>
      <w:r w:rsidR="000F1C9A">
        <w:rPr>
          <w:rFonts w:ascii="Times New Roman" w:hAnsi="Times New Roman" w:cs="Times New Roman"/>
        </w:rPr>
        <w:fldChar w:fldCharType="separate"/>
      </w:r>
      <w:r w:rsidR="000F1C9A" w:rsidRPr="00BE4B8E">
        <w:rPr>
          <w:rFonts w:ascii="Times New Roman" w:hAnsi="Times New Roman" w:cs="Times New Roman"/>
          <w:szCs w:val="24"/>
          <w:vertAlign w:val="superscript"/>
          <w:lang w:val="vi-VN"/>
        </w:rPr>
        <w:t>8</w:t>
      </w:r>
      <w:r w:rsidR="000F1C9A">
        <w:rPr>
          <w:rFonts w:ascii="Times New Roman" w:hAnsi="Times New Roman" w:cs="Times New Roman"/>
        </w:rPr>
        <w:fldChar w:fldCharType="end"/>
      </w:r>
      <w:r w:rsidRPr="00BE4B8E">
        <w:rPr>
          <w:rFonts w:ascii="Times New Roman" w:hAnsi="Times New Roman" w:cs="Times New Roman"/>
          <w:lang w:val="vi-VN"/>
        </w:rPr>
        <w:t>; và áp dụng kỹ thuật Phân tích thành phần chính (PCA)</w:t>
      </w:r>
      <w:r w:rsidRPr="00136211">
        <w:rPr>
          <w:rFonts w:ascii="Times New Roman" w:hAnsi="Times New Roman" w:cs="Times New Roman"/>
        </w:rPr>
        <w:fldChar w:fldCharType="begin"/>
      </w:r>
      <w:r w:rsidR="00D2274C" w:rsidRPr="00BE4B8E">
        <w:rPr>
          <w:rFonts w:ascii="Times New Roman" w:hAnsi="Times New Roman" w:cs="Times New Roman"/>
          <w:lang w:val="vi-VN"/>
        </w:rPr>
        <w:instrText xml:space="preserve"> ADDIN ZOTERO_ITEM CSL_CITATION {"citationID":"mGuJ5aYE","properties":{"formattedCitation":"\\super 3\\nosupersub{}","plainCitation":"3","noteIndex":0},"citationItems":[{"id":668,"uris":["http://zotero.org/users/local/1km6A5n5/items/XUHT3V65"],"itemData":{"id":668,"type":"article-journal","abstract":"Nowadays, digital transformation has become an urgent strategic task for traditional commercial banks. Due to the lack of measurement of banks’ digital transformation, whether digital transformation could enhance the competitiveness of banks is still inconclusive. In this paper, we construct an index system to measure digital transformation of banks from three dimensions: strategy transformation, business transformation and management transformation. Using data from Chinese commercial banks, this paper measures the progress of digital transformation of banks in China. The empirical results show that digital transformation can improve bank performance, reduce the negative impact of new technology entrants, and promote the exit of offline channels.","container-title":"China Economic Quarterly International","DOI":"10.1016/j.ceqi.2023.03.002","ISSN":"2666-9331","issue":"1","journalAbbreviation":"China Economic Quarterly International","page":"35-45","source":"ScienceDirect","title":"Digital transformation of commercial banks in China: Measurement, progress and impact","title-short":"Digital transformation of commercial banks in China","volume":"3","author":[{"family":"Xie","given":"Xuanli"},{"family":"Wang","given":"Shihui"}],"issued":{"date-parts":[["2023",3,1]]}}}],"schema":"https://github.com/citation-style-language/schema/raw/master/csl-citation.json"} </w:instrText>
      </w:r>
      <w:r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3</w:t>
      </w:r>
      <w:r w:rsidRPr="00136211">
        <w:rPr>
          <w:rFonts w:ascii="Times New Roman" w:hAnsi="Times New Roman" w:cs="Times New Roman"/>
        </w:rPr>
        <w:fldChar w:fldCharType="end"/>
      </w:r>
      <w:r w:rsidRPr="00BE4B8E">
        <w:rPr>
          <w:rFonts w:ascii="Times New Roman" w:hAnsi="Times New Roman" w:cs="Times New Roman"/>
          <w:lang w:val="vi-VN"/>
        </w:rPr>
        <w:t xml:space="preserve">. </w:t>
      </w:r>
      <w:r w:rsidRPr="00136211">
        <w:rPr>
          <w:rFonts w:ascii="Times New Roman" w:hAnsi="Times New Roman" w:cs="Times New Roman"/>
          <w:lang w:val="vi-VN"/>
        </w:rPr>
        <w:t>Tuy nhiên</w:t>
      </w:r>
      <w:r w:rsidRPr="00BE4B8E">
        <w:rPr>
          <w:rFonts w:ascii="Times New Roman" w:hAnsi="Times New Roman" w:cs="Times New Roman"/>
          <w:lang w:val="vi-VN"/>
        </w:rPr>
        <w:t>, phương pháp được sử dụng phổ biến nhất là "phân tích văn bản" trong đó tìm kiếm các từ khóa liên quan đến số hóa trong báo cáo thườ</w:t>
      </w:r>
      <w:r w:rsidR="000F1C9A" w:rsidRPr="00BE4B8E">
        <w:rPr>
          <w:rFonts w:ascii="Times New Roman" w:hAnsi="Times New Roman" w:cs="Times New Roman"/>
          <w:lang w:val="vi-VN"/>
        </w:rPr>
        <w:t>ng niên</w:t>
      </w:r>
      <w:r w:rsidRPr="00136211">
        <w:rPr>
          <w:rFonts w:ascii="Times New Roman" w:hAnsi="Times New Roman" w:cs="Times New Roman"/>
        </w:rPr>
        <w:fldChar w:fldCharType="begin"/>
      </w:r>
      <w:r w:rsidR="00D2274C" w:rsidRPr="00BE4B8E">
        <w:rPr>
          <w:rFonts w:ascii="Times New Roman" w:hAnsi="Times New Roman" w:cs="Times New Roman"/>
          <w:lang w:val="vi-VN"/>
        </w:rPr>
        <w:instrText xml:space="preserve"> ADDIN ZOTERO_ITEM CSL_CITATION {"citationID":"7AF0AYfl","properties":{"formattedCitation":"\\super 11,23\\nosupersub{}","plainCitation":"11,23","noteIndex":0},"citationItems":[{"id":938,"uris":["http://zotero.org/users/local/1km6A5n5/items/JYYBE46Y"],"itemData":{"id":938,"type":"article-journal","abstract":"This paper empirically tests the effect of FinTech development on bank risk taking using unbalanced bank-level panel data from China for the period from 2011 to 2018. We use the media's attention paid to FinTech-related information to gauge FinTech development. We find robust evidence that the development of FinTech exacerbates banks’ risk taking in general. The heterogeneity analysis further indicates that the asset quality deterioration effect brought about by prosperous FinTech is more salient in banks with larger sizes, lower efficiency, more shadow banking business and more interest-based income. Moreover, the nexus between FinTech and banks’ risk taking is a U-shaped trend, with FinTech initially intensifying and then weakening banks’ risk taking. Moreover, the banks’ responses regarding the U-shaped effect are heterogeneous among different ownership structures. The responses by state- and jointly owned banks are not notable, while those of city banks, foreign banks and rural banks are more sensitive.","container-title</w:instrText>
      </w:r>
      <w:r w:rsidR="00D2274C">
        <w:rPr>
          <w:rFonts w:ascii="Times New Roman" w:hAnsi="Times New Roman" w:cs="Times New Roman"/>
        </w:rPr>
        <w:instrText xml:space="preserve">":"The European Journal of Finance","DOI":"10.1080/1351847X.2020.1805782","ISSN":"1351-847X","issue":"4-5","note":"publisher: Routledge\n_eprint: https://doi.org/10.1080/1351847X.2020.1805782","page":"397-418","source":"Taylor and Francis+NEJM","title":"Fintech development and bank risk taking in China","volume":"27","author":[{"family":"Wang","given":"Rui"},{"family":"Liu","given":"Jiangtao"},{"family":"Luo","given":"Hang(Robin)"}],"issued":{"date-parts":[["2021",3,24]]}}},{"id":936,"uris":["http://zotero.org/users/local/1km6A5n5/items/NM3HUQG6"],"itemData":{"id":936,"type":"article-journal","abstract":"This study investigates the impact of bank digitalization on capital reallocation using the adoption of digital lending platforms and a difference-in-differences design. We find that digital transformation in banking facilitates the reallocation of capital from higher-risk to lower-risk sectors. This effect is particularly pronounced in regions with high levels of government influence and in city and rural commercial banks, which are more susceptible to government intervention. Our findings suggest that banks that implement digital platforms are better positioned to resist political pressures, as the data-driven, automated decision-making processes make it difficult to justify risky, politically motivated loans, while increased transparency limits local government influence over credit allocation. The effects of digitalization on capital reallocation are further amplified in banks with opaque information environments, weak internal control, and high credit risks. Additional analyses show that the adoption of digital lending platforms improves the timeliness of loan loss recognition, reduces bank risk, and enhances operating performance. This study contributes to the literature on digitalization by highlighting its role in improving capital allocation in the banking sector and offers insights into how technological advancements can mitigate the risks posed by political intervention and high-risk lending.","container-title":"Journal of Business Ethics","DOI":"10.1007/s10551-024-05844-3","ISSN":"1573-0697","journalAbbreviation":"J Bus Ethics","language":"en","source":"Springer Link","title":"Bank Digitalization and Capital Reallocation","URL":"https://doi.org/10.1007/s10551-024-05844-3","author":[{"family":"Wu","given":"Sirui"},{"family":"Tian","given":"Haowen"},{"family":"Wang","given":"Chenyu"}],"accessed":{"date-parts":[["2024",11,23]]},"issued":{"date-parts":[["2024",10,28]]}}}],"schema":"https://github.com/citation-style-language/schema/raw/master/csl-citation.json"} </w:instrText>
      </w:r>
      <w:r w:rsidRPr="00136211">
        <w:rPr>
          <w:rFonts w:ascii="Times New Roman" w:hAnsi="Times New Roman" w:cs="Times New Roman"/>
        </w:rPr>
        <w:fldChar w:fldCharType="separate"/>
      </w:r>
      <w:r w:rsidR="00D2274C" w:rsidRPr="00D2274C">
        <w:rPr>
          <w:rFonts w:ascii="Times New Roman" w:hAnsi="Times New Roman" w:cs="Times New Roman"/>
          <w:szCs w:val="24"/>
          <w:vertAlign w:val="superscript"/>
        </w:rPr>
        <w:t>11,23</w:t>
      </w:r>
      <w:r w:rsidRPr="00136211">
        <w:rPr>
          <w:rFonts w:ascii="Times New Roman" w:hAnsi="Times New Roman" w:cs="Times New Roman"/>
        </w:rPr>
        <w:fldChar w:fldCharType="end"/>
      </w:r>
      <w:r w:rsidRPr="00136211">
        <w:rPr>
          <w:rFonts w:ascii="Times New Roman" w:hAnsi="Times New Roman" w:cs="Times New Roman"/>
        </w:rPr>
        <w:t>.</w:t>
      </w:r>
    </w:p>
    <w:p w14:paraId="18511008" w14:textId="6AED3B50" w:rsidR="00136211" w:rsidRPr="00136211" w:rsidRDefault="00136211" w:rsidP="00136211">
      <w:pPr>
        <w:spacing w:before="120" w:after="120" w:line="240" w:lineRule="auto"/>
        <w:ind w:firstLine="360"/>
        <w:jc w:val="both"/>
        <w:rPr>
          <w:rFonts w:ascii="Times New Roman" w:hAnsi="Times New Roman" w:cs="Times New Roman"/>
        </w:rPr>
      </w:pPr>
      <w:r w:rsidRPr="00136211">
        <w:rPr>
          <w:rFonts w:ascii="Times New Roman" w:hAnsi="Times New Roman" w:cs="Times New Roman"/>
        </w:rPr>
        <w:t xml:space="preserve">Các nghiên cứu về chuyển đổi số tác động tới rủi ro nói chung và tác động tới mức độ chấp nhận rủi ro của các NHTM ở Việt Nam nói riêng vẫn còn khá hạn chế. Cụ thể, </w:t>
      </w:r>
      <w:r w:rsidR="00D51656" w:rsidRPr="00136211">
        <w:rPr>
          <w:rFonts w:ascii="Times New Roman" w:hAnsi="Times New Roman" w:cs="Times New Roman"/>
        </w:rPr>
        <w:t xml:space="preserve">Hoque </w:t>
      </w:r>
      <w:r w:rsidR="00D51656">
        <w:rPr>
          <w:rFonts w:ascii="Times New Roman" w:hAnsi="Times New Roman" w:cs="Times New Roman"/>
          <w:lang w:val="vi-VN"/>
        </w:rPr>
        <w:t>và cộng sự</w:t>
      </w:r>
      <w:r w:rsidRPr="00136211">
        <w:rPr>
          <w:rFonts w:ascii="Times New Roman" w:hAnsi="Times New Roman" w:cs="Times New Roman"/>
        </w:rPr>
        <w:fldChar w:fldCharType="begin"/>
      </w:r>
      <w:r w:rsidR="00D2274C">
        <w:rPr>
          <w:rFonts w:ascii="Times New Roman" w:hAnsi="Times New Roman" w:cs="Times New Roman"/>
        </w:rPr>
        <w:instrText xml:space="preserve"> ADDIN ZOTERO_ITEM CSL_CITATION {"citationID":"UWQkSHSY","properties":{"formattedCitation":"\\super 8\\nosupersub{}","plainCitation":"8","noteIndex":0},"citationItems":[{"id":674,"uris":["http://zotero.org/users/local/1km6A5n5/items/TY34FYQD"],"itemData":{"id":674,"type":"article-journal","abstract":"This study examines whether digital transformation reduces banks' risk-taking in the Vietnamese commercial banking sector. Our research sheds light on how banks' digital transformation affects their risks, specifically regarding credit, insolvency, and liquidity. The study utilizes the readiness index for the Vietnamese commercial banks' Information and Communication Technology (ICT) Index, which the Vietnamese government has officially constructed. The OLS, PCSE, and FGLS models are employed to analyze how digital transformation reduces banks' risk-taking based on the longitudinal data from 26 commercial banks in Vietnam from 2013 to 2022. The results indicate that digital transformation significantly reduces credit risk by improving risk management capacity and reducing asymmetric information. It also helps mitigate insolvency risk by lowering costs and increasing profitability. However, digitalization does not significantly impact liquidity risk as digital channels leverage banks' lending and deposit activities. This research provides empirical evidence on the role of bank digitalization in risk-taking and concludes with recommendations for developing bank digital transformation in Vietnam and other developing countries, including suggestions for further research in this area.","container-title":"Journal of Open Innovation: Technology, Market, and Complexity","DOI":"10.1016/j.joitmc.2024.100260","ISSN":"2199-8531","issue":"2","journalAbbreviation":"Journal of Open Innovation: Technology, Market, and Complexity","page":"100260","source":"ScienceDirect","title":"Does digital transformation reduce bank's risk-taking? evidence from vietnamese commercial banks","title-short":"Does digital transformation reduce bank's risk-taking?","volume":"10","author":[{"family":"Hoque","given":"Ariful"},{"family":"Le","given":"Duong Thuy"},{"family":"Le","given":"Thi"}],"issued":{"date-parts":[["2024",6,1]]}}}],"schema":"https://github.com/citation-style-language/schema/raw/master/csl-citation.json"} </w:instrText>
      </w:r>
      <w:r w:rsidRPr="00136211">
        <w:rPr>
          <w:rFonts w:ascii="Times New Roman" w:hAnsi="Times New Roman" w:cs="Times New Roman"/>
        </w:rPr>
        <w:fldChar w:fldCharType="separate"/>
      </w:r>
      <w:r w:rsidR="00D2274C" w:rsidRPr="00D2274C">
        <w:rPr>
          <w:rFonts w:ascii="Times New Roman" w:hAnsi="Times New Roman" w:cs="Times New Roman"/>
          <w:szCs w:val="24"/>
          <w:vertAlign w:val="superscript"/>
        </w:rPr>
        <w:t>8</w:t>
      </w:r>
      <w:r w:rsidRPr="00136211">
        <w:rPr>
          <w:rFonts w:ascii="Times New Roman" w:hAnsi="Times New Roman" w:cs="Times New Roman"/>
        </w:rPr>
        <w:fldChar w:fldCharType="end"/>
      </w:r>
      <w:r w:rsidRPr="00136211">
        <w:rPr>
          <w:rFonts w:ascii="Times New Roman" w:hAnsi="Times New Roman" w:cs="Times New Roman"/>
        </w:rPr>
        <w:t xml:space="preserve"> sử dụng các phương pháp hồi quy như OLS, PCSE và FGLS để nghiên cứu tác động của chuyển đổi số tới 3 loại rủi ro của NHTM là: rủi ro tín dụng, rủi ro phá sản và rủi ro thanh khoản; dựa trên bộ Chỉ số sẵn sàng cho ứng dụng và phát triển công nghệ thông tin Việt Nam (Vietnam ICT Index) và bộ dữ liệu của 26 NHTM Việt Nam trong giai đoạn 2013 – 2022. Kết quả nghiên cứu chỉ ra rằng, quá trình chuyển đổi số sẽ góp phần làm giảm rủi ro của ngân hàng bằng cách nâng cao khả năng quản trị rủi ro và giảm thiếu tình trạng thông tin bất cân xứng. Trong khi đó, </w:t>
      </w:r>
      <w:r w:rsidR="00D51656" w:rsidRPr="00136211">
        <w:rPr>
          <w:rFonts w:ascii="Times New Roman" w:hAnsi="Times New Roman" w:cs="Times New Roman"/>
        </w:rPr>
        <w:t xml:space="preserve">Hoai </w:t>
      </w:r>
      <w:r w:rsidR="00D51656">
        <w:rPr>
          <w:rFonts w:ascii="Times New Roman" w:hAnsi="Times New Roman" w:cs="Times New Roman"/>
          <w:lang w:val="vi-VN"/>
        </w:rPr>
        <w:t>và</w:t>
      </w:r>
      <w:r w:rsidR="00D51656" w:rsidRPr="00136211">
        <w:rPr>
          <w:rFonts w:ascii="Times New Roman" w:hAnsi="Times New Roman" w:cs="Times New Roman"/>
        </w:rPr>
        <w:t xml:space="preserve"> Vu</w:t>
      </w:r>
      <w:r w:rsidRPr="00136211">
        <w:rPr>
          <w:rFonts w:ascii="Times New Roman" w:hAnsi="Times New Roman" w:cs="Times New Roman"/>
        </w:rPr>
        <w:fldChar w:fldCharType="begin"/>
      </w:r>
      <w:r w:rsidR="00D2274C">
        <w:rPr>
          <w:rFonts w:ascii="Times New Roman" w:hAnsi="Times New Roman" w:cs="Times New Roman"/>
        </w:rPr>
        <w:instrText xml:space="preserve"> ADDIN ZOTERO_ITEM CSL_CITATION {"citationID":"XxWDL07y","properties":{"formattedCitation":"\\super 13\\nosupersub{}","plainCitation":"13","noteIndex":0},"citationItems":[{"id":928,"uris":["http://zotero.org/users/local/1km6A5n5/items/C7NHS6WR"],"itemData":{"id":928,"type":"article-journal","container-title":"Migration Letters","ISSN":"1741-8992","issue":"S2","language":"en","page":"372-384","source":"migrationletters.com","title":"Assessing the Impact of Digital Transformation on Risk Management in Vietnam's Joint-Stock Commercial Banks","volume":"21","author":[{"family":"Hoai","given":"Pham Thi Thu"},{"family":"Vu","given":"Nguyen Thanh"}],"issued":{"date-parts":[["2024",1,7]]}}}],"schema":"https://github.com/citation-style-language/schema/raw/master/csl-citation.json"} </w:instrText>
      </w:r>
      <w:r w:rsidRPr="00136211">
        <w:rPr>
          <w:rFonts w:ascii="Times New Roman" w:hAnsi="Times New Roman" w:cs="Times New Roman"/>
        </w:rPr>
        <w:fldChar w:fldCharType="separate"/>
      </w:r>
      <w:r w:rsidR="00D2274C" w:rsidRPr="00D2274C">
        <w:rPr>
          <w:rFonts w:ascii="Times New Roman" w:hAnsi="Times New Roman" w:cs="Times New Roman"/>
          <w:szCs w:val="24"/>
          <w:vertAlign w:val="superscript"/>
        </w:rPr>
        <w:t>13</w:t>
      </w:r>
      <w:r w:rsidRPr="00136211">
        <w:rPr>
          <w:rFonts w:ascii="Times New Roman" w:hAnsi="Times New Roman" w:cs="Times New Roman"/>
        </w:rPr>
        <w:fldChar w:fldCharType="end"/>
      </w:r>
      <w:r w:rsidRPr="00136211">
        <w:rPr>
          <w:rFonts w:ascii="Times New Roman" w:hAnsi="Times New Roman" w:cs="Times New Roman"/>
        </w:rPr>
        <w:t xml:space="preserve"> bằng việc thực hiện khảo sát trên mẫu nghiên cứu gồm 192 chuyên gia làm việc trong 18 NHTM niêm yết trên thị trường chứng khoán Việt Nam; đã chứng minh được rằng chuyển đổi số có tác động tích cực tới công tác quản trị rủi ro của NHTM (bao gồm 3 loại rủi ro là:  rủi ro tín dụng, rủi ro thanh khoản và rủi ro thông tin).</w:t>
      </w:r>
    </w:p>
    <w:p w14:paraId="78E0D314" w14:textId="16F9910D" w:rsidR="00136211" w:rsidRPr="00C603F8" w:rsidRDefault="00E955F1" w:rsidP="00136211">
      <w:pPr>
        <w:spacing w:before="120" w:after="120" w:line="240" w:lineRule="auto"/>
        <w:jc w:val="both"/>
        <w:rPr>
          <w:rFonts w:ascii="Times New Roman" w:hAnsi="Times New Roman" w:cs="Times New Roman"/>
          <w:b/>
        </w:rPr>
      </w:pPr>
      <w:r w:rsidRPr="00C603F8">
        <w:rPr>
          <w:rFonts w:ascii="Times New Roman" w:hAnsi="Times New Roman" w:cs="Times New Roman"/>
          <w:b/>
        </w:rPr>
        <w:t>2.</w:t>
      </w:r>
      <w:r w:rsidR="00136211" w:rsidRPr="00C603F8">
        <w:rPr>
          <w:rFonts w:ascii="Times New Roman" w:hAnsi="Times New Roman" w:cs="Times New Roman"/>
          <w:b/>
        </w:rPr>
        <w:t>Vai trò điều tiết của sở hữu nhà nước trong mối quan hệ giữa chuyển đổi số và mức độ chấp nhận rủi ro của ngân hàng</w:t>
      </w:r>
    </w:p>
    <w:p w14:paraId="09276161" w14:textId="0A5C0DC1" w:rsidR="00136211" w:rsidRDefault="00136211" w:rsidP="00136211">
      <w:pPr>
        <w:spacing w:before="120" w:after="120" w:line="240" w:lineRule="auto"/>
        <w:ind w:firstLine="360"/>
        <w:jc w:val="both"/>
        <w:rPr>
          <w:rFonts w:ascii="Times New Roman" w:hAnsi="Times New Roman" w:cs="Times New Roman"/>
          <w:lang w:val="vi-VN"/>
        </w:rPr>
      </w:pPr>
      <w:r w:rsidRPr="00136211">
        <w:rPr>
          <w:rFonts w:ascii="Times New Roman" w:hAnsi="Times New Roman" w:cs="Times New Roman"/>
        </w:rPr>
        <w:t>Sở hữu nhà nước trong lĩnh vực ngân hàng là một hình thức trong đó các ngân hàng được nhà nước sở hữu toàn bộ hoặc một phần vốn cổ phần, dựa vào đó nhà nước có quyền kiểm soát đáng kể trong việc điều hành ngân hàng</w:t>
      </w:r>
      <w:r w:rsidRPr="00136211">
        <w:rPr>
          <w:rFonts w:ascii="Times New Roman" w:hAnsi="Times New Roman" w:cs="Times New Roman"/>
        </w:rPr>
        <w:fldChar w:fldCharType="begin"/>
      </w:r>
      <w:r w:rsidR="00D2274C">
        <w:rPr>
          <w:rFonts w:ascii="Times New Roman" w:hAnsi="Times New Roman" w:cs="Times New Roman"/>
        </w:rPr>
        <w:instrText xml:space="preserve"> ADDIN ZOTERO_ITEM CSL_CITATION {"citationID":"yFK6duaI","properties":{"formattedCitation":"\\super 24\\nosupersub{}","plainCitation":"24","noteIndex":0},"citationItems":[{"id":939,"uris":["http://zotero.org/users/local/1km6A5n5/items/4HNFMN93"],"itemData":{"id":939,"type":"article-journal","abstract":"This paper surveys the empirical literature examining bank privatization. We begin by documenting the extent of, theoretical rationale for, and measured performance of state-owned banks around the world, and then assess why many governments have chosen to privatize their often very large state-owned banking sectors. The empirical evidence clearly shows that state-owned banks are less efficient than privately owned banks, and that state domination of banking imposes increasingly severe penalties on those countries with the largest state banking sectors. On the other hand, there is little in the empirical record to suggest that privatization alone transforms the efficiency of divested banks, especially when these are only partially privatized. Privatization generally improves performance, but by far less than is typically observed in studies of non-financial industries. An increasingly common outcome of large-scale bank privatization programs is foreign ownership of many nations’ banking sector, which evidence suggests is usually positive in an economic sense, but problematic politically.","collection-title":"Bank Privatization","container-title":"Journal of Banking &amp; Finance","DOI":"10.1016/j.jbankfin.2005.03.005","ISSN":"0378-4266","issue":"8","journalAbbreviation":"Journal of Banking &amp; Finance","page":"1931-1980","source":"ScienceDirect","title":"The economics of bank privatization","volume":"29","author":[{"family":"Megginson","given":"William L."}],"issued":{"date-parts":[["2005",8,1]]}}}],"schema":"https://github.com/citation-style-language/schema/raw/master/csl-citation.json"} </w:instrText>
      </w:r>
      <w:r w:rsidRPr="00136211">
        <w:rPr>
          <w:rFonts w:ascii="Times New Roman" w:hAnsi="Times New Roman" w:cs="Times New Roman"/>
        </w:rPr>
        <w:fldChar w:fldCharType="separate"/>
      </w:r>
      <w:r w:rsidR="00D2274C" w:rsidRPr="00D2274C">
        <w:rPr>
          <w:rFonts w:ascii="Times New Roman" w:hAnsi="Times New Roman" w:cs="Times New Roman"/>
          <w:szCs w:val="24"/>
          <w:vertAlign w:val="superscript"/>
        </w:rPr>
        <w:t>24</w:t>
      </w:r>
      <w:r w:rsidRPr="00136211">
        <w:rPr>
          <w:rFonts w:ascii="Times New Roman" w:hAnsi="Times New Roman" w:cs="Times New Roman"/>
        </w:rPr>
        <w:fldChar w:fldCharType="end"/>
      </w:r>
      <w:r w:rsidRPr="00136211">
        <w:rPr>
          <w:rFonts w:ascii="Times New Roman" w:hAnsi="Times New Roman" w:cs="Times New Roman"/>
        </w:rPr>
        <w:t>. Sở hữu nhà nước có thể được phân loại từ mức độ sở hữu toàn bộ đến mức độ sở hữu một phần. Đây là một trong các cơ cấu sở hữu đặc trưng của các ngân hàng tại nhiều quốc gia, đặc biệt là các quốc gia đang phát triển, nơi hệ thống ngân hàng đóng vai trò quan trọng trong việc hỗ trợ mục tiêu kinh tế vĩ mô</w:t>
      </w:r>
      <w:r w:rsidRPr="00136211">
        <w:rPr>
          <w:rFonts w:ascii="Times New Roman" w:hAnsi="Times New Roman" w:cs="Times New Roman"/>
        </w:rPr>
        <w:fldChar w:fldCharType="begin"/>
      </w:r>
      <w:r w:rsidR="00D2274C">
        <w:rPr>
          <w:rFonts w:ascii="Times New Roman" w:hAnsi="Times New Roman" w:cs="Times New Roman"/>
        </w:rPr>
        <w:instrText xml:space="preserve"> ADDIN ZOTERO_ITEM CSL_CITATION {"citationID":"OJcwC1Sa","properties":{"formattedCitation":"\\super 25\\nosupersub{}","plainCitation":"25","noteIndex":0},"citationItems":[{"id":941,"uris":["http://zotero.org/users/local/1km6A5n5/items/PS5II3CD"],"itemData":{"id":941,"type":"article-journal","abstract":"We assemble data on government ownership of banks around the world. The data show that such ownership is large and pervasive, and higher in countries with low levels of per capita income, backward financial systems, interventionist and inefficient governments, and poor protection of property rights. Higher government ownership of banks in 1970 is associated with slower subsequent financial development and lower growth of per capita income and productivity. This evidence supports “political” theories of the effects of government ownership of firms.","container-title":"The Journal of Finance","DOI":"10.1111/1540-6261.00422","ISSN":"1540-6261","issue":"1","language":"en","license":"© 2002 the American Finance Association","note":"_eprint: https://onlinelibrary.wiley.com/doi/pdf/10.1111/1540-6261.00422","page":"265-301","source":"Wiley Online Library","title":"Government Ownership of Banks","volume":"57","author":[{"family":"La Porta","given":"Rafael"},{"family":"Lopez-De-Silanes","given":"Florencio"},{"family":"Shleifer","given":"Andrei"}],"issued":{"date-parts":[["2002"]]}}}],"schema":"https://github.com/citation-style-language/schema/raw/master/csl-citation.json"} </w:instrText>
      </w:r>
      <w:r w:rsidRPr="00136211">
        <w:rPr>
          <w:rFonts w:ascii="Times New Roman" w:hAnsi="Times New Roman" w:cs="Times New Roman"/>
        </w:rPr>
        <w:fldChar w:fldCharType="separate"/>
      </w:r>
      <w:r w:rsidR="00D2274C" w:rsidRPr="00D2274C">
        <w:rPr>
          <w:rFonts w:ascii="Times New Roman" w:hAnsi="Times New Roman" w:cs="Times New Roman"/>
          <w:szCs w:val="24"/>
          <w:vertAlign w:val="superscript"/>
        </w:rPr>
        <w:t>25</w:t>
      </w:r>
      <w:r w:rsidRPr="00136211">
        <w:rPr>
          <w:rFonts w:ascii="Times New Roman" w:hAnsi="Times New Roman" w:cs="Times New Roman"/>
        </w:rPr>
        <w:fldChar w:fldCharType="end"/>
      </w:r>
      <w:r w:rsidRPr="00136211">
        <w:rPr>
          <w:rFonts w:ascii="Times New Roman" w:hAnsi="Times New Roman" w:cs="Times New Roman"/>
        </w:rPr>
        <w:t>. Sở hữu nhà nước trong ngân hàng thường được đo lường bằng tỷ lệ phần trăm cổ phần mà nhà nước nắm giữ trong ngân hàng, hoặc số lượng thành viên trong ban quản trị được chính phủ chỉ định</w:t>
      </w:r>
      <w:r w:rsidRPr="00136211">
        <w:rPr>
          <w:rFonts w:ascii="Times New Roman" w:hAnsi="Times New Roman" w:cs="Times New Roman"/>
        </w:rPr>
        <w:fldChar w:fldCharType="begin"/>
      </w:r>
      <w:r w:rsidR="00D2274C">
        <w:rPr>
          <w:rFonts w:ascii="Times New Roman" w:hAnsi="Times New Roman" w:cs="Times New Roman"/>
        </w:rPr>
        <w:instrText xml:space="preserve"> ADDIN ZOTERO_ITEM CSL_CITATION {"citationID":"XdopQxDw","properties":{"formattedCitation":"\\super 26\\nosupersub{}","plainCitation":"26","noteIndex":0},"citationItems":[{"id":944,"uris":["http://zotero.org/users/local/1km6A5n5/items/PNUYUCGM"],"itemData":{"id":944,"type":"article-journal","abstract":"This paper examines how government ownership and government involvement in a country’s banking system affect bank performance from 1989 through 2004. Our study uncovers an interesting pattern of changing performance differences between state-owned and privately-owned banks around the Asian financial crisis. We find that state-owned banks operated less profitably, held less core capital, and had greater credit risk than privately-owned banks prior to 2001, and the performance differences are more significant in those countries with greater government involvement and political corruption in the banking system. In addition, from 1997 to 2000, the 4-year period after the beginning of the Asian financial crisis, the deterioration in the cash flow returns, core capital, and credit quality of state-owned banks was significantly greater than that of privately-owned banks, especially for the countries that were hardest hit by the Asian crisis. However, state-owned banks closed the gap with privately-owned banks on cash flow returns, core capital, and nonperforming loans in the post-crisis period of 2001–2004. Our findings can best be explained by Shleifer and Vishny’s [Shleifer, A., Vishny, R.W., 1997. A survey of corporate governance. J. Finance 52, 737–783] corporate governance theory on state ownership of firms and Kane’s [Kane, E.J., 2000. Capital movement, banking insolvency, and silent runs in the Asian financial crisis. Pacific-Basin Finance J. 8, 153–175] life-cycle model of a regulation-induced banking crisis.","container-title":"Journal of Financial Intermediation","DOI":"10.1016/j.jfi.2008.09.005","ISSN":"1042-9573","issue":"1","journalAbbreviation":"Journal of Financial Intermediation","page":"74-94","source":"ScienceDirect","title":"The impact of state ownership on performance differences in privately-owned versus state-owned banks: An international comparison","title-short":"The impact of state ownership on performance differences in privately-owned versus state-owned banks","volume":"19","author":[{"family":"Cornett","given":"Marcia Millon"},{"family":"Guo","given":"Lin"},{"family":"Khaksari","given":"Shahriar"},{"family":"Tehranian","given":"Hassan"}],"issued":{"date-parts":[["2010",1,1]]}}}],"schema":"https://github.com/citation-style-language/schema/raw/master/csl-citation.json"} </w:instrText>
      </w:r>
      <w:r w:rsidRPr="00136211">
        <w:rPr>
          <w:rFonts w:ascii="Times New Roman" w:hAnsi="Times New Roman" w:cs="Times New Roman"/>
        </w:rPr>
        <w:fldChar w:fldCharType="separate"/>
      </w:r>
      <w:r w:rsidR="00D2274C" w:rsidRPr="00D2274C">
        <w:rPr>
          <w:rFonts w:ascii="Times New Roman" w:hAnsi="Times New Roman" w:cs="Times New Roman"/>
          <w:szCs w:val="24"/>
          <w:vertAlign w:val="superscript"/>
        </w:rPr>
        <w:t>26</w:t>
      </w:r>
      <w:r w:rsidRPr="00136211">
        <w:rPr>
          <w:rFonts w:ascii="Times New Roman" w:hAnsi="Times New Roman" w:cs="Times New Roman"/>
        </w:rPr>
        <w:fldChar w:fldCharType="end"/>
      </w:r>
      <w:r w:rsidRPr="00136211">
        <w:rPr>
          <w:rFonts w:ascii="Times New Roman" w:hAnsi="Times New Roman" w:cs="Times New Roman"/>
        </w:rPr>
        <w:t>. Một số nghiên cứu cũng đo lường sở hữu nhà nước dựa trên mức độ can thiệp của nhà nước vào quá trình ra quyết định của ngân hàng hoặc mức độ hỗ trợ tài chính từ chính phủ trong những tình huống khẩn cấp</w:t>
      </w:r>
      <w:r w:rsidRPr="00136211">
        <w:rPr>
          <w:rFonts w:ascii="Times New Roman" w:hAnsi="Times New Roman" w:cs="Times New Roman"/>
        </w:rPr>
        <w:fldChar w:fldCharType="begin"/>
      </w:r>
      <w:r w:rsidR="00D2274C">
        <w:rPr>
          <w:rFonts w:ascii="Times New Roman" w:hAnsi="Times New Roman" w:cs="Times New Roman"/>
        </w:rPr>
        <w:instrText xml:space="preserve"> ADDIN ZOTERO_ITEM CSL_CITATION {"citationID":"gJN3RIRD","properties":{"formattedCitation":"\\super 27\\nosupersub{}","plainCitation":"27","noteIndex":0},"citationItems":[{"id":946,"uris":["http://zotero.org/users/local/1km6A5n5/items/A3G5EGWD"],"itemData":{"id":946,"type":"article-journal","abstract":"We investigate whether and how government interventions in the U.S. banking sector influence the stock market performance of corporate borrowers during the financial crisis of 2007–2009. We measure firms’ exposures to government interventions with an intervention score that is based on combined information on the firms’ structure of bank relationships and their banks’ participation in government capital support programs. We find that government capital infusions in banks have a significantly positive impact on borrowing firms’ stock returns. The effect is more pronounced for riskier and bank-dependent firms and for those that borrow from banks that are less capitalized and smaller.","container-title":"Journal of Financial and Quantitative Analysis","DOI":"10.1017/S0022109013000537","ISSN":"0022-1090, 1756-6916","issue":"5","language":"en","page":"1635-1662","source":"Cambridge University Press","title":"The Impact of Government Intervention in Banks on Corporate Borrowers’ Stock Returns","volume":"48","author":[{"family":"Norden","given":"Lars"},{"family":"Roosenboom","given":"Peter"},{"family":"Wang","given":"Teng"}],"issued":{"date-parts":[["2013",10]]}}}],"schema":"https://github.com/citation-style-language/schema/raw/master/csl-citation.json"} </w:instrText>
      </w:r>
      <w:r w:rsidRPr="00136211">
        <w:rPr>
          <w:rFonts w:ascii="Times New Roman" w:hAnsi="Times New Roman" w:cs="Times New Roman"/>
        </w:rPr>
        <w:fldChar w:fldCharType="separate"/>
      </w:r>
      <w:r w:rsidR="00D2274C" w:rsidRPr="00D2274C">
        <w:rPr>
          <w:rFonts w:ascii="Times New Roman" w:hAnsi="Times New Roman" w:cs="Times New Roman"/>
          <w:szCs w:val="24"/>
          <w:vertAlign w:val="superscript"/>
        </w:rPr>
        <w:t>27</w:t>
      </w:r>
      <w:r w:rsidRPr="00136211">
        <w:rPr>
          <w:rFonts w:ascii="Times New Roman" w:hAnsi="Times New Roman" w:cs="Times New Roman"/>
        </w:rPr>
        <w:fldChar w:fldCharType="end"/>
      </w:r>
      <w:r w:rsidRPr="00136211">
        <w:rPr>
          <w:rFonts w:ascii="Times New Roman" w:hAnsi="Times New Roman" w:cs="Times New Roman"/>
        </w:rPr>
        <w:t>.</w:t>
      </w:r>
    </w:p>
    <w:p w14:paraId="21B281E3" w14:textId="16EFDC4D" w:rsidR="00136211" w:rsidRDefault="00136211" w:rsidP="00136211">
      <w:pPr>
        <w:spacing w:before="120" w:after="120" w:line="240" w:lineRule="auto"/>
        <w:ind w:firstLine="360"/>
        <w:jc w:val="both"/>
        <w:rPr>
          <w:rFonts w:ascii="Times New Roman" w:hAnsi="Times New Roman" w:cs="Times New Roman"/>
          <w:lang w:val="vi-VN"/>
        </w:rPr>
      </w:pPr>
      <w:r w:rsidRPr="00136211">
        <w:rPr>
          <w:rFonts w:ascii="Times New Roman" w:hAnsi="Times New Roman" w:cs="Times New Roman"/>
          <w:lang w:val="vi-VN"/>
        </w:rPr>
        <w:t>Sở hữu nhà nước có thể đóng vai trò quan trọng trong việc ổn định hệ thống tài chính, đảm bảo cung cấp tín dụng cho các lĩnh vực ưu tiên và góp phần vào các mục tiêu phát triển kinh tế xã hội</w:t>
      </w:r>
      <w:r w:rsidRPr="00136211">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{"citationID":"WMhYfRjk","properties":{"formattedCitation":"\\super 28\\nosupersub{}","plainCitation":"28","noteIndex":0},"citationItems":[{"id":947,"uris":["http://zotero.org/users/local/1km6A5n5/items/FC7W54A5"],"itemData":{"id":947,"type":"article","abstract":"China's economy has been growing rapidly based on globalization of trade, but the country is only beginning to globalize its banking sector.  China's current banking reform includes partially privatizing three of its dominant Big Four state-owned banks and taking on minority foreign ownership of these institutions.  Other state-owned banks are also engaging in this practice.  Predicting the efficiency effects of these and other reforms is difficult because of little relevant background research evidence.  This paper helps to fill some of the gaps in the literature, analyzing the profit and cost efficiency of banks representing 95% of commercial banking assets in China over 1994-2003 with different majority and minority ownership structures.  The key findings are that the Big Four state-owned banks are by far the least efficient, and that minority foreign ownership of other banks is associated with significantly improved efficiency.  These and other findings suggest that minority foreign ownership of the Big Four and other reforms that allow foreign banks to play larger roles will likely improve the performance of the Chinese banking sector, with positive effects on economic growth.","DOI":"10.2139/ssrn.924246","event-place":"Rochester, NY","genre":"SSRN Scholarly Paper","language":"en","number":"924246","publisher":"Social Science Research Network","publisher-place":"Rochester, NY","source":"papers.ssrn.com","title":"Bank Ownership and Efficiency in China: What Will Happen in the World's Largest Nation?","title-short":"Bank Ownership and Efficiency in China","URL":"https://papers.ssrn.com/abstract=924246","author":[{"family":"Berger","given":"Allen N."},{"family":"Hasan","given":"Iftekhar"},{"family":"Zhou","given":"Mingming"}],"accessed":{"date-parts":[["2024",11,23]]},"issued":{"date-parts":[["2006",6,1]]}}}],"schema":"https://github.com/citation-style-language/schema/raw/master/csl-citation.json"} </w:instrText>
      </w:r>
      <w:r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28</w:t>
      </w:r>
      <w:r w:rsidRPr="00136211">
        <w:rPr>
          <w:rFonts w:ascii="Times New Roman" w:hAnsi="Times New Roman" w:cs="Times New Roman"/>
        </w:rPr>
        <w:fldChar w:fldCharType="end"/>
      </w:r>
      <w:r w:rsidRPr="00136211">
        <w:rPr>
          <w:rFonts w:ascii="Times New Roman" w:hAnsi="Times New Roman" w:cs="Times New Roman"/>
          <w:lang w:val="vi-VN"/>
        </w:rPr>
        <w:t xml:space="preserve">. </w:t>
      </w:r>
      <w:r w:rsidRPr="00F50E01">
        <w:rPr>
          <w:rFonts w:ascii="Times New Roman" w:hAnsi="Times New Roman" w:cs="Times New Roman"/>
          <w:lang w:val="vi-VN"/>
        </w:rPr>
        <w:t>Các ngân hàng có sở hữu nhà nước thường được kỳ vọng sẽ ưu tiên tính ổn định tài chính hơn lợi nhuận, giảm thiểu rủi ro hệ thống thông qua các chính sách an toàn hơn. Sở hữu nhà nước có ảnh hưởng sâu sắc đến hành vi chấp nhận rủi ro của các ngân hàng thương mại</w:t>
      </w:r>
      <w:r w:rsidRPr="00136211">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{"citationID":"K7Fkkm88","properties":{"formattedCitation":"\\super 29\\nosupersub{}","plainCitation":"29","noteIndex":0},"citationItems":[{"id":953,"uris":["http://zotero.org/users/local/1km6A5n5/items/S6VRLP97"],"itemData":{"id":953,"type":"article-journal","abstract":"This study examines the effect of ownership structure on the risk-taking behavior of banks in ASEAN countries. Using a sample of 96 commercial banks in ASEAN countries from 2002 to 2018, the study demonstrates that the relationship between ownership structure and bank risk-taking behavior is correlated with the characteristics of individual banks in terms of quantile regression. First, state ownership and foreign ownership affect bank risk-taking positively in high-risk banks while negatively in low-risk banks. Second, the relationship between ownership concentration and risk-taking is negative in all distributions of bank risk. These findings suggest that appropriate ownership structure can constrain bank risk-taking activities in accordance with the level of risk of each bank.","container-title":"Cogent Economics &amp; Finance","DOI":"10.1080/23322039.2020.1809789","ISSN":"null","issue":"1","note":"publisher: Cogent OA\n_eprint: https://doi.org/10.1080/23322039.2020.1809789","page":"1809789","source":"Taylor and Francis+NEJM","title":"Ownership structure and bank risk-taking in ASEAN countries: A quantile regression approach","title-short":"Ownership structure and bank risk-taking in ASEAN countries","volume":"8","author":[{"family":"Nguyen","given":"Quang Khai"}],"editor":[{"family":"Yang","given":"Zhaojun"}],"issued":{"date-parts":[["2020",1,1]]}}}],"schema":"https://github.com/citation-style-language/schema/raw/master/csl-citation.json"} </w:instrText>
      </w:r>
      <w:r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29</w:t>
      </w:r>
      <w:r w:rsidRPr="00136211">
        <w:rPr>
          <w:rFonts w:ascii="Times New Roman" w:hAnsi="Times New Roman" w:cs="Times New Roman"/>
        </w:rPr>
        <w:fldChar w:fldCharType="end"/>
      </w:r>
      <w:r w:rsidRPr="00F50E01">
        <w:rPr>
          <w:rFonts w:ascii="Times New Roman" w:hAnsi="Times New Roman" w:cs="Times New Roman"/>
          <w:lang w:val="vi-VN"/>
        </w:rPr>
        <w:t>. Các ngân hàng có sở hữu nhà nước thường có xu hướng ít chấp nhận rủi ro hơn so với các ngân hàng tư nhân vì ưu tiên của họ là ổn định tài chính và tuân thủ các chính sách của chính phủ</w:t>
      </w:r>
      <w:r w:rsidRPr="00136211">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{"citationID":"cgOGYzwE","properties":{"formattedCitation":"\\super 30\\nosupersub{}","plainCitation":"30","noteIndex":0},"citationItems":[{"id":853,"uris":["http://zotero.org/users/local/1km6A5n5/items/UU448CGP"],"itemData":{"id":853,"type":"article-journal","abstract":"This paper conducts the first empirical assessment of theories concerning risk taking by banks, their ownership structures, and national bank regulations. We focus on conflicts between bank managers and owners over risk, and we show that bank risk taking varies positively with the comparative power of shareholders within the corporate governance structure of each bank. Moreover, we show that the relation between bank risk and capital regulations, deposit insurance policies, and restrictions on bank activities depends critically on each bank's ownership structure, such that the actual sign of the marginal effect of regulation on risk varies with ownership concentration. These findings show that the same regulation has different effects on bank risk taking depending on the bank's corporate governance structure.","container-title":"Journal of Financial Economics","DOI":"10.1016/j.jfineco.2008.09.003","ISSN":"0304-405X","issue":"2","journalAbbreviation":"Journal of Financial Economics","page":"259-275","source":"ScienceDirect","title":"Bank governance, regulation and risk taking","volume":"93","author":[{"family":"Laeven","given":"Luc"},{"family":"Levine","given":"Ross"}],"issued":{"date-parts":[["2009",8,1]]}}}],"schema":"https://github.com/citation-style-language/schema/raw/master/csl-citation.json"} </w:instrText>
      </w:r>
      <w:r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30</w:t>
      </w:r>
      <w:r w:rsidRPr="00136211">
        <w:rPr>
          <w:rFonts w:ascii="Times New Roman" w:hAnsi="Times New Roman" w:cs="Times New Roman"/>
        </w:rPr>
        <w:fldChar w:fldCharType="end"/>
      </w:r>
      <w:r w:rsidRPr="00F50E01">
        <w:rPr>
          <w:rFonts w:ascii="Times New Roman" w:hAnsi="Times New Roman" w:cs="Times New Roman"/>
          <w:lang w:val="vi-VN"/>
        </w:rPr>
        <w:t xml:space="preserve">. </w:t>
      </w:r>
    </w:p>
    <w:p w14:paraId="077084B2" w14:textId="50A90166" w:rsidR="00136211" w:rsidRDefault="0033230F" w:rsidP="00136211">
      <w:pPr>
        <w:spacing w:before="120" w:after="120" w:line="240" w:lineRule="auto"/>
        <w:ind w:firstLine="360"/>
        <w:jc w:val="both"/>
        <w:rPr>
          <w:rFonts w:ascii="Times New Roman" w:hAnsi="Times New Roman" w:cs="Times New Roman"/>
          <w:lang w:val="vi-VN"/>
        </w:rPr>
      </w:pPr>
      <w:r w:rsidRPr="00BE4B8E">
        <w:rPr>
          <w:rFonts w:ascii="Times New Roman" w:hAnsi="Times New Roman" w:cs="Times New Roman"/>
          <w:lang w:val="vi-VN"/>
        </w:rPr>
        <w:t xml:space="preserve">Micco </w:t>
      </w:r>
      <w:r>
        <w:rPr>
          <w:rFonts w:ascii="Times New Roman" w:hAnsi="Times New Roman" w:cs="Times New Roman"/>
          <w:lang w:val="vi-VN"/>
        </w:rPr>
        <w:t>và cộng sự</w:t>
      </w:r>
      <w:r w:rsidR="00136211" w:rsidRPr="00136211">
        <w:rPr>
          <w:rFonts w:ascii="Times New Roman" w:hAnsi="Times New Roman" w:cs="Times New Roman"/>
        </w:rPr>
        <w:fldChar w:fldCharType="begin"/>
      </w:r>
      <w:r w:rsidR="00D2274C" w:rsidRPr="00BE4B8E">
        <w:rPr>
          <w:rFonts w:ascii="Times New Roman" w:hAnsi="Times New Roman" w:cs="Times New Roman"/>
          <w:lang w:val="vi-VN"/>
        </w:rPr>
        <w:instrText xml:space="preserve"> ADDIN ZOTERO_ITEM CSL_CITATION {"citationID":"2jyl6oRx","properties":{"formattedCitation":"\\super 31\\nosupersub{}","plainCitation":"31","noteIndex":0},"citationItems":[{"id":949,"uris":["http://zotero.org/users/local/1km6A5n5/items/EXQ84LWQ"],"itemData":{"id":949,"type":"article-journal","abstract":"This paper uses a new dataset to reassess the relationship between bank ownership and bank performance, providing separate estimations for developing and industrial countries. It finds that state-owned banks located in developing countries tend to have lower profitability and higher costs than their private counterparts, and that the opposite is true for foreign-owned banks. The paper finds no strong correlation between ownership and performance for banks located in industrial countries. Next, in order to test whether the differential in performance between public and private banks is driven by political considerations, the paper checks whether this differential widens during election years; it finds strong support for this hypothesis.","container-title":"Journal of Banking &amp; Finance","DOI":"10.1016/j.jbankfin.2006.02.007","ISSN":"0378-4266","issue":"1","journalAbbreviation":"Journal of Banking &amp; Finance","page":"219-241","source":"ScienceDirect","title":"Bank ownership and performance. Does politics matter?","volume":"31","author":[{"family":"Micco","given":"Alejandro"},{"family":"Panizza","given":"Ugo"},{"family":"Yañez","given":"Monica"}],"issued":{"date-parts":[["2007",1,1]]}}}],"schema":"https://github.com/citation-style-language/schema/raw/master/csl-citation.json"} </w:instrText>
      </w:r>
      <w:r w:rsidR="00136211"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31</w:t>
      </w:r>
      <w:r w:rsidR="00136211" w:rsidRPr="00136211">
        <w:rPr>
          <w:rFonts w:ascii="Times New Roman" w:hAnsi="Times New Roman" w:cs="Times New Roman"/>
        </w:rPr>
        <w:fldChar w:fldCharType="end"/>
      </w:r>
      <w:r w:rsidR="00136211" w:rsidRPr="00BE4B8E">
        <w:rPr>
          <w:rFonts w:ascii="Times New Roman" w:hAnsi="Times New Roman" w:cs="Times New Roman"/>
          <w:lang w:val="vi-VN"/>
        </w:rPr>
        <w:t xml:space="preserve"> chỉ ra rằng ngân hàng nhà nước thường có xu hướng hạn chế các khoản vay có rủi ro cao và ít đầu tư vào các danh mục rủi ro hơn để tránh các rủi ro tiềm ẩn đối với hệ thống tài chính. Bên cạnh đó, do sự giám sát chặt chẽ từ chính phủ và yêu cầu về quản trị an toàn, các ngân hàng có sở hữu nhà nước cũng thường triển khai các chính sách thận trọng hơn trong việc đánh giá và quản lý rủi ro</w:t>
      </w:r>
      <w:r w:rsidR="00136211" w:rsidRPr="00136211">
        <w:rPr>
          <w:rFonts w:ascii="Times New Roman" w:hAnsi="Times New Roman" w:cs="Times New Roman"/>
        </w:rPr>
        <w:fldChar w:fldCharType="begin"/>
      </w:r>
      <w:r w:rsidR="00D2274C" w:rsidRPr="00BE4B8E">
        <w:rPr>
          <w:rFonts w:ascii="Times New Roman" w:hAnsi="Times New Roman" w:cs="Times New Roman"/>
          <w:lang w:val="vi-VN"/>
        </w:rPr>
        <w:instrText xml:space="preserve"> ADDIN ZOTERO_ITEM CSL_CITATION {"citationID":"Y7VPwfXl","properties":{"formattedCitation":"\\super 26\\nosupersub{}","plainCitation":"26","noteIndex":0},"citationItems":[{"id":944,"uris":["http://zotero.org/users/local/1km6A5n5/items/PNUYUCGM"],"itemData":{"id":944,"type":"article-journal","abstract":"This paper examines how government ownership and government involvement in a country’s banking system affect bank performance from 1989 through 2004. Our study uncovers an interesting pattern of changing performance differences between state-owned and privately-owned banks around the Asian financial crisis. We find that state-owned banks operated less profitably, held less core capital, and had greater credit risk than privately-owned banks prior to 2001, and the performance differences are more significant in those countries with greater government involvement and political corruption in the banking system. In addition, from 1997 to 2000, the 4-year period after the beginning of the Asian financial crisis, the deterioration in the cash flow returns, core capital, and credit quality of state-owned banks was significantly greater than that of privately-owned banks, especially for the countries that were hardest hit by the Asian crisis. However, state-owned banks closed the gap with privately-owned banks on cash flow returns, core capital, and nonperforming loans in the post-crisis period of 2001–2004. Our findings can best be explained by Shleifer and Vishny’s [Shleifer, A., Vishny, R.W., 1997. A survey of corporate governance. J. Finance 52, 737–783] corporate governance theory on state ownership of firms and Kane’s [Kane, E.J., 2000. Capital movement, banking insolvency, and silent runs in the Asian financial crisis. Pacific-Basin Finance J. 8, 153–175] life-cycle model of a regulation-induced banking crisis.","container-title":"Journal of Financial Intermediation","DOI":"10.1016/j.jfi.2008.09.005","ISSN":"1042-9573","issue":"1","journalAbbreviation":"Journal of Financial Intermediation","page":"74-94","source":"ScienceDirect","title":"The impact of state ownership on performance differences in privately-owned versus state-owned banks: An international comparison","title-short":"The impact of state ownership on performance differences in privately-owned versus state-owned banks","volume":"19","author":[{"family":"Cornett","given":"Marcia Millon"},{"family":"Guo","given":"Lin"},{"family":"Khaksari","given":"Shahriar"},{"family":"Tehranian","given":"Hassan"}],"issued":{"date-parts":[["2010",1,1]]}}}],"schema":"https://github.com/citation-style-language/schema/raw/master/csl-citation.json"} </w:instrText>
      </w:r>
      <w:r w:rsidR="00136211"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26</w:t>
      </w:r>
      <w:r w:rsidR="00136211" w:rsidRPr="00136211">
        <w:rPr>
          <w:rFonts w:ascii="Times New Roman" w:hAnsi="Times New Roman" w:cs="Times New Roman"/>
        </w:rPr>
        <w:fldChar w:fldCharType="end"/>
      </w:r>
      <w:r w:rsidR="00136211" w:rsidRPr="00BE4B8E">
        <w:rPr>
          <w:rFonts w:ascii="Times New Roman" w:hAnsi="Times New Roman" w:cs="Times New Roman"/>
          <w:lang w:val="vi-VN"/>
        </w:rPr>
        <w:t>. Ngoài ra, sự giám sát từ nhà nước còn tạo ra một môi trường mà ở đó các ngân hàng nhà nước có thể tận dụng chuyển đổi số mà không phải chịu áp lực chấp nhận rủi ro như các ngân hàng tư nhân</w:t>
      </w:r>
      <w:r w:rsidR="00136211" w:rsidRPr="00136211">
        <w:rPr>
          <w:rFonts w:ascii="Times New Roman" w:hAnsi="Times New Roman" w:cs="Times New Roman"/>
        </w:rPr>
        <w:fldChar w:fldCharType="begin"/>
      </w:r>
      <w:r w:rsidR="00D2274C" w:rsidRPr="00BE4B8E">
        <w:rPr>
          <w:rFonts w:ascii="Times New Roman" w:hAnsi="Times New Roman" w:cs="Times New Roman"/>
          <w:lang w:val="vi-VN"/>
        </w:rPr>
        <w:instrText xml:space="preserve"> ADDIN ZOTERO_ITEM CSL_CITATION {"citationID":"RVYMHPa2","properties":{"formattedCitation":"\\super 23\\nosupersub{}","plainCitation":"23","noteIndex":0},"citationItems":[{"id":936,"uris":["http://zotero.org/users/local/1km6A5n5/items/NM3HUQG6"],"itemData":{"id":936,"type":"article-journal","abstract":"This study investigates the impact of bank digitalization on capital reallocation using the adoption of digital lending platforms and a difference-in-differences design. We find that digital transformation in banking facilitates the reallocation of capital from higher-risk to lower-risk sectors. This effect is particularly pronounced in regions with high levels of government influence and in city and rural commercial banks, which are more susceptible to government intervention. Our findings suggest that banks that implement digital platforms are better positioned to resist political pressures, as the data-driven, automated decision-making processes make it difficult to justify risky, politically motivated loans, while increased transparency limits local government influence over credit allocation. The effects of digitalization on capital reallocation are further amplified in banks with opaque information environments, weak internal control, and high credit risks. Additional analyses show that the adoption of digital lending platforms improves the timeliness of loan loss recognition, reduces bank risk, and enhances operating performance. This study contributes to the literature on digitalization by highlighting its role in improving capital allocation in the banking sector and offers insights into how technological advancements can mitigate the risks posed by political intervention and high-risk lending.","container-title":"Journal of Business Ethics","DOI":"10.1007/s10551-024-05844-3","ISSN":"1573-0697","journalAbbreviation":"J Bus Ethics","language":"en","source":"Springer Link","title":"Bank Digitalization and Capital Reallocation","URL":"https://doi.org/10.1007/s10551-024-05844-3","author":[{"family":"Wu","given":"Sirui"},{"family":"Tian","given":"Haowen"},{"family":"Wang","given":"Chenyu"}],"accessed":{"date-parts":[["2024",11,23]]},"issued":{"date-parts":[["2024",10,28]]}}}],"schema":"https://github.com/citation-style-language/schema/raw/master/csl-citation.json"} </w:instrText>
      </w:r>
      <w:r w:rsidR="00136211"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23</w:t>
      </w:r>
      <w:r w:rsidR="00136211" w:rsidRPr="00136211">
        <w:rPr>
          <w:rFonts w:ascii="Times New Roman" w:hAnsi="Times New Roman" w:cs="Times New Roman"/>
        </w:rPr>
        <w:fldChar w:fldCharType="end"/>
      </w:r>
      <w:r w:rsidR="00136211" w:rsidRPr="00BE4B8E">
        <w:rPr>
          <w:rFonts w:ascii="Times New Roman" w:hAnsi="Times New Roman" w:cs="Times New Roman"/>
          <w:lang w:val="vi-VN"/>
        </w:rPr>
        <w:t>. Do đó, sở hữu nhà nước có thể làm gia tăng tác động ngược chiều của chuyển đổi số đến hành vi chấp nhận rủi ro, vì các ngân hàng nhà nước thường ưu tiên duy trì an toàn và tuân thủ các quy định của chính phủ thay vì tối đa hóa lợi nhuận</w:t>
      </w:r>
      <w:r w:rsidR="00136211" w:rsidRPr="00136211">
        <w:rPr>
          <w:rFonts w:ascii="Times New Roman" w:hAnsi="Times New Roman" w:cs="Times New Roman"/>
        </w:rPr>
        <w:fldChar w:fldCharType="begin"/>
      </w:r>
      <w:r w:rsidR="00D2274C" w:rsidRPr="00BE4B8E">
        <w:rPr>
          <w:rFonts w:ascii="Times New Roman" w:hAnsi="Times New Roman" w:cs="Times New Roman"/>
          <w:lang w:val="vi-VN"/>
        </w:rPr>
        <w:instrText xml:space="preserve"> ADDIN ZOTERO_ITEM CSL_CITATION {"citationID":"icMnuso7","properties":{"formattedCitation":"\\super 24\\nosupersub{}","plainCitation":"24","noteIndex":0},"citationItems":[{"id":939,"uris":["http://zotero.org/users/local/1km6A5n5/items/4HNFMN93"],"itemData":{"id":939,"type":"article-journal","abstract":"This paper surveys the empirical literature examining bank privatization. We begin by documenting the extent of, theoretical rationale for, and measured performance of state-owned banks around the world, and then assess why many governments have chosen to privatize their often very large state-owned banking sectors. The empirical evidence clearly shows that state-owned banks are less efficient than privately owned banks, and that state domination of banking imposes increasingly severe penalties on those countries with the largest state banking sectors. On the other hand, there is little in the empirical record to suggest that privatization alone transforms the efficiency of divested banks, especially when these are only partially privatized. Privatization generally improves performance, but by far less than is typically observed in studies of non-financial industries. An increasingly common outcome of large-scale bank privatization programs is foreign ownership of many nations’ banking sector, which evidence suggests is usually positive in an economic sense, but problematic politically.","collection-title":"Bank Privatization","container-title":"Journal of Banking &amp; Finance","DOI":"10.1016/j.jbankfin.2005.03.005","ISSN":"0378-4266","issue":"8","journalAbbreviation":"Journal of Banking &amp; Finance","page":"1931-1980","source":"ScienceDirect","title":"The economics of bank privatization","volume":"29","author":[{"family":"Megginson","given":"William L."}],"issued":{"date-parts":[["2005",8,1]]}}}],"schema":"https://github.com/citation-style-language/schema/raw/master/csl-citation.json"} </w:instrText>
      </w:r>
      <w:r w:rsidR="00136211" w:rsidRPr="00136211">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24</w:t>
      </w:r>
      <w:r w:rsidR="00136211" w:rsidRPr="00136211">
        <w:rPr>
          <w:rFonts w:ascii="Times New Roman" w:hAnsi="Times New Roman" w:cs="Times New Roman"/>
        </w:rPr>
        <w:fldChar w:fldCharType="end"/>
      </w:r>
      <w:r w:rsidR="00136211" w:rsidRPr="00BE4B8E">
        <w:rPr>
          <w:rFonts w:ascii="Times New Roman" w:hAnsi="Times New Roman" w:cs="Times New Roman"/>
          <w:lang w:val="vi-VN"/>
        </w:rPr>
        <w:t xml:space="preserve">. </w:t>
      </w:r>
    </w:p>
    <w:p w14:paraId="3841D402" w14:textId="67F6F060" w:rsidR="00136211" w:rsidRPr="00BE4B8E" w:rsidRDefault="00136211" w:rsidP="00136211">
      <w:pPr>
        <w:spacing w:before="120" w:after="120" w:line="240" w:lineRule="auto"/>
        <w:ind w:firstLine="360"/>
        <w:jc w:val="both"/>
        <w:rPr>
          <w:rFonts w:ascii="Times New Roman" w:hAnsi="Times New Roman" w:cs="Times New Roman"/>
          <w:lang w:val="vi-VN"/>
        </w:rPr>
      </w:pPr>
      <w:r w:rsidRPr="000F1C9A">
        <w:rPr>
          <w:rFonts w:ascii="Times New Roman" w:hAnsi="Times New Roman" w:cs="Times New Roman"/>
          <w:lang w:val="vi-VN"/>
        </w:rPr>
        <w:t>Cho đến nay, theo sự hiểu biết của nhóm tác giả, các nghiên cứu cung cấp bằng chứng thực nghiệm chứng minh vai trò điều tiết của sở hữu nhà nước trong mối quan hệ giữa chuyển đổi số và hành vi chấp nhận rủi ro của ngân hàng thương mại còn khá hạn chế.</w:t>
      </w:r>
      <w:r w:rsidRPr="00136211">
        <w:rPr>
          <w:rFonts w:ascii="Times New Roman" w:hAnsi="Times New Roman" w:cs="Times New Roman"/>
          <w:lang w:val="vi-VN"/>
        </w:rPr>
        <w:t xml:space="preserve"> </w:t>
      </w:r>
      <w:r w:rsidRPr="00BE4B8E">
        <w:rPr>
          <w:rFonts w:ascii="Times New Roman" w:hAnsi="Times New Roman" w:cs="Times New Roman"/>
          <w:lang w:val="vi-VN"/>
        </w:rPr>
        <w:t>Do vậy, nghiên cứu này sẽ tập trung vào việc kiểm định vai trò điều tiết của sở hữu nhà nước đối với mối quan hệ giữa chuyển đổi số và mức độ chấp nhận rủi ro tại các NHTM Việt Nam để làm rõ khoảng trống nghiên cứu trên.</w:t>
      </w:r>
    </w:p>
    <w:p w14:paraId="42DA7CB6" w14:textId="384FAE5B" w:rsidR="00823469" w:rsidRPr="00136211" w:rsidRDefault="007B2E80" w:rsidP="007B2E80">
      <w:pPr>
        <w:pStyle w:val="ListParagraph"/>
        <w:numPr>
          <w:ilvl w:val="0"/>
          <w:numId w:val="1"/>
        </w:numPr>
        <w:tabs>
          <w:tab w:val="left" w:pos="450"/>
        </w:tabs>
        <w:spacing w:before="120" w:after="120" w:line="240" w:lineRule="auto"/>
        <w:ind w:left="0" w:firstLine="0"/>
        <w:jc w:val="both"/>
        <w:rPr>
          <w:rFonts w:asciiTheme="majorHAnsi" w:hAnsiTheme="majorHAnsi" w:cstheme="majorHAnsi"/>
          <w:b/>
          <w:bCs/>
          <w:lang w:val="vi-VN"/>
        </w:rPr>
      </w:pPr>
      <w:r>
        <w:rPr>
          <w:rFonts w:asciiTheme="majorHAnsi" w:hAnsiTheme="majorHAnsi" w:cstheme="majorHAnsi"/>
          <w:b/>
          <w:bCs/>
          <w:lang w:val="vi-VN"/>
        </w:rPr>
        <w:t>PHƯƠNG PHÁP NGHIÊN CỨU</w:t>
      </w:r>
    </w:p>
    <w:p w14:paraId="667DD829" w14:textId="32A77795" w:rsidR="00823469" w:rsidRPr="00D3269D" w:rsidRDefault="005853C1" w:rsidP="00D3269D">
      <w:pPr>
        <w:pStyle w:val="ListParagraph"/>
        <w:numPr>
          <w:ilvl w:val="0"/>
          <w:numId w:val="2"/>
        </w:numPr>
        <w:spacing w:before="120" w:after="120" w:line="240" w:lineRule="auto"/>
        <w:ind w:left="360"/>
        <w:jc w:val="both"/>
        <w:rPr>
          <w:rFonts w:asciiTheme="majorHAnsi" w:hAnsiTheme="majorHAnsi" w:cstheme="majorHAnsi"/>
          <w:b/>
          <w:bCs/>
          <w:lang w:val="vi-VN"/>
        </w:rPr>
      </w:pPr>
      <w:r w:rsidRPr="00D3269D">
        <w:rPr>
          <w:rFonts w:asciiTheme="majorHAnsi" w:hAnsiTheme="majorHAnsi" w:cstheme="majorHAnsi"/>
          <w:b/>
          <w:bCs/>
          <w:lang w:val="vi-VN"/>
        </w:rPr>
        <w:lastRenderedPageBreak/>
        <w:t>Dữ liệu nghiên cứu</w:t>
      </w:r>
    </w:p>
    <w:p w14:paraId="6399ADFA" w14:textId="693C7AFF" w:rsidR="003344A9" w:rsidRPr="00D3269D" w:rsidRDefault="003344A9" w:rsidP="00D3269D">
      <w:pPr>
        <w:spacing w:before="120" w:after="120" w:line="240" w:lineRule="auto"/>
        <w:ind w:firstLine="720"/>
        <w:jc w:val="both"/>
        <w:rPr>
          <w:rFonts w:asciiTheme="majorHAnsi" w:hAnsiTheme="majorHAnsi" w:cstheme="majorHAnsi"/>
          <w:lang w:val="vi-VN"/>
        </w:rPr>
      </w:pPr>
      <w:r w:rsidRPr="00D3269D">
        <w:rPr>
          <w:rFonts w:asciiTheme="majorHAnsi" w:hAnsiTheme="majorHAnsi" w:cstheme="majorHAnsi"/>
          <w:lang w:val="vi-VN"/>
        </w:rPr>
        <w:t>Để làm rõ vai trò điều tiết của cấu trúc sở hữu đến mối quan hệ giữa chuyển đổi số và mức độ chấp nhận rủi ro, nghiên cứu này sử dụng dữ liệu bảng không cân gồm các dữ liệu thuộc về đặc trưng của ngân hàng và dữ liệu về kinh tế vĩ mô. Dữ liệu thuộc về đặc trưng của ngân hàng được thu thập từ các báo cáo tài chính thường niên đã được kiểm toán của các ngân hàng thương mại Việt Nam; dữ liệu kinh tế vĩ mô được lấy từ nguồn dữ liệu mở của Ngân hàng Thế giới. Bên cạnh đó, để đo lường mức độ chuyển đổi số, nghiên cứu này sử dụng dữ liệu về Chỉ số sẵn sàng cho phát triển và ứng dụng công nghệ thông tin và truyền thông Việt Nam</w:t>
      </w:r>
      <w:r w:rsidR="00B338A6" w:rsidRPr="00D3269D">
        <w:rPr>
          <w:rFonts w:asciiTheme="majorHAnsi" w:hAnsiTheme="majorHAnsi" w:cstheme="majorHAnsi"/>
          <w:lang w:val="vi-VN"/>
        </w:rPr>
        <w:t xml:space="preserve"> (Vietnam ICT Index)</w:t>
      </w:r>
      <w:r w:rsidRPr="00D3269D">
        <w:rPr>
          <w:rFonts w:asciiTheme="majorHAnsi" w:hAnsiTheme="majorHAnsi" w:cstheme="majorHAnsi"/>
          <w:lang w:val="vi-VN"/>
        </w:rPr>
        <w:t xml:space="preserve"> </w:t>
      </w:r>
      <w:r w:rsidR="00B338A6" w:rsidRPr="00D3269D">
        <w:rPr>
          <w:rFonts w:asciiTheme="majorHAnsi" w:hAnsiTheme="majorHAnsi" w:cstheme="majorHAnsi"/>
          <w:lang w:val="vi-VN"/>
        </w:rPr>
        <w:t xml:space="preserve">được cung cấp bởi Bộ Thông tin và Truyền thông. Do tính sẵn có của ICT Index, </w:t>
      </w:r>
      <w:r w:rsidR="00346F97" w:rsidRPr="00BE4B8E">
        <w:rPr>
          <w:rFonts w:asciiTheme="majorHAnsi" w:hAnsiTheme="majorHAnsi" w:cstheme="majorHAnsi"/>
          <w:lang w:val="vi-VN"/>
        </w:rPr>
        <w:t>nhóm tác giả</w:t>
      </w:r>
      <w:r w:rsidR="00B338A6" w:rsidRPr="00D3269D">
        <w:rPr>
          <w:rFonts w:asciiTheme="majorHAnsi" w:hAnsiTheme="majorHAnsi" w:cstheme="majorHAnsi"/>
          <w:lang w:val="vi-VN"/>
        </w:rPr>
        <w:t xml:space="preserve"> sử dụng dữ liệu của </w:t>
      </w:r>
      <w:r w:rsidRPr="00D3269D">
        <w:rPr>
          <w:rFonts w:asciiTheme="majorHAnsi" w:hAnsiTheme="majorHAnsi" w:cstheme="majorHAnsi"/>
          <w:lang w:val="vi-VN"/>
        </w:rPr>
        <w:t>27 ngân hàng thương mại trong giai đoạn từ năm 2011 đến năm 2021.</w:t>
      </w:r>
      <w:r w:rsidR="00B338A6" w:rsidRPr="00D3269D">
        <w:rPr>
          <w:rFonts w:asciiTheme="majorHAnsi" w:hAnsiTheme="majorHAnsi" w:cstheme="majorHAnsi"/>
          <w:lang w:val="vi-VN"/>
        </w:rPr>
        <w:t xml:space="preserve"> Các ngân hàng được chọn trong mẫu nghiên cứu có dữ liệu ICT Index được cung cấp liên tục trong ít nhất 5 năm, các báo cáo tài chính được công bố rõ ràng và liên tục trong giai đoạn nghiên cứu. Dữ liệu sau khi được thu thập sẽ được loại bỏ các giá trị ngoại lai để đảm bảo độ tin cậy của kết quả ước lượng.</w:t>
      </w:r>
    </w:p>
    <w:p w14:paraId="2F9B0967" w14:textId="55E3285A" w:rsidR="00823469" w:rsidRPr="00D3269D" w:rsidRDefault="005853C1" w:rsidP="00D3269D">
      <w:pPr>
        <w:pStyle w:val="ListParagraph"/>
        <w:numPr>
          <w:ilvl w:val="0"/>
          <w:numId w:val="2"/>
        </w:numPr>
        <w:spacing w:before="120" w:after="120" w:line="240" w:lineRule="auto"/>
        <w:ind w:left="360"/>
        <w:jc w:val="both"/>
        <w:rPr>
          <w:rFonts w:asciiTheme="majorHAnsi" w:hAnsiTheme="majorHAnsi" w:cstheme="majorHAnsi"/>
          <w:b/>
          <w:bCs/>
          <w:lang w:val="vi-VN"/>
        </w:rPr>
      </w:pPr>
      <w:r w:rsidRPr="00D3269D">
        <w:rPr>
          <w:rFonts w:asciiTheme="majorHAnsi" w:hAnsiTheme="majorHAnsi" w:cstheme="majorHAnsi"/>
          <w:b/>
          <w:bCs/>
          <w:lang w:val="vi-VN"/>
        </w:rPr>
        <w:t>Biến nghiên cứu</w:t>
      </w:r>
    </w:p>
    <w:p w14:paraId="479A4AE0" w14:textId="1EE537FB" w:rsidR="0022656C" w:rsidRPr="00D3269D" w:rsidRDefault="0022656C" w:rsidP="00D3269D">
      <w:pPr>
        <w:pStyle w:val="ListParagraph"/>
        <w:numPr>
          <w:ilvl w:val="1"/>
          <w:numId w:val="2"/>
        </w:numPr>
        <w:spacing w:before="120" w:after="120" w:line="240" w:lineRule="auto"/>
        <w:ind w:left="720"/>
        <w:jc w:val="both"/>
        <w:rPr>
          <w:rFonts w:asciiTheme="majorHAnsi" w:hAnsiTheme="majorHAnsi" w:cstheme="majorHAnsi"/>
          <w:b/>
          <w:bCs/>
          <w:i/>
          <w:iCs/>
          <w:lang w:val="vi-VN"/>
        </w:rPr>
      </w:pPr>
      <w:r w:rsidRPr="00D3269D">
        <w:rPr>
          <w:rFonts w:asciiTheme="majorHAnsi" w:hAnsiTheme="majorHAnsi" w:cstheme="majorHAnsi"/>
          <w:b/>
          <w:bCs/>
          <w:i/>
          <w:iCs/>
          <w:lang w:val="vi-VN"/>
        </w:rPr>
        <w:t xml:space="preserve"> Biến phụ thuộc</w:t>
      </w:r>
    </w:p>
    <w:p w14:paraId="6ADE3C05" w14:textId="06B9671B" w:rsidR="0022656C" w:rsidRPr="00D3269D" w:rsidRDefault="0022656C" w:rsidP="00A717F9">
      <w:pPr>
        <w:spacing w:before="120" w:after="120" w:line="240" w:lineRule="auto"/>
        <w:ind w:firstLine="360"/>
        <w:jc w:val="both"/>
        <w:rPr>
          <w:rFonts w:asciiTheme="majorHAnsi" w:hAnsiTheme="majorHAnsi" w:cstheme="majorHAnsi"/>
          <w:lang w:val="vi-VN"/>
        </w:rPr>
      </w:pPr>
      <w:r w:rsidRPr="00D3269D">
        <w:rPr>
          <w:rFonts w:asciiTheme="majorHAnsi" w:hAnsiTheme="majorHAnsi" w:cstheme="majorHAnsi"/>
          <w:lang w:val="vi-VN"/>
        </w:rPr>
        <w:t>Mức độ chấp nhận rủi ro</w:t>
      </w:r>
      <w:r w:rsidR="00E14E6A" w:rsidRPr="00D3269D">
        <w:rPr>
          <w:rFonts w:asciiTheme="majorHAnsi" w:hAnsiTheme="majorHAnsi" w:cstheme="majorHAnsi"/>
          <w:lang w:val="vi-VN"/>
        </w:rPr>
        <w:t xml:space="preserve"> là kết quả của quá trình ra quyết định giữa rủi ro tiềm ẩn và lợi nhuận kỳ vọng, do đó nó</w:t>
      </w:r>
      <w:r w:rsidRPr="00D3269D">
        <w:rPr>
          <w:rFonts w:asciiTheme="majorHAnsi" w:hAnsiTheme="majorHAnsi" w:cstheme="majorHAnsi"/>
          <w:lang w:val="vi-VN"/>
        </w:rPr>
        <w:t xml:space="preserve"> thường được đo lường bởi chỉ số Z-score</w:t>
      </w:r>
      <w:r w:rsidR="000F1C9A">
        <w:rPr>
          <w:rFonts w:asciiTheme="majorHAnsi" w:hAnsiTheme="majorHAnsi" w:cstheme="majorHAnsi"/>
          <w:lang w:val="vi-VN"/>
        </w:rPr>
        <w:fldChar w:fldCharType="begin"/>
      </w:r>
      <w:r w:rsidR="000F1C9A">
        <w:rPr>
          <w:rFonts w:asciiTheme="majorHAnsi" w:hAnsiTheme="majorHAnsi" w:cstheme="majorHAnsi"/>
          <w:lang w:val="vi-VN"/>
        </w:rPr>
        <w:instrText xml:space="preserve"> ADDIN ZOTERO_ITEM CSL_CITATION {"citationID":"11OU56rM","properties":{"formattedCitation":"\\super 32\\uc0\\u8211{}36\\nosupersub{}","plainCitation":"32–36","noteIndex":0},"citationItems":[{"id":736,"uris":["http://zotero.org/users/local/1km6A5n5/items/CXP2KN7L"],"itemData":{"id":736,"type":"article-journal","abstract":"Using a multicountry panel of banks, we study whether better capitalized banks experienced higher stock returns during the financial crisis. We differentiate among various types of capital ratios: the Basel risk-adjusted ratio, the leverage ratio, the Tier 1 and Tier 2 ratios, and the tangible equity ratio. We find several results: (i) before the crisis, differences in capital did not have much impact on stock returns; (ii) during the crisis, a stronger capital position was associated with better stock market performance, most markedly for larger banks; (iii) the relationship between stock returns and capital is stronger when capital is measured by the leverage ratio rather than the risk-adjusted capital ratio; (iv) higher quality forms of capital, such as Tier 1 capital and tangible common equity, were more relevant.","container-title":"Journal of Money, Credit and Banking","ISSN":"0022-2879","issue":"6","note":"publisher: Wiley","page":"1147-1164","source":"JSTOR","title":"Bank Capital: Lessons from the Financial Crisis","title-short":"Bank Capital","volume":"45","author":[{"family":"Demirguc-Kunt","given":"Asli"},{"family":"Detragiache","given":"Enrica"},{"family":"Merrouche","given":"Ouarda"}],"issued":{"date-parts":[["2013"]]}}},{"id":766,"uris":["http://zotero.org/users/local/1km6A5n5/items/Y5VYJA63"],"itemData":{"id":766,"type":"article-journal","abstract":"We investigate bank capital, charter value, off-balance sheet activities, dividend payout ratio and size as determinants of bank equity risk (systematic risk, total risk, interest rate risk and idiosyncratic risk) and credit risk. Using information for 117 financial institutions across 15 European countries over the period 1996–2010, we find evidence of a convex (U-shaped) relation between bank capital and bank systematic risk and credit risk. We find mixed evidence on the relation between charter value and our measures of bank risk. The results also show a positive association between off-balance sheet activities and bank risk. It is also evident that dividend payout ratio is negatively related to all risk measures. We find large banks reflect higher total risk and lower credit risk. Following the creation of the Economic Monetary Union, we also observe an increase in bank risk sensitivity to both bank capital and off-balance sheet activities and a decrease in the sensitivity of bank risk to charter value. Finally, with regard to the impact of the recent global financial crisis, we find that the largest decline in the coefficient value is observed for bank capital relative to credit risk. These results are robust to various model specifications.","container-title":"Journal of International Financial Markets, Institutions and Money","DOI":"10.1016/j.intfin.2012.04.003","ISSN":"1042-4431","issue":"4","journalAbbreviation":"Journal of International Financial Markets, Institutions and Money","page":"696-718","source":"ScienceDirect","title":"Factors determining European bank risk","volume":"22","author":[{"family":"Haq","given":"Mamiza"},{"family":"Heaney","given":"Richard"}],"issued":{"date-parts":[["2012",10,1]]}}},{"id":695,"uris":["http://zotero.org/users/local/1km6A5n5/items/QBELFFAB"],"itemData":{"id":695,"type":"article-journal","abstract":"There is a large body of literature that concludes that-when confronted with increased competition-banks rationally choose more risky portfolios. We argue that this literature has had a significant influence on regulators and central bankers. We review the empirical literature and conclude that the evidence is best described as \"mixed.\" We then show that existing theoretical analyses of this topic are fragile, since there exist fundamental risk-incentive mechanisms that operate in exactly the opposite direction, causing banks to become more risky as their markets become more concentrated. These mechanisms should be essential ingredients of models of bank competition.","container-title":"The Journal of Finance","ISSN":"0022-1082","issue":"3","note":"publisher: [American Finance Association, Wiley]","page":"1329-1343","source":"JSTOR","title":"The Theory of Bank Risk Taking and Competition Revisited","volume":"60","author":[{"family":"Boyd","given":"John H."},{"family":"De Nicoló","given":"Gianni"}],"issued":{"date-parts":[["2005"]]}}},{"id":693,"uris":["http://zotero.org/users/local/1km6A5n5/items/CAU95IEF"],"itemData":{"id":693,"type":"article-journal","abstract":"The relationship between macroeconomic developments and bank capital buffer and portfolio risk adjustments is relevant to assess the efficacy of newly created countercyclical buffer requirements. Using the U.S. bank holding company data over the period 1992:Q1–2011:Q3, we find a negative relationship between the business cycle and capital buffer. Our results offer some support for the Basel III agreements that countercyclical capital buffer in the banking sector is necessary to help the performance of the real economy during recessions. We find a robust evidence of inverse relationship between business cycle and bank default risk. Our analysis provides evidence of diversification benefits. The probability of insolvency risk decreases for diversified banks and banks with high revenue diversity achieve capital savings.","container-title":"Journal of Banking &amp; Finance","DOI":"10.1016/j.jbankfin.2012.10.002","ISSN":"0378-4266","issue":"3","journalAbbreviation":"Journal of Banking &amp; Finance","page":"761-772","source":"ScienceDirect","title":"Bank capital buffer and portfolio risk: The influence of business cycle and revenue diversification","title-short":"Bank capital buffer and portfolio risk","volume":"37","author":[{"family":"Shim","given":"Jeungbo"}],"issued":{"date-parts":[["2013",3,1]]}}},{"id":706,"uris":["http://zotero.org/users/local/1km6A5n5/items/U9SXWMTU"],"itemData":{"id":706,"type":"article-journal","abstract":"If a bank is facing insolvency, it will be tempted to reject good loans and accept bad loans so as to shift risk onto its creditors. We analyze the effectiveness of buying up toxic mortgages in troubled banks, buying preferred stock, and buying common stock. If bailing out banks deemed “too big to fail” involves buying assets at above fair market values, then these banks are encouraged ex ante to gamble on bad assets. Buying up common (preferred) stock is always the most (least) ex ante- and ex post-efficient type of capital infusion, regardless of whether the bank volunteers for the recapitalization.","container-title":"Financial Markets and Portfolio Management","DOI":"10.1007/s11408-009-0125-y","ISSN":"2373-8529","issue":"1","journalAbbreviation":"Financ Mark Portf Manag","language":"en","page":"3-29","source":"Springer Link","title":"Common (stock) sense about risk-shifting and bank bailouts","volume":"24","author":[{"family":"Wilson","given":"Linus"},{"family":"Wu","given":"Yan Wendy"}],"issued":{"date-parts":[["2010",3,1]]}}}],"schema":"https://github.com/citation-style-language/schema/raw/master/csl-citation.json"} </w:instrText>
      </w:r>
      <w:r w:rsidR="000F1C9A">
        <w:rPr>
          <w:rFonts w:asciiTheme="majorHAnsi" w:hAnsiTheme="majorHAnsi" w:cstheme="majorHAnsi"/>
          <w:lang w:val="vi-VN"/>
        </w:rPr>
        <w:fldChar w:fldCharType="separate"/>
      </w:r>
      <w:r w:rsidR="000F1C9A" w:rsidRPr="00BE4B8E">
        <w:rPr>
          <w:rFonts w:ascii="Times New Roman" w:hAnsi="Times New Roman" w:cs="Times New Roman"/>
          <w:szCs w:val="24"/>
          <w:vertAlign w:val="superscript"/>
          <w:lang w:val="vi-VN"/>
        </w:rPr>
        <w:t>32–36</w:t>
      </w:r>
      <w:r w:rsidR="000F1C9A">
        <w:rPr>
          <w:rFonts w:asciiTheme="majorHAnsi" w:hAnsiTheme="majorHAnsi" w:cstheme="majorHAnsi"/>
          <w:lang w:val="vi-VN"/>
        </w:rPr>
        <w:fldChar w:fldCharType="end"/>
      </w:r>
      <w:r w:rsidR="00E14E6A" w:rsidRPr="00255C16">
        <w:rPr>
          <w:rFonts w:asciiTheme="majorHAnsi" w:hAnsiTheme="majorHAnsi" w:cstheme="majorHAnsi"/>
          <w:lang w:val="vi-VN"/>
        </w:rPr>
        <w:t>.</w:t>
      </w:r>
      <w:r w:rsidR="00E14E6A" w:rsidRPr="00D3269D">
        <w:rPr>
          <w:rFonts w:asciiTheme="majorHAnsi" w:hAnsiTheme="majorHAnsi" w:cstheme="majorHAnsi"/>
          <w:lang w:val="vi-VN"/>
        </w:rPr>
        <w:t xml:space="preserve"> </w:t>
      </w:r>
      <w:r w:rsidRPr="00D3269D">
        <w:rPr>
          <w:rFonts w:asciiTheme="majorHAnsi" w:hAnsiTheme="majorHAnsi" w:cstheme="majorHAnsi"/>
          <w:lang w:val="vi-VN"/>
        </w:rPr>
        <w:t xml:space="preserve">Giá trị </w:t>
      </w:r>
      <w:r w:rsidR="00E14E6A" w:rsidRPr="00D3269D">
        <w:rPr>
          <w:rFonts w:asciiTheme="majorHAnsi" w:hAnsiTheme="majorHAnsi" w:cstheme="majorHAnsi"/>
          <w:lang w:val="vi-VN"/>
        </w:rPr>
        <w:t>Z-score càng lớn chứng tỏ</w:t>
      </w:r>
      <w:r w:rsidRPr="00D3269D">
        <w:rPr>
          <w:rFonts w:asciiTheme="majorHAnsi" w:hAnsiTheme="majorHAnsi" w:cstheme="majorHAnsi"/>
          <w:lang w:val="vi-VN"/>
        </w:rPr>
        <w:t xml:space="preserve"> </w:t>
      </w:r>
      <w:r w:rsidR="00E14E6A" w:rsidRPr="00D3269D">
        <w:rPr>
          <w:rFonts w:asciiTheme="majorHAnsi" w:hAnsiTheme="majorHAnsi" w:cstheme="majorHAnsi"/>
          <w:lang w:val="vi-VN"/>
        </w:rPr>
        <w:t xml:space="preserve">mức độ </w:t>
      </w:r>
      <w:r w:rsidRPr="00D3269D">
        <w:rPr>
          <w:rFonts w:asciiTheme="majorHAnsi" w:hAnsiTheme="majorHAnsi" w:cstheme="majorHAnsi"/>
          <w:lang w:val="vi-VN"/>
        </w:rPr>
        <w:t xml:space="preserve">chấp nhận rủi ro </w:t>
      </w:r>
      <w:r w:rsidR="00E14E6A" w:rsidRPr="00D3269D">
        <w:rPr>
          <w:rFonts w:asciiTheme="majorHAnsi" w:hAnsiTheme="majorHAnsi" w:cstheme="majorHAnsi"/>
          <w:lang w:val="vi-VN"/>
        </w:rPr>
        <w:t>càng thấp</w:t>
      </w:r>
      <w:r w:rsidR="000F1C9A">
        <w:rPr>
          <w:rFonts w:asciiTheme="majorHAnsi" w:hAnsiTheme="majorHAnsi" w:cstheme="majorHAnsi"/>
          <w:lang w:val="vi-VN"/>
        </w:rPr>
        <w:fldChar w:fldCharType="begin"/>
      </w:r>
      <w:r w:rsidR="000F1C9A">
        <w:rPr>
          <w:rFonts w:asciiTheme="majorHAnsi" w:hAnsiTheme="majorHAnsi" w:cstheme="majorHAnsi"/>
          <w:lang w:val="vi-VN"/>
        </w:rPr>
        <w:instrText xml:space="preserve"> ADDIN ZOTERO_ITEM CSL_CITATION {"citationID":"vJj3Pwl2","properties":{"formattedCitation":"\\super 37,38\\nosupersub{}","plainCitation":"37,38","noteIndex":0},"citationItems":[{"id":733,"uris":["http://zotero.org/users/local/1km6A5n5/items/ZAGAFTMX"],"itemData":{"id":733,"type":"article-journal","abstract":"This paper examines the impact of political institutions on bank risk-taking behavior. Using an international sample of banks from 98 countries over the period 1998–2007, I document that sound political institutions stimulate higher bank risk-taking. This is consistent with the hypotheses that better political institutions increase banks’ risk by boosting the credit market competition from alternative sources of finance and generating the moral hazard problems due to the expectation of government bailouts in worst economic conditions. While it is contrary to the hypotheses that better political institutions decrease banks’ risk by lowering the government expropriation risk and the information asymmetries between banks and borrowers. The results are robust to a number of sensitivity tests, including alternative proxies of bank risk-taking and political institutions, cross-sectional bank- and country-level regressions, endogeneity concerns of political institutions, country income levels, explicit deposit insurance schemes and sample extension from 1998 to 2014. I also examine the interdependence between political and legal institutions and find that political and legal institutions complement each other to influence bank risk-taking behavior.","container-title":"Journal of Financial Stability","DOI":"10.1016/j.jfs.2017.01.004","ISSN":"1572-3089","journalAbbreviation":"Journal of Financial Stability","page":"13-35","source":"ScienceDirect","title":"Political institutions and bank risk-taking behavior","volume":"29","author":[{"family":"Ashraf","given":"Badar Nadeem"}],"issued":{"date-parts":[["2017",4,1]]}}},{"id":730,"uris":["http://zotero.org/users/local/1km6A5n5/items/RRMV8RLH"],"itemData":{"id":730,"type":"article-journal","abstract":"This study is an empirical investigation of theoretical predictions concerning the impact of bank competition on bank risk and asset allocations. Recent work (Boyd, De Nicolò and Jalal, 2009, BDNJ henceforth) predicts that as competition in banking increases, the loan-to-asset ratio will rise (under reasonable assumptions), but the probability of bank failure can either increase or decrease. However, the probability of bank failure will fall if and only if borrowers’ response to take on less risk as loan rates decline is sufficiently strong. We test these predictions using two samples with radically different attributes. With both, we find that banks’ probability of failure is negatively and significantly related to measures of competition. We also find that as competition intensifies, borrower risk decreases and the loan-to-asset ratio increases. These results are consistent with the predictions of the BDNJ model.","collection-title":"CESifo Working Paper Series","container-title":"CESifo Working Paper Series","language":"en","note":"number: 3198\npublisher: CESifo","source":"ideas.repec.org","title":"Bank Competition, Asset Allocations and Risk of Failure: An Empirical Investigation","title-short":"Bank Competition, Asset Allocations and Risk of Failure","URL":"https://ideas.repec.org//p/ces/ceswps/_3198.html","author":[{"family":"Boyd","given":"John"},{"family":"Nicolò","given":"Gianni De"},{"family":"Jalal","given":"Abu M."}],"accessed":{"date-parts":[["2024",10,30]]},"issued":{"date-parts":[["2010"]]}}}],"schema":"https://github.com/citation-style-language/schema/raw/master/csl-citation.json"} </w:instrText>
      </w:r>
      <w:r w:rsidR="000F1C9A">
        <w:rPr>
          <w:rFonts w:asciiTheme="majorHAnsi" w:hAnsiTheme="majorHAnsi" w:cstheme="majorHAnsi"/>
          <w:lang w:val="vi-VN"/>
        </w:rPr>
        <w:fldChar w:fldCharType="separate"/>
      </w:r>
      <w:r w:rsidR="000F1C9A" w:rsidRPr="000F1C9A">
        <w:rPr>
          <w:rFonts w:ascii="Times New Roman" w:hAnsi="Times New Roman" w:cs="Times New Roman"/>
          <w:szCs w:val="24"/>
          <w:vertAlign w:val="superscript"/>
        </w:rPr>
        <w:t>37,38</w:t>
      </w:r>
      <w:r w:rsidR="000F1C9A">
        <w:rPr>
          <w:rFonts w:asciiTheme="majorHAnsi" w:hAnsiTheme="majorHAnsi" w:cstheme="majorHAnsi"/>
          <w:lang w:val="vi-VN"/>
        </w:rPr>
        <w:fldChar w:fldCharType="end"/>
      </w:r>
      <w:r w:rsidRPr="00D3269D">
        <w:rPr>
          <w:rFonts w:asciiTheme="majorHAnsi" w:hAnsiTheme="majorHAnsi" w:cstheme="majorHAnsi"/>
          <w:lang w:val="vi-VN"/>
        </w:rPr>
        <w:t xml:space="preserve">. </w:t>
      </w:r>
    </w:p>
    <w:tbl>
      <w:tblPr>
        <w:tblStyle w:val="TableGrid"/>
        <w:tblW w:w="0" w:type="auto"/>
        <w:tblInd w:w="1440" w:type="dxa"/>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458"/>
        <w:gridCol w:w="4302"/>
      </w:tblGrid>
      <w:tr w:rsidR="00E14E6A" w:rsidRPr="005049F0" w14:paraId="0A7F9A29" w14:textId="77777777" w:rsidTr="002F1318">
        <w:tc>
          <w:tcPr>
            <w:tcW w:w="1458" w:type="dxa"/>
            <w:vMerge w:val="restart"/>
            <w:vAlign w:val="center"/>
          </w:tcPr>
          <w:p w14:paraId="6F9F5F00" w14:textId="057CECD9" w:rsidR="00E14E6A" w:rsidRPr="00D3269D" w:rsidRDefault="002F1318" w:rsidP="00D3269D">
            <w:pPr>
              <w:spacing w:before="120" w:after="120"/>
              <w:jc w:val="center"/>
              <w:rPr>
                <w:rFonts w:asciiTheme="majorHAnsi" w:hAnsiTheme="majorHAnsi" w:cstheme="majorHAnsi"/>
                <w:lang w:val="vi-VN"/>
              </w:rPr>
            </w:pPr>
            <w:r w:rsidRPr="00D3269D">
              <w:rPr>
                <w:rFonts w:asciiTheme="majorHAnsi" w:hAnsiTheme="majorHAnsi" w:cstheme="majorHAnsi"/>
                <w:lang w:val="en-US"/>
              </w:rPr>
              <w:t>Z</w:t>
            </w:r>
            <w:r w:rsidRPr="00D3269D">
              <w:rPr>
                <w:rFonts w:asciiTheme="majorHAnsi" w:hAnsiTheme="majorHAnsi" w:cstheme="majorHAnsi"/>
                <w:lang w:val="vi-VN"/>
              </w:rPr>
              <w:t>-score</w:t>
            </w:r>
            <w:r w:rsidR="00E14E6A" w:rsidRPr="00D3269D">
              <w:rPr>
                <w:rFonts w:asciiTheme="majorHAnsi" w:hAnsiTheme="majorHAnsi" w:cstheme="majorHAnsi"/>
                <w:vertAlign w:val="subscript"/>
                <w:lang w:val="vi-VN"/>
              </w:rPr>
              <w:t>it</w:t>
            </w:r>
            <w:r w:rsidR="00E14E6A" w:rsidRPr="00D3269D">
              <w:rPr>
                <w:rFonts w:asciiTheme="majorHAnsi" w:hAnsiTheme="majorHAnsi" w:cstheme="majorHAnsi"/>
                <w:lang w:val="vi-VN"/>
              </w:rPr>
              <w:t xml:space="preserve"> =</w:t>
            </w:r>
          </w:p>
        </w:tc>
        <w:tc>
          <w:tcPr>
            <w:tcW w:w="4302" w:type="dxa"/>
          </w:tcPr>
          <w:p w14:paraId="500C7F61" w14:textId="0637451E" w:rsidR="00E14E6A" w:rsidRPr="00D3269D" w:rsidRDefault="00E14E6A" w:rsidP="00D3269D">
            <w:pPr>
              <w:spacing w:before="120" w:after="120"/>
              <w:jc w:val="center"/>
              <w:rPr>
                <w:rFonts w:asciiTheme="majorHAnsi" w:hAnsiTheme="majorHAnsi" w:cstheme="majorHAnsi"/>
                <w:lang w:val="vi-VN"/>
              </w:rPr>
            </w:pPr>
            <w:r w:rsidRPr="00D3269D">
              <w:rPr>
                <w:rFonts w:asciiTheme="majorHAnsi" w:hAnsiTheme="majorHAnsi" w:cstheme="majorHAnsi"/>
                <w:lang w:val="vi-VN"/>
              </w:rPr>
              <w:t>ROA</w:t>
            </w:r>
            <w:r w:rsidRPr="00D3269D">
              <w:rPr>
                <w:rFonts w:asciiTheme="majorHAnsi" w:hAnsiTheme="majorHAnsi" w:cstheme="majorHAnsi"/>
                <w:vertAlign w:val="subscript"/>
                <w:lang w:val="vi-VN"/>
              </w:rPr>
              <w:t>it</w:t>
            </w:r>
            <w:r w:rsidRPr="00D3269D">
              <w:rPr>
                <w:rFonts w:asciiTheme="majorHAnsi" w:hAnsiTheme="majorHAnsi" w:cstheme="majorHAnsi"/>
                <w:lang w:val="vi-VN"/>
              </w:rPr>
              <w:t xml:space="preserve"> + </w:t>
            </w:r>
            <w:r w:rsidR="002F1318" w:rsidRPr="00D3269D">
              <w:rPr>
                <w:rFonts w:asciiTheme="majorHAnsi" w:hAnsiTheme="majorHAnsi" w:cstheme="majorHAnsi"/>
                <w:lang w:val="vi-VN"/>
              </w:rPr>
              <w:t>Vốn chủ sở hữu</w:t>
            </w:r>
            <w:r w:rsidRPr="00D3269D">
              <w:rPr>
                <w:rFonts w:asciiTheme="majorHAnsi" w:hAnsiTheme="majorHAnsi" w:cstheme="majorHAnsi"/>
                <w:vertAlign w:val="subscript"/>
                <w:lang w:val="vi-VN"/>
              </w:rPr>
              <w:t>it</w:t>
            </w:r>
            <w:r w:rsidRPr="00D3269D">
              <w:rPr>
                <w:rFonts w:asciiTheme="majorHAnsi" w:hAnsiTheme="majorHAnsi" w:cstheme="majorHAnsi"/>
                <w:lang w:val="vi-VN"/>
              </w:rPr>
              <w:t>/</w:t>
            </w:r>
            <w:r w:rsidR="002F1318" w:rsidRPr="00D3269D">
              <w:rPr>
                <w:rFonts w:asciiTheme="majorHAnsi" w:hAnsiTheme="majorHAnsi" w:cstheme="majorHAnsi"/>
                <w:lang w:val="vi-VN"/>
              </w:rPr>
              <w:t>Tổng tài sản</w:t>
            </w:r>
            <w:r w:rsidRPr="00D3269D">
              <w:rPr>
                <w:rFonts w:asciiTheme="majorHAnsi" w:hAnsiTheme="majorHAnsi" w:cstheme="majorHAnsi"/>
                <w:vertAlign w:val="subscript"/>
                <w:lang w:val="vi-VN"/>
              </w:rPr>
              <w:t>it</w:t>
            </w:r>
            <w:r w:rsidRPr="00D3269D">
              <w:rPr>
                <w:rFonts w:asciiTheme="majorHAnsi" w:hAnsiTheme="majorHAnsi" w:cstheme="majorHAnsi"/>
                <w:lang w:val="vi-VN"/>
              </w:rPr>
              <w:t xml:space="preserve"> </w:t>
            </w:r>
          </w:p>
        </w:tc>
      </w:tr>
      <w:tr w:rsidR="00E14E6A" w:rsidRPr="00D3269D" w14:paraId="11CA7056" w14:textId="77777777" w:rsidTr="002F1318">
        <w:tc>
          <w:tcPr>
            <w:tcW w:w="1458" w:type="dxa"/>
            <w:vMerge/>
          </w:tcPr>
          <w:p w14:paraId="5C49DC47" w14:textId="77777777" w:rsidR="00E14E6A" w:rsidRPr="00D3269D" w:rsidRDefault="00E14E6A" w:rsidP="00D3269D">
            <w:pPr>
              <w:spacing w:before="120" w:after="120"/>
              <w:jc w:val="both"/>
              <w:rPr>
                <w:rFonts w:asciiTheme="majorHAnsi" w:hAnsiTheme="majorHAnsi" w:cstheme="majorHAnsi"/>
                <w:lang w:val="vi-VN"/>
              </w:rPr>
            </w:pPr>
          </w:p>
        </w:tc>
        <w:tc>
          <w:tcPr>
            <w:tcW w:w="4302" w:type="dxa"/>
          </w:tcPr>
          <w:p w14:paraId="18947147" w14:textId="77777777" w:rsidR="00E14E6A" w:rsidRPr="00D3269D" w:rsidRDefault="00E14E6A" w:rsidP="00D3269D">
            <w:pPr>
              <w:spacing w:before="120" w:after="120"/>
              <w:jc w:val="center"/>
              <w:rPr>
                <w:rFonts w:asciiTheme="majorHAnsi" w:hAnsiTheme="majorHAnsi" w:cstheme="majorHAnsi"/>
                <w:lang w:val="vi-VN"/>
              </w:rPr>
            </w:pPr>
            <w:r w:rsidRPr="00D3269D">
              <w:rPr>
                <w:rFonts w:asciiTheme="majorHAnsi" w:hAnsiTheme="majorHAnsi" w:cstheme="majorHAnsi"/>
                <w:lang w:val="vi-VN"/>
              </w:rPr>
              <w:t>∂ROA</w:t>
            </w:r>
            <w:r w:rsidRPr="00D3269D">
              <w:rPr>
                <w:rFonts w:asciiTheme="majorHAnsi" w:hAnsiTheme="majorHAnsi" w:cstheme="majorHAnsi"/>
                <w:vertAlign w:val="subscript"/>
                <w:lang w:val="vi-VN"/>
              </w:rPr>
              <w:t>it</w:t>
            </w:r>
          </w:p>
        </w:tc>
      </w:tr>
    </w:tbl>
    <w:p w14:paraId="75385325" w14:textId="0B3C0188" w:rsidR="0022656C" w:rsidRPr="00D3269D" w:rsidRDefault="00E14E6A" w:rsidP="00A717F9">
      <w:pPr>
        <w:spacing w:before="120" w:after="120" w:line="240" w:lineRule="auto"/>
        <w:ind w:firstLine="360"/>
        <w:jc w:val="both"/>
        <w:rPr>
          <w:rFonts w:asciiTheme="majorHAnsi" w:hAnsiTheme="majorHAnsi" w:cstheme="majorHAnsi"/>
          <w:lang w:val="vi-VN"/>
        </w:rPr>
      </w:pPr>
      <w:r w:rsidRPr="00D3269D">
        <w:rPr>
          <w:rFonts w:asciiTheme="majorHAnsi" w:hAnsiTheme="majorHAnsi" w:cstheme="majorHAnsi"/>
        </w:rPr>
        <w:t>T</w:t>
      </w:r>
      <w:r w:rsidRPr="00D3269D">
        <w:rPr>
          <w:rFonts w:asciiTheme="majorHAnsi" w:hAnsiTheme="majorHAnsi" w:cstheme="majorHAnsi"/>
          <w:lang w:val="vi-VN"/>
        </w:rPr>
        <w:t xml:space="preserve">rong đó i biểu thị ngân hàng, t biểu thị khoảng thời gian, ROA là </w:t>
      </w:r>
      <w:r w:rsidR="002F1318" w:rsidRPr="00D3269D">
        <w:rPr>
          <w:rFonts w:asciiTheme="majorHAnsi" w:hAnsiTheme="majorHAnsi" w:cstheme="majorHAnsi"/>
          <w:lang w:val="vi-VN"/>
        </w:rPr>
        <w:t xml:space="preserve">tỷ suất sinh lời </w:t>
      </w:r>
      <w:r w:rsidRPr="00D3269D">
        <w:rPr>
          <w:rFonts w:asciiTheme="majorHAnsi" w:hAnsiTheme="majorHAnsi" w:cstheme="majorHAnsi"/>
          <w:lang w:val="vi-VN"/>
        </w:rPr>
        <w:t>trên</w:t>
      </w:r>
      <w:r w:rsidR="002F1318" w:rsidRPr="00D3269D">
        <w:rPr>
          <w:rFonts w:asciiTheme="majorHAnsi" w:hAnsiTheme="majorHAnsi" w:cstheme="majorHAnsi"/>
          <w:lang w:val="vi-VN"/>
        </w:rPr>
        <w:t xml:space="preserve"> tổng</w:t>
      </w:r>
      <w:r w:rsidRPr="00D3269D">
        <w:rPr>
          <w:rFonts w:asciiTheme="majorHAnsi" w:hAnsiTheme="majorHAnsi" w:cstheme="majorHAnsi"/>
          <w:lang w:val="vi-VN"/>
        </w:rPr>
        <w:t xml:space="preserve"> tài sản </w:t>
      </w:r>
      <w:r w:rsidR="002F1318" w:rsidRPr="00D3269D">
        <w:rPr>
          <w:rFonts w:asciiTheme="majorHAnsi" w:hAnsiTheme="majorHAnsi" w:cstheme="majorHAnsi"/>
          <w:lang w:val="vi-VN"/>
        </w:rPr>
        <w:t xml:space="preserve">bình quân </w:t>
      </w:r>
      <w:r w:rsidRPr="00D3269D">
        <w:rPr>
          <w:rFonts w:asciiTheme="majorHAnsi" w:hAnsiTheme="majorHAnsi" w:cstheme="majorHAnsi"/>
          <w:lang w:val="vi-VN"/>
        </w:rPr>
        <w:t xml:space="preserve">và ∂ROA là độ lệch chuẩn của ROA. Để việc luận giải cho kết quả nghiên cứu dễ dàng hơn, dựa trên các nghiên cứu trước đây, chúng tôi sử dụng logarit tự nhiên của giá trị nghịch đảo của Z-score (ký hiệu là </w:t>
      </w:r>
      <w:r w:rsidRPr="00255C16">
        <w:rPr>
          <w:rFonts w:asciiTheme="majorHAnsi" w:hAnsiTheme="majorHAnsi" w:cstheme="majorHAnsi"/>
          <w:lang w:val="vi-VN"/>
        </w:rPr>
        <w:t>Z)</w:t>
      </w:r>
      <w:r w:rsidR="000F1C9A">
        <w:rPr>
          <w:rFonts w:asciiTheme="majorHAnsi" w:hAnsiTheme="majorHAnsi" w:cstheme="majorHAnsi"/>
          <w:lang w:val="vi-VN"/>
        </w:rPr>
        <w:fldChar w:fldCharType="begin"/>
      </w:r>
      <w:r w:rsidR="000F1C9A">
        <w:rPr>
          <w:rFonts w:asciiTheme="majorHAnsi" w:hAnsiTheme="majorHAnsi" w:cstheme="majorHAnsi"/>
          <w:lang w:val="vi-VN"/>
        </w:rPr>
        <w:instrText xml:space="preserve"> ADDIN ZOTERO_ITEM CSL_CITATION {"citationID":"gBqXhskD","properties":{"formattedCitation":"\\super 37,39,40\\nosupersub{}","plainCitation":"37,39,40","noteIndex":0},"citationItems":[{"id":733,"uris":["http://zotero.org/users/local/1km6A5n5/items/ZAGAFTMX"],"itemData":{"id":733,"type":"article-journal","abstract":"This paper examines the impact of political institutions on bank risk-taking behavior. Using an international sample of banks from 98 countries over the period 1998–2007, I document that sound political institutions stimulate higher bank risk-taking. This is consistent with the hypotheses that better political institutions increase banks’ risk by boosting the credit market competition from alternative sources of finance and generating the moral hazard problems due to the expectation of government bailouts in worst economic conditions. While it is contrary to the hypotheses that better political institutions decrease banks’ risk by lowering the government expropriation risk and the information asymmetries between banks and borrowers. The results are robust to a number of sensitivity tests, including alternative proxies of bank risk-taking and political institutions, cross-sectional bank- and country-level regressions, endogeneity concerns of political institutions, country income levels, explicit deposit insurance schemes and sample extension from 1998 to 2014. I also examine the interdependence between political and legal institutions and find that political and legal institutions complement each other to influence bank risk-taking behavior.","container-title":"Journal of Financial Stability","DOI":"10.1016/j.jfs.2017.01.004","ISSN":"1572-3089","journalAbbreviation":"Journal of Financial Stability","page":"13-35","source":"ScienceDirect","title":"Political institutions and bank risk-taking behavior","volume":"29","author":[{"family":"Ashraf","given":"Badar Nadeem"}],"issued":{"date-parts":[["2017",4,1]]}}},{"id":783,"uris":["http://zotero.org/users/local/1km6A5n5/items/DYE5LJBH"],"itemData":{"id":783,"type":"article-journal","abstract":"We present evidence of nonlinearity and heterogeneity relation between capital buffer and risk-taking for the Chinese banking system. We use quantile regression methods on a data set of 135 Chinese banks during 2004–2017. Our results suggest that bank capital buffer has a robust U-shaped association with bank risk-taking. This effect is more significant for banks that at the upper tail of risk-taking distribution. Moreover, we demonstrate for the first time that the turning point of capital buffer decreases throughout the risk-taking distribution. These findings offer important policy implications that continuously increasing bank capital requirement does not continuously lead to lower risk-taking, instead, requiring banks to build up too much capital buffer is more likely to result in greater risk-taking for high-risk banks.","container-title":"China Economic Review","DOI":"10.1016/j.chieco.2019.04.008","ISSN":"1043-951X","journalAbbreviation":"China Economic Review","page":"101300","source":"ScienceDirect","title":"How does capital buffer affect bank risk-taking? New evidence from China using quantile regression","title-short":"How does capital buffer affect bank risk-taking?","volume":"60","author":[{"family":"Jiang","given":"Hai"},{"family":"Zhang","given":"Jinyi"},{"family":"Sun","given":"Chen"}],"issued":{"date-parts":[["2020",4,1]]}}},{"id":708,"uris":["http://zotero.org/users/local/1km6A5n5/items/QPGHGAGN"],"itemData":{"id":708,"type":"article-journal","abstract":"We re-examine the probabilistic foundation of the link between Z-score measures and banks’ probability of insolvency, offering an improved measure of that probability without imposing further distributional assumptions. While the traditional measure of the probability of insolvency thus provides a less effective upper bound of the probability of insolvency, it can be meaningfully reinterpreted as a measure capturing the odds of insolvency instead. We similarly obtain refined probabilistic interpretations of the commonly used simple and log-transformed Z-score measures; in particular, the log of the Z-score is shown to be negatively proportional to the log odds of insolvency.","container-title":"Finance Research Letters","DOI":"10.1016/j.frl.2015.01.001","ISSN":"1544-6123","journalAbbreviation":"Finance Research Letters","page":"214-224","source":"ScienceDirect","title":"Bank insolvency risk and Z-score measures: A refinement","title-short":"Bank insolvency risk and Z-score measures","volume":"13","author":[{"family":"Lepetit","given":"Laetitia"},{"family":"Strobel","given":"Frank"}],"issued":{"date-parts":[["2015",5,1]]}}}],"schema":"https://github.com/citation-style-language/schema/raw/master/csl-citation.json"} </w:instrText>
      </w:r>
      <w:r w:rsidR="000F1C9A">
        <w:rPr>
          <w:rFonts w:asciiTheme="majorHAnsi" w:hAnsiTheme="majorHAnsi" w:cstheme="majorHAnsi"/>
          <w:lang w:val="vi-VN"/>
        </w:rPr>
        <w:fldChar w:fldCharType="separate"/>
      </w:r>
      <w:r w:rsidR="000F1C9A" w:rsidRPr="00BE4B8E">
        <w:rPr>
          <w:rFonts w:ascii="Times New Roman" w:hAnsi="Times New Roman" w:cs="Times New Roman"/>
          <w:szCs w:val="24"/>
          <w:vertAlign w:val="superscript"/>
          <w:lang w:val="vi-VN"/>
        </w:rPr>
        <w:t>37,39,40</w:t>
      </w:r>
      <w:r w:rsidR="000F1C9A">
        <w:rPr>
          <w:rFonts w:asciiTheme="majorHAnsi" w:hAnsiTheme="majorHAnsi" w:cstheme="majorHAnsi"/>
          <w:lang w:val="vi-VN"/>
        </w:rPr>
        <w:fldChar w:fldCharType="end"/>
      </w:r>
      <w:r w:rsidRPr="00255C16">
        <w:rPr>
          <w:rFonts w:asciiTheme="majorHAnsi" w:hAnsiTheme="majorHAnsi" w:cstheme="majorHAnsi"/>
          <w:lang w:val="vi-VN"/>
        </w:rPr>
        <w:t>. Giá trị Z cao chứng</w:t>
      </w:r>
      <w:r w:rsidRPr="00D3269D">
        <w:rPr>
          <w:rFonts w:asciiTheme="majorHAnsi" w:hAnsiTheme="majorHAnsi" w:cstheme="majorHAnsi"/>
          <w:lang w:val="vi-VN"/>
        </w:rPr>
        <w:t xml:space="preserve"> tỏ mức độ chấp nhận rủi ro của ngân hàng càng cao và ngược lại.</w:t>
      </w:r>
    </w:p>
    <w:p w14:paraId="7D9A8D9E" w14:textId="5D87E743" w:rsidR="0022656C" w:rsidRDefault="0022656C" w:rsidP="00D3269D">
      <w:pPr>
        <w:pStyle w:val="ListParagraph"/>
        <w:numPr>
          <w:ilvl w:val="1"/>
          <w:numId w:val="2"/>
        </w:numPr>
        <w:spacing w:before="120" w:after="120" w:line="240" w:lineRule="auto"/>
        <w:ind w:left="720"/>
        <w:jc w:val="both"/>
        <w:rPr>
          <w:rFonts w:asciiTheme="majorHAnsi" w:hAnsiTheme="majorHAnsi" w:cstheme="majorHAnsi"/>
          <w:b/>
          <w:bCs/>
          <w:i/>
          <w:iCs/>
          <w:lang w:val="vi-VN"/>
        </w:rPr>
      </w:pPr>
      <w:r w:rsidRPr="00D3269D">
        <w:rPr>
          <w:rFonts w:asciiTheme="majorHAnsi" w:hAnsiTheme="majorHAnsi" w:cstheme="majorHAnsi"/>
          <w:b/>
          <w:bCs/>
          <w:i/>
          <w:iCs/>
          <w:lang w:val="vi-VN"/>
        </w:rPr>
        <w:t xml:space="preserve"> Biến độc lập</w:t>
      </w:r>
    </w:p>
    <w:p w14:paraId="17783B85" w14:textId="7516FC0D" w:rsidR="00B33D3C" w:rsidRPr="00B33D3C" w:rsidRDefault="000D0458" w:rsidP="00A717F9">
      <w:pPr>
        <w:spacing w:before="120" w:after="120" w:line="240" w:lineRule="auto"/>
        <w:ind w:firstLine="360"/>
        <w:jc w:val="both"/>
        <w:rPr>
          <w:rFonts w:asciiTheme="majorHAnsi" w:hAnsiTheme="majorHAnsi" w:cstheme="majorHAnsi"/>
          <w:lang w:val="vi-VN"/>
        </w:rPr>
      </w:pPr>
      <w:r w:rsidRPr="000D0458">
        <w:rPr>
          <w:rFonts w:asciiTheme="majorHAnsi" w:hAnsiTheme="majorHAnsi" w:cstheme="majorHAnsi"/>
          <w:lang w:val="vi-VN"/>
        </w:rPr>
        <w:t xml:space="preserve">Để </w:t>
      </w:r>
      <w:r>
        <w:rPr>
          <w:rFonts w:asciiTheme="majorHAnsi" w:hAnsiTheme="majorHAnsi" w:cstheme="majorHAnsi"/>
          <w:lang w:val="vi-VN"/>
        </w:rPr>
        <w:t xml:space="preserve">đo lường </w:t>
      </w:r>
      <w:r w:rsidRPr="000D0458">
        <w:rPr>
          <w:rFonts w:asciiTheme="majorHAnsi" w:hAnsiTheme="majorHAnsi" w:cstheme="majorHAnsi"/>
          <w:lang w:val="vi-VN"/>
        </w:rPr>
        <w:t xml:space="preserve">chuyển đổi số, </w:t>
      </w:r>
      <w:r w:rsidRPr="00E349B1">
        <w:rPr>
          <w:rFonts w:asciiTheme="majorHAnsi" w:hAnsiTheme="majorHAnsi" w:cstheme="majorHAnsi"/>
          <w:lang w:val="vi-VN"/>
        </w:rPr>
        <w:t>Hoque và cộng sự</w:t>
      </w:r>
      <w:r w:rsidR="000F1C9A" w:rsidRPr="00E349B1">
        <w:rPr>
          <w:rFonts w:asciiTheme="majorHAnsi" w:hAnsiTheme="majorHAnsi" w:cstheme="majorHAnsi"/>
          <w:lang w:val="vi-VN"/>
        </w:rPr>
        <w:fldChar w:fldCharType="begin"/>
      </w:r>
      <w:r w:rsidR="000F1C9A" w:rsidRPr="00E349B1">
        <w:rPr>
          <w:rFonts w:asciiTheme="majorHAnsi" w:hAnsiTheme="majorHAnsi" w:cstheme="majorHAnsi"/>
          <w:lang w:val="vi-VN"/>
        </w:rPr>
        <w:instrText xml:space="preserve"> ADDIN ZOTERO_ITEM CSL_CITATION {"citationID":"NPEkkR90","properties":{"formattedCitation":"\\super 8\\nosupersub{}","plainCitation":"8","noteIndex":0},"citationItems":[{"id":674,"uris":["http://zotero.org/users/local/1km6A5n5/items/TY34FYQD"],"itemData":{"id":674,"type":"article-journal","abstract":"This study examines whether digital transformation reduces banks' risk-taking in the Vietnamese commercial banking sector. Our research sheds light on how banks' digital transformation affects their risks, specifically regarding credit, insolvency, and liquidity. The study utilizes the readiness index for the Vietnamese commercial banks' Information and Communication Technology (ICT) Index, which the Vietnamese government has officially constructed. The OLS, PCSE, and FGLS models are employed to analyze how digital transformation reduces banks' risk-taking based on the longitudinal data from 26 commercial banks in Vietnam from 2013 to 2022. The results indicate that digital transformation significantly reduces credit risk by improving risk management capacity and reducing asymmetric information. It also helps mitigate insolvency risk by lowering costs and increasing profitability. However, digitalization does not significantly impact liquidity risk as digital channels leverage banks' lending and deposit activities. This research provides empirical evidence on the role of bank digitalization in risk-taking and concludes with recommendations for developing bank digital transformation in Vietnam and other developing countries, including suggestions for further research in this area.","container-title":"Journal of Open Innovation: Technology, Market, and Complexity","DOI":"10.1016/j.joitmc.2024.100260","ISSN":"2199-8531","issue":"2","journalAbbreviation":"Journal of Open Innovation: Technology, Market, and Complexity","page":"100260","source":"ScienceDirect","title":"Does digital transformation reduce bank's risk-taking? evidence from vietnamese commercial banks","title-short":"Does digital transformation reduce bank's risk-taking?","volume":"10","author":[{"family":"Hoque","given":"Ariful"},{"family":"Le","given":"Duong Thuy"},{"family":"Le","given":"Thi"}],"issued":{"date-parts":[["2024",6,1]]}}}],"schema":"https://github.com/citation-style-language/schema/raw/master/csl-citation.json"} </w:instrText>
      </w:r>
      <w:r w:rsidR="000F1C9A" w:rsidRPr="00E349B1">
        <w:rPr>
          <w:rFonts w:asciiTheme="majorHAnsi" w:hAnsiTheme="majorHAnsi" w:cstheme="majorHAnsi"/>
          <w:lang w:val="vi-VN"/>
        </w:rPr>
        <w:fldChar w:fldCharType="separate"/>
      </w:r>
      <w:r w:rsidR="000F1C9A" w:rsidRPr="00BE4B8E">
        <w:rPr>
          <w:rFonts w:ascii="Times New Roman" w:hAnsi="Times New Roman" w:cs="Times New Roman"/>
          <w:szCs w:val="24"/>
          <w:vertAlign w:val="superscript"/>
          <w:lang w:val="vi-VN"/>
        </w:rPr>
        <w:t>8</w:t>
      </w:r>
      <w:r w:rsidR="000F1C9A" w:rsidRPr="00E349B1">
        <w:rPr>
          <w:rFonts w:asciiTheme="majorHAnsi" w:hAnsiTheme="majorHAnsi" w:cstheme="majorHAnsi"/>
          <w:lang w:val="vi-VN"/>
        </w:rPr>
        <w:fldChar w:fldCharType="end"/>
      </w:r>
      <w:r w:rsidR="00E349B1" w:rsidRPr="00BE4B8E">
        <w:rPr>
          <w:rFonts w:asciiTheme="majorHAnsi" w:hAnsiTheme="majorHAnsi" w:cstheme="majorHAnsi"/>
          <w:lang w:val="vi-VN"/>
        </w:rPr>
        <w:t xml:space="preserve"> đã</w:t>
      </w:r>
      <w:r w:rsidRPr="000D0458">
        <w:rPr>
          <w:rFonts w:asciiTheme="majorHAnsi" w:hAnsiTheme="majorHAnsi" w:cstheme="majorHAnsi"/>
          <w:lang w:val="vi-VN"/>
        </w:rPr>
        <w:t xml:space="preserve"> sử dụng chỉ số </w:t>
      </w:r>
      <w:r w:rsidR="00A717F9">
        <w:rPr>
          <w:rFonts w:asciiTheme="majorHAnsi" w:hAnsiTheme="majorHAnsi" w:cstheme="majorHAnsi"/>
          <w:lang w:val="vi-VN"/>
        </w:rPr>
        <w:t xml:space="preserve">sẵn sàng cho phát triển và ứng dụng </w:t>
      </w:r>
      <w:r w:rsidRPr="000D0458">
        <w:rPr>
          <w:rFonts w:asciiTheme="majorHAnsi" w:hAnsiTheme="majorHAnsi" w:cstheme="majorHAnsi"/>
          <w:lang w:val="vi-VN"/>
        </w:rPr>
        <w:t>Công nghệ thông tin và truyền thông (ICT</w:t>
      </w:r>
      <w:r>
        <w:rPr>
          <w:rFonts w:asciiTheme="majorHAnsi" w:hAnsiTheme="majorHAnsi" w:cstheme="majorHAnsi"/>
          <w:lang w:val="vi-VN"/>
        </w:rPr>
        <w:t xml:space="preserve"> Index</w:t>
      </w:r>
      <w:r w:rsidRPr="000D0458">
        <w:rPr>
          <w:rFonts w:asciiTheme="majorHAnsi" w:hAnsiTheme="majorHAnsi" w:cstheme="majorHAnsi"/>
          <w:lang w:val="vi-VN"/>
        </w:rPr>
        <w:t>), được Bộ Thông tin và truyền thông Việt Nam công bố công khai hàng năm</w:t>
      </w:r>
      <w:r w:rsidR="000F1C9A">
        <w:rPr>
          <w:rFonts w:asciiTheme="majorHAnsi" w:hAnsiTheme="majorHAnsi" w:cstheme="majorHAnsi"/>
          <w:lang w:val="vi-VN"/>
        </w:rPr>
        <w:fldChar w:fldCharType="begin"/>
      </w:r>
      <w:r w:rsidR="000F1C9A">
        <w:rPr>
          <w:rFonts w:asciiTheme="majorHAnsi" w:hAnsiTheme="majorHAnsi" w:cstheme="majorHAnsi"/>
          <w:lang w:val="vi-VN"/>
        </w:rPr>
        <w:instrText xml:space="preserve"> ADDIN ZOTERO_ITEM CSL_CITATION {"citationID":"tHsAO7PW","properties":{"formattedCitation":"\\super 41\\nosupersub{}","plainCitation":"41","noteIndex":0},"citationItems":[{"id":792,"uris":["http://zotero.org/users/local/1km6A5n5/items/GGC3XU2Y"],"itemData":{"id":792,"type":"webpage","abstract":"Từ năm 2006, Vụ CNTT đã được Lãnh đạo Bộ giao nhiệm vụ xây dựng Báo cáo chỉ số sẵn sàng cho phát triển và ứng dụng CNTT-TT (Báo cáo Vietnam ICT Index) thường niên nhằm đánh giá xếp hạng các bộ, cơ quan ngang bộ, cơ quan thuộc Chính phủ, các tỉnh, thành phố trực thuộc Trung ương, các tập đoàn kinh tế, tổng công ty và các ngân hàng thương mại. Báo cáo đã được xuất bản chính thức từ năm 2013 đến nay và đã được phát hành tới các Bộ, ngành, địa phương và doanh nghiệp, đồng thời là tài liệu tham khảo quan trọng cho nhiều cơ quan, tổ chức, doanh nghiệp và chuyên gia trong và ngoài nước.","container-title":"Cổng Thông tin điện tử Bộ Thông tin và Truyền thông","language":"vi","title":"Vietnam ICT index reports","URL":"https://mic.gov.vn/bao-cao-vietnam-ict-index-197143252.htm","author":[{"family":"Ministry of Information and Communications (MIC)","given":""}],"accessed":{"date-parts":[["2024",10,30]]},"issued":{"date-parts":[["2024"]]}}}],"schema":"https://github.com/citation-style-language/schema/raw/master/csl-citation.json"} </w:instrText>
      </w:r>
      <w:r w:rsidR="000F1C9A">
        <w:rPr>
          <w:rFonts w:asciiTheme="majorHAnsi" w:hAnsiTheme="majorHAnsi" w:cstheme="majorHAnsi"/>
          <w:lang w:val="vi-VN"/>
        </w:rPr>
        <w:fldChar w:fldCharType="separate"/>
      </w:r>
      <w:r w:rsidR="000F1C9A" w:rsidRPr="00BE4B8E">
        <w:rPr>
          <w:rFonts w:ascii="Times New Roman" w:hAnsi="Times New Roman" w:cs="Times New Roman"/>
          <w:szCs w:val="24"/>
          <w:vertAlign w:val="superscript"/>
          <w:lang w:val="vi-VN"/>
        </w:rPr>
        <w:t>41</w:t>
      </w:r>
      <w:r w:rsidR="000F1C9A">
        <w:rPr>
          <w:rFonts w:asciiTheme="majorHAnsi" w:hAnsiTheme="majorHAnsi" w:cstheme="majorHAnsi"/>
          <w:lang w:val="vi-VN"/>
        </w:rPr>
        <w:fldChar w:fldCharType="end"/>
      </w:r>
      <w:r w:rsidRPr="000D0458">
        <w:rPr>
          <w:rFonts w:asciiTheme="majorHAnsi" w:hAnsiTheme="majorHAnsi" w:cstheme="majorHAnsi"/>
          <w:lang w:val="vi-VN"/>
        </w:rPr>
        <w:t xml:space="preserve">. Chỉ số ICT </w:t>
      </w:r>
      <w:r>
        <w:rPr>
          <w:rFonts w:asciiTheme="majorHAnsi" w:hAnsiTheme="majorHAnsi" w:cstheme="majorHAnsi"/>
          <w:lang w:val="vi-VN"/>
        </w:rPr>
        <w:t xml:space="preserve">của </w:t>
      </w:r>
      <w:r w:rsidRPr="000D0458">
        <w:rPr>
          <w:rFonts w:asciiTheme="majorHAnsi" w:hAnsiTheme="majorHAnsi" w:cstheme="majorHAnsi"/>
          <w:lang w:val="vi-VN"/>
        </w:rPr>
        <w:t>Việt Nam</w:t>
      </w:r>
      <w:r w:rsidR="00A717F9">
        <w:rPr>
          <w:rFonts w:asciiTheme="majorHAnsi" w:hAnsiTheme="majorHAnsi" w:cstheme="majorHAnsi"/>
          <w:lang w:val="vi-VN"/>
        </w:rPr>
        <w:t xml:space="preserve"> </w:t>
      </w:r>
      <w:r w:rsidR="00A717F9" w:rsidRPr="000D0458">
        <w:rPr>
          <w:rFonts w:asciiTheme="majorHAnsi" w:hAnsiTheme="majorHAnsi" w:cstheme="majorHAnsi"/>
          <w:lang w:val="vi-VN"/>
        </w:rPr>
        <w:t xml:space="preserve">được coi là thước đo toàn diện về chuyển đổi </w:t>
      </w:r>
      <w:r w:rsidR="00A717F9">
        <w:rPr>
          <w:rFonts w:asciiTheme="majorHAnsi" w:hAnsiTheme="majorHAnsi" w:cstheme="majorHAnsi"/>
          <w:lang w:val="vi-VN"/>
        </w:rPr>
        <w:t xml:space="preserve">số, gồm 4 thành phần chính: </w:t>
      </w:r>
      <w:r w:rsidR="00A717F9" w:rsidRPr="000D0458">
        <w:rPr>
          <w:rFonts w:asciiTheme="majorHAnsi" w:hAnsiTheme="majorHAnsi" w:cstheme="majorHAnsi"/>
          <w:lang w:val="vi-VN"/>
        </w:rPr>
        <w:t>hạ tầng kỹ thuật (như cơ sở hạ tầng máy chủ và máy trạm, cơ sở hạ tầng truyền thông, cơ sở hạ tầng ATM và POS, giải pháp bảo mật thông tin và an toàn dữ liệu, phòng ngừa thảm họa); hạ tầng</w:t>
      </w:r>
      <w:r w:rsidR="00A717F9">
        <w:rPr>
          <w:rFonts w:asciiTheme="majorHAnsi" w:hAnsiTheme="majorHAnsi" w:cstheme="majorHAnsi"/>
          <w:lang w:val="vi-VN"/>
        </w:rPr>
        <w:t xml:space="preserve"> </w:t>
      </w:r>
      <w:r w:rsidR="00A717F9" w:rsidRPr="000D0458">
        <w:rPr>
          <w:rFonts w:asciiTheme="majorHAnsi" w:hAnsiTheme="majorHAnsi" w:cstheme="majorHAnsi"/>
          <w:lang w:val="vi-VN"/>
        </w:rPr>
        <w:t>nhân lực (</w:t>
      </w:r>
      <w:r w:rsidR="00A717F9">
        <w:rPr>
          <w:rFonts w:asciiTheme="majorHAnsi" w:hAnsiTheme="majorHAnsi" w:cstheme="majorHAnsi"/>
          <w:lang w:val="vi-VN"/>
        </w:rPr>
        <w:t xml:space="preserve">như </w:t>
      </w:r>
      <w:r w:rsidR="00A717F9" w:rsidRPr="000D0458">
        <w:rPr>
          <w:rFonts w:asciiTheme="majorHAnsi" w:hAnsiTheme="majorHAnsi" w:cstheme="majorHAnsi"/>
          <w:lang w:val="vi-VN"/>
        </w:rPr>
        <w:t>chuyên gia CNTT, chuyên gia bảo mật thông tin); ứng dụng công nghệ thông tin</w:t>
      </w:r>
      <w:r w:rsidR="00A717F9">
        <w:rPr>
          <w:rFonts w:asciiTheme="majorHAnsi" w:hAnsiTheme="majorHAnsi" w:cstheme="majorHAnsi"/>
          <w:lang w:val="vi-VN"/>
        </w:rPr>
        <w:t xml:space="preserve"> nội bộ</w:t>
      </w:r>
      <w:r w:rsidR="00A717F9" w:rsidRPr="000D0458">
        <w:rPr>
          <w:rFonts w:asciiTheme="majorHAnsi" w:hAnsiTheme="majorHAnsi" w:cstheme="majorHAnsi"/>
          <w:lang w:val="vi-VN"/>
        </w:rPr>
        <w:t xml:space="preserve"> ngân hàng (</w:t>
      </w:r>
      <w:r w:rsidR="00A717F9">
        <w:rPr>
          <w:rFonts w:asciiTheme="majorHAnsi" w:hAnsiTheme="majorHAnsi" w:cstheme="majorHAnsi"/>
          <w:lang w:val="vi-VN"/>
        </w:rPr>
        <w:t xml:space="preserve">như </w:t>
      </w:r>
      <w:r w:rsidR="00A717F9" w:rsidRPr="000D0458">
        <w:rPr>
          <w:rFonts w:asciiTheme="majorHAnsi" w:hAnsiTheme="majorHAnsi" w:cstheme="majorHAnsi"/>
          <w:lang w:val="vi-VN"/>
        </w:rPr>
        <w:t xml:space="preserve">triển khai ngân hàng lõi, ứng dụng cơ bản, thanh toán điện tử); và dịch vụ trực tuyến </w:t>
      </w:r>
      <w:r w:rsidR="00A717F9">
        <w:rPr>
          <w:rFonts w:asciiTheme="majorHAnsi" w:hAnsiTheme="majorHAnsi" w:cstheme="majorHAnsi"/>
          <w:lang w:val="vi-VN"/>
        </w:rPr>
        <w:t xml:space="preserve">của </w:t>
      </w:r>
      <w:r w:rsidR="00A717F9" w:rsidRPr="000D0458">
        <w:rPr>
          <w:rFonts w:asciiTheme="majorHAnsi" w:hAnsiTheme="majorHAnsi" w:cstheme="majorHAnsi"/>
          <w:lang w:val="vi-VN"/>
        </w:rPr>
        <w:t>ngân hàng (</w:t>
      </w:r>
      <w:r w:rsidR="00A717F9">
        <w:rPr>
          <w:rFonts w:asciiTheme="majorHAnsi" w:hAnsiTheme="majorHAnsi" w:cstheme="majorHAnsi"/>
          <w:lang w:val="vi-VN"/>
        </w:rPr>
        <w:t xml:space="preserve">như </w:t>
      </w:r>
      <w:r w:rsidR="00A717F9" w:rsidRPr="000D0458">
        <w:rPr>
          <w:rFonts w:asciiTheme="majorHAnsi" w:hAnsiTheme="majorHAnsi" w:cstheme="majorHAnsi"/>
          <w:lang w:val="vi-VN"/>
        </w:rPr>
        <w:t>trang web, ngân hàng trực tuyến, dịch vụ ngân hàng điện tử).</w:t>
      </w:r>
      <w:r w:rsidR="00A717F9">
        <w:rPr>
          <w:rFonts w:asciiTheme="majorHAnsi" w:hAnsiTheme="majorHAnsi" w:cstheme="majorHAnsi"/>
          <w:lang w:val="vi-VN"/>
        </w:rPr>
        <w:t xml:space="preserve"> Các chỉ số thành phần này đều được </w:t>
      </w:r>
      <w:r w:rsidRPr="000D0458">
        <w:rPr>
          <w:rFonts w:asciiTheme="majorHAnsi" w:hAnsiTheme="majorHAnsi" w:cstheme="majorHAnsi"/>
          <w:lang w:val="vi-VN"/>
        </w:rPr>
        <w:t xml:space="preserve">áp dụng phương pháp chuẩn hóa Z-Score </w:t>
      </w:r>
      <w:r w:rsidR="00A717F9">
        <w:rPr>
          <w:rFonts w:asciiTheme="majorHAnsi" w:hAnsiTheme="majorHAnsi" w:cstheme="majorHAnsi"/>
          <w:lang w:val="vi-VN"/>
        </w:rPr>
        <w:t xml:space="preserve">và </w:t>
      </w:r>
      <w:r w:rsidRPr="000D0458">
        <w:rPr>
          <w:rFonts w:asciiTheme="majorHAnsi" w:hAnsiTheme="majorHAnsi" w:cstheme="majorHAnsi"/>
          <w:lang w:val="vi-VN"/>
        </w:rPr>
        <w:t>thống nhất với phương pháp tính toán của Báo cáo Chính phủ điện tử của Liên hợp quốc.</w:t>
      </w:r>
    </w:p>
    <w:p w14:paraId="76C985E3" w14:textId="2235D8E5" w:rsidR="0022656C" w:rsidRDefault="0022656C" w:rsidP="00D3269D">
      <w:pPr>
        <w:pStyle w:val="ListParagraph"/>
        <w:numPr>
          <w:ilvl w:val="1"/>
          <w:numId w:val="2"/>
        </w:numPr>
        <w:spacing w:before="120" w:after="120" w:line="240" w:lineRule="auto"/>
        <w:ind w:left="720"/>
        <w:jc w:val="both"/>
        <w:rPr>
          <w:rFonts w:asciiTheme="majorHAnsi" w:hAnsiTheme="majorHAnsi" w:cstheme="majorHAnsi"/>
          <w:b/>
          <w:bCs/>
          <w:i/>
          <w:iCs/>
          <w:lang w:val="vi-VN"/>
        </w:rPr>
      </w:pPr>
      <w:r w:rsidRPr="00D3269D">
        <w:rPr>
          <w:rFonts w:asciiTheme="majorHAnsi" w:hAnsiTheme="majorHAnsi" w:cstheme="majorHAnsi"/>
          <w:b/>
          <w:bCs/>
          <w:i/>
          <w:iCs/>
          <w:lang w:val="vi-VN"/>
        </w:rPr>
        <w:t xml:space="preserve"> Biến </w:t>
      </w:r>
      <w:r w:rsidR="00A717F9">
        <w:rPr>
          <w:rFonts w:asciiTheme="majorHAnsi" w:hAnsiTheme="majorHAnsi" w:cstheme="majorHAnsi"/>
          <w:b/>
          <w:bCs/>
          <w:i/>
          <w:iCs/>
          <w:lang w:val="vi-VN"/>
        </w:rPr>
        <w:t>điều tiết</w:t>
      </w:r>
    </w:p>
    <w:p w14:paraId="6EE810A2" w14:textId="73A48406" w:rsidR="00A717F9" w:rsidRPr="00A717F9" w:rsidRDefault="00A717F9" w:rsidP="00A717F9">
      <w:pPr>
        <w:spacing w:before="120" w:after="120" w:line="240" w:lineRule="auto"/>
        <w:ind w:firstLine="360"/>
        <w:jc w:val="both"/>
        <w:rPr>
          <w:rFonts w:asciiTheme="majorHAnsi" w:hAnsiTheme="majorHAnsi" w:cstheme="majorHAnsi"/>
          <w:lang w:val="vi-VN"/>
        </w:rPr>
      </w:pPr>
      <w:r>
        <w:rPr>
          <w:rFonts w:asciiTheme="majorHAnsi" w:hAnsiTheme="majorHAnsi" w:cstheme="majorHAnsi"/>
          <w:lang w:val="vi-VN"/>
        </w:rPr>
        <w:t xml:space="preserve">Để làm rõ vai trò điều tiết của sở hữu nhà nước đến mối quan hệ giữa chuyển đổi số và mức độ chấp nhận rủi ro, nghiên cứu này sử dụng biến giả về sở hữu nhà nước, ký hiệu là </w:t>
      </w:r>
      <w:r w:rsidRPr="00A717F9">
        <w:rPr>
          <w:rFonts w:asciiTheme="majorHAnsi" w:hAnsiTheme="majorHAnsi" w:cstheme="majorHAnsi"/>
          <w:i/>
          <w:iCs/>
          <w:lang w:val="vi-VN"/>
        </w:rPr>
        <w:t>statedum</w:t>
      </w:r>
      <w:r>
        <w:rPr>
          <w:rFonts w:asciiTheme="majorHAnsi" w:hAnsiTheme="majorHAnsi" w:cstheme="majorHAnsi"/>
          <w:lang w:val="vi-VN"/>
        </w:rPr>
        <w:t>, nhận giá trị 1 nếu có</w:t>
      </w:r>
      <w:r w:rsidR="00B52FEC">
        <w:rPr>
          <w:rFonts w:asciiTheme="majorHAnsi" w:hAnsiTheme="majorHAnsi" w:cstheme="majorHAnsi"/>
          <w:lang w:val="vi-VN"/>
        </w:rPr>
        <w:t xml:space="preserve"> tỷ lệ vốn thuộc</w:t>
      </w:r>
      <w:r>
        <w:rPr>
          <w:rFonts w:asciiTheme="majorHAnsi" w:hAnsiTheme="majorHAnsi" w:cstheme="majorHAnsi"/>
          <w:lang w:val="vi-VN"/>
        </w:rPr>
        <w:t xml:space="preserve"> sở hữu nhà nước và nhận giá trị 0 nếu không có sở hữu nhà nước. Bên cạnh đó, biến tương tác giữa sở hữu nhà nước và chuyển đổi số, ký hiệu là </w:t>
      </w:r>
      <w:r w:rsidRPr="00A717F9">
        <w:rPr>
          <w:rFonts w:asciiTheme="majorHAnsi" w:hAnsiTheme="majorHAnsi" w:cstheme="majorHAnsi"/>
          <w:i/>
          <w:iCs/>
          <w:lang w:val="vi-VN"/>
        </w:rPr>
        <w:t>ICTstate</w:t>
      </w:r>
      <w:r>
        <w:rPr>
          <w:rFonts w:asciiTheme="majorHAnsi" w:hAnsiTheme="majorHAnsi" w:cstheme="majorHAnsi"/>
          <w:lang w:val="vi-VN"/>
        </w:rPr>
        <w:t xml:space="preserve">, </w:t>
      </w:r>
      <w:r w:rsidR="00B52FEC">
        <w:rPr>
          <w:rFonts w:asciiTheme="majorHAnsi" w:hAnsiTheme="majorHAnsi" w:cstheme="majorHAnsi"/>
          <w:lang w:val="vi-VN"/>
        </w:rPr>
        <w:t>cũng được đưa vào mô hình để làm rõ khoảng trống nghiên cứu.</w:t>
      </w:r>
    </w:p>
    <w:p w14:paraId="3FC1820B" w14:textId="13BF0D01" w:rsidR="00A717F9" w:rsidRPr="00D3269D" w:rsidRDefault="00A717F9" w:rsidP="00D3269D">
      <w:pPr>
        <w:pStyle w:val="ListParagraph"/>
        <w:numPr>
          <w:ilvl w:val="1"/>
          <w:numId w:val="2"/>
        </w:numPr>
        <w:spacing w:before="120" w:after="120" w:line="240" w:lineRule="auto"/>
        <w:ind w:left="720"/>
        <w:jc w:val="both"/>
        <w:rPr>
          <w:rFonts w:asciiTheme="majorHAnsi" w:hAnsiTheme="majorHAnsi" w:cstheme="majorHAnsi"/>
          <w:b/>
          <w:bCs/>
          <w:i/>
          <w:iCs/>
          <w:lang w:val="vi-VN"/>
        </w:rPr>
      </w:pPr>
      <w:r>
        <w:rPr>
          <w:rFonts w:asciiTheme="majorHAnsi" w:hAnsiTheme="majorHAnsi" w:cstheme="majorHAnsi"/>
          <w:b/>
          <w:bCs/>
          <w:i/>
          <w:iCs/>
          <w:lang w:val="vi-VN"/>
        </w:rPr>
        <w:t>Biến kiểm soát</w:t>
      </w:r>
    </w:p>
    <w:p w14:paraId="4A298717" w14:textId="44DDBA23" w:rsidR="00A717F9" w:rsidRDefault="00B52FEC" w:rsidP="00B52FEC">
      <w:pPr>
        <w:spacing w:before="120" w:after="120" w:line="240" w:lineRule="auto"/>
        <w:ind w:firstLine="360"/>
        <w:jc w:val="both"/>
        <w:rPr>
          <w:rFonts w:asciiTheme="majorHAnsi" w:hAnsiTheme="majorHAnsi" w:cstheme="majorHAnsi"/>
          <w:lang w:val="vi-VN"/>
        </w:rPr>
      </w:pPr>
      <w:r>
        <w:rPr>
          <w:rFonts w:asciiTheme="majorHAnsi" w:hAnsiTheme="majorHAnsi" w:cstheme="majorHAnsi"/>
          <w:lang w:val="vi-VN"/>
        </w:rPr>
        <w:t>Về các biến kiểm soát liên quan đến đặc trưng của ngân hàng, bài viết này sử dụng các biến về quy mô tài sản, hiệu quả chi phí, đa dạng hóa thu nhập và tỷ lệ an toàn vốn tối thiểu. Cụ thể như sau:</w:t>
      </w:r>
    </w:p>
    <w:p w14:paraId="2874B4DE" w14:textId="61D94831" w:rsidR="00B52FEC" w:rsidRDefault="00B52FEC" w:rsidP="00B52FEC">
      <w:pPr>
        <w:pStyle w:val="ListParagraph"/>
        <w:numPr>
          <w:ilvl w:val="0"/>
          <w:numId w:val="3"/>
        </w:numPr>
        <w:spacing w:before="120" w:after="120" w:line="240" w:lineRule="auto"/>
        <w:ind w:left="630" w:hanging="270"/>
        <w:jc w:val="both"/>
        <w:rPr>
          <w:rFonts w:asciiTheme="majorHAnsi" w:hAnsiTheme="majorHAnsi" w:cstheme="majorHAnsi"/>
          <w:lang w:val="vi-VN"/>
        </w:rPr>
      </w:pPr>
      <w:r>
        <w:rPr>
          <w:rFonts w:asciiTheme="majorHAnsi" w:hAnsiTheme="majorHAnsi" w:cstheme="majorHAnsi"/>
          <w:lang w:val="vi-VN"/>
        </w:rPr>
        <w:t>Quy mô tài sản (SIZE)</w:t>
      </w:r>
    </w:p>
    <w:p w14:paraId="74F39405" w14:textId="18322EA6" w:rsidR="00B10CDA" w:rsidRPr="00B10CDA" w:rsidRDefault="00B10CDA" w:rsidP="00B52FEC">
      <w:pPr>
        <w:spacing w:before="120" w:after="120" w:line="240" w:lineRule="auto"/>
        <w:ind w:firstLine="360"/>
        <w:jc w:val="both"/>
        <w:rPr>
          <w:rFonts w:asciiTheme="majorHAnsi" w:hAnsiTheme="majorHAnsi" w:cstheme="majorHAnsi"/>
          <w:lang w:val="vi-VN"/>
        </w:rPr>
      </w:pPr>
      <w:r w:rsidRPr="00B10CDA">
        <w:rPr>
          <w:rFonts w:asciiTheme="majorHAnsi" w:hAnsiTheme="majorHAnsi" w:cstheme="majorHAnsi"/>
          <w:lang w:val="vi-VN"/>
        </w:rPr>
        <w:t xml:space="preserve">Theo lý thuyết “quá lớn để sụp đổ” (too big to fail), các ngân hàng có quy mô lớn thường tham gia vào các dự án có rủi ro cao hơn so với các ngân hàng </w:t>
      </w:r>
      <w:r w:rsidRPr="00887C39">
        <w:rPr>
          <w:rFonts w:asciiTheme="majorHAnsi" w:hAnsiTheme="majorHAnsi" w:cstheme="majorHAnsi"/>
          <w:lang w:val="vi-VN"/>
        </w:rPr>
        <w:t>nhỏ</w:t>
      </w:r>
      <w:r w:rsidR="000F1C9A">
        <w:rPr>
          <w:rFonts w:asciiTheme="majorHAnsi" w:hAnsiTheme="majorHAnsi" w:cstheme="majorHAnsi"/>
          <w:lang w:val="vi-VN"/>
        </w:rPr>
        <w:fldChar w:fldCharType="begin"/>
      </w:r>
      <w:r w:rsidR="000F1C9A">
        <w:rPr>
          <w:rFonts w:asciiTheme="majorHAnsi" w:hAnsiTheme="majorHAnsi" w:cstheme="majorHAnsi"/>
          <w:lang w:val="vi-VN"/>
        </w:rPr>
        <w:instrText xml:space="preserve"> ADDIN ZOTERO_ITEM CSL_CITATION {"citationID":"EHfsHfCn","properties":{"formattedCitation":"\\super 42\\nosupersub{}","plainCitation":"42","noteIndex":0},"citationItems":[{"id":716,"uris":["http://zotero.org/users/local/1km6A5n5/items/8FH4B8JD"],"itemData":{"id":716,"type":"article-journal","abstract":"This paper studies the significant variation in the cross-section of standalone and systemic risk of large banks during the recent financial crisis to identify bank specific factors that determine risk. We find that systemic risk grows with bank size and is inversely related to bank capital, and this effect exists above and beyond the effect of bank size and capital on standalone bank risk. Our results contribute to the ongoing debate on the merits of imposing systemic risk-based capital requirements on banks.","collection-title":"Bank Capital","container-title":"Journal of Banking &amp; Finance","DOI":"10.1016/j.jbankfin.2015.06.022","ISSN":"0378-4266","journalAbbreviation":"Journal of Banking &amp; Finance","page":"S25-S34","source":"ScienceDirect","title":"Bank size, capital, and systemic risk: Some international evidence","title-short":"Bank size, capital, and systemic risk","volume":"69","author":[{"family":"Laeven","given":"Luc"},{"family":"Ratnovski","given":"Lev"},{"family":"Tong","given":"Hui"}],"issued":{"date-parts":[["2016",8,1]]}}}],"schema":"https://github.com/citation-style-language/schema/raw/master/csl-citation.json"} </w:instrText>
      </w:r>
      <w:r w:rsidR="000F1C9A">
        <w:rPr>
          <w:rFonts w:asciiTheme="majorHAnsi" w:hAnsiTheme="majorHAnsi" w:cstheme="majorHAnsi"/>
          <w:lang w:val="vi-VN"/>
        </w:rPr>
        <w:fldChar w:fldCharType="separate"/>
      </w:r>
      <w:r w:rsidR="000F1C9A" w:rsidRPr="00BE4B8E">
        <w:rPr>
          <w:rFonts w:ascii="Times New Roman" w:hAnsi="Times New Roman" w:cs="Times New Roman"/>
          <w:szCs w:val="24"/>
          <w:vertAlign w:val="superscript"/>
          <w:lang w:val="vi-VN"/>
        </w:rPr>
        <w:t>42</w:t>
      </w:r>
      <w:r w:rsidR="000F1C9A">
        <w:rPr>
          <w:rFonts w:asciiTheme="majorHAnsi" w:hAnsiTheme="majorHAnsi" w:cstheme="majorHAnsi"/>
          <w:lang w:val="vi-VN"/>
        </w:rPr>
        <w:fldChar w:fldCharType="end"/>
      </w:r>
      <w:r w:rsidRPr="00887C39">
        <w:rPr>
          <w:rFonts w:asciiTheme="majorHAnsi" w:hAnsiTheme="majorHAnsi" w:cstheme="majorHAnsi"/>
          <w:lang w:val="vi-VN"/>
        </w:rPr>
        <w:t>.</w:t>
      </w:r>
      <w:r w:rsidRPr="00B10CDA">
        <w:rPr>
          <w:rFonts w:asciiTheme="majorHAnsi" w:hAnsiTheme="majorHAnsi" w:cstheme="majorHAnsi"/>
          <w:lang w:val="vi-VN"/>
        </w:rPr>
        <w:t xml:space="preserve"> Điều này xuất phát từ khả năng sở hữu danh mục đầu tư đa dạng, tiếp cận các công cụ quản lý rủi ro hiện đại và khả năng xử lý các sản phẩm tài chính phức tạp</w:t>
      </w:r>
      <w:r w:rsidR="000F1C9A">
        <w:rPr>
          <w:rFonts w:asciiTheme="majorHAnsi" w:hAnsiTheme="majorHAnsi" w:cstheme="majorHAnsi"/>
          <w:lang w:val="vi-VN"/>
        </w:rPr>
        <w:fldChar w:fldCharType="begin"/>
      </w:r>
      <w:r w:rsidR="000F1C9A">
        <w:rPr>
          <w:rFonts w:asciiTheme="majorHAnsi" w:hAnsiTheme="majorHAnsi" w:cstheme="majorHAnsi"/>
          <w:lang w:val="vi-VN"/>
        </w:rPr>
        <w:instrText xml:space="preserve"> ADDIN ZOTERO_ITEM CSL_CITATION {"citationID":"Rf7D1RJp","properties":{"formattedCitation":"\\super 43\\nosupersub{}","plainCitation":"43","noteIndex":0},"citationItems":[{"id":713,"uris":["http://zotero.org/users/local/1km6A5n5/items/FD4VIUEM"],"itemData":{"id":713,"type":"article-journal","abstract":"This paper analyzes the relationship between banks’ divergent strategies toward specialization and diversification of financial activities and their ability to withstand a banking sector crash. We first generate market-based measures of banks’ systemic risk exposures using extreme value analysis. Systemic banking risk is measured as the tail beta, which equals the probability of a sharp decline in a bank’s stock price conditional on a crash in a banking index. Subsequently, the impact of (the correlation between) interest income and the components of non-interest income on this risk measure is assessed. The heterogeneity in extreme bank risk is attributed to differences in the scope of non-traditional banking activities: non-interest generating activities increase banks’ tail beta. In addition, smaller banks and better-capitalized banks are better able to withstand extremely adverse conditions. These relationships are stronger during turbulent times compared to normal economic conditions. Overall, diversifying financial activities under one umbrella institution does not improve banking system stability, which may explain why financial conglomerates trade at a discount.","collection-title":"Risk Transfer Mechanisms and Financial Stability","container-title":"Journal of Financial Intermediation","DOI":"10.1016/j.jfi.2009.04.001","ISSN":"1042-9573","issue":"3","journalAbbreviation":"Journal of Financial Intermediation","page":"387-417","source":"ScienceDirect","title":"Back to the basics in banking? A micro-analysis of banking system stability","title-short":"Back to the basics in banking?","volume":"19","author":[{"family":"De Jonghe","given":"Olivier"}],"issued":{"date-parts":[["2010",7,1]]}}}],"schema":"https://github.com/citation-style-language/schema/raw/master/csl-citation.json"} </w:instrText>
      </w:r>
      <w:r w:rsidR="000F1C9A">
        <w:rPr>
          <w:rFonts w:asciiTheme="majorHAnsi" w:hAnsiTheme="majorHAnsi" w:cstheme="majorHAnsi"/>
          <w:lang w:val="vi-VN"/>
        </w:rPr>
        <w:fldChar w:fldCharType="separate"/>
      </w:r>
      <w:r w:rsidR="000F1C9A" w:rsidRPr="00BE4B8E">
        <w:rPr>
          <w:rFonts w:ascii="Times New Roman" w:hAnsi="Times New Roman" w:cs="Times New Roman"/>
          <w:szCs w:val="24"/>
          <w:vertAlign w:val="superscript"/>
          <w:lang w:val="vi-VN"/>
        </w:rPr>
        <w:t>43</w:t>
      </w:r>
      <w:r w:rsidR="000F1C9A">
        <w:rPr>
          <w:rFonts w:asciiTheme="majorHAnsi" w:hAnsiTheme="majorHAnsi" w:cstheme="majorHAnsi"/>
          <w:lang w:val="vi-VN"/>
        </w:rPr>
        <w:fldChar w:fldCharType="end"/>
      </w:r>
      <w:r w:rsidRPr="00887C39">
        <w:rPr>
          <w:rFonts w:asciiTheme="majorHAnsi" w:hAnsiTheme="majorHAnsi" w:cstheme="majorHAnsi"/>
          <w:lang w:val="vi-VN"/>
        </w:rPr>
        <w:t>.</w:t>
      </w:r>
      <w:r w:rsidRPr="00B10CDA">
        <w:rPr>
          <w:rFonts w:asciiTheme="majorHAnsi" w:hAnsiTheme="majorHAnsi" w:cstheme="majorHAnsi"/>
          <w:lang w:val="vi-VN"/>
        </w:rPr>
        <w:t xml:space="preserve"> Ngược lại, các ngân hàng nhỏ thường chịu sự giám sát chặt chẽ từ cơ quan quản lý và hạn chế </w:t>
      </w:r>
      <w:r w:rsidRPr="00B10CDA">
        <w:rPr>
          <w:rFonts w:asciiTheme="majorHAnsi" w:hAnsiTheme="majorHAnsi" w:cstheme="majorHAnsi"/>
          <w:lang w:val="vi-VN"/>
        </w:rPr>
        <w:lastRenderedPageBreak/>
        <w:t>trong việc tiếp cận thị trường vốn, dẫn đến xu hướng chấp nhận rủi ro thấp hơn</w:t>
      </w:r>
      <w:r w:rsidR="000F1C9A">
        <w:rPr>
          <w:rFonts w:asciiTheme="majorHAnsi" w:hAnsiTheme="majorHAnsi" w:cstheme="majorHAnsi"/>
          <w:lang w:val="vi-VN"/>
        </w:rPr>
        <w:fldChar w:fldCharType="begin"/>
      </w:r>
      <w:r w:rsidR="000F1C9A">
        <w:rPr>
          <w:rFonts w:asciiTheme="majorHAnsi" w:hAnsiTheme="majorHAnsi" w:cstheme="majorHAnsi"/>
          <w:lang w:val="vi-VN"/>
        </w:rPr>
        <w:instrText xml:space="preserve"> ADDIN ZOTERO_ITEM CSL_CITATION {"citationID":"Ac8rhSkU","properties":{"formattedCitation":"\\super 44\\nosupersub{}","plainCitation":"44","noteIndex":0},"citationItems":[{"id":711,"uris":["http://zotero.org/users/local/1km6A5n5/items/23EXHDN4"],"itemData":{"id":711,"type":"article-journal","abstract":"We find evidence of a bank lending channel operating in the euro area via bank risk. Financial innovation and the wider use of new ways of transferring credit risk have tended to diminish the informational content of standard bank balance sheet indicators. We show that bank risk conditions, as perceived by financial market investors, need to be considered, together with the other indicators (i.e., size, liquidity and capitalization), traditionally used in the bank lending channel literature to assess banks’ ability and willingness to supply new loans. Using a large sample of European banks, we find that banks characterized by lower expected default frequency are able to offer a larger amount of credit and to better insulate their loan supply from monetary policy changes.","container-title":"Journal of Financial Stability","DOI":"10.1016/j.jfs.2009.07.001","ISSN":"1572-3089","issue":"3","journalAbbreviation":"Journal of Financial Stability","page":"121-129","source":"ScienceDirect","title":"Bank risk and monetary policy","volume":"6","author":[{"family":"Altunbas","given":"Yener"},{"family":"Gambacorta","given":"Leonardo"},{"family":"Marques-Ibanez","given":"David"}],"issued":{"date-parts":[["2010",9,1]]}}}],"schema":"https://github.com/citation-style-language/schema/raw/master/csl-citation.json"} </w:instrText>
      </w:r>
      <w:r w:rsidR="000F1C9A">
        <w:rPr>
          <w:rFonts w:asciiTheme="majorHAnsi" w:hAnsiTheme="majorHAnsi" w:cstheme="majorHAnsi"/>
          <w:lang w:val="vi-VN"/>
        </w:rPr>
        <w:fldChar w:fldCharType="separate"/>
      </w:r>
      <w:r w:rsidR="000F1C9A" w:rsidRPr="00BE4B8E">
        <w:rPr>
          <w:rFonts w:ascii="Times New Roman" w:hAnsi="Times New Roman" w:cs="Times New Roman"/>
          <w:szCs w:val="24"/>
          <w:vertAlign w:val="superscript"/>
          <w:lang w:val="vi-VN"/>
        </w:rPr>
        <w:t>44</w:t>
      </w:r>
      <w:r w:rsidR="000F1C9A">
        <w:rPr>
          <w:rFonts w:asciiTheme="majorHAnsi" w:hAnsiTheme="majorHAnsi" w:cstheme="majorHAnsi"/>
          <w:lang w:val="vi-VN"/>
        </w:rPr>
        <w:fldChar w:fldCharType="end"/>
      </w:r>
      <w:r w:rsidRPr="00B10CDA">
        <w:rPr>
          <w:rFonts w:asciiTheme="majorHAnsi" w:hAnsiTheme="majorHAnsi" w:cstheme="majorHAnsi"/>
          <w:lang w:val="vi-VN"/>
        </w:rPr>
        <w:t>. Do đó, SIZE có thể có ảnh hưởng tích cực hoặc tiêu cực đến biến phụ thuộc.</w:t>
      </w:r>
    </w:p>
    <w:p w14:paraId="6848E5D0" w14:textId="4CA35222" w:rsidR="00B52FEC" w:rsidRDefault="00B52FEC" w:rsidP="00B52FEC">
      <w:pPr>
        <w:pStyle w:val="ListParagraph"/>
        <w:numPr>
          <w:ilvl w:val="0"/>
          <w:numId w:val="3"/>
        </w:numPr>
        <w:spacing w:before="120" w:after="120" w:line="240" w:lineRule="auto"/>
        <w:ind w:left="630" w:hanging="270"/>
        <w:jc w:val="both"/>
        <w:rPr>
          <w:rFonts w:asciiTheme="majorHAnsi" w:hAnsiTheme="majorHAnsi" w:cstheme="majorHAnsi"/>
          <w:lang w:val="vi-VN"/>
        </w:rPr>
      </w:pPr>
      <w:r>
        <w:rPr>
          <w:rFonts w:asciiTheme="majorHAnsi" w:hAnsiTheme="majorHAnsi" w:cstheme="majorHAnsi"/>
          <w:lang w:val="vi-VN"/>
        </w:rPr>
        <w:t>Hiệu quả chi phí (CIR)</w:t>
      </w:r>
    </w:p>
    <w:p w14:paraId="0C897DC7" w14:textId="3B5A4217" w:rsidR="00B10CDA" w:rsidRPr="00B10CDA" w:rsidRDefault="00B10CDA" w:rsidP="00BB0496">
      <w:pPr>
        <w:spacing w:before="120" w:after="120" w:line="240" w:lineRule="auto"/>
        <w:ind w:firstLine="360"/>
        <w:jc w:val="both"/>
        <w:rPr>
          <w:rFonts w:asciiTheme="majorHAnsi" w:hAnsiTheme="majorHAnsi" w:cstheme="majorHAnsi"/>
          <w:lang w:val="vi-VN"/>
        </w:rPr>
      </w:pPr>
      <w:r w:rsidRPr="00B10CDA">
        <w:rPr>
          <w:rFonts w:asciiTheme="majorHAnsi" w:hAnsiTheme="majorHAnsi" w:cstheme="majorHAnsi"/>
          <w:lang w:val="vi-VN"/>
        </w:rPr>
        <w:t>Hiệu quả quản trị chi phí, được đo lường bằng tỷ lệ chi phí hoạt động trên tổng thu nhập hoạt động (CIR), là yếu tố tác động đến mức độ chấp nhận rủi ro của ngân hàng. Quản trị chi phí kém hiệu quả có thể tạo áp lực buộc ngân hàng áp dụng các chiến lược rủi ro hơn nhằm gia tăng thu nhập và duy trì cân bằng tài chính</w:t>
      </w:r>
      <w:r w:rsidR="000F1C9A">
        <w:rPr>
          <w:rFonts w:asciiTheme="majorHAnsi" w:hAnsiTheme="majorHAnsi" w:cstheme="majorHAnsi"/>
          <w:lang w:val="vi-VN"/>
        </w:rPr>
        <w:fldChar w:fldCharType="begin"/>
      </w:r>
      <w:r w:rsidR="000F1C9A">
        <w:rPr>
          <w:rFonts w:asciiTheme="majorHAnsi" w:hAnsiTheme="majorHAnsi" w:cstheme="majorHAnsi"/>
          <w:lang w:val="vi-VN"/>
        </w:rPr>
        <w:instrText xml:space="preserve"> ADDIN ZOTERO_ITEM CSL_CITATION {"citationID":"6YBGSBdq","properties":{"formattedCitation":"\\super 45\\nosupersub{}","plainCitation":"45","noteIndex":0},"citationItems":[{"id":722,"uris":["http://zotero.org/users/local/1km6A5n5/items/Q56DWYLB"],"itemData":{"id":722,"type":"article-journal","abstract":"In this paper, we analyze the impact of business models on bank stability in 15 EU countries between 2002 and 2011. We represent banks’ business models by the share of non-interest income in total operating income and the share of non-deposit funding in total liabilities. In contrast to the literature, we include in our sample a large number of unlisted banks, which represent the majority of banks in the EU. We believe this to be important, since many unlisted banks typically have a more retail-oriented business model. We show that banks will be significantly more stable and profitable if they increase their share of non-interest income, indicating that substantial benefits are to be gained from income diversification. Such benefits are particularly large for savings and cooperative banks. Investment banks, in contrast, become significantly more risky. Diversifying into non-deposit funding has a different impact as well. While retail-oriented banks will be significantly less stable if they increase their share of non-deposit funding, investment banks will be significantly more stable. These findings indicate that it is important to enlarge the sample of banks and to include different types of banks with different business models in order to arrive at general conclusions about the effect of non-interest income and non-deposit funding on bank stability.","container-title":"Journal of Financial Stability","DOI":"10.1016/j.jfs.2014.02.005","ISSN":"1572-3089","journalAbbreviation":"Journal of Financial Stability","page":"195-212","source":"ScienceDirect","title":"Which banks are more risky? The impact of business models on bank stability","title-short":"Which banks are more risky?","volume":"16","author":[{"family":"Köhler","given":"Matthias"}],"issued":{"date-parts":[["2015",2,1]]}}}],"schema":"https://github.com/citation-style-language/schema/raw/master/csl-citation.json"} </w:instrText>
      </w:r>
      <w:r w:rsidR="000F1C9A">
        <w:rPr>
          <w:rFonts w:asciiTheme="majorHAnsi" w:hAnsiTheme="majorHAnsi" w:cstheme="majorHAnsi"/>
          <w:lang w:val="vi-VN"/>
        </w:rPr>
        <w:fldChar w:fldCharType="separate"/>
      </w:r>
      <w:r w:rsidR="000F1C9A" w:rsidRPr="00BE4B8E">
        <w:rPr>
          <w:rFonts w:ascii="Times New Roman" w:hAnsi="Times New Roman" w:cs="Times New Roman"/>
          <w:szCs w:val="24"/>
          <w:vertAlign w:val="superscript"/>
          <w:lang w:val="vi-VN"/>
        </w:rPr>
        <w:t>45</w:t>
      </w:r>
      <w:r w:rsidR="000F1C9A">
        <w:rPr>
          <w:rFonts w:asciiTheme="majorHAnsi" w:hAnsiTheme="majorHAnsi" w:cstheme="majorHAnsi"/>
          <w:lang w:val="vi-VN"/>
        </w:rPr>
        <w:fldChar w:fldCharType="end"/>
      </w:r>
      <w:r w:rsidRPr="00887C39">
        <w:rPr>
          <w:rFonts w:asciiTheme="majorHAnsi" w:hAnsiTheme="majorHAnsi" w:cstheme="majorHAnsi"/>
          <w:lang w:val="vi-VN"/>
        </w:rPr>
        <w:t>. Trong bối cảnh này, ngân hàng có thể đẩy mạnh hoạt động cho vay hoặc đầu tư vào các chứng khoán rủi ro cao</w:t>
      </w:r>
      <w:r w:rsidR="000F1C9A">
        <w:rPr>
          <w:rFonts w:asciiTheme="majorHAnsi" w:hAnsiTheme="majorHAnsi" w:cstheme="majorHAnsi"/>
          <w:lang w:val="vi-VN"/>
        </w:rPr>
        <w:fldChar w:fldCharType="begin"/>
      </w:r>
      <w:r w:rsidR="000F1C9A">
        <w:rPr>
          <w:rFonts w:asciiTheme="majorHAnsi" w:hAnsiTheme="majorHAnsi" w:cstheme="majorHAnsi"/>
          <w:lang w:val="vi-VN"/>
        </w:rPr>
        <w:instrText xml:space="preserve"> ADDIN ZOTERO_ITEM CSL_CITATION {"citationID":"QUSp2s29","properties":{"formattedCitation":"\\super 46\\nosupersub{}","plainCitation":"46","noteIndex":0},"citationItems":[{"id":718,"uris":["http://zotero.org/users/local/1km6A5n5/items/BQBRF83S"],"itemData":{"id":718,"type":"report","abstract":"We exploit the 2007-2009 financial crisis to analyze how risk relates to bank business models. Institutions with higher risk exposure had less capital, larger size, greater reliance on short-term market funding, and aggressive credit growth. Business models related to significantly reduced bank risk were characterized by a strong deposit base and greater income diversification. The effect of business models is non-linear: it has a different impact on riskier banks. Finally, it is difficult to establish in real time whether greater stock market capitalization involves real value creation or the accumulation of latent risk.","genre":"Working Paper","language":"eng","license":"http://www.econstor.eu/dspace/Nutzungsbedingungen","number":"1394","publisher":"ECB Working Paper","source":"www.econstor.eu","title":"Bank risk during the financial crisis: do business models matter?","title-short":"Bank risk during the financial crisis","URL":"https://www.econstor.eu/handle/10419/153828","author":[{"family":"Altunbas","given":"Yener"},{"family":"Marqués-Ibáñez","given":"David"},{"family":"Manganelli","given":"Simone"}],"accessed":{"date-parts":[["2024",10,30]]},"issued":{"date-parts":[["2011"]]}}}],"schema":"https://github.com/citation-style-language/schema/raw/master/csl-citation.json"} </w:instrText>
      </w:r>
      <w:r w:rsidR="000F1C9A">
        <w:rPr>
          <w:rFonts w:asciiTheme="majorHAnsi" w:hAnsiTheme="majorHAnsi" w:cstheme="majorHAnsi"/>
          <w:lang w:val="vi-VN"/>
        </w:rPr>
        <w:fldChar w:fldCharType="separate"/>
      </w:r>
      <w:r w:rsidR="000F1C9A" w:rsidRPr="00BE4B8E">
        <w:rPr>
          <w:rFonts w:ascii="Times New Roman" w:hAnsi="Times New Roman" w:cs="Times New Roman"/>
          <w:szCs w:val="24"/>
          <w:vertAlign w:val="superscript"/>
          <w:lang w:val="vi-VN"/>
        </w:rPr>
        <w:t>46</w:t>
      </w:r>
      <w:r w:rsidR="000F1C9A">
        <w:rPr>
          <w:rFonts w:asciiTheme="majorHAnsi" w:hAnsiTheme="majorHAnsi" w:cstheme="majorHAnsi"/>
          <w:lang w:val="vi-VN"/>
        </w:rPr>
        <w:fldChar w:fldCharType="end"/>
      </w:r>
      <w:r w:rsidRPr="00887C39">
        <w:rPr>
          <w:rFonts w:asciiTheme="majorHAnsi" w:hAnsiTheme="majorHAnsi" w:cstheme="majorHAnsi"/>
          <w:lang w:val="vi-VN"/>
        </w:rPr>
        <w:t>. Ngược lại, ngân hàng quản trị chi phí hiệu quả có xu hướng thận trọng hơn trong các hoạt động kinh doanh có rủi ro</w:t>
      </w:r>
      <w:r w:rsidR="000F1C9A">
        <w:rPr>
          <w:rFonts w:asciiTheme="majorHAnsi" w:hAnsiTheme="majorHAnsi" w:cstheme="majorHAnsi"/>
          <w:lang w:val="vi-VN"/>
        </w:rPr>
        <w:fldChar w:fldCharType="begin"/>
      </w:r>
      <w:r w:rsidR="000F1C9A">
        <w:rPr>
          <w:rFonts w:asciiTheme="majorHAnsi" w:hAnsiTheme="majorHAnsi" w:cstheme="majorHAnsi"/>
          <w:lang w:val="vi-VN"/>
        </w:rPr>
        <w:instrText xml:space="preserve"> ADDIN ZOTERO_ITEM CSL_CITATION {"citationID":"6vpKxrsE","properties":{"formattedCitation":"\\super 47\\nosupersub{}","plainCitation":"47","noteIndex":0},"citationItems":[{"id":724,"uris":["http://zotero.org/users/local/1km6A5n5/items/9UN4BJNK"],"itemData":{"id":724,"type":"article-journal","abstract":"This article applies the Generalized Method of Moments technique for dynamic panels using bank-level data for 42 Asian countries over the period 1994 to 2008 to investigate the impacts of bank capital on profitability and risk. Ignoring influence factors, the extant literature presents an ambiguous impact of bank capital on profitability (risk), however, when the effects from the influencing factors are taken into consideration, three conclusions are reached. First, along with the change in the categories of banks, investment banks have the lowest and positive capital effect on profitability, whereas commercial banks reveal the highest reverse capital effect on risk. Second, banks in low-income countries have a higher capital effect on profitability; banks in lower-middle income countries have the highest reverse capital effect on risk, while banks in high-income countries have the lowest values. Third, banks in Middle Eastern countries own the highest and positive capital effect on profitability. Far East &amp; Central Asian banks have the largest reverse capital effect on risk, while the lowest value occurs in Middle Eastern countries' banks. Finally, our results also reveal that persistence of profit is greatly affected by different profitability variables, and all risk variables show persistence from one year to the next.","container-title":"Journal of International Money and Finance","DOI":"10.1016/j.jimonfin.2012.04.013","ISSN":"0261-5606","journalAbbreviation":"Journal of International Money and Finance","page":"251-281","source":"ScienceDirect","title":"The impact of bank capital on profitability and risk in Asian banking","volume":"32","author":[{"family":"Lee","given":"Chien-Chiang"},{"family":"Hsieh","given":"Meng-Fen"}],"issued":{"date-parts":[["2013",2,1]]}}}],"schema":"https://github.com/citation-style-language/schema/raw/master/csl-citation.json"} </w:instrText>
      </w:r>
      <w:r w:rsidR="000F1C9A">
        <w:rPr>
          <w:rFonts w:asciiTheme="majorHAnsi" w:hAnsiTheme="majorHAnsi" w:cstheme="majorHAnsi"/>
          <w:lang w:val="vi-VN"/>
        </w:rPr>
        <w:fldChar w:fldCharType="separate"/>
      </w:r>
      <w:r w:rsidR="000F1C9A" w:rsidRPr="00BE4B8E">
        <w:rPr>
          <w:rFonts w:ascii="Times New Roman" w:hAnsi="Times New Roman" w:cs="Times New Roman"/>
          <w:szCs w:val="24"/>
          <w:vertAlign w:val="superscript"/>
          <w:lang w:val="vi-VN"/>
        </w:rPr>
        <w:t>47</w:t>
      </w:r>
      <w:r w:rsidR="000F1C9A">
        <w:rPr>
          <w:rFonts w:asciiTheme="majorHAnsi" w:hAnsiTheme="majorHAnsi" w:cstheme="majorHAnsi"/>
          <w:lang w:val="vi-VN"/>
        </w:rPr>
        <w:fldChar w:fldCharType="end"/>
      </w:r>
      <w:r w:rsidRPr="00B10CDA">
        <w:rPr>
          <w:rFonts w:asciiTheme="majorHAnsi" w:hAnsiTheme="majorHAnsi" w:cstheme="majorHAnsi"/>
          <w:lang w:val="vi-VN"/>
        </w:rPr>
        <w:t>. Do vậy, CIR dự kiến sẽ có tương quan dương với biến phụ thuộc.</w:t>
      </w:r>
    </w:p>
    <w:p w14:paraId="07DA7186" w14:textId="5153B65D" w:rsidR="00B52FEC" w:rsidRDefault="00B52FEC" w:rsidP="00B52FEC">
      <w:pPr>
        <w:pStyle w:val="ListParagraph"/>
        <w:numPr>
          <w:ilvl w:val="0"/>
          <w:numId w:val="3"/>
        </w:numPr>
        <w:spacing w:before="120" w:after="120" w:line="240" w:lineRule="auto"/>
        <w:ind w:left="630" w:hanging="270"/>
        <w:jc w:val="both"/>
        <w:rPr>
          <w:rFonts w:asciiTheme="majorHAnsi" w:hAnsiTheme="majorHAnsi" w:cstheme="majorHAnsi"/>
          <w:lang w:val="vi-VN"/>
        </w:rPr>
      </w:pPr>
      <w:r>
        <w:rPr>
          <w:rFonts w:asciiTheme="majorHAnsi" w:hAnsiTheme="majorHAnsi" w:cstheme="majorHAnsi"/>
          <w:lang w:val="vi-VN"/>
        </w:rPr>
        <w:t>Đa dạng hóa thu nhập (DIV)</w:t>
      </w:r>
    </w:p>
    <w:p w14:paraId="6155EEEA" w14:textId="415A2493" w:rsidR="00B10CDA" w:rsidRPr="00B10CDA" w:rsidRDefault="00B10CDA" w:rsidP="00035484">
      <w:pPr>
        <w:spacing w:before="120" w:after="120" w:line="240" w:lineRule="auto"/>
        <w:ind w:firstLine="360"/>
        <w:jc w:val="both"/>
        <w:rPr>
          <w:rFonts w:asciiTheme="majorHAnsi" w:hAnsiTheme="majorHAnsi" w:cstheme="majorHAnsi"/>
          <w:lang w:val="vi-VN"/>
        </w:rPr>
      </w:pPr>
      <w:r>
        <w:rPr>
          <w:rFonts w:asciiTheme="majorHAnsi" w:hAnsiTheme="majorHAnsi" w:cstheme="majorHAnsi"/>
          <w:lang w:val="vi-VN"/>
        </w:rPr>
        <w:t>Đ</w:t>
      </w:r>
      <w:r w:rsidRPr="00BB0496">
        <w:rPr>
          <w:rFonts w:asciiTheme="majorHAnsi" w:hAnsiTheme="majorHAnsi" w:cstheme="majorHAnsi"/>
          <w:lang w:val="vi-VN"/>
        </w:rPr>
        <w:t xml:space="preserve">a dạng hóa thu nhập </w:t>
      </w:r>
      <w:r w:rsidRPr="00B10CDA">
        <w:rPr>
          <w:rFonts w:asciiTheme="majorHAnsi" w:hAnsiTheme="majorHAnsi" w:cstheme="majorHAnsi"/>
          <w:lang w:val="vi-VN"/>
        </w:rPr>
        <w:t>được đo lường bằng tỷ lệ thu nhập ngoài lãi ròng trên tổng thu nhập ròng. Ngân hàng thường đa dạng hóa nguồn thu nhập bằng cách chuyển từ thu nhập dựa trên lãi suất truyền thống sang các hoạt động ngoài lãi suất (như dịch vụ tính phí hoặc đầu tư). Đa dạng hóa thu nhập giúp ổn định luồng doanh thu thông qua việc giảm phụ thuộc vào biên độ lãi suất, nhưng cũng có thể làm gia tăng rủi ro tài chính</w:t>
      </w:r>
      <w:r w:rsidR="00584634">
        <w:rPr>
          <w:rFonts w:asciiTheme="majorHAnsi" w:hAnsiTheme="majorHAnsi" w:cstheme="majorHAnsi"/>
          <w:lang w:val="vi-VN"/>
        </w:rPr>
        <w:fldChar w:fldCharType="begin"/>
      </w:r>
      <w:r w:rsidR="00584634">
        <w:rPr>
          <w:rFonts w:asciiTheme="majorHAnsi" w:hAnsiTheme="majorHAnsi" w:cstheme="majorHAnsi"/>
          <w:lang w:val="vi-VN"/>
        </w:rPr>
        <w:instrText xml:space="preserve"> ADDIN ZOTERO_ITEM CSL_CITATION {"citationID":"5FMQMS4v","properties":{"formattedCitation":"\\super 48\\nosupersub{}","plainCitation":"48","noteIndex":0},"citationItems":[{"id":726,"uris":["http://zotero.org/users/local/1km6A5n5/items/YFICRA7H"],"itemData":{"id":726,"type":"article-journal","abstract":"The purpose of this paper is to investigate the relationship between bank risk and product diversification in the changing structure of the European banking industry. Based on a broad set of European banks for the period 1996–2002, our study first shows that banks expanding into non-interest income activities present higher risk and higher insolvency risk than banks which mainly supply loans. However, considering size effects and splitting non-interest activities into both trading activities and commission and fee activities we show that the positive link with risk is mostly accurate for small banks and essentially driven by commission and fee activities. A higher share of trading activities is never associated with higher risk and for small banks it implies, in some cases, lower asset and default risks.","container-title":"Journal of Banking &amp; Finance","DOI":"10.1016/j.jbankfin.2007.12.002","ISSN":"0378-4266","issue":"8","journalAbbreviation":"Journal of Banking &amp; Finance","page":"1452-1467","source":"ScienceDirect","title":"Bank income structure and risk: An empirical analysis of European banks","title-short":"Bank income structure and risk","volume":"32","author":[{"family":"Lepetit","given":"Laetitia"},{"family":"Nys","given":"Emmanuelle"},{"family":"Rous","given":"Philippe"},{"family":"Tarazi","given":"Amine"}],"issued":{"date-parts":[["2008",8,1]]}}}],"schema":"https://github.com/citation-style-language/schema/raw/master/csl-citation.json"} </w:instrText>
      </w:r>
      <w:r w:rsidR="00584634">
        <w:rPr>
          <w:rFonts w:asciiTheme="majorHAnsi" w:hAnsiTheme="majorHAnsi" w:cstheme="majorHAnsi"/>
          <w:lang w:val="vi-VN"/>
        </w:rPr>
        <w:fldChar w:fldCharType="separate"/>
      </w:r>
      <w:r w:rsidR="00584634" w:rsidRPr="00BE4B8E">
        <w:rPr>
          <w:rFonts w:ascii="Times New Roman" w:hAnsi="Times New Roman" w:cs="Times New Roman"/>
          <w:szCs w:val="24"/>
          <w:vertAlign w:val="superscript"/>
          <w:lang w:val="vi-VN"/>
        </w:rPr>
        <w:t>48</w:t>
      </w:r>
      <w:r w:rsidR="00584634">
        <w:rPr>
          <w:rFonts w:asciiTheme="majorHAnsi" w:hAnsiTheme="majorHAnsi" w:cstheme="majorHAnsi"/>
          <w:lang w:val="vi-VN"/>
        </w:rPr>
        <w:fldChar w:fldCharType="end"/>
      </w:r>
      <w:r w:rsidRPr="00887C39">
        <w:rPr>
          <w:rFonts w:asciiTheme="majorHAnsi" w:hAnsiTheme="majorHAnsi" w:cstheme="majorHAnsi"/>
          <w:lang w:val="vi-VN"/>
        </w:rPr>
        <w:t>. Việc phụ thuộc vào các nguồn thu nhập ngoài lãi có thể khiến ngân hàng áp dụng các chiến lược rủi ro hơn, do sự biến động và không chắc chắn của thị trường</w:t>
      </w:r>
      <w:r w:rsidR="00584634">
        <w:rPr>
          <w:rFonts w:asciiTheme="majorHAnsi" w:hAnsiTheme="majorHAnsi" w:cstheme="majorHAnsi"/>
          <w:lang w:val="vi-VN"/>
        </w:rPr>
        <w:fldChar w:fldCharType="begin"/>
      </w:r>
      <w:r w:rsidR="00584634">
        <w:rPr>
          <w:rFonts w:asciiTheme="majorHAnsi" w:hAnsiTheme="majorHAnsi" w:cstheme="majorHAnsi"/>
          <w:lang w:val="vi-VN"/>
        </w:rPr>
        <w:instrText xml:space="preserve"> ADDIN ZOTERO_ITEM CSL_CITATION {"citationID":"LCwiADfN","properties":{"formattedCitation":"\\super 49\\nosupersub{}","plainCitation":"49","noteIndex":0},"citationItems":[{"id":728,"uris":["http://zotero.org/users/local/1km6A5n5/items/YYN6J4PI"],"itemData":{"id":728,"type":"article-journal","abstract":"We test whether income from nontraditional banking activities contributed to the failures of hundreds of U.S. commercial banks during the financial crisis. Estimates from a multi-period logit model indicate that the probability of distressed bank failure declined with pure fee-based nontraditional activities such as securities brokerage and insurance sales, but increased with asset-based nontraditional activities such as venture capital, investment banking and asset securitization. Banks that engaged in risky nontraditional activities also tended to take risk in their traditional lines of business, suggesting that deregulation was neither a necessary nor a sufficient condition for bank failure during the crisis.","container-title":"Journal of Financial Intermediation","DOI":"10.1016/j.jfi.2013.01.001","ISSN":"1042-9573","issue":"3","journalAbbreviation":"Journal of Financial Intermediation","page":"397-421","source":"ScienceDirect","title":"Nontraditional banking activities and bank failures during the financial crisis","volume":"22","author":[{"family":"DeYoung","given":"Robert"},{"family":"Torna","given":"Gökhan"}],"issued":{"date-parts":[["2013",7,1]]}}}],"schema":"https://github.com/citation-style-language/schema/raw/master/csl-citation.json"} </w:instrText>
      </w:r>
      <w:r w:rsidR="00584634">
        <w:rPr>
          <w:rFonts w:asciiTheme="majorHAnsi" w:hAnsiTheme="majorHAnsi" w:cstheme="majorHAnsi"/>
          <w:lang w:val="vi-VN"/>
        </w:rPr>
        <w:fldChar w:fldCharType="separate"/>
      </w:r>
      <w:r w:rsidR="00584634" w:rsidRPr="00BE4B8E">
        <w:rPr>
          <w:rFonts w:ascii="Times New Roman" w:hAnsi="Times New Roman" w:cs="Times New Roman"/>
          <w:szCs w:val="24"/>
          <w:vertAlign w:val="superscript"/>
          <w:lang w:val="vi-VN"/>
        </w:rPr>
        <w:t>49</w:t>
      </w:r>
      <w:r w:rsidR="00584634">
        <w:rPr>
          <w:rFonts w:asciiTheme="majorHAnsi" w:hAnsiTheme="majorHAnsi" w:cstheme="majorHAnsi"/>
          <w:lang w:val="vi-VN"/>
        </w:rPr>
        <w:fldChar w:fldCharType="end"/>
      </w:r>
      <w:r w:rsidRPr="00B10CDA">
        <w:rPr>
          <w:rFonts w:asciiTheme="majorHAnsi" w:hAnsiTheme="majorHAnsi" w:cstheme="majorHAnsi"/>
          <w:lang w:val="vi-VN"/>
        </w:rPr>
        <w:t>. Vì vậy, DIV được kỳ vọng có tác động cùng chiều với biến phụ thuộc.</w:t>
      </w:r>
    </w:p>
    <w:p w14:paraId="7A5C412D" w14:textId="2CBC516F" w:rsidR="00B52FEC" w:rsidRPr="00035484" w:rsidRDefault="00B52FEC" w:rsidP="00B52FEC">
      <w:pPr>
        <w:pStyle w:val="ListParagraph"/>
        <w:numPr>
          <w:ilvl w:val="0"/>
          <w:numId w:val="3"/>
        </w:numPr>
        <w:spacing w:before="120" w:after="120" w:line="240" w:lineRule="auto"/>
        <w:ind w:left="630" w:hanging="270"/>
        <w:jc w:val="both"/>
        <w:rPr>
          <w:rFonts w:asciiTheme="majorHAnsi" w:hAnsiTheme="majorHAnsi" w:cstheme="majorHAnsi"/>
          <w:lang w:val="vi-VN"/>
        </w:rPr>
      </w:pPr>
      <w:r>
        <w:rPr>
          <w:rFonts w:asciiTheme="majorHAnsi" w:hAnsiTheme="majorHAnsi" w:cstheme="majorHAnsi"/>
          <w:lang w:val="vi-VN"/>
        </w:rPr>
        <w:t>Tỷ lệ an toàn vốn tối thiểu (CAR)</w:t>
      </w:r>
    </w:p>
    <w:p w14:paraId="76DAC4E8" w14:textId="095B2657" w:rsidR="00B10CDA" w:rsidRDefault="00B10CDA" w:rsidP="00794142">
      <w:pPr>
        <w:spacing w:before="120" w:after="120" w:line="240" w:lineRule="auto"/>
        <w:ind w:firstLine="360"/>
        <w:jc w:val="both"/>
        <w:rPr>
          <w:rFonts w:asciiTheme="majorHAnsi" w:hAnsiTheme="majorHAnsi" w:cstheme="majorHAnsi"/>
          <w:lang w:val="vi-VN"/>
        </w:rPr>
      </w:pPr>
      <w:r w:rsidRPr="00B52FEC">
        <w:rPr>
          <w:rFonts w:asciiTheme="majorHAnsi" w:hAnsiTheme="majorHAnsi" w:cstheme="majorHAnsi"/>
          <w:lang w:val="vi-VN"/>
        </w:rPr>
        <w:t xml:space="preserve">Tỷ lệ </w:t>
      </w:r>
      <w:r>
        <w:rPr>
          <w:rFonts w:asciiTheme="majorHAnsi" w:hAnsiTheme="majorHAnsi" w:cstheme="majorHAnsi"/>
          <w:lang w:val="vi-VN"/>
        </w:rPr>
        <w:t xml:space="preserve">an toàn </w:t>
      </w:r>
      <w:r w:rsidRPr="00B52FEC">
        <w:rPr>
          <w:rFonts w:asciiTheme="majorHAnsi" w:hAnsiTheme="majorHAnsi" w:cstheme="majorHAnsi"/>
          <w:lang w:val="vi-VN"/>
        </w:rPr>
        <w:t>vốn</w:t>
      </w:r>
      <w:r>
        <w:rPr>
          <w:rFonts w:asciiTheme="majorHAnsi" w:hAnsiTheme="majorHAnsi" w:cstheme="majorHAnsi"/>
          <w:lang w:val="vi-VN"/>
        </w:rPr>
        <w:t xml:space="preserve"> tối thiểu</w:t>
      </w:r>
      <w:r w:rsidRPr="00B52FEC">
        <w:rPr>
          <w:rFonts w:asciiTheme="majorHAnsi" w:hAnsiTheme="majorHAnsi" w:cstheme="majorHAnsi"/>
          <w:lang w:val="vi-VN"/>
        </w:rPr>
        <w:t xml:space="preserve"> (CAR)</w:t>
      </w:r>
      <w:r>
        <w:rPr>
          <w:rFonts w:asciiTheme="majorHAnsi" w:hAnsiTheme="majorHAnsi" w:cstheme="majorHAnsi"/>
          <w:lang w:val="vi-VN"/>
        </w:rPr>
        <w:t xml:space="preserve">, </w:t>
      </w:r>
      <w:r w:rsidRPr="00B10CDA">
        <w:rPr>
          <w:rFonts w:asciiTheme="majorHAnsi" w:hAnsiTheme="majorHAnsi" w:cstheme="majorHAnsi"/>
          <w:lang w:val="vi-VN"/>
        </w:rPr>
        <w:t xml:space="preserve">được xem là một công cụ quản lý quan trọng, ảnh hưởng đến hành vi chấp nhận rủi ro thông qua việc đặt ra yêu cầu vốn tối thiểu để đối phó với </w:t>
      </w:r>
      <w:r>
        <w:rPr>
          <w:rFonts w:asciiTheme="majorHAnsi" w:hAnsiTheme="majorHAnsi" w:cstheme="majorHAnsi"/>
          <w:lang w:val="vi-VN"/>
        </w:rPr>
        <w:t>các khoản lỗ</w:t>
      </w:r>
      <w:r w:rsidRPr="00B10CDA">
        <w:rPr>
          <w:rFonts w:asciiTheme="majorHAnsi" w:hAnsiTheme="majorHAnsi" w:cstheme="majorHAnsi"/>
          <w:lang w:val="vi-VN"/>
        </w:rPr>
        <w:t xml:space="preserve"> tiềm ẩn. Các ngân hàng có CAR cao thường ít chịu áp lực tài chính trong thời kỳ khủng hoảng và có xu hướng tham gia vào các hoạt động kinh doanh rủi ro hơn, nhờ vào </w:t>
      </w:r>
      <w:r w:rsidRPr="00887C39">
        <w:rPr>
          <w:rFonts w:asciiTheme="majorHAnsi" w:hAnsiTheme="majorHAnsi" w:cstheme="majorHAnsi"/>
          <w:lang w:val="vi-VN"/>
        </w:rPr>
        <w:t>bộ đệm vốn đủ lớn để bù đắp tổn thất</w:t>
      </w:r>
      <w:r w:rsidR="00584634">
        <w:rPr>
          <w:rFonts w:asciiTheme="majorHAnsi" w:hAnsiTheme="majorHAnsi" w:cstheme="majorHAnsi"/>
          <w:lang w:val="vi-VN"/>
        </w:rPr>
        <w:fldChar w:fldCharType="begin"/>
      </w:r>
      <w:r w:rsidR="00584634">
        <w:rPr>
          <w:rFonts w:asciiTheme="majorHAnsi" w:hAnsiTheme="majorHAnsi" w:cstheme="majorHAnsi"/>
          <w:lang w:val="vi-VN"/>
        </w:rPr>
        <w:instrText xml:space="preserve"> ADDIN ZOTERO_ITEM CSL_CITATION {"citationID":"gCjYk5bE","properties":{"formattedCitation":"\\super 50,51\\nosupersub{}","plainCitation":"50,51","noteIndex":0},"citationItems":[{"id":741,"uris":["http://zotero.org/users/local/1km6A5n5/items/26AEJRBP"],"itemData":{"id":741,"type":"article-journal","abstract":"Using a large bank-level dataset, we test the relevance of both structural liquidity and capital ratios, as defined in Basel III, on banks' probability of failure. To include all relevant episodes of bank failure and distress (F&amp;D) occurring in the EU-28 member states over the past decade, we develop a broad indicator that includes information not only on bankruptcies, liquidations, under receivership and dissolved banks, but also accounts for state interventions, mergers in distress and EBA stress test results. Estimates from several versions of the logistic probability model indicate that the likelihood of failure and distress decreases with increased liquidity holdings, while capital ratios are significant only for large banks. Our results provide support for Basel III's initiatives on structural liquidity and for the increased regulatory focus on large and systemically important banks.","collection-title":"Contemporary Issues in Banking","container-title":"The British Accounting Review","DOI":"10.1016/j.bar.2016.04.001","ISSN":"0890-8389","issue":"2","journalAbbreviation":"The British Accounting Review","page":"138-161","source":"ScienceDirect","title":"Capital and liquidity ratios and financial distress. Evidence from the European banking industry","volume":"49","author":[{"family":"Chiaramonte","given":"Laura"},{"family":"Casu","given":"Barbara"}],"issued":{"date-parts":[["2017",3,1]]}}},{"id":747,"uris":["http://zotero.org/users/local/1km6A5n5/items/C6XHEGMZ"],"itemData":{"id":747,"type":"article-journal","abstract":"In 1991, the Central Bank of Egypt increased the minimum capital requirements for the banking industry vis-à-vis risk-weighted assets to 8%, along the lines proposed by the Basel Committee on Banking Supervision. In this paper, we investigate the effects of capital regulations on cost of intermediation and profitability. Higher capital adequacy increases the interest of shareholders in managing banks’ portfolios. The result is a higher cost of intermediation and profitability. A number of factors have increased the cost of intermediation in the post-capital regulation period: higher capital-to-assets ratios, an increase in management efficiency, an improvement of liquidity and a reduction in inflation. The reduction in output growth countered these effects. A number of factors contributed positively to banks’ profitability in the post-regulation period: higher capital requirements, the reduction in implicit cost, and the increase in management efficiency. The reduction in economic activity had opposite effects on banks’ profitability. Overall, the results support the Central Bank's efforts to enforce capital regulations to improve the performance of the banking sector in Egypt.","container-title":"Journal of Economics and Business","DOI":"10.1016/j.jeconbus.2007.12.001","ISSN":"0148-6195","issue":"1","journalAbbreviation":"Journal of Economics and Business","page":"70-89","source":"ScienceDirect","title":"The impact of capital requirements on banks’ cost of intermediation and performance: The case of Egypt","title-short":"The impact of capital requirements on banks’ cost of intermediation and performance","volume":"61","author":[{"family":"Ben Naceur","given":"Samy"},{"family":"Kandil","given":"Magda"}],"issued":{"date-parts":[["2009",1,1]]}}}],"schema":"https://github.com/citation-style-language/schema/raw/master/csl-citation.json"} </w:instrText>
      </w:r>
      <w:r w:rsidR="00584634">
        <w:rPr>
          <w:rFonts w:asciiTheme="majorHAnsi" w:hAnsiTheme="majorHAnsi" w:cstheme="majorHAnsi"/>
          <w:lang w:val="vi-VN"/>
        </w:rPr>
        <w:fldChar w:fldCharType="separate"/>
      </w:r>
      <w:r w:rsidR="00584634" w:rsidRPr="00BE4B8E">
        <w:rPr>
          <w:rFonts w:ascii="Times New Roman" w:hAnsi="Times New Roman" w:cs="Times New Roman"/>
          <w:szCs w:val="24"/>
          <w:vertAlign w:val="superscript"/>
          <w:lang w:val="vi-VN"/>
        </w:rPr>
        <w:t>50,51</w:t>
      </w:r>
      <w:r w:rsidR="00584634">
        <w:rPr>
          <w:rFonts w:asciiTheme="majorHAnsi" w:hAnsiTheme="majorHAnsi" w:cstheme="majorHAnsi"/>
          <w:lang w:val="vi-VN"/>
        </w:rPr>
        <w:fldChar w:fldCharType="end"/>
      </w:r>
      <w:r w:rsidRPr="00887C39">
        <w:rPr>
          <w:rFonts w:asciiTheme="majorHAnsi" w:hAnsiTheme="majorHAnsi" w:cstheme="majorHAnsi"/>
          <w:lang w:val="vi-VN"/>
        </w:rPr>
        <w:t xml:space="preserve">. Do vậy, CAR được </w:t>
      </w:r>
      <w:r w:rsidR="007A0A10">
        <w:rPr>
          <w:rFonts w:asciiTheme="majorHAnsi" w:hAnsiTheme="majorHAnsi" w:cstheme="majorHAnsi"/>
          <w:lang w:val="vi-VN"/>
        </w:rPr>
        <w:t xml:space="preserve">kỳ vọng </w:t>
      </w:r>
      <w:r w:rsidRPr="00887C39">
        <w:rPr>
          <w:rFonts w:asciiTheme="majorHAnsi" w:hAnsiTheme="majorHAnsi" w:cstheme="majorHAnsi"/>
          <w:lang w:val="vi-VN"/>
        </w:rPr>
        <w:t>sẽ có tác động dương đến mức độ chấp nhận rủi ro của ngân hàng.</w:t>
      </w:r>
    </w:p>
    <w:p w14:paraId="7BDBF0FA" w14:textId="6B4AEA39" w:rsidR="00FB464B" w:rsidRDefault="00FB464B" w:rsidP="00FB464B">
      <w:pPr>
        <w:spacing w:before="120" w:after="120" w:line="240" w:lineRule="auto"/>
        <w:ind w:firstLine="360"/>
        <w:jc w:val="both"/>
        <w:rPr>
          <w:rFonts w:asciiTheme="majorHAnsi" w:hAnsiTheme="majorHAnsi" w:cstheme="majorHAnsi"/>
          <w:lang w:val="vi-VN"/>
        </w:rPr>
      </w:pPr>
      <w:r>
        <w:rPr>
          <w:rFonts w:asciiTheme="majorHAnsi" w:hAnsiTheme="majorHAnsi" w:cstheme="majorHAnsi"/>
          <w:lang w:val="vi-VN"/>
        </w:rPr>
        <w:t>Về các biến kiểm soát liên quan đến yếu tố kinh tế vĩ mô, bài viết này sử dụng tỷ lệ lạm phát và tốc độ tăng trưởng kinh tế, cụ thể:</w:t>
      </w:r>
    </w:p>
    <w:p w14:paraId="43442428" w14:textId="03C2249B" w:rsidR="00FB464B" w:rsidRDefault="00FB464B" w:rsidP="00FB464B">
      <w:pPr>
        <w:pStyle w:val="ListParagraph"/>
        <w:numPr>
          <w:ilvl w:val="0"/>
          <w:numId w:val="3"/>
        </w:numPr>
        <w:spacing w:before="120" w:after="120" w:line="240" w:lineRule="auto"/>
        <w:ind w:left="630" w:hanging="270"/>
        <w:jc w:val="both"/>
        <w:rPr>
          <w:rFonts w:asciiTheme="majorHAnsi" w:hAnsiTheme="majorHAnsi" w:cstheme="majorHAnsi"/>
          <w:lang w:val="vi-VN"/>
        </w:rPr>
      </w:pPr>
      <w:r>
        <w:rPr>
          <w:rFonts w:asciiTheme="majorHAnsi" w:hAnsiTheme="majorHAnsi" w:cstheme="majorHAnsi"/>
          <w:lang w:val="vi-VN"/>
        </w:rPr>
        <w:t>Tỷ lệ lạm phát (INF)</w:t>
      </w:r>
    </w:p>
    <w:p w14:paraId="565D5703" w14:textId="11063494" w:rsidR="00FB464B" w:rsidRPr="00FB464B" w:rsidRDefault="00FB464B" w:rsidP="00FB464B">
      <w:pPr>
        <w:spacing w:before="120" w:after="120" w:line="240" w:lineRule="auto"/>
        <w:ind w:firstLine="360"/>
        <w:jc w:val="both"/>
        <w:rPr>
          <w:rFonts w:asciiTheme="majorHAnsi" w:hAnsiTheme="majorHAnsi" w:cstheme="majorHAnsi"/>
          <w:lang w:val="vi-VN"/>
        </w:rPr>
      </w:pPr>
      <w:r w:rsidRPr="00FB464B">
        <w:rPr>
          <w:rFonts w:asciiTheme="majorHAnsi" w:hAnsiTheme="majorHAnsi" w:cstheme="majorHAnsi"/>
          <w:lang w:val="vi-VN"/>
        </w:rPr>
        <w:t xml:space="preserve">Lạm phát cao có thể làm giảm giá trị thực của các khoản nợ, khuyến khích các ngân hàng gia tăng hoạt động cho vay nhằm bảo toàn biên lợi </w:t>
      </w:r>
      <w:r w:rsidRPr="00887C39">
        <w:rPr>
          <w:rFonts w:asciiTheme="majorHAnsi" w:hAnsiTheme="majorHAnsi" w:cstheme="majorHAnsi"/>
          <w:lang w:val="vi-VN"/>
        </w:rPr>
        <w:t>nhuận</w:t>
      </w:r>
      <w:r w:rsidR="00584634">
        <w:rPr>
          <w:rFonts w:asciiTheme="majorHAnsi" w:hAnsiTheme="majorHAnsi" w:cstheme="majorHAnsi"/>
          <w:lang w:val="vi-VN"/>
        </w:rPr>
        <w:fldChar w:fldCharType="begin"/>
      </w:r>
      <w:r w:rsidR="00584634">
        <w:rPr>
          <w:rFonts w:asciiTheme="majorHAnsi" w:hAnsiTheme="majorHAnsi" w:cstheme="majorHAnsi"/>
          <w:lang w:val="vi-VN"/>
        </w:rPr>
        <w:instrText xml:space="preserve"> ADDIN ZOTERO_ITEM CSL_CITATION {"citationID":"ooNYCrB6","properties":{"formattedCitation":"\\super 52\\nosupersub{}","plainCitation":"52","noteIndex":0},"citationItems":[{"id":749,"uris":["http://zotero.org/users/local/1km6A5n5/items/8CVDHKVT"],"itemData":{"id":749,"type":"article-journal","abstract":"A growing theoretical literature describes mechanisms whereby even predictable increases in the rate of inflation interfere with the ability of the financial sector to allocate resources effectively. This paper empirically assesses these predictions. The evidence indicates that there is a significant, and economically important, negative relationship between inflation and both banking sector development and equity market activity. Further, the relationship is nonlinear. As inflation rises, the marginal impact of inflation on banking lending activity and stock market development diminishes rapidly. Moreover, we find evidence of thresholds. For economies with inflation rates exceeding 15 percent, there is a discrete drop in financial sector performance. Finally, while the data indicate that more inflation is not matched by greater nominal equity returns in low-inflation countries, nominal stock returns move essentially one-for-one with marginal increases in inflation in high-inflation economies.","container-title":"Journal of Monetary Economics","DOI":"10.1016/S0304-3932(01)00049-6","ISSN":"0304-3932","issue":"2","journalAbbreviation":"Journal of Monetary Economics","page":"221-248","source":"ScienceDirect","title":"The impact of inflation on financial sector performance","volume":"47","author":[{"family":"Boyd","given":"John H."},{"family":"Levine","given":"Ross"},{"family":"Smith","given":"Bruce D."}],"issued":{"date-parts":[["2001",4,1]]}}}],"schema":"https://github.com/citation-style-language/schema/raw/master/csl-citation.json"} </w:instrText>
      </w:r>
      <w:r w:rsidR="00584634">
        <w:rPr>
          <w:rFonts w:asciiTheme="majorHAnsi" w:hAnsiTheme="majorHAnsi" w:cstheme="majorHAnsi"/>
          <w:lang w:val="vi-VN"/>
        </w:rPr>
        <w:fldChar w:fldCharType="separate"/>
      </w:r>
      <w:r w:rsidR="00584634" w:rsidRPr="00BE4B8E">
        <w:rPr>
          <w:rFonts w:ascii="Times New Roman" w:hAnsi="Times New Roman" w:cs="Times New Roman"/>
          <w:szCs w:val="24"/>
          <w:vertAlign w:val="superscript"/>
          <w:lang w:val="vi-VN"/>
        </w:rPr>
        <w:t>52</w:t>
      </w:r>
      <w:r w:rsidR="00584634">
        <w:rPr>
          <w:rFonts w:asciiTheme="majorHAnsi" w:hAnsiTheme="majorHAnsi" w:cstheme="majorHAnsi"/>
          <w:lang w:val="vi-VN"/>
        </w:rPr>
        <w:fldChar w:fldCharType="end"/>
      </w:r>
      <w:r w:rsidRPr="00887C39">
        <w:rPr>
          <w:rFonts w:asciiTheme="majorHAnsi" w:hAnsiTheme="majorHAnsi" w:cstheme="majorHAnsi"/>
          <w:lang w:val="vi-VN"/>
        </w:rPr>
        <w:t>. Trong bối cảnh này, ngân hàng có xu hướng chấp nhận mức rủi ro lớn hơn khi mở rộng quy mô tín dụng. Ngược lại, khi lạm phát ở mức thấp, điều kiện thị trường thường ổn định hơn, dẫn đến việc các ngân hàng áp dụng các chiến lược rủi ro thận trọng nhằm duy trì sự ổn định tài chính</w:t>
      </w:r>
      <w:r w:rsidR="00584634">
        <w:rPr>
          <w:rFonts w:asciiTheme="majorHAnsi" w:hAnsiTheme="majorHAnsi" w:cstheme="majorHAnsi"/>
          <w:lang w:val="vi-VN"/>
        </w:rPr>
        <w:fldChar w:fldCharType="begin"/>
      </w:r>
      <w:r w:rsidR="00584634">
        <w:rPr>
          <w:rFonts w:asciiTheme="majorHAnsi" w:hAnsiTheme="majorHAnsi" w:cstheme="majorHAnsi"/>
          <w:lang w:val="vi-VN"/>
        </w:rPr>
        <w:instrText xml:space="preserve"> ADDIN ZOTERO_ITEM CSL_CITATION {"citationID":"S5I4aPwp","properties":{"formattedCitation":"\\super 52\\nosupersub{}","plainCitation":"52","noteIndex":0},"citationItems":[{"id":749,"uris":["http://zotero.org/users/local/1km6A5n5/items/8CVDHKVT"],"itemData":{"id":749,"type":"article-journal","abstract":"A growing theoretical literature describes mechanisms whereby even predictable increases in the rate of inflation interfere with the ability of the financial sector to allocate resources effectively. This paper empirically assesses these predictions. The evidence indicates that there is a significant, and economically important, negative relationship between inflation and both banking sector development and equity market activity. Further, the relationship is nonlinear. As inflation rises, the marginal impact of inflation on banking lending activity and stock market development diminishes rapidly. Moreover, we find evidence of thresholds. For economies with inflation rates exceeding 15 percent, there is a discrete drop in financial sector performance. Finally, while the data indicate that more inflation is not matched by greater nominal equity returns in low-inflation countries, nominal stock returns move essentially one-for-one with marginal increases in inflation in high-inflation economies.","container-title":"Journal of Monetary Economics","DOI":"10.1016/S0304-3932(01)00049-6","ISSN":"0304-3932","issue":"2","journalAbbreviation":"Journal of Monetary Economics","page":"221-248","source":"ScienceDirect","title":"The impact of inflation on financial sector performance","volume":"47","author":[{"family":"Boyd","given":"John H."},{"family":"Levine","given":"Ross"},{"family":"Smith","given":"Bruce D."}],"issued":{"date-parts":[["2001",4,1]]}}}],"schema":"https://github.com/citation-style-language/schema/raw/master/csl-citation.json"} </w:instrText>
      </w:r>
      <w:r w:rsidR="00584634">
        <w:rPr>
          <w:rFonts w:asciiTheme="majorHAnsi" w:hAnsiTheme="majorHAnsi" w:cstheme="majorHAnsi"/>
          <w:lang w:val="vi-VN"/>
        </w:rPr>
        <w:fldChar w:fldCharType="separate"/>
      </w:r>
      <w:r w:rsidR="00584634" w:rsidRPr="00BE4B8E">
        <w:rPr>
          <w:rFonts w:ascii="Times New Roman" w:hAnsi="Times New Roman" w:cs="Times New Roman"/>
          <w:szCs w:val="24"/>
          <w:vertAlign w:val="superscript"/>
          <w:lang w:val="vi-VN"/>
        </w:rPr>
        <w:t>52</w:t>
      </w:r>
      <w:r w:rsidR="00584634">
        <w:rPr>
          <w:rFonts w:asciiTheme="majorHAnsi" w:hAnsiTheme="majorHAnsi" w:cstheme="majorHAnsi"/>
          <w:lang w:val="vi-VN"/>
        </w:rPr>
        <w:fldChar w:fldCharType="end"/>
      </w:r>
      <w:r w:rsidRPr="00887C39">
        <w:rPr>
          <w:rFonts w:asciiTheme="majorHAnsi" w:hAnsiTheme="majorHAnsi" w:cstheme="majorHAnsi"/>
          <w:lang w:val="vi-VN"/>
        </w:rPr>
        <w:t>.</w:t>
      </w:r>
      <w:r>
        <w:rPr>
          <w:rFonts w:asciiTheme="majorHAnsi" w:hAnsiTheme="majorHAnsi" w:cstheme="majorHAnsi"/>
          <w:lang w:val="vi-VN"/>
        </w:rPr>
        <w:t xml:space="preserve"> Do vậy, lạm phát có thể có tác động cùng chiều hoặc ngược chiều với biến phụ thuộc.</w:t>
      </w:r>
    </w:p>
    <w:p w14:paraId="75959E3C" w14:textId="03B4956E" w:rsidR="00FB464B" w:rsidRDefault="00FB464B" w:rsidP="00FB464B">
      <w:pPr>
        <w:pStyle w:val="ListParagraph"/>
        <w:numPr>
          <w:ilvl w:val="0"/>
          <w:numId w:val="3"/>
        </w:numPr>
        <w:spacing w:before="120" w:after="120" w:line="240" w:lineRule="auto"/>
        <w:ind w:left="630" w:hanging="270"/>
        <w:jc w:val="both"/>
        <w:rPr>
          <w:rFonts w:asciiTheme="majorHAnsi" w:hAnsiTheme="majorHAnsi" w:cstheme="majorHAnsi"/>
          <w:lang w:val="vi-VN"/>
        </w:rPr>
      </w:pPr>
      <w:r>
        <w:rPr>
          <w:rFonts w:asciiTheme="majorHAnsi" w:hAnsiTheme="majorHAnsi" w:cstheme="majorHAnsi"/>
          <w:lang w:val="vi-VN"/>
        </w:rPr>
        <w:t>Tốc độ tăng trưởng kinh tế (GDP)</w:t>
      </w:r>
    </w:p>
    <w:p w14:paraId="2DF1DC14" w14:textId="1D23C5F0" w:rsidR="00FB464B" w:rsidRDefault="00FB464B" w:rsidP="00FB464B">
      <w:pPr>
        <w:spacing w:before="120" w:after="120" w:line="240" w:lineRule="auto"/>
        <w:ind w:firstLine="360"/>
        <w:jc w:val="both"/>
        <w:rPr>
          <w:rFonts w:asciiTheme="majorHAnsi" w:hAnsiTheme="majorHAnsi" w:cstheme="majorHAnsi"/>
          <w:lang w:val="vi-VN"/>
        </w:rPr>
      </w:pPr>
      <w:r w:rsidRPr="00FB464B">
        <w:rPr>
          <w:rFonts w:asciiTheme="majorHAnsi" w:hAnsiTheme="majorHAnsi" w:cstheme="majorHAnsi"/>
          <w:lang w:val="vi-VN"/>
        </w:rPr>
        <w:t xml:space="preserve">Tăng trưởng kinh tế, được đo lường </w:t>
      </w:r>
      <w:r>
        <w:rPr>
          <w:rFonts w:asciiTheme="majorHAnsi" w:hAnsiTheme="majorHAnsi" w:cstheme="majorHAnsi"/>
          <w:lang w:val="vi-VN"/>
        </w:rPr>
        <w:t>bằng</w:t>
      </w:r>
      <w:r w:rsidRPr="00FB464B">
        <w:rPr>
          <w:rFonts w:asciiTheme="majorHAnsi" w:hAnsiTheme="majorHAnsi" w:cstheme="majorHAnsi"/>
          <w:lang w:val="vi-VN"/>
        </w:rPr>
        <w:t xml:space="preserve"> tốc độ tăng trưởng GDP, có tác động hai chiều đến hành vi rủi ro của ngân hàng. Trong ngắn hạn, sự </w:t>
      </w:r>
      <w:r>
        <w:rPr>
          <w:rFonts w:asciiTheme="majorHAnsi" w:hAnsiTheme="majorHAnsi" w:cstheme="majorHAnsi"/>
          <w:lang w:val="vi-VN"/>
        </w:rPr>
        <w:t xml:space="preserve">tăng trưởng </w:t>
      </w:r>
      <w:r w:rsidRPr="00FB464B">
        <w:rPr>
          <w:rFonts w:asciiTheme="majorHAnsi" w:hAnsiTheme="majorHAnsi" w:cstheme="majorHAnsi"/>
          <w:lang w:val="vi-VN"/>
        </w:rPr>
        <w:t xml:space="preserve">kinh tế cải thiện khả năng tín dụng của người vay và làm giảm nguy cơ vỡ nợ, dẫn đến mức độ chấp nhận rủi ro của ngân hàng thấp </w:t>
      </w:r>
      <w:r w:rsidRPr="00887C39">
        <w:rPr>
          <w:rFonts w:asciiTheme="majorHAnsi" w:hAnsiTheme="majorHAnsi" w:cstheme="majorHAnsi"/>
          <w:lang w:val="vi-VN"/>
        </w:rPr>
        <w:t>hơn</w:t>
      </w:r>
      <w:r w:rsidR="00584634">
        <w:rPr>
          <w:rFonts w:asciiTheme="majorHAnsi" w:hAnsiTheme="majorHAnsi" w:cstheme="majorHAnsi"/>
          <w:lang w:val="vi-VN"/>
        </w:rPr>
        <w:fldChar w:fldCharType="begin"/>
      </w:r>
      <w:r w:rsidR="00584634">
        <w:rPr>
          <w:rFonts w:asciiTheme="majorHAnsi" w:hAnsiTheme="majorHAnsi" w:cstheme="majorHAnsi"/>
          <w:lang w:val="vi-VN"/>
        </w:rPr>
        <w:instrText xml:space="preserve"> ADDIN ZOTERO_ITEM CSL_CITATION {"citationID":"UM5H13yM","properties":{"formattedCitation":"\\super 53\\nosupersub{}","plainCitation":"53","noteIndex":0},"citationItems":[{"id":750,"uris":["http://zotero.org/users/local/1km6A5n5/items/X2ATGZXG"],"itemData":{"id":750,"type":"article-journal","abstract":"We investigate whether loan growth affects the riskiness of individual banks in 16 major countries. Using Bankscope data from more than 16,000 individual banks during 1997–2007, we test three hypotheses on the relation between abnormal loan growth and asset risk, bank profitability, and bank solvency. We find that loan growth leads to an increase in loan loss provisions during the subsequent three years, to a decrease in relative interest income, and to lower capital ratios. Further analyses show that loan growth also has a negative impact on the risk-adjusted interest income. These results suggest that loan growth represents an important driver of the riskiness of banks.","collection-title":"International Financial Integration","container-title":"Journal of Banking &amp; Finance","DOI":"10.1016/j.jbankfin.2010.06.007","ISSN":"0378-4266","issue":"12","journalAbbreviation":"Journal of Banking &amp; Finance","page":"2929-2940","source":"ScienceDirect","title":"Loan growth and riskiness of banks","volume":"34","author":[{"family":"Foos","given":"Daniel"},{"family":"Norden","given":"Lars"},{"family":"Weber","given":"Martin"}],"issued":{"date-parts":[["2010",12,1]]}}}],"schema":"https://github.com/citation-style-language/schema/raw/master/csl-citation.json"} </w:instrText>
      </w:r>
      <w:r w:rsidR="00584634">
        <w:rPr>
          <w:rFonts w:asciiTheme="majorHAnsi" w:hAnsiTheme="majorHAnsi" w:cstheme="majorHAnsi"/>
          <w:lang w:val="vi-VN"/>
        </w:rPr>
        <w:fldChar w:fldCharType="separate"/>
      </w:r>
      <w:r w:rsidR="00584634" w:rsidRPr="00BE4B8E">
        <w:rPr>
          <w:rFonts w:ascii="Times New Roman" w:hAnsi="Times New Roman" w:cs="Times New Roman"/>
          <w:szCs w:val="24"/>
          <w:vertAlign w:val="superscript"/>
          <w:lang w:val="vi-VN"/>
        </w:rPr>
        <w:t>53</w:t>
      </w:r>
      <w:r w:rsidR="00584634">
        <w:rPr>
          <w:rFonts w:asciiTheme="majorHAnsi" w:hAnsiTheme="majorHAnsi" w:cstheme="majorHAnsi"/>
          <w:lang w:val="vi-VN"/>
        </w:rPr>
        <w:fldChar w:fldCharType="end"/>
      </w:r>
      <w:r w:rsidRPr="00887C39">
        <w:rPr>
          <w:rFonts w:asciiTheme="majorHAnsi" w:hAnsiTheme="majorHAnsi" w:cstheme="majorHAnsi"/>
          <w:lang w:val="vi-VN"/>
        </w:rPr>
        <w:t>. Tuy nhiên, trong dài hạn, một môi trường kinh tế tăng trưởng bền vững và cạnh tranh có thể thúc đẩy các ngân hàng tìm kiếm lợi nhuận cao hơn thông qua việc đầu tư vào các dự án rủi ro</w:t>
      </w:r>
      <w:r w:rsidR="00584634">
        <w:rPr>
          <w:rFonts w:asciiTheme="majorHAnsi" w:hAnsiTheme="majorHAnsi" w:cstheme="majorHAnsi"/>
          <w:lang w:val="vi-VN"/>
        </w:rPr>
        <w:fldChar w:fldCharType="begin"/>
      </w:r>
      <w:r w:rsidR="00584634">
        <w:rPr>
          <w:rFonts w:asciiTheme="majorHAnsi" w:hAnsiTheme="majorHAnsi" w:cstheme="majorHAnsi"/>
          <w:lang w:val="vi-VN"/>
        </w:rPr>
        <w:instrText xml:space="preserve"> ADDIN ZOTERO_ITEM CSL_CITATION {"citationID":"wtBUWFLT","properties":{"formattedCitation":"\\super 54\\nosupersub{}","plainCitation":"54","noteIndex":0},"citationItems":[{"id":754,"uris":["http://zotero.org/users/local/1km6A5n5/items/E99W4DG9"],"itemData":{"id":754,"type":"article-journal","abstract":"A recent line of research views the low interest-rate environment of the early to mid 2000s as an element that triggered increased risk-taking appetite of banks in search for yield. This paper uses approximately 18000 annual observations on euro area banks over the period 2001–2008 and presents strong empirical evidence that low-interest rates indeed increase bank risk-taking substantially. This result is robust across a number of different specifications that account, inter alia, for the potential endogeneity of interest rates and/or the dynamics of bank risk. Notably, among the banks of the large euro area countries this effect is less pronounced for French institutions, which held on average a relatively low level of risk assets. Finally, the distributional effects of interest rates on bank risk-taking due to individual bank characteristics reveal that the impact of interest rates on risk assets is diminished for banks with higher equity capital and is amplified for banks with higher off-balance sheet items.","collection-title":"Crete Conference 2010: The Future of Universal Banking","container-title":"Journal of Banking &amp; Finance","DOI":"10.1016/j.jbankfin.2010.09.032","ISSN":"0378-4266","issue":"4","journalAbbreviation":"Journal of Banking &amp; Finance","page":"840-855","source":"ScienceDirect","title":"Interest rates and bank risk-taking","volume":"35","author":[{"family":"Delis","given":"Manthos D."},{"family":"Kouretas","given":"Georgios P."}],"issued":{"date-parts":[["2011",4,1]]}}}],"schema":"https://github.com/citation-style-language/schema/raw/master/csl-citation.json"} </w:instrText>
      </w:r>
      <w:r w:rsidR="00584634">
        <w:rPr>
          <w:rFonts w:asciiTheme="majorHAnsi" w:hAnsiTheme="majorHAnsi" w:cstheme="majorHAnsi"/>
          <w:lang w:val="vi-VN"/>
        </w:rPr>
        <w:fldChar w:fldCharType="separate"/>
      </w:r>
      <w:r w:rsidR="00584634" w:rsidRPr="00BE4B8E">
        <w:rPr>
          <w:rFonts w:ascii="Times New Roman" w:hAnsi="Times New Roman" w:cs="Times New Roman"/>
          <w:szCs w:val="24"/>
          <w:vertAlign w:val="superscript"/>
          <w:lang w:val="vi-VN"/>
        </w:rPr>
        <w:t>54</w:t>
      </w:r>
      <w:r w:rsidR="00584634">
        <w:rPr>
          <w:rFonts w:asciiTheme="majorHAnsi" w:hAnsiTheme="majorHAnsi" w:cstheme="majorHAnsi"/>
          <w:lang w:val="vi-VN"/>
        </w:rPr>
        <w:fldChar w:fldCharType="end"/>
      </w:r>
      <w:r w:rsidR="00584634" w:rsidRPr="00BE4B8E">
        <w:rPr>
          <w:rFonts w:asciiTheme="majorHAnsi" w:hAnsiTheme="majorHAnsi" w:cstheme="majorHAnsi"/>
          <w:lang w:val="vi-VN"/>
        </w:rPr>
        <w:t>.</w:t>
      </w:r>
      <w:r>
        <w:rPr>
          <w:rFonts w:asciiTheme="majorHAnsi" w:hAnsiTheme="majorHAnsi" w:cstheme="majorHAnsi"/>
          <w:lang w:val="vi-VN"/>
        </w:rPr>
        <w:t xml:space="preserve"> Như vậy</w:t>
      </w:r>
      <w:r w:rsidRPr="00FB464B">
        <w:rPr>
          <w:rFonts w:asciiTheme="majorHAnsi" w:hAnsiTheme="majorHAnsi" w:cstheme="majorHAnsi"/>
          <w:lang w:val="vi-VN"/>
        </w:rPr>
        <w:t xml:space="preserve">, tăng trưởng kinh tế </w:t>
      </w:r>
      <w:r>
        <w:rPr>
          <w:rFonts w:asciiTheme="majorHAnsi" w:hAnsiTheme="majorHAnsi" w:cstheme="majorHAnsi"/>
          <w:lang w:val="vi-VN"/>
        </w:rPr>
        <w:t>tác động đến mức độ</w:t>
      </w:r>
      <w:r w:rsidRPr="00FB464B">
        <w:rPr>
          <w:rFonts w:asciiTheme="majorHAnsi" w:hAnsiTheme="majorHAnsi" w:cstheme="majorHAnsi"/>
          <w:lang w:val="vi-VN"/>
        </w:rPr>
        <w:t xml:space="preserve"> chấp nhận rủi ro của ngân hàng</w:t>
      </w:r>
      <w:r>
        <w:rPr>
          <w:rFonts w:asciiTheme="majorHAnsi" w:hAnsiTheme="majorHAnsi" w:cstheme="majorHAnsi"/>
          <w:lang w:val="vi-VN"/>
        </w:rPr>
        <w:t xml:space="preserve"> </w:t>
      </w:r>
      <w:r w:rsidRPr="00FB464B">
        <w:rPr>
          <w:rFonts w:asciiTheme="majorHAnsi" w:hAnsiTheme="majorHAnsi" w:cstheme="majorHAnsi"/>
          <w:lang w:val="vi-VN"/>
        </w:rPr>
        <w:t xml:space="preserve">tùy thuộc vào chu kỳ kinh tế và điều kiện thị </w:t>
      </w:r>
      <w:r>
        <w:rPr>
          <w:rFonts w:asciiTheme="majorHAnsi" w:hAnsiTheme="majorHAnsi" w:cstheme="majorHAnsi"/>
          <w:lang w:val="vi-VN"/>
        </w:rPr>
        <w:t>trường. Do đó, GDP có thể có tương quan âm hoặc dương đối với biến phụ thuộc.</w:t>
      </w:r>
    </w:p>
    <w:p w14:paraId="0AD670FF" w14:textId="0FC2C86E" w:rsidR="00FB464B" w:rsidRPr="00FB464B" w:rsidRDefault="00FB464B" w:rsidP="00FB464B">
      <w:pPr>
        <w:spacing w:before="120" w:after="120" w:line="240" w:lineRule="auto"/>
        <w:ind w:firstLine="360"/>
        <w:jc w:val="both"/>
        <w:rPr>
          <w:rFonts w:asciiTheme="majorHAnsi" w:hAnsiTheme="majorHAnsi" w:cstheme="majorHAnsi"/>
          <w:lang w:val="vi-VN"/>
        </w:rPr>
      </w:pPr>
      <w:r>
        <w:rPr>
          <w:rFonts w:asciiTheme="majorHAnsi" w:hAnsiTheme="majorHAnsi" w:cstheme="majorHAnsi"/>
          <w:lang w:val="vi-VN"/>
        </w:rPr>
        <w:t>Bảng 1 dưới đây trình bày tóm tắt về các biến được sử dụng trong nghiên cứu này.</w:t>
      </w:r>
    </w:p>
    <w:p w14:paraId="2951C7CF" w14:textId="1DE3E088" w:rsidR="0022656C" w:rsidRPr="00D3269D" w:rsidRDefault="0022656C" w:rsidP="00D3269D">
      <w:pPr>
        <w:spacing w:before="120" w:after="120" w:line="240" w:lineRule="auto"/>
        <w:jc w:val="both"/>
        <w:rPr>
          <w:rFonts w:asciiTheme="majorHAnsi" w:hAnsiTheme="majorHAnsi" w:cstheme="majorHAnsi"/>
          <w:b/>
          <w:bCs/>
          <w:lang w:val="vi-VN"/>
        </w:rPr>
      </w:pPr>
      <w:r w:rsidRPr="00D3269D">
        <w:rPr>
          <w:rFonts w:asciiTheme="majorHAnsi" w:hAnsiTheme="majorHAnsi" w:cstheme="majorHAnsi"/>
          <w:b/>
          <w:bCs/>
          <w:lang w:val="vi-VN"/>
        </w:rPr>
        <w:t>Bảng 1. Mô tả biến nghiên cứu</w:t>
      </w:r>
    </w:p>
    <w:tbl>
      <w:tblPr>
        <w:tblStyle w:val="TableGrid"/>
        <w:tblW w:w="90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80"/>
        <w:gridCol w:w="1013"/>
        <w:gridCol w:w="2317"/>
        <w:gridCol w:w="4590"/>
      </w:tblGrid>
      <w:tr w:rsidR="0022656C" w:rsidRPr="00C90CB6" w14:paraId="77A72DFF" w14:textId="77777777" w:rsidTr="00C90CB6">
        <w:tc>
          <w:tcPr>
            <w:tcW w:w="2093" w:type="dxa"/>
            <w:gridSpan w:val="2"/>
            <w:tcBorders>
              <w:bottom w:val="single" w:sz="4" w:space="0" w:color="auto"/>
            </w:tcBorders>
          </w:tcPr>
          <w:p w14:paraId="416B2A1D" w14:textId="30EACEE0" w:rsidR="0022656C" w:rsidRPr="00C90CB6" w:rsidRDefault="00FE681D" w:rsidP="0032747F">
            <w:pPr>
              <w:spacing w:before="60"/>
              <w:jc w:val="center"/>
              <w:rPr>
                <w:rFonts w:asciiTheme="majorHAnsi" w:hAnsiTheme="majorHAnsi" w:cstheme="majorHAnsi"/>
                <w:b/>
                <w:bCs/>
                <w:sz w:val="20"/>
                <w:szCs w:val="20"/>
                <w:lang w:val="vi-VN"/>
              </w:rPr>
            </w:pPr>
            <w:r w:rsidRPr="00C90CB6">
              <w:rPr>
                <w:rFonts w:asciiTheme="majorHAnsi" w:hAnsiTheme="majorHAnsi" w:cstheme="majorHAnsi"/>
                <w:b/>
                <w:bCs/>
                <w:sz w:val="20"/>
                <w:szCs w:val="20"/>
                <w:lang w:val="vi-VN"/>
              </w:rPr>
              <w:t>Tên biến</w:t>
            </w:r>
          </w:p>
        </w:tc>
        <w:tc>
          <w:tcPr>
            <w:tcW w:w="2317" w:type="dxa"/>
            <w:tcBorders>
              <w:bottom w:val="single" w:sz="4" w:space="0" w:color="auto"/>
            </w:tcBorders>
          </w:tcPr>
          <w:p w14:paraId="473B732D" w14:textId="763187FD" w:rsidR="0022656C" w:rsidRPr="00C90CB6" w:rsidRDefault="00FE681D" w:rsidP="0032747F">
            <w:pPr>
              <w:spacing w:before="60"/>
              <w:jc w:val="center"/>
              <w:rPr>
                <w:rFonts w:asciiTheme="majorHAnsi" w:hAnsiTheme="majorHAnsi" w:cstheme="majorHAnsi"/>
                <w:b/>
                <w:bCs/>
                <w:sz w:val="20"/>
                <w:szCs w:val="20"/>
                <w:lang w:val="vi-VN"/>
              </w:rPr>
            </w:pPr>
            <w:r w:rsidRPr="00C90CB6">
              <w:rPr>
                <w:rFonts w:asciiTheme="majorHAnsi" w:hAnsiTheme="majorHAnsi" w:cstheme="majorHAnsi"/>
                <w:b/>
                <w:bCs/>
                <w:sz w:val="20"/>
                <w:szCs w:val="20"/>
                <w:lang w:val="vi-VN"/>
              </w:rPr>
              <w:t>Định nghĩa biến</w:t>
            </w:r>
          </w:p>
        </w:tc>
        <w:tc>
          <w:tcPr>
            <w:tcW w:w="4590" w:type="dxa"/>
            <w:tcBorders>
              <w:bottom w:val="single" w:sz="4" w:space="0" w:color="auto"/>
            </w:tcBorders>
          </w:tcPr>
          <w:p w14:paraId="4EBE5A9E" w14:textId="7147BC3D" w:rsidR="0022656C" w:rsidRPr="00C90CB6" w:rsidRDefault="00FE681D" w:rsidP="0032747F">
            <w:pPr>
              <w:spacing w:before="60"/>
              <w:jc w:val="center"/>
              <w:rPr>
                <w:rFonts w:asciiTheme="majorHAnsi" w:hAnsiTheme="majorHAnsi" w:cstheme="majorHAnsi"/>
                <w:b/>
                <w:bCs/>
                <w:sz w:val="20"/>
                <w:szCs w:val="20"/>
                <w:lang w:val="vi-VN"/>
              </w:rPr>
            </w:pPr>
            <w:r w:rsidRPr="00C90CB6">
              <w:rPr>
                <w:rFonts w:asciiTheme="majorHAnsi" w:hAnsiTheme="majorHAnsi" w:cstheme="majorHAnsi"/>
                <w:b/>
                <w:bCs/>
                <w:sz w:val="20"/>
                <w:szCs w:val="20"/>
                <w:lang w:val="vi-VN"/>
              </w:rPr>
              <w:t>Đo lường</w:t>
            </w:r>
          </w:p>
        </w:tc>
      </w:tr>
      <w:tr w:rsidR="0022656C" w:rsidRPr="005049F0" w14:paraId="69BF8A95" w14:textId="77777777" w:rsidTr="00C90CB6">
        <w:tc>
          <w:tcPr>
            <w:tcW w:w="1080" w:type="dxa"/>
            <w:tcBorders>
              <w:top w:val="single" w:sz="4" w:space="0" w:color="auto"/>
              <w:bottom w:val="single" w:sz="4" w:space="0" w:color="auto"/>
            </w:tcBorders>
          </w:tcPr>
          <w:p w14:paraId="639C7E3B" w14:textId="498A4431" w:rsidR="0022656C" w:rsidRPr="00C90CB6" w:rsidRDefault="00FE681D" w:rsidP="0032747F">
            <w:pPr>
              <w:spacing w:before="60"/>
              <w:rPr>
                <w:rFonts w:asciiTheme="majorHAnsi" w:hAnsiTheme="majorHAnsi" w:cstheme="majorHAnsi"/>
                <w:sz w:val="20"/>
                <w:szCs w:val="20"/>
                <w:lang w:val="vi-VN"/>
              </w:rPr>
            </w:pPr>
            <w:r w:rsidRPr="00C90CB6">
              <w:rPr>
                <w:rFonts w:asciiTheme="majorHAnsi" w:hAnsiTheme="majorHAnsi" w:cstheme="majorHAnsi"/>
                <w:sz w:val="20"/>
                <w:szCs w:val="20"/>
                <w:lang w:val="en-US"/>
              </w:rPr>
              <w:t>Biến</w:t>
            </w:r>
            <w:r w:rsidRPr="00C90CB6">
              <w:rPr>
                <w:rFonts w:asciiTheme="majorHAnsi" w:hAnsiTheme="majorHAnsi" w:cstheme="majorHAnsi"/>
                <w:sz w:val="20"/>
                <w:szCs w:val="20"/>
                <w:lang w:val="vi-VN"/>
              </w:rPr>
              <w:t xml:space="preserve"> phụ thuộc</w:t>
            </w:r>
          </w:p>
        </w:tc>
        <w:tc>
          <w:tcPr>
            <w:tcW w:w="1013" w:type="dxa"/>
            <w:tcBorders>
              <w:top w:val="single" w:sz="4" w:space="0" w:color="auto"/>
              <w:bottom w:val="single" w:sz="4" w:space="0" w:color="auto"/>
            </w:tcBorders>
          </w:tcPr>
          <w:p w14:paraId="05A37B2C" w14:textId="77777777" w:rsidR="0022656C" w:rsidRPr="00C90CB6" w:rsidRDefault="0022656C"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Z</w:t>
            </w:r>
          </w:p>
        </w:tc>
        <w:tc>
          <w:tcPr>
            <w:tcW w:w="2317" w:type="dxa"/>
            <w:tcBorders>
              <w:top w:val="single" w:sz="4" w:space="0" w:color="auto"/>
              <w:bottom w:val="single" w:sz="4" w:space="0" w:color="auto"/>
            </w:tcBorders>
          </w:tcPr>
          <w:p w14:paraId="6BB90360" w14:textId="627C6B0D" w:rsidR="0022656C" w:rsidRPr="00C90CB6" w:rsidRDefault="00FE681D"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Mức độ chấp nhận rủi ro</w:t>
            </w:r>
          </w:p>
        </w:tc>
        <w:tc>
          <w:tcPr>
            <w:tcW w:w="4590" w:type="dxa"/>
            <w:tcBorders>
              <w:top w:val="single" w:sz="4" w:space="0" w:color="auto"/>
              <w:bottom w:val="single" w:sz="4" w:space="0" w:color="auto"/>
            </w:tcBorders>
          </w:tcPr>
          <w:p w14:paraId="33C36326" w14:textId="7A91AA26" w:rsidR="0022656C" w:rsidRPr="00C90CB6" w:rsidRDefault="0022656C"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Ln[∂ROA</w:t>
            </w:r>
            <w:r w:rsidRPr="00C90CB6">
              <w:rPr>
                <w:rFonts w:asciiTheme="majorHAnsi" w:hAnsiTheme="majorHAnsi" w:cstheme="majorHAnsi"/>
                <w:sz w:val="20"/>
                <w:szCs w:val="20"/>
                <w:vertAlign w:val="subscript"/>
                <w:lang w:val="vi-VN"/>
              </w:rPr>
              <w:t xml:space="preserve">it </w:t>
            </w:r>
            <w:r w:rsidRPr="00C90CB6">
              <w:rPr>
                <w:rFonts w:asciiTheme="majorHAnsi" w:hAnsiTheme="majorHAnsi" w:cstheme="majorHAnsi"/>
                <w:sz w:val="20"/>
                <w:szCs w:val="20"/>
                <w:lang w:val="vi-VN"/>
              </w:rPr>
              <w:t>/(ROA</w:t>
            </w:r>
            <w:r w:rsidRPr="00C90CB6">
              <w:rPr>
                <w:rFonts w:asciiTheme="majorHAnsi" w:hAnsiTheme="majorHAnsi" w:cstheme="majorHAnsi"/>
                <w:sz w:val="20"/>
                <w:szCs w:val="20"/>
                <w:vertAlign w:val="subscript"/>
                <w:lang w:val="vi-VN"/>
              </w:rPr>
              <w:t>it</w:t>
            </w:r>
            <w:r w:rsidRPr="00C90CB6">
              <w:rPr>
                <w:rFonts w:asciiTheme="majorHAnsi" w:hAnsiTheme="majorHAnsi" w:cstheme="majorHAnsi"/>
                <w:sz w:val="20"/>
                <w:szCs w:val="20"/>
                <w:lang w:val="vi-VN"/>
              </w:rPr>
              <w:t xml:space="preserve"> + </w:t>
            </w:r>
            <w:r w:rsidR="00FE681D" w:rsidRPr="00C90CB6">
              <w:rPr>
                <w:rFonts w:asciiTheme="majorHAnsi" w:hAnsiTheme="majorHAnsi" w:cstheme="majorHAnsi"/>
                <w:sz w:val="20"/>
                <w:szCs w:val="20"/>
                <w:lang w:val="vi-VN"/>
              </w:rPr>
              <w:t>Vốn chủ sở hữu</w:t>
            </w:r>
            <w:r w:rsidRPr="00C90CB6">
              <w:rPr>
                <w:rFonts w:asciiTheme="majorHAnsi" w:hAnsiTheme="majorHAnsi" w:cstheme="majorHAnsi"/>
                <w:sz w:val="20"/>
                <w:szCs w:val="20"/>
                <w:vertAlign w:val="subscript"/>
                <w:lang w:val="vi-VN"/>
              </w:rPr>
              <w:t>it</w:t>
            </w:r>
            <w:r w:rsidRPr="00C90CB6">
              <w:rPr>
                <w:rFonts w:asciiTheme="majorHAnsi" w:hAnsiTheme="majorHAnsi" w:cstheme="majorHAnsi"/>
                <w:sz w:val="20"/>
                <w:szCs w:val="20"/>
                <w:lang w:val="vi-VN"/>
              </w:rPr>
              <w:t>/</w:t>
            </w:r>
            <w:r w:rsidR="00FE681D" w:rsidRPr="00C90CB6">
              <w:rPr>
                <w:rFonts w:asciiTheme="majorHAnsi" w:hAnsiTheme="majorHAnsi" w:cstheme="majorHAnsi"/>
                <w:sz w:val="20"/>
                <w:szCs w:val="20"/>
                <w:lang w:val="vi-VN"/>
              </w:rPr>
              <w:t>Tổng tài sản</w:t>
            </w:r>
            <w:r w:rsidRPr="00C90CB6">
              <w:rPr>
                <w:rFonts w:asciiTheme="majorHAnsi" w:hAnsiTheme="majorHAnsi" w:cstheme="majorHAnsi"/>
                <w:sz w:val="20"/>
                <w:szCs w:val="20"/>
                <w:vertAlign w:val="subscript"/>
                <w:lang w:val="vi-VN"/>
              </w:rPr>
              <w:t>it</w:t>
            </w:r>
            <w:r w:rsidRPr="00C90CB6">
              <w:rPr>
                <w:rFonts w:asciiTheme="majorHAnsi" w:hAnsiTheme="majorHAnsi" w:cstheme="majorHAnsi"/>
                <w:sz w:val="20"/>
                <w:szCs w:val="20"/>
                <w:lang w:val="vi-VN"/>
              </w:rPr>
              <w:t>)]</w:t>
            </w:r>
          </w:p>
        </w:tc>
      </w:tr>
      <w:tr w:rsidR="0022656C" w:rsidRPr="00C90CB6" w14:paraId="015D31BC" w14:textId="77777777" w:rsidTr="00C90CB6">
        <w:tc>
          <w:tcPr>
            <w:tcW w:w="1080" w:type="dxa"/>
            <w:tcBorders>
              <w:top w:val="single" w:sz="4" w:space="0" w:color="auto"/>
              <w:bottom w:val="single" w:sz="4" w:space="0" w:color="auto"/>
            </w:tcBorders>
          </w:tcPr>
          <w:p w14:paraId="743477E7" w14:textId="5035FEDE" w:rsidR="0022656C" w:rsidRPr="00C90CB6" w:rsidRDefault="00FE681D" w:rsidP="0032747F">
            <w:pPr>
              <w:spacing w:before="60"/>
              <w:rPr>
                <w:rFonts w:asciiTheme="majorHAnsi" w:hAnsiTheme="majorHAnsi" w:cstheme="majorHAnsi"/>
                <w:sz w:val="20"/>
                <w:szCs w:val="20"/>
                <w:lang w:val="vi-VN"/>
              </w:rPr>
            </w:pPr>
            <w:r w:rsidRPr="00C90CB6">
              <w:rPr>
                <w:rFonts w:asciiTheme="majorHAnsi" w:hAnsiTheme="majorHAnsi" w:cstheme="majorHAnsi"/>
                <w:sz w:val="20"/>
                <w:szCs w:val="20"/>
                <w:lang w:val="vi-VN"/>
              </w:rPr>
              <w:t>Biến độc lập</w:t>
            </w:r>
          </w:p>
        </w:tc>
        <w:tc>
          <w:tcPr>
            <w:tcW w:w="1013" w:type="dxa"/>
            <w:tcBorders>
              <w:top w:val="single" w:sz="4" w:space="0" w:color="auto"/>
            </w:tcBorders>
          </w:tcPr>
          <w:p w14:paraId="1BE8C9D6" w14:textId="77777777" w:rsidR="0022656C" w:rsidRPr="00C90CB6" w:rsidRDefault="0022656C"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ICT</w:t>
            </w:r>
          </w:p>
        </w:tc>
        <w:tc>
          <w:tcPr>
            <w:tcW w:w="2317" w:type="dxa"/>
            <w:tcBorders>
              <w:top w:val="single" w:sz="4" w:space="0" w:color="auto"/>
            </w:tcBorders>
          </w:tcPr>
          <w:p w14:paraId="4C93E664" w14:textId="6F98C954" w:rsidR="0022656C" w:rsidRPr="00C90CB6" w:rsidRDefault="00FE681D"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Chuyển đổi số</w:t>
            </w:r>
          </w:p>
        </w:tc>
        <w:tc>
          <w:tcPr>
            <w:tcW w:w="4590" w:type="dxa"/>
            <w:tcBorders>
              <w:top w:val="single" w:sz="4" w:space="0" w:color="auto"/>
            </w:tcBorders>
          </w:tcPr>
          <w:p w14:paraId="60FA6763" w14:textId="6F591468" w:rsidR="0022656C" w:rsidRPr="00C90CB6" w:rsidRDefault="00FE681D" w:rsidP="0032747F">
            <w:pPr>
              <w:spacing w:before="60"/>
              <w:rPr>
                <w:rFonts w:asciiTheme="majorHAnsi" w:hAnsiTheme="majorHAnsi" w:cstheme="majorHAnsi"/>
                <w:sz w:val="20"/>
                <w:szCs w:val="20"/>
                <w:lang w:val="vi-VN"/>
              </w:rPr>
            </w:pPr>
            <w:r w:rsidRPr="00C90CB6">
              <w:rPr>
                <w:rFonts w:asciiTheme="majorHAnsi" w:hAnsiTheme="majorHAnsi" w:cstheme="majorHAnsi"/>
                <w:sz w:val="20"/>
                <w:szCs w:val="20"/>
                <w:lang w:val="vi-VN"/>
              </w:rPr>
              <w:t xml:space="preserve">ICT </w:t>
            </w:r>
          </w:p>
        </w:tc>
      </w:tr>
      <w:tr w:rsidR="0022656C" w:rsidRPr="005049F0" w14:paraId="4187AA72" w14:textId="77777777" w:rsidTr="00C90CB6">
        <w:tc>
          <w:tcPr>
            <w:tcW w:w="1080" w:type="dxa"/>
            <w:vMerge w:val="restart"/>
            <w:tcBorders>
              <w:top w:val="single" w:sz="4" w:space="0" w:color="auto"/>
            </w:tcBorders>
          </w:tcPr>
          <w:p w14:paraId="1500AEF3" w14:textId="6F73F383" w:rsidR="0022656C" w:rsidRPr="00C90CB6" w:rsidRDefault="00FE681D" w:rsidP="0032747F">
            <w:pPr>
              <w:spacing w:before="60"/>
              <w:rPr>
                <w:rFonts w:asciiTheme="majorHAnsi" w:hAnsiTheme="majorHAnsi" w:cstheme="majorHAnsi"/>
                <w:sz w:val="20"/>
                <w:szCs w:val="20"/>
                <w:lang w:val="vi-VN"/>
              </w:rPr>
            </w:pPr>
            <w:r w:rsidRPr="00C90CB6">
              <w:rPr>
                <w:rFonts w:asciiTheme="majorHAnsi" w:hAnsiTheme="majorHAnsi" w:cstheme="majorHAnsi"/>
                <w:sz w:val="20"/>
                <w:szCs w:val="20"/>
                <w:lang w:val="vi-VN"/>
              </w:rPr>
              <w:t>Biến điều tiết</w:t>
            </w:r>
          </w:p>
        </w:tc>
        <w:tc>
          <w:tcPr>
            <w:tcW w:w="1013" w:type="dxa"/>
            <w:tcBorders>
              <w:top w:val="single" w:sz="4" w:space="0" w:color="auto"/>
            </w:tcBorders>
          </w:tcPr>
          <w:p w14:paraId="56445B2C" w14:textId="106A2028" w:rsidR="0022656C" w:rsidRPr="00C90CB6" w:rsidRDefault="00FE681D" w:rsidP="0032747F">
            <w:pPr>
              <w:spacing w:before="60"/>
              <w:jc w:val="both"/>
              <w:rPr>
                <w:rFonts w:asciiTheme="majorHAnsi" w:hAnsiTheme="majorHAnsi" w:cstheme="majorHAnsi"/>
                <w:sz w:val="20"/>
                <w:szCs w:val="20"/>
                <w:lang w:val="en-US"/>
              </w:rPr>
            </w:pPr>
            <w:r w:rsidRPr="00C90CB6">
              <w:rPr>
                <w:rFonts w:asciiTheme="majorHAnsi" w:hAnsiTheme="majorHAnsi" w:cstheme="majorHAnsi"/>
                <w:sz w:val="20"/>
                <w:szCs w:val="20"/>
                <w:lang w:val="en-US"/>
              </w:rPr>
              <w:t>state</w:t>
            </w:r>
            <w:r w:rsidR="0022656C" w:rsidRPr="00C90CB6">
              <w:rPr>
                <w:rFonts w:asciiTheme="majorHAnsi" w:hAnsiTheme="majorHAnsi" w:cstheme="majorHAnsi"/>
                <w:sz w:val="20"/>
                <w:szCs w:val="20"/>
                <w:lang w:val="en-US"/>
              </w:rPr>
              <w:t>dum</w:t>
            </w:r>
          </w:p>
        </w:tc>
        <w:tc>
          <w:tcPr>
            <w:tcW w:w="2317" w:type="dxa"/>
            <w:tcBorders>
              <w:top w:val="single" w:sz="4" w:space="0" w:color="auto"/>
            </w:tcBorders>
          </w:tcPr>
          <w:p w14:paraId="176A77FC" w14:textId="385450C5" w:rsidR="0022656C" w:rsidRPr="00C90CB6" w:rsidRDefault="00FE681D"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Sở hữu nhà nước</w:t>
            </w:r>
          </w:p>
        </w:tc>
        <w:tc>
          <w:tcPr>
            <w:tcW w:w="4590" w:type="dxa"/>
            <w:tcBorders>
              <w:top w:val="single" w:sz="4" w:space="0" w:color="auto"/>
            </w:tcBorders>
          </w:tcPr>
          <w:p w14:paraId="6A89BF95" w14:textId="62BAF770" w:rsidR="0022656C" w:rsidRPr="00C90CB6" w:rsidRDefault="00FE681D"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 xml:space="preserve">Bằng </w:t>
            </w:r>
            <w:r w:rsidR="0022656C" w:rsidRPr="00C90CB6">
              <w:rPr>
                <w:rFonts w:asciiTheme="majorHAnsi" w:hAnsiTheme="majorHAnsi" w:cstheme="majorHAnsi"/>
                <w:sz w:val="20"/>
                <w:szCs w:val="20"/>
                <w:lang w:val="vi-VN"/>
              </w:rPr>
              <w:t xml:space="preserve">1 </w:t>
            </w:r>
            <w:r w:rsidRPr="00C90CB6">
              <w:rPr>
                <w:rFonts w:asciiTheme="majorHAnsi" w:hAnsiTheme="majorHAnsi" w:cstheme="majorHAnsi"/>
                <w:sz w:val="20"/>
                <w:szCs w:val="20"/>
                <w:lang w:val="vi-VN"/>
              </w:rPr>
              <w:t>nếu có SHNN</w:t>
            </w:r>
            <w:r w:rsidR="0022656C" w:rsidRPr="00C90CB6">
              <w:rPr>
                <w:rFonts w:asciiTheme="majorHAnsi" w:hAnsiTheme="majorHAnsi" w:cstheme="majorHAnsi"/>
                <w:sz w:val="20"/>
                <w:szCs w:val="20"/>
                <w:lang w:val="vi-VN"/>
              </w:rPr>
              <w:t>;</w:t>
            </w:r>
            <w:r w:rsidRPr="00C90CB6">
              <w:rPr>
                <w:rFonts w:asciiTheme="majorHAnsi" w:hAnsiTheme="majorHAnsi" w:cstheme="majorHAnsi"/>
                <w:sz w:val="20"/>
                <w:szCs w:val="20"/>
                <w:lang w:val="vi-VN"/>
              </w:rPr>
              <w:t xml:space="preserve"> Bằng</w:t>
            </w:r>
            <w:r w:rsidR="0022656C" w:rsidRPr="00C90CB6">
              <w:rPr>
                <w:rFonts w:asciiTheme="majorHAnsi" w:hAnsiTheme="majorHAnsi" w:cstheme="majorHAnsi"/>
                <w:sz w:val="20"/>
                <w:szCs w:val="20"/>
                <w:lang w:val="vi-VN"/>
              </w:rPr>
              <w:t xml:space="preserve"> 0 </w:t>
            </w:r>
            <w:r w:rsidRPr="00C90CB6">
              <w:rPr>
                <w:rFonts w:asciiTheme="majorHAnsi" w:hAnsiTheme="majorHAnsi" w:cstheme="majorHAnsi"/>
                <w:sz w:val="20"/>
                <w:szCs w:val="20"/>
                <w:lang w:val="vi-VN"/>
              </w:rPr>
              <w:t>nếu không có SHNN</w:t>
            </w:r>
          </w:p>
        </w:tc>
      </w:tr>
      <w:tr w:rsidR="0022656C" w:rsidRPr="00C90CB6" w14:paraId="3EB426CA" w14:textId="77777777" w:rsidTr="00C90CB6">
        <w:tc>
          <w:tcPr>
            <w:tcW w:w="1080" w:type="dxa"/>
            <w:vMerge/>
            <w:vAlign w:val="center"/>
          </w:tcPr>
          <w:p w14:paraId="0CA29FCC" w14:textId="77777777" w:rsidR="0022656C" w:rsidRPr="00C90CB6" w:rsidRDefault="0022656C" w:rsidP="0032747F">
            <w:pPr>
              <w:spacing w:before="60"/>
              <w:rPr>
                <w:rFonts w:asciiTheme="majorHAnsi" w:hAnsiTheme="majorHAnsi" w:cstheme="majorHAnsi"/>
                <w:sz w:val="20"/>
                <w:szCs w:val="20"/>
                <w:lang w:val="vi-VN"/>
              </w:rPr>
            </w:pPr>
          </w:p>
        </w:tc>
        <w:tc>
          <w:tcPr>
            <w:tcW w:w="1013" w:type="dxa"/>
          </w:tcPr>
          <w:p w14:paraId="55D91A6B" w14:textId="127C440B" w:rsidR="0022656C" w:rsidRPr="00C90CB6" w:rsidRDefault="00FE681D"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ICTstate</w:t>
            </w:r>
          </w:p>
        </w:tc>
        <w:tc>
          <w:tcPr>
            <w:tcW w:w="2317" w:type="dxa"/>
          </w:tcPr>
          <w:p w14:paraId="04D75563" w14:textId="0B3234C3" w:rsidR="0022656C" w:rsidRPr="00C90CB6" w:rsidRDefault="00FE681D"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Biến tương tác</w:t>
            </w:r>
          </w:p>
        </w:tc>
        <w:tc>
          <w:tcPr>
            <w:tcW w:w="4590" w:type="dxa"/>
          </w:tcPr>
          <w:p w14:paraId="53F37AA0" w14:textId="11E09959" w:rsidR="0022656C" w:rsidRPr="00C90CB6" w:rsidRDefault="0022656C"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en-US"/>
              </w:rPr>
              <w:t>ICT x</w:t>
            </w:r>
            <w:r w:rsidRPr="00C90CB6">
              <w:rPr>
                <w:rFonts w:asciiTheme="majorHAnsi" w:hAnsiTheme="majorHAnsi" w:cstheme="majorHAnsi"/>
                <w:sz w:val="20"/>
                <w:szCs w:val="20"/>
                <w:lang w:val="vi-VN"/>
              </w:rPr>
              <w:t xml:space="preserve"> </w:t>
            </w:r>
            <w:r w:rsidR="00FE681D" w:rsidRPr="00C90CB6">
              <w:rPr>
                <w:rFonts w:asciiTheme="majorHAnsi" w:hAnsiTheme="majorHAnsi" w:cstheme="majorHAnsi"/>
                <w:sz w:val="20"/>
                <w:szCs w:val="20"/>
                <w:lang w:val="vi-VN"/>
              </w:rPr>
              <w:t>state</w:t>
            </w:r>
            <w:r w:rsidRPr="00C90CB6">
              <w:rPr>
                <w:rFonts w:asciiTheme="majorHAnsi" w:hAnsiTheme="majorHAnsi" w:cstheme="majorHAnsi"/>
                <w:sz w:val="20"/>
                <w:szCs w:val="20"/>
                <w:lang w:val="en-US"/>
              </w:rPr>
              <w:t>dum</w:t>
            </w:r>
          </w:p>
        </w:tc>
      </w:tr>
      <w:tr w:rsidR="0022656C" w:rsidRPr="00C90CB6" w14:paraId="7693F47D" w14:textId="77777777" w:rsidTr="00C90CB6">
        <w:tc>
          <w:tcPr>
            <w:tcW w:w="1080" w:type="dxa"/>
            <w:vMerge w:val="restart"/>
            <w:tcBorders>
              <w:top w:val="single" w:sz="4" w:space="0" w:color="auto"/>
              <w:bottom w:val="single" w:sz="4" w:space="0" w:color="auto"/>
            </w:tcBorders>
          </w:tcPr>
          <w:p w14:paraId="47DA6B89" w14:textId="5CAFB083" w:rsidR="0022656C" w:rsidRPr="00C90CB6" w:rsidRDefault="00FE681D" w:rsidP="0032747F">
            <w:pPr>
              <w:spacing w:before="60"/>
              <w:rPr>
                <w:rFonts w:asciiTheme="majorHAnsi" w:hAnsiTheme="majorHAnsi" w:cstheme="majorHAnsi"/>
                <w:sz w:val="20"/>
                <w:szCs w:val="20"/>
                <w:lang w:val="vi-VN"/>
              </w:rPr>
            </w:pPr>
            <w:r w:rsidRPr="00C90CB6">
              <w:rPr>
                <w:rFonts w:asciiTheme="majorHAnsi" w:hAnsiTheme="majorHAnsi" w:cstheme="majorHAnsi"/>
                <w:sz w:val="20"/>
                <w:szCs w:val="20"/>
                <w:lang w:val="vi-VN"/>
              </w:rPr>
              <w:lastRenderedPageBreak/>
              <w:t>Biến kiểm soát</w:t>
            </w:r>
          </w:p>
        </w:tc>
        <w:tc>
          <w:tcPr>
            <w:tcW w:w="1013" w:type="dxa"/>
            <w:tcBorders>
              <w:top w:val="single" w:sz="4" w:space="0" w:color="auto"/>
            </w:tcBorders>
          </w:tcPr>
          <w:p w14:paraId="215C36F2" w14:textId="77777777" w:rsidR="0022656C" w:rsidRPr="00C90CB6" w:rsidRDefault="0022656C"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en-US"/>
              </w:rPr>
              <w:t>SIZE</w:t>
            </w:r>
          </w:p>
        </w:tc>
        <w:tc>
          <w:tcPr>
            <w:tcW w:w="2317" w:type="dxa"/>
            <w:tcBorders>
              <w:top w:val="single" w:sz="4" w:space="0" w:color="auto"/>
            </w:tcBorders>
          </w:tcPr>
          <w:p w14:paraId="69B4A306" w14:textId="6854F108" w:rsidR="0022656C" w:rsidRPr="00C90CB6" w:rsidRDefault="00FE681D"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Quy mô tài sản</w:t>
            </w:r>
          </w:p>
        </w:tc>
        <w:tc>
          <w:tcPr>
            <w:tcW w:w="4590" w:type="dxa"/>
            <w:tcBorders>
              <w:top w:val="single" w:sz="4" w:space="0" w:color="auto"/>
            </w:tcBorders>
          </w:tcPr>
          <w:p w14:paraId="51DF1776" w14:textId="4FE12CE4" w:rsidR="0022656C" w:rsidRPr="00C90CB6" w:rsidRDefault="0022656C"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Ln(</w:t>
            </w:r>
            <w:r w:rsidR="00FE681D" w:rsidRPr="00C90CB6">
              <w:rPr>
                <w:rFonts w:asciiTheme="majorHAnsi" w:hAnsiTheme="majorHAnsi" w:cstheme="majorHAnsi"/>
                <w:sz w:val="20"/>
                <w:szCs w:val="20"/>
                <w:lang w:val="vi-VN"/>
              </w:rPr>
              <w:t>Tổng tài sản</w:t>
            </w:r>
            <w:r w:rsidRPr="00C90CB6">
              <w:rPr>
                <w:rFonts w:asciiTheme="majorHAnsi" w:hAnsiTheme="majorHAnsi" w:cstheme="majorHAnsi"/>
                <w:sz w:val="20"/>
                <w:szCs w:val="20"/>
                <w:lang w:val="vi-VN"/>
              </w:rPr>
              <w:t>)</w:t>
            </w:r>
          </w:p>
        </w:tc>
      </w:tr>
      <w:tr w:rsidR="0022656C" w:rsidRPr="005049F0" w14:paraId="5997DB05" w14:textId="77777777" w:rsidTr="00C90CB6">
        <w:tc>
          <w:tcPr>
            <w:tcW w:w="1080" w:type="dxa"/>
            <w:vMerge/>
            <w:tcBorders>
              <w:bottom w:val="single" w:sz="4" w:space="0" w:color="auto"/>
            </w:tcBorders>
          </w:tcPr>
          <w:p w14:paraId="25174B75" w14:textId="77777777" w:rsidR="0022656C" w:rsidRPr="00C90CB6" w:rsidRDefault="0022656C" w:rsidP="0032747F">
            <w:pPr>
              <w:spacing w:before="60"/>
              <w:jc w:val="both"/>
              <w:rPr>
                <w:rFonts w:asciiTheme="majorHAnsi" w:hAnsiTheme="majorHAnsi" w:cstheme="majorHAnsi"/>
                <w:sz w:val="20"/>
                <w:szCs w:val="20"/>
                <w:lang w:val="vi-VN"/>
              </w:rPr>
            </w:pPr>
          </w:p>
        </w:tc>
        <w:tc>
          <w:tcPr>
            <w:tcW w:w="1013" w:type="dxa"/>
          </w:tcPr>
          <w:p w14:paraId="09B69EA6" w14:textId="77777777" w:rsidR="0022656C" w:rsidRPr="00C90CB6" w:rsidRDefault="0022656C"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CIR</w:t>
            </w:r>
          </w:p>
        </w:tc>
        <w:tc>
          <w:tcPr>
            <w:tcW w:w="2317" w:type="dxa"/>
          </w:tcPr>
          <w:p w14:paraId="3DF1034C" w14:textId="6BCF192F" w:rsidR="0022656C" w:rsidRPr="00C90CB6" w:rsidRDefault="00FE681D"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Hiệu quả chi phí</w:t>
            </w:r>
          </w:p>
        </w:tc>
        <w:tc>
          <w:tcPr>
            <w:tcW w:w="4590" w:type="dxa"/>
          </w:tcPr>
          <w:p w14:paraId="62184EE7" w14:textId="438724DE" w:rsidR="0022656C" w:rsidRPr="00C90CB6" w:rsidRDefault="00FE681D"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Tỷ lệ Chi phí/Thu nhập</w:t>
            </w:r>
          </w:p>
        </w:tc>
      </w:tr>
      <w:tr w:rsidR="0022656C" w:rsidRPr="005049F0" w14:paraId="74902C0B" w14:textId="77777777" w:rsidTr="00C90CB6">
        <w:tc>
          <w:tcPr>
            <w:tcW w:w="1080" w:type="dxa"/>
            <w:vMerge/>
            <w:tcBorders>
              <w:bottom w:val="single" w:sz="4" w:space="0" w:color="auto"/>
            </w:tcBorders>
          </w:tcPr>
          <w:p w14:paraId="31BA2642" w14:textId="77777777" w:rsidR="0022656C" w:rsidRPr="00C90CB6" w:rsidRDefault="0022656C" w:rsidP="0032747F">
            <w:pPr>
              <w:spacing w:before="60"/>
              <w:jc w:val="both"/>
              <w:rPr>
                <w:rFonts w:asciiTheme="majorHAnsi" w:hAnsiTheme="majorHAnsi" w:cstheme="majorHAnsi"/>
                <w:sz w:val="20"/>
                <w:szCs w:val="20"/>
                <w:lang w:val="vi-VN"/>
              </w:rPr>
            </w:pPr>
          </w:p>
        </w:tc>
        <w:tc>
          <w:tcPr>
            <w:tcW w:w="1013" w:type="dxa"/>
          </w:tcPr>
          <w:p w14:paraId="4D5A8AD7" w14:textId="77777777" w:rsidR="0022656C" w:rsidRPr="00C90CB6" w:rsidRDefault="0022656C"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DIV</w:t>
            </w:r>
          </w:p>
        </w:tc>
        <w:tc>
          <w:tcPr>
            <w:tcW w:w="2317" w:type="dxa"/>
          </w:tcPr>
          <w:p w14:paraId="258D4448" w14:textId="5FF857D3" w:rsidR="0022656C" w:rsidRPr="00C90CB6" w:rsidRDefault="00FE681D"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Đa dạng hóa thu nhập</w:t>
            </w:r>
          </w:p>
        </w:tc>
        <w:tc>
          <w:tcPr>
            <w:tcW w:w="4590" w:type="dxa"/>
          </w:tcPr>
          <w:p w14:paraId="37814065" w14:textId="0214F9BF" w:rsidR="0022656C" w:rsidRPr="00C90CB6" w:rsidRDefault="00FE681D"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Thu nhập ngoài lãi/Tổng thu nhập</w:t>
            </w:r>
          </w:p>
        </w:tc>
      </w:tr>
      <w:tr w:rsidR="0022656C" w:rsidRPr="005049F0" w14:paraId="2E7EFFE7" w14:textId="77777777" w:rsidTr="00C90CB6">
        <w:tc>
          <w:tcPr>
            <w:tcW w:w="1080" w:type="dxa"/>
            <w:vMerge/>
            <w:tcBorders>
              <w:bottom w:val="single" w:sz="4" w:space="0" w:color="auto"/>
            </w:tcBorders>
          </w:tcPr>
          <w:p w14:paraId="59F69B87" w14:textId="77777777" w:rsidR="0022656C" w:rsidRPr="00C90CB6" w:rsidRDefault="0022656C" w:rsidP="0032747F">
            <w:pPr>
              <w:spacing w:before="60"/>
              <w:jc w:val="both"/>
              <w:rPr>
                <w:rFonts w:asciiTheme="majorHAnsi" w:hAnsiTheme="majorHAnsi" w:cstheme="majorHAnsi"/>
                <w:sz w:val="20"/>
                <w:szCs w:val="20"/>
                <w:lang w:val="vi-VN"/>
              </w:rPr>
            </w:pPr>
          </w:p>
        </w:tc>
        <w:tc>
          <w:tcPr>
            <w:tcW w:w="1013" w:type="dxa"/>
          </w:tcPr>
          <w:p w14:paraId="64B97BDB" w14:textId="77777777" w:rsidR="0022656C" w:rsidRPr="00C90CB6" w:rsidRDefault="0022656C"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CAR</w:t>
            </w:r>
          </w:p>
        </w:tc>
        <w:tc>
          <w:tcPr>
            <w:tcW w:w="2317" w:type="dxa"/>
          </w:tcPr>
          <w:p w14:paraId="3AD17D64" w14:textId="7D5F9082" w:rsidR="0022656C" w:rsidRPr="00C90CB6" w:rsidRDefault="00FE681D"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Tỷ lệ an toàn vốn tối thiểu</w:t>
            </w:r>
          </w:p>
        </w:tc>
        <w:tc>
          <w:tcPr>
            <w:tcW w:w="4590" w:type="dxa"/>
          </w:tcPr>
          <w:p w14:paraId="11C43056" w14:textId="426EE99C" w:rsidR="0022656C" w:rsidRPr="00C90CB6" w:rsidRDefault="0022656C"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w:t>
            </w:r>
            <w:r w:rsidR="00FE681D" w:rsidRPr="00C90CB6">
              <w:rPr>
                <w:rFonts w:asciiTheme="majorHAnsi" w:hAnsiTheme="majorHAnsi" w:cstheme="majorHAnsi"/>
                <w:sz w:val="20"/>
                <w:szCs w:val="20"/>
                <w:lang w:val="vi-VN"/>
              </w:rPr>
              <w:t>Vốn cấp</w:t>
            </w:r>
            <w:r w:rsidRPr="00C90CB6">
              <w:rPr>
                <w:rFonts w:asciiTheme="majorHAnsi" w:hAnsiTheme="majorHAnsi" w:cstheme="majorHAnsi"/>
                <w:sz w:val="20"/>
                <w:szCs w:val="20"/>
                <w:lang w:val="vi-VN"/>
              </w:rPr>
              <w:t xml:space="preserve"> 1 + </w:t>
            </w:r>
            <w:r w:rsidR="00FE681D" w:rsidRPr="00C90CB6">
              <w:rPr>
                <w:rFonts w:asciiTheme="majorHAnsi" w:hAnsiTheme="majorHAnsi" w:cstheme="majorHAnsi"/>
                <w:sz w:val="20"/>
                <w:szCs w:val="20"/>
                <w:lang w:val="vi-VN"/>
              </w:rPr>
              <w:t>Vốn cấp</w:t>
            </w:r>
            <w:r w:rsidRPr="00C90CB6">
              <w:rPr>
                <w:rFonts w:asciiTheme="majorHAnsi" w:hAnsiTheme="majorHAnsi" w:cstheme="majorHAnsi"/>
                <w:sz w:val="20"/>
                <w:szCs w:val="20"/>
                <w:lang w:val="vi-VN"/>
              </w:rPr>
              <w:t xml:space="preserve"> 2)/</w:t>
            </w:r>
            <w:r w:rsidR="00FE681D" w:rsidRPr="00C90CB6">
              <w:rPr>
                <w:rFonts w:asciiTheme="majorHAnsi" w:hAnsiTheme="majorHAnsi" w:cstheme="majorHAnsi"/>
                <w:sz w:val="20"/>
                <w:szCs w:val="20"/>
                <w:lang w:val="vi-VN"/>
              </w:rPr>
              <w:t>Tổng tài sản có rủi ro</w:t>
            </w:r>
          </w:p>
        </w:tc>
      </w:tr>
      <w:tr w:rsidR="0022656C" w:rsidRPr="005049F0" w14:paraId="3E9A84DD" w14:textId="77777777" w:rsidTr="00C90CB6">
        <w:tc>
          <w:tcPr>
            <w:tcW w:w="1080" w:type="dxa"/>
            <w:vMerge/>
            <w:tcBorders>
              <w:bottom w:val="single" w:sz="4" w:space="0" w:color="auto"/>
            </w:tcBorders>
          </w:tcPr>
          <w:p w14:paraId="592BFE48" w14:textId="77777777" w:rsidR="0022656C" w:rsidRPr="00C90CB6" w:rsidRDefault="0022656C" w:rsidP="0032747F">
            <w:pPr>
              <w:spacing w:before="60"/>
              <w:jc w:val="both"/>
              <w:rPr>
                <w:rFonts w:asciiTheme="majorHAnsi" w:hAnsiTheme="majorHAnsi" w:cstheme="majorHAnsi"/>
                <w:sz w:val="20"/>
                <w:szCs w:val="20"/>
                <w:lang w:val="vi-VN"/>
              </w:rPr>
            </w:pPr>
          </w:p>
        </w:tc>
        <w:tc>
          <w:tcPr>
            <w:tcW w:w="1013" w:type="dxa"/>
          </w:tcPr>
          <w:p w14:paraId="07C7074C" w14:textId="77777777" w:rsidR="0022656C" w:rsidRPr="00C90CB6" w:rsidRDefault="0022656C"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en-US"/>
              </w:rPr>
              <w:t>INF</w:t>
            </w:r>
          </w:p>
        </w:tc>
        <w:tc>
          <w:tcPr>
            <w:tcW w:w="2317" w:type="dxa"/>
          </w:tcPr>
          <w:p w14:paraId="796F9ABD" w14:textId="7C8771F6" w:rsidR="0022656C" w:rsidRPr="00C90CB6" w:rsidRDefault="00FE681D"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Lạm phát</w:t>
            </w:r>
          </w:p>
        </w:tc>
        <w:tc>
          <w:tcPr>
            <w:tcW w:w="4590" w:type="dxa"/>
          </w:tcPr>
          <w:p w14:paraId="49904456" w14:textId="7592A949" w:rsidR="0022656C" w:rsidRPr="00C90CB6" w:rsidRDefault="00FE681D"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Tỷ lệ lạm phát thường niên</w:t>
            </w:r>
          </w:p>
        </w:tc>
      </w:tr>
      <w:tr w:rsidR="0022656C" w:rsidRPr="005049F0" w14:paraId="181D27C1" w14:textId="77777777" w:rsidTr="00C90CB6">
        <w:tc>
          <w:tcPr>
            <w:tcW w:w="1080" w:type="dxa"/>
            <w:vMerge/>
            <w:tcBorders>
              <w:bottom w:val="single" w:sz="4" w:space="0" w:color="auto"/>
            </w:tcBorders>
          </w:tcPr>
          <w:p w14:paraId="48E7E229" w14:textId="77777777" w:rsidR="0022656C" w:rsidRPr="00C90CB6" w:rsidRDefault="0022656C" w:rsidP="0032747F">
            <w:pPr>
              <w:spacing w:before="60"/>
              <w:jc w:val="both"/>
              <w:rPr>
                <w:rFonts w:asciiTheme="majorHAnsi" w:hAnsiTheme="majorHAnsi" w:cstheme="majorHAnsi"/>
                <w:sz w:val="20"/>
                <w:szCs w:val="20"/>
                <w:lang w:val="vi-VN"/>
              </w:rPr>
            </w:pPr>
          </w:p>
        </w:tc>
        <w:tc>
          <w:tcPr>
            <w:tcW w:w="1013" w:type="dxa"/>
            <w:tcBorders>
              <w:bottom w:val="single" w:sz="4" w:space="0" w:color="auto"/>
            </w:tcBorders>
          </w:tcPr>
          <w:p w14:paraId="02DC0A80" w14:textId="77777777" w:rsidR="0022656C" w:rsidRPr="00C90CB6" w:rsidRDefault="0022656C"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en-US"/>
              </w:rPr>
              <w:t>GDP</w:t>
            </w:r>
          </w:p>
        </w:tc>
        <w:tc>
          <w:tcPr>
            <w:tcW w:w="2317" w:type="dxa"/>
            <w:tcBorders>
              <w:bottom w:val="single" w:sz="4" w:space="0" w:color="auto"/>
            </w:tcBorders>
          </w:tcPr>
          <w:p w14:paraId="4E8B8E8A" w14:textId="68986CEA" w:rsidR="0022656C" w:rsidRPr="00C90CB6" w:rsidRDefault="00FE681D"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Tăng trưởng kinh tế</w:t>
            </w:r>
          </w:p>
        </w:tc>
        <w:tc>
          <w:tcPr>
            <w:tcW w:w="4590" w:type="dxa"/>
            <w:tcBorders>
              <w:bottom w:val="single" w:sz="4" w:space="0" w:color="auto"/>
            </w:tcBorders>
          </w:tcPr>
          <w:p w14:paraId="5AE82D42" w14:textId="704BFBA7" w:rsidR="0022656C" w:rsidRPr="00C90CB6" w:rsidRDefault="00FE681D" w:rsidP="0032747F">
            <w:pPr>
              <w:spacing w:before="60"/>
              <w:jc w:val="both"/>
              <w:rPr>
                <w:rFonts w:asciiTheme="majorHAnsi" w:hAnsiTheme="majorHAnsi" w:cstheme="majorHAnsi"/>
                <w:sz w:val="20"/>
                <w:szCs w:val="20"/>
                <w:lang w:val="vi-VN"/>
              </w:rPr>
            </w:pPr>
            <w:r w:rsidRPr="00C90CB6">
              <w:rPr>
                <w:rFonts w:asciiTheme="majorHAnsi" w:hAnsiTheme="majorHAnsi" w:cstheme="majorHAnsi"/>
                <w:sz w:val="20"/>
                <w:szCs w:val="20"/>
                <w:lang w:val="vi-VN"/>
              </w:rPr>
              <w:t>Tỷ lệ tăng trưởng GDP thường niên</w:t>
            </w:r>
          </w:p>
        </w:tc>
      </w:tr>
    </w:tbl>
    <w:p w14:paraId="7B286200" w14:textId="18BF4D0E" w:rsidR="00193791" w:rsidRPr="00D3269D" w:rsidRDefault="00920A2B" w:rsidP="00D3269D">
      <w:pPr>
        <w:pStyle w:val="ListParagraph"/>
        <w:spacing w:before="120" w:after="120" w:line="240" w:lineRule="auto"/>
        <w:ind w:left="1080"/>
        <w:jc w:val="right"/>
        <w:rPr>
          <w:rFonts w:asciiTheme="majorHAnsi" w:hAnsiTheme="majorHAnsi" w:cstheme="majorHAnsi"/>
          <w:i/>
          <w:iCs/>
          <w:lang w:val="vi-VN"/>
        </w:rPr>
      </w:pPr>
      <w:r w:rsidRPr="00D3269D">
        <w:rPr>
          <w:rFonts w:asciiTheme="majorHAnsi" w:hAnsiTheme="majorHAnsi" w:cstheme="majorHAnsi"/>
          <w:i/>
          <w:iCs/>
          <w:lang w:val="vi-VN"/>
        </w:rPr>
        <w:t>Nguồn: Tác giả tổng hợp</w:t>
      </w:r>
    </w:p>
    <w:p w14:paraId="3B8F9781" w14:textId="68F29F8E" w:rsidR="00823469" w:rsidRDefault="005853C1" w:rsidP="00D3269D">
      <w:pPr>
        <w:pStyle w:val="ListParagraph"/>
        <w:numPr>
          <w:ilvl w:val="0"/>
          <w:numId w:val="2"/>
        </w:numPr>
        <w:spacing w:before="120" w:after="120" w:line="240" w:lineRule="auto"/>
        <w:ind w:left="360"/>
        <w:jc w:val="both"/>
        <w:rPr>
          <w:rFonts w:asciiTheme="majorHAnsi" w:hAnsiTheme="majorHAnsi" w:cstheme="majorHAnsi"/>
          <w:b/>
          <w:bCs/>
          <w:lang w:val="vi-VN"/>
        </w:rPr>
      </w:pPr>
      <w:r w:rsidRPr="00D3269D">
        <w:rPr>
          <w:rFonts w:asciiTheme="majorHAnsi" w:hAnsiTheme="majorHAnsi" w:cstheme="majorHAnsi"/>
          <w:b/>
          <w:bCs/>
          <w:lang w:val="vi-VN"/>
        </w:rPr>
        <w:t>Mô hình nghiên cứu</w:t>
      </w:r>
    </w:p>
    <w:p w14:paraId="525F52E7" w14:textId="638EF09D" w:rsidR="00DA5788" w:rsidRDefault="00096B32" w:rsidP="00DA5788">
      <w:pPr>
        <w:spacing w:before="120" w:after="120" w:line="240" w:lineRule="auto"/>
        <w:ind w:firstLine="360"/>
        <w:jc w:val="both"/>
        <w:rPr>
          <w:rFonts w:asciiTheme="majorHAnsi" w:hAnsiTheme="majorHAnsi" w:cstheme="majorHAnsi"/>
          <w:lang w:val="vi-VN"/>
        </w:rPr>
      </w:pPr>
      <w:r>
        <w:rPr>
          <w:rFonts w:asciiTheme="majorHAnsi" w:hAnsiTheme="majorHAnsi" w:cstheme="majorHAnsi"/>
          <w:lang w:val="vi-VN"/>
        </w:rPr>
        <w:t xml:space="preserve">Các mô hình nghiên cứu trong lĩnh vực tài chính ngân hàng thường đối mặt với hiện tượng nội sinh </w:t>
      </w:r>
      <w:r w:rsidRPr="00887C39">
        <w:rPr>
          <w:rFonts w:asciiTheme="majorHAnsi" w:hAnsiTheme="majorHAnsi" w:cstheme="majorHAnsi"/>
          <w:lang w:val="vi-VN"/>
        </w:rPr>
        <w:t>tiềm ẩn</w:t>
      </w:r>
      <w:r w:rsidR="00584634">
        <w:rPr>
          <w:rFonts w:asciiTheme="majorHAnsi" w:hAnsiTheme="majorHAnsi" w:cstheme="majorHAnsi"/>
          <w:lang w:val="vi-VN"/>
        </w:rPr>
        <w:fldChar w:fldCharType="begin"/>
      </w:r>
      <w:r w:rsidR="00584634">
        <w:rPr>
          <w:rFonts w:asciiTheme="majorHAnsi" w:hAnsiTheme="majorHAnsi" w:cstheme="majorHAnsi"/>
          <w:lang w:val="vi-VN"/>
        </w:rPr>
        <w:instrText xml:space="preserve"> ADDIN ZOTERO_ITEM CSL_CITATION {"citationID":"uD45q0rj","properties":{"formattedCitation":"\\super 55\\nosupersub{}","plainCitation":"55","noteIndex":0},"citationItems":[{"id":720,"uris":["http://zotero.org/users/local/1km6A5n5/items/LM663GIF"],"itemData":{"id":720,"type":"article-journal","abstract":"This paper empirically analyses the factors that determine the profitability of Spanish banks for the period of 1999–2009. We conclude that the high bank profitability during these years is associated with a large percentage of loans in total assets, a high proportion of customer deposits, good efficiency and a low doubtful assets ratio. In addition, higher capital ratios also increase the bank’s return, but only when return on assets (ROA) is used as the profitability measure. We find no evidence of either economies or diseconomies of scale or scope in the Spanish banking sector. Finally, our study reveals differences in the performance of commercial and savings banks.","container-title":"Accounting &amp; Finance","DOI":"10.1111/j.1467-629X.2011.00466.x","ISSN":"1467-629X","issue":"2","language":"en","license":"© 2012 The Author. Accounting and Finance © 2012 AFAANZ","note":"_eprint: https://onlinelibrary.wiley.com/doi/pdf/10.1111/j.1467-629X.2011.00466.x","page":"561-586","source":"Wiley Online Library","title":"What determines the profitability of banks? Evidence from Spain","title-short":"What determines the profitability of banks?","volume":"53","author":[{"family":"Trujillo-Ponce","given":"Antonio"}],"issued":{"date-parts":[["2013"]]}}}],"schema":"https://github.com/citation-style-language/schema/raw/master/csl-citation.json"} </w:instrText>
      </w:r>
      <w:r w:rsidR="00584634">
        <w:rPr>
          <w:rFonts w:asciiTheme="majorHAnsi" w:hAnsiTheme="majorHAnsi" w:cstheme="majorHAnsi"/>
          <w:lang w:val="vi-VN"/>
        </w:rPr>
        <w:fldChar w:fldCharType="separate"/>
      </w:r>
      <w:r w:rsidR="00584634" w:rsidRPr="00BE4B8E">
        <w:rPr>
          <w:rFonts w:ascii="Times New Roman" w:hAnsi="Times New Roman" w:cs="Times New Roman"/>
          <w:szCs w:val="24"/>
          <w:vertAlign w:val="superscript"/>
          <w:lang w:val="vi-VN"/>
        </w:rPr>
        <w:t>55</w:t>
      </w:r>
      <w:r w:rsidR="00584634">
        <w:rPr>
          <w:rFonts w:asciiTheme="majorHAnsi" w:hAnsiTheme="majorHAnsi" w:cstheme="majorHAnsi"/>
          <w:lang w:val="vi-VN"/>
        </w:rPr>
        <w:fldChar w:fldCharType="end"/>
      </w:r>
      <w:r w:rsidRPr="00887C39">
        <w:rPr>
          <w:rFonts w:asciiTheme="majorHAnsi" w:hAnsiTheme="majorHAnsi" w:cstheme="majorHAnsi"/>
          <w:lang w:val="vi-VN"/>
        </w:rPr>
        <w:t>, do vậy nghiên cứu này sử dụng phương pháp hồi quy mô men tổng quát (GMM) nhằm đảm bảo độ tin cậy của kết quả ước lượng</w:t>
      </w:r>
      <w:r w:rsidR="00584634">
        <w:rPr>
          <w:rFonts w:asciiTheme="majorHAnsi" w:hAnsiTheme="majorHAnsi" w:cstheme="majorHAnsi"/>
          <w:lang w:val="vi-VN"/>
        </w:rPr>
        <w:fldChar w:fldCharType="begin"/>
      </w:r>
      <w:r w:rsidR="00584634">
        <w:rPr>
          <w:rFonts w:asciiTheme="majorHAnsi" w:hAnsiTheme="majorHAnsi" w:cstheme="majorHAnsi"/>
          <w:lang w:val="vi-VN"/>
        </w:rPr>
        <w:instrText xml:space="preserve"> ADDIN ZOTERO_ITEM CSL_CITATION {"citationID":"JuW3cY8R","properties":{"formattedCitation":"\\super 56,57\\nosupersub{}","plainCitation":"56,57","noteIndex":0},"citationItems":[{"id":866,"uris":["http://zotero.org/users/local/1km6A5n5/items/FELJ4X3L"],"itemData":{"id":866,"type":"article-journal","abstract":"This paper presents specification tests that are applicable after estimating a dynamic model from panel data by the generalized method of moments (GMM), and studies the practical performance of these procedures using both generated and real data. Our GMM estimator optimally exploits all the linear moment restrictions that follow from the assumption of no serial correlation in the errors, in an equation which contains individual effects, lagged dependent variables and no strictly exogenous variables. We propose a test of serial correlation based on the GMM residuals and compare this with Sargan tests of over-identifying restrictions and Hausman specification tests.","container-title":"The Review of Economic Studies","DOI":"10.2307/2297968","ISSN":"0034-6527","issue":"2","journalAbbreviation":"The Review of Economic Studies","page":"277-297","source":"Silverchair","title":"Some Tests of Specification for Panel Data: Monte Carlo Evidence and an Application to Employment Equations","title-short":"Some Tests of Specification for Panel Data","volume":"58","author":[{"family":"Arellano","given":"Manuel"},{"family":"Bond","given":"Stephen"}],"issued":{"date-parts":[["1991",4,1]]}}},{"id":759,"uris":["http://zotero.org/users/local/1km6A5n5/items/IBP3U22R"],"itemData":{"id":759,"type":"article-journal","abstract":"Estimation of the dynamic error components model is considered using two alternative linear estimators that are designed to improve the properties of the standard first-differenced GMM estimator. Both estimators require restrictions on the initial conditions process. Asymptotic efficiency comparisons and Monte Carlo simulations for the simple AR(1) model demonstrate the dramatic improvement in performance of the proposed estimators compared to the usual first-differenced GMM estimator, and compared to non-linear GMM. The importance of these results is illustrated in an application to the estimation of a labour demand model using company panel data.","container-title":"Journal of Econometrics","DOI":"10.1016/S0304-4076(98)00009-8","ISSN":"0304-4076","issue":"1","journalAbbreviation":"Journal of Econometrics","page":"115-143","source":"ScienceDirect","title":"Initial conditions and moment restrictions in dynamic panel data models","volume":"87","author":[{"family":"Blundell","given":"Richard"},{"family":"Bond","given":"Stephen"}],"issued":{"date-parts":[["1998",11,1]]}}}],"schema":"https://github.com/citation-style-language/schema/raw/master/csl-citation.json"} </w:instrText>
      </w:r>
      <w:r w:rsidR="00584634">
        <w:rPr>
          <w:rFonts w:asciiTheme="majorHAnsi" w:hAnsiTheme="majorHAnsi" w:cstheme="majorHAnsi"/>
          <w:lang w:val="vi-VN"/>
        </w:rPr>
        <w:fldChar w:fldCharType="separate"/>
      </w:r>
      <w:r w:rsidR="00584634" w:rsidRPr="00BE4B8E">
        <w:rPr>
          <w:rFonts w:ascii="Times New Roman" w:hAnsi="Times New Roman" w:cs="Times New Roman"/>
          <w:szCs w:val="24"/>
          <w:vertAlign w:val="superscript"/>
          <w:lang w:val="vi-VN"/>
        </w:rPr>
        <w:t>56,57</w:t>
      </w:r>
      <w:r w:rsidR="00584634">
        <w:rPr>
          <w:rFonts w:asciiTheme="majorHAnsi" w:hAnsiTheme="majorHAnsi" w:cstheme="majorHAnsi"/>
          <w:lang w:val="vi-VN"/>
        </w:rPr>
        <w:fldChar w:fldCharType="end"/>
      </w:r>
      <w:r w:rsidR="00DA5788" w:rsidRPr="00887C39">
        <w:rPr>
          <w:rFonts w:asciiTheme="majorHAnsi" w:hAnsiTheme="majorHAnsi" w:cstheme="majorHAnsi"/>
          <w:lang w:val="vi-VN"/>
        </w:rPr>
        <w:t>. Đối với dữ liệu bảng và mẫu nghiên cứu nhỏ, GMM hệ thống hai bước (2step system GMM) được xem</w:t>
      </w:r>
      <w:r w:rsidR="00DA5788">
        <w:rPr>
          <w:rFonts w:asciiTheme="majorHAnsi" w:hAnsiTheme="majorHAnsi" w:cstheme="majorHAnsi"/>
          <w:lang w:val="vi-VN"/>
        </w:rPr>
        <w:t xml:space="preserve"> là phương pháp ước lượng hiệu quả và tin cậy</w:t>
      </w:r>
      <w:r w:rsidR="00584634">
        <w:rPr>
          <w:rFonts w:asciiTheme="majorHAnsi" w:hAnsiTheme="majorHAnsi" w:cstheme="majorHAnsi"/>
          <w:lang w:val="vi-VN"/>
        </w:rPr>
        <w:fldChar w:fldCharType="begin"/>
      </w:r>
      <w:r w:rsidR="00584634">
        <w:rPr>
          <w:rFonts w:asciiTheme="majorHAnsi" w:hAnsiTheme="majorHAnsi" w:cstheme="majorHAnsi"/>
          <w:lang w:val="vi-VN"/>
        </w:rPr>
        <w:instrText xml:space="preserve"> ADDIN ZOTERO_ITEM CSL_CITATION {"citationID":"qYtVbFNB","properties":{"formattedCitation":"\\super 55\\nosupersub{}","plainCitation":"55","noteIndex":0},"citationItems":[{"id":720,"uris":["http://zotero.org/users/local/1km6A5n5/items/LM663GIF"],"itemData":{"id":720,"type":"article-journal","abstract":"This paper empirically analyses the factors that determine the profitability of Spanish banks for the period of 1999–2009. We conclude that the high bank profitability during these years is associated with a large percentage of loans in total assets, a high proportion of customer deposits, good efficiency and a low doubtful assets ratio. In addition, higher capital ratios also increase the bank’s return, but only when return on assets (ROA) is used as the profitability measure. We find no evidence of either economies or diseconomies of scale or scope in the Spanish banking sector. Finally, our study reveals differences in the performance of commercial and savings banks.","container-title":"Accounting &amp; Finance","DOI":"10.1111/j.1467-629X.2011.00466.x","ISSN":"1467-629X","issue":"2","language":"en","license":"© 2012 The Author. Accounting and Finance © 2012 AFAANZ","note":"_eprint: https://onlinelibrary.wiley.com/doi/pdf/10.1111/j.1467-629X.2011.00466.x","page":"561-586","source":"Wiley Online Library","title":"What determines the profitability of banks? Evidence from Spain","title-short":"What determines the profitability of banks?","volume":"53","author":[{"family":"Trujillo-Ponce","given":"Antonio"}],"issued":{"date-parts":[["2013"]]}}}],"schema":"https://github.com/citation-style-language/schema/raw/master/csl-citation.json"} </w:instrText>
      </w:r>
      <w:r w:rsidR="00584634">
        <w:rPr>
          <w:rFonts w:asciiTheme="majorHAnsi" w:hAnsiTheme="majorHAnsi" w:cstheme="majorHAnsi"/>
          <w:lang w:val="vi-VN"/>
        </w:rPr>
        <w:fldChar w:fldCharType="separate"/>
      </w:r>
      <w:r w:rsidR="00584634" w:rsidRPr="00BE4B8E">
        <w:rPr>
          <w:rFonts w:ascii="Times New Roman" w:hAnsi="Times New Roman" w:cs="Times New Roman"/>
          <w:szCs w:val="24"/>
          <w:vertAlign w:val="superscript"/>
          <w:lang w:val="vi-VN"/>
        </w:rPr>
        <w:t>55</w:t>
      </w:r>
      <w:r w:rsidR="00584634">
        <w:rPr>
          <w:rFonts w:asciiTheme="majorHAnsi" w:hAnsiTheme="majorHAnsi" w:cstheme="majorHAnsi"/>
          <w:lang w:val="vi-VN"/>
        </w:rPr>
        <w:fldChar w:fldCharType="end"/>
      </w:r>
      <w:r w:rsidRPr="00096B32">
        <w:rPr>
          <w:rFonts w:asciiTheme="majorHAnsi" w:hAnsiTheme="majorHAnsi" w:cstheme="majorHAnsi"/>
          <w:lang w:val="vi-VN"/>
        </w:rPr>
        <w:t xml:space="preserve">. </w:t>
      </w:r>
      <w:r w:rsidR="00DA5788">
        <w:rPr>
          <w:rFonts w:asciiTheme="majorHAnsi" w:hAnsiTheme="majorHAnsi" w:cstheme="majorHAnsi"/>
          <w:lang w:val="vi-VN"/>
        </w:rPr>
        <w:t>Đồng thời, c</w:t>
      </w:r>
      <w:r w:rsidRPr="00096B32">
        <w:rPr>
          <w:rFonts w:asciiTheme="majorHAnsi" w:hAnsiTheme="majorHAnsi" w:cstheme="majorHAnsi"/>
          <w:lang w:val="vi-VN"/>
        </w:rPr>
        <w:t xml:space="preserve">húng tôi cũng sử dụng </w:t>
      </w:r>
      <w:r w:rsidR="00DA5788">
        <w:rPr>
          <w:rFonts w:asciiTheme="majorHAnsi" w:hAnsiTheme="majorHAnsi" w:cstheme="majorHAnsi"/>
          <w:lang w:val="vi-VN"/>
        </w:rPr>
        <w:t>các</w:t>
      </w:r>
      <w:r w:rsidRPr="00096B32">
        <w:rPr>
          <w:rFonts w:asciiTheme="majorHAnsi" w:hAnsiTheme="majorHAnsi" w:cstheme="majorHAnsi"/>
          <w:lang w:val="vi-VN"/>
        </w:rPr>
        <w:t xml:space="preserve"> kiểm </w:t>
      </w:r>
      <w:r w:rsidR="00AF0374">
        <w:rPr>
          <w:rFonts w:asciiTheme="majorHAnsi" w:hAnsiTheme="majorHAnsi" w:cstheme="majorHAnsi"/>
          <w:lang w:val="vi-VN"/>
        </w:rPr>
        <w:t>định</w:t>
      </w:r>
      <w:r w:rsidRPr="00096B32">
        <w:rPr>
          <w:rFonts w:asciiTheme="majorHAnsi" w:hAnsiTheme="majorHAnsi" w:cstheme="majorHAnsi"/>
          <w:lang w:val="vi-VN"/>
        </w:rPr>
        <w:t xml:space="preserve"> Sargan và Hansen để kiểm tra tính phù hợp của các công cụ được sử dụng, kiểm </w:t>
      </w:r>
      <w:r w:rsidR="00AF0374">
        <w:rPr>
          <w:rFonts w:asciiTheme="majorHAnsi" w:hAnsiTheme="majorHAnsi" w:cstheme="majorHAnsi"/>
          <w:lang w:val="vi-VN"/>
        </w:rPr>
        <w:t>định</w:t>
      </w:r>
      <w:r w:rsidRPr="00096B32">
        <w:rPr>
          <w:rFonts w:asciiTheme="majorHAnsi" w:hAnsiTheme="majorHAnsi" w:cstheme="majorHAnsi"/>
          <w:lang w:val="vi-VN"/>
        </w:rPr>
        <w:t xml:space="preserve"> Arellano–Bond (AR(1) và AR(2)) để kiểm tra </w:t>
      </w:r>
      <w:r w:rsidR="00DA5788">
        <w:rPr>
          <w:rFonts w:asciiTheme="majorHAnsi" w:hAnsiTheme="majorHAnsi" w:cstheme="majorHAnsi"/>
          <w:lang w:val="vi-VN"/>
        </w:rPr>
        <w:t xml:space="preserve">hiện tượng </w:t>
      </w:r>
      <w:r w:rsidRPr="00096B32">
        <w:rPr>
          <w:rFonts w:asciiTheme="majorHAnsi" w:hAnsiTheme="majorHAnsi" w:cstheme="majorHAnsi"/>
          <w:lang w:val="vi-VN"/>
        </w:rPr>
        <w:t>tự tương quan.</w:t>
      </w:r>
      <w:r w:rsidR="00A3694A">
        <w:rPr>
          <w:rFonts w:asciiTheme="majorHAnsi" w:hAnsiTheme="majorHAnsi" w:cstheme="majorHAnsi"/>
          <w:lang w:val="vi-VN"/>
        </w:rPr>
        <w:t xml:space="preserve"> Với</w:t>
      </w:r>
      <w:r w:rsidR="00DA5788">
        <w:rPr>
          <w:rFonts w:asciiTheme="majorHAnsi" w:hAnsiTheme="majorHAnsi" w:cstheme="majorHAnsi"/>
          <w:lang w:val="vi-VN"/>
        </w:rPr>
        <w:t xml:space="preserve"> </w:t>
      </w:r>
      <w:r w:rsidR="00A3694A" w:rsidRPr="00D3269D">
        <w:rPr>
          <w:rFonts w:asciiTheme="majorHAnsi" w:hAnsiTheme="majorHAnsi" w:cstheme="majorHAnsi"/>
          <w:lang w:val="vi-VN"/>
        </w:rPr>
        <w:t xml:space="preserve">i biểu thị </w:t>
      </w:r>
      <w:r w:rsidR="00A3694A">
        <w:rPr>
          <w:rFonts w:asciiTheme="majorHAnsi" w:hAnsiTheme="majorHAnsi" w:cstheme="majorHAnsi"/>
          <w:lang w:val="vi-VN"/>
        </w:rPr>
        <w:t xml:space="preserve">cho </w:t>
      </w:r>
      <w:r w:rsidR="00A3694A" w:rsidRPr="00D3269D">
        <w:rPr>
          <w:rFonts w:asciiTheme="majorHAnsi" w:hAnsiTheme="majorHAnsi" w:cstheme="majorHAnsi"/>
          <w:lang w:val="vi-VN"/>
        </w:rPr>
        <w:t>ngân hàng, t biểu thị thời gian</w:t>
      </w:r>
      <w:r w:rsidR="00A3694A">
        <w:rPr>
          <w:rFonts w:asciiTheme="majorHAnsi" w:hAnsiTheme="majorHAnsi" w:cstheme="majorHAnsi"/>
          <w:lang w:val="vi-VN"/>
        </w:rPr>
        <w:t xml:space="preserve"> theo năm, m</w:t>
      </w:r>
      <w:r w:rsidR="00DA5788">
        <w:rPr>
          <w:rFonts w:asciiTheme="majorHAnsi" w:hAnsiTheme="majorHAnsi" w:cstheme="majorHAnsi"/>
          <w:lang w:val="vi-VN"/>
        </w:rPr>
        <w:t>ô hình ước lượng có dạng như sau:</w:t>
      </w:r>
    </w:p>
    <w:p w14:paraId="3828C818" w14:textId="3EFA3A45" w:rsidR="00A3694A" w:rsidRPr="00096B32" w:rsidRDefault="00DA5788" w:rsidP="00A3694A">
      <w:pPr>
        <w:spacing w:before="120" w:after="120" w:line="240" w:lineRule="auto"/>
        <w:ind w:firstLine="360"/>
        <w:jc w:val="both"/>
        <w:rPr>
          <w:rFonts w:asciiTheme="majorHAnsi" w:hAnsiTheme="majorHAnsi" w:cstheme="majorHAnsi"/>
          <w:lang w:val="vi-VN"/>
        </w:rPr>
      </w:pPr>
      <w:r w:rsidRPr="00DA5788">
        <w:rPr>
          <w:rFonts w:asciiTheme="majorHAnsi" w:hAnsiTheme="majorHAnsi" w:cstheme="majorHAnsi"/>
          <w:i/>
          <w:iCs/>
          <w:lang w:val="fr-FR"/>
        </w:rPr>
        <w:t>Z</w:t>
      </w:r>
      <w:r w:rsidRPr="00DA5788">
        <w:rPr>
          <w:rFonts w:asciiTheme="majorHAnsi" w:hAnsiTheme="majorHAnsi" w:cstheme="majorHAnsi"/>
          <w:i/>
          <w:iCs/>
          <w:vertAlign w:val="subscript"/>
          <w:lang w:val="fr-FR"/>
        </w:rPr>
        <w:t>i,t</w:t>
      </w:r>
      <w:r w:rsidRPr="00DA5788">
        <w:rPr>
          <w:rFonts w:asciiTheme="majorHAnsi" w:hAnsiTheme="majorHAnsi" w:cstheme="majorHAnsi"/>
          <w:i/>
          <w:iCs/>
          <w:lang w:val="fr-FR"/>
        </w:rPr>
        <w:t xml:space="preserve"> = </w:t>
      </w:r>
      <w:r w:rsidRPr="00DA5788">
        <w:rPr>
          <w:rFonts w:asciiTheme="majorHAnsi" w:hAnsiTheme="majorHAnsi" w:cstheme="majorHAnsi"/>
          <w:i/>
          <w:iCs/>
        </w:rPr>
        <w:t>β</w:t>
      </w:r>
      <w:r w:rsidRPr="00DA5788">
        <w:rPr>
          <w:rFonts w:asciiTheme="majorHAnsi" w:hAnsiTheme="majorHAnsi" w:cstheme="majorHAnsi"/>
          <w:i/>
          <w:iCs/>
          <w:vertAlign w:val="subscript"/>
          <w:lang w:val="fr-FR"/>
        </w:rPr>
        <w:t xml:space="preserve">1 </w:t>
      </w:r>
      <w:r w:rsidRPr="00DA5788">
        <w:rPr>
          <w:rFonts w:asciiTheme="majorHAnsi" w:hAnsiTheme="majorHAnsi" w:cstheme="majorHAnsi"/>
          <w:i/>
          <w:iCs/>
          <w:lang w:val="fr-FR"/>
        </w:rPr>
        <w:t>Z</w:t>
      </w:r>
      <w:r w:rsidRPr="00DA5788">
        <w:rPr>
          <w:rFonts w:asciiTheme="majorHAnsi" w:hAnsiTheme="majorHAnsi" w:cstheme="majorHAnsi"/>
          <w:i/>
          <w:iCs/>
          <w:vertAlign w:val="subscript"/>
          <w:lang w:val="fr-FR"/>
        </w:rPr>
        <w:t>i,t-1</w:t>
      </w:r>
      <w:r w:rsidRPr="00DA5788">
        <w:rPr>
          <w:rFonts w:asciiTheme="majorHAnsi" w:hAnsiTheme="majorHAnsi" w:cstheme="majorHAnsi"/>
          <w:i/>
          <w:iCs/>
          <w:lang w:val="fr-FR"/>
        </w:rPr>
        <w:t xml:space="preserve">  + </w:t>
      </w:r>
      <w:r w:rsidRPr="00DA5788">
        <w:rPr>
          <w:rFonts w:asciiTheme="majorHAnsi" w:hAnsiTheme="majorHAnsi" w:cstheme="majorHAnsi"/>
          <w:i/>
          <w:iCs/>
        </w:rPr>
        <w:t>β</w:t>
      </w:r>
      <w:r w:rsidRPr="00DA5788">
        <w:rPr>
          <w:rFonts w:asciiTheme="majorHAnsi" w:hAnsiTheme="majorHAnsi" w:cstheme="majorHAnsi"/>
          <w:i/>
          <w:iCs/>
          <w:vertAlign w:val="subscript"/>
          <w:lang w:val="fr-FR"/>
        </w:rPr>
        <w:t xml:space="preserve">2 </w:t>
      </w:r>
      <w:r w:rsidRPr="00DA5788">
        <w:rPr>
          <w:rFonts w:asciiTheme="majorHAnsi" w:hAnsiTheme="majorHAnsi" w:cstheme="majorHAnsi"/>
          <w:i/>
          <w:iCs/>
          <w:lang w:val="fr-FR"/>
        </w:rPr>
        <w:t>ICT</w:t>
      </w:r>
      <w:r w:rsidRPr="00DA5788">
        <w:rPr>
          <w:rFonts w:asciiTheme="majorHAnsi" w:hAnsiTheme="majorHAnsi" w:cstheme="majorHAnsi"/>
          <w:i/>
          <w:iCs/>
          <w:vertAlign w:val="subscript"/>
          <w:lang w:val="fr-FR"/>
        </w:rPr>
        <w:t>i,t</w:t>
      </w:r>
      <w:r w:rsidRPr="00DA5788">
        <w:rPr>
          <w:rFonts w:asciiTheme="majorHAnsi" w:hAnsiTheme="majorHAnsi" w:cstheme="majorHAnsi"/>
          <w:i/>
          <w:iCs/>
          <w:lang w:val="fr-FR"/>
        </w:rPr>
        <w:t xml:space="preserve"> + </w:t>
      </w:r>
      <w:r w:rsidRPr="00DA5788">
        <w:rPr>
          <w:rFonts w:asciiTheme="majorHAnsi" w:hAnsiTheme="majorHAnsi" w:cstheme="majorHAnsi"/>
          <w:i/>
          <w:iCs/>
        </w:rPr>
        <w:t>β</w:t>
      </w:r>
      <w:r w:rsidRPr="00DA5788">
        <w:rPr>
          <w:rFonts w:asciiTheme="majorHAnsi" w:hAnsiTheme="majorHAnsi" w:cstheme="majorHAnsi"/>
          <w:i/>
          <w:iCs/>
          <w:vertAlign w:val="subscript"/>
          <w:lang w:val="fr-FR"/>
        </w:rPr>
        <w:t xml:space="preserve">3 </w:t>
      </w:r>
      <w:r w:rsidR="00A3694A">
        <w:rPr>
          <w:rFonts w:asciiTheme="majorHAnsi" w:hAnsiTheme="majorHAnsi" w:cstheme="majorHAnsi"/>
          <w:i/>
          <w:iCs/>
          <w:lang w:val="fr-FR"/>
        </w:rPr>
        <w:t>statedum</w:t>
      </w:r>
      <w:r w:rsidRPr="00DA5788">
        <w:rPr>
          <w:rFonts w:asciiTheme="majorHAnsi" w:hAnsiTheme="majorHAnsi" w:cstheme="majorHAnsi"/>
          <w:i/>
          <w:iCs/>
          <w:vertAlign w:val="subscript"/>
          <w:lang w:val="fr-FR"/>
        </w:rPr>
        <w:t>i,t</w:t>
      </w:r>
      <w:r w:rsidRPr="00DA5788">
        <w:rPr>
          <w:rFonts w:asciiTheme="majorHAnsi" w:hAnsiTheme="majorHAnsi" w:cstheme="majorHAnsi"/>
          <w:i/>
          <w:iCs/>
          <w:lang w:val="fr-FR"/>
        </w:rPr>
        <w:t xml:space="preserve"> </w:t>
      </w:r>
      <w:r w:rsidRPr="00DA5788">
        <w:rPr>
          <w:rFonts w:asciiTheme="majorHAnsi" w:hAnsiTheme="majorHAnsi" w:cstheme="majorHAnsi"/>
          <w:i/>
          <w:iCs/>
          <w:lang w:val="vi-VN"/>
        </w:rPr>
        <w:t xml:space="preserve">+ </w:t>
      </w:r>
      <w:r w:rsidRPr="00DA5788">
        <w:rPr>
          <w:rFonts w:asciiTheme="majorHAnsi" w:hAnsiTheme="majorHAnsi" w:cstheme="majorHAnsi"/>
          <w:i/>
          <w:iCs/>
        </w:rPr>
        <w:t>β</w:t>
      </w:r>
      <w:r w:rsidRPr="00DA5788">
        <w:rPr>
          <w:rFonts w:asciiTheme="majorHAnsi" w:hAnsiTheme="majorHAnsi" w:cstheme="majorHAnsi"/>
          <w:i/>
          <w:iCs/>
          <w:vertAlign w:val="subscript"/>
          <w:lang w:val="fr-FR"/>
        </w:rPr>
        <w:t xml:space="preserve">4 </w:t>
      </w:r>
      <w:r w:rsidR="00A3694A">
        <w:rPr>
          <w:rFonts w:asciiTheme="majorHAnsi" w:hAnsiTheme="majorHAnsi" w:cstheme="majorHAnsi"/>
          <w:i/>
          <w:iCs/>
          <w:lang w:val="fr-FR"/>
        </w:rPr>
        <w:t>ICTstate</w:t>
      </w:r>
      <w:r w:rsidRPr="00DA5788">
        <w:rPr>
          <w:rFonts w:asciiTheme="majorHAnsi" w:hAnsiTheme="majorHAnsi" w:cstheme="majorHAnsi"/>
          <w:i/>
          <w:iCs/>
          <w:vertAlign w:val="subscript"/>
          <w:lang w:val="fr-FR"/>
        </w:rPr>
        <w:t>i,t</w:t>
      </w:r>
      <w:r w:rsidRPr="00DA5788">
        <w:rPr>
          <w:rFonts w:asciiTheme="majorHAnsi" w:hAnsiTheme="majorHAnsi" w:cstheme="majorHAnsi"/>
          <w:i/>
          <w:iCs/>
          <w:lang w:val="fr-FR"/>
        </w:rPr>
        <w:t xml:space="preserve"> </w:t>
      </w:r>
      <w:r w:rsidRPr="00DA5788">
        <w:rPr>
          <w:rFonts w:asciiTheme="majorHAnsi" w:hAnsiTheme="majorHAnsi" w:cstheme="majorHAnsi"/>
          <w:i/>
          <w:iCs/>
          <w:lang w:val="vi-VN"/>
        </w:rPr>
        <w:t xml:space="preserve">+ </w:t>
      </w:r>
      <w:r w:rsidRPr="00DA5788">
        <w:rPr>
          <w:rFonts w:asciiTheme="majorHAnsi" w:hAnsiTheme="majorHAnsi" w:cstheme="majorHAnsi"/>
          <w:i/>
          <w:iCs/>
        </w:rPr>
        <w:t>β</w:t>
      </w:r>
      <w:r w:rsidRPr="00DA5788">
        <w:rPr>
          <w:rFonts w:asciiTheme="majorHAnsi" w:hAnsiTheme="majorHAnsi" w:cstheme="majorHAnsi"/>
          <w:i/>
          <w:iCs/>
          <w:vertAlign w:val="subscript"/>
          <w:lang w:val="fr-FR"/>
        </w:rPr>
        <w:t xml:space="preserve">5 </w:t>
      </w:r>
      <w:r w:rsidR="00A3694A">
        <w:rPr>
          <w:rFonts w:asciiTheme="majorHAnsi" w:hAnsiTheme="majorHAnsi" w:cstheme="majorHAnsi"/>
          <w:i/>
          <w:iCs/>
          <w:lang w:val="fr-FR"/>
        </w:rPr>
        <w:t>Biến</w:t>
      </w:r>
      <w:r w:rsidR="00A3694A">
        <w:rPr>
          <w:rFonts w:asciiTheme="majorHAnsi" w:hAnsiTheme="majorHAnsi" w:cstheme="majorHAnsi"/>
          <w:i/>
          <w:iCs/>
          <w:lang w:val="vi-VN"/>
        </w:rPr>
        <w:t xml:space="preserve"> kiểm soát</w:t>
      </w:r>
      <w:r w:rsidRPr="00DA5788">
        <w:rPr>
          <w:rFonts w:asciiTheme="majorHAnsi" w:hAnsiTheme="majorHAnsi" w:cstheme="majorHAnsi"/>
          <w:i/>
          <w:iCs/>
          <w:vertAlign w:val="subscript"/>
          <w:lang w:val="fr-FR"/>
        </w:rPr>
        <w:t>i,t</w:t>
      </w:r>
      <w:r w:rsidRPr="00DA5788">
        <w:rPr>
          <w:rFonts w:asciiTheme="majorHAnsi" w:hAnsiTheme="majorHAnsi" w:cstheme="majorHAnsi"/>
          <w:i/>
          <w:iCs/>
          <w:lang w:val="fr-FR"/>
        </w:rPr>
        <w:t xml:space="preserve"> + e </w:t>
      </w:r>
      <w:r w:rsidRPr="00DA5788">
        <w:rPr>
          <w:rFonts w:asciiTheme="majorHAnsi" w:hAnsiTheme="majorHAnsi" w:cstheme="majorHAnsi"/>
          <w:i/>
          <w:iCs/>
          <w:vertAlign w:val="subscript"/>
          <w:lang w:val="fr-FR"/>
        </w:rPr>
        <w:t xml:space="preserve">i,t </w:t>
      </w:r>
    </w:p>
    <w:p w14:paraId="0871DAC4" w14:textId="1CDA6055" w:rsidR="00823469" w:rsidRPr="00D3269D" w:rsidRDefault="007B2E80" w:rsidP="00D3269D">
      <w:pPr>
        <w:pStyle w:val="ListParagraph"/>
        <w:numPr>
          <w:ilvl w:val="0"/>
          <w:numId w:val="1"/>
        </w:numPr>
        <w:spacing w:before="120" w:after="120" w:line="240" w:lineRule="auto"/>
        <w:ind w:left="360" w:hanging="360"/>
        <w:jc w:val="both"/>
        <w:rPr>
          <w:rFonts w:asciiTheme="majorHAnsi" w:hAnsiTheme="majorHAnsi" w:cstheme="majorHAnsi"/>
          <w:b/>
          <w:bCs/>
          <w:lang w:val="vi-VN"/>
        </w:rPr>
      </w:pPr>
      <w:r>
        <w:rPr>
          <w:rFonts w:asciiTheme="majorHAnsi" w:hAnsiTheme="majorHAnsi" w:cstheme="majorHAnsi"/>
          <w:b/>
          <w:bCs/>
          <w:lang w:val="vi-VN"/>
        </w:rPr>
        <w:t>KẾT QUẢ NGHIÊN CỨU</w:t>
      </w:r>
    </w:p>
    <w:p w14:paraId="49882258" w14:textId="6988DCED" w:rsidR="003344A9" w:rsidRPr="005F0CA1" w:rsidRDefault="005F0CA1" w:rsidP="005F0CA1">
      <w:pPr>
        <w:spacing w:before="120" w:after="120" w:line="240" w:lineRule="auto"/>
        <w:ind w:firstLine="360"/>
        <w:jc w:val="both"/>
        <w:rPr>
          <w:rFonts w:asciiTheme="majorHAnsi" w:hAnsiTheme="majorHAnsi" w:cstheme="majorHAnsi"/>
          <w:lang w:val="vi-VN"/>
        </w:rPr>
      </w:pPr>
      <w:r w:rsidRPr="005F0CA1">
        <w:rPr>
          <w:rFonts w:asciiTheme="majorHAnsi" w:hAnsiTheme="majorHAnsi" w:cstheme="majorHAnsi"/>
          <w:lang w:val="vi-VN"/>
        </w:rPr>
        <w:t xml:space="preserve">Bảng 2 </w:t>
      </w:r>
      <w:r>
        <w:rPr>
          <w:rFonts w:asciiTheme="majorHAnsi" w:hAnsiTheme="majorHAnsi" w:cstheme="majorHAnsi"/>
          <w:lang w:val="vi-VN"/>
        </w:rPr>
        <w:t>thể hiện</w:t>
      </w:r>
      <w:r w:rsidRPr="005F0CA1">
        <w:rPr>
          <w:rFonts w:asciiTheme="majorHAnsi" w:hAnsiTheme="majorHAnsi" w:cstheme="majorHAnsi"/>
          <w:lang w:val="vi-VN"/>
        </w:rPr>
        <w:t xml:space="preserve"> số liệu thống kê </w:t>
      </w:r>
      <w:r>
        <w:rPr>
          <w:rFonts w:asciiTheme="majorHAnsi" w:hAnsiTheme="majorHAnsi" w:cstheme="majorHAnsi"/>
          <w:lang w:val="vi-VN"/>
        </w:rPr>
        <w:t xml:space="preserve">mô tả của mẫu nghiên </w:t>
      </w:r>
      <w:r w:rsidR="00302D5B">
        <w:rPr>
          <w:rFonts w:asciiTheme="majorHAnsi" w:hAnsiTheme="majorHAnsi" w:cstheme="majorHAnsi"/>
          <w:lang w:val="vi-VN"/>
        </w:rPr>
        <w:t>cứu, trong đó m</w:t>
      </w:r>
      <w:r>
        <w:rPr>
          <w:rFonts w:asciiTheme="majorHAnsi" w:hAnsiTheme="majorHAnsi" w:cstheme="majorHAnsi"/>
          <w:lang w:val="vi-VN"/>
        </w:rPr>
        <w:t xml:space="preserve">ức độ </w:t>
      </w:r>
      <w:r w:rsidRPr="005F0CA1">
        <w:rPr>
          <w:rFonts w:asciiTheme="majorHAnsi" w:hAnsiTheme="majorHAnsi" w:cstheme="majorHAnsi"/>
          <w:lang w:val="vi-VN"/>
        </w:rPr>
        <w:t xml:space="preserve">chấp nhận rủi ro, được đo bằng chỉ số Z, </w:t>
      </w:r>
      <w:r>
        <w:rPr>
          <w:rFonts w:asciiTheme="majorHAnsi" w:hAnsiTheme="majorHAnsi" w:cstheme="majorHAnsi"/>
          <w:lang w:val="vi-VN"/>
        </w:rPr>
        <w:t xml:space="preserve">dao động trong khoảng từ </w:t>
      </w:r>
      <w:r w:rsidRPr="005F0CA1">
        <w:rPr>
          <w:rFonts w:asciiTheme="majorHAnsi" w:hAnsiTheme="majorHAnsi" w:cstheme="majorHAnsi"/>
          <w:lang w:val="vi-VN"/>
        </w:rPr>
        <w:t>0,64 đến 2,54 với độ lệch chuẩn thấp (0,48%)</w:t>
      </w:r>
      <w:r w:rsidR="00302D5B">
        <w:rPr>
          <w:rFonts w:asciiTheme="majorHAnsi" w:hAnsiTheme="majorHAnsi" w:cstheme="majorHAnsi"/>
          <w:lang w:val="vi-VN"/>
        </w:rPr>
        <w:t>; g</w:t>
      </w:r>
      <w:r w:rsidRPr="005F0CA1">
        <w:rPr>
          <w:rFonts w:asciiTheme="majorHAnsi" w:hAnsiTheme="majorHAnsi" w:cstheme="majorHAnsi"/>
          <w:lang w:val="vi-VN"/>
        </w:rPr>
        <w:t>iá trị trung bình của chỉ số ICT là 0,</w:t>
      </w:r>
      <w:r>
        <w:rPr>
          <w:rFonts w:asciiTheme="majorHAnsi" w:hAnsiTheme="majorHAnsi" w:cstheme="majorHAnsi"/>
          <w:lang w:val="vi-VN"/>
        </w:rPr>
        <w:t xml:space="preserve">51 với </w:t>
      </w:r>
      <w:r w:rsidRPr="005F0CA1">
        <w:rPr>
          <w:rFonts w:asciiTheme="majorHAnsi" w:hAnsiTheme="majorHAnsi" w:cstheme="majorHAnsi"/>
          <w:lang w:val="vi-VN"/>
        </w:rPr>
        <w:t xml:space="preserve">độ lệch chuẩn là 0,11%. </w:t>
      </w:r>
      <w:r w:rsidR="00302D5B">
        <w:rPr>
          <w:rFonts w:asciiTheme="majorHAnsi" w:hAnsiTheme="majorHAnsi" w:cstheme="majorHAnsi"/>
          <w:lang w:val="vi-VN"/>
        </w:rPr>
        <w:t>Bên cạnh đó, m</w:t>
      </w:r>
      <w:r w:rsidRPr="005F0CA1">
        <w:rPr>
          <w:rFonts w:asciiTheme="majorHAnsi" w:hAnsiTheme="majorHAnsi" w:cstheme="majorHAnsi"/>
          <w:lang w:val="vi-VN"/>
        </w:rPr>
        <w:t xml:space="preserve">a trận </w:t>
      </w:r>
      <w:r>
        <w:rPr>
          <w:rFonts w:asciiTheme="majorHAnsi" w:hAnsiTheme="majorHAnsi" w:cstheme="majorHAnsi"/>
          <w:lang w:val="vi-VN"/>
        </w:rPr>
        <w:t xml:space="preserve">hệ số </w:t>
      </w:r>
      <w:r w:rsidRPr="005F0CA1">
        <w:rPr>
          <w:rFonts w:asciiTheme="majorHAnsi" w:hAnsiTheme="majorHAnsi" w:cstheme="majorHAnsi"/>
          <w:lang w:val="vi-VN"/>
        </w:rPr>
        <w:t xml:space="preserve">tương quan Pearson </w:t>
      </w:r>
      <w:r>
        <w:rPr>
          <w:rFonts w:asciiTheme="majorHAnsi" w:hAnsiTheme="majorHAnsi" w:cstheme="majorHAnsi"/>
          <w:lang w:val="vi-VN"/>
        </w:rPr>
        <w:t>cho thấy</w:t>
      </w:r>
      <w:r w:rsidRPr="005F0CA1">
        <w:rPr>
          <w:rFonts w:asciiTheme="majorHAnsi" w:hAnsiTheme="majorHAnsi" w:cstheme="majorHAnsi"/>
          <w:lang w:val="vi-VN"/>
        </w:rPr>
        <w:t xml:space="preserve"> </w:t>
      </w:r>
      <w:r>
        <w:rPr>
          <w:rFonts w:asciiTheme="majorHAnsi" w:hAnsiTheme="majorHAnsi" w:cstheme="majorHAnsi"/>
          <w:lang w:val="vi-VN"/>
        </w:rPr>
        <w:t>hiện tượng</w:t>
      </w:r>
      <w:r w:rsidRPr="005F0CA1">
        <w:rPr>
          <w:rFonts w:asciiTheme="majorHAnsi" w:hAnsiTheme="majorHAnsi" w:cstheme="majorHAnsi"/>
          <w:lang w:val="vi-VN"/>
        </w:rPr>
        <w:t xml:space="preserve"> đa cộng tuyến giữa các biến giải thích </w:t>
      </w:r>
      <w:r>
        <w:rPr>
          <w:rFonts w:asciiTheme="majorHAnsi" w:hAnsiTheme="majorHAnsi" w:cstheme="majorHAnsi"/>
          <w:lang w:val="vi-VN"/>
        </w:rPr>
        <w:t>là không đáng kể.</w:t>
      </w:r>
    </w:p>
    <w:p w14:paraId="069A5C9E" w14:textId="6C67800C" w:rsidR="003344A9" w:rsidRPr="00D3269D" w:rsidRDefault="00D3269D" w:rsidP="00D3269D">
      <w:pPr>
        <w:spacing w:before="120" w:after="120" w:line="240" w:lineRule="auto"/>
        <w:jc w:val="both"/>
        <w:rPr>
          <w:rFonts w:asciiTheme="majorHAnsi" w:hAnsiTheme="majorHAnsi" w:cstheme="majorHAnsi"/>
          <w:b/>
          <w:bCs/>
          <w:lang w:val="vi-VN"/>
        </w:rPr>
      </w:pPr>
      <w:r w:rsidRPr="005F0CA1">
        <w:rPr>
          <w:rFonts w:asciiTheme="majorHAnsi" w:hAnsiTheme="majorHAnsi" w:cstheme="majorHAnsi"/>
          <w:b/>
          <w:bCs/>
          <w:lang w:val="vi-VN"/>
        </w:rPr>
        <w:t>Bảng</w:t>
      </w:r>
      <w:r w:rsidR="003344A9" w:rsidRPr="005F0CA1">
        <w:rPr>
          <w:rFonts w:asciiTheme="majorHAnsi" w:hAnsiTheme="majorHAnsi" w:cstheme="majorHAnsi"/>
          <w:b/>
          <w:bCs/>
          <w:lang w:val="vi-VN"/>
        </w:rPr>
        <w:t xml:space="preserve"> 2. </w:t>
      </w:r>
      <w:r w:rsidRPr="005F0CA1">
        <w:rPr>
          <w:rFonts w:asciiTheme="majorHAnsi" w:hAnsiTheme="majorHAnsi" w:cstheme="majorHAnsi"/>
          <w:b/>
          <w:bCs/>
          <w:lang w:val="vi-VN"/>
        </w:rPr>
        <w:t>Thống</w:t>
      </w:r>
      <w:r w:rsidRPr="00D3269D">
        <w:rPr>
          <w:rFonts w:asciiTheme="majorHAnsi" w:hAnsiTheme="majorHAnsi" w:cstheme="majorHAnsi"/>
          <w:b/>
          <w:bCs/>
          <w:lang w:val="vi-VN"/>
        </w:rPr>
        <w:t xml:space="preserve"> kê mô tả</w:t>
      </w:r>
    </w:p>
    <w:tbl>
      <w:tblPr>
        <w:tblStyle w:val="TableGrid"/>
        <w:tblW w:w="9360"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77"/>
        <w:gridCol w:w="983"/>
        <w:gridCol w:w="1080"/>
        <w:gridCol w:w="1080"/>
        <w:gridCol w:w="990"/>
        <w:gridCol w:w="1080"/>
        <w:gridCol w:w="990"/>
        <w:gridCol w:w="1080"/>
        <w:gridCol w:w="900"/>
      </w:tblGrid>
      <w:tr w:rsidR="003344A9" w:rsidRPr="00D3269D" w14:paraId="559A8F18" w14:textId="77777777" w:rsidTr="00C90CB6">
        <w:trPr>
          <w:jc w:val="center"/>
        </w:trPr>
        <w:tc>
          <w:tcPr>
            <w:tcW w:w="1177" w:type="dxa"/>
            <w:tcBorders>
              <w:bottom w:val="single" w:sz="4" w:space="0" w:color="auto"/>
            </w:tcBorders>
          </w:tcPr>
          <w:p w14:paraId="6ADFDA49" w14:textId="500113DE" w:rsidR="003344A9" w:rsidRPr="00D3269D" w:rsidRDefault="00D3269D" w:rsidP="00DC323F">
            <w:pPr>
              <w:spacing w:before="60"/>
              <w:jc w:val="both"/>
              <w:rPr>
                <w:rFonts w:asciiTheme="majorHAnsi" w:hAnsiTheme="majorHAnsi" w:cstheme="majorHAnsi"/>
                <w:b/>
                <w:bCs/>
                <w:lang w:val="en-US"/>
              </w:rPr>
            </w:pPr>
            <w:bookmarkStart w:id="0" w:name="_Hlk147474918"/>
            <w:r>
              <w:rPr>
                <w:rFonts w:asciiTheme="majorHAnsi" w:hAnsiTheme="majorHAnsi" w:cstheme="majorHAnsi"/>
                <w:b/>
                <w:bCs/>
                <w:lang w:val="en-US"/>
              </w:rPr>
              <w:t>Tên</w:t>
            </w:r>
            <w:r>
              <w:rPr>
                <w:rFonts w:asciiTheme="majorHAnsi" w:hAnsiTheme="majorHAnsi" w:cstheme="majorHAnsi"/>
                <w:b/>
                <w:bCs/>
                <w:lang w:val="vi-VN"/>
              </w:rPr>
              <w:t xml:space="preserve"> b</w:t>
            </w:r>
            <w:r>
              <w:rPr>
                <w:rFonts w:asciiTheme="majorHAnsi" w:hAnsiTheme="majorHAnsi" w:cstheme="majorHAnsi"/>
                <w:b/>
                <w:bCs/>
                <w:lang w:val="en-US"/>
              </w:rPr>
              <w:t>iến</w:t>
            </w:r>
          </w:p>
        </w:tc>
        <w:tc>
          <w:tcPr>
            <w:tcW w:w="983" w:type="dxa"/>
            <w:tcBorders>
              <w:bottom w:val="single" w:sz="4" w:space="0" w:color="auto"/>
            </w:tcBorders>
          </w:tcPr>
          <w:p w14:paraId="28C607E6" w14:textId="77777777" w:rsidR="003344A9" w:rsidRPr="00D3269D" w:rsidRDefault="003344A9" w:rsidP="00DC323F">
            <w:pPr>
              <w:spacing w:before="60"/>
              <w:jc w:val="both"/>
              <w:rPr>
                <w:rFonts w:asciiTheme="majorHAnsi" w:hAnsiTheme="majorHAnsi" w:cstheme="majorHAnsi"/>
                <w:b/>
                <w:bCs/>
                <w:lang w:val="vi-VN"/>
              </w:rPr>
            </w:pPr>
            <w:r w:rsidRPr="00D3269D">
              <w:rPr>
                <w:rFonts w:asciiTheme="majorHAnsi" w:hAnsiTheme="majorHAnsi" w:cstheme="majorHAnsi"/>
                <w:b/>
                <w:bCs/>
                <w:lang w:val="en-US"/>
              </w:rPr>
              <w:t>Z</w:t>
            </w:r>
          </w:p>
        </w:tc>
        <w:tc>
          <w:tcPr>
            <w:tcW w:w="1080" w:type="dxa"/>
            <w:tcBorders>
              <w:bottom w:val="single" w:sz="4" w:space="0" w:color="auto"/>
            </w:tcBorders>
          </w:tcPr>
          <w:p w14:paraId="5029D340" w14:textId="77777777" w:rsidR="003344A9" w:rsidRPr="00D3269D" w:rsidRDefault="003344A9" w:rsidP="00DC323F">
            <w:pPr>
              <w:spacing w:before="60"/>
              <w:jc w:val="both"/>
              <w:rPr>
                <w:rFonts w:asciiTheme="majorHAnsi" w:hAnsiTheme="majorHAnsi" w:cstheme="majorHAnsi"/>
                <w:b/>
                <w:bCs/>
                <w:lang w:val="vi-VN"/>
              </w:rPr>
            </w:pPr>
            <w:r w:rsidRPr="00D3269D">
              <w:rPr>
                <w:rFonts w:asciiTheme="majorHAnsi" w:hAnsiTheme="majorHAnsi" w:cstheme="majorHAnsi"/>
                <w:b/>
                <w:bCs/>
                <w:lang w:val="en-US"/>
              </w:rPr>
              <w:t>ICT</w:t>
            </w:r>
          </w:p>
        </w:tc>
        <w:tc>
          <w:tcPr>
            <w:tcW w:w="1080" w:type="dxa"/>
            <w:tcBorders>
              <w:bottom w:val="single" w:sz="4" w:space="0" w:color="auto"/>
            </w:tcBorders>
          </w:tcPr>
          <w:p w14:paraId="6F9A3023" w14:textId="77777777" w:rsidR="003344A9" w:rsidRPr="00D3269D" w:rsidRDefault="003344A9" w:rsidP="00DC323F">
            <w:pPr>
              <w:spacing w:before="60"/>
              <w:jc w:val="both"/>
              <w:rPr>
                <w:rFonts w:asciiTheme="majorHAnsi" w:hAnsiTheme="majorHAnsi" w:cstheme="majorHAnsi"/>
                <w:b/>
                <w:bCs/>
                <w:lang w:val="en-US"/>
              </w:rPr>
            </w:pPr>
            <w:r w:rsidRPr="00D3269D">
              <w:rPr>
                <w:rFonts w:asciiTheme="majorHAnsi" w:hAnsiTheme="majorHAnsi" w:cstheme="majorHAnsi"/>
                <w:b/>
                <w:bCs/>
                <w:lang w:val="en-US"/>
              </w:rPr>
              <w:t>SIZE</w:t>
            </w:r>
          </w:p>
        </w:tc>
        <w:tc>
          <w:tcPr>
            <w:tcW w:w="990" w:type="dxa"/>
            <w:tcBorders>
              <w:bottom w:val="single" w:sz="4" w:space="0" w:color="auto"/>
            </w:tcBorders>
          </w:tcPr>
          <w:p w14:paraId="0935B284" w14:textId="77777777" w:rsidR="003344A9" w:rsidRPr="00D3269D" w:rsidRDefault="003344A9" w:rsidP="00DC323F">
            <w:pPr>
              <w:spacing w:before="60"/>
              <w:jc w:val="both"/>
              <w:rPr>
                <w:rFonts w:asciiTheme="majorHAnsi" w:hAnsiTheme="majorHAnsi" w:cstheme="majorHAnsi"/>
                <w:b/>
                <w:bCs/>
                <w:lang w:val="vi-VN"/>
              </w:rPr>
            </w:pPr>
            <w:r w:rsidRPr="00D3269D">
              <w:rPr>
                <w:rFonts w:asciiTheme="majorHAnsi" w:hAnsiTheme="majorHAnsi" w:cstheme="majorHAnsi"/>
                <w:b/>
                <w:bCs/>
                <w:lang w:val="en-US"/>
              </w:rPr>
              <w:t>CIR</w:t>
            </w:r>
          </w:p>
        </w:tc>
        <w:tc>
          <w:tcPr>
            <w:tcW w:w="1080" w:type="dxa"/>
            <w:tcBorders>
              <w:bottom w:val="single" w:sz="4" w:space="0" w:color="auto"/>
            </w:tcBorders>
          </w:tcPr>
          <w:p w14:paraId="6C0E38E8" w14:textId="77777777" w:rsidR="003344A9" w:rsidRPr="00D3269D" w:rsidRDefault="003344A9" w:rsidP="00DC323F">
            <w:pPr>
              <w:spacing w:before="60"/>
              <w:jc w:val="both"/>
              <w:rPr>
                <w:rFonts w:asciiTheme="majorHAnsi" w:hAnsiTheme="majorHAnsi" w:cstheme="majorHAnsi"/>
                <w:b/>
                <w:bCs/>
                <w:lang w:val="vi-VN"/>
              </w:rPr>
            </w:pPr>
            <w:r w:rsidRPr="00D3269D">
              <w:rPr>
                <w:rFonts w:asciiTheme="majorHAnsi" w:hAnsiTheme="majorHAnsi" w:cstheme="majorHAnsi"/>
                <w:b/>
                <w:bCs/>
                <w:lang w:val="en-US"/>
              </w:rPr>
              <w:t>DIV</w:t>
            </w:r>
          </w:p>
        </w:tc>
        <w:tc>
          <w:tcPr>
            <w:tcW w:w="990" w:type="dxa"/>
            <w:tcBorders>
              <w:bottom w:val="single" w:sz="4" w:space="0" w:color="auto"/>
            </w:tcBorders>
          </w:tcPr>
          <w:p w14:paraId="78AA1D01" w14:textId="77777777" w:rsidR="003344A9" w:rsidRPr="00D3269D" w:rsidRDefault="003344A9" w:rsidP="00DC323F">
            <w:pPr>
              <w:spacing w:before="60"/>
              <w:jc w:val="both"/>
              <w:rPr>
                <w:rFonts w:asciiTheme="majorHAnsi" w:hAnsiTheme="majorHAnsi" w:cstheme="majorHAnsi"/>
                <w:b/>
                <w:bCs/>
                <w:lang w:val="vi-VN"/>
              </w:rPr>
            </w:pPr>
            <w:r w:rsidRPr="00D3269D">
              <w:rPr>
                <w:rFonts w:asciiTheme="majorHAnsi" w:hAnsiTheme="majorHAnsi" w:cstheme="majorHAnsi"/>
                <w:b/>
                <w:bCs/>
                <w:lang w:val="en-US"/>
              </w:rPr>
              <w:t>CAR</w:t>
            </w:r>
          </w:p>
        </w:tc>
        <w:tc>
          <w:tcPr>
            <w:tcW w:w="1080" w:type="dxa"/>
            <w:tcBorders>
              <w:bottom w:val="single" w:sz="4" w:space="0" w:color="auto"/>
            </w:tcBorders>
          </w:tcPr>
          <w:p w14:paraId="3127B1F7" w14:textId="77777777" w:rsidR="003344A9" w:rsidRPr="00D3269D" w:rsidRDefault="003344A9" w:rsidP="00DC323F">
            <w:pPr>
              <w:spacing w:before="60"/>
              <w:jc w:val="both"/>
              <w:rPr>
                <w:rFonts w:asciiTheme="majorHAnsi" w:hAnsiTheme="majorHAnsi" w:cstheme="majorHAnsi"/>
                <w:b/>
                <w:bCs/>
                <w:lang w:val="en-US"/>
              </w:rPr>
            </w:pPr>
            <w:r w:rsidRPr="00D3269D">
              <w:rPr>
                <w:rFonts w:asciiTheme="majorHAnsi" w:hAnsiTheme="majorHAnsi" w:cstheme="majorHAnsi"/>
                <w:b/>
                <w:bCs/>
                <w:lang w:val="en-US"/>
              </w:rPr>
              <w:t>INF</w:t>
            </w:r>
          </w:p>
        </w:tc>
        <w:tc>
          <w:tcPr>
            <w:tcW w:w="900" w:type="dxa"/>
            <w:tcBorders>
              <w:bottom w:val="single" w:sz="4" w:space="0" w:color="auto"/>
            </w:tcBorders>
          </w:tcPr>
          <w:p w14:paraId="5AE31B48" w14:textId="77777777" w:rsidR="003344A9" w:rsidRPr="00D3269D" w:rsidRDefault="003344A9" w:rsidP="00DC323F">
            <w:pPr>
              <w:spacing w:before="60"/>
              <w:jc w:val="both"/>
              <w:rPr>
                <w:rFonts w:asciiTheme="majorHAnsi" w:hAnsiTheme="majorHAnsi" w:cstheme="majorHAnsi"/>
                <w:b/>
                <w:bCs/>
                <w:lang w:val="en-US"/>
              </w:rPr>
            </w:pPr>
            <w:r w:rsidRPr="00D3269D">
              <w:rPr>
                <w:rFonts w:asciiTheme="majorHAnsi" w:hAnsiTheme="majorHAnsi" w:cstheme="majorHAnsi"/>
                <w:b/>
                <w:bCs/>
                <w:lang w:val="en-US"/>
              </w:rPr>
              <w:t>GDP</w:t>
            </w:r>
          </w:p>
        </w:tc>
      </w:tr>
      <w:bookmarkEnd w:id="0"/>
      <w:tr w:rsidR="003344A9" w:rsidRPr="00D3269D" w14:paraId="10C3E3BC" w14:textId="77777777" w:rsidTr="00C90CB6">
        <w:trPr>
          <w:jc w:val="center"/>
        </w:trPr>
        <w:tc>
          <w:tcPr>
            <w:tcW w:w="1177" w:type="dxa"/>
            <w:tcBorders>
              <w:top w:val="single" w:sz="4" w:space="0" w:color="auto"/>
            </w:tcBorders>
          </w:tcPr>
          <w:p w14:paraId="257061D0" w14:textId="74223745" w:rsidR="003344A9" w:rsidRPr="001F1E56" w:rsidRDefault="001F1E56" w:rsidP="00DC323F">
            <w:pPr>
              <w:spacing w:before="60"/>
              <w:rPr>
                <w:rFonts w:asciiTheme="majorHAnsi" w:hAnsiTheme="majorHAnsi" w:cstheme="majorHAnsi"/>
                <w:lang w:val="vi-VN"/>
              </w:rPr>
            </w:pPr>
            <w:r>
              <w:rPr>
                <w:rFonts w:asciiTheme="majorHAnsi" w:hAnsiTheme="majorHAnsi" w:cstheme="majorHAnsi"/>
                <w:lang w:val="en-US"/>
              </w:rPr>
              <w:t>Số</w:t>
            </w:r>
            <w:r>
              <w:rPr>
                <w:rFonts w:asciiTheme="majorHAnsi" w:hAnsiTheme="majorHAnsi" w:cstheme="majorHAnsi"/>
                <w:lang w:val="vi-VN"/>
              </w:rPr>
              <w:t xml:space="preserve"> quan sát</w:t>
            </w:r>
          </w:p>
        </w:tc>
        <w:tc>
          <w:tcPr>
            <w:tcW w:w="983" w:type="dxa"/>
            <w:tcBorders>
              <w:top w:val="single" w:sz="4" w:space="0" w:color="auto"/>
            </w:tcBorders>
          </w:tcPr>
          <w:p w14:paraId="63653716" w14:textId="77777777"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290</w:t>
            </w:r>
          </w:p>
        </w:tc>
        <w:tc>
          <w:tcPr>
            <w:tcW w:w="1080" w:type="dxa"/>
            <w:tcBorders>
              <w:top w:val="single" w:sz="4" w:space="0" w:color="auto"/>
            </w:tcBorders>
          </w:tcPr>
          <w:p w14:paraId="3CFF2E9E" w14:textId="77777777"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223</w:t>
            </w:r>
          </w:p>
        </w:tc>
        <w:tc>
          <w:tcPr>
            <w:tcW w:w="1080" w:type="dxa"/>
            <w:tcBorders>
              <w:top w:val="single" w:sz="4" w:space="0" w:color="auto"/>
            </w:tcBorders>
          </w:tcPr>
          <w:p w14:paraId="24AC4542" w14:textId="77777777"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290</w:t>
            </w:r>
          </w:p>
        </w:tc>
        <w:tc>
          <w:tcPr>
            <w:tcW w:w="990" w:type="dxa"/>
            <w:tcBorders>
              <w:top w:val="single" w:sz="4" w:space="0" w:color="auto"/>
            </w:tcBorders>
          </w:tcPr>
          <w:p w14:paraId="7FE9B0FE" w14:textId="77777777"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290</w:t>
            </w:r>
          </w:p>
        </w:tc>
        <w:tc>
          <w:tcPr>
            <w:tcW w:w="1080" w:type="dxa"/>
            <w:tcBorders>
              <w:top w:val="single" w:sz="4" w:space="0" w:color="auto"/>
            </w:tcBorders>
          </w:tcPr>
          <w:p w14:paraId="4337ED12" w14:textId="77777777"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290</w:t>
            </w:r>
          </w:p>
        </w:tc>
        <w:tc>
          <w:tcPr>
            <w:tcW w:w="990" w:type="dxa"/>
            <w:tcBorders>
              <w:top w:val="single" w:sz="4" w:space="0" w:color="auto"/>
            </w:tcBorders>
          </w:tcPr>
          <w:p w14:paraId="538E9B7D" w14:textId="77777777"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256</w:t>
            </w:r>
          </w:p>
        </w:tc>
        <w:tc>
          <w:tcPr>
            <w:tcW w:w="1080" w:type="dxa"/>
            <w:tcBorders>
              <w:top w:val="single" w:sz="4" w:space="0" w:color="auto"/>
            </w:tcBorders>
          </w:tcPr>
          <w:p w14:paraId="20EFDCFC" w14:textId="77777777"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297</w:t>
            </w:r>
          </w:p>
        </w:tc>
        <w:tc>
          <w:tcPr>
            <w:tcW w:w="900" w:type="dxa"/>
            <w:tcBorders>
              <w:top w:val="single" w:sz="4" w:space="0" w:color="auto"/>
            </w:tcBorders>
          </w:tcPr>
          <w:p w14:paraId="2CFD6978" w14:textId="77777777"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297</w:t>
            </w:r>
          </w:p>
        </w:tc>
      </w:tr>
      <w:tr w:rsidR="003344A9" w:rsidRPr="00D3269D" w14:paraId="57247065" w14:textId="77777777" w:rsidTr="00C90CB6">
        <w:trPr>
          <w:jc w:val="center"/>
        </w:trPr>
        <w:tc>
          <w:tcPr>
            <w:tcW w:w="1177" w:type="dxa"/>
          </w:tcPr>
          <w:p w14:paraId="46044D2F" w14:textId="577650A1" w:rsidR="003344A9" w:rsidRPr="001F1E56" w:rsidRDefault="001F1E56" w:rsidP="00DC323F">
            <w:pPr>
              <w:spacing w:before="60"/>
              <w:rPr>
                <w:rFonts w:asciiTheme="majorHAnsi" w:hAnsiTheme="majorHAnsi" w:cstheme="majorHAnsi"/>
                <w:lang w:val="vi-VN"/>
              </w:rPr>
            </w:pPr>
            <w:r>
              <w:rPr>
                <w:rFonts w:asciiTheme="majorHAnsi" w:hAnsiTheme="majorHAnsi" w:cstheme="majorHAnsi"/>
                <w:lang w:val="en-US"/>
              </w:rPr>
              <w:t>Giá</w:t>
            </w:r>
            <w:r>
              <w:rPr>
                <w:rFonts w:asciiTheme="majorHAnsi" w:hAnsiTheme="majorHAnsi" w:cstheme="majorHAnsi"/>
                <w:lang w:val="vi-VN"/>
              </w:rPr>
              <w:t xml:space="preserve"> trị t</w:t>
            </w:r>
            <w:r>
              <w:rPr>
                <w:rFonts w:asciiTheme="majorHAnsi" w:hAnsiTheme="majorHAnsi" w:cstheme="majorHAnsi"/>
                <w:lang w:val="en-US"/>
              </w:rPr>
              <w:t>rung</w:t>
            </w:r>
            <w:r>
              <w:rPr>
                <w:rFonts w:asciiTheme="majorHAnsi" w:hAnsiTheme="majorHAnsi" w:cstheme="majorHAnsi"/>
                <w:lang w:val="vi-VN"/>
              </w:rPr>
              <w:t xml:space="preserve"> bình</w:t>
            </w:r>
          </w:p>
        </w:tc>
        <w:tc>
          <w:tcPr>
            <w:tcW w:w="983" w:type="dxa"/>
          </w:tcPr>
          <w:p w14:paraId="2E11CC28" w14:textId="133FB587"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1</w:t>
            </w:r>
            <w:r w:rsidR="00302D5B">
              <w:rPr>
                <w:rFonts w:asciiTheme="majorHAnsi" w:hAnsiTheme="majorHAnsi" w:cstheme="majorHAnsi"/>
                <w:lang w:val="vi-VN"/>
              </w:rPr>
              <w:t>,</w:t>
            </w:r>
            <w:r w:rsidRPr="00D3269D">
              <w:rPr>
                <w:rFonts w:asciiTheme="majorHAnsi" w:hAnsiTheme="majorHAnsi" w:cstheme="majorHAnsi"/>
                <w:lang w:val="vi-VN"/>
              </w:rPr>
              <w:t>58</w:t>
            </w:r>
          </w:p>
        </w:tc>
        <w:tc>
          <w:tcPr>
            <w:tcW w:w="1080" w:type="dxa"/>
          </w:tcPr>
          <w:p w14:paraId="7BD1EA54" w14:textId="08B582A4"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51</w:t>
            </w:r>
          </w:p>
        </w:tc>
        <w:tc>
          <w:tcPr>
            <w:tcW w:w="1080" w:type="dxa"/>
          </w:tcPr>
          <w:p w14:paraId="3F178383" w14:textId="558CA8A9"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4</w:t>
            </w:r>
            <w:r w:rsidR="00302D5B">
              <w:rPr>
                <w:rFonts w:asciiTheme="majorHAnsi" w:hAnsiTheme="majorHAnsi" w:cstheme="majorHAnsi"/>
                <w:lang w:val="vi-VN"/>
              </w:rPr>
              <w:t>,</w:t>
            </w:r>
            <w:r w:rsidRPr="00D3269D">
              <w:rPr>
                <w:rFonts w:asciiTheme="majorHAnsi" w:hAnsiTheme="majorHAnsi" w:cstheme="majorHAnsi"/>
                <w:lang w:val="vi-VN"/>
              </w:rPr>
              <w:t>94</w:t>
            </w:r>
          </w:p>
        </w:tc>
        <w:tc>
          <w:tcPr>
            <w:tcW w:w="990" w:type="dxa"/>
          </w:tcPr>
          <w:p w14:paraId="041D211E" w14:textId="025B7F75"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51</w:t>
            </w:r>
            <w:r w:rsidR="00302D5B">
              <w:rPr>
                <w:rFonts w:asciiTheme="majorHAnsi" w:hAnsiTheme="majorHAnsi" w:cstheme="majorHAnsi"/>
                <w:lang w:val="vi-VN"/>
              </w:rPr>
              <w:t>,</w:t>
            </w:r>
            <w:r w:rsidRPr="00D3269D">
              <w:rPr>
                <w:rFonts w:asciiTheme="majorHAnsi" w:hAnsiTheme="majorHAnsi" w:cstheme="majorHAnsi"/>
                <w:lang w:val="vi-VN"/>
              </w:rPr>
              <w:t>85</w:t>
            </w:r>
          </w:p>
        </w:tc>
        <w:tc>
          <w:tcPr>
            <w:tcW w:w="1080" w:type="dxa"/>
          </w:tcPr>
          <w:p w14:paraId="6C8C3E48" w14:textId="1B1EE2A0"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15</w:t>
            </w:r>
            <w:r w:rsidR="00302D5B">
              <w:rPr>
                <w:rFonts w:asciiTheme="majorHAnsi" w:hAnsiTheme="majorHAnsi" w:cstheme="majorHAnsi"/>
                <w:lang w:val="vi-VN"/>
              </w:rPr>
              <w:t>,</w:t>
            </w:r>
            <w:r w:rsidRPr="00D3269D">
              <w:rPr>
                <w:rFonts w:asciiTheme="majorHAnsi" w:hAnsiTheme="majorHAnsi" w:cstheme="majorHAnsi"/>
                <w:lang w:val="vi-VN"/>
              </w:rPr>
              <w:t>64</w:t>
            </w:r>
          </w:p>
        </w:tc>
        <w:tc>
          <w:tcPr>
            <w:tcW w:w="990" w:type="dxa"/>
          </w:tcPr>
          <w:p w14:paraId="5B3E4DCF" w14:textId="21C7776B"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12</w:t>
            </w:r>
            <w:r w:rsidR="00302D5B">
              <w:rPr>
                <w:rFonts w:asciiTheme="majorHAnsi" w:hAnsiTheme="majorHAnsi" w:cstheme="majorHAnsi"/>
                <w:lang w:val="vi-VN"/>
              </w:rPr>
              <w:t>,</w:t>
            </w:r>
            <w:r w:rsidRPr="00D3269D">
              <w:rPr>
                <w:rFonts w:asciiTheme="majorHAnsi" w:hAnsiTheme="majorHAnsi" w:cstheme="majorHAnsi"/>
                <w:lang w:val="vi-VN"/>
              </w:rPr>
              <w:t>24</w:t>
            </w:r>
          </w:p>
        </w:tc>
        <w:tc>
          <w:tcPr>
            <w:tcW w:w="1080" w:type="dxa"/>
          </w:tcPr>
          <w:p w14:paraId="003BEF92" w14:textId="4B5582A5"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4</w:t>
            </w:r>
            <w:r w:rsidR="00302D5B">
              <w:rPr>
                <w:rFonts w:asciiTheme="majorHAnsi" w:hAnsiTheme="majorHAnsi" w:cstheme="majorHAnsi"/>
                <w:lang w:val="en-US"/>
              </w:rPr>
              <w:t>,</w:t>
            </w:r>
            <w:r w:rsidRPr="00D3269D">
              <w:rPr>
                <w:rFonts w:asciiTheme="majorHAnsi" w:hAnsiTheme="majorHAnsi" w:cstheme="majorHAnsi"/>
                <w:lang w:val="en-US"/>
              </w:rPr>
              <w:t>28</w:t>
            </w:r>
          </w:p>
        </w:tc>
        <w:tc>
          <w:tcPr>
            <w:tcW w:w="900" w:type="dxa"/>
          </w:tcPr>
          <w:p w14:paraId="166260B3" w14:textId="503089CB"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6</w:t>
            </w:r>
            <w:r w:rsidR="00302D5B">
              <w:rPr>
                <w:rFonts w:asciiTheme="majorHAnsi" w:hAnsiTheme="majorHAnsi" w:cstheme="majorHAnsi"/>
                <w:lang w:val="en-US"/>
              </w:rPr>
              <w:t>,</w:t>
            </w:r>
            <w:r w:rsidRPr="00D3269D">
              <w:rPr>
                <w:rFonts w:asciiTheme="majorHAnsi" w:hAnsiTheme="majorHAnsi" w:cstheme="majorHAnsi"/>
                <w:lang w:val="en-US"/>
              </w:rPr>
              <w:t>39</w:t>
            </w:r>
          </w:p>
        </w:tc>
      </w:tr>
      <w:tr w:rsidR="003344A9" w:rsidRPr="00D3269D" w14:paraId="0B8AE31B" w14:textId="77777777" w:rsidTr="00C90CB6">
        <w:trPr>
          <w:jc w:val="center"/>
        </w:trPr>
        <w:tc>
          <w:tcPr>
            <w:tcW w:w="1177" w:type="dxa"/>
          </w:tcPr>
          <w:p w14:paraId="2BF8B1D5" w14:textId="76A94E01" w:rsidR="003344A9" w:rsidRPr="001F1E56" w:rsidRDefault="001F1E56" w:rsidP="00DC323F">
            <w:pPr>
              <w:spacing w:before="60"/>
              <w:rPr>
                <w:rFonts w:asciiTheme="majorHAnsi" w:hAnsiTheme="majorHAnsi" w:cstheme="majorHAnsi"/>
                <w:lang w:val="vi-VN"/>
              </w:rPr>
            </w:pPr>
            <w:r>
              <w:rPr>
                <w:rFonts w:asciiTheme="majorHAnsi" w:hAnsiTheme="majorHAnsi" w:cstheme="majorHAnsi"/>
                <w:lang w:val="en-US"/>
              </w:rPr>
              <w:t>Độ</w:t>
            </w:r>
            <w:r>
              <w:rPr>
                <w:rFonts w:asciiTheme="majorHAnsi" w:hAnsiTheme="majorHAnsi" w:cstheme="majorHAnsi"/>
                <w:lang w:val="vi-VN"/>
              </w:rPr>
              <w:t xml:space="preserve"> lệch chuẩn</w:t>
            </w:r>
          </w:p>
        </w:tc>
        <w:tc>
          <w:tcPr>
            <w:tcW w:w="983" w:type="dxa"/>
          </w:tcPr>
          <w:p w14:paraId="7ECB0DF2" w14:textId="6A6AD65E"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48</w:t>
            </w:r>
          </w:p>
        </w:tc>
        <w:tc>
          <w:tcPr>
            <w:tcW w:w="1080" w:type="dxa"/>
          </w:tcPr>
          <w:p w14:paraId="4EE2E763" w14:textId="0CA30595"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11</w:t>
            </w:r>
          </w:p>
        </w:tc>
        <w:tc>
          <w:tcPr>
            <w:tcW w:w="1080" w:type="dxa"/>
          </w:tcPr>
          <w:p w14:paraId="71D39F26" w14:textId="2E9FA110"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1</w:t>
            </w:r>
            <w:r w:rsidR="00302D5B">
              <w:rPr>
                <w:rFonts w:asciiTheme="majorHAnsi" w:hAnsiTheme="majorHAnsi" w:cstheme="majorHAnsi"/>
                <w:lang w:val="en-US"/>
              </w:rPr>
              <w:t>,</w:t>
            </w:r>
            <w:r w:rsidRPr="00D3269D">
              <w:rPr>
                <w:rFonts w:asciiTheme="majorHAnsi" w:hAnsiTheme="majorHAnsi" w:cstheme="majorHAnsi"/>
                <w:lang w:val="en-US"/>
              </w:rPr>
              <w:t>18</w:t>
            </w:r>
          </w:p>
        </w:tc>
        <w:tc>
          <w:tcPr>
            <w:tcW w:w="990" w:type="dxa"/>
          </w:tcPr>
          <w:p w14:paraId="5E8D5B01" w14:textId="47252560"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9</w:t>
            </w:r>
            <w:r w:rsidR="00302D5B">
              <w:rPr>
                <w:rFonts w:asciiTheme="majorHAnsi" w:hAnsiTheme="majorHAnsi" w:cstheme="majorHAnsi"/>
                <w:lang w:val="vi-VN"/>
              </w:rPr>
              <w:t>,</w:t>
            </w:r>
            <w:r w:rsidRPr="00D3269D">
              <w:rPr>
                <w:rFonts w:asciiTheme="majorHAnsi" w:hAnsiTheme="majorHAnsi" w:cstheme="majorHAnsi"/>
                <w:lang w:val="vi-VN"/>
              </w:rPr>
              <w:t>27</w:t>
            </w:r>
          </w:p>
        </w:tc>
        <w:tc>
          <w:tcPr>
            <w:tcW w:w="1080" w:type="dxa"/>
          </w:tcPr>
          <w:p w14:paraId="6FE92C46" w14:textId="618FE13D"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9</w:t>
            </w:r>
            <w:r w:rsidR="00302D5B">
              <w:rPr>
                <w:rFonts w:asciiTheme="majorHAnsi" w:hAnsiTheme="majorHAnsi" w:cstheme="majorHAnsi"/>
                <w:lang w:val="vi-VN"/>
              </w:rPr>
              <w:t>,</w:t>
            </w:r>
            <w:r w:rsidRPr="00D3269D">
              <w:rPr>
                <w:rFonts w:asciiTheme="majorHAnsi" w:hAnsiTheme="majorHAnsi" w:cstheme="majorHAnsi"/>
                <w:lang w:val="vi-VN"/>
              </w:rPr>
              <w:t>11</w:t>
            </w:r>
          </w:p>
        </w:tc>
        <w:tc>
          <w:tcPr>
            <w:tcW w:w="990" w:type="dxa"/>
          </w:tcPr>
          <w:p w14:paraId="5F545D62" w14:textId="69EF285B"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2</w:t>
            </w:r>
            <w:r w:rsidR="00302D5B">
              <w:rPr>
                <w:rFonts w:asciiTheme="majorHAnsi" w:hAnsiTheme="majorHAnsi" w:cstheme="majorHAnsi"/>
                <w:lang w:val="vi-VN"/>
              </w:rPr>
              <w:t>,</w:t>
            </w:r>
            <w:r w:rsidRPr="00D3269D">
              <w:rPr>
                <w:rFonts w:asciiTheme="majorHAnsi" w:hAnsiTheme="majorHAnsi" w:cstheme="majorHAnsi"/>
                <w:lang w:val="vi-VN"/>
              </w:rPr>
              <w:t>14</w:t>
            </w:r>
          </w:p>
        </w:tc>
        <w:tc>
          <w:tcPr>
            <w:tcW w:w="1080" w:type="dxa"/>
          </w:tcPr>
          <w:p w14:paraId="428F5E6E" w14:textId="7C13C8B8"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2</w:t>
            </w:r>
            <w:r w:rsidR="00302D5B">
              <w:rPr>
                <w:rFonts w:asciiTheme="majorHAnsi" w:hAnsiTheme="majorHAnsi" w:cstheme="majorHAnsi"/>
                <w:lang w:val="en-US"/>
              </w:rPr>
              <w:t>,</w:t>
            </w:r>
            <w:r w:rsidRPr="00D3269D">
              <w:rPr>
                <w:rFonts w:asciiTheme="majorHAnsi" w:hAnsiTheme="majorHAnsi" w:cstheme="majorHAnsi"/>
                <w:lang w:val="en-US"/>
              </w:rPr>
              <w:t>67</w:t>
            </w:r>
          </w:p>
        </w:tc>
        <w:tc>
          <w:tcPr>
            <w:tcW w:w="900" w:type="dxa"/>
          </w:tcPr>
          <w:p w14:paraId="11267609" w14:textId="3936367E" w:rsidR="003344A9" w:rsidRPr="00D3269D" w:rsidRDefault="003344A9" w:rsidP="00DC323F">
            <w:pPr>
              <w:spacing w:before="60"/>
              <w:jc w:val="both"/>
              <w:rPr>
                <w:rFonts w:asciiTheme="majorHAnsi" w:hAnsiTheme="majorHAnsi" w:cstheme="majorHAnsi"/>
                <w:lang w:val="en-US"/>
              </w:rPr>
            </w:pPr>
            <w:r w:rsidRPr="00D3269D">
              <w:rPr>
                <w:rFonts w:asciiTheme="majorHAnsi" w:hAnsiTheme="majorHAnsi" w:cstheme="majorHAnsi"/>
                <w:lang w:val="en-US"/>
              </w:rPr>
              <w:t>0</w:t>
            </w:r>
            <w:r w:rsidR="00302D5B">
              <w:rPr>
                <w:rFonts w:asciiTheme="majorHAnsi" w:hAnsiTheme="majorHAnsi" w:cstheme="majorHAnsi"/>
                <w:lang w:val="en-US"/>
              </w:rPr>
              <w:t>,</w:t>
            </w:r>
            <w:r w:rsidRPr="00D3269D">
              <w:rPr>
                <w:rFonts w:asciiTheme="majorHAnsi" w:hAnsiTheme="majorHAnsi" w:cstheme="majorHAnsi"/>
                <w:lang w:val="en-US"/>
              </w:rPr>
              <w:t>73</w:t>
            </w:r>
          </w:p>
        </w:tc>
      </w:tr>
      <w:tr w:rsidR="003344A9" w:rsidRPr="00D3269D" w14:paraId="4163698D" w14:textId="77777777" w:rsidTr="00C90CB6">
        <w:trPr>
          <w:jc w:val="center"/>
        </w:trPr>
        <w:tc>
          <w:tcPr>
            <w:tcW w:w="1177" w:type="dxa"/>
          </w:tcPr>
          <w:p w14:paraId="6A37403F" w14:textId="4E708ABC" w:rsidR="003344A9" w:rsidRPr="001F1E56" w:rsidRDefault="001F1E56" w:rsidP="00DC323F">
            <w:pPr>
              <w:spacing w:before="60"/>
              <w:rPr>
                <w:rFonts w:asciiTheme="majorHAnsi" w:hAnsiTheme="majorHAnsi" w:cstheme="majorHAnsi"/>
                <w:lang w:val="vi-VN"/>
              </w:rPr>
            </w:pPr>
            <w:r>
              <w:rPr>
                <w:rFonts w:asciiTheme="majorHAnsi" w:hAnsiTheme="majorHAnsi" w:cstheme="majorHAnsi"/>
                <w:lang w:val="en-US"/>
              </w:rPr>
              <w:t>Giá</w:t>
            </w:r>
            <w:r>
              <w:rPr>
                <w:rFonts w:asciiTheme="majorHAnsi" w:hAnsiTheme="majorHAnsi" w:cstheme="majorHAnsi"/>
                <w:lang w:val="vi-VN"/>
              </w:rPr>
              <w:t xml:space="preserve"> trị nhỏ nhất</w:t>
            </w:r>
          </w:p>
        </w:tc>
        <w:tc>
          <w:tcPr>
            <w:tcW w:w="983" w:type="dxa"/>
          </w:tcPr>
          <w:p w14:paraId="64A8AEFD" w14:textId="643DEBD7"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64</w:t>
            </w:r>
          </w:p>
        </w:tc>
        <w:tc>
          <w:tcPr>
            <w:tcW w:w="1080" w:type="dxa"/>
          </w:tcPr>
          <w:p w14:paraId="364E14A6" w14:textId="6B4F844A"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en-US"/>
              </w:rPr>
              <w:t>,</w:t>
            </w:r>
            <w:r w:rsidRPr="00D3269D">
              <w:rPr>
                <w:rFonts w:asciiTheme="majorHAnsi" w:hAnsiTheme="majorHAnsi" w:cstheme="majorHAnsi"/>
                <w:lang w:val="en-US"/>
              </w:rPr>
              <w:t>31</w:t>
            </w:r>
          </w:p>
        </w:tc>
        <w:tc>
          <w:tcPr>
            <w:tcW w:w="1080" w:type="dxa"/>
          </w:tcPr>
          <w:p w14:paraId="6C7AFDFE" w14:textId="779EA26D"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2</w:t>
            </w:r>
            <w:r w:rsidR="00302D5B">
              <w:rPr>
                <w:rFonts w:asciiTheme="majorHAnsi" w:hAnsiTheme="majorHAnsi" w:cstheme="majorHAnsi"/>
                <w:lang w:val="vi-VN"/>
              </w:rPr>
              <w:t>,</w:t>
            </w:r>
            <w:r w:rsidRPr="00D3269D">
              <w:rPr>
                <w:rFonts w:asciiTheme="majorHAnsi" w:hAnsiTheme="majorHAnsi" w:cstheme="majorHAnsi"/>
                <w:lang w:val="vi-VN"/>
              </w:rPr>
              <w:t>58</w:t>
            </w:r>
          </w:p>
        </w:tc>
        <w:tc>
          <w:tcPr>
            <w:tcW w:w="990" w:type="dxa"/>
          </w:tcPr>
          <w:p w14:paraId="456EE35F" w14:textId="36004426"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39</w:t>
            </w:r>
            <w:r w:rsidR="00302D5B">
              <w:rPr>
                <w:rFonts w:asciiTheme="majorHAnsi" w:hAnsiTheme="majorHAnsi" w:cstheme="majorHAnsi"/>
                <w:lang w:val="vi-VN"/>
              </w:rPr>
              <w:t>,</w:t>
            </w:r>
            <w:r w:rsidRPr="00D3269D">
              <w:rPr>
                <w:rFonts w:asciiTheme="majorHAnsi" w:hAnsiTheme="majorHAnsi" w:cstheme="majorHAnsi"/>
                <w:lang w:val="vi-VN"/>
              </w:rPr>
              <w:t>67</w:t>
            </w:r>
          </w:p>
        </w:tc>
        <w:tc>
          <w:tcPr>
            <w:tcW w:w="1080" w:type="dxa"/>
          </w:tcPr>
          <w:p w14:paraId="4A159525" w14:textId="062F8BA5"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5</w:t>
            </w:r>
            <w:r w:rsidR="00302D5B">
              <w:rPr>
                <w:rFonts w:asciiTheme="majorHAnsi" w:hAnsiTheme="majorHAnsi" w:cstheme="majorHAnsi"/>
                <w:lang w:val="vi-VN"/>
              </w:rPr>
              <w:t>,</w:t>
            </w:r>
            <w:r w:rsidRPr="00D3269D">
              <w:rPr>
                <w:rFonts w:asciiTheme="majorHAnsi" w:hAnsiTheme="majorHAnsi" w:cstheme="majorHAnsi"/>
                <w:lang w:val="vi-VN"/>
              </w:rPr>
              <w:t>86</w:t>
            </w:r>
          </w:p>
        </w:tc>
        <w:tc>
          <w:tcPr>
            <w:tcW w:w="990" w:type="dxa"/>
          </w:tcPr>
          <w:p w14:paraId="390779EB" w14:textId="2D10967D"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8</w:t>
            </w:r>
            <w:r w:rsidR="00302D5B">
              <w:rPr>
                <w:rFonts w:asciiTheme="majorHAnsi" w:hAnsiTheme="majorHAnsi" w:cstheme="majorHAnsi"/>
                <w:lang w:val="vi-VN"/>
              </w:rPr>
              <w:t>,</w:t>
            </w:r>
            <w:r w:rsidRPr="00D3269D">
              <w:rPr>
                <w:rFonts w:asciiTheme="majorHAnsi" w:hAnsiTheme="majorHAnsi" w:cstheme="majorHAnsi"/>
                <w:lang w:val="vi-VN"/>
              </w:rPr>
              <w:t>34</w:t>
            </w:r>
          </w:p>
        </w:tc>
        <w:tc>
          <w:tcPr>
            <w:tcW w:w="1080" w:type="dxa"/>
          </w:tcPr>
          <w:p w14:paraId="6EDCFF2A" w14:textId="2DB10F9C"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63</w:t>
            </w:r>
          </w:p>
        </w:tc>
        <w:tc>
          <w:tcPr>
            <w:tcW w:w="900" w:type="dxa"/>
          </w:tcPr>
          <w:p w14:paraId="2F35E372" w14:textId="1D03BA0C" w:rsidR="003344A9" w:rsidRPr="00D3269D" w:rsidRDefault="003344A9" w:rsidP="00DC323F">
            <w:pPr>
              <w:spacing w:before="60"/>
              <w:jc w:val="both"/>
              <w:rPr>
                <w:rFonts w:asciiTheme="majorHAnsi" w:hAnsiTheme="majorHAnsi" w:cstheme="majorHAnsi"/>
                <w:lang w:val="en-US"/>
              </w:rPr>
            </w:pPr>
            <w:r w:rsidRPr="00D3269D">
              <w:rPr>
                <w:rFonts w:asciiTheme="majorHAnsi" w:hAnsiTheme="majorHAnsi" w:cstheme="majorHAnsi"/>
                <w:lang w:val="en-US"/>
              </w:rPr>
              <w:t>5</w:t>
            </w:r>
            <w:r w:rsidR="00302D5B">
              <w:rPr>
                <w:rFonts w:asciiTheme="majorHAnsi" w:hAnsiTheme="majorHAnsi" w:cstheme="majorHAnsi"/>
                <w:lang w:val="en-US"/>
              </w:rPr>
              <w:t>,</w:t>
            </w:r>
            <w:r w:rsidRPr="00D3269D">
              <w:rPr>
                <w:rFonts w:asciiTheme="majorHAnsi" w:hAnsiTheme="majorHAnsi" w:cstheme="majorHAnsi"/>
                <w:lang w:val="en-US"/>
              </w:rPr>
              <w:t>50</w:t>
            </w:r>
          </w:p>
        </w:tc>
      </w:tr>
      <w:tr w:rsidR="003344A9" w:rsidRPr="00D3269D" w14:paraId="72E33AC4" w14:textId="77777777" w:rsidTr="00C90CB6">
        <w:trPr>
          <w:trHeight w:val="323"/>
          <w:jc w:val="center"/>
        </w:trPr>
        <w:tc>
          <w:tcPr>
            <w:tcW w:w="1177" w:type="dxa"/>
            <w:tcBorders>
              <w:bottom w:val="single" w:sz="4" w:space="0" w:color="auto"/>
            </w:tcBorders>
          </w:tcPr>
          <w:p w14:paraId="1DD51799" w14:textId="299541E5" w:rsidR="003344A9" w:rsidRPr="001F1E56" w:rsidRDefault="001F1E56" w:rsidP="00DC323F">
            <w:pPr>
              <w:spacing w:before="60"/>
              <w:rPr>
                <w:rFonts w:asciiTheme="majorHAnsi" w:hAnsiTheme="majorHAnsi" w:cstheme="majorHAnsi"/>
                <w:lang w:val="vi-VN"/>
              </w:rPr>
            </w:pPr>
            <w:r>
              <w:rPr>
                <w:rFonts w:asciiTheme="majorHAnsi" w:hAnsiTheme="majorHAnsi" w:cstheme="majorHAnsi"/>
                <w:lang w:val="vi-VN"/>
              </w:rPr>
              <w:t>Giá trị lớn nhất</w:t>
            </w:r>
          </w:p>
        </w:tc>
        <w:tc>
          <w:tcPr>
            <w:tcW w:w="983" w:type="dxa"/>
            <w:tcBorders>
              <w:bottom w:val="single" w:sz="4" w:space="0" w:color="auto"/>
            </w:tcBorders>
          </w:tcPr>
          <w:p w14:paraId="12F7061A" w14:textId="64A10F61"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2</w:t>
            </w:r>
            <w:r w:rsidR="00302D5B">
              <w:rPr>
                <w:rFonts w:asciiTheme="majorHAnsi" w:hAnsiTheme="majorHAnsi" w:cstheme="majorHAnsi"/>
                <w:lang w:val="vi-VN"/>
              </w:rPr>
              <w:t>,</w:t>
            </w:r>
            <w:r w:rsidRPr="00D3269D">
              <w:rPr>
                <w:rFonts w:asciiTheme="majorHAnsi" w:hAnsiTheme="majorHAnsi" w:cstheme="majorHAnsi"/>
                <w:lang w:val="vi-VN"/>
              </w:rPr>
              <w:t>54</w:t>
            </w:r>
          </w:p>
        </w:tc>
        <w:tc>
          <w:tcPr>
            <w:tcW w:w="1080" w:type="dxa"/>
            <w:tcBorders>
              <w:bottom w:val="single" w:sz="4" w:space="0" w:color="auto"/>
            </w:tcBorders>
          </w:tcPr>
          <w:p w14:paraId="29B1CBCB" w14:textId="20FA4667"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74</w:t>
            </w:r>
          </w:p>
        </w:tc>
        <w:tc>
          <w:tcPr>
            <w:tcW w:w="1080" w:type="dxa"/>
            <w:tcBorders>
              <w:bottom w:val="single" w:sz="4" w:space="0" w:color="auto"/>
            </w:tcBorders>
          </w:tcPr>
          <w:p w14:paraId="24E3F501" w14:textId="0ACCB760"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7</w:t>
            </w:r>
            <w:r w:rsidR="00302D5B">
              <w:rPr>
                <w:rFonts w:asciiTheme="majorHAnsi" w:hAnsiTheme="majorHAnsi" w:cstheme="majorHAnsi"/>
                <w:lang w:val="vi-VN"/>
              </w:rPr>
              <w:t>,</w:t>
            </w:r>
            <w:r w:rsidRPr="00D3269D">
              <w:rPr>
                <w:rFonts w:asciiTheme="majorHAnsi" w:hAnsiTheme="majorHAnsi" w:cstheme="majorHAnsi"/>
                <w:lang w:val="vi-VN"/>
              </w:rPr>
              <w:t>47</w:t>
            </w:r>
          </w:p>
        </w:tc>
        <w:tc>
          <w:tcPr>
            <w:tcW w:w="990" w:type="dxa"/>
            <w:tcBorders>
              <w:bottom w:val="single" w:sz="4" w:space="0" w:color="auto"/>
            </w:tcBorders>
          </w:tcPr>
          <w:p w14:paraId="583ADB10" w14:textId="23591559"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63</w:t>
            </w:r>
            <w:r w:rsidR="00302D5B">
              <w:rPr>
                <w:rFonts w:asciiTheme="majorHAnsi" w:hAnsiTheme="majorHAnsi" w:cstheme="majorHAnsi"/>
                <w:lang w:val="vi-VN"/>
              </w:rPr>
              <w:t>,</w:t>
            </w:r>
            <w:r w:rsidRPr="00D3269D">
              <w:rPr>
                <w:rFonts w:asciiTheme="majorHAnsi" w:hAnsiTheme="majorHAnsi" w:cstheme="majorHAnsi"/>
                <w:lang w:val="vi-VN"/>
              </w:rPr>
              <w:t>83</w:t>
            </w:r>
          </w:p>
        </w:tc>
        <w:tc>
          <w:tcPr>
            <w:tcW w:w="1080" w:type="dxa"/>
            <w:tcBorders>
              <w:bottom w:val="single" w:sz="4" w:space="0" w:color="auto"/>
            </w:tcBorders>
          </w:tcPr>
          <w:p w14:paraId="64F2DB63" w14:textId="03BF7DFA"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33</w:t>
            </w:r>
            <w:r w:rsidR="00302D5B">
              <w:rPr>
                <w:rFonts w:asciiTheme="majorHAnsi" w:hAnsiTheme="majorHAnsi" w:cstheme="majorHAnsi"/>
                <w:lang w:val="vi-VN"/>
              </w:rPr>
              <w:t>,</w:t>
            </w:r>
            <w:r w:rsidRPr="00D3269D">
              <w:rPr>
                <w:rFonts w:asciiTheme="majorHAnsi" w:hAnsiTheme="majorHAnsi" w:cstheme="majorHAnsi"/>
                <w:lang w:val="vi-VN"/>
              </w:rPr>
              <w:t>84</w:t>
            </w:r>
          </w:p>
        </w:tc>
        <w:tc>
          <w:tcPr>
            <w:tcW w:w="990" w:type="dxa"/>
            <w:tcBorders>
              <w:bottom w:val="single" w:sz="4" w:space="0" w:color="auto"/>
            </w:tcBorders>
          </w:tcPr>
          <w:p w14:paraId="53D7585B" w14:textId="002473D3"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15</w:t>
            </w:r>
            <w:r w:rsidR="00302D5B">
              <w:rPr>
                <w:rFonts w:asciiTheme="majorHAnsi" w:hAnsiTheme="majorHAnsi" w:cstheme="majorHAnsi"/>
                <w:lang w:val="vi-VN"/>
              </w:rPr>
              <w:t>,</w:t>
            </w:r>
            <w:r w:rsidRPr="00D3269D">
              <w:rPr>
                <w:rFonts w:asciiTheme="majorHAnsi" w:hAnsiTheme="majorHAnsi" w:cstheme="majorHAnsi"/>
                <w:lang w:val="vi-VN"/>
              </w:rPr>
              <w:t>2</w:t>
            </w:r>
          </w:p>
        </w:tc>
        <w:tc>
          <w:tcPr>
            <w:tcW w:w="1080" w:type="dxa"/>
            <w:tcBorders>
              <w:bottom w:val="single" w:sz="4" w:space="0" w:color="auto"/>
            </w:tcBorders>
          </w:tcPr>
          <w:p w14:paraId="07656A69" w14:textId="5E36772E"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9</w:t>
            </w:r>
            <w:r w:rsidR="00302D5B">
              <w:rPr>
                <w:rFonts w:asciiTheme="majorHAnsi" w:hAnsiTheme="majorHAnsi" w:cstheme="majorHAnsi"/>
                <w:lang w:val="vi-VN"/>
              </w:rPr>
              <w:t>,</w:t>
            </w:r>
            <w:r w:rsidRPr="00D3269D">
              <w:rPr>
                <w:rFonts w:asciiTheme="majorHAnsi" w:hAnsiTheme="majorHAnsi" w:cstheme="majorHAnsi"/>
                <w:lang w:val="vi-VN"/>
              </w:rPr>
              <w:t>09</w:t>
            </w:r>
          </w:p>
        </w:tc>
        <w:tc>
          <w:tcPr>
            <w:tcW w:w="900" w:type="dxa"/>
            <w:tcBorders>
              <w:bottom w:val="single" w:sz="4" w:space="0" w:color="auto"/>
            </w:tcBorders>
          </w:tcPr>
          <w:p w14:paraId="58AFFF55" w14:textId="5B3BC09C"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7</w:t>
            </w:r>
            <w:r w:rsidR="00302D5B">
              <w:rPr>
                <w:rFonts w:asciiTheme="majorHAnsi" w:hAnsiTheme="majorHAnsi" w:cstheme="majorHAnsi"/>
                <w:lang w:val="vi-VN"/>
              </w:rPr>
              <w:t>,</w:t>
            </w:r>
            <w:r w:rsidRPr="00D3269D">
              <w:rPr>
                <w:rFonts w:asciiTheme="majorHAnsi" w:hAnsiTheme="majorHAnsi" w:cstheme="majorHAnsi"/>
                <w:lang w:val="vi-VN"/>
              </w:rPr>
              <w:t>46</w:t>
            </w:r>
          </w:p>
        </w:tc>
      </w:tr>
      <w:tr w:rsidR="003344A9" w:rsidRPr="00D3269D" w14:paraId="7D691B91" w14:textId="77777777" w:rsidTr="00C90CB6">
        <w:trPr>
          <w:jc w:val="center"/>
        </w:trPr>
        <w:tc>
          <w:tcPr>
            <w:tcW w:w="2160" w:type="dxa"/>
            <w:gridSpan w:val="2"/>
            <w:tcBorders>
              <w:top w:val="single" w:sz="4" w:space="0" w:color="auto"/>
              <w:bottom w:val="single" w:sz="4" w:space="0" w:color="auto"/>
            </w:tcBorders>
          </w:tcPr>
          <w:p w14:paraId="125257B5" w14:textId="5DA9F816" w:rsidR="003344A9" w:rsidRPr="00C90CB6" w:rsidRDefault="00C90CB6" w:rsidP="00DC323F">
            <w:pPr>
              <w:spacing w:before="60"/>
              <w:jc w:val="both"/>
              <w:rPr>
                <w:rFonts w:asciiTheme="majorHAnsi" w:hAnsiTheme="majorHAnsi" w:cstheme="majorHAnsi"/>
                <w:b/>
                <w:bCs/>
                <w:lang w:val="vi-VN"/>
              </w:rPr>
            </w:pPr>
            <w:r>
              <w:rPr>
                <w:rFonts w:asciiTheme="majorHAnsi" w:hAnsiTheme="majorHAnsi" w:cstheme="majorHAnsi"/>
                <w:b/>
                <w:bCs/>
                <w:lang w:val="en-US"/>
              </w:rPr>
              <w:t>Ma</w:t>
            </w:r>
            <w:r>
              <w:rPr>
                <w:rFonts w:asciiTheme="majorHAnsi" w:hAnsiTheme="majorHAnsi" w:cstheme="majorHAnsi"/>
                <w:b/>
                <w:bCs/>
                <w:lang w:val="vi-VN"/>
              </w:rPr>
              <w:t xml:space="preserve"> trận tương quan</w:t>
            </w:r>
          </w:p>
        </w:tc>
        <w:tc>
          <w:tcPr>
            <w:tcW w:w="1080" w:type="dxa"/>
            <w:tcBorders>
              <w:top w:val="single" w:sz="4" w:space="0" w:color="auto"/>
              <w:bottom w:val="single" w:sz="4" w:space="0" w:color="auto"/>
            </w:tcBorders>
          </w:tcPr>
          <w:p w14:paraId="7BFB80CF" w14:textId="77777777" w:rsidR="003344A9" w:rsidRPr="00D3269D" w:rsidRDefault="003344A9" w:rsidP="00DC323F">
            <w:pPr>
              <w:spacing w:before="60"/>
              <w:jc w:val="both"/>
              <w:rPr>
                <w:rFonts w:asciiTheme="majorHAnsi" w:hAnsiTheme="majorHAnsi" w:cstheme="majorHAnsi"/>
                <w:lang w:val="en-US"/>
              </w:rPr>
            </w:pPr>
          </w:p>
        </w:tc>
        <w:tc>
          <w:tcPr>
            <w:tcW w:w="1080" w:type="dxa"/>
            <w:tcBorders>
              <w:top w:val="single" w:sz="4" w:space="0" w:color="auto"/>
              <w:bottom w:val="single" w:sz="4" w:space="0" w:color="auto"/>
            </w:tcBorders>
          </w:tcPr>
          <w:p w14:paraId="7A897F08" w14:textId="77777777" w:rsidR="003344A9" w:rsidRPr="00D3269D" w:rsidRDefault="003344A9" w:rsidP="00DC323F">
            <w:pPr>
              <w:spacing w:before="60"/>
              <w:jc w:val="both"/>
              <w:rPr>
                <w:rFonts w:asciiTheme="majorHAnsi" w:hAnsiTheme="majorHAnsi" w:cstheme="majorHAnsi"/>
                <w:lang w:val="en-US"/>
              </w:rPr>
            </w:pPr>
          </w:p>
        </w:tc>
        <w:tc>
          <w:tcPr>
            <w:tcW w:w="990" w:type="dxa"/>
            <w:tcBorders>
              <w:top w:val="single" w:sz="4" w:space="0" w:color="auto"/>
              <w:bottom w:val="single" w:sz="4" w:space="0" w:color="auto"/>
            </w:tcBorders>
          </w:tcPr>
          <w:p w14:paraId="07DB3D3C" w14:textId="77777777" w:rsidR="003344A9" w:rsidRPr="00D3269D" w:rsidRDefault="003344A9" w:rsidP="00DC323F">
            <w:pPr>
              <w:spacing w:before="60"/>
              <w:jc w:val="both"/>
              <w:rPr>
                <w:rFonts w:asciiTheme="majorHAnsi" w:hAnsiTheme="majorHAnsi" w:cstheme="majorHAnsi"/>
                <w:lang w:val="en-US"/>
              </w:rPr>
            </w:pPr>
          </w:p>
        </w:tc>
        <w:tc>
          <w:tcPr>
            <w:tcW w:w="1080" w:type="dxa"/>
            <w:tcBorders>
              <w:top w:val="single" w:sz="4" w:space="0" w:color="auto"/>
              <w:bottom w:val="single" w:sz="4" w:space="0" w:color="auto"/>
            </w:tcBorders>
          </w:tcPr>
          <w:p w14:paraId="00C8ECDC" w14:textId="77777777" w:rsidR="003344A9" w:rsidRPr="00D3269D" w:rsidRDefault="003344A9" w:rsidP="00DC323F">
            <w:pPr>
              <w:spacing w:before="60"/>
              <w:jc w:val="both"/>
              <w:rPr>
                <w:rFonts w:asciiTheme="majorHAnsi" w:hAnsiTheme="majorHAnsi" w:cstheme="majorHAnsi"/>
                <w:lang w:val="en-US"/>
              </w:rPr>
            </w:pPr>
          </w:p>
        </w:tc>
        <w:tc>
          <w:tcPr>
            <w:tcW w:w="990" w:type="dxa"/>
            <w:tcBorders>
              <w:top w:val="single" w:sz="4" w:space="0" w:color="auto"/>
              <w:bottom w:val="single" w:sz="4" w:space="0" w:color="auto"/>
            </w:tcBorders>
          </w:tcPr>
          <w:p w14:paraId="37336108" w14:textId="77777777" w:rsidR="003344A9" w:rsidRPr="00D3269D" w:rsidRDefault="003344A9" w:rsidP="00DC323F">
            <w:pPr>
              <w:spacing w:before="60"/>
              <w:jc w:val="both"/>
              <w:rPr>
                <w:rFonts w:asciiTheme="majorHAnsi" w:hAnsiTheme="majorHAnsi" w:cstheme="majorHAnsi"/>
                <w:lang w:val="en-US"/>
              </w:rPr>
            </w:pPr>
          </w:p>
        </w:tc>
        <w:tc>
          <w:tcPr>
            <w:tcW w:w="1080" w:type="dxa"/>
            <w:tcBorders>
              <w:top w:val="single" w:sz="4" w:space="0" w:color="auto"/>
              <w:bottom w:val="single" w:sz="4" w:space="0" w:color="auto"/>
            </w:tcBorders>
          </w:tcPr>
          <w:p w14:paraId="491E30B8" w14:textId="77777777" w:rsidR="003344A9" w:rsidRPr="00D3269D" w:rsidRDefault="003344A9" w:rsidP="00DC323F">
            <w:pPr>
              <w:spacing w:before="60"/>
              <w:jc w:val="both"/>
              <w:rPr>
                <w:rFonts w:asciiTheme="majorHAnsi" w:hAnsiTheme="majorHAnsi" w:cstheme="majorHAnsi"/>
                <w:lang w:val="en-US"/>
              </w:rPr>
            </w:pPr>
          </w:p>
        </w:tc>
        <w:tc>
          <w:tcPr>
            <w:tcW w:w="900" w:type="dxa"/>
            <w:tcBorders>
              <w:top w:val="single" w:sz="4" w:space="0" w:color="auto"/>
              <w:bottom w:val="single" w:sz="4" w:space="0" w:color="auto"/>
            </w:tcBorders>
          </w:tcPr>
          <w:p w14:paraId="263FECB8" w14:textId="77777777" w:rsidR="003344A9" w:rsidRPr="00D3269D" w:rsidRDefault="003344A9" w:rsidP="00DC323F">
            <w:pPr>
              <w:spacing w:before="60"/>
              <w:jc w:val="both"/>
              <w:rPr>
                <w:rFonts w:asciiTheme="majorHAnsi" w:hAnsiTheme="majorHAnsi" w:cstheme="majorHAnsi"/>
                <w:lang w:val="en-US"/>
              </w:rPr>
            </w:pPr>
          </w:p>
        </w:tc>
      </w:tr>
      <w:tr w:rsidR="003344A9" w:rsidRPr="00D3269D" w14:paraId="73F4683E" w14:textId="77777777" w:rsidTr="00C90CB6">
        <w:trPr>
          <w:jc w:val="center"/>
        </w:trPr>
        <w:tc>
          <w:tcPr>
            <w:tcW w:w="1177" w:type="dxa"/>
            <w:tcBorders>
              <w:top w:val="single" w:sz="4" w:space="0" w:color="auto"/>
            </w:tcBorders>
          </w:tcPr>
          <w:p w14:paraId="445389E1" w14:textId="77777777"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Z</w:t>
            </w:r>
          </w:p>
        </w:tc>
        <w:tc>
          <w:tcPr>
            <w:tcW w:w="983" w:type="dxa"/>
            <w:tcBorders>
              <w:top w:val="single" w:sz="4" w:space="0" w:color="auto"/>
            </w:tcBorders>
          </w:tcPr>
          <w:p w14:paraId="53DD4E7C" w14:textId="5AD673FD" w:rsidR="003344A9" w:rsidRPr="00D3269D" w:rsidRDefault="003344A9" w:rsidP="00DC323F">
            <w:pPr>
              <w:spacing w:before="60"/>
              <w:jc w:val="both"/>
              <w:rPr>
                <w:rFonts w:asciiTheme="majorHAnsi" w:hAnsiTheme="majorHAnsi" w:cstheme="majorHAnsi"/>
                <w:lang w:val="en-US"/>
              </w:rPr>
            </w:pPr>
            <w:r w:rsidRPr="00D3269D">
              <w:rPr>
                <w:rFonts w:asciiTheme="majorHAnsi" w:hAnsiTheme="majorHAnsi" w:cstheme="majorHAnsi"/>
                <w:lang w:val="en-US"/>
              </w:rPr>
              <w:t>1</w:t>
            </w:r>
            <w:r w:rsidR="00302D5B">
              <w:rPr>
                <w:rFonts w:asciiTheme="majorHAnsi" w:hAnsiTheme="majorHAnsi" w:cstheme="majorHAnsi"/>
                <w:lang w:val="en-US"/>
              </w:rPr>
              <w:t>,</w:t>
            </w:r>
            <w:r w:rsidRPr="00D3269D">
              <w:rPr>
                <w:rFonts w:asciiTheme="majorHAnsi" w:hAnsiTheme="majorHAnsi" w:cstheme="majorHAnsi"/>
                <w:lang w:val="en-US"/>
              </w:rPr>
              <w:t>000</w:t>
            </w:r>
          </w:p>
        </w:tc>
        <w:tc>
          <w:tcPr>
            <w:tcW w:w="1080" w:type="dxa"/>
            <w:tcBorders>
              <w:top w:val="single" w:sz="4" w:space="0" w:color="auto"/>
            </w:tcBorders>
          </w:tcPr>
          <w:p w14:paraId="6C18CB67" w14:textId="77777777" w:rsidR="003344A9" w:rsidRPr="00D3269D" w:rsidRDefault="003344A9" w:rsidP="00DC323F">
            <w:pPr>
              <w:spacing w:before="60"/>
              <w:jc w:val="both"/>
              <w:rPr>
                <w:rFonts w:asciiTheme="majorHAnsi" w:hAnsiTheme="majorHAnsi" w:cstheme="majorHAnsi"/>
                <w:lang w:val="en-US"/>
              </w:rPr>
            </w:pPr>
          </w:p>
        </w:tc>
        <w:tc>
          <w:tcPr>
            <w:tcW w:w="1080" w:type="dxa"/>
            <w:tcBorders>
              <w:top w:val="single" w:sz="4" w:space="0" w:color="auto"/>
            </w:tcBorders>
          </w:tcPr>
          <w:p w14:paraId="0E401EE4" w14:textId="77777777" w:rsidR="003344A9" w:rsidRPr="00D3269D" w:rsidRDefault="003344A9" w:rsidP="00DC323F">
            <w:pPr>
              <w:spacing w:before="60"/>
              <w:jc w:val="both"/>
              <w:rPr>
                <w:rFonts w:asciiTheme="majorHAnsi" w:hAnsiTheme="majorHAnsi" w:cstheme="majorHAnsi"/>
                <w:lang w:val="en-US"/>
              </w:rPr>
            </w:pPr>
          </w:p>
        </w:tc>
        <w:tc>
          <w:tcPr>
            <w:tcW w:w="990" w:type="dxa"/>
            <w:tcBorders>
              <w:top w:val="single" w:sz="4" w:space="0" w:color="auto"/>
            </w:tcBorders>
          </w:tcPr>
          <w:p w14:paraId="4CEDB6AB" w14:textId="77777777" w:rsidR="003344A9" w:rsidRPr="00D3269D" w:rsidRDefault="003344A9" w:rsidP="00DC323F">
            <w:pPr>
              <w:spacing w:before="60"/>
              <w:jc w:val="both"/>
              <w:rPr>
                <w:rFonts w:asciiTheme="majorHAnsi" w:hAnsiTheme="majorHAnsi" w:cstheme="majorHAnsi"/>
                <w:lang w:val="en-US"/>
              </w:rPr>
            </w:pPr>
          </w:p>
        </w:tc>
        <w:tc>
          <w:tcPr>
            <w:tcW w:w="1080" w:type="dxa"/>
            <w:tcBorders>
              <w:top w:val="single" w:sz="4" w:space="0" w:color="auto"/>
            </w:tcBorders>
          </w:tcPr>
          <w:p w14:paraId="56858D8B" w14:textId="77777777" w:rsidR="003344A9" w:rsidRPr="00D3269D" w:rsidRDefault="003344A9" w:rsidP="00DC323F">
            <w:pPr>
              <w:spacing w:before="60"/>
              <w:jc w:val="both"/>
              <w:rPr>
                <w:rFonts w:asciiTheme="majorHAnsi" w:hAnsiTheme="majorHAnsi" w:cstheme="majorHAnsi"/>
                <w:lang w:val="en-US"/>
              </w:rPr>
            </w:pPr>
          </w:p>
        </w:tc>
        <w:tc>
          <w:tcPr>
            <w:tcW w:w="990" w:type="dxa"/>
            <w:tcBorders>
              <w:top w:val="single" w:sz="4" w:space="0" w:color="auto"/>
            </w:tcBorders>
          </w:tcPr>
          <w:p w14:paraId="5C93FC04" w14:textId="77777777" w:rsidR="003344A9" w:rsidRPr="00D3269D" w:rsidRDefault="003344A9" w:rsidP="00DC323F">
            <w:pPr>
              <w:spacing w:before="60"/>
              <w:jc w:val="both"/>
              <w:rPr>
                <w:rFonts w:asciiTheme="majorHAnsi" w:hAnsiTheme="majorHAnsi" w:cstheme="majorHAnsi"/>
                <w:lang w:val="en-US"/>
              </w:rPr>
            </w:pPr>
          </w:p>
        </w:tc>
        <w:tc>
          <w:tcPr>
            <w:tcW w:w="1080" w:type="dxa"/>
            <w:tcBorders>
              <w:top w:val="single" w:sz="4" w:space="0" w:color="auto"/>
            </w:tcBorders>
          </w:tcPr>
          <w:p w14:paraId="3437FC39" w14:textId="77777777" w:rsidR="003344A9" w:rsidRPr="00D3269D" w:rsidRDefault="003344A9" w:rsidP="00DC323F">
            <w:pPr>
              <w:spacing w:before="60"/>
              <w:jc w:val="both"/>
              <w:rPr>
                <w:rFonts w:asciiTheme="majorHAnsi" w:hAnsiTheme="majorHAnsi" w:cstheme="majorHAnsi"/>
                <w:lang w:val="en-US"/>
              </w:rPr>
            </w:pPr>
          </w:p>
        </w:tc>
        <w:tc>
          <w:tcPr>
            <w:tcW w:w="900" w:type="dxa"/>
            <w:tcBorders>
              <w:top w:val="single" w:sz="4" w:space="0" w:color="auto"/>
            </w:tcBorders>
          </w:tcPr>
          <w:p w14:paraId="62D3D738" w14:textId="77777777" w:rsidR="003344A9" w:rsidRPr="00D3269D" w:rsidRDefault="003344A9" w:rsidP="00DC323F">
            <w:pPr>
              <w:spacing w:before="60"/>
              <w:jc w:val="both"/>
              <w:rPr>
                <w:rFonts w:asciiTheme="majorHAnsi" w:hAnsiTheme="majorHAnsi" w:cstheme="majorHAnsi"/>
                <w:lang w:val="en-US"/>
              </w:rPr>
            </w:pPr>
          </w:p>
        </w:tc>
      </w:tr>
      <w:tr w:rsidR="003344A9" w:rsidRPr="00D3269D" w14:paraId="62FBB390" w14:textId="77777777" w:rsidTr="00C90CB6">
        <w:trPr>
          <w:jc w:val="center"/>
        </w:trPr>
        <w:tc>
          <w:tcPr>
            <w:tcW w:w="1177" w:type="dxa"/>
          </w:tcPr>
          <w:p w14:paraId="024FF7C1" w14:textId="77777777"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ICT</w:t>
            </w:r>
          </w:p>
        </w:tc>
        <w:tc>
          <w:tcPr>
            <w:tcW w:w="983" w:type="dxa"/>
          </w:tcPr>
          <w:p w14:paraId="50E069E0" w14:textId="782CD569" w:rsidR="003344A9" w:rsidRPr="00D3269D" w:rsidRDefault="003344A9" w:rsidP="00DC323F">
            <w:pPr>
              <w:spacing w:before="60"/>
              <w:jc w:val="both"/>
              <w:rPr>
                <w:rFonts w:asciiTheme="majorHAnsi" w:hAnsiTheme="majorHAnsi" w:cstheme="majorHAnsi"/>
                <w:vertAlign w:val="superscript"/>
                <w:lang w:val="vi-VN"/>
              </w:rPr>
            </w:pPr>
            <w:r w:rsidRPr="00D3269D">
              <w:rPr>
                <w:rFonts w:asciiTheme="majorHAnsi" w:hAnsiTheme="majorHAnsi" w:cstheme="majorHAnsi"/>
                <w:lang w:val="vi-VN"/>
              </w:rPr>
              <w:t>-</w:t>
            </w:r>
            <w:r w:rsidRPr="00D3269D">
              <w:rPr>
                <w:rFonts w:asciiTheme="majorHAnsi" w:hAnsiTheme="majorHAnsi" w:cstheme="majorHAnsi"/>
                <w:lang w:val="en-US"/>
              </w:rPr>
              <w:t>0</w:t>
            </w:r>
            <w:r w:rsidR="00302D5B">
              <w:rPr>
                <w:rFonts w:asciiTheme="majorHAnsi" w:hAnsiTheme="majorHAnsi" w:cstheme="majorHAnsi"/>
                <w:lang w:val="en-US"/>
              </w:rPr>
              <w:t>,</w:t>
            </w:r>
            <w:r w:rsidRPr="00D3269D">
              <w:rPr>
                <w:rFonts w:asciiTheme="majorHAnsi" w:hAnsiTheme="majorHAnsi" w:cstheme="majorHAnsi"/>
                <w:lang w:val="en-US"/>
              </w:rPr>
              <w:t>138</w:t>
            </w:r>
            <w:r w:rsidRPr="00D3269D">
              <w:rPr>
                <w:rFonts w:asciiTheme="majorHAnsi" w:hAnsiTheme="majorHAnsi" w:cstheme="majorHAnsi"/>
                <w:vertAlign w:val="superscript"/>
                <w:lang w:val="vi-VN"/>
              </w:rPr>
              <w:t>**</w:t>
            </w:r>
          </w:p>
        </w:tc>
        <w:tc>
          <w:tcPr>
            <w:tcW w:w="1080" w:type="dxa"/>
          </w:tcPr>
          <w:p w14:paraId="4C4A8A26" w14:textId="15F28796" w:rsidR="003344A9" w:rsidRPr="00D3269D" w:rsidRDefault="003344A9" w:rsidP="00DC323F">
            <w:pPr>
              <w:spacing w:before="60"/>
              <w:jc w:val="both"/>
              <w:rPr>
                <w:rFonts w:asciiTheme="majorHAnsi" w:hAnsiTheme="majorHAnsi" w:cstheme="majorHAnsi"/>
                <w:lang w:val="en-US"/>
              </w:rPr>
            </w:pPr>
            <w:r w:rsidRPr="00D3269D">
              <w:rPr>
                <w:rFonts w:asciiTheme="majorHAnsi" w:hAnsiTheme="majorHAnsi" w:cstheme="majorHAnsi"/>
                <w:lang w:val="en-US"/>
              </w:rPr>
              <w:t>1</w:t>
            </w:r>
            <w:r w:rsidR="00302D5B">
              <w:rPr>
                <w:rFonts w:asciiTheme="majorHAnsi" w:hAnsiTheme="majorHAnsi" w:cstheme="majorHAnsi"/>
                <w:lang w:val="en-US"/>
              </w:rPr>
              <w:t>,</w:t>
            </w:r>
            <w:r w:rsidRPr="00D3269D">
              <w:rPr>
                <w:rFonts w:asciiTheme="majorHAnsi" w:hAnsiTheme="majorHAnsi" w:cstheme="majorHAnsi"/>
                <w:lang w:val="en-US"/>
              </w:rPr>
              <w:t>000</w:t>
            </w:r>
          </w:p>
        </w:tc>
        <w:tc>
          <w:tcPr>
            <w:tcW w:w="1080" w:type="dxa"/>
          </w:tcPr>
          <w:p w14:paraId="62A2A121" w14:textId="77777777" w:rsidR="003344A9" w:rsidRPr="00D3269D" w:rsidRDefault="003344A9" w:rsidP="00DC323F">
            <w:pPr>
              <w:spacing w:before="60"/>
              <w:jc w:val="both"/>
              <w:rPr>
                <w:rFonts w:asciiTheme="majorHAnsi" w:hAnsiTheme="majorHAnsi" w:cstheme="majorHAnsi"/>
                <w:lang w:val="en-US"/>
              </w:rPr>
            </w:pPr>
          </w:p>
        </w:tc>
        <w:tc>
          <w:tcPr>
            <w:tcW w:w="990" w:type="dxa"/>
          </w:tcPr>
          <w:p w14:paraId="140C5A37" w14:textId="77777777" w:rsidR="003344A9" w:rsidRPr="00D3269D" w:rsidRDefault="003344A9" w:rsidP="00DC323F">
            <w:pPr>
              <w:spacing w:before="60"/>
              <w:jc w:val="both"/>
              <w:rPr>
                <w:rFonts w:asciiTheme="majorHAnsi" w:hAnsiTheme="majorHAnsi" w:cstheme="majorHAnsi"/>
                <w:lang w:val="en-US"/>
              </w:rPr>
            </w:pPr>
          </w:p>
        </w:tc>
        <w:tc>
          <w:tcPr>
            <w:tcW w:w="1080" w:type="dxa"/>
          </w:tcPr>
          <w:p w14:paraId="38EDA0AF" w14:textId="77777777" w:rsidR="003344A9" w:rsidRPr="00D3269D" w:rsidRDefault="003344A9" w:rsidP="00DC323F">
            <w:pPr>
              <w:spacing w:before="60"/>
              <w:jc w:val="both"/>
              <w:rPr>
                <w:rFonts w:asciiTheme="majorHAnsi" w:hAnsiTheme="majorHAnsi" w:cstheme="majorHAnsi"/>
                <w:lang w:val="en-US"/>
              </w:rPr>
            </w:pPr>
          </w:p>
        </w:tc>
        <w:tc>
          <w:tcPr>
            <w:tcW w:w="990" w:type="dxa"/>
          </w:tcPr>
          <w:p w14:paraId="0F3A35F7" w14:textId="77777777" w:rsidR="003344A9" w:rsidRPr="00D3269D" w:rsidRDefault="003344A9" w:rsidP="00DC323F">
            <w:pPr>
              <w:spacing w:before="60"/>
              <w:jc w:val="both"/>
              <w:rPr>
                <w:rFonts w:asciiTheme="majorHAnsi" w:hAnsiTheme="majorHAnsi" w:cstheme="majorHAnsi"/>
                <w:lang w:val="en-US"/>
              </w:rPr>
            </w:pPr>
          </w:p>
        </w:tc>
        <w:tc>
          <w:tcPr>
            <w:tcW w:w="1080" w:type="dxa"/>
          </w:tcPr>
          <w:p w14:paraId="4734F6C8" w14:textId="77777777" w:rsidR="003344A9" w:rsidRPr="00D3269D" w:rsidRDefault="003344A9" w:rsidP="00DC323F">
            <w:pPr>
              <w:spacing w:before="60"/>
              <w:jc w:val="both"/>
              <w:rPr>
                <w:rFonts w:asciiTheme="majorHAnsi" w:hAnsiTheme="majorHAnsi" w:cstheme="majorHAnsi"/>
                <w:lang w:val="en-US"/>
              </w:rPr>
            </w:pPr>
          </w:p>
        </w:tc>
        <w:tc>
          <w:tcPr>
            <w:tcW w:w="900" w:type="dxa"/>
          </w:tcPr>
          <w:p w14:paraId="55EC3D62" w14:textId="77777777" w:rsidR="003344A9" w:rsidRPr="00D3269D" w:rsidRDefault="003344A9" w:rsidP="00DC323F">
            <w:pPr>
              <w:spacing w:before="60"/>
              <w:jc w:val="both"/>
              <w:rPr>
                <w:rFonts w:asciiTheme="majorHAnsi" w:hAnsiTheme="majorHAnsi" w:cstheme="majorHAnsi"/>
                <w:lang w:val="en-US"/>
              </w:rPr>
            </w:pPr>
          </w:p>
        </w:tc>
      </w:tr>
      <w:tr w:rsidR="003344A9" w:rsidRPr="00D3269D" w14:paraId="77277B16" w14:textId="77777777" w:rsidTr="00C90CB6">
        <w:trPr>
          <w:jc w:val="center"/>
        </w:trPr>
        <w:tc>
          <w:tcPr>
            <w:tcW w:w="1177" w:type="dxa"/>
          </w:tcPr>
          <w:p w14:paraId="6D2488C8" w14:textId="77777777" w:rsidR="003344A9" w:rsidRPr="00D3269D" w:rsidRDefault="003344A9" w:rsidP="00DC323F">
            <w:pPr>
              <w:spacing w:before="60"/>
              <w:jc w:val="both"/>
              <w:rPr>
                <w:rFonts w:asciiTheme="majorHAnsi" w:hAnsiTheme="majorHAnsi" w:cstheme="majorHAnsi"/>
                <w:lang w:val="en-US"/>
              </w:rPr>
            </w:pPr>
            <w:r w:rsidRPr="00D3269D">
              <w:rPr>
                <w:rFonts w:asciiTheme="majorHAnsi" w:hAnsiTheme="majorHAnsi" w:cstheme="majorHAnsi"/>
                <w:lang w:val="en-US"/>
              </w:rPr>
              <w:t>SIZE</w:t>
            </w:r>
          </w:p>
        </w:tc>
        <w:tc>
          <w:tcPr>
            <w:tcW w:w="983" w:type="dxa"/>
          </w:tcPr>
          <w:p w14:paraId="2DA048F5" w14:textId="30F51CD2"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101</w:t>
            </w:r>
            <w:r w:rsidRPr="00D3269D">
              <w:rPr>
                <w:rFonts w:asciiTheme="majorHAnsi" w:hAnsiTheme="majorHAnsi" w:cstheme="majorHAnsi"/>
                <w:vertAlign w:val="superscript"/>
                <w:lang w:val="vi-VN"/>
              </w:rPr>
              <w:t>*</w:t>
            </w:r>
          </w:p>
        </w:tc>
        <w:tc>
          <w:tcPr>
            <w:tcW w:w="1080" w:type="dxa"/>
          </w:tcPr>
          <w:p w14:paraId="791BB2D8" w14:textId="55A22A40" w:rsidR="003344A9" w:rsidRPr="00D3269D" w:rsidRDefault="003344A9" w:rsidP="00DC323F">
            <w:pPr>
              <w:spacing w:before="60"/>
              <w:jc w:val="both"/>
              <w:rPr>
                <w:rFonts w:asciiTheme="majorHAnsi" w:hAnsiTheme="majorHAnsi" w:cstheme="majorHAnsi"/>
                <w:vertAlign w:val="superscript"/>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320</w:t>
            </w:r>
            <w:r w:rsidRPr="00D3269D">
              <w:rPr>
                <w:rFonts w:asciiTheme="majorHAnsi" w:hAnsiTheme="majorHAnsi" w:cstheme="majorHAnsi"/>
                <w:vertAlign w:val="superscript"/>
                <w:lang w:val="vi-VN"/>
              </w:rPr>
              <w:t>***</w:t>
            </w:r>
          </w:p>
        </w:tc>
        <w:tc>
          <w:tcPr>
            <w:tcW w:w="1080" w:type="dxa"/>
          </w:tcPr>
          <w:p w14:paraId="36A9127D" w14:textId="12A88727"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1</w:t>
            </w:r>
            <w:r w:rsidR="00302D5B">
              <w:rPr>
                <w:rFonts w:asciiTheme="majorHAnsi" w:hAnsiTheme="majorHAnsi" w:cstheme="majorHAnsi"/>
                <w:lang w:val="en-US"/>
              </w:rPr>
              <w:t>,</w:t>
            </w:r>
            <w:r w:rsidRPr="00D3269D">
              <w:rPr>
                <w:rFonts w:asciiTheme="majorHAnsi" w:hAnsiTheme="majorHAnsi" w:cstheme="majorHAnsi"/>
                <w:lang w:val="en-US"/>
              </w:rPr>
              <w:t>000</w:t>
            </w:r>
          </w:p>
        </w:tc>
        <w:tc>
          <w:tcPr>
            <w:tcW w:w="990" w:type="dxa"/>
          </w:tcPr>
          <w:p w14:paraId="0F370F5E" w14:textId="77777777" w:rsidR="003344A9" w:rsidRPr="00D3269D" w:rsidRDefault="003344A9" w:rsidP="00DC323F">
            <w:pPr>
              <w:spacing w:before="60"/>
              <w:jc w:val="both"/>
              <w:rPr>
                <w:rFonts w:asciiTheme="majorHAnsi" w:hAnsiTheme="majorHAnsi" w:cstheme="majorHAnsi"/>
                <w:lang w:val="en-US"/>
              </w:rPr>
            </w:pPr>
          </w:p>
        </w:tc>
        <w:tc>
          <w:tcPr>
            <w:tcW w:w="1080" w:type="dxa"/>
          </w:tcPr>
          <w:p w14:paraId="4E554757" w14:textId="77777777" w:rsidR="003344A9" w:rsidRPr="00D3269D" w:rsidRDefault="003344A9" w:rsidP="00DC323F">
            <w:pPr>
              <w:spacing w:before="60"/>
              <w:jc w:val="both"/>
              <w:rPr>
                <w:rFonts w:asciiTheme="majorHAnsi" w:hAnsiTheme="majorHAnsi" w:cstheme="majorHAnsi"/>
                <w:lang w:val="en-US"/>
              </w:rPr>
            </w:pPr>
          </w:p>
        </w:tc>
        <w:tc>
          <w:tcPr>
            <w:tcW w:w="990" w:type="dxa"/>
          </w:tcPr>
          <w:p w14:paraId="389EA54E" w14:textId="77777777" w:rsidR="003344A9" w:rsidRPr="00D3269D" w:rsidRDefault="003344A9" w:rsidP="00DC323F">
            <w:pPr>
              <w:spacing w:before="60"/>
              <w:jc w:val="both"/>
              <w:rPr>
                <w:rFonts w:asciiTheme="majorHAnsi" w:hAnsiTheme="majorHAnsi" w:cstheme="majorHAnsi"/>
                <w:lang w:val="en-US"/>
              </w:rPr>
            </w:pPr>
          </w:p>
        </w:tc>
        <w:tc>
          <w:tcPr>
            <w:tcW w:w="1080" w:type="dxa"/>
          </w:tcPr>
          <w:p w14:paraId="39386CDD" w14:textId="77777777" w:rsidR="003344A9" w:rsidRPr="00D3269D" w:rsidRDefault="003344A9" w:rsidP="00DC323F">
            <w:pPr>
              <w:spacing w:before="60"/>
              <w:jc w:val="both"/>
              <w:rPr>
                <w:rFonts w:asciiTheme="majorHAnsi" w:hAnsiTheme="majorHAnsi" w:cstheme="majorHAnsi"/>
                <w:lang w:val="en-US"/>
              </w:rPr>
            </w:pPr>
          </w:p>
        </w:tc>
        <w:tc>
          <w:tcPr>
            <w:tcW w:w="900" w:type="dxa"/>
          </w:tcPr>
          <w:p w14:paraId="44B537B9" w14:textId="77777777" w:rsidR="003344A9" w:rsidRPr="00D3269D" w:rsidRDefault="003344A9" w:rsidP="00DC323F">
            <w:pPr>
              <w:spacing w:before="60"/>
              <w:jc w:val="both"/>
              <w:rPr>
                <w:rFonts w:asciiTheme="majorHAnsi" w:hAnsiTheme="majorHAnsi" w:cstheme="majorHAnsi"/>
                <w:lang w:val="en-US"/>
              </w:rPr>
            </w:pPr>
          </w:p>
        </w:tc>
      </w:tr>
      <w:tr w:rsidR="003344A9" w:rsidRPr="00D3269D" w14:paraId="55D623FC" w14:textId="77777777" w:rsidTr="00C90CB6">
        <w:trPr>
          <w:jc w:val="center"/>
        </w:trPr>
        <w:tc>
          <w:tcPr>
            <w:tcW w:w="1177" w:type="dxa"/>
          </w:tcPr>
          <w:p w14:paraId="40A9F4C0" w14:textId="77777777"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CIR</w:t>
            </w:r>
          </w:p>
        </w:tc>
        <w:tc>
          <w:tcPr>
            <w:tcW w:w="983" w:type="dxa"/>
          </w:tcPr>
          <w:p w14:paraId="531F4A08" w14:textId="7B281921"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015</w:t>
            </w:r>
          </w:p>
        </w:tc>
        <w:tc>
          <w:tcPr>
            <w:tcW w:w="1080" w:type="dxa"/>
          </w:tcPr>
          <w:p w14:paraId="7267FE67" w14:textId="0DC37C92"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w:t>
            </w: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311</w:t>
            </w:r>
            <w:r w:rsidRPr="00D3269D">
              <w:rPr>
                <w:rFonts w:asciiTheme="majorHAnsi" w:hAnsiTheme="majorHAnsi" w:cstheme="majorHAnsi"/>
                <w:vertAlign w:val="superscript"/>
                <w:lang w:val="vi-VN"/>
              </w:rPr>
              <w:t>***</w:t>
            </w:r>
          </w:p>
        </w:tc>
        <w:tc>
          <w:tcPr>
            <w:tcW w:w="1080" w:type="dxa"/>
          </w:tcPr>
          <w:p w14:paraId="1A97AC08" w14:textId="3CB6A4E0" w:rsidR="003344A9" w:rsidRPr="00D3269D" w:rsidRDefault="003344A9" w:rsidP="00DC323F">
            <w:pPr>
              <w:spacing w:before="60"/>
              <w:jc w:val="both"/>
              <w:rPr>
                <w:rFonts w:asciiTheme="majorHAnsi" w:hAnsiTheme="majorHAnsi" w:cstheme="majorHAnsi"/>
                <w:vertAlign w:val="superscript"/>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457</w:t>
            </w:r>
            <w:r w:rsidRPr="00D3269D">
              <w:rPr>
                <w:rFonts w:asciiTheme="majorHAnsi" w:hAnsiTheme="majorHAnsi" w:cstheme="majorHAnsi"/>
                <w:vertAlign w:val="superscript"/>
                <w:lang w:val="vi-VN"/>
              </w:rPr>
              <w:t>***</w:t>
            </w:r>
          </w:p>
        </w:tc>
        <w:tc>
          <w:tcPr>
            <w:tcW w:w="990" w:type="dxa"/>
          </w:tcPr>
          <w:p w14:paraId="47AF7710" w14:textId="3F3A3C8A"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1</w:t>
            </w:r>
            <w:r w:rsidR="00302D5B">
              <w:rPr>
                <w:rFonts w:asciiTheme="majorHAnsi" w:hAnsiTheme="majorHAnsi" w:cstheme="majorHAnsi"/>
                <w:lang w:val="en-US"/>
              </w:rPr>
              <w:t>,</w:t>
            </w:r>
            <w:r w:rsidRPr="00D3269D">
              <w:rPr>
                <w:rFonts w:asciiTheme="majorHAnsi" w:hAnsiTheme="majorHAnsi" w:cstheme="majorHAnsi"/>
                <w:lang w:val="en-US"/>
              </w:rPr>
              <w:t>000</w:t>
            </w:r>
          </w:p>
        </w:tc>
        <w:tc>
          <w:tcPr>
            <w:tcW w:w="1080" w:type="dxa"/>
          </w:tcPr>
          <w:p w14:paraId="31777795" w14:textId="77777777" w:rsidR="003344A9" w:rsidRPr="00D3269D" w:rsidRDefault="003344A9" w:rsidP="00DC323F">
            <w:pPr>
              <w:spacing w:before="60"/>
              <w:jc w:val="both"/>
              <w:rPr>
                <w:rFonts w:asciiTheme="majorHAnsi" w:hAnsiTheme="majorHAnsi" w:cstheme="majorHAnsi"/>
                <w:lang w:val="en-US"/>
              </w:rPr>
            </w:pPr>
          </w:p>
        </w:tc>
        <w:tc>
          <w:tcPr>
            <w:tcW w:w="990" w:type="dxa"/>
          </w:tcPr>
          <w:p w14:paraId="4F334FA4" w14:textId="77777777" w:rsidR="003344A9" w:rsidRPr="00D3269D" w:rsidRDefault="003344A9" w:rsidP="00DC323F">
            <w:pPr>
              <w:spacing w:before="60"/>
              <w:jc w:val="both"/>
              <w:rPr>
                <w:rFonts w:asciiTheme="majorHAnsi" w:hAnsiTheme="majorHAnsi" w:cstheme="majorHAnsi"/>
                <w:lang w:val="en-US"/>
              </w:rPr>
            </w:pPr>
          </w:p>
        </w:tc>
        <w:tc>
          <w:tcPr>
            <w:tcW w:w="1080" w:type="dxa"/>
          </w:tcPr>
          <w:p w14:paraId="7E832F79" w14:textId="77777777" w:rsidR="003344A9" w:rsidRPr="00D3269D" w:rsidRDefault="003344A9" w:rsidP="00DC323F">
            <w:pPr>
              <w:spacing w:before="60"/>
              <w:jc w:val="both"/>
              <w:rPr>
                <w:rFonts w:asciiTheme="majorHAnsi" w:hAnsiTheme="majorHAnsi" w:cstheme="majorHAnsi"/>
                <w:lang w:val="en-US"/>
              </w:rPr>
            </w:pPr>
          </w:p>
        </w:tc>
        <w:tc>
          <w:tcPr>
            <w:tcW w:w="900" w:type="dxa"/>
          </w:tcPr>
          <w:p w14:paraId="09C1408D" w14:textId="77777777" w:rsidR="003344A9" w:rsidRPr="00D3269D" w:rsidRDefault="003344A9" w:rsidP="00DC323F">
            <w:pPr>
              <w:spacing w:before="60"/>
              <w:jc w:val="both"/>
              <w:rPr>
                <w:rFonts w:asciiTheme="majorHAnsi" w:hAnsiTheme="majorHAnsi" w:cstheme="majorHAnsi"/>
                <w:lang w:val="en-US"/>
              </w:rPr>
            </w:pPr>
          </w:p>
        </w:tc>
      </w:tr>
      <w:tr w:rsidR="003344A9" w:rsidRPr="00D3269D" w14:paraId="434A9E82" w14:textId="77777777" w:rsidTr="00C90CB6">
        <w:trPr>
          <w:jc w:val="center"/>
        </w:trPr>
        <w:tc>
          <w:tcPr>
            <w:tcW w:w="1177" w:type="dxa"/>
          </w:tcPr>
          <w:p w14:paraId="132F4E52" w14:textId="77777777"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DIV</w:t>
            </w:r>
          </w:p>
        </w:tc>
        <w:tc>
          <w:tcPr>
            <w:tcW w:w="983" w:type="dxa"/>
          </w:tcPr>
          <w:p w14:paraId="18DC561D" w14:textId="553EC259" w:rsidR="003344A9" w:rsidRPr="00D3269D" w:rsidRDefault="003344A9" w:rsidP="00DC323F">
            <w:pPr>
              <w:spacing w:before="60"/>
              <w:jc w:val="both"/>
              <w:rPr>
                <w:rFonts w:asciiTheme="majorHAnsi" w:hAnsiTheme="majorHAnsi" w:cstheme="majorHAnsi"/>
                <w:vertAlign w:val="superscript"/>
                <w:lang w:val="vi-VN"/>
              </w:rPr>
            </w:pP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231</w:t>
            </w:r>
            <w:r w:rsidRPr="00D3269D">
              <w:rPr>
                <w:rFonts w:asciiTheme="majorHAnsi" w:hAnsiTheme="majorHAnsi" w:cstheme="majorHAnsi"/>
                <w:vertAlign w:val="superscript"/>
                <w:lang w:val="vi-VN"/>
              </w:rPr>
              <w:t>***</w:t>
            </w:r>
          </w:p>
        </w:tc>
        <w:tc>
          <w:tcPr>
            <w:tcW w:w="1080" w:type="dxa"/>
          </w:tcPr>
          <w:p w14:paraId="57E06476" w14:textId="57D84FEC"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058</w:t>
            </w:r>
          </w:p>
        </w:tc>
        <w:tc>
          <w:tcPr>
            <w:tcW w:w="1080" w:type="dxa"/>
          </w:tcPr>
          <w:p w14:paraId="567AD91C" w14:textId="430A97C5" w:rsidR="003344A9" w:rsidRPr="00D3269D" w:rsidRDefault="003344A9" w:rsidP="00DC323F">
            <w:pPr>
              <w:spacing w:before="60"/>
              <w:jc w:val="both"/>
              <w:rPr>
                <w:rFonts w:asciiTheme="majorHAnsi" w:hAnsiTheme="majorHAnsi" w:cstheme="majorHAnsi"/>
                <w:vertAlign w:val="superscript"/>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360</w:t>
            </w:r>
            <w:r w:rsidRPr="00D3269D">
              <w:rPr>
                <w:rFonts w:asciiTheme="majorHAnsi" w:hAnsiTheme="majorHAnsi" w:cstheme="majorHAnsi"/>
                <w:vertAlign w:val="superscript"/>
                <w:lang w:val="vi-VN"/>
              </w:rPr>
              <w:t>***</w:t>
            </w:r>
          </w:p>
        </w:tc>
        <w:tc>
          <w:tcPr>
            <w:tcW w:w="990" w:type="dxa"/>
          </w:tcPr>
          <w:p w14:paraId="41E7E3A2" w14:textId="5F752FD3"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170</w:t>
            </w:r>
            <w:r w:rsidRPr="00D3269D">
              <w:rPr>
                <w:rFonts w:asciiTheme="majorHAnsi" w:hAnsiTheme="majorHAnsi" w:cstheme="majorHAnsi"/>
                <w:vertAlign w:val="superscript"/>
                <w:lang w:val="vi-VN"/>
              </w:rPr>
              <w:t>***</w:t>
            </w:r>
          </w:p>
        </w:tc>
        <w:tc>
          <w:tcPr>
            <w:tcW w:w="1080" w:type="dxa"/>
          </w:tcPr>
          <w:p w14:paraId="78149D3B" w14:textId="1F166C8E"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1</w:t>
            </w:r>
            <w:r w:rsidR="00302D5B">
              <w:rPr>
                <w:rFonts w:asciiTheme="majorHAnsi" w:hAnsiTheme="majorHAnsi" w:cstheme="majorHAnsi"/>
                <w:lang w:val="en-US"/>
              </w:rPr>
              <w:t>,</w:t>
            </w:r>
            <w:r w:rsidRPr="00D3269D">
              <w:rPr>
                <w:rFonts w:asciiTheme="majorHAnsi" w:hAnsiTheme="majorHAnsi" w:cstheme="majorHAnsi"/>
                <w:lang w:val="en-US"/>
              </w:rPr>
              <w:t>000</w:t>
            </w:r>
          </w:p>
        </w:tc>
        <w:tc>
          <w:tcPr>
            <w:tcW w:w="990" w:type="dxa"/>
          </w:tcPr>
          <w:p w14:paraId="49E0E967" w14:textId="77777777" w:rsidR="003344A9" w:rsidRPr="00D3269D" w:rsidRDefault="003344A9" w:rsidP="00DC323F">
            <w:pPr>
              <w:spacing w:before="60"/>
              <w:jc w:val="both"/>
              <w:rPr>
                <w:rFonts w:asciiTheme="majorHAnsi" w:hAnsiTheme="majorHAnsi" w:cstheme="majorHAnsi"/>
                <w:lang w:val="vi-VN"/>
              </w:rPr>
            </w:pPr>
          </w:p>
        </w:tc>
        <w:tc>
          <w:tcPr>
            <w:tcW w:w="1080" w:type="dxa"/>
          </w:tcPr>
          <w:p w14:paraId="5466EFC1" w14:textId="77777777" w:rsidR="003344A9" w:rsidRPr="00D3269D" w:rsidRDefault="003344A9" w:rsidP="00DC323F">
            <w:pPr>
              <w:spacing w:before="60"/>
              <w:jc w:val="both"/>
              <w:rPr>
                <w:rFonts w:asciiTheme="majorHAnsi" w:hAnsiTheme="majorHAnsi" w:cstheme="majorHAnsi"/>
                <w:lang w:val="en-US"/>
              </w:rPr>
            </w:pPr>
          </w:p>
        </w:tc>
        <w:tc>
          <w:tcPr>
            <w:tcW w:w="900" w:type="dxa"/>
          </w:tcPr>
          <w:p w14:paraId="0C08A911" w14:textId="77777777" w:rsidR="003344A9" w:rsidRPr="00D3269D" w:rsidRDefault="003344A9" w:rsidP="00DC323F">
            <w:pPr>
              <w:spacing w:before="60"/>
              <w:jc w:val="both"/>
              <w:rPr>
                <w:rFonts w:asciiTheme="majorHAnsi" w:hAnsiTheme="majorHAnsi" w:cstheme="majorHAnsi"/>
                <w:lang w:val="en-US"/>
              </w:rPr>
            </w:pPr>
          </w:p>
        </w:tc>
      </w:tr>
      <w:tr w:rsidR="003344A9" w:rsidRPr="00D3269D" w14:paraId="2EA718BD" w14:textId="77777777" w:rsidTr="00C90CB6">
        <w:trPr>
          <w:jc w:val="center"/>
        </w:trPr>
        <w:tc>
          <w:tcPr>
            <w:tcW w:w="1177" w:type="dxa"/>
          </w:tcPr>
          <w:p w14:paraId="20AFB6F2" w14:textId="77777777"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CAR</w:t>
            </w:r>
          </w:p>
        </w:tc>
        <w:tc>
          <w:tcPr>
            <w:tcW w:w="983" w:type="dxa"/>
          </w:tcPr>
          <w:p w14:paraId="100A33F7" w14:textId="0EF4307A"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116</w:t>
            </w:r>
            <w:r w:rsidRPr="00D3269D">
              <w:rPr>
                <w:rFonts w:asciiTheme="majorHAnsi" w:hAnsiTheme="majorHAnsi" w:cstheme="majorHAnsi"/>
                <w:vertAlign w:val="superscript"/>
                <w:lang w:val="vi-VN"/>
              </w:rPr>
              <w:t>*</w:t>
            </w:r>
          </w:p>
        </w:tc>
        <w:tc>
          <w:tcPr>
            <w:tcW w:w="1080" w:type="dxa"/>
          </w:tcPr>
          <w:p w14:paraId="72783A3B" w14:textId="6254343D"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w:t>
            </w: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118</w:t>
            </w:r>
          </w:p>
        </w:tc>
        <w:tc>
          <w:tcPr>
            <w:tcW w:w="1080" w:type="dxa"/>
          </w:tcPr>
          <w:p w14:paraId="095EEFC9" w14:textId="63106B36"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482</w:t>
            </w:r>
            <w:r w:rsidRPr="00D3269D">
              <w:rPr>
                <w:rFonts w:asciiTheme="majorHAnsi" w:hAnsiTheme="majorHAnsi" w:cstheme="majorHAnsi"/>
                <w:vertAlign w:val="superscript"/>
                <w:lang w:val="vi-VN"/>
              </w:rPr>
              <w:t>***</w:t>
            </w:r>
          </w:p>
        </w:tc>
        <w:tc>
          <w:tcPr>
            <w:tcW w:w="990" w:type="dxa"/>
          </w:tcPr>
          <w:p w14:paraId="1A21995C" w14:textId="4988487F"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150</w:t>
            </w:r>
            <w:r w:rsidRPr="00D3269D">
              <w:rPr>
                <w:rFonts w:asciiTheme="majorHAnsi" w:hAnsiTheme="majorHAnsi" w:cstheme="majorHAnsi"/>
                <w:vertAlign w:val="superscript"/>
                <w:lang w:val="vi-VN"/>
              </w:rPr>
              <w:t>**</w:t>
            </w:r>
          </w:p>
        </w:tc>
        <w:tc>
          <w:tcPr>
            <w:tcW w:w="1080" w:type="dxa"/>
          </w:tcPr>
          <w:p w14:paraId="16051FC3" w14:textId="3FFCC886"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177</w:t>
            </w:r>
            <w:r w:rsidRPr="00D3269D">
              <w:rPr>
                <w:rFonts w:asciiTheme="majorHAnsi" w:hAnsiTheme="majorHAnsi" w:cstheme="majorHAnsi"/>
                <w:vertAlign w:val="superscript"/>
                <w:lang w:val="vi-VN"/>
              </w:rPr>
              <w:t>***</w:t>
            </w:r>
          </w:p>
        </w:tc>
        <w:tc>
          <w:tcPr>
            <w:tcW w:w="990" w:type="dxa"/>
          </w:tcPr>
          <w:p w14:paraId="5DA03E4D" w14:textId="6B53431A"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1</w:t>
            </w:r>
            <w:r w:rsidR="00302D5B">
              <w:rPr>
                <w:rFonts w:asciiTheme="majorHAnsi" w:hAnsiTheme="majorHAnsi" w:cstheme="majorHAnsi"/>
                <w:lang w:val="en-US"/>
              </w:rPr>
              <w:t>,</w:t>
            </w:r>
            <w:r w:rsidRPr="00D3269D">
              <w:rPr>
                <w:rFonts w:asciiTheme="majorHAnsi" w:hAnsiTheme="majorHAnsi" w:cstheme="majorHAnsi"/>
                <w:lang w:val="en-US"/>
              </w:rPr>
              <w:t>000</w:t>
            </w:r>
          </w:p>
        </w:tc>
        <w:tc>
          <w:tcPr>
            <w:tcW w:w="1080" w:type="dxa"/>
          </w:tcPr>
          <w:p w14:paraId="6782EE3B" w14:textId="77777777" w:rsidR="003344A9" w:rsidRPr="00D3269D" w:rsidRDefault="003344A9" w:rsidP="00DC323F">
            <w:pPr>
              <w:spacing w:before="60"/>
              <w:jc w:val="both"/>
              <w:rPr>
                <w:rFonts w:asciiTheme="majorHAnsi" w:hAnsiTheme="majorHAnsi" w:cstheme="majorHAnsi"/>
                <w:lang w:val="en-US"/>
              </w:rPr>
            </w:pPr>
          </w:p>
        </w:tc>
        <w:tc>
          <w:tcPr>
            <w:tcW w:w="900" w:type="dxa"/>
          </w:tcPr>
          <w:p w14:paraId="24FA3A9B" w14:textId="77777777" w:rsidR="003344A9" w:rsidRPr="00D3269D" w:rsidRDefault="003344A9" w:rsidP="00DC323F">
            <w:pPr>
              <w:spacing w:before="60"/>
              <w:jc w:val="both"/>
              <w:rPr>
                <w:rFonts w:asciiTheme="majorHAnsi" w:hAnsiTheme="majorHAnsi" w:cstheme="majorHAnsi"/>
                <w:lang w:val="en-US"/>
              </w:rPr>
            </w:pPr>
          </w:p>
        </w:tc>
      </w:tr>
      <w:tr w:rsidR="003344A9" w:rsidRPr="00D3269D" w14:paraId="0CE3126F" w14:textId="77777777" w:rsidTr="00C90CB6">
        <w:trPr>
          <w:jc w:val="center"/>
        </w:trPr>
        <w:tc>
          <w:tcPr>
            <w:tcW w:w="1177" w:type="dxa"/>
          </w:tcPr>
          <w:p w14:paraId="5B6CC8A0" w14:textId="77777777" w:rsidR="003344A9" w:rsidRPr="00D3269D" w:rsidRDefault="003344A9" w:rsidP="00DC323F">
            <w:pPr>
              <w:spacing w:before="60"/>
              <w:jc w:val="both"/>
              <w:rPr>
                <w:rFonts w:asciiTheme="majorHAnsi" w:hAnsiTheme="majorHAnsi" w:cstheme="majorHAnsi"/>
                <w:lang w:val="en-US"/>
              </w:rPr>
            </w:pPr>
            <w:r w:rsidRPr="00D3269D">
              <w:rPr>
                <w:rFonts w:asciiTheme="majorHAnsi" w:hAnsiTheme="majorHAnsi" w:cstheme="majorHAnsi"/>
                <w:lang w:val="en-US"/>
              </w:rPr>
              <w:t>INF</w:t>
            </w:r>
          </w:p>
        </w:tc>
        <w:tc>
          <w:tcPr>
            <w:tcW w:w="983" w:type="dxa"/>
          </w:tcPr>
          <w:p w14:paraId="77598447" w14:textId="2B122A28"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w:t>
            </w: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143</w:t>
            </w:r>
            <w:r w:rsidRPr="00D3269D">
              <w:rPr>
                <w:rFonts w:asciiTheme="majorHAnsi" w:hAnsiTheme="majorHAnsi" w:cstheme="majorHAnsi"/>
                <w:vertAlign w:val="superscript"/>
                <w:lang w:val="vi-VN"/>
              </w:rPr>
              <w:t>**</w:t>
            </w:r>
          </w:p>
        </w:tc>
        <w:tc>
          <w:tcPr>
            <w:tcW w:w="1080" w:type="dxa"/>
          </w:tcPr>
          <w:p w14:paraId="4034960C" w14:textId="4982ABA3"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w:t>
            </w: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078</w:t>
            </w:r>
          </w:p>
        </w:tc>
        <w:tc>
          <w:tcPr>
            <w:tcW w:w="1080" w:type="dxa"/>
          </w:tcPr>
          <w:p w14:paraId="3C6D26BF" w14:textId="45797311"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w:t>
            </w: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266</w:t>
            </w:r>
            <w:r w:rsidRPr="00D3269D">
              <w:rPr>
                <w:rFonts w:asciiTheme="majorHAnsi" w:hAnsiTheme="majorHAnsi" w:cstheme="majorHAnsi"/>
                <w:vertAlign w:val="superscript"/>
                <w:lang w:val="vi-VN"/>
              </w:rPr>
              <w:t>***</w:t>
            </w:r>
          </w:p>
        </w:tc>
        <w:tc>
          <w:tcPr>
            <w:tcW w:w="990" w:type="dxa"/>
          </w:tcPr>
          <w:p w14:paraId="427445CD" w14:textId="3D8CF2CC"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004</w:t>
            </w:r>
          </w:p>
        </w:tc>
        <w:tc>
          <w:tcPr>
            <w:tcW w:w="1080" w:type="dxa"/>
          </w:tcPr>
          <w:p w14:paraId="01A6B034" w14:textId="59D737D9"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w:t>
            </w: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059</w:t>
            </w:r>
          </w:p>
        </w:tc>
        <w:tc>
          <w:tcPr>
            <w:tcW w:w="990" w:type="dxa"/>
          </w:tcPr>
          <w:p w14:paraId="72C26F7D" w14:textId="2F13972C"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199</w:t>
            </w:r>
            <w:r w:rsidRPr="00D3269D">
              <w:rPr>
                <w:rFonts w:asciiTheme="majorHAnsi" w:hAnsiTheme="majorHAnsi" w:cstheme="majorHAnsi"/>
                <w:vertAlign w:val="superscript"/>
                <w:lang w:val="vi-VN"/>
              </w:rPr>
              <w:t>***</w:t>
            </w:r>
          </w:p>
        </w:tc>
        <w:tc>
          <w:tcPr>
            <w:tcW w:w="1080" w:type="dxa"/>
          </w:tcPr>
          <w:p w14:paraId="283BFBE2" w14:textId="684C9E6D" w:rsidR="003344A9" w:rsidRPr="00D3269D" w:rsidRDefault="003344A9" w:rsidP="00DC323F">
            <w:pPr>
              <w:spacing w:before="60"/>
              <w:jc w:val="both"/>
              <w:rPr>
                <w:rFonts w:asciiTheme="majorHAnsi" w:hAnsiTheme="majorHAnsi" w:cstheme="majorHAnsi"/>
                <w:lang w:val="en-US"/>
              </w:rPr>
            </w:pPr>
            <w:r w:rsidRPr="00D3269D">
              <w:rPr>
                <w:rFonts w:asciiTheme="majorHAnsi" w:hAnsiTheme="majorHAnsi" w:cstheme="majorHAnsi"/>
                <w:lang w:val="en-US"/>
              </w:rPr>
              <w:t>1</w:t>
            </w:r>
            <w:r w:rsidR="00302D5B">
              <w:rPr>
                <w:rFonts w:asciiTheme="majorHAnsi" w:hAnsiTheme="majorHAnsi" w:cstheme="majorHAnsi"/>
                <w:lang w:val="en-US"/>
              </w:rPr>
              <w:t>,</w:t>
            </w:r>
            <w:r w:rsidRPr="00D3269D">
              <w:rPr>
                <w:rFonts w:asciiTheme="majorHAnsi" w:hAnsiTheme="majorHAnsi" w:cstheme="majorHAnsi"/>
                <w:lang w:val="en-US"/>
              </w:rPr>
              <w:t>000</w:t>
            </w:r>
          </w:p>
        </w:tc>
        <w:tc>
          <w:tcPr>
            <w:tcW w:w="900" w:type="dxa"/>
          </w:tcPr>
          <w:p w14:paraId="203ADAA8" w14:textId="77777777" w:rsidR="003344A9" w:rsidRPr="00D3269D" w:rsidRDefault="003344A9" w:rsidP="00DC323F">
            <w:pPr>
              <w:spacing w:before="60"/>
              <w:jc w:val="both"/>
              <w:rPr>
                <w:rFonts w:asciiTheme="majorHAnsi" w:hAnsiTheme="majorHAnsi" w:cstheme="majorHAnsi"/>
                <w:lang w:val="en-US"/>
              </w:rPr>
            </w:pPr>
          </w:p>
        </w:tc>
      </w:tr>
      <w:tr w:rsidR="003344A9" w:rsidRPr="00D3269D" w14:paraId="7453EF26" w14:textId="77777777" w:rsidTr="00C90CB6">
        <w:trPr>
          <w:jc w:val="center"/>
        </w:trPr>
        <w:tc>
          <w:tcPr>
            <w:tcW w:w="1177" w:type="dxa"/>
            <w:tcBorders>
              <w:bottom w:val="single" w:sz="4" w:space="0" w:color="auto"/>
            </w:tcBorders>
          </w:tcPr>
          <w:p w14:paraId="7E46F706" w14:textId="77777777" w:rsidR="003344A9" w:rsidRPr="00D3269D" w:rsidRDefault="003344A9" w:rsidP="00DC323F">
            <w:pPr>
              <w:spacing w:before="60"/>
              <w:jc w:val="both"/>
              <w:rPr>
                <w:rFonts w:asciiTheme="majorHAnsi" w:hAnsiTheme="majorHAnsi" w:cstheme="majorHAnsi"/>
                <w:lang w:val="en-US"/>
              </w:rPr>
            </w:pPr>
            <w:r w:rsidRPr="00D3269D">
              <w:rPr>
                <w:rFonts w:asciiTheme="majorHAnsi" w:hAnsiTheme="majorHAnsi" w:cstheme="majorHAnsi"/>
                <w:lang w:val="en-US"/>
              </w:rPr>
              <w:t>GDP</w:t>
            </w:r>
          </w:p>
        </w:tc>
        <w:tc>
          <w:tcPr>
            <w:tcW w:w="983" w:type="dxa"/>
            <w:tcBorders>
              <w:bottom w:val="single" w:sz="4" w:space="0" w:color="auto"/>
            </w:tcBorders>
          </w:tcPr>
          <w:p w14:paraId="037FA50F" w14:textId="2667B756"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111</w:t>
            </w:r>
            <w:r w:rsidRPr="00D3269D">
              <w:rPr>
                <w:rFonts w:asciiTheme="majorHAnsi" w:hAnsiTheme="majorHAnsi" w:cstheme="majorHAnsi"/>
                <w:vertAlign w:val="superscript"/>
                <w:lang w:val="vi-VN"/>
              </w:rPr>
              <w:t>*</w:t>
            </w:r>
          </w:p>
        </w:tc>
        <w:tc>
          <w:tcPr>
            <w:tcW w:w="1080" w:type="dxa"/>
            <w:tcBorders>
              <w:bottom w:val="single" w:sz="4" w:space="0" w:color="auto"/>
            </w:tcBorders>
          </w:tcPr>
          <w:p w14:paraId="52EBD7F0" w14:textId="050A7172"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275</w:t>
            </w:r>
            <w:r w:rsidRPr="00D3269D">
              <w:rPr>
                <w:rFonts w:asciiTheme="majorHAnsi" w:hAnsiTheme="majorHAnsi" w:cstheme="majorHAnsi"/>
                <w:vertAlign w:val="superscript"/>
                <w:lang w:val="vi-VN"/>
              </w:rPr>
              <w:t>***</w:t>
            </w:r>
          </w:p>
        </w:tc>
        <w:tc>
          <w:tcPr>
            <w:tcW w:w="1080" w:type="dxa"/>
            <w:tcBorders>
              <w:bottom w:val="single" w:sz="4" w:space="0" w:color="auto"/>
            </w:tcBorders>
          </w:tcPr>
          <w:p w14:paraId="3CC7E176" w14:textId="5C55C638"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045</w:t>
            </w:r>
          </w:p>
        </w:tc>
        <w:tc>
          <w:tcPr>
            <w:tcW w:w="990" w:type="dxa"/>
            <w:tcBorders>
              <w:bottom w:val="single" w:sz="4" w:space="0" w:color="auto"/>
            </w:tcBorders>
          </w:tcPr>
          <w:p w14:paraId="5B214C73" w14:textId="294BAD4B"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043</w:t>
            </w:r>
          </w:p>
        </w:tc>
        <w:tc>
          <w:tcPr>
            <w:tcW w:w="1080" w:type="dxa"/>
            <w:tcBorders>
              <w:bottom w:val="single" w:sz="4" w:space="0" w:color="auto"/>
            </w:tcBorders>
          </w:tcPr>
          <w:p w14:paraId="277EB6CA" w14:textId="63C314A5"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0008</w:t>
            </w:r>
          </w:p>
        </w:tc>
        <w:tc>
          <w:tcPr>
            <w:tcW w:w="990" w:type="dxa"/>
            <w:tcBorders>
              <w:bottom w:val="single" w:sz="4" w:space="0" w:color="auto"/>
            </w:tcBorders>
          </w:tcPr>
          <w:p w14:paraId="43372326" w14:textId="561B3114"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036</w:t>
            </w:r>
          </w:p>
        </w:tc>
        <w:tc>
          <w:tcPr>
            <w:tcW w:w="1080" w:type="dxa"/>
            <w:tcBorders>
              <w:bottom w:val="single" w:sz="4" w:space="0" w:color="auto"/>
            </w:tcBorders>
          </w:tcPr>
          <w:p w14:paraId="354C3263" w14:textId="0AF3446D" w:rsidR="003344A9" w:rsidRPr="00D3269D" w:rsidRDefault="003344A9" w:rsidP="00DC323F">
            <w:pPr>
              <w:spacing w:before="60"/>
              <w:jc w:val="both"/>
              <w:rPr>
                <w:rFonts w:asciiTheme="majorHAnsi" w:hAnsiTheme="majorHAnsi" w:cstheme="majorHAnsi"/>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387</w:t>
            </w:r>
            <w:r w:rsidRPr="00D3269D">
              <w:rPr>
                <w:rFonts w:asciiTheme="majorHAnsi" w:hAnsiTheme="majorHAnsi" w:cstheme="majorHAnsi"/>
                <w:vertAlign w:val="superscript"/>
                <w:lang w:val="vi-VN"/>
              </w:rPr>
              <w:t>***</w:t>
            </w:r>
          </w:p>
        </w:tc>
        <w:tc>
          <w:tcPr>
            <w:tcW w:w="900" w:type="dxa"/>
            <w:tcBorders>
              <w:bottom w:val="single" w:sz="4" w:space="0" w:color="auto"/>
            </w:tcBorders>
          </w:tcPr>
          <w:p w14:paraId="4735C1AD" w14:textId="354B2F5D" w:rsidR="003344A9" w:rsidRPr="00D3269D" w:rsidRDefault="003344A9" w:rsidP="00DC323F">
            <w:pPr>
              <w:spacing w:before="60"/>
              <w:jc w:val="both"/>
              <w:rPr>
                <w:rFonts w:asciiTheme="majorHAnsi" w:hAnsiTheme="majorHAnsi" w:cstheme="majorHAnsi"/>
                <w:lang w:val="en-US"/>
              </w:rPr>
            </w:pPr>
            <w:r w:rsidRPr="00D3269D">
              <w:rPr>
                <w:rFonts w:asciiTheme="majorHAnsi" w:hAnsiTheme="majorHAnsi" w:cstheme="majorHAnsi"/>
                <w:lang w:val="en-US"/>
              </w:rPr>
              <w:t>1</w:t>
            </w:r>
            <w:r w:rsidR="00302D5B">
              <w:rPr>
                <w:rFonts w:asciiTheme="majorHAnsi" w:hAnsiTheme="majorHAnsi" w:cstheme="majorHAnsi"/>
                <w:lang w:val="en-US"/>
              </w:rPr>
              <w:t>,</w:t>
            </w:r>
            <w:r w:rsidRPr="00D3269D">
              <w:rPr>
                <w:rFonts w:asciiTheme="majorHAnsi" w:hAnsiTheme="majorHAnsi" w:cstheme="majorHAnsi"/>
                <w:lang w:val="en-US"/>
              </w:rPr>
              <w:t>000</w:t>
            </w:r>
          </w:p>
        </w:tc>
      </w:tr>
    </w:tbl>
    <w:p w14:paraId="530A74D2" w14:textId="30B6A809" w:rsidR="003344A9" w:rsidRPr="00D3269D" w:rsidRDefault="00C90CB6" w:rsidP="00C90CB6">
      <w:pPr>
        <w:pStyle w:val="ListParagraph"/>
        <w:spacing w:before="120" w:after="120" w:line="240" w:lineRule="auto"/>
        <w:ind w:left="1080"/>
        <w:jc w:val="right"/>
        <w:rPr>
          <w:rFonts w:asciiTheme="majorHAnsi" w:hAnsiTheme="majorHAnsi" w:cstheme="majorHAnsi"/>
          <w:i/>
          <w:iCs/>
          <w:lang w:val="vi-VN"/>
        </w:rPr>
      </w:pPr>
      <w:r>
        <w:rPr>
          <w:rFonts w:asciiTheme="majorHAnsi" w:hAnsiTheme="majorHAnsi" w:cstheme="majorHAnsi"/>
          <w:i/>
          <w:iCs/>
          <w:lang w:val="vi-VN"/>
        </w:rPr>
        <w:t>Nguồn: Tác giả tổng hợp từ STATA</w:t>
      </w:r>
    </w:p>
    <w:p w14:paraId="53308B68" w14:textId="522014FA" w:rsidR="003344A9" w:rsidRPr="00C90CB6" w:rsidRDefault="006B2109" w:rsidP="00D3269D">
      <w:pPr>
        <w:spacing w:before="120" w:after="120" w:line="240" w:lineRule="auto"/>
        <w:ind w:left="360"/>
        <w:jc w:val="both"/>
        <w:rPr>
          <w:rFonts w:asciiTheme="majorHAnsi" w:hAnsiTheme="majorHAnsi" w:cstheme="majorHAnsi"/>
          <w:i/>
          <w:iCs/>
          <w:lang w:val="vi-VN"/>
        </w:rPr>
      </w:pPr>
      <w:r>
        <w:rPr>
          <w:rFonts w:asciiTheme="majorHAnsi" w:hAnsiTheme="majorHAnsi" w:cstheme="majorHAnsi"/>
          <w:i/>
          <w:iCs/>
          <w:lang w:val="vi-VN"/>
        </w:rPr>
        <w:t>Chú thích</w:t>
      </w:r>
      <w:r w:rsidR="003344A9" w:rsidRPr="00D3269D">
        <w:rPr>
          <w:rFonts w:asciiTheme="majorHAnsi" w:hAnsiTheme="majorHAnsi" w:cstheme="majorHAnsi"/>
          <w:i/>
          <w:iCs/>
          <w:lang w:val="vi-VN"/>
        </w:rPr>
        <w:t xml:space="preserve">: </w:t>
      </w:r>
      <w:r w:rsidR="003344A9" w:rsidRPr="00C90CB6">
        <w:rPr>
          <w:rFonts w:asciiTheme="majorHAnsi" w:hAnsiTheme="majorHAnsi" w:cstheme="majorHAnsi"/>
          <w:i/>
          <w:iCs/>
          <w:lang w:val="vi-VN"/>
        </w:rPr>
        <w:t xml:space="preserve">***, **, </w:t>
      </w:r>
      <w:r w:rsidR="00C90CB6" w:rsidRPr="00C90CB6">
        <w:rPr>
          <w:rFonts w:asciiTheme="majorHAnsi" w:hAnsiTheme="majorHAnsi" w:cstheme="majorHAnsi"/>
          <w:i/>
          <w:iCs/>
          <w:lang w:val="vi-VN"/>
        </w:rPr>
        <w:t>và</w:t>
      </w:r>
      <w:r w:rsidR="003344A9" w:rsidRPr="00C90CB6">
        <w:rPr>
          <w:rFonts w:asciiTheme="majorHAnsi" w:hAnsiTheme="majorHAnsi" w:cstheme="majorHAnsi"/>
          <w:i/>
          <w:iCs/>
          <w:lang w:val="vi-VN"/>
        </w:rPr>
        <w:t xml:space="preserve"> * </w:t>
      </w:r>
      <w:r w:rsidR="00C90CB6">
        <w:rPr>
          <w:rFonts w:asciiTheme="majorHAnsi" w:hAnsiTheme="majorHAnsi" w:cstheme="majorHAnsi"/>
          <w:i/>
          <w:iCs/>
          <w:lang w:val="vi-VN"/>
        </w:rPr>
        <w:t>lần lượt thể hiên</w:t>
      </w:r>
      <w:r w:rsidR="00C90CB6" w:rsidRPr="00C90CB6">
        <w:rPr>
          <w:rFonts w:asciiTheme="majorHAnsi" w:hAnsiTheme="majorHAnsi" w:cstheme="majorHAnsi"/>
          <w:i/>
          <w:iCs/>
          <w:lang w:val="vi-VN"/>
        </w:rPr>
        <w:t xml:space="preserve"> ý nghĩa thống kê ở mức 1%, 5% và 10%</w:t>
      </w:r>
    </w:p>
    <w:p w14:paraId="7FF2C79D" w14:textId="7673A982" w:rsidR="00AF0374" w:rsidRPr="00302D5B" w:rsidRDefault="00042828" w:rsidP="00AF0374">
      <w:pPr>
        <w:spacing w:before="120" w:after="120" w:line="240" w:lineRule="auto"/>
        <w:ind w:firstLine="360"/>
        <w:jc w:val="both"/>
        <w:rPr>
          <w:rFonts w:asciiTheme="majorHAnsi" w:hAnsiTheme="majorHAnsi" w:cstheme="majorHAnsi"/>
          <w:lang w:val="vi-VN"/>
        </w:rPr>
      </w:pPr>
      <w:r>
        <w:rPr>
          <w:rFonts w:asciiTheme="majorHAnsi" w:hAnsiTheme="majorHAnsi" w:cstheme="majorHAnsi"/>
          <w:lang w:val="vi-VN"/>
        </w:rPr>
        <w:t xml:space="preserve">Bảng 3 dưới đây thể hiện kết quả ước lượng theo phương pháp GMM hệ thống hai bước. </w:t>
      </w:r>
      <w:r w:rsidR="00AF0374" w:rsidRPr="00AF0374">
        <w:rPr>
          <w:rFonts w:asciiTheme="majorHAnsi" w:hAnsiTheme="majorHAnsi" w:cstheme="majorHAnsi"/>
          <w:lang w:val="vi-VN"/>
        </w:rPr>
        <w:t xml:space="preserve">Nhìn chung, kết quả hồi quy cho thấy trong tất cả các mô hình, các </w:t>
      </w:r>
      <w:r w:rsidR="00AF0374">
        <w:rPr>
          <w:rFonts w:asciiTheme="majorHAnsi" w:hAnsiTheme="majorHAnsi" w:cstheme="majorHAnsi"/>
          <w:lang w:val="vi-VN"/>
        </w:rPr>
        <w:t xml:space="preserve">biến độ </w:t>
      </w:r>
      <w:r w:rsidR="00AF0374" w:rsidRPr="00AF0374">
        <w:rPr>
          <w:rFonts w:asciiTheme="majorHAnsi" w:hAnsiTheme="majorHAnsi" w:cstheme="majorHAnsi"/>
          <w:lang w:val="vi-VN"/>
        </w:rPr>
        <w:t xml:space="preserve">trễ một năm của chỉ số Z đều </w:t>
      </w:r>
      <w:r w:rsidR="00AF0374">
        <w:rPr>
          <w:rFonts w:asciiTheme="majorHAnsi" w:hAnsiTheme="majorHAnsi" w:cstheme="majorHAnsi"/>
          <w:lang w:val="vi-VN"/>
        </w:rPr>
        <w:t xml:space="preserve">có tương quan </w:t>
      </w:r>
      <w:r w:rsidR="00AF0374" w:rsidRPr="00AF0374">
        <w:rPr>
          <w:rFonts w:asciiTheme="majorHAnsi" w:hAnsiTheme="majorHAnsi" w:cstheme="majorHAnsi"/>
          <w:lang w:val="vi-VN"/>
        </w:rPr>
        <w:t xml:space="preserve">dương </w:t>
      </w:r>
      <w:r w:rsidR="00AF0374">
        <w:rPr>
          <w:rFonts w:asciiTheme="majorHAnsi" w:hAnsiTheme="majorHAnsi" w:cstheme="majorHAnsi"/>
          <w:lang w:val="vi-VN"/>
        </w:rPr>
        <w:t>và có ý nghĩa thống kê ở mức 1%</w:t>
      </w:r>
      <w:r w:rsidR="00AF0374" w:rsidRPr="00AF0374">
        <w:rPr>
          <w:rFonts w:asciiTheme="majorHAnsi" w:hAnsiTheme="majorHAnsi" w:cstheme="majorHAnsi"/>
          <w:lang w:val="vi-VN"/>
        </w:rPr>
        <w:t xml:space="preserve">; số công cụ bằng số nhóm; giá trị </w:t>
      </w:r>
      <w:r w:rsidR="00AF0374">
        <w:rPr>
          <w:rFonts w:asciiTheme="majorHAnsi" w:hAnsiTheme="majorHAnsi" w:cstheme="majorHAnsi"/>
          <w:lang w:val="vi-VN"/>
        </w:rPr>
        <w:t>p-value</w:t>
      </w:r>
      <w:r w:rsidR="00AF0374" w:rsidRPr="00AF0374">
        <w:rPr>
          <w:rFonts w:asciiTheme="majorHAnsi" w:hAnsiTheme="majorHAnsi" w:cstheme="majorHAnsi"/>
          <w:lang w:val="vi-VN"/>
        </w:rPr>
        <w:t xml:space="preserve"> của các kiểm </w:t>
      </w:r>
      <w:r w:rsidR="00AF0374" w:rsidRPr="00AF0374">
        <w:rPr>
          <w:rFonts w:asciiTheme="majorHAnsi" w:hAnsiTheme="majorHAnsi" w:cstheme="majorHAnsi"/>
          <w:lang w:val="vi-VN"/>
        </w:rPr>
        <w:lastRenderedPageBreak/>
        <w:t xml:space="preserve">định Sargan và Hansen cao hơn 0,05; giá trị </w:t>
      </w:r>
      <w:r w:rsidR="00AF0374">
        <w:rPr>
          <w:rFonts w:asciiTheme="majorHAnsi" w:hAnsiTheme="majorHAnsi" w:cstheme="majorHAnsi"/>
          <w:lang w:val="vi-VN"/>
        </w:rPr>
        <w:t>p-value</w:t>
      </w:r>
      <w:r w:rsidR="00AF0374" w:rsidRPr="00AF0374">
        <w:rPr>
          <w:rFonts w:asciiTheme="majorHAnsi" w:hAnsiTheme="majorHAnsi" w:cstheme="majorHAnsi"/>
          <w:lang w:val="vi-VN"/>
        </w:rPr>
        <w:t xml:space="preserve"> của các kiểm định AR(1) nhỏ hơn 0,05 trong khi các kiểm định AR(2) lớn hơn 0,05. Những số </w:t>
      </w:r>
      <w:r w:rsidR="00DD2DDD">
        <w:rPr>
          <w:rFonts w:asciiTheme="majorHAnsi" w:hAnsiTheme="majorHAnsi" w:cstheme="majorHAnsi"/>
          <w:lang w:val="vi-VN"/>
        </w:rPr>
        <w:t xml:space="preserve">liệu </w:t>
      </w:r>
      <w:r w:rsidR="00AF0374" w:rsidRPr="00AF0374">
        <w:rPr>
          <w:rFonts w:asciiTheme="majorHAnsi" w:hAnsiTheme="majorHAnsi" w:cstheme="majorHAnsi"/>
          <w:lang w:val="vi-VN"/>
        </w:rPr>
        <w:t xml:space="preserve">này </w:t>
      </w:r>
      <w:r w:rsidR="00AF0374">
        <w:rPr>
          <w:rFonts w:asciiTheme="majorHAnsi" w:hAnsiTheme="majorHAnsi" w:cstheme="majorHAnsi"/>
          <w:lang w:val="vi-VN"/>
        </w:rPr>
        <w:t xml:space="preserve">chứng tỏ kết quả </w:t>
      </w:r>
      <w:r w:rsidR="00AF0374" w:rsidRPr="00AF0374">
        <w:rPr>
          <w:rFonts w:asciiTheme="majorHAnsi" w:hAnsiTheme="majorHAnsi" w:cstheme="majorHAnsi"/>
          <w:lang w:val="vi-VN"/>
        </w:rPr>
        <w:t xml:space="preserve">ước </w:t>
      </w:r>
      <w:r w:rsidR="00AF0374">
        <w:rPr>
          <w:rFonts w:asciiTheme="majorHAnsi" w:hAnsiTheme="majorHAnsi" w:cstheme="majorHAnsi"/>
          <w:lang w:val="vi-VN"/>
        </w:rPr>
        <w:t>lượng</w:t>
      </w:r>
      <w:r w:rsidR="00AF0374" w:rsidRPr="00AF0374">
        <w:rPr>
          <w:rFonts w:asciiTheme="majorHAnsi" w:hAnsiTheme="majorHAnsi" w:cstheme="majorHAnsi"/>
          <w:lang w:val="vi-VN"/>
        </w:rPr>
        <w:t xml:space="preserve"> phù hợp và không có vấn đề tự tương quan. Hơn nữa, </w:t>
      </w:r>
      <w:r w:rsidR="00AF0374">
        <w:rPr>
          <w:rFonts w:asciiTheme="majorHAnsi" w:hAnsiTheme="majorHAnsi" w:cstheme="majorHAnsi"/>
          <w:lang w:val="vi-VN"/>
        </w:rPr>
        <w:t xml:space="preserve">chiều </w:t>
      </w:r>
      <w:r w:rsidR="00AF0374" w:rsidRPr="00AF0374">
        <w:rPr>
          <w:rFonts w:asciiTheme="majorHAnsi" w:hAnsiTheme="majorHAnsi" w:cstheme="majorHAnsi"/>
          <w:lang w:val="vi-VN"/>
        </w:rPr>
        <w:t xml:space="preserve">hướng tác động của các biến giải thích </w:t>
      </w:r>
      <w:r w:rsidR="00AF0374">
        <w:rPr>
          <w:rFonts w:asciiTheme="majorHAnsi" w:hAnsiTheme="majorHAnsi" w:cstheme="majorHAnsi"/>
          <w:lang w:val="vi-VN"/>
        </w:rPr>
        <w:t xml:space="preserve">đều </w:t>
      </w:r>
      <w:r w:rsidR="00AF0374" w:rsidRPr="00AF0374">
        <w:rPr>
          <w:rFonts w:asciiTheme="majorHAnsi" w:hAnsiTheme="majorHAnsi" w:cstheme="majorHAnsi"/>
          <w:lang w:val="vi-VN"/>
        </w:rPr>
        <w:t>nhất quán trong tất cả các mô hình, chứng tỏ rằng kết quả ước lượng là phù hợp và đáng tin cậy.</w:t>
      </w:r>
    </w:p>
    <w:p w14:paraId="0860FCEF" w14:textId="53ABEB4E" w:rsidR="003344A9" w:rsidRPr="00C90CB6" w:rsidRDefault="00C90CB6" w:rsidP="00D3269D">
      <w:pPr>
        <w:spacing w:before="120" w:after="120" w:line="240" w:lineRule="auto"/>
        <w:jc w:val="both"/>
        <w:rPr>
          <w:rFonts w:asciiTheme="majorHAnsi" w:hAnsiTheme="majorHAnsi" w:cstheme="majorHAnsi"/>
          <w:b/>
          <w:bCs/>
          <w:lang w:val="vi-VN"/>
        </w:rPr>
      </w:pPr>
      <w:r w:rsidRPr="007C6CD4">
        <w:rPr>
          <w:rFonts w:asciiTheme="majorHAnsi" w:hAnsiTheme="majorHAnsi" w:cstheme="majorHAnsi"/>
          <w:b/>
          <w:bCs/>
          <w:lang w:val="vi-VN"/>
        </w:rPr>
        <w:t>Bảng</w:t>
      </w:r>
      <w:r w:rsidR="003344A9" w:rsidRPr="007C6CD4">
        <w:rPr>
          <w:rFonts w:asciiTheme="majorHAnsi" w:hAnsiTheme="majorHAnsi" w:cstheme="majorHAnsi"/>
          <w:b/>
          <w:bCs/>
          <w:lang w:val="vi-VN"/>
        </w:rPr>
        <w:t xml:space="preserve"> 3. </w:t>
      </w:r>
      <w:r w:rsidRPr="007C6CD4">
        <w:rPr>
          <w:rFonts w:asciiTheme="majorHAnsi" w:hAnsiTheme="majorHAnsi" w:cstheme="majorHAnsi"/>
          <w:b/>
          <w:bCs/>
          <w:lang w:val="vi-VN"/>
        </w:rPr>
        <w:t>Kết</w:t>
      </w:r>
      <w:r>
        <w:rPr>
          <w:rFonts w:asciiTheme="majorHAnsi" w:hAnsiTheme="majorHAnsi" w:cstheme="majorHAnsi"/>
          <w:b/>
          <w:bCs/>
          <w:lang w:val="vi-VN"/>
        </w:rPr>
        <w:t xml:space="preserve"> quả ước lượng</w:t>
      </w:r>
      <w:r w:rsidR="007C6CD4">
        <w:rPr>
          <w:rFonts w:asciiTheme="majorHAnsi" w:hAnsiTheme="majorHAnsi" w:cstheme="majorHAnsi"/>
          <w:b/>
          <w:bCs/>
          <w:lang w:val="vi-VN"/>
        </w:rPr>
        <w:t xml:space="preserve"> theo phương pháp GMM hệ thống hai bước</w:t>
      </w:r>
    </w:p>
    <w:tbl>
      <w:tblPr>
        <w:tblStyle w:val="TableGrid"/>
        <w:tblW w:w="554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0"/>
        <w:gridCol w:w="1240"/>
        <w:gridCol w:w="1140"/>
        <w:gridCol w:w="1132"/>
      </w:tblGrid>
      <w:tr w:rsidR="00C90CB6" w:rsidRPr="00D3269D" w14:paraId="147AF95B" w14:textId="77777777" w:rsidTr="00C90CB6">
        <w:trPr>
          <w:jc w:val="center"/>
        </w:trPr>
        <w:tc>
          <w:tcPr>
            <w:tcW w:w="2030" w:type="dxa"/>
            <w:tcBorders>
              <w:top w:val="single" w:sz="4" w:space="0" w:color="auto"/>
              <w:bottom w:val="single" w:sz="4" w:space="0" w:color="auto"/>
            </w:tcBorders>
          </w:tcPr>
          <w:p w14:paraId="4041E359" w14:textId="2CD7A883" w:rsidR="00C90CB6" w:rsidRPr="00D3269D" w:rsidRDefault="00C90CB6" w:rsidP="00DC323F">
            <w:pPr>
              <w:spacing w:before="60"/>
              <w:jc w:val="both"/>
              <w:rPr>
                <w:rFonts w:asciiTheme="majorHAnsi" w:hAnsiTheme="majorHAnsi" w:cstheme="majorHAnsi"/>
                <w:b/>
                <w:bCs/>
                <w:lang w:val="vi-VN"/>
              </w:rPr>
            </w:pPr>
            <w:r>
              <w:rPr>
                <w:rFonts w:asciiTheme="majorHAnsi" w:hAnsiTheme="majorHAnsi" w:cstheme="majorHAnsi"/>
                <w:b/>
                <w:bCs/>
                <w:lang w:val="vi-VN"/>
              </w:rPr>
              <w:t>Mô hình</w:t>
            </w:r>
          </w:p>
        </w:tc>
        <w:tc>
          <w:tcPr>
            <w:tcW w:w="1240" w:type="dxa"/>
            <w:tcBorders>
              <w:top w:val="single" w:sz="4" w:space="0" w:color="auto"/>
              <w:bottom w:val="single" w:sz="4" w:space="0" w:color="auto"/>
            </w:tcBorders>
          </w:tcPr>
          <w:p w14:paraId="3ABBB5A2" w14:textId="77777777" w:rsidR="00C90CB6" w:rsidRPr="00D3269D" w:rsidRDefault="00C90CB6" w:rsidP="00DC323F">
            <w:pPr>
              <w:spacing w:before="60"/>
              <w:jc w:val="both"/>
              <w:rPr>
                <w:rFonts w:asciiTheme="majorHAnsi" w:hAnsiTheme="majorHAnsi" w:cstheme="majorHAnsi"/>
                <w:b/>
                <w:bCs/>
                <w:lang w:val="vi-VN"/>
              </w:rPr>
            </w:pPr>
            <w:r w:rsidRPr="00D3269D">
              <w:rPr>
                <w:rFonts w:asciiTheme="majorHAnsi" w:hAnsiTheme="majorHAnsi" w:cstheme="majorHAnsi"/>
                <w:b/>
                <w:bCs/>
                <w:lang w:val="vi-VN"/>
              </w:rPr>
              <w:t>(1)</w:t>
            </w:r>
          </w:p>
        </w:tc>
        <w:tc>
          <w:tcPr>
            <w:tcW w:w="1140" w:type="dxa"/>
            <w:tcBorders>
              <w:top w:val="single" w:sz="4" w:space="0" w:color="auto"/>
              <w:bottom w:val="single" w:sz="4" w:space="0" w:color="auto"/>
            </w:tcBorders>
          </w:tcPr>
          <w:p w14:paraId="4E33DBB2" w14:textId="77777777" w:rsidR="00C90CB6" w:rsidRPr="00D3269D" w:rsidRDefault="00C90CB6" w:rsidP="00DC323F">
            <w:pPr>
              <w:spacing w:before="60"/>
              <w:jc w:val="both"/>
              <w:rPr>
                <w:rFonts w:asciiTheme="majorHAnsi" w:hAnsiTheme="majorHAnsi" w:cstheme="majorHAnsi"/>
                <w:b/>
                <w:bCs/>
                <w:lang w:val="vi-VN"/>
              </w:rPr>
            </w:pPr>
            <w:r w:rsidRPr="00D3269D">
              <w:rPr>
                <w:rFonts w:asciiTheme="majorHAnsi" w:hAnsiTheme="majorHAnsi" w:cstheme="majorHAnsi"/>
                <w:b/>
                <w:bCs/>
                <w:lang w:val="vi-VN"/>
              </w:rPr>
              <w:t>(2)</w:t>
            </w:r>
          </w:p>
        </w:tc>
        <w:tc>
          <w:tcPr>
            <w:tcW w:w="1132" w:type="dxa"/>
            <w:tcBorders>
              <w:top w:val="single" w:sz="4" w:space="0" w:color="auto"/>
              <w:bottom w:val="single" w:sz="4" w:space="0" w:color="auto"/>
            </w:tcBorders>
          </w:tcPr>
          <w:p w14:paraId="36801F52" w14:textId="77777777" w:rsidR="00C90CB6" w:rsidRPr="00D3269D" w:rsidRDefault="00C90CB6" w:rsidP="00DC323F">
            <w:pPr>
              <w:spacing w:before="60"/>
              <w:jc w:val="both"/>
              <w:rPr>
                <w:rFonts w:asciiTheme="majorHAnsi" w:hAnsiTheme="majorHAnsi" w:cstheme="majorHAnsi"/>
                <w:b/>
                <w:bCs/>
                <w:lang w:val="vi-VN"/>
              </w:rPr>
            </w:pPr>
            <w:r w:rsidRPr="00D3269D">
              <w:rPr>
                <w:rFonts w:asciiTheme="majorHAnsi" w:hAnsiTheme="majorHAnsi" w:cstheme="majorHAnsi"/>
                <w:b/>
                <w:bCs/>
                <w:lang w:val="vi-VN"/>
              </w:rPr>
              <w:t>(3)</w:t>
            </w:r>
          </w:p>
        </w:tc>
      </w:tr>
      <w:tr w:rsidR="00C90CB6" w:rsidRPr="00D3269D" w14:paraId="568D6B92" w14:textId="77777777" w:rsidTr="00C90CB6">
        <w:trPr>
          <w:jc w:val="center"/>
        </w:trPr>
        <w:tc>
          <w:tcPr>
            <w:tcW w:w="2030" w:type="dxa"/>
            <w:tcBorders>
              <w:top w:val="single" w:sz="4" w:space="0" w:color="auto"/>
            </w:tcBorders>
          </w:tcPr>
          <w:p w14:paraId="4CBCD653" w14:textId="77777777" w:rsidR="00C90CB6" w:rsidRPr="00D3269D" w:rsidRDefault="00C90CB6" w:rsidP="00DC323F">
            <w:pPr>
              <w:spacing w:before="60"/>
              <w:jc w:val="both"/>
              <w:rPr>
                <w:rFonts w:asciiTheme="majorHAnsi" w:hAnsiTheme="majorHAnsi" w:cstheme="majorHAnsi"/>
                <w:vertAlign w:val="subscript"/>
                <w:lang w:val="en-US"/>
              </w:rPr>
            </w:pPr>
            <w:r w:rsidRPr="00D3269D">
              <w:rPr>
                <w:rFonts w:asciiTheme="majorHAnsi" w:hAnsiTheme="majorHAnsi" w:cstheme="majorHAnsi"/>
                <w:lang w:val="en-US"/>
              </w:rPr>
              <w:t>Z</w:t>
            </w:r>
            <w:r w:rsidRPr="00D3269D">
              <w:rPr>
                <w:rFonts w:asciiTheme="majorHAnsi" w:hAnsiTheme="majorHAnsi" w:cstheme="majorHAnsi"/>
                <w:vertAlign w:val="subscript"/>
                <w:lang w:val="en-US"/>
              </w:rPr>
              <w:t>t-1</w:t>
            </w:r>
          </w:p>
        </w:tc>
        <w:tc>
          <w:tcPr>
            <w:tcW w:w="1240" w:type="dxa"/>
            <w:tcBorders>
              <w:top w:val="single" w:sz="4" w:space="0" w:color="auto"/>
            </w:tcBorders>
          </w:tcPr>
          <w:p w14:paraId="037705D3" w14:textId="57EC7DBF" w:rsidR="00C90CB6" w:rsidRPr="00D3269D" w:rsidRDefault="00C90CB6" w:rsidP="00DC323F">
            <w:pPr>
              <w:spacing w:before="60"/>
              <w:jc w:val="both"/>
              <w:rPr>
                <w:rFonts w:asciiTheme="majorHAnsi" w:hAnsiTheme="majorHAnsi" w:cstheme="majorHAnsi"/>
                <w:vertAlign w:val="superscript"/>
                <w:lang w:val="en-US"/>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8071</w:t>
            </w:r>
            <w:r w:rsidRPr="00D3269D">
              <w:rPr>
                <w:rFonts w:asciiTheme="majorHAnsi" w:hAnsiTheme="majorHAnsi" w:cstheme="majorHAnsi"/>
                <w:vertAlign w:val="superscript"/>
                <w:lang w:val="en-US"/>
              </w:rPr>
              <w:t>***</w:t>
            </w:r>
          </w:p>
        </w:tc>
        <w:tc>
          <w:tcPr>
            <w:tcW w:w="1140" w:type="dxa"/>
            <w:tcBorders>
              <w:top w:val="single" w:sz="4" w:space="0" w:color="auto"/>
            </w:tcBorders>
          </w:tcPr>
          <w:p w14:paraId="082710B3" w14:textId="04AC2167" w:rsidR="00C90CB6" w:rsidRPr="00D3269D" w:rsidRDefault="00C90CB6" w:rsidP="00DC323F">
            <w:pPr>
              <w:spacing w:before="60"/>
              <w:jc w:val="both"/>
              <w:rPr>
                <w:rFonts w:asciiTheme="majorHAnsi" w:hAnsiTheme="majorHAnsi" w:cstheme="majorHAnsi"/>
                <w:vertAlign w:val="superscript"/>
                <w:lang w:val="en-US"/>
              </w:rPr>
            </w:pPr>
            <w:r w:rsidRPr="00D3269D">
              <w:rPr>
                <w:rFonts w:asciiTheme="majorHAnsi" w:hAnsiTheme="majorHAnsi" w:cstheme="majorHAnsi"/>
                <w:lang w:val="en-US"/>
              </w:rPr>
              <w:t>0</w:t>
            </w:r>
            <w:r w:rsidR="00302D5B">
              <w:rPr>
                <w:rFonts w:asciiTheme="majorHAnsi" w:hAnsiTheme="majorHAnsi" w:cstheme="majorHAnsi"/>
                <w:lang w:val="en-US"/>
              </w:rPr>
              <w:t>,</w:t>
            </w:r>
            <w:r>
              <w:rPr>
                <w:rFonts w:asciiTheme="majorHAnsi" w:hAnsiTheme="majorHAnsi" w:cstheme="majorHAnsi"/>
                <w:lang w:val="en-US"/>
              </w:rPr>
              <w:t>7292</w:t>
            </w:r>
            <w:r w:rsidRPr="00D3269D">
              <w:rPr>
                <w:rFonts w:asciiTheme="majorHAnsi" w:hAnsiTheme="majorHAnsi" w:cstheme="majorHAnsi"/>
                <w:vertAlign w:val="superscript"/>
                <w:lang w:val="en-US"/>
              </w:rPr>
              <w:t>***</w:t>
            </w:r>
          </w:p>
        </w:tc>
        <w:tc>
          <w:tcPr>
            <w:tcW w:w="1132" w:type="dxa"/>
            <w:tcBorders>
              <w:top w:val="single" w:sz="4" w:space="0" w:color="auto"/>
            </w:tcBorders>
          </w:tcPr>
          <w:p w14:paraId="5DB85A79" w14:textId="7F21AF6E" w:rsidR="00C90CB6" w:rsidRPr="00D3269D" w:rsidRDefault="00C90CB6" w:rsidP="00DC323F">
            <w:pPr>
              <w:spacing w:before="60"/>
              <w:jc w:val="both"/>
              <w:rPr>
                <w:rFonts w:asciiTheme="majorHAnsi" w:hAnsiTheme="majorHAnsi" w:cstheme="majorHAnsi"/>
                <w:highlight w:val="yellow"/>
                <w:vertAlign w:val="superscript"/>
                <w:lang w:val="en-US"/>
              </w:rPr>
            </w:pPr>
            <w:r w:rsidRPr="00D3269D">
              <w:rPr>
                <w:rFonts w:asciiTheme="majorHAnsi" w:hAnsiTheme="majorHAnsi" w:cstheme="majorHAnsi"/>
                <w:lang w:val="en-US"/>
              </w:rPr>
              <w:t>0</w:t>
            </w:r>
            <w:r w:rsidR="00302D5B">
              <w:rPr>
                <w:rFonts w:asciiTheme="majorHAnsi" w:hAnsiTheme="majorHAnsi" w:cstheme="majorHAnsi"/>
                <w:lang w:val="en-US"/>
              </w:rPr>
              <w:t>,</w:t>
            </w:r>
            <w:r>
              <w:rPr>
                <w:rFonts w:asciiTheme="majorHAnsi" w:hAnsiTheme="majorHAnsi" w:cstheme="majorHAnsi"/>
                <w:lang w:val="en-US"/>
              </w:rPr>
              <w:t>9380</w:t>
            </w:r>
            <w:r w:rsidRPr="00D3269D">
              <w:rPr>
                <w:rFonts w:asciiTheme="majorHAnsi" w:hAnsiTheme="majorHAnsi" w:cstheme="majorHAnsi"/>
                <w:vertAlign w:val="superscript"/>
                <w:lang w:val="en-US"/>
              </w:rPr>
              <w:t>***</w:t>
            </w:r>
          </w:p>
        </w:tc>
      </w:tr>
      <w:tr w:rsidR="00C90CB6" w:rsidRPr="00D3269D" w14:paraId="0690AD2D" w14:textId="77777777" w:rsidTr="00C90CB6">
        <w:trPr>
          <w:jc w:val="center"/>
        </w:trPr>
        <w:tc>
          <w:tcPr>
            <w:tcW w:w="2030" w:type="dxa"/>
          </w:tcPr>
          <w:p w14:paraId="0A64A07A" w14:textId="77777777" w:rsidR="00C90CB6" w:rsidRPr="00D3269D" w:rsidRDefault="00C90CB6" w:rsidP="00DC323F">
            <w:pPr>
              <w:spacing w:before="60"/>
              <w:jc w:val="both"/>
              <w:rPr>
                <w:rFonts w:asciiTheme="majorHAnsi" w:hAnsiTheme="majorHAnsi" w:cstheme="majorHAnsi"/>
                <w:lang w:val="vi-VN"/>
              </w:rPr>
            </w:pPr>
            <w:r w:rsidRPr="00D3269D">
              <w:rPr>
                <w:rFonts w:asciiTheme="majorHAnsi" w:hAnsiTheme="majorHAnsi" w:cstheme="majorHAnsi"/>
                <w:lang w:val="vi-VN"/>
              </w:rPr>
              <w:t>ICT</w:t>
            </w:r>
          </w:p>
        </w:tc>
        <w:tc>
          <w:tcPr>
            <w:tcW w:w="1240" w:type="dxa"/>
          </w:tcPr>
          <w:p w14:paraId="516D1307" w14:textId="157A9425" w:rsidR="00C90CB6" w:rsidRPr="00D3269D" w:rsidRDefault="00C90CB6" w:rsidP="00DC323F">
            <w:pPr>
              <w:spacing w:before="60"/>
              <w:jc w:val="both"/>
              <w:rPr>
                <w:rFonts w:asciiTheme="majorHAnsi" w:hAnsiTheme="majorHAnsi" w:cstheme="majorHAnsi"/>
                <w:vertAlign w:val="superscript"/>
                <w:lang w:val="en-US"/>
              </w:rPr>
            </w:pPr>
            <w:r w:rsidRPr="00D3269D">
              <w:rPr>
                <w:rFonts w:asciiTheme="majorHAnsi" w:hAnsiTheme="majorHAnsi" w:cstheme="majorHAnsi"/>
                <w:lang w:val="en-US"/>
              </w:rPr>
              <w:t>-0</w:t>
            </w:r>
            <w:r w:rsidR="00302D5B">
              <w:rPr>
                <w:rFonts w:asciiTheme="majorHAnsi" w:hAnsiTheme="majorHAnsi" w:cstheme="majorHAnsi"/>
                <w:lang w:val="en-US"/>
              </w:rPr>
              <w:t>,</w:t>
            </w:r>
            <w:r w:rsidRPr="00D3269D">
              <w:rPr>
                <w:rFonts w:asciiTheme="majorHAnsi" w:hAnsiTheme="majorHAnsi" w:cstheme="majorHAnsi"/>
                <w:lang w:val="en-US"/>
              </w:rPr>
              <w:t>1356</w:t>
            </w:r>
            <w:r w:rsidRPr="00D3269D">
              <w:rPr>
                <w:rFonts w:asciiTheme="majorHAnsi" w:hAnsiTheme="majorHAnsi" w:cstheme="majorHAnsi"/>
                <w:vertAlign w:val="superscript"/>
                <w:lang w:val="en-US"/>
              </w:rPr>
              <w:t>***</w:t>
            </w:r>
          </w:p>
        </w:tc>
        <w:tc>
          <w:tcPr>
            <w:tcW w:w="1140" w:type="dxa"/>
          </w:tcPr>
          <w:p w14:paraId="607FE1E9" w14:textId="7204BAD2" w:rsidR="00C90CB6" w:rsidRPr="00D3269D" w:rsidRDefault="00C90CB6" w:rsidP="00DC323F">
            <w:pPr>
              <w:spacing w:before="60"/>
              <w:jc w:val="both"/>
              <w:rPr>
                <w:rFonts w:asciiTheme="majorHAnsi" w:hAnsiTheme="majorHAnsi" w:cstheme="majorHAnsi"/>
                <w:vertAlign w:val="superscript"/>
                <w:lang w:val="en-US"/>
              </w:rPr>
            </w:pPr>
            <w:r w:rsidRPr="00D3269D">
              <w:rPr>
                <w:rFonts w:asciiTheme="majorHAnsi" w:hAnsiTheme="majorHAnsi" w:cstheme="majorHAnsi"/>
                <w:lang w:val="en-US"/>
              </w:rPr>
              <w:t>-0</w:t>
            </w:r>
            <w:r w:rsidR="00302D5B">
              <w:rPr>
                <w:rFonts w:asciiTheme="majorHAnsi" w:hAnsiTheme="majorHAnsi" w:cstheme="majorHAnsi"/>
                <w:lang w:val="vi-VN"/>
              </w:rPr>
              <w:t>,</w:t>
            </w:r>
            <w:r>
              <w:rPr>
                <w:rFonts w:asciiTheme="majorHAnsi" w:hAnsiTheme="majorHAnsi" w:cstheme="majorHAnsi"/>
                <w:lang w:val="vi-VN"/>
              </w:rPr>
              <w:t>2495</w:t>
            </w:r>
            <w:r w:rsidRPr="00D3269D">
              <w:rPr>
                <w:rFonts w:asciiTheme="majorHAnsi" w:hAnsiTheme="majorHAnsi" w:cstheme="majorHAnsi"/>
                <w:vertAlign w:val="superscript"/>
                <w:lang w:val="en-US"/>
              </w:rPr>
              <w:t>*</w:t>
            </w:r>
            <w:r>
              <w:rPr>
                <w:rFonts w:asciiTheme="majorHAnsi" w:hAnsiTheme="majorHAnsi" w:cstheme="majorHAnsi"/>
                <w:vertAlign w:val="superscript"/>
                <w:lang w:val="vi-VN"/>
              </w:rPr>
              <w:t>*</w:t>
            </w:r>
            <w:r w:rsidRPr="00D3269D">
              <w:rPr>
                <w:rFonts w:asciiTheme="majorHAnsi" w:hAnsiTheme="majorHAnsi" w:cstheme="majorHAnsi"/>
                <w:vertAlign w:val="superscript"/>
                <w:lang w:val="en-US"/>
              </w:rPr>
              <w:t>*</w:t>
            </w:r>
          </w:p>
        </w:tc>
        <w:tc>
          <w:tcPr>
            <w:tcW w:w="1132" w:type="dxa"/>
          </w:tcPr>
          <w:p w14:paraId="250A96D7" w14:textId="5AB55140" w:rsidR="00C90CB6" w:rsidRPr="00D3269D" w:rsidRDefault="00C90CB6" w:rsidP="00DC323F">
            <w:pPr>
              <w:spacing w:before="60"/>
              <w:jc w:val="both"/>
              <w:rPr>
                <w:rFonts w:asciiTheme="majorHAnsi" w:hAnsiTheme="majorHAnsi" w:cstheme="majorHAnsi"/>
                <w:highlight w:val="yellow"/>
                <w:vertAlign w:val="superscript"/>
                <w:lang w:val="en-US"/>
              </w:rPr>
            </w:pPr>
            <w:r w:rsidRPr="00D3269D">
              <w:rPr>
                <w:rFonts w:asciiTheme="majorHAnsi" w:hAnsiTheme="majorHAnsi" w:cstheme="majorHAnsi"/>
                <w:lang w:val="en-US"/>
              </w:rPr>
              <w:t>-0</w:t>
            </w:r>
            <w:r w:rsidR="00302D5B">
              <w:rPr>
                <w:rFonts w:asciiTheme="majorHAnsi" w:hAnsiTheme="majorHAnsi" w:cstheme="majorHAnsi"/>
                <w:lang w:val="vi-VN"/>
              </w:rPr>
              <w:t>,</w:t>
            </w:r>
            <w:r>
              <w:rPr>
                <w:rFonts w:asciiTheme="majorHAnsi" w:hAnsiTheme="majorHAnsi" w:cstheme="majorHAnsi"/>
                <w:lang w:val="vi-VN"/>
              </w:rPr>
              <w:t>2248</w:t>
            </w:r>
            <w:r w:rsidRPr="00D3269D">
              <w:rPr>
                <w:rFonts w:asciiTheme="majorHAnsi" w:hAnsiTheme="majorHAnsi" w:cstheme="majorHAnsi"/>
                <w:vertAlign w:val="superscript"/>
                <w:lang w:val="en-US"/>
              </w:rPr>
              <w:t>*</w:t>
            </w:r>
            <w:r w:rsidRPr="00D3269D">
              <w:rPr>
                <w:rFonts w:asciiTheme="majorHAnsi" w:hAnsiTheme="majorHAnsi" w:cstheme="majorHAnsi"/>
                <w:vertAlign w:val="superscript"/>
                <w:lang w:val="vi-VN"/>
              </w:rPr>
              <w:t>*</w:t>
            </w:r>
            <w:r w:rsidRPr="00D3269D">
              <w:rPr>
                <w:rFonts w:asciiTheme="majorHAnsi" w:hAnsiTheme="majorHAnsi" w:cstheme="majorHAnsi"/>
                <w:vertAlign w:val="superscript"/>
                <w:lang w:val="en-US"/>
              </w:rPr>
              <w:t>*</w:t>
            </w:r>
          </w:p>
        </w:tc>
      </w:tr>
      <w:tr w:rsidR="00C90CB6" w:rsidRPr="00D3269D" w14:paraId="08D21487" w14:textId="77777777" w:rsidTr="00C90CB6">
        <w:trPr>
          <w:jc w:val="center"/>
        </w:trPr>
        <w:tc>
          <w:tcPr>
            <w:tcW w:w="2030" w:type="dxa"/>
          </w:tcPr>
          <w:p w14:paraId="67DD0946" w14:textId="77777777" w:rsidR="00C90CB6" w:rsidRPr="00D3269D" w:rsidRDefault="00C90CB6" w:rsidP="00DC323F">
            <w:pPr>
              <w:spacing w:before="60"/>
              <w:jc w:val="both"/>
              <w:rPr>
                <w:rFonts w:asciiTheme="majorHAnsi" w:hAnsiTheme="majorHAnsi" w:cstheme="majorHAnsi"/>
                <w:b/>
                <w:bCs/>
                <w:lang w:val="vi-VN"/>
              </w:rPr>
            </w:pPr>
            <w:r w:rsidRPr="00D3269D">
              <w:rPr>
                <w:rFonts w:asciiTheme="majorHAnsi" w:hAnsiTheme="majorHAnsi" w:cstheme="majorHAnsi"/>
                <w:lang w:val="en-US"/>
              </w:rPr>
              <w:t>SIZE</w:t>
            </w:r>
          </w:p>
        </w:tc>
        <w:tc>
          <w:tcPr>
            <w:tcW w:w="1240" w:type="dxa"/>
          </w:tcPr>
          <w:p w14:paraId="25B9B9CB" w14:textId="4BA28477" w:rsidR="00C90CB6" w:rsidRPr="00D3269D" w:rsidRDefault="00C90CB6" w:rsidP="00DC323F">
            <w:pPr>
              <w:spacing w:before="60"/>
              <w:jc w:val="both"/>
              <w:rPr>
                <w:rFonts w:asciiTheme="majorHAnsi" w:hAnsiTheme="majorHAnsi" w:cstheme="majorHAnsi"/>
                <w:vertAlign w:val="superscript"/>
                <w:lang w:val="en-US"/>
              </w:rPr>
            </w:pPr>
            <w:r w:rsidRPr="00D3269D">
              <w:rPr>
                <w:rFonts w:asciiTheme="majorHAnsi" w:hAnsiTheme="majorHAnsi" w:cstheme="majorHAnsi"/>
                <w:lang w:val="vi-VN"/>
              </w:rPr>
              <w:t>-</w:t>
            </w:r>
            <w:r w:rsidRPr="00D3269D">
              <w:rPr>
                <w:rFonts w:asciiTheme="majorHAnsi" w:hAnsiTheme="majorHAnsi" w:cstheme="majorHAnsi"/>
                <w:lang w:val="en-US"/>
              </w:rPr>
              <w:t>0</w:t>
            </w:r>
            <w:r w:rsidR="00302D5B">
              <w:rPr>
                <w:rFonts w:asciiTheme="majorHAnsi" w:hAnsiTheme="majorHAnsi" w:cstheme="majorHAnsi"/>
                <w:lang w:val="en-US"/>
              </w:rPr>
              <w:t>,</w:t>
            </w:r>
            <w:r w:rsidRPr="00D3269D">
              <w:rPr>
                <w:rFonts w:asciiTheme="majorHAnsi" w:hAnsiTheme="majorHAnsi" w:cstheme="majorHAnsi"/>
                <w:lang w:val="en-US"/>
              </w:rPr>
              <w:t>0281</w:t>
            </w:r>
            <w:r w:rsidRPr="00D3269D">
              <w:rPr>
                <w:rFonts w:asciiTheme="majorHAnsi" w:hAnsiTheme="majorHAnsi" w:cstheme="majorHAnsi"/>
                <w:vertAlign w:val="superscript"/>
                <w:lang w:val="en-US"/>
              </w:rPr>
              <w:t>***</w:t>
            </w:r>
          </w:p>
        </w:tc>
        <w:tc>
          <w:tcPr>
            <w:tcW w:w="1140" w:type="dxa"/>
          </w:tcPr>
          <w:p w14:paraId="61196D3F" w14:textId="5F5EE2A3" w:rsidR="00C90CB6" w:rsidRPr="00C90CB6" w:rsidRDefault="00C90CB6" w:rsidP="00DC323F">
            <w:pPr>
              <w:spacing w:before="60"/>
              <w:jc w:val="both"/>
              <w:rPr>
                <w:rFonts w:asciiTheme="majorHAnsi" w:hAnsiTheme="majorHAnsi" w:cstheme="majorHAnsi"/>
                <w:vertAlign w:val="superscript"/>
                <w:lang w:val="vi-VN"/>
              </w:rPr>
            </w:pPr>
            <w:r w:rsidRPr="00D3269D">
              <w:rPr>
                <w:rFonts w:asciiTheme="majorHAnsi" w:hAnsiTheme="majorHAnsi" w:cstheme="majorHAnsi"/>
                <w:lang w:val="en-US"/>
              </w:rPr>
              <w:t>0</w:t>
            </w:r>
            <w:r w:rsidR="00302D5B">
              <w:rPr>
                <w:rFonts w:asciiTheme="majorHAnsi" w:hAnsiTheme="majorHAnsi" w:cstheme="majorHAnsi"/>
                <w:lang w:val="en-US"/>
              </w:rPr>
              <w:t>,</w:t>
            </w:r>
            <w:r>
              <w:rPr>
                <w:rFonts w:asciiTheme="majorHAnsi" w:hAnsiTheme="majorHAnsi" w:cstheme="majorHAnsi"/>
                <w:lang w:val="en-US"/>
              </w:rPr>
              <w:t>0070</w:t>
            </w:r>
          </w:p>
        </w:tc>
        <w:tc>
          <w:tcPr>
            <w:tcW w:w="1132" w:type="dxa"/>
          </w:tcPr>
          <w:p w14:paraId="2780F530" w14:textId="0FD0017B" w:rsidR="00C90CB6" w:rsidRPr="00D3269D" w:rsidRDefault="00C90CB6" w:rsidP="00DC323F">
            <w:pPr>
              <w:spacing w:before="60"/>
              <w:jc w:val="both"/>
              <w:rPr>
                <w:rFonts w:asciiTheme="majorHAnsi" w:hAnsiTheme="majorHAnsi" w:cstheme="majorHAnsi"/>
                <w:highlight w:val="yellow"/>
                <w:vertAlign w:val="superscript"/>
                <w:lang w:val="en-US"/>
              </w:rPr>
            </w:pPr>
            <w:r w:rsidRPr="00D3269D">
              <w:rPr>
                <w:rFonts w:asciiTheme="majorHAnsi" w:hAnsiTheme="majorHAnsi" w:cstheme="majorHAnsi"/>
                <w:lang w:val="vi-VN"/>
              </w:rPr>
              <w:t>-</w:t>
            </w:r>
            <w:r w:rsidRPr="00D3269D">
              <w:rPr>
                <w:rFonts w:asciiTheme="majorHAnsi" w:hAnsiTheme="majorHAnsi" w:cstheme="majorHAnsi"/>
                <w:lang w:val="en-US"/>
              </w:rPr>
              <w:t>0</w:t>
            </w:r>
            <w:r w:rsidR="00302D5B">
              <w:rPr>
                <w:rFonts w:asciiTheme="majorHAnsi" w:hAnsiTheme="majorHAnsi" w:cstheme="majorHAnsi"/>
                <w:lang w:val="en-US"/>
              </w:rPr>
              <w:t>,</w:t>
            </w:r>
            <w:r w:rsidR="005277FA">
              <w:rPr>
                <w:rFonts w:asciiTheme="majorHAnsi" w:hAnsiTheme="majorHAnsi" w:cstheme="majorHAnsi"/>
                <w:lang w:val="en-US"/>
              </w:rPr>
              <w:t>0458</w:t>
            </w:r>
            <w:r w:rsidRPr="00D3269D">
              <w:rPr>
                <w:rFonts w:asciiTheme="majorHAnsi" w:hAnsiTheme="majorHAnsi" w:cstheme="majorHAnsi"/>
                <w:vertAlign w:val="superscript"/>
                <w:lang w:val="en-US"/>
              </w:rPr>
              <w:t>***</w:t>
            </w:r>
          </w:p>
        </w:tc>
      </w:tr>
      <w:tr w:rsidR="00C90CB6" w:rsidRPr="00D3269D" w14:paraId="01F81BC1" w14:textId="77777777" w:rsidTr="00C90CB6">
        <w:trPr>
          <w:jc w:val="center"/>
        </w:trPr>
        <w:tc>
          <w:tcPr>
            <w:tcW w:w="2030" w:type="dxa"/>
          </w:tcPr>
          <w:p w14:paraId="7E6A4566" w14:textId="77777777" w:rsidR="00C90CB6" w:rsidRPr="00D3269D" w:rsidRDefault="00C90CB6" w:rsidP="00DC323F">
            <w:pPr>
              <w:spacing w:before="60"/>
              <w:jc w:val="both"/>
              <w:rPr>
                <w:rFonts w:asciiTheme="majorHAnsi" w:hAnsiTheme="majorHAnsi" w:cstheme="majorHAnsi"/>
                <w:lang w:val="vi-VN"/>
              </w:rPr>
            </w:pPr>
            <w:r w:rsidRPr="00D3269D">
              <w:rPr>
                <w:rFonts w:asciiTheme="majorHAnsi" w:hAnsiTheme="majorHAnsi" w:cstheme="majorHAnsi"/>
                <w:lang w:val="vi-VN"/>
              </w:rPr>
              <w:t>CIR</w:t>
            </w:r>
          </w:p>
        </w:tc>
        <w:tc>
          <w:tcPr>
            <w:tcW w:w="1240" w:type="dxa"/>
          </w:tcPr>
          <w:p w14:paraId="4DF54966" w14:textId="4F95CCE4" w:rsidR="00C90CB6" w:rsidRPr="00D3269D" w:rsidRDefault="00C90CB6" w:rsidP="00DC323F">
            <w:pPr>
              <w:spacing w:before="60"/>
              <w:jc w:val="both"/>
              <w:rPr>
                <w:rFonts w:asciiTheme="majorHAnsi" w:hAnsiTheme="majorHAnsi" w:cstheme="majorHAnsi"/>
                <w:vertAlign w:val="superscript"/>
                <w:lang w:val="en-US"/>
              </w:rPr>
            </w:pPr>
            <w:r w:rsidRPr="00D3269D">
              <w:rPr>
                <w:rFonts w:asciiTheme="majorHAnsi" w:hAnsiTheme="majorHAnsi" w:cstheme="majorHAnsi"/>
                <w:lang w:val="en-US"/>
              </w:rPr>
              <w:t>0</w:t>
            </w:r>
            <w:r w:rsidR="00302D5B">
              <w:rPr>
                <w:rFonts w:asciiTheme="majorHAnsi" w:hAnsiTheme="majorHAnsi" w:cstheme="majorHAnsi"/>
                <w:lang w:val="en-US"/>
              </w:rPr>
              <w:t>,</w:t>
            </w:r>
            <w:r w:rsidRPr="00D3269D">
              <w:rPr>
                <w:rFonts w:asciiTheme="majorHAnsi" w:hAnsiTheme="majorHAnsi" w:cstheme="majorHAnsi"/>
                <w:lang w:val="en-US"/>
              </w:rPr>
              <w:t>0113</w:t>
            </w:r>
            <w:r w:rsidRPr="00D3269D">
              <w:rPr>
                <w:rFonts w:asciiTheme="majorHAnsi" w:hAnsiTheme="majorHAnsi" w:cstheme="majorHAnsi"/>
                <w:vertAlign w:val="superscript"/>
                <w:lang w:val="en-US"/>
              </w:rPr>
              <w:t>*</w:t>
            </w:r>
            <w:r w:rsidRPr="00D3269D">
              <w:rPr>
                <w:rFonts w:asciiTheme="majorHAnsi" w:hAnsiTheme="majorHAnsi" w:cstheme="majorHAnsi"/>
                <w:vertAlign w:val="superscript"/>
                <w:lang w:val="vi-VN"/>
              </w:rPr>
              <w:t>*</w:t>
            </w:r>
            <w:r w:rsidRPr="00D3269D">
              <w:rPr>
                <w:rFonts w:asciiTheme="majorHAnsi" w:hAnsiTheme="majorHAnsi" w:cstheme="majorHAnsi"/>
                <w:vertAlign w:val="superscript"/>
                <w:lang w:val="en-US"/>
              </w:rPr>
              <w:t>*</w:t>
            </w:r>
          </w:p>
        </w:tc>
        <w:tc>
          <w:tcPr>
            <w:tcW w:w="1140" w:type="dxa"/>
          </w:tcPr>
          <w:p w14:paraId="560DA4E5" w14:textId="40B27346" w:rsidR="00C90CB6" w:rsidRPr="00D3269D" w:rsidRDefault="00C90CB6" w:rsidP="00DC323F">
            <w:pPr>
              <w:spacing w:before="60"/>
              <w:jc w:val="both"/>
              <w:rPr>
                <w:rFonts w:asciiTheme="majorHAnsi" w:hAnsiTheme="majorHAnsi" w:cstheme="majorHAnsi"/>
                <w:vertAlign w:val="superscript"/>
                <w:lang w:val="vi-VN"/>
              </w:rPr>
            </w:pPr>
            <w:r w:rsidRPr="00D3269D">
              <w:rPr>
                <w:rFonts w:asciiTheme="majorHAnsi" w:hAnsiTheme="majorHAnsi" w:cstheme="majorHAnsi"/>
                <w:lang w:val="en-US"/>
              </w:rPr>
              <w:t>0</w:t>
            </w:r>
            <w:r w:rsidR="00302D5B">
              <w:rPr>
                <w:rFonts w:asciiTheme="majorHAnsi" w:hAnsiTheme="majorHAnsi" w:cstheme="majorHAnsi"/>
                <w:lang w:val="en-US"/>
              </w:rPr>
              <w:t>,</w:t>
            </w:r>
            <w:r>
              <w:rPr>
                <w:rFonts w:asciiTheme="majorHAnsi" w:hAnsiTheme="majorHAnsi" w:cstheme="majorHAnsi"/>
                <w:lang w:val="en-US"/>
              </w:rPr>
              <w:t>0064</w:t>
            </w:r>
            <w:r w:rsidRPr="00D3269D">
              <w:rPr>
                <w:rFonts w:asciiTheme="majorHAnsi" w:hAnsiTheme="majorHAnsi" w:cstheme="majorHAnsi"/>
                <w:vertAlign w:val="superscript"/>
                <w:lang w:val="vi-VN"/>
              </w:rPr>
              <w:t>***</w:t>
            </w:r>
          </w:p>
        </w:tc>
        <w:tc>
          <w:tcPr>
            <w:tcW w:w="1132" w:type="dxa"/>
          </w:tcPr>
          <w:p w14:paraId="647BD309" w14:textId="3F6866CB" w:rsidR="00C90CB6" w:rsidRPr="00D3269D" w:rsidRDefault="00C90CB6" w:rsidP="00DC323F">
            <w:pPr>
              <w:spacing w:before="60"/>
              <w:jc w:val="both"/>
              <w:rPr>
                <w:rFonts w:asciiTheme="majorHAnsi" w:hAnsiTheme="majorHAnsi" w:cstheme="majorHAnsi"/>
                <w:highlight w:val="yellow"/>
                <w:vertAlign w:val="superscript"/>
                <w:lang w:val="en-US"/>
              </w:rPr>
            </w:pPr>
            <w:r w:rsidRPr="00D3269D">
              <w:rPr>
                <w:rFonts w:asciiTheme="majorHAnsi" w:hAnsiTheme="majorHAnsi" w:cstheme="majorHAnsi"/>
                <w:lang w:val="en-US"/>
              </w:rPr>
              <w:t>0</w:t>
            </w:r>
            <w:r w:rsidR="00302D5B">
              <w:rPr>
                <w:rFonts w:asciiTheme="majorHAnsi" w:hAnsiTheme="majorHAnsi" w:cstheme="majorHAnsi"/>
                <w:lang w:val="en-US"/>
              </w:rPr>
              <w:t>,</w:t>
            </w:r>
            <w:r w:rsidR="005277FA">
              <w:rPr>
                <w:rFonts w:asciiTheme="majorHAnsi" w:hAnsiTheme="majorHAnsi" w:cstheme="majorHAnsi"/>
                <w:lang w:val="en-US"/>
              </w:rPr>
              <w:t>0039</w:t>
            </w:r>
            <w:r w:rsidRPr="00D3269D">
              <w:rPr>
                <w:rFonts w:asciiTheme="majorHAnsi" w:hAnsiTheme="majorHAnsi" w:cstheme="majorHAnsi"/>
                <w:vertAlign w:val="superscript"/>
                <w:lang w:val="vi-VN"/>
              </w:rPr>
              <w:t>*</w:t>
            </w:r>
            <w:r w:rsidRPr="00D3269D">
              <w:rPr>
                <w:rFonts w:asciiTheme="majorHAnsi" w:hAnsiTheme="majorHAnsi" w:cstheme="majorHAnsi"/>
                <w:vertAlign w:val="superscript"/>
                <w:lang w:val="en-US"/>
              </w:rPr>
              <w:t>*</w:t>
            </w:r>
          </w:p>
        </w:tc>
      </w:tr>
      <w:tr w:rsidR="00C90CB6" w:rsidRPr="00D3269D" w14:paraId="49C6C9FF" w14:textId="77777777" w:rsidTr="00C90CB6">
        <w:trPr>
          <w:jc w:val="center"/>
        </w:trPr>
        <w:tc>
          <w:tcPr>
            <w:tcW w:w="2030" w:type="dxa"/>
          </w:tcPr>
          <w:p w14:paraId="264D776F" w14:textId="77777777" w:rsidR="00C90CB6" w:rsidRPr="00D3269D" w:rsidRDefault="00C90CB6" w:rsidP="00DC323F">
            <w:pPr>
              <w:spacing w:before="60"/>
              <w:jc w:val="both"/>
              <w:rPr>
                <w:rFonts w:asciiTheme="majorHAnsi" w:hAnsiTheme="majorHAnsi" w:cstheme="majorHAnsi"/>
                <w:lang w:val="vi-VN"/>
              </w:rPr>
            </w:pPr>
            <w:r w:rsidRPr="00D3269D">
              <w:rPr>
                <w:rFonts w:asciiTheme="majorHAnsi" w:hAnsiTheme="majorHAnsi" w:cstheme="majorHAnsi"/>
                <w:lang w:val="vi-VN"/>
              </w:rPr>
              <w:t>DIV</w:t>
            </w:r>
          </w:p>
        </w:tc>
        <w:tc>
          <w:tcPr>
            <w:tcW w:w="1240" w:type="dxa"/>
          </w:tcPr>
          <w:p w14:paraId="04EB9946" w14:textId="5C31753B" w:rsidR="00C90CB6" w:rsidRPr="00D3269D" w:rsidRDefault="00C90CB6" w:rsidP="00DC323F">
            <w:pPr>
              <w:spacing w:before="60"/>
              <w:jc w:val="both"/>
              <w:rPr>
                <w:rFonts w:asciiTheme="majorHAnsi" w:hAnsiTheme="majorHAnsi" w:cstheme="majorHAnsi"/>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0112</w:t>
            </w:r>
            <w:r w:rsidRPr="00D3269D">
              <w:rPr>
                <w:rFonts w:asciiTheme="majorHAnsi" w:hAnsiTheme="majorHAnsi" w:cstheme="majorHAnsi"/>
                <w:vertAlign w:val="superscript"/>
                <w:lang w:val="vi-VN"/>
              </w:rPr>
              <w:t>***</w:t>
            </w:r>
          </w:p>
        </w:tc>
        <w:tc>
          <w:tcPr>
            <w:tcW w:w="1140" w:type="dxa"/>
          </w:tcPr>
          <w:p w14:paraId="5D63C288" w14:textId="5F850A49" w:rsidR="00C90CB6" w:rsidRPr="00D3269D" w:rsidRDefault="00C90CB6" w:rsidP="00DC323F">
            <w:pPr>
              <w:spacing w:before="60"/>
              <w:jc w:val="both"/>
              <w:rPr>
                <w:rFonts w:asciiTheme="majorHAnsi" w:hAnsiTheme="majorHAnsi" w:cstheme="majorHAnsi"/>
                <w:lang w:val="vi-VN"/>
              </w:rPr>
            </w:pPr>
            <w:r>
              <w:rPr>
                <w:rFonts w:asciiTheme="majorHAnsi" w:hAnsiTheme="majorHAnsi" w:cstheme="majorHAnsi"/>
                <w:lang w:val="vi-VN"/>
              </w:rPr>
              <w:t>-</w:t>
            </w:r>
            <w:r w:rsidRPr="00D3269D">
              <w:rPr>
                <w:rFonts w:asciiTheme="majorHAnsi" w:hAnsiTheme="majorHAnsi" w:cstheme="majorHAnsi"/>
                <w:lang w:val="vi-VN"/>
              </w:rPr>
              <w:t>0</w:t>
            </w:r>
            <w:r w:rsidR="00302D5B">
              <w:rPr>
                <w:rFonts w:asciiTheme="majorHAnsi" w:hAnsiTheme="majorHAnsi" w:cstheme="majorHAnsi"/>
                <w:lang w:val="vi-VN"/>
              </w:rPr>
              <w:t>,</w:t>
            </w:r>
            <w:r>
              <w:rPr>
                <w:rFonts w:asciiTheme="majorHAnsi" w:hAnsiTheme="majorHAnsi" w:cstheme="majorHAnsi"/>
                <w:lang w:val="vi-VN"/>
              </w:rPr>
              <w:t>0006</w:t>
            </w:r>
          </w:p>
        </w:tc>
        <w:tc>
          <w:tcPr>
            <w:tcW w:w="1132" w:type="dxa"/>
          </w:tcPr>
          <w:p w14:paraId="572ACCC6" w14:textId="2927505F" w:rsidR="00C90CB6" w:rsidRPr="00D3269D" w:rsidRDefault="00C90CB6" w:rsidP="00DC323F">
            <w:pPr>
              <w:spacing w:before="60"/>
              <w:jc w:val="both"/>
              <w:rPr>
                <w:rFonts w:asciiTheme="majorHAnsi" w:hAnsiTheme="majorHAnsi" w:cstheme="majorHAnsi"/>
                <w:highlight w:val="yellow"/>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005277FA">
              <w:rPr>
                <w:rFonts w:asciiTheme="majorHAnsi" w:hAnsiTheme="majorHAnsi" w:cstheme="majorHAnsi"/>
                <w:lang w:val="vi-VN"/>
              </w:rPr>
              <w:t>0079</w:t>
            </w:r>
            <w:r w:rsidRPr="00D3269D">
              <w:rPr>
                <w:rFonts w:asciiTheme="majorHAnsi" w:hAnsiTheme="majorHAnsi" w:cstheme="majorHAnsi"/>
                <w:vertAlign w:val="superscript"/>
                <w:lang w:val="vi-VN"/>
              </w:rPr>
              <w:t>**</w:t>
            </w:r>
          </w:p>
        </w:tc>
      </w:tr>
      <w:tr w:rsidR="00C90CB6" w:rsidRPr="00D3269D" w14:paraId="14B12C28" w14:textId="77777777" w:rsidTr="00C90CB6">
        <w:trPr>
          <w:jc w:val="center"/>
        </w:trPr>
        <w:tc>
          <w:tcPr>
            <w:tcW w:w="2030" w:type="dxa"/>
          </w:tcPr>
          <w:p w14:paraId="6A4014F3" w14:textId="77777777" w:rsidR="00C90CB6" w:rsidRPr="00D3269D" w:rsidRDefault="00C90CB6" w:rsidP="00DC323F">
            <w:pPr>
              <w:spacing w:before="60"/>
              <w:jc w:val="both"/>
              <w:rPr>
                <w:rFonts w:asciiTheme="majorHAnsi" w:hAnsiTheme="majorHAnsi" w:cstheme="majorHAnsi"/>
                <w:lang w:val="vi-VN"/>
              </w:rPr>
            </w:pPr>
            <w:r w:rsidRPr="00D3269D">
              <w:rPr>
                <w:rFonts w:asciiTheme="majorHAnsi" w:hAnsiTheme="majorHAnsi" w:cstheme="majorHAnsi"/>
                <w:lang w:val="vi-VN"/>
              </w:rPr>
              <w:t>CAR</w:t>
            </w:r>
          </w:p>
        </w:tc>
        <w:tc>
          <w:tcPr>
            <w:tcW w:w="1240" w:type="dxa"/>
          </w:tcPr>
          <w:p w14:paraId="37709BE6" w14:textId="7BB383F0" w:rsidR="00C90CB6" w:rsidRPr="00D3269D" w:rsidRDefault="00C90CB6" w:rsidP="00DC323F">
            <w:pPr>
              <w:spacing w:before="60"/>
              <w:jc w:val="both"/>
              <w:rPr>
                <w:rFonts w:asciiTheme="majorHAnsi" w:hAnsiTheme="majorHAnsi" w:cstheme="majorHAnsi"/>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Pr="00D3269D">
              <w:rPr>
                <w:rFonts w:asciiTheme="majorHAnsi" w:hAnsiTheme="majorHAnsi" w:cstheme="majorHAnsi"/>
                <w:lang w:val="vi-VN"/>
              </w:rPr>
              <w:t>0111</w:t>
            </w:r>
            <w:r w:rsidRPr="00D3269D">
              <w:rPr>
                <w:rFonts w:asciiTheme="majorHAnsi" w:hAnsiTheme="majorHAnsi" w:cstheme="majorHAnsi"/>
                <w:vertAlign w:val="superscript"/>
                <w:lang w:val="vi-VN"/>
              </w:rPr>
              <w:t>***</w:t>
            </w:r>
          </w:p>
        </w:tc>
        <w:tc>
          <w:tcPr>
            <w:tcW w:w="1140" w:type="dxa"/>
          </w:tcPr>
          <w:p w14:paraId="7619966D" w14:textId="24696D63" w:rsidR="00C90CB6" w:rsidRPr="00D3269D" w:rsidRDefault="00C90CB6" w:rsidP="00DC323F">
            <w:pPr>
              <w:spacing w:before="60"/>
              <w:jc w:val="both"/>
              <w:rPr>
                <w:rFonts w:asciiTheme="majorHAnsi" w:hAnsiTheme="majorHAnsi" w:cstheme="majorHAnsi"/>
                <w:lang w:val="vi-VN"/>
              </w:rPr>
            </w:pPr>
            <w:r w:rsidRPr="00D3269D">
              <w:rPr>
                <w:rFonts w:asciiTheme="majorHAnsi" w:hAnsiTheme="majorHAnsi" w:cstheme="majorHAnsi"/>
                <w:lang w:val="vi-VN"/>
              </w:rPr>
              <w:t>0</w:t>
            </w:r>
            <w:r w:rsidR="00302D5B">
              <w:rPr>
                <w:rFonts w:asciiTheme="majorHAnsi" w:hAnsiTheme="majorHAnsi" w:cstheme="majorHAnsi"/>
                <w:lang w:val="vi-VN"/>
              </w:rPr>
              <w:t>,</w:t>
            </w:r>
            <w:r>
              <w:rPr>
                <w:rFonts w:asciiTheme="majorHAnsi" w:hAnsiTheme="majorHAnsi" w:cstheme="majorHAnsi"/>
                <w:lang w:val="vi-VN"/>
              </w:rPr>
              <w:t>0353</w:t>
            </w:r>
            <w:r w:rsidRPr="00D3269D">
              <w:rPr>
                <w:rFonts w:asciiTheme="majorHAnsi" w:hAnsiTheme="majorHAnsi" w:cstheme="majorHAnsi"/>
                <w:vertAlign w:val="superscript"/>
                <w:lang w:val="vi-VN"/>
              </w:rPr>
              <w:t>***</w:t>
            </w:r>
          </w:p>
        </w:tc>
        <w:tc>
          <w:tcPr>
            <w:tcW w:w="1132" w:type="dxa"/>
          </w:tcPr>
          <w:p w14:paraId="4EACC590" w14:textId="4EE6FED8" w:rsidR="00C90CB6" w:rsidRPr="00D3269D" w:rsidRDefault="00C90CB6" w:rsidP="00DC323F">
            <w:pPr>
              <w:spacing w:before="60"/>
              <w:jc w:val="both"/>
              <w:rPr>
                <w:rFonts w:asciiTheme="majorHAnsi" w:hAnsiTheme="majorHAnsi" w:cstheme="majorHAnsi"/>
                <w:highlight w:val="yellow"/>
                <w:lang w:val="vi-VN"/>
              </w:rPr>
            </w:pPr>
            <w:r w:rsidRPr="00D3269D">
              <w:rPr>
                <w:rFonts w:asciiTheme="majorHAnsi" w:hAnsiTheme="majorHAnsi" w:cstheme="majorHAnsi"/>
                <w:lang w:val="vi-VN"/>
              </w:rPr>
              <w:t>0</w:t>
            </w:r>
            <w:r w:rsidR="00302D5B">
              <w:rPr>
                <w:rFonts w:asciiTheme="majorHAnsi" w:hAnsiTheme="majorHAnsi" w:cstheme="majorHAnsi"/>
                <w:lang w:val="vi-VN"/>
              </w:rPr>
              <w:t>,</w:t>
            </w:r>
            <w:r w:rsidR="005277FA">
              <w:rPr>
                <w:rFonts w:asciiTheme="majorHAnsi" w:hAnsiTheme="majorHAnsi" w:cstheme="majorHAnsi"/>
                <w:lang w:val="vi-VN"/>
              </w:rPr>
              <w:t>0304</w:t>
            </w:r>
            <w:r w:rsidRPr="00D3269D">
              <w:rPr>
                <w:rFonts w:asciiTheme="majorHAnsi" w:hAnsiTheme="majorHAnsi" w:cstheme="majorHAnsi"/>
                <w:vertAlign w:val="superscript"/>
                <w:lang w:val="vi-VN"/>
              </w:rPr>
              <w:t>***</w:t>
            </w:r>
          </w:p>
        </w:tc>
      </w:tr>
      <w:tr w:rsidR="00C90CB6" w:rsidRPr="00D3269D" w14:paraId="2FB0C40A" w14:textId="77777777" w:rsidTr="00C90CB6">
        <w:trPr>
          <w:jc w:val="center"/>
        </w:trPr>
        <w:tc>
          <w:tcPr>
            <w:tcW w:w="2030" w:type="dxa"/>
          </w:tcPr>
          <w:p w14:paraId="6BF7C4EF" w14:textId="77777777" w:rsidR="00C90CB6" w:rsidRPr="00D3269D" w:rsidRDefault="00C90CB6" w:rsidP="00DC323F">
            <w:pPr>
              <w:spacing w:before="60"/>
              <w:jc w:val="both"/>
              <w:rPr>
                <w:rFonts w:asciiTheme="majorHAnsi" w:hAnsiTheme="majorHAnsi" w:cstheme="majorHAnsi"/>
                <w:b/>
                <w:bCs/>
                <w:lang w:val="vi-VN"/>
              </w:rPr>
            </w:pPr>
            <w:r w:rsidRPr="00D3269D">
              <w:rPr>
                <w:rFonts w:asciiTheme="majorHAnsi" w:hAnsiTheme="majorHAnsi" w:cstheme="majorHAnsi"/>
                <w:lang w:val="en-US"/>
              </w:rPr>
              <w:t>INF</w:t>
            </w:r>
          </w:p>
        </w:tc>
        <w:tc>
          <w:tcPr>
            <w:tcW w:w="1240" w:type="dxa"/>
          </w:tcPr>
          <w:p w14:paraId="1B4AECD4" w14:textId="312F1D8F" w:rsidR="00C90CB6" w:rsidRPr="00D3269D" w:rsidRDefault="00C90CB6" w:rsidP="00DC323F">
            <w:pPr>
              <w:spacing w:before="60"/>
              <w:jc w:val="both"/>
              <w:rPr>
                <w:rFonts w:asciiTheme="majorHAnsi" w:hAnsiTheme="majorHAnsi" w:cstheme="majorHAnsi"/>
                <w:vertAlign w:val="superscript"/>
                <w:lang w:val="en-US"/>
              </w:rPr>
            </w:pPr>
            <w:r w:rsidRPr="00D3269D">
              <w:rPr>
                <w:rFonts w:asciiTheme="majorHAnsi" w:hAnsiTheme="majorHAnsi" w:cstheme="majorHAnsi"/>
                <w:lang w:val="vi-VN"/>
              </w:rPr>
              <w:t>-</w:t>
            </w:r>
            <w:r w:rsidRPr="00D3269D">
              <w:rPr>
                <w:rFonts w:asciiTheme="majorHAnsi" w:hAnsiTheme="majorHAnsi" w:cstheme="majorHAnsi"/>
                <w:lang w:val="en-US"/>
              </w:rPr>
              <w:t>0</w:t>
            </w:r>
            <w:r w:rsidR="00302D5B">
              <w:rPr>
                <w:rFonts w:asciiTheme="majorHAnsi" w:hAnsiTheme="majorHAnsi" w:cstheme="majorHAnsi"/>
                <w:lang w:val="en-US"/>
              </w:rPr>
              <w:t>,</w:t>
            </w:r>
            <w:r w:rsidRPr="00D3269D">
              <w:rPr>
                <w:rFonts w:asciiTheme="majorHAnsi" w:hAnsiTheme="majorHAnsi" w:cstheme="majorHAnsi"/>
                <w:lang w:val="en-US"/>
              </w:rPr>
              <w:t>0179</w:t>
            </w:r>
            <w:r w:rsidRPr="00D3269D">
              <w:rPr>
                <w:rFonts w:asciiTheme="majorHAnsi" w:hAnsiTheme="majorHAnsi" w:cstheme="majorHAnsi"/>
                <w:vertAlign w:val="superscript"/>
                <w:lang w:val="en-US"/>
              </w:rPr>
              <w:t>***</w:t>
            </w:r>
          </w:p>
        </w:tc>
        <w:tc>
          <w:tcPr>
            <w:tcW w:w="1140" w:type="dxa"/>
          </w:tcPr>
          <w:p w14:paraId="246C38FD" w14:textId="16B22581" w:rsidR="00C90CB6" w:rsidRPr="00D3269D" w:rsidRDefault="00C90CB6" w:rsidP="00DC323F">
            <w:pPr>
              <w:spacing w:before="60"/>
              <w:jc w:val="both"/>
              <w:rPr>
                <w:rFonts w:asciiTheme="majorHAnsi" w:hAnsiTheme="majorHAnsi" w:cstheme="majorHAnsi"/>
                <w:vertAlign w:val="superscript"/>
                <w:lang w:val="vi-VN"/>
              </w:rPr>
            </w:pPr>
            <w:r w:rsidRPr="00D3269D">
              <w:rPr>
                <w:rFonts w:asciiTheme="majorHAnsi" w:hAnsiTheme="majorHAnsi" w:cstheme="majorHAnsi"/>
                <w:lang w:val="en-US"/>
              </w:rPr>
              <w:t>0</w:t>
            </w:r>
            <w:r w:rsidR="00302D5B">
              <w:rPr>
                <w:rFonts w:asciiTheme="majorHAnsi" w:hAnsiTheme="majorHAnsi" w:cstheme="majorHAnsi"/>
                <w:lang w:val="vi-VN"/>
              </w:rPr>
              <w:t>,</w:t>
            </w:r>
            <w:r>
              <w:rPr>
                <w:rFonts w:asciiTheme="majorHAnsi" w:hAnsiTheme="majorHAnsi" w:cstheme="majorHAnsi"/>
                <w:lang w:val="vi-VN"/>
              </w:rPr>
              <w:t>0003</w:t>
            </w:r>
          </w:p>
        </w:tc>
        <w:tc>
          <w:tcPr>
            <w:tcW w:w="1132" w:type="dxa"/>
          </w:tcPr>
          <w:p w14:paraId="66D30FAF" w14:textId="2D27A1B9" w:rsidR="00C90CB6" w:rsidRPr="00D3269D" w:rsidRDefault="00C90CB6" w:rsidP="00DC323F">
            <w:pPr>
              <w:spacing w:before="60"/>
              <w:jc w:val="both"/>
              <w:rPr>
                <w:rFonts w:asciiTheme="majorHAnsi" w:hAnsiTheme="majorHAnsi" w:cstheme="majorHAnsi"/>
                <w:highlight w:val="yellow"/>
                <w:vertAlign w:val="superscript"/>
                <w:lang w:val="vi-VN"/>
              </w:rPr>
            </w:pPr>
            <w:r w:rsidRPr="00D3269D">
              <w:rPr>
                <w:rFonts w:asciiTheme="majorHAnsi" w:hAnsiTheme="majorHAnsi" w:cstheme="majorHAnsi"/>
                <w:lang w:val="vi-VN"/>
              </w:rPr>
              <w:t>-</w:t>
            </w:r>
            <w:r w:rsidRPr="00D3269D">
              <w:rPr>
                <w:rFonts w:asciiTheme="majorHAnsi" w:hAnsiTheme="majorHAnsi" w:cstheme="majorHAnsi"/>
                <w:lang w:val="en-US"/>
              </w:rPr>
              <w:t>0</w:t>
            </w:r>
            <w:r w:rsidR="00302D5B">
              <w:rPr>
                <w:rFonts w:asciiTheme="majorHAnsi" w:hAnsiTheme="majorHAnsi" w:cstheme="majorHAnsi"/>
                <w:lang w:val="en-US"/>
              </w:rPr>
              <w:t>,</w:t>
            </w:r>
            <w:r w:rsidR="005277FA">
              <w:rPr>
                <w:rFonts w:asciiTheme="majorHAnsi" w:hAnsiTheme="majorHAnsi" w:cstheme="majorHAnsi"/>
                <w:lang w:val="en-US"/>
              </w:rPr>
              <w:t>0096</w:t>
            </w:r>
            <w:r w:rsidRPr="00D3269D">
              <w:rPr>
                <w:rFonts w:asciiTheme="majorHAnsi" w:hAnsiTheme="majorHAnsi" w:cstheme="majorHAnsi"/>
                <w:vertAlign w:val="superscript"/>
                <w:lang w:val="vi-VN"/>
              </w:rPr>
              <w:t>**</w:t>
            </w:r>
          </w:p>
        </w:tc>
      </w:tr>
      <w:tr w:rsidR="00C90CB6" w:rsidRPr="00D3269D" w14:paraId="66524CF2" w14:textId="77777777" w:rsidTr="00C90CB6">
        <w:trPr>
          <w:jc w:val="center"/>
        </w:trPr>
        <w:tc>
          <w:tcPr>
            <w:tcW w:w="2030" w:type="dxa"/>
          </w:tcPr>
          <w:p w14:paraId="2B5D91D2" w14:textId="77777777" w:rsidR="00C90CB6" w:rsidRPr="00D3269D" w:rsidRDefault="00C90CB6" w:rsidP="00DC323F">
            <w:pPr>
              <w:spacing w:before="60"/>
              <w:jc w:val="both"/>
              <w:rPr>
                <w:rFonts w:asciiTheme="majorHAnsi" w:hAnsiTheme="majorHAnsi" w:cstheme="majorHAnsi"/>
                <w:lang w:val="en-US"/>
              </w:rPr>
            </w:pPr>
            <w:r w:rsidRPr="00D3269D">
              <w:rPr>
                <w:rFonts w:asciiTheme="majorHAnsi" w:hAnsiTheme="majorHAnsi" w:cstheme="majorHAnsi"/>
                <w:lang w:val="en-US"/>
              </w:rPr>
              <w:t>GDP</w:t>
            </w:r>
          </w:p>
        </w:tc>
        <w:tc>
          <w:tcPr>
            <w:tcW w:w="1240" w:type="dxa"/>
          </w:tcPr>
          <w:p w14:paraId="3FAFE521" w14:textId="4FAA5B4B" w:rsidR="00C90CB6" w:rsidRPr="00D3269D" w:rsidRDefault="00C90CB6" w:rsidP="00DC323F">
            <w:pPr>
              <w:spacing w:before="60"/>
              <w:jc w:val="both"/>
              <w:rPr>
                <w:rFonts w:asciiTheme="majorHAnsi" w:hAnsiTheme="majorHAnsi" w:cstheme="majorHAnsi"/>
                <w:vertAlign w:val="superscript"/>
                <w:lang w:val="vi-VN"/>
              </w:rPr>
            </w:pPr>
            <w:r w:rsidRPr="00D3269D">
              <w:rPr>
                <w:rFonts w:asciiTheme="majorHAnsi" w:hAnsiTheme="majorHAnsi" w:cstheme="majorHAnsi"/>
                <w:lang w:val="vi-VN"/>
              </w:rPr>
              <w:t>-</w:t>
            </w:r>
            <w:r w:rsidRPr="00D3269D">
              <w:rPr>
                <w:rFonts w:asciiTheme="majorHAnsi" w:hAnsiTheme="majorHAnsi" w:cstheme="majorHAnsi"/>
                <w:lang w:val="en-US"/>
              </w:rPr>
              <w:t>0</w:t>
            </w:r>
            <w:r w:rsidR="00302D5B">
              <w:rPr>
                <w:rFonts w:asciiTheme="majorHAnsi" w:hAnsiTheme="majorHAnsi" w:cstheme="majorHAnsi"/>
                <w:lang w:val="en-US"/>
              </w:rPr>
              <w:t>,</w:t>
            </w:r>
            <w:r w:rsidRPr="00D3269D">
              <w:rPr>
                <w:rFonts w:asciiTheme="majorHAnsi" w:hAnsiTheme="majorHAnsi" w:cstheme="majorHAnsi"/>
                <w:lang w:val="en-US"/>
              </w:rPr>
              <w:t>0421</w:t>
            </w:r>
            <w:r w:rsidRPr="00D3269D">
              <w:rPr>
                <w:rFonts w:asciiTheme="majorHAnsi" w:hAnsiTheme="majorHAnsi" w:cstheme="majorHAnsi"/>
                <w:vertAlign w:val="superscript"/>
                <w:lang w:val="en-US"/>
              </w:rPr>
              <w:t>*</w:t>
            </w:r>
            <w:r w:rsidRPr="00D3269D">
              <w:rPr>
                <w:rFonts w:asciiTheme="majorHAnsi" w:hAnsiTheme="majorHAnsi" w:cstheme="majorHAnsi"/>
                <w:vertAlign w:val="superscript"/>
                <w:lang w:val="vi-VN"/>
              </w:rPr>
              <w:t>**</w:t>
            </w:r>
          </w:p>
        </w:tc>
        <w:tc>
          <w:tcPr>
            <w:tcW w:w="1140" w:type="dxa"/>
          </w:tcPr>
          <w:p w14:paraId="59F5F389" w14:textId="408944DE" w:rsidR="00C90CB6" w:rsidRPr="00D3269D" w:rsidRDefault="00C90CB6" w:rsidP="00DC323F">
            <w:pPr>
              <w:spacing w:before="60"/>
              <w:jc w:val="both"/>
              <w:rPr>
                <w:rFonts w:asciiTheme="majorHAnsi" w:hAnsiTheme="majorHAnsi" w:cstheme="majorHAnsi"/>
                <w:vertAlign w:val="superscript"/>
                <w:lang w:val="en-US"/>
              </w:rPr>
            </w:pPr>
            <w:r w:rsidRPr="00D3269D">
              <w:rPr>
                <w:rFonts w:asciiTheme="majorHAnsi" w:hAnsiTheme="majorHAnsi" w:cstheme="majorHAnsi"/>
                <w:lang w:val="vi-VN"/>
              </w:rPr>
              <w:t>-</w:t>
            </w:r>
            <w:r w:rsidRPr="00D3269D">
              <w:rPr>
                <w:rFonts w:asciiTheme="majorHAnsi" w:hAnsiTheme="majorHAnsi" w:cstheme="majorHAnsi"/>
                <w:lang w:val="en-US"/>
              </w:rPr>
              <w:t>0</w:t>
            </w:r>
            <w:r w:rsidR="00302D5B">
              <w:rPr>
                <w:rFonts w:asciiTheme="majorHAnsi" w:hAnsiTheme="majorHAnsi" w:cstheme="majorHAnsi"/>
                <w:lang w:val="en-US"/>
              </w:rPr>
              <w:t>,</w:t>
            </w:r>
            <w:r>
              <w:rPr>
                <w:rFonts w:asciiTheme="majorHAnsi" w:hAnsiTheme="majorHAnsi" w:cstheme="majorHAnsi"/>
                <w:lang w:val="en-US"/>
              </w:rPr>
              <w:t>0269</w:t>
            </w:r>
            <w:r w:rsidRPr="00D3269D">
              <w:rPr>
                <w:rFonts w:asciiTheme="majorHAnsi" w:hAnsiTheme="majorHAnsi" w:cstheme="majorHAnsi"/>
                <w:vertAlign w:val="superscript"/>
                <w:lang w:val="en-US"/>
              </w:rPr>
              <w:t>*</w:t>
            </w:r>
            <w:r w:rsidRPr="00D3269D">
              <w:rPr>
                <w:rFonts w:asciiTheme="majorHAnsi" w:hAnsiTheme="majorHAnsi" w:cstheme="majorHAnsi"/>
                <w:vertAlign w:val="superscript"/>
                <w:lang w:val="vi-VN"/>
              </w:rPr>
              <w:t>*</w:t>
            </w:r>
            <w:r w:rsidRPr="00D3269D">
              <w:rPr>
                <w:rFonts w:asciiTheme="majorHAnsi" w:hAnsiTheme="majorHAnsi" w:cstheme="majorHAnsi"/>
                <w:vertAlign w:val="superscript"/>
                <w:lang w:val="en-US"/>
              </w:rPr>
              <w:t>*</w:t>
            </w:r>
          </w:p>
        </w:tc>
        <w:tc>
          <w:tcPr>
            <w:tcW w:w="1132" w:type="dxa"/>
          </w:tcPr>
          <w:p w14:paraId="4B8CB2B9" w14:textId="10F026DD" w:rsidR="00C90CB6" w:rsidRPr="00D3269D" w:rsidRDefault="00C90CB6" w:rsidP="00DC323F">
            <w:pPr>
              <w:spacing w:before="60"/>
              <w:jc w:val="both"/>
              <w:rPr>
                <w:rFonts w:asciiTheme="majorHAnsi" w:hAnsiTheme="majorHAnsi" w:cstheme="majorHAnsi"/>
                <w:highlight w:val="yellow"/>
                <w:vertAlign w:val="superscript"/>
                <w:lang w:val="en-US"/>
              </w:rPr>
            </w:pPr>
            <w:r w:rsidRPr="00D3269D">
              <w:rPr>
                <w:rFonts w:asciiTheme="majorHAnsi" w:hAnsiTheme="majorHAnsi" w:cstheme="majorHAnsi"/>
                <w:lang w:val="vi-VN"/>
              </w:rPr>
              <w:t>-</w:t>
            </w:r>
            <w:r w:rsidRPr="00D3269D">
              <w:rPr>
                <w:rFonts w:asciiTheme="majorHAnsi" w:hAnsiTheme="majorHAnsi" w:cstheme="majorHAnsi"/>
                <w:lang w:val="en-US"/>
              </w:rPr>
              <w:t>0</w:t>
            </w:r>
            <w:r w:rsidR="00302D5B">
              <w:rPr>
                <w:rFonts w:asciiTheme="majorHAnsi" w:hAnsiTheme="majorHAnsi" w:cstheme="majorHAnsi"/>
                <w:lang w:val="en-US"/>
              </w:rPr>
              <w:t>,</w:t>
            </w:r>
            <w:r w:rsidR="005277FA">
              <w:rPr>
                <w:rFonts w:asciiTheme="majorHAnsi" w:hAnsiTheme="majorHAnsi" w:cstheme="majorHAnsi"/>
                <w:lang w:val="en-US"/>
              </w:rPr>
              <w:t>0286</w:t>
            </w:r>
            <w:r w:rsidRPr="00D3269D">
              <w:rPr>
                <w:rFonts w:asciiTheme="majorHAnsi" w:hAnsiTheme="majorHAnsi" w:cstheme="majorHAnsi"/>
                <w:vertAlign w:val="superscript"/>
                <w:lang w:val="en-US"/>
              </w:rPr>
              <w:t>***</w:t>
            </w:r>
          </w:p>
        </w:tc>
      </w:tr>
      <w:tr w:rsidR="005277FA" w:rsidRPr="00D3269D" w14:paraId="2563DF11" w14:textId="77777777" w:rsidTr="00C90CB6">
        <w:trPr>
          <w:jc w:val="center"/>
        </w:trPr>
        <w:tc>
          <w:tcPr>
            <w:tcW w:w="2030" w:type="dxa"/>
          </w:tcPr>
          <w:p w14:paraId="7E5EC5AA" w14:textId="26344296" w:rsidR="005277FA" w:rsidRPr="00D3269D" w:rsidRDefault="005277FA" w:rsidP="00DC323F">
            <w:pPr>
              <w:spacing w:before="60"/>
              <w:jc w:val="both"/>
              <w:rPr>
                <w:rFonts w:asciiTheme="majorHAnsi" w:hAnsiTheme="majorHAnsi" w:cstheme="majorHAnsi"/>
                <w:lang w:val="vi-VN"/>
              </w:rPr>
            </w:pPr>
            <w:r>
              <w:rPr>
                <w:rFonts w:asciiTheme="majorHAnsi" w:hAnsiTheme="majorHAnsi" w:cstheme="majorHAnsi"/>
                <w:lang w:val="vi-VN"/>
              </w:rPr>
              <w:t>state</w:t>
            </w:r>
            <w:r w:rsidRPr="00D3269D">
              <w:rPr>
                <w:rFonts w:asciiTheme="majorHAnsi" w:hAnsiTheme="majorHAnsi" w:cstheme="majorHAnsi"/>
                <w:lang w:val="vi-VN"/>
              </w:rPr>
              <w:t>dum</w:t>
            </w:r>
          </w:p>
        </w:tc>
        <w:tc>
          <w:tcPr>
            <w:tcW w:w="1240" w:type="dxa"/>
          </w:tcPr>
          <w:p w14:paraId="14D1FE3A" w14:textId="77777777" w:rsidR="005277FA" w:rsidRPr="00D3269D" w:rsidRDefault="005277FA" w:rsidP="00DC323F">
            <w:pPr>
              <w:spacing w:before="60"/>
              <w:jc w:val="both"/>
              <w:rPr>
                <w:rFonts w:asciiTheme="majorHAnsi" w:hAnsiTheme="majorHAnsi" w:cstheme="majorHAnsi"/>
                <w:vertAlign w:val="superscript"/>
                <w:lang w:val="vi-VN"/>
              </w:rPr>
            </w:pPr>
          </w:p>
        </w:tc>
        <w:tc>
          <w:tcPr>
            <w:tcW w:w="1140" w:type="dxa"/>
          </w:tcPr>
          <w:p w14:paraId="5712A719" w14:textId="3AFAC74E" w:rsidR="005277FA" w:rsidRPr="00D3269D" w:rsidRDefault="005277FA" w:rsidP="00DC323F">
            <w:pPr>
              <w:spacing w:before="60"/>
              <w:jc w:val="both"/>
              <w:rPr>
                <w:rFonts w:asciiTheme="majorHAnsi" w:hAnsiTheme="majorHAnsi" w:cstheme="majorHAnsi"/>
                <w:vertAlign w:val="superscript"/>
                <w:lang w:val="vi-VN"/>
              </w:rPr>
            </w:pPr>
            <w:r w:rsidRPr="00D3269D">
              <w:rPr>
                <w:rFonts w:asciiTheme="majorHAnsi" w:hAnsiTheme="majorHAnsi" w:cstheme="majorHAnsi"/>
                <w:lang w:val="vi-VN"/>
              </w:rPr>
              <w:t>-</w:t>
            </w:r>
            <w:r w:rsidRPr="00D3269D">
              <w:rPr>
                <w:rFonts w:asciiTheme="majorHAnsi" w:hAnsiTheme="majorHAnsi" w:cstheme="majorHAnsi"/>
                <w:lang w:val="en-US"/>
              </w:rPr>
              <w:t>0</w:t>
            </w:r>
            <w:r w:rsidR="00302D5B">
              <w:rPr>
                <w:rFonts w:asciiTheme="majorHAnsi" w:hAnsiTheme="majorHAnsi" w:cstheme="majorHAnsi"/>
                <w:lang w:val="en-US"/>
              </w:rPr>
              <w:t>,</w:t>
            </w:r>
            <w:r>
              <w:rPr>
                <w:rFonts w:asciiTheme="majorHAnsi" w:hAnsiTheme="majorHAnsi" w:cstheme="majorHAnsi"/>
                <w:lang w:val="en-US"/>
              </w:rPr>
              <w:t>0461</w:t>
            </w:r>
            <w:r w:rsidRPr="00D3269D">
              <w:rPr>
                <w:rFonts w:asciiTheme="majorHAnsi" w:hAnsiTheme="majorHAnsi" w:cstheme="majorHAnsi"/>
                <w:vertAlign w:val="superscript"/>
                <w:lang w:val="en-US"/>
              </w:rPr>
              <w:t>*</w:t>
            </w:r>
            <w:r w:rsidRPr="00D3269D">
              <w:rPr>
                <w:rFonts w:asciiTheme="majorHAnsi" w:hAnsiTheme="majorHAnsi" w:cstheme="majorHAnsi"/>
                <w:vertAlign w:val="superscript"/>
                <w:lang w:val="vi-VN"/>
              </w:rPr>
              <w:t>*</w:t>
            </w:r>
            <w:r w:rsidRPr="00D3269D">
              <w:rPr>
                <w:rFonts w:asciiTheme="majorHAnsi" w:hAnsiTheme="majorHAnsi" w:cstheme="majorHAnsi"/>
                <w:vertAlign w:val="superscript"/>
                <w:lang w:val="en-US"/>
              </w:rPr>
              <w:t>*</w:t>
            </w:r>
          </w:p>
        </w:tc>
        <w:tc>
          <w:tcPr>
            <w:tcW w:w="1132" w:type="dxa"/>
          </w:tcPr>
          <w:p w14:paraId="01A1547C" w14:textId="0353BC25" w:rsidR="005277FA" w:rsidRPr="00D3269D" w:rsidRDefault="005277FA" w:rsidP="00DC323F">
            <w:pPr>
              <w:spacing w:before="60"/>
              <w:jc w:val="both"/>
              <w:rPr>
                <w:rFonts w:asciiTheme="majorHAnsi" w:hAnsiTheme="majorHAnsi" w:cstheme="majorHAnsi"/>
                <w:highlight w:val="yellow"/>
                <w:vertAlign w:val="superscript"/>
                <w:lang w:val="vi-VN"/>
              </w:rPr>
            </w:pPr>
            <w:r w:rsidRPr="00D3269D">
              <w:rPr>
                <w:rFonts w:asciiTheme="majorHAnsi" w:hAnsiTheme="majorHAnsi" w:cstheme="majorHAnsi"/>
                <w:lang w:val="vi-VN"/>
              </w:rPr>
              <w:t>-</w:t>
            </w:r>
            <w:r w:rsidRPr="00D3269D">
              <w:rPr>
                <w:rFonts w:asciiTheme="majorHAnsi" w:hAnsiTheme="majorHAnsi" w:cstheme="majorHAnsi"/>
                <w:lang w:val="en-US"/>
              </w:rPr>
              <w:t>0</w:t>
            </w:r>
            <w:r w:rsidR="00302D5B">
              <w:rPr>
                <w:rFonts w:asciiTheme="majorHAnsi" w:hAnsiTheme="majorHAnsi" w:cstheme="majorHAnsi"/>
                <w:lang w:val="en-US"/>
              </w:rPr>
              <w:t>,</w:t>
            </w:r>
            <w:r>
              <w:rPr>
                <w:rFonts w:asciiTheme="majorHAnsi" w:hAnsiTheme="majorHAnsi" w:cstheme="majorHAnsi"/>
                <w:lang w:val="en-US"/>
              </w:rPr>
              <w:t>2461</w:t>
            </w:r>
            <w:r w:rsidRPr="00D3269D">
              <w:rPr>
                <w:rFonts w:asciiTheme="majorHAnsi" w:hAnsiTheme="majorHAnsi" w:cstheme="majorHAnsi"/>
                <w:vertAlign w:val="superscript"/>
                <w:lang w:val="en-US"/>
              </w:rPr>
              <w:t>*</w:t>
            </w:r>
            <w:r w:rsidRPr="00D3269D">
              <w:rPr>
                <w:rFonts w:asciiTheme="majorHAnsi" w:hAnsiTheme="majorHAnsi" w:cstheme="majorHAnsi"/>
                <w:vertAlign w:val="superscript"/>
                <w:lang w:val="vi-VN"/>
              </w:rPr>
              <w:t>*</w:t>
            </w:r>
            <w:r w:rsidRPr="00D3269D">
              <w:rPr>
                <w:rFonts w:asciiTheme="majorHAnsi" w:hAnsiTheme="majorHAnsi" w:cstheme="majorHAnsi"/>
                <w:vertAlign w:val="superscript"/>
                <w:lang w:val="en-US"/>
              </w:rPr>
              <w:t>*</w:t>
            </w:r>
          </w:p>
        </w:tc>
      </w:tr>
      <w:tr w:rsidR="005277FA" w:rsidRPr="00D3269D" w14:paraId="5CFEC9CF" w14:textId="77777777" w:rsidTr="00C90CB6">
        <w:trPr>
          <w:jc w:val="center"/>
        </w:trPr>
        <w:tc>
          <w:tcPr>
            <w:tcW w:w="2030" w:type="dxa"/>
          </w:tcPr>
          <w:p w14:paraId="037166FF" w14:textId="647BFE86" w:rsidR="005277FA" w:rsidRPr="00D3269D" w:rsidRDefault="005277FA" w:rsidP="00DC323F">
            <w:pPr>
              <w:spacing w:before="60"/>
              <w:jc w:val="both"/>
              <w:rPr>
                <w:rFonts w:asciiTheme="majorHAnsi" w:hAnsiTheme="majorHAnsi" w:cstheme="majorHAnsi"/>
                <w:lang w:val="vi-VN"/>
              </w:rPr>
            </w:pPr>
            <w:r>
              <w:rPr>
                <w:rFonts w:asciiTheme="majorHAnsi" w:hAnsiTheme="majorHAnsi" w:cstheme="majorHAnsi"/>
                <w:lang w:val="vi-VN"/>
              </w:rPr>
              <w:t>ICTstate</w:t>
            </w:r>
          </w:p>
        </w:tc>
        <w:tc>
          <w:tcPr>
            <w:tcW w:w="1240" w:type="dxa"/>
          </w:tcPr>
          <w:p w14:paraId="3088F39E" w14:textId="77777777" w:rsidR="005277FA" w:rsidRPr="00D3269D" w:rsidRDefault="005277FA" w:rsidP="00DC323F">
            <w:pPr>
              <w:spacing w:before="60"/>
              <w:jc w:val="both"/>
              <w:rPr>
                <w:rFonts w:asciiTheme="majorHAnsi" w:hAnsiTheme="majorHAnsi" w:cstheme="majorHAnsi"/>
                <w:lang w:val="vi-VN"/>
              </w:rPr>
            </w:pPr>
          </w:p>
        </w:tc>
        <w:tc>
          <w:tcPr>
            <w:tcW w:w="1140" w:type="dxa"/>
          </w:tcPr>
          <w:p w14:paraId="10F6C9F8" w14:textId="77777777" w:rsidR="005277FA" w:rsidRPr="00D3269D" w:rsidRDefault="005277FA" w:rsidP="00DC323F">
            <w:pPr>
              <w:spacing w:before="60"/>
              <w:jc w:val="both"/>
              <w:rPr>
                <w:rFonts w:asciiTheme="majorHAnsi" w:hAnsiTheme="majorHAnsi" w:cstheme="majorHAnsi"/>
                <w:lang w:val="vi-VN"/>
              </w:rPr>
            </w:pPr>
          </w:p>
        </w:tc>
        <w:tc>
          <w:tcPr>
            <w:tcW w:w="1132" w:type="dxa"/>
          </w:tcPr>
          <w:p w14:paraId="66AEF334" w14:textId="59DC9C0B" w:rsidR="005277FA" w:rsidRPr="00D3269D" w:rsidRDefault="005277FA" w:rsidP="00DC323F">
            <w:pPr>
              <w:spacing w:before="60"/>
              <w:jc w:val="both"/>
              <w:rPr>
                <w:rFonts w:asciiTheme="majorHAnsi" w:hAnsiTheme="majorHAnsi" w:cstheme="majorHAnsi"/>
                <w:highlight w:val="yellow"/>
                <w:vertAlign w:val="superscript"/>
                <w:lang w:val="vi-VN"/>
              </w:rPr>
            </w:pPr>
            <w:r w:rsidRPr="00D3269D">
              <w:rPr>
                <w:rFonts w:asciiTheme="majorHAnsi" w:hAnsiTheme="majorHAnsi" w:cstheme="majorHAnsi"/>
                <w:lang w:val="vi-VN"/>
              </w:rPr>
              <w:t>0</w:t>
            </w:r>
            <w:r w:rsidR="00302D5B">
              <w:rPr>
                <w:rFonts w:asciiTheme="majorHAnsi" w:hAnsiTheme="majorHAnsi" w:cstheme="majorHAnsi"/>
                <w:lang w:val="vi-VN"/>
              </w:rPr>
              <w:t>,</w:t>
            </w:r>
            <w:r>
              <w:rPr>
                <w:rFonts w:asciiTheme="majorHAnsi" w:hAnsiTheme="majorHAnsi" w:cstheme="majorHAnsi"/>
                <w:lang w:val="vi-VN"/>
              </w:rPr>
              <w:t>5478</w:t>
            </w:r>
            <w:r w:rsidRPr="00D3269D">
              <w:rPr>
                <w:rFonts w:asciiTheme="majorHAnsi" w:hAnsiTheme="majorHAnsi" w:cstheme="majorHAnsi"/>
                <w:vertAlign w:val="superscript"/>
                <w:lang w:val="vi-VN"/>
              </w:rPr>
              <w:t>***</w:t>
            </w:r>
          </w:p>
        </w:tc>
      </w:tr>
      <w:tr w:rsidR="005277FA" w:rsidRPr="00D3269D" w14:paraId="153CB15A" w14:textId="77777777" w:rsidTr="00C90CB6">
        <w:trPr>
          <w:jc w:val="center"/>
        </w:trPr>
        <w:tc>
          <w:tcPr>
            <w:tcW w:w="2030" w:type="dxa"/>
            <w:tcBorders>
              <w:top w:val="single" w:sz="4" w:space="0" w:color="auto"/>
            </w:tcBorders>
          </w:tcPr>
          <w:p w14:paraId="3196A26A" w14:textId="117F8828" w:rsidR="005277FA" w:rsidRPr="00C90CB6" w:rsidRDefault="005277FA" w:rsidP="00DC323F">
            <w:pPr>
              <w:spacing w:before="60"/>
              <w:jc w:val="both"/>
              <w:rPr>
                <w:rFonts w:asciiTheme="majorHAnsi" w:hAnsiTheme="majorHAnsi" w:cstheme="majorHAnsi"/>
                <w:lang w:val="vi-VN"/>
              </w:rPr>
            </w:pPr>
            <w:r>
              <w:rPr>
                <w:rFonts w:asciiTheme="majorHAnsi" w:hAnsiTheme="majorHAnsi" w:cstheme="majorHAnsi"/>
                <w:lang w:val="en-US"/>
              </w:rPr>
              <w:t>Số</w:t>
            </w:r>
            <w:r>
              <w:rPr>
                <w:rFonts w:asciiTheme="majorHAnsi" w:hAnsiTheme="majorHAnsi" w:cstheme="majorHAnsi"/>
                <w:lang w:val="vi-VN"/>
              </w:rPr>
              <w:t xml:space="preserve"> nhóm</w:t>
            </w:r>
          </w:p>
        </w:tc>
        <w:tc>
          <w:tcPr>
            <w:tcW w:w="1240" w:type="dxa"/>
            <w:tcBorders>
              <w:top w:val="single" w:sz="4" w:space="0" w:color="auto"/>
            </w:tcBorders>
          </w:tcPr>
          <w:p w14:paraId="7AE1943F" w14:textId="77777777" w:rsidR="005277FA" w:rsidRPr="00D3269D" w:rsidRDefault="005277FA" w:rsidP="00DC323F">
            <w:pPr>
              <w:spacing w:before="60"/>
              <w:jc w:val="both"/>
              <w:rPr>
                <w:rFonts w:asciiTheme="majorHAnsi" w:hAnsiTheme="majorHAnsi" w:cstheme="majorHAnsi"/>
                <w:lang w:val="vi-VN"/>
              </w:rPr>
            </w:pPr>
            <w:r w:rsidRPr="00D3269D">
              <w:rPr>
                <w:rFonts w:asciiTheme="majorHAnsi" w:hAnsiTheme="majorHAnsi" w:cstheme="majorHAnsi"/>
                <w:lang w:val="vi-VN"/>
              </w:rPr>
              <w:t>26</w:t>
            </w:r>
          </w:p>
        </w:tc>
        <w:tc>
          <w:tcPr>
            <w:tcW w:w="1140" w:type="dxa"/>
            <w:tcBorders>
              <w:top w:val="single" w:sz="4" w:space="0" w:color="auto"/>
            </w:tcBorders>
          </w:tcPr>
          <w:p w14:paraId="3B0129A0" w14:textId="77777777" w:rsidR="005277FA" w:rsidRPr="00D3269D" w:rsidRDefault="005277FA" w:rsidP="00DC323F">
            <w:pPr>
              <w:spacing w:before="60"/>
              <w:jc w:val="both"/>
              <w:rPr>
                <w:rFonts w:asciiTheme="majorHAnsi" w:hAnsiTheme="majorHAnsi" w:cstheme="majorHAnsi"/>
                <w:lang w:val="vi-VN"/>
              </w:rPr>
            </w:pPr>
            <w:r w:rsidRPr="00D3269D">
              <w:rPr>
                <w:rFonts w:asciiTheme="majorHAnsi" w:hAnsiTheme="majorHAnsi" w:cstheme="majorHAnsi"/>
                <w:lang w:val="vi-VN"/>
              </w:rPr>
              <w:t>26</w:t>
            </w:r>
          </w:p>
        </w:tc>
        <w:tc>
          <w:tcPr>
            <w:tcW w:w="1132" w:type="dxa"/>
            <w:tcBorders>
              <w:top w:val="single" w:sz="4" w:space="0" w:color="auto"/>
            </w:tcBorders>
          </w:tcPr>
          <w:p w14:paraId="36A6B8F7" w14:textId="77777777" w:rsidR="005277FA" w:rsidRPr="00D3269D" w:rsidRDefault="005277FA" w:rsidP="00DC323F">
            <w:pPr>
              <w:spacing w:before="60"/>
              <w:jc w:val="both"/>
              <w:rPr>
                <w:rFonts w:asciiTheme="majorHAnsi" w:hAnsiTheme="majorHAnsi" w:cstheme="majorHAnsi"/>
                <w:highlight w:val="yellow"/>
                <w:lang w:val="en-US"/>
              </w:rPr>
            </w:pPr>
            <w:r w:rsidRPr="00D3269D">
              <w:rPr>
                <w:rFonts w:asciiTheme="majorHAnsi" w:hAnsiTheme="majorHAnsi" w:cstheme="majorHAnsi"/>
                <w:lang w:val="vi-VN"/>
              </w:rPr>
              <w:t>26</w:t>
            </w:r>
          </w:p>
        </w:tc>
      </w:tr>
      <w:tr w:rsidR="005277FA" w:rsidRPr="00D3269D" w14:paraId="447CE7DF" w14:textId="77777777" w:rsidTr="00C90CB6">
        <w:trPr>
          <w:jc w:val="center"/>
        </w:trPr>
        <w:tc>
          <w:tcPr>
            <w:tcW w:w="2030" w:type="dxa"/>
          </w:tcPr>
          <w:p w14:paraId="546C95AC" w14:textId="414158C9" w:rsidR="005277FA" w:rsidRPr="00C90CB6" w:rsidRDefault="005277FA" w:rsidP="00DC323F">
            <w:pPr>
              <w:spacing w:before="60"/>
              <w:jc w:val="both"/>
              <w:rPr>
                <w:rFonts w:asciiTheme="majorHAnsi" w:hAnsiTheme="majorHAnsi" w:cstheme="majorHAnsi"/>
                <w:lang w:val="vi-VN"/>
              </w:rPr>
            </w:pPr>
            <w:r>
              <w:rPr>
                <w:rFonts w:asciiTheme="majorHAnsi" w:hAnsiTheme="majorHAnsi" w:cstheme="majorHAnsi"/>
                <w:lang w:val="en-US"/>
              </w:rPr>
              <w:t>Số</w:t>
            </w:r>
            <w:r>
              <w:rPr>
                <w:rFonts w:asciiTheme="majorHAnsi" w:hAnsiTheme="majorHAnsi" w:cstheme="majorHAnsi"/>
                <w:lang w:val="vi-VN"/>
              </w:rPr>
              <w:t xml:space="preserve"> công cụ</w:t>
            </w:r>
          </w:p>
        </w:tc>
        <w:tc>
          <w:tcPr>
            <w:tcW w:w="1240" w:type="dxa"/>
          </w:tcPr>
          <w:p w14:paraId="64B6C85D" w14:textId="77777777" w:rsidR="005277FA" w:rsidRPr="00D3269D" w:rsidRDefault="005277FA" w:rsidP="00DC323F">
            <w:pPr>
              <w:spacing w:before="60"/>
              <w:jc w:val="both"/>
              <w:rPr>
                <w:rFonts w:asciiTheme="majorHAnsi" w:hAnsiTheme="majorHAnsi" w:cstheme="majorHAnsi"/>
                <w:lang w:val="vi-VN"/>
              </w:rPr>
            </w:pPr>
            <w:r w:rsidRPr="00D3269D">
              <w:rPr>
                <w:rFonts w:asciiTheme="majorHAnsi" w:hAnsiTheme="majorHAnsi" w:cstheme="majorHAnsi"/>
                <w:lang w:val="vi-VN"/>
              </w:rPr>
              <w:t>26</w:t>
            </w:r>
          </w:p>
        </w:tc>
        <w:tc>
          <w:tcPr>
            <w:tcW w:w="1140" w:type="dxa"/>
          </w:tcPr>
          <w:p w14:paraId="533192AB" w14:textId="77777777" w:rsidR="005277FA" w:rsidRPr="00D3269D" w:rsidRDefault="005277FA" w:rsidP="00DC323F">
            <w:pPr>
              <w:spacing w:before="60"/>
              <w:jc w:val="both"/>
              <w:rPr>
                <w:rFonts w:asciiTheme="majorHAnsi" w:hAnsiTheme="majorHAnsi" w:cstheme="majorHAnsi"/>
                <w:lang w:val="vi-VN"/>
              </w:rPr>
            </w:pPr>
            <w:r w:rsidRPr="00D3269D">
              <w:rPr>
                <w:rFonts w:asciiTheme="majorHAnsi" w:hAnsiTheme="majorHAnsi" w:cstheme="majorHAnsi"/>
                <w:lang w:val="vi-VN"/>
              </w:rPr>
              <w:t>26</w:t>
            </w:r>
          </w:p>
        </w:tc>
        <w:tc>
          <w:tcPr>
            <w:tcW w:w="1132" w:type="dxa"/>
          </w:tcPr>
          <w:p w14:paraId="2FD47FC4" w14:textId="77777777" w:rsidR="005277FA" w:rsidRPr="00D3269D" w:rsidRDefault="005277FA" w:rsidP="00DC323F">
            <w:pPr>
              <w:spacing w:before="60"/>
              <w:jc w:val="both"/>
              <w:rPr>
                <w:rFonts w:asciiTheme="majorHAnsi" w:hAnsiTheme="majorHAnsi" w:cstheme="majorHAnsi"/>
                <w:highlight w:val="yellow"/>
                <w:lang w:val="en-US"/>
              </w:rPr>
            </w:pPr>
            <w:r w:rsidRPr="00D3269D">
              <w:rPr>
                <w:rFonts w:asciiTheme="majorHAnsi" w:hAnsiTheme="majorHAnsi" w:cstheme="majorHAnsi"/>
                <w:lang w:val="vi-VN"/>
              </w:rPr>
              <w:t>26</w:t>
            </w:r>
          </w:p>
        </w:tc>
      </w:tr>
      <w:tr w:rsidR="005277FA" w:rsidRPr="00D3269D" w14:paraId="738F6E70" w14:textId="77777777" w:rsidTr="00C90CB6">
        <w:trPr>
          <w:jc w:val="center"/>
        </w:trPr>
        <w:tc>
          <w:tcPr>
            <w:tcW w:w="2030" w:type="dxa"/>
          </w:tcPr>
          <w:p w14:paraId="06D824FD" w14:textId="77777777" w:rsidR="005277FA" w:rsidRPr="00D3269D" w:rsidRDefault="005277FA" w:rsidP="00DC323F">
            <w:pPr>
              <w:spacing w:before="60"/>
              <w:jc w:val="both"/>
              <w:rPr>
                <w:rFonts w:asciiTheme="majorHAnsi" w:hAnsiTheme="majorHAnsi" w:cstheme="majorHAnsi"/>
                <w:lang w:val="vi-VN"/>
              </w:rPr>
            </w:pPr>
            <w:r w:rsidRPr="00D3269D">
              <w:rPr>
                <w:rFonts w:asciiTheme="majorHAnsi" w:hAnsiTheme="majorHAnsi" w:cstheme="majorHAnsi"/>
                <w:lang w:val="en-US"/>
              </w:rPr>
              <w:t>Sargan</w:t>
            </w:r>
            <w:r w:rsidRPr="00D3269D">
              <w:rPr>
                <w:rFonts w:asciiTheme="majorHAnsi" w:hAnsiTheme="majorHAnsi" w:cstheme="majorHAnsi"/>
                <w:lang w:val="vi-VN"/>
              </w:rPr>
              <w:t xml:space="preserve"> test</w:t>
            </w:r>
          </w:p>
        </w:tc>
        <w:tc>
          <w:tcPr>
            <w:tcW w:w="1240" w:type="dxa"/>
          </w:tcPr>
          <w:p w14:paraId="2D0FC29F" w14:textId="68685A01" w:rsidR="005277FA" w:rsidRPr="00D3269D" w:rsidRDefault="005277FA"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vi-VN"/>
              </w:rPr>
              <w:t>,</w:t>
            </w:r>
            <w:r w:rsidRPr="00D3269D">
              <w:rPr>
                <w:rFonts w:asciiTheme="majorHAnsi" w:hAnsiTheme="majorHAnsi" w:cstheme="majorHAnsi"/>
                <w:lang w:val="vi-VN"/>
              </w:rPr>
              <w:t>154</w:t>
            </w:r>
          </w:p>
        </w:tc>
        <w:tc>
          <w:tcPr>
            <w:tcW w:w="1140" w:type="dxa"/>
          </w:tcPr>
          <w:p w14:paraId="50AA16E4" w14:textId="0CF983D5" w:rsidR="005277FA" w:rsidRPr="00D3269D" w:rsidRDefault="005277FA"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vi-VN"/>
              </w:rPr>
              <w:t>,</w:t>
            </w:r>
            <w:r>
              <w:rPr>
                <w:rFonts w:asciiTheme="majorHAnsi" w:hAnsiTheme="majorHAnsi" w:cstheme="majorHAnsi"/>
                <w:lang w:val="vi-VN"/>
              </w:rPr>
              <w:t>066</w:t>
            </w:r>
          </w:p>
        </w:tc>
        <w:tc>
          <w:tcPr>
            <w:tcW w:w="1132" w:type="dxa"/>
          </w:tcPr>
          <w:p w14:paraId="283D0D75" w14:textId="3FABFF3E" w:rsidR="005277FA" w:rsidRPr="00D3269D" w:rsidRDefault="005277FA" w:rsidP="00DC323F">
            <w:pPr>
              <w:spacing w:before="60"/>
              <w:jc w:val="both"/>
              <w:rPr>
                <w:rFonts w:asciiTheme="majorHAnsi" w:hAnsiTheme="majorHAnsi" w:cstheme="majorHAnsi"/>
                <w:highlight w:val="yellow"/>
                <w:lang w:val="vi-VN"/>
              </w:rPr>
            </w:pPr>
            <w:r w:rsidRPr="00D3269D">
              <w:rPr>
                <w:rFonts w:asciiTheme="majorHAnsi" w:hAnsiTheme="majorHAnsi" w:cstheme="majorHAnsi"/>
                <w:lang w:val="en-US"/>
              </w:rPr>
              <w:t>0</w:t>
            </w:r>
            <w:r w:rsidR="00302D5B">
              <w:rPr>
                <w:rFonts w:asciiTheme="majorHAnsi" w:hAnsiTheme="majorHAnsi" w:cstheme="majorHAnsi"/>
                <w:lang w:val="vi-VN"/>
              </w:rPr>
              <w:t>,</w:t>
            </w:r>
            <w:r>
              <w:rPr>
                <w:rFonts w:asciiTheme="majorHAnsi" w:hAnsiTheme="majorHAnsi" w:cstheme="majorHAnsi"/>
                <w:lang w:val="vi-VN"/>
              </w:rPr>
              <w:t>308</w:t>
            </w:r>
          </w:p>
        </w:tc>
      </w:tr>
      <w:tr w:rsidR="005277FA" w:rsidRPr="00D3269D" w14:paraId="4ABF2961" w14:textId="77777777" w:rsidTr="00C90CB6">
        <w:trPr>
          <w:jc w:val="center"/>
        </w:trPr>
        <w:tc>
          <w:tcPr>
            <w:tcW w:w="2030" w:type="dxa"/>
          </w:tcPr>
          <w:p w14:paraId="608CA3D7" w14:textId="77777777" w:rsidR="005277FA" w:rsidRPr="00D3269D" w:rsidRDefault="005277FA" w:rsidP="00DC323F">
            <w:pPr>
              <w:spacing w:before="60"/>
              <w:jc w:val="both"/>
              <w:rPr>
                <w:rFonts w:asciiTheme="majorHAnsi" w:hAnsiTheme="majorHAnsi" w:cstheme="majorHAnsi"/>
                <w:lang w:val="en-US"/>
              </w:rPr>
            </w:pPr>
            <w:r w:rsidRPr="00D3269D">
              <w:rPr>
                <w:rFonts w:asciiTheme="majorHAnsi" w:hAnsiTheme="majorHAnsi" w:cstheme="majorHAnsi"/>
                <w:lang w:val="en-US"/>
              </w:rPr>
              <w:t>Hansen test</w:t>
            </w:r>
          </w:p>
        </w:tc>
        <w:tc>
          <w:tcPr>
            <w:tcW w:w="1240" w:type="dxa"/>
          </w:tcPr>
          <w:p w14:paraId="0E765157" w14:textId="7752FADE" w:rsidR="005277FA" w:rsidRPr="00D3269D" w:rsidRDefault="005277FA"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en-US"/>
              </w:rPr>
              <w:t>,</w:t>
            </w:r>
            <w:r w:rsidRPr="00D3269D">
              <w:rPr>
                <w:rFonts w:asciiTheme="majorHAnsi" w:hAnsiTheme="majorHAnsi" w:cstheme="majorHAnsi"/>
                <w:lang w:val="en-US"/>
              </w:rPr>
              <w:t>304</w:t>
            </w:r>
          </w:p>
        </w:tc>
        <w:tc>
          <w:tcPr>
            <w:tcW w:w="1140" w:type="dxa"/>
          </w:tcPr>
          <w:p w14:paraId="6C1B2F19" w14:textId="4E3A6411" w:rsidR="005277FA" w:rsidRPr="00C90CB6" w:rsidRDefault="005277FA"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en-US"/>
              </w:rPr>
              <w:t>,</w:t>
            </w:r>
            <w:r>
              <w:rPr>
                <w:rFonts w:asciiTheme="majorHAnsi" w:hAnsiTheme="majorHAnsi" w:cstheme="majorHAnsi"/>
                <w:lang w:val="en-US"/>
              </w:rPr>
              <w:t>293</w:t>
            </w:r>
          </w:p>
        </w:tc>
        <w:tc>
          <w:tcPr>
            <w:tcW w:w="1132" w:type="dxa"/>
          </w:tcPr>
          <w:p w14:paraId="69EAD0A2" w14:textId="5E5BC744" w:rsidR="005277FA" w:rsidRPr="005277FA" w:rsidRDefault="005277FA" w:rsidP="00DC323F">
            <w:pPr>
              <w:spacing w:before="60"/>
              <w:jc w:val="both"/>
              <w:rPr>
                <w:rFonts w:asciiTheme="majorHAnsi" w:hAnsiTheme="majorHAnsi" w:cstheme="majorHAnsi"/>
                <w:highlight w:val="yellow"/>
                <w:lang w:val="vi-VN"/>
              </w:rPr>
            </w:pPr>
            <w:r w:rsidRPr="00D3269D">
              <w:rPr>
                <w:rFonts w:asciiTheme="majorHAnsi" w:hAnsiTheme="majorHAnsi" w:cstheme="majorHAnsi"/>
                <w:lang w:val="en-US"/>
              </w:rPr>
              <w:t>0</w:t>
            </w:r>
            <w:r w:rsidR="00302D5B">
              <w:rPr>
                <w:rFonts w:asciiTheme="majorHAnsi" w:hAnsiTheme="majorHAnsi" w:cstheme="majorHAnsi"/>
                <w:lang w:val="vi-VN"/>
              </w:rPr>
              <w:t>,</w:t>
            </w:r>
            <w:r>
              <w:rPr>
                <w:rFonts w:asciiTheme="majorHAnsi" w:hAnsiTheme="majorHAnsi" w:cstheme="majorHAnsi"/>
                <w:lang w:val="en-US"/>
              </w:rPr>
              <w:t>345</w:t>
            </w:r>
          </w:p>
        </w:tc>
      </w:tr>
      <w:tr w:rsidR="005277FA" w:rsidRPr="00D3269D" w14:paraId="6297BE1C" w14:textId="77777777" w:rsidTr="00C90CB6">
        <w:trPr>
          <w:jc w:val="center"/>
        </w:trPr>
        <w:tc>
          <w:tcPr>
            <w:tcW w:w="2030" w:type="dxa"/>
          </w:tcPr>
          <w:p w14:paraId="22A35604" w14:textId="77777777" w:rsidR="005277FA" w:rsidRPr="00D3269D" w:rsidRDefault="005277FA" w:rsidP="00DC323F">
            <w:pPr>
              <w:spacing w:before="60"/>
              <w:jc w:val="both"/>
              <w:rPr>
                <w:rFonts w:asciiTheme="majorHAnsi" w:hAnsiTheme="majorHAnsi" w:cstheme="majorHAnsi"/>
                <w:lang w:val="en-US"/>
              </w:rPr>
            </w:pPr>
            <w:r w:rsidRPr="00D3269D">
              <w:rPr>
                <w:rFonts w:asciiTheme="majorHAnsi" w:hAnsiTheme="majorHAnsi" w:cstheme="majorHAnsi"/>
                <w:lang w:val="en-US"/>
              </w:rPr>
              <w:t>AR(1)</w:t>
            </w:r>
          </w:p>
        </w:tc>
        <w:tc>
          <w:tcPr>
            <w:tcW w:w="1240" w:type="dxa"/>
          </w:tcPr>
          <w:p w14:paraId="6F27A0E1" w14:textId="33C1EFF2" w:rsidR="005277FA" w:rsidRPr="00D3269D" w:rsidRDefault="005277FA"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en-US"/>
              </w:rPr>
              <w:t>,</w:t>
            </w:r>
            <w:r w:rsidRPr="00D3269D">
              <w:rPr>
                <w:rFonts w:asciiTheme="majorHAnsi" w:hAnsiTheme="majorHAnsi" w:cstheme="majorHAnsi"/>
                <w:lang w:val="en-US"/>
              </w:rPr>
              <w:t>018</w:t>
            </w:r>
          </w:p>
        </w:tc>
        <w:tc>
          <w:tcPr>
            <w:tcW w:w="1140" w:type="dxa"/>
          </w:tcPr>
          <w:p w14:paraId="5E53D83D" w14:textId="68B65CE6" w:rsidR="005277FA" w:rsidRPr="00C90CB6" w:rsidRDefault="005277FA"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en-US"/>
              </w:rPr>
              <w:t>,</w:t>
            </w:r>
            <w:r>
              <w:rPr>
                <w:rFonts w:asciiTheme="majorHAnsi" w:hAnsiTheme="majorHAnsi" w:cstheme="majorHAnsi"/>
                <w:lang w:val="en-US"/>
              </w:rPr>
              <w:t>025</w:t>
            </w:r>
          </w:p>
        </w:tc>
        <w:tc>
          <w:tcPr>
            <w:tcW w:w="1132" w:type="dxa"/>
          </w:tcPr>
          <w:p w14:paraId="519B89C8" w14:textId="7F91D02B" w:rsidR="005277FA" w:rsidRPr="005277FA" w:rsidRDefault="005277FA" w:rsidP="00DC323F">
            <w:pPr>
              <w:spacing w:before="60"/>
              <w:jc w:val="both"/>
              <w:rPr>
                <w:rFonts w:asciiTheme="majorHAnsi" w:hAnsiTheme="majorHAnsi" w:cstheme="majorHAnsi"/>
                <w:highlight w:val="yellow"/>
                <w:lang w:val="vi-VN"/>
              </w:rPr>
            </w:pPr>
            <w:r w:rsidRPr="00D3269D">
              <w:rPr>
                <w:rFonts w:asciiTheme="majorHAnsi" w:hAnsiTheme="majorHAnsi" w:cstheme="majorHAnsi"/>
                <w:lang w:val="en-US"/>
              </w:rPr>
              <w:t>0</w:t>
            </w:r>
            <w:r w:rsidR="00302D5B">
              <w:rPr>
                <w:rFonts w:asciiTheme="majorHAnsi" w:hAnsiTheme="majorHAnsi" w:cstheme="majorHAnsi"/>
                <w:lang w:val="en-US"/>
              </w:rPr>
              <w:t>,</w:t>
            </w:r>
            <w:r>
              <w:rPr>
                <w:rFonts w:asciiTheme="majorHAnsi" w:hAnsiTheme="majorHAnsi" w:cstheme="majorHAnsi"/>
                <w:lang w:val="en-US"/>
              </w:rPr>
              <w:t>023</w:t>
            </w:r>
          </w:p>
        </w:tc>
      </w:tr>
      <w:tr w:rsidR="005277FA" w:rsidRPr="00D3269D" w14:paraId="1113F96B" w14:textId="77777777" w:rsidTr="00C90CB6">
        <w:trPr>
          <w:jc w:val="center"/>
        </w:trPr>
        <w:tc>
          <w:tcPr>
            <w:tcW w:w="2030" w:type="dxa"/>
            <w:tcBorders>
              <w:bottom w:val="single" w:sz="4" w:space="0" w:color="auto"/>
            </w:tcBorders>
          </w:tcPr>
          <w:p w14:paraId="7265324D" w14:textId="77777777" w:rsidR="005277FA" w:rsidRPr="00D3269D" w:rsidRDefault="005277FA" w:rsidP="00DC323F">
            <w:pPr>
              <w:spacing w:before="60"/>
              <w:jc w:val="both"/>
              <w:rPr>
                <w:rFonts w:asciiTheme="majorHAnsi" w:hAnsiTheme="majorHAnsi" w:cstheme="majorHAnsi"/>
                <w:lang w:val="en-US"/>
              </w:rPr>
            </w:pPr>
            <w:r w:rsidRPr="00D3269D">
              <w:rPr>
                <w:rFonts w:asciiTheme="majorHAnsi" w:hAnsiTheme="majorHAnsi" w:cstheme="majorHAnsi"/>
                <w:lang w:val="en-US"/>
              </w:rPr>
              <w:t>AR(2)</w:t>
            </w:r>
          </w:p>
        </w:tc>
        <w:tc>
          <w:tcPr>
            <w:tcW w:w="1240" w:type="dxa"/>
            <w:tcBorders>
              <w:bottom w:val="single" w:sz="4" w:space="0" w:color="auto"/>
            </w:tcBorders>
          </w:tcPr>
          <w:p w14:paraId="2F47B706" w14:textId="543CCB54" w:rsidR="005277FA" w:rsidRPr="00D3269D" w:rsidRDefault="005277FA"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en-US"/>
              </w:rPr>
              <w:t>,</w:t>
            </w:r>
            <w:r w:rsidRPr="00D3269D">
              <w:rPr>
                <w:rFonts w:asciiTheme="majorHAnsi" w:hAnsiTheme="majorHAnsi" w:cstheme="majorHAnsi"/>
                <w:lang w:val="en-US"/>
              </w:rPr>
              <w:t>951</w:t>
            </w:r>
          </w:p>
        </w:tc>
        <w:tc>
          <w:tcPr>
            <w:tcW w:w="1140" w:type="dxa"/>
            <w:tcBorders>
              <w:bottom w:val="single" w:sz="4" w:space="0" w:color="auto"/>
            </w:tcBorders>
          </w:tcPr>
          <w:p w14:paraId="6D452F2D" w14:textId="372A89DB" w:rsidR="005277FA" w:rsidRPr="00C90CB6" w:rsidRDefault="005277FA" w:rsidP="00DC323F">
            <w:pPr>
              <w:spacing w:before="60"/>
              <w:jc w:val="both"/>
              <w:rPr>
                <w:rFonts w:asciiTheme="majorHAnsi" w:hAnsiTheme="majorHAnsi" w:cstheme="majorHAnsi"/>
                <w:lang w:val="vi-VN"/>
              </w:rPr>
            </w:pPr>
            <w:r w:rsidRPr="00D3269D">
              <w:rPr>
                <w:rFonts w:asciiTheme="majorHAnsi" w:hAnsiTheme="majorHAnsi" w:cstheme="majorHAnsi"/>
                <w:lang w:val="en-US"/>
              </w:rPr>
              <w:t>0</w:t>
            </w:r>
            <w:r w:rsidR="00302D5B">
              <w:rPr>
                <w:rFonts w:asciiTheme="majorHAnsi" w:hAnsiTheme="majorHAnsi" w:cstheme="majorHAnsi"/>
                <w:lang w:val="en-US"/>
              </w:rPr>
              <w:t>,</w:t>
            </w:r>
            <w:r>
              <w:rPr>
                <w:rFonts w:asciiTheme="majorHAnsi" w:hAnsiTheme="majorHAnsi" w:cstheme="majorHAnsi"/>
                <w:lang w:val="en-US"/>
              </w:rPr>
              <w:t>617</w:t>
            </w:r>
          </w:p>
        </w:tc>
        <w:tc>
          <w:tcPr>
            <w:tcW w:w="1132" w:type="dxa"/>
            <w:tcBorders>
              <w:bottom w:val="single" w:sz="4" w:space="0" w:color="auto"/>
            </w:tcBorders>
          </w:tcPr>
          <w:p w14:paraId="122FD4ED" w14:textId="319F9F38" w:rsidR="005277FA" w:rsidRPr="005277FA" w:rsidRDefault="005277FA" w:rsidP="00DC323F">
            <w:pPr>
              <w:spacing w:before="60"/>
              <w:jc w:val="both"/>
              <w:rPr>
                <w:rFonts w:asciiTheme="majorHAnsi" w:hAnsiTheme="majorHAnsi" w:cstheme="majorHAnsi"/>
                <w:highlight w:val="yellow"/>
                <w:lang w:val="vi-VN"/>
              </w:rPr>
            </w:pPr>
            <w:r w:rsidRPr="00D3269D">
              <w:rPr>
                <w:rFonts w:asciiTheme="majorHAnsi" w:hAnsiTheme="majorHAnsi" w:cstheme="majorHAnsi"/>
                <w:lang w:val="en-US"/>
              </w:rPr>
              <w:t>0</w:t>
            </w:r>
            <w:r w:rsidR="00302D5B">
              <w:rPr>
                <w:rFonts w:asciiTheme="majorHAnsi" w:hAnsiTheme="majorHAnsi" w:cstheme="majorHAnsi"/>
                <w:lang w:val="en-US"/>
              </w:rPr>
              <w:t>,</w:t>
            </w:r>
            <w:r>
              <w:rPr>
                <w:rFonts w:asciiTheme="majorHAnsi" w:hAnsiTheme="majorHAnsi" w:cstheme="majorHAnsi"/>
                <w:lang w:val="en-US"/>
              </w:rPr>
              <w:t>592</w:t>
            </w:r>
          </w:p>
        </w:tc>
      </w:tr>
    </w:tbl>
    <w:p w14:paraId="46544354" w14:textId="3D29B3BC" w:rsidR="003344A9" w:rsidRPr="00D3269D" w:rsidRDefault="00C90CB6" w:rsidP="00C90CB6">
      <w:pPr>
        <w:pStyle w:val="ListParagraph"/>
        <w:spacing w:before="120" w:after="120" w:line="240" w:lineRule="auto"/>
        <w:ind w:left="1080"/>
        <w:jc w:val="right"/>
        <w:rPr>
          <w:rFonts w:asciiTheme="majorHAnsi" w:hAnsiTheme="majorHAnsi" w:cstheme="majorHAnsi"/>
          <w:i/>
          <w:iCs/>
          <w:lang w:val="vi-VN"/>
        </w:rPr>
      </w:pPr>
      <w:r>
        <w:rPr>
          <w:rFonts w:asciiTheme="majorHAnsi" w:hAnsiTheme="majorHAnsi" w:cstheme="majorHAnsi"/>
          <w:i/>
          <w:iCs/>
          <w:lang w:val="vi-VN"/>
        </w:rPr>
        <w:t>Nguồn: Tác giả tổng hợp từ STATA</w:t>
      </w:r>
    </w:p>
    <w:p w14:paraId="690AFBB2" w14:textId="6D08BA3A" w:rsidR="00C90CB6" w:rsidRPr="00C90CB6" w:rsidRDefault="006B2109" w:rsidP="00875652">
      <w:pPr>
        <w:spacing w:before="120" w:after="120" w:line="240" w:lineRule="auto"/>
        <w:jc w:val="both"/>
        <w:rPr>
          <w:rFonts w:asciiTheme="majorHAnsi" w:hAnsiTheme="majorHAnsi" w:cstheme="majorHAnsi"/>
          <w:i/>
          <w:iCs/>
          <w:lang w:val="vi-VN"/>
        </w:rPr>
      </w:pPr>
      <w:r>
        <w:rPr>
          <w:rFonts w:asciiTheme="majorHAnsi" w:hAnsiTheme="majorHAnsi" w:cstheme="majorHAnsi"/>
          <w:i/>
          <w:iCs/>
          <w:lang w:val="vi-VN"/>
        </w:rPr>
        <w:t>Chú thích</w:t>
      </w:r>
      <w:r w:rsidR="00C90CB6" w:rsidRPr="00C90CB6">
        <w:rPr>
          <w:rFonts w:asciiTheme="majorHAnsi" w:hAnsiTheme="majorHAnsi" w:cstheme="majorHAnsi"/>
          <w:i/>
          <w:iCs/>
          <w:lang w:val="vi-VN"/>
        </w:rPr>
        <w:t xml:space="preserve">: Bảng </w:t>
      </w:r>
      <w:r w:rsidR="00255C16">
        <w:rPr>
          <w:rFonts w:asciiTheme="majorHAnsi" w:hAnsiTheme="majorHAnsi" w:cstheme="majorHAnsi"/>
          <w:i/>
          <w:iCs/>
          <w:lang w:val="vi-VN"/>
        </w:rPr>
        <w:t>trên</w:t>
      </w:r>
      <w:r w:rsidR="00C90CB6" w:rsidRPr="00C90CB6">
        <w:rPr>
          <w:rFonts w:asciiTheme="majorHAnsi" w:hAnsiTheme="majorHAnsi" w:cstheme="majorHAnsi"/>
          <w:i/>
          <w:iCs/>
          <w:lang w:val="vi-VN"/>
        </w:rPr>
        <w:t xml:space="preserve"> </w:t>
      </w:r>
      <w:r w:rsidR="00C90CB6">
        <w:rPr>
          <w:rFonts w:asciiTheme="majorHAnsi" w:hAnsiTheme="majorHAnsi" w:cstheme="majorHAnsi"/>
          <w:i/>
          <w:iCs/>
          <w:lang w:val="vi-VN"/>
        </w:rPr>
        <w:t xml:space="preserve">thể hiện </w:t>
      </w:r>
      <w:r w:rsidR="00C90CB6" w:rsidRPr="00C90CB6">
        <w:rPr>
          <w:rFonts w:asciiTheme="majorHAnsi" w:hAnsiTheme="majorHAnsi" w:cstheme="majorHAnsi"/>
          <w:i/>
          <w:iCs/>
          <w:lang w:val="vi-VN"/>
        </w:rPr>
        <w:t xml:space="preserve">kết quả hồi quy về </w:t>
      </w:r>
      <w:r w:rsidR="00C90CB6">
        <w:rPr>
          <w:rFonts w:asciiTheme="majorHAnsi" w:hAnsiTheme="majorHAnsi" w:cstheme="majorHAnsi"/>
          <w:i/>
          <w:iCs/>
          <w:lang w:val="vi-VN"/>
        </w:rPr>
        <w:t xml:space="preserve">tác động của </w:t>
      </w:r>
      <w:r w:rsidR="00C90CB6" w:rsidRPr="00C90CB6">
        <w:rPr>
          <w:rFonts w:asciiTheme="majorHAnsi" w:hAnsiTheme="majorHAnsi" w:cstheme="majorHAnsi"/>
          <w:i/>
          <w:iCs/>
          <w:lang w:val="vi-VN"/>
        </w:rPr>
        <w:t xml:space="preserve">chuyển đổi số </w:t>
      </w:r>
      <w:r w:rsidR="00C90CB6">
        <w:rPr>
          <w:rFonts w:asciiTheme="majorHAnsi" w:hAnsiTheme="majorHAnsi" w:cstheme="majorHAnsi"/>
          <w:i/>
          <w:iCs/>
          <w:lang w:val="vi-VN"/>
        </w:rPr>
        <w:t>đến</w:t>
      </w:r>
      <w:r w:rsidR="00C90CB6" w:rsidRPr="00C90CB6">
        <w:rPr>
          <w:rFonts w:asciiTheme="majorHAnsi" w:hAnsiTheme="majorHAnsi" w:cstheme="majorHAnsi"/>
          <w:i/>
          <w:iCs/>
          <w:lang w:val="vi-VN"/>
        </w:rPr>
        <w:t xml:space="preserve"> </w:t>
      </w:r>
      <w:r w:rsidR="00C90CB6">
        <w:rPr>
          <w:rFonts w:asciiTheme="majorHAnsi" w:hAnsiTheme="majorHAnsi" w:cstheme="majorHAnsi"/>
          <w:i/>
          <w:iCs/>
          <w:lang w:val="vi-VN"/>
        </w:rPr>
        <w:t xml:space="preserve">mức độ chấp nhận </w:t>
      </w:r>
      <w:r w:rsidR="00C90CB6" w:rsidRPr="00C90CB6">
        <w:rPr>
          <w:rFonts w:asciiTheme="majorHAnsi" w:hAnsiTheme="majorHAnsi" w:cstheme="majorHAnsi"/>
          <w:i/>
          <w:iCs/>
          <w:lang w:val="vi-VN"/>
        </w:rPr>
        <w:t xml:space="preserve">rủi ro ngân hàng tại Việt Nam </w:t>
      </w:r>
      <w:r w:rsidR="00C90CB6">
        <w:rPr>
          <w:rFonts w:asciiTheme="majorHAnsi" w:hAnsiTheme="majorHAnsi" w:cstheme="majorHAnsi"/>
          <w:i/>
          <w:iCs/>
          <w:lang w:val="vi-VN"/>
        </w:rPr>
        <w:t xml:space="preserve">và vai trò điều tiết của cấu trúc sở hữu </w:t>
      </w:r>
      <w:r w:rsidR="00C90CB6" w:rsidRPr="00C90CB6">
        <w:rPr>
          <w:rFonts w:asciiTheme="majorHAnsi" w:hAnsiTheme="majorHAnsi" w:cstheme="majorHAnsi"/>
          <w:i/>
          <w:iCs/>
          <w:lang w:val="vi-VN"/>
        </w:rPr>
        <w:t xml:space="preserve">theo phương pháp </w:t>
      </w:r>
      <w:r w:rsidR="00C90CB6">
        <w:rPr>
          <w:rFonts w:asciiTheme="majorHAnsi" w:hAnsiTheme="majorHAnsi" w:cstheme="majorHAnsi"/>
          <w:i/>
          <w:iCs/>
          <w:lang w:val="vi-VN"/>
        </w:rPr>
        <w:t xml:space="preserve">ước lượng </w:t>
      </w:r>
      <w:r w:rsidR="00C90CB6" w:rsidRPr="00C90CB6">
        <w:rPr>
          <w:rFonts w:asciiTheme="majorHAnsi" w:hAnsiTheme="majorHAnsi" w:cstheme="majorHAnsi"/>
          <w:i/>
          <w:iCs/>
          <w:lang w:val="vi-VN"/>
        </w:rPr>
        <w:t>GMM hệ thống hai bước. ***, ** và * biểu thị ý nghĩa thống kê ở mức 1%, 5% và 10%.</w:t>
      </w:r>
    </w:p>
    <w:p w14:paraId="5DA77D0C" w14:textId="7DB1A480" w:rsidR="003344A9" w:rsidRPr="00A466C3" w:rsidRDefault="00DD2DDD" w:rsidP="00A466C3">
      <w:pPr>
        <w:ind w:firstLine="720"/>
        <w:jc w:val="both"/>
        <w:rPr>
          <w:rFonts w:ascii="Times New Roman" w:hAnsi="Times New Roman" w:cs="Times New Roman"/>
          <w:lang w:val="vi-VN"/>
        </w:rPr>
      </w:pPr>
      <w:r>
        <w:rPr>
          <w:rFonts w:asciiTheme="majorHAnsi" w:hAnsiTheme="majorHAnsi" w:cstheme="majorHAnsi"/>
          <w:lang w:val="vi-VN"/>
        </w:rPr>
        <w:t xml:space="preserve">Về tác động của chuyển đổi số đến mức độ chấp nhận rủi ro, </w:t>
      </w:r>
      <w:r w:rsidR="00A466C3">
        <w:rPr>
          <w:rFonts w:ascii="Times New Roman" w:hAnsi="Times New Roman" w:cs="Times New Roman"/>
          <w:lang w:val="vi-VN"/>
        </w:rPr>
        <w:t>k</w:t>
      </w:r>
      <w:r w:rsidR="00A466C3" w:rsidRPr="00A466C3">
        <w:rPr>
          <w:rFonts w:ascii="Times New Roman" w:hAnsi="Times New Roman" w:cs="Times New Roman"/>
          <w:lang w:val="vi-VN"/>
        </w:rPr>
        <w:t xml:space="preserve">ết quả nghiên cứu cho thấy rằng chuyển đổi số có tác động ngược chiều đến hành vi </w:t>
      </w:r>
      <w:r w:rsidR="00A466C3">
        <w:rPr>
          <w:rFonts w:ascii="Times New Roman" w:hAnsi="Times New Roman" w:cs="Times New Roman"/>
          <w:lang w:val="vi-VN"/>
        </w:rPr>
        <w:t xml:space="preserve">CNRR </w:t>
      </w:r>
      <w:r w:rsidR="00A466C3" w:rsidRPr="00A466C3">
        <w:rPr>
          <w:rFonts w:ascii="Times New Roman" w:hAnsi="Times New Roman" w:cs="Times New Roman"/>
          <w:lang w:val="vi-VN"/>
        </w:rPr>
        <w:t xml:space="preserve">của các </w:t>
      </w:r>
      <w:r w:rsidR="00A466C3">
        <w:rPr>
          <w:rFonts w:ascii="Times New Roman" w:hAnsi="Times New Roman" w:cs="Times New Roman"/>
          <w:lang w:val="vi-VN"/>
        </w:rPr>
        <w:t>NHTM</w:t>
      </w:r>
      <w:r w:rsidR="00A466C3" w:rsidRPr="00A466C3">
        <w:rPr>
          <w:rFonts w:ascii="Times New Roman" w:hAnsi="Times New Roman" w:cs="Times New Roman"/>
          <w:lang w:val="vi-VN"/>
        </w:rPr>
        <w:t xml:space="preserve">, nghĩa là khi các ngân hàng đẩy mạnh ứng dụng chuyển đổi số, mức độ </w:t>
      </w:r>
      <w:r w:rsidR="00A466C3">
        <w:rPr>
          <w:rFonts w:ascii="Times New Roman" w:hAnsi="Times New Roman" w:cs="Times New Roman"/>
          <w:lang w:val="vi-VN"/>
        </w:rPr>
        <w:t xml:space="preserve">CNRR </w:t>
      </w:r>
      <w:r w:rsidR="00A466C3" w:rsidRPr="00A466C3">
        <w:rPr>
          <w:rFonts w:ascii="Times New Roman" w:hAnsi="Times New Roman" w:cs="Times New Roman"/>
          <w:lang w:val="vi-VN"/>
        </w:rPr>
        <w:t>có xu hướng giảm. Điều này có thể xuất phát từ việc chuyển đổi số giúp ngân hàng cải thiện năng lực quản lý dữ liệu, tăng cường độ minh bạch và kiểm soát rủi ro thông qua các công cụ phân tích và hệ thống báo cáo tự động. Các công nghệ số như trí tuệ nhân tạo, dữ liệu lớn và tự động hóa quy trình kinh doanh cho phép ngân hàng đánh giá rủi ro chi tiết hơn và đưa ra các quyết định an toàn hơn, hạn chế các hoạt động mang tính rủi ro cao</w:t>
      </w:r>
      <w:r w:rsidR="00A466C3" w:rsidRPr="00A466C3">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{"citationID":"1OK8EmkJ","properties":{"formattedCitation":"\\super 7\\uc0\\u8211{}9\\nosupersub{}","plainCitation":"7–9","noteIndex":0},"citationItems":[{"id":675,"uris":["http://zotero.org/users/local/1km6A5n5/items/954CTFVT"],"itemData":{"id":675,"type":"article-journal","abstract":"This article focuses on the relationship between Fintech and bank risk-taking behavior. Since Robo-Advisor is one of the mature applications of Fintech, we found that the development of Fintech will have a greater impact on small and medium-sized banks through the establishment of a Robo-Advisor model. This paper uses a benchmark regression model to analyze the municipal digital financial inclusion index compiled by Peking University and the annual report data of 155 small and medium-sized banks from 2011 to 2016. We found that the development of Fintech has significantly reduced bank risk-taking level. This result is still valid after the robustness test of replacing the bank’s risk-taking index and replacing the Fintech development index. We used the urban innovation index as an instrumental variable to deal with the endogenous problem, and obtained consistent estimation results. The test of the intermediary effect shows that the development of Fintech will affect the bank risk-taking through channels such as the bank’s internal interest margin, management capabilities, the bank’s external competition intensity, and residents’ saving willingness. Heterogeneity analysis shows the reduction effect of Fintech on bank risk-taking is more pronounced in banks in eastern and western regions in China, the large banks and the urban commercial banks.","container-title":"Risks","DOI":"10.3390/risks9050099","ISSN":"2227-9091","issue":"5","language":"en","license":"http://creativecommons.org/licenses/by/3.0/","note":"number: 5\npublisher: Multidisciplinary Digital Publishing Institute","page":"99","source":"www.mdpi.com","title":"Impact of Fintech on Bank Risk-Taking: Evidence from China","title-short":"Impact of Fintech on Bank Risk-Taking","volume":"9","author":[{"family":"Deng","given":"Liurui"},{"family":"Lv","given":"Yongbin"},{"family":"Liu","given":"Ye"},{"family":"Zhao","given":"Yiwen"}],"issued":{"date-parts":[["2021",5]]}}},{"id":674,"uris":["http://zotero.org/users/local/1km6A5n5/items/TY34FYQD"],"itemData":{"id":674,"type":"article-journal","abstract":"This study examines whether digital transformation reduces banks' risk-taking in the Vietnamese commercial banking sector. Our research sheds light on how banks' digital transformation affects their risks, specifically regarding credit, insolvency, and liquidity. The study utilizes the readiness index for the Vietnamese commercial banks' Information and Communication Technology (ICT) Index, which the Vietnamese government has officially constructed. The OLS, PCSE, and FGLS models are employed to analyze how digital transformation reduces banks' risk-taking based on the longitudinal data from 26 commercial banks in Vietnam from 2013 to 2022. The results indicate that digital transformation significantly reduces credit risk by improving risk management capacity and reducing asymmetric information. It also helps mitigate insolvency risk by lowering costs and increasing profitability. However, digitalization does not significantly impact liquidity risk as digital channels leverage banks' lending and deposit activities. This research provides empirical evidence on the role of bank digitalization in risk-taking and concludes with recommendations for developing bank digital transformation in Vietnam and other developing countries, including suggestions for further research in this area.","container-title":"Journal of Open Innovation: Technology, Market, and Complexity","DOI":"10.1016/j.joitmc.2024.100260","ISSN":"2199-8531","issue":"2","journalAbbreviation":"Journal of Open Innovation: Technology, Market, and Complexity","page":"100260","source":"ScienceDirect","title":"Does digital transformation reduce bank's risk-taking? evidence from vietnamese commercial banks","title-short":"Does digital transformation reduce bank's risk-taking?","volume":"10","author":[{"family":"Hoque","given":"Ariful"},{"family":"Le","given":"Duong Thuy"},{"family":"Le","given":"Thi"}],"issued":{"date-parts":[["2024",6,1]]}}},{"id":670,"uris":["http://zotero.org/users/local/1km6A5n5/items/QQPKQ5GM"],"itemData":{"id":670,"type":"article-journal","abstract":"&lt;p&gt;Fintech risks commercial banks in three ways, particularly operational efficiency, financial innovation, and risk management. Based on the data of 37 Chinese-listed commercial banks from 2011 to 2020, the study empirically analyzes the impact of fintech on bank risk-taking, and the intermediary effects of the three channels, such as operational efficiency, financial innovation, and risk management. The results show that fintech can effectively reduce the risk of banks. The results of heterogeneity analysis revealed that fintech strongly affects the risk-taking of state-owned banks but not obviously for rural commercial banks. Financial efficiency, financial innovation, and risk management indirectly affect the risk-taking of banks that contributed 8.51, 7.18, and 5.77%, respectively. We also constructed the commercial bank risk-warning index. Based on the quarterly data of banks from 2011 to 2020, we empirically tested the early warning effect of the bank risk-warning index. The results showed that when the signal month is set to 12 months, the bank risk-warning index can have a warning effect in this period.&lt;/p&gt;","container-title":"Frontiers in Psychology","DOI":"10.3389/fpsyg.2022.934053","ISSN":"1664-1078","journalAbbreviation":"Front. Psychol.","language":"English","note":"publisher: Frontiers","source":"Frontiers","title":"Fintech, Bank Risk-Taking, and Risk-Warning for Commercial Banks in the Era of Digital Technology","URL":"https://www.frontiersin.org/journals/psychology/articles/10.3389/fpsyg.2022.934053/full","volume":"13","author":[{"family":"Li","given":"Gang"},{"family":"Elahi","given":"Ehsan"},{"family":"Zhao","given":"Liangliang"}],"accessed":{"date-parts":[["2024",10,30]]},"issued":{"date-parts":[["2022",7,13]]}}}],"schema":"https://github.com/citation-style-language/schema/raw/master/csl-citation.json"} </w:instrText>
      </w:r>
      <w:r w:rsidR="00A466C3" w:rsidRPr="00A466C3">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7–9</w:t>
      </w:r>
      <w:r w:rsidR="00A466C3" w:rsidRPr="00A466C3">
        <w:rPr>
          <w:rFonts w:ascii="Times New Roman" w:hAnsi="Times New Roman" w:cs="Times New Roman"/>
        </w:rPr>
        <w:fldChar w:fldCharType="end"/>
      </w:r>
      <w:r w:rsidR="00A466C3" w:rsidRPr="00BE4B8E">
        <w:rPr>
          <w:rFonts w:ascii="Times New Roman" w:hAnsi="Times New Roman" w:cs="Times New Roman"/>
          <w:lang w:val="vi-VN"/>
        </w:rPr>
        <w:t>.</w:t>
      </w:r>
    </w:p>
    <w:p w14:paraId="63794904" w14:textId="6913EA10" w:rsidR="00DD2DDD" w:rsidRPr="00A466C3" w:rsidRDefault="00DD2DDD" w:rsidP="00A466C3">
      <w:pPr>
        <w:ind w:firstLine="720"/>
        <w:jc w:val="both"/>
        <w:rPr>
          <w:rFonts w:ascii="Times New Roman" w:hAnsi="Times New Roman" w:cs="Times New Roman"/>
          <w:lang w:val="vi-VN"/>
        </w:rPr>
      </w:pPr>
      <w:r>
        <w:rPr>
          <w:rFonts w:asciiTheme="majorHAnsi" w:hAnsiTheme="majorHAnsi" w:cstheme="majorHAnsi"/>
          <w:lang w:val="vi-VN"/>
        </w:rPr>
        <w:t xml:space="preserve">Về vai trò của sở hữu nhà nước đến tác động của chuyển đổi số đến mức độ chấp nhận rủi ro, biến giả </w:t>
      </w:r>
      <w:r w:rsidRPr="00A466C3">
        <w:rPr>
          <w:rFonts w:asciiTheme="majorHAnsi" w:hAnsiTheme="majorHAnsi" w:cstheme="majorHAnsi"/>
          <w:i/>
          <w:iCs/>
          <w:lang w:val="vi-VN"/>
        </w:rPr>
        <w:t>statedum</w:t>
      </w:r>
      <w:r>
        <w:rPr>
          <w:rFonts w:asciiTheme="majorHAnsi" w:hAnsiTheme="majorHAnsi" w:cstheme="majorHAnsi"/>
          <w:lang w:val="vi-VN"/>
        </w:rPr>
        <w:t xml:space="preserve"> có tác động âm và biến tương tác </w:t>
      </w:r>
      <w:r w:rsidRPr="00A466C3">
        <w:rPr>
          <w:rFonts w:asciiTheme="majorHAnsi" w:hAnsiTheme="majorHAnsi" w:cstheme="majorHAnsi"/>
          <w:i/>
          <w:iCs/>
          <w:lang w:val="vi-VN"/>
        </w:rPr>
        <w:t>ICTstate</w:t>
      </w:r>
      <w:r>
        <w:rPr>
          <w:rFonts w:asciiTheme="majorHAnsi" w:hAnsiTheme="majorHAnsi" w:cstheme="majorHAnsi"/>
          <w:lang w:val="vi-VN"/>
        </w:rPr>
        <w:t xml:space="preserve"> có tác động dương đối với biến phụ thuộc. Điều này chứng tỏ các ngân hàng có vốn thuộc sở hữu nhà nước càng nhiều sẽ có xu hướng chấp nhận rủi ro càng thấp, đồng thời, </w:t>
      </w:r>
      <w:r w:rsidR="00A466C3" w:rsidRPr="00A466C3">
        <w:rPr>
          <w:rFonts w:ascii="Times New Roman" w:hAnsi="Times New Roman" w:cs="Times New Roman"/>
          <w:lang w:val="vi-VN"/>
        </w:rPr>
        <w:t xml:space="preserve">sở hữu nhà nước có vai trò điều tiết tích cực, làm gia tăng tác động của chuyển đổi số đối với hành vi </w:t>
      </w:r>
      <w:r w:rsidR="00A466C3">
        <w:rPr>
          <w:rFonts w:ascii="Times New Roman" w:hAnsi="Times New Roman" w:cs="Times New Roman"/>
          <w:lang w:val="vi-VN"/>
        </w:rPr>
        <w:t xml:space="preserve">CNRR </w:t>
      </w:r>
      <w:r w:rsidR="00A466C3" w:rsidRPr="00A466C3">
        <w:rPr>
          <w:rFonts w:ascii="Times New Roman" w:hAnsi="Times New Roman" w:cs="Times New Roman"/>
          <w:lang w:val="vi-VN"/>
        </w:rPr>
        <w:t xml:space="preserve">của ngân hàng. Nghĩa là, ở các ngân hàng có sở hữu nhà nước cao, chuyển đổi số càng mạnh mẽ thì mức độ chấp nhận rủi ro càng giảm nhiều hơn. Điều này có thể giải thích do các ngân hàng thuộc sở hữu nhà nước thường có mục tiêu ưu tiên tính an toàn và ổn định tài chính, do đó, họ sẵn sàng đầu tư nhiều hơn vào công nghệ để kiểm soát rủi ro và duy trì sự ổn định cho hệ thống tài chính quốc gia </w:t>
      </w:r>
      <w:r w:rsidR="00A466C3" w:rsidRPr="00A466C3">
        <w:rPr>
          <w:rFonts w:ascii="Times New Roman" w:hAnsi="Times New Roman" w:cs="Times New Roman"/>
        </w:rPr>
        <w:fldChar w:fldCharType="begin"/>
      </w:r>
      <w:r w:rsidR="00D2274C">
        <w:rPr>
          <w:rFonts w:ascii="Times New Roman" w:hAnsi="Times New Roman" w:cs="Times New Roman"/>
          <w:lang w:val="vi-VN"/>
        </w:rPr>
        <w:instrText xml:space="preserve"> ADDIN ZOTERO_ITEM CSL_CITATION {"citationID":"Wnmxgze1","properties":{"formattedCitation":"\\super 23,30\\nosupersub{}","plainCitation":"23,30","noteIndex":0},"citationItems":[{"id":853,"uris":["http://zotero.org/users/local/1km6A5n5/items/UU448CGP"],"itemData":{"id":853,"type":"article-journal","abstract":"This paper conducts the first empirical assessment of theories concerning risk taking by banks, their ownership structures, and national bank regulations. We focus on conflicts between bank managers and owners over risk, and we show that bank risk taking varies positively with the comparative power of shareholders within the corporate governance structure of each bank. Moreover, we show that the relation between bank risk and capital regulations, deposit insurance policies, and restrictions on bank activities depends critically on each bank's ownership structure, such that the actual sign of the marginal effect of regulation on risk varies with ownership concentration. These findings show that the same regulation has different effects on bank risk taking depending on the bank's corporate governance structure.","container-title":"Journal of Financial Economics","DOI":"10.1016/j.jfineco.2008.09.003","ISSN":"0304-405X","issue":"2","journalAbbreviation":"Journal of Financial Economics","page":"259-275","source":"ScienceDirect","title":"Bank governance, regulation and risk taking","volume":"93","author":[{"family":"Laeven","given":"Luc"},{"family":"Levine","given":"Ross"}],"issued":{"date-parts":[["2009",8,1]]}}},{"id":936,"uris":["http://zotero.org/users/local/1km6A5n5/items/NM3HUQG6"],"itemData":{"id":936,"type":"article-journal","abstract":"This study investigates the impact of bank digitalization on capital reallocation using the adoption of digital lending platforms and a difference-in-differences design. We find that digital transformation in banking facilitates the reallocation of capital from higher-risk to lower-risk sectors. This effect is particularly pronounced in regions with high levels of government influence and in city and rural commercial banks, which are more susceptible to government intervention. Our findings suggest that banks that implement digital platforms are better positioned to resist political pressures, as the data-driven, automated decision-making processes make it difficult to justify risky, politically motivated loans, while increased transparency limits local government influence over credit allocation. The effects of digitalization on capital reallocation are further amplified in banks with opaque information environments, weak internal control, and high credit risks. Additional analyses show that the adoption of digital lending platforms improves the timeliness of loan loss recognition, reduces bank risk, and enhances operating performance. This study contributes to the literature on digitalization by highlighting its role in improving capital allocation in the banking sector and offers insights into how technological advancements can mitigate the risks posed by political intervention and high-risk lending.","container-title":"Journal of Business Ethics","DOI":"10.1007/s10551-024-05844-3","ISSN":"1573-0697","journalAbbreviation":"J Bus Ethics","language":"en","source":"Springer Link","title":"Bank Digitalization and Capital Reallocation","URL":"https://doi.org/10.1007/s10551-024-05844-3","author":[{"family":"Wu","given":"Sirui"},{"family":"Tian","given":"Haowen"},{"family":"Wang","given":"Chenyu"}],"accessed":{"date-parts":[["2024",11,23]]},"issued":{"date-parts":[["2024",10,28]]}}}],"schema":"https://github.com/citation-style-language/schema/raw/master/csl-citation.json"} </w:instrText>
      </w:r>
      <w:r w:rsidR="00A466C3" w:rsidRPr="00A466C3">
        <w:rPr>
          <w:rFonts w:ascii="Times New Roman" w:hAnsi="Times New Roman" w:cs="Times New Roman"/>
        </w:rPr>
        <w:fldChar w:fldCharType="separate"/>
      </w:r>
      <w:r w:rsidR="00D2274C" w:rsidRPr="00BE4B8E">
        <w:rPr>
          <w:rFonts w:ascii="Times New Roman" w:hAnsi="Times New Roman" w:cs="Times New Roman"/>
          <w:szCs w:val="24"/>
          <w:vertAlign w:val="superscript"/>
          <w:lang w:val="vi-VN"/>
        </w:rPr>
        <w:t>23,30</w:t>
      </w:r>
      <w:r w:rsidR="00A466C3" w:rsidRPr="00A466C3">
        <w:rPr>
          <w:rFonts w:ascii="Times New Roman" w:hAnsi="Times New Roman" w:cs="Times New Roman"/>
        </w:rPr>
        <w:fldChar w:fldCharType="end"/>
      </w:r>
      <w:r w:rsidR="00A466C3" w:rsidRPr="00BE4B8E">
        <w:rPr>
          <w:rFonts w:ascii="Times New Roman" w:hAnsi="Times New Roman" w:cs="Times New Roman"/>
          <w:lang w:val="vi-VN"/>
        </w:rPr>
        <w:t>. Ngoài ra, sự giám sát chặt chẽ từ chính phủ và yêu cầu tuân thủ các tiêu chuẩn quản lý rủi ro cũng khiến các ngân hàng nhà nước tận dụng tối đa các lợi ích từ chuyển đổi số để giảm thiểu rủi ro.</w:t>
      </w:r>
      <w:r w:rsidR="00A466C3">
        <w:rPr>
          <w:rFonts w:ascii="Times New Roman" w:hAnsi="Times New Roman" w:cs="Times New Roman"/>
          <w:lang w:val="vi-VN"/>
        </w:rPr>
        <w:t xml:space="preserve"> </w:t>
      </w:r>
    </w:p>
    <w:p w14:paraId="50288383" w14:textId="18905131" w:rsidR="00887E8E" w:rsidRDefault="00DD2DDD" w:rsidP="00875652">
      <w:pPr>
        <w:spacing w:before="120" w:after="120" w:line="240" w:lineRule="auto"/>
        <w:ind w:firstLine="360"/>
        <w:jc w:val="both"/>
        <w:rPr>
          <w:rFonts w:asciiTheme="majorHAnsi" w:hAnsiTheme="majorHAnsi" w:cstheme="majorHAnsi"/>
          <w:lang w:val="vi-VN"/>
        </w:rPr>
      </w:pPr>
      <w:r w:rsidRPr="00DD2DDD">
        <w:rPr>
          <w:rFonts w:asciiTheme="majorHAnsi" w:hAnsiTheme="majorHAnsi" w:cstheme="majorHAnsi"/>
          <w:lang w:val="vi-VN"/>
        </w:rPr>
        <w:t>Về</w:t>
      </w:r>
      <w:r>
        <w:rPr>
          <w:rFonts w:asciiTheme="majorHAnsi" w:hAnsiTheme="majorHAnsi" w:cstheme="majorHAnsi"/>
          <w:lang w:val="vi-VN"/>
        </w:rPr>
        <w:t xml:space="preserve"> các biến kiểm soát liên quan đến đặc trưng của ngân hàng, </w:t>
      </w:r>
      <w:r w:rsidR="00875652">
        <w:rPr>
          <w:rFonts w:asciiTheme="majorHAnsi" w:hAnsiTheme="majorHAnsi" w:cstheme="majorHAnsi"/>
          <w:lang w:val="vi-VN"/>
        </w:rPr>
        <w:t>quy mô tài sản có tương quan âm với biến phụ thuộc, nguyên nhân là do c</w:t>
      </w:r>
      <w:r w:rsidR="00875652" w:rsidRPr="00887E8E">
        <w:rPr>
          <w:rFonts w:asciiTheme="majorHAnsi" w:hAnsiTheme="majorHAnsi" w:cstheme="majorHAnsi"/>
          <w:lang w:val="vi-VN"/>
        </w:rPr>
        <w:t>ác ngân hàng lớn, nhờ sở hữu nguồn lực tài chính và công nghệ dồi dào, có khả năng đầu tư vào các công cụ kỹ thuật số tiên tiến, giúp tích hợp các hệ thống quản lý rủi ro tinh vi. Bên</w:t>
      </w:r>
      <w:r w:rsidR="00875652">
        <w:rPr>
          <w:rFonts w:asciiTheme="majorHAnsi" w:hAnsiTheme="majorHAnsi" w:cstheme="majorHAnsi"/>
          <w:lang w:val="vi-VN"/>
        </w:rPr>
        <w:t xml:space="preserve"> cạnh đó, họ </w:t>
      </w:r>
      <w:r w:rsidR="00875652" w:rsidRPr="00887E8E">
        <w:rPr>
          <w:rFonts w:asciiTheme="majorHAnsi" w:hAnsiTheme="majorHAnsi" w:cstheme="majorHAnsi"/>
          <w:lang w:val="vi-VN"/>
        </w:rPr>
        <w:t xml:space="preserve">có thể phân bổ nguồn lực đáng kể, cả về tài chính và nhân sự, để mua sắm và vận hành các hệ thống phần mềm hiện đại. Các hệ thống này hỗ trợ quản lý rủi ro tín dụng thông qua việc cải </w:t>
      </w:r>
      <w:r w:rsidR="00875652" w:rsidRPr="00887E8E">
        <w:rPr>
          <w:rFonts w:asciiTheme="majorHAnsi" w:hAnsiTheme="majorHAnsi" w:cstheme="majorHAnsi"/>
          <w:lang w:val="vi-VN"/>
        </w:rPr>
        <w:lastRenderedPageBreak/>
        <w:t>thiện độ chính xác và độ tin cậy của các quyết định tín dụng và đầu tư. Nhờ khả năng giảm thiểu lỗi và tối ưu hóa quy trình, các ngân hàng lớn thường chấp nhận rủi ro ở mức thấp hơn so với các ngân hàng nhỏ hơn, vốn bị giới hạn về nguồn lực và khả năng triển khai các giải pháp công nghệ phức tạp.</w:t>
      </w:r>
      <w:r w:rsidR="00875652">
        <w:rPr>
          <w:rFonts w:asciiTheme="majorHAnsi" w:hAnsiTheme="majorHAnsi" w:cstheme="majorHAnsi"/>
          <w:lang w:val="vi-VN"/>
        </w:rPr>
        <w:t xml:space="preserve"> Các yếu tố còn lại, bao gồm hiệu quả chi phí, đa dạng hóa thu nhập và tỷ lệ an toàn vốn tối thiểu đều có tác động cùng chiều với chuyển đổi số, </w:t>
      </w:r>
      <w:r w:rsidR="00887E8E">
        <w:rPr>
          <w:rFonts w:asciiTheme="majorHAnsi" w:hAnsiTheme="majorHAnsi" w:cstheme="majorHAnsi"/>
          <w:lang w:val="vi-VN"/>
        </w:rPr>
        <w:t>phù hợp với các kỳ vọng đã được trình bày ở trên</w:t>
      </w:r>
      <w:r>
        <w:rPr>
          <w:rFonts w:asciiTheme="majorHAnsi" w:hAnsiTheme="majorHAnsi" w:cstheme="majorHAnsi"/>
          <w:lang w:val="vi-VN"/>
        </w:rPr>
        <w:t>.</w:t>
      </w:r>
    </w:p>
    <w:p w14:paraId="204EE0DE" w14:textId="5C8C03EE" w:rsidR="00DD2DDD" w:rsidRDefault="00875652" w:rsidP="009D18EC">
      <w:pPr>
        <w:spacing w:before="120" w:after="120" w:line="240" w:lineRule="auto"/>
        <w:ind w:firstLine="360"/>
        <w:jc w:val="both"/>
        <w:rPr>
          <w:rFonts w:asciiTheme="majorHAnsi" w:hAnsiTheme="majorHAnsi" w:cstheme="majorHAnsi"/>
          <w:lang w:val="vi-VN"/>
        </w:rPr>
      </w:pPr>
      <w:r>
        <w:rPr>
          <w:rFonts w:asciiTheme="majorHAnsi" w:hAnsiTheme="majorHAnsi" w:cstheme="majorHAnsi"/>
          <w:lang w:val="vi-VN"/>
        </w:rPr>
        <w:t xml:space="preserve">Về các biến kiểm soát liên quan đến điều kiện kinh tế vĩ mô, cả lạm phát và tăng trưởng kinh tế đều có dấu tương quan âm với biến phụ </w:t>
      </w:r>
      <w:r w:rsidR="009D18EC">
        <w:rPr>
          <w:rFonts w:asciiTheme="majorHAnsi" w:hAnsiTheme="majorHAnsi" w:cstheme="majorHAnsi"/>
          <w:lang w:val="vi-VN"/>
        </w:rPr>
        <w:t>thuộc. Nguyên nhân là do</w:t>
      </w:r>
      <w:r w:rsidR="009D18EC" w:rsidRPr="009D18EC">
        <w:rPr>
          <w:lang w:val="vi-VN"/>
        </w:rPr>
        <w:t xml:space="preserve"> </w:t>
      </w:r>
      <w:r w:rsidR="009D18EC">
        <w:rPr>
          <w:rFonts w:asciiTheme="majorHAnsi" w:hAnsiTheme="majorHAnsi" w:cstheme="majorHAnsi"/>
          <w:lang w:val="vi-VN"/>
        </w:rPr>
        <w:t>t</w:t>
      </w:r>
      <w:r w:rsidR="009D18EC" w:rsidRPr="009D18EC">
        <w:rPr>
          <w:rFonts w:asciiTheme="majorHAnsi" w:hAnsiTheme="majorHAnsi" w:cstheme="majorHAnsi"/>
          <w:lang w:val="vi-VN"/>
        </w:rPr>
        <w:t>rong giai đoạn lạm phát cao hoặc tăng trưởng mạnh, các ngân hàng thường tập trung duy trì sự ổn định tài chính thay vì mở rộng hoạt động</w:t>
      </w:r>
      <w:r w:rsidR="009D18EC">
        <w:rPr>
          <w:rFonts w:asciiTheme="majorHAnsi" w:hAnsiTheme="majorHAnsi" w:cstheme="majorHAnsi"/>
          <w:lang w:val="vi-VN"/>
        </w:rPr>
        <w:t xml:space="preserve"> kinh doanh có</w:t>
      </w:r>
      <w:r w:rsidR="009D18EC" w:rsidRPr="009D18EC">
        <w:rPr>
          <w:rFonts w:asciiTheme="majorHAnsi" w:hAnsiTheme="majorHAnsi" w:cstheme="majorHAnsi"/>
          <w:lang w:val="vi-VN"/>
        </w:rPr>
        <w:t xml:space="preserve"> rủi ro. Điều này xuất phát từ tâm lý phòng ngừa trước nguy cơ suy thoái hoặc khủng hoảng tài chính có thể xảy ra khi chu kỳ kinh tế thay đổi.</w:t>
      </w:r>
      <w:r w:rsidR="009D18EC">
        <w:rPr>
          <w:rFonts w:asciiTheme="majorHAnsi" w:hAnsiTheme="majorHAnsi" w:cstheme="majorHAnsi"/>
          <w:lang w:val="vi-VN"/>
        </w:rPr>
        <w:t xml:space="preserve"> Tỷ lệ lạm phát cao sẽ làm cho lãi suất danh nghĩa tăng, </w:t>
      </w:r>
      <w:r w:rsidR="009D18EC" w:rsidRPr="009D18EC">
        <w:rPr>
          <w:rFonts w:asciiTheme="majorHAnsi" w:hAnsiTheme="majorHAnsi" w:cstheme="majorHAnsi"/>
          <w:lang w:val="vi-VN"/>
        </w:rPr>
        <w:t>làm tăng chi phí vay vốn đối với người đi vay. Điều này có thể làm giảm nhu cầu tín dụng và gia tăng rủi ro tín dụng do khả năng trả nợ của khách hàng suy giảm. Trong bối cảnh này, các ngân hàng có xu hướng hạn chế việc cho vay đối với các khoản đầu tư rủi ro cao nhằm tránh tình trạng nợ xấu.</w:t>
      </w:r>
      <w:r w:rsidR="009D18EC">
        <w:rPr>
          <w:rFonts w:asciiTheme="majorHAnsi" w:hAnsiTheme="majorHAnsi" w:cstheme="majorHAnsi"/>
          <w:lang w:val="vi-VN"/>
        </w:rPr>
        <w:t xml:space="preserve"> Bên cạnh đó, t</w:t>
      </w:r>
      <w:r w:rsidR="009D18EC" w:rsidRPr="009D18EC">
        <w:rPr>
          <w:rFonts w:asciiTheme="majorHAnsi" w:hAnsiTheme="majorHAnsi" w:cstheme="majorHAnsi"/>
          <w:lang w:val="vi-VN"/>
        </w:rPr>
        <w:t>rong giai đoạn tăng trưởng kinh tế mạnh, các doanh nghiệp và cá nhân thường có năng lực tài chính tốt hơn, giảm nguy cơ vỡ nợ. Điều này dẫn đến môi trường tín dụng an toàn hơn, khiến các ngân hàng không cần phải theo đuổi các chiến lược rủi ro để bù đắp lợi nhuận.</w:t>
      </w:r>
    </w:p>
    <w:p w14:paraId="56797416" w14:textId="0D8B7698" w:rsidR="00777EB8" w:rsidRPr="00E620F0" w:rsidRDefault="007B2E80" w:rsidP="00DD2DDD">
      <w:pPr>
        <w:pStyle w:val="ListParagraph"/>
        <w:numPr>
          <w:ilvl w:val="0"/>
          <w:numId w:val="1"/>
        </w:numPr>
        <w:spacing w:before="120" w:after="120" w:line="240" w:lineRule="auto"/>
        <w:ind w:left="630" w:hanging="270"/>
        <w:jc w:val="both"/>
        <w:rPr>
          <w:rFonts w:asciiTheme="majorHAnsi" w:hAnsiTheme="majorHAnsi" w:cstheme="majorHAnsi"/>
          <w:b/>
          <w:bCs/>
          <w:lang w:val="vi-VN"/>
        </w:rPr>
      </w:pPr>
      <w:r>
        <w:rPr>
          <w:rFonts w:asciiTheme="majorHAnsi" w:hAnsiTheme="majorHAnsi" w:cstheme="majorHAnsi"/>
          <w:b/>
          <w:bCs/>
          <w:lang w:val="vi-VN"/>
        </w:rPr>
        <w:t>KẾT LUẬN</w:t>
      </w:r>
    </w:p>
    <w:p w14:paraId="209EB79F" w14:textId="03AA1CC2" w:rsidR="00E620F0" w:rsidRPr="00FF5625" w:rsidRDefault="008A3BD7" w:rsidP="00FF5625">
      <w:pPr>
        <w:spacing w:before="120" w:after="120" w:line="240" w:lineRule="auto"/>
        <w:ind w:firstLine="360"/>
        <w:jc w:val="both"/>
        <w:rPr>
          <w:rFonts w:ascii="Times New Roman" w:hAnsi="Times New Roman" w:cs="Times New Roman"/>
          <w:lang w:val="vi-VN"/>
        </w:rPr>
      </w:pPr>
      <w:r w:rsidRPr="008A3BD7">
        <w:rPr>
          <w:rFonts w:ascii="Times New Roman" w:hAnsi="Times New Roman" w:cs="Times New Roman"/>
          <w:lang w:val="vi-VN"/>
        </w:rPr>
        <w:t xml:space="preserve">Nghiên cứu </w:t>
      </w:r>
      <w:r>
        <w:rPr>
          <w:rFonts w:ascii="Times New Roman" w:hAnsi="Times New Roman" w:cs="Times New Roman"/>
          <w:lang w:val="vi-VN"/>
        </w:rPr>
        <w:t>này nhằm kiểm tra vai trò điều tiết của sở hữu nhà nước đối với tác động của quá trình chuyển đổi số đến mức độ chấp nhận rủi ro tại 27 NHTM Việt Nam trong giai đoạn từ năm 2011 đến năm 2021. Mức độ chuyển đổi số được đo lường bằng chỉ số ICT Index</w:t>
      </w:r>
      <w:r w:rsidR="00BE4B8E">
        <w:rPr>
          <w:rFonts w:ascii="Times New Roman" w:hAnsi="Times New Roman" w:cs="Times New Roman"/>
          <w:lang w:val="vi-VN"/>
        </w:rPr>
        <w:t xml:space="preserve"> do </w:t>
      </w:r>
      <w:r>
        <w:rPr>
          <w:rFonts w:ascii="Times New Roman" w:hAnsi="Times New Roman" w:cs="Times New Roman"/>
          <w:lang w:val="vi-VN"/>
        </w:rPr>
        <w:t xml:space="preserve">Bộ Công nghệ thông tin và Truyền thông Việt Nam công bố thường niên. </w:t>
      </w:r>
      <w:r w:rsidR="00FF5625">
        <w:rPr>
          <w:rFonts w:ascii="Times New Roman" w:hAnsi="Times New Roman" w:cs="Times New Roman"/>
          <w:lang w:val="vi-VN"/>
        </w:rPr>
        <w:t xml:space="preserve">Kết quả ước lượng bằng phương pháp GMM hệ thống hai bước </w:t>
      </w:r>
      <w:r w:rsidR="00FF5625" w:rsidRPr="00A466C3">
        <w:rPr>
          <w:rFonts w:ascii="Times New Roman" w:hAnsi="Times New Roman" w:cs="Times New Roman"/>
          <w:lang w:val="vi-VN"/>
        </w:rPr>
        <w:t xml:space="preserve">không chỉ cung cấp bằng chứng thực nghiệm về mối quan hệ </w:t>
      </w:r>
      <w:r w:rsidR="00FF5625">
        <w:rPr>
          <w:rFonts w:ascii="Times New Roman" w:hAnsi="Times New Roman" w:cs="Times New Roman"/>
          <w:lang w:val="vi-VN"/>
        </w:rPr>
        <w:t xml:space="preserve">ngược chiều </w:t>
      </w:r>
      <w:r w:rsidR="00FF5625" w:rsidRPr="00A466C3">
        <w:rPr>
          <w:rFonts w:ascii="Times New Roman" w:hAnsi="Times New Roman" w:cs="Times New Roman"/>
          <w:lang w:val="vi-VN"/>
        </w:rPr>
        <w:t xml:space="preserve">giữa chuyển đổi số và </w:t>
      </w:r>
      <w:r w:rsidR="00FF5625">
        <w:rPr>
          <w:rFonts w:ascii="Times New Roman" w:hAnsi="Times New Roman" w:cs="Times New Roman"/>
          <w:lang w:val="vi-VN"/>
        </w:rPr>
        <w:t xml:space="preserve">mức độ </w:t>
      </w:r>
      <w:r w:rsidR="00FF5625" w:rsidRPr="00A466C3">
        <w:rPr>
          <w:rFonts w:ascii="Times New Roman" w:hAnsi="Times New Roman" w:cs="Times New Roman"/>
          <w:lang w:val="vi-VN"/>
        </w:rPr>
        <w:t xml:space="preserve">chấp nhận rủi ro trong lĩnh vực ngân hàng, mà còn cho thấy sự khác biệt rõ rệt </w:t>
      </w:r>
      <w:r w:rsidR="00FF5625">
        <w:rPr>
          <w:rFonts w:ascii="Times New Roman" w:hAnsi="Times New Roman" w:cs="Times New Roman"/>
          <w:lang w:val="vi-VN"/>
        </w:rPr>
        <w:t xml:space="preserve">trong mối quan hệ này </w:t>
      </w:r>
      <w:r w:rsidR="00FF5625" w:rsidRPr="00A466C3">
        <w:rPr>
          <w:rFonts w:ascii="Times New Roman" w:hAnsi="Times New Roman" w:cs="Times New Roman"/>
          <w:lang w:val="vi-VN"/>
        </w:rPr>
        <w:t>giữa ngân hàng</w:t>
      </w:r>
      <w:r w:rsidR="00FF5625">
        <w:rPr>
          <w:rFonts w:ascii="Times New Roman" w:hAnsi="Times New Roman" w:cs="Times New Roman"/>
          <w:lang w:val="vi-VN"/>
        </w:rPr>
        <w:t xml:space="preserve"> có vốn sở hữu</w:t>
      </w:r>
      <w:r w:rsidR="00FF5625" w:rsidRPr="00A466C3">
        <w:rPr>
          <w:rFonts w:ascii="Times New Roman" w:hAnsi="Times New Roman" w:cs="Times New Roman"/>
          <w:lang w:val="vi-VN"/>
        </w:rPr>
        <w:t xml:space="preserve"> nhà nước và ngân hàng tư nhân. </w:t>
      </w:r>
      <w:r w:rsidR="00FF5625" w:rsidRPr="00FF5625">
        <w:rPr>
          <w:rFonts w:ascii="Times New Roman" w:hAnsi="Times New Roman" w:cs="Times New Roman"/>
          <w:lang w:val="vi-VN"/>
        </w:rPr>
        <w:t>Sở hữu nhà nước có thể xem là một yếu tố điều tiết quan trọng giúp ngân hàng ứng dụng chuyển đổi số hiệu quả hơn trong việc giảm thiểu rủi ro.</w:t>
      </w:r>
    </w:p>
    <w:p w14:paraId="46A17404" w14:textId="2946EA7E" w:rsidR="00E620F0" w:rsidRPr="00E620F0" w:rsidRDefault="00E620F0" w:rsidP="00E620F0">
      <w:pPr>
        <w:spacing w:before="120" w:after="120" w:line="240" w:lineRule="auto"/>
        <w:ind w:firstLine="360"/>
        <w:jc w:val="both"/>
        <w:rPr>
          <w:rFonts w:ascii="Times New Roman" w:hAnsi="Times New Roman" w:cs="Times New Roman"/>
          <w:lang w:val="vi-VN"/>
        </w:rPr>
      </w:pPr>
      <w:r w:rsidRPr="00E620F0">
        <w:rPr>
          <w:rFonts w:ascii="Times New Roman" w:hAnsi="Times New Roman" w:cs="Times New Roman"/>
          <w:lang w:val="vi-VN"/>
        </w:rPr>
        <w:t>Từ kết quả nghiên cứu trên, nhóm tác giả có thể đưa ra một số hàm ý quản trị như sau:</w:t>
      </w:r>
    </w:p>
    <w:p w14:paraId="3AEC8828" w14:textId="77777777" w:rsidR="00E620F0" w:rsidRPr="00E620F0" w:rsidRDefault="00E620F0" w:rsidP="00E620F0">
      <w:pPr>
        <w:spacing w:before="120" w:after="120" w:line="240" w:lineRule="auto"/>
        <w:ind w:firstLine="360"/>
        <w:jc w:val="both"/>
        <w:rPr>
          <w:rFonts w:ascii="Times New Roman" w:hAnsi="Times New Roman" w:cs="Times New Roman"/>
          <w:lang w:val="vi-VN"/>
        </w:rPr>
      </w:pPr>
      <w:r w:rsidRPr="00E620F0">
        <w:rPr>
          <w:rFonts w:ascii="Times New Roman" w:hAnsi="Times New Roman" w:cs="Times New Roman"/>
          <w:b/>
          <w:i/>
          <w:lang w:val="vi-VN"/>
        </w:rPr>
        <w:t>Một là</w:t>
      </w:r>
      <w:r w:rsidRPr="00E620F0">
        <w:rPr>
          <w:rFonts w:ascii="Times New Roman" w:hAnsi="Times New Roman" w:cs="Times New Roman"/>
          <w:lang w:val="vi-VN"/>
        </w:rPr>
        <w:t>, các NHTM cần thúc đẩy chuyển đổi số để nâng cao khả năng kiểm soát rủi ro. Cụ thể, các nhà quản trị ngân hàng cần nhìn nhận chuyển đổi số không chỉ là một công cụ nâng cao hiệu quả hoạt động mà còn là một phương tiện giúp giảm thiểu hành vi chấp nhận rủi ro. Ngân hàng cần ưu tiên các giải pháp số hóa như hệ thống phân tích rủi ro tự động, trí tuệ nhân tạo và dữ liệu lớn để hỗ trợ quá trình ra quyết định dựa trên phân tích rủi ro sâu hơn.</w:t>
      </w:r>
    </w:p>
    <w:p w14:paraId="1F30440B" w14:textId="3FC0E9C7" w:rsidR="00E620F0" w:rsidRPr="00E620F0" w:rsidRDefault="00E620F0" w:rsidP="00E620F0">
      <w:pPr>
        <w:spacing w:before="120" w:after="120" w:line="240" w:lineRule="auto"/>
        <w:ind w:firstLine="360"/>
        <w:jc w:val="both"/>
        <w:rPr>
          <w:rFonts w:ascii="Times New Roman" w:hAnsi="Times New Roman" w:cs="Times New Roman"/>
          <w:lang w:val="vi-VN"/>
        </w:rPr>
      </w:pPr>
      <w:r w:rsidRPr="00E620F0">
        <w:rPr>
          <w:rFonts w:ascii="Times New Roman" w:hAnsi="Times New Roman" w:cs="Times New Roman"/>
          <w:b/>
          <w:i/>
          <w:lang w:val="vi-VN"/>
        </w:rPr>
        <w:t>Hai là</w:t>
      </w:r>
      <w:r w:rsidRPr="00E620F0">
        <w:rPr>
          <w:rFonts w:ascii="Times New Roman" w:hAnsi="Times New Roman" w:cs="Times New Roman"/>
          <w:lang w:val="vi-VN"/>
        </w:rPr>
        <w:t xml:space="preserve">, </w:t>
      </w:r>
      <w:r w:rsidR="00C14E92" w:rsidRPr="00E620F0">
        <w:rPr>
          <w:rFonts w:ascii="Times New Roman" w:hAnsi="Times New Roman" w:cs="Times New Roman"/>
          <w:lang w:val="vi-VN"/>
        </w:rPr>
        <w:t>các NHTM cần phát triển khung quản trị rủi ro tích hợp công nghệ. Các ngân hàng cần xây dựng một khung quản trị rủi ro toàn diện kết hợp giữa các công cụ truyền thống và công nghệ số, nhằm đảm bảo rằng các quyết định rủi ro đều được giám sát và đánh giá thường xuyên, minh bạch và hiệu quả. Khung quản trị này cần được điều chỉnh để phù hợp với mức độ sở hữu nhà nước, giúp các ngân hàng tuân thủ các yêu cầu an toàn và đồng thời ứng dụng chuyển đổi số hiệu quả hơn.</w:t>
      </w:r>
    </w:p>
    <w:p w14:paraId="19AF27D9" w14:textId="66D53D0D" w:rsidR="00E620F0" w:rsidRPr="00E620F0" w:rsidRDefault="00E620F0" w:rsidP="00C14E92">
      <w:pPr>
        <w:spacing w:before="120" w:after="120" w:line="240" w:lineRule="auto"/>
        <w:ind w:firstLine="360"/>
        <w:jc w:val="both"/>
        <w:rPr>
          <w:rFonts w:ascii="Times New Roman" w:hAnsi="Times New Roman" w:cs="Times New Roman"/>
          <w:lang w:val="vi-VN"/>
        </w:rPr>
      </w:pPr>
      <w:r w:rsidRPr="00E620F0">
        <w:rPr>
          <w:rFonts w:ascii="Times New Roman" w:hAnsi="Times New Roman" w:cs="Times New Roman"/>
          <w:b/>
          <w:i/>
          <w:lang w:val="vi-VN"/>
        </w:rPr>
        <w:t>Ba là</w:t>
      </w:r>
      <w:r w:rsidRPr="00E620F0">
        <w:rPr>
          <w:rFonts w:ascii="Times New Roman" w:hAnsi="Times New Roman" w:cs="Times New Roman"/>
          <w:lang w:val="vi-VN"/>
        </w:rPr>
        <w:t xml:space="preserve">, </w:t>
      </w:r>
      <w:r w:rsidR="00C14E92" w:rsidRPr="00E620F0">
        <w:rPr>
          <w:rFonts w:ascii="Times New Roman" w:hAnsi="Times New Roman" w:cs="Times New Roman"/>
          <w:lang w:val="vi-VN"/>
        </w:rPr>
        <w:t>các NHTM cần nâng cao năng lực của nhân viên trong việc ứng dụng công nghệ số. Để tận dụng tối đa lợi ích từ chuyển đổi số, các ngân hàng cần đầu tư vào đào tạo và phát triển năng lực của đội ngũ nhân viên, đặc biệt là trong các lĩnh vực liên quan đến quản trị rủi ro và công nghệ. Điều này giúp tăng cường khả năng đánh giá rủi ro một cách khách quan và giảm thiểu các sai sót trong quá trình ra quyết định.</w:t>
      </w:r>
    </w:p>
    <w:p w14:paraId="2E3E06AC" w14:textId="62B03C8C" w:rsidR="00C14E92" w:rsidRPr="00E620F0" w:rsidRDefault="00E620F0" w:rsidP="00C14E92">
      <w:pPr>
        <w:spacing w:before="120" w:after="120" w:line="240" w:lineRule="auto"/>
        <w:ind w:firstLine="360"/>
        <w:jc w:val="both"/>
        <w:rPr>
          <w:rFonts w:ascii="Times New Roman" w:hAnsi="Times New Roman" w:cs="Times New Roman"/>
          <w:lang w:val="vi-VN"/>
        </w:rPr>
      </w:pPr>
      <w:r w:rsidRPr="00E620F0">
        <w:rPr>
          <w:rFonts w:ascii="Times New Roman" w:hAnsi="Times New Roman" w:cs="Times New Roman"/>
          <w:b/>
          <w:i/>
          <w:lang w:val="vi-VN"/>
        </w:rPr>
        <w:t>Bốn là</w:t>
      </w:r>
      <w:r w:rsidRPr="00E620F0">
        <w:rPr>
          <w:rFonts w:ascii="Times New Roman" w:hAnsi="Times New Roman" w:cs="Times New Roman"/>
          <w:lang w:val="vi-VN"/>
        </w:rPr>
        <w:t xml:space="preserve">, </w:t>
      </w:r>
      <w:r w:rsidR="00C14E92" w:rsidRPr="00E620F0">
        <w:rPr>
          <w:rFonts w:ascii="Times New Roman" w:hAnsi="Times New Roman" w:cs="Times New Roman"/>
          <w:lang w:val="vi-VN"/>
        </w:rPr>
        <w:t xml:space="preserve">cần thiết tăng cường sự tham gia của </w:t>
      </w:r>
      <w:r w:rsidR="00C14E92">
        <w:rPr>
          <w:rFonts w:ascii="Times New Roman" w:hAnsi="Times New Roman" w:cs="Times New Roman"/>
          <w:lang w:val="vi-VN"/>
        </w:rPr>
        <w:t>N</w:t>
      </w:r>
      <w:r w:rsidR="00C14E92" w:rsidRPr="00E620F0">
        <w:rPr>
          <w:rFonts w:ascii="Times New Roman" w:hAnsi="Times New Roman" w:cs="Times New Roman"/>
          <w:lang w:val="vi-VN"/>
        </w:rPr>
        <w:t xml:space="preserve">hà nước trong chuyển đổi số tại các ngân hàng </w:t>
      </w:r>
      <w:r w:rsidR="00C14E92">
        <w:rPr>
          <w:rFonts w:ascii="Times New Roman" w:hAnsi="Times New Roman" w:cs="Times New Roman"/>
          <w:lang w:val="vi-VN"/>
        </w:rPr>
        <w:t>có vốn sở hữu N</w:t>
      </w:r>
      <w:r w:rsidR="00C14E92" w:rsidRPr="00E620F0">
        <w:rPr>
          <w:rFonts w:ascii="Times New Roman" w:hAnsi="Times New Roman" w:cs="Times New Roman"/>
          <w:lang w:val="vi-VN"/>
        </w:rPr>
        <w:t>hà nước. Đối với các ngân hàng có sở hữu nhà nước cao, cần tăng cường các cơ chế hỗ trợ cho chuyển đổi số nhằm tối ưu hóa tác động của chuyển đổi số đến kiểm soát rủi ro. Cơ quan quản lý nhà nước có thể xem xét các chính sách khuyến khích và hỗ trợ kỹ thuật để giúp ngân hàng nhà nước tận dụng công nghệ vào việc tăng cường an toàn tài chính, từ đó tạo nên một hệ thống ngân hàng ổn định và hiệu quả hơn.</w:t>
      </w:r>
    </w:p>
    <w:p w14:paraId="48510F64" w14:textId="77777777" w:rsidR="00E620F0" w:rsidRPr="00E620F0" w:rsidRDefault="00E620F0" w:rsidP="00E620F0">
      <w:pPr>
        <w:spacing w:before="120" w:after="120" w:line="240" w:lineRule="auto"/>
        <w:ind w:firstLine="360"/>
        <w:jc w:val="both"/>
        <w:rPr>
          <w:rFonts w:ascii="Times New Roman" w:hAnsi="Times New Roman" w:cs="Times New Roman"/>
          <w:lang w:val="vi-VN"/>
        </w:rPr>
      </w:pPr>
      <w:r w:rsidRPr="00E620F0">
        <w:rPr>
          <w:rFonts w:ascii="Times New Roman" w:hAnsi="Times New Roman" w:cs="Times New Roman"/>
          <w:b/>
          <w:i/>
          <w:lang w:val="vi-VN"/>
        </w:rPr>
        <w:t>Cuối cùng</w:t>
      </w:r>
      <w:r w:rsidRPr="00E620F0">
        <w:rPr>
          <w:rFonts w:ascii="Times New Roman" w:hAnsi="Times New Roman" w:cs="Times New Roman"/>
          <w:lang w:val="vi-VN"/>
        </w:rPr>
        <w:t>, Ngân hàng nhà nước cần cân nhắc trong việc duy trì mức sở hữu nhà nước hợp lý. Các nhà hoạch định chính sách cần xem xét mức độ sở hữu nhà nước phù hợp để vừa đảm bảo tính ổn định của ngân hàng, vừa khuyến khích khả năng đổi mới và linh hoạt trong việc ứng dụng chuyển đổi số. Một mức độ sở hữu nhà nước hợp lý có thể giúp cân bằng giữa mục tiêu an toàn tài chính và khả năng ứng dụng công nghệ để giảm rủi ro hiệu quả hơn.</w:t>
      </w:r>
    </w:p>
    <w:p w14:paraId="64DF9AB9" w14:textId="2971417A" w:rsidR="00255C16" w:rsidRDefault="00E620F0" w:rsidP="005E4148">
      <w:pPr>
        <w:spacing w:before="120" w:after="120" w:line="240" w:lineRule="auto"/>
        <w:ind w:firstLine="360"/>
        <w:jc w:val="both"/>
        <w:rPr>
          <w:rFonts w:ascii="Times New Roman" w:hAnsi="Times New Roman" w:cs="Times New Roman"/>
          <w:lang w:val="vi-VN"/>
        </w:rPr>
      </w:pPr>
      <w:r w:rsidRPr="00E620F0">
        <w:rPr>
          <w:rFonts w:ascii="Times New Roman" w:hAnsi="Times New Roman" w:cs="Times New Roman"/>
          <w:lang w:val="vi-VN"/>
        </w:rPr>
        <w:lastRenderedPageBreak/>
        <w:t>Trong nghiên cứu này, kích thước mẫu được sử dụng để phân tích còn hạn chế, chưa bao gồm tất cả các ngân hàng thương mại đang hoạt động tại Việt Nam. Do vậy, cần thêm các nghiên cứu khác thực hiện với mẫu phân tích bao gồm tất cả các NHTM tại Việt Nam, từ đó đảm bảo các kết quả nghiên cứu đạt tính tin cậy cao nhất. Ngoài ra, các nghiên cứu trong tương lai nên xem xét mối quan hệ giữa chuyển đổi số và mức độ chấp nhận rủi ro tại các nền kinh tế đang phát triển khác để có được góc nhìn đầy đủ và sâu sắc hơn về vấn đề này.</w:t>
      </w:r>
    </w:p>
    <w:p w14:paraId="340A8E43" w14:textId="4AC57F31" w:rsidR="005E4148" w:rsidRPr="005E4148" w:rsidRDefault="007B2E80" w:rsidP="005E4148">
      <w:pPr>
        <w:spacing w:before="120" w:after="120" w:line="240" w:lineRule="auto"/>
        <w:ind w:firstLine="360"/>
        <w:jc w:val="both"/>
        <w:rPr>
          <w:rFonts w:ascii="Times New Roman" w:hAnsi="Times New Roman" w:cs="Times New Roman"/>
          <w:b/>
          <w:bCs/>
          <w:lang w:val="vi-VN"/>
        </w:rPr>
      </w:pPr>
      <w:r>
        <w:rPr>
          <w:rFonts w:ascii="Times New Roman" w:hAnsi="Times New Roman" w:cs="Times New Roman"/>
          <w:b/>
          <w:bCs/>
          <w:lang w:val="vi-VN"/>
        </w:rPr>
        <w:t>Lời cảm ơn</w:t>
      </w:r>
    </w:p>
    <w:p w14:paraId="369D0481" w14:textId="30C9428B" w:rsidR="005E4148" w:rsidRPr="005E4148" w:rsidRDefault="005E4148" w:rsidP="005E4148">
      <w:pPr>
        <w:spacing w:before="120" w:after="120" w:line="240" w:lineRule="auto"/>
        <w:ind w:firstLine="360"/>
        <w:jc w:val="both"/>
        <w:rPr>
          <w:rFonts w:ascii="Times New Roman" w:hAnsi="Times New Roman" w:cs="Times New Roman"/>
          <w:lang w:val="vi-VN"/>
        </w:rPr>
      </w:pPr>
      <w:r>
        <w:rPr>
          <w:rFonts w:ascii="Times New Roman" w:hAnsi="Times New Roman" w:cs="Times New Roman"/>
          <w:lang w:val="vi-VN"/>
        </w:rPr>
        <w:t>Nghiên cứu này được thực hiện trong khuôn khổ đề tài khoa học công nghệ cấp cơ sở của Trường Đại học Quy Nhơn với mã số T2024.868.39.</w:t>
      </w:r>
    </w:p>
    <w:p w14:paraId="60DF1267" w14:textId="7044D9A8" w:rsidR="00823469" w:rsidRPr="005F0CA1" w:rsidRDefault="007B2E80" w:rsidP="005F0CA1">
      <w:pPr>
        <w:spacing w:before="120" w:after="120" w:line="240" w:lineRule="auto"/>
        <w:ind w:left="360"/>
        <w:jc w:val="both"/>
        <w:rPr>
          <w:rFonts w:ascii="Times New Roman" w:hAnsi="Times New Roman" w:cs="Times New Roman"/>
          <w:b/>
          <w:bCs/>
          <w:lang w:val="vi-VN"/>
        </w:rPr>
      </w:pPr>
      <w:r>
        <w:rPr>
          <w:rFonts w:ascii="Times New Roman" w:hAnsi="Times New Roman" w:cs="Times New Roman"/>
          <w:b/>
          <w:bCs/>
          <w:lang w:val="vi-VN"/>
        </w:rPr>
        <w:t>TÀI LIỆU THAM KHẢO</w:t>
      </w:r>
    </w:p>
    <w:p w14:paraId="52D0FF83" w14:textId="4E9A0480" w:rsidR="00584634" w:rsidRPr="00695C1B" w:rsidRDefault="00F50E01"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b/>
          <w:i/>
          <w:sz w:val="20"/>
          <w:szCs w:val="20"/>
        </w:rPr>
        <w:fldChar w:fldCharType="begin"/>
      </w:r>
      <w:r w:rsidR="00D2274C" w:rsidRPr="00695C1B">
        <w:rPr>
          <w:rFonts w:asciiTheme="majorHAnsi" w:hAnsiTheme="majorHAnsi" w:cstheme="majorHAnsi"/>
          <w:b/>
          <w:i/>
          <w:sz w:val="20"/>
          <w:szCs w:val="20"/>
        </w:rPr>
        <w:instrText xml:space="preserve"> ADDIN ZOTERO_BIBL {"uncited":[],"omitted":[],"custom":[]} CSL_BIBLIOGRAPHY </w:instrText>
      </w:r>
      <w:r w:rsidRPr="00695C1B">
        <w:rPr>
          <w:rFonts w:asciiTheme="majorHAnsi" w:hAnsiTheme="majorHAnsi" w:cstheme="majorHAnsi"/>
          <w:b/>
          <w:i/>
          <w:sz w:val="20"/>
          <w:szCs w:val="20"/>
        </w:rPr>
        <w:fldChar w:fldCharType="separate"/>
      </w:r>
      <w:r w:rsidR="00584634" w:rsidRPr="00695C1B">
        <w:rPr>
          <w:rFonts w:asciiTheme="majorHAnsi" w:hAnsiTheme="majorHAnsi" w:cstheme="majorHAnsi"/>
          <w:sz w:val="20"/>
          <w:szCs w:val="20"/>
        </w:rPr>
        <w:t xml:space="preserve">1. </w:t>
      </w:r>
      <w:r w:rsidR="00584634" w:rsidRPr="00695C1B">
        <w:rPr>
          <w:rFonts w:asciiTheme="majorHAnsi" w:hAnsiTheme="majorHAnsi" w:cstheme="majorHAnsi"/>
          <w:sz w:val="20"/>
          <w:szCs w:val="20"/>
        </w:rPr>
        <w:tab/>
        <w:t>UN.ESCAP. Asia-Pacific dig</w:t>
      </w:r>
      <w:r w:rsidR="00695C1B">
        <w:rPr>
          <w:rFonts w:asciiTheme="majorHAnsi" w:hAnsiTheme="majorHAnsi" w:cstheme="majorHAnsi"/>
          <w:sz w:val="20"/>
          <w:szCs w:val="20"/>
        </w:rPr>
        <w:t>ital transformation report 2022</w:t>
      </w:r>
      <w:r w:rsidR="00584634" w:rsidRPr="00695C1B">
        <w:rPr>
          <w:rFonts w:asciiTheme="majorHAnsi" w:hAnsiTheme="majorHAnsi" w:cstheme="majorHAnsi"/>
          <w:sz w:val="20"/>
          <w:szCs w:val="20"/>
        </w:rPr>
        <w:t>: shaping our digital future [Internet]. 2022 [cited 2024 Oct 30]. Available from: https://repository-uat.unescap.org/items/89d8df5c-71ba-4bf7-82a6-957b29edf615</w:t>
      </w:r>
    </w:p>
    <w:p w14:paraId="36E71464"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2. </w:t>
      </w:r>
      <w:r w:rsidRPr="00695C1B">
        <w:rPr>
          <w:rFonts w:asciiTheme="majorHAnsi" w:hAnsiTheme="majorHAnsi" w:cstheme="majorHAnsi"/>
          <w:sz w:val="20"/>
          <w:szCs w:val="20"/>
        </w:rPr>
        <w:tab/>
        <w:t xml:space="preserve">Khattak MA, Ali M, Azmi W, Rizvi SAR. Digital transformation, diversification and stability: What do we know about banks? Econ Anal Policy. 2023 Jun 1;78:122–32. </w:t>
      </w:r>
    </w:p>
    <w:p w14:paraId="5A0604F6"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3. </w:t>
      </w:r>
      <w:r w:rsidRPr="00695C1B">
        <w:rPr>
          <w:rFonts w:asciiTheme="majorHAnsi" w:hAnsiTheme="majorHAnsi" w:cstheme="majorHAnsi"/>
          <w:sz w:val="20"/>
          <w:szCs w:val="20"/>
        </w:rPr>
        <w:tab/>
        <w:t xml:space="preserve">Xie X, Wang S. Digital transformation of commercial banks in China: Measurement, progress and impact. China Econ Q Int. 2023 Mar 1;3(1):35–45. </w:t>
      </w:r>
    </w:p>
    <w:p w14:paraId="33F939E5"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4. </w:t>
      </w:r>
      <w:r w:rsidRPr="00695C1B">
        <w:rPr>
          <w:rFonts w:asciiTheme="majorHAnsi" w:hAnsiTheme="majorHAnsi" w:cstheme="majorHAnsi"/>
          <w:sz w:val="20"/>
          <w:szCs w:val="20"/>
        </w:rPr>
        <w:tab/>
        <w:t xml:space="preserve">Agoraki MEK, Delis MD, Pasiouras F. Regulations, competition and bank risk-taking in transition countries. J Financ Stab. 2011 Jan 1;7(1):38–48. </w:t>
      </w:r>
    </w:p>
    <w:p w14:paraId="7B2EC893"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5. </w:t>
      </w:r>
      <w:r w:rsidRPr="00695C1B">
        <w:rPr>
          <w:rFonts w:asciiTheme="majorHAnsi" w:hAnsiTheme="majorHAnsi" w:cstheme="majorHAnsi"/>
          <w:sz w:val="20"/>
          <w:szCs w:val="20"/>
        </w:rPr>
        <w:tab/>
        <w:t xml:space="preserve">Guo P, Shen Y. The impact of internet finance on commercial banks’ risktaking: Theoretical interpretation and empirical test. China Finance Econ Rev. 2016;5(3):89–109. </w:t>
      </w:r>
    </w:p>
    <w:p w14:paraId="4CD1AD0E"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6. </w:t>
      </w:r>
      <w:r w:rsidRPr="00695C1B">
        <w:rPr>
          <w:rFonts w:asciiTheme="majorHAnsi" w:hAnsiTheme="majorHAnsi" w:cstheme="majorHAnsi"/>
          <w:sz w:val="20"/>
          <w:szCs w:val="20"/>
        </w:rPr>
        <w:tab/>
        <w:t xml:space="preserve">Berger LM, Houle JN. Rising Household Debt and Children’s Socioemotional Well-being Trajectories. Demography. 2019;56(4):1273–301. </w:t>
      </w:r>
    </w:p>
    <w:p w14:paraId="22E8E374"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7. </w:t>
      </w:r>
      <w:r w:rsidRPr="00695C1B">
        <w:rPr>
          <w:rFonts w:asciiTheme="majorHAnsi" w:hAnsiTheme="majorHAnsi" w:cstheme="majorHAnsi"/>
          <w:sz w:val="20"/>
          <w:szCs w:val="20"/>
        </w:rPr>
        <w:tab/>
        <w:t xml:space="preserve">Deng L, Lv Y, Liu Y, Zhao Y. Impact of Fintech on Bank Risk-Taking: Evidence from China. Risks. 2021 May;9(5):99. </w:t>
      </w:r>
    </w:p>
    <w:p w14:paraId="5B6AAC29"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8. </w:t>
      </w:r>
      <w:r w:rsidRPr="00695C1B">
        <w:rPr>
          <w:rFonts w:asciiTheme="majorHAnsi" w:hAnsiTheme="majorHAnsi" w:cstheme="majorHAnsi"/>
          <w:sz w:val="20"/>
          <w:szCs w:val="20"/>
        </w:rPr>
        <w:tab/>
        <w:t xml:space="preserve">Hoque A, Le DT, Le T. Does digital transformation reduce bank’s risk-taking? evidence from vietnamese commercial banks. J Open Innov Technol Mark Complex. 2024 Jun 1;10(2):100260. </w:t>
      </w:r>
    </w:p>
    <w:p w14:paraId="265B84A0"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9. </w:t>
      </w:r>
      <w:r w:rsidRPr="00695C1B">
        <w:rPr>
          <w:rFonts w:asciiTheme="majorHAnsi" w:hAnsiTheme="majorHAnsi" w:cstheme="majorHAnsi"/>
          <w:sz w:val="20"/>
          <w:szCs w:val="20"/>
        </w:rPr>
        <w:tab/>
        <w:t>Li G, Elahi E, Zhao L. Fintech, Bank Risk-Taking, and Risk-Warning for Commercial Banks in the Era of Digital Technology. Front Psychol [Internet]. 2022 Jul 13 [cited 2024 Oct 30];13. Available from: https://www.frontiersin.org/journals/psychology/articles/10.3389/fpsyg.2022.934053/full</w:t>
      </w:r>
    </w:p>
    <w:p w14:paraId="1FFBBEE6"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10. </w:t>
      </w:r>
      <w:r w:rsidRPr="00695C1B">
        <w:rPr>
          <w:rFonts w:asciiTheme="majorHAnsi" w:hAnsiTheme="majorHAnsi" w:cstheme="majorHAnsi"/>
          <w:sz w:val="20"/>
          <w:szCs w:val="20"/>
        </w:rPr>
        <w:tab/>
        <w:t xml:space="preserve">Chen B, Yang X, Ma Z. Fintech and Financial Risks of Systemically Important Commercial Banks in China: An Inverted U-Shaped Relationship. Sustainability. 2022;14(10):1–20. </w:t>
      </w:r>
    </w:p>
    <w:p w14:paraId="17D7500E"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11. </w:t>
      </w:r>
      <w:r w:rsidRPr="00695C1B">
        <w:rPr>
          <w:rFonts w:asciiTheme="majorHAnsi" w:hAnsiTheme="majorHAnsi" w:cstheme="majorHAnsi"/>
          <w:sz w:val="20"/>
          <w:szCs w:val="20"/>
        </w:rPr>
        <w:tab/>
        <w:t xml:space="preserve">Wang R, Liu J, Luo H. Fintech development and bank risk taking in China. Eur J Finance. 2021 Mar 24;27(4–5):397–418. </w:t>
      </w:r>
    </w:p>
    <w:p w14:paraId="3A26DC0A"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12. </w:t>
      </w:r>
      <w:r w:rsidRPr="00695C1B">
        <w:rPr>
          <w:rFonts w:asciiTheme="majorHAnsi" w:hAnsiTheme="majorHAnsi" w:cstheme="majorHAnsi"/>
          <w:sz w:val="20"/>
          <w:szCs w:val="20"/>
        </w:rPr>
        <w:tab/>
        <w:t>Paavola R, Hallikainen P, Elbanna AR. Role of Middle Managers in Modular Digital Transformation: the Case of Servu. In 2017 [cited 2024 Nov 18]. Available from: https://www.semanticscholar.org/paper/Role-of-Middle-Managers-in-Modular-Digital-the-Case-Paavola-Hallikainen/dea0f590af954f7f940d694c16f808e0624f2ae9</w:t>
      </w:r>
    </w:p>
    <w:p w14:paraId="7FD432E3"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13. </w:t>
      </w:r>
      <w:r w:rsidRPr="00695C1B">
        <w:rPr>
          <w:rFonts w:asciiTheme="majorHAnsi" w:hAnsiTheme="majorHAnsi" w:cstheme="majorHAnsi"/>
          <w:sz w:val="20"/>
          <w:szCs w:val="20"/>
        </w:rPr>
        <w:tab/>
        <w:t xml:space="preserve">Hoai PTT, Vu NT. Assessing the Impact of Digital Transformation on Risk Management in Vietnam’s Joint-Stock Commercial Banks. Migr Lett. 2024 Jan 7;21(S2):372–84. </w:t>
      </w:r>
    </w:p>
    <w:p w14:paraId="0AB124B5"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14. </w:t>
      </w:r>
      <w:r w:rsidRPr="00695C1B">
        <w:rPr>
          <w:rFonts w:asciiTheme="majorHAnsi" w:hAnsiTheme="majorHAnsi" w:cstheme="majorHAnsi"/>
          <w:sz w:val="20"/>
          <w:szCs w:val="20"/>
        </w:rPr>
        <w:tab/>
        <w:t xml:space="preserve">Zhu Y, Jin S. COVID-19, Digital Transformation of Banks, and Operational Capabilities of Commercial Banks. Sustainability. 2023 Jan;15(11):8783. </w:t>
      </w:r>
    </w:p>
    <w:p w14:paraId="48D9D925"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15. </w:t>
      </w:r>
      <w:r w:rsidRPr="00695C1B">
        <w:rPr>
          <w:rFonts w:asciiTheme="majorHAnsi" w:hAnsiTheme="majorHAnsi" w:cstheme="majorHAnsi"/>
          <w:sz w:val="20"/>
          <w:szCs w:val="20"/>
        </w:rPr>
        <w:tab/>
        <w:t xml:space="preserve">Diener F, Špaček M. Digital Transformation in Banking: A Managerial Perspective on Barriers to Change. Sustainability. 2021 Jan;13(4):2032. </w:t>
      </w:r>
    </w:p>
    <w:p w14:paraId="686C2C6B"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16. </w:t>
      </w:r>
      <w:r w:rsidRPr="00695C1B">
        <w:rPr>
          <w:rFonts w:asciiTheme="majorHAnsi" w:hAnsiTheme="majorHAnsi" w:cstheme="majorHAnsi"/>
          <w:sz w:val="20"/>
          <w:szCs w:val="20"/>
        </w:rPr>
        <w:tab/>
        <w:t xml:space="preserve">Vial G. Understanding digital transformation: A review and a research agenda. J Strateg Inf Syst. 2019 Jun 1;28(2):118–44. </w:t>
      </w:r>
    </w:p>
    <w:p w14:paraId="18F0E5C2"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17. </w:t>
      </w:r>
      <w:r w:rsidRPr="00695C1B">
        <w:rPr>
          <w:rFonts w:asciiTheme="majorHAnsi" w:hAnsiTheme="majorHAnsi" w:cstheme="majorHAnsi"/>
          <w:sz w:val="20"/>
          <w:szCs w:val="20"/>
        </w:rPr>
        <w:tab/>
        <w:t xml:space="preserve">Jagtiani J, Lemieux C. Do fintech lenders penetrate areas that are underserved by traditional banks? J Econ Bus. 2018 Nov 1;100:43–54. </w:t>
      </w:r>
    </w:p>
    <w:p w14:paraId="6CAAF1A1"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18. </w:t>
      </w:r>
      <w:r w:rsidRPr="00695C1B">
        <w:rPr>
          <w:rFonts w:asciiTheme="majorHAnsi" w:hAnsiTheme="majorHAnsi" w:cstheme="majorHAnsi"/>
          <w:sz w:val="20"/>
          <w:szCs w:val="20"/>
        </w:rPr>
        <w:tab/>
        <w:t xml:space="preserve">Stulz RM. FinTech, BigTech, and the Future of Banks. J Appl Corp Finance. 2019;31(4):86–97. </w:t>
      </w:r>
    </w:p>
    <w:p w14:paraId="7504A97E"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lastRenderedPageBreak/>
        <w:t xml:space="preserve">19. </w:t>
      </w:r>
      <w:r w:rsidRPr="00695C1B">
        <w:rPr>
          <w:rFonts w:asciiTheme="majorHAnsi" w:hAnsiTheme="majorHAnsi" w:cstheme="majorHAnsi"/>
          <w:sz w:val="20"/>
          <w:szCs w:val="20"/>
        </w:rPr>
        <w:tab/>
        <w:t xml:space="preserve">Guo P, Shen Y. The impact of Internet finance on commercial banks’ risk taking: evidence from China. China Finance Econ Rev. 2016;4(1):1–19. </w:t>
      </w:r>
    </w:p>
    <w:p w14:paraId="4EE7384A"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20. </w:t>
      </w:r>
      <w:r w:rsidRPr="00695C1B">
        <w:rPr>
          <w:rFonts w:asciiTheme="majorHAnsi" w:hAnsiTheme="majorHAnsi" w:cstheme="majorHAnsi"/>
          <w:sz w:val="20"/>
          <w:szCs w:val="20"/>
        </w:rPr>
        <w:tab/>
        <w:t xml:space="preserve">Papadimitri P, Pasiouras F, Tasiou M. Financial leverage and performance: the case of financial technology firms. Appl Econ. 2021 Sep 20;53(44):5103–21. </w:t>
      </w:r>
    </w:p>
    <w:p w14:paraId="17674FEB"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21. </w:t>
      </w:r>
      <w:r w:rsidRPr="00695C1B">
        <w:rPr>
          <w:rFonts w:asciiTheme="majorHAnsi" w:hAnsiTheme="majorHAnsi" w:cstheme="majorHAnsi"/>
          <w:sz w:val="20"/>
          <w:szCs w:val="20"/>
        </w:rPr>
        <w:tab/>
        <w:t xml:space="preserve">Dai H, Yin W. Evaluation Method of Customs’ Price Evaluation Risks in China’s Coastal Special Economic Zones. J Coast Res. 2020 Jun;103(sp1):151–4. </w:t>
      </w:r>
    </w:p>
    <w:p w14:paraId="7171A676"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22. </w:t>
      </w:r>
      <w:r w:rsidRPr="00695C1B">
        <w:rPr>
          <w:rFonts w:asciiTheme="majorHAnsi" w:hAnsiTheme="majorHAnsi" w:cstheme="majorHAnsi"/>
          <w:sz w:val="20"/>
          <w:szCs w:val="20"/>
        </w:rPr>
        <w:tab/>
        <w:t>Yang Z, Qian K, Wu C, Zhang Y. Human Gait Recognition with Wi-Fi. In: Yang Z, Qian K, Wu C, Zhang Y, editors. Smart Wireless Sensing: From IoT to AIoT [Internet]. Singapore: Springer; 2021 [cited 2024 Nov 7]. p. 215–30. Available from: https://doi.org/10.1007/978-981-16-5658-3_10</w:t>
      </w:r>
    </w:p>
    <w:p w14:paraId="300BF0A2"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23. </w:t>
      </w:r>
      <w:r w:rsidRPr="00695C1B">
        <w:rPr>
          <w:rFonts w:asciiTheme="majorHAnsi" w:hAnsiTheme="majorHAnsi" w:cstheme="majorHAnsi"/>
          <w:sz w:val="20"/>
          <w:szCs w:val="20"/>
        </w:rPr>
        <w:tab/>
        <w:t>Wu S, Tian H, Wang C. Bank Digitalization and Capital Reallocation. J Bus Ethics [Internet]. 2024 Oct 28 [cited 2024 Nov 23]; Available from: https://doi.org/10.1007/s10551-024-05844-3</w:t>
      </w:r>
    </w:p>
    <w:p w14:paraId="551B42C1"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24. </w:t>
      </w:r>
      <w:r w:rsidRPr="00695C1B">
        <w:rPr>
          <w:rFonts w:asciiTheme="majorHAnsi" w:hAnsiTheme="majorHAnsi" w:cstheme="majorHAnsi"/>
          <w:sz w:val="20"/>
          <w:szCs w:val="20"/>
        </w:rPr>
        <w:tab/>
        <w:t xml:space="preserve">Megginson WL. The economics of bank privatization. J Bank Finance. 2005 Aug 1;29(8):1931–80. </w:t>
      </w:r>
    </w:p>
    <w:p w14:paraId="11DCC008"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25. </w:t>
      </w:r>
      <w:r w:rsidRPr="00695C1B">
        <w:rPr>
          <w:rFonts w:asciiTheme="majorHAnsi" w:hAnsiTheme="majorHAnsi" w:cstheme="majorHAnsi"/>
          <w:sz w:val="20"/>
          <w:szCs w:val="20"/>
        </w:rPr>
        <w:tab/>
        <w:t xml:space="preserve">La Porta R, Lopez-De-Silanes F, Shleifer A. Government Ownership of Banks. J Finance. 2002;57(1):265–301. </w:t>
      </w:r>
    </w:p>
    <w:p w14:paraId="5CBFA52F"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26. </w:t>
      </w:r>
      <w:r w:rsidRPr="00695C1B">
        <w:rPr>
          <w:rFonts w:asciiTheme="majorHAnsi" w:hAnsiTheme="majorHAnsi" w:cstheme="majorHAnsi"/>
          <w:sz w:val="20"/>
          <w:szCs w:val="20"/>
        </w:rPr>
        <w:tab/>
        <w:t xml:space="preserve">Cornett MM, Guo L, Khaksari S, Tehranian H. The impact of state ownership on performance differences in privately-owned versus state-owned banks: An international comparison. J Financ Intermediation. 2010 Jan 1;19(1):74–94. </w:t>
      </w:r>
    </w:p>
    <w:p w14:paraId="3F30D158"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27. </w:t>
      </w:r>
      <w:r w:rsidRPr="00695C1B">
        <w:rPr>
          <w:rFonts w:asciiTheme="majorHAnsi" w:hAnsiTheme="majorHAnsi" w:cstheme="majorHAnsi"/>
          <w:sz w:val="20"/>
          <w:szCs w:val="20"/>
        </w:rPr>
        <w:tab/>
        <w:t xml:space="preserve">Norden L, Roosenboom P, Wang T. The Impact of Government Intervention in Banks on Corporate Borrowers’ Stock Returns. J Financ Quant Anal. 2013 Oct;48(5):1635–62. </w:t>
      </w:r>
    </w:p>
    <w:p w14:paraId="4EDBEB91"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28. </w:t>
      </w:r>
      <w:r w:rsidRPr="00695C1B">
        <w:rPr>
          <w:rFonts w:asciiTheme="majorHAnsi" w:hAnsiTheme="majorHAnsi" w:cstheme="majorHAnsi"/>
          <w:sz w:val="20"/>
          <w:szCs w:val="20"/>
        </w:rPr>
        <w:tab/>
        <w:t>Berger AN, Hasan I, Zhou M. Bank Ownership and Efficiency in China: What Will Happen in the World’s Largest Nation? [Internet]. Rochester, NY: Social Science Research Network; 2006 [cited 2024 Nov 23]. Available from: https://papers.ssrn.com/abstract=924246</w:t>
      </w:r>
    </w:p>
    <w:p w14:paraId="65E90845"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29. </w:t>
      </w:r>
      <w:r w:rsidRPr="00695C1B">
        <w:rPr>
          <w:rFonts w:asciiTheme="majorHAnsi" w:hAnsiTheme="majorHAnsi" w:cstheme="majorHAnsi"/>
          <w:sz w:val="20"/>
          <w:szCs w:val="20"/>
        </w:rPr>
        <w:tab/>
        <w:t xml:space="preserve">Nguyen QK. Ownership structure and bank risk-taking in ASEAN countries: A quantile regression approach. Yang Z, editor. Cogent Econ Finance. 2020 Jan 1;8(1):1809789. </w:t>
      </w:r>
    </w:p>
    <w:p w14:paraId="37EF1CCD"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30. </w:t>
      </w:r>
      <w:r w:rsidRPr="00695C1B">
        <w:rPr>
          <w:rFonts w:asciiTheme="majorHAnsi" w:hAnsiTheme="majorHAnsi" w:cstheme="majorHAnsi"/>
          <w:sz w:val="20"/>
          <w:szCs w:val="20"/>
        </w:rPr>
        <w:tab/>
        <w:t xml:space="preserve">Laeven L, Levine R. Bank governance, regulation and risk taking. J Financ Econ. 2009 Aug 1;93(2):259–75. </w:t>
      </w:r>
    </w:p>
    <w:p w14:paraId="6B30C73A"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31. </w:t>
      </w:r>
      <w:r w:rsidRPr="00695C1B">
        <w:rPr>
          <w:rFonts w:asciiTheme="majorHAnsi" w:hAnsiTheme="majorHAnsi" w:cstheme="majorHAnsi"/>
          <w:sz w:val="20"/>
          <w:szCs w:val="20"/>
        </w:rPr>
        <w:tab/>
        <w:t xml:space="preserve">Micco A, Panizza U, Yañez M. Bank ownership and performance. Does politics matter? J Bank Finance. 2007 Jan 1;31(1):219–41. </w:t>
      </w:r>
    </w:p>
    <w:p w14:paraId="4957E558"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32. </w:t>
      </w:r>
      <w:r w:rsidRPr="00695C1B">
        <w:rPr>
          <w:rFonts w:asciiTheme="majorHAnsi" w:hAnsiTheme="majorHAnsi" w:cstheme="majorHAnsi"/>
          <w:sz w:val="20"/>
          <w:szCs w:val="20"/>
        </w:rPr>
        <w:tab/>
        <w:t xml:space="preserve">Demirguc-Kunt A, Detragiache E, Merrouche O. Bank Capital: Lessons from the Financial Crisis. J Money Credit Bank. 2013;45(6):1147–64. </w:t>
      </w:r>
    </w:p>
    <w:p w14:paraId="4C0642C0"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33. </w:t>
      </w:r>
      <w:r w:rsidRPr="00695C1B">
        <w:rPr>
          <w:rFonts w:asciiTheme="majorHAnsi" w:hAnsiTheme="majorHAnsi" w:cstheme="majorHAnsi"/>
          <w:sz w:val="20"/>
          <w:szCs w:val="20"/>
        </w:rPr>
        <w:tab/>
        <w:t xml:space="preserve">Haq M, Heaney R. Factors determining European bank risk. J Int Financ Mark Inst Money. 2012 Oct 1;22(4):696–718. </w:t>
      </w:r>
    </w:p>
    <w:p w14:paraId="273B9B2A"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34. </w:t>
      </w:r>
      <w:r w:rsidRPr="00695C1B">
        <w:rPr>
          <w:rFonts w:asciiTheme="majorHAnsi" w:hAnsiTheme="majorHAnsi" w:cstheme="majorHAnsi"/>
          <w:sz w:val="20"/>
          <w:szCs w:val="20"/>
        </w:rPr>
        <w:tab/>
        <w:t xml:space="preserve">Boyd JH, De Nicoló G. The Theory of Bank Risk Taking and Competition Revisited. J Finance. 2005;60(3):1329–43. </w:t>
      </w:r>
    </w:p>
    <w:p w14:paraId="34BC64D0"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35. </w:t>
      </w:r>
      <w:r w:rsidRPr="00695C1B">
        <w:rPr>
          <w:rFonts w:asciiTheme="majorHAnsi" w:hAnsiTheme="majorHAnsi" w:cstheme="majorHAnsi"/>
          <w:sz w:val="20"/>
          <w:szCs w:val="20"/>
        </w:rPr>
        <w:tab/>
        <w:t xml:space="preserve">Shim J. Bank capital buffer and portfolio risk: The influence of business cycle and revenue diversification. J Bank Finance. 2013 Mar 1;37(3):761–72. </w:t>
      </w:r>
    </w:p>
    <w:p w14:paraId="3A744F23"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36. </w:t>
      </w:r>
      <w:r w:rsidRPr="00695C1B">
        <w:rPr>
          <w:rFonts w:asciiTheme="majorHAnsi" w:hAnsiTheme="majorHAnsi" w:cstheme="majorHAnsi"/>
          <w:sz w:val="20"/>
          <w:szCs w:val="20"/>
        </w:rPr>
        <w:tab/>
        <w:t xml:space="preserve">Wilson L, Wu YW. Common (stock) sense about risk-shifting and bank bailouts. Financ Mark Portf Manag. 2010 Mar 1;24(1):3–29. </w:t>
      </w:r>
    </w:p>
    <w:p w14:paraId="1B0CC7CF"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37. </w:t>
      </w:r>
      <w:r w:rsidRPr="00695C1B">
        <w:rPr>
          <w:rFonts w:asciiTheme="majorHAnsi" w:hAnsiTheme="majorHAnsi" w:cstheme="majorHAnsi"/>
          <w:sz w:val="20"/>
          <w:szCs w:val="20"/>
        </w:rPr>
        <w:tab/>
        <w:t xml:space="preserve">Ashraf BN. Political institutions and bank risk-taking behavior. J Financ Stab. 2017 Apr 1;29:13–35. </w:t>
      </w:r>
    </w:p>
    <w:p w14:paraId="545A1EB9"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38. </w:t>
      </w:r>
      <w:r w:rsidRPr="00695C1B">
        <w:rPr>
          <w:rFonts w:asciiTheme="majorHAnsi" w:hAnsiTheme="majorHAnsi" w:cstheme="majorHAnsi"/>
          <w:sz w:val="20"/>
          <w:szCs w:val="20"/>
        </w:rPr>
        <w:tab/>
        <w:t>Boyd J, Nicolò GD, Jalal AM. Bank Competition, Asset Allocations and Risk of Failure: An Empirical Investigation. CESifo Work Pap Ser [Internet]. 2010 [cited 2024 Oct 30]; Available from: https://ideas.repec.org//p/ces/ceswps/_3198.html</w:t>
      </w:r>
    </w:p>
    <w:p w14:paraId="205986D6"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39. </w:t>
      </w:r>
      <w:r w:rsidRPr="00695C1B">
        <w:rPr>
          <w:rFonts w:asciiTheme="majorHAnsi" w:hAnsiTheme="majorHAnsi" w:cstheme="majorHAnsi"/>
          <w:sz w:val="20"/>
          <w:szCs w:val="20"/>
        </w:rPr>
        <w:tab/>
        <w:t xml:space="preserve">Jiang H, Zhang J, Sun C. How does capital buffer affect bank risk-taking? New evidence from China using quantile regression. China Econ Rev. 2020 Apr 1;60:101300. </w:t>
      </w:r>
    </w:p>
    <w:p w14:paraId="25967B3D"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40. </w:t>
      </w:r>
      <w:r w:rsidRPr="00695C1B">
        <w:rPr>
          <w:rFonts w:asciiTheme="majorHAnsi" w:hAnsiTheme="majorHAnsi" w:cstheme="majorHAnsi"/>
          <w:sz w:val="20"/>
          <w:szCs w:val="20"/>
        </w:rPr>
        <w:tab/>
        <w:t xml:space="preserve">Lepetit L, Strobel F. Bank insolvency risk and Z-score measures: A refinement. Finance Res Lett. 2015 May 1;13:214–24. </w:t>
      </w:r>
    </w:p>
    <w:p w14:paraId="19028F2E"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41. </w:t>
      </w:r>
      <w:r w:rsidRPr="00695C1B">
        <w:rPr>
          <w:rFonts w:asciiTheme="majorHAnsi" w:hAnsiTheme="majorHAnsi" w:cstheme="majorHAnsi"/>
          <w:sz w:val="20"/>
          <w:szCs w:val="20"/>
        </w:rPr>
        <w:tab/>
        <w:t>Ministry of Information and Communications (MIC). Vietnam ICT index reports [Internet]. Cổng Thông tin điện tử Bộ Thông tin và Truyền thông. 2024 [cited 2024 Oct 30]. Available from: https://mic.gov.vn/bao-cao-vietnam-ict-index-197143252.htm</w:t>
      </w:r>
    </w:p>
    <w:p w14:paraId="123B9E26"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42. </w:t>
      </w:r>
      <w:r w:rsidRPr="00695C1B">
        <w:rPr>
          <w:rFonts w:asciiTheme="majorHAnsi" w:hAnsiTheme="majorHAnsi" w:cstheme="majorHAnsi"/>
          <w:sz w:val="20"/>
          <w:szCs w:val="20"/>
        </w:rPr>
        <w:tab/>
        <w:t xml:space="preserve">Laeven L, Ratnovski L, Tong H. Bank size, capital, and systemic risk: Some international evidence. J Bank Finance. 2016 Aug 1;69:S25–34. </w:t>
      </w:r>
    </w:p>
    <w:p w14:paraId="142EC165"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lastRenderedPageBreak/>
        <w:t xml:space="preserve">43. </w:t>
      </w:r>
      <w:r w:rsidRPr="00695C1B">
        <w:rPr>
          <w:rFonts w:asciiTheme="majorHAnsi" w:hAnsiTheme="majorHAnsi" w:cstheme="majorHAnsi"/>
          <w:sz w:val="20"/>
          <w:szCs w:val="20"/>
        </w:rPr>
        <w:tab/>
        <w:t xml:space="preserve">De Jonghe O. Back to the basics in banking? A micro-analysis of banking system stability. J Financ Intermediation. 2010 Jul 1;19(3):387–417. </w:t>
      </w:r>
    </w:p>
    <w:p w14:paraId="60BDEBE6"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44. </w:t>
      </w:r>
      <w:r w:rsidRPr="00695C1B">
        <w:rPr>
          <w:rFonts w:asciiTheme="majorHAnsi" w:hAnsiTheme="majorHAnsi" w:cstheme="majorHAnsi"/>
          <w:sz w:val="20"/>
          <w:szCs w:val="20"/>
        </w:rPr>
        <w:tab/>
        <w:t xml:space="preserve">Altunbas Y, Gambacorta L, Marques-Ibanez D. Bank risk and monetary policy. J Financ Stab. 2010 Sep 1;6(3):121–9. </w:t>
      </w:r>
    </w:p>
    <w:p w14:paraId="710FB6D6"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45. </w:t>
      </w:r>
      <w:r w:rsidRPr="00695C1B">
        <w:rPr>
          <w:rFonts w:asciiTheme="majorHAnsi" w:hAnsiTheme="majorHAnsi" w:cstheme="majorHAnsi"/>
          <w:sz w:val="20"/>
          <w:szCs w:val="20"/>
        </w:rPr>
        <w:tab/>
        <w:t xml:space="preserve">Köhler M. Which banks are more risky? The impact of business models on bank stability. J Financ Stab. 2015 Feb 1;16:195–212. </w:t>
      </w:r>
    </w:p>
    <w:p w14:paraId="02E6193F"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46. </w:t>
      </w:r>
      <w:r w:rsidRPr="00695C1B">
        <w:rPr>
          <w:rFonts w:asciiTheme="majorHAnsi" w:hAnsiTheme="majorHAnsi" w:cstheme="majorHAnsi"/>
          <w:sz w:val="20"/>
          <w:szCs w:val="20"/>
        </w:rPr>
        <w:tab/>
        <w:t>Altunbas Y, Marqués-Ibáñez D, Manganelli S. Bank risk during the financial crisis: do business models matter? [Internet]. ECB Working Paper; 2011 [cited 2024 Oct 30]. Report No.: 1394. Available from: https://www.econstor.eu/handle/10419/153828</w:t>
      </w:r>
    </w:p>
    <w:p w14:paraId="50632FC5"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47. </w:t>
      </w:r>
      <w:r w:rsidRPr="00695C1B">
        <w:rPr>
          <w:rFonts w:asciiTheme="majorHAnsi" w:hAnsiTheme="majorHAnsi" w:cstheme="majorHAnsi"/>
          <w:sz w:val="20"/>
          <w:szCs w:val="20"/>
        </w:rPr>
        <w:tab/>
        <w:t xml:space="preserve">Lee CC, Hsieh MF. The impact of bank capital on profitability and risk in Asian banking. J Int Money Finance. 2013 Feb 1;32:251–81. </w:t>
      </w:r>
    </w:p>
    <w:p w14:paraId="082C8704"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48. </w:t>
      </w:r>
      <w:r w:rsidRPr="00695C1B">
        <w:rPr>
          <w:rFonts w:asciiTheme="majorHAnsi" w:hAnsiTheme="majorHAnsi" w:cstheme="majorHAnsi"/>
          <w:sz w:val="20"/>
          <w:szCs w:val="20"/>
        </w:rPr>
        <w:tab/>
        <w:t xml:space="preserve">Lepetit L, Nys E, Rous P, Tarazi A. Bank income structure and risk: An empirical analysis of European banks. J Bank Finance. 2008 Aug 1;32(8):1452–67. </w:t>
      </w:r>
    </w:p>
    <w:p w14:paraId="2F4464E5"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49. </w:t>
      </w:r>
      <w:r w:rsidRPr="00695C1B">
        <w:rPr>
          <w:rFonts w:asciiTheme="majorHAnsi" w:hAnsiTheme="majorHAnsi" w:cstheme="majorHAnsi"/>
          <w:sz w:val="20"/>
          <w:szCs w:val="20"/>
        </w:rPr>
        <w:tab/>
        <w:t xml:space="preserve">DeYoung R, Torna G. Nontraditional banking activities and bank failures during the financial crisis. J Financ Intermediation. 2013 Jul 1;22(3):397–421. </w:t>
      </w:r>
    </w:p>
    <w:p w14:paraId="6DDF60C2"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50. </w:t>
      </w:r>
      <w:r w:rsidRPr="00695C1B">
        <w:rPr>
          <w:rFonts w:asciiTheme="majorHAnsi" w:hAnsiTheme="majorHAnsi" w:cstheme="majorHAnsi"/>
          <w:sz w:val="20"/>
          <w:szCs w:val="20"/>
        </w:rPr>
        <w:tab/>
        <w:t xml:space="preserve">Chiaramonte L, Casu B. Capital and liquidity ratios and financial distress. Evidence from the European banking industry. Br Account Rev. 2017 Mar 1;49(2):138–61. </w:t>
      </w:r>
    </w:p>
    <w:p w14:paraId="2D8FDBD4"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51. </w:t>
      </w:r>
      <w:r w:rsidRPr="00695C1B">
        <w:rPr>
          <w:rFonts w:asciiTheme="majorHAnsi" w:hAnsiTheme="majorHAnsi" w:cstheme="majorHAnsi"/>
          <w:sz w:val="20"/>
          <w:szCs w:val="20"/>
        </w:rPr>
        <w:tab/>
        <w:t xml:space="preserve">Ben Naceur S, Kandil M. The impact of capital requirements on banks’ cost of intermediation and performance: The case of Egypt. J Econ Bus. 2009 Jan 1;61(1):70–89. </w:t>
      </w:r>
    </w:p>
    <w:p w14:paraId="02F1167B"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52. </w:t>
      </w:r>
      <w:r w:rsidRPr="00695C1B">
        <w:rPr>
          <w:rFonts w:asciiTheme="majorHAnsi" w:hAnsiTheme="majorHAnsi" w:cstheme="majorHAnsi"/>
          <w:sz w:val="20"/>
          <w:szCs w:val="20"/>
        </w:rPr>
        <w:tab/>
        <w:t xml:space="preserve">Boyd JH, Levine R, Smith BD. The impact of inflation on financial sector performance. J Monet Econ. 2001 Apr 1;47(2):221–48. </w:t>
      </w:r>
    </w:p>
    <w:p w14:paraId="75F82494"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53. </w:t>
      </w:r>
      <w:r w:rsidRPr="00695C1B">
        <w:rPr>
          <w:rFonts w:asciiTheme="majorHAnsi" w:hAnsiTheme="majorHAnsi" w:cstheme="majorHAnsi"/>
          <w:sz w:val="20"/>
          <w:szCs w:val="20"/>
        </w:rPr>
        <w:tab/>
        <w:t xml:space="preserve">Foos D, Norden L, Weber M. Loan growth and riskiness of banks. J Bank Finance. 2010 Dec 1;34(12):2929–40. </w:t>
      </w:r>
    </w:p>
    <w:p w14:paraId="4BA02EF0"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54. </w:t>
      </w:r>
      <w:r w:rsidRPr="00695C1B">
        <w:rPr>
          <w:rFonts w:asciiTheme="majorHAnsi" w:hAnsiTheme="majorHAnsi" w:cstheme="majorHAnsi"/>
          <w:sz w:val="20"/>
          <w:szCs w:val="20"/>
        </w:rPr>
        <w:tab/>
        <w:t xml:space="preserve">Delis MD, Kouretas GP. Interest rates and bank risk-taking. J Bank Finance. 2011 Apr 1;35(4):840–55. </w:t>
      </w:r>
    </w:p>
    <w:p w14:paraId="5B35909E"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55. </w:t>
      </w:r>
      <w:r w:rsidRPr="00695C1B">
        <w:rPr>
          <w:rFonts w:asciiTheme="majorHAnsi" w:hAnsiTheme="majorHAnsi" w:cstheme="majorHAnsi"/>
          <w:sz w:val="20"/>
          <w:szCs w:val="20"/>
        </w:rPr>
        <w:tab/>
        <w:t xml:space="preserve">Trujillo-Ponce A. What determines the profitability of banks? Evidence from Spain. Account Finance. 2013;53(2):561–86. </w:t>
      </w:r>
    </w:p>
    <w:p w14:paraId="30F9D8AA"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56. </w:t>
      </w:r>
      <w:r w:rsidRPr="00695C1B">
        <w:rPr>
          <w:rFonts w:asciiTheme="majorHAnsi" w:hAnsiTheme="majorHAnsi" w:cstheme="majorHAnsi"/>
          <w:sz w:val="20"/>
          <w:szCs w:val="20"/>
        </w:rPr>
        <w:tab/>
        <w:t xml:space="preserve">Arellano M, Bond S. Some Tests of Specification for Panel Data: Monte Carlo Evidence and an Application to Employment Equations. Rev Econ Stud. 1991 Apr 1;58(2):277–97. </w:t>
      </w:r>
    </w:p>
    <w:p w14:paraId="7BF9AE5F" w14:textId="77777777" w:rsidR="00584634" w:rsidRPr="00695C1B" w:rsidRDefault="00584634" w:rsidP="00695C1B">
      <w:pPr>
        <w:pStyle w:val="Bibliography"/>
        <w:spacing w:before="120" w:after="120"/>
        <w:jc w:val="both"/>
        <w:rPr>
          <w:rFonts w:asciiTheme="majorHAnsi" w:hAnsiTheme="majorHAnsi" w:cstheme="majorHAnsi"/>
          <w:sz w:val="20"/>
          <w:szCs w:val="20"/>
        </w:rPr>
      </w:pPr>
      <w:r w:rsidRPr="00695C1B">
        <w:rPr>
          <w:rFonts w:asciiTheme="majorHAnsi" w:hAnsiTheme="majorHAnsi" w:cstheme="majorHAnsi"/>
          <w:sz w:val="20"/>
          <w:szCs w:val="20"/>
        </w:rPr>
        <w:t xml:space="preserve">57. </w:t>
      </w:r>
      <w:r w:rsidRPr="00695C1B">
        <w:rPr>
          <w:rFonts w:asciiTheme="majorHAnsi" w:hAnsiTheme="majorHAnsi" w:cstheme="majorHAnsi"/>
          <w:sz w:val="20"/>
          <w:szCs w:val="20"/>
        </w:rPr>
        <w:tab/>
        <w:t xml:space="preserve">Blundell R, Bond S. Initial conditions and moment restrictions in dynamic panel data models. J Econom. 1998 Nov 1;87(1):115–43. </w:t>
      </w:r>
    </w:p>
    <w:p w14:paraId="79015013" w14:textId="3B863557" w:rsidR="00783D91" w:rsidRPr="00783D91" w:rsidRDefault="00F50E01" w:rsidP="00695C1B">
      <w:pPr>
        <w:spacing w:before="120" w:after="120" w:line="240" w:lineRule="auto"/>
        <w:ind w:left="360" w:hanging="360"/>
        <w:jc w:val="both"/>
      </w:pPr>
      <w:r w:rsidRPr="00695C1B">
        <w:rPr>
          <w:rFonts w:asciiTheme="majorHAnsi" w:hAnsiTheme="majorHAnsi" w:cstheme="majorHAnsi"/>
          <w:b/>
          <w:i/>
          <w:sz w:val="20"/>
          <w:szCs w:val="20"/>
        </w:rPr>
        <w:fldChar w:fldCharType="end"/>
      </w:r>
    </w:p>
    <w:sectPr w:rsidR="00783D91" w:rsidRPr="00783D91" w:rsidSect="00D3269D">
      <w:footerReference w:type="default" r:id="rId7"/>
      <w:pgSz w:w="11906" w:h="16838"/>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BD21633" w14:textId="77777777" w:rsidR="004E42BC" w:rsidRDefault="004E42BC" w:rsidP="00D3269D">
      <w:pPr>
        <w:spacing w:after="0" w:line="240" w:lineRule="auto"/>
      </w:pPr>
      <w:r>
        <w:separator/>
      </w:r>
    </w:p>
  </w:endnote>
  <w:endnote w:type="continuationSeparator" w:id="0">
    <w:p w14:paraId="0B9C8F5B" w14:textId="77777777" w:rsidR="004E42BC" w:rsidRDefault="004E42BC" w:rsidP="00D326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3"/>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3"/>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PalatinoLinotype-Roman">
    <w:altName w:val="Palatino Linotype"/>
    <w:panose1 w:val="00000000000000000000"/>
    <w:charset w:val="00"/>
    <w:family w:val="roman"/>
    <w:notTrueType/>
    <w:pitch w:val="default"/>
  </w:font>
  <w:font w:name="PalatinoLinotype-Italic">
    <w:altName w:val="Palatino Linotype"/>
    <w:panose1 w:val="00000000000000000000"/>
    <w:charset w:val="00"/>
    <w:family w:val="roman"/>
    <w:notTrueType/>
    <w:pitch w:val="default"/>
  </w:font>
  <w:font w:name="Tahoma">
    <w:panose1 w:val="020B0604030504040204"/>
    <w:charset w:val="A3"/>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5977993"/>
      <w:docPartObj>
        <w:docPartGallery w:val="Page Numbers (Bottom of Page)"/>
        <w:docPartUnique/>
      </w:docPartObj>
    </w:sdtPr>
    <w:sdtEndPr>
      <w:rPr>
        <w:rFonts w:asciiTheme="majorHAnsi" w:hAnsiTheme="majorHAnsi" w:cstheme="majorHAnsi"/>
        <w:noProof/>
      </w:rPr>
    </w:sdtEndPr>
    <w:sdtContent>
      <w:p w14:paraId="527BBDEC" w14:textId="73EC0DE8" w:rsidR="00607093" w:rsidRPr="00D3269D" w:rsidRDefault="00607093" w:rsidP="00D3269D">
        <w:pPr>
          <w:pStyle w:val="Footer"/>
          <w:jc w:val="right"/>
          <w:rPr>
            <w:rFonts w:asciiTheme="majorHAnsi" w:hAnsiTheme="majorHAnsi" w:cstheme="majorHAnsi"/>
          </w:rPr>
        </w:pPr>
        <w:r w:rsidRPr="00D3269D">
          <w:rPr>
            <w:rFonts w:asciiTheme="majorHAnsi" w:hAnsiTheme="majorHAnsi" w:cstheme="majorHAnsi"/>
          </w:rPr>
          <w:fldChar w:fldCharType="begin"/>
        </w:r>
        <w:r w:rsidRPr="00D3269D">
          <w:rPr>
            <w:rFonts w:asciiTheme="majorHAnsi" w:hAnsiTheme="majorHAnsi" w:cstheme="majorHAnsi"/>
          </w:rPr>
          <w:instrText xml:space="preserve"> PAGE   \* MERGEFORMAT </w:instrText>
        </w:r>
        <w:r w:rsidRPr="00D3269D">
          <w:rPr>
            <w:rFonts w:asciiTheme="majorHAnsi" w:hAnsiTheme="majorHAnsi" w:cstheme="majorHAnsi"/>
          </w:rPr>
          <w:fldChar w:fldCharType="separate"/>
        </w:r>
        <w:r w:rsidR="00C603F8">
          <w:rPr>
            <w:rFonts w:asciiTheme="majorHAnsi" w:hAnsiTheme="majorHAnsi" w:cstheme="majorHAnsi"/>
            <w:noProof/>
          </w:rPr>
          <w:t>11</w:t>
        </w:r>
        <w:r w:rsidRPr="00D3269D">
          <w:rPr>
            <w:rFonts w:asciiTheme="majorHAnsi" w:hAnsiTheme="majorHAnsi" w:cstheme="majorHAnsi"/>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F360E" w14:textId="77777777" w:rsidR="004E42BC" w:rsidRDefault="004E42BC" w:rsidP="00D3269D">
      <w:pPr>
        <w:spacing w:after="0" w:line="240" w:lineRule="auto"/>
      </w:pPr>
      <w:r>
        <w:separator/>
      </w:r>
    </w:p>
  </w:footnote>
  <w:footnote w:type="continuationSeparator" w:id="0">
    <w:p w14:paraId="18CCE711" w14:textId="77777777" w:rsidR="004E42BC" w:rsidRDefault="004E42BC" w:rsidP="00D3269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C35C9E"/>
    <w:multiLevelType w:val="multilevel"/>
    <w:tmpl w:val="A790BEE8"/>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 w15:restartNumberingAfterBreak="0">
    <w:nsid w:val="6D7620DC"/>
    <w:multiLevelType w:val="hybridMultilevel"/>
    <w:tmpl w:val="F03AA2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74D86660"/>
    <w:multiLevelType w:val="hybridMultilevel"/>
    <w:tmpl w:val="4366FC3E"/>
    <w:lvl w:ilvl="0" w:tplc="E16A3FB4">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735855906">
    <w:abstractNumId w:val="2"/>
  </w:num>
  <w:num w:numId="2" w16cid:durableId="1020470337">
    <w:abstractNumId w:val="0"/>
  </w:num>
  <w:num w:numId="3" w16cid:durableId="157157581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23469"/>
    <w:rsid w:val="00035484"/>
    <w:rsid w:val="00042828"/>
    <w:rsid w:val="00096B32"/>
    <w:rsid w:val="000A15F7"/>
    <w:rsid w:val="000D0458"/>
    <w:rsid w:val="000F1C9A"/>
    <w:rsid w:val="00103F70"/>
    <w:rsid w:val="00136211"/>
    <w:rsid w:val="00156B05"/>
    <w:rsid w:val="00193791"/>
    <w:rsid w:val="001F1E56"/>
    <w:rsid w:val="00204AE3"/>
    <w:rsid w:val="00223922"/>
    <w:rsid w:val="0022656C"/>
    <w:rsid w:val="0023504C"/>
    <w:rsid w:val="00255C16"/>
    <w:rsid w:val="002617A8"/>
    <w:rsid w:val="0028790C"/>
    <w:rsid w:val="002C07BF"/>
    <w:rsid w:val="002F1318"/>
    <w:rsid w:val="002F2823"/>
    <w:rsid w:val="00302D5B"/>
    <w:rsid w:val="0032747F"/>
    <w:rsid w:val="0033230F"/>
    <w:rsid w:val="003344A9"/>
    <w:rsid w:val="00346F97"/>
    <w:rsid w:val="0037280E"/>
    <w:rsid w:val="003A3044"/>
    <w:rsid w:val="00401400"/>
    <w:rsid w:val="004A5212"/>
    <w:rsid w:val="004C01D3"/>
    <w:rsid w:val="004E42BC"/>
    <w:rsid w:val="004E61DD"/>
    <w:rsid w:val="004F6785"/>
    <w:rsid w:val="005049F0"/>
    <w:rsid w:val="005277FA"/>
    <w:rsid w:val="005676B1"/>
    <w:rsid w:val="00584634"/>
    <w:rsid w:val="005853C1"/>
    <w:rsid w:val="005E4148"/>
    <w:rsid w:val="005F0CA1"/>
    <w:rsid w:val="00607093"/>
    <w:rsid w:val="006143FE"/>
    <w:rsid w:val="00631C6E"/>
    <w:rsid w:val="00695C1B"/>
    <w:rsid w:val="006A6837"/>
    <w:rsid w:val="006B2109"/>
    <w:rsid w:val="006D53BD"/>
    <w:rsid w:val="00747CE2"/>
    <w:rsid w:val="007636B7"/>
    <w:rsid w:val="00777EB8"/>
    <w:rsid w:val="00783D91"/>
    <w:rsid w:val="00794142"/>
    <w:rsid w:val="007A0A10"/>
    <w:rsid w:val="007B2E80"/>
    <w:rsid w:val="007C05C2"/>
    <w:rsid w:val="007C6CD4"/>
    <w:rsid w:val="007D0376"/>
    <w:rsid w:val="00823469"/>
    <w:rsid w:val="0087054B"/>
    <w:rsid w:val="00875652"/>
    <w:rsid w:val="00887C39"/>
    <w:rsid w:val="00887E8E"/>
    <w:rsid w:val="008A3BD7"/>
    <w:rsid w:val="00920A2B"/>
    <w:rsid w:val="009401BC"/>
    <w:rsid w:val="00957D7C"/>
    <w:rsid w:val="00987765"/>
    <w:rsid w:val="009D18EC"/>
    <w:rsid w:val="009E1EA2"/>
    <w:rsid w:val="009F2C75"/>
    <w:rsid w:val="00A24D88"/>
    <w:rsid w:val="00A35C9B"/>
    <w:rsid w:val="00A3694A"/>
    <w:rsid w:val="00A466C3"/>
    <w:rsid w:val="00A65782"/>
    <w:rsid w:val="00A717F9"/>
    <w:rsid w:val="00A9591D"/>
    <w:rsid w:val="00AF0374"/>
    <w:rsid w:val="00B10CDA"/>
    <w:rsid w:val="00B14828"/>
    <w:rsid w:val="00B338A6"/>
    <w:rsid w:val="00B33AAB"/>
    <w:rsid w:val="00B33D3C"/>
    <w:rsid w:val="00B4380E"/>
    <w:rsid w:val="00B52FEC"/>
    <w:rsid w:val="00B70580"/>
    <w:rsid w:val="00B7587D"/>
    <w:rsid w:val="00BB0496"/>
    <w:rsid w:val="00BB111E"/>
    <w:rsid w:val="00BE4B8E"/>
    <w:rsid w:val="00BE7FD6"/>
    <w:rsid w:val="00C14E92"/>
    <w:rsid w:val="00C244ED"/>
    <w:rsid w:val="00C41D6A"/>
    <w:rsid w:val="00C55239"/>
    <w:rsid w:val="00C603F8"/>
    <w:rsid w:val="00C8201D"/>
    <w:rsid w:val="00C90CB6"/>
    <w:rsid w:val="00CB1628"/>
    <w:rsid w:val="00CC366D"/>
    <w:rsid w:val="00CD4FC0"/>
    <w:rsid w:val="00D2274C"/>
    <w:rsid w:val="00D301E1"/>
    <w:rsid w:val="00D3269D"/>
    <w:rsid w:val="00D51656"/>
    <w:rsid w:val="00D85141"/>
    <w:rsid w:val="00DA5788"/>
    <w:rsid w:val="00DB6E2E"/>
    <w:rsid w:val="00DC323F"/>
    <w:rsid w:val="00DD2DDD"/>
    <w:rsid w:val="00DE6FDC"/>
    <w:rsid w:val="00E14E6A"/>
    <w:rsid w:val="00E26491"/>
    <w:rsid w:val="00E349B1"/>
    <w:rsid w:val="00E34C01"/>
    <w:rsid w:val="00E620F0"/>
    <w:rsid w:val="00E76FFD"/>
    <w:rsid w:val="00E955F1"/>
    <w:rsid w:val="00EC0FB3"/>
    <w:rsid w:val="00ED790B"/>
    <w:rsid w:val="00F50E01"/>
    <w:rsid w:val="00F60B23"/>
    <w:rsid w:val="00F77B80"/>
    <w:rsid w:val="00F90712"/>
    <w:rsid w:val="00FB464B"/>
    <w:rsid w:val="00FE46B6"/>
    <w:rsid w:val="00FE681D"/>
    <w:rsid w:val="00FF5625"/>
    <w:rsid w:val="00FF7401"/>
  </w:rsids>
  <m:mathPr>
    <m:mathFont m:val="Cambria Math"/>
    <m:brkBin m:val="before"/>
    <m:brkBinSub m:val="--"/>
    <m:smallFrac m:val="0"/>
    <m:dispDef/>
    <m:lMargin m:val="0"/>
    <m:rMargin m:val="0"/>
    <m:defJc m:val="centerGroup"/>
    <m:wrapIndent m:val="1440"/>
    <m:intLim m:val="subSup"/>
    <m:naryLim m:val="undOvr"/>
  </m:mathPr>
  <w:themeFontLang w:val="vi-V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542D9"/>
  <w15:docId w15:val="{6951258A-16AB-478C-AB63-DEB95CAAEA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23469"/>
    <w:pPr>
      <w:ind w:left="720"/>
      <w:contextualSpacing/>
    </w:pPr>
  </w:style>
  <w:style w:type="character" w:styleId="Hyperlink">
    <w:name w:val="Hyperlink"/>
    <w:basedOn w:val="DefaultParagraphFont"/>
    <w:uiPriority w:val="99"/>
    <w:unhideWhenUsed/>
    <w:rsid w:val="003344A9"/>
    <w:rPr>
      <w:color w:val="0563C1" w:themeColor="hyperlink"/>
      <w:u w:val="single"/>
    </w:rPr>
  </w:style>
  <w:style w:type="table" w:styleId="TableGrid">
    <w:name w:val="Table Grid"/>
    <w:basedOn w:val="TableNormal"/>
    <w:uiPriority w:val="39"/>
    <w:rsid w:val="003344A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3269D"/>
    <w:pPr>
      <w:tabs>
        <w:tab w:val="center" w:pos="4513"/>
        <w:tab w:val="right" w:pos="9026"/>
      </w:tabs>
      <w:spacing w:after="0" w:line="240" w:lineRule="auto"/>
    </w:pPr>
  </w:style>
  <w:style w:type="character" w:customStyle="1" w:styleId="HeaderChar">
    <w:name w:val="Header Char"/>
    <w:basedOn w:val="DefaultParagraphFont"/>
    <w:link w:val="Header"/>
    <w:uiPriority w:val="99"/>
    <w:rsid w:val="00D3269D"/>
  </w:style>
  <w:style w:type="paragraph" w:styleId="Footer">
    <w:name w:val="footer"/>
    <w:basedOn w:val="Normal"/>
    <w:link w:val="FooterChar"/>
    <w:uiPriority w:val="99"/>
    <w:unhideWhenUsed/>
    <w:rsid w:val="00D3269D"/>
    <w:pPr>
      <w:tabs>
        <w:tab w:val="center" w:pos="4513"/>
        <w:tab w:val="right" w:pos="9026"/>
      </w:tabs>
      <w:spacing w:after="0" w:line="240" w:lineRule="auto"/>
    </w:pPr>
  </w:style>
  <w:style w:type="character" w:customStyle="1" w:styleId="FooterChar">
    <w:name w:val="Footer Char"/>
    <w:basedOn w:val="DefaultParagraphFont"/>
    <w:link w:val="Footer"/>
    <w:uiPriority w:val="99"/>
    <w:rsid w:val="00D3269D"/>
  </w:style>
  <w:style w:type="paragraph" w:styleId="Bibliography">
    <w:name w:val="Bibliography"/>
    <w:basedOn w:val="Normal"/>
    <w:next w:val="Normal"/>
    <w:uiPriority w:val="37"/>
    <w:unhideWhenUsed/>
    <w:rsid w:val="009F2C75"/>
    <w:pPr>
      <w:tabs>
        <w:tab w:val="left" w:pos="504"/>
      </w:tabs>
      <w:spacing w:after="240" w:line="240" w:lineRule="auto"/>
      <w:ind w:left="504" w:hanging="504"/>
    </w:pPr>
  </w:style>
  <w:style w:type="paragraph" w:styleId="NormalWeb">
    <w:name w:val="Normal (Web)"/>
    <w:basedOn w:val="Normal"/>
    <w:uiPriority w:val="99"/>
    <w:semiHidden/>
    <w:unhideWhenUsed/>
    <w:rsid w:val="00887E8E"/>
    <w:rPr>
      <w:rFonts w:ascii="Times New Roman" w:hAnsi="Times New Roman" w:cs="Times New Roman"/>
      <w:sz w:val="24"/>
      <w:szCs w:val="24"/>
    </w:rPr>
  </w:style>
  <w:style w:type="character" w:customStyle="1" w:styleId="fontstyle01">
    <w:name w:val="fontstyle01"/>
    <w:basedOn w:val="DefaultParagraphFont"/>
    <w:rsid w:val="00783D91"/>
    <w:rPr>
      <w:rFonts w:ascii="PalatinoLinotype-Roman" w:hAnsi="PalatinoLinotype-Roman" w:hint="default"/>
      <w:b w:val="0"/>
      <w:bCs w:val="0"/>
      <w:i w:val="0"/>
      <w:iCs w:val="0"/>
      <w:color w:val="242021"/>
      <w:sz w:val="20"/>
      <w:szCs w:val="20"/>
    </w:rPr>
  </w:style>
  <w:style w:type="character" w:customStyle="1" w:styleId="fontstyle21">
    <w:name w:val="fontstyle21"/>
    <w:basedOn w:val="DefaultParagraphFont"/>
    <w:rsid w:val="00783D91"/>
    <w:rPr>
      <w:rFonts w:ascii="PalatinoLinotype-Italic" w:hAnsi="PalatinoLinotype-Italic" w:hint="default"/>
      <w:b w:val="0"/>
      <w:bCs w:val="0"/>
      <w:i/>
      <w:iCs/>
      <w:color w:val="242021"/>
      <w:sz w:val="20"/>
      <w:szCs w:val="20"/>
    </w:rPr>
  </w:style>
  <w:style w:type="character" w:styleId="CommentReference">
    <w:name w:val="annotation reference"/>
    <w:basedOn w:val="DefaultParagraphFont"/>
    <w:uiPriority w:val="99"/>
    <w:semiHidden/>
    <w:unhideWhenUsed/>
    <w:rsid w:val="0032747F"/>
    <w:rPr>
      <w:sz w:val="16"/>
      <w:szCs w:val="16"/>
    </w:rPr>
  </w:style>
  <w:style w:type="paragraph" w:styleId="CommentText">
    <w:name w:val="annotation text"/>
    <w:basedOn w:val="Normal"/>
    <w:link w:val="CommentTextChar"/>
    <w:uiPriority w:val="99"/>
    <w:semiHidden/>
    <w:unhideWhenUsed/>
    <w:rsid w:val="0032747F"/>
    <w:pPr>
      <w:spacing w:line="240" w:lineRule="auto"/>
    </w:pPr>
    <w:rPr>
      <w:sz w:val="20"/>
      <w:szCs w:val="20"/>
    </w:rPr>
  </w:style>
  <w:style w:type="character" w:customStyle="1" w:styleId="CommentTextChar">
    <w:name w:val="Comment Text Char"/>
    <w:basedOn w:val="DefaultParagraphFont"/>
    <w:link w:val="CommentText"/>
    <w:uiPriority w:val="99"/>
    <w:semiHidden/>
    <w:rsid w:val="0032747F"/>
    <w:rPr>
      <w:sz w:val="20"/>
      <w:szCs w:val="20"/>
    </w:rPr>
  </w:style>
  <w:style w:type="paragraph" w:styleId="CommentSubject">
    <w:name w:val="annotation subject"/>
    <w:basedOn w:val="CommentText"/>
    <w:next w:val="CommentText"/>
    <w:link w:val="CommentSubjectChar"/>
    <w:uiPriority w:val="99"/>
    <w:semiHidden/>
    <w:unhideWhenUsed/>
    <w:rsid w:val="0032747F"/>
    <w:rPr>
      <w:b/>
      <w:bCs/>
    </w:rPr>
  </w:style>
  <w:style w:type="character" w:customStyle="1" w:styleId="CommentSubjectChar">
    <w:name w:val="Comment Subject Char"/>
    <w:basedOn w:val="CommentTextChar"/>
    <w:link w:val="CommentSubject"/>
    <w:uiPriority w:val="99"/>
    <w:semiHidden/>
    <w:rsid w:val="0032747F"/>
    <w:rPr>
      <w:b/>
      <w:bCs/>
      <w:sz w:val="20"/>
      <w:szCs w:val="20"/>
    </w:rPr>
  </w:style>
  <w:style w:type="paragraph" w:styleId="BalloonText">
    <w:name w:val="Balloon Text"/>
    <w:basedOn w:val="Normal"/>
    <w:link w:val="BalloonTextChar"/>
    <w:uiPriority w:val="99"/>
    <w:semiHidden/>
    <w:unhideWhenUsed/>
    <w:rsid w:val="0087054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054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6950924">
      <w:bodyDiv w:val="1"/>
      <w:marLeft w:val="0"/>
      <w:marRight w:val="0"/>
      <w:marTop w:val="0"/>
      <w:marBottom w:val="0"/>
      <w:divBdr>
        <w:top w:val="none" w:sz="0" w:space="0" w:color="auto"/>
        <w:left w:val="none" w:sz="0" w:space="0" w:color="auto"/>
        <w:bottom w:val="none" w:sz="0" w:space="0" w:color="auto"/>
        <w:right w:val="none" w:sz="0" w:space="0" w:color="auto"/>
      </w:divBdr>
    </w:div>
    <w:div w:id="739670066">
      <w:bodyDiv w:val="1"/>
      <w:marLeft w:val="0"/>
      <w:marRight w:val="0"/>
      <w:marTop w:val="0"/>
      <w:marBottom w:val="0"/>
      <w:divBdr>
        <w:top w:val="none" w:sz="0" w:space="0" w:color="auto"/>
        <w:left w:val="none" w:sz="0" w:space="0" w:color="auto"/>
        <w:bottom w:val="none" w:sz="0" w:space="0" w:color="auto"/>
        <w:right w:val="none" w:sz="0" w:space="0" w:color="auto"/>
      </w:divBdr>
    </w:div>
    <w:div w:id="832529976">
      <w:bodyDiv w:val="1"/>
      <w:marLeft w:val="0"/>
      <w:marRight w:val="0"/>
      <w:marTop w:val="0"/>
      <w:marBottom w:val="0"/>
      <w:divBdr>
        <w:top w:val="none" w:sz="0" w:space="0" w:color="auto"/>
        <w:left w:val="none" w:sz="0" w:space="0" w:color="auto"/>
        <w:bottom w:val="none" w:sz="0" w:space="0" w:color="auto"/>
        <w:right w:val="none" w:sz="0" w:space="0" w:color="auto"/>
      </w:divBdr>
    </w:div>
    <w:div w:id="181116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405</TotalTime>
  <Pages>12</Pages>
  <Words>31101</Words>
  <Characters>177281</Characters>
  <Application>Microsoft Office Word</Application>
  <DocSecurity>0</DocSecurity>
  <Lines>1477</Lines>
  <Paragraphs>415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Jessie Tran</dc:creator>
  <cp:keywords/>
  <dc:description/>
  <cp:lastModifiedBy>Jessie Tran</cp:lastModifiedBy>
  <cp:revision>91</cp:revision>
  <dcterms:created xsi:type="dcterms:W3CDTF">2024-10-28T02:56:00Z</dcterms:created>
  <dcterms:modified xsi:type="dcterms:W3CDTF">2024-11-27T14:06:00Z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zotero-version="7.0.9"&gt;&lt;session id="SOS8oR36"/&gt;&lt;style id="http://www.zotero.org/styles/vancouver-superscript" locale="en-US" hasBibliography="1" bibliographyStyleHasBeenSet="1"/&gt;&lt;prefs&gt;&lt;pref name="fieldType" value="Field"/&gt;&lt;pref nam</vt:lpwstr>
  </property>
  <property fmtid="{D5CDD505-2E9C-101B-9397-08002B2CF9AE}" pid="3" name="ZOTERO_PREF_2">
    <vt:lpwstr>e="automaticJournalAbbreviations" value="true"/&gt;&lt;/prefs&gt;&lt;/data&gt;</vt:lpwstr>
  </property>
</Properties>
</file>