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90EC5" w14:textId="0626FB81" w:rsidR="000612A7" w:rsidRPr="00E87495" w:rsidRDefault="0081739A" w:rsidP="000612A7">
      <w:pPr>
        <w:adjustRightInd w:val="0"/>
        <w:spacing w:before="120" w:after="120" w:line="240" w:lineRule="auto"/>
        <w:ind w:right="-278"/>
        <w:jc w:val="center"/>
        <w:rPr>
          <w:rFonts w:asciiTheme="minorHAnsi" w:hAnsiTheme="minorHAnsi" w:cstheme="minorHAnsi"/>
          <w:b/>
          <w:sz w:val="32"/>
          <w:szCs w:val="32"/>
        </w:rPr>
      </w:pPr>
      <w:bookmarkStart w:id="0" w:name="_GoBack"/>
      <w:r w:rsidRPr="00E87495">
        <w:rPr>
          <w:rFonts w:asciiTheme="minorHAnsi" w:hAnsiTheme="minorHAnsi" w:cstheme="minorHAnsi"/>
          <w:b/>
          <w:sz w:val="32"/>
          <w:szCs w:val="32"/>
        </w:rPr>
        <w:t>Citizen Participation in Judicial Proceedings in Japan: From the Jury System to the Lay Judge System</w:t>
      </w:r>
    </w:p>
    <w:p w14:paraId="04A8580A" w14:textId="740E36B3" w:rsidR="000612A7" w:rsidRPr="00E87495" w:rsidRDefault="000612A7" w:rsidP="000612A7">
      <w:pPr>
        <w:adjustRightInd w:val="0"/>
        <w:spacing w:before="120" w:after="120" w:line="240" w:lineRule="auto"/>
        <w:ind w:right="-278"/>
        <w:jc w:val="center"/>
        <w:rPr>
          <w:rFonts w:asciiTheme="majorHAnsi" w:hAnsiTheme="majorHAnsi" w:cstheme="majorHAnsi"/>
          <w:b/>
          <w:bCs/>
          <w:szCs w:val="24"/>
          <w:vertAlign w:val="superscript"/>
        </w:rPr>
      </w:pPr>
      <w:r w:rsidRPr="00E87495">
        <w:rPr>
          <w:rFonts w:asciiTheme="majorHAnsi" w:hAnsiTheme="majorHAnsi" w:cstheme="majorHAnsi"/>
          <w:b/>
          <w:bCs/>
          <w:szCs w:val="24"/>
        </w:rPr>
        <w:t>Phan Tuấn Ly</w:t>
      </w:r>
      <w:r w:rsidR="00D06882" w:rsidRPr="00E87495">
        <w:rPr>
          <w:rStyle w:val="FootnoteReference"/>
          <w:rFonts w:asciiTheme="majorHAnsi" w:hAnsiTheme="majorHAnsi" w:cstheme="majorHAnsi"/>
          <w:b/>
          <w:bCs/>
          <w:szCs w:val="24"/>
        </w:rPr>
        <w:footnoteReference w:id="2"/>
      </w:r>
      <w:r w:rsidRPr="00E87495">
        <w:rPr>
          <w:rFonts w:asciiTheme="majorHAnsi" w:hAnsiTheme="majorHAnsi" w:cstheme="majorHAnsi"/>
          <w:b/>
          <w:bCs/>
          <w:szCs w:val="24"/>
        </w:rPr>
        <w:t>, Nguyễn Phan Thảo Nhi, Trần Thiên Bảo Ngọc</w:t>
      </w:r>
    </w:p>
    <w:p w14:paraId="49461B26" w14:textId="77777777" w:rsidR="000612A7" w:rsidRPr="00E87495" w:rsidRDefault="000612A7" w:rsidP="000612A7">
      <w:pPr>
        <w:spacing w:before="120" w:after="120" w:line="240" w:lineRule="auto"/>
        <w:ind w:right="-280"/>
        <w:jc w:val="center"/>
        <w:rPr>
          <w:rFonts w:asciiTheme="majorHAnsi" w:hAnsiTheme="majorHAnsi" w:cstheme="majorHAnsi"/>
          <w:b/>
          <w:i/>
          <w:iCs/>
          <w:sz w:val="22"/>
          <w:szCs w:val="22"/>
        </w:rPr>
      </w:pPr>
      <w:r w:rsidRPr="00E87495">
        <w:rPr>
          <w:rFonts w:asciiTheme="majorHAnsi" w:hAnsiTheme="majorHAnsi" w:cstheme="majorHAnsi"/>
          <w:i/>
          <w:iCs/>
          <w:sz w:val="22"/>
          <w:szCs w:val="22"/>
        </w:rPr>
        <w:t>Khoa Ngoại ngữ pháp lý, Trường Đại học Luật Thành phố Hồ Chí Minh, Việt Nam</w:t>
      </w:r>
    </w:p>
    <w:p w14:paraId="3BA292F6" w14:textId="77777777" w:rsidR="000612A7" w:rsidRPr="00E87495" w:rsidRDefault="000612A7" w:rsidP="000612A7">
      <w:pPr>
        <w:pStyle w:val="Heading1"/>
        <w:spacing w:before="120" w:after="120" w:line="240" w:lineRule="auto"/>
        <w:rPr>
          <w:rFonts w:asciiTheme="majorHAnsi" w:hAnsiTheme="majorHAnsi" w:cstheme="majorHAnsi"/>
          <w:szCs w:val="22"/>
        </w:rPr>
      </w:pPr>
      <w:r w:rsidRPr="00E87495">
        <w:rPr>
          <w:rFonts w:asciiTheme="majorHAnsi" w:hAnsiTheme="majorHAnsi" w:cstheme="majorHAnsi"/>
          <w:szCs w:val="22"/>
        </w:rPr>
        <w:t>Abstract</w:t>
      </w:r>
    </w:p>
    <w:p w14:paraId="66ECC2DA" w14:textId="43B4A38C" w:rsidR="000612A7" w:rsidRPr="00E87495" w:rsidRDefault="0029226F" w:rsidP="000612A7">
      <w:pPr>
        <w:spacing w:before="120" w:after="120" w:line="240" w:lineRule="auto"/>
        <w:ind w:firstLine="567"/>
        <w:rPr>
          <w:rFonts w:asciiTheme="majorHAnsi" w:hAnsiTheme="majorHAnsi" w:cstheme="majorHAnsi"/>
          <w:iCs/>
          <w:sz w:val="20"/>
          <w:szCs w:val="20"/>
        </w:rPr>
      </w:pPr>
      <w:r w:rsidRPr="00E87495">
        <w:rPr>
          <w:rFonts w:asciiTheme="majorHAnsi" w:hAnsiTheme="majorHAnsi" w:cstheme="majorHAnsi"/>
          <w:iCs/>
          <w:sz w:val="20"/>
          <w:szCs w:val="20"/>
        </w:rPr>
        <w:t>People's participation in trials is a hallmark of democratic and progressive societies. This article examines the evolution of the people's participation mechanism in the Japanese judicial system. To achieve the research objectives, we employed methods such as information collection, historical research, and content analysis to explore the origins, development, and eventual discontinuation of the jury system, as well as the transformation of the Japanese judiciary with the implementation of the Lay Judge (saiban-in) model. The findings reveal that the development of the people's participation mechanism in Japan can be divided into two key phases: the establishment of the jury system in 1923, its dissolution in 1943, and the subsequent introduction of the Lay Judge system in 2004. Additionally, the article highlights several contemporary values associated with the Lay Judge system in Japan. These insights are anticipated to contribute to judicial reform efforts in other countries.</w:t>
      </w:r>
    </w:p>
    <w:p w14:paraId="23FC1D15" w14:textId="57A6B175" w:rsidR="000612A7" w:rsidRPr="00E87495" w:rsidRDefault="000612A7" w:rsidP="000612A7">
      <w:pPr>
        <w:spacing w:before="120" w:after="120" w:line="240" w:lineRule="auto"/>
        <w:rPr>
          <w:rFonts w:asciiTheme="majorHAnsi" w:hAnsiTheme="majorHAnsi" w:cstheme="majorHAnsi"/>
          <w:sz w:val="22"/>
          <w:szCs w:val="22"/>
        </w:rPr>
      </w:pPr>
      <w:r w:rsidRPr="00E87495">
        <w:rPr>
          <w:rFonts w:asciiTheme="majorHAnsi" w:hAnsiTheme="majorHAnsi" w:cstheme="majorHAnsi"/>
          <w:b/>
          <w:sz w:val="22"/>
          <w:szCs w:val="22"/>
        </w:rPr>
        <w:t xml:space="preserve">Keyword: </w:t>
      </w:r>
      <w:r w:rsidRPr="00E87495">
        <w:rPr>
          <w:rFonts w:asciiTheme="majorHAnsi" w:hAnsiTheme="majorHAnsi" w:cstheme="majorHAnsi"/>
          <w:i/>
          <w:sz w:val="20"/>
          <w:szCs w:val="20"/>
        </w:rPr>
        <w:t xml:space="preserve">The Saiban-in, The </w:t>
      </w:r>
      <w:r w:rsidR="0029226F" w:rsidRPr="00E87495">
        <w:rPr>
          <w:rFonts w:asciiTheme="majorHAnsi" w:hAnsiTheme="majorHAnsi" w:cstheme="majorHAnsi"/>
          <w:i/>
          <w:sz w:val="20"/>
          <w:szCs w:val="20"/>
        </w:rPr>
        <w:t>Lay Jugde</w:t>
      </w:r>
      <w:r w:rsidRPr="00E87495">
        <w:rPr>
          <w:rFonts w:asciiTheme="majorHAnsi" w:hAnsiTheme="majorHAnsi" w:cstheme="majorHAnsi"/>
          <w:i/>
          <w:sz w:val="20"/>
          <w:szCs w:val="20"/>
        </w:rPr>
        <w:t xml:space="preserve"> system, Japanese court, The Saiban-in Law</w:t>
      </w:r>
    </w:p>
    <w:p w14:paraId="5EF0C8D8" w14:textId="77777777" w:rsidR="000612A7" w:rsidRPr="00E87495" w:rsidRDefault="000612A7">
      <w:pPr>
        <w:rPr>
          <w:rFonts w:asciiTheme="minorHAnsi" w:hAnsiTheme="minorHAnsi" w:cstheme="minorHAnsi"/>
          <w:b/>
          <w:sz w:val="32"/>
          <w:szCs w:val="32"/>
        </w:rPr>
      </w:pPr>
      <w:r w:rsidRPr="00E87495">
        <w:rPr>
          <w:rFonts w:asciiTheme="minorHAnsi" w:hAnsiTheme="minorHAnsi" w:cstheme="minorHAnsi"/>
          <w:b/>
          <w:sz w:val="32"/>
          <w:szCs w:val="32"/>
        </w:rPr>
        <w:br w:type="page"/>
      </w:r>
    </w:p>
    <w:p w14:paraId="193E6A86" w14:textId="2E9C254D" w:rsidR="00075C75" w:rsidRPr="00E87495" w:rsidRDefault="0081739A" w:rsidP="00451AB4">
      <w:pPr>
        <w:spacing w:before="120" w:after="120" w:line="240" w:lineRule="auto"/>
        <w:jc w:val="center"/>
        <w:rPr>
          <w:rFonts w:asciiTheme="minorHAnsi" w:hAnsiTheme="minorHAnsi" w:cstheme="minorHAnsi"/>
          <w:b/>
          <w:sz w:val="32"/>
          <w:szCs w:val="32"/>
        </w:rPr>
      </w:pPr>
      <w:r w:rsidRPr="00E87495">
        <w:rPr>
          <w:rFonts w:asciiTheme="minorHAnsi" w:hAnsiTheme="minorHAnsi" w:cstheme="minorHAnsi"/>
          <w:b/>
          <w:sz w:val="32"/>
          <w:szCs w:val="32"/>
        </w:rPr>
        <w:lastRenderedPageBreak/>
        <w:t xml:space="preserve">Nhân </w:t>
      </w:r>
      <w:r w:rsidR="00075C75" w:rsidRPr="00E87495">
        <w:rPr>
          <w:rFonts w:asciiTheme="minorHAnsi" w:hAnsiTheme="minorHAnsi" w:cstheme="minorHAnsi"/>
          <w:b/>
          <w:sz w:val="32"/>
          <w:szCs w:val="32"/>
        </w:rPr>
        <w:t>dân tham gia vào hoạt động xét xử ở Nhật Bản: từ chế độ Bồi thẩm đến chế độ Tài phán viên</w:t>
      </w:r>
    </w:p>
    <w:p w14:paraId="0D65F3A3" w14:textId="0E08883C" w:rsidR="00151D80" w:rsidRPr="00E87495" w:rsidRDefault="003C6A7F" w:rsidP="00451AB4">
      <w:pPr>
        <w:adjustRightInd w:val="0"/>
        <w:spacing w:before="120" w:after="120" w:line="240" w:lineRule="auto"/>
        <w:ind w:right="-278"/>
        <w:jc w:val="center"/>
        <w:rPr>
          <w:rFonts w:asciiTheme="majorHAnsi" w:hAnsiTheme="majorHAnsi" w:cstheme="majorHAnsi"/>
          <w:b/>
          <w:bCs/>
          <w:szCs w:val="24"/>
          <w:vertAlign w:val="superscript"/>
        </w:rPr>
      </w:pPr>
      <w:r w:rsidRPr="00E87495">
        <w:rPr>
          <w:rFonts w:asciiTheme="majorHAnsi" w:hAnsiTheme="majorHAnsi" w:cstheme="majorHAnsi"/>
          <w:b/>
          <w:bCs/>
          <w:szCs w:val="24"/>
        </w:rPr>
        <w:t>Phan Tuấn Ly</w:t>
      </w:r>
      <w:r w:rsidR="00141203" w:rsidRPr="00E87495">
        <w:rPr>
          <w:rStyle w:val="FootnoteReference"/>
          <w:rFonts w:asciiTheme="majorHAnsi" w:hAnsiTheme="majorHAnsi" w:cstheme="majorHAnsi"/>
          <w:b/>
          <w:bCs/>
          <w:szCs w:val="24"/>
        </w:rPr>
        <w:footnoteReference w:customMarkFollows="1" w:id="3"/>
        <w:t>*</w:t>
      </w:r>
      <w:r w:rsidRPr="00E87495">
        <w:rPr>
          <w:rFonts w:asciiTheme="majorHAnsi" w:hAnsiTheme="majorHAnsi" w:cstheme="majorHAnsi"/>
          <w:b/>
          <w:bCs/>
          <w:szCs w:val="24"/>
        </w:rPr>
        <w:t>, Nguyễn Phan Thảo Nhi, Trần Thiên Bảo Ngọc</w:t>
      </w:r>
    </w:p>
    <w:p w14:paraId="1B406825" w14:textId="69EB9CE9" w:rsidR="00151D80" w:rsidRPr="00E87495" w:rsidRDefault="007716D1" w:rsidP="00451AB4">
      <w:pPr>
        <w:spacing w:before="120" w:after="120" w:line="240" w:lineRule="auto"/>
        <w:ind w:right="-280"/>
        <w:jc w:val="center"/>
        <w:rPr>
          <w:rFonts w:asciiTheme="majorHAnsi" w:hAnsiTheme="majorHAnsi" w:cstheme="majorHAnsi"/>
          <w:b/>
          <w:i/>
          <w:iCs/>
          <w:sz w:val="22"/>
          <w:szCs w:val="22"/>
        </w:rPr>
      </w:pPr>
      <w:r w:rsidRPr="00E87495">
        <w:rPr>
          <w:rFonts w:asciiTheme="majorHAnsi" w:hAnsiTheme="majorHAnsi" w:cstheme="majorHAnsi"/>
          <w:i/>
          <w:iCs/>
          <w:sz w:val="22"/>
          <w:szCs w:val="22"/>
        </w:rPr>
        <w:t xml:space="preserve">Khoa Ngoại ngữ pháp lý, </w:t>
      </w:r>
      <w:r w:rsidR="003C6A7F" w:rsidRPr="00E87495">
        <w:rPr>
          <w:rFonts w:asciiTheme="majorHAnsi" w:hAnsiTheme="majorHAnsi" w:cstheme="majorHAnsi"/>
          <w:i/>
          <w:iCs/>
          <w:sz w:val="22"/>
          <w:szCs w:val="22"/>
        </w:rPr>
        <w:t>Trường Đại học Luật Thành phố Hồ Chí Minh</w:t>
      </w:r>
      <w:r w:rsidR="00050E91" w:rsidRPr="00E87495">
        <w:rPr>
          <w:rFonts w:asciiTheme="majorHAnsi" w:hAnsiTheme="majorHAnsi" w:cstheme="majorHAnsi"/>
          <w:i/>
          <w:iCs/>
          <w:sz w:val="22"/>
          <w:szCs w:val="22"/>
        </w:rPr>
        <w:t>, Việt Nam</w:t>
      </w:r>
    </w:p>
    <w:p w14:paraId="10E80233" w14:textId="1A216453" w:rsidR="00151D80" w:rsidRPr="00E87495" w:rsidRDefault="610DC08E" w:rsidP="00451AB4">
      <w:pPr>
        <w:pStyle w:val="Heading1"/>
        <w:spacing w:before="120" w:after="120" w:line="240" w:lineRule="auto"/>
        <w:rPr>
          <w:rFonts w:asciiTheme="majorHAnsi" w:hAnsiTheme="majorHAnsi" w:cstheme="majorHAnsi"/>
          <w:szCs w:val="22"/>
        </w:rPr>
      </w:pPr>
      <w:r w:rsidRPr="00E87495">
        <w:rPr>
          <w:rFonts w:asciiTheme="majorHAnsi" w:hAnsiTheme="majorHAnsi" w:cstheme="majorHAnsi"/>
          <w:szCs w:val="22"/>
        </w:rPr>
        <w:t xml:space="preserve">Tóm </w:t>
      </w:r>
      <w:r w:rsidR="77610CEB" w:rsidRPr="00E87495">
        <w:rPr>
          <w:rFonts w:asciiTheme="majorHAnsi" w:hAnsiTheme="majorHAnsi" w:cstheme="majorHAnsi"/>
          <w:szCs w:val="22"/>
        </w:rPr>
        <w:t>tắt</w:t>
      </w:r>
    </w:p>
    <w:p w14:paraId="2FA91F31" w14:textId="017EE72F" w:rsidR="00151D80" w:rsidRPr="00E87495" w:rsidRDefault="00AD7335" w:rsidP="00451AB4">
      <w:pPr>
        <w:spacing w:before="120" w:after="120" w:line="240" w:lineRule="auto"/>
        <w:ind w:firstLine="567"/>
        <w:rPr>
          <w:rFonts w:asciiTheme="majorHAnsi" w:hAnsiTheme="majorHAnsi" w:cstheme="majorHAnsi"/>
          <w:iCs/>
          <w:sz w:val="20"/>
          <w:szCs w:val="20"/>
        </w:rPr>
      </w:pPr>
      <w:r w:rsidRPr="00E87495">
        <w:rPr>
          <w:rFonts w:asciiTheme="majorHAnsi" w:hAnsiTheme="majorHAnsi" w:cstheme="majorHAnsi"/>
          <w:iCs/>
          <w:sz w:val="20"/>
          <w:szCs w:val="20"/>
        </w:rPr>
        <w:t>Nhân dân tham gia vào hoạt động xét xử là đặc tính của các nhà nước dân chủ, tiến bộ</w:t>
      </w:r>
      <w:r w:rsidR="00141203" w:rsidRPr="00E87495">
        <w:rPr>
          <w:rFonts w:asciiTheme="majorHAnsi" w:hAnsiTheme="majorHAnsi" w:cstheme="majorHAnsi"/>
          <w:iCs/>
          <w:sz w:val="20"/>
          <w:szCs w:val="20"/>
        </w:rPr>
        <w:t xml:space="preserve">. </w:t>
      </w:r>
      <w:r w:rsidR="00A508F6" w:rsidRPr="00E87495">
        <w:rPr>
          <w:rFonts w:asciiTheme="majorHAnsi" w:hAnsiTheme="majorHAnsi" w:cstheme="majorHAnsi"/>
          <w:iCs/>
          <w:sz w:val="20"/>
          <w:szCs w:val="20"/>
        </w:rPr>
        <w:t>Bài viết này n</w:t>
      </w:r>
      <w:r w:rsidR="00141203" w:rsidRPr="00E87495">
        <w:rPr>
          <w:rFonts w:asciiTheme="majorHAnsi" w:hAnsiTheme="majorHAnsi" w:cstheme="majorHAnsi"/>
          <w:iCs/>
          <w:sz w:val="20"/>
          <w:szCs w:val="20"/>
        </w:rPr>
        <w:t xml:space="preserve">ghiên cứu tiến trình phát triển của </w:t>
      </w:r>
      <w:r w:rsidRPr="00E87495">
        <w:rPr>
          <w:rFonts w:asciiTheme="majorHAnsi" w:hAnsiTheme="majorHAnsi" w:cstheme="majorHAnsi"/>
          <w:iCs/>
          <w:sz w:val="20"/>
          <w:szCs w:val="20"/>
        </w:rPr>
        <w:t>cơ chế nhân dân tham gia vào hoạt động xét xử ở</w:t>
      </w:r>
      <w:r w:rsidR="00914A1F" w:rsidRPr="00E87495">
        <w:rPr>
          <w:rFonts w:asciiTheme="majorHAnsi" w:hAnsiTheme="majorHAnsi" w:cstheme="majorHAnsi"/>
          <w:iCs/>
          <w:sz w:val="20"/>
          <w:szCs w:val="20"/>
        </w:rPr>
        <w:t xml:space="preserve"> Nhật Bản</w:t>
      </w:r>
      <w:r w:rsidR="00141203" w:rsidRPr="00E87495">
        <w:rPr>
          <w:rFonts w:asciiTheme="majorHAnsi" w:hAnsiTheme="majorHAnsi" w:cstheme="majorHAnsi"/>
          <w:iCs/>
          <w:sz w:val="20"/>
          <w:szCs w:val="20"/>
        </w:rPr>
        <w:t xml:space="preserve">. </w:t>
      </w:r>
      <w:r w:rsidR="00CF7774" w:rsidRPr="00E87495">
        <w:rPr>
          <w:rFonts w:asciiTheme="majorHAnsi" w:hAnsiTheme="majorHAnsi" w:cstheme="majorHAnsi"/>
          <w:iCs/>
          <w:sz w:val="20"/>
          <w:szCs w:val="20"/>
        </w:rPr>
        <w:t>Để đạt được mục tiêu nghiên cứu đề ra,</w:t>
      </w:r>
      <w:r w:rsidR="00141203" w:rsidRPr="00E87495">
        <w:rPr>
          <w:rFonts w:asciiTheme="majorHAnsi" w:hAnsiTheme="majorHAnsi" w:cstheme="majorHAnsi"/>
          <w:iCs/>
          <w:sz w:val="20"/>
          <w:szCs w:val="20"/>
        </w:rPr>
        <w:t xml:space="preserve"> các phương pháp thu thập thông tin, nghiên cứu lịch sử và phân tích nội dung </w:t>
      </w:r>
      <w:r w:rsidR="00CF7774" w:rsidRPr="00E87495">
        <w:rPr>
          <w:rFonts w:asciiTheme="majorHAnsi" w:hAnsiTheme="majorHAnsi" w:cstheme="majorHAnsi"/>
          <w:iCs/>
          <w:sz w:val="20"/>
          <w:szCs w:val="20"/>
        </w:rPr>
        <w:t>được sử dụng để phân tích</w:t>
      </w:r>
      <w:r w:rsidR="00141203" w:rsidRPr="00E87495">
        <w:rPr>
          <w:rFonts w:asciiTheme="majorHAnsi" w:hAnsiTheme="majorHAnsi" w:cstheme="majorHAnsi"/>
          <w:iCs/>
          <w:sz w:val="20"/>
          <w:szCs w:val="20"/>
        </w:rPr>
        <w:t xml:space="preserve"> </w:t>
      </w:r>
      <w:r w:rsidR="00CF7774" w:rsidRPr="00E87495">
        <w:rPr>
          <w:rFonts w:asciiTheme="majorHAnsi" w:hAnsiTheme="majorHAnsi" w:cstheme="majorHAnsi"/>
          <w:iCs/>
          <w:sz w:val="20"/>
          <w:szCs w:val="20"/>
        </w:rPr>
        <w:t>bối cảnh</w:t>
      </w:r>
      <w:r w:rsidR="00914A1F" w:rsidRPr="00E87495">
        <w:rPr>
          <w:rFonts w:asciiTheme="majorHAnsi" w:hAnsiTheme="majorHAnsi" w:cstheme="majorHAnsi"/>
          <w:iCs/>
          <w:sz w:val="20"/>
          <w:szCs w:val="20"/>
        </w:rPr>
        <w:t xml:space="preserve"> ra đời</w:t>
      </w:r>
      <w:r w:rsidR="00CF7774" w:rsidRPr="00E87495">
        <w:rPr>
          <w:rFonts w:asciiTheme="majorHAnsi" w:hAnsiTheme="majorHAnsi" w:cstheme="majorHAnsi"/>
          <w:iCs/>
          <w:sz w:val="20"/>
          <w:szCs w:val="20"/>
        </w:rPr>
        <w:t>,</w:t>
      </w:r>
      <w:r w:rsidR="00914A1F" w:rsidRPr="00E87495">
        <w:rPr>
          <w:rFonts w:asciiTheme="majorHAnsi" w:hAnsiTheme="majorHAnsi" w:cstheme="majorHAnsi"/>
          <w:iCs/>
          <w:sz w:val="20"/>
          <w:szCs w:val="20"/>
        </w:rPr>
        <w:t xml:space="preserve"> sự phát triển</w:t>
      </w:r>
      <w:r w:rsidR="00141203" w:rsidRPr="00E87495">
        <w:rPr>
          <w:rFonts w:asciiTheme="majorHAnsi" w:hAnsiTheme="majorHAnsi" w:cstheme="majorHAnsi"/>
          <w:iCs/>
          <w:sz w:val="20"/>
          <w:szCs w:val="20"/>
        </w:rPr>
        <w:t xml:space="preserve"> </w:t>
      </w:r>
      <w:r w:rsidR="00CF7774" w:rsidRPr="00E87495">
        <w:rPr>
          <w:rFonts w:asciiTheme="majorHAnsi" w:hAnsiTheme="majorHAnsi" w:cstheme="majorHAnsi"/>
          <w:iCs/>
          <w:sz w:val="20"/>
          <w:szCs w:val="20"/>
        </w:rPr>
        <w:t>cũng như chấm dứt của chế độ Bồi thẩm và bước chuyển mình của nền tư pháp Nhật Bản khi áp dụng mô hình Tài phán viên</w:t>
      </w:r>
      <w:r w:rsidR="00141203" w:rsidRPr="00E87495">
        <w:rPr>
          <w:rFonts w:asciiTheme="majorHAnsi" w:hAnsiTheme="majorHAnsi" w:cstheme="majorHAnsi"/>
          <w:iCs/>
          <w:sz w:val="20"/>
          <w:szCs w:val="20"/>
        </w:rPr>
        <w:t xml:space="preserve">. Kết quả nghiên cứu </w:t>
      </w:r>
      <w:r w:rsidR="00914A1F" w:rsidRPr="00E87495">
        <w:rPr>
          <w:rFonts w:asciiTheme="majorHAnsi" w:hAnsiTheme="majorHAnsi" w:cstheme="majorHAnsi"/>
          <w:iCs/>
          <w:sz w:val="20"/>
          <w:szCs w:val="20"/>
        </w:rPr>
        <w:t>cho thấy tiến trình phát triển của</w:t>
      </w:r>
      <w:r w:rsidR="00141203" w:rsidRPr="00E87495">
        <w:rPr>
          <w:rFonts w:asciiTheme="majorHAnsi" w:hAnsiTheme="majorHAnsi" w:cstheme="majorHAnsi"/>
          <w:iCs/>
          <w:sz w:val="20"/>
          <w:szCs w:val="20"/>
        </w:rPr>
        <w:t xml:space="preserve"> </w:t>
      </w:r>
      <w:r w:rsidR="00CF7774" w:rsidRPr="00E87495">
        <w:rPr>
          <w:rFonts w:asciiTheme="majorHAnsi" w:hAnsiTheme="majorHAnsi" w:cstheme="majorHAnsi"/>
          <w:iCs/>
          <w:sz w:val="20"/>
          <w:szCs w:val="20"/>
        </w:rPr>
        <w:t>cơ chế nhân dân tham gia vào hoạt động xét xử ở Nhật Bản</w:t>
      </w:r>
      <w:r w:rsidR="00141203" w:rsidRPr="00E87495">
        <w:rPr>
          <w:rFonts w:asciiTheme="majorHAnsi" w:hAnsiTheme="majorHAnsi" w:cstheme="majorHAnsi"/>
          <w:iCs/>
          <w:sz w:val="20"/>
          <w:szCs w:val="20"/>
        </w:rPr>
        <w:t xml:space="preserve"> </w:t>
      </w:r>
      <w:r w:rsidR="00914A1F" w:rsidRPr="00E87495">
        <w:rPr>
          <w:rFonts w:asciiTheme="majorHAnsi" w:hAnsiTheme="majorHAnsi" w:cstheme="majorHAnsi"/>
          <w:iCs/>
          <w:sz w:val="20"/>
          <w:szCs w:val="20"/>
        </w:rPr>
        <w:t xml:space="preserve">có thể phân thành </w:t>
      </w:r>
      <w:r w:rsidR="00CF7774" w:rsidRPr="00E87495">
        <w:rPr>
          <w:rFonts w:asciiTheme="majorHAnsi" w:hAnsiTheme="majorHAnsi" w:cstheme="majorHAnsi"/>
          <w:iCs/>
          <w:sz w:val="20"/>
          <w:szCs w:val="20"/>
        </w:rPr>
        <w:t>hai giai đoạ</w:t>
      </w:r>
      <w:r w:rsidR="00914A1F" w:rsidRPr="00E87495">
        <w:rPr>
          <w:rFonts w:asciiTheme="majorHAnsi" w:hAnsiTheme="majorHAnsi" w:cstheme="majorHAnsi"/>
          <w:iCs/>
          <w:sz w:val="20"/>
          <w:szCs w:val="20"/>
        </w:rPr>
        <w:t xml:space="preserve">n chính: </w:t>
      </w:r>
      <w:r w:rsidR="00CF7774" w:rsidRPr="00E87495">
        <w:rPr>
          <w:rFonts w:asciiTheme="majorHAnsi" w:hAnsiTheme="majorHAnsi" w:cstheme="majorHAnsi"/>
          <w:iCs/>
          <w:sz w:val="20"/>
          <w:szCs w:val="20"/>
        </w:rPr>
        <w:t xml:space="preserve">chế độ Bồi thẩm </w:t>
      </w:r>
      <w:r w:rsidR="00914A1F" w:rsidRPr="00E87495">
        <w:rPr>
          <w:rFonts w:asciiTheme="majorHAnsi" w:hAnsiTheme="majorHAnsi" w:cstheme="majorHAnsi"/>
          <w:iCs/>
          <w:sz w:val="20"/>
          <w:szCs w:val="20"/>
        </w:rPr>
        <w:t>ra đờ</w:t>
      </w:r>
      <w:r w:rsidR="00CF7774" w:rsidRPr="00E87495">
        <w:rPr>
          <w:rFonts w:asciiTheme="majorHAnsi" w:hAnsiTheme="majorHAnsi" w:cstheme="majorHAnsi"/>
          <w:iCs/>
          <w:sz w:val="20"/>
          <w:szCs w:val="20"/>
        </w:rPr>
        <w:t xml:space="preserve">i năm 1923 kết thúc </w:t>
      </w:r>
      <w:r w:rsidR="00914A1F" w:rsidRPr="00E87495">
        <w:rPr>
          <w:rFonts w:asciiTheme="majorHAnsi" w:hAnsiTheme="majorHAnsi" w:cstheme="majorHAnsi"/>
          <w:iCs/>
          <w:sz w:val="20"/>
          <w:szCs w:val="20"/>
        </w:rPr>
        <w:t xml:space="preserve">năm 1943 </w:t>
      </w:r>
      <w:r w:rsidR="00141203" w:rsidRPr="00E87495">
        <w:rPr>
          <w:rFonts w:asciiTheme="majorHAnsi" w:hAnsiTheme="majorHAnsi" w:cstheme="majorHAnsi"/>
          <w:iCs/>
          <w:sz w:val="20"/>
          <w:szCs w:val="20"/>
        </w:rPr>
        <w:t xml:space="preserve">và </w:t>
      </w:r>
      <w:r w:rsidR="00CF7774" w:rsidRPr="00E87495">
        <w:rPr>
          <w:rFonts w:asciiTheme="majorHAnsi" w:hAnsiTheme="majorHAnsi" w:cstheme="majorHAnsi"/>
          <w:iCs/>
          <w:sz w:val="20"/>
          <w:szCs w:val="20"/>
        </w:rPr>
        <w:t>được thay thế bởi chế độ Tài phán viên</w:t>
      </w:r>
      <w:r w:rsidR="007076DE" w:rsidRPr="00E87495">
        <w:rPr>
          <w:rFonts w:asciiTheme="majorHAnsi" w:hAnsiTheme="majorHAnsi" w:cstheme="majorHAnsi"/>
          <w:iCs/>
          <w:sz w:val="20"/>
          <w:szCs w:val="20"/>
        </w:rPr>
        <w:t xml:space="preserve"> năm 2004</w:t>
      </w:r>
      <w:r w:rsidR="00141203" w:rsidRPr="00E87495">
        <w:rPr>
          <w:rFonts w:asciiTheme="majorHAnsi" w:hAnsiTheme="majorHAnsi" w:cstheme="majorHAnsi"/>
          <w:iCs/>
          <w:sz w:val="20"/>
          <w:szCs w:val="20"/>
        </w:rPr>
        <w:t xml:space="preserve">. </w:t>
      </w:r>
      <w:r w:rsidR="007076DE" w:rsidRPr="00E87495">
        <w:rPr>
          <w:rFonts w:asciiTheme="majorHAnsi" w:hAnsiTheme="majorHAnsi" w:cstheme="majorHAnsi"/>
          <w:iCs/>
          <w:sz w:val="20"/>
          <w:szCs w:val="20"/>
        </w:rPr>
        <w:t>Đồng thời</w:t>
      </w:r>
      <w:r w:rsidR="00141203" w:rsidRPr="00E87495">
        <w:rPr>
          <w:rFonts w:asciiTheme="majorHAnsi" w:hAnsiTheme="majorHAnsi" w:cstheme="majorHAnsi"/>
          <w:iCs/>
          <w:sz w:val="20"/>
          <w:szCs w:val="20"/>
        </w:rPr>
        <w:t xml:space="preserve">, bài viết </w:t>
      </w:r>
      <w:r w:rsidR="007076DE" w:rsidRPr="00E87495">
        <w:rPr>
          <w:rFonts w:asciiTheme="majorHAnsi" w:hAnsiTheme="majorHAnsi" w:cstheme="majorHAnsi"/>
          <w:iCs/>
          <w:sz w:val="20"/>
          <w:szCs w:val="20"/>
        </w:rPr>
        <w:t xml:space="preserve">cũng </w:t>
      </w:r>
      <w:r w:rsidR="00141203" w:rsidRPr="00E87495">
        <w:rPr>
          <w:rFonts w:asciiTheme="majorHAnsi" w:hAnsiTheme="majorHAnsi" w:cstheme="majorHAnsi"/>
          <w:iCs/>
          <w:sz w:val="20"/>
          <w:szCs w:val="20"/>
        </w:rPr>
        <w:t xml:space="preserve">đưa ra nhận xét về </w:t>
      </w:r>
      <w:r w:rsidR="007076DE" w:rsidRPr="00E87495">
        <w:rPr>
          <w:rFonts w:asciiTheme="majorHAnsi" w:hAnsiTheme="majorHAnsi" w:cstheme="majorHAnsi"/>
          <w:iCs/>
          <w:sz w:val="20"/>
          <w:szCs w:val="20"/>
        </w:rPr>
        <w:t xml:space="preserve">các </w:t>
      </w:r>
      <w:r w:rsidR="00141203" w:rsidRPr="00E87495">
        <w:rPr>
          <w:rFonts w:asciiTheme="majorHAnsi" w:hAnsiTheme="majorHAnsi" w:cstheme="majorHAnsi"/>
          <w:iCs/>
          <w:sz w:val="20"/>
          <w:szCs w:val="20"/>
        </w:rPr>
        <w:t xml:space="preserve">giá trị hiện đại </w:t>
      </w:r>
      <w:r w:rsidR="0029226F" w:rsidRPr="00E87495">
        <w:rPr>
          <w:rFonts w:asciiTheme="majorHAnsi" w:hAnsiTheme="majorHAnsi" w:cstheme="majorHAnsi"/>
          <w:iCs/>
          <w:sz w:val="20"/>
          <w:szCs w:val="20"/>
        </w:rPr>
        <w:t xml:space="preserve">trong việc áp dụng </w:t>
      </w:r>
      <w:r w:rsidR="00141203" w:rsidRPr="00E87495">
        <w:rPr>
          <w:rFonts w:asciiTheme="majorHAnsi" w:hAnsiTheme="majorHAnsi" w:cstheme="majorHAnsi"/>
          <w:iCs/>
          <w:sz w:val="20"/>
          <w:szCs w:val="20"/>
        </w:rPr>
        <w:t xml:space="preserve">chế độ </w:t>
      </w:r>
      <w:r w:rsidR="0029226F" w:rsidRPr="00E87495">
        <w:rPr>
          <w:rFonts w:asciiTheme="majorHAnsi" w:hAnsiTheme="majorHAnsi" w:cstheme="majorHAnsi"/>
          <w:iCs/>
          <w:sz w:val="20"/>
          <w:szCs w:val="20"/>
        </w:rPr>
        <w:t>Tài phán viên</w:t>
      </w:r>
      <w:r w:rsidR="007076DE" w:rsidRPr="00E87495">
        <w:rPr>
          <w:rFonts w:asciiTheme="majorHAnsi" w:hAnsiTheme="majorHAnsi" w:cstheme="majorHAnsi"/>
          <w:iCs/>
          <w:sz w:val="20"/>
          <w:szCs w:val="20"/>
        </w:rPr>
        <w:t xml:space="preserve"> ở Nhật Bản</w:t>
      </w:r>
      <w:r w:rsidR="00141203" w:rsidRPr="00E87495">
        <w:rPr>
          <w:rFonts w:asciiTheme="majorHAnsi" w:hAnsiTheme="majorHAnsi" w:cstheme="majorHAnsi"/>
          <w:iCs/>
          <w:sz w:val="20"/>
          <w:szCs w:val="20"/>
        </w:rPr>
        <w:t xml:space="preserve">. Kết quả nghiên cứu này </w:t>
      </w:r>
      <w:r w:rsidR="007076DE" w:rsidRPr="00E87495">
        <w:rPr>
          <w:rFonts w:asciiTheme="majorHAnsi" w:hAnsiTheme="majorHAnsi" w:cstheme="majorHAnsi"/>
          <w:iCs/>
          <w:sz w:val="20"/>
          <w:szCs w:val="20"/>
        </w:rPr>
        <w:t>được kỳ vọng sẽ hữu dụng</w:t>
      </w:r>
      <w:r w:rsidR="00141203" w:rsidRPr="00E87495">
        <w:rPr>
          <w:rFonts w:asciiTheme="majorHAnsi" w:hAnsiTheme="majorHAnsi" w:cstheme="majorHAnsi"/>
          <w:iCs/>
          <w:sz w:val="20"/>
          <w:szCs w:val="20"/>
        </w:rPr>
        <w:t xml:space="preserve"> cho </w:t>
      </w:r>
      <w:r w:rsidR="007076DE" w:rsidRPr="00E87495">
        <w:rPr>
          <w:rFonts w:asciiTheme="majorHAnsi" w:hAnsiTheme="majorHAnsi" w:cstheme="majorHAnsi"/>
          <w:iCs/>
          <w:sz w:val="20"/>
          <w:szCs w:val="20"/>
        </w:rPr>
        <w:t>hoạt động</w:t>
      </w:r>
      <w:r w:rsidR="00141203" w:rsidRPr="00E87495">
        <w:rPr>
          <w:rFonts w:asciiTheme="majorHAnsi" w:hAnsiTheme="majorHAnsi" w:cstheme="majorHAnsi"/>
          <w:iCs/>
          <w:sz w:val="20"/>
          <w:szCs w:val="20"/>
        </w:rPr>
        <w:t xml:space="preserve"> cải cách tư pháp </w:t>
      </w:r>
      <w:r w:rsidR="007076DE" w:rsidRPr="00E87495">
        <w:rPr>
          <w:rFonts w:asciiTheme="majorHAnsi" w:hAnsiTheme="majorHAnsi" w:cstheme="majorHAnsi"/>
          <w:iCs/>
          <w:sz w:val="20"/>
          <w:szCs w:val="20"/>
        </w:rPr>
        <w:t>của các quốc gia</w:t>
      </w:r>
      <w:r w:rsidR="00141203" w:rsidRPr="00E87495">
        <w:rPr>
          <w:rFonts w:asciiTheme="majorHAnsi" w:hAnsiTheme="majorHAnsi" w:cstheme="majorHAnsi"/>
          <w:iCs/>
          <w:sz w:val="20"/>
          <w:szCs w:val="20"/>
        </w:rPr>
        <w:t>.</w:t>
      </w:r>
    </w:p>
    <w:p w14:paraId="061E6B47" w14:textId="03B9A780" w:rsidR="00151D80" w:rsidRPr="00E87495" w:rsidRDefault="003C6A7F" w:rsidP="00451AB4">
      <w:pPr>
        <w:spacing w:before="120" w:after="120" w:line="240" w:lineRule="auto"/>
        <w:rPr>
          <w:rFonts w:asciiTheme="majorHAnsi" w:hAnsiTheme="majorHAnsi" w:cstheme="majorHAnsi"/>
          <w:i/>
          <w:sz w:val="20"/>
          <w:szCs w:val="20"/>
        </w:rPr>
      </w:pPr>
      <w:r w:rsidRPr="00E87495">
        <w:rPr>
          <w:rFonts w:asciiTheme="majorHAnsi" w:hAnsiTheme="majorHAnsi" w:cstheme="majorHAnsi"/>
          <w:b/>
          <w:sz w:val="22"/>
          <w:szCs w:val="22"/>
        </w:rPr>
        <w:t>Từ khóa</w:t>
      </w:r>
      <w:r w:rsidRPr="00E87495">
        <w:rPr>
          <w:rFonts w:asciiTheme="majorHAnsi" w:hAnsiTheme="majorHAnsi" w:cstheme="majorHAnsi"/>
          <w:sz w:val="22"/>
          <w:szCs w:val="22"/>
        </w:rPr>
        <w:t xml:space="preserve">: </w:t>
      </w:r>
      <w:r w:rsidRPr="00E87495">
        <w:rPr>
          <w:rFonts w:asciiTheme="majorHAnsi" w:hAnsiTheme="majorHAnsi" w:cstheme="majorHAnsi"/>
          <w:i/>
          <w:sz w:val="20"/>
          <w:szCs w:val="20"/>
        </w:rPr>
        <w:t xml:space="preserve">Tài phán viên, </w:t>
      </w:r>
      <w:r w:rsidR="0010332A" w:rsidRPr="00E87495">
        <w:rPr>
          <w:rFonts w:asciiTheme="majorHAnsi" w:hAnsiTheme="majorHAnsi" w:cstheme="majorHAnsi"/>
          <w:i/>
          <w:sz w:val="20"/>
          <w:szCs w:val="20"/>
        </w:rPr>
        <w:t>hệ thống toà án</w:t>
      </w:r>
      <w:r w:rsidRPr="00E87495">
        <w:rPr>
          <w:rFonts w:asciiTheme="majorHAnsi" w:hAnsiTheme="majorHAnsi" w:cstheme="majorHAnsi"/>
          <w:i/>
          <w:sz w:val="20"/>
          <w:szCs w:val="20"/>
        </w:rPr>
        <w:t xml:space="preserve">, </w:t>
      </w:r>
      <w:r w:rsidR="00BD3A17" w:rsidRPr="00E87495">
        <w:rPr>
          <w:rFonts w:asciiTheme="majorHAnsi" w:hAnsiTheme="majorHAnsi" w:cstheme="majorHAnsi"/>
          <w:i/>
          <w:sz w:val="20"/>
          <w:szCs w:val="20"/>
        </w:rPr>
        <w:t>T</w:t>
      </w:r>
      <w:r w:rsidRPr="00E87495">
        <w:rPr>
          <w:rFonts w:asciiTheme="majorHAnsi" w:hAnsiTheme="majorHAnsi" w:cstheme="majorHAnsi"/>
          <w:i/>
          <w:sz w:val="20"/>
          <w:szCs w:val="20"/>
        </w:rPr>
        <w:t xml:space="preserve">òa án Nhật Bản, </w:t>
      </w:r>
      <w:r w:rsidR="0010332A" w:rsidRPr="00E87495">
        <w:rPr>
          <w:rFonts w:asciiTheme="majorHAnsi" w:hAnsiTheme="majorHAnsi" w:cstheme="majorHAnsi"/>
          <w:i/>
          <w:sz w:val="20"/>
          <w:szCs w:val="20"/>
        </w:rPr>
        <w:t>pháp l</w:t>
      </w:r>
      <w:r w:rsidRPr="00E87495">
        <w:rPr>
          <w:rFonts w:asciiTheme="majorHAnsi" w:hAnsiTheme="majorHAnsi" w:cstheme="majorHAnsi"/>
          <w:i/>
          <w:sz w:val="20"/>
          <w:szCs w:val="20"/>
        </w:rPr>
        <w:t>uật về t</w:t>
      </w:r>
      <w:r w:rsidR="0010332A" w:rsidRPr="00E87495">
        <w:rPr>
          <w:rFonts w:asciiTheme="majorHAnsi" w:hAnsiTheme="majorHAnsi" w:cstheme="majorHAnsi"/>
          <w:i/>
          <w:sz w:val="20"/>
          <w:szCs w:val="20"/>
        </w:rPr>
        <w:t>oà án;</w:t>
      </w:r>
    </w:p>
    <w:p w14:paraId="58A6571F" w14:textId="77777777" w:rsidR="006E3678" w:rsidRPr="00E87495" w:rsidRDefault="006E3678" w:rsidP="006E3678">
      <w:pPr>
        <w:sectPr w:rsidR="006E3678" w:rsidRPr="00E87495" w:rsidSect="00D06882">
          <w:headerReference w:type="default" r:id="rId9"/>
          <w:footerReference w:type="default" r:id="rId10"/>
          <w:footnotePr>
            <w:numFmt w:val="chicago"/>
            <w:numRestart w:val="eachSect"/>
          </w:footnotePr>
          <w:type w:val="continuous"/>
          <w:pgSz w:w="11906" w:h="16838" w:code="9"/>
          <w:pgMar w:top="1134" w:right="1134" w:bottom="1134" w:left="1418" w:header="851" w:footer="992" w:gutter="0"/>
          <w:pgNumType w:start="1"/>
          <w:cols w:space="720"/>
        </w:sectPr>
      </w:pPr>
    </w:p>
    <w:p w14:paraId="3719311F" w14:textId="7221DDBE" w:rsidR="00151D80" w:rsidRPr="00E87495" w:rsidRDefault="003C6A7F" w:rsidP="00451AB4">
      <w:pPr>
        <w:pStyle w:val="Heading1"/>
        <w:spacing w:before="120" w:after="120" w:line="240" w:lineRule="auto"/>
        <w:rPr>
          <w:rFonts w:asciiTheme="majorHAnsi" w:hAnsiTheme="majorHAnsi" w:cstheme="majorHAnsi"/>
          <w:szCs w:val="22"/>
        </w:rPr>
      </w:pPr>
      <w:r w:rsidRPr="00E87495">
        <w:rPr>
          <w:rFonts w:asciiTheme="majorHAnsi" w:hAnsiTheme="majorHAnsi" w:cstheme="majorHAnsi"/>
          <w:szCs w:val="22"/>
        </w:rPr>
        <w:lastRenderedPageBreak/>
        <w:t xml:space="preserve">1. </w:t>
      </w:r>
      <w:r w:rsidR="00C958F2" w:rsidRPr="00E87495">
        <w:rPr>
          <w:rFonts w:asciiTheme="majorHAnsi" w:hAnsiTheme="majorHAnsi" w:cstheme="majorHAnsi"/>
          <w:szCs w:val="22"/>
        </w:rPr>
        <w:t>ĐẶT VẤN ĐỀ</w:t>
      </w:r>
    </w:p>
    <w:p w14:paraId="5C7E51CB" w14:textId="58D92869" w:rsidR="00151D80" w:rsidRPr="00E87495" w:rsidRDefault="003C6A7F" w:rsidP="009B3D01">
      <w:pPr>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 xml:space="preserve">Trong bối cảnh xây dựng nhà nước pháp quyền, hệ thống tư pháp nắm giữ một vị trí vô cùng quan trọng trong việc bảo đảm quyền lợi và công bằng cho công dân. </w:t>
      </w:r>
      <w:r w:rsidR="000C2D34" w:rsidRPr="00E87495">
        <w:rPr>
          <w:rFonts w:asciiTheme="majorHAnsi" w:hAnsiTheme="majorHAnsi" w:cstheme="majorHAnsi"/>
          <w:sz w:val="22"/>
          <w:szCs w:val="22"/>
        </w:rPr>
        <w:t>Nhân dân</w:t>
      </w:r>
      <w:r w:rsidRPr="00E87495">
        <w:rPr>
          <w:rFonts w:asciiTheme="majorHAnsi" w:hAnsiTheme="majorHAnsi" w:cstheme="majorHAnsi"/>
          <w:sz w:val="22"/>
          <w:szCs w:val="22"/>
        </w:rPr>
        <w:t xml:space="preserve"> tham gia vào quá trình xét xử đảm bảo cho nguyên tắc </w:t>
      </w:r>
      <w:r w:rsidRPr="00E87495">
        <w:rPr>
          <w:rFonts w:asciiTheme="majorHAnsi" w:hAnsiTheme="majorHAnsi" w:cstheme="majorHAnsi"/>
          <w:i/>
          <w:sz w:val="22"/>
          <w:szCs w:val="22"/>
        </w:rPr>
        <w:t>“chủ quyền thuộc về nhân dân”</w:t>
      </w:r>
      <w:r w:rsidR="000C2D34" w:rsidRPr="00E87495">
        <w:rPr>
          <w:rFonts w:asciiTheme="majorHAnsi" w:hAnsiTheme="majorHAnsi" w:cstheme="majorHAnsi"/>
          <w:sz w:val="22"/>
          <w:szCs w:val="22"/>
        </w:rPr>
        <w:t xml:space="preserve"> theo quy định của Hiến pháp Nhật Bản. Qua đó, họ</w:t>
      </w:r>
      <w:r w:rsidRPr="00E87495">
        <w:rPr>
          <w:rFonts w:asciiTheme="majorHAnsi" w:hAnsiTheme="majorHAnsi" w:cstheme="majorHAnsi"/>
          <w:sz w:val="22"/>
          <w:szCs w:val="22"/>
        </w:rPr>
        <w:t xml:space="preserve"> thực hiện quyền làm chủ đất nước thông qua</w:t>
      </w:r>
      <w:r w:rsidR="000C2D34" w:rsidRPr="00E87495">
        <w:rPr>
          <w:rFonts w:asciiTheme="majorHAnsi" w:hAnsiTheme="majorHAnsi" w:cstheme="majorHAnsi"/>
          <w:sz w:val="22"/>
          <w:szCs w:val="22"/>
        </w:rPr>
        <w:t xml:space="preserve"> việc trực tiếp tham gia vào</w:t>
      </w:r>
      <w:r w:rsidRPr="00E87495">
        <w:rPr>
          <w:rFonts w:asciiTheme="majorHAnsi" w:hAnsiTheme="majorHAnsi" w:cstheme="majorHAnsi"/>
          <w:sz w:val="22"/>
          <w:szCs w:val="22"/>
        </w:rPr>
        <w:t xml:space="preserve"> hoạt động</w:t>
      </w:r>
      <w:r w:rsidR="000C2D34" w:rsidRPr="00E87495">
        <w:rPr>
          <w:rFonts w:asciiTheme="majorHAnsi" w:hAnsiTheme="majorHAnsi" w:cstheme="majorHAnsi"/>
          <w:sz w:val="22"/>
          <w:szCs w:val="22"/>
        </w:rPr>
        <w:t xml:space="preserve"> của cơ quan</w:t>
      </w:r>
      <w:r w:rsidRPr="00E87495">
        <w:rPr>
          <w:rFonts w:asciiTheme="majorHAnsi" w:hAnsiTheme="majorHAnsi" w:cstheme="majorHAnsi"/>
          <w:sz w:val="22"/>
          <w:szCs w:val="22"/>
        </w:rPr>
        <w:t xml:space="preserve"> tư pháp. </w:t>
      </w:r>
      <w:r w:rsidR="000C2D34" w:rsidRPr="00E87495">
        <w:rPr>
          <w:rFonts w:asciiTheme="majorHAnsi" w:hAnsiTheme="majorHAnsi" w:cstheme="majorHAnsi"/>
          <w:sz w:val="22"/>
          <w:szCs w:val="22"/>
        </w:rPr>
        <w:t>Trải</w:t>
      </w:r>
      <w:r w:rsidRPr="00E87495">
        <w:rPr>
          <w:rFonts w:asciiTheme="majorHAnsi" w:hAnsiTheme="majorHAnsi" w:cstheme="majorHAnsi"/>
          <w:sz w:val="22"/>
          <w:szCs w:val="22"/>
        </w:rPr>
        <w:t xml:space="preserve"> nhiều thập kỷ, </w:t>
      </w:r>
      <w:r w:rsidR="000C2D34" w:rsidRPr="00E87495">
        <w:rPr>
          <w:rFonts w:asciiTheme="majorHAnsi" w:hAnsiTheme="majorHAnsi" w:cstheme="majorHAnsi"/>
          <w:sz w:val="22"/>
          <w:szCs w:val="22"/>
        </w:rPr>
        <w:t>cơ chế</w:t>
      </w:r>
      <w:r w:rsidRPr="00E87495">
        <w:rPr>
          <w:rFonts w:asciiTheme="majorHAnsi" w:hAnsiTheme="majorHAnsi" w:cstheme="majorHAnsi"/>
          <w:sz w:val="22"/>
          <w:szCs w:val="22"/>
        </w:rPr>
        <w:t xml:space="preserve"> </w:t>
      </w:r>
      <w:r w:rsidR="000C2D34" w:rsidRPr="00E87495">
        <w:rPr>
          <w:rFonts w:asciiTheme="majorHAnsi" w:hAnsiTheme="majorHAnsi" w:cstheme="majorHAnsi"/>
          <w:sz w:val="22"/>
          <w:szCs w:val="22"/>
        </w:rPr>
        <w:t xml:space="preserve">nhân dân tham gia vào hoạt động xét xử </w:t>
      </w:r>
      <w:r w:rsidRPr="00E87495">
        <w:rPr>
          <w:rFonts w:asciiTheme="majorHAnsi" w:hAnsiTheme="majorHAnsi" w:cstheme="majorHAnsi"/>
          <w:sz w:val="22"/>
          <w:szCs w:val="22"/>
        </w:rPr>
        <w:t>đã có những bước phát triển đáng kể</w:t>
      </w:r>
      <w:r w:rsidR="000C2D34" w:rsidRPr="00E87495">
        <w:rPr>
          <w:rFonts w:asciiTheme="majorHAnsi" w:hAnsiTheme="majorHAnsi" w:cstheme="majorHAnsi"/>
          <w:sz w:val="22"/>
          <w:szCs w:val="22"/>
        </w:rPr>
        <w:t xml:space="preserve">, </w:t>
      </w:r>
      <w:r w:rsidRPr="00E87495">
        <w:rPr>
          <w:rFonts w:asciiTheme="majorHAnsi" w:hAnsiTheme="majorHAnsi" w:cstheme="majorHAnsi"/>
          <w:sz w:val="22"/>
          <w:szCs w:val="22"/>
        </w:rPr>
        <w:t>phản ánh những biến đổi trong các giai đoạn lịch sử và nhu cầu cải cách pháp luật trong từng thời kỳ</w:t>
      </w:r>
      <w:r w:rsidR="000C2D34" w:rsidRPr="00E87495">
        <w:rPr>
          <w:rFonts w:asciiTheme="majorHAnsi" w:hAnsiTheme="majorHAnsi" w:cstheme="majorHAnsi"/>
          <w:sz w:val="22"/>
          <w:szCs w:val="22"/>
        </w:rPr>
        <w:t xml:space="preserve"> ở Nhật Bản</w:t>
      </w:r>
      <w:r w:rsidRPr="00E87495">
        <w:rPr>
          <w:rFonts w:asciiTheme="majorHAnsi" w:hAnsiTheme="majorHAnsi" w:cstheme="majorHAnsi"/>
          <w:sz w:val="22"/>
          <w:szCs w:val="22"/>
        </w:rPr>
        <w:t>.</w:t>
      </w:r>
    </w:p>
    <w:p w14:paraId="7514C949" w14:textId="36A89CAF" w:rsidR="00151D80" w:rsidRPr="00E87495" w:rsidRDefault="000C2D34" w:rsidP="009B3D01">
      <w:pPr>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T</w:t>
      </w:r>
      <w:r w:rsidR="003C6A7F" w:rsidRPr="00E87495">
        <w:rPr>
          <w:rFonts w:asciiTheme="majorHAnsi" w:hAnsiTheme="majorHAnsi" w:cstheme="majorHAnsi"/>
          <w:sz w:val="22"/>
          <w:szCs w:val="22"/>
        </w:rPr>
        <w:t xml:space="preserve">iến trình phát triển của </w:t>
      </w:r>
      <w:r w:rsidRPr="00E87495">
        <w:rPr>
          <w:rFonts w:asciiTheme="majorHAnsi" w:hAnsiTheme="majorHAnsi" w:cstheme="majorHAnsi"/>
          <w:sz w:val="22"/>
          <w:szCs w:val="22"/>
        </w:rPr>
        <w:t>cơ chế nhân dân tham gia vào hoạt động xét xử</w:t>
      </w:r>
      <w:r w:rsidR="003C6A7F" w:rsidRPr="00E87495">
        <w:rPr>
          <w:rFonts w:asciiTheme="majorHAnsi" w:hAnsiTheme="majorHAnsi" w:cstheme="majorHAnsi"/>
          <w:sz w:val="22"/>
          <w:szCs w:val="22"/>
        </w:rPr>
        <w:t xml:space="preserve"> </w:t>
      </w:r>
      <w:r w:rsidRPr="00E87495">
        <w:rPr>
          <w:rFonts w:asciiTheme="majorHAnsi" w:hAnsiTheme="majorHAnsi" w:cstheme="majorHAnsi"/>
          <w:sz w:val="22"/>
          <w:szCs w:val="22"/>
        </w:rPr>
        <w:t xml:space="preserve">giúp </w:t>
      </w:r>
      <w:r w:rsidR="003C6A7F" w:rsidRPr="00E87495">
        <w:rPr>
          <w:rFonts w:asciiTheme="majorHAnsi" w:hAnsiTheme="majorHAnsi" w:cstheme="majorHAnsi"/>
          <w:sz w:val="22"/>
          <w:szCs w:val="22"/>
        </w:rPr>
        <w:t xml:space="preserve">củng cố niềm tin của người dân vào </w:t>
      </w:r>
      <w:r w:rsidRPr="00E87495">
        <w:rPr>
          <w:rFonts w:asciiTheme="majorHAnsi" w:hAnsiTheme="majorHAnsi" w:cstheme="majorHAnsi"/>
          <w:sz w:val="22"/>
          <w:szCs w:val="22"/>
        </w:rPr>
        <w:t xml:space="preserve">đất nước, trước hết là </w:t>
      </w:r>
      <w:r w:rsidR="003C6A7F" w:rsidRPr="00E87495">
        <w:rPr>
          <w:rFonts w:asciiTheme="majorHAnsi" w:hAnsiTheme="majorHAnsi" w:cstheme="majorHAnsi"/>
          <w:sz w:val="22"/>
          <w:szCs w:val="22"/>
        </w:rPr>
        <w:t xml:space="preserve">hệ thống </w:t>
      </w:r>
      <w:r w:rsidRPr="00E87495">
        <w:rPr>
          <w:rFonts w:asciiTheme="majorHAnsi" w:hAnsiTheme="majorHAnsi" w:cstheme="majorHAnsi"/>
          <w:sz w:val="22"/>
          <w:szCs w:val="22"/>
        </w:rPr>
        <w:t>tư pháp</w:t>
      </w:r>
      <w:r w:rsidR="003C6A7F" w:rsidRPr="00E87495">
        <w:rPr>
          <w:rFonts w:asciiTheme="majorHAnsi" w:hAnsiTheme="majorHAnsi" w:cstheme="majorHAnsi"/>
          <w:sz w:val="22"/>
          <w:szCs w:val="22"/>
        </w:rPr>
        <w:t xml:space="preserve">. </w:t>
      </w:r>
      <w:r w:rsidR="00855202" w:rsidRPr="00E87495">
        <w:rPr>
          <w:rFonts w:asciiTheme="majorHAnsi" w:hAnsiTheme="majorHAnsi" w:cstheme="majorHAnsi"/>
          <w:sz w:val="22"/>
          <w:szCs w:val="22"/>
        </w:rPr>
        <w:t xml:space="preserve">Chế độ </w:t>
      </w:r>
      <w:r w:rsidR="00837C56" w:rsidRPr="00E87495">
        <w:rPr>
          <w:rFonts w:asciiTheme="majorHAnsi" w:hAnsiTheme="majorHAnsi" w:cstheme="majorHAnsi"/>
          <w:sz w:val="22"/>
          <w:szCs w:val="22"/>
        </w:rPr>
        <w:t>tài phán viên (</w:t>
      </w:r>
      <w:r w:rsidR="00855202" w:rsidRPr="00E87495">
        <w:rPr>
          <w:rFonts w:asciiTheme="majorHAnsi" w:hAnsiTheme="majorHAnsi" w:cstheme="majorHAnsi"/>
          <w:sz w:val="22"/>
          <w:szCs w:val="22"/>
        </w:rPr>
        <w:t>TPV</w:t>
      </w:r>
      <w:r w:rsidR="00837C56" w:rsidRPr="00E87495">
        <w:rPr>
          <w:rFonts w:asciiTheme="majorHAnsi" w:hAnsiTheme="majorHAnsi" w:cstheme="majorHAnsi"/>
          <w:sz w:val="22"/>
          <w:szCs w:val="22"/>
        </w:rPr>
        <w:t>)</w:t>
      </w:r>
      <w:r w:rsidR="00855202" w:rsidRPr="00E87495">
        <w:rPr>
          <w:rFonts w:asciiTheme="majorHAnsi" w:hAnsiTheme="majorHAnsi" w:cstheme="majorHAnsi"/>
          <w:sz w:val="22"/>
          <w:szCs w:val="22"/>
        </w:rPr>
        <w:t xml:space="preserve"> được xem là một bước tiến của Nhật Bản trong việc thực thi cơ chế này. </w:t>
      </w:r>
      <w:r w:rsidRPr="00E87495">
        <w:rPr>
          <w:rFonts w:asciiTheme="majorHAnsi" w:hAnsiTheme="majorHAnsi" w:cstheme="majorHAnsi"/>
          <w:sz w:val="22"/>
          <w:szCs w:val="22"/>
        </w:rPr>
        <w:t xml:space="preserve">Trong </w:t>
      </w:r>
      <w:r w:rsidR="003C6A7F" w:rsidRPr="00E87495">
        <w:rPr>
          <w:rFonts w:asciiTheme="majorHAnsi" w:hAnsiTheme="majorHAnsi" w:cstheme="majorHAnsi"/>
          <w:sz w:val="22"/>
          <w:szCs w:val="22"/>
        </w:rPr>
        <w:t xml:space="preserve">bối cảnh hội nhập và phát triển hiện nay, chế độ </w:t>
      </w:r>
      <w:r w:rsidR="00141203" w:rsidRPr="00E87495">
        <w:rPr>
          <w:rFonts w:asciiTheme="majorHAnsi" w:hAnsiTheme="majorHAnsi" w:cstheme="majorHAnsi"/>
          <w:sz w:val="22"/>
          <w:szCs w:val="22"/>
        </w:rPr>
        <w:t>TPV</w:t>
      </w:r>
      <w:r w:rsidR="003C6A7F" w:rsidRPr="00E87495">
        <w:rPr>
          <w:rFonts w:asciiTheme="majorHAnsi" w:hAnsiTheme="majorHAnsi" w:cstheme="majorHAnsi"/>
          <w:sz w:val="22"/>
          <w:szCs w:val="22"/>
        </w:rPr>
        <w:t xml:space="preserve"> đã đem lại nhiều giá trị hiện đại và trở thành một mô hình tiêu biểu được nhiều quốc gia trên thế giới quan tâm. Do đó, bài viết </w:t>
      </w:r>
      <w:r w:rsidR="002B02F0" w:rsidRPr="00E87495">
        <w:rPr>
          <w:rFonts w:asciiTheme="majorHAnsi" w:hAnsiTheme="majorHAnsi" w:cstheme="majorHAnsi"/>
          <w:sz w:val="22"/>
          <w:szCs w:val="22"/>
        </w:rPr>
        <w:t>này</w:t>
      </w:r>
      <w:r w:rsidR="003C6A7F" w:rsidRPr="00E87495">
        <w:rPr>
          <w:rFonts w:asciiTheme="majorHAnsi" w:hAnsiTheme="majorHAnsi" w:cstheme="majorHAnsi"/>
          <w:sz w:val="22"/>
          <w:szCs w:val="22"/>
        </w:rPr>
        <w:t xml:space="preserve"> sẽ </w:t>
      </w:r>
      <w:r w:rsidR="00855202" w:rsidRPr="00E87495">
        <w:rPr>
          <w:rFonts w:asciiTheme="majorHAnsi" w:hAnsiTheme="majorHAnsi" w:cstheme="majorHAnsi"/>
          <w:sz w:val="22"/>
          <w:szCs w:val="22"/>
        </w:rPr>
        <w:t>nghiên cứu</w:t>
      </w:r>
      <w:r w:rsidR="003C6A7F" w:rsidRPr="00E87495">
        <w:rPr>
          <w:rFonts w:asciiTheme="majorHAnsi" w:hAnsiTheme="majorHAnsi" w:cstheme="majorHAnsi"/>
          <w:sz w:val="22"/>
          <w:szCs w:val="22"/>
        </w:rPr>
        <w:t xml:space="preserve"> tiến trình lịch sử của</w:t>
      </w:r>
      <w:r w:rsidR="006B53B7" w:rsidRPr="00E87495">
        <w:rPr>
          <w:rFonts w:asciiTheme="majorHAnsi" w:hAnsiTheme="majorHAnsi" w:cstheme="majorHAnsi"/>
          <w:sz w:val="22"/>
          <w:szCs w:val="22"/>
        </w:rPr>
        <w:t xml:space="preserve"> việc nhân dân tham gia vào hoạt động xét ở Nhật Bản</w:t>
      </w:r>
      <w:r w:rsidR="00855202" w:rsidRPr="00E87495">
        <w:rPr>
          <w:rFonts w:asciiTheme="majorHAnsi" w:hAnsiTheme="majorHAnsi" w:cstheme="majorHAnsi"/>
          <w:sz w:val="22"/>
          <w:szCs w:val="22"/>
        </w:rPr>
        <w:t xml:space="preserve"> thông</w:t>
      </w:r>
      <w:r w:rsidR="006B53B7" w:rsidRPr="00E87495">
        <w:rPr>
          <w:rFonts w:asciiTheme="majorHAnsi" w:hAnsiTheme="majorHAnsi" w:cstheme="majorHAnsi"/>
          <w:sz w:val="22"/>
          <w:szCs w:val="22"/>
        </w:rPr>
        <w:t xml:space="preserve"> qua sự phát triển của chế độ Bồi thẩm và sự chuyển đổi thành chế độ TPV</w:t>
      </w:r>
      <w:r w:rsidR="003C6A7F" w:rsidRPr="00E87495">
        <w:rPr>
          <w:rFonts w:asciiTheme="majorHAnsi" w:hAnsiTheme="majorHAnsi" w:cstheme="majorHAnsi"/>
          <w:sz w:val="22"/>
          <w:szCs w:val="22"/>
        </w:rPr>
        <w:t xml:space="preserve">. </w:t>
      </w:r>
      <w:r w:rsidR="00855202" w:rsidRPr="00E87495">
        <w:rPr>
          <w:rFonts w:asciiTheme="majorHAnsi" w:hAnsiTheme="majorHAnsi" w:cstheme="majorHAnsi"/>
          <w:sz w:val="22"/>
          <w:szCs w:val="22"/>
        </w:rPr>
        <w:t>Từ</w:t>
      </w:r>
      <w:r w:rsidR="006B53B7" w:rsidRPr="00E87495">
        <w:rPr>
          <w:rFonts w:asciiTheme="majorHAnsi" w:hAnsiTheme="majorHAnsi" w:cstheme="majorHAnsi"/>
          <w:sz w:val="22"/>
          <w:szCs w:val="22"/>
        </w:rPr>
        <w:t xml:space="preserve"> đó</w:t>
      </w:r>
      <w:r w:rsidR="003C6A7F" w:rsidRPr="00E87495">
        <w:rPr>
          <w:rFonts w:asciiTheme="majorHAnsi" w:hAnsiTheme="majorHAnsi" w:cstheme="majorHAnsi"/>
          <w:sz w:val="22"/>
          <w:szCs w:val="22"/>
        </w:rPr>
        <w:t xml:space="preserve">, bài viết </w:t>
      </w:r>
      <w:r w:rsidR="006B53B7" w:rsidRPr="00E87495">
        <w:rPr>
          <w:rFonts w:asciiTheme="majorHAnsi" w:hAnsiTheme="majorHAnsi" w:cstheme="majorHAnsi"/>
          <w:sz w:val="22"/>
          <w:szCs w:val="22"/>
        </w:rPr>
        <w:t xml:space="preserve">cũng </w:t>
      </w:r>
      <w:r w:rsidR="00855202" w:rsidRPr="00E87495">
        <w:rPr>
          <w:rFonts w:asciiTheme="majorHAnsi" w:hAnsiTheme="majorHAnsi" w:cstheme="majorHAnsi"/>
          <w:sz w:val="22"/>
          <w:szCs w:val="22"/>
        </w:rPr>
        <w:t>trả lời thêm một câu hỏi nghiên cứu liên quan đến các</w:t>
      </w:r>
      <w:r w:rsidR="003C6A7F" w:rsidRPr="00E87495">
        <w:rPr>
          <w:rFonts w:asciiTheme="majorHAnsi" w:hAnsiTheme="majorHAnsi" w:cstheme="majorHAnsi"/>
          <w:sz w:val="22"/>
          <w:szCs w:val="22"/>
        </w:rPr>
        <w:t xml:space="preserve"> giá trị hiện đại củ</w:t>
      </w:r>
      <w:r w:rsidR="00855202" w:rsidRPr="00E87495">
        <w:rPr>
          <w:rFonts w:asciiTheme="majorHAnsi" w:hAnsiTheme="majorHAnsi" w:cstheme="majorHAnsi"/>
          <w:sz w:val="22"/>
          <w:szCs w:val="22"/>
        </w:rPr>
        <w:t>a chế</w:t>
      </w:r>
      <w:r w:rsidR="003C6A7F" w:rsidRPr="00E87495">
        <w:rPr>
          <w:rFonts w:asciiTheme="majorHAnsi" w:hAnsiTheme="majorHAnsi" w:cstheme="majorHAnsi"/>
          <w:sz w:val="22"/>
          <w:szCs w:val="22"/>
        </w:rPr>
        <w:t xml:space="preserve"> độ</w:t>
      </w:r>
      <w:r w:rsidR="00855202" w:rsidRPr="00E87495">
        <w:rPr>
          <w:rFonts w:asciiTheme="majorHAnsi" w:hAnsiTheme="majorHAnsi" w:cstheme="majorHAnsi"/>
          <w:sz w:val="22"/>
          <w:szCs w:val="22"/>
        </w:rPr>
        <w:t xml:space="preserve"> TPV</w:t>
      </w:r>
      <w:r w:rsidR="003C6A7F" w:rsidRPr="00E87495">
        <w:rPr>
          <w:rFonts w:asciiTheme="majorHAnsi" w:hAnsiTheme="majorHAnsi" w:cstheme="majorHAnsi"/>
          <w:sz w:val="22"/>
          <w:szCs w:val="22"/>
        </w:rPr>
        <w:t>.</w:t>
      </w:r>
    </w:p>
    <w:p w14:paraId="397AEEFB" w14:textId="509E7BB8" w:rsidR="00151D80" w:rsidRPr="00E87495" w:rsidRDefault="003C6A7F" w:rsidP="00451AB4">
      <w:pPr>
        <w:pStyle w:val="Heading1"/>
        <w:spacing w:before="120" w:after="120" w:line="240" w:lineRule="auto"/>
        <w:rPr>
          <w:rFonts w:asciiTheme="majorHAnsi" w:hAnsiTheme="majorHAnsi" w:cstheme="majorHAnsi"/>
          <w:szCs w:val="22"/>
        </w:rPr>
      </w:pPr>
      <w:r w:rsidRPr="00E87495">
        <w:rPr>
          <w:rFonts w:asciiTheme="majorHAnsi" w:hAnsiTheme="majorHAnsi" w:cstheme="majorHAnsi"/>
          <w:szCs w:val="22"/>
        </w:rPr>
        <w:lastRenderedPageBreak/>
        <w:t xml:space="preserve">2. </w:t>
      </w:r>
      <w:r w:rsidR="00C958F2" w:rsidRPr="00E87495">
        <w:rPr>
          <w:rFonts w:asciiTheme="majorHAnsi" w:hAnsiTheme="majorHAnsi" w:cstheme="majorHAnsi"/>
          <w:szCs w:val="22"/>
        </w:rPr>
        <w:t>TỔNG QUAN NGHIÊN CỨU</w:t>
      </w:r>
    </w:p>
    <w:p w14:paraId="6C11B5D6" w14:textId="6EBD8C4E" w:rsidR="00151D80" w:rsidRPr="00E87495" w:rsidRDefault="003C6A7F" w:rsidP="009B3D01">
      <w:pPr>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 xml:space="preserve">Trên thế giới hiện nay, </w:t>
      </w:r>
      <w:r w:rsidR="00214801" w:rsidRPr="00E87495">
        <w:rPr>
          <w:rFonts w:asciiTheme="majorHAnsi" w:hAnsiTheme="majorHAnsi" w:cstheme="majorHAnsi"/>
          <w:sz w:val="22"/>
          <w:szCs w:val="22"/>
        </w:rPr>
        <w:t xml:space="preserve">việc nghiên cứu về cơ chế nhân dân tham gia vào hoạt động xét xử </w:t>
      </w:r>
      <w:r w:rsidRPr="00E87495">
        <w:rPr>
          <w:rFonts w:asciiTheme="majorHAnsi" w:hAnsiTheme="majorHAnsi" w:cstheme="majorHAnsi"/>
          <w:sz w:val="22"/>
          <w:szCs w:val="22"/>
        </w:rPr>
        <w:t xml:space="preserve">được </w:t>
      </w:r>
      <w:r w:rsidR="00FD6A0A" w:rsidRPr="00E87495">
        <w:rPr>
          <w:rFonts w:asciiTheme="majorHAnsi" w:hAnsiTheme="majorHAnsi" w:cstheme="majorHAnsi"/>
          <w:sz w:val="22"/>
          <w:szCs w:val="22"/>
        </w:rPr>
        <w:t xml:space="preserve">nhiều học giả quan tâm </w:t>
      </w:r>
      <w:r w:rsidRPr="00E87495">
        <w:rPr>
          <w:rFonts w:asciiTheme="majorHAnsi" w:hAnsiTheme="majorHAnsi" w:cstheme="majorHAnsi"/>
          <w:sz w:val="22"/>
          <w:szCs w:val="22"/>
        </w:rPr>
        <w:t xml:space="preserve">nghiên cứu. Yoko Kobata (2008) </w:t>
      </w:r>
      <w:r w:rsidR="00214801" w:rsidRPr="00E87495">
        <w:rPr>
          <w:rFonts w:asciiTheme="majorHAnsi" w:hAnsiTheme="majorHAnsi" w:cstheme="majorHAnsi"/>
          <w:sz w:val="22"/>
          <w:szCs w:val="22"/>
        </w:rPr>
        <w:t>nghiên cứu</w:t>
      </w:r>
      <w:r w:rsidRPr="00E87495">
        <w:rPr>
          <w:rFonts w:asciiTheme="majorHAnsi" w:hAnsiTheme="majorHAnsi" w:cstheme="majorHAnsi"/>
          <w:sz w:val="22"/>
          <w:szCs w:val="22"/>
        </w:rPr>
        <w:t xml:space="preserve"> về chế độ </w:t>
      </w:r>
      <w:r w:rsidR="00141203" w:rsidRPr="00E87495">
        <w:rPr>
          <w:rFonts w:asciiTheme="majorHAnsi" w:hAnsiTheme="majorHAnsi" w:cstheme="majorHAnsi"/>
          <w:sz w:val="22"/>
          <w:szCs w:val="22"/>
        </w:rPr>
        <w:t>TPV</w:t>
      </w:r>
      <w:r w:rsidR="00214801" w:rsidRPr="00E87495">
        <w:rPr>
          <w:rFonts w:asciiTheme="majorHAnsi" w:hAnsiTheme="majorHAnsi" w:cstheme="majorHAnsi"/>
          <w:sz w:val="22"/>
          <w:szCs w:val="22"/>
        </w:rPr>
        <w:t xml:space="preserve"> ở Nhật Bản, từ đó xác lập</w:t>
      </w:r>
      <w:r w:rsidRPr="00E87495">
        <w:rPr>
          <w:rFonts w:asciiTheme="majorHAnsi" w:hAnsiTheme="majorHAnsi" w:cstheme="majorHAnsi"/>
          <w:sz w:val="22"/>
          <w:szCs w:val="22"/>
        </w:rPr>
        <w:t xml:space="preserve"> những thách thức </w:t>
      </w:r>
      <w:r w:rsidR="00214801" w:rsidRPr="00E87495">
        <w:rPr>
          <w:rFonts w:asciiTheme="majorHAnsi" w:hAnsiTheme="majorHAnsi" w:cstheme="majorHAnsi"/>
          <w:sz w:val="22"/>
          <w:szCs w:val="22"/>
        </w:rPr>
        <w:t>đặt ra đối với chế độ này. Từ một khía cạnh khác,</w:t>
      </w:r>
      <w:r w:rsidRPr="00E87495">
        <w:rPr>
          <w:rFonts w:asciiTheme="majorHAnsi" w:hAnsiTheme="majorHAnsi" w:cstheme="majorHAnsi"/>
          <w:sz w:val="22"/>
          <w:szCs w:val="22"/>
        </w:rPr>
        <w:t xml:space="preserve"> Takeshita, Ken (2013) </w:t>
      </w:r>
      <w:r w:rsidR="00214801" w:rsidRPr="00E87495">
        <w:rPr>
          <w:rFonts w:asciiTheme="majorHAnsi" w:hAnsiTheme="majorHAnsi" w:cstheme="majorHAnsi"/>
          <w:sz w:val="22"/>
          <w:szCs w:val="22"/>
        </w:rPr>
        <w:t>nghiên cứu</w:t>
      </w:r>
      <w:r w:rsidRPr="00E87495">
        <w:rPr>
          <w:rFonts w:asciiTheme="majorHAnsi" w:hAnsiTheme="majorHAnsi" w:cstheme="majorHAnsi"/>
          <w:sz w:val="22"/>
          <w:szCs w:val="22"/>
        </w:rPr>
        <w:t xml:space="preserve"> về </w:t>
      </w:r>
      <w:r w:rsidR="00214801" w:rsidRPr="00E87495">
        <w:rPr>
          <w:rFonts w:asciiTheme="majorHAnsi" w:hAnsiTheme="majorHAnsi" w:cstheme="majorHAnsi"/>
          <w:sz w:val="22"/>
          <w:szCs w:val="22"/>
        </w:rPr>
        <w:t xml:space="preserve">mối quan hệ giữa </w:t>
      </w:r>
      <w:r w:rsidRPr="00E87495">
        <w:rPr>
          <w:rFonts w:asciiTheme="majorHAnsi" w:hAnsiTheme="majorHAnsi" w:cstheme="majorHAnsi"/>
          <w:sz w:val="22"/>
          <w:szCs w:val="22"/>
        </w:rPr>
        <w:t xml:space="preserve">chế độ </w:t>
      </w:r>
      <w:r w:rsidR="00141203" w:rsidRPr="00E87495">
        <w:rPr>
          <w:rFonts w:asciiTheme="majorHAnsi" w:hAnsiTheme="majorHAnsi" w:cstheme="majorHAnsi"/>
          <w:sz w:val="22"/>
          <w:szCs w:val="22"/>
        </w:rPr>
        <w:t>TPV</w:t>
      </w:r>
      <w:r w:rsidRPr="00E87495">
        <w:rPr>
          <w:rFonts w:asciiTheme="majorHAnsi" w:hAnsiTheme="majorHAnsi" w:cstheme="majorHAnsi"/>
          <w:sz w:val="22"/>
          <w:szCs w:val="22"/>
        </w:rPr>
        <w:t xml:space="preserve"> và </w:t>
      </w:r>
      <w:r w:rsidR="00214801" w:rsidRPr="00E87495">
        <w:rPr>
          <w:rFonts w:asciiTheme="majorHAnsi" w:hAnsiTheme="majorHAnsi" w:cstheme="majorHAnsi"/>
          <w:sz w:val="22"/>
          <w:szCs w:val="22"/>
        </w:rPr>
        <w:t xml:space="preserve">việc xác lập </w:t>
      </w:r>
      <w:r w:rsidRPr="00E87495">
        <w:rPr>
          <w:rFonts w:asciiTheme="majorHAnsi" w:hAnsiTheme="majorHAnsi" w:cstheme="majorHAnsi"/>
          <w:sz w:val="22"/>
          <w:szCs w:val="22"/>
        </w:rPr>
        <w:t>nền dân chủ của Nhật Bả</w:t>
      </w:r>
      <w:r w:rsidR="00214801" w:rsidRPr="00E87495">
        <w:rPr>
          <w:rFonts w:asciiTheme="majorHAnsi" w:hAnsiTheme="majorHAnsi" w:cstheme="majorHAnsi"/>
          <w:sz w:val="22"/>
          <w:szCs w:val="22"/>
        </w:rPr>
        <w:t>n.</w:t>
      </w:r>
      <w:r w:rsidRPr="00E87495">
        <w:rPr>
          <w:rFonts w:asciiTheme="majorHAnsi" w:hAnsiTheme="majorHAnsi" w:cstheme="majorHAnsi"/>
          <w:sz w:val="22"/>
          <w:szCs w:val="22"/>
        </w:rPr>
        <w:t xml:space="preserve"> Makoto Yatsugi (2011) </w:t>
      </w:r>
      <w:r w:rsidR="00837C56" w:rsidRPr="00E87495">
        <w:rPr>
          <w:rFonts w:asciiTheme="majorHAnsi" w:hAnsiTheme="majorHAnsi" w:cstheme="majorHAnsi"/>
          <w:sz w:val="22"/>
          <w:szCs w:val="22"/>
        </w:rPr>
        <w:t>nghiên cứu một khía cạnh nhỏ hơn</w:t>
      </w:r>
      <w:r w:rsidRPr="00E87495">
        <w:rPr>
          <w:rFonts w:asciiTheme="majorHAnsi" w:hAnsiTheme="majorHAnsi" w:cstheme="majorHAnsi"/>
          <w:sz w:val="22"/>
          <w:szCs w:val="22"/>
        </w:rPr>
        <w:t xml:space="preserve"> về công dân theo </w:t>
      </w:r>
      <w:r w:rsidR="00837C56" w:rsidRPr="00E87495">
        <w:rPr>
          <w:rFonts w:asciiTheme="majorHAnsi" w:hAnsiTheme="majorHAnsi" w:cstheme="majorHAnsi"/>
          <w:sz w:val="22"/>
          <w:szCs w:val="22"/>
        </w:rPr>
        <w:t xml:space="preserve">các quy định của </w:t>
      </w:r>
      <w:r w:rsidRPr="00E87495">
        <w:rPr>
          <w:rFonts w:asciiTheme="majorHAnsi" w:hAnsiTheme="majorHAnsi" w:cstheme="majorHAnsi"/>
          <w:sz w:val="22"/>
          <w:szCs w:val="22"/>
        </w:rPr>
        <w:t xml:space="preserve">Luật </w:t>
      </w:r>
      <w:r w:rsidR="00141203" w:rsidRPr="00E87495">
        <w:rPr>
          <w:rFonts w:asciiTheme="majorHAnsi" w:hAnsiTheme="majorHAnsi" w:cstheme="majorHAnsi"/>
          <w:sz w:val="22"/>
          <w:szCs w:val="22"/>
        </w:rPr>
        <w:t>TPV</w:t>
      </w:r>
      <w:r w:rsidR="00837C56" w:rsidRPr="00E87495">
        <w:rPr>
          <w:rFonts w:asciiTheme="majorHAnsi" w:hAnsiTheme="majorHAnsi" w:cstheme="majorHAnsi"/>
          <w:sz w:val="22"/>
          <w:szCs w:val="22"/>
        </w:rPr>
        <w:t xml:space="preserve"> đang có hiệu lực ở Nhật Bản. Trong một công bố liên quan đến tam quyền phân lập ở Nhật Bản,</w:t>
      </w:r>
      <w:r w:rsidR="00FD6A0A" w:rsidRPr="00E87495">
        <w:rPr>
          <w:rFonts w:asciiTheme="majorHAnsi" w:hAnsiTheme="majorHAnsi" w:cstheme="majorHAnsi"/>
          <w:sz w:val="22"/>
          <w:szCs w:val="22"/>
        </w:rPr>
        <w:t xml:space="preserve"> Phan Tuấn Ly (2020) </w:t>
      </w:r>
      <w:r w:rsidR="00837C56" w:rsidRPr="00E87495">
        <w:rPr>
          <w:rFonts w:asciiTheme="majorHAnsi" w:hAnsiTheme="majorHAnsi" w:cstheme="majorHAnsi"/>
          <w:sz w:val="22"/>
          <w:szCs w:val="22"/>
        </w:rPr>
        <w:t xml:space="preserve">nghiên cứu </w:t>
      </w:r>
      <w:r w:rsidR="00FD6A0A" w:rsidRPr="00E87495">
        <w:rPr>
          <w:rFonts w:asciiTheme="majorHAnsi" w:hAnsiTheme="majorHAnsi" w:cstheme="majorHAnsi"/>
          <w:sz w:val="22"/>
          <w:szCs w:val="22"/>
        </w:rPr>
        <w:t xml:space="preserve">về tổ chức bộ máy </w:t>
      </w:r>
      <w:r w:rsidR="00837C56" w:rsidRPr="00E87495">
        <w:rPr>
          <w:rFonts w:asciiTheme="majorHAnsi" w:hAnsiTheme="majorHAnsi" w:cstheme="majorHAnsi"/>
          <w:sz w:val="22"/>
          <w:szCs w:val="22"/>
        </w:rPr>
        <w:t>nhà nước của</w:t>
      </w:r>
      <w:r w:rsidR="00FD6A0A" w:rsidRPr="00E87495">
        <w:rPr>
          <w:rFonts w:asciiTheme="majorHAnsi" w:hAnsiTheme="majorHAnsi" w:cstheme="majorHAnsi"/>
          <w:sz w:val="22"/>
          <w:szCs w:val="22"/>
        </w:rPr>
        <w:t xml:space="preserve"> Nhật Bản </w:t>
      </w:r>
      <w:r w:rsidR="00837C56" w:rsidRPr="00E87495">
        <w:rPr>
          <w:rFonts w:asciiTheme="majorHAnsi" w:hAnsiTheme="majorHAnsi" w:cstheme="majorHAnsi"/>
          <w:sz w:val="22"/>
          <w:szCs w:val="22"/>
        </w:rPr>
        <w:t>từ đó phân tích các</w:t>
      </w:r>
      <w:r w:rsidR="00FD6A0A" w:rsidRPr="00E87495">
        <w:rPr>
          <w:rFonts w:asciiTheme="majorHAnsi" w:hAnsiTheme="majorHAnsi" w:cstheme="majorHAnsi"/>
          <w:sz w:val="22"/>
          <w:szCs w:val="22"/>
        </w:rPr>
        <w:t xml:space="preserve"> giá trị về dân chủ</w:t>
      </w:r>
      <w:r w:rsidR="00837C56" w:rsidRPr="00E87495">
        <w:rPr>
          <w:rFonts w:asciiTheme="majorHAnsi" w:hAnsiTheme="majorHAnsi" w:cstheme="majorHAnsi"/>
          <w:sz w:val="22"/>
          <w:szCs w:val="22"/>
        </w:rPr>
        <w:t>, trong đó có đề cập đến chế độ TPV và nhân dân tham gia vào hoạt động xét xử</w:t>
      </w:r>
      <w:r w:rsidRPr="00E87495">
        <w:rPr>
          <w:rFonts w:asciiTheme="majorHAnsi" w:hAnsiTheme="majorHAnsi" w:cstheme="majorHAnsi"/>
          <w:sz w:val="22"/>
          <w:szCs w:val="22"/>
        </w:rPr>
        <w:t xml:space="preserve">. Chiho Takeshima (2017) </w:t>
      </w:r>
      <w:r w:rsidR="00837C56" w:rsidRPr="00E87495">
        <w:rPr>
          <w:rFonts w:asciiTheme="majorHAnsi" w:hAnsiTheme="majorHAnsi" w:cstheme="majorHAnsi"/>
          <w:sz w:val="22"/>
          <w:szCs w:val="22"/>
        </w:rPr>
        <w:t>xem xét</w:t>
      </w:r>
      <w:r w:rsidRPr="00E87495">
        <w:rPr>
          <w:rFonts w:asciiTheme="majorHAnsi" w:hAnsiTheme="majorHAnsi" w:cstheme="majorHAnsi"/>
          <w:sz w:val="22"/>
          <w:szCs w:val="22"/>
        </w:rPr>
        <w:t xml:space="preserve"> </w:t>
      </w:r>
      <w:r w:rsidR="00075C75" w:rsidRPr="00E87495">
        <w:rPr>
          <w:rFonts w:asciiTheme="majorHAnsi" w:hAnsiTheme="majorHAnsi" w:cstheme="majorHAnsi"/>
          <w:sz w:val="22"/>
          <w:szCs w:val="22"/>
        </w:rPr>
        <w:t>chế độ TPV</w:t>
      </w:r>
      <w:r w:rsidRPr="00E87495">
        <w:rPr>
          <w:rFonts w:asciiTheme="majorHAnsi" w:hAnsiTheme="majorHAnsi" w:cstheme="majorHAnsi"/>
          <w:sz w:val="22"/>
          <w:szCs w:val="22"/>
        </w:rPr>
        <w:t xml:space="preserve"> </w:t>
      </w:r>
      <w:r w:rsidR="00837C56" w:rsidRPr="00E87495">
        <w:rPr>
          <w:rFonts w:asciiTheme="majorHAnsi" w:hAnsiTheme="majorHAnsi" w:cstheme="majorHAnsi"/>
          <w:sz w:val="22"/>
          <w:szCs w:val="22"/>
        </w:rPr>
        <w:t>để đưa ra</w:t>
      </w:r>
      <w:r w:rsidRPr="00E87495">
        <w:rPr>
          <w:rFonts w:asciiTheme="majorHAnsi" w:hAnsiTheme="majorHAnsi" w:cstheme="majorHAnsi"/>
          <w:sz w:val="22"/>
          <w:szCs w:val="22"/>
        </w:rPr>
        <w:t xml:space="preserve"> những đề xuất </w:t>
      </w:r>
      <w:r w:rsidR="00837C56" w:rsidRPr="00E87495">
        <w:rPr>
          <w:rFonts w:asciiTheme="majorHAnsi" w:hAnsiTheme="majorHAnsi" w:cstheme="majorHAnsi"/>
          <w:sz w:val="22"/>
          <w:szCs w:val="22"/>
        </w:rPr>
        <w:t>liên quan đến</w:t>
      </w:r>
      <w:r w:rsidRPr="00E87495">
        <w:rPr>
          <w:rFonts w:asciiTheme="majorHAnsi" w:hAnsiTheme="majorHAnsi" w:cstheme="majorHAnsi"/>
          <w:sz w:val="22"/>
          <w:szCs w:val="22"/>
        </w:rPr>
        <w:t xml:space="preserve"> ​​quyền tự do lương t</w:t>
      </w:r>
      <w:r w:rsidR="00FD6A0A" w:rsidRPr="00E87495">
        <w:rPr>
          <w:rFonts w:asciiTheme="majorHAnsi" w:hAnsiTheme="majorHAnsi" w:cstheme="majorHAnsi"/>
          <w:sz w:val="22"/>
          <w:szCs w:val="22"/>
        </w:rPr>
        <w:t>âm</w:t>
      </w:r>
      <w:r w:rsidR="00837C56" w:rsidRPr="00E87495">
        <w:rPr>
          <w:rFonts w:asciiTheme="majorHAnsi" w:hAnsiTheme="majorHAnsi" w:cstheme="majorHAnsi"/>
          <w:sz w:val="22"/>
          <w:szCs w:val="22"/>
        </w:rPr>
        <w:t xml:space="preserve"> của các TPV</w:t>
      </w:r>
      <w:r w:rsidR="00A85078" w:rsidRPr="00E87495">
        <w:rPr>
          <w:rFonts w:asciiTheme="majorHAnsi" w:hAnsiTheme="majorHAnsi" w:cstheme="majorHAnsi"/>
          <w:sz w:val="22"/>
          <w:szCs w:val="22"/>
        </w:rPr>
        <w:t>.</w:t>
      </w:r>
      <w:r w:rsidR="00FD6A0A" w:rsidRPr="00E87495">
        <w:rPr>
          <w:rFonts w:asciiTheme="majorHAnsi" w:hAnsiTheme="majorHAnsi" w:cstheme="majorHAnsi"/>
          <w:sz w:val="22"/>
          <w:szCs w:val="22"/>
        </w:rPr>
        <w:t xml:space="preserve"> </w:t>
      </w:r>
      <w:r w:rsidRPr="00E87495">
        <w:rPr>
          <w:rFonts w:asciiTheme="majorHAnsi" w:hAnsiTheme="majorHAnsi" w:cstheme="majorHAnsi"/>
          <w:sz w:val="22"/>
          <w:szCs w:val="22"/>
        </w:rPr>
        <w:t xml:space="preserve">Nguyễn Hoàng Nam (2024) </w:t>
      </w:r>
      <w:r w:rsidR="00A85078" w:rsidRPr="00E87495">
        <w:rPr>
          <w:rFonts w:asciiTheme="majorHAnsi" w:hAnsiTheme="majorHAnsi" w:cstheme="majorHAnsi"/>
          <w:sz w:val="22"/>
          <w:szCs w:val="22"/>
        </w:rPr>
        <w:t>nghiên cứu</w:t>
      </w:r>
      <w:r w:rsidRPr="00E87495">
        <w:rPr>
          <w:rFonts w:asciiTheme="majorHAnsi" w:hAnsiTheme="majorHAnsi" w:cstheme="majorHAnsi"/>
          <w:sz w:val="22"/>
          <w:szCs w:val="22"/>
        </w:rPr>
        <w:t xml:space="preserve"> về chế định bồi thẩm đoàn </w:t>
      </w:r>
      <w:r w:rsidR="00A85078" w:rsidRPr="00E87495">
        <w:rPr>
          <w:rFonts w:asciiTheme="majorHAnsi" w:hAnsiTheme="majorHAnsi" w:cstheme="majorHAnsi"/>
          <w:sz w:val="22"/>
          <w:szCs w:val="22"/>
        </w:rPr>
        <w:t>cũng như việc nhân dân tham gia vào hoạt động xét xử, từ đó đề cập một số</w:t>
      </w:r>
      <w:r w:rsidRPr="00E87495">
        <w:rPr>
          <w:rFonts w:asciiTheme="majorHAnsi" w:hAnsiTheme="majorHAnsi" w:cstheme="majorHAnsi"/>
          <w:sz w:val="22"/>
          <w:szCs w:val="22"/>
        </w:rPr>
        <w:t xml:space="preserve"> động lực phát triển</w:t>
      </w:r>
      <w:r w:rsidR="00A85078" w:rsidRPr="00E87495">
        <w:rPr>
          <w:rFonts w:asciiTheme="majorHAnsi" w:hAnsiTheme="majorHAnsi" w:cstheme="majorHAnsi"/>
          <w:sz w:val="22"/>
          <w:szCs w:val="22"/>
        </w:rPr>
        <w:t xml:space="preserve"> các chế định này</w:t>
      </w:r>
      <w:r w:rsidRPr="00E87495">
        <w:rPr>
          <w:rFonts w:asciiTheme="majorHAnsi" w:hAnsiTheme="majorHAnsi" w:cstheme="majorHAnsi"/>
          <w:sz w:val="22"/>
          <w:szCs w:val="22"/>
        </w:rPr>
        <w:t xml:space="preserve"> tại Việt Nam. </w:t>
      </w:r>
      <w:r w:rsidR="00A85078" w:rsidRPr="00E87495">
        <w:rPr>
          <w:rFonts w:asciiTheme="majorHAnsi" w:hAnsiTheme="majorHAnsi" w:cstheme="majorHAnsi"/>
          <w:sz w:val="22"/>
          <w:szCs w:val="22"/>
        </w:rPr>
        <w:t>Nhìn chung</w:t>
      </w:r>
      <w:r w:rsidRPr="00E87495">
        <w:rPr>
          <w:rFonts w:asciiTheme="majorHAnsi" w:hAnsiTheme="majorHAnsi" w:cstheme="majorHAnsi"/>
          <w:sz w:val="22"/>
          <w:szCs w:val="22"/>
        </w:rPr>
        <w:t xml:space="preserve">, các nghiên cứu </w:t>
      </w:r>
      <w:r w:rsidR="00A85078" w:rsidRPr="00E87495">
        <w:rPr>
          <w:rFonts w:asciiTheme="majorHAnsi" w:hAnsiTheme="majorHAnsi" w:cstheme="majorHAnsi"/>
          <w:sz w:val="22"/>
          <w:szCs w:val="22"/>
        </w:rPr>
        <w:t>này</w:t>
      </w:r>
      <w:r w:rsidRPr="00E87495">
        <w:rPr>
          <w:rFonts w:asciiTheme="majorHAnsi" w:hAnsiTheme="majorHAnsi" w:cstheme="majorHAnsi"/>
          <w:sz w:val="22"/>
          <w:szCs w:val="22"/>
        </w:rPr>
        <w:t xml:space="preserve"> vẫn chưa đi sâu vào phân tích </w:t>
      </w:r>
      <w:r w:rsidR="00A85078" w:rsidRPr="00E87495">
        <w:rPr>
          <w:rFonts w:asciiTheme="majorHAnsi" w:hAnsiTheme="majorHAnsi" w:cstheme="majorHAnsi"/>
          <w:sz w:val="22"/>
          <w:szCs w:val="22"/>
        </w:rPr>
        <w:t>tiến trình</w:t>
      </w:r>
      <w:r w:rsidRPr="00E87495">
        <w:rPr>
          <w:rFonts w:asciiTheme="majorHAnsi" w:hAnsiTheme="majorHAnsi" w:cstheme="majorHAnsi"/>
          <w:sz w:val="22"/>
          <w:szCs w:val="22"/>
        </w:rPr>
        <w:t xml:space="preserve"> </w:t>
      </w:r>
      <w:r w:rsidR="00A85078" w:rsidRPr="00E87495">
        <w:rPr>
          <w:rFonts w:asciiTheme="majorHAnsi" w:hAnsiTheme="majorHAnsi" w:cstheme="majorHAnsi"/>
          <w:sz w:val="22"/>
          <w:szCs w:val="22"/>
        </w:rPr>
        <w:t xml:space="preserve">phát triển của cơ chế nhân dân tham gia vào hoạt động xét xử ở </w:t>
      </w:r>
      <w:r w:rsidRPr="00E87495">
        <w:rPr>
          <w:rFonts w:asciiTheme="majorHAnsi" w:hAnsiTheme="majorHAnsi" w:cstheme="majorHAnsi"/>
          <w:sz w:val="22"/>
          <w:szCs w:val="22"/>
        </w:rPr>
        <w:t xml:space="preserve">Nhật Bản. Điều này cho thấy rằng </w:t>
      </w:r>
      <w:r w:rsidR="00A85078" w:rsidRPr="00E87495">
        <w:rPr>
          <w:rFonts w:asciiTheme="majorHAnsi" w:hAnsiTheme="majorHAnsi" w:cstheme="majorHAnsi"/>
          <w:sz w:val="22"/>
          <w:szCs w:val="22"/>
        </w:rPr>
        <w:t>khoảng không</w:t>
      </w:r>
      <w:r w:rsidRPr="00E87495">
        <w:rPr>
          <w:rFonts w:asciiTheme="majorHAnsi" w:hAnsiTheme="majorHAnsi" w:cstheme="majorHAnsi"/>
          <w:sz w:val="22"/>
          <w:szCs w:val="22"/>
        </w:rPr>
        <w:t xml:space="preserve"> nghiên cứu </w:t>
      </w:r>
      <w:r w:rsidR="00A85078" w:rsidRPr="00E87495">
        <w:rPr>
          <w:rFonts w:asciiTheme="majorHAnsi" w:hAnsiTheme="majorHAnsi" w:cstheme="majorHAnsi"/>
          <w:sz w:val="22"/>
          <w:szCs w:val="22"/>
        </w:rPr>
        <w:t>liên quan đến cơ chế này trong địa hạt liên ngành sử học, khu vực học và luật học</w:t>
      </w:r>
      <w:r w:rsidRPr="00E87495">
        <w:rPr>
          <w:rFonts w:asciiTheme="majorHAnsi" w:hAnsiTheme="majorHAnsi" w:cstheme="majorHAnsi"/>
          <w:sz w:val="22"/>
          <w:szCs w:val="22"/>
        </w:rPr>
        <w:t>.</w:t>
      </w:r>
    </w:p>
    <w:p w14:paraId="0307E333" w14:textId="77777777" w:rsidR="0082148F" w:rsidRPr="00E87495" w:rsidRDefault="003C6A7F" w:rsidP="00451AB4">
      <w:pPr>
        <w:pStyle w:val="Heading1"/>
        <w:spacing w:before="120" w:after="120" w:line="240" w:lineRule="auto"/>
        <w:rPr>
          <w:rFonts w:asciiTheme="majorHAnsi" w:hAnsiTheme="majorHAnsi" w:cstheme="majorHAnsi"/>
          <w:szCs w:val="22"/>
        </w:rPr>
      </w:pPr>
      <w:r w:rsidRPr="00E87495">
        <w:rPr>
          <w:rFonts w:asciiTheme="majorHAnsi" w:hAnsiTheme="majorHAnsi" w:cstheme="majorHAnsi"/>
          <w:szCs w:val="22"/>
        </w:rPr>
        <w:lastRenderedPageBreak/>
        <w:t xml:space="preserve">3. </w:t>
      </w:r>
      <w:r w:rsidR="0082148F" w:rsidRPr="00E87495">
        <w:rPr>
          <w:rFonts w:asciiTheme="majorHAnsi" w:hAnsiTheme="majorHAnsi" w:cstheme="majorHAnsi"/>
          <w:szCs w:val="22"/>
        </w:rPr>
        <w:t>NỘI DUNG</w:t>
      </w:r>
    </w:p>
    <w:p w14:paraId="7E79C7DA" w14:textId="3EE87FB5" w:rsidR="00151D80" w:rsidRPr="00E87495" w:rsidRDefault="0082148F" w:rsidP="00451AB4">
      <w:pPr>
        <w:pStyle w:val="Heading1"/>
        <w:spacing w:before="120" w:after="120" w:line="240" w:lineRule="auto"/>
        <w:rPr>
          <w:rFonts w:asciiTheme="majorHAnsi" w:hAnsiTheme="majorHAnsi" w:cstheme="majorHAnsi"/>
          <w:szCs w:val="22"/>
        </w:rPr>
      </w:pPr>
      <w:r w:rsidRPr="00E87495">
        <w:rPr>
          <w:rFonts w:asciiTheme="majorHAnsi" w:hAnsiTheme="majorHAnsi" w:cstheme="majorHAnsi"/>
          <w:szCs w:val="22"/>
        </w:rPr>
        <w:t xml:space="preserve">3.1. Cơ sở lý thuyết </w:t>
      </w:r>
    </w:p>
    <w:p w14:paraId="20F4F2CE" w14:textId="1B0A86A2" w:rsidR="00151D80" w:rsidRPr="00E87495" w:rsidRDefault="003C6A7F" w:rsidP="00451AB4">
      <w:pPr>
        <w:pStyle w:val="Heading2"/>
        <w:spacing w:before="120" w:after="120" w:line="240" w:lineRule="auto"/>
        <w:ind w:leftChars="0" w:left="0"/>
        <w:rPr>
          <w:rFonts w:asciiTheme="majorHAnsi" w:hAnsiTheme="majorHAnsi" w:cstheme="majorHAnsi"/>
          <w:b w:val="0"/>
          <w:bCs/>
          <w:szCs w:val="22"/>
        </w:rPr>
      </w:pPr>
      <w:bookmarkStart w:id="1" w:name="_heading=h.vecrgjtg8nl6" w:colFirst="0" w:colLast="0"/>
      <w:bookmarkEnd w:id="1"/>
      <w:r w:rsidRPr="00E87495">
        <w:rPr>
          <w:rFonts w:asciiTheme="majorHAnsi" w:hAnsiTheme="majorHAnsi" w:cstheme="majorHAnsi"/>
          <w:b w:val="0"/>
          <w:bCs/>
          <w:szCs w:val="22"/>
        </w:rPr>
        <w:t>3.1</w:t>
      </w:r>
      <w:r w:rsidR="0082148F" w:rsidRPr="00E87495">
        <w:rPr>
          <w:rFonts w:asciiTheme="majorHAnsi" w:hAnsiTheme="majorHAnsi" w:cstheme="majorHAnsi"/>
          <w:b w:val="0"/>
          <w:bCs/>
          <w:szCs w:val="22"/>
        </w:rPr>
        <w:t>.1</w:t>
      </w:r>
      <w:r w:rsidRPr="00E87495">
        <w:rPr>
          <w:rFonts w:asciiTheme="majorHAnsi" w:hAnsiTheme="majorHAnsi" w:cstheme="majorHAnsi"/>
          <w:b w:val="0"/>
          <w:bCs/>
          <w:szCs w:val="22"/>
        </w:rPr>
        <w:t>. Hệ thống tổ chức tòa án của Nhật Bản</w:t>
      </w:r>
    </w:p>
    <w:p w14:paraId="70137F02" w14:textId="209997CD" w:rsidR="00151D80" w:rsidRPr="00E87495" w:rsidRDefault="003C6A7F" w:rsidP="009B3D01">
      <w:pPr>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 xml:space="preserve">Sau khi </w:t>
      </w:r>
      <w:r w:rsidR="006E4E04" w:rsidRPr="00E87495">
        <w:rPr>
          <w:rFonts w:asciiTheme="majorHAnsi" w:hAnsiTheme="majorHAnsi" w:cstheme="majorHAnsi"/>
          <w:sz w:val="22"/>
          <w:szCs w:val="22"/>
        </w:rPr>
        <w:t>c</w:t>
      </w:r>
      <w:r w:rsidRPr="00E87495">
        <w:rPr>
          <w:rFonts w:asciiTheme="majorHAnsi" w:hAnsiTheme="majorHAnsi" w:cstheme="majorHAnsi"/>
          <w:sz w:val="22"/>
          <w:szCs w:val="22"/>
        </w:rPr>
        <w:t xml:space="preserve">hiến tranh </w:t>
      </w:r>
      <w:r w:rsidR="006E4E04" w:rsidRPr="00E87495">
        <w:rPr>
          <w:rFonts w:asciiTheme="majorHAnsi" w:hAnsiTheme="majorHAnsi" w:cstheme="majorHAnsi"/>
          <w:sz w:val="22"/>
          <w:szCs w:val="22"/>
        </w:rPr>
        <w:t>T</w:t>
      </w:r>
      <w:r w:rsidRPr="00E87495">
        <w:rPr>
          <w:rFonts w:asciiTheme="majorHAnsi" w:hAnsiTheme="majorHAnsi" w:cstheme="majorHAnsi"/>
          <w:sz w:val="22"/>
          <w:szCs w:val="22"/>
        </w:rPr>
        <w:t xml:space="preserve">hế giới thứ II kết thúc, Nhật Bản đã </w:t>
      </w:r>
      <w:r w:rsidR="006E4E04" w:rsidRPr="00E87495">
        <w:rPr>
          <w:rFonts w:asciiTheme="majorHAnsi" w:hAnsiTheme="majorHAnsi" w:cstheme="majorHAnsi"/>
          <w:sz w:val="22"/>
          <w:szCs w:val="22"/>
        </w:rPr>
        <w:t xml:space="preserve">bị ép buộc phải </w:t>
      </w:r>
      <w:r w:rsidRPr="00E87495">
        <w:rPr>
          <w:rFonts w:asciiTheme="majorHAnsi" w:hAnsiTheme="majorHAnsi" w:cstheme="majorHAnsi"/>
          <w:sz w:val="22"/>
          <w:szCs w:val="22"/>
        </w:rPr>
        <w:t xml:space="preserve">thực hiện một loạt cải cách, trong đó có cải cách Hiến pháp theo bản dự thảo của Mac Arthur. Năm 1945, Hiến pháp mới được ban hành với tên gọi là Hiến pháp Nhật Bản </w:t>
      </w:r>
      <w:r w:rsidR="000379C2" w:rsidRPr="00E87495">
        <w:rPr>
          <w:rFonts w:asciiTheme="majorHAnsi" w:hAnsiTheme="majorHAnsi" w:cstheme="majorHAnsi"/>
          <w:sz w:val="22"/>
          <w:szCs w:val="22"/>
        </w:rPr>
        <w:t>(</w:t>
      </w:r>
      <w:r w:rsidR="000379C2" w:rsidRPr="00E87495">
        <w:rPr>
          <w:rFonts w:asciiTheme="majorHAnsi" w:hAnsiTheme="majorHAnsi" w:cstheme="majorHAnsi" w:hint="eastAsia"/>
          <w:sz w:val="22"/>
          <w:szCs w:val="22"/>
        </w:rPr>
        <w:t>日本国憲法</w:t>
      </w:r>
      <w:r w:rsidR="000379C2" w:rsidRPr="00E87495">
        <w:rPr>
          <w:rFonts w:asciiTheme="majorHAnsi" w:hAnsiTheme="majorHAnsi" w:cstheme="majorHAnsi" w:hint="eastAsia"/>
          <w:sz w:val="22"/>
          <w:szCs w:val="22"/>
        </w:rPr>
        <w:t>)</w:t>
      </w:r>
      <w:r w:rsidR="000379C2" w:rsidRPr="00E87495">
        <w:rPr>
          <w:rFonts w:asciiTheme="majorHAnsi" w:hAnsiTheme="majorHAnsi" w:cstheme="majorHAnsi"/>
          <w:sz w:val="22"/>
          <w:szCs w:val="22"/>
        </w:rPr>
        <w:t xml:space="preserve"> có hiệu lực từ năm 1946 đến nay</w:t>
      </w:r>
      <w:r w:rsidRPr="00E87495">
        <w:rPr>
          <w:rFonts w:asciiTheme="majorHAnsi" w:hAnsiTheme="majorHAnsi" w:cstheme="majorHAnsi"/>
          <w:sz w:val="22"/>
          <w:szCs w:val="22"/>
        </w:rPr>
        <w:t xml:space="preserve">. Hiến pháp </w:t>
      </w:r>
      <w:r w:rsidR="006E4E04" w:rsidRPr="00E87495">
        <w:rPr>
          <w:rFonts w:asciiTheme="majorHAnsi" w:hAnsiTheme="majorHAnsi" w:cstheme="majorHAnsi"/>
          <w:sz w:val="22"/>
          <w:szCs w:val="22"/>
        </w:rPr>
        <w:t xml:space="preserve">này </w:t>
      </w:r>
      <w:r w:rsidRPr="00E87495">
        <w:rPr>
          <w:rFonts w:asciiTheme="majorHAnsi" w:hAnsiTheme="majorHAnsi" w:cstheme="majorHAnsi"/>
          <w:sz w:val="22"/>
          <w:szCs w:val="22"/>
        </w:rPr>
        <w:t xml:space="preserve">quy định nhà nước được xây dựng trên cơ sở tam quyền phân lập, trao cho </w:t>
      </w:r>
      <w:r w:rsidR="006E4E04" w:rsidRPr="00E87495">
        <w:rPr>
          <w:rFonts w:asciiTheme="majorHAnsi" w:hAnsiTheme="majorHAnsi" w:cstheme="majorHAnsi"/>
          <w:sz w:val="22"/>
          <w:szCs w:val="22"/>
        </w:rPr>
        <w:t>T</w:t>
      </w:r>
      <w:r w:rsidRPr="00E87495">
        <w:rPr>
          <w:rFonts w:asciiTheme="majorHAnsi" w:hAnsiTheme="majorHAnsi" w:cstheme="majorHAnsi"/>
          <w:sz w:val="22"/>
          <w:szCs w:val="22"/>
        </w:rPr>
        <w:t>òa án tối cao nắm giữ quyền tư pháp và thành lập các tòa án cấp dưới theo quy định của pháp luật (khoản 1 Điều 76).</w:t>
      </w:r>
    </w:p>
    <w:p w14:paraId="36FC5614" w14:textId="640F5B4B" w:rsidR="00151D80" w:rsidRPr="00E87495" w:rsidRDefault="003C6A7F" w:rsidP="009B3D01">
      <w:pPr>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 xml:space="preserve">Tại Nhật Bản, tòa án là cơ quan </w:t>
      </w:r>
      <w:r w:rsidR="004B0D1B" w:rsidRPr="00E87495">
        <w:rPr>
          <w:rFonts w:asciiTheme="majorHAnsi" w:hAnsiTheme="majorHAnsi" w:cstheme="majorHAnsi"/>
          <w:sz w:val="22"/>
          <w:szCs w:val="22"/>
        </w:rPr>
        <w:t>nằm giữ “</w:t>
      </w:r>
      <w:r w:rsidRPr="00E87495">
        <w:rPr>
          <w:rFonts w:asciiTheme="majorHAnsi" w:hAnsiTheme="majorHAnsi" w:cstheme="majorHAnsi"/>
          <w:sz w:val="22"/>
          <w:szCs w:val="22"/>
        </w:rPr>
        <w:t>tam quyền</w:t>
      </w:r>
      <w:r w:rsidR="004B0D1B" w:rsidRPr="00E87495">
        <w:rPr>
          <w:rFonts w:asciiTheme="majorHAnsi" w:hAnsiTheme="majorHAnsi" w:cstheme="majorHAnsi"/>
          <w:sz w:val="22"/>
          <w:szCs w:val="22"/>
        </w:rPr>
        <w:t>”</w:t>
      </w:r>
      <w:r w:rsidRPr="00E87495">
        <w:rPr>
          <w:rFonts w:asciiTheme="majorHAnsi" w:hAnsiTheme="majorHAnsi" w:cstheme="majorHAnsi"/>
          <w:sz w:val="22"/>
          <w:szCs w:val="22"/>
        </w:rPr>
        <w:t>, được trao quyền tài phán và đóng vai trò thiết yếu trong việc bảo vệ quyền lợi hợp pháp của người dân. Tòa án</w:t>
      </w:r>
      <w:r w:rsidR="004B0D1B" w:rsidRPr="00E87495">
        <w:rPr>
          <w:rFonts w:asciiTheme="majorHAnsi" w:hAnsiTheme="majorHAnsi" w:cstheme="majorHAnsi"/>
          <w:sz w:val="22"/>
          <w:szCs w:val="22"/>
        </w:rPr>
        <w:t xml:space="preserve"> tối cao</w:t>
      </w:r>
      <w:r w:rsidRPr="00E87495">
        <w:rPr>
          <w:rFonts w:asciiTheme="majorHAnsi" w:hAnsiTheme="majorHAnsi" w:cstheme="majorHAnsi"/>
          <w:sz w:val="22"/>
          <w:szCs w:val="22"/>
        </w:rPr>
        <w:t xml:space="preserve">, Nội các và Quốc hội </w:t>
      </w:r>
      <w:r w:rsidR="004B0D1B" w:rsidRPr="00E87495">
        <w:rPr>
          <w:rFonts w:asciiTheme="majorHAnsi" w:hAnsiTheme="majorHAnsi" w:cstheme="majorHAnsi"/>
          <w:sz w:val="22"/>
          <w:szCs w:val="22"/>
        </w:rPr>
        <w:t xml:space="preserve">là ba cơ quan trong tam quyền phân lập </w:t>
      </w:r>
      <w:r w:rsidRPr="00E87495">
        <w:rPr>
          <w:rFonts w:asciiTheme="majorHAnsi" w:hAnsiTheme="majorHAnsi" w:cstheme="majorHAnsi"/>
          <w:sz w:val="22"/>
          <w:szCs w:val="22"/>
        </w:rPr>
        <w:t>được xây dựng trên nguyên tắc “</w:t>
      </w:r>
      <w:r w:rsidRPr="00E87495">
        <w:rPr>
          <w:rFonts w:asciiTheme="majorHAnsi" w:hAnsiTheme="majorHAnsi" w:cstheme="majorHAnsi"/>
          <w:i/>
          <w:sz w:val="22"/>
          <w:szCs w:val="22"/>
        </w:rPr>
        <w:t>kiềm chế và đối trọng</w:t>
      </w:r>
      <w:r w:rsidRPr="00E87495">
        <w:rPr>
          <w:rFonts w:asciiTheme="majorHAnsi" w:hAnsiTheme="majorHAnsi" w:cstheme="majorHAnsi"/>
          <w:sz w:val="22"/>
          <w:szCs w:val="22"/>
        </w:rPr>
        <w:t>”</w:t>
      </w:r>
      <w:r w:rsidR="009B06DD" w:rsidRPr="00E87495">
        <w:rPr>
          <w:rFonts w:asciiTheme="majorHAnsi" w:hAnsiTheme="majorHAnsi" w:cstheme="majorHAnsi"/>
          <w:sz w:val="22"/>
          <w:szCs w:val="22"/>
          <w:vertAlign w:val="superscript"/>
        </w:rPr>
        <w:t>4</w:t>
      </w:r>
      <w:r w:rsidRPr="00E87495">
        <w:rPr>
          <w:rFonts w:asciiTheme="majorHAnsi" w:hAnsiTheme="majorHAnsi" w:cstheme="majorHAnsi"/>
          <w:sz w:val="22"/>
          <w:szCs w:val="22"/>
        </w:rPr>
        <w:t xml:space="preserve">. Theo đó, để đảm bảo cho các </w:t>
      </w:r>
      <w:r w:rsidR="00501DC7" w:rsidRPr="00E87495">
        <w:rPr>
          <w:rFonts w:asciiTheme="majorHAnsi" w:hAnsiTheme="majorHAnsi" w:cstheme="majorHAnsi"/>
          <w:sz w:val="22"/>
          <w:szCs w:val="22"/>
        </w:rPr>
        <w:t>thẩm phán</w:t>
      </w:r>
      <w:r w:rsidRPr="00E87495">
        <w:rPr>
          <w:rFonts w:asciiTheme="majorHAnsi" w:hAnsiTheme="majorHAnsi" w:cstheme="majorHAnsi"/>
          <w:sz w:val="22"/>
          <w:szCs w:val="22"/>
        </w:rPr>
        <w:t xml:space="preserve"> thực hiện nhiệm vụ của mình một cách độc lập và công bằng, vị trí của họ cần phải được bảo vệ khỏi sự </w:t>
      </w:r>
      <w:r w:rsidR="004B0D1B" w:rsidRPr="00E87495">
        <w:rPr>
          <w:rFonts w:asciiTheme="majorHAnsi" w:hAnsiTheme="majorHAnsi" w:cstheme="majorHAnsi"/>
          <w:sz w:val="22"/>
          <w:szCs w:val="22"/>
        </w:rPr>
        <w:t>chi phối</w:t>
      </w:r>
      <w:r w:rsidRPr="00E87495">
        <w:rPr>
          <w:rFonts w:asciiTheme="majorHAnsi" w:hAnsiTheme="majorHAnsi" w:cstheme="majorHAnsi"/>
          <w:sz w:val="22"/>
          <w:szCs w:val="22"/>
        </w:rPr>
        <w:t xml:space="preserve"> của Quốc hội và Nội các. Do đó, Hiến pháp Nhật Bản năm 1945 cấm cơ quan hành </w:t>
      </w:r>
      <w:r w:rsidR="004B0D1B" w:rsidRPr="00E87495">
        <w:rPr>
          <w:rFonts w:asciiTheme="majorHAnsi" w:hAnsiTheme="majorHAnsi" w:cstheme="majorHAnsi"/>
          <w:sz w:val="22"/>
          <w:szCs w:val="22"/>
        </w:rPr>
        <w:t>pháp</w:t>
      </w:r>
      <w:r w:rsidRPr="00E87495">
        <w:rPr>
          <w:rFonts w:asciiTheme="majorHAnsi" w:hAnsiTheme="majorHAnsi" w:cstheme="majorHAnsi"/>
          <w:sz w:val="22"/>
          <w:szCs w:val="22"/>
        </w:rPr>
        <w:t xml:space="preserve"> bãi nhiệm hoặc cách chức </w:t>
      </w:r>
      <w:r w:rsidR="00501DC7" w:rsidRPr="00E87495">
        <w:rPr>
          <w:rFonts w:asciiTheme="majorHAnsi" w:hAnsiTheme="majorHAnsi" w:cstheme="majorHAnsi"/>
          <w:sz w:val="22"/>
          <w:szCs w:val="22"/>
        </w:rPr>
        <w:t>thẩm phán</w:t>
      </w:r>
      <w:r w:rsidR="004B0D1B" w:rsidRPr="00E87495">
        <w:rPr>
          <w:rFonts w:asciiTheme="majorHAnsi" w:hAnsiTheme="majorHAnsi" w:cstheme="majorHAnsi"/>
          <w:sz w:val="22"/>
          <w:szCs w:val="22"/>
        </w:rPr>
        <w:t>.</w:t>
      </w:r>
      <w:r w:rsidRPr="00E87495">
        <w:rPr>
          <w:rFonts w:asciiTheme="majorHAnsi" w:hAnsiTheme="majorHAnsi" w:cstheme="majorHAnsi"/>
          <w:sz w:val="22"/>
          <w:szCs w:val="22"/>
        </w:rPr>
        <w:t xml:space="preserve"> </w:t>
      </w:r>
      <w:r w:rsidR="004B0D1B" w:rsidRPr="00E87495">
        <w:rPr>
          <w:rFonts w:asciiTheme="majorHAnsi" w:hAnsiTheme="majorHAnsi" w:cstheme="majorHAnsi"/>
          <w:sz w:val="22"/>
          <w:szCs w:val="22"/>
        </w:rPr>
        <w:t>Đ</w:t>
      </w:r>
      <w:r w:rsidRPr="00E87495">
        <w:rPr>
          <w:rFonts w:asciiTheme="majorHAnsi" w:hAnsiTheme="majorHAnsi" w:cstheme="majorHAnsi"/>
          <w:sz w:val="22"/>
          <w:szCs w:val="22"/>
        </w:rPr>
        <w:t>ồng thời</w:t>
      </w:r>
      <w:r w:rsidR="004B0D1B" w:rsidRPr="00E87495">
        <w:rPr>
          <w:rFonts w:asciiTheme="majorHAnsi" w:hAnsiTheme="majorHAnsi" w:cstheme="majorHAnsi"/>
          <w:sz w:val="22"/>
          <w:szCs w:val="22"/>
        </w:rPr>
        <w:t>,</w:t>
      </w:r>
      <w:r w:rsidRPr="00E87495">
        <w:rPr>
          <w:rFonts w:asciiTheme="majorHAnsi" w:hAnsiTheme="majorHAnsi" w:cstheme="majorHAnsi"/>
          <w:sz w:val="22"/>
          <w:szCs w:val="22"/>
        </w:rPr>
        <w:t xml:space="preserve"> </w:t>
      </w:r>
      <w:r w:rsidR="004B0D1B" w:rsidRPr="00E87495">
        <w:rPr>
          <w:rFonts w:asciiTheme="majorHAnsi" w:hAnsiTheme="majorHAnsi" w:cstheme="majorHAnsi"/>
          <w:sz w:val="22"/>
          <w:szCs w:val="22"/>
        </w:rPr>
        <w:t>Lương, thưởng của thẩm phán</w:t>
      </w:r>
      <w:r w:rsidRPr="00E87495">
        <w:rPr>
          <w:rFonts w:asciiTheme="majorHAnsi" w:hAnsiTheme="majorHAnsi" w:cstheme="majorHAnsi"/>
          <w:sz w:val="22"/>
          <w:szCs w:val="22"/>
        </w:rPr>
        <w:t xml:space="preserve"> không bị giảm</w:t>
      </w:r>
      <w:r w:rsidR="004B0D1B" w:rsidRPr="00E87495">
        <w:rPr>
          <w:rFonts w:asciiTheme="majorHAnsi" w:hAnsiTheme="majorHAnsi" w:cstheme="majorHAnsi"/>
          <w:sz w:val="22"/>
          <w:szCs w:val="22"/>
        </w:rPr>
        <w:t xml:space="preserve"> đi tuỳ tiện</w:t>
      </w:r>
      <w:r w:rsidRPr="00E87495">
        <w:rPr>
          <w:rFonts w:asciiTheme="majorHAnsi" w:hAnsiTheme="majorHAnsi" w:cstheme="majorHAnsi"/>
          <w:sz w:val="22"/>
          <w:szCs w:val="22"/>
        </w:rPr>
        <w:t xml:space="preserve"> trong suốt thời gian đương nhiệm. </w:t>
      </w:r>
      <w:r w:rsidR="004B0D1B" w:rsidRPr="00E87495">
        <w:rPr>
          <w:rFonts w:asciiTheme="majorHAnsi" w:hAnsiTheme="majorHAnsi" w:cstheme="majorHAnsi"/>
          <w:sz w:val="22"/>
          <w:szCs w:val="22"/>
        </w:rPr>
        <w:t>D</w:t>
      </w:r>
      <w:r w:rsidRPr="00E87495">
        <w:rPr>
          <w:rFonts w:asciiTheme="majorHAnsi" w:hAnsiTheme="majorHAnsi" w:cstheme="majorHAnsi"/>
          <w:sz w:val="22"/>
          <w:szCs w:val="22"/>
        </w:rPr>
        <w:t xml:space="preserve">ù vậy, Quốc hội vẫn có quyền kiềm chế và đối trọng đối với Tòa án thông qua việc thành lập Tòa án luận tội đối với các </w:t>
      </w:r>
      <w:r w:rsidR="00501DC7" w:rsidRPr="00E87495">
        <w:rPr>
          <w:rFonts w:asciiTheme="majorHAnsi" w:hAnsiTheme="majorHAnsi" w:cstheme="majorHAnsi" w:hint="eastAsia"/>
          <w:sz w:val="22"/>
          <w:szCs w:val="22"/>
        </w:rPr>
        <w:t>t</w:t>
      </w:r>
      <w:r w:rsidR="00501DC7" w:rsidRPr="00E87495">
        <w:rPr>
          <w:rFonts w:asciiTheme="majorHAnsi" w:hAnsiTheme="majorHAnsi" w:cstheme="majorHAnsi"/>
          <w:sz w:val="22"/>
          <w:szCs w:val="22"/>
        </w:rPr>
        <w:t xml:space="preserve">hẩm </w:t>
      </w:r>
      <w:r w:rsidRPr="00E87495">
        <w:rPr>
          <w:rFonts w:asciiTheme="majorHAnsi" w:hAnsiTheme="majorHAnsi" w:cstheme="majorHAnsi"/>
          <w:sz w:val="22"/>
          <w:szCs w:val="22"/>
        </w:rPr>
        <w:t>phán</w:t>
      </w:r>
      <w:r w:rsidR="000379C2" w:rsidRPr="00E87495">
        <w:rPr>
          <w:rFonts w:asciiTheme="majorHAnsi" w:hAnsiTheme="majorHAnsi" w:cstheme="majorHAnsi"/>
          <w:sz w:val="22"/>
          <w:szCs w:val="22"/>
        </w:rPr>
        <w:t xml:space="preserve"> (</w:t>
      </w:r>
      <w:r w:rsidR="000379C2" w:rsidRPr="00E87495">
        <w:rPr>
          <w:rFonts w:asciiTheme="majorHAnsi" w:hAnsiTheme="majorHAnsi" w:cstheme="majorHAnsi" w:hint="eastAsia"/>
          <w:sz w:val="22"/>
          <w:szCs w:val="22"/>
        </w:rPr>
        <w:t>裁判官弾劾裁判所</w:t>
      </w:r>
      <w:r w:rsidR="000379C2" w:rsidRPr="00E87495">
        <w:rPr>
          <w:rFonts w:asciiTheme="majorHAnsi" w:hAnsiTheme="majorHAnsi" w:cstheme="majorHAnsi" w:hint="eastAsia"/>
          <w:sz w:val="22"/>
          <w:szCs w:val="22"/>
        </w:rPr>
        <w:t>)</w:t>
      </w:r>
      <w:r w:rsidRPr="00E87495">
        <w:rPr>
          <w:rFonts w:asciiTheme="majorHAnsi" w:hAnsiTheme="majorHAnsi" w:cstheme="majorHAnsi"/>
          <w:sz w:val="22"/>
          <w:szCs w:val="22"/>
        </w:rPr>
        <w:t xml:space="preserve">. Việc bãi nhiệm </w:t>
      </w:r>
      <w:r w:rsidR="00501DC7" w:rsidRPr="00E87495">
        <w:rPr>
          <w:rFonts w:asciiTheme="majorHAnsi" w:hAnsiTheme="majorHAnsi" w:cstheme="majorHAnsi"/>
          <w:sz w:val="22"/>
          <w:szCs w:val="22"/>
        </w:rPr>
        <w:t>thẩm phán</w:t>
      </w:r>
      <w:r w:rsidRPr="00E87495">
        <w:rPr>
          <w:rFonts w:asciiTheme="majorHAnsi" w:hAnsiTheme="majorHAnsi" w:cstheme="majorHAnsi"/>
          <w:sz w:val="22"/>
          <w:szCs w:val="22"/>
        </w:rPr>
        <w:t xml:space="preserve"> chỉ có thể diễn ra khi có quyết định từ Tòa án luận tội</w:t>
      </w:r>
      <w:r w:rsidR="00BA095A" w:rsidRPr="00E87495">
        <w:rPr>
          <w:rFonts w:asciiTheme="majorHAnsi" w:hAnsiTheme="majorHAnsi" w:cstheme="majorHAnsi"/>
          <w:sz w:val="22"/>
          <w:szCs w:val="22"/>
        </w:rPr>
        <w:t xml:space="preserve"> (</w:t>
      </w:r>
      <w:r w:rsidRPr="00E87495">
        <w:rPr>
          <w:rFonts w:asciiTheme="majorHAnsi" w:hAnsiTheme="majorHAnsi" w:cstheme="majorHAnsi"/>
          <w:sz w:val="22"/>
          <w:szCs w:val="22"/>
        </w:rPr>
        <w:t>Điều 78 Hiến pháp</w:t>
      </w:r>
      <w:r w:rsidR="00BA095A" w:rsidRPr="00E87495">
        <w:rPr>
          <w:rFonts w:asciiTheme="majorHAnsi" w:hAnsiTheme="majorHAnsi" w:cstheme="majorHAnsi"/>
          <w:sz w:val="22"/>
          <w:szCs w:val="22"/>
        </w:rPr>
        <w:t>). T</w:t>
      </w:r>
      <w:r w:rsidRPr="00E87495">
        <w:rPr>
          <w:rFonts w:asciiTheme="majorHAnsi" w:hAnsiTheme="majorHAnsi" w:cstheme="majorHAnsi"/>
          <w:sz w:val="22"/>
          <w:szCs w:val="22"/>
        </w:rPr>
        <w:t xml:space="preserve">heo đó, </w:t>
      </w:r>
      <w:r w:rsidR="00501DC7" w:rsidRPr="00E87495">
        <w:rPr>
          <w:rFonts w:asciiTheme="majorHAnsi" w:hAnsiTheme="majorHAnsi" w:cstheme="majorHAnsi"/>
          <w:sz w:val="22"/>
          <w:szCs w:val="22"/>
        </w:rPr>
        <w:t>thẩm phán</w:t>
      </w:r>
      <w:r w:rsidRPr="00E87495">
        <w:rPr>
          <w:rFonts w:asciiTheme="majorHAnsi" w:hAnsiTheme="majorHAnsi" w:cstheme="majorHAnsi"/>
          <w:sz w:val="22"/>
          <w:szCs w:val="22"/>
        </w:rPr>
        <w:t xml:space="preserve"> không thể bị bãi nhiệm trừ khi </w:t>
      </w:r>
      <w:r w:rsidR="00BA095A" w:rsidRPr="00E87495">
        <w:rPr>
          <w:rFonts w:asciiTheme="majorHAnsi" w:hAnsiTheme="majorHAnsi" w:cstheme="majorHAnsi"/>
          <w:sz w:val="22"/>
          <w:szCs w:val="22"/>
        </w:rPr>
        <w:t xml:space="preserve">họ </w:t>
      </w:r>
      <w:r w:rsidRPr="00E87495">
        <w:rPr>
          <w:rFonts w:asciiTheme="majorHAnsi" w:hAnsiTheme="majorHAnsi" w:cstheme="majorHAnsi"/>
          <w:sz w:val="22"/>
          <w:szCs w:val="22"/>
        </w:rPr>
        <w:t xml:space="preserve">bị </w:t>
      </w:r>
      <w:r w:rsidR="00BA095A" w:rsidRPr="00E87495">
        <w:rPr>
          <w:rFonts w:asciiTheme="majorHAnsi" w:hAnsiTheme="majorHAnsi" w:cstheme="majorHAnsi"/>
          <w:sz w:val="22"/>
          <w:szCs w:val="22"/>
        </w:rPr>
        <w:t xml:space="preserve">xét xử công khai bởi Toà án </w:t>
      </w:r>
      <w:r w:rsidRPr="00E87495">
        <w:rPr>
          <w:rFonts w:asciiTheme="majorHAnsi" w:hAnsiTheme="majorHAnsi" w:cstheme="majorHAnsi"/>
          <w:sz w:val="22"/>
          <w:szCs w:val="22"/>
        </w:rPr>
        <w:t>luận tội</w:t>
      </w:r>
      <w:r w:rsidR="00BA095A" w:rsidRPr="00E87495">
        <w:rPr>
          <w:rFonts w:asciiTheme="majorHAnsi" w:hAnsiTheme="majorHAnsi" w:cstheme="majorHAnsi"/>
          <w:sz w:val="22"/>
          <w:szCs w:val="22"/>
        </w:rPr>
        <w:t xml:space="preserve"> hoặc trong</w:t>
      </w:r>
      <w:r w:rsidRPr="00E87495">
        <w:rPr>
          <w:rFonts w:asciiTheme="majorHAnsi" w:hAnsiTheme="majorHAnsi" w:cstheme="majorHAnsi"/>
          <w:sz w:val="22"/>
          <w:szCs w:val="22"/>
        </w:rPr>
        <w:t xml:space="preserve"> trường hợp </w:t>
      </w:r>
      <w:r w:rsidR="00BA095A" w:rsidRPr="00E87495">
        <w:rPr>
          <w:rFonts w:asciiTheme="majorHAnsi" w:hAnsiTheme="majorHAnsi" w:cstheme="majorHAnsi"/>
          <w:sz w:val="22"/>
          <w:szCs w:val="22"/>
        </w:rPr>
        <w:t>bị</w:t>
      </w:r>
      <w:r w:rsidRPr="00E87495">
        <w:rPr>
          <w:rFonts w:asciiTheme="majorHAnsi" w:hAnsiTheme="majorHAnsi" w:cstheme="majorHAnsi"/>
          <w:sz w:val="22"/>
          <w:szCs w:val="22"/>
        </w:rPr>
        <w:t xml:space="preserve"> tòa án xác định rằng không thể thực hiện nhiệm vụ do rối loạn tâm thần hoặc thể chất. Cơ quan hành chính không thể xử lý kỷ luật đối với </w:t>
      </w:r>
      <w:r w:rsidR="00501DC7" w:rsidRPr="00E87495">
        <w:rPr>
          <w:rFonts w:asciiTheme="majorHAnsi" w:hAnsiTheme="majorHAnsi" w:cstheme="majorHAnsi"/>
          <w:sz w:val="22"/>
          <w:szCs w:val="22"/>
        </w:rPr>
        <w:t>thẩm phán</w:t>
      </w:r>
      <w:r w:rsidR="00BA095A" w:rsidRPr="00E87495">
        <w:rPr>
          <w:rFonts w:asciiTheme="majorHAnsi" w:hAnsiTheme="majorHAnsi" w:cstheme="majorHAnsi"/>
          <w:sz w:val="22"/>
          <w:szCs w:val="22"/>
        </w:rPr>
        <w:t xml:space="preserve"> (Điều 78 Hiến pháp)</w:t>
      </w:r>
      <w:r w:rsidR="00330864" w:rsidRPr="00E87495">
        <w:rPr>
          <w:rFonts w:asciiTheme="majorHAnsi" w:hAnsiTheme="majorHAnsi" w:cstheme="majorHAnsi"/>
          <w:sz w:val="22"/>
          <w:szCs w:val="22"/>
        </w:rPr>
        <w:t>.</w:t>
      </w:r>
    </w:p>
    <w:p w14:paraId="3BE6B843" w14:textId="6E290914" w:rsidR="00330864" w:rsidRPr="00E87495" w:rsidRDefault="003C6A7F" w:rsidP="00330864">
      <w:pPr>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 xml:space="preserve">Mặt khác, trong mối quan hệ giữa tòa án và Nội các cũng được xây dựng trên nguyên tắc </w:t>
      </w:r>
      <w:r w:rsidRPr="00E87495">
        <w:rPr>
          <w:rFonts w:asciiTheme="majorHAnsi" w:hAnsiTheme="majorHAnsi" w:cstheme="majorHAnsi"/>
          <w:i/>
          <w:sz w:val="22"/>
          <w:szCs w:val="22"/>
        </w:rPr>
        <w:t>“kiềm chế và đối trọng”</w:t>
      </w:r>
      <w:r w:rsidRPr="00E87495">
        <w:rPr>
          <w:rFonts w:asciiTheme="majorHAnsi" w:hAnsiTheme="majorHAnsi" w:cstheme="majorHAnsi"/>
          <w:sz w:val="22"/>
          <w:szCs w:val="22"/>
        </w:rPr>
        <w:t xml:space="preserve">, được thể hiện rõ ràng nhất qua việc Chính phủ có quyền chỉ định Chánh án Tòa án tối cao và bổ nhiệm các </w:t>
      </w:r>
      <w:r w:rsidR="00501DC7" w:rsidRPr="00E87495">
        <w:rPr>
          <w:rFonts w:asciiTheme="majorHAnsi" w:hAnsiTheme="majorHAnsi" w:cstheme="majorHAnsi"/>
          <w:sz w:val="22"/>
          <w:szCs w:val="22"/>
        </w:rPr>
        <w:t>thẩm phán</w:t>
      </w:r>
      <w:r w:rsidRPr="00E87495">
        <w:rPr>
          <w:rFonts w:asciiTheme="majorHAnsi" w:hAnsiTheme="majorHAnsi" w:cstheme="majorHAnsi"/>
          <w:sz w:val="22"/>
          <w:szCs w:val="22"/>
        </w:rPr>
        <w:t xml:space="preserve"> khác theo quy định của pháp luật. Ngược lại, Tòa án có quyền thẩm tra vi hiến</w:t>
      </w:r>
      <w:r w:rsidR="00DE4A20" w:rsidRPr="00E87495">
        <w:rPr>
          <w:rFonts w:asciiTheme="majorHAnsi" w:hAnsiTheme="majorHAnsi" w:cstheme="majorHAnsi"/>
          <w:sz w:val="22"/>
          <w:szCs w:val="22"/>
        </w:rPr>
        <w:t xml:space="preserve"> (</w:t>
      </w:r>
      <w:r w:rsidR="00DE4A20" w:rsidRPr="00E87495">
        <w:rPr>
          <w:rFonts w:asciiTheme="majorHAnsi" w:hAnsiTheme="majorHAnsi" w:cstheme="majorHAnsi" w:hint="eastAsia"/>
          <w:sz w:val="22"/>
          <w:szCs w:val="22"/>
        </w:rPr>
        <w:t>違憲審査制</w:t>
      </w:r>
      <w:r w:rsidR="00DE4A20" w:rsidRPr="00E87495">
        <w:rPr>
          <w:rFonts w:asciiTheme="majorHAnsi" w:hAnsiTheme="majorHAnsi" w:cstheme="majorHAnsi"/>
          <w:sz w:val="22"/>
          <w:szCs w:val="22"/>
        </w:rPr>
        <w:t xml:space="preserve">) </w:t>
      </w:r>
      <w:r w:rsidRPr="00E87495">
        <w:rPr>
          <w:rFonts w:asciiTheme="majorHAnsi" w:hAnsiTheme="majorHAnsi" w:cstheme="majorHAnsi"/>
          <w:sz w:val="22"/>
          <w:szCs w:val="22"/>
        </w:rPr>
        <w:t>đối với các đạo luật của Quốc hộ</w:t>
      </w:r>
      <w:r w:rsidR="00330864" w:rsidRPr="00E87495">
        <w:rPr>
          <w:rFonts w:asciiTheme="majorHAnsi" w:hAnsiTheme="majorHAnsi" w:cstheme="majorHAnsi"/>
          <w:sz w:val="22"/>
          <w:szCs w:val="22"/>
        </w:rPr>
        <w:t xml:space="preserve">i cũng như </w:t>
      </w:r>
      <w:r w:rsidRPr="00E87495">
        <w:rPr>
          <w:rFonts w:asciiTheme="majorHAnsi" w:hAnsiTheme="majorHAnsi" w:cstheme="majorHAnsi"/>
          <w:sz w:val="22"/>
          <w:szCs w:val="22"/>
        </w:rPr>
        <w:t xml:space="preserve">các hành vi hành chính và </w:t>
      </w:r>
      <w:r w:rsidR="00330864" w:rsidRPr="00E87495">
        <w:rPr>
          <w:rFonts w:asciiTheme="majorHAnsi" w:hAnsiTheme="majorHAnsi" w:cstheme="majorHAnsi"/>
          <w:sz w:val="22"/>
          <w:szCs w:val="22"/>
        </w:rPr>
        <w:t>việc áp dụng pháp luật</w:t>
      </w:r>
      <w:r w:rsidRPr="00E87495">
        <w:rPr>
          <w:rFonts w:asciiTheme="majorHAnsi" w:hAnsiTheme="majorHAnsi" w:cstheme="majorHAnsi"/>
          <w:sz w:val="22"/>
          <w:szCs w:val="22"/>
        </w:rPr>
        <w:t xml:space="preserve"> của cơ quan hành pháp (Điều 81 Hiến pháp). Nhật Bản áp dụng </w:t>
      </w:r>
      <w:r w:rsidR="001B63FE" w:rsidRPr="00E87495">
        <w:rPr>
          <w:rFonts w:asciiTheme="majorHAnsi" w:hAnsiTheme="majorHAnsi" w:cstheme="majorHAnsi"/>
          <w:sz w:val="22"/>
          <w:szCs w:val="22"/>
        </w:rPr>
        <w:t xml:space="preserve">mô hình </w:t>
      </w:r>
      <w:r w:rsidRPr="00E87495">
        <w:rPr>
          <w:rFonts w:asciiTheme="majorHAnsi" w:hAnsiTheme="majorHAnsi" w:cstheme="majorHAnsi"/>
          <w:sz w:val="22"/>
          <w:szCs w:val="22"/>
        </w:rPr>
        <w:t xml:space="preserve">thẩm tra </w:t>
      </w:r>
      <w:r w:rsidR="001B63FE" w:rsidRPr="00E87495">
        <w:rPr>
          <w:rFonts w:asciiTheme="majorHAnsi" w:hAnsiTheme="majorHAnsi" w:cstheme="majorHAnsi"/>
          <w:sz w:val="22"/>
          <w:szCs w:val="22"/>
        </w:rPr>
        <w:t>vi hiến phụ thuộc</w:t>
      </w:r>
      <w:r w:rsidRPr="00E87495">
        <w:rPr>
          <w:rFonts w:asciiTheme="majorHAnsi" w:hAnsiTheme="majorHAnsi" w:cstheme="majorHAnsi"/>
          <w:sz w:val="22"/>
          <w:szCs w:val="22"/>
        </w:rPr>
        <w:t xml:space="preserve"> </w:t>
      </w:r>
      <w:r w:rsidR="001B63FE" w:rsidRPr="00E87495">
        <w:rPr>
          <w:rFonts w:asciiTheme="majorHAnsi" w:hAnsiTheme="majorHAnsi" w:cstheme="majorHAnsi"/>
          <w:sz w:val="22"/>
          <w:szCs w:val="22"/>
        </w:rPr>
        <w:t>giống như mô hình</w:t>
      </w:r>
      <w:r w:rsidRPr="00E87495">
        <w:rPr>
          <w:rFonts w:asciiTheme="majorHAnsi" w:hAnsiTheme="majorHAnsi" w:cstheme="majorHAnsi"/>
          <w:sz w:val="22"/>
          <w:szCs w:val="22"/>
        </w:rPr>
        <w:t xml:space="preserve"> của Hoa Kỳ</w:t>
      </w:r>
      <w:r w:rsidR="001B63FE" w:rsidRPr="00E87495">
        <w:rPr>
          <w:rFonts w:asciiTheme="majorHAnsi" w:hAnsiTheme="majorHAnsi" w:cstheme="majorHAnsi"/>
          <w:sz w:val="22"/>
          <w:szCs w:val="22"/>
        </w:rPr>
        <w:t xml:space="preserve">. Theo đó, Toà án chỉ có thể xem </w:t>
      </w:r>
      <w:r w:rsidR="001B63FE" w:rsidRPr="00E87495">
        <w:rPr>
          <w:rFonts w:asciiTheme="majorHAnsi" w:hAnsiTheme="majorHAnsi" w:cstheme="majorHAnsi"/>
          <w:sz w:val="22"/>
          <w:szCs w:val="22"/>
        </w:rPr>
        <w:lastRenderedPageBreak/>
        <w:t>xét tính vi hiến của hành vi hành chính hoặc văn bản pháp luật khi và chỉ khi có yêu cầu của bên bị thiệt hại bởi các hành vi vi hiến đó.</w:t>
      </w:r>
    </w:p>
    <w:p w14:paraId="6C5E3034" w14:textId="231E3675" w:rsidR="00151D80" w:rsidRPr="00E87495" w:rsidRDefault="003C6A7F" w:rsidP="00330864">
      <w:pPr>
        <w:spacing w:before="120" w:after="120" w:line="240" w:lineRule="auto"/>
        <w:ind w:firstLine="567"/>
        <w:rPr>
          <w:rFonts w:asciiTheme="majorHAnsi" w:hAnsiTheme="majorHAnsi" w:cstheme="majorHAnsi"/>
          <w:sz w:val="22"/>
          <w:szCs w:val="22"/>
          <w:shd w:val="clear" w:color="auto" w:fill="FCE5CD"/>
        </w:rPr>
      </w:pPr>
      <w:r w:rsidRPr="00E87495">
        <w:rPr>
          <w:rFonts w:asciiTheme="majorHAnsi" w:hAnsiTheme="majorHAnsi" w:cstheme="majorHAnsi"/>
          <w:sz w:val="22"/>
          <w:szCs w:val="22"/>
        </w:rPr>
        <w:t xml:space="preserve">Thông qua tổ chức bộ máy nhà nước theo cơ chế tam quyền phân lập, Nhật Bản hướng đến mở rộng quyền làm chủ của người dân vì </w:t>
      </w:r>
      <w:r w:rsidR="00330864" w:rsidRPr="00E87495">
        <w:rPr>
          <w:rFonts w:asciiTheme="majorHAnsi" w:hAnsiTheme="majorHAnsi" w:cstheme="majorHAnsi"/>
          <w:sz w:val="22"/>
          <w:szCs w:val="22"/>
        </w:rPr>
        <w:t>họ</w:t>
      </w:r>
      <w:r w:rsidRPr="00E87495">
        <w:rPr>
          <w:rFonts w:asciiTheme="majorHAnsi" w:hAnsiTheme="majorHAnsi" w:cstheme="majorHAnsi"/>
          <w:sz w:val="22"/>
          <w:szCs w:val="22"/>
        </w:rPr>
        <w:t xml:space="preserve"> là trung tâm của quyền lực</w:t>
      </w:r>
      <w:r w:rsidR="00330864" w:rsidRPr="00E87495">
        <w:rPr>
          <w:rFonts w:asciiTheme="majorHAnsi" w:hAnsiTheme="majorHAnsi" w:cstheme="majorHAnsi"/>
          <w:sz w:val="22"/>
          <w:szCs w:val="22"/>
        </w:rPr>
        <w:t xml:space="preserve"> và là chủ thể</w:t>
      </w:r>
      <w:r w:rsidRPr="00E87495">
        <w:rPr>
          <w:rFonts w:asciiTheme="majorHAnsi" w:hAnsiTheme="majorHAnsi" w:cstheme="majorHAnsi"/>
          <w:sz w:val="22"/>
          <w:szCs w:val="22"/>
        </w:rPr>
        <w:t xml:space="preserve"> mà Nội các và Quốc hội phải tôn trọng</w:t>
      </w:r>
      <w:r w:rsidR="009B06DD" w:rsidRPr="00E87495">
        <w:rPr>
          <w:rFonts w:asciiTheme="majorHAnsi" w:hAnsiTheme="majorHAnsi" w:cstheme="majorHAnsi"/>
          <w:sz w:val="22"/>
          <w:szCs w:val="22"/>
          <w:vertAlign w:val="superscript"/>
        </w:rPr>
        <w:t>4</w:t>
      </w:r>
      <w:r w:rsidRPr="00E87495">
        <w:rPr>
          <w:rFonts w:asciiTheme="majorHAnsi" w:hAnsiTheme="majorHAnsi" w:cstheme="majorHAnsi"/>
          <w:sz w:val="22"/>
          <w:szCs w:val="22"/>
        </w:rPr>
        <w:t>.</w:t>
      </w:r>
      <w:r w:rsidR="009D0320" w:rsidRPr="00E87495">
        <w:rPr>
          <w:rFonts w:asciiTheme="majorHAnsi" w:hAnsiTheme="majorHAnsi" w:cstheme="majorHAnsi"/>
          <w:sz w:val="22"/>
          <w:szCs w:val="22"/>
        </w:rPr>
        <w:t xml:space="preserve"> </w:t>
      </w:r>
      <w:r w:rsidR="00F37EB5" w:rsidRPr="00E87495">
        <w:rPr>
          <w:rFonts w:asciiTheme="majorHAnsi" w:hAnsiTheme="majorHAnsi" w:cstheme="majorHAnsi"/>
          <w:sz w:val="22"/>
          <w:szCs w:val="22"/>
        </w:rPr>
        <w:t>Cơ chế này không chỉ bảo đảm quyền lực của nhân dân mà còn</w:t>
      </w:r>
      <w:r w:rsidR="009D0320" w:rsidRPr="00E87495">
        <w:rPr>
          <w:rFonts w:asciiTheme="majorHAnsi" w:hAnsiTheme="majorHAnsi" w:cstheme="majorHAnsi"/>
          <w:sz w:val="22"/>
          <w:szCs w:val="22"/>
        </w:rPr>
        <w:t xml:space="preserve"> </w:t>
      </w:r>
      <w:r w:rsidR="00F37EB5" w:rsidRPr="00E87495">
        <w:rPr>
          <w:rFonts w:asciiTheme="majorHAnsi" w:hAnsiTheme="majorHAnsi" w:cstheme="majorHAnsi"/>
          <w:sz w:val="22"/>
          <w:szCs w:val="22"/>
        </w:rPr>
        <w:t>góp phần</w:t>
      </w:r>
      <w:r w:rsidR="009D0320" w:rsidRPr="00E87495">
        <w:rPr>
          <w:rFonts w:asciiTheme="majorHAnsi" w:hAnsiTheme="majorHAnsi" w:cstheme="majorHAnsi"/>
          <w:sz w:val="22"/>
          <w:szCs w:val="22"/>
        </w:rPr>
        <w:t xml:space="preserve"> đảm bảo sự </w:t>
      </w:r>
      <w:r w:rsidR="00330864" w:rsidRPr="00E87495">
        <w:rPr>
          <w:rFonts w:asciiTheme="majorHAnsi" w:hAnsiTheme="majorHAnsi" w:cstheme="majorHAnsi"/>
          <w:sz w:val="22"/>
          <w:szCs w:val="22"/>
        </w:rPr>
        <w:t>“đối trọng”</w:t>
      </w:r>
      <w:r w:rsidR="009D0320" w:rsidRPr="00E87495">
        <w:rPr>
          <w:rFonts w:asciiTheme="majorHAnsi" w:hAnsiTheme="majorHAnsi" w:cstheme="majorHAnsi"/>
          <w:sz w:val="22"/>
          <w:szCs w:val="22"/>
        </w:rPr>
        <w:t xml:space="preserve"> quyền lực</w:t>
      </w:r>
      <w:r w:rsidR="00F37EB5" w:rsidRPr="00E87495">
        <w:rPr>
          <w:rFonts w:asciiTheme="majorHAnsi" w:hAnsiTheme="majorHAnsi" w:cstheme="majorHAnsi"/>
          <w:sz w:val="22"/>
          <w:szCs w:val="22"/>
        </w:rPr>
        <w:t xml:space="preserve">, </w:t>
      </w:r>
      <w:r w:rsidR="00330864" w:rsidRPr="00E87495">
        <w:rPr>
          <w:rFonts w:asciiTheme="majorHAnsi" w:hAnsiTheme="majorHAnsi" w:cstheme="majorHAnsi"/>
          <w:sz w:val="22"/>
          <w:szCs w:val="22"/>
        </w:rPr>
        <w:t>cũng như “kìm chế”</w:t>
      </w:r>
      <w:r w:rsidR="009D0320" w:rsidRPr="00E87495">
        <w:rPr>
          <w:rFonts w:asciiTheme="majorHAnsi" w:hAnsiTheme="majorHAnsi" w:cstheme="majorHAnsi"/>
          <w:sz w:val="22"/>
          <w:szCs w:val="22"/>
        </w:rPr>
        <w:t xml:space="preserve"> lẫn nhau giữa </w:t>
      </w:r>
      <w:r w:rsidR="00330864" w:rsidRPr="00E87495">
        <w:rPr>
          <w:rFonts w:asciiTheme="majorHAnsi" w:hAnsiTheme="majorHAnsi" w:cstheme="majorHAnsi"/>
          <w:sz w:val="22"/>
          <w:szCs w:val="22"/>
        </w:rPr>
        <w:t>ba cơ quan:</w:t>
      </w:r>
      <w:r w:rsidR="00F37EB5" w:rsidRPr="00E87495">
        <w:rPr>
          <w:rFonts w:asciiTheme="majorHAnsi" w:hAnsiTheme="majorHAnsi" w:cstheme="majorHAnsi"/>
          <w:sz w:val="22"/>
          <w:szCs w:val="22"/>
        </w:rPr>
        <w:t xml:space="preserve"> lập pháp, hành pháp và tư pháp.</w:t>
      </w:r>
    </w:p>
    <w:p w14:paraId="746C1913" w14:textId="349BAA63" w:rsidR="00151D80" w:rsidRPr="00E87495" w:rsidRDefault="003C6A7F" w:rsidP="009B3D01">
      <w:pPr>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Về cơ cấu tổ chức, hệ thống tòa án Nhật Bản bao gồm tòa án tối cao và các tòa án khác lần lượt là tòa án cấp cao, tòa án địa phương, tòa án gia đình và tòa án giản đơn. Những tòa án này tiến hành xét xử</w:t>
      </w:r>
      <w:r w:rsidR="0065425E" w:rsidRPr="00E87495">
        <w:rPr>
          <w:rFonts w:asciiTheme="majorHAnsi" w:hAnsiTheme="majorHAnsi" w:cstheme="majorHAnsi"/>
          <w:sz w:val="22"/>
          <w:szCs w:val="22"/>
        </w:rPr>
        <w:t xml:space="preserve"> các</w:t>
      </w:r>
      <w:r w:rsidRPr="00E87495">
        <w:rPr>
          <w:rFonts w:asciiTheme="majorHAnsi" w:hAnsiTheme="majorHAnsi" w:cstheme="majorHAnsi"/>
          <w:sz w:val="22"/>
          <w:szCs w:val="22"/>
        </w:rPr>
        <w:t xml:space="preserve"> lĩnh vực</w:t>
      </w:r>
      <w:r w:rsidR="0065425E" w:rsidRPr="00E87495">
        <w:rPr>
          <w:rFonts w:asciiTheme="majorHAnsi" w:hAnsiTheme="majorHAnsi" w:cstheme="majorHAnsi"/>
          <w:sz w:val="22"/>
          <w:szCs w:val="22"/>
        </w:rPr>
        <w:t xml:space="preserve"> như</w:t>
      </w:r>
      <w:r w:rsidRPr="00E87495">
        <w:rPr>
          <w:rFonts w:asciiTheme="majorHAnsi" w:hAnsiTheme="majorHAnsi" w:cstheme="majorHAnsi"/>
          <w:sz w:val="22"/>
          <w:szCs w:val="22"/>
        </w:rPr>
        <w:t xml:space="preserve"> dân sự, hình sự, hành chính</w:t>
      </w:r>
      <w:r w:rsidR="0065425E" w:rsidRPr="00E87495">
        <w:rPr>
          <w:rFonts w:asciiTheme="majorHAnsi" w:hAnsiTheme="majorHAnsi" w:cstheme="majorHAnsi"/>
          <w:sz w:val="22"/>
          <w:szCs w:val="22"/>
        </w:rPr>
        <w:t>…</w:t>
      </w:r>
      <w:r w:rsidRPr="00E87495">
        <w:rPr>
          <w:rFonts w:asciiTheme="majorHAnsi" w:hAnsiTheme="majorHAnsi" w:cstheme="majorHAnsi"/>
          <w:sz w:val="22"/>
          <w:szCs w:val="22"/>
        </w:rPr>
        <w:t xml:space="preserve"> </w:t>
      </w:r>
      <w:r w:rsidR="00C248D6" w:rsidRPr="00E87495">
        <w:rPr>
          <w:rFonts w:asciiTheme="majorHAnsi" w:hAnsiTheme="majorHAnsi" w:cstheme="majorHAnsi"/>
          <w:sz w:val="22"/>
          <w:szCs w:val="22"/>
        </w:rPr>
        <w:t>theo</w:t>
      </w:r>
      <w:r w:rsidR="009D0320" w:rsidRPr="00E87495">
        <w:rPr>
          <w:rFonts w:asciiTheme="majorHAnsi" w:hAnsiTheme="majorHAnsi" w:cstheme="majorHAnsi"/>
          <w:sz w:val="22"/>
          <w:szCs w:val="22"/>
        </w:rPr>
        <w:t xml:space="preserve"> chế độ ba cấp xét xử.</w:t>
      </w:r>
      <w:r w:rsidR="00E32FF6" w:rsidRPr="00E87495">
        <w:rPr>
          <w:rFonts w:asciiTheme="majorHAnsi" w:hAnsiTheme="majorHAnsi" w:cstheme="majorHAnsi"/>
          <w:sz w:val="22"/>
          <w:szCs w:val="22"/>
        </w:rPr>
        <w:t xml:space="preserve"> </w:t>
      </w:r>
      <w:r w:rsidR="009D0320" w:rsidRPr="00E87495">
        <w:rPr>
          <w:rFonts w:asciiTheme="majorHAnsi" w:hAnsiTheme="majorHAnsi" w:cstheme="majorHAnsi"/>
          <w:sz w:val="22"/>
          <w:szCs w:val="22"/>
        </w:rPr>
        <w:t xml:space="preserve">Trong trường hợp </w:t>
      </w:r>
      <w:r w:rsidR="0065425E" w:rsidRPr="00E87495">
        <w:rPr>
          <w:rFonts w:asciiTheme="majorHAnsi" w:hAnsiTheme="majorHAnsi" w:cstheme="majorHAnsi"/>
          <w:sz w:val="22"/>
          <w:szCs w:val="22"/>
        </w:rPr>
        <w:t>các</w:t>
      </w:r>
      <w:r w:rsidR="009D0320" w:rsidRPr="00E87495">
        <w:rPr>
          <w:rFonts w:asciiTheme="majorHAnsi" w:hAnsiTheme="majorHAnsi" w:cstheme="majorHAnsi"/>
          <w:sz w:val="22"/>
          <w:szCs w:val="22"/>
        </w:rPr>
        <w:t xml:space="preserve"> bên đương sự không đồng ý với phán quyết, họ có quyền yêu cầu tòa án cấp cao hơn xem xét lại vụ</w:t>
      </w:r>
      <w:r w:rsidR="0065425E" w:rsidRPr="00E87495">
        <w:rPr>
          <w:rFonts w:asciiTheme="majorHAnsi" w:hAnsiTheme="majorHAnsi" w:cstheme="majorHAnsi"/>
          <w:sz w:val="22"/>
          <w:szCs w:val="22"/>
        </w:rPr>
        <w:t xml:space="preserve"> án ở cấp xét xử thứ hai và thứ ba.</w:t>
      </w:r>
      <w:r w:rsidR="00DE0FA1" w:rsidRPr="00E87495">
        <w:rPr>
          <w:rFonts w:asciiTheme="majorHAnsi" w:hAnsiTheme="majorHAnsi" w:cstheme="majorHAnsi"/>
          <w:sz w:val="22"/>
          <w:szCs w:val="22"/>
        </w:rPr>
        <w:t xml:space="preserve"> Mục tiêu của chế độ này là ngăn chặn sai sót trong hoạt động tư pháp và bảo vệ quyền lợi hợp pháp của công dân.</w:t>
      </w:r>
    </w:p>
    <w:p w14:paraId="720AD42D" w14:textId="3BA4BA75" w:rsidR="00151D80" w:rsidRPr="00E87495" w:rsidRDefault="003C6A7F" w:rsidP="009B3D01">
      <w:pPr>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Tòa án tối cao là tòa án có thẩm quyền cao nhất, có quyền xét xử đối với những vụ án bị thượng cáo, kháng nghị</w:t>
      </w:r>
      <w:r w:rsidR="00F21599" w:rsidRPr="00E87495">
        <w:rPr>
          <w:rFonts w:asciiTheme="majorHAnsi" w:hAnsiTheme="majorHAnsi" w:cstheme="majorHAnsi"/>
          <w:sz w:val="22"/>
          <w:szCs w:val="22"/>
        </w:rPr>
        <w:t xml:space="preserve"> dựa trên chế độ ba cấp xét xử. Ngoài ra</w:t>
      </w:r>
      <w:r w:rsidRPr="00E87495">
        <w:rPr>
          <w:rFonts w:asciiTheme="majorHAnsi" w:hAnsiTheme="majorHAnsi" w:cstheme="majorHAnsi"/>
          <w:sz w:val="22"/>
          <w:szCs w:val="22"/>
        </w:rPr>
        <w:t xml:space="preserve">, </w:t>
      </w:r>
      <w:r w:rsidR="00F21599" w:rsidRPr="00E87495">
        <w:rPr>
          <w:rFonts w:asciiTheme="majorHAnsi" w:hAnsiTheme="majorHAnsi" w:cstheme="majorHAnsi"/>
          <w:sz w:val="22"/>
          <w:szCs w:val="22"/>
        </w:rPr>
        <w:t>tòa án tối cao còn có quyền</w:t>
      </w:r>
      <w:r w:rsidRPr="00E87495">
        <w:rPr>
          <w:rFonts w:asciiTheme="majorHAnsi" w:hAnsiTheme="majorHAnsi" w:cstheme="majorHAnsi"/>
          <w:sz w:val="22"/>
          <w:szCs w:val="22"/>
        </w:rPr>
        <w:t xml:space="preserve"> quyết định những vấn đề liên quan đến kỷ luật nội bộ của tòa án và xử lý </w:t>
      </w:r>
      <w:r w:rsidR="0065425E" w:rsidRPr="00E87495">
        <w:rPr>
          <w:rFonts w:asciiTheme="majorHAnsi" w:hAnsiTheme="majorHAnsi" w:cstheme="majorHAnsi"/>
          <w:sz w:val="22"/>
          <w:szCs w:val="22"/>
        </w:rPr>
        <w:t>các hoạt động liên quan đến hành chính tư pháp.</w:t>
      </w:r>
    </w:p>
    <w:p w14:paraId="247AC04E" w14:textId="4E692D09" w:rsidR="00151D80" w:rsidRPr="00E87495" w:rsidRDefault="003C6A7F" w:rsidP="009B3D01">
      <w:pPr>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 xml:space="preserve">Tòa án cấp cao </w:t>
      </w:r>
      <w:r w:rsidR="00C248D6" w:rsidRPr="00E87495">
        <w:rPr>
          <w:rFonts w:asciiTheme="majorHAnsi" w:hAnsiTheme="majorHAnsi" w:cstheme="majorHAnsi"/>
          <w:sz w:val="22"/>
          <w:szCs w:val="22"/>
        </w:rPr>
        <w:t>có thẩm quyền xét xử</w:t>
      </w:r>
      <w:r w:rsidRPr="00E87495">
        <w:rPr>
          <w:rFonts w:asciiTheme="majorHAnsi" w:hAnsiTheme="majorHAnsi" w:cstheme="majorHAnsi"/>
          <w:sz w:val="22"/>
          <w:szCs w:val="22"/>
        </w:rPr>
        <w:t xml:space="preserve"> chỉ sau tòa án tối cao. Theo Luật Tòa án</w:t>
      </w:r>
      <w:r w:rsidR="0065425E" w:rsidRPr="00E87495">
        <w:rPr>
          <w:rFonts w:asciiTheme="majorHAnsi" w:hAnsiTheme="majorHAnsi" w:cstheme="majorHAnsi"/>
          <w:sz w:val="22"/>
          <w:szCs w:val="22"/>
        </w:rPr>
        <w:t xml:space="preserve"> hiện hành</w:t>
      </w:r>
      <w:r w:rsidRPr="00E87495">
        <w:rPr>
          <w:rFonts w:asciiTheme="majorHAnsi" w:hAnsiTheme="majorHAnsi" w:cstheme="majorHAnsi"/>
          <w:sz w:val="22"/>
          <w:szCs w:val="22"/>
        </w:rPr>
        <w:t xml:space="preserve">, tòa án cấp cao </w:t>
      </w:r>
      <w:r w:rsidR="00C248D6" w:rsidRPr="00E87495">
        <w:rPr>
          <w:rFonts w:asciiTheme="majorHAnsi" w:hAnsiTheme="majorHAnsi" w:cstheme="majorHAnsi"/>
          <w:sz w:val="22"/>
          <w:szCs w:val="22"/>
        </w:rPr>
        <w:t>nắm giữ</w:t>
      </w:r>
      <w:r w:rsidRPr="00E87495">
        <w:rPr>
          <w:rFonts w:asciiTheme="majorHAnsi" w:hAnsiTheme="majorHAnsi" w:cstheme="majorHAnsi"/>
          <w:sz w:val="22"/>
          <w:szCs w:val="22"/>
        </w:rPr>
        <w:t xml:space="preserve"> quyền </w:t>
      </w:r>
      <w:r w:rsidR="00C248D6" w:rsidRPr="00E87495">
        <w:rPr>
          <w:rFonts w:asciiTheme="majorHAnsi" w:hAnsiTheme="majorHAnsi" w:cstheme="majorHAnsi"/>
          <w:sz w:val="22"/>
          <w:szCs w:val="22"/>
        </w:rPr>
        <w:t>xét xử lại</w:t>
      </w:r>
      <w:r w:rsidRPr="00E87495">
        <w:rPr>
          <w:rFonts w:asciiTheme="majorHAnsi" w:hAnsiTheme="majorHAnsi" w:cstheme="majorHAnsi"/>
          <w:sz w:val="22"/>
          <w:szCs w:val="22"/>
        </w:rPr>
        <w:t xml:space="preserve"> bản án sơ thẩm của tòa án địa phương, bản án của tòa án gia đình, bản án hình sự của tòa án cấp sơ thẩm và có các quyền khác</w:t>
      </w:r>
      <w:r w:rsidR="000379C2" w:rsidRPr="00E87495">
        <w:rPr>
          <w:rFonts w:asciiTheme="majorHAnsi" w:hAnsiTheme="majorHAnsi" w:cstheme="majorHAnsi"/>
          <w:sz w:val="22"/>
          <w:szCs w:val="22"/>
        </w:rPr>
        <w:t xml:space="preserve"> (Điều 16)</w:t>
      </w:r>
      <w:r w:rsidRPr="00E87495">
        <w:rPr>
          <w:rFonts w:asciiTheme="majorHAnsi" w:hAnsiTheme="majorHAnsi" w:cstheme="majorHAnsi"/>
          <w:sz w:val="22"/>
          <w:szCs w:val="22"/>
        </w:rPr>
        <w:t xml:space="preserve">. </w:t>
      </w:r>
    </w:p>
    <w:p w14:paraId="143030DA" w14:textId="5CB17571" w:rsidR="00151D80" w:rsidRPr="00E87495" w:rsidRDefault="003C6A7F" w:rsidP="009B3D01">
      <w:pPr>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Tòa án địa phương có thẩm quyền xét xử sơ thẩm các vụ án dân sự và hình sự theo quy định tại Điều 24 của Luật Tòa án. Đối với vụ án dân sự, tòa án này xét xử các vụ việc có yêu cầu bồi thường từ 1,4 triệu yên trở lên</w:t>
      </w:r>
      <w:r w:rsidR="00C2041D" w:rsidRPr="00E87495">
        <w:rPr>
          <w:rFonts w:asciiTheme="majorHAnsi" w:hAnsiTheme="majorHAnsi" w:cstheme="majorHAnsi"/>
          <w:sz w:val="22"/>
          <w:szCs w:val="22"/>
        </w:rPr>
        <w:t xml:space="preserve"> (tương đương 231 triệu VND)</w:t>
      </w:r>
      <w:r w:rsidRPr="00E87495">
        <w:rPr>
          <w:rFonts w:asciiTheme="majorHAnsi" w:hAnsiTheme="majorHAnsi" w:cstheme="majorHAnsi"/>
          <w:sz w:val="22"/>
          <w:szCs w:val="22"/>
        </w:rPr>
        <w:t xml:space="preserve">, hoặc dưới mức này khi liên quan đến bất động sản tại địa phương. </w:t>
      </w:r>
      <w:r w:rsidR="00682D64" w:rsidRPr="00E87495">
        <w:rPr>
          <w:rFonts w:asciiTheme="majorHAnsi" w:hAnsiTheme="majorHAnsi" w:cstheme="majorHAnsi"/>
          <w:sz w:val="22"/>
          <w:szCs w:val="22"/>
        </w:rPr>
        <w:t xml:space="preserve">Đối với vụ án </w:t>
      </w:r>
      <w:r w:rsidRPr="00E87495">
        <w:rPr>
          <w:rFonts w:asciiTheme="majorHAnsi" w:hAnsiTheme="majorHAnsi" w:cstheme="majorHAnsi"/>
          <w:sz w:val="22"/>
          <w:szCs w:val="22"/>
        </w:rPr>
        <w:t xml:space="preserve">hình sự, tòa án địa phương xét xử sơ thẩm các tội phạm </w:t>
      </w:r>
      <w:r w:rsidR="00CC5C90" w:rsidRPr="00E87495">
        <w:rPr>
          <w:rFonts w:asciiTheme="majorHAnsi" w:hAnsiTheme="majorHAnsi" w:cstheme="majorHAnsi"/>
          <w:sz w:val="22"/>
          <w:szCs w:val="22"/>
        </w:rPr>
        <w:t xml:space="preserve">có hình phạt trên mức phạt tiền và những tội này </w:t>
      </w:r>
      <w:r w:rsidRPr="00E87495">
        <w:rPr>
          <w:rFonts w:asciiTheme="majorHAnsi" w:hAnsiTheme="majorHAnsi" w:cstheme="majorHAnsi"/>
          <w:sz w:val="22"/>
          <w:szCs w:val="22"/>
        </w:rPr>
        <w:t xml:space="preserve">không liên quan đến nội </w:t>
      </w:r>
      <w:r w:rsidR="00682D64" w:rsidRPr="00E87495">
        <w:rPr>
          <w:rFonts w:asciiTheme="majorHAnsi" w:hAnsiTheme="majorHAnsi" w:cstheme="majorHAnsi"/>
          <w:sz w:val="22"/>
          <w:szCs w:val="22"/>
        </w:rPr>
        <w:t>loạn được quy định</w:t>
      </w:r>
      <w:r w:rsidRPr="00E87495">
        <w:rPr>
          <w:rFonts w:asciiTheme="majorHAnsi" w:hAnsiTheme="majorHAnsi" w:cstheme="majorHAnsi"/>
          <w:sz w:val="22"/>
          <w:szCs w:val="22"/>
        </w:rPr>
        <w:t xml:space="preserve"> từ Điều 77 đến Điều 79 Luật Hình sự </w:t>
      </w:r>
      <w:r w:rsidR="00682D64" w:rsidRPr="00E87495">
        <w:rPr>
          <w:rFonts w:asciiTheme="majorHAnsi" w:hAnsiTheme="majorHAnsi" w:cstheme="majorHAnsi"/>
          <w:sz w:val="22"/>
          <w:szCs w:val="22"/>
        </w:rPr>
        <w:t>hiện hành</w:t>
      </w:r>
      <w:r w:rsidRPr="00E87495">
        <w:rPr>
          <w:rFonts w:asciiTheme="majorHAnsi" w:hAnsiTheme="majorHAnsi" w:cstheme="majorHAnsi"/>
          <w:sz w:val="22"/>
          <w:szCs w:val="22"/>
        </w:rPr>
        <w:t xml:space="preserve">. Tòa án địa phương cũng </w:t>
      </w:r>
      <w:r w:rsidR="00CC5C90" w:rsidRPr="00E87495">
        <w:rPr>
          <w:rFonts w:asciiTheme="majorHAnsi" w:hAnsiTheme="majorHAnsi" w:cstheme="majorHAnsi"/>
          <w:sz w:val="22"/>
          <w:szCs w:val="22"/>
        </w:rPr>
        <w:t>có thẩm quyền</w:t>
      </w:r>
      <w:r w:rsidRPr="00E87495">
        <w:rPr>
          <w:rFonts w:asciiTheme="majorHAnsi" w:hAnsiTheme="majorHAnsi" w:cstheme="majorHAnsi"/>
          <w:sz w:val="22"/>
          <w:szCs w:val="22"/>
        </w:rPr>
        <w:t xml:space="preserve"> xét xử </w:t>
      </w:r>
      <w:r w:rsidR="00682D64" w:rsidRPr="00E87495">
        <w:rPr>
          <w:rFonts w:asciiTheme="majorHAnsi" w:hAnsiTheme="majorHAnsi" w:cstheme="majorHAnsi"/>
          <w:sz w:val="22"/>
          <w:szCs w:val="22"/>
        </w:rPr>
        <w:t>phúc thẩm</w:t>
      </w:r>
      <w:r w:rsidRPr="00E87495">
        <w:rPr>
          <w:rFonts w:asciiTheme="majorHAnsi" w:hAnsiTheme="majorHAnsi" w:cstheme="majorHAnsi"/>
          <w:sz w:val="22"/>
          <w:szCs w:val="22"/>
        </w:rPr>
        <w:t xml:space="preserve"> đối với các bản án dân sự sơ thẩm của tòa án giản đơn.</w:t>
      </w:r>
    </w:p>
    <w:p w14:paraId="17CEDDBC" w14:textId="152633E5" w:rsidR="00151D80" w:rsidRPr="00E87495" w:rsidRDefault="003C6A7F" w:rsidP="009B3D01">
      <w:pPr>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 xml:space="preserve">Tòa án gia đình tương tự như Tòa án địa </w:t>
      </w:r>
      <w:r w:rsidRPr="00E87495">
        <w:rPr>
          <w:rFonts w:asciiTheme="majorHAnsi" w:hAnsiTheme="majorHAnsi" w:cstheme="majorHAnsi"/>
          <w:sz w:val="22"/>
          <w:szCs w:val="22"/>
        </w:rPr>
        <w:lastRenderedPageBreak/>
        <w:t>phương về số lượng tòa án được đặt tại các tỉnh thành. Tòa án này</w:t>
      </w:r>
      <w:r w:rsidR="00A960D7" w:rsidRPr="00E87495">
        <w:rPr>
          <w:rFonts w:asciiTheme="majorHAnsi" w:hAnsiTheme="majorHAnsi" w:cstheme="majorHAnsi"/>
          <w:sz w:val="22"/>
          <w:szCs w:val="22"/>
        </w:rPr>
        <w:t xml:space="preserve"> có thẩm quyền</w:t>
      </w:r>
      <w:r w:rsidRPr="00E87495">
        <w:rPr>
          <w:rFonts w:asciiTheme="majorHAnsi" w:hAnsiTheme="majorHAnsi" w:cstheme="majorHAnsi"/>
          <w:sz w:val="22"/>
          <w:szCs w:val="22"/>
        </w:rPr>
        <w:t xml:space="preserve"> xử lý các vụ việc liên quan đến gia đình và tội phạm vị thành niên. Đặc biệt, thủ tục tố tụng tại tòa án gia đình diễn ra không công khai.</w:t>
      </w:r>
    </w:p>
    <w:p w14:paraId="5966F1F1" w14:textId="0BAB3959" w:rsidR="00151D80" w:rsidRPr="00E87495" w:rsidRDefault="003C6A7F" w:rsidP="009B3D01">
      <w:pPr>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 xml:space="preserve">Tòa án giản đơn là tòa án có số lượng nhiều nhất. Theo Điều 33 Luật Tòa án, tòa án giản đơn có thẩm quyền xét xử sơ thẩm các vụ án có giá trị </w:t>
      </w:r>
      <w:r w:rsidR="00A960D7" w:rsidRPr="00E87495">
        <w:rPr>
          <w:rFonts w:asciiTheme="majorHAnsi" w:hAnsiTheme="majorHAnsi" w:cstheme="majorHAnsi"/>
          <w:sz w:val="22"/>
          <w:szCs w:val="22"/>
        </w:rPr>
        <w:t>tranh chấp</w:t>
      </w:r>
      <w:r w:rsidRPr="00E87495">
        <w:rPr>
          <w:rFonts w:asciiTheme="majorHAnsi" w:hAnsiTheme="majorHAnsi" w:cstheme="majorHAnsi"/>
          <w:sz w:val="22"/>
          <w:szCs w:val="22"/>
        </w:rPr>
        <w:t xml:space="preserve"> không vượt quá 1,4 triệu yên, cũng như các tội phạm có mức hình phạt từ phạt tiền trở xuống. Trong trường hợp xét thấy cần áp dụng hình phạt vượt giới hạn thẩm quyền, tòa án giản đơn sẽ chuyển vụ việc lên tòa án địa phương.</w:t>
      </w:r>
    </w:p>
    <w:p w14:paraId="5D5C9DDD" w14:textId="16F9B402" w:rsidR="00151D80" w:rsidRPr="00E87495" w:rsidRDefault="003C6A7F" w:rsidP="00451AB4">
      <w:pPr>
        <w:pStyle w:val="Heading2"/>
        <w:spacing w:before="120" w:after="120" w:line="240" w:lineRule="auto"/>
        <w:ind w:leftChars="0" w:left="0"/>
        <w:rPr>
          <w:rFonts w:asciiTheme="majorHAnsi" w:hAnsiTheme="majorHAnsi" w:cstheme="majorHAnsi"/>
          <w:b w:val="0"/>
          <w:bCs/>
          <w:szCs w:val="22"/>
        </w:rPr>
      </w:pPr>
      <w:bookmarkStart w:id="2" w:name="_heading=h.jfc8pg4n1lzm" w:colFirst="0" w:colLast="0"/>
      <w:bookmarkEnd w:id="2"/>
      <w:r w:rsidRPr="00E87495">
        <w:rPr>
          <w:rFonts w:asciiTheme="majorHAnsi" w:hAnsiTheme="majorHAnsi" w:cstheme="majorHAnsi"/>
          <w:b w:val="0"/>
          <w:bCs/>
          <w:szCs w:val="22"/>
        </w:rPr>
        <w:t>3.</w:t>
      </w:r>
      <w:r w:rsidR="0082148F" w:rsidRPr="00E87495">
        <w:rPr>
          <w:rFonts w:asciiTheme="majorHAnsi" w:hAnsiTheme="majorHAnsi" w:cstheme="majorHAnsi"/>
          <w:b w:val="0"/>
          <w:bCs/>
          <w:szCs w:val="22"/>
        </w:rPr>
        <w:t>1.</w:t>
      </w:r>
      <w:r w:rsidRPr="00E87495">
        <w:rPr>
          <w:rFonts w:asciiTheme="majorHAnsi" w:hAnsiTheme="majorHAnsi" w:cstheme="majorHAnsi"/>
          <w:b w:val="0"/>
          <w:bCs/>
          <w:szCs w:val="22"/>
        </w:rPr>
        <w:t>2. Quyền tham gia của người dân vào hoạt động xét xử của toà án</w:t>
      </w:r>
    </w:p>
    <w:p w14:paraId="308FF448" w14:textId="77777777" w:rsidR="009E5FD8" w:rsidRPr="00E87495" w:rsidRDefault="003C6A7F" w:rsidP="00D06882">
      <w:pPr>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Sự tham gia của người dân trong hoạt động xét xử đóng vai trò vô cùng quan trọng trong việc đảm bảo tính công bằng, minh bạch và hiệu quả của hệ thống tư pháp. Điều này giúp nâng cao giá trị dân chủ trong hoạt động quản lý nhà nước, tôn trọng ý kiến của công dân và khẳng định vai trò của họ trong hệ thống chính trị.</w:t>
      </w:r>
    </w:p>
    <w:p w14:paraId="2156F638" w14:textId="38690920" w:rsidR="00151D80" w:rsidRPr="00E87495" w:rsidRDefault="003C6A7F" w:rsidP="00D06882">
      <w:pPr>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 xml:space="preserve">Về mặt nguyên tắc, quyền tham gia xét xử của người dân đảm bảo thực hiện một trong những nguyên tắc cơ bản của nhà nước pháp quyền. Các chế độ như </w:t>
      </w:r>
      <w:r w:rsidR="00141203" w:rsidRPr="00E87495">
        <w:rPr>
          <w:rFonts w:asciiTheme="majorHAnsi" w:hAnsiTheme="majorHAnsi" w:cstheme="majorHAnsi"/>
          <w:sz w:val="22"/>
          <w:szCs w:val="22"/>
        </w:rPr>
        <w:t>TPV</w:t>
      </w:r>
      <w:r w:rsidRPr="00E87495">
        <w:rPr>
          <w:rFonts w:asciiTheme="majorHAnsi" w:hAnsiTheme="majorHAnsi" w:cstheme="majorHAnsi"/>
          <w:sz w:val="22"/>
          <w:szCs w:val="22"/>
        </w:rPr>
        <w:t>, tham thẩm hay bồi thẩm đã được thiết lập nhằm tương thích với nguyên tắc “</w:t>
      </w:r>
      <w:r w:rsidRPr="00E87495">
        <w:rPr>
          <w:rFonts w:asciiTheme="majorHAnsi" w:hAnsiTheme="majorHAnsi" w:cstheme="majorHAnsi"/>
          <w:i/>
          <w:sz w:val="22"/>
          <w:szCs w:val="22"/>
        </w:rPr>
        <w:t>chủ quyền thuộc về nhân dân</w:t>
      </w:r>
      <w:r w:rsidRPr="00E87495">
        <w:rPr>
          <w:rFonts w:asciiTheme="majorHAnsi" w:hAnsiTheme="majorHAnsi" w:cstheme="majorHAnsi"/>
          <w:sz w:val="22"/>
          <w:szCs w:val="22"/>
        </w:rPr>
        <w:t xml:space="preserve">” mà Hiến pháp </w:t>
      </w:r>
      <w:r w:rsidR="00D858F6" w:rsidRPr="00E87495">
        <w:rPr>
          <w:rFonts w:asciiTheme="majorHAnsi" w:hAnsiTheme="majorHAnsi" w:cstheme="majorHAnsi"/>
          <w:sz w:val="22"/>
          <w:szCs w:val="22"/>
        </w:rPr>
        <w:t xml:space="preserve">các quốc gia dân chủ </w:t>
      </w:r>
      <w:r w:rsidRPr="00E87495">
        <w:rPr>
          <w:rFonts w:asciiTheme="majorHAnsi" w:hAnsiTheme="majorHAnsi" w:cstheme="majorHAnsi"/>
          <w:sz w:val="22"/>
          <w:szCs w:val="22"/>
        </w:rPr>
        <w:t xml:space="preserve">quy định. Điều này không chỉ phản ánh quyền lợi của người dân mà còn tạo điều kiện cho họ đóng góp vào việc xây dựng một hệ thống tư pháp công bằng và hiệu quả. Bên cạnh đó, nhờ vào việc tham gia các phiên tòa, ý thức xã hội của người dân được </w:t>
      </w:r>
      <w:r w:rsidR="00D858F6" w:rsidRPr="00E87495">
        <w:rPr>
          <w:rFonts w:asciiTheme="majorHAnsi" w:hAnsiTheme="majorHAnsi" w:cstheme="majorHAnsi"/>
          <w:sz w:val="22"/>
          <w:szCs w:val="22"/>
        </w:rPr>
        <w:t>phản ánh rõ nét</w:t>
      </w:r>
      <w:r w:rsidRPr="00E87495">
        <w:rPr>
          <w:rFonts w:asciiTheme="majorHAnsi" w:hAnsiTheme="majorHAnsi" w:cstheme="majorHAnsi"/>
          <w:sz w:val="22"/>
          <w:szCs w:val="22"/>
        </w:rPr>
        <w:t xml:space="preserve"> và trở thành cơ sở cho việc đánh giá mức độ lành mạnh của xã hội</w:t>
      </w:r>
      <w:r w:rsidR="009B06DD" w:rsidRPr="00E87495">
        <w:rPr>
          <w:rFonts w:asciiTheme="majorHAnsi" w:hAnsiTheme="majorHAnsi" w:cstheme="majorHAnsi"/>
          <w:sz w:val="22"/>
          <w:szCs w:val="22"/>
          <w:vertAlign w:val="superscript"/>
        </w:rPr>
        <w:t>2</w:t>
      </w:r>
      <w:r w:rsidRPr="00E87495">
        <w:rPr>
          <w:rFonts w:asciiTheme="majorHAnsi" w:hAnsiTheme="majorHAnsi" w:cstheme="majorHAnsi"/>
          <w:sz w:val="22"/>
          <w:szCs w:val="22"/>
        </w:rPr>
        <w:t>.</w:t>
      </w:r>
    </w:p>
    <w:p w14:paraId="2030767F" w14:textId="6AEC05C0" w:rsidR="00151D80" w:rsidRPr="00E87495" w:rsidRDefault="003C6A7F" w:rsidP="00D06882">
      <w:pPr>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 xml:space="preserve">Về mặt thực tiễn, </w:t>
      </w:r>
      <w:r w:rsidR="009E5FD8" w:rsidRPr="00E87495">
        <w:rPr>
          <w:rFonts w:asciiTheme="majorHAnsi" w:hAnsiTheme="majorHAnsi" w:cstheme="majorHAnsi"/>
          <w:sz w:val="22"/>
          <w:szCs w:val="22"/>
        </w:rPr>
        <w:t>việc</w:t>
      </w:r>
      <w:r w:rsidRPr="00E87495">
        <w:rPr>
          <w:rFonts w:asciiTheme="majorHAnsi" w:hAnsiTheme="majorHAnsi" w:cstheme="majorHAnsi"/>
          <w:sz w:val="22"/>
          <w:szCs w:val="22"/>
        </w:rPr>
        <w:t xml:space="preserve"> người dân tham gia vào hoạt động tư pháp đóng vai trò quan trọng trong việc bảo đảm tính khách quan và không thiên vị trong quá trình xét xử. Những người dân</w:t>
      </w:r>
      <w:r w:rsidR="009E5FD8" w:rsidRPr="00E87495">
        <w:rPr>
          <w:rFonts w:asciiTheme="majorHAnsi" w:hAnsiTheme="majorHAnsi" w:cstheme="majorHAnsi"/>
          <w:sz w:val="22"/>
          <w:szCs w:val="22"/>
        </w:rPr>
        <w:t xml:space="preserve"> này </w:t>
      </w:r>
      <w:r w:rsidRPr="00E87495">
        <w:rPr>
          <w:rFonts w:asciiTheme="majorHAnsi" w:hAnsiTheme="majorHAnsi" w:cstheme="majorHAnsi"/>
          <w:sz w:val="22"/>
          <w:szCs w:val="22"/>
        </w:rPr>
        <w:t>được chọn từ những công dân bình thường không có chuyên môn pháp l</w:t>
      </w:r>
      <w:r w:rsidR="009E5FD8" w:rsidRPr="00E87495">
        <w:rPr>
          <w:rFonts w:asciiTheme="majorHAnsi" w:hAnsiTheme="majorHAnsi" w:cstheme="majorHAnsi"/>
          <w:sz w:val="22"/>
          <w:szCs w:val="22"/>
        </w:rPr>
        <w:t>uật</w:t>
      </w:r>
      <w:r w:rsidRPr="00E87495">
        <w:rPr>
          <w:rFonts w:asciiTheme="majorHAnsi" w:hAnsiTheme="majorHAnsi" w:cstheme="majorHAnsi"/>
          <w:sz w:val="22"/>
          <w:szCs w:val="22"/>
        </w:rPr>
        <w:t>, đại diện cho ý kiến cộng đồng và đưa ra phán quyết dựa trên đánh giá khách quan, không bị ảnh hưởng bởi lợ</w:t>
      </w:r>
      <w:r w:rsidR="009E5FD8" w:rsidRPr="00E87495">
        <w:rPr>
          <w:rFonts w:asciiTheme="majorHAnsi" w:hAnsiTheme="majorHAnsi" w:cstheme="majorHAnsi"/>
          <w:sz w:val="22"/>
          <w:szCs w:val="22"/>
        </w:rPr>
        <w:t xml:space="preserve">i ích nhóm, </w:t>
      </w:r>
      <w:r w:rsidRPr="00E87495">
        <w:rPr>
          <w:rFonts w:asciiTheme="majorHAnsi" w:hAnsiTheme="majorHAnsi" w:cstheme="majorHAnsi"/>
          <w:sz w:val="22"/>
          <w:szCs w:val="22"/>
        </w:rPr>
        <w:t>áp lực chính trị</w:t>
      </w:r>
      <w:r w:rsidR="009E5FD8" w:rsidRPr="00E87495">
        <w:rPr>
          <w:rFonts w:asciiTheme="majorHAnsi" w:hAnsiTheme="majorHAnsi" w:cstheme="majorHAnsi"/>
          <w:sz w:val="22"/>
          <w:szCs w:val="22"/>
        </w:rPr>
        <w:t xml:space="preserve"> hay các định kiến về tri thức pháp luật</w:t>
      </w:r>
      <w:r w:rsidR="0001485C" w:rsidRPr="00E87495">
        <w:rPr>
          <w:rFonts w:asciiTheme="majorHAnsi" w:hAnsiTheme="majorHAnsi" w:cstheme="majorHAnsi"/>
          <w:sz w:val="22"/>
          <w:szCs w:val="22"/>
        </w:rPr>
        <w:t>.</w:t>
      </w:r>
    </w:p>
    <w:p w14:paraId="7E3EA9CB" w14:textId="1AB94D3F" w:rsidR="00151D80" w:rsidRPr="00E87495" w:rsidRDefault="007C0D39" w:rsidP="00451AB4">
      <w:pPr>
        <w:pStyle w:val="Heading1"/>
        <w:spacing w:before="120" w:after="120" w:line="240" w:lineRule="auto"/>
        <w:rPr>
          <w:rFonts w:asciiTheme="majorHAnsi" w:hAnsiTheme="majorHAnsi" w:cstheme="majorHAnsi"/>
          <w:szCs w:val="22"/>
          <w:lang w:val="vi-VN"/>
        </w:rPr>
      </w:pPr>
      <w:r w:rsidRPr="00E87495">
        <w:rPr>
          <w:rFonts w:asciiTheme="majorHAnsi" w:hAnsiTheme="majorHAnsi" w:cstheme="majorHAnsi"/>
          <w:szCs w:val="22"/>
        </w:rPr>
        <w:t>3.2.</w:t>
      </w:r>
      <w:r w:rsidR="003C6A7F" w:rsidRPr="00E87495">
        <w:rPr>
          <w:rFonts w:asciiTheme="majorHAnsi" w:hAnsiTheme="majorHAnsi" w:cstheme="majorHAnsi"/>
          <w:szCs w:val="22"/>
        </w:rPr>
        <w:t xml:space="preserve"> </w:t>
      </w:r>
      <w:bookmarkStart w:id="3" w:name="_heading=h.tgrkbbzd8c3o" w:colFirst="0" w:colLast="0"/>
      <w:bookmarkEnd w:id="3"/>
      <w:r w:rsidR="00950AF6" w:rsidRPr="00E87495">
        <w:rPr>
          <w:rFonts w:asciiTheme="majorHAnsi" w:hAnsiTheme="majorHAnsi" w:cstheme="majorHAnsi"/>
          <w:szCs w:val="22"/>
        </w:rPr>
        <w:t>C</w:t>
      </w:r>
      <w:r w:rsidR="003930B4" w:rsidRPr="00E87495">
        <w:rPr>
          <w:rFonts w:asciiTheme="majorHAnsi" w:hAnsiTheme="majorHAnsi" w:cstheme="majorHAnsi"/>
          <w:szCs w:val="22"/>
          <w:lang w:val="vi-VN"/>
        </w:rPr>
        <w:t xml:space="preserve">hế độ </w:t>
      </w:r>
      <w:r w:rsidR="00830EEF" w:rsidRPr="00E87495">
        <w:rPr>
          <w:rFonts w:asciiTheme="majorHAnsi" w:hAnsiTheme="majorHAnsi" w:cstheme="majorHAnsi"/>
          <w:szCs w:val="22"/>
          <w:lang w:val="vi-VN"/>
        </w:rPr>
        <w:t>bồi thẩm</w:t>
      </w:r>
      <w:r w:rsidR="003930B4" w:rsidRPr="00E87495">
        <w:rPr>
          <w:rFonts w:asciiTheme="majorHAnsi" w:hAnsiTheme="majorHAnsi" w:cstheme="majorHAnsi"/>
          <w:szCs w:val="22"/>
          <w:lang w:val="vi-VN"/>
        </w:rPr>
        <w:t xml:space="preserve"> </w:t>
      </w:r>
      <w:r w:rsidR="002107B6" w:rsidRPr="00E87495">
        <w:rPr>
          <w:rFonts w:asciiTheme="majorHAnsi" w:hAnsiTheme="majorHAnsi" w:cstheme="majorHAnsi"/>
          <w:szCs w:val="22"/>
          <w:lang w:val="vi-VN"/>
        </w:rPr>
        <w:t>ở</w:t>
      </w:r>
      <w:r w:rsidR="003930B4" w:rsidRPr="00E87495">
        <w:rPr>
          <w:rFonts w:asciiTheme="majorHAnsi" w:hAnsiTheme="majorHAnsi" w:cstheme="majorHAnsi"/>
          <w:szCs w:val="22"/>
          <w:lang w:val="vi-VN"/>
        </w:rPr>
        <w:t xml:space="preserve"> Nhật</w:t>
      </w:r>
      <w:r w:rsidR="00950AF6" w:rsidRPr="00E87495">
        <w:rPr>
          <w:rFonts w:asciiTheme="majorHAnsi" w:hAnsiTheme="majorHAnsi" w:cstheme="majorHAnsi"/>
          <w:szCs w:val="22"/>
          <w:lang w:val="vi-VN"/>
        </w:rPr>
        <w:t>: nhân dân</w:t>
      </w:r>
      <w:r w:rsidR="00F62130" w:rsidRPr="00E87495">
        <w:rPr>
          <w:rFonts w:asciiTheme="majorHAnsi" w:hAnsiTheme="majorHAnsi" w:cstheme="majorHAnsi"/>
          <w:szCs w:val="22"/>
          <w:lang w:val="vi-VN"/>
        </w:rPr>
        <w:t xml:space="preserve"> tham gia vào hoạt động xét xử</w:t>
      </w:r>
    </w:p>
    <w:p w14:paraId="4504D1C6" w14:textId="69014763" w:rsidR="00151D80" w:rsidRPr="00E87495" w:rsidRDefault="007C0D39" w:rsidP="00451AB4">
      <w:pPr>
        <w:pStyle w:val="Heading2"/>
        <w:spacing w:before="120" w:after="120" w:line="240" w:lineRule="auto"/>
        <w:ind w:leftChars="0" w:left="0"/>
        <w:rPr>
          <w:rFonts w:asciiTheme="majorHAnsi" w:hAnsiTheme="majorHAnsi" w:cstheme="majorHAnsi"/>
          <w:szCs w:val="22"/>
          <w:lang w:val="vi-VN"/>
        </w:rPr>
      </w:pPr>
      <w:r w:rsidRPr="00E87495">
        <w:rPr>
          <w:rFonts w:asciiTheme="majorHAnsi" w:hAnsiTheme="majorHAnsi" w:cstheme="majorHAnsi"/>
          <w:szCs w:val="22"/>
          <w:lang w:val="vi-VN"/>
        </w:rPr>
        <w:t>3.2.1</w:t>
      </w:r>
      <w:r w:rsidR="00C90A6D" w:rsidRPr="00E87495">
        <w:rPr>
          <w:rFonts w:asciiTheme="majorHAnsi" w:hAnsiTheme="majorHAnsi" w:cstheme="majorHAnsi"/>
          <w:szCs w:val="22"/>
          <w:lang w:val="vi-VN"/>
        </w:rPr>
        <w:t>.</w:t>
      </w:r>
      <w:r w:rsidR="003C6A7F" w:rsidRPr="00E87495">
        <w:rPr>
          <w:rFonts w:asciiTheme="majorHAnsi" w:hAnsiTheme="majorHAnsi" w:cstheme="majorHAnsi"/>
          <w:szCs w:val="22"/>
          <w:lang w:val="vi-VN"/>
        </w:rPr>
        <w:t xml:space="preserve"> Bối cảnh</w:t>
      </w:r>
      <w:r w:rsidR="00183EC3" w:rsidRPr="00E87495">
        <w:rPr>
          <w:rFonts w:asciiTheme="majorHAnsi" w:hAnsiTheme="majorHAnsi" w:cstheme="majorHAnsi"/>
          <w:szCs w:val="22"/>
          <w:lang w:val="vi-VN"/>
        </w:rPr>
        <w:t xml:space="preserve"> ra đời</w:t>
      </w:r>
    </w:p>
    <w:p w14:paraId="64F06AAD" w14:textId="1131EE98" w:rsidR="00151D80" w:rsidRPr="00E87495" w:rsidRDefault="003C6A7F" w:rsidP="009B3D01">
      <w:pPr>
        <w:widowControl/>
        <w:spacing w:before="120" w:after="120" w:line="240" w:lineRule="auto"/>
        <w:ind w:firstLine="567"/>
        <w:rPr>
          <w:rFonts w:asciiTheme="majorHAnsi" w:hAnsiTheme="majorHAnsi" w:cstheme="majorHAnsi"/>
          <w:sz w:val="22"/>
          <w:szCs w:val="22"/>
          <w:lang w:val="vi-VN"/>
        </w:rPr>
      </w:pPr>
      <w:r w:rsidRPr="00E87495">
        <w:rPr>
          <w:rFonts w:asciiTheme="majorHAnsi" w:hAnsiTheme="majorHAnsi" w:cstheme="majorHAnsi"/>
          <w:sz w:val="22"/>
          <w:szCs w:val="22"/>
          <w:lang w:val="vi-VN"/>
        </w:rPr>
        <w:t xml:space="preserve">Một số quốc gia ghi nhận sự tham gia của nhân dân vào hoạt động xét xử của Tòa án từ rất </w:t>
      </w:r>
      <w:r w:rsidRPr="00E87495">
        <w:rPr>
          <w:rFonts w:asciiTheme="majorHAnsi" w:hAnsiTheme="majorHAnsi" w:cstheme="majorHAnsi"/>
          <w:sz w:val="22"/>
          <w:szCs w:val="22"/>
          <w:lang w:val="vi-VN"/>
        </w:rPr>
        <w:lastRenderedPageBreak/>
        <w:t>sớm. Hiện nay</w:t>
      </w:r>
      <w:r w:rsidR="0001485C" w:rsidRPr="00E87495">
        <w:rPr>
          <w:rFonts w:asciiTheme="majorHAnsi" w:hAnsiTheme="majorHAnsi" w:cstheme="majorHAnsi"/>
          <w:sz w:val="22"/>
          <w:szCs w:val="22"/>
          <w:lang w:val="vi-VN"/>
        </w:rPr>
        <w:t>, giới học thuật ghi nhận</w:t>
      </w:r>
      <w:r w:rsidRPr="00E87495">
        <w:rPr>
          <w:rFonts w:asciiTheme="majorHAnsi" w:hAnsiTheme="majorHAnsi" w:cstheme="majorHAnsi"/>
          <w:sz w:val="22"/>
          <w:szCs w:val="22"/>
          <w:lang w:val="vi-VN"/>
        </w:rPr>
        <w:t xml:space="preserve"> nhiều giả thuyết khác nhau xoay quanh sự </w:t>
      </w:r>
      <w:r w:rsidR="00F5075F" w:rsidRPr="00E87495">
        <w:rPr>
          <w:rFonts w:asciiTheme="majorHAnsi" w:hAnsiTheme="majorHAnsi" w:cstheme="majorHAnsi"/>
          <w:sz w:val="22"/>
          <w:szCs w:val="22"/>
          <w:lang w:val="vi-VN"/>
        </w:rPr>
        <w:t>ra đời</w:t>
      </w:r>
      <w:r w:rsidRPr="00E87495">
        <w:rPr>
          <w:rFonts w:asciiTheme="majorHAnsi" w:hAnsiTheme="majorHAnsi" w:cstheme="majorHAnsi"/>
          <w:sz w:val="22"/>
          <w:szCs w:val="22"/>
          <w:lang w:val="vi-VN"/>
        </w:rPr>
        <w:t xml:space="preserve"> của chế định tư pháp này</w:t>
      </w:r>
      <w:r w:rsidR="00F5075F" w:rsidRPr="00E87495">
        <w:rPr>
          <w:rFonts w:asciiTheme="majorHAnsi" w:hAnsiTheme="majorHAnsi" w:cstheme="majorHAnsi"/>
          <w:sz w:val="22"/>
          <w:szCs w:val="22"/>
          <w:lang w:val="vi-VN"/>
        </w:rPr>
        <w:t xml:space="preserve"> nhưng nổi bật nhất là</w:t>
      </w:r>
      <w:r w:rsidRPr="00E87495">
        <w:rPr>
          <w:rFonts w:asciiTheme="majorHAnsi" w:hAnsiTheme="majorHAnsi" w:cstheme="majorHAnsi"/>
          <w:sz w:val="22"/>
          <w:szCs w:val="22"/>
          <w:lang w:val="vi-VN"/>
        </w:rPr>
        <w:t xml:space="preserve"> giả thuyết cho rằng Đại Hiến chương năm 1215 của nước Anh chính là tiền đề cho sự ra đời của chế độ nhân dân tham gia vào hoạt động xét xử tại toà án</w:t>
      </w:r>
      <w:r w:rsidR="009B06DD" w:rsidRPr="00E87495">
        <w:rPr>
          <w:rFonts w:asciiTheme="majorHAnsi" w:hAnsiTheme="majorHAnsi" w:cstheme="majorHAnsi"/>
          <w:sz w:val="22"/>
          <w:szCs w:val="22"/>
          <w:vertAlign w:val="superscript"/>
          <w:lang w:val="vi-VN"/>
        </w:rPr>
        <w:t>3</w:t>
      </w:r>
      <w:r w:rsidRPr="00E87495">
        <w:rPr>
          <w:rFonts w:asciiTheme="majorHAnsi" w:hAnsiTheme="majorHAnsi" w:cstheme="majorHAnsi"/>
          <w:sz w:val="22"/>
          <w:szCs w:val="22"/>
          <w:lang w:val="vi-VN"/>
        </w:rPr>
        <w:t>. Ngày nay, chế độ nhân dân tham gia vào hoạt động xét xử được triển khai ở nhiều quố</w:t>
      </w:r>
      <w:r w:rsidR="0040077C" w:rsidRPr="00E87495">
        <w:rPr>
          <w:rFonts w:asciiTheme="majorHAnsi" w:hAnsiTheme="majorHAnsi" w:cstheme="majorHAnsi"/>
          <w:sz w:val="22"/>
          <w:szCs w:val="22"/>
          <w:lang w:val="vi-VN"/>
        </w:rPr>
        <w:t>c gia trên thế giới.</w:t>
      </w:r>
    </w:p>
    <w:p w14:paraId="76394F34" w14:textId="63D6BA8F" w:rsidR="00151D80" w:rsidRPr="00E87495" w:rsidRDefault="00F5075F" w:rsidP="00D06882">
      <w:pPr>
        <w:widowControl/>
        <w:spacing w:before="120" w:after="120" w:line="240" w:lineRule="auto"/>
        <w:ind w:firstLine="567"/>
        <w:rPr>
          <w:rFonts w:asciiTheme="majorHAnsi" w:hAnsiTheme="majorHAnsi" w:cstheme="majorHAnsi"/>
          <w:sz w:val="22"/>
          <w:szCs w:val="22"/>
          <w:lang w:val="vi-VN"/>
        </w:rPr>
      </w:pPr>
      <w:r w:rsidRPr="00E87495">
        <w:rPr>
          <w:rFonts w:asciiTheme="majorHAnsi" w:hAnsiTheme="majorHAnsi" w:cstheme="majorHAnsi"/>
          <w:sz w:val="22"/>
          <w:szCs w:val="22"/>
          <w:lang w:val="vi-VN"/>
        </w:rPr>
        <w:t>Ở</w:t>
      </w:r>
      <w:r w:rsidR="003C6A7F" w:rsidRPr="00E87495">
        <w:rPr>
          <w:rFonts w:asciiTheme="majorHAnsi" w:hAnsiTheme="majorHAnsi" w:cstheme="majorHAnsi"/>
          <w:sz w:val="22"/>
          <w:szCs w:val="22"/>
          <w:lang w:val="vi-VN"/>
        </w:rPr>
        <w:t xml:space="preserve"> Nhật Bản, chế độ nhân dân tham gia vào hoạt động xét xử tại tòa án được đưa ra thảo luận lần đầu dưới thời Thủ tướng Kato Tomosaburo </w:t>
      </w:r>
      <w:r w:rsidR="00636250" w:rsidRPr="00E87495">
        <w:rPr>
          <w:rFonts w:asciiTheme="majorHAnsi" w:hAnsiTheme="majorHAnsi" w:cstheme="majorHAnsi"/>
          <w:sz w:val="22"/>
          <w:szCs w:val="22"/>
          <w:lang w:val="vi-VN"/>
        </w:rPr>
        <w:t>theo mô hình</w:t>
      </w:r>
      <w:r w:rsidR="003C6A7F" w:rsidRPr="00E87495">
        <w:rPr>
          <w:rFonts w:asciiTheme="majorHAnsi" w:hAnsiTheme="majorHAnsi" w:cstheme="majorHAnsi"/>
          <w:sz w:val="22"/>
          <w:szCs w:val="22"/>
          <w:lang w:val="vi-VN"/>
        </w:rPr>
        <w:t xml:space="preserve"> chế độ bồi thẩm. </w:t>
      </w:r>
      <w:r w:rsidR="002E7968" w:rsidRPr="00E87495">
        <w:rPr>
          <w:rFonts w:asciiTheme="majorHAnsi" w:hAnsiTheme="majorHAnsi" w:cstheme="majorHAnsi"/>
          <w:sz w:val="22"/>
          <w:szCs w:val="22"/>
          <w:lang w:val="vi-VN"/>
        </w:rPr>
        <w:t>C</w:t>
      </w:r>
      <w:r w:rsidR="003C6A7F" w:rsidRPr="00E87495">
        <w:rPr>
          <w:rFonts w:asciiTheme="majorHAnsi" w:hAnsiTheme="majorHAnsi" w:cstheme="majorHAnsi"/>
          <w:sz w:val="22"/>
          <w:szCs w:val="22"/>
          <w:lang w:val="vi-VN"/>
        </w:rPr>
        <w:t>ải cách tư pháp trong</w:t>
      </w:r>
      <w:r w:rsidR="002E7968" w:rsidRPr="00E87495">
        <w:rPr>
          <w:rFonts w:asciiTheme="majorHAnsi" w:hAnsiTheme="majorHAnsi" w:cstheme="majorHAnsi"/>
          <w:sz w:val="22"/>
          <w:szCs w:val="22"/>
          <w:lang w:val="vi-VN"/>
        </w:rPr>
        <w:t xml:space="preserve"> thời kỳ</w:t>
      </w:r>
      <w:r w:rsidR="003C6A7F" w:rsidRPr="00E87495">
        <w:rPr>
          <w:rFonts w:asciiTheme="majorHAnsi" w:hAnsiTheme="majorHAnsi" w:cstheme="majorHAnsi"/>
          <w:sz w:val="22"/>
          <w:szCs w:val="22"/>
          <w:lang w:val="vi-VN"/>
        </w:rPr>
        <w:t xml:space="preserve"> </w:t>
      </w:r>
      <w:r w:rsidR="002E7968" w:rsidRPr="00E87495">
        <w:rPr>
          <w:rFonts w:asciiTheme="majorHAnsi" w:hAnsiTheme="majorHAnsi" w:cstheme="majorHAnsi"/>
          <w:sz w:val="22"/>
          <w:szCs w:val="22"/>
          <w:lang w:val="vi-VN"/>
        </w:rPr>
        <w:t xml:space="preserve">Dân chủ </w:t>
      </w:r>
      <w:r w:rsidR="003C6A7F" w:rsidRPr="00E87495">
        <w:rPr>
          <w:rFonts w:asciiTheme="majorHAnsi" w:hAnsiTheme="majorHAnsi" w:cstheme="majorHAnsi"/>
          <w:sz w:val="22"/>
          <w:szCs w:val="22"/>
          <w:lang w:val="vi-VN"/>
        </w:rPr>
        <w:t>Đạ</w:t>
      </w:r>
      <w:r w:rsidR="002E7968" w:rsidRPr="00E87495">
        <w:rPr>
          <w:rFonts w:asciiTheme="majorHAnsi" w:hAnsiTheme="majorHAnsi" w:cstheme="majorHAnsi"/>
          <w:sz w:val="22"/>
          <w:szCs w:val="22"/>
          <w:lang w:val="vi-VN"/>
        </w:rPr>
        <w:t xml:space="preserve">i Chính </w:t>
      </w:r>
      <w:r w:rsidR="003C6A7F" w:rsidRPr="00E87495">
        <w:rPr>
          <w:rFonts w:asciiTheme="majorHAnsi" w:hAnsiTheme="majorHAnsi" w:cstheme="majorHAnsi"/>
          <w:sz w:val="22"/>
          <w:szCs w:val="22"/>
          <w:lang w:val="vi-VN"/>
        </w:rPr>
        <w:t xml:space="preserve">(1912-1926) </w:t>
      </w:r>
      <w:r w:rsidR="002E7968" w:rsidRPr="00E87495">
        <w:rPr>
          <w:rFonts w:asciiTheme="majorHAnsi" w:hAnsiTheme="majorHAnsi" w:cstheme="majorHAnsi"/>
          <w:sz w:val="22"/>
          <w:szCs w:val="22"/>
          <w:lang w:val="vi-VN"/>
        </w:rPr>
        <w:t>được tiến hành</w:t>
      </w:r>
      <w:r w:rsidR="003C6A7F" w:rsidRPr="00E87495">
        <w:rPr>
          <w:rFonts w:asciiTheme="majorHAnsi" w:hAnsiTheme="majorHAnsi" w:cstheme="majorHAnsi"/>
          <w:sz w:val="22"/>
          <w:szCs w:val="22"/>
          <w:lang w:val="vi-VN"/>
        </w:rPr>
        <w:t xml:space="preserve"> </w:t>
      </w:r>
      <w:r w:rsidR="002E7968" w:rsidRPr="00E87495">
        <w:rPr>
          <w:rFonts w:asciiTheme="majorHAnsi" w:hAnsiTheme="majorHAnsi" w:cstheme="majorHAnsi"/>
          <w:sz w:val="22"/>
          <w:szCs w:val="22"/>
          <w:lang w:val="vi-VN"/>
        </w:rPr>
        <w:t>nhằm</w:t>
      </w:r>
      <w:r w:rsidR="003C6A7F" w:rsidRPr="00E87495">
        <w:rPr>
          <w:rFonts w:asciiTheme="majorHAnsi" w:hAnsiTheme="majorHAnsi" w:cstheme="majorHAnsi"/>
          <w:sz w:val="22"/>
          <w:szCs w:val="22"/>
          <w:lang w:val="vi-VN"/>
        </w:rPr>
        <w:t xml:space="preserve"> xây dựng một hệ thống vững mạnh </w:t>
      </w:r>
      <w:r w:rsidR="002E7968" w:rsidRPr="00E87495">
        <w:rPr>
          <w:rFonts w:asciiTheme="majorHAnsi" w:hAnsiTheme="majorHAnsi" w:cstheme="majorHAnsi"/>
          <w:sz w:val="22"/>
          <w:szCs w:val="22"/>
          <w:lang w:val="vi-VN"/>
        </w:rPr>
        <w:t>ghi nhận</w:t>
      </w:r>
      <w:r w:rsidR="003C6A7F" w:rsidRPr="00E87495">
        <w:rPr>
          <w:rFonts w:asciiTheme="majorHAnsi" w:hAnsiTheme="majorHAnsi" w:cstheme="majorHAnsi"/>
          <w:sz w:val="22"/>
          <w:szCs w:val="22"/>
          <w:lang w:val="vi-VN"/>
        </w:rPr>
        <w:t xml:space="preserve"> sự tham gia của nhân dân, góp phần củng cố niềm tin và nâng cao vai trò của nhân dân vào hệ thống pháp luật. Ngoài ra, vụ bê bối hối lộ liên quan đến Công ty Trách nhiệm hữu hạn Dai Nippon Seito (1907-1909) </w:t>
      </w:r>
      <w:r w:rsidR="00B55387" w:rsidRPr="00E87495">
        <w:rPr>
          <w:rFonts w:asciiTheme="majorHAnsi" w:hAnsiTheme="majorHAnsi" w:cstheme="majorHAnsi"/>
          <w:sz w:val="22"/>
          <w:szCs w:val="22"/>
          <w:lang w:val="vi-VN"/>
        </w:rPr>
        <w:t xml:space="preserve">được xem là một trong </w:t>
      </w:r>
      <w:r w:rsidR="00E16BE6" w:rsidRPr="00E87495">
        <w:rPr>
          <w:rFonts w:asciiTheme="majorHAnsi" w:hAnsiTheme="majorHAnsi" w:cstheme="majorHAnsi"/>
          <w:sz w:val="22"/>
          <w:szCs w:val="22"/>
          <w:lang w:val="vi-VN"/>
        </w:rPr>
        <w:t>những căn nguyên yêu cầu</w:t>
      </w:r>
      <w:r w:rsidR="003C6A7F" w:rsidRPr="00E87495">
        <w:rPr>
          <w:rFonts w:asciiTheme="majorHAnsi" w:hAnsiTheme="majorHAnsi" w:cstheme="majorHAnsi"/>
          <w:sz w:val="22"/>
          <w:szCs w:val="22"/>
          <w:lang w:val="vi-VN"/>
        </w:rPr>
        <w:t xml:space="preserve"> tăng cường sự minh bạch và trách nhiệm giải trình trong hệ thống tư pháp</w:t>
      </w:r>
      <w:r w:rsidR="00E16BE6" w:rsidRPr="00E87495">
        <w:rPr>
          <w:rFonts w:asciiTheme="majorHAnsi" w:hAnsiTheme="majorHAnsi" w:cstheme="majorHAnsi"/>
          <w:sz w:val="22"/>
          <w:szCs w:val="22"/>
          <w:vertAlign w:val="superscript"/>
          <w:lang w:val="vi-VN"/>
        </w:rPr>
        <w:t>7</w:t>
      </w:r>
      <w:r w:rsidR="003C6A7F" w:rsidRPr="00E87495">
        <w:rPr>
          <w:rFonts w:asciiTheme="majorHAnsi" w:hAnsiTheme="majorHAnsi" w:cstheme="majorHAnsi"/>
          <w:sz w:val="22"/>
          <w:szCs w:val="22"/>
          <w:lang w:val="vi-VN"/>
        </w:rPr>
        <w:t xml:space="preserve">. Đây chính là những yếu tố thúc đẩy trực tiếp cho việc áp dụng chế độ bồi thẩm tại Nhật Bản thời bấy giờ. </w:t>
      </w:r>
    </w:p>
    <w:p w14:paraId="0FA06E5C" w14:textId="08D820F7" w:rsidR="00151D80" w:rsidRPr="00E87495" w:rsidRDefault="003C6A7F" w:rsidP="00D06882">
      <w:pPr>
        <w:widowControl/>
        <w:spacing w:before="120" w:after="120" w:line="240" w:lineRule="auto"/>
        <w:ind w:firstLine="567"/>
        <w:rPr>
          <w:rFonts w:asciiTheme="majorHAnsi" w:hAnsiTheme="majorHAnsi" w:cstheme="majorHAnsi"/>
          <w:sz w:val="22"/>
          <w:szCs w:val="22"/>
          <w:lang w:val="vi-VN"/>
        </w:rPr>
      </w:pPr>
      <w:r w:rsidRPr="00E87495">
        <w:rPr>
          <w:rFonts w:asciiTheme="majorHAnsi" w:hAnsiTheme="majorHAnsi" w:cstheme="majorHAnsi"/>
          <w:sz w:val="22"/>
          <w:szCs w:val="22"/>
          <w:lang w:val="vi-VN"/>
        </w:rPr>
        <w:t>Tuy nhiên, việc đề xuất triển khai chế độ bồi thẩm chịu phản đối mạnh mẽ từ nhiều phí</w:t>
      </w:r>
      <w:r w:rsidR="00CC6D2D" w:rsidRPr="00E87495">
        <w:rPr>
          <w:rFonts w:asciiTheme="majorHAnsi" w:hAnsiTheme="majorHAnsi" w:cstheme="majorHAnsi"/>
          <w:sz w:val="22"/>
          <w:szCs w:val="22"/>
          <w:lang w:val="vi-VN"/>
        </w:rPr>
        <w:t>a</w:t>
      </w:r>
      <w:r w:rsidRPr="00E87495">
        <w:rPr>
          <w:rFonts w:asciiTheme="majorHAnsi" w:hAnsiTheme="majorHAnsi" w:cstheme="majorHAnsi"/>
          <w:sz w:val="22"/>
          <w:szCs w:val="22"/>
          <w:lang w:val="vi-VN"/>
        </w:rPr>
        <w:t xml:space="preserve">. Một số nhà lập pháp và quan chức tư pháp lo ngại bồi thẩm đoàn có thể dẫn đến phán quyết không công bằng và làm giảm tính chuyên môn của </w:t>
      </w:r>
      <w:r w:rsidR="00501DC7" w:rsidRPr="00E87495">
        <w:rPr>
          <w:rFonts w:asciiTheme="majorHAnsi" w:hAnsiTheme="majorHAnsi" w:cstheme="majorHAnsi"/>
          <w:sz w:val="22"/>
          <w:szCs w:val="22"/>
          <w:lang w:val="vi-VN"/>
        </w:rPr>
        <w:t>thẩm phán</w:t>
      </w:r>
      <w:r w:rsidRPr="00E87495">
        <w:rPr>
          <w:rFonts w:asciiTheme="majorHAnsi" w:hAnsiTheme="majorHAnsi" w:cstheme="majorHAnsi"/>
          <w:sz w:val="22"/>
          <w:szCs w:val="22"/>
          <w:lang w:val="vi-VN"/>
        </w:rPr>
        <w:t>. Bất chấp những phản đối xoay quanh chế độ bồi thẩm, thủ tướng Hara Takashi và đồng minh chính trị đã nỗ lực thuyết phục các bên liên quan và điều chỉnh dự luật để giải quyết những lo ngại này. Ông là nhân vật quan trọng trong việc thúc đẩy thông qua Luật Bồi thẩm</w:t>
      </w:r>
      <w:r w:rsidR="00DE4A20" w:rsidRPr="00E87495">
        <w:rPr>
          <w:rFonts w:asciiTheme="majorHAnsi" w:hAnsiTheme="majorHAnsi" w:cstheme="majorHAnsi"/>
          <w:sz w:val="22"/>
          <w:szCs w:val="22"/>
          <w:lang w:val="vi-VN"/>
        </w:rPr>
        <w:t xml:space="preserve"> (</w:t>
      </w:r>
      <w:r w:rsidR="00DE4A20" w:rsidRPr="00E87495">
        <w:rPr>
          <w:rFonts w:asciiTheme="majorHAnsi" w:hAnsiTheme="majorHAnsi" w:cstheme="majorHAnsi" w:hint="eastAsia"/>
          <w:sz w:val="22"/>
          <w:szCs w:val="22"/>
          <w:lang w:val="vi-VN"/>
        </w:rPr>
        <w:t>陪審法</w:t>
      </w:r>
      <w:r w:rsidR="00DE4A20" w:rsidRPr="00E87495">
        <w:rPr>
          <w:rFonts w:asciiTheme="majorHAnsi" w:hAnsiTheme="majorHAnsi" w:cstheme="majorHAnsi"/>
          <w:sz w:val="22"/>
          <w:szCs w:val="22"/>
          <w:lang w:val="vi-VN"/>
        </w:rPr>
        <w:t>)</w:t>
      </w:r>
      <w:r w:rsidRPr="00E87495">
        <w:rPr>
          <w:rFonts w:asciiTheme="majorHAnsi" w:hAnsiTheme="majorHAnsi" w:cstheme="majorHAnsi"/>
          <w:sz w:val="22"/>
          <w:szCs w:val="22"/>
          <w:lang w:val="vi-VN"/>
        </w:rPr>
        <w:t>. Sau nhiều nỗ lực, năm 1923, Luật Bồi thẩm được ban hành và chính thức có hiệu lực áp dụng từ ngày 1 tháng 10 năm 1928. Đây là một bước tiến quan trọng đối với nền tư pháp</w:t>
      </w:r>
      <w:r w:rsidR="00181172" w:rsidRPr="00E87495">
        <w:rPr>
          <w:rFonts w:asciiTheme="majorHAnsi" w:hAnsiTheme="majorHAnsi" w:cstheme="majorHAnsi"/>
          <w:sz w:val="22"/>
          <w:szCs w:val="22"/>
          <w:lang w:val="vi-VN"/>
        </w:rPr>
        <w:t>.</w:t>
      </w:r>
      <w:r w:rsidRPr="00E87495">
        <w:rPr>
          <w:rFonts w:asciiTheme="majorHAnsi" w:hAnsiTheme="majorHAnsi" w:cstheme="majorHAnsi"/>
          <w:sz w:val="22"/>
          <w:szCs w:val="22"/>
          <w:lang w:val="vi-VN"/>
        </w:rPr>
        <w:t xml:space="preserve"> </w:t>
      </w:r>
      <w:r w:rsidR="00181172" w:rsidRPr="00E87495">
        <w:rPr>
          <w:rFonts w:asciiTheme="majorHAnsi" w:hAnsiTheme="majorHAnsi" w:cstheme="majorHAnsi"/>
          <w:sz w:val="22"/>
          <w:szCs w:val="22"/>
          <w:lang w:val="vi-VN"/>
        </w:rPr>
        <w:t>D</w:t>
      </w:r>
      <w:r w:rsidRPr="00E87495">
        <w:rPr>
          <w:rFonts w:asciiTheme="majorHAnsi" w:hAnsiTheme="majorHAnsi" w:cstheme="majorHAnsi"/>
          <w:sz w:val="22"/>
          <w:szCs w:val="22"/>
          <w:lang w:val="vi-VN"/>
        </w:rPr>
        <w:t>o đó</w:t>
      </w:r>
      <w:r w:rsidR="00181172" w:rsidRPr="00E87495">
        <w:rPr>
          <w:rFonts w:asciiTheme="majorHAnsi" w:hAnsiTheme="majorHAnsi" w:cstheme="majorHAnsi"/>
          <w:sz w:val="22"/>
          <w:szCs w:val="22"/>
          <w:lang w:val="vi-VN"/>
        </w:rPr>
        <w:t>,</w:t>
      </w:r>
      <w:r w:rsidRPr="00E87495">
        <w:rPr>
          <w:rFonts w:asciiTheme="majorHAnsi" w:hAnsiTheme="majorHAnsi" w:cstheme="majorHAnsi"/>
          <w:sz w:val="22"/>
          <w:szCs w:val="22"/>
          <w:lang w:val="vi-VN"/>
        </w:rPr>
        <w:t xml:space="preserve"> Nhật Bản đã lấy ngày 1 tháng 10 làm Ngày Pháp luật Nhật Bản</w:t>
      </w:r>
      <w:r w:rsidR="004D5A8E" w:rsidRPr="00E87495">
        <w:rPr>
          <w:rFonts w:asciiTheme="majorHAnsi" w:hAnsiTheme="majorHAnsi" w:cstheme="majorHAnsi"/>
          <w:sz w:val="22"/>
          <w:szCs w:val="22"/>
          <w:vertAlign w:val="superscript"/>
          <w:lang w:val="vi-VN"/>
        </w:rPr>
        <w:t>7</w:t>
      </w:r>
      <w:r w:rsidRPr="00E87495">
        <w:rPr>
          <w:rFonts w:asciiTheme="majorHAnsi" w:hAnsiTheme="majorHAnsi" w:cstheme="majorHAnsi"/>
          <w:sz w:val="22"/>
          <w:szCs w:val="22"/>
          <w:lang w:val="vi-VN"/>
        </w:rPr>
        <w:t>.</w:t>
      </w:r>
    </w:p>
    <w:p w14:paraId="18B68BA0" w14:textId="665EB807" w:rsidR="00151D80" w:rsidRPr="00E87495" w:rsidRDefault="00C90A6D" w:rsidP="00451AB4">
      <w:pPr>
        <w:pStyle w:val="Heading2"/>
        <w:spacing w:before="120" w:after="120" w:line="240" w:lineRule="auto"/>
        <w:ind w:leftChars="0" w:left="0"/>
        <w:rPr>
          <w:rFonts w:asciiTheme="majorHAnsi" w:hAnsiTheme="majorHAnsi" w:cstheme="majorHAnsi"/>
          <w:szCs w:val="22"/>
          <w:lang w:val="vi-VN"/>
        </w:rPr>
      </w:pPr>
      <w:bookmarkStart w:id="4" w:name="_heading=h.elr9j1ulcawa" w:colFirst="0" w:colLast="0"/>
      <w:bookmarkEnd w:id="4"/>
      <w:r w:rsidRPr="00E87495">
        <w:rPr>
          <w:rFonts w:asciiTheme="majorHAnsi" w:hAnsiTheme="majorHAnsi" w:cstheme="majorHAnsi"/>
          <w:szCs w:val="22"/>
          <w:lang w:val="vi-VN"/>
        </w:rPr>
        <w:t>3.2.2.</w:t>
      </w:r>
      <w:r w:rsidR="003C6A7F" w:rsidRPr="00E87495">
        <w:rPr>
          <w:rFonts w:asciiTheme="majorHAnsi" w:hAnsiTheme="majorHAnsi" w:cstheme="majorHAnsi"/>
          <w:szCs w:val="22"/>
          <w:lang w:val="vi-VN"/>
        </w:rPr>
        <w:t xml:space="preserve"> Luật </w:t>
      </w:r>
      <w:r w:rsidR="00E76E15" w:rsidRPr="00E87495">
        <w:rPr>
          <w:rFonts w:asciiTheme="majorHAnsi" w:hAnsiTheme="majorHAnsi" w:cstheme="majorHAnsi" w:hint="eastAsia"/>
          <w:szCs w:val="22"/>
          <w:lang w:val="vi-VN"/>
        </w:rPr>
        <w:t>B</w:t>
      </w:r>
      <w:r w:rsidR="00E76E15" w:rsidRPr="00E87495">
        <w:rPr>
          <w:rFonts w:asciiTheme="majorHAnsi" w:hAnsiTheme="majorHAnsi" w:cstheme="majorHAnsi"/>
          <w:szCs w:val="22"/>
          <w:lang w:val="vi-VN"/>
        </w:rPr>
        <w:t>ồ</w:t>
      </w:r>
      <w:r w:rsidR="00E76E15" w:rsidRPr="00E87495">
        <w:rPr>
          <w:rFonts w:asciiTheme="majorHAnsi" w:hAnsiTheme="majorHAnsi" w:cstheme="majorHAnsi" w:hint="eastAsia"/>
          <w:szCs w:val="22"/>
          <w:lang w:val="vi-VN"/>
        </w:rPr>
        <w:t>i th</w:t>
      </w:r>
      <w:r w:rsidR="00E76E15" w:rsidRPr="00E87495">
        <w:rPr>
          <w:rFonts w:asciiTheme="majorHAnsi" w:hAnsiTheme="majorHAnsi" w:cstheme="majorHAnsi"/>
          <w:szCs w:val="22"/>
          <w:lang w:val="vi-VN"/>
        </w:rPr>
        <w:t>ẩ</w:t>
      </w:r>
      <w:r w:rsidR="00E76E15" w:rsidRPr="00E87495">
        <w:rPr>
          <w:rFonts w:asciiTheme="majorHAnsi" w:hAnsiTheme="majorHAnsi" w:cstheme="majorHAnsi" w:hint="eastAsia"/>
          <w:szCs w:val="22"/>
          <w:lang w:val="vi-VN"/>
        </w:rPr>
        <w:t>m 1923</w:t>
      </w:r>
      <w:r w:rsidR="00183EC3" w:rsidRPr="00E87495">
        <w:rPr>
          <w:rFonts w:asciiTheme="majorHAnsi" w:hAnsiTheme="majorHAnsi" w:cstheme="majorHAnsi"/>
          <w:szCs w:val="22"/>
          <w:lang w:val="vi-VN"/>
        </w:rPr>
        <w:t>: căn cứ ghi nhận sự tham gia của nhân dân vào</w:t>
      </w:r>
      <w:r w:rsidR="00183EC3" w:rsidRPr="00E87495">
        <w:rPr>
          <w:lang w:val="vi-VN"/>
        </w:rPr>
        <w:t xml:space="preserve"> </w:t>
      </w:r>
      <w:r w:rsidR="00183EC3" w:rsidRPr="00E87495">
        <w:rPr>
          <w:rFonts w:asciiTheme="majorHAnsi" w:hAnsiTheme="majorHAnsi" w:cstheme="majorHAnsi"/>
          <w:szCs w:val="22"/>
          <w:lang w:val="vi-VN"/>
        </w:rPr>
        <w:t>hoạt động xét xử</w:t>
      </w:r>
    </w:p>
    <w:p w14:paraId="2E17488D" w14:textId="66787EB1" w:rsidR="00151D80" w:rsidRPr="00E87495" w:rsidRDefault="003C6A7F" w:rsidP="00D06882">
      <w:pPr>
        <w:widowControl/>
        <w:spacing w:before="120" w:after="120" w:line="240" w:lineRule="auto"/>
        <w:ind w:firstLine="567"/>
        <w:rPr>
          <w:rFonts w:asciiTheme="majorHAnsi" w:hAnsiTheme="majorHAnsi" w:cstheme="majorHAnsi"/>
          <w:sz w:val="22"/>
          <w:szCs w:val="22"/>
          <w:lang w:val="vi-VN"/>
        </w:rPr>
      </w:pPr>
      <w:r w:rsidRPr="00E87495">
        <w:rPr>
          <w:rFonts w:asciiTheme="majorHAnsi" w:hAnsiTheme="majorHAnsi" w:cstheme="majorHAnsi"/>
          <w:sz w:val="22"/>
          <w:szCs w:val="22"/>
          <w:lang w:val="vi-VN"/>
        </w:rPr>
        <w:t>Luật Bồi thẩm 1923 của Nhật Bản đã quy định chi tiết các vấn đề liên quan đến hoạt động xét xử có sự tham gia của bồi thẩm đoàn tại phiên tòa. Theo đó, số lượng bồi thẩm đoàn của một vụ án là 12 người</w:t>
      </w:r>
      <w:r w:rsidR="0007083F" w:rsidRPr="00E87495">
        <w:rPr>
          <w:rFonts w:asciiTheme="majorHAnsi" w:hAnsiTheme="majorHAnsi" w:cstheme="majorHAnsi"/>
          <w:sz w:val="22"/>
          <w:szCs w:val="22"/>
          <w:lang w:val="vi-VN"/>
        </w:rPr>
        <w:t xml:space="preserve"> (Điều 19 Luật Bồi thẩm)</w:t>
      </w:r>
      <w:r w:rsidRPr="00E87495">
        <w:rPr>
          <w:rFonts w:asciiTheme="majorHAnsi" w:hAnsiTheme="majorHAnsi" w:cstheme="majorHAnsi"/>
          <w:sz w:val="22"/>
          <w:szCs w:val="22"/>
          <w:lang w:val="vi-VN"/>
        </w:rPr>
        <w:t>. Đ</w:t>
      </w:r>
      <w:r w:rsidR="00254FA5" w:rsidRPr="00E87495">
        <w:rPr>
          <w:rFonts w:asciiTheme="majorHAnsi" w:hAnsiTheme="majorHAnsi" w:cstheme="majorHAnsi"/>
          <w:sz w:val="22"/>
          <w:szCs w:val="22"/>
          <w:lang w:val="vi-VN"/>
        </w:rPr>
        <w:t>iều kiện để</w:t>
      </w:r>
      <w:r w:rsidRPr="00E87495">
        <w:rPr>
          <w:rFonts w:asciiTheme="majorHAnsi" w:hAnsiTheme="majorHAnsi" w:cstheme="majorHAnsi"/>
          <w:sz w:val="22"/>
          <w:szCs w:val="22"/>
          <w:lang w:val="vi-VN"/>
        </w:rPr>
        <w:t xml:space="preserve"> trở thành </w:t>
      </w:r>
      <w:r w:rsidR="00254FA5" w:rsidRPr="00E87495">
        <w:rPr>
          <w:rFonts w:asciiTheme="majorHAnsi" w:hAnsiTheme="majorHAnsi" w:cstheme="majorHAnsi"/>
          <w:sz w:val="22"/>
          <w:szCs w:val="22"/>
          <w:lang w:val="vi-VN"/>
        </w:rPr>
        <w:t xml:space="preserve">thành viên của </w:t>
      </w:r>
      <w:r w:rsidRPr="00E87495">
        <w:rPr>
          <w:rFonts w:asciiTheme="majorHAnsi" w:hAnsiTheme="majorHAnsi" w:cstheme="majorHAnsi"/>
          <w:sz w:val="22"/>
          <w:szCs w:val="22"/>
          <w:lang w:val="vi-VN"/>
        </w:rPr>
        <w:t xml:space="preserve">bồi thẩm đoàn bao gồm: (1) công dân nam từ 30 tuổi trở lên; (2) biết đọc và viết; (3) cư trú liên tục trong cùng một thành phố, thị trấn hoặc thôn xã </w:t>
      </w:r>
      <w:r w:rsidR="00254FA5" w:rsidRPr="00E87495">
        <w:rPr>
          <w:rFonts w:asciiTheme="majorHAnsi" w:hAnsiTheme="majorHAnsi" w:cstheme="majorHAnsi"/>
          <w:sz w:val="22"/>
          <w:szCs w:val="22"/>
          <w:lang w:val="vi-VN"/>
        </w:rPr>
        <w:t>(</w:t>
      </w:r>
      <w:r w:rsidR="00254FA5" w:rsidRPr="00E87495">
        <w:rPr>
          <w:rFonts w:asciiTheme="majorHAnsi" w:hAnsiTheme="majorHAnsi" w:cstheme="majorHAnsi" w:hint="eastAsia"/>
          <w:sz w:val="22"/>
          <w:szCs w:val="22"/>
          <w:lang w:val="vi-VN"/>
        </w:rPr>
        <w:t>市町村</w:t>
      </w:r>
      <w:r w:rsidR="00254FA5" w:rsidRPr="00E87495">
        <w:rPr>
          <w:rFonts w:asciiTheme="majorHAnsi" w:hAnsiTheme="majorHAnsi" w:cstheme="majorHAnsi" w:hint="eastAsia"/>
          <w:sz w:val="22"/>
          <w:szCs w:val="22"/>
          <w:lang w:val="vi-VN"/>
        </w:rPr>
        <w:t>)</w:t>
      </w:r>
      <w:r w:rsidR="00254FA5" w:rsidRPr="00E87495">
        <w:rPr>
          <w:rFonts w:asciiTheme="majorHAnsi" w:hAnsiTheme="majorHAnsi" w:cstheme="majorHAnsi"/>
          <w:sz w:val="22"/>
          <w:szCs w:val="22"/>
          <w:lang w:val="vi-VN"/>
        </w:rPr>
        <w:t xml:space="preserve"> </w:t>
      </w:r>
      <w:r w:rsidRPr="00E87495">
        <w:rPr>
          <w:rFonts w:asciiTheme="majorHAnsi" w:hAnsiTheme="majorHAnsi" w:cstheme="majorHAnsi"/>
          <w:sz w:val="22"/>
          <w:szCs w:val="22"/>
          <w:lang w:val="vi-VN"/>
        </w:rPr>
        <w:t xml:space="preserve">trong hai năm trở lên; (4) nộp thuế từ ba yên trở lên liên </w:t>
      </w:r>
      <w:r w:rsidRPr="00E87495">
        <w:rPr>
          <w:rFonts w:asciiTheme="majorHAnsi" w:hAnsiTheme="majorHAnsi" w:cstheme="majorHAnsi"/>
          <w:sz w:val="22"/>
          <w:szCs w:val="22"/>
          <w:lang w:val="vi-VN"/>
        </w:rPr>
        <w:lastRenderedPageBreak/>
        <w:t>tục trong hai năm trở lên</w:t>
      </w:r>
      <w:r w:rsidR="00254FA5" w:rsidRPr="00E87495">
        <w:rPr>
          <w:rFonts w:asciiTheme="majorHAnsi" w:hAnsiTheme="majorHAnsi" w:cstheme="majorHAnsi"/>
          <w:sz w:val="22"/>
          <w:szCs w:val="22"/>
          <w:lang w:val="vi-VN"/>
        </w:rPr>
        <w:t xml:space="preserve"> (Điều 12 Luật Bồi thẩm)</w:t>
      </w:r>
      <w:r w:rsidRPr="00E87495">
        <w:rPr>
          <w:rFonts w:asciiTheme="majorHAnsi" w:hAnsiTheme="majorHAnsi" w:cstheme="majorHAnsi"/>
          <w:sz w:val="22"/>
          <w:szCs w:val="22"/>
          <w:lang w:val="vi-VN"/>
        </w:rPr>
        <w:t>. Sau đó, bồi thẩm đoàn sẽ được lựa chọn bằng cách rút thăm ngẫu nhiên trong danh sách những người có đủ điều kiện quy định theo quy định t</w:t>
      </w:r>
      <w:r w:rsidR="0007083F" w:rsidRPr="00E87495">
        <w:rPr>
          <w:rFonts w:asciiTheme="majorHAnsi" w:hAnsiTheme="majorHAnsi" w:cstheme="majorHAnsi"/>
          <w:sz w:val="22"/>
          <w:szCs w:val="22"/>
          <w:lang w:val="vi-VN"/>
        </w:rPr>
        <w:t>ừ</w:t>
      </w:r>
      <w:r w:rsidRPr="00E87495">
        <w:rPr>
          <w:rFonts w:asciiTheme="majorHAnsi" w:hAnsiTheme="majorHAnsi" w:cstheme="majorHAnsi"/>
          <w:sz w:val="22"/>
          <w:szCs w:val="22"/>
          <w:lang w:val="vi-VN"/>
        </w:rPr>
        <w:t xml:space="preserve"> Điều 12 đến Điều 15 Luật Bồi thẩm 1923. </w:t>
      </w:r>
    </w:p>
    <w:p w14:paraId="4E471161" w14:textId="083F39D1" w:rsidR="00151D80" w:rsidRPr="00E87495" w:rsidRDefault="003C6A7F" w:rsidP="009B3D01">
      <w:pPr>
        <w:widowControl/>
        <w:spacing w:before="120" w:after="120" w:line="240" w:lineRule="auto"/>
        <w:ind w:firstLine="567"/>
        <w:rPr>
          <w:rFonts w:asciiTheme="majorHAnsi" w:hAnsiTheme="majorHAnsi" w:cstheme="majorHAnsi"/>
          <w:sz w:val="22"/>
          <w:szCs w:val="22"/>
          <w:lang w:val="vi-VN"/>
        </w:rPr>
      </w:pPr>
      <w:r w:rsidRPr="00E87495">
        <w:rPr>
          <w:rFonts w:asciiTheme="majorHAnsi" w:hAnsiTheme="majorHAnsi" w:cstheme="majorHAnsi"/>
          <w:sz w:val="22"/>
          <w:szCs w:val="22"/>
          <w:lang w:val="vi-VN"/>
        </w:rPr>
        <w:t xml:space="preserve">Thời bấy giờ, chế độ bồi thẩm chỉ được áp dụng đối với vụ án hình sự nghiêm trọng (Điều 2 Luật Bồi thẩm) hoặc khi có yêu cầu của bị cáo trong các vụ án có thể bị phạt tù với thời hạn trên 3 năm (Điều 3 Luật Bồi thẩm). Tuy nhiên, các tội thuộc thẩm quyền đặc biệt của </w:t>
      </w:r>
      <w:r w:rsidR="000F6A48" w:rsidRPr="00E87495">
        <w:rPr>
          <w:rFonts w:asciiTheme="majorHAnsi" w:hAnsiTheme="majorHAnsi" w:cstheme="majorHAnsi"/>
          <w:sz w:val="22"/>
          <w:szCs w:val="22"/>
          <w:lang w:val="vi-VN"/>
        </w:rPr>
        <w:t>tòa án tối cao</w:t>
      </w:r>
      <w:r w:rsidRPr="00E87495">
        <w:rPr>
          <w:rFonts w:asciiTheme="majorHAnsi" w:hAnsiTheme="majorHAnsi" w:cstheme="majorHAnsi"/>
          <w:sz w:val="22"/>
          <w:szCs w:val="22"/>
          <w:lang w:val="vi-VN"/>
        </w:rPr>
        <w:t xml:space="preserve">, tội liên quan đến bí mật quân sự, bầu cử công </w:t>
      </w:r>
      <w:r w:rsidR="00344D9C" w:rsidRPr="00E87495">
        <w:rPr>
          <w:rFonts w:asciiTheme="majorHAnsi" w:hAnsiTheme="majorHAnsi" w:cstheme="majorHAnsi"/>
          <w:sz w:val="22"/>
          <w:szCs w:val="22"/>
          <w:lang w:val="vi-VN"/>
        </w:rPr>
        <w:t>khai...</w:t>
      </w:r>
      <w:r w:rsidRPr="00E87495">
        <w:rPr>
          <w:rFonts w:asciiTheme="majorHAnsi" w:hAnsiTheme="majorHAnsi" w:cstheme="majorHAnsi"/>
          <w:sz w:val="22"/>
          <w:szCs w:val="22"/>
          <w:lang w:val="vi-VN"/>
        </w:rPr>
        <w:t xml:space="preserve"> sẽ không được đưa ra xét xử bởi bồi thẩm đoàn. Trong vụ án có sự tham gia của bồi thẩm đoàn, bị cáo phải từ bỏ quyền kháng cáo. Bởi lẽ, các phán quyết được tòa án đưa ra dựa trên các kết luận của bồi thẩm đoàn không thể bị kháng cáo</w:t>
      </w:r>
      <w:r w:rsidR="00701C13" w:rsidRPr="00E87495">
        <w:rPr>
          <w:rFonts w:asciiTheme="majorHAnsi" w:hAnsiTheme="majorHAnsi" w:cstheme="majorHAnsi"/>
          <w:sz w:val="22"/>
          <w:szCs w:val="22"/>
          <w:lang w:val="vi-VN"/>
        </w:rPr>
        <w:t xml:space="preserve"> (Điều 101 Luật Bồi thẩm)</w:t>
      </w:r>
      <w:r w:rsidRPr="00E87495">
        <w:rPr>
          <w:rFonts w:asciiTheme="majorHAnsi" w:hAnsiTheme="majorHAnsi" w:cstheme="majorHAnsi"/>
          <w:sz w:val="22"/>
          <w:szCs w:val="22"/>
          <w:lang w:val="vi-VN"/>
        </w:rPr>
        <w:t>, trừ trường hợp có các lý do đặc biệt như các bồi thẩm đoàn không được thành lập hợp pháp</w:t>
      </w:r>
      <w:r w:rsidR="00701C13" w:rsidRPr="00E87495">
        <w:rPr>
          <w:rFonts w:asciiTheme="majorHAnsi" w:hAnsiTheme="majorHAnsi" w:cstheme="majorHAnsi"/>
          <w:sz w:val="22"/>
          <w:szCs w:val="22"/>
          <w:lang w:val="vi-VN"/>
        </w:rPr>
        <w:t xml:space="preserve"> (Điều </w:t>
      </w:r>
      <w:r w:rsidR="001B7465" w:rsidRPr="00E87495">
        <w:rPr>
          <w:rFonts w:asciiTheme="majorHAnsi" w:hAnsiTheme="majorHAnsi" w:cstheme="majorHAnsi"/>
          <w:sz w:val="22"/>
          <w:szCs w:val="22"/>
          <w:lang w:val="vi-VN"/>
        </w:rPr>
        <w:t>103</w:t>
      </w:r>
      <w:r w:rsidR="00701C13" w:rsidRPr="00E87495">
        <w:rPr>
          <w:rFonts w:asciiTheme="majorHAnsi" w:hAnsiTheme="majorHAnsi" w:cstheme="majorHAnsi"/>
          <w:sz w:val="22"/>
          <w:szCs w:val="22"/>
          <w:lang w:val="vi-VN"/>
        </w:rPr>
        <w:t xml:space="preserve"> Luật Bồi thẩm)</w:t>
      </w:r>
      <w:r w:rsidRPr="00E87495">
        <w:rPr>
          <w:rFonts w:asciiTheme="majorHAnsi" w:hAnsiTheme="majorHAnsi" w:cstheme="majorHAnsi"/>
          <w:sz w:val="22"/>
          <w:szCs w:val="22"/>
          <w:lang w:val="vi-VN"/>
        </w:rPr>
        <w:t xml:space="preserve">. </w:t>
      </w:r>
    </w:p>
    <w:p w14:paraId="17728D02" w14:textId="0AF22A9A" w:rsidR="00151D80" w:rsidRPr="00E87495" w:rsidRDefault="005C75DB" w:rsidP="009B3D01">
      <w:pPr>
        <w:widowControl/>
        <w:spacing w:before="120" w:after="120" w:line="240" w:lineRule="auto"/>
        <w:ind w:firstLine="567"/>
        <w:rPr>
          <w:rFonts w:asciiTheme="majorHAnsi" w:hAnsiTheme="majorHAnsi" w:cstheme="majorHAnsi"/>
          <w:sz w:val="22"/>
          <w:szCs w:val="22"/>
          <w:lang w:val="vi-VN"/>
        </w:rPr>
      </w:pPr>
      <w:r w:rsidRPr="00E87495">
        <w:rPr>
          <w:rFonts w:asciiTheme="majorHAnsi" w:hAnsiTheme="majorHAnsi" w:cstheme="majorHAnsi"/>
          <w:sz w:val="22"/>
          <w:szCs w:val="22"/>
          <w:lang w:val="vi-VN"/>
        </w:rPr>
        <w:t xml:space="preserve">Để đảm bảo không vi phạm tính độc lập của </w:t>
      </w:r>
      <w:r w:rsidR="00501DC7" w:rsidRPr="00E87495">
        <w:rPr>
          <w:rFonts w:asciiTheme="majorHAnsi" w:hAnsiTheme="majorHAnsi" w:cstheme="majorHAnsi"/>
          <w:sz w:val="22"/>
          <w:szCs w:val="22"/>
          <w:lang w:val="vi-VN"/>
        </w:rPr>
        <w:t>thẩm phán</w:t>
      </w:r>
      <w:r w:rsidRPr="00E87495">
        <w:rPr>
          <w:rFonts w:asciiTheme="majorHAnsi" w:hAnsiTheme="majorHAnsi" w:cstheme="majorHAnsi"/>
          <w:sz w:val="22"/>
          <w:szCs w:val="22"/>
          <w:lang w:val="vi-VN"/>
        </w:rPr>
        <w:t>, Luật Bồi thẩm đã trải qua ba lần sửa đổi. Theo đó, thẩm phán sẽ là người có thẩm quyền đưa ra phán quyết cuối cùng trong một vụ án mà không chịu sự chi phối bởi quyết định của bồi thẩm đoàn</w:t>
      </w:r>
      <w:r w:rsidR="001B7465" w:rsidRPr="00E87495">
        <w:rPr>
          <w:rFonts w:asciiTheme="majorHAnsi" w:hAnsiTheme="majorHAnsi" w:cstheme="majorHAnsi"/>
          <w:sz w:val="22"/>
          <w:szCs w:val="22"/>
          <w:lang w:val="vi-VN"/>
        </w:rPr>
        <w:t xml:space="preserve"> (Điều 12 Luật Bồi thẩm)</w:t>
      </w:r>
      <w:r w:rsidRPr="00E87495">
        <w:rPr>
          <w:rFonts w:asciiTheme="majorHAnsi" w:hAnsiTheme="majorHAnsi" w:cstheme="majorHAnsi"/>
          <w:sz w:val="22"/>
          <w:szCs w:val="22"/>
          <w:lang w:val="vi-VN"/>
        </w:rPr>
        <w:t xml:space="preserve">. </w:t>
      </w:r>
      <w:r w:rsidR="00E76E15" w:rsidRPr="00E87495">
        <w:rPr>
          <w:rFonts w:asciiTheme="majorHAnsi" w:hAnsiTheme="majorHAnsi" w:cstheme="majorHAnsi" w:hint="eastAsia"/>
          <w:sz w:val="22"/>
          <w:szCs w:val="22"/>
          <w:lang w:val="vi-VN"/>
        </w:rPr>
        <w:t>Tuy nhiên,</w:t>
      </w:r>
      <w:r w:rsidRPr="00E87495">
        <w:rPr>
          <w:rFonts w:asciiTheme="majorHAnsi" w:hAnsiTheme="majorHAnsi" w:cstheme="majorHAnsi"/>
          <w:sz w:val="22"/>
          <w:szCs w:val="22"/>
          <w:lang w:val="vi-VN"/>
        </w:rPr>
        <w:t xml:space="preserve"> thay đổi này</w:t>
      </w:r>
      <w:r w:rsidR="00E76E15" w:rsidRPr="00E87495">
        <w:rPr>
          <w:rFonts w:asciiTheme="majorHAnsi" w:hAnsiTheme="majorHAnsi" w:cstheme="majorHAnsi" w:hint="eastAsia"/>
          <w:sz w:val="22"/>
          <w:szCs w:val="22"/>
          <w:lang w:val="vi-VN"/>
        </w:rPr>
        <w:t xml:space="preserve"> l</w:t>
      </w:r>
      <w:r w:rsidR="00E76E15" w:rsidRPr="00E87495">
        <w:rPr>
          <w:rFonts w:asciiTheme="majorHAnsi" w:hAnsiTheme="majorHAnsi" w:cstheme="majorHAnsi"/>
          <w:sz w:val="22"/>
          <w:szCs w:val="22"/>
          <w:lang w:val="vi-VN"/>
        </w:rPr>
        <w:t>ạ</w:t>
      </w:r>
      <w:r w:rsidR="00E76E15" w:rsidRPr="00E87495">
        <w:rPr>
          <w:rFonts w:asciiTheme="majorHAnsi" w:hAnsiTheme="majorHAnsi" w:cstheme="majorHAnsi" w:hint="eastAsia"/>
          <w:sz w:val="22"/>
          <w:szCs w:val="22"/>
          <w:lang w:val="vi-VN"/>
        </w:rPr>
        <w:t>i</w:t>
      </w:r>
      <w:r w:rsidRPr="00E87495">
        <w:rPr>
          <w:rFonts w:asciiTheme="majorHAnsi" w:hAnsiTheme="majorHAnsi" w:cstheme="majorHAnsi"/>
          <w:sz w:val="22"/>
          <w:szCs w:val="22"/>
          <w:lang w:val="vi-VN"/>
        </w:rPr>
        <w:t xml:space="preserve"> </w:t>
      </w:r>
      <w:r w:rsidR="00E76E15" w:rsidRPr="00E87495">
        <w:rPr>
          <w:rFonts w:asciiTheme="majorHAnsi" w:hAnsiTheme="majorHAnsi" w:cstheme="majorHAnsi" w:hint="eastAsia"/>
          <w:sz w:val="22"/>
          <w:szCs w:val="22"/>
          <w:lang w:val="vi-VN"/>
        </w:rPr>
        <w:t>không đ</w:t>
      </w:r>
      <w:r w:rsidR="00E76E15" w:rsidRPr="00E87495">
        <w:rPr>
          <w:rFonts w:asciiTheme="majorHAnsi" w:hAnsiTheme="majorHAnsi" w:cstheme="majorHAnsi"/>
          <w:sz w:val="22"/>
          <w:szCs w:val="22"/>
          <w:lang w:val="vi-VN"/>
        </w:rPr>
        <w:t>ả</w:t>
      </w:r>
      <w:r w:rsidR="00E76E15" w:rsidRPr="00E87495">
        <w:rPr>
          <w:rFonts w:asciiTheme="majorHAnsi" w:hAnsiTheme="majorHAnsi" w:cstheme="majorHAnsi" w:hint="eastAsia"/>
          <w:sz w:val="22"/>
          <w:szCs w:val="22"/>
          <w:lang w:val="vi-VN"/>
        </w:rPr>
        <w:t>m b</w:t>
      </w:r>
      <w:r w:rsidR="00E76E15" w:rsidRPr="00E87495">
        <w:rPr>
          <w:rFonts w:asciiTheme="majorHAnsi" w:hAnsiTheme="majorHAnsi" w:cstheme="majorHAnsi"/>
          <w:sz w:val="22"/>
          <w:szCs w:val="22"/>
          <w:lang w:val="vi-VN"/>
        </w:rPr>
        <w:t>ả</w:t>
      </w:r>
      <w:r w:rsidR="00E76E15" w:rsidRPr="00E87495">
        <w:rPr>
          <w:rFonts w:asciiTheme="majorHAnsi" w:hAnsiTheme="majorHAnsi" w:cstheme="majorHAnsi" w:hint="eastAsia"/>
          <w:sz w:val="22"/>
          <w:szCs w:val="22"/>
          <w:lang w:val="vi-VN"/>
        </w:rPr>
        <w:t xml:space="preserve">o </w:t>
      </w:r>
      <w:r w:rsidRPr="00E87495">
        <w:rPr>
          <w:rFonts w:asciiTheme="majorHAnsi" w:hAnsiTheme="majorHAnsi" w:cstheme="majorHAnsi"/>
          <w:sz w:val="22"/>
          <w:szCs w:val="22"/>
          <w:lang w:val="vi-VN"/>
        </w:rPr>
        <w:t xml:space="preserve">sự tham gia của người dân vào hệ thống tư pháp Nhật Bản. Bên cạnh đó, các chuyên gia pháp luật và cả người dân còn cho rằng bồi thẩm đoàn không có đủ năng lực và kinh nghiệm để đưa ra phán quyết chính xác như </w:t>
      </w:r>
      <w:r w:rsidR="00501DC7" w:rsidRPr="00E87495">
        <w:rPr>
          <w:rFonts w:asciiTheme="majorHAnsi" w:hAnsiTheme="majorHAnsi" w:cstheme="majorHAnsi"/>
          <w:sz w:val="22"/>
          <w:szCs w:val="22"/>
          <w:lang w:val="vi-VN"/>
        </w:rPr>
        <w:t>thẩm phán</w:t>
      </w:r>
      <w:r w:rsidR="004D5A8E" w:rsidRPr="00E87495">
        <w:rPr>
          <w:rFonts w:asciiTheme="majorHAnsi" w:hAnsiTheme="majorHAnsi" w:cstheme="majorHAnsi"/>
          <w:sz w:val="22"/>
          <w:szCs w:val="22"/>
          <w:vertAlign w:val="superscript"/>
          <w:lang w:val="vi-VN"/>
        </w:rPr>
        <w:t>7</w:t>
      </w:r>
      <w:r w:rsidRPr="00E87495">
        <w:rPr>
          <w:rFonts w:asciiTheme="majorHAnsi" w:hAnsiTheme="majorHAnsi" w:cstheme="majorHAnsi"/>
          <w:sz w:val="22"/>
          <w:szCs w:val="22"/>
          <w:lang w:val="vi-VN"/>
        </w:rPr>
        <w:t xml:space="preserve">. </w:t>
      </w:r>
      <w:r w:rsidR="001B7465" w:rsidRPr="00E87495">
        <w:rPr>
          <w:rFonts w:asciiTheme="majorHAnsi" w:hAnsiTheme="majorHAnsi" w:cstheme="majorHAnsi"/>
          <w:sz w:val="22"/>
          <w:szCs w:val="22"/>
          <w:lang w:val="vi-VN"/>
        </w:rPr>
        <w:t>Thực tế cho thấy chế độ</w:t>
      </w:r>
      <w:r w:rsidRPr="00E87495">
        <w:rPr>
          <w:rFonts w:asciiTheme="majorHAnsi" w:hAnsiTheme="majorHAnsi" w:cstheme="majorHAnsi"/>
          <w:sz w:val="22"/>
          <w:szCs w:val="22"/>
          <w:lang w:val="vi-VN"/>
        </w:rPr>
        <w:t xml:space="preserve"> bồi thẩm đoàn đem lại hiệu quả</w:t>
      </w:r>
      <w:r w:rsidR="001B7465" w:rsidRPr="00E87495">
        <w:rPr>
          <w:rFonts w:asciiTheme="majorHAnsi" w:hAnsiTheme="majorHAnsi" w:cstheme="majorHAnsi"/>
          <w:sz w:val="22"/>
          <w:szCs w:val="22"/>
          <w:lang w:val="vi-VN"/>
        </w:rPr>
        <w:t xml:space="preserve"> không</w:t>
      </w:r>
      <w:r w:rsidRPr="00E87495">
        <w:rPr>
          <w:rFonts w:asciiTheme="majorHAnsi" w:hAnsiTheme="majorHAnsi" w:cstheme="majorHAnsi"/>
          <w:sz w:val="22"/>
          <w:szCs w:val="22"/>
          <w:lang w:val="vi-VN"/>
        </w:rPr>
        <w:t xml:space="preserve"> cao sau 10 năm triển khai. Căn cứ theo thống kê của Bộ Tư pháp Nhật Bản, số lượng vụ</w:t>
      </w:r>
      <w:r w:rsidR="001B7465" w:rsidRPr="00E87495">
        <w:rPr>
          <w:rFonts w:asciiTheme="majorHAnsi" w:hAnsiTheme="majorHAnsi" w:cstheme="majorHAnsi"/>
          <w:sz w:val="22"/>
          <w:szCs w:val="22"/>
          <w:lang w:val="vi-VN"/>
        </w:rPr>
        <w:t xml:space="preserve"> </w:t>
      </w:r>
      <w:r w:rsidRPr="00E87495">
        <w:rPr>
          <w:rFonts w:asciiTheme="majorHAnsi" w:hAnsiTheme="majorHAnsi" w:cstheme="majorHAnsi"/>
          <w:sz w:val="22"/>
          <w:szCs w:val="22"/>
          <w:lang w:val="vi-VN"/>
        </w:rPr>
        <w:t xml:space="preserve">án </w:t>
      </w:r>
      <w:r w:rsidR="001B7465" w:rsidRPr="00E87495">
        <w:rPr>
          <w:rFonts w:asciiTheme="majorHAnsi" w:hAnsiTheme="majorHAnsi" w:cstheme="majorHAnsi"/>
          <w:sz w:val="22"/>
          <w:szCs w:val="22"/>
          <w:lang w:val="vi-VN"/>
        </w:rPr>
        <w:t xml:space="preserve">có </w:t>
      </w:r>
      <w:r w:rsidRPr="00E87495">
        <w:rPr>
          <w:rFonts w:asciiTheme="majorHAnsi" w:hAnsiTheme="majorHAnsi" w:cstheme="majorHAnsi"/>
          <w:sz w:val="22"/>
          <w:szCs w:val="22"/>
          <w:lang w:val="vi-VN"/>
        </w:rPr>
        <w:t>bồi thẩm đoàn còn ít và có xu hướng giảm dần theo thời gian</w:t>
      </w:r>
      <w:r w:rsidR="001B7465" w:rsidRPr="00E87495">
        <w:rPr>
          <w:rFonts w:asciiTheme="majorHAnsi" w:hAnsiTheme="majorHAnsi" w:cstheme="majorHAnsi"/>
          <w:sz w:val="22"/>
          <w:szCs w:val="22"/>
          <w:lang w:val="vi-VN"/>
        </w:rPr>
        <w:t xml:space="preserve"> (Hình 1)</w:t>
      </w:r>
      <w:r w:rsidRPr="00E87495">
        <w:rPr>
          <w:rFonts w:asciiTheme="majorHAnsi" w:hAnsiTheme="majorHAnsi" w:cstheme="majorHAnsi"/>
          <w:sz w:val="22"/>
          <w:szCs w:val="22"/>
          <w:lang w:val="vi-VN"/>
        </w:rPr>
        <w:t xml:space="preserve">. Trong thời gian triển khai hệ thống Bồi thẩm, có tổng cộng có 484 vụ án được xét xử với sự tham gia của bồi thẩm đoàn. </w:t>
      </w:r>
      <w:r w:rsidR="00C31332" w:rsidRPr="00E87495">
        <w:rPr>
          <w:rFonts w:asciiTheme="majorHAnsi" w:hAnsiTheme="majorHAnsi" w:cstheme="majorHAnsi"/>
          <w:sz w:val="22"/>
          <w:szCs w:val="22"/>
          <w:lang w:val="vi-VN"/>
        </w:rPr>
        <w:t>Trong đó</w:t>
      </w:r>
      <w:r w:rsidRPr="00E87495">
        <w:rPr>
          <w:rFonts w:asciiTheme="majorHAnsi" w:hAnsiTheme="majorHAnsi" w:cstheme="majorHAnsi"/>
          <w:sz w:val="22"/>
          <w:szCs w:val="22"/>
          <w:lang w:val="vi-VN"/>
        </w:rPr>
        <w:t>, năm 1928</w:t>
      </w:r>
      <w:r w:rsidR="00C31332" w:rsidRPr="00E87495">
        <w:rPr>
          <w:rFonts w:asciiTheme="majorHAnsi" w:hAnsiTheme="majorHAnsi" w:cstheme="majorHAnsi"/>
          <w:sz w:val="22"/>
          <w:szCs w:val="22"/>
          <w:lang w:val="vi-VN"/>
        </w:rPr>
        <w:t xml:space="preserve"> ghi nhận</w:t>
      </w:r>
      <w:r w:rsidRPr="00E87495">
        <w:rPr>
          <w:rFonts w:asciiTheme="majorHAnsi" w:hAnsiTheme="majorHAnsi" w:cstheme="majorHAnsi"/>
          <w:sz w:val="22"/>
          <w:szCs w:val="22"/>
          <w:lang w:val="vi-VN"/>
        </w:rPr>
        <w:t xml:space="preserve"> </w:t>
      </w:r>
      <w:r w:rsidR="00C31332" w:rsidRPr="00E87495">
        <w:rPr>
          <w:rFonts w:asciiTheme="majorHAnsi" w:hAnsiTheme="majorHAnsi" w:cstheme="majorHAnsi"/>
          <w:sz w:val="22"/>
          <w:szCs w:val="22"/>
          <w:lang w:val="vi-VN"/>
        </w:rPr>
        <w:t xml:space="preserve">143 vụ </w:t>
      </w:r>
      <w:r w:rsidRPr="00E87495">
        <w:rPr>
          <w:rFonts w:asciiTheme="majorHAnsi" w:hAnsiTheme="majorHAnsi" w:cstheme="majorHAnsi"/>
          <w:sz w:val="22"/>
          <w:szCs w:val="22"/>
          <w:lang w:val="vi-VN"/>
        </w:rPr>
        <w:t xml:space="preserve">án có bồi thẩm đoàn, </w:t>
      </w:r>
      <w:r w:rsidR="00C31332" w:rsidRPr="00E87495">
        <w:rPr>
          <w:rFonts w:asciiTheme="majorHAnsi" w:hAnsiTheme="majorHAnsi" w:cstheme="majorHAnsi"/>
          <w:sz w:val="22"/>
          <w:szCs w:val="22"/>
          <w:lang w:val="vi-VN"/>
        </w:rPr>
        <w:t xml:space="preserve">năm 1930 ghi nhận </w:t>
      </w:r>
      <w:r w:rsidRPr="00E87495">
        <w:rPr>
          <w:rFonts w:asciiTheme="majorHAnsi" w:hAnsiTheme="majorHAnsi" w:cstheme="majorHAnsi"/>
          <w:sz w:val="22"/>
          <w:szCs w:val="22"/>
          <w:lang w:val="vi-VN"/>
        </w:rPr>
        <w:t>66 vụ</w:t>
      </w:r>
      <w:r w:rsidR="00C31332" w:rsidRPr="00E87495">
        <w:rPr>
          <w:rFonts w:asciiTheme="majorHAnsi" w:hAnsiTheme="majorHAnsi" w:cstheme="majorHAnsi"/>
          <w:sz w:val="22"/>
          <w:szCs w:val="22"/>
          <w:lang w:val="vi-VN"/>
        </w:rPr>
        <w:t xml:space="preserve"> </w:t>
      </w:r>
      <w:r w:rsidRPr="00E87495">
        <w:rPr>
          <w:rFonts w:asciiTheme="majorHAnsi" w:hAnsiTheme="majorHAnsi" w:cstheme="majorHAnsi"/>
          <w:sz w:val="22"/>
          <w:szCs w:val="22"/>
          <w:lang w:val="vi-VN"/>
        </w:rPr>
        <w:t xml:space="preserve">và </w:t>
      </w:r>
      <w:r w:rsidR="00C31332" w:rsidRPr="00E87495">
        <w:rPr>
          <w:rFonts w:asciiTheme="majorHAnsi" w:hAnsiTheme="majorHAnsi" w:cstheme="majorHAnsi"/>
          <w:sz w:val="22"/>
          <w:szCs w:val="22"/>
          <w:lang w:val="vi-VN"/>
        </w:rPr>
        <w:t>xu hướng</w:t>
      </w:r>
      <w:r w:rsidRPr="00E87495">
        <w:rPr>
          <w:rFonts w:asciiTheme="majorHAnsi" w:hAnsiTheme="majorHAnsi" w:cstheme="majorHAnsi"/>
          <w:sz w:val="22"/>
          <w:szCs w:val="22"/>
          <w:lang w:val="vi-VN"/>
        </w:rPr>
        <w:t xml:space="preserve"> giảm </w:t>
      </w:r>
      <w:r w:rsidR="00C31332" w:rsidRPr="00E87495">
        <w:rPr>
          <w:rFonts w:asciiTheme="majorHAnsi" w:hAnsiTheme="majorHAnsi" w:cstheme="majorHAnsi"/>
          <w:sz w:val="22"/>
          <w:szCs w:val="22"/>
          <w:lang w:val="vi-VN"/>
        </w:rPr>
        <w:t xml:space="preserve">dần </w:t>
      </w:r>
      <w:r w:rsidRPr="00E87495">
        <w:rPr>
          <w:rFonts w:asciiTheme="majorHAnsi" w:hAnsiTheme="majorHAnsi" w:cstheme="majorHAnsi"/>
          <w:sz w:val="22"/>
          <w:szCs w:val="22"/>
          <w:lang w:val="vi-VN"/>
        </w:rPr>
        <w:t>trong những năm sau đó</w:t>
      </w:r>
      <w:r w:rsidR="009B06DD" w:rsidRPr="00E87495">
        <w:rPr>
          <w:rFonts w:asciiTheme="majorHAnsi" w:hAnsiTheme="majorHAnsi" w:cstheme="majorHAnsi"/>
          <w:sz w:val="22"/>
          <w:szCs w:val="22"/>
          <w:vertAlign w:val="superscript"/>
          <w:lang w:val="vi-VN"/>
        </w:rPr>
        <w:t>9</w:t>
      </w:r>
      <w:r w:rsidRPr="00E87495">
        <w:rPr>
          <w:rFonts w:asciiTheme="majorHAnsi" w:hAnsiTheme="majorHAnsi" w:cstheme="majorHAnsi"/>
          <w:sz w:val="22"/>
          <w:szCs w:val="22"/>
          <w:lang w:val="vi-VN"/>
        </w:rPr>
        <w:t xml:space="preserve">. </w:t>
      </w:r>
    </w:p>
    <w:p w14:paraId="173F5FB9" w14:textId="0EC6B9DF" w:rsidR="00DB781B" w:rsidRPr="00E87495" w:rsidRDefault="004D0A0E" w:rsidP="004D0A0E">
      <w:pPr>
        <w:widowControl/>
        <w:spacing w:before="120" w:after="120" w:line="240" w:lineRule="auto"/>
        <w:jc w:val="center"/>
        <w:rPr>
          <w:rFonts w:asciiTheme="majorHAnsi" w:hAnsiTheme="majorHAnsi" w:cstheme="majorHAnsi"/>
          <w:sz w:val="22"/>
          <w:szCs w:val="22"/>
        </w:rPr>
      </w:pPr>
      <w:r w:rsidRPr="00E87495">
        <w:rPr>
          <w:rFonts w:asciiTheme="majorHAnsi" w:hAnsiTheme="majorHAnsi" w:cstheme="majorHAnsi"/>
          <w:b/>
          <w:noProof/>
          <w:sz w:val="22"/>
          <w:szCs w:val="22"/>
        </w:rPr>
        <w:drawing>
          <wp:inline distT="0" distB="0" distL="0" distR="0" wp14:anchorId="78D559EE" wp14:editId="428C33F2">
            <wp:extent cx="2580005" cy="1466215"/>
            <wp:effectExtent l="0" t="0" r="0" b="63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2580005" cy="1466215"/>
                    </a:xfrm>
                    <a:prstGeom prst="rect">
                      <a:avLst/>
                    </a:prstGeom>
                    <a:ln/>
                  </pic:spPr>
                </pic:pic>
              </a:graphicData>
            </a:graphic>
          </wp:inline>
        </w:drawing>
      </w:r>
    </w:p>
    <w:p w14:paraId="1F2A539C" w14:textId="72FB5003" w:rsidR="00151D80" w:rsidRPr="00E87495" w:rsidRDefault="003C6A7F" w:rsidP="002E5D17">
      <w:pPr>
        <w:widowControl/>
        <w:spacing w:before="120" w:after="240" w:line="240" w:lineRule="auto"/>
        <w:jc w:val="left"/>
        <w:rPr>
          <w:rFonts w:asciiTheme="majorHAnsi" w:hAnsiTheme="majorHAnsi" w:cstheme="majorHAnsi"/>
          <w:sz w:val="22"/>
          <w:szCs w:val="22"/>
        </w:rPr>
      </w:pPr>
      <w:bookmarkStart w:id="5" w:name="_heading=h.34g0dwd" w:colFirst="0" w:colLast="0"/>
      <w:bookmarkEnd w:id="5"/>
      <w:r w:rsidRPr="00E87495">
        <w:rPr>
          <w:rFonts w:asciiTheme="majorHAnsi" w:hAnsiTheme="majorHAnsi" w:cstheme="majorHAnsi"/>
          <w:b/>
          <w:sz w:val="20"/>
          <w:szCs w:val="20"/>
        </w:rPr>
        <w:t>Hình 1</w:t>
      </w:r>
      <w:r w:rsidR="00284EA5" w:rsidRPr="00E87495">
        <w:rPr>
          <w:rFonts w:asciiTheme="majorHAnsi" w:hAnsiTheme="majorHAnsi" w:cstheme="majorHAnsi"/>
          <w:b/>
          <w:sz w:val="20"/>
          <w:szCs w:val="20"/>
        </w:rPr>
        <w:t>.</w:t>
      </w:r>
      <w:r w:rsidRPr="00E87495">
        <w:rPr>
          <w:rFonts w:asciiTheme="majorHAnsi" w:hAnsiTheme="majorHAnsi" w:cstheme="majorHAnsi"/>
          <w:b/>
          <w:sz w:val="20"/>
          <w:szCs w:val="20"/>
        </w:rPr>
        <w:t xml:space="preserve"> </w:t>
      </w:r>
      <w:r w:rsidRPr="00E87495">
        <w:rPr>
          <w:rFonts w:asciiTheme="majorHAnsi" w:hAnsiTheme="majorHAnsi" w:cstheme="majorHAnsi"/>
          <w:bCs/>
          <w:sz w:val="20"/>
          <w:szCs w:val="20"/>
        </w:rPr>
        <w:t xml:space="preserve">Số lượng các phiên tòa xét xử bồi thẩm đoàn theo </w:t>
      </w:r>
      <w:r w:rsidR="00F52900" w:rsidRPr="00E87495">
        <w:rPr>
          <w:rFonts w:asciiTheme="majorHAnsi" w:hAnsiTheme="majorHAnsi" w:cstheme="majorHAnsi"/>
          <w:bCs/>
          <w:sz w:val="20"/>
          <w:szCs w:val="20"/>
        </w:rPr>
        <w:t>quy</w:t>
      </w:r>
      <w:r w:rsidRPr="00E87495">
        <w:rPr>
          <w:rFonts w:asciiTheme="majorHAnsi" w:hAnsiTheme="majorHAnsi" w:cstheme="majorHAnsi"/>
          <w:bCs/>
          <w:sz w:val="20"/>
          <w:szCs w:val="20"/>
        </w:rPr>
        <w:t xml:space="preserve"> định mới</w:t>
      </w:r>
      <w:r w:rsidR="009B06DD" w:rsidRPr="00E87495">
        <w:rPr>
          <w:rFonts w:asciiTheme="majorHAnsi" w:hAnsiTheme="majorHAnsi" w:cstheme="majorHAnsi"/>
          <w:bCs/>
          <w:sz w:val="20"/>
          <w:szCs w:val="20"/>
          <w:vertAlign w:val="superscript"/>
        </w:rPr>
        <w:t>9</w:t>
      </w:r>
      <w:bookmarkStart w:id="6" w:name="_heading=h.lr161n612xzs" w:colFirst="0" w:colLast="0"/>
      <w:bookmarkEnd w:id="6"/>
    </w:p>
    <w:p w14:paraId="35D64CFB" w14:textId="03907D16" w:rsidR="00151D80" w:rsidRPr="00E87495" w:rsidRDefault="003930B4" w:rsidP="00701C23">
      <w:pPr>
        <w:pStyle w:val="Heading1"/>
        <w:spacing w:before="120" w:after="120"/>
        <w:rPr>
          <w:szCs w:val="22"/>
        </w:rPr>
      </w:pPr>
      <w:bookmarkStart w:id="7" w:name="_heading=h.rt92eg80xch4" w:colFirst="0" w:colLast="0"/>
      <w:bookmarkEnd w:id="7"/>
      <w:r w:rsidRPr="00E87495">
        <w:rPr>
          <w:szCs w:val="22"/>
        </w:rPr>
        <w:lastRenderedPageBreak/>
        <w:t>3.</w:t>
      </w:r>
      <w:r w:rsidR="00830EEF" w:rsidRPr="00E87495">
        <w:rPr>
          <w:szCs w:val="22"/>
        </w:rPr>
        <w:t>3</w:t>
      </w:r>
      <w:r w:rsidRPr="00E87495">
        <w:rPr>
          <w:szCs w:val="22"/>
        </w:rPr>
        <w:t>.</w:t>
      </w:r>
      <w:r w:rsidR="003C6A7F" w:rsidRPr="00E87495">
        <w:rPr>
          <w:szCs w:val="22"/>
        </w:rPr>
        <w:t xml:space="preserve"> </w:t>
      </w:r>
      <w:r w:rsidR="002E5D17" w:rsidRPr="00E87495">
        <w:rPr>
          <w:rFonts w:asciiTheme="majorHAnsi" w:hAnsiTheme="majorHAnsi" w:cstheme="majorHAnsi"/>
          <w:szCs w:val="22"/>
        </w:rPr>
        <w:t>Chuyển đổi sang</w:t>
      </w:r>
      <w:r w:rsidR="003C6A7F" w:rsidRPr="00E87495">
        <w:rPr>
          <w:szCs w:val="22"/>
        </w:rPr>
        <w:t xml:space="preserve"> chế độ </w:t>
      </w:r>
      <w:r w:rsidR="00B71715" w:rsidRPr="00E87495">
        <w:rPr>
          <w:szCs w:val="22"/>
        </w:rPr>
        <w:t>tài phán viên</w:t>
      </w:r>
      <w:r w:rsidR="00F62130" w:rsidRPr="00E87495">
        <w:rPr>
          <w:szCs w:val="22"/>
        </w:rPr>
        <w:t>: dân chủ trong hoạt động tư pháp</w:t>
      </w:r>
    </w:p>
    <w:p w14:paraId="591B79DA" w14:textId="56E21FF6" w:rsidR="00183EC3" w:rsidRPr="00E87495" w:rsidRDefault="00183EC3" w:rsidP="00753670">
      <w:pPr>
        <w:pStyle w:val="Heading2"/>
        <w:spacing w:before="120" w:after="120"/>
        <w:ind w:left="360"/>
      </w:pPr>
      <w:r w:rsidRPr="00E87495">
        <w:t xml:space="preserve">3.3.1. </w:t>
      </w:r>
      <w:r w:rsidR="00753670" w:rsidRPr="00E87495">
        <w:t>Chấm dứt chế độ bồi thẩm</w:t>
      </w:r>
    </w:p>
    <w:p w14:paraId="6822695E" w14:textId="6D372325" w:rsidR="002E5D17" w:rsidRPr="00E87495" w:rsidRDefault="002E5D17" w:rsidP="002E5D17">
      <w:pPr>
        <w:widowControl/>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Khi tham gia vào Chiến tranh thế giới thứ II, chính phủ Nhật Bản phải huy động một lượng lớn nhân lực và chi tiêu một khoản ngân sách khổng lồ cho các hoạt động quân sự</w:t>
      </w:r>
      <w:r w:rsidR="00AA7A26" w:rsidRPr="00E87495">
        <w:rPr>
          <w:rFonts w:asciiTheme="majorHAnsi" w:hAnsiTheme="majorHAnsi" w:cstheme="majorHAnsi"/>
          <w:sz w:val="22"/>
          <w:szCs w:val="22"/>
        </w:rPr>
        <w:t xml:space="preserve">. Điều này </w:t>
      </w:r>
      <w:r w:rsidRPr="00E87495">
        <w:rPr>
          <w:rFonts w:asciiTheme="majorHAnsi" w:hAnsiTheme="majorHAnsi" w:cstheme="majorHAnsi"/>
          <w:sz w:val="22"/>
          <w:szCs w:val="22"/>
        </w:rPr>
        <w:t>dẫn đến việc thiếu hụt nguồn lực</w:t>
      </w:r>
      <w:r w:rsidR="00AA7A26" w:rsidRPr="00E87495">
        <w:rPr>
          <w:rFonts w:asciiTheme="majorHAnsi" w:hAnsiTheme="majorHAnsi" w:cstheme="majorHAnsi"/>
          <w:sz w:val="22"/>
          <w:szCs w:val="22"/>
        </w:rPr>
        <w:t xml:space="preserve"> tài chính</w:t>
      </w:r>
      <w:r w:rsidRPr="00E87495">
        <w:rPr>
          <w:rFonts w:asciiTheme="majorHAnsi" w:hAnsiTheme="majorHAnsi" w:cstheme="majorHAnsi"/>
          <w:sz w:val="22"/>
          <w:szCs w:val="22"/>
        </w:rPr>
        <w:t xml:space="preserve"> cho nhiều lĩnh vực</w:t>
      </w:r>
      <w:r w:rsidR="00AA7A26" w:rsidRPr="00E87495">
        <w:rPr>
          <w:rFonts w:asciiTheme="majorHAnsi" w:hAnsiTheme="majorHAnsi" w:cstheme="majorHAnsi"/>
          <w:sz w:val="22"/>
          <w:szCs w:val="22"/>
        </w:rPr>
        <w:t xml:space="preserve"> trong đó có ngành</w:t>
      </w:r>
      <w:r w:rsidRPr="00E87495">
        <w:rPr>
          <w:rFonts w:asciiTheme="majorHAnsi" w:hAnsiTheme="majorHAnsi" w:cstheme="majorHAnsi"/>
          <w:sz w:val="22"/>
          <w:szCs w:val="22"/>
        </w:rPr>
        <w:t xml:space="preserve"> tư pháp. </w:t>
      </w:r>
      <w:r w:rsidR="00AA7A26" w:rsidRPr="00E87495">
        <w:rPr>
          <w:rFonts w:asciiTheme="majorHAnsi" w:hAnsiTheme="majorHAnsi" w:cstheme="majorHAnsi"/>
          <w:sz w:val="22"/>
          <w:szCs w:val="22"/>
        </w:rPr>
        <w:t>Đ</w:t>
      </w:r>
      <w:r w:rsidRPr="00E87495">
        <w:rPr>
          <w:rFonts w:asciiTheme="majorHAnsi" w:hAnsiTheme="majorHAnsi" w:cstheme="majorHAnsi"/>
          <w:sz w:val="22"/>
          <w:szCs w:val="22"/>
        </w:rPr>
        <w:t>ể có thể duy trì chế độ bồi thẩm</w:t>
      </w:r>
      <w:r w:rsidR="00AA7A26" w:rsidRPr="00E87495">
        <w:rPr>
          <w:rFonts w:asciiTheme="majorHAnsi" w:hAnsiTheme="majorHAnsi" w:cstheme="majorHAnsi"/>
          <w:sz w:val="22"/>
          <w:szCs w:val="22"/>
        </w:rPr>
        <w:t>,</w:t>
      </w:r>
      <w:r w:rsidRPr="00E87495">
        <w:rPr>
          <w:rFonts w:asciiTheme="majorHAnsi" w:hAnsiTheme="majorHAnsi" w:cstheme="majorHAnsi"/>
          <w:sz w:val="22"/>
          <w:szCs w:val="22"/>
        </w:rPr>
        <w:t xml:space="preserve"> </w:t>
      </w:r>
      <w:r w:rsidR="00AA7A26" w:rsidRPr="00E87495">
        <w:rPr>
          <w:rFonts w:asciiTheme="majorHAnsi" w:hAnsiTheme="majorHAnsi" w:cstheme="majorHAnsi"/>
          <w:sz w:val="22"/>
          <w:szCs w:val="22"/>
        </w:rPr>
        <w:t xml:space="preserve">nhà nước cần phải </w:t>
      </w:r>
      <w:r w:rsidRPr="00E87495">
        <w:rPr>
          <w:rFonts w:asciiTheme="majorHAnsi" w:hAnsiTheme="majorHAnsi" w:cstheme="majorHAnsi"/>
          <w:sz w:val="22"/>
          <w:szCs w:val="22"/>
        </w:rPr>
        <w:t xml:space="preserve">có nguồn ngân sách để chi trả </w:t>
      </w:r>
      <w:r w:rsidR="00AA7A26" w:rsidRPr="00E87495">
        <w:rPr>
          <w:rFonts w:asciiTheme="majorHAnsi" w:hAnsiTheme="majorHAnsi" w:cstheme="majorHAnsi"/>
          <w:sz w:val="22"/>
          <w:szCs w:val="22"/>
        </w:rPr>
        <w:t xml:space="preserve">cho các hoạt động thường xuyên cũng như bồi dưỡng </w:t>
      </w:r>
      <w:r w:rsidRPr="00E87495">
        <w:rPr>
          <w:rFonts w:asciiTheme="majorHAnsi" w:hAnsiTheme="majorHAnsi" w:cstheme="majorHAnsi"/>
          <w:sz w:val="22"/>
          <w:szCs w:val="22"/>
        </w:rPr>
        <w:t xml:space="preserve">cho các bồi thẩm viên. </w:t>
      </w:r>
      <w:r w:rsidR="003C137B" w:rsidRPr="00E87495">
        <w:rPr>
          <w:rFonts w:asciiTheme="majorHAnsi" w:hAnsiTheme="majorHAnsi" w:cstheme="majorHAnsi"/>
          <w:sz w:val="22"/>
          <w:szCs w:val="22"/>
        </w:rPr>
        <w:t>Hơn nữa</w:t>
      </w:r>
      <w:r w:rsidRPr="00E87495">
        <w:rPr>
          <w:rFonts w:asciiTheme="majorHAnsi" w:hAnsiTheme="majorHAnsi" w:cstheme="majorHAnsi"/>
          <w:sz w:val="22"/>
          <w:szCs w:val="22"/>
        </w:rPr>
        <w:t>, các vụ án có sự tham gia của bồi thẩm đoàn thường là các vụ án nghiêm trọng có quy trình xét xử phức tạp và tốn nhiều thời gian</w:t>
      </w:r>
      <w:r w:rsidR="003C137B" w:rsidRPr="00E87495">
        <w:rPr>
          <w:rFonts w:asciiTheme="majorHAnsi" w:hAnsiTheme="majorHAnsi" w:cstheme="majorHAnsi"/>
          <w:sz w:val="22"/>
          <w:szCs w:val="22"/>
        </w:rPr>
        <w:t>.</w:t>
      </w:r>
      <w:r w:rsidRPr="00E87495">
        <w:rPr>
          <w:rFonts w:asciiTheme="majorHAnsi" w:hAnsiTheme="majorHAnsi" w:cstheme="majorHAnsi"/>
          <w:sz w:val="22"/>
          <w:szCs w:val="22"/>
        </w:rPr>
        <w:t xml:space="preserve"> </w:t>
      </w:r>
      <w:r w:rsidR="003C137B" w:rsidRPr="00E87495">
        <w:rPr>
          <w:rFonts w:asciiTheme="majorHAnsi" w:hAnsiTheme="majorHAnsi" w:cstheme="majorHAnsi"/>
          <w:sz w:val="22"/>
          <w:szCs w:val="22"/>
        </w:rPr>
        <w:t>Chế độ bồi thẩm đoàn</w:t>
      </w:r>
      <w:r w:rsidRPr="00E87495">
        <w:rPr>
          <w:rFonts w:asciiTheme="majorHAnsi" w:hAnsiTheme="majorHAnsi" w:cstheme="majorHAnsi"/>
          <w:sz w:val="22"/>
          <w:szCs w:val="22"/>
        </w:rPr>
        <w:t xml:space="preserve"> không đáp ứng được yêu cầu về tính nhanh chóng và hiệu quả trong bối cảnh chiến tranh</w:t>
      </w:r>
      <w:r w:rsidR="003C137B" w:rsidRPr="00E87495">
        <w:rPr>
          <w:rFonts w:asciiTheme="majorHAnsi" w:hAnsiTheme="majorHAnsi" w:cstheme="majorHAnsi"/>
          <w:sz w:val="22"/>
          <w:szCs w:val="22"/>
        </w:rPr>
        <w:t xml:space="preserve"> lúc bấy giờ</w:t>
      </w:r>
      <w:r w:rsidRPr="00E87495">
        <w:rPr>
          <w:rFonts w:asciiTheme="majorHAnsi" w:hAnsiTheme="majorHAnsi" w:cstheme="majorHAnsi"/>
          <w:sz w:val="22"/>
          <w:szCs w:val="22"/>
        </w:rPr>
        <w:t xml:space="preserve">. Từ </w:t>
      </w:r>
      <w:r w:rsidR="003C137B" w:rsidRPr="00E87495">
        <w:rPr>
          <w:rFonts w:asciiTheme="majorHAnsi" w:hAnsiTheme="majorHAnsi" w:cstheme="majorHAnsi"/>
          <w:sz w:val="22"/>
          <w:szCs w:val="22"/>
        </w:rPr>
        <w:t>những nguyên do này</w:t>
      </w:r>
      <w:r w:rsidRPr="00E87495">
        <w:rPr>
          <w:rFonts w:asciiTheme="majorHAnsi" w:hAnsiTheme="majorHAnsi" w:cstheme="majorHAnsi"/>
          <w:sz w:val="22"/>
          <w:szCs w:val="22"/>
        </w:rPr>
        <w:t xml:space="preserve">, Luật Bồi thẩm đã bị </w:t>
      </w:r>
      <w:r w:rsidR="00A63479" w:rsidRPr="00E87495">
        <w:rPr>
          <w:rFonts w:asciiTheme="majorHAnsi" w:hAnsiTheme="majorHAnsi" w:cstheme="majorHAnsi"/>
          <w:sz w:val="22"/>
          <w:szCs w:val="22"/>
        </w:rPr>
        <w:t>đình chỉ</w:t>
      </w:r>
      <w:r w:rsidR="003C137B" w:rsidRPr="00E87495">
        <w:rPr>
          <w:rFonts w:asciiTheme="majorHAnsi" w:hAnsiTheme="majorHAnsi" w:cstheme="majorHAnsi"/>
          <w:sz w:val="22"/>
          <w:szCs w:val="22"/>
        </w:rPr>
        <w:t xml:space="preserve"> hiệu lực từ</w:t>
      </w:r>
      <w:r w:rsidRPr="00E87495">
        <w:rPr>
          <w:rFonts w:asciiTheme="majorHAnsi" w:hAnsiTheme="majorHAnsi" w:cstheme="majorHAnsi"/>
          <w:sz w:val="22"/>
          <w:szCs w:val="22"/>
        </w:rPr>
        <w:t xml:space="preserve"> ngày </w:t>
      </w:r>
      <w:r w:rsidR="003C137B" w:rsidRPr="00E87495">
        <w:rPr>
          <w:rFonts w:asciiTheme="majorHAnsi" w:hAnsiTheme="majorHAnsi" w:cstheme="majorHAnsi"/>
          <w:sz w:val="22"/>
          <w:szCs w:val="22"/>
        </w:rPr>
        <w:t>0</w:t>
      </w:r>
      <w:r w:rsidRPr="00E87495">
        <w:rPr>
          <w:rFonts w:asciiTheme="majorHAnsi" w:hAnsiTheme="majorHAnsi" w:cstheme="majorHAnsi"/>
          <w:sz w:val="22"/>
          <w:szCs w:val="22"/>
        </w:rPr>
        <w:t xml:space="preserve">1 tháng 4 năm 1943. </w:t>
      </w:r>
    </w:p>
    <w:p w14:paraId="06B65D13" w14:textId="06A77EB1" w:rsidR="002E5D17" w:rsidRPr="00E87495" w:rsidRDefault="002E5D17" w:rsidP="00C11914">
      <w:pPr>
        <w:widowControl/>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 xml:space="preserve">Điều 3 Luật về việc </w:t>
      </w:r>
      <w:r w:rsidRPr="00E87495">
        <w:rPr>
          <w:rFonts w:asciiTheme="majorHAnsi" w:hAnsiTheme="majorHAnsi" w:cstheme="majorHAnsi" w:hint="eastAsia"/>
          <w:sz w:val="22"/>
          <w:szCs w:val="22"/>
        </w:rPr>
        <w:t>đ</w:t>
      </w:r>
      <w:r w:rsidRPr="00E87495">
        <w:rPr>
          <w:rFonts w:asciiTheme="majorHAnsi" w:hAnsiTheme="majorHAnsi" w:cstheme="majorHAnsi"/>
          <w:sz w:val="22"/>
          <w:szCs w:val="22"/>
        </w:rPr>
        <w:t>ình chỉ Luật Bồi thẩm năm 1945</w:t>
      </w:r>
      <w:r w:rsidR="00A63479" w:rsidRPr="00E87495">
        <w:rPr>
          <w:rFonts w:asciiTheme="majorHAnsi" w:hAnsiTheme="majorHAnsi" w:cstheme="majorHAnsi"/>
          <w:sz w:val="22"/>
          <w:szCs w:val="22"/>
        </w:rPr>
        <w:t xml:space="preserve"> quy định về việc thực thi</w:t>
      </w:r>
      <w:r w:rsidRPr="00E87495">
        <w:rPr>
          <w:rFonts w:asciiTheme="majorHAnsi" w:hAnsiTheme="majorHAnsi" w:cstheme="majorHAnsi"/>
          <w:sz w:val="22"/>
          <w:szCs w:val="22"/>
        </w:rPr>
        <w:t xml:space="preserve"> </w:t>
      </w:r>
      <w:r w:rsidR="00A63479" w:rsidRPr="00E87495">
        <w:rPr>
          <w:rFonts w:asciiTheme="majorHAnsi" w:hAnsiTheme="majorHAnsi" w:cstheme="majorHAnsi"/>
          <w:sz w:val="22"/>
          <w:szCs w:val="22"/>
        </w:rPr>
        <w:t>chế độ</w:t>
      </w:r>
      <w:r w:rsidRPr="00E87495">
        <w:rPr>
          <w:rFonts w:asciiTheme="majorHAnsi" w:hAnsiTheme="majorHAnsi" w:cstheme="majorHAnsi"/>
          <w:sz w:val="22"/>
          <w:szCs w:val="22"/>
        </w:rPr>
        <w:t xml:space="preserve"> bồi thẩm đoàn sau khi chiến tranh kết thúc</w:t>
      </w:r>
      <w:r w:rsidR="00C11914" w:rsidRPr="00E87495">
        <w:rPr>
          <w:rFonts w:asciiTheme="majorHAnsi" w:hAnsiTheme="majorHAnsi" w:cstheme="majorHAnsi"/>
          <w:i/>
          <w:sz w:val="22"/>
          <w:szCs w:val="22"/>
        </w:rPr>
        <w:t xml:space="preserve">. </w:t>
      </w:r>
      <w:r w:rsidR="00C11914" w:rsidRPr="00E87495">
        <w:rPr>
          <w:rFonts w:asciiTheme="majorHAnsi" w:hAnsiTheme="majorHAnsi" w:cstheme="majorHAnsi" w:hint="eastAsia"/>
          <w:sz w:val="22"/>
          <w:szCs w:val="22"/>
        </w:rPr>
        <w:t>Trong</w:t>
      </w:r>
      <w:r w:rsidRPr="00E87495">
        <w:rPr>
          <w:rFonts w:asciiTheme="majorHAnsi" w:hAnsiTheme="majorHAnsi" w:cstheme="majorHAnsi"/>
          <w:sz w:val="22"/>
          <w:szCs w:val="22"/>
        </w:rPr>
        <w:t xml:space="preserve"> cuộc cuộc cải cách tư pháp lần thứ nhất</w:t>
      </w:r>
      <w:r w:rsidR="00C11914" w:rsidRPr="00E87495">
        <w:rPr>
          <w:rFonts w:asciiTheme="majorHAnsi" w:hAnsiTheme="majorHAnsi" w:cstheme="majorHAnsi"/>
          <w:sz w:val="22"/>
          <w:szCs w:val="22"/>
        </w:rPr>
        <w:t xml:space="preserve"> năm 1945</w:t>
      </w:r>
      <w:r w:rsidRPr="00E87495">
        <w:rPr>
          <w:rFonts w:asciiTheme="majorHAnsi" w:hAnsiTheme="majorHAnsi" w:cstheme="majorHAnsi"/>
          <w:sz w:val="22"/>
          <w:szCs w:val="22"/>
        </w:rPr>
        <w:t>, sau Tuyên bố Potsdam, Nhật Bản đã tiến hành xây dựng Hiến pháp mới phù hợp với nền dân chủ. Trong quá trình thảo luận, có nhiều ý kiến ​​phản đối việc áp dụng trở lại hệ thống bồi thẩm đoàn và cho rằng hệ thống bồi thẩm đoàn không còn phù hợp với Nhật Bản. Vì thế, việc tái thiết lập chế độ bồi thẩm tuy được đưa vào bản dự thảo Hiến pháp nhưng đã bị xóa bỏ</w:t>
      </w:r>
      <w:r w:rsidRPr="00E87495">
        <w:rPr>
          <w:rFonts w:asciiTheme="majorHAnsi" w:hAnsiTheme="majorHAnsi" w:cstheme="majorHAnsi"/>
          <w:sz w:val="22"/>
          <w:szCs w:val="22"/>
          <w:vertAlign w:val="superscript"/>
        </w:rPr>
        <w:t>7</w:t>
      </w:r>
      <w:r w:rsidRPr="00E87495">
        <w:rPr>
          <w:rFonts w:asciiTheme="majorHAnsi" w:hAnsiTheme="majorHAnsi" w:cstheme="majorHAnsi"/>
          <w:sz w:val="22"/>
          <w:szCs w:val="22"/>
        </w:rPr>
        <w:t>. Trong cải cách tư pháp lần thứ hai năm 1962, phía Nhật Bản vẫn cho rằng việc áp dụng chế độ bồi thẩm lúc bấy giờ không khả thi mặc dù đó là một hệ thống cần thiết của một quốc gia dân chủ. Như vậy, sau hai cuộc cải cách tư pháp, chế độ bồi thẩm đoàn của Nhật Bản vẫn tiếp tục bị đình chỉ và không có thay đổi đáng kể nào sau đó.</w:t>
      </w:r>
    </w:p>
    <w:p w14:paraId="48CFEF11" w14:textId="6B3F3DEB" w:rsidR="00753670" w:rsidRPr="00E87495" w:rsidRDefault="00753670" w:rsidP="00F52900">
      <w:pPr>
        <w:pStyle w:val="Heading2"/>
        <w:spacing w:before="120" w:after="120"/>
        <w:ind w:left="360"/>
      </w:pPr>
      <w:r w:rsidRPr="00E87495">
        <w:t>3.3.2. Nh</w:t>
      </w:r>
      <w:r w:rsidR="00F52900" w:rsidRPr="00E87495">
        <w:t>ân dân tham gia vào hoạt động xét xử: sự ra đời chế độ tài phán viên</w:t>
      </w:r>
    </w:p>
    <w:p w14:paraId="74BFA794" w14:textId="77777777" w:rsidR="00763D9D" w:rsidRPr="00E87495" w:rsidRDefault="003C6A7F" w:rsidP="00A33D88">
      <w:pPr>
        <w:widowControl/>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 xml:space="preserve">Từ khi nền kinh tế </w:t>
      </w:r>
      <w:r w:rsidR="008B0C16" w:rsidRPr="00E87495">
        <w:rPr>
          <w:rFonts w:asciiTheme="majorHAnsi" w:hAnsiTheme="majorHAnsi" w:cstheme="majorHAnsi"/>
          <w:sz w:val="22"/>
          <w:szCs w:val="22"/>
        </w:rPr>
        <w:t>“</w:t>
      </w:r>
      <w:r w:rsidRPr="00E87495">
        <w:rPr>
          <w:rFonts w:asciiTheme="majorHAnsi" w:hAnsiTheme="majorHAnsi" w:cstheme="majorHAnsi"/>
          <w:sz w:val="22"/>
          <w:szCs w:val="22"/>
        </w:rPr>
        <w:t xml:space="preserve">bong bóng” </w:t>
      </w:r>
      <w:r w:rsidR="008B0C16" w:rsidRPr="00E87495">
        <w:rPr>
          <w:rFonts w:asciiTheme="majorHAnsi" w:hAnsiTheme="majorHAnsi" w:cstheme="majorHAnsi"/>
          <w:sz w:val="22"/>
          <w:szCs w:val="22"/>
        </w:rPr>
        <w:t xml:space="preserve">bị </w:t>
      </w:r>
      <w:r w:rsidRPr="00E87495">
        <w:rPr>
          <w:rFonts w:asciiTheme="majorHAnsi" w:hAnsiTheme="majorHAnsi" w:cstheme="majorHAnsi"/>
          <w:sz w:val="22"/>
          <w:szCs w:val="22"/>
        </w:rPr>
        <w:t xml:space="preserve">vỡ vào đầu những năm 1990, một cuộc suy thoái nghiêm trọng kéo dài đã làm thay đổi kinh tế và chính trị của Nhật Bản. </w:t>
      </w:r>
      <w:r w:rsidR="008B0C16" w:rsidRPr="00E87495">
        <w:rPr>
          <w:rFonts w:asciiTheme="majorHAnsi" w:hAnsiTheme="majorHAnsi" w:cstheme="majorHAnsi"/>
          <w:sz w:val="22"/>
          <w:szCs w:val="22"/>
        </w:rPr>
        <w:t>Sự</w:t>
      </w:r>
      <w:r w:rsidRPr="00E87495">
        <w:rPr>
          <w:rFonts w:asciiTheme="majorHAnsi" w:hAnsiTheme="majorHAnsi" w:cstheme="majorHAnsi"/>
          <w:sz w:val="22"/>
          <w:szCs w:val="22"/>
        </w:rPr>
        <w:t xml:space="preserve"> trì trệ</w:t>
      </w:r>
      <w:r w:rsidR="008B0C16" w:rsidRPr="00E87495">
        <w:rPr>
          <w:rFonts w:asciiTheme="majorHAnsi" w:hAnsiTheme="majorHAnsi" w:cstheme="majorHAnsi"/>
          <w:sz w:val="22"/>
          <w:szCs w:val="22"/>
        </w:rPr>
        <w:t xml:space="preserve"> về kinh tế</w:t>
      </w:r>
      <w:r w:rsidRPr="00E87495">
        <w:rPr>
          <w:rFonts w:asciiTheme="majorHAnsi" w:hAnsiTheme="majorHAnsi" w:cstheme="majorHAnsi"/>
          <w:sz w:val="22"/>
          <w:szCs w:val="22"/>
        </w:rPr>
        <w:t>, tỷ lệ thất nghiệp cao</w:t>
      </w:r>
      <w:r w:rsidR="008B0C16" w:rsidRPr="00E87495">
        <w:rPr>
          <w:rFonts w:asciiTheme="majorHAnsi" w:hAnsiTheme="majorHAnsi" w:cstheme="majorHAnsi"/>
          <w:sz w:val="22"/>
          <w:szCs w:val="22"/>
        </w:rPr>
        <w:t xml:space="preserve"> đòi hỏi</w:t>
      </w:r>
      <w:r w:rsidRPr="00E87495">
        <w:rPr>
          <w:rFonts w:asciiTheme="majorHAnsi" w:hAnsiTheme="majorHAnsi" w:cstheme="majorHAnsi"/>
          <w:sz w:val="22"/>
          <w:szCs w:val="22"/>
        </w:rPr>
        <w:t xml:space="preserve"> cải cách triệt để hệ thống hành chính và tư pháp</w:t>
      </w:r>
      <w:r w:rsidR="008B0C16" w:rsidRPr="00E87495">
        <w:rPr>
          <w:rFonts w:asciiTheme="majorHAnsi" w:hAnsiTheme="majorHAnsi" w:cstheme="majorHAnsi"/>
          <w:sz w:val="22"/>
          <w:szCs w:val="22"/>
        </w:rPr>
        <w:t>.</w:t>
      </w:r>
      <w:r w:rsidR="00701E04" w:rsidRPr="00E87495">
        <w:rPr>
          <w:rFonts w:asciiTheme="majorHAnsi" w:hAnsiTheme="majorHAnsi" w:cstheme="majorHAnsi"/>
          <w:sz w:val="22"/>
          <w:szCs w:val="22"/>
        </w:rPr>
        <w:t xml:space="preserve"> Trong bối cảnh đó</w:t>
      </w:r>
      <w:r w:rsidRPr="00E87495">
        <w:rPr>
          <w:rFonts w:asciiTheme="majorHAnsi" w:hAnsiTheme="majorHAnsi" w:cstheme="majorHAnsi"/>
          <w:sz w:val="22"/>
          <w:szCs w:val="22"/>
        </w:rPr>
        <w:t xml:space="preserve">, Nhật Bản đặt ra mục tiêu tăng cường hiệu quả và tính minh bạch của hệ thống tư pháp, trao quyền cho người dân </w:t>
      </w:r>
      <w:r w:rsidR="00701E04" w:rsidRPr="00E87495">
        <w:rPr>
          <w:rFonts w:asciiTheme="majorHAnsi" w:hAnsiTheme="majorHAnsi" w:cstheme="majorHAnsi"/>
          <w:sz w:val="22"/>
          <w:szCs w:val="22"/>
        </w:rPr>
        <w:t>nhằm thúc đẩy tính</w:t>
      </w:r>
      <w:r w:rsidRPr="00E87495">
        <w:rPr>
          <w:rFonts w:asciiTheme="majorHAnsi" w:hAnsiTheme="majorHAnsi" w:cstheme="majorHAnsi"/>
          <w:sz w:val="22"/>
          <w:szCs w:val="22"/>
        </w:rPr>
        <w:t xml:space="preserve"> tự chủ và trách nhiệm xã hội. </w:t>
      </w:r>
      <w:r w:rsidR="00701E04" w:rsidRPr="00E87495">
        <w:rPr>
          <w:rFonts w:asciiTheme="majorHAnsi" w:hAnsiTheme="majorHAnsi" w:cstheme="majorHAnsi"/>
          <w:sz w:val="22"/>
          <w:szCs w:val="22"/>
        </w:rPr>
        <w:t>Hệ thống pháp luật</w:t>
      </w:r>
      <w:r w:rsidRPr="00E87495">
        <w:rPr>
          <w:rFonts w:asciiTheme="majorHAnsi" w:hAnsiTheme="majorHAnsi" w:cstheme="majorHAnsi"/>
          <w:sz w:val="22"/>
          <w:szCs w:val="22"/>
        </w:rPr>
        <w:t xml:space="preserve"> </w:t>
      </w:r>
      <w:r w:rsidR="008165F8" w:rsidRPr="00E87495">
        <w:rPr>
          <w:rFonts w:asciiTheme="majorHAnsi" w:hAnsiTheme="majorHAnsi" w:cstheme="majorHAnsi"/>
          <w:sz w:val="22"/>
          <w:szCs w:val="22"/>
        </w:rPr>
        <w:t xml:space="preserve">mang đặc trưng của mô </w:t>
      </w:r>
      <w:r w:rsidR="008165F8" w:rsidRPr="00E87495">
        <w:rPr>
          <w:rFonts w:asciiTheme="majorHAnsi" w:hAnsiTheme="majorHAnsi" w:cstheme="majorHAnsi"/>
          <w:sz w:val="22"/>
          <w:szCs w:val="22"/>
        </w:rPr>
        <w:lastRenderedPageBreak/>
        <w:t xml:space="preserve">hình dân luật (civil law) là </w:t>
      </w:r>
      <w:r w:rsidR="00A33D88" w:rsidRPr="00E87495">
        <w:rPr>
          <w:rFonts w:asciiTheme="majorHAnsi" w:hAnsiTheme="majorHAnsi" w:cstheme="majorHAnsi"/>
          <w:sz w:val="22"/>
          <w:szCs w:val="22"/>
        </w:rPr>
        <w:t>“</w:t>
      </w:r>
      <w:r w:rsidR="008165F8" w:rsidRPr="00E87495">
        <w:rPr>
          <w:rFonts w:asciiTheme="majorHAnsi" w:hAnsiTheme="majorHAnsi" w:cstheme="majorHAnsi"/>
          <w:sz w:val="22"/>
          <w:szCs w:val="22"/>
        </w:rPr>
        <w:t xml:space="preserve">đặt ra các quy định trước khi áp dụng </w:t>
      </w:r>
      <w:r w:rsidR="00A33D88" w:rsidRPr="00E87495">
        <w:rPr>
          <w:rFonts w:asciiTheme="majorHAnsi" w:hAnsiTheme="majorHAnsi" w:cstheme="majorHAnsi"/>
          <w:sz w:val="22"/>
          <w:szCs w:val="22"/>
        </w:rPr>
        <w:t xml:space="preserve">vào thực tiễn xã hội” đã dần mang thêm những đặc trưng của mô hình thông luật (common law) là “cứu giúp các thực tiễn đã xảy ra” </w:t>
      </w:r>
      <w:r w:rsidR="00DE4A20" w:rsidRPr="00E87495">
        <w:rPr>
          <w:rFonts w:asciiTheme="majorHAnsi" w:hAnsiTheme="majorHAnsi" w:cstheme="majorHAnsi"/>
          <w:sz w:val="22"/>
          <w:szCs w:val="22"/>
        </w:rPr>
        <w:t>(</w:t>
      </w:r>
      <w:r w:rsidR="00DE4A20" w:rsidRPr="00E87495">
        <w:rPr>
          <w:rFonts w:asciiTheme="majorHAnsi" w:hAnsiTheme="majorHAnsi" w:cstheme="majorHAnsi" w:hint="eastAsia"/>
          <w:sz w:val="22"/>
          <w:szCs w:val="22"/>
        </w:rPr>
        <w:t>事後救済型制</w:t>
      </w:r>
      <w:r w:rsidR="00DE4A20" w:rsidRPr="00E87495">
        <w:rPr>
          <w:rFonts w:asciiTheme="majorHAnsi" w:hAnsiTheme="majorHAnsi" w:cstheme="majorHAnsi"/>
          <w:sz w:val="22"/>
          <w:szCs w:val="22"/>
        </w:rPr>
        <w:t>)</w:t>
      </w:r>
      <w:r w:rsidRPr="00E87495">
        <w:rPr>
          <w:rFonts w:asciiTheme="majorHAnsi" w:hAnsiTheme="majorHAnsi" w:cstheme="majorHAnsi"/>
          <w:sz w:val="22"/>
          <w:szCs w:val="22"/>
        </w:rPr>
        <w:t xml:space="preserve">. </w:t>
      </w:r>
      <w:r w:rsidR="00A33D88" w:rsidRPr="00E87495">
        <w:rPr>
          <w:rFonts w:asciiTheme="majorHAnsi" w:hAnsiTheme="majorHAnsi" w:cstheme="majorHAnsi"/>
          <w:sz w:val="22"/>
          <w:szCs w:val="22"/>
        </w:rPr>
        <w:t>Sự chuyển đổi</w:t>
      </w:r>
      <w:r w:rsidRPr="00E87495">
        <w:rPr>
          <w:rFonts w:asciiTheme="majorHAnsi" w:hAnsiTheme="majorHAnsi" w:cstheme="majorHAnsi"/>
          <w:sz w:val="22"/>
          <w:szCs w:val="22"/>
        </w:rPr>
        <w:t xml:space="preserve"> này giúp </w:t>
      </w:r>
      <w:r w:rsidR="00A33D88" w:rsidRPr="00E87495">
        <w:rPr>
          <w:rFonts w:asciiTheme="majorHAnsi" w:hAnsiTheme="majorHAnsi" w:cstheme="majorHAnsi"/>
          <w:sz w:val="22"/>
          <w:szCs w:val="22"/>
        </w:rPr>
        <w:t xml:space="preserve">cơ quan nhà nước Nhật Bản ứng phó nhanh chóng với thực tiễn xã hội đầy biến động khi đó. </w:t>
      </w:r>
      <w:r w:rsidR="00385E26" w:rsidRPr="00E87495">
        <w:rPr>
          <w:rFonts w:asciiTheme="majorHAnsi" w:hAnsiTheme="majorHAnsi" w:cstheme="majorHAnsi"/>
          <w:sz w:val="22"/>
          <w:szCs w:val="22"/>
        </w:rPr>
        <w:t xml:space="preserve">Việc này làm </w:t>
      </w:r>
      <w:r w:rsidRPr="00E87495">
        <w:rPr>
          <w:rFonts w:asciiTheme="majorHAnsi" w:hAnsiTheme="majorHAnsi" w:cstheme="majorHAnsi"/>
          <w:sz w:val="22"/>
          <w:szCs w:val="22"/>
        </w:rPr>
        <w:t>giảm tỷ lệ tội phạm</w:t>
      </w:r>
      <w:r w:rsidR="00385E26" w:rsidRPr="00E87495">
        <w:rPr>
          <w:rFonts w:asciiTheme="majorHAnsi" w:hAnsiTheme="majorHAnsi" w:cstheme="majorHAnsi"/>
          <w:sz w:val="22"/>
          <w:szCs w:val="22"/>
        </w:rPr>
        <w:t>,</w:t>
      </w:r>
      <w:r w:rsidRPr="00E87495">
        <w:rPr>
          <w:rFonts w:asciiTheme="majorHAnsi" w:hAnsiTheme="majorHAnsi" w:cstheme="majorHAnsi"/>
          <w:sz w:val="22"/>
          <w:szCs w:val="22"/>
        </w:rPr>
        <w:t xml:space="preserve"> </w:t>
      </w:r>
      <w:r w:rsidR="00385E26" w:rsidRPr="00E87495">
        <w:rPr>
          <w:rFonts w:asciiTheme="majorHAnsi" w:hAnsiTheme="majorHAnsi" w:cstheme="majorHAnsi"/>
          <w:sz w:val="22"/>
          <w:szCs w:val="22"/>
        </w:rPr>
        <w:t>duy trì</w:t>
      </w:r>
      <w:r w:rsidRPr="00E87495">
        <w:rPr>
          <w:rFonts w:asciiTheme="majorHAnsi" w:hAnsiTheme="majorHAnsi" w:cstheme="majorHAnsi"/>
          <w:sz w:val="22"/>
          <w:szCs w:val="22"/>
        </w:rPr>
        <w:t xml:space="preserve"> trật tự xã hội</w:t>
      </w:r>
      <w:r w:rsidR="00385E26" w:rsidRPr="00E87495">
        <w:rPr>
          <w:rFonts w:asciiTheme="majorHAnsi" w:hAnsiTheme="majorHAnsi" w:cstheme="majorHAnsi"/>
          <w:sz w:val="22"/>
          <w:szCs w:val="22"/>
        </w:rPr>
        <w:t xml:space="preserve"> nhưng lại có nguy cơ xâm hại đến các quyền cá nhân</w:t>
      </w:r>
      <w:r w:rsidR="004D5A8E" w:rsidRPr="00E87495">
        <w:rPr>
          <w:rFonts w:asciiTheme="majorHAnsi" w:hAnsiTheme="majorHAnsi" w:cstheme="majorHAnsi"/>
          <w:sz w:val="22"/>
          <w:szCs w:val="22"/>
          <w:vertAlign w:val="superscript"/>
        </w:rPr>
        <w:t>6</w:t>
      </w:r>
      <w:r w:rsidRPr="00E87495">
        <w:rPr>
          <w:rFonts w:asciiTheme="majorHAnsi" w:hAnsiTheme="majorHAnsi" w:cstheme="majorHAnsi"/>
          <w:sz w:val="22"/>
          <w:szCs w:val="22"/>
        </w:rPr>
        <w:t xml:space="preserve">. Đối với cải cách hành chính, Nhật Bản tiến hành </w:t>
      </w:r>
      <w:r w:rsidR="00385E26" w:rsidRPr="00E87495">
        <w:rPr>
          <w:rFonts w:asciiTheme="majorHAnsi" w:hAnsiTheme="majorHAnsi" w:cstheme="majorHAnsi"/>
          <w:sz w:val="22"/>
          <w:szCs w:val="22"/>
        </w:rPr>
        <w:t>cải cách quy mô của cơ quan công</w:t>
      </w:r>
      <w:r w:rsidRPr="00E87495">
        <w:rPr>
          <w:rFonts w:asciiTheme="majorHAnsi" w:hAnsiTheme="majorHAnsi" w:cstheme="majorHAnsi"/>
          <w:sz w:val="22"/>
          <w:szCs w:val="22"/>
        </w:rPr>
        <w:t xml:space="preserve"> để tối ưu chi phí và nâng cao hiệu quả, từ đó giảm bớt gánh nặng cho ngân sách quốc gia. Điều này kéo theo việc áp dụng các biện pháp kích thích, nới lỏng việc quản lý kinh tế của Chính phủ Nhật Bản. Tuy nhiên, các biện pháp này không đem lại hiệu quả cao, </w:t>
      </w:r>
      <w:r w:rsidR="00763D9D" w:rsidRPr="00E87495">
        <w:rPr>
          <w:rFonts w:asciiTheme="majorHAnsi" w:hAnsiTheme="majorHAnsi" w:cstheme="majorHAnsi"/>
          <w:sz w:val="22"/>
          <w:szCs w:val="22"/>
        </w:rPr>
        <w:t>đồng thời</w:t>
      </w:r>
      <w:r w:rsidRPr="00E87495">
        <w:rPr>
          <w:rFonts w:asciiTheme="majorHAnsi" w:hAnsiTheme="majorHAnsi" w:cstheme="majorHAnsi"/>
          <w:sz w:val="22"/>
          <w:szCs w:val="22"/>
        </w:rPr>
        <w:t xml:space="preserve"> làm phát sinh nhiều tranh chấp và mâu thuẫn mới</w:t>
      </w:r>
      <w:r w:rsidR="00763D9D" w:rsidRPr="00E87495">
        <w:rPr>
          <w:rFonts w:asciiTheme="majorHAnsi" w:hAnsiTheme="majorHAnsi" w:cstheme="majorHAnsi"/>
          <w:sz w:val="22"/>
          <w:szCs w:val="22"/>
        </w:rPr>
        <w:t xml:space="preserve"> trong xã hội</w:t>
      </w:r>
      <w:r w:rsidRPr="00E87495">
        <w:rPr>
          <w:rFonts w:asciiTheme="majorHAnsi" w:hAnsiTheme="majorHAnsi" w:cstheme="majorHAnsi"/>
          <w:sz w:val="22"/>
          <w:szCs w:val="22"/>
        </w:rPr>
        <w:t xml:space="preserve">. Số lượng vụ kiện liên quan đến cạnh tranh, bảo vệ người tiêu dùng, phá sản, lao </w:t>
      </w:r>
      <w:r w:rsidR="00D06882" w:rsidRPr="00E87495">
        <w:rPr>
          <w:rFonts w:asciiTheme="majorHAnsi" w:hAnsiTheme="majorHAnsi" w:cstheme="majorHAnsi"/>
          <w:sz w:val="22"/>
          <w:szCs w:val="22"/>
        </w:rPr>
        <w:t>động...</w:t>
      </w:r>
      <w:r w:rsidRPr="00E87495">
        <w:rPr>
          <w:rFonts w:asciiTheme="majorHAnsi" w:hAnsiTheme="majorHAnsi" w:cstheme="majorHAnsi"/>
          <w:sz w:val="22"/>
          <w:szCs w:val="22"/>
        </w:rPr>
        <w:t xml:space="preserve"> tăng mạ</w:t>
      </w:r>
      <w:r w:rsidR="00763D9D" w:rsidRPr="00E87495">
        <w:rPr>
          <w:rFonts w:asciiTheme="majorHAnsi" w:hAnsiTheme="majorHAnsi" w:cstheme="majorHAnsi"/>
          <w:sz w:val="22"/>
          <w:szCs w:val="22"/>
        </w:rPr>
        <w:t>nh.</w:t>
      </w:r>
    </w:p>
    <w:p w14:paraId="5AD6A3AD" w14:textId="6F554380" w:rsidR="00151D80" w:rsidRPr="00E87495" w:rsidRDefault="00763D9D" w:rsidP="00D06882">
      <w:pPr>
        <w:widowControl/>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Trước tình hình đó,</w:t>
      </w:r>
      <w:r w:rsidR="003C6A7F" w:rsidRPr="00E87495">
        <w:rPr>
          <w:rFonts w:asciiTheme="majorHAnsi" w:hAnsiTheme="majorHAnsi" w:cstheme="majorHAnsi"/>
          <w:sz w:val="22"/>
          <w:szCs w:val="22"/>
        </w:rPr>
        <w:t xml:space="preserve"> Nhật Bản phải xây dựng một hệ thống tư pháp hiệu quả, minh bạch và công bằng để giải quyết các vấn đề trên</w:t>
      </w:r>
      <w:r w:rsidR="009B06DD" w:rsidRPr="00E87495">
        <w:rPr>
          <w:rFonts w:asciiTheme="majorHAnsi" w:hAnsiTheme="majorHAnsi" w:cstheme="majorHAnsi"/>
          <w:sz w:val="22"/>
          <w:szCs w:val="22"/>
          <w:vertAlign w:val="superscript"/>
        </w:rPr>
        <w:t>1</w:t>
      </w:r>
      <w:r w:rsidR="003C6A7F" w:rsidRPr="00E87495">
        <w:rPr>
          <w:rFonts w:asciiTheme="majorHAnsi" w:hAnsiTheme="majorHAnsi" w:cstheme="majorHAnsi"/>
          <w:sz w:val="22"/>
          <w:szCs w:val="22"/>
        </w:rPr>
        <w:t>. Ủy ban cải cách hệ thống tư pháp</w:t>
      </w:r>
      <w:r w:rsidR="00DE4A20" w:rsidRPr="00E87495">
        <w:rPr>
          <w:rFonts w:asciiTheme="majorHAnsi" w:hAnsiTheme="majorHAnsi" w:cstheme="majorHAnsi"/>
          <w:sz w:val="22"/>
          <w:szCs w:val="22"/>
        </w:rPr>
        <w:t xml:space="preserve"> (</w:t>
      </w:r>
      <w:r w:rsidR="00DE4A20" w:rsidRPr="00E87495">
        <w:rPr>
          <w:rFonts w:asciiTheme="majorHAnsi" w:hAnsiTheme="majorHAnsi" w:cstheme="majorHAnsi" w:hint="eastAsia"/>
          <w:sz w:val="22"/>
          <w:szCs w:val="22"/>
        </w:rPr>
        <w:t>司法制度改革審議会</w:t>
      </w:r>
      <w:r w:rsidR="00DE4A20" w:rsidRPr="00E87495">
        <w:rPr>
          <w:rFonts w:asciiTheme="majorHAnsi" w:hAnsiTheme="majorHAnsi" w:cstheme="majorHAnsi"/>
          <w:sz w:val="22"/>
          <w:szCs w:val="22"/>
        </w:rPr>
        <w:t>)</w:t>
      </w:r>
      <w:r w:rsidR="003C6A7F" w:rsidRPr="00E87495">
        <w:rPr>
          <w:rFonts w:asciiTheme="majorHAnsi" w:hAnsiTheme="majorHAnsi" w:cstheme="majorHAnsi"/>
          <w:sz w:val="22"/>
          <w:szCs w:val="22"/>
        </w:rPr>
        <w:t xml:space="preserve"> đã tiến hành thảo luận về sự tham gia của </w:t>
      </w:r>
      <w:r w:rsidRPr="00E87495">
        <w:rPr>
          <w:rFonts w:asciiTheme="majorHAnsi" w:hAnsiTheme="majorHAnsi" w:cstheme="majorHAnsi"/>
          <w:sz w:val="22"/>
          <w:szCs w:val="22"/>
        </w:rPr>
        <w:t>nhân</w:t>
      </w:r>
      <w:r w:rsidR="003C6A7F" w:rsidRPr="00E87495">
        <w:rPr>
          <w:rFonts w:asciiTheme="majorHAnsi" w:hAnsiTheme="majorHAnsi" w:cstheme="majorHAnsi"/>
          <w:sz w:val="22"/>
          <w:szCs w:val="22"/>
        </w:rPr>
        <w:t xml:space="preserve"> dân vào </w:t>
      </w:r>
      <w:r w:rsidRPr="00E87495">
        <w:rPr>
          <w:rFonts w:asciiTheme="majorHAnsi" w:hAnsiTheme="majorHAnsi" w:cstheme="majorHAnsi"/>
          <w:sz w:val="22"/>
          <w:szCs w:val="22"/>
        </w:rPr>
        <w:t>quyền</w:t>
      </w:r>
      <w:r w:rsidR="003C6A7F" w:rsidRPr="00E87495">
        <w:rPr>
          <w:rFonts w:asciiTheme="majorHAnsi" w:hAnsiTheme="majorHAnsi" w:cstheme="majorHAnsi"/>
          <w:sz w:val="22"/>
          <w:szCs w:val="22"/>
        </w:rPr>
        <w:t xml:space="preserve"> tư pháp</w:t>
      </w:r>
      <w:r w:rsidRPr="00E87495">
        <w:rPr>
          <w:rFonts w:asciiTheme="majorHAnsi" w:hAnsiTheme="majorHAnsi" w:cstheme="majorHAnsi"/>
          <w:sz w:val="22"/>
          <w:szCs w:val="22"/>
        </w:rPr>
        <w:t>, cụ thể là hoạt động xét xử</w:t>
      </w:r>
      <w:r w:rsidR="003C6A7F" w:rsidRPr="00E87495">
        <w:rPr>
          <w:rFonts w:asciiTheme="majorHAnsi" w:hAnsiTheme="majorHAnsi" w:cstheme="majorHAnsi"/>
          <w:sz w:val="22"/>
          <w:szCs w:val="22"/>
        </w:rPr>
        <w:t xml:space="preserve">. </w:t>
      </w:r>
      <w:r w:rsidRPr="00E87495">
        <w:rPr>
          <w:rFonts w:asciiTheme="majorHAnsi" w:hAnsiTheme="majorHAnsi" w:cstheme="majorHAnsi"/>
          <w:sz w:val="22"/>
          <w:szCs w:val="22"/>
        </w:rPr>
        <w:t>Đây có thể xem là l</w:t>
      </w:r>
      <w:r w:rsidR="003C6A7F" w:rsidRPr="00E87495">
        <w:rPr>
          <w:rFonts w:asciiTheme="majorHAnsi" w:hAnsiTheme="majorHAnsi" w:cstheme="majorHAnsi"/>
          <w:sz w:val="22"/>
          <w:szCs w:val="22"/>
        </w:rPr>
        <w:t>ần đầ</w:t>
      </w:r>
      <w:r w:rsidRPr="00E87495">
        <w:rPr>
          <w:rFonts w:asciiTheme="majorHAnsi" w:hAnsiTheme="majorHAnsi" w:cstheme="majorHAnsi"/>
          <w:sz w:val="22"/>
          <w:szCs w:val="22"/>
        </w:rPr>
        <w:t>u tiên trong giai đoạn Hậu chiến</w:t>
      </w:r>
      <w:r w:rsidR="003C6A7F" w:rsidRPr="00E87495">
        <w:rPr>
          <w:rFonts w:asciiTheme="majorHAnsi" w:hAnsiTheme="majorHAnsi" w:cstheme="majorHAnsi"/>
          <w:sz w:val="22"/>
          <w:szCs w:val="22"/>
        </w:rPr>
        <w:t xml:space="preserve">, Nhật Bản đã tích cực xem xét lại về vấn đề này. Theo quan điểm của </w:t>
      </w:r>
      <w:r w:rsidR="000F6A48" w:rsidRPr="00E87495">
        <w:rPr>
          <w:rFonts w:asciiTheme="majorHAnsi" w:hAnsiTheme="majorHAnsi" w:cstheme="majorHAnsi"/>
          <w:sz w:val="22"/>
          <w:szCs w:val="22"/>
          <w:lang w:val="vi-VN"/>
        </w:rPr>
        <w:t>tòa án tối cao</w:t>
      </w:r>
      <w:r w:rsidR="00701C13" w:rsidRPr="00E87495">
        <w:rPr>
          <w:rFonts w:asciiTheme="majorHAnsi" w:hAnsiTheme="majorHAnsi" w:cstheme="majorHAnsi"/>
          <w:sz w:val="22"/>
          <w:szCs w:val="22"/>
        </w:rPr>
        <w:t xml:space="preserve"> </w:t>
      </w:r>
      <w:r w:rsidR="003C6A7F" w:rsidRPr="00E87495">
        <w:rPr>
          <w:rFonts w:asciiTheme="majorHAnsi" w:hAnsiTheme="majorHAnsi" w:cstheme="majorHAnsi"/>
          <w:sz w:val="22"/>
          <w:szCs w:val="22"/>
        </w:rPr>
        <w:t xml:space="preserve">Nhật Bản, việc áp dụng trở lại hệ thống bồi thẩm đoàn không còn phù hợp và có thể ảnh hưởng đến </w:t>
      </w:r>
      <w:r w:rsidR="00CF67B6" w:rsidRPr="00E87495">
        <w:rPr>
          <w:rFonts w:asciiTheme="majorHAnsi" w:hAnsiTheme="majorHAnsi" w:cstheme="majorHAnsi"/>
          <w:sz w:val="22"/>
          <w:szCs w:val="22"/>
        </w:rPr>
        <w:t>mục tiêu cải cách tư pháp</w:t>
      </w:r>
      <w:r w:rsidR="003C6A7F" w:rsidRPr="00E87495">
        <w:rPr>
          <w:rFonts w:asciiTheme="majorHAnsi" w:hAnsiTheme="majorHAnsi" w:cstheme="majorHAnsi"/>
          <w:sz w:val="22"/>
          <w:szCs w:val="22"/>
        </w:rPr>
        <w:t xml:space="preserve"> mà Nhật Bản đang hướng tới</w:t>
      </w:r>
      <w:r w:rsidR="00E27D7A" w:rsidRPr="00E87495">
        <w:rPr>
          <w:rFonts w:asciiTheme="majorHAnsi" w:hAnsiTheme="majorHAnsi" w:cstheme="majorHAnsi"/>
          <w:sz w:val="22"/>
          <w:szCs w:val="22"/>
          <w:vertAlign w:val="superscript"/>
        </w:rPr>
        <w:t>7</w:t>
      </w:r>
      <w:r w:rsidR="003C6A7F" w:rsidRPr="00E87495">
        <w:rPr>
          <w:rFonts w:asciiTheme="majorHAnsi" w:hAnsiTheme="majorHAnsi" w:cstheme="majorHAnsi"/>
          <w:sz w:val="22"/>
          <w:szCs w:val="22"/>
        </w:rPr>
        <w:t xml:space="preserve">. </w:t>
      </w:r>
      <w:r w:rsidR="00CF67B6" w:rsidRPr="00E87495">
        <w:rPr>
          <w:rFonts w:asciiTheme="majorHAnsi" w:hAnsiTheme="majorHAnsi" w:cstheme="majorHAnsi"/>
          <w:sz w:val="22"/>
          <w:szCs w:val="22"/>
        </w:rPr>
        <w:t>Họ</w:t>
      </w:r>
      <w:r w:rsidR="00701C13" w:rsidRPr="00E87495">
        <w:rPr>
          <w:rFonts w:asciiTheme="majorHAnsi" w:hAnsiTheme="majorHAnsi" w:cstheme="majorHAnsi"/>
          <w:sz w:val="22"/>
          <w:szCs w:val="22"/>
        </w:rPr>
        <w:t xml:space="preserve"> </w:t>
      </w:r>
      <w:r w:rsidR="003C6A7F" w:rsidRPr="00E87495">
        <w:rPr>
          <w:rFonts w:asciiTheme="majorHAnsi" w:hAnsiTheme="majorHAnsi" w:cstheme="majorHAnsi"/>
          <w:sz w:val="22"/>
          <w:szCs w:val="22"/>
        </w:rPr>
        <w:t xml:space="preserve">cho rằng chế độ </w:t>
      </w:r>
      <w:r w:rsidR="00141203" w:rsidRPr="00E87495">
        <w:rPr>
          <w:rFonts w:asciiTheme="majorHAnsi" w:hAnsiTheme="majorHAnsi" w:cstheme="majorHAnsi"/>
          <w:sz w:val="22"/>
          <w:szCs w:val="22"/>
        </w:rPr>
        <w:t>TPV</w:t>
      </w:r>
      <w:r w:rsidR="003C6A7F" w:rsidRPr="00E87495">
        <w:rPr>
          <w:rFonts w:asciiTheme="majorHAnsi" w:hAnsiTheme="majorHAnsi" w:cstheme="majorHAnsi"/>
          <w:sz w:val="22"/>
          <w:szCs w:val="22"/>
        </w:rPr>
        <w:t xml:space="preserve"> có thể phản ánh tích cực ý chí của người dân mà không ảnh hưởng đến quá trình xét xử. </w:t>
      </w:r>
      <w:r w:rsidR="00CF67B6" w:rsidRPr="00E87495">
        <w:rPr>
          <w:rFonts w:asciiTheme="majorHAnsi" w:hAnsiTheme="majorHAnsi" w:cstheme="majorHAnsi"/>
          <w:sz w:val="22"/>
          <w:szCs w:val="22"/>
        </w:rPr>
        <w:t>Lý do được đưa ra là vì</w:t>
      </w:r>
      <w:r w:rsidR="003C6A7F" w:rsidRPr="00E87495">
        <w:rPr>
          <w:rFonts w:asciiTheme="majorHAnsi" w:hAnsiTheme="majorHAnsi" w:cstheme="majorHAnsi"/>
          <w:sz w:val="22"/>
          <w:szCs w:val="22"/>
        </w:rPr>
        <w:t xml:space="preserve"> quyền hạn của công dân theo chế độ </w:t>
      </w:r>
      <w:r w:rsidR="00141203" w:rsidRPr="00E87495">
        <w:rPr>
          <w:rFonts w:asciiTheme="majorHAnsi" w:hAnsiTheme="majorHAnsi" w:cstheme="majorHAnsi"/>
          <w:sz w:val="22"/>
          <w:szCs w:val="22"/>
        </w:rPr>
        <w:t>TPV</w:t>
      </w:r>
      <w:r w:rsidR="003C6A7F" w:rsidRPr="00E87495">
        <w:rPr>
          <w:rFonts w:asciiTheme="majorHAnsi" w:hAnsiTheme="majorHAnsi" w:cstheme="majorHAnsi"/>
          <w:sz w:val="22"/>
          <w:szCs w:val="22"/>
        </w:rPr>
        <w:t xml:space="preserve"> </w:t>
      </w:r>
      <w:r w:rsidR="00CF67B6" w:rsidRPr="00E87495">
        <w:rPr>
          <w:rFonts w:asciiTheme="majorHAnsi" w:hAnsiTheme="majorHAnsi" w:cstheme="majorHAnsi"/>
          <w:sz w:val="22"/>
          <w:szCs w:val="22"/>
        </w:rPr>
        <w:t>không “mạnh mẽ”</w:t>
      </w:r>
      <w:r w:rsidR="003C6A7F" w:rsidRPr="00E87495">
        <w:rPr>
          <w:rFonts w:asciiTheme="majorHAnsi" w:hAnsiTheme="majorHAnsi" w:cstheme="majorHAnsi"/>
          <w:sz w:val="22"/>
          <w:szCs w:val="22"/>
        </w:rPr>
        <w:t xml:space="preserve"> </w:t>
      </w:r>
      <w:r w:rsidR="00CF67B6" w:rsidRPr="00E87495">
        <w:rPr>
          <w:rFonts w:asciiTheme="majorHAnsi" w:hAnsiTheme="majorHAnsi" w:cstheme="majorHAnsi"/>
          <w:sz w:val="22"/>
          <w:szCs w:val="22"/>
        </w:rPr>
        <w:t xml:space="preserve">giống như trong </w:t>
      </w:r>
      <w:r w:rsidR="003C6A7F" w:rsidRPr="00E87495">
        <w:rPr>
          <w:rFonts w:asciiTheme="majorHAnsi" w:hAnsiTheme="majorHAnsi" w:cstheme="majorHAnsi"/>
          <w:sz w:val="22"/>
          <w:szCs w:val="22"/>
        </w:rPr>
        <w:t>chế độ bồi thẩm</w:t>
      </w:r>
      <w:r w:rsidR="00CF67B6" w:rsidRPr="00E87495">
        <w:rPr>
          <w:rFonts w:asciiTheme="majorHAnsi" w:hAnsiTheme="majorHAnsi" w:cstheme="majorHAnsi"/>
          <w:sz w:val="22"/>
          <w:szCs w:val="22"/>
        </w:rPr>
        <w:t xml:space="preserve"> trước đó</w:t>
      </w:r>
      <w:r w:rsidR="004D5A8E" w:rsidRPr="00E87495">
        <w:rPr>
          <w:rFonts w:asciiTheme="majorHAnsi" w:hAnsiTheme="majorHAnsi" w:cstheme="majorHAnsi"/>
          <w:sz w:val="22"/>
          <w:szCs w:val="22"/>
          <w:vertAlign w:val="superscript"/>
        </w:rPr>
        <w:t>7</w:t>
      </w:r>
      <w:r w:rsidR="003C6A7F" w:rsidRPr="00E87495">
        <w:rPr>
          <w:rFonts w:asciiTheme="majorHAnsi" w:hAnsiTheme="majorHAnsi" w:cstheme="majorHAnsi"/>
          <w:sz w:val="22"/>
          <w:szCs w:val="22"/>
        </w:rPr>
        <w:t xml:space="preserve">. </w:t>
      </w:r>
      <w:r w:rsidR="00CF67B6" w:rsidRPr="00E87495">
        <w:rPr>
          <w:rFonts w:asciiTheme="majorHAnsi" w:hAnsiTheme="majorHAnsi" w:cstheme="majorHAnsi"/>
          <w:sz w:val="22"/>
          <w:szCs w:val="22"/>
        </w:rPr>
        <w:t>V</w:t>
      </w:r>
      <w:r w:rsidR="003C6A7F" w:rsidRPr="00E87495">
        <w:rPr>
          <w:rFonts w:asciiTheme="majorHAnsi" w:hAnsiTheme="majorHAnsi" w:cstheme="majorHAnsi"/>
          <w:sz w:val="22"/>
          <w:szCs w:val="22"/>
        </w:rPr>
        <w:t xml:space="preserve">ì vậy, Ủy ban cải cách đã kiến nghị áp dụng chế độ </w:t>
      </w:r>
      <w:r w:rsidR="00141203" w:rsidRPr="00E87495">
        <w:rPr>
          <w:rFonts w:asciiTheme="majorHAnsi" w:hAnsiTheme="majorHAnsi" w:cstheme="majorHAnsi"/>
          <w:sz w:val="22"/>
          <w:szCs w:val="22"/>
        </w:rPr>
        <w:t>TPV</w:t>
      </w:r>
      <w:r w:rsidR="003C6A7F" w:rsidRPr="00E87495">
        <w:rPr>
          <w:rFonts w:asciiTheme="majorHAnsi" w:hAnsiTheme="majorHAnsi" w:cstheme="majorHAnsi"/>
          <w:sz w:val="22"/>
          <w:szCs w:val="22"/>
        </w:rPr>
        <w:t>. Ban chỉ đạo thúc đẩy cải cách hệ thống tư pháp</w:t>
      </w:r>
      <w:r w:rsidR="008165F8" w:rsidRPr="00E87495">
        <w:rPr>
          <w:rFonts w:asciiTheme="majorHAnsi" w:hAnsiTheme="majorHAnsi" w:cstheme="majorHAnsi"/>
          <w:sz w:val="22"/>
          <w:szCs w:val="22"/>
        </w:rPr>
        <w:t xml:space="preserve"> (</w:t>
      </w:r>
      <w:r w:rsidR="008165F8" w:rsidRPr="00E87495">
        <w:rPr>
          <w:rFonts w:asciiTheme="majorHAnsi" w:hAnsiTheme="majorHAnsi" w:cstheme="majorHAnsi" w:hint="eastAsia"/>
          <w:sz w:val="22"/>
          <w:szCs w:val="22"/>
        </w:rPr>
        <w:t>司法制度改革推進本部</w:t>
      </w:r>
      <w:r w:rsidR="008165F8" w:rsidRPr="00E87495">
        <w:rPr>
          <w:rFonts w:asciiTheme="majorHAnsi" w:hAnsiTheme="majorHAnsi" w:cstheme="majorHAnsi"/>
          <w:sz w:val="22"/>
          <w:szCs w:val="22"/>
        </w:rPr>
        <w:t xml:space="preserve">) </w:t>
      </w:r>
      <w:r w:rsidR="003C6A7F" w:rsidRPr="00E87495">
        <w:rPr>
          <w:rFonts w:asciiTheme="majorHAnsi" w:hAnsiTheme="majorHAnsi" w:cstheme="majorHAnsi"/>
          <w:sz w:val="22"/>
          <w:szCs w:val="22"/>
        </w:rPr>
        <w:t xml:space="preserve">tiến hành xây dựng dự </w:t>
      </w:r>
      <w:r w:rsidR="00CF67B6" w:rsidRPr="00E87495">
        <w:rPr>
          <w:rFonts w:asciiTheme="majorHAnsi" w:hAnsiTheme="majorHAnsi" w:cstheme="majorHAnsi"/>
          <w:sz w:val="22"/>
          <w:szCs w:val="22"/>
        </w:rPr>
        <w:t xml:space="preserve">thảo </w:t>
      </w:r>
      <w:r w:rsidR="003C6A7F" w:rsidRPr="00E87495">
        <w:rPr>
          <w:rFonts w:asciiTheme="majorHAnsi" w:hAnsiTheme="majorHAnsi" w:cstheme="majorHAnsi"/>
          <w:sz w:val="22"/>
          <w:szCs w:val="22"/>
        </w:rPr>
        <w:t>luật</w:t>
      </w:r>
      <w:r w:rsidR="008868B7" w:rsidRPr="00E87495">
        <w:rPr>
          <w:rFonts w:asciiTheme="majorHAnsi" w:hAnsiTheme="majorHAnsi" w:cstheme="majorHAnsi"/>
          <w:sz w:val="22"/>
          <w:szCs w:val="22"/>
        </w:rPr>
        <w:t xml:space="preserve"> về chủ trương này. Kết quả là</w:t>
      </w:r>
      <w:r w:rsidR="003C6A7F" w:rsidRPr="00E87495">
        <w:rPr>
          <w:rFonts w:asciiTheme="majorHAnsi" w:hAnsiTheme="majorHAnsi" w:cstheme="majorHAnsi"/>
          <w:sz w:val="22"/>
          <w:szCs w:val="22"/>
        </w:rPr>
        <w:t xml:space="preserve"> Luật </w:t>
      </w:r>
      <w:r w:rsidR="008165F8" w:rsidRPr="00E87495">
        <w:rPr>
          <w:rFonts w:asciiTheme="majorHAnsi" w:hAnsiTheme="majorHAnsi" w:cstheme="majorHAnsi"/>
          <w:sz w:val="22"/>
          <w:szCs w:val="22"/>
        </w:rPr>
        <w:t>X</w:t>
      </w:r>
      <w:r w:rsidR="003C6A7F" w:rsidRPr="00E87495">
        <w:rPr>
          <w:rFonts w:asciiTheme="majorHAnsi" w:hAnsiTheme="majorHAnsi" w:cstheme="majorHAnsi"/>
          <w:sz w:val="22"/>
          <w:szCs w:val="22"/>
        </w:rPr>
        <w:t xml:space="preserve">ét xử hình sự có sự tham gia của </w:t>
      </w:r>
      <w:r w:rsidR="00141203" w:rsidRPr="00E87495">
        <w:rPr>
          <w:rFonts w:asciiTheme="majorHAnsi" w:hAnsiTheme="majorHAnsi" w:cstheme="majorHAnsi"/>
          <w:sz w:val="22"/>
          <w:szCs w:val="22"/>
        </w:rPr>
        <w:t>TPV</w:t>
      </w:r>
      <w:r w:rsidR="008165F8" w:rsidRPr="00E87495">
        <w:rPr>
          <w:rFonts w:asciiTheme="majorHAnsi" w:hAnsiTheme="majorHAnsi" w:cstheme="majorHAnsi"/>
          <w:sz w:val="22"/>
          <w:szCs w:val="22"/>
        </w:rPr>
        <w:t xml:space="preserve"> (</w:t>
      </w:r>
      <w:r w:rsidR="008165F8" w:rsidRPr="00E87495">
        <w:rPr>
          <w:rFonts w:asciiTheme="majorHAnsi" w:hAnsiTheme="majorHAnsi" w:cstheme="majorHAnsi" w:hint="eastAsia"/>
          <w:sz w:val="22"/>
          <w:szCs w:val="22"/>
        </w:rPr>
        <w:t>裁判員の参加する刑事裁判に関する法律</w:t>
      </w:r>
      <w:r w:rsidR="008165F8" w:rsidRPr="00E87495">
        <w:rPr>
          <w:rFonts w:asciiTheme="majorHAnsi" w:hAnsiTheme="majorHAnsi" w:cstheme="majorHAnsi"/>
          <w:sz w:val="22"/>
          <w:szCs w:val="22"/>
        </w:rPr>
        <w:t xml:space="preserve">) </w:t>
      </w:r>
      <w:r w:rsidR="003C6A7F" w:rsidRPr="00E87495">
        <w:rPr>
          <w:rFonts w:asciiTheme="majorHAnsi" w:hAnsiTheme="majorHAnsi" w:cstheme="majorHAnsi"/>
          <w:sz w:val="22"/>
          <w:szCs w:val="22"/>
        </w:rPr>
        <w:t>đã được ban hành</w:t>
      </w:r>
      <w:r w:rsidR="008868B7" w:rsidRPr="00E87495">
        <w:rPr>
          <w:rFonts w:asciiTheme="majorHAnsi" w:hAnsiTheme="majorHAnsi" w:cstheme="majorHAnsi"/>
          <w:sz w:val="22"/>
          <w:szCs w:val="22"/>
        </w:rPr>
        <w:t xml:space="preserve"> ngày 28 tháng 5 năm 2004</w:t>
      </w:r>
      <w:r w:rsidR="009B06DD" w:rsidRPr="00E87495">
        <w:rPr>
          <w:rFonts w:asciiTheme="majorHAnsi" w:hAnsiTheme="majorHAnsi" w:cstheme="majorHAnsi"/>
          <w:sz w:val="22"/>
          <w:szCs w:val="22"/>
          <w:vertAlign w:val="superscript"/>
        </w:rPr>
        <w:t>5</w:t>
      </w:r>
      <w:r w:rsidR="003C6A7F" w:rsidRPr="00E87495">
        <w:rPr>
          <w:rFonts w:asciiTheme="majorHAnsi" w:hAnsiTheme="majorHAnsi" w:cstheme="majorHAnsi"/>
          <w:sz w:val="22"/>
          <w:szCs w:val="22"/>
        </w:rPr>
        <w:t xml:space="preserve">. </w:t>
      </w:r>
    </w:p>
    <w:p w14:paraId="7751FC69" w14:textId="2A5EE197" w:rsidR="00151D80" w:rsidRPr="00E87495" w:rsidRDefault="003C6A7F" w:rsidP="00D06882">
      <w:pPr>
        <w:widowControl/>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 xml:space="preserve">Sau khoảng 70 năm từ khi phiên tòa xét xử bồi thẩm đoàn cuối cùng được tổ chức, phiên tòa xét xử với sự tham gia của </w:t>
      </w:r>
      <w:r w:rsidR="00141203" w:rsidRPr="00E87495">
        <w:rPr>
          <w:rFonts w:asciiTheme="majorHAnsi" w:hAnsiTheme="majorHAnsi" w:cstheme="majorHAnsi"/>
          <w:sz w:val="22"/>
          <w:szCs w:val="22"/>
        </w:rPr>
        <w:t>TPV</w:t>
      </w:r>
      <w:r w:rsidRPr="00E87495">
        <w:rPr>
          <w:rFonts w:asciiTheme="majorHAnsi" w:hAnsiTheme="majorHAnsi" w:cstheme="majorHAnsi"/>
          <w:sz w:val="22"/>
          <w:szCs w:val="22"/>
        </w:rPr>
        <w:t xml:space="preserve"> đầu tiên của Nhật Bản đã bắt đầu được triển khai, đánh dấu một bước ngoặt quan trọng trong hệ thống tư pháp Nhật Bản, mở rộng sự tham gia của người dân vào các phiên tòa hình sự</w:t>
      </w:r>
      <w:r w:rsidR="009B06DD" w:rsidRPr="00E87495">
        <w:rPr>
          <w:rFonts w:asciiTheme="majorHAnsi" w:hAnsiTheme="majorHAnsi" w:cstheme="majorHAnsi"/>
          <w:sz w:val="22"/>
          <w:szCs w:val="22"/>
          <w:vertAlign w:val="superscript"/>
        </w:rPr>
        <w:t>1</w:t>
      </w:r>
      <w:r w:rsidR="008868B7" w:rsidRPr="00E87495">
        <w:rPr>
          <w:rFonts w:asciiTheme="majorHAnsi" w:hAnsiTheme="majorHAnsi" w:cstheme="majorHAnsi"/>
          <w:sz w:val="22"/>
          <w:szCs w:val="22"/>
        </w:rPr>
        <w:t>.</w:t>
      </w:r>
    </w:p>
    <w:p w14:paraId="1F4D3CCF" w14:textId="6AFC50B5" w:rsidR="00151D80" w:rsidRPr="00E87495" w:rsidRDefault="003930B4" w:rsidP="00CF2CC6">
      <w:pPr>
        <w:pStyle w:val="Heading2"/>
        <w:spacing w:before="120" w:after="120"/>
        <w:ind w:left="360"/>
      </w:pPr>
      <w:bookmarkStart w:id="8" w:name="_heading=h.gjdgxs" w:colFirst="0" w:colLast="0"/>
      <w:bookmarkEnd w:id="8"/>
      <w:r w:rsidRPr="00E87495">
        <w:t>3.</w:t>
      </w:r>
      <w:r w:rsidR="00F52900" w:rsidRPr="00E87495">
        <w:t>3.3</w:t>
      </w:r>
      <w:r w:rsidR="003C6A7F" w:rsidRPr="00E87495">
        <w:t xml:space="preserve">. </w:t>
      </w:r>
      <w:r w:rsidR="00F52900" w:rsidRPr="00E87495">
        <w:t>G</w:t>
      </w:r>
      <w:r w:rsidR="003C6A7F" w:rsidRPr="00E87495">
        <w:t>iá trị</w:t>
      </w:r>
      <w:r w:rsidR="00CF2CC6" w:rsidRPr="00E87495">
        <w:t xml:space="preserve"> </w:t>
      </w:r>
      <w:r w:rsidR="00AF1220" w:rsidRPr="00E87495">
        <w:t>hiện đại</w:t>
      </w:r>
      <w:r w:rsidR="00CF2CC6" w:rsidRPr="00E87495">
        <w:t xml:space="preserve"> của chế độ tài phán </w:t>
      </w:r>
      <w:r w:rsidR="00CF2CC6" w:rsidRPr="00E87495">
        <w:lastRenderedPageBreak/>
        <w:t>viên</w:t>
      </w:r>
    </w:p>
    <w:p w14:paraId="7122A3FE" w14:textId="6177416A" w:rsidR="00151D80" w:rsidRPr="00E87495" w:rsidRDefault="003C6A7F" w:rsidP="00D06882">
      <w:pPr>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Sau khi chính thức triển khai vào tháng 5 năm 2009</w:t>
      </w:r>
      <w:r w:rsidR="008868B7" w:rsidRPr="00E87495">
        <w:rPr>
          <w:rFonts w:asciiTheme="majorHAnsi" w:hAnsiTheme="majorHAnsi" w:cstheme="majorHAnsi"/>
          <w:sz w:val="22"/>
          <w:szCs w:val="22"/>
        </w:rPr>
        <w:t xml:space="preserve"> đến nay</w:t>
      </w:r>
      <w:r w:rsidRPr="00E87495">
        <w:rPr>
          <w:rFonts w:asciiTheme="majorHAnsi" w:hAnsiTheme="majorHAnsi" w:cstheme="majorHAnsi"/>
          <w:sz w:val="22"/>
          <w:szCs w:val="22"/>
        </w:rPr>
        <w:t xml:space="preserve">, chế độ </w:t>
      </w:r>
      <w:r w:rsidR="00141203" w:rsidRPr="00E87495">
        <w:rPr>
          <w:rFonts w:asciiTheme="majorHAnsi" w:hAnsiTheme="majorHAnsi" w:cstheme="majorHAnsi"/>
          <w:sz w:val="22"/>
          <w:szCs w:val="22"/>
        </w:rPr>
        <w:t>TPV</w:t>
      </w:r>
      <w:r w:rsidRPr="00E87495">
        <w:rPr>
          <w:rFonts w:asciiTheme="majorHAnsi" w:hAnsiTheme="majorHAnsi" w:cstheme="majorHAnsi"/>
          <w:sz w:val="22"/>
          <w:szCs w:val="22"/>
        </w:rPr>
        <w:t xml:space="preserve"> tại Nhật Bản đã </w:t>
      </w:r>
      <w:r w:rsidR="008868B7" w:rsidRPr="00E87495">
        <w:rPr>
          <w:rFonts w:asciiTheme="majorHAnsi" w:hAnsiTheme="majorHAnsi" w:cstheme="majorHAnsi"/>
          <w:sz w:val="22"/>
          <w:szCs w:val="22"/>
        </w:rPr>
        <w:t xml:space="preserve">bước đầu phát huy </w:t>
      </w:r>
      <w:r w:rsidRPr="00E87495">
        <w:rPr>
          <w:rFonts w:asciiTheme="majorHAnsi" w:hAnsiTheme="majorHAnsi" w:cstheme="majorHAnsi"/>
          <w:sz w:val="22"/>
          <w:szCs w:val="22"/>
        </w:rPr>
        <w:t xml:space="preserve">hiệu quả, </w:t>
      </w:r>
      <w:r w:rsidR="008868B7" w:rsidRPr="00E87495">
        <w:rPr>
          <w:rFonts w:asciiTheme="majorHAnsi" w:hAnsiTheme="majorHAnsi" w:cstheme="majorHAnsi"/>
          <w:sz w:val="22"/>
          <w:szCs w:val="22"/>
        </w:rPr>
        <w:t>giúp</w:t>
      </w:r>
      <w:r w:rsidRPr="00E87495">
        <w:rPr>
          <w:rFonts w:asciiTheme="majorHAnsi" w:hAnsiTheme="majorHAnsi" w:cstheme="majorHAnsi"/>
          <w:sz w:val="22"/>
          <w:szCs w:val="22"/>
        </w:rPr>
        <w:t xml:space="preserve"> củng cố niềm tin </w:t>
      </w:r>
      <w:r w:rsidR="007C44F0" w:rsidRPr="00E87495">
        <w:rPr>
          <w:rFonts w:asciiTheme="majorHAnsi" w:hAnsiTheme="majorHAnsi" w:cstheme="majorHAnsi"/>
          <w:sz w:val="22"/>
          <w:szCs w:val="22"/>
        </w:rPr>
        <w:t xml:space="preserve">của người dân </w:t>
      </w:r>
      <w:r w:rsidRPr="00E87495">
        <w:rPr>
          <w:rFonts w:asciiTheme="majorHAnsi" w:hAnsiTheme="majorHAnsi" w:cstheme="majorHAnsi"/>
          <w:sz w:val="22"/>
          <w:szCs w:val="22"/>
        </w:rPr>
        <w:t xml:space="preserve">và nâng cao vai trò của </w:t>
      </w:r>
      <w:r w:rsidR="007C44F0" w:rsidRPr="00E87495">
        <w:rPr>
          <w:rFonts w:asciiTheme="majorHAnsi" w:hAnsiTheme="majorHAnsi" w:cstheme="majorHAnsi"/>
          <w:sz w:val="22"/>
          <w:szCs w:val="22"/>
        </w:rPr>
        <w:t>họ trong hoạt động xét xử của cơ quan tư pháp</w:t>
      </w:r>
      <w:r w:rsidRPr="00E87495">
        <w:rPr>
          <w:rFonts w:asciiTheme="majorHAnsi" w:hAnsiTheme="majorHAnsi" w:cstheme="majorHAnsi"/>
          <w:sz w:val="22"/>
          <w:szCs w:val="22"/>
        </w:rPr>
        <w:t xml:space="preserve">. Do đó, kinh nghiệm của Nhật Bản trong quá trình xây dựng chế độ </w:t>
      </w:r>
      <w:r w:rsidR="00141203" w:rsidRPr="00E87495">
        <w:rPr>
          <w:rFonts w:asciiTheme="majorHAnsi" w:hAnsiTheme="majorHAnsi" w:cstheme="majorHAnsi"/>
          <w:sz w:val="22"/>
          <w:szCs w:val="22"/>
        </w:rPr>
        <w:t>TPV</w:t>
      </w:r>
      <w:r w:rsidRPr="00E87495">
        <w:rPr>
          <w:rFonts w:asciiTheme="majorHAnsi" w:hAnsiTheme="majorHAnsi" w:cstheme="majorHAnsi"/>
          <w:sz w:val="22"/>
          <w:szCs w:val="22"/>
        </w:rPr>
        <w:t xml:space="preserve"> có thể hữu ích cho các quốc gia xây dựng, hoàn thiện các cơ sở pháp lý, từ đó triển khai hiệu quả </w:t>
      </w:r>
      <w:r w:rsidR="00AF1220" w:rsidRPr="00E87495">
        <w:rPr>
          <w:rFonts w:asciiTheme="majorHAnsi" w:hAnsiTheme="majorHAnsi" w:cstheme="majorHAnsi"/>
          <w:sz w:val="22"/>
          <w:szCs w:val="22"/>
        </w:rPr>
        <w:t xml:space="preserve">cơ </w:t>
      </w:r>
      <w:r w:rsidRPr="00E87495">
        <w:rPr>
          <w:rFonts w:asciiTheme="majorHAnsi" w:hAnsiTheme="majorHAnsi" w:cstheme="majorHAnsi"/>
          <w:sz w:val="22"/>
          <w:szCs w:val="22"/>
        </w:rPr>
        <w:t>chế nhân dân tham gia vào hoạt động xét xử tạ</w:t>
      </w:r>
      <w:r w:rsidR="00AF1220" w:rsidRPr="00E87495">
        <w:rPr>
          <w:rFonts w:asciiTheme="majorHAnsi" w:hAnsiTheme="majorHAnsi" w:cstheme="majorHAnsi"/>
          <w:sz w:val="22"/>
          <w:szCs w:val="22"/>
        </w:rPr>
        <w:t>i tòa án.</w:t>
      </w:r>
    </w:p>
    <w:p w14:paraId="58FA3C76" w14:textId="4066BB55" w:rsidR="00151D80" w:rsidRPr="00E87495" w:rsidRDefault="00080A6D" w:rsidP="003C0437">
      <w:pPr>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T</w:t>
      </w:r>
      <w:r w:rsidR="003C6A7F" w:rsidRPr="00E87495">
        <w:rPr>
          <w:rFonts w:asciiTheme="majorHAnsi" w:hAnsiTheme="majorHAnsi" w:cstheme="majorHAnsi"/>
          <w:sz w:val="22"/>
          <w:szCs w:val="22"/>
        </w:rPr>
        <w:t xml:space="preserve">hứ nhất, các vụ án nếu có khả năng bị tuyên án tử hình thì bắt buộc phải có sự tham gia của </w:t>
      </w:r>
      <w:r w:rsidR="00141203" w:rsidRPr="00E87495">
        <w:rPr>
          <w:rFonts w:asciiTheme="majorHAnsi" w:hAnsiTheme="majorHAnsi" w:cstheme="majorHAnsi"/>
          <w:sz w:val="22"/>
          <w:szCs w:val="22"/>
        </w:rPr>
        <w:t>TPV</w:t>
      </w:r>
      <w:r w:rsidR="003C6A7F" w:rsidRPr="00E87495">
        <w:rPr>
          <w:rFonts w:asciiTheme="majorHAnsi" w:hAnsiTheme="majorHAnsi" w:cstheme="majorHAnsi"/>
          <w:sz w:val="22"/>
          <w:szCs w:val="22"/>
        </w:rPr>
        <w:t xml:space="preserve">. </w:t>
      </w:r>
      <w:r w:rsidR="00166625" w:rsidRPr="00E87495">
        <w:rPr>
          <w:rFonts w:asciiTheme="majorHAnsi" w:hAnsiTheme="majorHAnsi" w:cstheme="majorHAnsi"/>
          <w:sz w:val="22"/>
          <w:szCs w:val="22"/>
        </w:rPr>
        <w:t>Đ</w:t>
      </w:r>
      <w:r w:rsidR="003C6A7F" w:rsidRPr="00E87495">
        <w:rPr>
          <w:rFonts w:asciiTheme="majorHAnsi" w:hAnsiTheme="majorHAnsi" w:cstheme="majorHAnsi"/>
          <w:sz w:val="22"/>
          <w:szCs w:val="22"/>
        </w:rPr>
        <w:t xml:space="preserve">ể giúp hội đồng </w:t>
      </w:r>
      <w:r w:rsidR="00501DC7" w:rsidRPr="00E87495">
        <w:rPr>
          <w:rFonts w:asciiTheme="majorHAnsi" w:hAnsiTheme="majorHAnsi" w:cstheme="majorHAnsi"/>
          <w:sz w:val="22"/>
          <w:szCs w:val="22"/>
        </w:rPr>
        <w:t>thẩm phán</w:t>
      </w:r>
      <w:r w:rsidR="003C6A7F" w:rsidRPr="00E87495">
        <w:rPr>
          <w:rFonts w:asciiTheme="majorHAnsi" w:hAnsiTheme="majorHAnsi" w:cstheme="majorHAnsi"/>
          <w:sz w:val="22"/>
          <w:szCs w:val="22"/>
        </w:rPr>
        <w:t xml:space="preserve"> đưa ra phán quyết công bằng, dựa trên góc nhìn đa chiều và khách quan, các quốc gia cần chú trọng nâng cao sự tham gia của người dân vào hoạt động xét xử. Bởi lẽ, </w:t>
      </w:r>
      <w:r w:rsidR="00141203" w:rsidRPr="00E87495">
        <w:rPr>
          <w:rFonts w:asciiTheme="majorHAnsi" w:hAnsiTheme="majorHAnsi" w:cstheme="majorHAnsi"/>
          <w:sz w:val="22"/>
          <w:szCs w:val="22"/>
        </w:rPr>
        <w:t>TPV</w:t>
      </w:r>
      <w:r w:rsidR="00166625" w:rsidRPr="00E87495">
        <w:rPr>
          <w:rFonts w:asciiTheme="majorHAnsi" w:hAnsiTheme="majorHAnsi" w:cstheme="majorHAnsi"/>
          <w:sz w:val="22"/>
          <w:szCs w:val="22"/>
        </w:rPr>
        <w:t xml:space="preserve"> đóng vai trò là một </w:t>
      </w:r>
      <w:r w:rsidR="003C6A7F" w:rsidRPr="00E87495">
        <w:rPr>
          <w:rFonts w:asciiTheme="majorHAnsi" w:hAnsiTheme="majorHAnsi" w:cstheme="majorHAnsi"/>
          <w:sz w:val="22"/>
          <w:szCs w:val="22"/>
        </w:rPr>
        <w:t>công dân bình thường</w:t>
      </w:r>
      <w:r w:rsidR="00166625" w:rsidRPr="00E87495">
        <w:rPr>
          <w:rFonts w:asciiTheme="majorHAnsi" w:hAnsiTheme="majorHAnsi" w:cstheme="majorHAnsi"/>
          <w:sz w:val="22"/>
          <w:szCs w:val="22"/>
        </w:rPr>
        <w:t>,</w:t>
      </w:r>
      <w:r w:rsidR="003C6A7F" w:rsidRPr="00E87495">
        <w:rPr>
          <w:rFonts w:asciiTheme="majorHAnsi" w:hAnsiTheme="majorHAnsi" w:cstheme="majorHAnsi"/>
          <w:sz w:val="22"/>
          <w:szCs w:val="22"/>
        </w:rPr>
        <w:t xml:space="preserve"> </w:t>
      </w:r>
      <w:r w:rsidR="00166625" w:rsidRPr="00E87495">
        <w:rPr>
          <w:rFonts w:asciiTheme="majorHAnsi" w:hAnsiTheme="majorHAnsi" w:cstheme="majorHAnsi"/>
          <w:sz w:val="22"/>
          <w:szCs w:val="22"/>
        </w:rPr>
        <w:t xml:space="preserve">họ đưa ra ý kiến </w:t>
      </w:r>
      <w:r w:rsidR="00EB7367" w:rsidRPr="00E87495">
        <w:rPr>
          <w:rFonts w:asciiTheme="majorHAnsi" w:hAnsiTheme="majorHAnsi" w:cstheme="majorHAnsi"/>
          <w:sz w:val="22"/>
          <w:szCs w:val="22"/>
        </w:rPr>
        <w:t>với tư cách là người không có nhiều kiến thức pháp luật, nên ý kiến của họ không nhìn từ góc độ</w:t>
      </w:r>
      <w:r w:rsidR="003C6A7F" w:rsidRPr="00E87495">
        <w:rPr>
          <w:rFonts w:asciiTheme="majorHAnsi" w:hAnsiTheme="majorHAnsi" w:cstheme="majorHAnsi"/>
          <w:sz w:val="22"/>
          <w:szCs w:val="22"/>
        </w:rPr>
        <w:t xml:space="preserve"> pháp luật</w:t>
      </w:r>
      <w:r w:rsidR="00EB7367" w:rsidRPr="00E87495">
        <w:rPr>
          <w:rFonts w:asciiTheme="majorHAnsi" w:hAnsiTheme="majorHAnsi" w:cstheme="majorHAnsi"/>
          <w:sz w:val="22"/>
          <w:szCs w:val="22"/>
        </w:rPr>
        <w:t>, mà từ góc độ luân lý xã hội và lẽ phải</w:t>
      </w:r>
      <w:r w:rsidR="003C6A7F" w:rsidRPr="00E87495">
        <w:rPr>
          <w:rFonts w:asciiTheme="majorHAnsi" w:hAnsiTheme="majorHAnsi" w:cstheme="majorHAnsi"/>
          <w:sz w:val="22"/>
          <w:szCs w:val="22"/>
        </w:rPr>
        <w:t xml:space="preserve">. Đặc biệt </w:t>
      </w:r>
      <w:r w:rsidR="00EB7367" w:rsidRPr="00E87495">
        <w:rPr>
          <w:rFonts w:asciiTheme="majorHAnsi" w:hAnsiTheme="majorHAnsi" w:cstheme="majorHAnsi"/>
          <w:sz w:val="22"/>
          <w:szCs w:val="22"/>
        </w:rPr>
        <w:t>trong</w:t>
      </w:r>
      <w:r w:rsidR="003C6A7F" w:rsidRPr="00E87495">
        <w:rPr>
          <w:rFonts w:asciiTheme="majorHAnsi" w:hAnsiTheme="majorHAnsi" w:cstheme="majorHAnsi"/>
          <w:sz w:val="22"/>
          <w:szCs w:val="22"/>
        </w:rPr>
        <w:t xml:space="preserve"> </w:t>
      </w:r>
      <w:r w:rsidR="00913D5F" w:rsidRPr="00E87495">
        <w:rPr>
          <w:rFonts w:asciiTheme="majorHAnsi" w:hAnsiTheme="majorHAnsi" w:cstheme="majorHAnsi"/>
          <w:sz w:val="22"/>
          <w:szCs w:val="22"/>
        </w:rPr>
        <w:t xml:space="preserve">những </w:t>
      </w:r>
      <w:r w:rsidR="003C6A7F" w:rsidRPr="00E87495">
        <w:rPr>
          <w:rFonts w:asciiTheme="majorHAnsi" w:hAnsiTheme="majorHAnsi" w:cstheme="majorHAnsi"/>
          <w:sz w:val="22"/>
          <w:szCs w:val="22"/>
        </w:rPr>
        <w:t>vụ án có khả năng bị tuyên án tử hình, thu hút sự quan tâm lớn của dư luận</w:t>
      </w:r>
      <w:r w:rsidR="00EB7367" w:rsidRPr="00E87495">
        <w:rPr>
          <w:rFonts w:asciiTheme="majorHAnsi" w:hAnsiTheme="majorHAnsi" w:cstheme="majorHAnsi"/>
          <w:sz w:val="22"/>
          <w:szCs w:val="22"/>
        </w:rPr>
        <w:t>,</w:t>
      </w:r>
      <w:r w:rsidR="003C6A7F" w:rsidRPr="00E87495">
        <w:rPr>
          <w:rFonts w:asciiTheme="majorHAnsi" w:hAnsiTheme="majorHAnsi" w:cstheme="majorHAnsi"/>
          <w:sz w:val="22"/>
          <w:szCs w:val="22"/>
        </w:rPr>
        <w:t xml:space="preserve"> </w:t>
      </w:r>
      <w:r w:rsidR="00913D5F" w:rsidRPr="00E87495">
        <w:rPr>
          <w:rFonts w:asciiTheme="majorHAnsi" w:hAnsiTheme="majorHAnsi" w:cstheme="majorHAnsi"/>
          <w:sz w:val="22"/>
          <w:szCs w:val="22"/>
        </w:rPr>
        <w:t>ý kiến</w:t>
      </w:r>
      <w:r w:rsidR="00EB7367" w:rsidRPr="00E87495">
        <w:rPr>
          <w:rFonts w:asciiTheme="majorHAnsi" w:hAnsiTheme="majorHAnsi" w:cstheme="majorHAnsi"/>
          <w:sz w:val="22"/>
          <w:szCs w:val="22"/>
        </w:rPr>
        <w:t xml:space="preserve"> của TPV</w:t>
      </w:r>
      <w:r w:rsidR="00913D5F" w:rsidRPr="00E87495">
        <w:rPr>
          <w:rFonts w:asciiTheme="majorHAnsi" w:hAnsiTheme="majorHAnsi" w:cstheme="majorHAnsi"/>
          <w:sz w:val="22"/>
          <w:szCs w:val="22"/>
        </w:rPr>
        <w:t xml:space="preserve"> có thể phán ánh đúng </w:t>
      </w:r>
      <w:r w:rsidR="00E17FBE" w:rsidRPr="00E87495">
        <w:rPr>
          <w:rFonts w:asciiTheme="majorHAnsi" w:hAnsiTheme="majorHAnsi" w:cstheme="majorHAnsi"/>
          <w:sz w:val="22"/>
          <w:szCs w:val="22"/>
        </w:rPr>
        <w:t>ý kiến của phần đông người dân. Từ đó, hội đồng xét xử có thể đưa ra quan điểm phù hợp với người dân, tiến đến xoa dịu và trấn an dư luận</w:t>
      </w:r>
      <w:r w:rsidR="003C6A7F" w:rsidRPr="00E87495">
        <w:rPr>
          <w:rFonts w:asciiTheme="majorHAnsi" w:hAnsiTheme="majorHAnsi" w:cstheme="majorHAnsi"/>
          <w:sz w:val="22"/>
          <w:szCs w:val="22"/>
        </w:rPr>
        <w:t xml:space="preserve">. </w:t>
      </w:r>
      <w:r w:rsidR="00E17FBE" w:rsidRPr="00E87495">
        <w:rPr>
          <w:rFonts w:asciiTheme="majorHAnsi" w:hAnsiTheme="majorHAnsi" w:cstheme="majorHAnsi"/>
          <w:sz w:val="22"/>
          <w:szCs w:val="22"/>
        </w:rPr>
        <w:t xml:space="preserve">Thậm chí, </w:t>
      </w:r>
      <w:r w:rsidR="00777C16" w:rsidRPr="00E87495">
        <w:rPr>
          <w:rFonts w:asciiTheme="majorHAnsi" w:hAnsiTheme="majorHAnsi" w:cstheme="majorHAnsi"/>
          <w:sz w:val="22"/>
          <w:szCs w:val="22"/>
        </w:rPr>
        <w:t xml:space="preserve">Tomita Satoko </w:t>
      </w:r>
      <w:r w:rsidR="000E0D38" w:rsidRPr="00E87495">
        <w:rPr>
          <w:rFonts w:asciiTheme="majorHAnsi" w:hAnsiTheme="majorHAnsi" w:cstheme="majorHAnsi"/>
          <w:sz w:val="22"/>
          <w:szCs w:val="22"/>
        </w:rPr>
        <w:t>còn cho</w:t>
      </w:r>
      <w:r w:rsidR="00777C16" w:rsidRPr="00E87495">
        <w:rPr>
          <w:rFonts w:asciiTheme="majorHAnsi" w:hAnsiTheme="majorHAnsi" w:cstheme="majorHAnsi"/>
          <w:sz w:val="22"/>
          <w:szCs w:val="22"/>
        </w:rPr>
        <w:t xml:space="preserve"> rằng các phiên tòa có </w:t>
      </w:r>
      <w:r w:rsidR="00141203" w:rsidRPr="00E87495">
        <w:rPr>
          <w:rFonts w:asciiTheme="majorHAnsi" w:hAnsiTheme="majorHAnsi" w:cstheme="majorHAnsi"/>
          <w:sz w:val="22"/>
          <w:szCs w:val="22"/>
        </w:rPr>
        <w:t>TPV</w:t>
      </w:r>
      <w:r w:rsidR="00777C16" w:rsidRPr="00E87495">
        <w:rPr>
          <w:rFonts w:asciiTheme="majorHAnsi" w:hAnsiTheme="majorHAnsi" w:cstheme="majorHAnsi"/>
          <w:sz w:val="22"/>
          <w:szCs w:val="22"/>
        </w:rPr>
        <w:t xml:space="preserve"> tham gia phản ánh các nguyên tắc của pháp luật hình sự</w:t>
      </w:r>
      <w:r w:rsidR="000E0D38" w:rsidRPr="00E87495">
        <w:rPr>
          <w:rFonts w:asciiTheme="majorHAnsi" w:hAnsiTheme="majorHAnsi" w:cstheme="majorHAnsi"/>
          <w:sz w:val="22"/>
          <w:szCs w:val="22"/>
        </w:rPr>
        <w:t xml:space="preserve"> tốt</w:t>
      </w:r>
      <w:r w:rsidR="00777C16" w:rsidRPr="00E87495">
        <w:rPr>
          <w:rFonts w:asciiTheme="majorHAnsi" w:hAnsiTheme="majorHAnsi" w:cstheme="majorHAnsi"/>
          <w:sz w:val="22"/>
          <w:szCs w:val="22"/>
        </w:rPr>
        <w:t xml:space="preserve"> hơn các vụ án chỉ được xét xử bởi </w:t>
      </w:r>
      <w:r w:rsidR="00501DC7" w:rsidRPr="00E87495">
        <w:rPr>
          <w:rFonts w:asciiTheme="majorHAnsi" w:hAnsiTheme="majorHAnsi" w:cstheme="majorHAnsi"/>
          <w:sz w:val="22"/>
          <w:szCs w:val="22"/>
        </w:rPr>
        <w:t>thẩm phán</w:t>
      </w:r>
      <w:r w:rsidR="00777C16" w:rsidRPr="00E87495">
        <w:rPr>
          <w:rFonts w:asciiTheme="majorHAnsi" w:hAnsiTheme="majorHAnsi" w:cstheme="majorHAnsi"/>
          <w:sz w:val="22"/>
          <w:szCs w:val="22"/>
        </w:rPr>
        <w:t xml:space="preserve">, đặc biệt là nguyên tắc </w:t>
      </w:r>
      <w:r w:rsidR="00777C16" w:rsidRPr="00E87495">
        <w:rPr>
          <w:rFonts w:asciiTheme="majorHAnsi" w:hAnsiTheme="majorHAnsi" w:cstheme="majorHAnsi"/>
          <w:i/>
          <w:iCs/>
          <w:sz w:val="22"/>
          <w:szCs w:val="22"/>
        </w:rPr>
        <w:t>“suy đoán vô tội”</w:t>
      </w:r>
      <w:r w:rsidR="008462E6" w:rsidRPr="00E87495">
        <w:rPr>
          <w:rFonts w:asciiTheme="majorHAnsi" w:hAnsiTheme="majorHAnsi" w:cstheme="majorHAnsi"/>
          <w:iCs/>
          <w:sz w:val="22"/>
          <w:szCs w:val="22"/>
          <w:vertAlign w:val="superscript"/>
        </w:rPr>
        <w:t>11</w:t>
      </w:r>
      <w:r w:rsidR="00777C16" w:rsidRPr="00E87495">
        <w:rPr>
          <w:rFonts w:asciiTheme="majorHAnsi" w:hAnsiTheme="majorHAnsi" w:cstheme="majorHAnsi"/>
          <w:sz w:val="22"/>
          <w:szCs w:val="22"/>
        </w:rPr>
        <w:t>. T</w:t>
      </w:r>
      <w:r w:rsidR="00D74DCB" w:rsidRPr="00E87495">
        <w:rPr>
          <w:rFonts w:asciiTheme="majorHAnsi" w:hAnsiTheme="majorHAnsi" w:cstheme="majorHAnsi"/>
          <w:sz w:val="22"/>
          <w:szCs w:val="22"/>
        </w:rPr>
        <w:t>ừ</w:t>
      </w:r>
      <w:r w:rsidR="00777C16" w:rsidRPr="00E87495">
        <w:rPr>
          <w:rFonts w:asciiTheme="majorHAnsi" w:hAnsiTheme="majorHAnsi" w:cstheme="majorHAnsi"/>
          <w:sz w:val="22"/>
          <w:szCs w:val="22"/>
        </w:rPr>
        <w:t xml:space="preserve"> những kinh nghiệm bào chữa cho bị cáo trong các vụ án hình sự nghiêm trọng từ khi Nhật Bản chưa triển khai hệ thống </w:t>
      </w:r>
      <w:r w:rsidR="00141203" w:rsidRPr="00E87495">
        <w:rPr>
          <w:rFonts w:asciiTheme="majorHAnsi" w:hAnsiTheme="majorHAnsi" w:cstheme="majorHAnsi"/>
          <w:sz w:val="22"/>
          <w:szCs w:val="22"/>
        </w:rPr>
        <w:t>TPV</w:t>
      </w:r>
      <w:r w:rsidR="00777C16" w:rsidRPr="00E87495">
        <w:rPr>
          <w:rFonts w:asciiTheme="majorHAnsi" w:hAnsiTheme="majorHAnsi" w:cstheme="majorHAnsi"/>
          <w:sz w:val="22"/>
          <w:szCs w:val="22"/>
        </w:rPr>
        <w:t xml:space="preserve">, </w:t>
      </w:r>
      <w:r w:rsidR="00D74DCB" w:rsidRPr="00E87495">
        <w:rPr>
          <w:rFonts w:asciiTheme="majorHAnsi" w:hAnsiTheme="majorHAnsi" w:cstheme="majorHAnsi"/>
          <w:sz w:val="22"/>
          <w:szCs w:val="22"/>
        </w:rPr>
        <w:t>Ii Takayuki</w:t>
      </w:r>
      <w:r w:rsidR="003C0437" w:rsidRPr="00E87495">
        <w:rPr>
          <w:rFonts w:asciiTheme="majorHAnsi" w:hAnsiTheme="majorHAnsi" w:cstheme="majorHAnsi"/>
          <w:sz w:val="22"/>
          <w:szCs w:val="22"/>
        </w:rPr>
        <w:t xml:space="preserve"> (2019) </w:t>
      </w:r>
      <w:r w:rsidR="00777C16" w:rsidRPr="00E87495">
        <w:rPr>
          <w:rFonts w:asciiTheme="majorHAnsi" w:hAnsiTheme="majorHAnsi" w:cstheme="majorHAnsi"/>
          <w:sz w:val="22"/>
          <w:szCs w:val="22"/>
        </w:rPr>
        <w:t xml:space="preserve">cũng cho rằng một số vụ án sẽ không có khả năng tuyên án vô tội nếu phiên tòa xét xử chỉ có sự tham gia của </w:t>
      </w:r>
      <w:r w:rsidR="00501DC7" w:rsidRPr="00E87495">
        <w:rPr>
          <w:rFonts w:asciiTheme="majorHAnsi" w:hAnsiTheme="majorHAnsi" w:cstheme="majorHAnsi"/>
          <w:sz w:val="22"/>
          <w:szCs w:val="22"/>
        </w:rPr>
        <w:t>thẩm phán</w:t>
      </w:r>
      <w:r w:rsidR="00777C16" w:rsidRPr="00E87495">
        <w:rPr>
          <w:rFonts w:asciiTheme="majorHAnsi" w:hAnsiTheme="majorHAnsi" w:cstheme="majorHAnsi" w:hint="eastAsia"/>
          <w:sz w:val="22"/>
          <w:szCs w:val="22"/>
          <w:vertAlign w:val="superscript"/>
        </w:rPr>
        <w:t>10</w:t>
      </w:r>
      <w:r w:rsidR="00777C16" w:rsidRPr="00E87495">
        <w:rPr>
          <w:rFonts w:asciiTheme="majorHAnsi" w:hAnsiTheme="majorHAnsi" w:cstheme="majorHAnsi"/>
          <w:sz w:val="22"/>
          <w:szCs w:val="22"/>
        </w:rPr>
        <w:t xml:space="preserve">. Quả thực, nếu không có sự tham gia của </w:t>
      </w:r>
      <w:r w:rsidR="00141203" w:rsidRPr="00E87495">
        <w:rPr>
          <w:rFonts w:asciiTheme="majorHAnsi" w:hAnsiTheme="majorHAnsi" w:cstheme="majorHAnsi"/>
          <w:sz w:val="22"/>
          <w:szCs w:val="22"/>
        </w:rPr>
        <w:t>TPV</w:t>
      </w:r>
      <w:r w:rsidR="00777C16" w:rsidRPr="00E87495">
        <w:rPr>
          <w:rFonts w:asciiTheme="majorHAnsi" w:hAnsiTheme="majorHAnsi" w:cstheme="majorHAnsi"/>
          <w:sz w:val="22"/>
          <w:szCs w:val="22"/>
        </w:rPr>
        <w:t xml:space="preserve">, quá trình xét xử trong một số vụ án có thể đặt nặng </w:t>
      </w:r>
      <w:r w:rsidR="008462E6" w:rsidRPr="00E87495">
        <w:rPr>
          <w:rFonts w:asciiTheme="majorHAnsi" w:hAnsiTheme="majorHAnsi" w:cstheme="majorHAnsi"/>
          <w:sz w:val="22"/>
          <w:szCs w:val="22"/>
        </w:rPr>
        <w:t xml:space="preserve">các yêu cầu định khung </w:t>
      </w:r>
      <w:r w:rsidR="00777C16" w:rsidRPr="00E87495">
        <w:rPr>
          <w:rFonts w:asciiTheme="majorHAnsi" w:hAnsiTheme="majorHAnsi" w:cstheme="majorHAnsi"/>
          <w:sz w:val="22"/>
          <w:szCs w:val="22"/>
        </w:rPr>
        <w:t xml:space="preserve">hình phạt </w:t>
      </w:r>
      <w:r w:rsidR="008462E6" w:rsidRPr="00E87495">
        <w:rPr>
          <w:rFonts w:asciiTheme="majorHAnsi" w:hAnsiTheme="majorHAnsi" w:cstheme="majorHAnsi"/>
          <w:sz w:val="22"/>
          <w:szCs w:val="22"/>
        </w:rPr>
        <w:t>và cấu thành tội phạm hơn sự</w:t>
      </w:r>
      <w:r w:rsidR="00777C16" w:rsidRPr="00E87495">
        <w:rPr>
          <w:rFonts w:asciiTheme="majorHAnsi" w:hAnsiTheme="majorHAnsi" w:cstheme="majorHAnsi"/>
          <w:sz w:val="22"/>
          <w:szCs w:val="22"/>
        </w:rPr>
        <w:t xml:space="preserve"> nhân văn </w:t>
      </w:r>
      <w:r w:rsidR="008462E6" w:rsidRPr="00E87495">
        <w:rPr>
          <w:rFonts w:asciiTheme="majorHAnsi" w:hAnsiTheme="majorHAnsi" w:cstheme="majorHAnsi"/>
          <w:sz w:val="22"/>
          <w:szCs w:val="22"/>
        </w:rPr>
        <w:t xml:space="preserve">của pháp luật </w:t>
      </w:r>
      <w:r w:rsidR="00777C16" w:rsidRPr="00E87495">
        <w:rPr>
          <w:rFonts w:asciiTheme="majorHAnsi" w:hAnsiTheme="majorHAnsi" w:cstheme="majorHAnsi"/>
          <w:sz w:val="22"/>
          <w:szCs w:val="22"/>
        </w:rPr>
        <w:t xml:space="preserve">và </w:t>
      </w:r>
      <w:r w:rsidR="008462E6" w:rsidRPr="00E87495">
        <w:rPr>
          <w:rFonts w:asciiTheme="majorHAnsi" w:hAnsiTheme="majorHAnsi" w:cstheme="majorHAnsi"/>
          <w:sz w:val="22"/>
          <w:szCs w:val="22"/>
        </w:rPr>
        <w:t xml:space="preserve">lẽ </w:t>
      </w:r>
      <w:r w:rsidR="00777C16" w:rsidRPr="00E87495">
        <w:rPr>
          <w:rFonts w:asciiTheme="majorHAnsi" w:hAnsiTheme="majorHAnsi" w:cstheme="majorHAnsi"/>
          <w:sz w:val="22"/>
          <w:szCs w:val="22"/>
        </w:rPr>
        <w:t xml:space="preserve">công bằng. </w:t>
      </w:r>
      <w:r w:rsidR="003C0437" w:rsidRPr="00E87495">
        <w:rPr>
          <w:rFonts w:asciiTheme="majorHAnsi" w:hAnsiTheme="majorHAnsi" w:cstheme="majorHAnsi"/>
          <w:sz w:val="22"/>
          <w:szCs w:val="22"/>
        </w:rPr>
        <w:t xml:space="preserve">Tương tự, </w:t>
      </w:r>
      <w:r w:rsidRPr="00E87495">
        <w:rPr>
          <w:rFonts w:asciiTheme="majorHAnsi" w:hAnsiTheme="majorHAnsi" w:cstheme="majorHAnsi"/>
          <w:sz w:val="22"/>
          <w:szCs w:val="22"/>
        </w:rPr>
        <w:t>Hirayama Mari</w:t>
      </w:r>
      <w:r w:rsidR="00E76E15" w:rsidRPr="00E87495">
        <w:rPr>
          <w:rFonts w:asciiTheme="majorHAnsi" w:hAnsiTheme="majorHAnsi" w:cstheme="majorHAnsi" w:hint="eastAsia"/>
          <w:sz w:val="22"/>
          <w:szCs w:val="22"/>
        </w:rPr>
        <w:t xml:space="preserve"> (2019)</w:t>
      </w:r>
      <w:r w:rsidR="00777C16" w:rsidRPr="00E87495">
        <w:rPr>
          <w:rFonts w:asciiTheme="majorHAnsi" w:hAnsiTheme="majorHAnsi" w:cstheme="majorHAnsi"/>
          <w:sz w:val="22"/>
          <w:szCs w:val="22"/>
        </w:rPr>
        <w:t xml:space="preserve"> nghiên cứu các tội phạm tình dụ</w:t>
      </w:r>
      <w:r w:rsidR="000E308A" w:rsidRPr="00E87495">
        <w:rPr>
          <w:rFonts w:asciiTheme="majorHAnsi" w:hAnsiTheme="majorHAnsi" w:cstheme="majorHAnsi"/>
          <w:sz w:val="22"/>
          <w:szCs w:val="22"/>
        </w:rPr>
        <w:t>c</w:t>
      </w:r>
      <w:r w:rsidR="00777C16" w:rsidRPr="00E87495">
        <w:rPr>
          <w:rFonts w:asciiTheme="majorHAnsi" w:hAnsiTheme="majorHAnsi" w:cstheme="majorHAnsi"/>
          <w:sz w:val="22"/>
          <w:szCs w:val="22"/>
        </w:rPr>
        <w:t xml:space="preserve"> cũng cho rằng sự tham gia của </w:t>
      </w:r>
      <w:r w:rsidR="00141203" w:rsidRPr="00E87495">
        <w:rPr>
          <w:rFonts w:asciiTheme="majorHAnsi" w:hAnsiTheme="majorHAnsi" w:cstheme="majorHAnsi"/>
          <w:sz w:val="22"/>
          <w:szCs w:val="22"/>
        </w:rPr>
        <w:t>TPV</w:t>
      </w:r>
      <w:r w:rsidR="00777C16" w:rsidRPr="00E87495">
        <w:rPr>
          <w:rFonts w:asciiTheme="majorHAnsi" w:hAnsiTheme="majorHAnsi" w:cstheme="majorHAnsi"/>
          <w:sz w:val="22"/>
          <w:szCs w:val="22"/>
        </w:rPr>
        <w:t xml:space="preserve"> trong các vụ án hình sự là bước tiến lớn, các phán quyết </w:t>
      </w:r>
      <w:r w:rsidR="000E308A" w:rsidRPr="00E87495">
        <w:rPr>
          <w:rFonts w:asciiTheme="majorHAnsi" w:hAnsiTheme="majorHAnsi" w:cstheme="majorHAnsi"/>
          <w:sz w:val="22"/>
          <w:szCs w:val="22"/>
        </w:rPr>
        <w:t xml:space="preserve">về hình phạt </w:t>
      </w:r>
      <w:r w:rsidR="00777C16" w:rsidRPr="00E87495">
        <w:rPr>
          <w:rFonts w:asciiTheme="majorHAnsi" w:hAnsiTheme="majorHAnsi" w:cstheme="majorHAnsi"/>
          <w:sz w:val="22"/>
          <w:szCs w:val="22"/>
        </w:rPr>
        <w:t xml:space="preserve">được đưa ra tại phiên tòa có sự tham gia của </w:t>
      </w:r>
      <w:r w:rsidR="00141203" w:rsidRPr="00E87495">
        <w:rPr>
          <w:rFonts w:asciiTheme="majorHAnsi" w:hAnsiTheme="majorHAnsi" w:cstheme="majorHAnsi"/>
          <w:sz w:val="22"/>
          <w:szCs w:val="22"/>
        </w:rPr>
        <w:t>TPV</w:t>
      </w:r>
      <w:r w:rsidR="000E308A" w:rsidRPr="00E87495">
        <w:rPr>
          <w:rFonts w:asciiTheme="majorHAnsi" w:hAnsiTheme="majorHAnsi" w:cstheme="majorHAnsi"/>
          <w:sz w:val="22"/>
          <w:szCs w:val="22"/>
        </w:rPr>
        <w:t xml:space="preserve"> </w:t>
      </w:r>
      <w:r w:rsidR="00777C16" w:rsidRPr="00E87495">
        <w:rPr>
          <w:rFonts w:asciiTheme="majorHAnsi" w:hAnsiTheme="majorHAnsi" w:cstheme="majorHAnsi"/>
          <w:sz w:val="22"/>
          <w:szCs w:val="22"/>
        </w:rPr>
        <w:t>mang tính nhân văn và công bằng hơn</w:t>
      </w:r>
      <w:r w:rsidR="007C44F0" w:rsidRPr="00E87495">
        <w:rPr>
          <w:rFonts w:asciiTheme="majorHAnsi" w:hAnsiTheme="majorHAnsi" w:cstheme="majorHAnsi"/>
          <w:sz w:val="22"/>
          <w:szCs w:val="22"/>
          <w:vertAlign w:val="superscript"/>
        </w:rPr>
        <w:t>10</w:t>
      </w:r>
      <w:r w:rsidR="00E94DA1" w:rsidRPr="00E87495">
        <w:rPr>
          <w:rFonts w:asciiTheme="majorHAnsi" w:hAnsiTheme="majorHAnsi" w:cstheme="majorHAnsi"/>
          <w:sz w:val="22"/>
          <w:szCs w:val="22"/>
        </w:rPr>
        <w:t>.</w:t>
      </w:r>
    </w:p>
    <w:p w14:paraId="12EE5802" w14:textId="12D0B7D1" w:rsidR="00151D80" w:rsidRPr="00E87495" w:rsidRDefault="00080A6D" w:rsidP="00D06882">
      <w:pPr>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T</w:t>
      </w:r>
      <w:r w:rsidR="003C6A7F" w:rsidRPr="00E87495">
        <w:rPr>
          <w:rFonts w:asciiTheme="majorHAnsi" w:hAnsiTheme="majorHAnsi" w:cstheme="majorHAnsi"/>
          <w:sz w:val="22"/>
          <w:szCs w:val="22"/>
        </w:rPr>
        <w:t xml:space="preserve">hứ hai, </w:t>
      </w:r>
      <w:r w:rsidR="00E94DA1" w:rsidRPr="00E87495">
        <w:rPr>
          <w:rFonts w:asciiTheme="majorHAnsi" w:hAnsiTheme="majorHAnsi" w:cstheme="majorHAnsi"/>
          <w:sz w:val="22"/>
          <w:szCs w:val="22"/>
        </w:rPr>
        <w:t xml:space="preserve">ý kiến </w:t>
      </w:r>
      <w:r w:rsidR="007F3F6C" w:rsidRPr="00E87495">
        <w:rPr>
          <w:rFonts w:asciiTheme="majorHAnsi" w:hAnsiTheme="majorHAnsi" w:cstheme="majorHAnsi"/>
          <w:sz w:val="22"/>
          <w:szCs w:val="22"/>
        </w:rPr>
        <w:t xml:space="preserve">đa số </w:t>
      </w:r>
      <w:r w:rsidR="00E94DA1" w:rsidRPr="00E87495">
        <w:rPr>
          <w:rFonts w:asciiTheme="majorHAnsi" w:hAnsiTheme="majorHAnsi" w:cstheme="majorHAnsi"/>
          <w:sz w:val="22"/>
          <w:szCs w:val="22"/>
        </w:rPr>
        <w:t xml:space="preserve">của </w:t>
      </w:r>
      <w:r w:rsidR="00141203" w:rsidRPr="00E87495">
        <w:rPr>
          <w:rFonts w:asciiTheme="majorHAnsi" w:hAnsiTheme="majorHAnsi" w:cstheme="majorHAnsi"/>
          <w:sz w:val="22"/>
          <w:szCs w:val="22"/>
        </w:rPr>
        <w:t>TPV</w:t>
      </w:r>
      <w:r w:rsidR="003C6A7F" w:rsidRPr="00E87495">
        <w:rPr>
          <w:rFonts w:asciiTheme="majorHAnsi" w:hAnsiTheme="majorHAnsi" w:cstheme="majorHAnsi"/>
          <w:sz w:val="22"/>
          <w:szCs w:val="22"/>
        </w:rPr>
        <w:t xml:space="preserve"> </w:t>
      </w:r>
      <w:r w:rsidR="007F3F6C" w:rsidRPr="00E87495">
        <w:rPr>
          <w:rFonts w:asciiTheme="majorHAnsi" w:hAnsiTheme="majorHAnsi" w:cstheme="majorHAnsi"/>
          <w:sz w:val="22"/>
          <w:szCs w:val="22"/>
        </w:rPr>
        <w:t>có thể trở thành</w:t>
      </w:r>
      <w:r w:rsidR="003C6A7F" w:rsidRPr="00E87495">
        <w:rPr>
          <w:rFonts w:asciiTheme="majorHAnsi" w:hAnsiTheme="majorHAnsi" w:cstheme="majorHAnsi"/>
          <w:sz w:val="22"/>
          <w:szCs w:val="22"/>
        </w:rPr>
        <w:t xml:space="preserve"> phán quyết </w:t>
      </w:r>
      <w:r w:rsidR="007F3F6C" w:rsidRPr="00E87495">
        <w:rPr>
          <w:rFonts w:asciiTheme="majorHAnsi" w:hAnsiTheme="majorHAnsi" w:cstheme="majorHAnsi"/>
          <w:sz w:val="22"/>
          <w:szCs w:val="22"/>
        </w:rPr>
        <w:t>của hội đồng xét xử</w:t>
      </w:r>
      <w:r w:rsidR="003C6A7F" w:rsidRPr="00E87495">
        <w:rPr>
          <w:rFonts w:asciiTheme="majorHAnsi" w:hAnsiTheme="majorHAnsi" w:cstheme="majorHAnsi"/>
          <w:sz w:val="22"/>
          <w:szCs w:val="22"/>
        </w:rPr>
        <w:t xml:space="preserve">, </w:t>
      </w:r>
      <w:r w:rsidR="00E94DA1" w:rsidRPr="00E87495">
        <w:rPr>
          <w:rFonts w:asciiTheme="majorHAnsi" w:hAnsiTheme="majorHAnsi" w:cstheme="majorHAnsi" w:hint="eastAsia"/>
          <w:sz w:val="22"/>
          <w:szCs w:val="22"/>
        </w:rPr>
        <w:t>n</w:t>
      </w:r>
      <w:r w:rsidR="00E94DA1" w:rsidRPr="00E87495">
        <w:rPr>
          <w:rFonts w:asciiTheme="majorHAnsi" w:hAnsiTheme="majorHAnsi" w:cstheme="majorHAnsi"/>
          <w:sz w:val="22"/>
          <w:szCs w:val="22"/>
        </w:rPr>
        <w:t>hưng</w:t>
      </w:r>
      <w:r w:rsidR="003C6A7F" w:rsidRPr="00E87495">
        <w:rPr>
          <w:rFonts w:asciiTheme="majorHAnsi" w:hAnsiTheme="majorHAnsi" w:cstheme="majorHAnsi"/>
          <w:sz w:val="22"/>
          <w:szCs w:val="22"/>
        </w:rPr>
        <w:t xml:space="preserve"> cần phải được ít nhất một </w:t>
      </w:r>
      <w:r w:rsidR="00501DC7" w:rsidRPr="00E87495">
        <w:rPr>
          <w:rFonts w:asciiTheme="majorHAnsi" w:hAnsiTheme="majorHAnsi" w:cstheme="majorHAnsi"/>
          <w:sz w:val="22"/>
          <w:szCs w:val="22"/>
        </w:rPr>
        <w:t>thẩm phán</w:t>
      </w:r>
      <w:r w:rsidR="003C6A7F" w:rsidRPr="00E87495">
        <w:rPr>
          <w:rFonts w:asciiTheme="majorHAnsi" w:hAnsiTheme="majorHAnsi" w:cstheme="majorHAnsi"/>
          <w:sz w:val="22"/>
          <w:szCs w:val="22"/>
        </w:rPr>
        <w:t xml:space="preserve"> ủng hộ</w:t>
      </w:r>
      <w:r w:rsidR="004D5A8E" w:rsidRPr="00E87495">
        <w:rPr>
          <w:rFonts w:asciiTheme="majorHAnsi" w:hAnsiTheme="majorHAnsi" w:cstheme="majorHAnsi"/>
          <w:sz w:val="22"/>
          <w:szCs w:val="22"/>
          <w:vertAlign w:val="superscript"/>
        </w:rPr>
        <w:t>8</w:t>
      </w:r>
      <w:r w:rsidR="003C6A7F" w:rsidRPr="00E87495">
        <w:rPr>
          <w:rFonts w:asciiTheme="majorHAnsi" w:hAnsiTheme="majorHAnsi" w:cstheme="majorHAnsi"/>
          <w:sz w:val="22"/>
          <w:szCs w:val="22"/>
        </w:rPr>
        <w:t xml:space="preserve">. Theo khoản 3 Điều 6 Luật </w:t>
      </w:r>
      <w:r w:rsidR="00141203" w:rsidRPr="00E87495">
        <w:rPr>
          <w:rFonts w:asciiTheme="majorHAnsi" w:hAnsiTheme="majorHAnsi" w:cstheme="majorHAnsi"/>
          <w:sz w:val="22"/>
          <w:szCs w:val="22"/>
        </w:rPr>
        <w:t>TPV</w:t>
      </w:r>
      <w:r w:rsidR="003C6A7F" w:rsidRPr="00E87495">
        <w:rPr>
          <w:rFonts w:asciiTheme="majorHAnsi" w:hAnsiTheme="majorHAnsi" w:cstheme="majorHAnsi"/>
          <w:sz w:val="22"/>
          <w:szCs w:val="22"/>
        </w:rPr>
        <w:t xml:space="preserve"> năm 2004, mỗi </w:t>
      </w:r>
      <w:r w:rsidR="00141203" w:rsidRPr="00E87495">
        <w:rPr>
          <w:rFonts w:asciiTheme="majorHAnsi" w:hAnsiTheme="majorHAnsi" w:cstheme="majorHAnsi"/>
          <w:sz w:val="22"/>
          <w:szCs w:val="22"/>
        </w:rPr>
        <w:t>TPV</w:t>
      </w:r>
      <w:r w:rsidR="003C6A7F" w:rsidRPr="00E87495">
        <w:rPr>
          <w:rFonts w:asciiTheme="majorHAnsi" w:hAnsiTheme="majorHAnsi" w:cstheme="majorHAnsi"/>
          <w:sz w:val="22"/>
          <w:szCs w:val="22"/>
        </w:rPr>
        <w:t xml:space="preserve"> sẽ có một phiếu bầu có giá trị tương đương với phiếu bầu của một </w:t>
      </w:r>
      <w:r w:rsidR="00501DC7" w:rsidRPr="00E87495">
        <w:rPr>
          <w:rFonts w:asciiTheme="majorHAnsi" w:hAnsiTheme="majorHAnsi" w:cstheme="majorHAnsi"/>
          <w:sz w:val="22"/>
          <w:szCs w:val="22"/>
        </w:rPr>
        <w:t>thẩm phán</w:t>
      </w:r>
      <w:r w:rsidR="003C6A7F" w:rsidRPr="00E87495">
        <w:rPr>
          <w:rFonts w:asciiTheme="majorHAnsi" w:hAnsiTheme="majorHAnsi" w:cstheme="majorHAnsi"/>
          <w:sz w:val="22"/>
          <w:szCs w:val="22"/>
        </w:rPr>
        <w:t xml:space="preserve">. Trước khi tham gia xét </w:t>
      </w:r>
      <w:r w:rsidR="003C6A7F" w:rsidRPr="00E87495">
        <w:rPr>
          <w:rFonts w:asciiTheme="majorHAnsi" w:hAnsiTheme="majorHAnsi" w:cstheme="majorHAnsi"/>
          <w:sz w:val="22"/>
          <w:szCs w:val="22"/>
        </w:rPr>
        <w:lastRenderedPageBreak/>
        <w:t xml:space="preserve">xử, </w:t>
      </w:r>
      <w:r w:rsidR="00141203" w:rsidRPr="00E87495">
        <w:rPr>
          <w:rFonts w:asciiTheme="majorHAnsi" w:hAnsiTheme="majorHAnsi" w:cstheme="majorHAnsi"/>
          <w:sz w:val="22"/>
          <w:szCs w:val="22"/>
        </w:rPr>
        <w:t>TPV</w:t>
      </w:r>
      <w:r w:rsidR="003C6A7F" w:rsidRPr="00E87495">
        <w:rPr>
          <w:rFonts w:asciiTheme="majorHAnsi" w:hAnsiTheme="majorHAnsi" w:cstheme="majorHAnsi"/>
          <w:sz w:val="22"/>
          <w:szCs w:val="22"/>
        </w:rPr>
        <w:t xml:space="preserve"> được </w:t>
      </w:r>
      <w:r w:rsidR="007F3F6C" w:rsidRPr="00E87495">
        <w:rPr>
          <w:rFonts w:asciiTheme="majorHAnsi" w:hAnsiTheme="majorHAnsi" w:cstheme="majorHAnsi"/>
          <w:sz w:val="22"/>
          <w:szCs w:val="22"/>
        </w:rPr>
        <w:t>tập huấn và</w:t>
      </w:r>
      <w:r w:rsidR="003C6A7F" w:rsidRPr="00E87495">
        <w:rPr>
          <w:rFonts w:asciiTheme="majorHAnsi" w:hAnsiTheme="majorHAnsi" w:cstheme="majorHAnsi"/>
          <w:sz w:val="22"/>
          <w:szCs w:val="22"/>
        </w:rPr>
        <w:t xml:space="preserve"> giải thích về quy trình tố tụ</w:t>
      </w:r>
      <w:r w:rsidR="007F3F6C" w:rsidRPr="00E87495">
        <w:rPr>
          <w:rFonts w:asciiTheme="majorHAnsi" w:hAnsiTheme="majorHAnsi" w:cstheme="majorHAnsi"/>
          <w:sz w:val="22"/>
          <w:szCs w:val="22"/>
        </w:rPr>
        <w:t>ng và quy định pháp</w:t>
      </w:r>
      <w:r w:rsidR="003C6A7F" w:rsidRPr="00E87495">
        <w:rPr>
          <w:rFonts w:asciiTheme="majorHAnsi" w:hAnsiTheme="majorHAnsi" w:cstheme="majorHAnsi"/>
          <w:sz w:val="22"/>
          <w:szCs w:val="22"/>
        </w:rPr>
        <w:t xml:space="preserve"> luật liên quan nhưng về bản chất</w:t>
      </w:r>
      <w:r w:rsidR="007F3F6C" w:rsidRPr="00E87495">
        <w:rPr>
          <w:rFonts w:asciiTheme="majorHAnsi" w:hAnsiTheme="majorHAnsi" w:cstheme="majorHAnsi"/>
          <w:sz w:val="22"/>
          <w:szCs w:val="22"/>
        </w:rPr>
        <w:t>, họ</w:t>
      </w:r>
      <w:r w:rsidR="003C6A7F" w:rsidRPr="00E87495">
        <w:rPr>
          <w:rFonts w:asciiTheme="majorHAnsi" w:hAnsiTheme="majorHAnsi" w:cstheme="majorHAnsi"/>
          <w:sz w:val="22"/>
          <w:szCs w:val="22"/>
        </w:rPr>
        <w:t xml:space="preserve"> vẫn là những người dân bình thường, </w:t>
      </w:r>
      <w:r w:rsidR="007F3F6C" w:rsidRPr="00E87495">
        <w:rPr>
          <w:rFonts w:asciiTheme="majorHAnsi" w:hAnsiTheme="majorHAnsi" w:cstheme="majorHAnsi"/>
          <w:sz w:val="22"/>
          <w:szCs w:val="22"/>
        </w:rPr>
        <w:t>có ít kiến thức</w:t>
      </w:r>
      <w:r w:rsidR="003C6A7F" w:rsidRPr="00E87495">
        <w:rPr>
          <w:rFonts w:asciiTheme="majorHAnsi" w:hAnsiTheme="majorHAnsi" w:cstheme="majorHAnsi"/>
          <w:sz w:val="22"/>
          <w:szCs w:val="22"/>
        </w:rPr>
        <w:t xml:space="preserve"> chuyên sâu về pháp luật. Do đó, </w:t>
      </w:r>
      <w:r w:rsidR="007F3F6C" w:rsidRPr="00E87495">
        <w:rPr>
          <w:rFonts w:asciiTheme="majorHAnsi" w:hAnsiTheme="majorHAnsi" w:cstheme="majorHAnsi"/>
          <w:sz w:val="22"/>
          <w:szCs w:val="22"/>
        </w:rPr>
        <w:t xml:space="preserve">ý kiến </w:t>
      </w:r>
      <w:r w:rsidR="0064602E" w:rsidRPr="00E87495">
        <w:rPr>
          <w:rFonts w:asciiTheme="majorHAnsi" w:hAnsiTheme="majorHAnsi" w:cstheme="majorHAnsi"/>
          <w:sz w:val="22"/>
          <w:szCs w:val="22"/>
        </w:rPr>
        <w:t xml:space="preserve">của </w:t>
      </w:r>
      <w:r w:rsidR="00141203" w:rsidRPr="00E87495">
        <w:rPr>
          <w:rFonts w:asciiTheme="majorHAnsi" w:hAnsiTheme="majorHAnsi" w:cstheme="majorHAnsi"/>
          <w:sz w:val="22"/>
          <w:szCs w:val="22"/>
        </w:rPr>
        <w:t>TPV</w:t>
      </w:r>
      <w:r w:rsidR="0064602E" w:rsidRPr="00E87495">
        <w:rPr>
          <w:rFonts w:asciiTheme="majorHAnsi" w:hAnsiTheme="majorHAnsi" w:cstheme="majorHAnsi"/>
          <w:sz w:val="22"/>
          <w:szCs w:val="22"/>
        </w:rPr>
        <w:t xml:space="preserve"> có thể mang</w:t>
      </w:r>
      <w:r w:rsidR="003C6A7F" w:rsidRPr="00E87495">
        <w:rPr>
          <w:rFonts w:asciiTheme="majorHAnsi" w:hAnsiTheme="majorHAnsi" w:cstheme="majorHAnsi"/>
          <w:sz w:val="22"/>
          <w:szCs w:val="22"/>
        </w:rPr>
        <w:t xml:space="preserve"> nhiều yếu tố chủ quan và dễ bị chi phối bởi dư luận xã hội. Chính vì vậy, sự ủng hộ của </w:t>
      </w:r>
      <w:r w:rsidR="00501DC7" w:rsidRPr="00E87495">
        <w:rPr>
          <w:rFonts w:asciiTheme="majorHAnsi" w:hAnsiTheme="majorHAnsi" w:cstheme="majorHAnsi"/>
          <w:sz w:val="22"/>
          <w:szCs w:val="22"/>
        </w:rPr>
        <w:t>thẩm phán</w:t>
      </w:r>
      <w:r w:rsidR="003C6A7F" w:rsidRPr="00E87495">
        <w:rPr>
          <w:rFonts w:asciiTheme="majorHAnsi" w:hAnsiTheme="majorHAnsi" w:cstheme="majorHAnsi"/>
          <w:sz w:val="22"/>
          <w:szCs w:val="22"/>
        </w:rPr>
        <w:t xml:space="preserve"> đối với ý kiến của </w:t>
      </w:r>
      <w:r w:rsidR="00141203" w:rsidRPr="00E87495">
        <w:rPr>
          <w:rFonts w:asciiTheme="majorHAnsi" w:hAnsiTheme="majorHAnsi" w:cstheme="majorHAnsi"/>
          <w:sz w:val="22"/>
          <w:szCs w:val="22"/>
        </w:rPr>
        <w:t>TPV</w:t>
      </w:r>
      <w:r w:rsidR="003C6A7F" w:rsidRPr="00E87495">
        <w:rPr>
          <w:rFonts w:asciiTheme="majorHAnsi" w:hAnsiTheme="majorHAnsi" w:cstheme="majorHAnsi"/>
          <w:sz w:val="22"/>
          <w:szCs w:val="22"/>
        </w:rPr>
        <w:t xml:space="preserve"> giúp khắc phục tình trạng trên</w:t>
      </w:r>
      <w:r w:rsidR="0064602E" w:rsidRPr="00E87495">
        <w:rPr>
          <w:rFonts w:asciiTheme="majorHAnsi" w:hAnsiTheme="majorHAnsi" w:cstheme="majorHAnsi"/>
          <w:sz w:val="22"/>
          <w:szCs w:val="22"/>
        </w:rPr>
        <w:t>. T</w:t>
      </w:r>
      <w:r w:rsidR="003C6A7F" w:rsidRPr="00E87495">
        <w:rPr>
          <w:rFonts w:asciiTheme="majorHAnsi" w:hAnsiTheme="majorHAnsi" w:cstheme="majorHAnsi"/>
          <w:sz w:val="22"/>
          <w:szCs w:val="22"/>
        </w:rPr>
        <w:t>ừ đó</w:t>
      </w:r>
      <w:r w:rsidR="00DA001B" w:rsidRPr="00E87495">
        <w:rPr>
          <w:rFonts w:asciiTheme="majorHAnsi" w:hAnsiTheme="majorHAnsi" w:cstheme="majorHAnsi"/>
          <w:sz w:val="22"/>
          <w:szCs w:val="22"/>
        </w:rPr>
        <w:t>, hội đồng xét xử có thể</w:t>
      </w:r>
      <w:r w:rsidR="003C6A7F" w:rsidRPr="00E87495">
        <w:rPr>
          <w:rFonts w:asciiTheme="majorHAnsi" w:hAnsiTheme="majorHAnsi" w:cstheme="majorHAnsi"/>
          <w:sz w:val="22"/>
          <w:szCs w:val="22"/>
        </w:rPr>
        <w:t xml:space="preserve"> đưa ra phân tích, đánh giá vụ án một cách toàn diện, áp dụng pháp luật một cách chính xác và thống nhất, tránh tình trạng mỗi vụ án một cách giải quyết khác nhau. </w:t>
      </w:r>
      <w:r w:rsidR="00777C16" w:rsidRPr="00E87495">
        <w:rPr>
          <w:rFonts w:asciiTheme="majorHAnsi" w:hAnsiTheme="majorHAnsi" w:cstheme="majorHAnsi"/>
          <w:sz w:val="22"/>
          <w:szCs w:val="22"/>
        </w:rPr>
        <w:t xml:space="preserve">Trong </w:t>
      </w:r>
      <w:r w:rsidR="00DA001B" w:rsidRPr="00E87495">
        <w:rPr>
          <w:rFonts w:asciiTheme="majorHAnsi" w:hAnsiTheme="majorHAnsi" w:cstheme="majorHAnsi"/>
          <w:sz w:val="22"/>
          <w:szCs w:val="22"/>
        </w:rPr>
        <w:t>d</w:t>
      </w:r>
      <w:r w:rsidR="00777C16" w:rsidRPr="00E87495">
        <w:rPr>
          <w:rFonts w:asciiTheme="majorHAnsi" w:hAnsiTheme="majorHAnsi" w:cstheme="majorHAnsi"/>
          <w:sz w:val="22"/>
          <w:szCs w:val="22"/>
        </w:rPr>
        <w:t xml:space="preserve">ự thảo </w:t>
      </w:r>
      <w:r w:rsidR="00777C16" w:rsidRPr="00E87495">
        <w:rPr>
          <w:rFonts w:asciiTheme="majorHAnsi" w:hAnsiTheme="majorHAnsi" w:cstheme="majorHAnsi"/>
          <w:i/>
          <w:iCs/>
          <w:sz w:val="22"/>
          <w:szCs w:val="22"/>
        </w:rPr>
        <w:t>“Chế độ tham gia</w:t>
      </w:r>
      <w:r w:rsidR="009919FD" w:rsidRPr="00E87495">
        <w:rPr>
          <w:rFonts w:asciiTheme="majorHAnsi" w:hAnsiTheme="majorHAnsi" w:cstheme="majorHAnsi"/>
          <w:i/>
          <w:iCs/>
          <w:sz w:val="22"/>
          <w:szCs w:val="22"/>
        </w:rPr>
        <w:t xml:space="preserve"> mới</w:t>
      </w:r>
      <w:r w:rsidR="00777C16" w:rsidRPr="00E87495">
        <w:rPr>
          <w:rFonts w:asciiTheme="majorHAnsi" w:hAnsiTheme="majorHAnsi" w:cstheme="majorHAnsi"/>
          <w:i/>
          <w:iCs/>
          <w:sz w:val="22"/>
          <w:szCs w:val="22"/>
        </w:rPr>
        <w:t xml:space="preserve"> vào </w:t>
      </w:r>
      <w:r w:rsidR="009919FD" w:rsidRPr="00E87495">
        <w:rPr>
          <w:rFonts w:asciiTheme="majorHAnsi" w:hAnsiTheme="majorHAnsi" w:cstheme="majorHAnsi"/>
          <w:i/>
          <w:iCs/>
          <w:sz w:val="22"/>
          <w:szCs w:val="22"/>
        </w:rPr>
        <w:t>quy trình</w:t>
      </w:r>
      <w:r w:rsidR="00777C16" w:rsidRPr="00E87495">
        <w:rPr>
          <w:rFonts w:asciiTheme="majorHAnsi" w:hAnsiTheme="majorHAnsi" w:cstheme="majorHAnsi"/>
          <w:i/>
          <w:iCs/>
          <w:sz w:val="22"/>
          <w:szCs w:val="22"/>
        </w:rPr>
        <w:t xml:space="preserve"> tố tụng”</w:t>
      </w:r>
      <w:r w:rsidR="00777C16" w:rsidRPr="00E87495">
        <w:rPr>
          <w:rFonts w:asciiTheme="majorHAnsi" w:hAnsiTheme="majorHAnsi" w:cstheme="majorHAnsi"/>
          <w:sz w:val="22"/>
          <w:szCs w:val="22"/>
        </w:rPr>
        <w:t xml:space="preserve"> </w:t>
      </w:r>
      <w:r w:rsidR="009919FD" w:rsidRPr="00E87495">
        <w:rPr>
          <w:rFonts w:asciiTheme="majorHAnsi" w:hAnsiTheme="majorHAnsi" w:cstheme="majorHAnsi"/>
          <w:sz w:val="22"/>
          <w:szCs w:val="22"/>
        </w:rPr>
        <w:t>(</w:t>
      </w:r>
      <w:r w:rsidR="009919FD" w:rsidRPr="00E87495">
        <w:rPr>
          <w:rFonts w:asciiTheme="majorHAnsi" w:hAnsiTheme="majorHAnsi" w:cstheme="majorHAnsi" w:hint="eastAsia"/>
          <w:sz w:val="22"/>
          <w:szCs w:val="22"/>
        </w:rPr>
        <w:t>訴訟手続への新たな参加制度</w:t>
      </w:r>
      <w:r w:rsidR="009919FD" w:rsidRPr="00E87495">
        <w:rPr>
          <w:rFonts w:asciiTheme="majorHAnsi" w:hAnsiTheme="majorHAnsi" w:cstheme="majorHAnsi"/>
          <w:sz w:val="22"/>
          <w:szCs w:val="22"/>
        </w:rPr>
        <w:t xml:space="preserve">) </w:t>
      </w:r>
      <w:r w:rsidR="00777C16" w:rsidRPr="00E87495">
        <w:rPr>
          <w:rFonts w:asciiTheme="majorHAnsi" w:hAnsiTheme="majorHAnsi" w:cstheme="majorHAnsi"/>
          <w:sz w:val="22"/>
          <w:szCs w:val="22"/>
        </w:rPr>
        <w:t xml:space="preserve">tại Hội nghị rà soát cải cách hệ thống tư pháp lần thứ 51 của Nhật Bản, </w:t>
      </w:r>
      <w:r w:rsidR="009919FD" w:rsidRPr="00E87495">
        <w:rPr>
          <w:rFonts w:asciiTheme="majorHAnsi" w:hAnsiTheme="majorHAnsi" w:cstheme="majorHAnsi"/>
          <w:sz w:val="22"/>
          <w:szCs w:val="22"/>
        </w:rPr>
        <w:t>Masahito Inoue</w:t>
      </w:r>
      <w:r w:rsidR="00501DC7" w:rsidRPr="00E87495">
        <w:rPr>
          <w:rFonts w:asciiTheme="majorHAnsi" w:hAnsiTheme="majorHAnsi" w:cstheme="majorHAnsi" w:hint="eastAsia"/>
          <w:sz w:val="22"/>
          <w:szCs w:val="22"/>
        </w:rPr>
        <w:t xml:space="preserve"> </w:t>
      </w:r>
      <w:r w:rsidR="00DA001B" w:rsidRPr="00E87495">
        <w:rPr>
          <w:rFonts w:asciiTheme="majorHAnsi" w:hAnsiTheme="majorHAnsi" w:cstheme="majorHAnsi"/>
          <w:sz w:val="22"/>
          <w:szCs w:val="22"/>
        </w:rPr>
        <w:t>cho</w:t>
      </w:r>
      <w:r w:rsidR="00777C16" w:rsidRPr="00E87495">
        <w:rPr>
          <w:rFonts w:asciiTheme="majorHAnsi" w:hAnsiTheme="majorHAnsi" w:cstheme="majorHAnsi"/>
          <w:sz w:val="22"/>
          <w:szCs w:val="22"/>
        </w:rPr>
        <w:t xml:space="preserve"> rằng nếu </w:t>
      </w:r>
      <w:r w:rsidR="002D688A" w:rsidRPr="00E87495">
        <w:rPr>
          <w:rFonts w:asciiTheme="majorHAnsi" w:hAnsiTheme="majorHAnsi" w:cstheme="majorHAnsi"/>
          <w:sz w:val="22"/>
          <w:szCs w:val="22"/>
        </w:rPr>
        <w:t>phán quyết trong các</w:t>
      </w:r>
      <w:r w:rsidR="00777C16" w:rsidRPr="00E87495">
        <w:rPr>
          <w:rFonts w:asciiTheme="majorHAnsi" w:hAnsiTheme="majorHAnsi" w:cstheme="majorHAnsi"/>
          <w:sz w:val="22"/>
          <w:szCs w:val="22"/>
        </w:rPr>
        <w:t xml:space="preserve"> vụ án hình sự chỉ dựa trên ý kiến đa số của các </w:t>
      </w:r>
      <w:r w:rsidR="00141203" w:rsidRPr="00E87495">
        <w:rPr>
          <w:rFonts w:asciiTheme="majorHAnsi" w:hAnsiTheme="majorHAnsi" w:cstheme="majorHAnsi"/>
          <w:sz w:val="22"/>
          <w:szCs w:val="22"/>
        </w:rPr>
        <w:t>TPV</w:t>
      </w:r>
      <w:r w:rsidR="00777C16" w:rsidRPr="00E87495">
        <w:rPr>
          <w:rFonts w:asciiTheme="majorHAnsi" w:hAnsiTheme="majorHAnsi" w:cstheme="majorHAnsi"/>
          <w:sz w:val="22"/>
          <w:szCs w:val="22"/>
        </w:rPr>
        <w:t xml:space="preserve"> để tuyên án có tội hoặc vô tội</w:t>
      </w:r>
      <w:r w:rsidR="002D688A" w:rsidRPr="00E87495">
        <w:rPr>
          <w:rFonts w:asciiTheme="majorHAnsi" w:hAnsiTheme="majorHAnsi" w:cstheme="majorHAnsi"/>
          <w:sz w:val="22"/>
          <w:szCs w:val="22"/>
        </w:rPr>
        <w:t>,</w:t>
      </w:r>
      <w:r w:rsidR="00777C16" w:rsidRPr="00E87495">
        <w:rPr>
          <w:rFonts w:asciiTheme="majorHAnsi" w:hAnsiTheme="majorHAnsi" w:cstheme="majorHAnsi"/>
          <w:sz w:val="22"/>
          <w:szCs w:val="22"/>
        </w:rPr>
        <w:t xml:space="preserve"> mà bỏ qua ý kiến của thẩm phán thì sẽ không hợp lý</w:t>
      </w:r>
      <w:r w:rsidR="009919FD" w:rsidRPr="00E87495">
        <w:rPr>
          <w:rFonts w:asciiTheme="majorHAnsi" w:hAnsiTheme="majorHAnsi" w:cstheme="majorHAnsi"/>
          <w:sz w:val="22"/>
          <w:szCs w:val="22"/>
          <w:vertAlign w:val="superscript"/>
        </w:rPr>
        <w:t>11</w:t>
      </w:r>
      <w:r w:rsidR="00777C16" w:rsidRPr="00E87495">
        <w:rPr>
          <w:rFonts w:asciiTheme="majorHAnsi" w:hAnsiTheme="majorHAnsi" w:cstheme="majorHAnsi"/>
          <w:sz w:val="22"/>
          <w:szCs w:val="22"/>
        </w:rPr>
        <w:t xml:space="preserve">. Bởi lẽ, bên cạnh sự tham gia của người dân tham gia vào hoạt động tư pháp, thẩm phán cũng thành phần không thể thiếu giúp bảo đảm tính </w:t>
      </w:r>
      <w:r w:rsidR="002D688A" w:rsidRPr="00E87495">
        <w:rPr>
          <w:rFonts w:asciiTheme="majorHAnsi" w:hAnsiTheme="majorHAnsi" w:cstheme="majorHAnsi"/>
          <w:sz w:val="22"/>
          <w:szCs w:val="22"/>
        </w:rPr>
        <w:t>chuyên môn sâu</w:t>
      </w:r>
      <w:r w:rsidR="00777C16" w:rsidRPr="00E87495">
        <w:rPr>
          <w:rFonts w:asciiTheme="majorHAnsi" w:hAnsiTheme="majorHAnsi" w:cstheme="majorHAnsi"/>
          <w:sz w:val="22"/>
          <w:szCs w:val="22"/>
        </w:rPr>
        <w:t xml:space="preserve"> của </w:t>
      </w:r>
      <w:r w:rsidR="002D688A" w:rsidRPr="00E87495">
        <w:rPr>
          <w:rFonts w:asciiTheme="majorHAnsi" w:hAnsiTheme="majorHAnsi" w:cstheme="majorHAnsi"/>
          <w:sz w:val="22"/>
          <w:szCs w:val="22"/>
        </w:rPr>
        <w:t>hoạt động</w:t>
      </w:r>
      <w:r w:rsidR="00777C16" w:rsidRPr="00E87495">
        <w:rPr>
          <w:rFonts w:asciiTheme="majorHAnsi" w:hAnsiTheme="majorHAnsi" w:cstheme="majorHAnsi"/>
          <w:sz w:val="22"/>
          <w:szCs w:val="22"/>
        </w:rPr>
        <w:t xml:space="preserve"> xét xử </w:t>
      </w:r>
      <w:r w:rsidR="002D688A" w:rsidRPr="00E87495">
        <w:rPr>
          <w:rFonts w:asciiTheme="majorHAnsi" w:hAnsiTheme="majorHAnsi" w:cstheme="majorHAnsi"/>
          <w:sz w:val="22"/>
          <w:szCs w:val="22"/>
        </w:rPr>
        <w:t>nhằm đảm bảo đúng quy định của pháp luật</w:t>
      </w:r>
      <w:r w:rsidR="00777C16" w:rsidRPr="00E87495">
        <w:rPr>
          <w:rFonts w:asciiTheme="majorHAnsi" w:hAnsiTheme="majorHAnsi" w:cstheme="majorHAnsi"/>
          <w:sz w:val="22"/>
          <w:szCs w:val="22"/>
        </w:rPr>
        <w:t xml:space="preserve"> Nhật Bản</w:t>
      </w:r>
      <w:r w:rsidR="00793101" w:rsidRPr="00E87495">
        <w:rPr>
          <w:rFonts w:asciiTheme="majorHAnsi" w:hAnsiTheme="majorHAnsi" w:cstheme="majorHAnsi" w:hint="eastAsia"/>
          <w:sz w:val="22"/>
          <w:szCs w:val="22"/>
          <w:vertAlign w:val="superscript"/>
        </w:rPr>
        <w:t>11</w:t>
      </w:r>
      <w:r w:rsidR="00777C16" w:rsidRPr="00E87495">
        <w:rPr>
          <w:rFonts w:asciiTheme="majorHAnsi" w:hAnsiTheme="majorHAnsi" w:cstheme="majorHAnsi"/>
          <w:sz w:val="22"/>
          <w:szCs w:val="22"/>
        </w:rPr>
        <w:t>.</w:t>
      </w:r>
      <w:r w:rsidR="00777C16" w:rsidRPr="00E87495">
        <w:rPr>
          <w:rFonts w:asciiTheme="majorHAnsi" w:hAnsiTheme="majorHAnsi" w:cstheme="majorHAnsi" w:hint="eastAsia"/>
          <w:sz w:val="22"/>
          <w:szCs w:val="22"/>
        </w:rPr>
        <w:t xml:space="preserve"> </w:t>
      </w:r>
      <w:r w:rsidR="00BB71F9" w:rsidRPr="00E87495">
        <w:rPr>
          <w:rFonts w:asciiTheme="majorHAnsi" w:hAnsiTheme="majorHAnsi" w:cstheme="majorHAnsi"/>
          <w:sz w:val="22"/>
          <w:szCs w:val="22"/>
        </w:rPr>
        <w:t>K</w:t>
      </w:r>
      <w:r w:rsidR="0064602E" w:rsidRPr="00E87495">
        <w:rPr>
          <w:rFonts w:asciiTheme="majorHAnsi" w:hAnsiTheme="majorHAnsi" w:cstheme="majorHAnsi"/>
          <w:sz w:val="22"/>
          <w:szCs w:val="22"/>
        </w:rPr>
        <w:t xml:space="preserve">hi không có sự đồng thuận giữa tất cả các thành viên trong hội đồng xét xử, phán quyết sẽ được đưa ra dựa trên đa số phiếu, bao gồm cả </w:t>
      </w:r>
      <w:r w:rsidR="00501DC7" w:rsidRPr="00E87495">
        <w:rPr>
          <w:rFonts w:asciiTheme="majorHAnsi" w:hAnsiTheme="majorHAnsi" w:cstheme="majorHAnsi"/>
          <w:sz w:val="22"/>
          <w:szCs w:val="22"/>
        </w:rPr>
        <w:t>thẩm phán</w:t>
      </w:r>
      <w:r w:rsidR="0064602E" w:rsidRPr="00E87495">
        <w:rPr>
          <w:rFonts w:asciiTheme="majorHAnsi" w:hAnsiTheme="majorHAnsi" w:cstheme="majorHAnsi"/>
          <w:sz w:val="22"/>
          <w:szCs w:val="22"/>
        </w:rPr>
        <w:t xml:space="preserve"> và </w:t>
      </w:r>
      <w:r w:rsidR="00141203" w:rsidRPr="00E87495">
        <w:rPr>
          <w:rFonts w:asciiTheme="majorHAnsi" w:hAnsiTheme="majorHAnsi" w:cstheme="majorHAnsi"/>
          <w:sz w:val="22"/>
          <w:szCs w:val="22"/>
        </w:rPr>
        <w:t>TPV</w:t>
      </w:r>
      <w:r w:rsidR="0064602E" w:rsidRPr="00E87495">
        <w:rPr>
          <w:rFonts w:asciiTheme="majorHAnsi" w:hAnsiTheme="majorHAnsi" w:cstheme="majorHAnsi"/>
          <w:sz w:val="22"/>
          <w:szCs w:val="22"/>
        </w:rPr>
        <w:t>. Phán quyết sẽ không thể tuyên nếu chỉ có sự đồng thuận từ một bên, đặc biệt là khi phán quyết đó gây bất lợi cho bị cáo</w:t>
      </w:r>
      <w:r w:rsidR="00BB71F9" w:rsidRPr="00E87495">
        <w:rPr>
          <w:rFonts w:asciiTheme="majorHAnsi" w:hAnsiTheme="majorHAnsi" w:cstheme="majorHAnsi"/>
          <w:sz w:val="22"/>
          <w:szCs w:val="22"/>
          <w:vertAlign w:val="superscript"/>
        </w:rPr>
        <w:t>1</w:t>
      </w:r>
      <w:r w:rsidR="00BB71F9" w:rsidRPr="00E87495">
        <w:rPr>
          <w:rFonts w:asciiTheme="majorHAnsi" w:hAnsiTheme="majorHAnsi" w:cstheme="majorHAnsi" w:hint="eastAsia"/>
          <w:sz w:val="22"/>
          <w:szCs w:val="22"/>
          <w:vertAlign w:val="superscript"/>
        </w:rPr>
        <w:t>2</w:t>
      </w:r>
      <w:r w:rsidR="0064602E" w:rsidRPr="00E87495">
        <w:rPr>
          <w:rFonts w:asciiTheme="majorHAnsi" w:hAnsiTheme="majorHAnsi" w:cstheme="majorHAnsi"/>
          <w:sz w:val="22"/>
          <w:szCs w:val="22"/>
        </w:rPr>
        <w:t xml:space="preserve">. Ví dụ, nếu </w:t>
      </w:r>
      <w:r w:rsidR="00141203" w:rsidRPr="00E87495">
        <w:rPr>
          <w:rFonts w:asciiTheme="majorHAnsi" w:hAnsiTheme="majorHAnsi" w:cstheme="majorHAnsi"/>
          <w:sz w:val="22"/>
          <w:szCs w:val="22"/>
        </w:rPr>
        <w:t>TPV</w:t>
      </w:r>
      <w:r w:rsidR="0064602E" w:rsidRPr="00E87495">
        <w:rPr>
          <w:rFonts w:asciiTheme="majorHAnsi" w:hAnsiTheme="majorHAnsi" w:cstheme="majorHAnsi"/>
          <w:sz w:val="22"/>
          <w:szCs w:val="22"/>
        </w:rPr>
        <w:t xml:space="preserve"> cho rằng bị cáo có tội, nhưng </w:t>
      </w:r>
      <w:r w:rsidR="00501DC7" w:rsidRPr="00E87495">
        <w:rPr>
          <w:rFonts w:asciiTheme="majorHAnsi" w:hAnsiTheme="majorHAnsi" w:cstheme="majorHAnsi"/>
          <w:sz w:val="22"/>
          <w:szCs w:val="22"/>
        </w:rPr>
        <w:t>thẩm phán</w:t>
      </w:r>
      <w:r w:rsidR="0064602E" w:rsidRPr="00E87495">
        <w:rPr>
          <w:rFonts w:asciiTheme="majorHAnsi" w:hAnsiTheme="majorHAnsi" w:cstheme="majorHAnsi"/>
          <w:sz w:val="22"/>
          <w:szCs w:val="22"/>
        </w:rPr>
        <w:t xml:space="preserve"> lại cho rằng bị cáo vô tội, thì phán quyết sẽ là vô tội. Tuy nhiên, nếu có một hoặc nhiều </w:t>
      </w:r>
      <w:r w:rsidR="00501DC7" w:rsidRPr="00E87495">
        <w:rPr>
          <w:rFonts w:asciiTheme="majorHAnsi" w:hAnsiTheme="majorHAnsi" w:cstheme="majorHAnsi"/>
          <w:sz w:val="22"/>
          <w:szCs w:val="22"/>
        </w:rPr>
        <w:t>thẩm phán</w:t>
      </w:r>
      <w:r w:rsidR="0064602E" w:rsidRPr="00E87495">
        <w:rPr>
          <w:rFonts w:asciiTheme="majorHAnsi" w:hAnsiTheme="majorHAnsi" w:cstheme="majorHAnsi"/>
          <w:sz w:val="22"/>
          <w:szCs w:val="22"/>
        </w:rPr>
        <w:t xml:space="preserve"> đồng ý với </w:t>
      </w:r>
      <w:r w:rsidR="00141203" w:rsidRPr="00E87495">
        <w:rPr>
          <w:rFonts w:asciiTheme="majorHAnsi" w:hAnsiTheme="majorHAnsi" w:cstheme="majorHAnsi"/>
          <w:sz w:val="22"/>
          <w:szCs w:val="22"/>
        </w:rPr>
        <w:t>TPV</w:t>
      </w:r>
      <w:r w:rsidR="0064602E" w:rsidRPr="00E87495">
        <w:rPr>
          <w:rFonts w:asciiTheme="majorHAnsi" w:hAnsiTheme="majorHAnsi" w:cstheme="majorHAnsi"/>
          <w:sz w:val="22"/>
          <w:szCs w:val="22"/>
        </w:rPr>
        <w:t xml:space="preserve"> về tội danh, phán quyết sẽ được tuyên theo tội danh đó.</w:t>
      </w:r>
      <w:r w:rsidR="00D022E2" w:rsidRPr="00E87495">
        <w:rPr>
          <w:rFonts w:asciiTheme="majorHAnsi" w:hAnsiTheme="majorHAnsi" w:cstheme="majorHAnsi"/>
          <w:sz w:val="22"/>
          <w:szCs w:val="22"/>
        </w:rPr>
        <w:t xml:space="preserve"> Tóm lại, ý kiến của </w:t>
      </w:r>
      <w:r w:rsidR="00141203" w:rsidRPr="00E87495">
        <w:rPr>
          <w:rFonts w:asciiTheme="majorHAnsi" w:hAnsiTheme="majorHAnsi" w:cstheme="majorHAnsi"/>
          <w:sz w:val="22"/>
          <w:szCs w:val="22"/>
        </w:rPr>
        <w:t>TPV</w:t>
      </w:r>
      <w:r w:rsidR="00D022E2" w:rsidRPr="00E87495">
        <w:rPr>
          <w:rFonts w:asciiTheme="majorHAnsi" w:hAnsiTheme="majorHAnsi" w:cstheme="majorHAnsi"/>
          <w:sz w:val="22"/>
          <w:szCs w:val="22"/>
        </w:rPr>
        <w:t xml:space="preserve"> cần có sự đồng thuận của ít nhất một </w:t>
      </w:r>
      <w:r w:rsidR="00501DC7" w:rsidRPr="00E87495">
        <w:rPr>
          <w:rFonts w:asciiTheme="majorHAnsi" w:hAnsiTheme="majorHAnsi" w:cstheme="majorHAnsi"/>
          <w:sz w:val="22"/>
          <w:szCs w:val="22"/>
        </w:rPr>
        <w:t>thẩm phán</w:t>
      </w:r>
      <w:r w:rsidR="00D022E2" w:rsidRPr="00E87495">
        <w:rPr>
          <w:rFonts w:asciiTheme="majorHAnsi" w:hAnsiTheme="majorHAnsi" w:cstheme="majorHAnsi"/>
          <w:sz w:val="22"/>
          <w:szCs w:val="22"/>
        </w:rPr>
        <w:t xml:space="preserve"> nhằm đảm bảo phán quyết được đánh giá một cách toàn diện, tránh tình trạng chủ quan và gây bất lợi cho bị cáo.</w:t>
      </w:r>
      <w:r w:rsidR="00777C16" w:rsidRPr="00E87495">
        <w:rPr>
          <w:rFonts w:asciiTheme="majorHAnsi" w:hAnsiTheme="majorHAnsi" w:cstheme="majorHAnsi" w:hint="eastAsia"/>
          <w:sz w:val="22"/>
          <w:szCs w:val="22"/>
        </w:rPr>
        <w:t xml:space="preserve"> </w:t>
      </w:r>
      <w:r w:rsidR="00BB71F9" w:rsidRPr="00E87495">
        <w:rPr>
          <w:rFonts w:asciiTheme="majorHAnsi" w:hAnsiTheme="majorHAnsi" w:cstheme="majorHAnsi"/>
          <w:sz w:val="22"/>
          <w:szCs w:val="22"/>
        </w:rPr>
        <w:t>N</w:t>
      </w:r>
      <w:r w:rsidR="00777C16" w:rsidRPr="00E87495">
        <w:rPr>
          <w:rFonts w:asciiTheme="majorHAnsi" w:hAnsiTheme="majorHAnsi" w:cstheme="majorHAnsi"/>
          <w:sz w:val="22"/>
          <w:szCs w:val="22"/>
          <w:lang w:val="vi-VN"/>
        </w:rPr>
        <w:t>hững phân tích trên</w:t>
      </w:r>
      <w:r w:rsidR="00BB71F9" w:rsidRPr="00E87495">
        <w:rPr>
          <w:rFonts w:asciiTheme="majorHAnsi" w:hAnsiTheme="majorHAnsi" w:cstheme="majorHAnsi"/>
          <w:sz w:val="22"/>
          <w:szCs w:val="22"/>
          <w:lang w:val="vi-VN"/>
        </w:rPr>
        <w:t xml:space="preserve"> cho</w:t>
      </w:r>
      <w:r w:rsidR="00777C16" w:rsidRPr="00E87495">
        <w:rPr>
          <w:rFonts w:asciiTheme="majorHAnsi" w:hAnsiTheme="majorHAnsi" w:cstheme="majorHAnsi"/>
          <w:sz w:val="22"/>
          <w:szCs w:val="22"/>
        </w:rPr>
        <w:t xml:space="preserve"> thấy Nhật Bản </w:t>
      </w:r>
      <w:r w:rsidR="00BB71F9" w:rsidRPr="00E87495">
        <w:rPr>
          <w:rFonts w:asciiTheme="majorHAnsi" w:hAnsiTheme="majorHAnsi" w:cstheme="majorHAnsi"/>
          <w:sz w:val="22"/>
          <w:szCs w:val="22"/>
        </w:rPr>
        <w:t>ghi nhận vai trò của</w:t>
      </w:r>
      <w:r w:rsidR="00777C16" w:rsidRPr="00E87495">
        <w:rPr>
          <w:rFonts w:asciiTheme="majorHAnsi" w:hAnsiTheme="majorHAnsi" w:cstheme="majorHAnsi"/>
          <w:sz w:val="22"/>
          <w:szCs w:val="22"/>
        </w:rPr>
        <w:t xml:space="preserve"> người dân</w:t>
      </w:r>
      <w:r w:rsidR="00BB71F9" w:rsidRPr="00E87495">
        <w:rPr>
          <w:rFonts w:asciiTheme="majorHAnsi" w:hAnsiTheme="majorHAnsi" w:cstheme="majorHAnsi"/>
          <w:sz w:val="22"/>
          <w:szCs w:val="22"/>
        </w:rPr>
        <w:t xml:space="preserve"> bình thường</w:t>
      </w:r>
      <w:r w:rsidR="00777C16" w:rsidRPr="00E87495">
        <w:rPr>
          <w:rFonts w:asciiTheme="majorHAnsi" w:hAnsiTheme="majorHAnsi" w:cstheme="majorHAnsi"/>
          <w:sz w:val="22"/>
          <w:szCs w:val="22"/>
        </w:rPr>
        <w:t xml:space="preserve">, vừa đảm bảo </w:t>
      </w:r>
      <w:r w:rsidR="00BB71F9" w:rsidRPr="00E87495">
        <w:rPr>
          <w:rFonts w:asciiTheme="majorHAnsi" w:hAnsiTheme="majorHAnsi" w:cstheme="majorHAnsi"/>
          <w:sz w:val="22"/>
          <w:szCs w:val="22"/>
        </w:rPr>
        <w:t>tính chuyên môn của thẩm phán nhằm duy trì</w:t>
      </w:r>
      <w:r w:rsidR="00777C16" w:rsidRPr="00E87495">
        <w:rPr>
          <w:rFonts w:asciiTheme="majorHAnsi" w:hAnsiTheme="majorHAnsi" w:cstheme="majorHAnsi"/>
          <w:sz w:val="22"/>
          <w:szCs w:val="22"/>
        </w:rPr>
        <w:t xml:space="preserve"> thượng tôn pháp luật.</w:t>
      </w:r>
    </w:p>
    <w:p w14:paraId="2A3DD8D4" w14:textId="736A27EB" w:rsidR="005E3BEE" w:rsidRPr="00E87495" w:rsidRDefault="00080A6D" w:rsidP="005E3BEE">
      <w:pPr>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T</w:t>
      </w:r>
      <w:r w:rsidR="003C6A7F" w:rsidRPr="00E87495">
        <w:rPr>
          <w:rFonts w:asciiTheme="majorHAnsi" w:hAnsiTheme="majorHAnsi" w:cstheme="majorHAnsi"/>
          <w:sz w:val="22"/>
          <w:szCs w:val="22"/>
        </w:rPr>
        <w:t xml:space="preserve">hứ ba, </w:t>
      </w:r>
      <w:r w:rsidR="00E4211B" w:rsidRPr="00E87495">
        <w:rPr>
          <w:rFonts w:asciiTheme="majorHAnsi" w:hAnsiTheme="majorHAnsi" w:cstheme="majorHAnsi"/>
          <w:sz w:val="22"/>
          <w:szCs w:val="22"/>
        </w:rPr>
        <w:t>Nhật Bản quan tâm đến sức khỏe tinh thần của TPV. M</w:t>
      </w:r>
      <w:r w:rsidR="003C6A7F" w:rsidRPr="00E87495">
        <w:rPr>
          <w:rFonts w:asciiTheme="majorHAnsi" w:hAnsiTheme="majorHAnsi" w:cstheme="majorHAnsi"/>
          <w:sz w:val="22"/>
          <w:szCs w:val="22"/>
        </w:rPr>
        <w:t xml:space="preserve">ột số vụ án có thể tạo ra ám ảnh tâm lý cho </w:t>
      </w:r>
      <w:r w:rsidR="00141203" w:rsidRPr="00E87495">
        <w:rPr>
          <w:rFonts w:asciiTheme="majorHAnsi" w:hAnsiTheme="majorHAnsi" w:cstheme="majorHAnsi"/>
          <w:sz w:val="22"/>
          <w:szCs w:val="22"/>
        </w:rPr>
        <w:t>TPV</w:t>
      </w:r>
      <w:r w:rsidR="003C6A7F" w:rsidRPr="00E87495">
        <w:rPr>
          <w:rFonts w:asciiTheme="majorHAnsi" w:hAnsiTheme="majorHAnsi" w:cstheme="majorHAnsi"/>
          <w:sz w:val="22"/>
          <w:szCs w:val="22"/>
        </w:rPr>
        <w:t xml:space="preserve"> khi phải tiếp xúc với bằng chứng có tính chất ghê rợn, hay phải các quyết định mức phạt nghiêm trọng như hình phạt tử hình. Do đó, kiểm tra sức khỏe tâm lý định kỳ cho </w:t>
      </w:r>
      <w:r w:rsidR="00141203" w:rsidRPr="00E87495">
        <w:rPr>
          <w:rFonts w:asciiTheme="majorHAnsi" w:hAnsiTheme="majorHAnsi" w:cstheme="majorHAnsi"/>
          <w:sz w:val="22"/>
          <w:szCs w:val="22"/>
        </w:rPr>
        <w:t>TPV</w:t>
      </w:r>
      <w:r w:rsidR="003C6A7F" w:rsidRPr="00E87495">
        <w:rPr>
          <w:rFonts w:asciiTheme="majorHAnsi" w:hAnsiTheme="majorHAnsi" w:cstheme="majorHAnsi"/>
          <w:sz w:val="22"/>
          <w:szCs w:val="22"/>
        </w:rPr>
        <w:t xml:space="preserve"> </w:t>
      </w:r>
      <w:r w:rsidR="00E4211B" w:rsidRPr="00E87495">
        <w:rPr>
          <w:rFonts w:asciiTheme="majorHAnsi" w:hAnsiTheme="majorHAnsi" w:cstheme="majorHAnsi"/>
          <w:sz w:val="22"/>
          <w:szCs w:val="22"/>
        </w:rPr>
        <w:t>là việc làm cần thiết để duy trì hoạt động tư pháp ổn định</w:t>
      </w:r>
      <w:r w:rsidR="003C6A7F" w:rsidRPr="00E87495">
        <w:rPr>
          <w:rFonts w:asciiTheme="majorHAnsi" w:hAnsiTheme="majorHAnsi" w:cstheme="majorHAnsi"/>
          <w:sz w:val="22"/>
          <w:szCs w:val="22"/>
        </w:rPr>
        <w:t xml:space="preserve">. </w:t>
      </w:r>
      <w:r w:rsidR="00E4211B" w:rsidRPr="00E87495">
        <w:rPr>
          <w:rFonts w:asciiTheme="majorHAnsi" w:hAnsiTheme="majorHAnsi" w:cstheme="majorHAnsi"/>
          <w:sz w:val="22"/>
          <w:szCs w:val="22"/>
        </w:rPr>
        <w:t>Giảm bớt gánh nặng cho các TPV cũng là m</w:t>
      </w:r>
      <w:r w:rsidR="000D31F6" w:rsidRPr="00E87495">
        <w:rPr>
          <w:rFonts w:asciiTheme="majorHAnsi" w:hAnsiTheme="majorHAnsi" w:cstheme="majorHAnsi"/>
          <w:sz w:val="22"/>
          <w:szCs w:val="22"/>
        </w:rPr>
        <w:t xml:space="preserve">ột trong những vấn đề </w:t>
      </w:r>
      <w:r w:rsidR="00E4211B" w:rsidRPr="00E87495">
        <w:rPr>
          <w:rFonts w:asciiTheme="majorHAnsi" w:hAnsiTheme="majorHAnsi" w:cstheme="majorHAnsi"/>
          <w:sz w:val="22"/>
          <w:szCs w:val="22"/>
        </w:rPr>
        <w:t>lưu tâm của</w:t>
      </w:r>
      <w:r w:rsidR="000D31F6" w:rsidRPr="00E87495">
        <w:rPr>
          <w:rFonts w:asciiTheme="majorHAnsi" w:hAnsiTheme="majorHAnsi" w:cstheme="majorHAnsi"/>
          <w:sz w:val="22"/>
          <w:szCs w:val="22"/>
        </w:rPr>
        <w:t xml:space="preserve"> Ủy ban nghiên cứu chế độ </w:t>
      </w:r>
      <w:r w:rsidR="00141203" w:rsidRPr="00E87495">
        <w:rPr>
          <w:rFonts w:asciiTheme="majorHAnsi" w:hAnsiTheme="majorHAnsi" w:cstheme="majorHAnsi"/>
          <w:sz w:val="22"/>
          <w:szCs w:val="22"/>
        </w:rPr>
        <w:t>TPV</w:t>
      </w:r>
      <w:r w:rsidR="000D31F6" w:rsidRPr="00E87495">
        <w:rPr>
          <w:rFonts w:asciiTheme="majorHAnsi" w:hAnsiTheme="majorHAnsi" w:cstheme="majorHAnsi"/>
          <w:sz w:val="22"/>
          <w:szCs w:val="22"/>
        </w:rPr>
        <w:t xml:space="preserve">. </w:t>
      </w:r>
      <w:r w:rsidR="00145789" w:rsidRPr="00E87495">
        <w:rPr>
          <w:rFonts w:asciiTheme="majorHAnsi" w:hAnsiTheme="majorHAnsi" w:cstheme="majorHAnsi"/>
          <w:sz w:val="22"/>
          <w:szCs w:val="22"/>
        </w:rPr>
        <w:t>N</w:t>
      </w:r>
      <w:r w:rsidR="000D31F6" w:rsidRPr="00E87495">
        <w:rPr>
          <w:rFonts w:asciiTheme="majorHAnsi" w:hAnsiTheme="majorHAnsi" w:cstheme="majorHAnsi"/>
          <w:sz w:val="22"/>
          <w:szCs w:val="22"/>
        </w:rPr>
        <w:t xml:space="preserve">hiều biện pháp đã được thực hiện </w:t>
      </w:r>
      <w:r w:rsidR="00145789" w:rsidRPr="00E87495">
        <w:rPr>
          <w:rFonts w:asciiTheme="majorHAnsi" w:hAnsiTheme="majorHAnsi" w:cstheme="majorHAnsi"/>
          <w:sz w:val="22"/>
          <w:szCs w:val="22"/>
        </w:rPr>
        <w:t xml:space="preserve">trong hệ thống tòa án, </w:t>
      </w:r>
      <w:r w:rsidR="000D31F6" w:rsidRPr="00E87495">
        <w:rPr>
          <w:rFonts w:asciiTheme="majorHAnsi" w:hAnsiTheme="majorHAnsi" w:cstheme="majorHAnsi"/>
          <w:sz w:val="22"/>
          <w:szCs w:val="22"/>
        </w:rPr>
        <w:t>nhưng</w:t>
      </w:r>
      <w:r w:rsidR="00145789" w:rsidRPr="00E87495">
        <w:rPr>
          <w:rFonts w:asciiTheme="majorHAnsi" w:hAnsiTheme="majorHAnsi" w:cstheme="majorHAnsi"/>
          <w:sz w:val="22"/>
          <w:szCs w:val="22"/>
        </w:rPr>
        <w:t xml:space="preserve"> các</w:t>
      </w:r>
      <w:r w:rsidR="000D31F6" w:rsidRPr="00E87495">
        <w:rPr>
          <w:rFonts w:asciiTheme="majorHAnsi" w:hAnsiTheme="majorHAnsi" w:cstheme="majorHAnsi"/>
          <w:sz w:val="22"/>
          <w:szCs w:val="22"/>
        </w:rPr>
        <w:t xml:space="preserve"> quy định trong Luật </w:t>
      </w:r>
      <w:r w:rsidR="00141203" w:rsidRPr="00E87495">
        <w:rPr>
          <w:rFonts w:asciiTheme="majorHAnsi" w:hAnsiTheme="majorHAnsi" w:cstheme="majorHAnsi"/>
          <w:sz w:val="22"/>
          <w:szCs w:val="22"/>
        </w:rPr>
        <w:t>TPV</w:t>
      </w:r>
      <w:r w:rsidR="000D31F6" w:rsidRPr="00E87495">
        <w:rPr>
          <w:rFonts w:asciiTheme="majorHAnsi" w:hAnsiTheme="majorHAnsi" w:cstheme="majorHAnsi"/>
          <w:sz w:val="22"/>
          <w:szCs w:val="22"/>
        </w:rPr>
        <w:t xml:space="preserve"> </w:t>
      </w:r>
      <w:r w:rsidR="00145789" w:rsidRPr="00E87495">
        <w:rPr>
          <w:rFonts w:asciiTheme="majorHAnsi" w:hAnsiTheme="majorHAnsi" w:cstheme="majorHAnsi"/>
          <w:sz w:val="22"/>
          <w:szCs w:val="22"/>
        </w:rPr>
        <w:t xml:space="preserve">vẫn được xem là cơ sở </w:t>
      </w:r>
      <w:r w:rsidR="00145789" w:rsidRPr="00E87495">
        <w:rPr>
          <w:rFonts w:asciiTheme="majorHAnsi" w:hAnsiTheme="majorHAnsi" w:cstheme="majorHAnsi"/>
          <w:sz w:val="22"/>
          <w:szCs w:val="22"/>
        </w:rPr>
        <w:lastRenderedPageBreak/>
        <w:t xml:space="preserve">pháp lý ổn định </w:t>
      </w:r>
      <w:r w:rsidR="000D31F6" w:rsidRPr="00E87495">
        <w:rPr>
          <w:rFonts w:asciiTheme="majorHAnsi" w:hAnsiTheme="majorHAnsi" w:cstheme="majorHAnsi"/>
          <w:sz w:val="22"/>
          <w:szCs w:val="22"/>
        </w:rPr>
        <w:t xml:space="preserve">để đảm bảo </w:t>
      </w:r>
      <w:r w:rsidR="00145789" w:rsidRPr="00E87495">
        <w:rPr>
          <w:rFonts w:asciiTheme="majorHAnsi" w:hAnsiTheme="majorHAnsi" w:cstheme="majorHAnsi"/>
          <w:sz w:val="22"/>
          <w:szCs w:val="22"/>
        </w:rPr>
        <w:t>sức khỏe tinh thần của TPV</w:t>
      </w:r>
      <w:r w:rsidR="000D31F6" w:rsidRPr="00E87495">
        <w:rPr>
          <w:rFonts w:asciiTheme="majorHAnsi" w:hAnsiTheme="majorHAnsi" w:cstheme="majorHAnsi"/>
          <w:sz w:val="22"/>
          <w:szCs w:val="22"/>
        </w:rPr>
        <w:t xml:space="preserve">. Ủy ban </w:t>
      </w:r>
      <w:r w:rsidR="00145789" w:rsidRPr="00E87495">
        <w:rPr>
          <w:rFonts w:asciiTheme="majorHAnsi" w:hAnsiTheme="majorHAnsi" w:cstheme="majorHAnsi"/>
          <w:sz w:val="22"/>
          <w:szCs w:val="22"/>
        </w:rPr>
        <w:t xml:space="preserve">nghiên cứu chế độ TPV </w:t>
      </w:r>
      <w:r w:rsidR="000D31F6" w:rsidRPr="00E87495">
        <w:rPr>
          <w:rFonts w:asciiTheme="majorHAnsi" w:hAnsiTheme="majorHAnsi" w:cstheme="majorHAnsi"/>
          <w:sz w:val="22"/>
          <w:szCs w:val="22"/>
        </w:rPr>
        <w:t xml:space="preserve">đã đưa ra một số </w:t>
      </w:r>
      <w:r w:rsidR="00943369" w:rsidRPr="00E87495">
        <w:rPr>
          <w:rFonts w:asciiTheme="majorHAnsi" w:hAnsiTheme="majorHAnsi" w:cstheme="majorHAnsi"/>
          <w:sz w:val="22"/>
          <w:szCs w:val="22"/>
        </w:rPr>
        <w:t>biện pháp nhằm</w:t>
      </w:r>
      <w:r w:rsidR="000D31F6" w:rsidRPr="00E87495">
        <w:rPr>
          <w:rFonts w:asciiTheme="majorHAnsi" w:hAnsiTheme="majorHAnsi" w:cstheme="majorHAnsi"/>
          <w:sz w:val="22"/>
          <w:szCs w:val="22"/>
        </w:rPr>
        <w:t xml:space="preserve"> gánh nặng tâm lý có thể xảy ra trong quá trình tham gia phiên tòa</w:t>
      </w:r>
      <w:r w:rsidR="000D31F6" w:rsidRPr="00E87495">
        <w:rPr>
          <w:rFonts w:asciiTheme="majorHAnsi" w:hAnsiTheme="majorHAnsi" w:cstheme="majorHAnsi"/>
          <w:sz w:val="22"/>
          <w:szCs w:val="22"/>
          <w:vertAlign w:val="superscript"/>
        </w:rPr>
        <w:t>1</w:t>
      </w:r>
      <w:r w:rsidR="0003645D" w:rsidRPr="00E87495">
        <w:rPr>
          <w:rFonts w:asciiTheme="majorHAnsi" w:hAnsiTheme="majorHAnsi" w:cstheme="majorHAnsi" w:hint="eastAsia"/>
          <w:sz w:val="22"/>
          <w:szCs w:val="22"/>
          <w:vertAlign w:val="superscript"/>
        </w:rPr>
        <w:t>3</w:t>
      </w:r>
      <w:r w:rsidR="000D31F6" w:rsidRPr="00E87495">
        <w:rPr>
          <w:rFonts w:asciiTheme="majorHAnsi" w:hAnsiTheme="majorHAnsi" w:cstheme="majorHAnsi"/>
          <w:sz w:val="22"/>
          <w:szCs w:val="22"/>
        </w:rPr>
        <w:t xml:space="preserve">. </w:t>
      </w:r>
      <w:r w:rsidR="00447492" w:rsidRPr="00E87495">
        <w:rPr>
          <w:rFonts w:asciiTheme="majorHAnsi" w:hAnsiTheme="majorHAnsi" w:cstheme="majorHAnsi"/>
          <w:sz w:val="22"/>
          <w:szCs w:val="22"/>
        </w:rPr>
        <w:t>Chẳng hạn như, đ</w:t>
      </w:r>
      <w:r w:rsidR="000D31F6" w:rsidRPr="00E87495">
        <w:rPr>
          <w:rFonts w:asciiTheme="majorHAnsi" w:hAnsiTheme="majorHAnsi" w:cstheme="majorHAnsi"/>
          <w:sz w:val="22"/>
          <w:szCs w:val="22"/>
        </w:rPr>
        <w:t xml:space="preserve">ể giảm bớt áp lực tâm lý cho các </w:t>
      </w:r>
      <w:r w:rsidR="00141203" w:rsidRPr="00E87495">
        <w:rPr>
          <w:rFonts w:asciiTheme="majorHAnsi" w:hAnsiTheme="majorHAnsi" w:cstheme="majorHAnsi"/>
          <w:sz w:val="22"/>
          <w:szCs w:val="22"/>
        </w:rPr>
        <w:t>TPV</w:t>
      </w:r>
      <w:r w:rsidR="000D31F6" w:rsidRPr="00E87495">
        <w:rPr>
          <w:rFonts w:asciiTheme="majorHAnsi" w:hAnsiTheme="majorHAnsi" w:cstheme="majorHAnsi"/>
          <w:sz w:val="22"/>
          <w:szCs w:val="22"/>
        </w:rPr>
        <w:t xml:space="preserve">, công tố viên </w:t>
      </w:r>
      <w:r w:rsidR="00447492" w:rsidRPr="00E87495">
        <w:rPr>
          <w:rFonts w:asciiTheme="majorHAnsi" w:hAnsiTheme="majorHAnsi" w:cstheme="majorHAnsi"/>
          <w:sz w:val="22"/>
          <w:szCs w:val="22"/>
        </w:rPr>
        <w:t>hạn chế cho họ xem các hình</w:t>
      </w:r>
      <w:r w:rsidR="000D31F6" w:rsidRPr="00E87495">
        <w:rPr>
          <w:rFonts w:asciiTheme="majorHAnsi" w:hAnsiTheme="majorHAnsi" w:cstheme="majorHAnsi"/>
          <w:sz w:val="22"/>
          <w:szCs w:val="22"/>
        </w:rPr>
        <w:t xml:space="preserve"> ảnh thi thể </w:t>
      </w:r>
      <w:r w:rsidR="00447492" w:rsidRPr="00E87495">
        <w:rPr>
          <w:rFonts w:asciiTheme="majorHAnsi" w:hAnsiTheme="majorHAnsi" w:cstheme="majorHAnsi"/>
          <w:sz w:val="22"/>
          <w:szCs w:val="22"/>
        </w:rPr>
        <w:t xml:space="preserve">người chết và khi cần thiết phải cho xem thì họ cũng sẽ được </w:t>
      </w:r>
      <w:r w:rsidR="000D31F6" w:rsidRPr="00E87495">
        <w:rPr>
          <w:rFonts w:asciiTheme="majorHAnsi" w:hAnsiTheme="majorHAnsi" w:cstheme="majorHAnsi"/>
          <w:sz w:val="22"/>
          <w:szCs w:val="22"/>
        </w:rPr>
        <w:t>thông báo trướ</w:t>
      </w:r>
      <w:r w:rsidR="00447492" w:rsidRPr="00E87495">
        <w:rPr>
          <w:rFonts w:asciiTheme="majorHAnsi" w:hAnsiTheme="majorHAnsi" w:cstheme="majorHAnsi"/>
          <w:sz w:val="22"/>
          <w:szCs w:val="22"/>
        </w:rPr>
        <w:t>c</w:t>
      </w:r>
      <w:r w:rsidR="000D31F6" w:rsidRPr="00E87495">
        <w:rPr>
          <w:rFonts w:asciiTheme="majorHAnsi" w:hAnsiTheme="majorHAnsi" w:cstheme="majorHAnsi"/>
          <w:sz w:val="22"/>
          <w:szCs w:val="22"/>
          <w:vertAlign w:val="superscript"/>
        </w:rPr>
        <w:t>1</w:t>
      </w:r>
      <w:r w:rsidR="0003645D" w:rsidRPr="00E87495">
        <w:rPr>
          <w:rFonts w:asciiTheme="majorHAnsi" w:hAnsiTheme="majorHAnsi" w:cstheme="majorHAnsi" w:hint="eastAsia"/>
          <w:sz w:val="22"/>
          <w:szCs w:val="22"/>
          <w:vertAlign w:val="superscript"/>
        </w:rPr>
        <w:t>3</w:t>
      </w:r>
      <w:r w:rsidR="005E3BEE" w:rsidRPr="00E87495">
        <w:rPr>
          <w:rFonts w:asciiTheme="majorHAnsi" w:hAnsiTheme="majorHAnsi" w:cstheme="majorHAnsi"/>
          <w:sz w:val="22"/>
          <w:szCs w:val="22"/>
        </w:rPr>
        <w:t>.</w:t>
      </w:r>
    </w:p>
    <w:p w14:paraId="5CB2EFBC" w14:textId="12904CE5" w:rsidR="00151D80" w:rsidRPr="00E87495" w:rsidRDefault="005E3BEE" w:rsidP="005E3BEE">
      <w:pPr>
        <w:spacing w:before="120" w:after="120" w:line="240" w:lineRule="auto"/>
        <w:ind w:firstLine="567"/>
        <w:rPr>
          <w:rFonts w:asciiTheme="majorHAnsi" w:hAnsiTheme="majorHAnsi" w:cstheme="majorHAnsi"/>
          <w:sz w:val="22"/>
          <w:szCs w:val="22"/>
        </w:rPr>
      </w:pPr>
      <w:r w:rsidRPr="00E87495">
        <w:rPr>
          <w:rFonts w:asciiTheme="majorHAnsi" w:hAnsiTheme="majorHAnsi" w:cstheme="majorHAnsi"/>
          <w:sz w:val="22"/>
          <w:szCs w:val="22"/>
        </w:rPr>
        <w:t>Thứ tư</w:t>
      </w:r>
      <w:r w:rsidR="003C6A7F" w:rsidRPr="00E87495">
        <w:rPr>
          <w:rFonts w:asciiTheme="majorHAnsi" w:hAnsiTheme="majorHAnsi" w:cstheme="majorHAnsi"/>
          <w:sz w:val="22"/>
          <w:szCs w:val="22"/>
        </w:rPr>
        <w:t xml:space="preserve">, </w:t>
      </w:r>
      <w:r w:rsidR="00702F23" w:rsidRPr="00E87495">
        <w:rPr>
          <w:rFonts w:asciiTheme="majorHAnsi" w:hAnsiTheme="majorHAnsi" w:cstheme="majorHAnsi"/>
          <w:sz w:val="22"/>
          <w:szCs w:val="22"/>
        </w:rPr>
        <w:t xml:space="preserve">Nhật Bản cân nhắc đến </w:t>
      </w:r>
      <w:r w:rsidR="009F475A" w:rsidRPr="00E87495">
        <w:rPr>
          <w:rFonts w:asciiTheme="majorHAnsi" w:hAnsiTheme="majorHAnsi" w:cstheme="majorHAnsi"/>
          <w:sz w:val="22"/>
          <w:szCs w:val="22"/>
        </w:rPr>
        <w:t xml:space="preserve">những đối tượng đặc biệt như </w:t>
      </w:r>
      <w:r w:rsidR="00702F23" w:rsidRPr="00E87495">
        <w:rPr>
          <w:rFonts w:asciiTheme="majorHAnsi" w:hAnsiTheme="majorHAnsi" w:cstheme="majorHAnsi"/>
          <w:sz w:val="22"/>
          <w:szCs w:val="22"/>
        </w:rPr>
        <w:t xml:space="preserve">người vị thành niên </w:t>
      </w:r>
      <w:r w:rsidR="009F475A" w:rsidRPr="00E87495">
        <w:rPr>
          <w:rFonts w:asciiTheme="majorHAnsi" w:hAnsiTheme="majorHAnsi" w:cstheme="majorHAnsi"/>
          <w:sz w:val="22"/>
          <w:szCs w:val="22"/>
        </w:rPr>
        <w:t>phạm tội hoặc bị hại trong tội hiếp dâm</w:t>
      </w:r>
      <w:r w:rsidR="00702F23" w:rsidRPr="00E87495">
        <w:rPr>
          <w:rFonts w:asciiTheme="majorHAnsi" w:hAnsiTheme="majorHAnsi" w:cstheme="majorHAnsi"/>
          <w:sz w:val="22"/>
          <w:szCs w:val="22"/>
        </w:rPr>
        <w:t xml:space="preserve">. </w:t>
      </w:r>
      <w:r w:rsidR="00B56B3B" w:rsidRPr="00E87495">
        <w:rPr>
          <w:rFonts w:asciiTheme="majorHAnsi" w:hAnsiTheme="majorHAnsi" w:cstheme="majorHAnsi"/>
          <w:sz w:val="22"/>
          <w:szCs w:val="22"/>
        </w:rPr>
        <w:t>Theo đó, đối với</w:t>
      </w:r>
      <w:r w:rsidR="003C6A7F" w:rsidRPr="00E87495">
        <w:rPr>
          <w:rFonts w:asciiTheme="majorHAnsi" w:hAnsiTheme="majorHAnsi" w:cstheme="majorHAnsi"/>
          <w:sz w:val="22"/>
          <w:szCs w:val="22"/>
        </w:rPr>
        <w:t xml:space="preserve"> các vụ án có </w:t>
      </w:r>
      <w:r w:rsidR="00B56B3B" w:rsidRPr="00E87495">
        <w:rPr>
          <w:rFonts w:asciiTheme="majorHAnsi" w:hAnsiTheme="majorHAnsi" w:cstheme="majorHAnsi"/>
          <w:sz w:val="22"/>
          <w:szCs w:val="22"/>
        </w:rPr>
        <w:t>những đối tượng đặc biệt này,</w:t>
      </w:r>
      <w:r w:rsidR="003C6A7F" w:rsidRPr="00E87495">
        <w:rPr>
          <w:rFonts w:asciiTheme="majorHAnsi" w:hAnsiTheme="majorHAnsi" w:cstheme="majorHAnsi"/>
          <w:sz w:val="22"/>
          <w:szCs w:val="22"/>
        </w:rPr>
        <w:t xml:space="preserve"> số lượng </w:t>
      </w:r>
      <w:r w:rsidR="00141203" w:rsidRPr="00E87495">
        <w:rPr>
          <w:rFonts w:asciiTheme="majorHAnsi" w:hAnsiTheme="majorHAnsi" w:cstheme="majorHAnsi"/>
          <w:sz w:val="22"/>
          <w:szCs w:val="22"/>
        </w:rPr>
        <w:t>TPV</w:t>
      </w:r>
      <w:r w:rsidR="003C6A7F" w:rsidRPr="00E87495">
        <w:rPr>
          <w:rFonts w:asciiTheme="majorHAnsi" w:hAnsiTheme="majorHAnsi" w:cstheme="majorHAnsi"/>
          <w:sz w:val="22"/>
          <w:szCs w:val="22"/>
        </w:rPr>
        <w:t xml:space="preserve"> trong hội đồng xét xử</w:t>
      </w:r>
      <w:r w:rsidR="00B56B3B" w:rsidRPr="00E87495">
        <w:rPr>
          <w:rFonts w:asciiTheme="majorHAnsi" w:hAnsiTheme="majorHAnsi" w:cstheme="majorHAnsi"/>
          <w:sz w:val="22"/>
          <w:szCs w:val="22"/>
        </w:rPr>
        <w:t xml:space="preserve"> có thể cần giảm bớt</w:t>
      </w:r>
      <w:r w:rsidR="003C6A7F" w:rsidRPr="00E87495">
        <w:rPr>
          <w:rFonts w:asciiTheme="majorHAnsi" w:hAnsiTheme="majorHAnsi" w:cstheme="majorHAnsi"/>
          <w:sz w:val="22"/>
          <w:szCs w:val="22"/>
        </w:rPr>
        <w:t xml:space="preserve">. </w:t>
      </w:r>
      <w:r w:rsidR="00B56B3B" w:rsidRPr="00E87495">
        <w:rPr>
          <w:rFonts w:asciiTheme="majorHAnsi" w:hAnsiTheme="majorHAnsi" w:cstheme="majorHAnsi"/>
          <w:sz w:val="22"/>
          <w:szCs w:val="22"/>
        </w:rPr>
        <w:t>Họ</w:t>
      </w:r>
      <w:r w:rsidR="003C6A7F" w:rsidRPr="00E87495">
        <w:rPr>
          <w:rFonts w:asciiTheme="majorHAnsi" w:hAnsiTheme="majorHAnsi" w:cstheme="majorHAnsi"/>
          <w:sz w:val="22"/>
          <w:szCs w:val="22"/>
        </w:rPr>
        <w:t xml:space="preserve"> là các đối tượng nhạy cảm và dễ bị ảnh hưởng về tinh thần. </w:t>
      </w:r>
      <w:r w:rsidR="00B56B3B" w:rsidRPr="00E87495">
        <w:rPr>
          <w:rFonts w:asciiTheme="majorHAnsi" w:hAnsiTheme="majorHAnsi" w:cstheme="majorHAnsi"/>
          <w:sz w:val="22"/>
          <w:szCs w:val="22"/>
        </w:rPr>
        <w:t>H</w:t>
      </w:r>
      <w:r w:rsidR="00D022E2" w:rsidRPr="00E87495">
        <w:rPr>
          <w:rFonts w:asciiTheme="majorHAnsi" w:hAnsiTheme="majorHAnsi" w:cstheme="majorHAnsi"/>
          <w:sz w:val="22"/>
          <w:szCs w:val="22"/>
        </w:rPr>
        <w:t>ội đồng xét xử tổng cộng</w:t>
      </w:r>
      <w:r w:rsidR="00516A2A" w:rsidRPr="00E87495">
        <w:rPr>
          <w:rFonts w:asciiTheme="majorHAnsi" w:hAnsiTheme="majorHAnsi" w:cstheme="majorHAnsi" w:hint="eastAsia"/>
          <w:sz w:val="22"/>
          <w:szCs w:val="22"/>
        </w:rPr>
        <w:t xml:space="preserve"> chín </w:t>
      </w:r>
      <w:r w:rsidR="00D022E2" w:rsidRPr="00E87495">
        <w:rPr>
          <w:rFonts w:asciiTheme="majorHAnsi" w:hAnsiTheme="majorHAnsi" w:cstheme="majorHAnsi"/>
          <w:sz w:val="22"/>
          <w:szCs w:val="22"/>
        </w:rPr>
        <w:t xml:space="preserve">người bao gồm ba </w:t>
      </w:r>
      <w:r w:rsidR="00501DC7" w:rsidRPr="00E87495">
        <w:rPr>
          <w:rFonts w:asciiTheme="majorHAnsi" w:hAnsiTheme="majorHAnsi" w:cstheme="majorHAnsi"/>
          <w:sz w:val="22"/>
          <w:szCs w:val="22"/>
        </w:rPr>
        <w:t>thẩm phán</w:t>
      </w:r>
      <w:r w:rsidR="00D022E2" w:rsidRPr="00E87495">
        <w:rPr>
          <w:rFonts w:asciiTheme="majorHAnsi" w:hAnsiTheme="majorHAnsi" w:cstheme="majorHAnsi"/>
          <w:sz w:val="22"/>
          <w:szCs w:val="22"/>
        </w:rPr>
        <w:t xml:space="preserve"> và sáu </w:t>
      </w:r>
      <w:r w:rsidR="00141203" w:rsidRPr="00E87495">
        <w:rPr>
          <w:rFonts w:asciiTheme="majorHAnsi" w:hAnsiTheme="majorHAnsi" w:cstheme="majorHAnsi"/>
          <w:sz w:val="22"/>
          <w:szCs w:val="22"/>
        </w:rPr>
        <w:t>TPV</w:t>
      </w:r>
      <w:r w:rsidR="00D022E2" w:rsidRPr="00E87495">
        <w:rPr>
          <w:rFonts w:asciiTheme="majorHAnsi" w:hAnsiTheme="majorHAnsi" w:cstheme="majorHAnsi"/>
          <w:sz w:val="22"/>
          <w:szCs w:val="22"/>
        </w:rPr>
        <w:t xml:space="preserve"> </w:t>
      </w:r>
      <w:r w:rsidR="00DB7E53" w:rsidRPr="00E87495">
        <w:rPr>
          <w:rFonts w:asciiTheme="majorHAnsi" w:hAnsiTheme="majorHAnsi" w:cstheme="majorHAnsi"/>
          <w:sz w:val="22"/>
          <w:szCs w:val="22"/>
        </w:rPr>
        <w:t xml:space="preserve">cùng </w:t>
      </w:r>
      <w:r w:rsidR="00D022E2" w:rsidRPr="00E87495">
        <w:rPr>
          <w:rFonts w:asciiTheme="majorHAnsi" w:hAnsiTheme="majorHAnsi" w:cstheme="majorHAnsi"/>
          <w:sz w:val="22"/>
          <w:szCs w:val="22"/>
        </w:rPr>
        <w:t xml:space="preserve">ngồi trên </w:t>
      </w:r>
      <w:r w:rsidR="00DB7E53" w:rsidRPr="00E87495">
        <w:rPr>
          <w:rFonts w:asciiTheme="majorHAnsi" w:hAnsiTheme="majorHAnsi" w:cstheme="majorHAnsi"/>
          <w:sz w:val="22"/>
          <w:szCs w:val="22"/>
        </w:rPr>
        <w:t xml:space="preserve">vị trí thực hiện nhiệm vụ xét xử </w:t>
      </w:r>
      <w:r w:rsidR="00D022E2" w:rsidRPr="00E87495">
        <w:rPr>
          <w:rFonts w:asciiTheme="majorHAnsi" w:hAnsiTheme="majorHAnsi" w:cstheme="majorHAnsi"/>
          <w:sz w:val="22"/>
          <w:szCs w:val="22"/>
        </w:rPr>
        <w:t xml:space="preserve">và </w:t>
      </w:r>
      <w:r w:rsidR="002C1339" w:rsidRPr="00E87495">
        <w:rPr>
          <w:rFonts w:asciiTheme="majorHAnsi" w:hAnsiTheme="majorHAnsi" w:cstheme="majorHAnsi"/>
          <w:sz w:val="22"/>
          <w:szCs w:val="22"/>
        </w:rPr>
        <w:t>quan sát</w:t>
      </w:r>
      <w:r w:rsidR="00D022E2" w:rsidRPr="00E87495">
        <w:rPr>
          <w:rFonts w:asciiTheme="majorHAnsi" w:hAnsiTheme="majorHAnsi" w:cstheme="majorHAnsi"/>
          <w:sz w:val="22"/>
          <w:szCs w:val="22"/>
        </w:rPr>
        <w:t xml:space="preserve"> bị cáo là trẻ vị thành niên. Điều này có thể tạo ra cảm giác đe dọa quá mức đối với bị cáo và có thể khiến bị cáo thu mình lại trong suốt quá trình xét xử</w:t>
      </w:r>
      <w:r w:rsidR="00D777DF" w:rsidRPr="00E87495">
        <w:rPr>
          <w:rFonts w:asciiTheme="majorHAnsi" w:hAnsiTheme="majorHAnsi" w:cstheme="majorHAnsi"/>
          <w:sz w:val="22"/>
          <w:szCs w:val="22"/>
          <w:vertAlign w:val="superscript"/>
        </w:rPr>
        <w:t>14</w:t>
      </w:r>
      <w:r w:rsidR="00D022E2" w:rsidRPr="00E87495">
        <w:rPr>
          <w:rFonts w:asciiTheme="majorHAnsi" w:hAnsiTheme="majorHAnsi" w:cstheme="majorHAnsi"/>
          <w:sz w:val="22"/>
          <w:szCs w:val="22"/>
        </w:rPr>
        <w:t xml:space="preserve">. Hậu quả là quyền lợi của bị cáo ấy không được bảo vệ một cách đầy đủ, gây ảnh hưởng xấu đến tâm lý và khả năng cải tạo của họ. Về vấn đề của nạn nhân trong vụ kiện tội phạm tình dục, </w:t>
      </w:r>
      <w:r w:rsidR="00080A6D" w:rsidRPr="00E87495">
        <w:rPr>
          <w:rFonts w:asciiTheme="majorHAnsi" w:hAnsiTheme="majorHAnsi" w:cstheme="majorHAnsi"/>
          <w:sz w:val="22"/>
          <w:szCs w:val="22"/>
        </w:rPr>
        <w:t>Hirayama Mari</w:t>
      </w:r>
      <w:r w:rsidR="009E5594" w:rsidRPr="00E87495">
        <w:rPr>
          <w:rFonts w:asciiTheme="majorHAnsi" w:hAnsiTheme="majorHAnsi" w:cstheme="majorHAnsi"/>
          <w:sz w:val="22"/>
          <w:szCs w:val="22"/>
        </w:rPr>
        <w:t xml:space="preserve"> </w:t>
      </w:r>
      <w:r w:rsidR="00EA5427" w:rsidRPr="00E87495">
        <w:rPr>
          <w:rFonts w:asciiTheme="majorHAnsi" w:hAnsiTheme="majorHAnsi" w:cstheme="majorHAnsi"/>
          <w:sz w:val="22"/>
          <w:szCs w:val="22"/>
        </w:rPr>
        <w:t xml:space="preserve">(2009) </w:t>
      </w:r>
      <w:r w:rsidR="00D022E2" w:rsidRPr="00E87495">
        <w:rPr>
          <w:rFonts w:asciiTheme="majorHAnsi" w:hAnsiTheme="majorHAnsi" w:cstheme="majorHAnsi"/>
          <w:sz w:val="22"/>
          <w:szCs w:val="22"/>
        </w:rPr>
        <w:t>đã nhận định rằng nạn nhân trong các vụ việc này sẽ phải chịu nhiều đau đớn và áp lực khi tham dự phiên tòa</w:t>
      </w:r>
      <w:r w:rsidR="0000383B" w:rsidRPr="00E87495">
        <w:rPr>
          <w:rFonts w:asciiTheme="majorHAnsi" w:hAnsiTheme="majorHAnsi" w:cstheme="majorHAnsi"/>
          <w:sz w:val="22"/>
          <w:szCs w:val="22"/>
          <w:vertAlign w:val="superscript"/>
        </w:rPr>
        <w:t>15</w:t>
      </w:r>
      <w:r w:rsidR="00D022E2" w:rsidRPr="00E87495">
        <w:rPr>
          <w:rFonts w:asciiTheme="majorHAnsi" w:hAnsiTheme="majorHAnsi" w:cstheme="majorHAnsi"/>
          <w:sz w:val="22"/>
          <w:szCs w:val="22"/>
        </w:rPr>
        <w:t>. Các biện pháp bảo vệ danh dự của nạn nhân như vách ngăn hay liên kết video có thể giúp nạn nhân không bị nhìn thấy bởi những người tham dự phiên tòa khác</w:t>
      </w:r>
      <w:r w:rsidR="00317ACE" w:rsidRPr="00E87495">
        <w:rPr>
          <w:rFonts w:asciiTheme="majorHAnsi" w:hAnsiTheme="majorHAnsi" w:cstheme="majorHAnsi"/>
          <w:sz w:val="22"/>
          <w:szCs w:val="22"/>
        </w:rPr>
        <w:t>. T</w:t>
      </w:r>
      <w:r w:rsidR="00D022E2" w:rsidRPr="00E87495">
        <w:rPr>
          <w:rFonts w:asciiTheme="majorHAnsi" w:hAnsiTheme="majorHAnsi" w:cstheme="majorHAnsi"/>
          <w:sz w:val="22"/>
          <w:szCs w:val="22"/>
        </w:rPr>
        <w:t>uy nhiên</w:t>
      </w:r>
      <w:r w:rsidR="00317ACE" w:rsidRPr="00E87495">
        <w:rPr>
          <w:rFonts w:asciiTheme="majorHAnsi" w:hAnsiTheme="majorHAnsi" w:cstheme="majorHAnsi"/>
          <w:sz w:val="22"/>
          <w:szCs w:val="22"/>
        </w:rPr>
        <w:t>,</w:t>
      </w:r>
      <w:r w:rsidR="00D022E2" w:rsidRPr="00E87495">
        <w:rPr>
          <w:rFonts w:asciiTheme="majorHAnsi" w:hAnsiTheme="majorHAnsi" w:cstheme="majorHAnsi"/>
          <w:sz w:val="22"/>
          <w:szCs w:val="22"/>
        </w:rPr>
        <w:t xml:space="preserve"> </w:t>
      </w:r>
      <w:r w:rsidR="001D3B89" w:rsidRPr="00E87495">
        <w:rPr>
          <w:rFonts w:asciiTheme="majorHAnsi" w:hAnsiTheme="majorHAnsi" w:cstheme="majorHAnsi"/>
          <w:sz w:val="22"/>
          <w:szCs w:val="22"/>
        </w:rPr>
        <w:t xml:space="preserve">điều này không áp dụng đối với hội đồng xét xử, tức </w:t>
      </w:r>
      <w:r w:rsidR="00434E6E" w:rsidRPr="00E87495">
        <w:rPr>
          <w:rFonts w:asciiTheme="majorHAnsi" w:hAnsiTheme="majorHAnsi" w:cstheme="majorHAnsi"/>
          <w:sz w:val="22"/>
          <w:szCs w:val="22"/>
        </w:rPr>
        <w:t xml:space="preserve">nạn nhân </w:t>
      </w:r>
      <w:r w:rsidR="00D022E2" w:rsidRPr="00E87495">
        <w:rPr>
          <w:rFonts w:asciiTheme="majorHAnsi" w:hAnsiTheme="majorHAnsi" w:cstheme="majorHAnsi"/>
          <w:sz w:val="22"/>
          <w:szCs w:val="22"/>
        </w:rPr>
        <w:t>vẫn</w:t>
      </w:r>
      <w:r w:rsidR="00434E6E" w:rsidRPr="00E87495">
        <w:rPr>
          <w:rFonts w:asciiTheme="majorHAnsi" w:hAnsiTheme="majorHAnsi" w:cstheme="majorHAnsi"/>
          <w:sz w:val="22"/>
          <w:szCs w:val="22"/>
        </w:rPr>
        <w:t xml:space="preserve"> sẽ</w:t>
      </w:r>
      <w:r w:rsidR="00D022E2" w:rsidRPr="00E87495">
        <w:rPr>
          <w:rFonts w:asciiTheme="majorHAnsi" w:hAnsiTheme="majorHAnsi" w:cstheme="majorHAnsi"/>
          <w:sz w:val="22"/>
          <w:szCs w:val="22"/>
        </w:rPr>
        <w:t xml:space="preserve"> bị hội đồng xét xử nhìn thấy. Ngoài ra, mặc dù các </w:t>
      </w:r>
      <w:r w:rsidR="00141203" w:rsidRPr="00E87495">
        <w:rPr>
          <w:rFonts w:asciiTheme="majorHAnsi" w:hAnsiTheme="majorHAnsi" w:cstheme="majorHAnsi"/>
          <w:sz w:val="22"/>
          <w:szCs w:val="22"/>
        </w:rPr>
        <w:t>TPV</w:t>
      </w:r>
      <w:r w:rsidR="00D022E2" w:rsidRPr="00E87495">
        <w:rPr>
          <w:rFonts w:asciiTheme="majorHAnsi" w:hAnsiTheme="majorHAnsi" w:cstheme="majorHAnsi"/>
          <w:sz w:val="22"/>
          <w:szCs w:val="22"/>
        </w:rPr>
        <w:t xml:space="preserve"> cũng như </w:t>
      </w:r>
      <w:r w:rsidR="00501DC7" w:rsidRPr="00E87495">
        <w:rPr>
          <w:rFonts w:asciiTheme="majorHAnsi" w:hAnsiTheme="majorHAnsi" w:cstheme="majorHAnsi"/>
          <w:sz w:val="22"/>
          <w:szCs w:val="22"/>
        </w:rPr>
        <w:t>thẩm phán</w:t>
      </w:r>
      <w:r w:rsidR="00D022E2" w:rsidRPr="00E87495">
        <w:rPr>
          <w:rFonts w:asciiTheme="majorHAnsi" w:hAnsiTheme="majorHAnsi" w:cstheme="majorHAnsi"/>
          <w:sz w:val="22"/>
          <w:szCs w:val="22"/>
        </w:rPr>
        <w:t xml:space="preserve"> phải tuân thủ nghĩa vụ bảo mật thông tin, nhưng </w:t>
      </w:r>
      <w:r w:rsidR="00141203" w:rsidRPr="00E87495">
        <w:rPr>
          <w:rFonts w:asciiTheme="majorHAnsi" w:hAnsiTheme="majorHAnsi" w:cstheme="majorHAnsi"/>
          <w:sz w:val="22"/>
          <w:szCs w:val="22"/>
        </w:rPr>
        <w:t>TPV</w:t>
      </w:r>
      <w:r w:rsidR="00D022E2" w:rsidRPr="00E87495">
        <w:rPr>
          <w:rFonts w:asciiTheme="majorHAnsi" w:hAnsiTheme="majorHAnsi" w:cstheme="majorHAnsi"/>
          <w:sz w:val="22"/>
          <w:szCs w:val="22"/>
        </w:rPr>
        <w:t xml:space="preserve"> dự bị thì không có nghĩa vụ này. Đây cũng là nguyên do dẫn đến lo ngại về việc bảo vệ quyền riêng tư của nạn nhân trong vụ kiện tội phạm tình dục</w:t>
      </w:r>
      <w:r w:rsidR="00D022E2" w:rsidRPr="00E87495">
        <w:rPr>
          <w:rFonts w:asciiTheme="majorHAnsi" w:hAnsiTheme="majorHAnsi" w:cstheme="majorHAnsi"/>
          <w:sz w:val="22"/>
          <w:szCs w:val="22"/>
          <w:vertAlign w:val="superscript"/>
        </w:rPr>
        <w:t>1</w:t>
      </w:r>
      <w:r w:rsidR="0003645D" w:rsidRPr="00E87495">
        <w:rPr>
          <w:rFonts w:asciiTheme="majorHAnsi" w:hAnsiTheme="majorHAnsi" w:cstheme="majorHAnsi" w:hint="eastAsia"/>
          <w:sz w:val="22"/>
          <w:szCs w:val="22"/>
          <w:vertAlign w:val="superscript"/>
        </w:rPr>
        <w:t>5</w:t>
      </w:r>
      <w:r w:rsidR="00D022E2" w:rsidRPr="00E87495">
        <w:rPr>
          <w:rFonts w:asciiTheme="majorHAnsi" w:hAnsiTheme="majorHAnsi" w:cstheme="majorHAnsi"/>
          <w:sz w:val="22"/>
          <w:szCs w:val="22"/>
        </w:rPr>
        <w:t xml:space="preserve">. </w:t>
      </w:r>
      <w:r w:rsidR="003C6A7F" w:rsidRPr="00E87495">
        <w:rPr>
          <w:rFonts w:asciiTheme="majorHAnsi" w:hAnsiTheme="majorHAnsi" w:cstheme="majorHAnsi"/>
          <w:sz w:val="22"/>
          <w:szCs w:val="22"/>
        </w:rPr>
        <w:t xml:space="preserve">Chính vì vậy, một hội đồng xét xử </w:t>
      </w:r>
      <w:r w:rsidR="00D777DF" w:rsidRPr="00E87495">
        <w:rPr>
          <w:rFonts w:asciiTheme="majorHAnsi" w:hAnsiTheme="majorHAnsi" w:cstheme="majorHAnsi"/>
          <w:sz w:val="22"/>
          <w:szCs w:val="22"/>
        </w:rPr>
        <w:t>bao gồm nhiều</w:t>
      </w:r>
      <w:r w:rsidR="003C6A7F" w:rsidRPr="00E87495">
        <w:rPr>
          <w:rFonts w:asciiTheme="majorHAnsi" w:hAnsiTheme="majorHAnsi" w:cstheme="majorHAnsi"/>
          <w:sz w:val="22"/>
          <w:szCs w:val="22"/>
        </w:rPr>
        <w:t xml:space="preserve"> </w:t>
      </w:r>
      <w:r w:rsidR="00141203" w:rsidRPr="00E87495">
        <w:rPr>
          <w:rFonts w:asciiTheme="majorHAnsi" w:hAnsiTheme="majorHAnsi" w:cstheme="majorHAnsi"/>
          <w:sz w:val="22"/>
          <w:szCs w:val="22"/>
        </w:rPr>
        <w:t>TPV</w:t>
      </w:r>
      <w:r w:rsidR="003C6A7F" w:rsidRPr="00E87495">
        <w:rPr>
          <w:rFonts w:asciiTheme="majorHAnsi" w:hAnsiTheme="majorHAnsi" w:cstheme="majorHAnsi"/>
          <w:sz w:val="22"/>
          <w:szCs w:val="22"/>
        </w:rPr>
        <w:t xml:space="preserve"> </w:t>
      </w:r>
      <w:r w:rsidR="00D777DF" w:rsidRPr="00E87495">
        <w:rPr>
          <w:rFonts w:asciiTheme="majorHAnsi" w:hAnsiTheme="majorHAnsi" w:cstheme="majorHAnsi"/>
          <w:sz w:val="22"/>
          <w:szCs w:val="22"/>
        </w:rPr>
        <w:t>vẫn có khả năng mang lại những</w:t>
      </w:r>
      <w:r w:rsidR="003C6A7F" w:rsidRPr="00E87495">
        <w:rPr>
          <w:rFonts w:asciiTheme="majorHAnsi" w:hAnsiTheme="majorHAnsi" w:cstheme="majorHAnsi"/>
          <w:sz w:val="22"/>
          <w:szCs w:val="22"/>
        </w:rPr>
        <w:t xml:space="preserve"> hệ quả tiêu cực</w:t>
      </w:r>
      <w:r w:rsidR="00D777DF" w:rsidRPr="00E87495">
        <w:rPr>
          <w:rFonts w:asciiTheme="majorHAnsi" w:hAnsiTheme="majorHAnsi" w:cstheme="majorHAnsi"/>
          <w:sz w:val="22"/>
          <w:szCs w:val="22"/>
        </w:rPr>
        <w:t xml:space="preserve"> và</w:t>
      </w:r>
      <w:r w:rsidR="003C6A7F" w:rsidRPr="00E87495">
        <w:rPr>
          <w:rFonts w:asciiTheme="majorHAnsi" w:hAnsiTheme="majorHAnsi" w:cstheme="majorHAnsi"/>
          <w:sz w:val="22"/>
          <w:szCs w:val="22"/>
        </w:rPr>
        <w:t xml:space="preserve"> không mong muốn</w:t>
      </w:r>
      <w:r w:rsidR="00D777DF" w:rsidRPr="00E87495">
        <w:rPr>
          <w:rFonts w:asciiTheme="majorHAnsi" w:hAnsiTheme="majorHAnsi" w:cstheme="majorHAnsi"/>
          <w:sz w:val="22"/>
          <w:szCs w:val="22"/>
        </w:rPr>
        <w:t xml:space="preserve"> đối với các đối tượng</w:t>
      </w:r>
      <w:r w:rsidR="000C702C" w:rsidRPr="00E87495">
        <w:rPr>
          <w:rFonts w:asciiTheme="majorHAnsi" w:hAnsiTheme="majorHAnsi" w:cstheme="majorHAnsi"/>
          <w:sz w:val="22"/>
          <w:szCs w:val="22"/>
        </w:rPr>
        <w:t xml:space="preserve"> đặc biệt</w:t>
      </w:r>
      <w:r w:rsidR="003C6A7F" w:rsidRPr="00E87495">
        <w:rPr>
          <w:rFonts w:asciiTheme="majorHAnsi" w:hAnsiTheme="majorHAnsi" w:cstheme="majorHAnsi"/>
          <w:sz w:val="22"/>
          <w:szCs w:val="22"/>
        </w:rPr>
        <w:t xml:space="preserve">. </w:t>
      </w:r>
    </w:p>
    <w:p w14:paraId="57A3E32D" w14:textId="42D6D1E2" w:rsidR="00151D80" w:rsidRPr="00E87495" w:rsidRDefault="00FD4135" w:rsidP="00451AB4">
      <w:pPr>
        <w:pStyle w:val="Heading1"/>
        <w:spacing w:before="120" w:after="120" w:line="240" w:lineRule="auto"/>
        <w:rPr>
          <w:rFonts w:asciiTheme="majorHAnsi" w:hAnsiTheme="majorHAnsi" w:cstheme="majorHAnsi"/>
          <w:szCs w:val="22"/>
        </w:rPr>
      </w:pPr>
      <w:r w:rsidRPr="00E87495">
        <w:rPr>
          <w:rFonts w:asciiTheme="majorHAnsi" w:hAnsiTheme="majorHAnsi" w:cstheme="majorHAnsi"/>
          <w:szCs w:val="22"/>
        </w:rPr>
        <w:t>4</w:t>
      </w:r>
      <w:r w:rsidR="003C6A7F" w:rsidRPr="00E87495">
        <w:rPr>
          <w:rFonts w:asciiTheme="majorHAnsi" w:hAnsiTheme="majorHAnsi" w:cstheme="majorHAnsi"/>
          <w:szCs w:val="22"/>
        </w:rPr>
        <w:t xml:space="preserve">. </w:t>
      </w:r>
      <w:r w:rsidR="00B43043" w:rsidRPr="00E87495">
        <w:rPr>
          <w:rFonts w:asciiTheme="majorHAnsi" w:hAnsiTheme="majorHAnsi" w:cstheme="majorHAnsi"/>
          <w:szCs w:val="22"/>
        </w:rPr>
        <w:t>KẾT LU</w:t>
      </w:r>
      <w:r w:rsidR="00297167" w:rsidRPr="00E87495">
        <w:rPr>
          <w:rFonts w:asciiTheme="majorHAnsi" w:hAnsiTheme="majorHAnsi" w:cstheme="majorHAnsi"/>
          <w:szCs w:val="22"/>
        </w:rPr>
        <w:t>ẬN</w:t>
      </w:r>
    </w:p>
    <w:p w14:paraId="0E834FC1" w14:textId="70E75D16" w:rsidR="002617BD" w:rsidRPr="00E87495" w:rsidRDefault="003C6A7F" w:rsidP="002617BD">
      <w:pPr>
        <w:spacing w:before="120" w:after="120" w:line="240" w:lineRule="auto"/>
        <w:ind w:firstLine="567"/>
        <w:rPr>
          <w:rFonts w:asciiTheme="majorHAnsi" w:hAnsiTheme="majorHAnsi" w:cstheme="majorHAnsi"/>
          <w:sz w:val="22"/>
          <w:szCs w:val="22"/>
          <w:lang w:val="vi-VN"/>
        </w:rPr>
      </w:pPr>
      <w:r w:rsidRPr="00E87495">
        <w:rPr>
          <w:rFonts w:asciiTheme="majorHAnsi" w:hAnsiTheme="majorHAnsi" w:cstheme="majorHAnsi"/>
          <w:sz w:val="22"/>
          <w:szCs w:val="22"/>
        </w:rPr>
        <w:t>Hệ thống tòa án Nhật Bản</w:t>
      </w:r>
      <w:r w:rsidR="001A7B97" w:rsidRPr="00E87495">
        <w:rPr>
          <w:rFonts w:asciiTheme="majorHAnsi" w:hAnsiTheme="majorHAnsi" w:cstheme="majorHAnsi"/>
          <w:sz w:val="22"/>
          <w:szCs w:val="22"/>
        </w:rPr>
        <w:t xml:space="preserve"> </w:t>
      </w:r>
      <w:r w:rsidR="00EC75E0" w:rsidRPr="00E87495">
        <w:rPr>
          <w:rFonts w:asciiTheme="majorHAnsi" w:hAnsiTheme="majorHAnsi" w:cstheme="majorHAnsi"/>
          <w:sz w:val="22"/>
          <w:szCs w:val="22"/>
        </w:rPr>
        <w:t>bao gồm tòa án tối cao và các tòa án cấp dưới</w:t>
      </w:r>
      <w:r w:rsidR="001A7B97" w:rsidRPr="00E87495">
        <w:rPr>
          <w:rFonts w:asciiTheme="majorHAnsi" w:hAnsiTheme="majorHAnsi" w:cstheme="majorHAnsi"/>
          <w:sz w:val="22"/>
          <w:szCs w:val="22"/>
        </w:rPr>
        <w:t xml:space="preserve">. Trong đó, tòa án tối cao </w:t>
      </w:r>
      <w:r w:rsidR="00EC75E0" w:rsidRPr="00E87495">
        <w:rPr>
          <w:rFonts w:asciiTheme="majorHAnsi" w:hAnsiTheme="majorHAnsi" w:cstheme="majorHAnsi"/>
          <w:sz w:val="22"/>
          <w:szCs w:val="22"/>
        </w:rPr>
        <w:t>là cơ quan có thẩm quyền cao nhất</w:t>
      </w:r>
      <w:r w:rsidRPr="00E87495">
        <w:rPr>
          <w:rFonts w:asciiTheme="majorHAnsi" w:hAnsiTheme="majorHAnsi" w:cstheme="majorHAnsi"/>
          <w:sz w:val="22"/>
          <w:szCs w:val="22"/>
        </w:rPr>
        <w:t>. Sự tham gia của người dân vào quá trình xét xử không chỉ nâng cao tính minh bạch mà còn củng cố niềm tin</w:t>
      </w:r>
      <w:r w:rsidR="00E922E9" w:rsidRPr="00E87495">
        <w:rPr>
          <w:rFonts w:asciiTheme="majorHAnsi" w:hAnsiTheme="majorHAnsi" w:cstheme="majorHAnsi"/>
          <w:sz w:val="22"/>
          <w:szCs w:val="22"/>
        </w:rPr>
        <w:t xml:space="preserve"> của nhân dân</w:t>
      </w:r>
      <w:r w:rsidRPr="00E87495">
        <w:rPr>
          <w:rFonts w:asciiTheme="majorHAnsi" w:hAnsiTheme="majorHAnsi" w:cstheme="majorHAnsi"/>
          <w:sz w:val="22"/>
          <w:szCs w:val="22"/>
        </w:rPr>
        <w:t xml:space="preserve"> vào hệ thống tư pháp. C</w:t>
      </w:r>
      <w:r w:rsidR="00E922E9" w:rsidRPr="00E87495">
        <w:rPr>
          <w:rFonts w:asciiTheme="majorHAnsi" w:hAnsiTheme="majorHAnsi" w:cstheme="majorHAnsi"/>
          <w:sz w:val="22"/>
          <w:szCs w:val="22"/>
        </w:rPr>
        <w:t>ơ chế</w:t>
      </w:r>
      <w:r w:rsidRPr="00E87495">
        <w:rPr>
          <w:rFonts w:asciiTheme="majorHAnsi" w:hAnsiTheme="majorHAnsi" w:cstheme="majorHAnsi"/>
          <w:sz w:val="22"/>
          <w:szCs w:val="22"/>
        </w:rPr>
        <w:t xml:space="preserve"> nhân dân tham gia vào hoạt động xét xử tại Nhật Bản bắt đầu được triển khai thông qua chế độ bồi thẩm vào năm 1923, khi Luật Bồi thẩm được ban hành. Tuy nhiên, hệ thống này không đạt hiệu quả cao và đã bị đình chỉ sau </w:t>
      </w:r>
      <w:r w:rsidR="0035599C" w:rsidRPr="00E87495">
        <w:rPr>
          <w:rFonts w:asciiTheme="majorHAnsi" w:hAnsiTheme="majorHAnsi" w:cstheme="majorHAnsi"/>
          <w:sz w:val="22"/>
          <w:szCs w:val="22"/>
        </w:rPr>
        <w:t xml:space="preserve">hơn </w:t>
      </w:r>
      <w:r w:rsidRPr="00E87495">
        <w:rPr>
          <w:rFonts w:asciiTheme="majorHAnsi" w:hAnsiTheme="majorHAnsi" w:cstheme="majorHAnsi"/>
          <w:sz w:val="22"/>
          <w:szCs w:val="22"/>
        </w:rPr>
        <w:t xml:space="preserve">10 năm </w:t>
      </w:r>
      <w:r w:rsidR="0035599C" w:rsidRPr="00E87495">
        <w:rPr>
          <w:rFonts w:asciiTheme="majorHAnsi" w:hAnsiTheme="majorHAnsi" w:cstheme="majorHAnsi"/>
          <w:sz w:val="22"/>
          <w:szCs w:val="22"/>
        </w:rPr>
        <w:lastRenderedPageBreak/>
        <w:t xml:space="preserve">được áp dụng </w:t>
      </w:r>
      <w:r w:rsidR="00E922E9" w:rsidRPr="00E87495">
        <w:rPr>
          <w:rFonts w:asciiTheme="majorHAnsi" w:hAnsiTheme="majorHAnsi" w:cstheme="majorHAnsi"/>
          <w:sz w:val="22"/>
          <w:szCs w:val="22"/>
        </w:rPr>
        <w:t>và không được áp dụng lại</w:t>
      </w:r>
      <w:r w:rsidRPr="00E87495">
        <w:rPr>
          <w:rFonts w:asciiTheme="majorHAnsi" w:hAnsiTheme="majorHAnsi" w:cstheme="majorHAnsi"/>
          <w:sz w:val="22"/>
          <w:szCs w:val="22"/>
        </w:rPr>
        <w:t xml:space="preserve">. Kinh nghiệm từ chế độ bồi thẩm </w:t>
      </w:r>
      <w:r w:rsidR="0096783D" w:rsidRPr="00E87495">
        <w:rPr>
          <w:rFonts w:asciiTheme="majorHAnsi" w:hAnsiTheme="majorHAnsi" w:cstheme="majorHAnsi"/>
          <w:sz w:val="22"/>
          <w:szCs w:val="22"/>
        </w:rPr>
        <w:t>được áp dụng vào</w:t>
      </w:r>
      <w:r w:rsidRPr="00E87495">
        <w:rPr>
          <w:rFonts w:asciiTheme="majorHAnsi" w:hAnsiTheme="majorHAnsi" w:cstheme="majorHAnsi"/>
          <w:sz w:val="22"/>
          <w:szCs w:val="22"/>
        </w:rPr>
        <w:t xml:space="preserve"> cuộc cải cách tư pháp lần thứ ba năm 1999, Nhật Bản</w:t>
      </w:r>
      <w:r w:rsidR="0096783D" w:rsidRPr="00E87495">
        <w:rPr>
          <w:rFonts w:asciiTheme="majorHAnsi" w:hAnsiTheme="majorHAnsi" w:cstheme="majorHAnsi"/>
          <w:sz w:val="22"/>
          <w:szCs w:val="22"/>
        </w:rPr>
        <w:t xml:space="preserve"> đã</w:t>
      </w:r>
      <w:r w:rsidRPr="00E87495">
        <w:rPr>
          <w:rFonts w:asciiTheme="majorHAnsi" w:hAnsiTheme="majorHAnsi" w:cstheme="majorHAnsi"/>
          <w:sz w:val="22"/>
          <w:szCs w:val="22"/>
        </w:rPr>
        <w:t xml:space="preserve"> xem xét lại </w:t>
      </w:r>
      <w:r w:rsidR="00E922E9" w:rsidRPr="00E87495">
        <w:rPr>
          <w:rFonts w:asciiTheme="majorHAnsi" w:hAnsiTheme="majorHAnsi" w:cstheme="majorHAnsi"/>
          <w:sz w:val="22"/>
          <w:szCs w:val="22"/>
        </w:rPr>
        <w:t>cơ chế</w:t>
      </w:r>
      <w:r w:rsidRPr="00E87495">
        <w:rPr>
          <w:rFonts w:asciiTheme="majorHAnsi" w:hAnsiTheme="majorHAnsi" w:cstheme="majorHAnsi"/>
          <w:sz w:val="22"/>
          <w:szCs w:val="22"/>
        </w:rPr>
        <w:t xml:space="preserve"> </w:t>
      </w:r>
      <w:r w:rsidR="00E922E9" w:rsidRPr="00E87495">
        <w:rPr>
          <w:rFonts w:asciiTheme="majorHAnsi" w:hAnsiTheme="majorHAnsi" w:cstheme="majorHAnsi"/>
          <w:sz w:val="22"/>
          <w:szCs w:val="22"/>
        </w:rPr>
        <w:t xml:space="preserve">người dân </w:t>
      </w:r>
      <w:r w:rsidRPr="00E87495">
        <w:rPr>
          <w:rFonts w:asciiTheme="majorHAnsi" w:hAnsiTheme="majorHAnsi" w:cstheme="majorHAnsi"/>
          <w:sz w:val="22"/>
          <w:szCs w:val="22"/>
        </w:rPr>
        <w:t xml:space="preserve">tham gia của vào </w:t>
      </w:r>
      <w:r w:rsidR="0096783D" w:rsidRPr="00E87495">
        <w:rPr>
          <w:rFonts w:asciiTheme="majorHAnsi" w:hAnsiTheme="majorHAnsi" w:cstheme="majorHAnsi"/>
          <w:sz w:val="22"/>
          <w:szCs w:val="22"/>
        </w:rPr>
        <w:t xml:space="preserve">hoạt động xét xử, từ đó </w:t>
      </w:r>
      <w:r w:rsidRPr="00E87495">
        <w:rPr>
          <w:rFonts w:asciiTheme="majorHAnsi" w:hAnsiTheme="majorHAnsi" w:cstheme="majorHAnsi"/>
          <w:sz w:val="22"/>
          <w:szCs w:val="22"/>
        </w:rPr>
        <w:t xml:space="preserve">xây dựng chế độ </w:t>
      </w:r>
      <w:r w:rsidR="00141203" w:rsidRPr="00E87495">
        <w:rPr>
          <w:rFonts w:asciiTheme="majorHAnsi" w:hAnsiTheme="majorHAnsi" w:cstheme="majorHAnsi"/>
          <w:sz w:val="22"/>
          <w:szCs w:val="22"/>
        </w:rPr>
        <w:t>TPV</w:t>
      </w:r>
      <w:r w:rsidRPr="00E87495">
        <w:rPr>
          <w:rFonts w:asciiTheme="majorHAnsi" w:hAnsiTheme="majorHAnsi" w:cstheme="majorHAnsi"/>
          <w:sz w:val="22"/>
          <w:szCs w:val="22"/>
        </w:rPr>
        <w:t xml:space="preserve"> </w:t>
      </w:r>
      <w:r w:rsidR="0096783D" w:rsidRPr="00E87495">
        <w:rPr>
          <w:rFonts w:asciiTheme="majorHAnsi" w:hAnsiTheme="majorHAnsi" w:cstheme="majorHAnsi"/>
          <w:sz w:val="22"/>
          <w:szCs w:val="22"/>
        </w:rPr>
        <w:t>với căn cứ pháp lý là sự ra đời của</w:t>
      </w:r>
      <w:r w:rsidRPr="00E87495">
        <w:rPr>
          <w:rFonts w:asciiTheme="majorHAnsi" w:hAnsiTheme="majorHAnsi" w:cstheme="majorHAnsi"/>
          <w:sz w:val="22"/>
          <w:szCs w:val="22"/>
        </w:rPr>
        <w:t xml:space="preserve"> Luật </w:t>
      </w:r>
      <w:r w:rsidR="0096783D" w:rsidRPr="00E87495">
        <w:rPr>
          <w:rFonts w:asciiTheme="majorHAnsi" w:hAnsiTheme="majorHAnsi" w:cstheme="majorHAnsi"/>
          <w:sz w:val="22"/>
          <w:szCs w:val="22"/>
        </w:rPr>
        <w:t>về x</w:t>
      </w:r>
      <w:r w:rsidRPr="00E87495">
        <w:rPr>
          <w:rFonts w:asciiTheme="majorHAnsi" w:hAnsiTheme="majorHAnsi" w:cstheme="majorHAnsi"/>
          <w:sz w:val="22"/>
          <w:szCs w:val="22"/>
        </w:rPr>
        <w:t xml:space="preserve">ét xử hình sự có sự tham gia của </w:t>
      </w:r>
      <w:r w:rsidR="00141203" w:rsidRPr="00E87495">
        <w:rPr>
          <w:rFonts w:asciiTheme="majorHAnsi" w:hAnsiTheme="majorHAnsi" w:cstheme="majorHAnsi"/>
          <w:sz w:val="22"/>
          <w:szCs w:val="22"/>
        </w:rPr>
        <w:t>TPV</w:t>
      </w:r>
      <w:r w:rsidRPr="00E87495">
        <w:rPr>
          <w:rFonts w:asciiTheme="majorHAnsi" w:hAnsiTheme="majorHAnsi" w:cstheme="majorHAnsi"/>
          <w:sz w:val="22"/>
          <w:szCs w:val="22"/>
        </w:rPr>
        <w:t xml:space="preserve"> năm 2004. Thông qua tiến trình lịch sử </w:t>
      </w:r>
      <w:r w:rsidR="0096783D" w:rsidRPr="00E87495">
        <w:rPr>
          <w:rFonts w:asciiTheme="majorHAnsi" w:hAnsiTheme="majorHAnsi" w:cstheme="majorHAnsi"/>
          <w:sz w:val="22"/>
          <w:szCs w:val="22"/>
        </w:rPr>
        <w:t>của cơ chế nhân dân tham gia vào hoạt động xét xử</w:t>
      </w:r>
      <w:r w:rsidRPr="00E87495">
        <w:rPr>
          <w:rFonts w:asciiTheme="majorHAnsi" w:hAnsiTheme="majorHAnsi" w:cstheme="majorHAnsi"/>
          <w:sz w:val="22"/>
          <w:szCs w:val="22"/>
        </w:rPr>
        <w:t>, bài viết đưa ra một vài giá trị hiện đại</w:t>
      </w:r>
      <w:r w:rsidR="006360E7" w:rsidRPr="00E87495">
        <w:rPr>
          <w:rFonts w:asciiTheme="majorHAnsi" w:hAnsiTheme="majorHAnsi" w:cstheme="majorHAnsi"/>
          <w:sz w:val="22"/>
          <w:szCs w:val="22"/>
        </w:rPr>
        <w:t xml:space="preserve"> tiêu biểu</w:t>
      </w:r>
      <w:r w:rsidR="0096783D" w:rsidRPr="00E87495">
        <w:rPr>
          <w:rFonts w:asciiTheme="majorHAnsi" w:hAnsiTheme="majorHAnsi" w:cstheme="majorHAnsi"/>
          <w:sz w:val="22"/>
          <w:szCs w:val="22"/>
        </w:rPr>
        <w:t xml:space="preserve"> của chế độ TPV</w:t>
      </w:r>
      <w:r w:rsidRPr="00E87495">
        <w:rPr>
          <w:rFonts w:asciiTheme="majorHAnsi" w:hAnsiTheme="majorHAnsi" w:cstheme="majorHAnsi"/>
          <w:sz w:val="22"/>
          <w:szCs w:val="22"/>
        </w:rPr>
        <w:t xml:space="preserve">: </w:t>
      </w:r>
      <w:r w:rsidR="006360E7" w:rsidRPr="00E87495">
        <w:rPr>
          <w:rFonts w:asciiTheme="majorHAnsi" w:hAnsiTheme="majorHAnsi" w:cstheme="majorHAnsi"/>
          <w:sz w:val="22"/>
          <w:szCs w:val="22"/>
        </w:rPr>
        <w:t>c</w:t>
      </w:r>
      <w:r w:rsidRPr="00E87495">
        <w:rPr>
          <w:rFonts w:asciiTheme="majorHAnsi" w:hAnsiTheme="majorHAnsi" w:cstheme="majorHAnsi"/>
          <w:sz w:val="22"/>
          <w:szCs w:val="22"/>
        </w:rPr>
        <w:t xml:space="preserve">ác vụ án nếu có khả năng bị tuyên án tử hình thì bắt buộc phải có sự tham gia của </w:t>
      </w:r>
      <w:r w:rsidR="006360E7" w:rsidRPr="00E87495">
        <w:rPr>
          <w:rFonts w:asciiTheme="majorHAnsi" w:hAnsiTheme="majorHAnsi" w:cstheme="majorHAnsi"/>
          <w:sz w:val="22"/>
          <w:szCs w:val="22"/>
        </w:rPr>
        <w:t>đại diện người</w:t>
      </w:r>
      <w:r w:rsidRPr="00E87495">
        <w:rPr>
          <w:rFonts w:asciiTheme="majorHAnsi" w:hAnsiTheme="majorHAnsi" w:cstheme="majorHAnsi"/>
          <w:sz w:val="22"/>
          <w:szCs w:val="22"/>
        </w:rPr>
        <w:t xml:space="preserve"> dân; ý kiến đa số của </w:t>
      </w:r>
      <w:r w:rsidR="006360E7" w:rsidRPr="00E87495">
        <w:rPr>
          <w:rFonts w:asciiTheme="majorHAnsi" w:hAnsiTheme="majorHAnsi" w:cstheme="majorHAnsi"/>
          <w:sz w:val="22"/>
          <w:szCs w:val="22"/>
        </w:rPr>
        <w:t>TPV</w:t>
      </w:r>
      <w:r w:rsidRPr="00E87495">
        <w:rPr>
          <w:rFonts w:asciiTheme="majorHAnsi" w:hAnsiTheme="majorHAnsi" w:cstheme="majorHAnsi"/>
          <w:sz w:val="22"/>
          <w:szCs w:val="22"/>
        </w:rPr>
        <w:t xml:space="preserve"> không thể tạo thành cơ sở cho việc kết án mà phải được ít nhất một </w:t>
      </w:r>
      <w:r w:rsidR="00501DC7" w:rsidRPr="00E87495">
        <w:rPr>
          <w:rFonts w:asciiTheme="majorHAnsi" w:hAnsiTheme="majorHAnsi" w:cstheme="majorHAnsi"/>
          <w:sz w:val="22"/>
          <w:szCs w:val="22"/>
        </w:rPr>
        <w:t>thẩm phán</w:t>
      </w:r>
      <w:r w:rsidRPr="00E87495">
        <w:rPr>
          <w:rFonts w:asciiTheme="majorHAnsi" w:hAnsiTheme="majorHAnsi" w:cstheme="majorHAnsi"/>
          <w:sz w:val="22"/>
          <w:szCs w:val="22"/>
        </w:rPr>
        <w:t xml:space="preserve"> ủng hộ; </w:t>
      </w:r>
      <w:r w:rsidR="0048040B" w:rsidRPr="00E87495">
        <w:rPr>
          <w:rFonts w:asciiTheme="majorHAnsi" w:hAnsiTheme="majorHAnsi" w:cstheme="majorHAnsi"/>
          <w:sz w:val="22"/>
          <w:szCs w:val="22"/>
        </w:rPr>
        <w:t>sức khỏe tinh thần của TPV cũng được quan tâm; các đối tượng đặc biệt trong vụ án hình sự cũng cần được cân nhắc khi bố trí TPV tham gia vào hội đồng xét xử</w:t>
      </w:r>
      <w:r w:rsidR="002617BD" w:rsidRPr="00E87495">
        <w:rPr>
          <w:rFonts w:asciiTheme="majorHAnsi" w:hAnsiTheme="majorHAnsi" w:cstheme="majorHAnsi"/>
          <w:sz w:val="22"/>
          <w:szCs w:val="22"/>
          <w:lang w:val="vi-VN"/>
        </w:rPr>
        <w:t>.</w:t>
      </w:r>
    </w:p>
    <w:p w14:paraId="05C14DB5" w14:textId="1DF65764" w:rsidR="00151D80" w:rsidRPr="00E87495" w:rsidRDefault="003C6A7F" w:rsidP="002617BD">
      <w:pPr>
        <w:spacing w:before="120" w:after="120" w:line="240" w:lineRule="auto"/>
        <w:rPr>
          <w:rFonts w:asciiTheme="majorHAnsi" w:hAnsiTheme="majorHAnsi" w:cstheme="majorHAnsi"/>
          <w:b/>
          <w:bCs/>
          <w:sz w:val="22"/>
          <w:szCs w:val="22"/>
        </w:rPr>
      </w:pPr>
      <w:r w:rsidRPr="00E87495">
        <w:rPr>
          <w:rFonts w:asciiTheme="majorHAnsi" w:hAnsiTheme="majorHAnsi" w:cstheme="majorHAnsi"/>
          <w:b/>
          <w:bCs/>
          <w:sz w:val="22"/>
          <w:szCs w:val="22"/>
        </w:rPr>
        <w:t>Tài liệu tham khảo</w:t>
      </w:r>
    </w:p>
    <w:p w14:paraId="71F7600A" w14:textId="44316034" w:rsidR="002E4A30" w:rsidRPr="00E87495" w:rsidRDefault="002E4A30" w:rsidP="00FE23D4">
      <w:pPr>
        <w:pStyle w:val="ListParagraph"/>
        <w:widowControl/>
        <w:numPr>
          <w:ilvl w:val="0"/>
          <w:numId w:val="2"/>
        </w:numPr>
        <w:spacing w:before="120" w:after="120" w:line="240" w:lineRule="auto"/>
        <w:ind w:leftChars="0"/>
        <w:rPr>
          <w:rFonts w:asciiTheme="majorHAnsi" w:hAnsiTheme="majorHAnsi" w:cstheme="majorHAnsi"/>
          <w:sz w:val="22"/>
          <w:szCs w:val="22"/>
        </w:rPr>
      </w:pPr>
      <w:r w:rsidRPr="00E87495">
        <w:rPr>
          <w:rFonts w:asciiTheme="majorHAnsi" w:hAnsiTheme="majorHAnsi" w:cstheme="majorHAnsi"/>
          <w:sz w:val="22"/>
          <w:szCs w:val="22"/>
          <w:highlight w:val="white"/>
        </w:rPr>
        <w:t>竹嶋千穂</w:t>
      </w:r>
      <w:r w:rsidRPr="00E87495">
        <w:rPr>
          <w:rFonts w:asciiTheme="majorHAnsi" w:hAnsiTheme="majorHAnsi" w:cstheme="majorHAnsi"/>
          <w:sz w:val="22"/>
          <w:szCs w:val="22"/>
          <w:highlight w:val="white"/>
        </w:rPr>
        <w:t xml:space="preserve">. </w:t>
      </w:r>
      <w:r w:rsidRPr="00E87495">
        <w:rPr>
          <w:rFonts w:asciiTheme="majorHAnsi" w:hAnsiTheme="majorHAnsi" w:cstheme="majorHAnsi"/>
          <w:sz w:val="22"/>
          <w:szCs w:val="22"/>
          <w:highlight w:val="white"/>
        </w:rPr>
        <w:t>裁判員制度についての再考</w:t>
      </w:r>
      <w:r w:rsidRPr="00E87495">
        <w:rPr>
          <w:rFonts w:asciiTheme="majorHAnsi" w:hAnsiTheme="majorHAnsi" w:cstheme="majorHAnsi"/>
          <w:sz w:val="22"/>
          <w:szCs w:val="22"/>
          <w:highlight w:val="white"/>
        </w:rPr>
        <w:t>-</w:t>
      </w:r>
      <w:r w:rsidRPr="00E87495">
        <w:rPr>
          <w:rFonts w:asciiTheme="majorHAnsi" w:hAnsiTheme="majorHAnsi" w:cstheme="majorHAnsi"/>
          <w:sz w:val="22"/>
          <w:szCs w:val="22"/>
          <w:highlight w:val="white"/>
        </w:rPr>
        <w:t>良心の自由からの提言</w:t>
      </w:r>
      <w:r w:rsidRPr="00E87495">
        <w:rPr>
          <w:rFonts w:asciiTheme="majorHAnsi" w:hAnsiTheme="majorHAnsi" w:cstheme="majorHAnsi"/>
          <w:sz w:val="22"/>
          <w:szCs w:val="22"/>
          <w:highlight w:val="white"/>
        </w:rPr>
        <w:t xml:space="preserve">, </w:t>
      </w:r>
      <w:r w:rsidRPr="00E87495">
        <w:rPr>
          <w:rFonts w:asciiTheme="majorHAnsi" w:hAnsiTheme="majorHAnsi" w:cstheme="majorHAnsi"/>
          <w:i/>
          <w:sz w:val="22"/>
          <w:szCs w:val="22"/>
        </w:rPr>
        <w:t>社学研論集</w:t>
      </w:r>
      <w:r w:rsidRPr="00E87495">
        <w:rPr>
          <w:rFonts w:asciiTheme="majorHAnsi" w:hAnsiTheme="majorHAnsi" w:cstheme="majorHAnsi"/>
          <w:i/>
          <w:sz w:val="22"/>
          <w:szCs w:val="22"/>
        </w:rPr>
        <w:t>,</w:t>
      </w:r>
      <w:r w:rsidRPr="00E87495">
        <w:rPr>
          <w:rFonts w:asciiTheme="majorHAnsi" w:hAnsiTheme="majorHAnsi" w:cstheme="majorHAnsi"/>
          <w:sz w:val="22"/>
          <w:szCs w:val="22"/>
        </w:rPr>
        <w:t xml:space="preserve"> </w:t>
      </w:r>
      <w:r w:rsidRPr="00E87495">
        <w:rPr>
          <w:rFonts w:asciiTheme="majorHAnsi" w:hAnsiTheme="majorHAnsi" w:cstheme="majorHAnsi"/>
          <w:b/>
          <w:bCs/>
          <w:sz w:val="22"/>
          <w:szCs w:val="22"/>
          <w:highlight w:val="white"/>
        </w:rPr>
        <w:t>2017</w:t>
      </w:r>
      <w:r w:rsidRPr="00E87495">
        <w:rPr>
          <w:rFonts w:asciiTheme="majorHAnsi" w:hAnsiTheme="majorHAnsi" w:cstheme="majorHAnsi"/>
          <w:sz w:val="22"/>
          <w:szCs w:val="22"/>
        </w:rPr>
        <w:t xml:space="preserve">, </w:t>
      </w:r>
      <w:r w:rsidRPr="00E87495">
        <w:rPr>
          <w:rFonts w:asciiTheme="majorHAnsi" w:hAnsiTheme="majorHAnsi" w:cstheme="majorHAnsi"/>
          <w:i/>
          <w:sz w:val="22"/>
          <w:szCs w:val="22"/>
        </w:rPr>
        <w:t>29</w:t>
      </w:r>
      <w:r w:rsidRPr="00E87495">
        <w:rPr>
          <w:rFonts w:asciiTheme="majorHAnsi" w:hAnsiTheme="majorHAnsi" w:cstheme="majorHAnsi"/>
          <w:sz w:val="22"/>
          <w:szCs w:val="22"/>
        </w:rPr>
        <w:t xml:space="preserve">, 56-71. (Chiho Takeshima. Suy nghĩ lại về </w:t>
      </w:r>
      <w:r w:rsidR="00075C75" w:rsidRPr="00E87495">
        <w:rPr>
          <w:rFonts w:asciiTheme="majorHAnsi" w:hAnsiTheme="majorHAnsi" w:cstheme="majorHAnsi"/>
          <w:sz w:val="22"/>
          <w:szCs w:val="22"/>
        </w:rPr>
        <w:t>chế độ tài phán viên</w:t>
      </w:r>
      <w:r w:rsidRPr="00E87495">
        <w:rPr>
          <w:rFonts w:asciiTheme="majorHAnsi" w:hAnsiTheme="majorHAnsi" w:cstheme="majorHAnsi"/>
          <w:sz w:val="22"/>
          <w:szCs w:val="22"/>
        </w:rPr>
        <w:t xml:space="preserve"> - Những đề xuất từ ​​quyền tự do lương tâm, </w:t>
      </w:r>
      <w:r w:rsidRPr="00E87495">
        <w:rPr>
          <w:rFonts w:asciiTheme="majorHAnsi" w:hAnsiTheme="majorHAnsi" w:cstheme="majorHAnsi"/>
          <w:i/>
          <w:sz w:val="22"/>
          <w:szCs w:val="22"/>
        </w:rPr>
        <w:t>Tuyển tập Nghiên cứu xã hội</w:t>
      </w:r>
      <w:r w:rsidRPr="00E87495">
        <w:rPr>
          <w:rFonts w:asciiTheme="majorHAnsi" w:hAnsiTheme="majorHAnsi" w:cstheme="majorHAnsi"/>
          <w:sz w:val="22"/>
          <w:szCs w:val="22"/>
        </w:rPr>
        <w:t>).</w:t>
      </w:r>
    </w:p>
    <w:p w14:paraId="08CB5C84" w14:textId="1CCF8058" w:rsidR="002E4A30" w:rsidRPr="00E87495" w:rsidRDefault="002E4A30" w:rsidP="00FE23D4">
      <w:pPr>
        <w:pStyle w:val="ListParagraph"/>
        <w:widowControl/>
        <w:numPr>
          <w:ilvl w:val="0"/>
          <w:numId w:val="2"/>
        </w:numPr>
        <w:spacing w:before="120" w:after="120" w:line="240" w:lineRule="auto"/>
        <w:ind w:leftChars="0"/>
        <w:rPr>
          <w:rFonts w:asciiTheme="majorHAnsi" w:hAnsiTheme="majorHAnsi" w:cstheme="majorHAnsi"/>
          <w:sz w:val="22"/>
          <w:szCs w:val="22"/>
          <w:highlight w:val="white"/>
        </w:rPr>
      </w:pPr>
      <w:r w:rsidRPr="00E87495">
        <w:rPr>
          <w:rFonts w:asciiTheme="majorHAnsi" w:hAnsiTheme="majorHAnsi" w:cstheme="majorHAnsi"/>
          <w:sz w:val="22"/>
          <w:szCs w:val="22"/>
          <w:highlight w:val="white"/>
        </w:rPr>
        <w:t>矢次眞</w:t>
      </w:r>
      <w:r w:rsidRPr="00E87495">
        <w:rPr>
          <w:rFonts w:asciiTheme="majorHAnsi" w:hAnsiTheme="majorHAnsi" w:cstheme="majorHAnsi"/>
          <w:sz w:val="22"/>
          <w:szCs w:val="22"/>
          <w:highlight w:val="white"/>
        </w:rPr>
        <w:t xml:space="preserve"> &amp; </w:t>
      </w:r>
      <w:r w:rsidRPr="00E87495">
        <w:rPr>
          <w:rFonts w:asciiTheme="majorHAnsi" w:hAnsiTheme="majorHAnsi" w:cstheme="majorHAnsi"/>
          <w:sz w:val="22"/>
          <w:szCs w:val="22"/>
          <w:highlight w:val="white"/>
        </w:rPr>
        <w:t>ヤツギマコト</w:t>
      </w:r>
      <w:r w:rsidRPr="00E87495">
        <w:rPr>
          <w:rFonts w:asciiTheme="majorHAnsi" w:hAnsiTheme="majorHAnsi" w:cstheme="majorHAnsi"/>
          <w:sz w:val="22"/>
          <w:szCs w:val="22"/>
          <w:highlight w:val="white"/>
        </w:rPr>
        <w:t xml:space="preserve">. </w:t>
      </w:r>
      <w:r w:rsidRPr="00E87495">
        <w:rPr>
          <w:rFonts w:asciiTheme="majorHAnsi" w:hAnsiTheme="majorHAnsi" w:cstheme="majorHAnsi"/>
          <w:sz w:val="22"/>
          <w:szCs w:val="22"/>
          <w:highlight w:val="white"/>
        </w:rPr>
        <w:t>裁判員法における国民とは何か</w:t>
      </w:r>
      <w:r w:rsidRPr="00E87495">
        <w:rPr>
          <w:rFonts w:asciiTheme="majorHAnsi" w:hAnsiTheme="majorHAnsi" w:cstheme="majorHAnsi"/>
          <w:sz w:val="22"/>
          <w:szCs w:val="22"/>
          <w:highlight w:val="white"/>
        </w:rPr>
        <w:t xml:space="preserve">, </w:t>
      </w:r>
      <w:r w:rsidRPr="00E87495">
        <w:rPr>
          <w:rFonts w:asciiTheme="majorHAnsi" w:hAnsiTheme="majorHAnsi" w:cstheme="majorHAnsi"/>
          <w:i/>
          <w:sz w:val="22"/>
          <w:szCs w:val="22"/>
          <w:highlight w:val="white"/>
        </w:rPr>
        <w:t>中央学院大学法学論叢</w:t>
      </w:r>
      <w:r w:rsidRPr="00E87495">
        <w:rPr>
          <w:rFonts w:asciiTheme="majorHAnsi" w:hAnsiTheme="majorHAnsi" w:cstheme="majorHAnsi"/>
          <w:sz w:val="22"/>
          <w:szCs w:val="22"/>
          <w:highlight w:val="white"/>
        </w:rPr>
        <w:t>,</w:t>
      </w:r>
      <w:r w:rsidRPr="00E87495">
        <w:rPr>
          <w:rFonts w:asciiTheme="majorHAnsi" w:hAnsiTheme="majorHAnsi" w:cstheme="majorHAnsi"/>
          <w:b/>
          <w:bCs/>
          <w:sz w:val="22"/>
          <w:szCs w:val="22"/>
          <w:highlight w:val="white"/>
        </w:rPr>
        <w:t xml:space="preserve"> 2011</w:t>
      </w:r>
      <w:r w:rsidRPr="00E87495">
        <w:rPr>
          <w:rFonts w:asciiTheme="majorHAnsi" w:hAnsiTheme="majorHAnsi" w:cstheme="majorHAnsi"/>
          <w:sz w:val="22"/>
          <w:szCs w:val="22"/>
          <w:highlight w:val="white"/>
        </w:rPr>
        <w:t xml:space="preserve">, </w:t>
      </w:r>
      <w:r w:rsidRPr="00E87495">
        <w:rPr>
          <w:rFonts w:asciiTheme="majorHAnsi" w:hAnsiTheme="majorHAnsi" w:cstheme="majorHAnsi"/>
          <w:i/>
          <w:sz w:val="22"/>
          <w:szCs w:val="22"/>
          <w:highlight w:val="white"/>
        </w:rPr>
        <w:t>24</w:t>
      </w:r>
      <w:r w:rsidRPr="00E87495">
        <w:rPr>
          <w:rFonts w:asciiTheme="majorHAnsi" w:hAnsiTheme="majorHAnsi" w:cstheme="majorHAnsi"/>
          <w:sz w:val="22"/>
          <w:szCs w:val="22"/>
          <w:highlight w:val="white"/>
        </w:rPr>
        <w:t xml:space="preserve">(1/2), 61-92. (Makoto Yatsugi. Công dân theo Luật Tài phán viên là </w:t>
      </w:r>
      <w:proofErr w:type="gramStart"/>
      <w:r w:rsidRPr="00E87495">
        <w:rPr>
          <w:rFonts w:asciiTheme="majorHAnsi" w:hAnsiTheme="majorHAnsi" w:cstheme="majorHAnsi"/>
          <w:sz w:val="22"/>
          <w:szCs w:val="22"/>
          <w:highlight w:val="white"/>
        </w:rPr>
        <w:t>gì?,</w:t>
      </w:r>
      <w:proofErr w:type="gramEnd"/>
      <w:r w:rsidRPr="00E87495">
        <w:rPr>
          <w:rFonts w:asciiTheme="majorHAnsi" w:hAnsiTheme="majorHAnsi" w:cstheme="majorHAnsi"/>
          <w:sz w:val="22"/>
          <w:szCs w:val="22"/>
          <w:highlight w:val="white"/>
        </w:rPr>
        <w:t xml:space="preserve"> </w:t>
      </w:r>
      <w:r w:rsidR="00830EEF" w:rsidRPr="00E87495">
        <w:rPr>
          <w:rFonts w:asciiTheme="majorHAnsi" w:hAnsiTheme="majorHAnsi" w:cstheme="majorHAnsi"/>
          <w:i/>
          <w:sz w:val="22"/>
          <w:szCs w:val="22"/>
          <w:highlight w:val="white"/>
        </w:rPr>
        <w:t xml:space="preserve">Tuyển tập </w:t>
      </w:r>
      <w:r w:rsidRPr="00E87495">
        <w:rPr>
          <w:rFonts w:asciiTheme="majorHAnsi" w:hAnsiTheme="majorHAnsi" w:cstheme="majorHAnsi"/>
          <w:i/>
          <w:sz w:val="22"/>
          <w:szCs w:val="22"/>
          <w:highlight w:val="white"/>
        </w:rPr>
        <w:t>Luật học trường đại học Chuuou Gakuin</w:t>
      </w:r>
      <w:r w:rsidRPr="00E87495">
        <w:rPr>
          <w:rFonts w:asciiTheme="majorHAnsi" w:hAnsiTheme="majorHAnsi" w:cstheme="majorHAnsi"/>
          <w:sz w:val="22"/>
          <w:szCs w:val="22"/>
          <w:highlight w:val="white"/>
        </w:rPr>
        <w:t xml:space="preserve">). </w:t>
      </w:r>
    </w:p>
    <w:p w14:paraId="41F93526" w14:textId="0F576D20" w:rsidR="00151D80" w:rsidRPr="00E87495" w:rsidRDefault="003C6A7F" w:rsidP="00FE23D4">
      <w:pPr>
        <w:pStyle w:val="ListParagraph"/>
        <w:widowControl/>
        <w:numPr>
          <w:ilvl w:val="0"/>
          <w:numId w:val="2"/>
        </w:numPr>
        <w:spacing w:before="120" w:after="120" w:line="240" w:lineRule="auto"/>
        <w:ind w:leftChars="0"/>
        <w:rPr>
          <w:rFonts w:asciiTheme="majorHAnsi" w:hAnsiTheme="majorHAnsi" w:cstheme="majorHAnsi"/>
          <w:iCs/>
          <w:sz w:val="22"/>
          <w:szCs w:val="22"/>
        </w:rPr>
      </w:pPr>
      <w:r w:rsidRPr="00E87495">
        <w:rPr>
          <w:rFonts w:asciiTheme="majorHAnsi" w:hAnsiTheme="majorHAnsi" w:cstheme="majorHAnsi"/>
          <w:sz w:val="22"/>
          <w:szCs w:val="22"/>
        </w:rPr>
        <w:t xml:space="preserve">Nguyễn Hoàng Nam. </w:t>
      </w:r>
      <w:r w:rsidRPr="00E87495">
        <w:rPr>
          <w:rFonts w:asciiTheme="majorHAnsi" w:hAnsiTheme="majorHAnsi" w:cstheme="majorHAnsi"/>
          <w:iCs/>
          <w:sz w:val="22"/>
          <w:szCs w:val="22"/>
        </w:rPr>
        <w:t>Chế định bồi thẩm đoàn và động lực phát triển tại Việt Nam</w:t>
      </w:r>
      <w:r w:rsidR="00426EB9" w:rsidRPr="00E87495">
        <w:rPr>
          <w:rFonts w:asciiTheme="majorHAnsi" w:hAnsiTheme="majorHAnsi" w:cstheme="majorHAnsi"/>
          <w:iCs/>
          <w:sz w:val="22"/>
          <w:szCs w:val="22"/>
        </w:rPr>
        <w:t>,</w:t>
      </w:r>
      <w:r w:rsidRPr="00E87495">
        <w:rPr>
          <w:rFonts w:asciiTheme="majorHAnsi" w:hAnsiTheme="majorHAnsi" w:cstheme="majorHAnsi"/>
          <w:iCs/>
          <w:sz w:val="22"/>
          <w:szCs w:val="22"/>
        </w:rPr>
        <w:t xml:space="preserve"> </w:t>
      </w:r>
      <w:r w:rsidRPr="00E87495">
        <w:rPr>
          <w:rFonts w:asciiTheme="majorHAnsi" w:hAnsiTheme="majorHAnsi" w:cstheme="majorHAnsi"/>
          <w:i/>
          <w:sz w:val="22"/>
          <w:szCs w:val="22"/>
        </w:rPr>
        <w:t>Trung tâm Pháp luật Hoa Kỳ</w:t>
      </w:r>
      <w:r w:rsidR="0043662D" w:rsidRPr="00E87495">
        <w:rPr>
          <w:rFonts w:asciiTheme="majorHAnsi" w:hAnsiTheme="majorHAnsi" w:cstheme="majorHAnsi"/>
          <w:i/>
          <w:sz w:val="22"/>
          <w:szCs w:val="22"/>
        </w:rPr>
        <w:t>,</w:t>
      </w:r>
      <w:r w:rsidR="0043662D" w:rsidRPr="00E87495">
        <w:rPr>
          <w:rFonts w:asciiTheme="majorHAnsi" w:hAnsiTheme="majorHAnsi" w:cstheme="majorHAnsi"/>
          <w:iCs/>
          <w:sz w:val="22"/>
          <w:szCs w:val="22"/>
        </w:rPr>
        <w:t xml:space="preserve"> </w:t>
      </w:r>
      <w:r w:rsidR="0043662D" w:rsidRPr="00E87495">
        <w:rPr>
          <w:rFonts w:asciiTheme="majorHAnsi" w:hAnsiTheme="majorHAnsi" w:cstheme="majorHAnsi"/>
          <w:b/>
          <w:bCs/>
          <w:iCs/>
          <w:sz w:val="22"/>
          <w:szCs w:val="22"/>
        </w:rPr>
        <w:t>2024</w:t>
      </w:r>
      <w:r w:rsidR="00007122" w:rsidRPr="00E87495">
        <w:rPr>
          <w:rFonts w:asciiTheme="majorHAnsi" w:hAnsiTheme="majorHAnsi" w:cstheme="majorHAnsi"/>
          <w:iCs/>
          <w:sz w:val="22"/>
          <w:szCs w:val="22"/>
        </w:rPr>
        <w:t>, 02</w:t>
      </w:r>
      <w:r w:rsidR="006D6373" w:rsidRPr="00E87495">
        <w:rPr>
          <w:rFonts w:asciiTheme="majorHAnsi" w:hAnsiTheme="majorHAnsi" w:cstheme="majorHAnsi"/>
          <w:iCs/>
          <w:sz w:val="22"/>
          <w:szCs w:val="22"/>
        </w:rPr>
        <w:t>, 1-6</w:t>
      </w:r>
      <w:r w:rsidR="009D41E8" w:rsidRPr="00E87495">
        <w:rPr>
          <w:rFonts w:asciiTheme="majorHAnsi" w:hAnsiTheme="majorHAnsi" w:cstheme="majorHAnsi"/>
          <w:iCs/>
          <w:sz w:val="22"/>
          <w:szCs w:val="22"/>
        </w:rPr>
        <w:t>.</w:t>
      </w:r>
    </w:p>
    <w:p w14:paraId="1078DD05" w14:textId="7FE41BC4" w:rsidR="00151D80" w:rsidRPr="00E87495" w:rsidRDefault="003C6A7F" w:rsidP="00FE23D4">
      <w:pPr>
        <w:pStyle w:val="ListParagraph"/>
        <w:widowControl/>
        <w:numPr>
          <w:ilvl w:val="0"/>
          <w:numId w:val="2"/>
        </w:numPr>
        <w:spacing w:before="120" w:after="120" w:line="240" w:lineRule="auto"/>
        <w:ind w:leftChars="0"/>
        <w:rPr>
          <w:rFonts w:asciiTheme="majorHAnsi" w:hAnsiTheme="majorHAnsi" w:cstheme="majorHAnsi"/>
          <w:sz w:val="22"/>
          <w:szCs w:val="22"/>
        </w:rPr>
      </w:pPr>
      <w:r w:rsidRPr="00E87495">
        <w:rPr>
          <w:rFonts w:asciiTheme="majorHAnsi" w:hAnsiTheme="majorHAnsi" w:cstheme="majorHAnsi"/>
          <w:sz w:val="22"/>
          <w:szCs w:val="22"/>
        </w:rPr>
        <w:t>Phan Tuấn Ly. Tổ chức bộ máy tam quyền phân lập ở Nhật Bản và một vài giá trị về dân chủ</w:t>
      </w:r>
      <w:r w:rsidR="00780791" w:rsidRPr="00E87495">
        <w:rPr>
          <w:rFonts w:asciiTheme="majorHAnsi" w:hAnsiTheme="majorHAnsi" w:cstheme="majorHAnsi"/>
          <w:sz w:val="22"/>
          <w:szCs w:val="22"/>
        </w:rPr>
        <w:t>,</w:t>
      </w:r>
      <w:r w:rsidRPr="00E87495">
        <w:rPr>
          <w:rFonts w:asciiTheme="majorHAnsi" w:hAnsiTheme="majorHAnsi" w:cstheme="majorHAnsi"/>
          <w:sz w:val="22"/>
          <w:szCs w:val="22"/>
        </w:rPr>
        <w:t xml:space="preserve"> </w:t>
      </w:r>
      <w:r w:rsidRPr="00E87495">
        <w:rPr>
          <w:rFonts w:asciiTheme="majorHAnsi" w:hAnsiTheme="majorHAnsi" w:cstheme="majorHAnsi"/>
          <w:i/>
          <w:sz w:val="22"/>
          <w:szCs w:val="22"/>
        </w:rPr>
        <w:t>Tạp chí Công Thương</w:t>
      </w:r>
      <w:r w:rsidRPr="00E87495">
        <w:rPr>
          <w:rFonts w:asciiTheme="majorHAnsi" w:hAnsiTheme="majorHAnsi" w:cstheme="majorHAnsi"/>
          <w:sz w:val="22"/>
          <w:szCs w:val="22"/>
        </w:rPr>
        <w:t xml:space="preserve">, </w:t>
      </w:r>
      <w:r w:rsidR="0045390D" w:rsidRPr="00E87495">
        <w:rPr>
          <w:rFonts w:asciiTheme="majorHAnsi" w:hAnsiTheme="majorHAnsi" w:cstheme="majorHAnsi"/>
          <w:b/>
          <w:bCs/>
          <w:sz w:val="22"/>
          <w:szCs w:val="22"/>
        </w:rPr>
        <w:t>2020</w:t>
      </w:r>
      <w:r w:rsidR="0045390D" w:rsidRPr="00E87495">
        <w:rPr>
          <w:rFonts w:asciiTheme="majorHAnsi" w:hAnsiTheme="majorHAnsi" w:cstheme="majorHAnsi"/>
          <w:sz w:val="22"/>
          <w:szCs w:val="22"/>
        </w:rPr>
        <w:t xml:space="preserve">, </w:t>
      </w:r>
      <w:r w:rsidRPr="00E87495">
        <w:rPr>
          <w:rFonts w:asciiTheme="majorHAnsi" w:hAnsiTheme="majorHAnsi" w:cstheme="majorHAnsi"/>
          <w:sz w:val="22"/>
          <w:szCs w:val="22"/>
        </w:rPr>
        <w:t xml:space="preserve">14, 8-14. </w:t>
      </w:r>
    </w:p>
    <w:p w14:paraId="5E1F977B" w14:textId="77777777" w:rsidR="00FE23D4" w:rsidRPr="00E87495" w:rsidRDefault="00FE23D4" w:rsidP="00FE23D4">
      <w:pPr>
        <w:pStyle w:val="ListParagraph"/>
        <w:widowControl/>
        <w:numPr>
          <w:ilvl w:val="0"/>
          <w:numId w:val="2"/>
        </w:numPr>
        <w:spacing w:before="120" w:after="120" w:line="240" w:lineRule="auto"/>
        <w:ind w:leftChars="0"/>
        <w:rPr>
          <w:rFonts w:asciiTheme="majorHAnsi" w:hAnsiTheme="majorHAnsi" w:cstheme="majorHAnsi"/>
          <w:sz w:val="22"/>
          <w:szCs w:val="22"/>
          <w:highlight w:val="white"/>
        </w:rPr>
      </w:pPr>
      <w:r w:rsidRPr="00E87495">
        <w:rPr>
          <w:rFonts w:asciiTheme="majorHAnsi" w:hAnsiTheme="majorHAnsi" w:cstheme="majorHAnsi"/>
          <w:sz w:val="22"/>
          <w:szCs w:val="22"/>
          <w:highlight w:val="white"/>
        </w:rPr>
        <w:t>高山俊吉</w:t>
      </w:r>
      <w:r w:rsidRPr="00E87495">
        <w:rPr>
          <w:rFonts w:asciiTheme="majorHAnsi" w:hAnsiTheme="majorHAnsi" w:cstheme="majorHAnsi"/>
          <w:sz w:val="22"/>
          <w:szCs w:val="22"/>
          <w:highlight w:val="white"/>
        </w:rPr>
        <w:t xml:space="preserve">. </w:t>
      </w:r>
      <w:r w:rsidRPr="00E87495">
        <w:rPr>
          <w:rFonts w:asciiTheme="majorHAnsi" w:hAnsiTheme="majorHAnsi" w:cstheme="majorHAnsi"/>
          <w:sz w:val="22"/>
          <w:szCs w:val="22"/>
          <w:highlight w:val="white"/>
        </w:rPr>
        <w:t>裁判員制度の現在と制度廃止論</w:t>
      </w:r>
      <w:r w:rsidRPr="00E87495">
        <w:rPr>
          <w:rFonts w:asciiTheme="majorHAnsi" w:hAnsiTheme="majorHAnsi" w:cstheme="majorHAnsi"/>
          <w:sz w:val="22"/>
          <w:szCs w:val="22"/>
          <w:highlight w:val="white"/>
        </w:rPr>
        <w:t xml:space="preserve">, </w:t>
      </w:r>
      <w:r w:rsidRPr="00E87495">
        <w:rPr>
          <w:rFonts w:asciiTheme="majorHAnsi" w:hAnsiTheme="majorHAnsi" w:cstheme="majorHAnsi"/>
          <w:i/>
          <w:sz w:val="22"/>
          <w:szCs w:val="22"/>
          <w:highlight w:val="white"/>
        </w:rPr>
        <w:t>法政理論</w:t>
      </w:r>
      <w:r w:rsidRPr="00E87495">
        <w:rPr>
          <w:rFonts w:asciiTheme="majorHAnsi" w:hAnsiTheme="majorHAnsi" w:cstheme="majorHAnsi"/>
          <w:i/>
          <w:sz w:val="22"/>
          <w:szCs w:val="22"/>
          <w:highlight w:val="white"/>
        </w:rPr>
        <w:t xml:space="preserve">, </w:t>
      </w:r>
      <w:r w:rsidRPr="00E87495">
        <w:rPr>
          <w:rFonts w:asciiTheme="majorHAnsi" w:hAnsiTheme="majorHAnsi" w:cstheme="majorHAnsi"/>
          <w:b/>
          <w:bCs/>
          <w:sz w:val="22"/>
          <w:szCs w:val="22"/>
          <w:highlight w:val="white"/>
        </w:rPr>
        <w:t>2014</w:t>
      </w:r>
      <w:r w:rsidRPr="00E87495">
        <w:rPr>
          <w:rFonts w:asciiTheme="majorHAnsi" w:hAnsiTheme="majorHAnsi" w:cstheme="majorHAnsi"/>
          <w:sz w:val="22"/>
          <w:szCs w:val="22"/>
          <w:highlight w:val="white"/>
        </w:rPr>
        <w:t xml:space="preserve">, </w:t>
      </w:r>
      <w:r w:rsidRPr="00E87495">
        <w:rPr>
          <w:rFonts w:asciiTheme="majorHAnsi" w:hAnsiTheme="majorHAnsi" w:cstheme="majorHAnsi"/>
          <w:i/>
          <w:sz w:val="22"/>
          <w:szCs w:val="22"/>
          <w:highlight w:val="white"/>
        </w:rPr>
        <w:t>46</w:t>
      </w:r>
      <w:r w:rsidRPr="00E87495">
        <w:rPr>
          <w:rFonts w:asciiTheme="majorHAnsi" w:hAnsiTheme="majorHAnsi" w:cstheme="majorHAnsi"/>
          <w:sz w:val="22"/>
          <w:szCs w:val="22"/>
          <w:highlight w:val="white"/>
        </w:rPr>
        <w:t>(3), 176-187. (</w:t>
      </w:r>
      <w:r w:rsidRPr="00E87495">
        <w:rPr>
          <w:rFonts w:asciiTheme="majorHAnsi" w:hAnsiTheme="majorHAnsi" w:cstheme="majorHAnsi"/>
          <w:sz w:val="22"/>
          <w:szCs w:val="22"/>
        </w:rPr>
        <w:t>Shunkichi Takayama. Thực trạng chế độ tài phán viên và lý thuyết bãi bỏ chế độ,</w:t>
      </w:r>
      <w:r w:rsidRPr="00E87495">
        <w:rPr>
          <w:rFonts w:asciiTheme="majorHAnsi" w:hAnsiTheme="majorHAnsi" w:cstheme="majorHAnsi"/>
          <w:i/>
          <w:sz w:val="22"/>
          <w:szCs w:val="22"/>
        </w:rPr>
        <w:t xml:space="preserve"> Tạp chí Lý luận pháp lý và chính trị</w:t>
      </w:r>
      <w:r w:rsidRPr="00E87495">
        <w:rPr>
          <w:rFonts w:asciiTheme="majorHAnsi" w:hAnsiTheme="majorHAnsi" w:cstheme="majorHAnsi"/>
          <w:sz w:val="22"/>
          <w:szCs w:val="22"/>
          <w:highlight w:val="white"/>
        </w:rPr>
        <w:t>).</w:t>
      </w:r>
    </w:p>
    <w:p w14:paraId="7261FF13" w14:textId="4AAD780C" w:rsidR="00823566" w:rsidRPr="00E87495" w:rsidRDefault="00823566" w:rsidP="00FE23D4">
      <w:pPr>
        <w:pStyle w:val="ListParagraph"/>
        <w:widowControl/>
        <w:numPr>
          <w:ilvl w:val="0"/>
          <w:numId w:val="2"/>
        </w:numPr>
        <w:spacing w:before="120" w:after="120" w:line="240" w:lineRule="auto"/>
        <w:ind w:leftChars="0"/>
        <w:rPr>
          <w:rFonts w:asciiTheme="majorHAnsi" w:hAnsiTheme="majorHAnsi" w:cstheme="majorHAnsi"/>
          <w:sz w:val="22"/>
          <w:szCs w:val="22"/>
          <w:highlight w:val="white"/>
        </w:rPr>
      </w:pPr>
      <w:r w:rsidRPr="00E87495">
        <w:rPr>
          <w:rFonts w:asciiTheme="majorHAnsi" w:hAnsiTheme="majorHAnsi" w:cstheme="majorHAnsi"/>
          <w:sz w:val="22"/>
          <w:szCs w:val="22"/>
          <w:highlight w:val="white"/>
        </w:rPr>
        <w:t>竹下賢</w:t>
      </w:r>
      <w:r w:rsidRPr="00E87495">
        <w:rPr>
          <w:rFonts w:asciiTheme="majorHAnsi" w:hAnsiTheme="majorHAnsi" w:cstheme="majorHAnsi"/>
          <w:sz w:val="22"/>
          <w:szCs w:val="22"/>
          <w:highlight w:val="white"/>
        </w:rPr>
        <w:t xml:space="preserve">. </w:t>
      </w:r>
      <w:r w:rsidRPr="00E87495">
        <w:rPr>
          <w:rFonts w:asciiTheme="majorHAnsi" w:hAnsiTheme="majorHAnsi" w:cstheme="majorHAnsi"/>
          <w:sz w:val="22"/>
          <w:szCs w:val="22"/>
          <w:highlight w:val="white"/>
        </w:rPr>
        <w:t>日本の裁判員裁判制度と民主主義</w:t>
      </w:r>
      <w:r w:rsidR="00780791" w:rsidRPr="00E87495">
        <w:rPr>
          <w:rFonts w:asciiTheme="majorHAnsi" w:hAnsiTheme="majorHAnsi" w:cstheme="majorHAnsi"/>
          <w:sz w:val="22"/>
          <w:szCs w:val="22"/>
          <w:highlight w:val="white"/>
        </w:rPr>
        <w:t>,</w:t>
      </w:r>
      <w:r w:rsidRPr="00E87495">
        <w:rPr>
          <w:rFonts w:asciiTheme="majorHAnsi" w:hAnsiTheme="majorHAnsi" w:cstheme="majorHAnsi"/>
          <w:sz w:val="22"/>
          <w:szCs w:val="22"/>
          <w:highlight w:val="white"/>
        </w:rPr>
        <w:t xml:space="preserve"> </w:t>
      </w:r>
      <w:r w:rsidRPr="00E87495">
        <w:rPr>
          <w:rFonts w:asciiTheme="majorHAnsi" w:hAnsiTheme="majorHAnsi" w:cstheme="majorHAnsi"/>
          <w:i/>
          <w:sz w:val="22"/>
          <w:szCs w:val="22"/>
          <w:highlight w:val="white"/>
        </w:rPr>
        <w:t>關西大學法學論集</w:t>
      </w:r>
      <w:r w:rsidRPr="00E87495">
        <w:rPr>
          <w:rFonts w:asciiTheme="majorHAnsi" w:hAnsiTheme="majorHAnsi" w:cstheme="majorHAnsi"/>
          <w:sz w:val="22"/>
          <w:szCs w:val="22"/>
          <w:highlight w:val="white"/>
        </w:rPr>
        <w:t xml:space="preserve">, </w:t>
      </w:r>
      <w:r w:rsidR="0045390D" w:rsidRPr="00E87495">
        <w:rPr>
          <w:rFonts w:asciiTheme="majorHAnsi" w:hAnsiTheme="majorHAnsi" w:cstheme="majorHAnsi"/>
          <w:b/>
          <w:bCs/>
          <w:sz w:val="22"/>
          <w:szCs w:val="22"/>
          <w:highlight w:val="white"/>
        </w:rPr>
        <w:t>2013</w:t>
      </w:r>
      <w:r w:rsidR="0045390D" w:rsidRPr="00E87495">
        <w:rPr>
          <w:rFonts w:asciiTheme="majorHAnsi" w:hAnsiTheme="majorHAnsi" w:cstheme="majorHAnsi"/>
          <w:sz w:val="22"/>
          <w:szCs w:val="22"/>
          <w:highlight w:val="white"/>
        </w:rPr>
        <w:t xml:space="preserve">, </w:t>
      </w:r>
      <w:r w:rsidRPr="00E87495">
        <w:rPr>
          <w:rFonts w:asciiTheme="majorHAnsi" w:hAnsiTheme="majorHAnsi" w:cstheme="majorHAnsi"/>
          <w:i/>
          <w:sz w:val="22"/>
          <w:szCs w:val="22"/>
          <w:highlight w:val="white"/>
        </w:rPr>
        <w:t>62</w:t>
      </w:r>
      <w:r w:rsidRPr="00E87495">
        <w:rPr>
          <w:rFonts w:asciiTheme="majorHAnsi" w:hAnsiTheme="majorHAnsi" w:cstheme="majorHAnsi"/>
          <w:sz w:val="22"/>
          <w:szCs w:val="22"/>
          <w:highlight w:val="white"/>
        </w:rPr>
        <w:t>(4-5), 1687-1705. (</w:t>
      </w:r>
      <w:r w:rsidRPr="00E87495">
        <w:rPr>
          <w:rFonts w:asciiTheme="majorHAnsi" w:hAnsiTheme="majorHAnsi" w:cstheme="majorHAnsi"/>
          <w:sz w:val="22"/>
          <w:szCs w:val="22"/>
        </w:rPr>
        <w:t>Takeshita, Ken. Chế độ tài phán viên và nền dân chủ của Nhật Bản</w:t>
      </w:r>
      <w:r w:rsidR="00031A57" w:rsidRPr="00E87495">
        <w:rPr>
          <w:rFonts w:asciiTheme="majorHAnsi" w:hAnsiTheme="majorHAnsi" w:cstheme="majorHAnsi"/>
          <w:sz w:val="22"/>
          <w:szCs w:val="22"/>
        </w:rPr>
        <w:t>,</w:t>
      </w:r>
      <w:r w:rsidRPr="00E87495">
        <w:rPr>
          <w:rFonts w:asciiTheme="majorHAnsi" w:hAnsiTheme="majorHAnsi" w:cstheme="majorHAnsi"/>
          <w:sz w:val="22"/>
          <w:szCs w:val="22"/>
        </w:rPr>
        <w:t xml:space="preserve"> </w:t>
      </w:r>
      <w:r w:rsidRPr="00E87495">
        <w:rPr>
          <w:rFonts w:asciiTheme="majorHAnsi" w:hAnsiTheme="majorHAnsi" w:cstheme="majorHAnsi"/>
          <w:i/>
          <w:sz w:val="22"/>
          <w:szCs w:val="22"/>
        </w:rPr>
        <w:t>Tuyển tập Luật học Đại học Kansai</w:t>
      </w:r>
      <w:r w:rsidRPr="00E87495">
        <w:rPr>
          <w:rFonts w:asciiTheme="majorHAnsi" w:hAnsiTheme="majorHAnsi" w:cstheme="majorHAnsi"/>
          <w:sz w:val="22"/>
          <w:szCs w:val="22"/>
          <w:highlight w:val="white"/>
        </w:rPr>
        <w:t>).</w:t>
      </w:r>
    </w:p>
    <w:p w14:paraId="727C219B" w14:textId="4B48A9CD" w:rsidR="0068178A" w:rsidRPr="00E87495" w:rsidRDefault="000F372B" w:rsidP="00451AB4">
      <w:pPr>
        <w:pStyle w:val="ListParagraph"/>
        <w:widowControl/>
        <w:numPr>
          <w:ilvl w:val="0"/>
          <w:numId w:val="2"/>
        </w:numPr>
        <w:spacing w:before="120" w:after="120" w:line="240" w:lineRule="auto"/>
        <w:ind w:leftChars="0"/>
        <w:rPr>
          <w:rFonts w:asciiTheme="majorHAnsi" w:hAnsiTheme="majorHAnsi" w:cstheme="majorHAnsi"/>
          <w:sz w:val="22"/>
          <w:szCs w:val="22"/>
          <w:highlight w:val="white"/>
        </w:rPr>
      </w:pPr>
      <w:r w:rsidRPr="00E87495">
        <w:rPr>
          <w:rFonts w:asciiTheme="minorEastAsia" w:hAnsiTheme="minorEastAsia" w:cstheme="majorHAnsi" w:hint="eastAsia"/>
          <w:sz w:val="22"/>
          <w:szCs w:val="22"/>
          <w:highlight w:val="white"/>
        </w:rPr>
        <w:lastRenderedPageBreak/>
        <w:t>木幡洋子</w:t>
      </w:r>
      <w:r w:rsidRPr="00E87495">
        <w:rPr>
          <w:rFonts w:asciiTheme="minorEastAsia" w:hAnsiTheme="minorEastAsia" w:cstheme="majorHAnsi"/>
          <w:sz w:val="22"/>
          <w:szCs w:val="22"/>
          <w:highlight w:val="white"/>
        </w:rPr>
        <w:t xml:space="preserve">. </w:t>
      </w:r>
      <w:r w:rsidRPr="00E87495">
        <w:rPr>
          <w:rFonts w:asciiTheme="minorEastAsia" w:hAnsiTheme="minorEastAsia" w:cstheme="majorHAnsi" w:hint="eastAsia"/>
          <w:sz w:val="22"/>
          <w:szCs w:val="22"/>
          <w:highlight w:val="white"/>
        </w:rPr>
        <w:t>裁判員制度とその課題</w:t>
      </w:r>
      <w:r w:rsidRPr="00E87495">
        <w:rPr>
          <w:rFonts w:asciiTheme="minorEastAsia" w:hAnsiTheme="minorEastAsia" w:cstheme="majorHAnsi"/>
          <w:sz w:val="22"/>
          <w:szCs w:val="22"/>
          <w:highlight w:val="white"/>
        </w:rPr>
        <w:t xml:space="preserve">. </w:t>
      </w:r>
      <w:r w:rsidRPr="00E87495">
        <w:rPr>
          <w:rFonts w:asciiTheme="minorEastAsia" w:hAnsiTheme="minorEastAsia" w:cstheme="majorHAnsi" w:hint="eastAsia"/>
          <w:i/>
          <w:sz w:val="22"/>
          <w:szCs w:val="22"/>
          <w:highlight w:val="white"/>
        </w:rPr>
        <w:t>愛知県立大学文学部論集</w:t>
      </w:r>
      <w:r w:rsidR="007908C2" w:rsidRPr="00E87495">
        <w:rPr>
          <w:rFonts w:asciiTheme="minorEastAsia" w:hAnsiTheme="minorEastAsia" w:cstheme="majorHAnsi"/>
          <w:i/>
          <w:sz w:val="22"/>
          <w:szCs w:val="22"/>
          <w:highlight w:val="white"/>
          <w:lang w:val="en-GB"/>
        </w:rPr>
        <w:t>,</w:t>
      </w:r>
      <w:r w:rsidRPr="00E87495">
        <w:rPr>
          <w:rFonts w:asciiTheme="minorEastAsia" w:hAnsiTheme="minorEastAsia" w:cstheme="majorHAnsi"/>
          <w:i/>
          <w:sz w:val="22"/>
          <w:szCs w:val="22"/>
          <w:highlight w:val="white"/>
        </w:rPr>
        <w:t xml:space="preserve"> </w:t>
      </w:r>
      <w:r w:rsidRPr="00E87495">
        <w:rPr>
          <w:rFonts w:asciiTheme="minorEastAsia" w:hAnsiTheme="minorEastAsia" w:cstheme="majorHAnsi" w:hint="eastAsia"/>
          <w:i/>
          <w:sz w:val="22"/>
          <w:szCs w:val="22"/>
          <w:highlight w:val="white"/>
        </w:rPr>
        <w:t>社会福祉学科編</w:t>
      </w:r>
      <w:r w:rsidRPr="00E87495">
        <w:rPr>
          <w:rFonts w:asciiTheme="minorEastAsia" w:hAnsiTheme="minorEastAsia" w:cstheme="majorHAnsi"/>
          <w:sz w:val="22"/>
          <w:szCs w:val="22"/>
          <w:highlight w:val="white"/>
        </w:rPr>
        <w:t>,</w:t>
      </w:r>
      <w:r w:rsidRPr="00E87495">
        <w:rPr>
          <w:rFonts w:asciiTheme="majorHAnsi" w:hAnsiTheme="majorHAnsi" w:cstheme="majorHAnsi"/>
          <w:sz w:val="22"/>
          <w:szCs w:val="22"/>
          <w:highlight w:val="white"/>
        </w:rPr>
        <w:t xml:space="preserve"> </w:t>
      </w:r>
      <w:r w:rsidRPr="00E87495">
        <w:rPr>
          <w:rFonts w:asciiTheme="majorHAnsi" w:hAnsiTheme="majorHAnsi" w:cstheme="majorHAnsi"/>
          <w:b/>
          <w:bCs/>
          <w:sz w:val="22"/>
          <w:szCs w:val="22"/>
          <w:highlight w:val="white"/>
        </w:rPr>
        <w:t>2008</w:t>
      </w:r>
      <w:r w:rsidRPr="00E87495">
        <w:rPr>
          <w:rFonts w:asciiTheme="majorHAnsi" w:hAnsiTheme="majorHAnsi" w:cstheme="majorHAnsi"/>
          <w:sz w:val="22"/>
          <w:szCs w:val="22"/>
          <w:highlight w:val="white"/>
        </w:rPr>
        <w:t xml:space="preserve">, </w:t>
      </w:r>
      <w:r w:rsidRPr="00E87495">
        <w:rPr>
          <w:rFonts w:asciiTheme="majorHAnsi" w:hAnsiTheme="majorHAnsi" w:cstheme="majorHAnsi"/>
          <w:i/>
          <w:sz w:val="22"/>
          <w:szCs w:val="22"/>
          <w:highlight w:val="white"/>
        </w:rPr>
        <w:t>57</w:t>
      </w:r>
      <w:r w:rsidRPr="00E87495">
        <w:rPr>
          <w:rFonts w:asciiTheme="majorHAnsi" w:hAnsiTheme="majorHAnsi" w:cstheme="majorHAnsi"/>
          <w:sz w:val="22"/>
          <w:szCs w:val="22"/>
          <w:highlight w:val="white"/>
        </w:rPr>
        <w:t>, 1-18. (</w:t>
      </w:r>
      <w:r w:rsidRPr="00E87495">
        <w:rPr>
          <w:rFonts w:asciiTheme="majorHAnsi" w:hAnsiTheme="majorHAnsi" w:cstheme="majorHAnsi"/>
          <w:sz w:val="22"/>
          <w:szCs w:val="22"/>
        </w:rPr>
        <w:t>Yoko Kobata. Chế độ tài phán viên và những thách thức của nó</w:t>
      </w:r>
      <w:r w:rsidR="007908C2" w:rsidRPr="00E87495">
        <w:rPr>
          <w:rFonts w:asciiTheme="majorHAnsi" w:hAnsiTheme="majorHAnsi" w:cstheme="majorHAnsi"/>
          <w:i/>
          <w:sz w:val="22"/>
          <w:szCs w:val="22"/>
        </w:rPr>
        <w:t>,</w:t>
      </w:r>
      <w:r w:rsidRPr="00E87495">
        <w:rPr>
          <w:rFonts w:asciiTheme="majorHAnsi" w:hAnsiTheme="majorHAnsi" w:cstheme="majorHAnsi"/>
          <w:sz w:val="22"/>
          <w:szCs w:val="22"/>
        </w:rPr>
        <w:t xml:space="preserve"> </w:t>
      </w:r>
      <w:r w:rsidRPr="00E87495">
        <w:rPr>
          <w:rFonts w:asciiTheme="majorHAnsi" w:hAnsiTheme="majorHAnsi" w:cstheme="majorHAnsi"/>
          <w:i/>
          <w:sz w:val="22"/>
          <w:szCs w:val="22"/>
        </w:rPr>
        <w:t>Tuyển tập các bài viết Khoa Văn, Đại học Tỉnh Aichi do Khoa Phúc lợi Xã hội biên tập</w:t>
      </w:r>
      <w:r w:rsidRPr="00E87495">
        <w:rPr>
          <w:rFonts w:asciiTheme="majorHAnsi" w:hAnsiTheme="majorHAnsi" w:cstheme="majorHAnsi"/>
          <w:sz w:val="22"/>
          <w:szCs w:val="22"/>
          <w:highlight w:val="white"/>
        </w:rPr>
        <w:t xml:space="preserve">). </w:t>
      </w:r>
    </w:p>
    <w:p w14:paraId="3DA70819" w14:textId="15C5D204" w:rsidR="004D5A8E" w:rsidRPr="00E87495" w:rsidRDefault="004D5A8E" w:rsidP="004D5A8E">
      <w:pPr>
        <w:pStyle w:val="ListParagraph"/>
        <w:widowControl/>
        <w:numPr>
          <w:ilvl w:val="0"/>
          <w:numId w:val="2"/>
        </w:numPr>
        <w:spacing w:before="120" w:after="120" w:line="240" w:lineRule="auto"/>
        <w:ind w:leftChars="0"/>
        <w:rPr>
          <w:rFonts w:asciiTheme="majorHAnsi" w:hAnsiTheme="majorHAnsi" w:cstheme="majorHAnsi"/>
          <w:sz w:val="22"/>
          <w:szCs w:val="22"/>
        </w:rPr>
      </w:pPr>
      <w:r w:rsidRPr="00E87495">
        <w:rPr>
          <w:rFonts w:asciiTheme="majorHAnsi" w:hAnsiTheme="majorHAnsi" w:cstheme="majorHAnsi"/>
          <w:iCs/>
          <w:sz w:val="22"/>
          <w:szCs w:val="22"/>
        </w:rPr>
        <w:t>Supreme Court.</w:t>
      </w:r>
      <w:r w:rsidRPr="00E87495">
        <w:rPr>
          <w:rFonts w:asciiTheme="majorHAnsi" w:hAnsiTheme="majorHAnsi" w:cstheme="majorHAnsi"/>
          <w:i/>
          <w:sz w:val="22"/>
          <w:szCs w:val="22"/>
        </w:rPr>
        <w:t xml:space="preserve"> </w:t>
      </w:r>
      <w:r w:rsidRPr="00E87495">
        <w:rPr>
          <w:rFonts w:asciiTheme="majorHAnsi" w:hAnsiTheme="majorHAnsi" w:cstheme="majorHAnsi"/>
          <w:i/>
          <w:iCs/>
          <w:sz w:val="22"/>
          <w:szCs w:val="22"/>
        </w:rPr>
        <w:t>Court System of Japan</w:t>
      </w:r>
      <w:r w:rsidRPr="00E87495">
        <w:rPr>
          <w:rFonts w:asciiTheme="majorHAnsi" w:hAnsiTheme="majorHAnsi" w:cstheme="majorHAnsi"/>
          <w:sz w:val="22"/>
          <w:szCs w:val="22"/>
        </w:rPr>
        <w:t xml:space="preserve">, </w:t>
      </w:r>
      <w:r w:rsidRPr="00E87495">
        <w:rPr>
          <w:rFonts w:asciiTheme="majorHAnsi" w:hAnsiTheme="majorHAnsi" w:cstheme="majorHAnsi"/>
          <w:iCs/>
          <w:sz w:val="22"/>
          <w:szCs w:val="22"/>
        </w:rPr>
        <w:t xml:space="preserve">Supreme Court of Japan, </w:t>
      </w:r>
      <w:r w:rsidRPr="00E87495">
        <w:rPr>
          <w:rFonts w:asciiTheme="majorHAnsi" w:hAnsiTheme="majorHAnsi" w:cstheme="majorHAnsi"/>
          <w:b/>
          <w:sz w:val="22"/>
          <w:szCs w:val="22"/>
        </w:rPr>
        <w:t>2018</w:t>
      </w:r>
      <w:r w:rsidRPr="00E87495">
        <w:rPr>
          <w:rFonts w:asciiTheme="majorHAnsi" w:hAnsiTheme="majorHAnsi" w:cstheme="majorHAnsi"/>
          <w:sz w:val="22"/>
          <w:szCs w:val="22"/>
        </w:rPr>
        <w:t>.</w:t>
      </w:r>
    </w:p>
    <w:p w14:paraId="375600B3" w14:textId="2BBF0FDC" w:rsidR="0064602E" w:rsidRPr="00E87495" w:rsidRDefault="009B06DD">
      <w:pPr>
        <w:pStyle w:val="ListParagraph"/>
        <w:widowControl/>
        <w:numPr>
          <w:ilvl w:val="0"/>
          <w:numId w:val="2"/>
        </w:numPr>
        <w:spacing w:before="120" w:after="120" w:line="240" w:lineRule="auto"/>
        <w:ind w:leftChars="0"/>
        <w:rPr>
          <w:rFonts w:asciiTheme="majorHAnsi" w:hAnsiTheme="majorHAnsi" w:cstheme="majorHAnsi"/>
          <w:sz w:val="22"/>
          <w:szCs w:val="22"/>
        </w:rPr>
      </w:pPr>
      <w:r w:rsidRPr="00E87495">
        <w:rPr>
          <w:rFonts w:asciiTheme="minorEastAsia" w:hAnsiTheme="minorEastAsia" w:cstheme="majorHAnsi" w:hint="eastAsia"/>
          <w:sz w:val="22"/>
          <w:szCs w:val="22"/>
        </w:rPr>
        <w:t>法務省</w:t>
      </w:r>
      <w:r w:rsidRPr="00E87495">
        <w:rPr>
          <w:rFonts w:asciiTheme="minorEastAsia" w:hAnsiTheme="minorEastAsia" w:cstheme="majorHAnsi"/>
          <w:sz w:val="22"/>
          <w:szCs w:val="22"/>
        </w:rPr>
        <w:t xml:space="preserve">. </w:t>
      </w:r>
      <w:r w:rsidRPr="00E87495">
        <w:rPr>
          <w:rFonts w:asciiTheme="minorEastAsia" w:hAnsiTheme="minorEastAsia" w:cstheme="majorHAnsi" w:hint="eastAsia"/>
          <w:i/>
          <w:sz w:val="22"/>
          <w:szCs w:val="22"/>
        </w:rPr>
        <w:t>日本でかつて行われていた陪審制度</w:t>
      </w:r>
      <w:r w:rsidRPr="00E87495">
        <w:rPr>
          <w:rFonts w:asciiTheme="minorEastAsia" w:hAnsiTheme="minorEastAsia" w:cstheme="majorHAnsi"/>
          <w:sz w:val="22"/>
          <w:szCs w:val="22"/>
        </w:rPr>
        <w:t xml:space="preserve">, </w:t>
      </w:r>
      <w:r w:rsidRPr="00E87495">
        <w:rPr>
          <w:rFonts w:asciiTheme="minorEastAsia" w:hAnsiTheme="minorEastAsia" w:cstheme="majorHAnsi" w:hint="eastAsia"/>
          <w:sz w:val="22"/>
          <w:szCs w:val="22"/>
        </w:rPr>
        <w:t>日本の法務省</w:t>
      </w:r>
      <w:r w:rsidRPr="00E87495">
        <w:rPr>
          <w:rFonts w:asciiTheme="majorHAnsi" w:hAnsiTheme="majorHAnsi" w:cstheme="majorHAnsi"/>
          <w:sz w:val="22"/>
          <w:szCs w:val="22"/>
          <w:lang w:val="en-GB"/>
        </w:rPr>
        <w:t>.</w:t>
      </w:r>
      <w:r w:rsidRPr="00E87495">
        <w:rPr>
          <w:rFonts w:asciiTheme="majorHAnsi" w:hAnsiTheme="majorHAnsi" w:cstheme="majorHAnsi"/>
          <w:sz w:val="22"/>
          <w:szCs w:val="22"/>
        </w:rPr>
        <w:t xml:space="preserve"> </w:t>
      </w:r>
      <w:r w:rsidRPr="00E87495">
        <w:rPr>
          <w:rFonts w:asciiTheme="majorHAnsi" w:hAnsiTheme="majorHAnsi" w:cstheme="majorHAnsi"/>
          <w:sz w:val="22"/>
          <w:szCs w:val="22"/>
          <w:highlight w:val="white"/>
        </w:rPr>
        <w:t>(</w:t>
      </w:r>
      <w:r w:rsidRPr="00E87495">
        <w:rPr>
          <w:rFonts w:asciiTheme="majorHAnsi" w:hAnsiTheme="majorHAnsi" w:cstheme="majorHAnsi"/>
          <w:sz w:val="22"/>
          <w:szCs w:val="22"/>
        </w:rPr>
        <w:t xml:space="preserve">Bộ Tư pháp. </w:t>
      </w:r>
      <w:r w:rsidRPr="00E87495">
        <w:rPr>
          <w:rFonts w:asciiTheme="majorHAnsi" w:hAnsiTheme="majorHAnsi" w:cstheme="majorHAnsi"/>
          <w:i/>
          <w:sz w:val="22"/>
          <w:szCs w:val="22"/>
        </w:rPr>
        <w:t xml:space="preserve">Hệ thống bồi thẩm đoàn từng được áp dụng ở Nhật Bản, </w:t>
      </w:r>
      <w:r w:rsidRPr="00E87495">
        <w:rPr>
          <w:rFonts w:asciiTheme="majorHAnsi" w:hAnsiTheme="majorHAnsi" w:cstheme="majorHAnsi"/>
          <w:iCs/>
          <w:sz w:val="22"/>
          <w:szCs w:val="22"/>
        </w:rPr>
        <w:t>Bộ Tư pháp Nhật Bản</w:t>
      </w:r>
      <w:r w:rsidRPr="00E87495">
        <w:rPr>
          <w:rFonts w:asciiTheme="majorHAnsi" w:hAnsiTheme="majorHAnsi" w:cstheme="majorHAnsi"/>
          <w:sz w:val="22"/>
          <w:szCs w:val="22"/>
          <w:highlight w:val="white"/>
        </w:rPr>
        <w:t>).</w:t>
      </w:r>
    </w:p>
    <w:p w14:paraId="2A68F4EB" w14:textId="446E55EC" w:rsidR="00777C16" w:rsidRPr="00E87495" w:rsidRDefault="00777C16" w:rsidP="00777C16">
      <w:pPr>
        <w:pStyle w:val="ListParagraph"/>
        <w:widowControl/>
        <w:numPr>
          <w:ilvl w:val="0"/>
          <w:numId w:val="2"/>
        </w:numPr>
        <w:spacing w:before="120" w:after="120" w:line="240" w:lineRule="auto"/>
        <w:ind w:leftChars="0"/>
        <w:rPr>
          <w:rFonts w:asciiTheme="majorHAnsi" w:hAnsiTheme="majorHAnsi" w:cstheme="majorHAnsi"/>
          <w:sz w:val="22"/>
          <w:szCs w:val="22"/>
        </w:rPr>
      </w:pPr>
      <w:r w:rsidRPr="00E87495">
        <w:rPr>
          <w:rFonts w:asciiTheme="majorHAnsi" w:hAnsiTheme="majorHAnsi" w:cstheme="majorHAnsi" w:hint="eastAsia"/>
          <w:sz w:val="22"/>
          <w:szCs w:val="22"/>
        </w:rPr>
        <w:t>飯考行</w:t>
      </w:r>
      <w:r w:rsidRPr="00E87495">
        <w:rPr>
          <w:rFonts w:asciiTheme="majorHAnsi" w:hAnsiTheme="majorHAnsi" w:cstheme="majorHAnsi" w:hint="eastAsia"/>
          <w:sz w:val="22"/>
          <w:szCs w:val="22"/>
        </w:rPr>
        <w:t xml:space="preserve">. </w:t>
      </w:r>
      <w:r w:rsidRPr="00E87495">
        <w:rPr>
          <w:rFonts w:asciiTheme="majorHAnsi" w:hAnsiTheme="majorHAnsi" w:cstheme="majorHAnsi" w:hint="eastAsia"/>
          <w:sz w:val="22"/>
          <w:szCs w:val="22"/>
        </w:rPr>
        <w:t>世界の市民の司法参加における日本の裁判員制度の位置づけ</w:t>
      </w:r>
      <w:r w:rsidRPr="00E87495">
        <w:rPr>
          <w:rFonts w:asciiTheme="majorHAnsi" w:hAnsiTheme="majorHAnsi" w:cstheme="majorHAnsi" w:hint="eastAsia"/>
          <w:sz w:val="22"/>
          <w:szCs w:val="22"/>
        </w:rPr>
        <w:t xml:space="preserve">. </w:t>
      </w:r>
      <w:r w:rsidRPr="00E87495">
        <w:rPr>
          <w:rFonts w:asciiTheme="majorHAnsi" w:hAnsiTheme="majorHAnsi" w:cstheme="majorHAnsi" w:hint="eastAsia"/>
          <w:i/>
          <w:iCs/>
          <w:sz w:val="22"/>
          <w:szCs w:val="22"/>
        </w:rPr>
        <w:t>国際シンポジウム開催報告</w:t>
      </w:r>
      <w:r w:rsidRPr="00E87495">
        <w:rPr>
          <w:rFonts w:asciiTheme="majorHAnsi" w:hAnsiTheme="majorHAnsi" w:cstheme="majorHAnsi" w:hint="eastAsia"/>
          <w:i/>
          <w:iCs/>
          <w:sz w:val="22"/>
          <w:szCs w:val="22"/>
        </w:rPr>
        <w:t xml:space="preserve">: </w:t>
      </w:r>
      <w:r w:rsidRPr="00E87495">
        <w:rPr>
          <w:rFonts w:asciiTheme="majorHAnsi" w:hAnsiTheme="majorHAnsi" w:cstheme="majorHAnsi" w:hint="eastAsia"/>
          <w:i/>
          <w:iCs/>
          <w:sz w:val="22"/>
          <w:szCs w:val="22"/>
        </w:rPr>
        <w:t>世界の市民の司法参加における日本の裁判員制度</w:t>
      </w:r>
      <w:r w:rsidR="00793101" w:rsidRPr="00E87495">
        <w:rPr>
          <w:rFonts w:asciiTheme="majorHAnsi" w:hAnsiTheme="majorHAnsi" w:cstheme="majorHAnsi" w:hint="eastAsia"/>
          <w:i/>
          <w:iCs/>
          <w:sz w:val="22"/>
          <w:szCs w:val="22"/>
        </w:rPr>
        <w:t xml:space="preserve">, </w:t>
      </w:r>
      <w:r w:rsidR="00793101" w:rsidRPr="00E87495">
        <w:rPr>
          <w:rFonts w:asciiTheme="majorHAnsi" w:hAnsiTheme="majorHAnsi" w:cstheme="majorHAnsi" w:hint="eastAsia"/>
          <w:b/>
          <w:bCs/>
          <w:sz w:val="22"/>
          <w:szCs w:val="22"/>
        </w:rPr>
        <w:t>2019</w:t>
      </w:r>
      <w:r w:rsidR="00793101" w:rsidRPr="00E87495">
        <w:rPr>
          <w:rFonts w:asciiTheme="majorHAnsi" w:hAnsiTheme="majorHAnsi" w:cstheme="majorHAnsi" w:hint="eastAsia"/>
          <w:sz w:val="22"/>
          <w:szCs w:val="22"/>
        </w:rPr>
        <w:t>, 59-62. (</w:t>
      </w:r>
      <w:r w:rsidRPr="00E87495">
        <w:rPr>
          <w:rFonts w:asciiTheme="majorHAnsi" w:hAnsiTheme="majorHAnsi" w:cstheme="majorHAnsi"/>
          <w:sz w:val="22"/>
          <w:szCs w:val="22"/>
        </w:rPr>
        <w:t xml:space="preserve">Ii Takayuki. Vị trí của chế độ tài phán viên của Nhật Bản đối với sự tham gia vào hoạt động tư pháp của người dân trên toàn thế giới. </w:t>
      </w:r>
      <w:r w:rsidRPr="00E87495">
        <w:rPr>
          <w:rFonts w:asciiTheme="majorHAnsi" w:hAnsiTheme="majorHAnsi" w:cstheme="majorHAnsi"/>
          <w:i/>
          <w:iCs/>
          <w:sz w:val="22"/>
          <w:szCs w:val="22"/>
        </w:rPr>
        <w:t>Báo cáo Hội nghị chuyên đề Quốc tế: Chế độ tài phán viên của Nhật Bản đối với sự tham gia vào hoạt động tư pháp của người dân trên thế giới).</w:t>
      </w:r>
    </w:p>
    <w:p w14:paraId="3B66D4F7" w14:textId="731F2753" w:rsidR="00793101" w:rsidRPr="00E87495" w:rsidRDefault="00793101" w:rsidP="00855202">
      <w:pPr>
        <w:pStyle w:val="ListParagraph"/>
        <w:numPr>
          <w:ilvl w:val="0"/>
          <w:numId w:val="2"/>
        </w:numPr>
        <w:spacing w:before="120" w:after="120" w:line="240" w:lineRule="auto"/>
        <w:ind w:leftChars="0"/>
        <w:rPr>
          <w:rFonts w:asciiTheme="majorHAnsi" w:hAnsiTheme="majorHAnsi" w:cstheme="majorHAnsi"/>
          <w:sz w:val="22"/>
          <w:szCs w:val="22"/>
        </w:rPr>
      </w:pPr>
      <w:r w:rsidRPr="00E87495">
        <w:rPr>
          <w:rFonts w:asciiTheme="majorHAnsi" w:hAnsiTheme="majorHAnsi" w:cstheme="majorHAnsi" w:hint="eastAsia"/>
          <w:sz w:val="22"/>
          <w:szCs w:val="22"/>
        </w:rPr>
        <w:t>司法制度改革審議会</w:t>
      </w:r>
      <w:r w:rsidRPr="00E87495">
        <w:rPr>
          <w:rFonts w:asciiTheme="majorHAnsi" w:hAnsiTheme="majorHAnsi" w:cstheme="majorHAnsi" w:hint="eastAsia"/>
          <w:sz w:val="22"/>
          <w:szCs w:val="22"/>
        </w:rPr>
        <w:t xml:space="preserve">. </w:t>
      </w:r>
      <w:r w:rsidRPr="00E87495">
        <w:rPr>
          <w:rFonts w:asciiTheme="majorHAnsi" w:hAnsiTheme="majorHAnsi" w:cstheme="majorHAnsi" w:hint="eastAsia"/>
          <w:i/>
          <w:iCs/>
          <w:sz w:val="22"/>
          <w:szCs w:val="22"/>
        </w:rPr>
        <w:t>第５１回司法制度改革審議会議事次第</w:t>
      </w:r>
      <w:r w:rsidRPr="00E87495">
        <w:rPr>
          <w:rFonts w:asciiTheme="majorHAnsi" w:hAnsiTheme="majorHAnsi" w:cstheme="majorHAnsi" w:hint="eastAsia"/>
          <w:i/>
          <w:iCs/>
          <w:sz w:val="22"/>
          <w:szCs w:val="22"/>
        </w:rPr>
        <w:t xml:space="preserve">, </w:t>
      </w:r>
      <w:r w:rsidRPr="00E87495">
        <w:rPr>
          <w:rFonts w:asciiTheme="majorHAnsi" w:hAnsiTheme="majorHAnsi" w:cstheme="majorHAnsi" w:hint="eastAsia"/>
          <w:sz w:val="22"/>
          <w:szCs w:val="22"/>
        </w:rPr>
        <w:t>鹿児島大学司法政策教育研究センター</w:t>
      </w:r>
      <w:r w:rsidRPr="00E87495">
        <w:rPr>
          <w:rFonts w:asciiTheme="majorHAnsi" w:hAnsiTheme="majorHAnsi" w:cstheme="majorHAnsi" w:hint="eastAsia"/>
          <w:sz w:val="22"/>
          <w:szCs w:val="22"/>
        </w:rPr>
        <w:t>. (</w:t>
      </w:r>
      <w:r w:rsidRPr="00E87495">
        <w:rPr>
          <w:rFonts w:asciiTheme="majorHAnsi" w:hAnsiTheme="majorHAnsi" w:cstheme="majorHAnsi"/>
          <w:sz w:val="22"/>
          <w:szCs w:val="22"/>
        </w:rPr>
        <w:t>Ủy ban đánh giá cải cách hệ thống tư pháp</w:t>
      </w:r>
      <w:r w:rsidRPr="00E87495">
        <w:rPr>
          <w:rFonts w:asciiTheme="majorHAnsi" w:hAnsiTheme="majorHAnsi" w:cstheme="majorHAnsi" w:hint="eastAsia"/>
          <w:sz w:val="22"/>
          <w:szCs w:val="22"/>
        </w:rPr>
        <w:t>.</w:t>
      </w:r>
      <w:r w:rsidRPr="00E87495">
        <w:rPr>
          <w:rFonts w:asciiTheme="majorHAnsi" w:hAnsiTheme="majorHAnsi" w:cstheme="majorHAnsi" w:hint="eastAsia"/>
          <w:i/>
          <w:iCs/>
          <w:sz w:val="22"/>
          <w:szCs w:val="22"/>
        </w:rPr>
        <w:t xml:space="preserve"> </w:t>
      </w:r>
      <w:r w:rsidRPr="00E87495">
        <w:rPr>
          <w:rFonts w:asciiTheme="majorHAnsi" w:hAnsiTheme="majorHAnsi" w:cstheme="majorHAnsi"/>
          <w:i/>
          <w:iCs/>
          <w:sz w:val="22"/>
          <w:szCs w:val="22"/>
        </w:rPr>
        <w:t>Kỷ yếu Hội nghị rà soát cải cách hệ thống tư pháp lần thứ 51</w:t>
      </w:r>
      <w:r w:rsidRPr="00E87495">
        <w:rPr>
          <w:rFonts w:asciiTheme="majorHAnsi" w:hAnsiTheme="majorHAnsi" w:cstheme="majorHAnsi" w:hint="eastAsia"/>
          <w:i/>
          <w:iCs/>
          <w:sz w:val="22"/>
          <w:szCs w:val="22"/>
        </w:rPr>
        <w:t xml:space="preserve">, </w:t>
      </w:r>
      <w:r w:rsidRPr="00E87495">
        <w:rPr>
          <w:rFonts w:asciiTheme="majorHAnsi" w:hAnsiTheme="majorHAnsi" w:cstheme="majorHAnsi"/>
          <w:sz w:val="22"/>
          <w:szCs w:val="22"/>
        </w:rPr>
        <w:t>Trung tâm Nghiên cứu Giáo dục Chính sách Tư pháp Đại học Kagoshima</w:t>
      </w:r>
      <w:r w:rsidRPr="00E87495">
        <w:rPr>
          <w:rFonts w:asciiTheme="majorHAnsi" w:hAnsiTheme="majorHAnsi" w:cstheme="majorHAnsi" w:hint="eastAsia"/>
          <w:sz w:val="22"/>
          <w:szCs w:val="22"/>
        </w:rPr>
        <w:t>)</w:t>
      </w:r>
    </w:p>
    <w:p w14:paraId="7A761484" w14:textId="38713D4F" w:rsidR="00B843CC" w:rsidRPr="00E87495" w:rsidRDefault="000D31F6" w:rsidP="00CD5307">
      <w:pPr>
        <w:pStyle w:val="ListParagraph"/>
        <w:numPr>
          <w:ilvl w:val="0"/>
          <w:numId w:val="2"/>
        </w:numPr>
        <w:spacing w:before="120" w:after="120" w:line="240" w:lineRule="auto"/>
        <w:ind w:leftChars="0"/>
        <w:rPr>
          <w:rFonts w:asciiTheme="majorHAnsi" w:hAnsiTheme="majorHAnsi" w:cstheme="majorHAnsi"/>
          <w:sz w:val="22"/>
          <w:szCs w:val="22"/>
        </w:rPr>
      </w:pPr>
      <w:r w:rsidRPr="00E87495">
        <w:rPr>
          <w:rFonts w:asciiTheme="minorEastAsia" w:hAnsiTheme="minorEastAsia" w:cstheme="majorHAnsi" w:hint="eastAsia"/>
          <w:sz w:val="22"/>
          <w:szCs w:val="22"/>
        </w:rPr>
        <w:t>大城聡</w:t>
      </w:r>
      <w:r w:rsidRPr="00E87495">
        <w:rPr>
          <w:rFonts w:asciiTheme="minorEastAsia" w:hAnsiTheme="minorEastAsia" w:cstheme="majorHAnsi"/>
          <w:sz w:val="22"/>
          <w:szCs w:val="22"/>
        </w:rPr>
        <w:t xml:space="preserve">. </w:t>
      </w:r>
      <w:r w:rsidRPr="00E87495">
        <w:rPr>
          <w:rFonts w:asciiTheme="minorEastAsia" w:hAnsiTheme="minorEastAsia" w:cstheme="majorHAnsi" w:hint="eastAsia"/>
          <w:sz w:val="22"/>
          <w:szCs w:val="22"/>
        </w:rPr>
        <w:t>裁判員制度のこれまでと今後の課題</w:t>
      </w:r>
      <w:r w:rsidRPr="00E87495">
        <w:rPr>
          <w:rFonts w:asciiTheme="minorEastAsia" w:hAnsiTheme="minorEastAsia" w:cstheme="majorHAnsi"/>
          <w:sz w:val="22"/>
          <w:szCs w:val="22"/>
        </w:rPr>
        <w:t xml:space="preserve">, </w:t>
      </w:r>
      <w:r w:rsidRPr="00E87495">
        <w:rPr>
          <w:rFonts w:asciiTheme="minorEastAsia" w:hAnsiTheme="minorEastAsia" w:cstheme="majorHAnsi" w:hint="eastAsia"/>
          <w:i/>
          <w:iCs/>
          <w:sz w:val="22"/>
          <w:szCs w:val="22"/>
        </w:rPr>
        <w:t>国民生活</w:t>
      </w:r>
      <w:r w:rsidRPr="00E87495">
        <w:rPr>
          <w:rFonts w:asciiTheme="majorHAnsi" w:hAnsiTheme="majorHAnsi" w:cstheme="majorHAnsi"/>
          <w:sz w:val="22"/>
          <w:szCs w:val="22"/>
        </w:rPr>
        <w:t xml:space="preserve">, </w:t>
      </w:r>
      <w:r w:rsidRPr="00E87495">
        <w:rPr>
          <w:rFonts w:asciiTheme="majorHAnsi" w:hAnsiTheme="majorHAnsi" w:cstheme="majorHAnsi"/>
          <w:b/>
          <w:bCs/>
          <w:sz w:val="22"/>
          <w:szCs w:val="22"/>
        </w:rPr>
        <w:t>2021</w:t>
      </w:r>
      <w:r w:rsidRPr="00E87495">
        <w:rPr>
          <w:rFonts w:asciiTheme="majorHAnsi" w:hAnsiTheme="majorHAnsi" w:cstheme="majorHAnsi"/>
          <w:sz w:val="22"/>
          <w:szCs w:val="22"/>
        </w:rPr>
        <w:t>, 1</w:t>
      </w:r>
      <w:r w:rsidR="006D6373" w:rsidRPr="00E87495">
        <w:rPr>
          <w:rFonts w:asciiTheme="majorHAnsi" w:hAnsiTheme="majorHAnsi" w:cstheme="majorHAnsi"/>
          <w:sz w:val="22"/>
          <w:szCs w:val="22"/>
        </w:rPr>
        <w:t>1-14</w:t>
      </w:r>
      <w:r w:rsidRPr="00E87495">
        <w:rPr>
          <w:rFonts w:asciiTheme="majorHAnsi" w:hAnsiTheme="majorHAnsi" w:cstheme="majorHAnsi"/>
          <w:sz w:val="22"/>
          <w:szCs w:val="22"/>
        </w:rPr>
        <w:t>.</w:t>
      </w:r>
      <w:r w:rsidR="00B843CC" w:rsidRPr="00E87495">
        <w:rPr>
          <w:rFonts w:asciiTheme="majorHAnsi" w:hAnsiTheme="majorHAnsi" w:cstheme="majorHAnsi"/>
          <w:sz w:val="22"/>
          <w:szCs w:val="22"/>
        </w:rPr>
        <w:t xml:space="preserve"> (</w:t>
      </w:r>
      <w:r w:rsidR="00CD5307" w:rsidRPr="00E87495">
        <w:rPr>
          <w:rFonts w:asciiTheme="majorHAnsi" w:hAnsiTheme="majorHAnsi" w:cstheme="majorHAnsi"/>
          <w:sz w:val="22"/>
          <w:szCs w:val="22"/>
        </w:rPr>
        <w:t>Oshiro Satoru</w:t>
      </w:r>
      <w:r w:rsidR="00B843CC" w:rsidRPr="00E87495">
        <w:rPr>
          <w:rFonts w:asciiTheme="majorHAnsi" w:hAnsiTheme="majorHAnsi" w:cstheme="majorHAnsi"/>
          <w:sz w:val="22"/>
          <w:szCs w:val="22"/>
        </w:rPr>
        <w:t xml:space="preserve">. Những vấn đề của chế độ tài phán viên trong quá khứ và thách thức trong tương lai, </w:t>
      </w:r>
      <w:r w:rsidR="00B843CC" w:rsidRPr="00E87495">
        <w:rPr>
          <w:rFonts w:asciiTheme="majorHAnsi" w:hAnsiTheme="majorHAnsi" w:cstheme="majorHAnsi"/>
          <w:i/>
          <w:sz w:val="22"/>
          <w:szCs w:val="22"/>
        </w:rPr>
        <w:t>Tạp chí Đời sống công dân</w:t>
      </w:r>
      <w:r w:rsidR="00B843CC" w:rsidRPr="00E87495">
        <w:rPr>
          <w:rFonts w:asciiTheme="majorHAnsi" w:hAnsiTheme="majorHAnsi" w:cstheme="majorHAnsi"/>
          <w:sz w:val="22"/>
          <w:szCs w:val="22"/>
        </w:rPr>
        <w:t>).</w:t>
      </w:r>
    </w:p>
    <w:p w14:paraId="4BEEDF18" w14:textId="6C344412" w:rsidR="00D022E2" w:rsidRPr="00E87495" w:rsidRDefault="00D022E2" w:rsidP="00D06882">
      <w:pPr>
        <w:pStyle w:val="ListParagraph"/>
        <w:numPr>
          <w:ilvl w:val="0"/>
          <w:numId w:val="2"/>
        </w:numPr>
        <w:spacing w:before="120" w:after="120" w:line="240" w:lineRule="auto"/>
        <w:ind w:leftChars="0"/>
        <w:rPr>
          <w:rFonts w:asciiTheme="majorHAnsi" w:hAnsiTheme="majorHAnsi" w:cstheme="majorHAnsi"/>
          <w:sz w:val="22"/>
          <w:szCs w:val="22"/>
          <w:shd w:val="clear" w:color="auto" w:fill="FFFFFF"/>
        </w:rPr>
      </w:pPr>
      <w:r w:rsidRPr="00E87495">
        <w:rPr>
          <w:rFonts w:asciiTheme="minorEastAsia" w:hAnsiTheme="minorEastAsia" w:cstheme="majorHAnsi" w:hint="eastAsia"/>
          <w:sz w:val="22"/>
          <w:szCs w:val="22"/>
          <w:shd w:val="clear" w:color="auto" w:fill="FFFFFF"/>
        </w:rPr>
        <w:t>裁判員制度に関する検討会</w:t>
      </w:r>
      <w:r w:rsidRPr="00E87495">
        <w:rPr>
          <w:rFonts w:asciiTheme="minorEastAsia" w:hAnsiTheme="minorEastAsia" w:cstheme="majorHAnsi"/>
          <w:sz w:val="22"/>
          <w:szCs w:val="22"/>
          <w:shd w:val="clear" w:color="auto" w:fill="FFFFFF"/>
        </w:rPr>
        <w:t xml:space="preserve">. </w:t>
      </w:r>
      <w:r w:rsidRPr="00E87495">
        <w:rPr>
          <w:rFonts w:asciiTheme="minorEastAsia" w:hAnsiTheme="minorEastAsia" w:cstheme="majorHAnsi" w:hint="eastAsia"/>
          <w:i/>
          <w:iCs/>
          <w:sz w:val="22"/>
          <w:szCs w:val="22"/>
          <w:shd w:val="clear" w:color="auto" w:fill="FFFFFF"/>
        </w:rPr>
        <w:t>「裁判員制度に関する検討会」取りまとめ報告書（案）</w:t>
      </w:r>
      <w:r w:rsidRPr="00E87495">
        <w:rPr>
          <w:rFonts w:asciiTheme="majorHAnsi" w:hAnsiTheme="majorHAnsi" w:cstheme="majorHAnsi"/>
          <w:sz w:val="22"/>
          <w:szCs w:val="22"/>
          <w:shd w:val="clear" w:color="auto" w:fill="FFFFFF"/>
        </w:rPr>
        <w:t xml:space="preserve">, </w:t>
      </w:r>
      <w:r w:rsidRPr="00E87495">
        <w:rPr>
          <w:rFonts w:asciiTheme="majorHAnsi" w:hAnsiTheme="majorHAnsi" w:cstheme="majorHAnsi"/>
          <w:b/>
          <w:sz w:val="22"/>
          <w:szCs w:val="22"/>
          <w:shd w:val="clear" w:color="auto" w:fill="FFFFFF"/>
        </w:rPr>
        <w:t>2013</w:t>
      </w:r>
      <w:r w:rsidRPr="00E87495">
        <w:rPr>
          <w:rFonts w:asciiTheme="majorHAnsi" w:hAnsiTheme="majorHAnsi" w:cstheme="majorHAnsi"/>
          <w:sz w:val="22"/>
          <w:szCs w:val="22"/>
          <w:shd w:val="clear" w:color="auto" w:fill="FFFFFF"/>
        </w:rPr>
        <w:t>.</w:t>
      </w:r>
      <w:r w:rsidR="00B843CC" w:rsidRPr="00E87495">
        <w:rPr>
          <w:rFonts w:asciiTheme="majorHAnsi" w:hAnsiTheme="majorHAnsi" w:cstheme="majorHAnsi"/>
          <w:sz w:val="22"/>
          <w:szCs w:val="22"/>
          <w:shd w:val="clear" w:color="auto" w:fill="FFFFFF"/>
        </w:rPr>
        <w:t xml:space="preserve"> (Ủy ban nghiên cứu chế độ tài phán viên. </w:t>
      </w:r>
      <w:r w:rsidR="00B843CC" w:rsidRPr="00E87495">
        <w:rPr>
          <w:rFonts w:asciiTheme="majorHAnsi" w:hAnsiTheme="majorHAnsi" w:cstheme="majorHAnsi"/>
          <w:i/>
          <w:sz w:val="22"/>
          <w:szCs w:val="22"/>
          <w:shd w:val="clear" w:color="auto" w:fill="FFFFFF"/>
        </w:rPr>
        <w:t>Báo cáo tổng hợp về “Chế độ tài phán viên” (dự thảo)</w:t>
      </w:r>
      <w:r w:rsidR="00B843CC" w:rsidRPr="00E87495">
        <w:rPr>
          <w:rFonts w:asciiTheme="majorHAnsi" w:hAnsiTheme="majorHAnsi" w:cstheme="majorHAnsi"/>
          <w:sz w:val="22"/>
          <w:szCs w:val="22"/>
          <w:shd w:val="clear" w:color="auto" w:fill="FFFFFF"/>
        </w:rPr>
        <w:t>).</w:t>
      </w:r>
    </w:p>
    <w:p w14:paraId="0BAEA955" w14:textId="3FA79730" w:rsidR="00D022E2" w:rsidRPr="00E87495" w:rsidRDefault="00D022E2" w:rsidP="00D06882">
      <w:pPr>
        <w:pStyle w:val="ListParagraph"/>
        <w:numPr>
          <w:ilvl w:val="0"/>
          <w:numId w:val="2"/>
        </w:numPr>
        <w:spacing w:before="120" w:after="120" w:line="240" w:lineRule="auto"/>
        <w:ind w:leftChars="0"/>
        <w:rPr>
          <w:rFonts w:asciiTheme="majorHAnsi" w:hAnsiTheme="majorHAnsi" w:cstheme="majorHAnsi"/>
          <w:sz w:val="22"/>
          <w:szCs w:val="22"/>
        </w:rPr>
      </w:pPr>
      <w:r w:rsidRPr="00E87495">
        <w:rPr>
          <w:rFonts w:asciiTheme="minorEastAsia" w:hAnsiTheme="minorEastAsia" w:cstheme="majorHAnsi" w:hint="eastAsia"/>
          <w:sz w:val="22"/>
          <w:szCs w:val="22"/>
        </w:rPr>
        <w:t>岩堀裕</w:t>
      </w:r>
      <w:r w:rsidRPr="00E87495">
        <w:rPr>
          <w:rFonts w:asciiTheme="minorEastAsia" w:hAnsiTheme="minorEastAsia" w:cstheme="majorHAnsi"/>
          <w:sz w:val="22"/>
          <w:szCs w:val="22"/>
          <w:shd w:val="clear" w:color="auto" w:fill="FFFFFF"/>
        </w:rPr>
        <w:t xml:space="preserve">. </w:t>
      </w:r>
      <w:r w:rsidRPr="00E87495">
        <w:rPr>
          <w:rFonts w:asciiTheme="minorEastAsia" w:hAnsiTheme="minorEastAsia" w:cstheme="majorHAnsi" w:hint="eastAsia"/>
          <w:sz w:val="22"/>
          <w:szCs w:val="22"/>
          <w:shd w:val="clear" w:color="auto" w:fill="FFFFFF"/>
        </w:rPr>
        <w:t>裁判員裁判における少年の刑事事件</w:t>
      </w:r>
      <w:r w:rsidRPr="00E87495">
        <w:rPr>
          <w:rFonts w:asciiTheme="minorEastAsia" w:hAnsiTheme="minorEastAsia" w:cstheme="majorHAnsi"/>
          <w:sz w:val="22"/>
          <w:szCs w:val="22"/>
          <w:shd w:val="clear" w:color="auto" w:fill="FFFFFF"/>
        </w:rPr>
        <w:t xml:space="preserve">, </w:t>
      </w:r>
      <w:r w:rsidRPr="00E87495">
        <w:rPr>
          <w:rFonts w:asciiTheme="minorEastAsia" w:hAnsiTheme="minorEastAsia" w:cstheme="majorHAnsi" w:hint="eastAsia"/>
          <w:i/>
          <w:iCs/>
          <w:sz w:val="22"/>
          <w:szCs w:val="22"/>
          <w:shd w:val="clear" w:color="auto" w:fill="FFFFFF"/>
        </w:rPr>
        <w:t>東京大学法科大学院ローレビュー</w:t>
      </w:r>
      <w:r w:rsidRPr="00E87495">
        <w:rPr>
          <w:rFonts w:asciiTheme="majorHAnsi" w:hAnsiTheme="majorHAnsi" w:cstheme="majorHAnsi"/>
          <w:sz w:val="22"/>
          <w:szCs w:val="22"/>
          <w:shd w:val="clear" w:color="auto" w:fill="FFFFFF"/>
        </w:rPr>
        <w:t>,</w:t>
      </w:r>
      <w:r w:rsidRPr="00E87495">
        <w:rPr>
          <w:rFonts w:asciiTheme="majorHAnsi" w:eastAsia="Times New Roman" w:hAnsiTheme="majorHAnsi" w:cstheme="majorHAnsi"/>
          <w:sz w:val="22"/>
          <w:szCs w:val="22"/>
          <w:shd w:val="clear" w:color="auto" w:fill="FFFFFF"/>
        </w:rPr>
        <w:t xml:space="preserve"> </w:t>
      </w:r>
      <w:r w:rsidRPr="00E87495">
        <w:rPr>
          <w:rFonts w:asciiTheme="majorHAnsi" w:eastAsia="Times New Roman" w:hAnsiTheme="majorHAnsi" w:cstheme="majorHAnsi"/>
          <w:b/>
          <w:bCs/>
          <w:sz w:val="22"/>
          <w:szCs w:val="22"/>
          <w:shd w:val="clear" w:color="auto" w:fill="FFFFFF"/>
        </w:rPr>
        <w:t>2007</w:t>
      </w:r>
      <w:r w:rsidRPr="00E87495">
        <w:rPr>
          <w:rFonts w:asciiTheme="majorHAnsi" w:eastAsia="Times New Roman" w:hAnsiTheme="majorHAnsi" w:cstheme="majorHAnsi"/>
          <w:sz w:val="22"/>
          <w:szCs w:val="22"/>
          <w:shd w:val="clear" w:color="auto" w:fill="FFFFFF"/>
        </w:rPr>
        <w:t xml:space="preserve">, </w:t>
      </w:r>
      <w:r w:rsidRPr="00E87495">
        <w:rPr>
          <w:rFonts w:asciiTheme="majorHAnsi" w:eastAsia="Times New Roman" w:hAnsiTheme="majorHAnsi" w:cstheme="majorHAnsi"/>
          <w:i/>
          <w:iCs/>
          <w:sz w:val="22"/>
          <w:szCs w:val="22"/>
          <w:shd w:val="clear" w:color="auto" w:fill="FFFFFF"/>
        </w:rPr>
        <w:t>2</w:t>
      </w:r>
      <w:r w:rsidRPr="00E87495">
        <w:rPr>
          <w:rFonts w:asciiTheme="majorHAnsi" w:eastAsia="Times New Roman" w:hAnsiTheme="majorHAnsi" w:cstheme="majorHAnsi"/>
          <w:sz w:val="22"/>
          <w:szCs w:val="22"/>
          <w:shd w:val="clear" w:color="auto" w:fill="FFFFFF"/>
        </w:rPr>
        <w:t>, 42-50.</w:t>
      </w:r>
      <w:r w:rsidR="00B843CC" w:rsidRPr="00E87495">
        <w:rPr>
          <w:rFonts w:asciiTheme="majorHAnsi" w:eastAsia="Times New Roman" w:hAnsiTheme="majorHAnsi" w:cstheme="majorHAnsi"/>
          <w:sz w:val="22"/>
          <w:szCs w:val="22"/>
          <w:shd w:val="clear" w:color="auto" w:fill="FFFFFF"/>
        </w:rPr>
        <w:t xml:space="preserve"> (Yutaka Iwahori. Các vụ án hình sự vị thành niên trong chế độ xét xử với tài phán viên, </w:t>
      </w:r>
      <w:r w:rsidR="00B843CC" w:rsidRPr="00E87495">
        <w:rPr>
          <w:rFonts w:asciiTheme="majorHAnsi" w:eastAsia="Times New Roman" w:hAnsiTheme="majorHAnsi" w:cstheme="majorHAnsi"/>
          <w:i/>
          <w:sz w:val="22"/>
          <w:szCs w:val="22"/>
          <w:shd w:val="clear" w:color="auto" w:fill="FFFFFF"/>
        </w:rPr>
        <w:t>Tạp chí Luật Trường Đại học Luật Tokyo</w:t>
      </w:r>
      <w:r w:rsidR="00B843CC" w:rsidRPr="00E87495">
        <w:rPr>
          <w:rFonts w:asciiTheme="majorHAnsi" w:eastAsia="Times New Roman" w:hAnsiTheme="majorHAnsi" w:cstheme="majorHAnsi"/>
          <w:sz w:val="22"/>
          <w:szCs w:val="22"/>
          <w:shd w:val="clear" w:color="auto" w:fill="FFFFFF"/>
        </w:rPr>
        <w:t>).</w:t>
      </w:r>
    </w:p>
    <w:p w14:paraId="3658A67E" w14:textId="0F0E5208" w:rsidR="00F15928" w:rsidRPr="00E87495" w:rsidRDefault="00D022E2" w:rsidP="00D06882">
      <w:pPr>
        <w:pStyle w:val="ListParagraph"/>
        <w:numPr>
          <w:ilvl w:val="0"/>
          <w:numId w:val="2"/>
        </w:numPr>
        <w:spacing w:before="120" w:after="120" w:line="240" w:lineRule="auto"/>
        <w:ind w:leftChars="0"/>
        <w:rPr>
          <w:rFonts w:asciiTheme="majorHAnsi" w:hAnsiTheme="majorHAnsi" w:cstheme="majorHAnsi"/>
          <w:sz w:val="22"/>
          <w:szCs w:val="22"/>
        </w:rPr>
        <w:sectPr w:rsidR="00F15928" w:rsidRPr="00E87495" w:rsidSect="002617BD">
          <w:footnotePr>
            <w:numFmt w:val="lowerRoman"/>
            <w:numRestart w:val="eachSect"/>
          </w:footnotePr>
          <w:type w:val="continuous"/>
          <w:pgSz w:w="11906" w:h="16838" w:code="9"/>
          <w:pgMar w:top="1134" w:right="1134" w:bottom="1134" w:left="1418" w:header="851" w:footer="992" w:gutter="0"/>
          <w:pgNumType w:start="1"/>
          <w:cols w:num="2" w:space="720"/>
        </w:sectPr>
      </w:pPr>
      <w:r w:rsidRPr="00E87495">
        <w:rPr>
          <w:rFonts w:asciiTheme="minorEastAsia" w:hAnsiTheme="minorEastAsia" w:cstheme="majorHAnsi" w:hint="eastAsia"/>
          <w:sz w:val="22"/>
          <w:szCs w:val="22"/>
          <w:shd w:val="clear" w:color="auto" w:fill="FFFFFF"/>
        </w:rPr>
        <w:t>平山真理</w:t>
      </w:r>
      <w:r w:rsidRPr="00E87495">
        <w:rPr>
          <w:rFonts w:asciiTheme="minorEastAsia" w:hAnsiTheme="minorEastAsia" w:cstheme="majorHAnsi"/>
          <w:sz w:val="22"/>
          <w:szCs w:val="22"/>
          <w:shd w:val="clear" w:color="auto" w:fill="FFFFFF"/>
        </w:rPr>
        <w:t xml:space="preserve">. </w:t>
      </w:r>
      <w:r w:rsidRPr="00E87495">
        <w:rPr>
          <w:rFonts w:asciiTheme="minorEastAsia" w:hAnsiTheme="minorEastAsia" w:cstheme="majorHAnsi" w:hint="eastAsia"/>
          <w:sz w:val="22"/>
          <w:szCs w:val="22"/>
          <w:shd w:val="clear" w:color="auto" w:fill="FFFFFF"/>
        </w:rPr>
        <w:t>裁判員裁判と性犯罪</w:t>
      </w:r>
      <w:r w:rsidRPr="00E87495">
        <w:rPr>
          <w:rFonts w:asciiTheme="minorEastAsia" w:hAnsiTheme="minorEastAsia" w:cstheme="majorHAnsi"/>
          <w:sz w:val="22"/>
          <w:szCs w:val="22"/>
          <w:shd w:val="clear" w:color="auto" w:fill="FFFFFF"/>
        </w:rPr>
        <w:t xml:space="preserve">, </w:t>
      </w:r>
      <w:r w:rsidRPr="00E87495">
        <w:rPr>
          <w:rFonts w:asciiTheme="minorEastAsia" w:hAnsiTheme="minorEastAsia" w:cstheme="majorHAnsi" w:hint="eastAsia"/>
          <w:i/>
          <w:iCs/>
          <w:sz w:val="22"/>
          <w:szCs w:val="22"/>
          <w:shd w:val="clear" w:color="auto" w:fill="FFFFFF"/>
        </w:rPr>
        <w:t>立命</w:t>
      </w:r>
      <w:r w:rsidRPr="00E87495">
        <w:rPr>
          <w:rFonts w:asciiTheme="minorEastAsia" w:hAnsiTheme="minorEastAsia" w:cstheme="majorHAnsi" w:hint="eastAsia"/>
          <w:i/>
          <w:iCs/>
          <w:sz w:val="22"/>
          <w:szCs w:val="22"/>
          <w:shd w:val="clear" w:color="auto" w:fill="FFFFFF"/>
        </w:rPr>
        <w:lastRenderedPageBreak/>
        <w:t>館法学</w:t>
      </w:r>
      <w:r w:rsidRPr="00E87495">
        <w:rPr>
          <w:rFonts w:asciiTheme="majorHAnsi" w:hAnsiTheme="majorHAnsi" w:cstheme="majorHAnsi"/>
          <w:sz w:val="22"/>
          <w:szCs w:val="22"/>
          <w:shd w:val="clear" w:color="auto" w:fill="FFFFFF"/>
        </w:rPr>
        <w:t xml:space="preserve">, </w:t>
      </w:r>
      <w:r w:rsidRPr="00E87495">
        <w:rPr>
          <w:rFonts w:asciiTheme="majorHAnsi" w:hAnsiTheme="majorHAnsi" w:cstheme="majorHAnsi"/>
          <w:b/>
          <w:bCs/>
          <w:sz w:val="22"/>
          <w:szCs w:val="22"/>
          <w:shd w:val="clear" w:color="auto" w:fill="FFFFFF"/>
        </w:rPr>
        <w:t>2009</w:t>
      </w:r>
      <w:r w:rsidRPr="00E87495">
        <w:rPr>
          <w:rFonts w:asciiTheme="majorHAnsi" w:hAnsiTheme="majorHAnsi" w:cstheme="majorHAnsi"/>
          <w:sz w:val="22"/>
          <w:szCs w:val="22"/>
          <w:shd w:val="clear" w:color="auto" w:fill="FFFFFF"/>
        </w:rPr>
        <w:t>, 668-691.</w:t>
      </w:r>
      <w:r w:rsidR="00B843CC" w:rsidRPr="00E87495">
        <w:rPr>
          <w:rFonts w:asciiTheme="majorHAnsi" w:hAnsiTheme="majorHAnsi" w:cstheme="majorHAnsi"/>
          <w:sz w:val="22"/>
          <w:szCs w:val="22"/>
          <w:shd w:val="clear" w:color="auto" w:fill="FFFFFF"/>
        </w:rPr>
        <w:t xml:space="preserve"> (</w:t>
      </w:r>
      <w:r w:rsidR="00080A6D" w:rsidRPr="00E87495">
        <w:rPr>
          <w:rFonts w:asciiTheme="majorHAnsi" w:hAnsiTheme="majorHAnsi" w:cstheme="majorHAnsi"/>
          <w:sz w:val="22"/>
          <w:szCs w:val="22"/>
        </w:rPr>
        <w:t>Hirayama Mari</w:t>
      </w:r>
      <w:r w:rsidR="00B843CC" w:rsidRPr="00E87495">
        <w:rPr>
          <w:rFonts w:asciiTheme="majorHAnsi" w:hAnsiTheme="majorHAnsi" w:cstheme="majorHAnsi"/>
          <w:sz w:val="22"/>
          <w:szCs w:val="22"/>
          <w:shd w:val="clear" w:color="auto" w:fill="FFFFFF"/>
        </w:rPr>
        <w:t xml:space="preserve">. Chế độ xét xử với tài phán viên và tội phạm </w:t>
      </w:r>
      <w:r w:rsidR="00B843CC" w:rsidRPr="00E87495">
        <w:rPr>
          <w:rFonts w:asciiTheme="majorHAnsi" w:hAnsiTheme="majorHAnsi" w:cstheme="majorHAnsi"/>
          <w:sz w:val="22"/>
          <w:szCs w:val="22"/>
          <w:shd w:val="clear" w:color="auto" w:fill="FFFFFF"/>
        </w:rPr>
        <w:lastRenderedPageBreak/>
        <w:t xml:space="preserve">tình dục, </w:t>
      </w:r>
      <w:r w:rsidR="00B843CC" w:rsidRPr="00E87495">
        <w:rPr>
          <w:rFonts w:asciiTheme="majorHAnsi" w:hAnsiTheme="majorHAnsi" w:cstheme="majorHAnsi"/>
          <w:i/>
          <w:sz w:val="22"/>
          <w:szCs w:val="22"/>
          <w:shd w:val="clear" w:color="auto" w:fill="FFFFFF"/>
        </w:rPr>
        <w:t>Tạp chí Luật học Ritsumeikan</w:t>
      </w:r>
      <w:r w:rsidR="00E922E9" w:rsidRPr="00E87495">
        <w:rPr>
          <w:rFonts w:asciiTheme="majorHAnsi" w:hAnsiTheme="majorHAnsi" w:cstheme="majorHAnsi"/>
          <w:sz w:val="22"/>
          <w:szCs w:val="22"/>
          <w:shd w:val="clear" w:color="auto" w:fill="FFFFFF"/>
        </w:rPr>
        <w:t>)</w:t>
      </w:r>
    </w:p>
    <w:bookmarkEnd w:id="0"/>
    <w:p w14:paraId="545FB755" w14:textId="77777777" w:rsidR="00151D80" w:rsidRPr="00E87495" w:rsidRDefault="00151D80" w:rsidP="00701C23">
      <w:pPr>
        <w:spacing w:before="120" w:after="120" w:line="240" w:lineRule="auto"/>
        <w:rPr>
          <w:rFonts w:asciiTheme="majorHAnsi" w:hAnsiTheme="majorHAnsi" w:cstheme="majorHAnsi"/>
          <w:sz w:val="22"/>
          <w:szCs w:val="22"/>
        </w:rPr>
      </w:pPr>
    </w:p>
    <w:sectPr w:rsidR="00151D80" w:rsidRPr="00E87495" w:rsidSect="00A2179D">
      <w:footnotePr>
        <w:numFmt w:val="lowerRoman"/>
        <w:numRestart w:val="eachSect"/>
      </w:footnotePr>
      <w:type w:val="continuous"/>
      <w:pgSz w:w="11906" w:h="16838" w:code="9"/>
      <w:pgMar w:top="1134" w:right="1134" w:bottom="1134" w:left="1418" w:header="851" w:footer="992"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10C1F01" w16cex:dateUtc="2024-12-14T1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33BE75" w16cid:durableId="110C1F0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81B63" w14:textId="77777777" w:rsidR="003B4AAC" w:rsidRDefault="003B4AAC">
      <w:pPr>
        <w:spacing w:line="240" w:lineRule="auto"/>
      </w:pPr>
      <w:r>
        <w:separator/>
      </w:r>
    </w:p>
  </w:endnote>
  <w:endnote w:type="continuationSeparator" w:id="0">
    <w:p w14:paraId="53E947C8" w14:textId="77777777" w:rsidR="003B4AAC" w:rsidRDefault="003B4AAC">
      <w:pPr>
        <w:spacing w:line="240" w:lineRule="auto"/>
      </w:pPr>
      <w:r>
        <w:continuationSeparator/>
      </w:r>
    </w:p>
  </w:endnote>
  <w:endnote w:type="continuationNotice" w:id="1">
    <w:p w14:paraId="68F2485E" w14:textId="77777777" w:rsidR="003B4AAC" w:rsidRDefault="003B4A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E3D0B" w14:textId="1D5EEF7C" w:rsidR="006D6373" w:rsidRDefault="006D6373">
    <w:pPr>
      <w:pStyle w:val="Footer"/>
      <w:jc w:val="right"/>
    </w:pPr>
  </w:p>
  <w:p w14:paraId="2477050D" w14:textId="77777777" w:rsidR="00E4211B" w:rsidRDefault="00E421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54921" w14:textId="77777777" w:rsidR="003B4AAC" w:rsidRDefault="003B4AAC">
      <w:pPr>
        <w:spacing w:line="240" w:lineRule="auto"/>
      </w:pPr>
      <w:r>
        <w:separator/>
      </w:r>
    </w:p>
  </w:footnote>
  <w:footnote w:type="continuationSeparator" w:id="0">
    <w:p w14:paraId="72DA74F8" w14:textId="77777777" w:rsidR="003B4AAC" w:rsidRDefault="003B4AAC">
      <w:pPr>
        <w:spacing w:line="240" w:lineRule="auto"/>
      </w:pPr>
      <w:r>
        <w:continuationSeparator/>
      </w:r>
    </w:p>
  </w:footnote>
  <w:footnote w:type="continuationNotice" w:id="1">
    <w:p w14:paraId="6B865BAB" w14:textId="77777777" w:rsidR="003B4AAC" w:rsidRDefault="003B4AAC">
      <w:pPr>
        <w:spacing w:line="240" w:lineRule="auto"/>
      </w:pPr>
    </w:p>
  </w:footnote>
  <w:footnote w:id="2">
    <w:p w14:paraId="6B637CE9" w14:textId="715FE8D3" w:rsidR="00E4211B" w:rsidRPr="00D06882" w:rsidRDefault="00E4211B" w:rsidP="00D06882">
      <w:pPr>
        <w:pStyle w:val="FootnoteText"/>
        <w:rPr>
          <w:i/>
          <w:iCs/>
          <w:sz w:val="20"/>
          <w:szCs w:val="21"/>
        </w:rPr>
      </w:pPr>
      <w:r w:rsidRPr="00D06882">
        <w:rPr>
          <w:rStyle w:val="FootnoteReference"/>
          <w:i/>
          <w:iCs/>
          <w:sz w:val="20"/>
          <w:szCs w:val="21"/>
        </w:rPr>
        <w:footnoteRef/>
      </w:r>
      <w:r>
        <w:rPr>
          <w:i/>
          <w:iCs/>
          <w:sz w:val="20"/>
          <w:szCs w:val="21"/>
        </w:rPr>
        <w:t xml:space="preserve"> Corresponding author.</w:t>
      </w:r>
    </w:p>
    <w:p w14:paraId="60555BF3" w14:textId="62BBEE74" w:rsidR="00E4211B" w:rsidRDefault="00E4211B" w:rsidP="00D06882">
      <w:pPr>
        <w:pStyle w:val="FootnoteText"/>
      </w:pPr>
      <w:r w:rsidRPr="00D06882">
        <w:rPr>
          <w:i/>
          <w:iCs/>
          <w:sz w:val="20"/>
          <w:szCs w:val="21"/>
        </w:rPr>
        <w:t>Email: phantuanly@gmail.com</w:t>
      </w:r>
    </w:p>
  </w:footnote>
  <w:footnote w:id="3">
    <w:p w14:paraId="17CE142B" w14:textId="745C1876" w:rsidR="00E4211B" w:rsidRPr="000612A7" w:rsidRDefault="00E4211B">
      <w:pPr>
        <w:pStyle w:val="FootnoteText"/>
        <w:rPr>
          <w:i/>
          <w:iCs/>
          <w:sz w:val="20"/>
          <w:szCs w:val="21"/>
          <w:lang w:val="vi-VN"/>
        </w:rPr>
      </w:pPr>
      <w:r>
        <w:rPr>
          <w:rStyle w:val="FootnoteReference"/>
        </w:rPr>
        <w:t>*</w:t>
      </w:r>
      <w:r w:rsidRPr="000612A7">
        <w:rPr>
          <w:i/>
          <w:iCs/>
          <w:sz w:val="20"/>
          <w:szCs w:val="21"/>
          <w:lang w:val="vi-VN"/>
        </w:rPr>
        <w:t xml:space="preserve"> Tác giả liên hệ chính.</w:t>
      </w:r>
    </w:p>
    <w:p w14:paraId="57E88378" w14:textId="77777777" w:rsidR="00E4211B" w:rsidRPr="000612A7" w:rsidRDefault="00E4211B">
      <w:pPr>
        <w:pStyle w:val="FootnoteText"/>
        <w:rPr>
          <w:lang w:val="vi-VN"/>
        </w:rPr>
      </w:pPr>
      <w:r w:rsidRPr="000612A7">
        <w:rPr>
          <w:i/>
          <w:iCs/>
          <w:sz w:val="20"/>
          <w:szCs w:val="21"/>
          <w:lang w:val="vi-VN"/>
        </w:rPr>
        <w:t xml:space="preserve">Email: </w:t>
      </w:r>
      <w:r>
        <w:rPr>
          <w:i/>
          <w:iCs/>
          <w:sz w:val="20"/>
          <w:szCs w:val="21"/>
          <w:lang w:val="vi-VN"/>
        </w:rPr>
        <w:t>p</w:t>
      </w:r>
      <w:r w:rsidRPr="000612A7">
        <w:rPr>
          <w:i/>
          <w:iCs/>
          <w:sz w:val="20"/>
          <w:szCs w:val="21"/>
          <w:lang w:val="vi-VN"/>
        </w:rPr>
        <w:t>hantuanly@gmail.com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15EF9" w14:textId="77777777" w:rsidR="00E4211B" w:rsidRDefault="00E4211B">
    <w:pPr>
      <w:pBdr>
        <w:top w:val="nil"/>
        <w:left w:val="nil"/>
        <w:bottom w:val="nil"/>
        <w:right w:val="nil"/>
        <w:between w:val="nil"/>
      </w:pBdr>
      <w:tabs>
        <w:tab w:val="center" w:pos="4252"/>
        <w:tab w:val="right" w:pos="8504"/>
      </w:tabs>
      <w:spacing w:line="240" w:lineRule="auto"/>
      <w:rPr>
        <w:color w:val="000000"/>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B29EF"/>
    <w:multiLevelType w:val="hybridMultilevel"/>
    <w:tmpl w:val="FA4E0B20"/>
    <w:lvl w:ilvl="0" w:tplc="30AC9AAA">
      <w:start w:val="1"/>
      <w:numFmt w:val="decimal"/>
      <w:lvlText w:val="%1."/>
      <w:lvlJc w:val="left"/>
      <w:pPr>
        <w:ind w:left="550" w:hanging="380"/>
      </w:pPr>
      <w:rPr>
        <w:rFonts w:hint="default"/>
      </w:rPr>
    </w:lvl>
    <w:lvl w:ilvl="1" w:tplc="042A0019" w:tentative="1">
      <w:start w:val="1"/>
      <w:numFmt w:val="lowerLetter"/>
      <w:lvlText w:val="%2."/>
      <w:lvlJc w:val="left"/>
      <w:pPr>
        <w:ind w:left="1250" w:hanging="360"/>
      </w:pPr>
    </w:lvl>
    <w:lvl w:ilvl="2" w:tplc="042A001B" w:tentative="1">
      <w:start w:val="1"/>
      <w:numFmt w:val="lowerRoman"/>
      <w:lvlText w:val="%3."/>
      <w:lvlJc w:val="right"/>
      <w:pPr>
        <w:ind w:left="1970" w:hanging="180"/>
      </w:pPr>
    </w:lvl>
    <w:lvl w:ilvl="3" w:tplc="042A000F" w:tentative="1">
      <w:start w:val="1"/>
      <w:numFmt w:val="decimal"/>
      <w:lvlText w:val="%4."/>
      <w:lvlJc w:val="left"/>
      <w:pPr>
        <w:ind w:left="2690" w:hanging="360"/>
      </w:pPr>
    </w:lvl>
    <w:lvl w:ilvl="4" w:tplc="042A0019" w:tentative="1">
      <w:start w:val="1"/>
      <w:numFmt w:val="lowerLetter"/>
      <w:lvlText w:val="%5."/>
      <w:lvlJc w:val="left"/>
      <w:pPr>
        <w:ind w:left="3410" w:hanging="360"/>
      </w:pPr>
    </w:lvl>
    <w:lvl w:ilvl="5" w:tplc="042A001B" w:tentative="1">
      <w:start w:val="1"/>
      <w:numFmt w:val="lowerRoman"/>
      <w:lvlText w:val="%6."/>
      <w:lvlJc w:val="right"/>
      <w:pPr>
        <w:ind w:left="4130" w:hanging="180"/>
      </w:pPr>
    </w:lvl>
    <w:lvl w:ilvl="6" w:tplc="042A000F" w:tentative="1">
      <w:start w:val="1"/>
      <w:numFmt w:val="decimal"/>
      <w:lvlText w:val="%7."/>
      <w:lvlJc w:val="left"/>
      <w:pPr>
        <w:ind w:left="4850" w:hanging="360"/>
      </w:pPr>
    </w:lvl>
    <w:lvl w:ilvl="7" w:tplc="042A0019" w:tentative="1">
      <w:start w:val="1"/>
      <w:numFmt w:val="lowerLetter"/>
      <w:lvlText w:val="%8."/>
      <w:lvlJc w:val="left"/>
      <w:pPr>
        <w:ind w:left="5570" w:hanging="360"/>
      </w:pPr>
    </w:lvl>
    <w:lvl w:ilvl="8" w:tplc="042A001B" w:tentative="1">
      <w:start w:val="1"/>
      <w:numFmt w:val="lowerRoman"/>
      <w:lvlText w:val="%9."/>
      <w:lvlJc w:val="right"/>
      <w:pPr>
        <w:ind w:left="6290" w:hanging="180"/>
      </w:pPr>
    </w:lvl>
  </w:abstractNum>
  <w:abstractNum w:abstractNumId="1" w15:restartNumberingAfterBreak="0">
    <w:nsid w:val="5BEE70D5"/>
    <w:multiLevelType w:val="hybridMultilevel"/>
    <w:tmpl w:val="445623D0"/>
    <w:lvl w:ilvl="0" w:tplc="601EC9E0">
      <w:start w:val="1"/>
      <w:numFmt w:val="decimal"/>
      <w:lvlText w:val="%1."/>
      <w:lvlJc w:val="left"/>
      <w:pPr>
        <w:ind w:left="539" w:hanging="380"/>
      </w:pPr>
      <w:rPr>
        <w:rFonts w:hint="default"/>
        <w:b w:val="0"/>
        <w:bCs/>
        <w:i w:val="0"/>
        <w:iCs/>
      </w:rPr>
    </w:lvl>
    <w:lvl w:ilvl="1" w:tplc="042A0019" w:tentative="1">
      <w:start w:val="1"/>
      <w:numFmt w:val="lowerLetter"/>
      <w:lvlText w:val="%2."/>
      <w:lvlJc w:val="left"/>
      <w:pPr>
        <w:ind w:left="1429" w:hanging="360"/>
      </w:pPr>
    </w:lvl>
    <w:lvl w:ilvl="2" w:tplc="042A001B" w:tentative="1">
      <w:start w:val="1"/>
      <w:numFmt w:val="lowerRoman"/>
      <w:lvlText w:val="%3."/>
      <w:lvlJc w:val="right"/>
      <w:pPr>
        <w:ind w:left="2149" w:hanging="180"/>
      </w:pPr>
    </w:lvl>
    <w:lvl w:ilvl="3" w:tplc="042A000F" w:tentative="1">
      <w:start w:val="1"/>
      <w:numFmt w:val="decimal"/>
      <w:lvlText w:val="%4."/>
      <w:lvlJc w:val="left"/>
      <w:pPr>
        <w:ind w:left="2869" w:hanging="360"/>
      </w:pPr>
    </w:lvl>
    <w:lvl w:ilvl="4" w:tplc="042A0019" w:tentative="1">
      <w:start w:val="1"/>
      <w:numFmt w:val="lowerLetter"/>
      <w:lvlText w:val="%5."/>
      <w:lvlJc w:val="left"/>
      <w:pPr>
        <w:ind w:left="3589" w:hanging="360"/>
      </w:pPr>
    </w:lvl>
    <w:lvl w:ilvl="5" w:tplc="042A001B" w:tentative="1">
      <w:start w:val="1"/>
      <w:numFmt w:val="lowerRoman"/>
      <w:lvlText w:val="%6."/>
      <w:lvlJc w:val="right"/>
      <w:pPr>
        <w:ind w:left="4309" w:hanging="180"/>
      </w:pPr>
    </w:lvl>
    <w:lvl w:ilvl="6" w:tplc="042A000F" w:tentative="1">
      <w:start w:val="1"/>
      <w:numFmt w:val="decimal"/>
      <w:lvlText w:val="%7."/>
      <w:lvlJc w:val="left"/>
      <w:pPr>
        <w:ind w:left="5029" w:hanging="360"/>
      </w:pPr>
    </w:lvl>
    <w:lvl w:ilvl="7" w:tplc="042A0019" w:tentative="1">
      <w:start w:val="1"/>
      <w:numFmt w:val="lowerLetter"/>
      <w:lvlText w:val="%8."/>
      <w:lvlJc w:val="left"/>
      <w:pPr>
        <w:ind w:left="5749" w:hanging="360"/>
      </w:pPr>
    </w:lvl>
    <w:lvl w:ilvl="8" w:tplc="042A001B" w:tentative="1">
      <w:start w:val="1"/>
      <w:numFmt w:val="lowerRoman"/>
      <w:lvlText w:val="%9."/>
      <w:lvlJc w:val="right"/>
      <w:pPr>
        <w:ind w:left="646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720"/>
  <w:characterSpacingControl w:val="doNotCompress"/>
  <w:footnotePr>
    <w:numFmt w:val="chicago"/>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D80"/>
    <w:rsid w:val="0000383B"/>
    <w:rsid w:val="00007122"/>
    <w:rsid w:val="00010AE5"/>
    <w:rsid w:val="00012187"/>
    <w:rsid w:val="0001485C"/>
    <w:rsid w:val="00031A57"/>
    <w:rsid w:val="00033F48"/>
    <w:rsid w:val="0003645D"/>
    <w:rsid w:val="000379C2"/>
    <w:rsid w:val="00050E91"/>
    <w:rsid w:val="000528A3"/>
    <w:rsid w:val="000612A7"/>
    <w:rsid w:val="00065C9F"/>
    <w:rsid w:val="0007083F"/>
    <w:rsid w:val="00075C75"/>
    <w:rsid w:val="00080A6D"/>
    <w:rsid w:val="0008790B"/>
    <w:rsid w:val="000C2D34"/>
    <w:rsid w:val="000C702C"/>
    <w:rsid w:val="000D31F6"/>
    <w:rsid w:val="000E0D38"/>
    <w:rsid w:val="000E308A"/>
    <w:rsid w:val="000E3A82"/>
    <w:rsid w:val="000E5713"/>
    <w:rsid w:val="000F372B"/>
    <w:rsid w:val="000F5E94"/>
    <w:rsid w:val="000F6A48"/>
    <w:rsid w:val="0010332A"/>
    <w:rsid w:val="001132CA"/>
    <w:rsid w:val="00126702"/>
    <w:rsid w:val="00141203"/>
    <w:rsid w:val="00145789"/>
    <w:rsid w:val="00151D80"/>
    <w:rsid w:val="001542C8"/>
    <w:rsid w:val="0015503F"/>
    <w:rsid w:val="001602E2"/>
    <w:rsid w:val="00166625"/>
    <w:rsid w:val="001719C9"/>
    <w:rsid w:val="001741A9"/>
    <w:rsid w:val="00181172"/>
    <w:rsid w:val="00183EC3"/>
    <w:rsid w:val="001A7B97"/>
    <w:rsid w:val="001B63FE"/>
    <w:rsid w:val="001B7465"/>
    <w:rsid w:val="001C0511"/>
    <w:rsid w:val="001C4554"/>
    <w:rsid w:val="001C5413"/>
    <w:rsid w:val="001D3B89"/>
    <w:rsid w:val="001E0F95"/>
    <w:rsid w:val="001E420B"/>
    <w:rsid w:val="002107B6"/>
    <w:rsid w:val="00214801"/>
    <w:rsid w:val="002220BE"/>
    <w:rsid w:val="00222ED0"/>
    <w:rsid w:val="002245C0"/>
    <w:rsid w:val="00231AF8"/>
    <w:rsid w:val="00254FA5"/>
    <w:rsid w:val="002617BD"/>
    <w:rsid w:val="00262127"/>
    <w:rsid w:val="002646D9"/>
    <w:rsid w:val="002746A5"/>
    <w:rsid w:val="00284069"/>
    <w:rsid w:val="00284EA5"/>
    <w:rsid w:val="002907E8"/>
    <w:rsid w:val="0029226F"/>
    <w:rsid w:val="00297167"/>
    <w:rsid w:val="002A32CA"/>
    <w:rsid w:val="002A4685"/>
    <w:rsid w:val="002B02F0"/>
    <w:rsid w:val="002B4E11"/>
    <w:rsid w:val="002B6B15"/>
    <w:rsid w:val="002C1339"/>
    <w:rsid w:val="002D0249"/>
    <w:rsid w:val="002D688A"/>
    <w:rsid w:val="002E4A30"/>
    <w:rsid w:val="002E5D17"/>
    <w:rsid w:val="002E7968"/>
    <w:rsid w:val="002F6413"/>
    <w:rsid w:val="00300EDD"/>
    <w:rsid w:val="003030FE"/>
    <w:rsid w:val="0031112D"/>
    <w:rsid w:val="00317ACE"/>
    <w:rsid w:val="00330864"/>
    <w:rsid w:val="00340651"/>
    <w:rsid w:val="00344D9C"/>
    <w:rsid w:val="003467B3"/>
    <w:rsid w:val="0035235A"/>
    <w:rsid w:val="0035599C"/>
    <w:rsid w:val="00374FB1"/>
    <w:rsid w:val="00385E26"/>
    <w:rsid w:val="003930B4"/>
    <w:rsid w:val="003938E0"/>
    <w:rsid w:val="003B4AAC"/>
    <w:rsid w:val="003B62FE"/>
    <w:rsid w:val="003B7F45"/>
    <w:rsid w:val="003C0437"/>
    <w:rsid w:val="003C137B"/>
    <w:rsid w:val="003C687F"/>
    <w:rsid w:val="003C6A7F"/>
    <w:rsid w:val="003D4D0B"/>
    <w:rsid w:val="003E3C7B"/>
    <w:rsid w:val="003E4A42"/>
    <w:rsid w:val="003F0ECE"/>
    <w:rsid w:val="0040077C"/>
    <w:rsid w:val="00406298"/>
    <w:rsid w:val="00412A1C"/>
    <w:rsid w:val="00426EB9"/>
    <w:rsid w:val="00434E6E"/>
    <w:rsid w:val="0043556E"/>
    <w:rsid w:val="0043662D"/>
    <w:rsid w:val="004443A9"/>
    <w:rsid w:val="00447492"/>
    <w:rsid w:val="00451AB4"/>
    <w:rsid w:val="00453261"/>
    <w:rsid w:val="0045390D"/>
    <w:rsid w:val="0048040B"/>
    <w:rsid w:val="004860EF"/>
    <w:rsid w:val="004B0D1B"/>
    <w:rsid w:val="004B3D01"/>
    <w:rsid w:val="004B5816"/>
    <w:rsid w:val="004C0D1E"/>
    <w:rsid w:val="004C5D8B"/>
    <w:rsid w:val="004D0A0E"/>
    <w:rsid w:val="004D5A8E"/>
    <w:rsid w:val="00501DC7"/>
    <w:rsid w:val="00516A2A"/>
    <w:rsid w:val="0052004A"/>
    <w:rsid w:val="00554F91"/>
    <w:rsid w:val="005B5A12"/>
    <w:rsid w:val="005C5A99"/>
    <w:rsid w:val="005C75DB"/>
    <w:rsid w:val="005E3BEE"/>
    <w:rsid w:val="005F2B35"/>
    <w:rsid w:val="005F65CF"/>
    <w:rsid w:val="00603720"/>
    <w:rsid w:val="006119CE"/>
    <w:rsid w:val="006258CA"/>
    <w:rsid w:val="00632A23"/>
    <w:rsid w:val="006360E7"/>
    <w:rsid w:val="00636250"/>
    <w:rsid w:val="0064602E"/>
    <w:rsid w:val="0065425E"/>
    <w:rsid w:val="00667560"/>
    <w:rsid w:val="00677476"/>
    <w:rsid w:val="0068178A"/>
    <w:rsid w:val="00682D64"/>
    <w:rsid w:val="00697691"/>
    <w:rsid w:val="006A68A4"/>
    <w:rsid w:val="006B4CE2"/>
    <w:rsid w:val="006B53B7"/>
    <w:rsid w:val="006C6F0F"/>
    <w:rsid w:val="006D6373"/>
    <w:rsid w:val="006E3678"/>
    <w:rsid w:val="006E4E04"/>
    <w:rsid w:val="006E724B"/>
    <w:rsid w:val="006F01D6"/>
    <w:rsid w:val="00701C13"/>
    <w:rsid w:val="00701C23"/>
    <w:rsid w:val="00701E04"/>
    <w:rsid w:val="00702F23"/>
    <w:rsid w:val="0070368A"/>
    <w:rsid w:val="007076DE"/>
    <w:rsid w:val="0074198F"/>
    <w:rsid w:val="00751197"/>
    <w:rsid w:val="00753670"/>
    <w:rsid w:val="00763D9D"/>
    <w:rsid w:val="00766460"/>
    <w:rsid w:val="007716D1"/>
    <w:rsid w:val="00771F00"/>
    <w:rsid w:val="00776F86"/>
    <w:rsid w:val="00777C16"/>
    <w:rsid w:val="00780791"/>
    <w:rsid w:val="007908C2"/>
    <w:rsid w:val="00793101"/>
    <w:rsid w:val="00797D90"/>
    <w:rsid w:val="007A3C83"/>
    <w:rsid w:val="007C0D39"/>
    <w:rsid w:val="007C22E0"/>
    <w:rsid w:val="007C44F0"/>
    <w:rsid w:val="007F3F6C"/>
    <w:rsid w:val="007F50C8"/>
    <w:rsid w:val="00801F3D"/>
    <w:rsid w:val="00812051"/>
    <w:rsid w:val="008165F8"/>
    <w:rsid w:val="0081739A"/>
    <w:rsid w:val="0082148F"/>
    <w:rsid w:val="00823566"/>
    <w:rsid w:val="00830EEF"/>
    <w:rsid w:val="00837C56"/>
    <w:rsid w:val="008424E1"/>
    <w:rsid w:val="00842852"/>
    <w:rsid w:val="008462E6"/>
    <w:rsid w:val="00855202"/>
    <w:rsid w:val="00866FC4"/>
    <w:rsid w:val="00872E7E"/>
    <w:rsid w:val="00877607"/>
    <w:rsid w:val="00884E33"/>
    <w:rsid w:val="008868B7"/>
    <w:rsid w:val="008B0C16"/>
    <w:rsid w:val="008B3113"/>
    <w:rsid w:val="008B4EB7"/>
    <w:rsid w:val="008B537B"/>
    <w:rsid w:val="00913D5F"/>
    <w:rsid w:val="00914A1F"/>
    <w:rsid w:val="009241B4"/>
    <w:rsid w:val="00924A10"/>
    <w:rsid w:val="00930FAC"/>
    <w:rsid w:val="00943369"/>
    <w:rsid w:val="00950AF6"/>
    <w:rsid w:val="0096783D"/>
    <w:rsid w:val="00981B7E"/>
    <w:rsid w:val="009919FD"/>
    <w:rsid w:val="009A1C41"/>
    <w:rsid w:val="009A3364"/>
    <w:rsid w:val="009A5308"/>
    <w:rsid w:val="009B06DD"/>
    <w:rsid w:val="009B3D01"/>
    <w:rsid w:val="009D0320"/>
    <w:rsid w:val="009D41E8"/>
    <w:rsid w:val="009E16F4"/>
    <w:rsid w:val="009E5594"/>
    <w:rsid w:val="009E5FD8"/>
    <w:rsid w:val="009F475A"/>
    <w:rsid w:val="00A2179D"/>
    <w:rsid w:val="00A33D88"/>
    <w:rsid w:val="00A40CE0"/>
    <w:rsid w:val="00A433CD"/>
    <w:rsid w:val="00A508F6"/>
    <w:rsid w:val="00A568AC"/>
    <w:rsid w:val="00A63479"/>
    <w:rsid w:val="00A760A3"/>
    <w:rsid w:val="00A77D97"/>
    <w:rsid w:val="00A83A07"/>
    <w:rsid w:val="00A85078"/>
    <w:rsid w:val="00A8746E"/>
    <w:rsid w:val="00A960D7"/>
    <w:rsid w:val="00A97B09"/>
    <w:rsid w:val="00AA7A26"/>
    <w:rsid w:val="00AB5185"/>
    <w:rsid w:val="00AD6C2F"/>
    <w:rsid w:val="00AD7335"/>
    <w:rsid w:val="00AF1220"/>
    <w:rsid w:val="00B04C08"/>
    <w:rsid w:val="00B07302"/>
    <w:rsid w:val="00B317E2"/>
    <w:rsid w:val="00B36E83"/>
    <w:rsid w:val="00B43043"/>
    <w:rsid w:val="00B51311"/>
    <w:rsid w:val="00B55387"/>
    <w:rsid w:val="00B56B3B"/>
    <w:rsid w:val="00B61574"/>
    <w:rsid w:val="00B71715"/>
    <w:rsid w:val="00B72558"/>
    <w:rsid w:val="00B843CC"/>
    <w:rsid w:val="00BA095A"/>
    <w:rsid w:val="00BA7859"/>
    <w:rsid w:val="00BB71F9"/>
    <w:rsid w:val="00BC7B6D"/>
    <w:rsid w:val="00BD0081"/>
    <w:rsid w:val="00BD20B9"/>
    <w:rsid w:val="00BD3A17"/>
    <w:rsid w:val="00BE4587"/>
    <w:rsid w:val="00BF7F6E"/>
    <w:rsid w:val="00C016E1"/>
    <w:rsid w:val="00C1183D"/>
    <w:rsid w:val="00C11914"/>
    <w:rsid w:val="00C2041D"/>
    <w:rsid w:val="00C248D6"/>
    <w:rsid w:val="00C31332"/>
    <w:rsid w:val="00C4249E"/>
    <w:rsid w:val="00C425B7"/>
    <w:rsid w:val="00C6483A"/>
    <w:rsid w:val="00C87F23"/>
    <w:rsid w:val="00C90A6D"/>
    <w:rsid w:val="00C958F2"/>
    <w:rsid w:val="00C97557"/>
    <w:rsid w:val="00CA1E13"/>
    <w:rsid w:val="00CA2D44"/>
    <w:rsid w:val="00CB6760"/>
    <w:rsid w:val="00CB6E83"/>
    <w:rsid w:val="00CC5C90"/>
    <w:rsid w:val="00CC6D2D"/>
    <w:rsid w:val="00CD5307"/>
    <w:rsid w:val="00CD6675"/>
    <w:rsid w:val="00CE6D06"/>
    <w:rsid w:val="00CF2CC6"/>
    <w:rsid w:val="00CF67B6"/>
    <w:rsid w:val="00CF7774"/>
    <w:rsid w:val="00D022E2"/>
    <w:rsid w:val="00D06882"/>
    <w:rsid w:val="00D17FED"/>
    <w:rsid w:val="00D2558E"/>
    <w:rsid w:val="00D26B65"/>
    <w:rsid w:val="00D34189"/>
    <w:rsid w:val="00D351C7"/>
    <w:rsid w:val="00D42C0D"/>
    <w:rsid w:val="00D45D55"/>
    <w:rsid w:val="00D70ACF"/>
    <w:rsid w:val="00D74DCB"/>
    <w:rsid w:val="00D777DF"/>
    <w:rsid w:val="00D858F6"/>
    <w:rsid w:val="00D94033"/>
    <w:rsid w:val="00DA001B"/>
    <w:rsid w:val="00DA6710"/>
    <w:rsid w:val="00DA7598"/>
    <w:rsid w:val="00DA77D8"/>
    <w:rsid w:val="00DB0554"/>
    <w:rsid w:val="00DB781B"/>
    <w:rsid w:val="00DB7E53"/>
    <w:rsid w:val="00DD58D8"/>
    <w:rsid w:val="00DE0FA1"/>
    <w:rsid w:val="00DE4A20"/>
    <w:rsid w:val="00DE6294"/>
    <w:rsid w:val="00E03395"/>
    <w:rsid w:val="00E05306"/>
    <w:rsid w:val="00E10D45"/>
    <w:rsid w:val="00E15465"/>
    <w:rsid w:val="00E1573D"/>
    <w:rsid w:val="00E16BE6"/>
    <w:rsid w:val="00E17FBE"/>
    <w:rsid w:val="00E27D7A"/>
    <w:rsid w:val="00E32FF6"/>
    <w:rsid w:val="00E332CE"/>
    <w:rsid w:val="00E3356F"/>
    <w:rsid w:val="00E4211B"/>
    <w:rsid w:val="00E703E7"/>
    <w:rsid w:val="00E73217"/>
    <w:rsid w:val="00E7675C"/>
    <w:rsid w:val="00E76E15"/>
    <w:rsid w:val="00E83E9C"/>
    <w:rsid w:val="00E87495"/>
    <w:rsid w:val="00E922E9"/>
    <w:rsid w:val="00E94DA1"/>
    <w:rsid w:val="00EA5427"/>
    <w:rsid w:val="00EB7367"/>
    <w:rsid w:val="00EC75E0"/>
    <w:rsid w:val="00EE52DC"/>
    <w:rsid w:val="00F14B5C"/>
    <w:rsid w:val="00F15928"/>
    <w:rsid w:val="00F15FB0"/>
    <w:rsid w:val="00F21599"/>
    <w:rsid w:val="00F37325"/>
    <w:rsid w:val="00F37EB5"/>
    <w:rsid w:val="00F5075F"/>
    <w:rsid w:val="00F52900"/>
    <w:rsid w:val="00F61BCF"/>
    <w:rsid w:val="00F62130"/>
    <w:rsid w:val="00F6246F"/>
    <w:rsid w:val="00F704A0"/>
    <w:rsid w:val="00F7433E"/>
    <w:rsid w:val="00F75972"/>
    <w:rsid w:val="00F93F26"/>
    <w:rsid w:val="00F959BA"/>
    <w:rsid w:val="00FA4B60"/>
    <w:rsid w:val="00FA799A"/>
    <w:rsid w:val="00FD4135"/>
    <w:rsid w:val="00FD6A0A"/>
    <w:rsid w:val="00FE0991"/>
    <w:rsid w:val="00FE23D4"/>
    <w:rsid w:val="00FF3478"/>
    <w:rsid w:val="1CDD6E28"/>
    <w:rsid w:val="2020CE8C"/>
    <w:rsid w:val="2E528F1F"/>
    <w:rsid w:val="361B919F"/>
    <w:rsid w:val="3C957D2F"/>
    <w:rsid w:val="5BED5117"/>
    <w:rsid w:val="5C2A77D1"/>
    <w:rsid w:val="5EA7090D"/>
    <w:rsid w:val="610DC08E"/>
    <w:rsid w:val="7605030B"/>
    <w:rsid w:val="77610CEB"/>
    <w:rsid w:val="7FB1A8E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4D7752"/>
  <w15:docId w15:val="{7E489BCE-8744-4764-9598-3F4BD997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6"/>
        <w:szCs w:val="26"/>
        <w:lang w:val="en-US" w:eastAsia="ja-JP" w:bidi="ar-SA"/>
      </w:rPr>
    </w:rPrDefault>
    <w:pPrDefault>
      <w:pPr>
        <w:widowControl w:val="0"/>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2A7"/>
    <w:rPr>
      <w:sz w:val="24"/>
    </w:rPr>
  </w:style>
  <w:style w:type="paragraph" w:styleId="Heading1">
    <w:name w:val="heading 1"/>
    <w:basedOn w:val="Normal"/>
    <w:next w:val="Normal"/>
    <w:link w:val="Heading1Char"/>
    <w:uiPriority w:val="9"/>
    <w:qFormat/>
    <w:rsid w:val="00F52900"/>
    <w:pPr>
      <w:keepNext/>
      <w:spacing w:beforeLines="50" w:before="50" w:afterLines="50" w:after="50" w:line="360" w:lineRule="auto"/>
      <w:outlineLvl w:val="0"/>
    </w:pPr>
    <w:rPr>
      <w:rFonts w:cstheme="majorBidi"/>
      <w:b/>
      <w:sz w:val="22"/>
      <w:szCs w:val="24"/>
    </w:rPr>
  </w:style>
  <w:style w:type="paragraph" w:styleId="Heading2">
    <w:name w:val="heading 2"/>
    <w:basedOn w:val="Normal"/>
    <w:next w:val="Normal"/>
    <w:link w:val="Heading2Char"/>
    <w:uiPriority w:val="9"/>
    <w:unhideWhenUsed/>
    <w:qFormat/>
    <w:rsid w:val="00F52900"/>
    <w:pPr>
      <w:keepNext/>
      <w:spacing w:beforeLines="50" w:before="50" w:afterLines="50" w:after="50"/>
      <w:ind w:leftChars="150" w:left="150"/>
      <w:outlineLvl w:val="1"/>
    </w:pPr>
    <w:rPr>
      <w:rFonts w:eastAsiaTheme="majorEastAsia" w:cstheme="majorBidi"/>
      <w:b/>
      <w:i/>
      <w:sz w:val="22"/>
    </w:rPr>
  </w:style>
  <w:style w:type="paragraph" w:styleId="Heading3">
    <w:name w:val="heading 3"/>
    <w:basedOn w:val="Normal"/>
    <w:next w:val="Normal"/>
    <w:link w:val="Heading3Char"/>
    <w:uiPriority w:val="9"/>
    <w:semiHidden/>
    <w:unhideWhenUsed/>
    <w:qFormat/>
    <w:rsid w:val="00444F94"/>
    <w:pPr>
      <w:keepNext/>
      <w:spacing w:beforeLines="50" w:before="50" w:afterLines="50" w:after="50"/>
      <w:ind w:leftChars="300" w:left="300"/>
      <w:outlineLvl w:val="2"/>
    </w:pPr>
    <w:rPr>
      <w:rFonts w:eastAsiaTheme="majorEastAsia" w:cstheme="majorBidi"/>
      <w:i/>
    </w:rPr>
  </w:style>
  <w:style w:type="paragraph" w:styleId="Heading4">
    <w:name w:val="heading 4"/>
    <w:basedOn w:val="Normal"/>
    <w:next w:val="Normal"/>
    <w:link w:val="Heading4Char"/>
    <w:uiPriority w:val="9"/>
    <w:semiHidden/>
    <w:unhideWhenUsed/>
    <w:qFormat/>
    <w:rsid w:val="009E583E"/>
    <w:pPr>
      <w:keepNext/>
      <w:spacing w:beforeLines="50" w:before="50" w:afterLines="50" w:after="50"/>
      <w:ind w:leftChars="400" w:left="400"/>
      <w:outlineLvl w:val="3"/>
    </w:pPr>
    <w:rPr>
      <w:bCs/>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05CDA"/>
    <w:pPr>
      <w:spacing w:before="240" w:after="120"/>
      <w:jc w:val="center"/>
      <w:outlineLvl w:val="0"/>
    </w:pPr>
    <w:rPr>
      <w:rFonts w:cstheme="majorBidi"/>
      <w:b/>
      <w:sz w:val="28"/>
      <w:szCs w:val="32"/>
    </w:rPr>
  </w:style>
  <w:style w:type="paragraph" w:styleId="ListParagraph">
    <w:name w:val="List Paragraph"/>
    <w:basedOn w:val="Normal"/>
    <w:uiPriority w:val="34"/>
    <w:qFormat/>
    <w:rsid w:val="00E52B41"/>
    <w:pPr>
      <w:ind w:leftChars="400" w:left="840"/>
    </w:pPr>
  </w:style>
  <w:style w:type="character" w:customStyle="1" w:styleId="Heading1Char">
    <w:name w:val="Heading 1 Char"/>
    <w:basedOn w:val="DefaultParagraphFont"/>
    <w:link w:val="Heading1"/>
    <w:uiPriority w:val="9"/>
    <w:rsid w:val="00F52900"/>
    <w:rPr>
      <w:rFonts w:cstheme="majorBidi"/>
      <w:b/>
      <w:sz w:val="22"/>
      <w:szCs w:val="24"/>
    </w:rPr>
  </w:style>
  <w:style w:type="paragraph" w:styleId="FootnoteText">
    <w:name w:val="footnote text"/>
    <w:basedOn w:val="Normal"/>
    <w:link w:val="FootnoteTextChar"/>
    <w:uiPriority w:val="99"/>
    <w:unhideWhenUsed/>
    <w:rsid w:val="002A32BD"/>
    <w:pPr>
      <w:snapToGrid w:val="0"/>
      <w:jc w:val="left"/>
    </w:pPr>
  </w:style>
  <w:style w:type="character" w:customStyle="1" w:styleId="FootnoteTextChar">
    <w:name w:val="Footnote Text Char"/>
    <w:basedOn w:val="DefaultParagraphFont"/>
    <w:link w:val="FootnoteText"/>
    <w:uiPriority w:val="99"/>
    <w:rsid w:val="002A32BD"/>
  </w:style>
  <w:style w:type="character" w:styleId="FootnoteReference">
    <w:name w:val="footnote reference"/>
    <w:basedOn w:val="DefaultParagraphFont"/>
    <w:uiPriority w:val="99"/>
    <w:semiHidden/>
    <w:unhideWhenUsed/>
    <w:rsid w:val="002A32BD"/>
    <w:rPr>
      <w:vertAlign w:val="superscript"/>
    </w:rPr>
  </w:style>
  <w:style w:type="character" w:customStyle="1" w:styleId="Heading2Char">
    <w:name w:val="Heading 2 Char"/>
    <w:basedOn w:val="DefaultParagraphFont"/>
    <w:link w:val="Heading2"/>
    <w:uiPriority w:val="9"/>
    <w:rsid w:val="00F52900"/>
    <w:rPr>
      <w:rFonts w:eastAsiaTheme="majorEastAsia" w:cstheme="majorBidi"/>
      <w:b/>
      <w:i/>
      <w:sz w:val="22"/>
    </w:rPr>
  </w:style>
  <w:style w:type="character" w:customStyle="1" w:styleId="TitleChar">
    <w:name w:val="Title Char"/>
    <w:basedOn w:val="DefaultParagraphFont"/>
    <w:link w:val="Title"/>
    <w:uiPriority w:val="10"/>
    <w:rsid w:val="00205CDA"/>
    <w:rPr>
      <w:rFonts w:eastAsia="Times New Roman" w:cstheme="majorBidi"/>
      <w:b/>
      <w:sz w:val="28"/>
      <w:szCs w:val="32"/>
    </w:rPr>
  </w:style>
  <w:style w:type="character" w:customStyle="1" w:styleId="Heading3Char">
    <w:name w:val="Heading 3 Char"/>
    <w:basedOn w:val="DefaultParagraphFont"/>
    <w:link w:val="Heading3"/>
    <w:uiPriority w:val="9"/>
    <w:rsid w:val="00444F94"/>
    <w:rPr>
      <w:rFonts w:eastAsiaTheme="majorEastAsia" w:cstheme="majorBidi"/>
      <w:i/>
    </w:rPr>
  </w:style>
  <w:style w:type="table" w:styleId="TableGrid">
    <w:name w:val="Table Grid"/>
    <w:basedOn w:val="TableNormal"/>
    <w:uiPriority w:val="39"/>
    <w:rsid w:val="00642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02654"/>
    <w:pPr>
      <w:widowControl/>
      <w:spacing w:before="100" w:beforeAutospacing="1" w:after="100" w:afterAutospacing="1"/>
      <w:jc w:val="left"/>
    </w:pPr>
    <w:rPr>
      <w:rFonts w:ascii="ＭＳ Ｐゴシック" w:eastAsia="ＭＳ Ｐゴシック" w:hAnsi="ＭＳ Ｐゴシック" w:cs="ＭＳ Ｐゴシック"/>
      <w:szCs w:val="24"/>
    </w:rPr>
  </w:style>
  <w:style w:type="character" w:customStyle="1" w:styleId="Heading4Char">
    <w:name w:val="Heading 4 Char"/>
    <w:basedOn w:val="DefaultParagraphFont"/>
    <w:link w:val="Heading4"/>
    <w:uiPriority w:val="9"/>
    <w:rsid w:val="009E583E"/>
    <w:rPr>
      <w:bCs/>
      <w:i/>
    </w:rPr>
  </w:style>
  <w:style w:type="paragraph" w:styleId="Header">
    <w:name w:val="header"/>
    <w:basedOn w:val="Normal"/>
    <w:link w:val="HeaderChar"/>
    <w:uiPriority w:val="99"/>
    <w:unhideWhenUsed/>
    <w:rsid w:val="00A746F3"/>
    <w:pPr>
      <w:tabs>
        <w:tab w:val="center" w:pos="4252"/>
        <w:tab w:val="right" w:pos="8504"/>
      </w:tabs>
      <w:snapToGrid w:val="0"/>
    </w:pPr>
  </w:style>
  <w:style w:type="character" w:customStyle="1" w:styleId="HeaderChar">
    <w:name w:val="Header Char"/>
    <w:basedOn w:val="DefaultParagraphFont"/>
    <w:link w:val="Header"/>
    <w:uiPriority w:val="99"/>
    <w:rsid w:val="00A746F3"/>
  </w:style>
  <w:style w:type="paragraph" w:styleId="Footer">
    <w:name w:val="footer"/>
    <w:basedOn w:val="Normal"/>
    <w:link w:val="FooterChar"/>
    <w:uiPriority w:val="99"/>
    <w:unhideWhenUsed/>
    <w:rsid w:val="00A746F3"/>
    <w:pPr>
      <w:tabs>
        <w:tab w:val="center" w:pos="4252"/>
        <w:tab w:val="right" w:pos="8504"/>
      </w:tabs>
      <w:snapToGrid w:val="0"/>
    </w:pPr>
  </w:style>
  <w:style w:type="character" w:customStyle="1" w:styleId="FooterChar">
    <w:name w:val="Footer Char"/>
    <w:basedOn w:val="DefaultParagraphFont"/>
    <w:link w:val="Footer"/>
    <w:uiPriority w:val="99"/>
    <w:rsid w:val="00A746F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5C75DB"/>
    <w:rPr>
      <w:color w:val="0563C1" w:themeColor="hyperlink"/>
      <w:u w:val="single"/>
    </w:rPr>
  </w:style>
  <w:style w:type="character" w:customStyle="1" w:styleId="UnresolvedMention1">
    <w:name w:val="Unresolved Mention1"/>
    <w:basedOn w:val="DefaultParagraphFont"/>
    <w:uiPriority w:val="99"/>
    <w:semiHidden/>
    <w:unhideWhenUsed/>
    <w:rsid w:val="005C75DB"/>
    <w:rPr>
      <w:color w:val="605E5C"/>
      <w:shd w:val="clear" w:color="auto" w:fill="E1DFDD"/>
    </w:rPr>
  </w:style>
  <w:style w:type="paragraph" w:styleId="Revision">
    <w:name w:val="Revision"/>
    <w:hidden/>
    <w:uiPriority w:val="99"/>
    <w:semiHidden/>
    <w:rsid w:val="005B5A12"/>
    <w:pPr>
      <w:widowControl/>
      <w:spacing w:line="240" w:lineRule="auto"/>
      <w:jc w:val="left"/>
    </w:pPr>
    <w:rPr>
      <w:sz w:val="24"/>
    </w:rPr>
  </w:style>
  <w:style w:type="character" w:customStyle="1" w:styleId="UnresolvedMention2">
    <w:name w:val="Unresolved Mention2"/>
    <w:basedOn w:val="DefaultParagraphFont"/>
    <w:uiPriority w:val="99"/>
    <w:semiHidden/>
    <w:unhideWhenUsed/>
    <w:rsid w:val="00BF7F6E"/>
    <w:rPr>
      <w:color w:val="605E5C"/>
      <w:shd w:val="clear" w:color="auto" w:fill="E1DFDD"/>
    </w:rPr>
  </w:style>
  <w:style w:type="paragraph" w:styleId="BalloonText">
    <w:name w:val="Balloon Text"/>
    <w:basedOn w:val="Normal"/>
    <w:link w:val="BalloonTextChar"/>
    <w:uiPriority w:val="99"/>
    <w:semiHidden/>
    <w:unhideWhenUsed/>
    <w:rsid w:val="00B073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302"/>
    <w:rPr>
      <w:rFonts w:ascii="Segoe UI" w:hAnsi="Segoe UI" w:cs="Segoe UI"/>
      <w:sz w:val="18"/>
      <w:szCs w:val="18"/>
    </w:rPr>
  </w:style>
  <w:style w:type="paragraph" w:styleId="EndnoteText">
    <w:name w:val="endnote text"/>
    <w:basedOn w:val="Normal"/>
    <w:link w:val="EndnoteTextChar"/>
    <w:uiPriority w:val="99"/>
    <w:semiHidden/>
    <w:unhideWhenUsed/>
    <w:rsid w:val="000612A7"/>
    <w:pPr>
      <w:spacing w:line="240" w:lineRule="auto"/>
    </w:pPr>
    <w:rPr>
      <w:sz w:val="20"/>
      <w:szCs w:val="20"/>
    </w:rPr>
  </w:style>
  <w:style w:type="character" w:customStyle="1" w:styleId="EndnoteTextChar">
    <w:name w:val="Endnote Text Char"/>
    <w:basedOn w:val="DefaultParagraphFont"/>
    <w:link w:val="EndnoteText"/>
    <w:uiPriority w:val="99"/>
    <w:semiHidden/>
    <w:rsid w:val="000612A7"/>
    <w:rPr>
      <w:sz w:val="20"/>
      <w:szCs w:val="20"/>
    </w:rPr>
  </w:style>
  <w:style w:type="character" w:styleId="EndnoteReference">
    <w:name w:val="endnote reference"/>
    <w:basedOn w:val="DefaultParagraphFont"/>
    <w:uiPriority w:val="99"/>
    <w:semiHidden/>
    <w:unhideWhenUsed/>
    <w:rsid w:val="000612A7"/>
    <w:rPr>
      <w:vertAlign w:val="superscript"/>
    </w:rPr>
  </w:style>
  <w:style w:type="paragraph" w:styleId="CommentSubject">
    <w:name w:val="annotation subject"/>
    <w:basedOn w:val="CommentText"/>
    <w:next w:val="CommentText"/>
    <w:link w:val="CommentSubjectChar"/>
    <w:uiPriority w:val="99"/>
    <w:semiHidden/>
    <w:unhideWhenUsed/>
    <w:rsid w:val="00012187"/>
    <w:pPr>
      <w:spacing w:line="312" w:lineRule="auto"/>
      <w:jc w:val="left"/>
    </w:pPr>
    <w:rPr>
      <w:b/>
      <w:bCs/>
      <w:sz w:val="24"/>
      <w:szCs w:val="26"/>
    </w:rPr>
  </w:style>
  <w:style w:type="character" w:customStyle="1" w:styleId="CommentSubjectChar">
    <w:name w:val="Comment Subject Char"/>
    <w:basedOn w:val="CommentTextChar"/>
    <w:link w:val="CommentSubject"/>
    <w:uiPriority w:val="99"/>
    <w:semiHidden/>
    <w:rsid w:val="00012187"/>
    <w:rPr>
      <w:b/>
      <w:bCs/>
      <w:sz w:val="24"/>
      <w:szCs w:val="20"/>
    </w:rPr>
  </w:style>
  <w:style w:type="character" w:customStyle="1" w:styleId="UnresolvedMention3">
    <w:name w:val="Unresolved Mention3"/>
    <w:basedOn w:val="DefaultParagraphFont"/>
    <w:uiPriority w:val="99"/>
    <w:semiHidden/>
    <w:unhideWhenUsed/>
    <w:rsid w:val="00793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75275">
      <w:bodyDiv w:val="1"/>
      <w:marLeft w:val="0"/>
      <w:marRight w:val="0"/>
      <w:marTop w:val="0"/>
      <w:marBottom w:val="0"/>
      <w:divBdr>
        <w:top w:val="none" w:sz="0" w:space="0" w:color="auto"/>
        <w:left w:val="none" w:sz="0" w:space="0" w:color="auto"/>
        <w:bottom w:val="none" w:sz="0" w:space="0" w:color="auto"/>
        <w:right w:val="none" w:sz="0" w:space="0" w:color="auto"/>
      </w:divBdr>
    </w:div>
    <w:div w:id="117720227">
      <w:bodyDiv w:val="1"/>
      <w:marLeft w:val="0"/>
      <w:marRight w:val="0"/>
      <w:marTop w:val="0"/>
      <w:marBottom w:val="0"/>
      <w:divBdr>
        <w:top w:val="none" w:sz="0" w:space="0" w:color="auto"/>
        <w:left w:val="none" w:sz="0" w:space="0" w:color="auto"/>
        <w:bottom w:val="none" w:sz="0" w:space="0" w:color="auto"/>
        <w:right w:val="none" w:sz="0" w:space="0" w:color="auto"/>
      </w:divBdr>
    </w:div>
    <w:div w:id="1094084742">
      <w:bodyDiv w:val="1"/>
      <w:marLeft w:val="0"/>
      <w:marRight w:val="0"/>
      <w:marTop w:val="0"/>
      <w:marBottom w:val="0"/>
      <w:divBdr>
        <w:top w:val="none" w:sz="0" w:space="0" w:color="auto"/>
        <w:left w:val="none" w:sz="0" w:space="0" w:color="auto"/>
        <w:bottom w:val="none" w:sz="0" w:space="0" w:color="auto"/>
        <w:right w:val="none" w:sz="0" w:space="0" w:color="auto"/>
      </w:divBdr>
    </w:div>
    <w:div w:id="1126973039">
      <w:bodyDiv w:val="1"/>
      <w:marLeft w:val="0"/>
      <w:marRight w:val="0"/>
      <w:marTop w:val="0"/>
      <w:marBottom w:val="0"/>
      <w:divBdr>
        <w:top w:val="none" w:sz="0" w:space="0" w:color="auto"/>
        <w:left w:val="none" w:sz="0" w:space="0" w:color="auto"/>
        <w:bottom w:val="none" w:sz="0" w:space="0" w:color="auto"/>
        <w:right w:val="none" w:sz="0" w:space="0" w:color="auto"/>
      </w:divBdr>
      <w:divsChild>
        <w:div w:id="2006587374">
          <w:marLeft w:val="0"/>
          <w:marRight w:val="0"/>
          <w:marTop w:val="0"/>
          <w:marBottom w:val="0"/>
          <w:divBdr>
            <w:top w:val="none" w:sz="0" w:space="0" w:color="auto"/>
            <w:left w:val="none" w:sz="0" w:space="0" w:color="auto"/>
            <w:bottom w:val="none" w:sz="0" w:space="0" w:color="auto"/>
            <w:right w:val="none" w:sz="0" w:space="0" w:color="auto"/>
          </w:divBdr>
        </w:div>
        <w:div w:id="359548594">
          <w:marLeft w:val="0"/>
          <w:marRight w:val="0"/>
          <w:marTop w:val="0"/>
          <w:marBottom w:val="0"/>
          <w:divBdr>
            <w:top w:val="none" w:sz="0" w:space="0" w:color="auto"/>
            <w:left w:val="none" w:sz="0" w:space="0" w:color="auto"/>
            <w:bottom w:val="none" w:sz="0" w:space="0" w:color="auto"/>
            <w:right w:val="none" w:sz="0" w:space="0" w:color="auto"/>
          </w:divBdr>
        </w:div>
      </w:divsChild>
    </w:div>
    <w:div w:id="1142430395">
      <w:bodyDiv w:val="1"/>
      <w:marLeft w:val="0"/>
      <w:marRight w:val="0"/>
      <w:marTop w:val="0"/>
      <w:marBottom w:val="0"/>
      <w:divBdr>
        <w:top w:val="none" w:sz="0" w:space="0" w:color="auto"/>
        <w:left w:val="none" w:sz="0" w:space="0" w:color="auto"/>
        <w:bottom w:val="none" w:sz="0" w:space="0" w:color="auto"/>
        <w:right w:val="none" w:sz="0" w:space="0" w:color="auto"/>
      </w:divBdr>
    </w:div>
    <w:div w:id="1542405140">
      <w:bodyDiv w:val="1"/>
      <w:marLeft w:val="0"/>
      <w:marRight w:val="0"/>
      <w:marTop w:val="0"/>
      <w:marBottom w:val="0"/>
      <w:divBdr>
        <w:top w:val="none" w:sz="0" w:space="0" w:color="auto"/>
        <w:left w:val="none" w:sz="0" w:space="0" w:color="auto"/>
        <w:bottom w:val="none" w:sz="0" w:space="0" w:color="auto"/>
        <w:right w:val="none" w:sz="0" w:space="0" w:color="auto"/>
      </w:divBdr>
    </w:div>
    <w:div w:id="1696149813">
      <w:bodyDiv w:val="1"/>
      <w:marLeft w:val="0"/>
      <w:marRight w:val="0"/>
      <w:marTop w:val="0"/>
      <w:marBottom w:val="0"/>
      <w:divBdr>
        <w:top w:val="none" w:sz="0" w:space="0" w:color="auto"/>
        <w:left w:val="none" w:sz="0" w:space="0" w:color="auto"/>
        <w:bottom w:val="none" w:sz="0" w:space="0" w:color="auto"/>
        <w:right w:val="none" w:sz="0" w:space="0" w:color="auto"/>
      </w:divBdr>
      <w:divsChild>
        <w:div w:id="338581284">
          <w:marLeft w:val="0"/>
          <w:marRight w:val="0"/>
          <w:marTop w:val="0"/>
          <w:marBottom w:val="0"/>
          <w:divBdr>
            <w:top w:val="none" w:sz="0" w:space="0" w:color="auto"/>
            <w:left w:val="none" w:sz="0" w:space="0" w:color="auto"/>
            <w:bottom w:val="none" w:sz="0" w:space="0" w:color="auto"/>
            <w:right w:val="none" w:sz="0" w:space="0" w:color="auto"/>
          </w:divBdr>
        </w:div>
        <w:div w:id="641884943">
          <w:marLeft w:val="0"/>
          <w:marRight w:val="0"/>
          <w:marTop w:val="0"/>
          <w:marBottom w:val="0"/>
          <w:divBdr>
            <w:top w:val="none" w:sz="0" w:space="0" w:color="auto"/>
            <w:left w:val="none" w:sz="0" w:space="0" w:color="auto"/>
            <w:bottom w:val="none" w:sz="0" w:space="0" w:color="auto"/>
            <w:right w:val="none" w:sz="0" w:space="0" w:color="auto"/>
          </w:divBdr>
        </w:div>
      </w:divsChild>
    </w:div>
    <w:div w:id="1746148828">
      <w:bodyDiv w:val="1"/>
      <w:marLeft w:val="0"/>
      <w:marRight w:val="0"/>
      <w:marTop w:val="0"/>
      <w:marBottom w:val="0"/>
      <w:divBdr>
        <w:top w:val="none" w:sz="0" w:space="0" w:color="auto"/>
        <w:left w:val="none" w:sz="0" w:space="0" w:color="auto"/>
        <w:bottom w:val="none" w:sz="0" w:space="0" w:color="auto"/>
        <w:right w:val="none" w:sz="0" w:space="0" w:color="auto"/>
      </w:divBdr>
      <w:divsChild>
        <w:div w:id="2040159417">
          <w:marLeft w:val="0"/>
          <w:marRight w:val="0"/>
          <w:marTop w:val="0"/>
          <w:marBottom w:val="0"/>
          <w:divBdr>
            <w:top w:val="none" w:sz="0" w:space="0" w:color="auto"/>
            <w:left w:val="none" w:sz="0" w:space="0" w:color="auto"/>
            <w:bottom w:val="none" w:sz="0" w:space="0" w:color="auto"/>
            <w:right w:val="none" w:sz="0" w:space="0" w:color="auto"/>
          </w:divBdr>
        </w:div>
        <w:div w:id="1450511150">
          <w:marLeft w:val="0"/>
          <w:marRight w:val="0"/>
          <w:marTop w:val="0"/>
          <w:marBottom w:val="0"/>
          <w:divBdr>
            <w:top w:val="none" w:sz="0" w:space="0" w:color="auto"/>
            <w:left w:val="none" w:sz="0" w:space="0" w:color="auto"/>
            <w:bottom w:val="none" w:sz="0" w:space="0" w:color="auto"/>
            <w:right w:val="none" w:sz="0" w:space="0" w:color="auto"/>
          </w:divBdr>
        </w:div>
      </w:divsChild>
    </w:div>
    <w:div w:id="1843085182">
      <w:bodyDiv w:val="1"/>
      <w:marLeft w:val="0"/>
      <w:marRight w:val="0"/>
      <w:marTop w:val="0"/>
      <w:marBottom w:val="0"/>
      <w:divBdr>
        <w:top w:val="none" w:sz="0" w:space="0" w:color="auto"/>
        <w:left w:val="none" w:sz="0" w:space="0" w:color="auto"/>
        <w:bottom w:val="none" w:sz="0" w:space="0" w:color="auto"/>
        <w:right w:val="none" w:sz="0" w:space="0" w:color="auto"/>
      </w:divBdr>
      <w:divsChild>
        <w:div w:id="1274051822">
          <w:marLeft w:val="0"/>
          <w:marRight w:val="0"/>
          <w:marTop w:val="0"/>
          <w:marBottom w:val="0"/>
          <w:divBdr>
            <w:top w:val="none" w:sz="0" w:space="0" w:color="auto"/>
            <w:left w:val="none" w:sz="0" w:space="0" w:color="auto"/>
            <w:bottom w:val="none" w:sz="0" w:space="0" w:color="auto"/>
            <w:right w:val="none" w:sz="0" w:space="0" w:color="auto"/>
          </w:divBdr>
        </w:div>
        <w:div w:id="176286828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EqpmqiTIofs82vXfzDQ03nokzQ==">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7A12FC-F7BA-492E-8C89-5D4681AB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9</Pages>
  <Words>4779</Words>
  <Characters>27245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31961</CharactersWithSpaces>
  <SharedDoc>false</SharedDoc>
  <HLinks>
    <vt:vector size="54" baseType="variant">
      <vt:variant>
        <vt:i4>4718676</vt:i4>
      </vt:variant>
      <vt:variant>
        <vt:i4>24</vt:i4>
      </vt:variant>
      <vt:variant>
        <vt:i4>0</vt:i4>
      </vt:variant>
      <vt:variant>
        <vt:i4>5</vt:i4>
      </vt:variant>
      <vt:variant>
        <vt:lpwstr>https://www.courts.go.jp/english/vc-files/courts-en/file/2018_Court_System_of_Japan.pdf</vt:lpwstr>
      </vt:variant>
      <vt:variant>
        <vt:lpwstr/>
      </vt:variant>
      <vt:variant>
        <vt:i4>4849757</vt:i4>
      </vt:variant>
      <vt:variant>
        <vt:i4>21</vt:i4>
      </vt:variant>
      <vt:variant>
        <vt:i4>0</vt:i4>
      </vt:variant>
      <vt:variant>
        <vt:i4>5</vt:i4>
      </vt:variant>
      <vt:variant>
        <vt:lpwstr>http://id.ndl.go.jp/bib/025595727</vt:lpwstr>
      </vt:variant>
      <vt:variant>
        <vt:lpwstr/>
      </vt:variant>
      <vt:variant>
        <vt:i4>8060971</vt:i4>
      </vt:variant>
      <vt:variant>
        <vt:i4>18</vt:i4>
      </vt:variant>
      <vt:variant>
        <vt:i4>0</vt:i4>
      </vt:variant>
      <vt:variant>
        <vt:i4>5</vt:i4>
      </vt:variant>
      <vt:variant>
        <vt:lpwstr>https://waseda.repo.nii.ac.jp/records/36453</vt:lpwstr>
      </vt:variant>
      <vt:variant>
        <vt:lpwstr/>
      </vt:variant>
      <vt:variant>
        <vt:i4>4653150</vt:i4>
      </vt:variant>
      <vt:variant>
        <vt:i4>15</vt:i4>
      </vt:variant>
      <vt:variant>
        <vt:i4>0</vt:i4>
      </vt:variant>
      <vt:variant>
        <vt:i4>5</vt:i4>
      </vt:variant>
      <vt:variant>
        <vt:lpwstr>http://id.ndl.go.jp/bib/024289440</vt:lpwstr>
      </vt:variant>
      <vt:variant>
        <vt:lpwstr/>
      </vt:variant>
      <vt:variant>
        <vt:i4>3801211</vt:i4>
      </vt:variant>
      <vt:variant>
        <vt:i4>12</vt:i4>
      </vt:variant>
      <vt:variant>
        <vt:i4>0</vt:i4>
      </vt:variant>
      <vt:variant>
        <vt:i4>5</vt:i4>
      </vt:variant>
      <vt:variant>
        <vt:lpwstr>https://www.moj.go.jp.html/</vt:lpwstr>
      </vt:variant>
      <vt:variant>
        <vt:lpwstr/>
      </vt:variant>
      <vt:variant>
        <vt:i4>786506</vt:i4>
      </vt:variant>
      <vt:variant>
        <vt:i4>9</vt:i4>
      </vt:variant>
      <vt:variant>
        <vt:i4>0</vt:i4>
      </vt:variant>
      <vt:variant>
        <vt:i4>5</vt:i4>
      </vt:variant>
      <vt:variant>
        <vt:lpwstr>https://doi.org/10.15088/00001298</vt:lpwstr>
      </vt:variant>
      <vt:variant>
        <vt:lpwstr/>
      </vt:variant>
      <vt:variant>
        <vt:i4>6619189</vt:i4>
      </vt:variant>
      <vt:variant>
        <vt:i4>6</vt:i4>
      </vt:variant>
      <vt:variant>
        <vt:i4>0</vt:i4>
      </vt:variant>
      <vt:variant>
        <vt:i4>5</vt:i4>
      </vt:variant>
      <vt:variant>
        <vt:lpwstr>https://cgu.repo.nii.ac.jp/record/1136/files/24-04.pdf</vt:lpwstr>
      </vt:variant>
      <vt:variant>
        <vt:lpwstr/>
      </vt:variant>
      <vt:variant>
        <vt:i4>2031694</vt:i4>
      </vt:variant>
      <vt:variant>
        <vt:i4>3</vt:i4>
      </vt:variant>
      <vt:variant>
        <vt:i4>0</vt:i4>
      </vt:variant>
      <vt:variant>
        <vt:i4>5</vt:i4>
      </vt:variant>
      <vt:variant>
        <vt:lpwstr>https://sti.vista.gov.vn/tw/Lists/TaiLieuKHCN/Attachments/287900/CVv146S142020008.pdf</vt:lpwstr>
      </vt:variant>
      <vt:variant>
        <vt:lpwstr/>
      </vt:variant>
      <vt:variant>
        <vt:i4>2556017</vt:i4>
      </vt:variant>
      <vt:variant>
        <vt:i4>0</vt:i4>
      </vt:variant>
      <vt:variant>
        <vt:i4>0</vt:i4>
      </vt:variant>
      <vt:variant>
        <vt:i4>5</vt:i4>
      </vt:variant>
      <vt:variant>
        <vt:lpwstr>https://user-cdn.uef.edu.vn/newsimg/ttplhk/1. Ch%E1%BA%BF %C4%91%E1%BB%8Bnh b%E1%BB%93i th%E1%BA%A9m %C4%91o%C3%A0n v%C3%A0 %C4%91%E1%BB%99ng l%E1%BB%B1c ph%C3%A1t tri%E1%BB%83n t%E1%BA%A1i Vi%E1%BB%87t Nam.pdf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PTL</dc:creator>
  <cp:lastModifiedBy>P</cp:lastModifiedBy>
  <cp:revision>73</cp:revision>
  <dcterms:created xsi:type="dcterms:W3CDTF">2024-10-08T16:41:00Z</dcterms:created>
  <dcterms:modified xsi:type="dcterms:W3CDTF">2024-12-17T17:03:00Z</dcterms:modified>
</cp:coreProperties>
</file>