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AE48F" w14:textId="202A2F09" w:rsidR="000007B1" w:rsidRDefault="000E5AB4" w:rsidP="000007B1">
      <w:pPr>
        <w:spacing w:line="480" w:lineRule="auto"/>
        <w:jc w:val="right"/>
        <w:rPr>
          <w:rFonts w:ascii="Arial" w:hAnsi="Arial" w:cs="Arial"/>
          <w:b/>
          <w:i/>
          <w:iCs/>
          <w:szCs w:val="14"/>
        </w:rPr>
      </w:pPr>
      <w:r w:rsidRPr="00804D91">
        <w:rPr>
          <w:rFonts w:ascii="Arial" w:hAnsi="Arial" w:cs="Arial"/>
          <w:b/>
          <w:i/>
          <w:iCs/>
          <w:szCs w:val="14"/>
        </w:rPr>
        <w:t>Manuscript Template</w:t>
      </w:r>
    </w:p>
    <w:p w14:paraId="00FA4729" w14:textId="77777777" w:rsidR="000007B1" w:rsidRDefault="000007B1" w:rsidP="000007B1">
      <w:pPr>
        <w:spacing w:line="480" w:lineRule="auto"/>
        <w:rPr>
          <w:rFonts w:ascii="Arial" w:hAnsi="Arial" w:cs="Arial"/>
          <w:b/>
          <w:i/>
          <w:iCs/>
          <w:szCs w:val="14"/>
        </w:rPr>
      </w:pPr>
    </w:p>
    <w:p w14:paraId="316C05A1" w14:textId="47999511" w:rsidR="00030E16" w:rsidRDefault="00030E16" w:rsidP="000007B1">
      <w:pPr>
        <w:jc w:val="center"/>
        <w:rPr>
          <w:rFonts w:ascii="Arial" w:hAnsi="Arial" w:cs="Arial"/>
          <w:b/>
          <w:sz w:val="32"/>
          <w:szCs w:val="32"/>
          <w:lang w:val="fr-FR"/>
        </w:rPr>
      </w:pPr>
      <w:r>
        <w:rPr>
          <w:rFonts w:ascii="Arial" w:hAnsi="Arial" w:cs="Arial"/>
          <w:b/>
          <w:sz w:val="32"/>
          <w:szCs w:val="32"/>
          <w:lang w:val="fr-FR"/>
        </w:rPr>
        <w:t>Phân tích và xây dựng danh mục tương tác thuốc tim mạch ở bệnh nhân ngoại trú tại Trung tâm Y tế Huyện Long Mỹ, Tỉnh Hậ</w:t>
      </w:r>
      <w:r w:rsidR="00DC0FC7">
        <w:rPr>
          <w:rFonts w:ascii="Arial" w:hAnsi="Arial" w:cs="Arial"/>
          <w:b/>
          <w:sz w:val="32"/>
          <w:szCs w:val="32"/>
          <w:lang w:val="fr-FR"/>
        </w:rPr>
        <w:t>u Giang, năm 202</w:t>
      </w:r>
      <w:r>
        <w:rPr>
          <w:rFonts w:ascii="Arial" w:hAnsi="Arial" w:cs="Arial"/>
          <w:b/>
          <w:sz w:val="32"/>
          <w:szCs w:val="32"/>
          <w:lang w:val="fr-FR"/>
        </w:rPr>
        <w:t>3</w:t>
      </w:r>
    </w:p>
    <w:p w14:paraId="6BBA104A" w14:textId="77777777" w:rsidR="000007B1" w:rsidRPr="000007B1" w:rsidRDefault="000007B1" w:rsidP="000007B1">
      <w:pPr>
        <w:jc w:val="center"/>
        <w:rPr>
          <w:rFonts w:ascii="Arial" w:hAnsi="Arial" w:cs="Arial"/>
          <w:b/>
          <w:sz w:val="32"/>
          <w:szCs w:val="32"/>
          <w:lang w:val="fr-FR"/>
        </w:rPr>
      </w:pPr>
    </w:p>
    <w:p w14:paraId="1820BEF8" w14:textId="448AB9B6" w:rsidR="00030E16" w:rsidRDefault="00030E16" w:rsidP="00030E16">
      <w:pPr>
        <w:spacing w:before="120" w:after="120"/>
        <w:jc w:val="center"/>
        <w:rPr>
          <w:rFonts w:cs="Times New Roman"/>
          <w:b/>
          <w:sz w:val="24"/>
          <w:szCs w:val="24"/>
          <w:lang w:val="fr-FR"/>
        </w:rPr>
      </w:pPr>
      <w:r>
        <w:rPr>
          <w:rFonts w:cs="Times New Roman"/>
          <w:b/>
          <w:sz w:val="24"/>
          <w:szCs w:val="24"/>
          <w:lang w:val="fr-FR"/>
        </w:rPr>
        <w:t>Cao Phước Thắng</w:t>
      </w:r>
      <w:r w:rsidRPr="00FA5E31">
        <w:rPr>
          <w:rFonts w:cs="Times New Roman"/>
          <w:b/>
          <w:sz w:val="24"/>
          <w:szCs w:val="24"/>
          <w:vertAlign w:val="superscript"/>
          <w:lang w:val="fr-FR"/>
        </w:rPr>
        <w:t>1</w:t>
      </w:r>
      <w:r>
        <w:rPr>
          <w:rFonts w:cs="Times New Roman"/>
          <w:b/>
          <w:sz w:val="24"/>
          <w:szCs w:val="24"/>
          <w:lang w:val="fr-FR"/>
        </w:rPr>
        <w:t>, Trương Huỳnh Kim Ngọc</w:t>
      </w:r>
      <w:proofErr w:type="gramStart"/>
      <w:r w:rsidRPr="00FA5E31">
        <w:rPr>
          <w:rFonts w:cs="Times New Roman"/>
          <w:b/>
          <w:sz w:val="24"/>
          <w:szCs w:val="24"/>
          <w:vertAlign w:val="superscript"/>
          <w:lang w:val="fr-FR"/>
        </w:rPr>
        <w:t>1</w:t>
      </w:r>
      <w:r>
        <w:rPr>
          <w:rFonts w:cs="Times New Roman"/>
          <w:b/>
          <w:sz w:val="24"/>
          <w:szCs w:val="24"/>
          <w:vertAlign w:val="superscript"/>
          <w:lang w:val="fr-FR"/>
        </w:rPr>
        <w:t>,</w:t>
      </w:r>
      <w:r w:rsidRPr="00FA5E31">
        <w:rPr>
          <w:rFonts w:cs="Times New Roman"/>
          <w:b/>
          <w:sz w:val="24"/>
          <w:szCs w:val="24"/>
          <w:vertAlign w:val="superscript"/>
          <w:lang w:val="fr-FR"/>
        </w:rPr>
        <w:t>*</w:t>
      </w:r>
      <w:proofErr w:type="gramEnd"/>
      <w:r w:rsidRPr="00FA5E31">
        <w:rPr>
          <w:rFonts w:cs="Times New Roman"/>
          <w:b/>
          <w:sz w:val="24"/>
          <w:szCs w:val="24"/>
          <w:lang w:val="fr-FR"/>
        </w:rPr>
        <w:t>,</w:t>
      </w:r>
      <w:r w:rsidR="00DC0FC7">
        <w:rPr>
          <w:rFonts w:cs="Times New Roman"/>
          <w:b/>
          <w:sz w:val="24"/>
          <w:szCs w:val="24"/>
          <w:lang w:val="fr-FR"/>
        </w:rPr>
        <w:t xml:space="preserve"> </w:t>
      </w:r>
      <w:r>
        <w:rPr>
          <w:rFonts w:cs="Times New Roman"/>
          <w:b/>
          <w:sz w:val="24"/>
          <w:szCs w:val="24"/>
          <w:lang w:val="fr-FR"/>
        </w:rPr>
        <w:t>Quách Thị Hồng Dung</w:t>
      </w:r>
      <w:r>
        <w:rPr>
          <w:rFonts w:cs="Times New Roman"/>
          <w:b/>
          <w:sz w:val="24"/>
          <w:szCs w:val="24"/>
          <w:vertAlign w:val="superscript"/>
          <w:lang w:val="fr-FR"/>
        </w:rPr>
        <w:t>1</w:t>
      </w:r>
      <w:r w:rsidRPr="00FA5E31">
        <w:rPr>
          <w:rFonts w:cs="Times New Roman"/>
          <w:b/>
          <w:sz w:val="24"/>
          <w:szCs w:val="24"/>
          <w:lang w:val="fr-FR"/>
        </w:rPr>
        <w:t>,</w:t>
      </w:r>
      <w:r w:rsidR="00DC0FC7">
        <w:rPr>
          <w:rFonts w:cs="Times New Roman"/>
          <w:b/>
          <w:sz w:val="24"/>
          <w:szCs w:val="24"/>
          <w:lang w:val="fr-FR"/>
        </w:rPr>
        <w:t xml:space="preserve"> Nguyễn Thị Anh Thư</w:t>
      </w:r>
      <w:r w:rsidR="00DC0FC7">
        <w:rPr>
          <w:rFonts w:cs="Times New Roman"/>
          <w:b/>
          <w:sz w:val="24"/>
          <w:szCs w:val="24"/>
          <w:vertAlign w:val="superscript"/>
          <w:lang w:val="fr-FR"/>
        </w:rPr>
        <w:t>2</w:t>
      </w:r>
      <w:r w:rsidR="00DC0FC7">
        <w:rPr>
          <w:rFonts w:cs="Times New Roman"/>
          <w:b/>
          <w:sz w:val="24"/>
          <w:szCs w:val="24"/>
          <w:lang w:val="fr-FR"/>
        </w:rPr>
        <w:t>,</w:t>
      </w:r>
      <w:r w:rsidRPr="00FA5E31">
        <w:rPr>
          <w:rFonts w:cs="Times New Roman"/>
          <w:b/>
          <w:sz w:val="24"/>
          <w:szCs w:val="24"/>
          <w:lang w:val="fr-FR"/>
        </w:rPr>
        <w:t xml:space="preserve"> </w:t>
      </w:r>
      <w:r>
        <w:rPr>
          <w:rFonts w:cs="Times New Roman"/>
          <w:b/>
          <w:sz w:val="24"/>
          <w:szCs w:val="24"/>
          <w:lang w:val="fr-FR"/>
        </w:rPr>
        <w:t>Nguyễn Thị Ngọc Trâm</w:t>
      </w:r>
      <w:r>
        <w:rPr>
          <w:rFonts w:cs="Times New Roman"/>
          <w:b/>
          <w:sz w:val="24"/>
          <w:szCs w:val="24"/>
          <w:vertAlign w:val="superscript"/>
          <w:lang w:val="fr-FR"/>
        </w:rPr>
        <w:t>1</w:t>
      </w:r>
      <w:r w:rsidRPr="00FA5E31">
        <w:rPr>
          <w:rFonts w:cs="Times New Roman"/>
          <w:b/>
          <w:sz w:val="24"/>
          <w:szCs w:val="24"/>
          <w:lang w:val="fr-FR"/>
        </w:rPr>
        <w:t xml:space="preserve">   </w:t>
      </w:r>
    </w:p>
    <w:p w14:paraId="3B4ADC87" w14:textId="77777777" w:rsidR="00030E16" w:rsidRDefault="00030E16" w:rsidP="00F263E1">
      <w:pPr>
        <w:spacing w:before="120" w:after="120"/>
        <w:rPr>
          <w:rFonts w:cs="Times New Roman"/>
          <w:b/>
          <w:sz w:val="24"/>
          <w:szCs w:val="24"/>
          <w:lang w:val="fr-FR"/>
        </w:rPr>
      </w:pPr>
    </w:p>
    <w:p w14:paraId="41FAF5DE" w14:textId="77777777" w:rsidR="00030E16" w:rsidRPr="00F263E1" w:rsidRDefault="00030E16" w:rsidP="00030E16">
      <w:pPr>
        <w:pStyle w:val="AuthorNote"/>
        <w:jc w:val="center"/>
        <w:rPr>
          <w:sz w:val="22"/>
          <w:lang w:val="fr-FR"/>
        </w:rPr>
      </w:pPr>
      <w:r w:rsidRPr="00F263E1">
        <w:rPr>
          <w:sz w:val="22"/>
          <w:vertAlign w:val="superscript"/>
          <w:lang w:val="fr-FR"/>
        </w:rPr>
        <w:t>1</w:t>
      </w:r>
      <w:r w:rsidRPr="00F263E1">
        <w:rPr>
          <w:sz w:val="22"/>
          <w:lang w:val="fr-FR"/>
        </w:rPr>
        <w:t>Bộ môn Khoa học sức khỏe, Khoa Khoa học tự nhiên, Đại học Cần Thơ.</w:t>
      </w:r>
    </w:p>
    <w:p w14:paraId="31FA597D" w14:textId="77777777" w:rsidR="000007B1" w:rsidRDefault="00030E16" w:rsidP="000007B1">
      <w:pPr>
        <w:pStyle w:val="AuthorNote"/>
        <w:jc w:val="center"/>
        <w:rPr>
          <w:sz w:val="22"/>
        </w:rPr>
      </w:pPr>
      <w:r w:rsidRPr="000007B1">
        <w:rPr>
          <w:sz w:val="22"/>
          <w:vertAlign w:val="superscript"/>
        </w:rPr>
        <w:t>2</w:t>
      </w:r>
      <w:r w:rsidRPr="000007B1">
        <w:rPr>
          <w:sz w:val="22"/>
        </w:rPr>
        <w:t>Trung tâm Y tế Huyện Long Mỹ, Hậu Giang.</w:t>
      </w:r>
    </w:p>
    <w:p w14:paraId="1B6BA806" w14:textId="77777777" w:rsidR="000007B1" w:rsidRDefault="000007B1" w:rsidP="000007B1">
      <w:pPr>
        <w:pStyle w:val="AuthorNote"/>
        <w:jc w:val="center"/>
        <w:rPr>
          <w:sz w:val="22"/>
        </w:rPr>
      </w:pPr>
    </w:p>
    <w:p w14:paraId="284FD8D1" w14:textId="6C47D963" w:rsidR="000007B1" w:rsidRPr="000007B1" w:rsidRDefault="000007B1" w:rsidP="000007B1">
      <w:pPr>
        <w:pStyle w:val="AuthorNote"/>
        <w:jc w:val="center"/>
        <w:rPr>
          <w:sz w:val="22"/>
        </w:rPr>
      </w:pPr>
      <w:r>
        <w:rPr>
          <w:i w:val="0"/>
          <w:sz w:val="22"/>
        </w:rPr>
        <w:t>Received: dd/mm/yyyy; Revised: dd/mm/yyyy;</w:t>
      </w:r>
    </w:p>
    <w:p w14:paraId="1A3D92E9" w14:textId="77777777" w:rsidR="000007B1" w:rsidRDefault="000007B1" w:rsidP="000007B1">
      <w:pPr>
        <w:ind w:right="70"/>
        <w:jc w:val="center"/>
        <w:rPr>
          <w:i/>
        </w:rPr>
      </w:pPr>
      <w:r>
        <w:rPr>
          <w:i/>
        </w:rPr>
        <w:t>Accepted: dd/mm/yyyy; Published: dd/mm/yyyy</w:t>
      </w:r>
    </w:p>
    <w:p w14:paraId="4739A4F9" w14:textId="77777777" w:rsidR="000007B1" w:rsidRDefault="000007B1" w:rsidP="000007B1">
      <w:pPr>
        <w:ind w:right="70"/>
        <w:jc w:val="center"/>
        <w:rPr>
          <w:i/>
        </w:rPr>
      </w:pPr>
    </w:p>
    <w:p w14:paraId="097AC45E" w14:textId="77777777" w:rsidR="000007B1" w:rsidRDefault="000007B1" w:rsidP="000007B1">
      <w:pPr>
        <w:ind w:right="70"/>
        <w:jc w:val="center"/>
        <w:rPr>
          <w:i/>
        </w:rPr>
      </w:pPr>
    </w:p>
    <w:p w14:paraId="3FF4AAF9" w14:textId="77777777" w:rsidR="000007B1" w:rsidRPr="000007B1" w:rsidRDefault="000007B1" w:rsidP="00030E16">
      <w:pPr>
        <w:pStyle w:val="AuthorNote"/>
        <w:jc w:val="center"/>
        <w:rPr>
          <w:sz w:val="22"/>
        </w:rPr>
      </w:pPr>
    </w:p>
    <w:p w14:paraId="33BE4A65" w14:textId="77777777" w:rsidR="00030E16" w:rsidRPr="008B06B6" w:rsidRDefault="00030E16" w:rsidP="00030E16">
      <w:pPr>
        <w:spacing w:before="120" w:after="120"/>
        <w:rPr>
          <w:rFonts w:cs="Times New Roman"/>
          <w:b/>
          <w:lang w:val="fr-FR"/>
        </w:rPr>
      </w:pPr>
      <w:r w:rsidRPr="008B06B6">
        <w:rPr>
          <w:rFonts w:cs="Times New Roman"/>
          <w:b/>
          <w:lang w:val="fr-FR"/>
        </w:rPr>
        <w:t>TÓM TẮT</w:t>
      </w:r>
    </w:p>
    <w:p w14:paraId="2638C236" w14:textId="4FF6A8A5" w:rsidR="00030E16" w:rsidRDefault="00030E16" w:rsidP="00030E16">
      <w:pPr>
        <w:spacing w:before="120" w:after="120"/>
        <w:ind w:firstLine="567"/>
        <w:jc w:val="both"/>
        <w:rPr>
          <w:rFonts w:cs="Times New Roman"/>
          <w:sz w:val="20"/>
          <w:szCs w:val="20"/>
          <w:lang w:val="fr-FR"/>
        </w:rPr>
      </w:pPr>
      <w:r w:rsidRPr="008B06B6">
        <w:rPr>
          <w:rFonts w:cs="Times New Roman"/>
          <w:sz w:val="20"/>
          <w:szCs w:val="20"/>
          <w:lang w:val="fr-FR"/>
        </w:rPr>
        <w:t>Tương tác thuốc-thuố</w:t>
      </w:r>
      <w:r>
        <w:rPr>
          <w:rFonts w:cs="Times New Roman"/>
          <w:sz w:val="20"/>
          <w:szCs w:val="20"/>
          <w:lang w:val="fr-FR"/>
        </w:rPr>
        <w:t xml:space="preserve">c </w:t>
      </w:r>
      <w:r w:rsidRPr="008B06B6">
        <w:rPr>
          <w:rFonts w:cs="Times New Roman"/>
          <w:sz w:val="20"/>
          <w:szCs w:val="20"/>
          <w:lang w:val="fr-FR"/>
        </w:rPr>
        <w:t>là các biến cố bất lợi thường xảy ra trong thực hành lâm sàng. Đáng chú ý, tỷ lệ</w:t>
      </w:r>
      <w:r>
        <w:rPr>
          <w:rFonts w:cs="Times New Roman"/>
          <w:sz w:val="20"/>
          <w:szCs w:val="20"/>
          <w:lang w:val="fr-FR"/>
        </w:rPr>
        <w:t xml:space="preserve"> tương tác thuốc</w:t>
      </w:r>
      <w:r w:rsidRPr="008B06B6">
        <w:rPr>
          <w:rFonts w:cs="Times New Roman"/>
          <w:sz w:val="20"/>
          <w:szCs w:val="20"/>
          <w:lang w:val="fr-FR"/>
        </w:rPr>
        <w:t xml:space="preserve"> liên quan đến</w:t>
      </w:r>
      <w:r>
        <w:rPr>
          <w:rFonts w:cs="Times New Roman"/>
          <w:sz w:val="20"/>
          <w:szCs w:val="20"/>
          <w:lang w:val="fr-FR"/>
        </w:rPr>
        <w:t xml:space="preserve"> thuốc</w:t>
      </w:r>
      <w:r w:rsidRPr="008B06B6">
        <w:rPr>
          <w:rFonts w:cs="Times New Roman"/>
          <w:sz w:val="20"/>
          <w:szCs w:val="20"/>
          <w:lang w:val="fr-FR"/>
        </w:rPr>
        <w:t xml:space="preserve"> tim mạch được ghi nhận cao hơn so với các loại thuố</w:t>
      </w:r>
      <w:r>
        <w:rPr>
          <w:rFonts w:cs="Times New Roman"/>
          <w:sz w:val="20"/>
          <w:szCs w:val="20"/>
          <w:lang w:val="fr-FR"/>
        </w:rPr>
        <w:t xml:space="preserve">c khác. Tương tác thuốc </w:t>
      </w:r>
      <w:r w:rsidRPr="008B06B6">
        <w:rPr>
          <w:rFonts w:cs="Times New Roman"/>
          <w:sz w:val="20"/>
          <w:szCs w:val="20"/>
          <w:lang w:val="fr-FR"/>
        </w:rPr>
        <w:t>có thể dẫn đến các hậu quả nghiêm trọng, bao gồm tăng độc tính, giảm hiệu quả điều trị, cũng như làm tăng nguy cơ nhập viện và tử vong. Mục tiêu của nghiên cứ</w:t>
      </w:r>
      <w:r>
        <w:rPr>
          <w:rFonts w:cs="Times New Roman"/>
          <w:sz w:val="20"/>
          <w:szCs w:val="20"/>
          <w:lang w:val="fr-FR"/>
        </w:rPr>
        <w:t>u này là đánh giá</w:t>
      </w:r>
      <w:r w:rsidRPr="008B06B6">
        <w:rPr>
          <w:rFonts w:cs="Times New Roman"/>
          <w:sz w:val="20"/>
          <w:szCs w:val="20"/>
          <w:lang w:val="fr-FR"/>
        </w:rPr>
        <w:t xml:space="preserve"> tỷ lệ, mức độ nghiêm trọng, cơ chế dược lý củ</w:t>
      </w:r>
      <w:r>
        <w:rPr>
          <w:rFonts w:cs="Times New Roman"/>
          <w:sz w:val="20"/>
          <w:szCs w:val="20"/>
          <w:lang w:val="fr-FR"/>
        </w:rPr>
        <w:t>a tương tác của thuốc tim mạch với các thuốc khác</w:t>
      </w:r>
      <w:r w:rsidRPr="008B06B6">
        <w:rPr>
          <w:rFonts w:cs="Times New Roman"/>
          <w:sz w:val="20"/>
          <w:szCs w:val="20"/>
          <w:lang w:val="fr-FR"/>
        </w:rPr>
        <w:t xml:space="preserve"> và xây dựng danh sách các </w:t>
      </w:r>
      <w:r>
        <w:rPr>
          <w:rFonts w:cs="Times New Roman"/>
          <w:sz w:val="20"/>
          <w:szCs w:val="20"/>
          <w:lang w:val="fr-FR"/>
        </w:rPr>
        <w:t>tương tác thuốc</w:t>
      </w:r>
      <w:r w:rsidRPr="008B06B6">
        <w:rPr>
          <w:rFonts w:cs="Times New Roman"/>
          <w:sz w:val="20"/>
          <w:szCs w:val="20"/>
          <w:lang w:val="fr-FR"/>
        </w:rPr>
        <w:t xml:space="preserve"> tim mạch tại bệnh nhân ngoại trú Trung tâm Y tế Long Mỹ, Hậu Giang, trong năm 2023. Chúng tôi đã tiến hành một nghiên cứu cắt ngang, hồi cứu trên tất cả các đơn thuốc liên quan đến tim mạch tại bệnh nhân ngoại trú Trung tâm Y tế Long Mỹ, Hậu Giang từ ngày </w:t>
      </w:r>
      <w:r>
        <w:rPr>
          <w:rFonts w:cs="Times New Roman"/>
          <w:sz w:val="20"/>
          <w:szCs w:val="20"/>
          <w:lang w:val="fr-FR"/>
        </w:rPr>
        <w:t>0</w:t>
      </w:r>
      <w:r w:rsidRPr="008B06B6">
        <w:rPr>
          <w:rFonts w:cs="Times New Roman"/>
          <w:sz w:val="20"/>
          <w:szCs w:val="20"/>
          <w:lang w:val="fr-FR"/>
        </w:rPr>
        <w:t xml:space="preserve">1 tháng </w:t>
      </w:r>
      <w:r>
        <w:rPr>
          <w:rFonts w:cs="Times New Roman"/>
          <w:sz w:val="20"/>
          <w:szCs w:val="20"/>
          <w:lang w:val="fr-FR"/>
        </w:rPr>
        <w:t>0</w:t>
      </w:r>
      <w:r w:rsidRPr="008B06B6">
        <w:rPr>
          <w:rFonts w:cs="Times New Roman"/>
          <w:sz w:val="20"/>
          <w:szCs w:val="20"/>
          <w:lang w:val="fr-FR"/>
        </w:rPr>
        <w:t xml:space="preserve">1 năm 2023 đến </w:t>
      </w:r>
      <w:r>
        <w:rPr>
          <w:rFonts w:cs="Times New Roman"/>
          <w:sz w:val="20"/>
          <w:szCs w:val="20"/>
          <w:lang w:val="fr-FR"/>
        </w:rPr>
        <w:t xml:space="preserve">hết </w:t>
      </w:r>
      <w:r w:rsidRPr="008B06B6">
        <w:rPr>
          <w:rFonts w:cs="Times New Roman"/>
          <w:sz w:val="20"/>
          <w:szCs w:val="20"/>
          <w:lang w:val="fr-FR"/>
        </w:rPr>
        <w:t xml:space="preserve">ngày 31 tháng </w:t>
      </w:r>
      <w:r>
        <w:rPr>
          <w:rFonts w:cs="Times New Roman"/>
          <w:sz w:val="20"/>
          <w:szCs w:val="20"/>
          <w:lang w:val="fr-FR"/>
        </w:rPr>
        <w:t>0</w:t>
      </w:r>
      <w:r w:rsidRPr="008B06B6">
        <w:rPr>
          <w:rFonts w:cs="Times New Roman"/>
          <w:sz w:val="20"/>
          <w:szCs w:val="20"/>
          <w:lang w:val="fr-FR"/>
        </w:rPr>
        <w:t xml:space="preserve">3 năm 2023. Tiêu chí đánh giá </w:t>
      </w:r>
      <w:r>
        <w:rPr>
          <w:rFonts w:cs="Times New Roman"/>
          <w:sz w:val="20"/>
          <w:szCs w:val="20"/>
          <w:lang w:val="fr-FR"/>
        </w:rPr>
        <w:t>tương tác thuốc</w:t>
      </w:r>
      <w:r w:rsidRPr="008B06B6">
        <w:rPr>
          <w:rFonts w:cs="Times New Roman"/>
          <w:sz w:val="20"/>
          <w:szCs w:val="20"/>
          <w:lang w:val="fr-FR"/>
        </w:rPr>
        <w:t xml:space="preserve"> được thực hiện dựa trên ba cơ sở dữ</w:t>
      </w:r>
      <w:r w:rsidR="00965F54">
        <w:rPr>
          <w:rFonts w:cs="Times New Roman"/>
          <w:sz w:val="20"/>
          <w:szCs w:val="20"/>
          <w:lang w:val="fr-FR"/>
        </w:rPr>
        <w:t xml:space="preserve"> </w:t>
      </w:r>
      <w:proofErr w:type="gramStart"/>
      <w:r w:rsidRPr="008B06B6">
        <w:rPr>
          <w:rFonts w:cs="Times New Roman"/>
          <w:sz w:val="20"/>
          <w:szCs w:val="20"/>
          <w:lang w:val="fr-FR"/>
        </w:rPr>
        <w:t>liệ</w:t>
      </w:r>
      <w:r>
        <w:rPr>
          <w:rFonts w:cs="Times New Roman"/>
          <w:sz w:val="20"/>
          <w:szCs w:val="20"/>
          <w:lang w:val="fr-FR"/>
        </w:rPr>
        <w:t>u:</w:t>
      </w:r>
      <w:proofErr w:type="gramEnd"/>
      <w:r>
        <w:rPr>
          <w:rFonts w:cs="Times New Roman"/>
          <w:sz w:val="20"/>
          <w:szCs w:val="20"/>
          <w:lang w:val="fr-FR"/>
        </w:rPr>
        <w:t xml:space="preserve"> D</w:t>
      </w:r>
      <w:r w:rsidRPr="008B06B6">
        <w:rPr>
          <w:rFonts w:cs="Times New Roman"/>
          <w:sz w:val="20"/>
          <w:szCs w:val="20"/>
          <w:lang w:val="fr-FR"/>
        </w:rPr>
        <w:t>rugs.com (www.drug</w:t>
      </w:r>
      <w:r>
        <w:rPr>
          <w:rFonts w:cs="Times New Roman"/>
          <w:sz w:val="20"/>
          <w:szCs w:val="20"/>
          <w:lang w:val="fr-FR"/>
        </w:rPr>
        <w:t>s.com/drug_interactions.html), M</w:t>
      </w:r>
      <w:r w:rsidRPr="008B06B6">
        <w:rPr>
          <w:rFonts w:cs="Times New Roman"/>
          <w:sz w:val="20"/>
          <w:szCs w:val="20"/>
          <w:lang w:val="fr-FR"/>
        </w:rPr>
        <w:t>edscape (reference.medscape.co</w:t>
      </w:r>
      <w:r>
        <w:rPr>
          <w:rFonts w:cs="Times New Roman"/>
          <w:sz w:val="20"/>
          <w:szCs w:val="20"/>
          <w:lang w:val="fr-FR"/>
        </w:rPr>
        <w:t>m/drug-interactionchecker), và M</w:t>
      </w:r>
      <w:r w:rsidRPr="008B06B6">
        <w:rPr>
          <w:rFonts w:cs="Times New Roman"/>
          <w:sz w:val="20"/>
          <w:szCs w:val="20"/>
          <w:lang w:val="fr-FR"/>
        </w:rPr>
        <w:t>icromedex (www.micromedexsolutions.com). Nghiên cứu đã xây dựn</w:t>
      </w:r>
      <w:r>
        <w:rPr>
          <w:rFonts w:cs="Times New Roman"/>
          <w:sz w:val="20"/>
          <w:szCs w:val="20"/>
          <w:lang w:val="fr-FR"/>
        </w:rPr>
        <w:t xml:space="preserve">g thành công danh sách </w:t>
      </w:r>
      <w:r w:rsidRPr="008B06B6">
        <w:rPr>
          <w:rFonts w:cs="Times New Roman"/>
          <w:sz w:val="20"/>
          <w:szCs w:val="20"/>
          <w:lang w:val="fr-FR"/>
        </w:rPr>
        <w:t xml:space="preserve">gồm 23 cặp </w:t>
      </w:r>
      <w:r>
        <w:rPr>
          <w:rFonts w:cs="Times New Roman"/>
          <w:sz w:val="20"/>
          <w:szCs w:val="20"/>
          <w:lang w:val="fr-FR"/>
        </w:rPr>
        <w:t>tương tác thuốc</w:t>
      </w:r>
      <w:r w:rsidRPr="008B06B6">
        <w:rPr>
          <w:rFonts w:cs="Times New Roman"/>
          <w:sz w:val="20"/>
          <w:szCs w:val="20"/>
          <w:lang w:val="fr-FR"/>
        </w:rPr>
        <w:t xml:space="preserve"> liên quan đến</w:t>
      </w:r>
      <w:r>
        <w:rPr>
          <w:rFonts w:cs="Times New Roman"/>
          <w:sz w:val="20"/>
          <w:szCs w:val="20"/>
          <w:lang w:val="fr-FR"/>
        </w:rPr>
        <w:t xml:space="preserve"> thuốc</w:t>
      </w:r>
      <w:r w:rsidRPr="008B06B6">
        <w:rPr>
          <w:rFonts w:cs="Times New Roman"/>
          <w:sz w:val="20"/>
          <w:szCs w:val="20"/>
          <w:lang w:val="fr-FR"/>
        </w:rPr>
        <w:t xml:space="preserve"> tim mạch có ý nghĩa lâm sàng, tạo nền tảng cho các can thiệp lâm sàng trong tương lai nhằm giảm thiể</w:t>
      </w:r>
      <w:r>
        <w:rPr>
          <w:rFonts w:cs="Times New Roman"/>
          <w:sz w:val="20"/>
          <w:szCs w:val="20"/>
          <w:lang w:val="fr-FR"/>
        </w:rPr>
        <w:t>u các tương tác thuốc</w:t>
      </w:r>
      <w:r w:rsidRPr="008B06B6">
        <w:rPr>
          <w:rFonts w:cs="Times New Roman"/>
          <w:sz w:val="20"/>
          <w:szCs w:val="20"/>
          <w:lang w:val="fr-FR"/>
        </w:rPr>
        <w:t>, đặc biệt là ngăn ngừa các trường hợp có mức độ nghiêm trọng ca</w:t>
      </w:r>
      <w:r w:rsidR="00D7288C">
        <w:rPr>
          <w:rFonts w:cs="Times New Roman"/>
          <w:sz w:val="20"/>
          <w:szCs w:val="20"/>
          <w:lang w:val="fr-FR"/>
        </w:rPr>
        <w:t>o.</w:t>
      </w:r>
    </w:p>
    <w:p w14:paraId="304552FC" w14:textId="541DE524" w:rsidR="00030E16" w:rsidRDefault="00030E16" w:rsidP="0023114C">
      <w:pPr>
        <w:spacing w:before="120" w:after="120"/>
        <w:rPr>
          <w:rFonts w:cs="Times New Roman"/>
          <w:i/>
          <w:sz w:val="20"/>
          <w:szCs w:val="20"/>
          <w:lang w:val="fr-FR"/>
        </w:rPr>
      </w:pPr>
      <w:r w:rsidRPr="000B68C1">
        <w:rPr>
          <w:rFonts w:cs="Times New Roman"/>
          <w:b/>
          <w:sz w:val="20"/>
          <w:szCs w:val="20"/>
          <w:lang w:val="fr-FR"/>
        </w:rPr>
        <w:t xml:space="preserve">Từ </w:t>
      </w:r>
      <w:proofErr w:type="gramStart"/>
      <w:r w:rsidRPr="000B68C1">
        <w:rPr>
          <w:rFonts w:cs="Times New Roman"/>
          <w:b/>
          <w:sz w:val="20"/>
          <w:szCs w:val="20"/>
          <w:lang w:val="fr-FR"/>
        </w:rPr>
        <w:t>khóa:</w:t>
      </w:r>
      <w:proofErr w:type="gramEnd"/>
      <w:r w:rsidRPr="000B68C1">
        <w:rPr>
          <w:rFonts w:cs="Times New Roman"/>
          <w:b/>
          <w:sz w:val="20"/>
          <w:szCs w:val="20"/>
          <w:lang w:val="fr-FR"/>
        </w:rPr>
        <w:t xml:space="preserve"> </w:t>
      </w:r>
      <w:r>
        <w:rPr>
          <w:rFonts w:cs="Times New Roman"/>
          <w:i/>
          <w:sz w:val="20"/>
          <w:szCs w:val="20"/>
          <w:lang w:val="fr-FR"/>
        </w:rPr>
        <w:t>Tương tác thuốc, thuốc tim mạch, bệnh nhân ngoại trú, Trung tâm y tế Huyện Long Mỹ</w:t>
      </w:r>
      <w:r w:rsidR="00A27A2F">
        <w:rPr>
          <w:rFonts w:cs="Times New Roman"/>
          <w:i/>
          <w:sz w:val="20"/>
          <w:szCs w:val="20"/>
          <w:lang w:val="fr-FR"/>
        </w:rPr>
        <w:t>.</w:t>
      </w:r>
    </w:p>
    <w:p w14:paraId="41CCB240" w14:textId="77777777" w:rsidR="00030E16" w:rsidRDefault="00030E16" w:rsidP="00030E16">
      <w:pPr>
        <w:rPr>
          <w:rFonts w:cs="Times New Roman"/>
          <w:i/>
          <w:sz w:val="20"/>
          <w:szCs w:val="20"/>
          <w:lang w:val="fr-FR"/>
        </w:rPr>
      </w:pPr>
    </w:p>
    <w:p w14:paraId="64DF0E59" w14:textId="77777777" w:rsidR="00030E16" w:rsidRDefault="00030E16" w:rsidP="00030E16">
      <w:pPr>
        <w:rPr>
          <w:rFonts w:cs="Times New Roman"/>
          <w:i/>
          <w:sz w:val="20"/>
          <w:szCs w:val="20"/>
          <w:lang w:val="fr-FR"/>
        </w:rPr>
      </w:pPr>
    </w:p>
    <w:p w14:paraId="5C366903" w14:textId="77777777" w:rsidR="00030E16" w:rsidRDefault="00030E16" w:rsidP="00030E16">
      <w:pPr>
        <w:rPr>
          <w:rFonts w:cs="Times New Roman"/>
          <w:i/>
          <w:sz w:val="20"/>
          <w:szCs w:val="20"/>
          <w:lang w:val="fr-FR"/>
        </w:rPr>
      </w:pPr>
    </w:p>
    <w:p w14:paraId="2E677B85" w14:textId="77777777" w:rsidR="00030E16" w:rsidRDefault="00030E16" w:rsidP="00030E16">
      <w:pPr>
        <w:rPr>
          <w:rFonts w:cs="Times New Roman"/>
          <w:i/>
          <w:sz w:val="20"/>
          <w:szCs w:val="20"/>
          <w:lang w:val="fr-FR"/>
        </w:rPr>
      </w:pPr>
    </w:p>
    <w:p w14:paraId="52FA7894" w14:textId="77777777" w:rsidR="00030E16" w:rsidRDefault="00030E16" w:rsidP="00030E16">
      <w:pPr>
        <w:rPr>
          <w:rFonts w:cs="Times New Roman"/>
          <w:i/>
          <w:sz w:val="20"/>
          <w:szCs w:val="20"/>
          <w:lang w:val="fr-FR"/>
        </w:rPr>
      </w:pPr>
    </w:p>
    <w:p w14:paraId="6DF0A8BE" w14:textId="77777777" w:rsidR="00030E16" w:rsidRDefault="00030E16" w:rsidP="00030E16">
      <w:pPr>
        <w:rPr>
          <w:rFonts w:cs="Times New Roman"/>
          <w:i/>
          <w:sz w:val="20"/>
          <w:szCs w:val="20"/>
          <w:lang w:val="fr-FR"/>
        </w:rPr>
      </w:pPr>
    </w:p>
    <w:p w14:paraId="44867F34" w14:textId="77777777" w:rsidR="00030E16" w:rsidRDefault="00030E16" w:rsidP="00030E16">
      <w:pPr>
        <w:rPr>
          <w:rFonts w:cs="Times New Roman"/>
          <w:i/>
          <w:sz w:val="20"/>
          <w:szCs w:val="20"/>
          <w:lang w:val="fr-FR"/>
        </w:rPr>
      </w:pPr>
    </w:p>
    <w:p w14:paraId="76CAC33B" w14:textId="77777777" w:rsidR="00030E16" w:rsidRDefault="00030E16" w:rsidP="00030E16">
      <w:pPr>
        <w:rPr>
          <w:rFonts w:cs="Times New Roman"/>
          <w:i/>
          <w:sz w:val="20"/>
          <w:szCs w:val="20"/>
          <w:lang w:val="fr-FR"/>
        </w:rPr>
      </w:pPr>
    </w:p>
    <w:p w14:paraId="5BB0AA5D" w14:textId="77777777" w:rsidR="00030E16" w:rsidRDefault="00030E16" w:rsidP="00030E16">
      <w:pPr>
        <w:rPr>
          <w:rFonts w:cs="Times New Roman"/>
          <w:i/>
          <w:sz w:val="20"/>
          <w:szCs w:val="20"/>
          <w:lang w:val="fr-FR"/>
        </w:rPr>
      </w:pPr>
    </w:p>
    <w:p w14:paraId="23849C69" w14:textId="77777777" w:rsidR="00030E16" w:rsidRDefault="00030E16" w:rsidP="00030E16">
      <w:pPr>
        <w:rPr>
          <w:rFonts w:cs="Times New Roman"/>
          <w:i/>
          <w:sz w:val="20"/>
          <w:szCs w:val="20"/>
          <w:lang w:val="fr-FR"/>
        </w:rPr>
      </w:pPr>
    </w:p>
    <w:p w14:paraId="31712DD4" w14:textId="77777777" w:rsidR="00030E16" w:rsidRDefault="00030E16" w:rsidP="00030E16">
      <w:pPr>
        <w:rPr>
          <w:rFonts w:cs="Times New Roman"/>
          <w:i/>
          <w:sz w:val="20"/>
          <w:szCs w:val="20"/>
          <w:lang w:val="fr-FR"/>
        </w:rPr>
      </w:pPr>
    </w:p>
    <w:p w14:paraId="5DF7F502" w14:textId="77777777" w:rsidR="00030E16" w:rsidRDefault="00030E16" w:rsidP="00030E16">
      <w:pPr>
        <w:rPr>
          <w:rFonts w:cs="Times New Roman"/>
          <w:i/>
          <w:sz w:val="20"/>
          <w:szCs w:val="20"/>
          <w:lang w:val="fr-FR"/>
        </w:rPr>
      </w:pPr>
    </w:p>
    <w:p w14:paraId="0C7F2326" w14:textId="77777777" w:rsidR="00030E16" w:rsidRDefault="00030E16" w:rsidP="00030E16">
      <w:pPr>
        <w:rPr>
          <w:rFonts w:cs="Times New Roman"/>
          <w:i/>
          <w:sz w:val="20"/>
          <w:szCs w:val="20"/>
          <w:lang w:val="fr-FR"/>
        </w:rPr>
      </w:pPr>
    </w:p>
    <w:p w14:paraId="04741EFB" w14:textId="77777777" w:rsidR="00030E16" w:rsidRDefault="00030E16" w:rsidP="00030E16">
      <w:pPr>
        <w:rPr>
          <w:rFonts w:cs="Times New Roman"/>
          <w:i/>
          <w:sz w:val="20"/>
          <w:szCs w:val="20"/>
          <w:lang w:val="fr-FR"/>
        </w:rPr>
      </w:pPr>
    </w:p>
    <w:p w14:paraId="75D5432B" w14:textId="77777777" w:rsidR="00030E16" w:rsidRDefault="00030E16" w:rsidP="00030E16">
      <w:pPr>
        <w:rPr>
          <w:rFonts w:cs="Times New Roman"/>
          <w:i/>
          <w:sz w:val="20"/>
          <w:szCs w:val="20"/>
          <w:lang w:val="fr-FR"/>
        </w:rPr>
      </w:pPr>
    </w:p>
    <w:p w14:paraId="117ECD79" w14:textId="77777777" w:rsidR="00030E16" w:rsidRDefault="00030E16" w:rsidP="00030E16">
      <w:pPr>
        <w:rPr>
          <w:rFonts w:cs="Times New Roman"/>
          <w:i/>
          <w:sz w:val="20"/>
          <w:szCs w:val="20"/>
          <w:lang w:val="fr-FR"/>
        </w:rPr>
      </w:pPr>
    </w:p>
    <w:p w14:paraId="489D5061" w14:textId="77777777" w:rsidR="00030E16" w:rsidRDefault="00030E16" w:rsidP="00030E16">
      <w:pPr>
        <w:rPr>
          <w:rFonts w:cs="Times New Roman"/>
          <w:i/>
          <w:sz w:val="20"/>
          <w:szCs w:val="20"/>
          <w:lang w:val="fr-FR"/>
        </w:rPr>
      </w:pPr>
    </w:p>
    <w:p w14:paraId="562186A2" w14:textId="77777777" w:rsidR="00030E16" w:rsidRDefault="00030E16" w:rsidP="00030E16">
      <w:pPr>
        <w:rPr>
          <w:rFonts w:cs="Times New Roman"/>
          <w:i/>
          <w:sz w:val="20"/>
          <w:szCs w:val="20"/>
          <w:lang w:val="fr-FR"/>
        </w:rPr>
      </w:pPr>
    </w:p>
    <w:p w14:paraId="5F36D62F" w14:textId="77777777" w:rsidR="00030E16" w:rsidRDefault="00030E16" w:rsidP="00030E16">
      <w:pPr>
        <w:rPr>
          <w:rFonts w:cs="Times New Roman"/>
          <w:i/>
          <w:sz w:val="20"/>
          <w:szCs w:val="20"/>
          <w:lang w:val="fr-FR"/>
        </w:rPr>
      </w:pPr>
    </w:p>
    <w:p w14:paraId="55C3A10A" w14:textId="77777777" w:rsidR="00030E16" w:rsidRDefault="00030E16" w:rsidP="00030E16">
      <w:pPr>
        <w:rPr>
          <w:rFonts w:cs="Times New Roman"/>
          <w:i/>
          <w:sz w:val="20"/>
          <w:szCs w:val="20"/>
          <w:lang w:val="fr-FR"/>
        </w:rPr>
      </w:pPr>
    </w:p>
    <w:p w14:paraId="4D05DFEA" w14:textId="77777777" w:rsidR="00030E16" w:rsidRDefault="00030E16" w:rsidP="00030E16">
      <w:pPr>
        <w:rPr>
          <w:rFonts w:cs="Times New Roman"/>
          <w:i/>
          <w:sz w:val="20"/>
          <w:szCs w:val="20"/>
          <w:lang w:val="fr-FR"/>
        </w:rPr>
      </w:pPr>
    </w:p>
    <w:p w14:paraId="687E63A2" w14:textId="77777777" w:rsidR="000007B1" w:rsidRDefault="000007B1" w:rsidP="000007B1">
      <w:pPr>
        <w:spacing w:line="480" w:lineRule="auto"/>
        <w:jc w:val="right"/>
        <w:rPr>
          <w:rFonts w:ascii="Arial" w:hAnsi="Arial" w:cs="Arial"/>
          <w:b/>
          <w:i/>
          <w:iCs/>
          <w:szCs w:val="14"/>
        </w:rPr>
      </w:pPr>
      <w:r w:rsidRPr="00804D91">
        <w:rPr>
          <w:rFonts w:ascii="Arial" w:hAnsi="Arial" w:cs="Arial"/>
          <w:b/>
          <w:i/>
          <w:iCs/>
          <w:szCs w:val="14"/>
        </w:rPr>
        <w:t>Manuscript Template</w:t>
      </w:r>
    </w:p>
    <w:p w14:paraId="327A2A2E" w14:textId="77777777" w:rsidR="000007B1" w:rsidRDefault="000007B1" w:rsidP="000007B1">
      <w:pPr>
        <w:spacing w:line="480" w:lineRule="auto"/>
        <w:jc w:val="right"/>
        <w:rPr>
          <w:rFonts w:ascii="Arial" w:hAnsi="Arial" w:cs="Arial"/>
          <w:b/>
          <w:i/>
          <w:iCs/>
          <w:szCs w:val="14"/>
        </w:rPr>
      </w:pPr>
    </w:p>
    <w:p w14:paraId="243A0D78" w14:textId="78F17798" w:rsidR="000A792A" w:rsidRPr="000007B1" w:rsidRDefault="000A792A" w:rsidP="000007B1">
      <w:pPr>
        <w:jc w:val="center"/>
        <w:rPr>
          <w:rFonts w:ascii="Arial" w:hAnsi="Arial" w:cs="Arial"/>
          <w:b/>
          <w:i/>
          <w:iCs/>
          <w:szCs w:val="14"/>
        </w:rPr>
      </w:pPr>
      <w:r w:rsidRPr="00030E16">
        <w:rPr>
          <w:rFonts w:ascii="Arial" w:hAnsi="Arial" w:cs="Arial"/>
          <w:b/>
          <w:sz w:val="32"/>
          <w:szCs w:val="32"/>
          <w:lang w:val="fr-FR"/>
        </w:rPr>
        <w:t>Assessment of cardiovascular drug-drug interactions and development of a drug-drug interactions list among outpatients at Long My Health Center, Hau Giang, in 2023</w:t>
      </w:r>
    </w:p>
    <w:p w14:paraId="7B2B60F2" w14:textId="77777777" w:rsidR="00030E16" w:rsidRDefault="00030E16" w:rsidP="00030E16">
      <w:pPr>
        <w:spacing w:before="120" w:after="120"/>
        <w:jc w:val="center"/>
        <w:rPr>
          <w:rFonts w:cs="Times New Roman"/>
          <w:b/>
          <w:sz w:val="24"/>
          <w:szCs w:val="24"/>
          <w:lang w:val="fr-FR"/>
        </w:rPr>
      </w:pPr>
    </w:p>
    <w:p w14:paraId="0100BA36" w14:textId="249820B4" w:rsidR="00D21895" w:rsidRDefault="006C6873" w:rsidP="00030E16">
      <w:pPr>
        <w:spacing w:before="120" w:after="120"/>
        <w:jc w:val="center"/>
        <w:rPr>
          <w:rFonts w:cs="Times New Roman"/>
          <w:b/>
          <w:sz w:val="24"/>
          <w:szCs w:val="24"/>
          <w:vertAlign w:val="superscript"/>
          <w:lang w:val="fr-FR"/>
        </w:rPr>
      </w:pPr>
      <w:r w:rsidRPr="00030E16">
        <w:rPr>
          <w:rFonts w:cs="Times New Roman"/>
          <w:b/>
          <w:sz w:val="24"/>
          <w:szCs w:val="24"/>
          <w:lang w:val="fr-FR"/>
        </w:rPr>
        <w:t>Cao Phuoc Thang</w:t>
      </w:r>
      <w:r w:rsidR="00D21895" w:rsidRPr="00030E16">
        <w:rPr>
          <w:rFonts w:cs="Times New Roman"/>
          <w:b/>
          <w:sz w:val="24"/>
          <w:szCs w:val="24"/>
          <w:vertAlign w:val="superscript"/>
          <w:lang w:val="fr-FR"/>
        </w:rPr>
        <w:t>1</w:t>
      </w:r>
      <w:r w:rsidR="00D21895" w:rsidRPr="00030E16">
        <w:rPr>
          <w:rFonts w:cs="Times New Roman"/>
          <w:b/>
          <w:sz w:val="24"/>
          <w:szCs w:val="24"/>
          <w:lang w:val="fr-FR"/>
        </w:rPr>
        <w:t>,</w:t>
      </w:r>
      <w:r w:rsidR="00CA1CE3" w:rsidRPr="00030E16">
        <w:rPr>
          <w:rFonts w:cs="Times New Roman"/>
          <w:b/>
          <w:sz w:val="24"/>
          <w:szCs w:val="24"/>
          <w:lang w:val="fr-FR"/>
        </w:rPr>
        <w:t xml:space="preserve"> </w:t>
      </w:r>
      <w:r w:rsidRPr="00030E16">
        <w:rPr>
          <w:rFonts w:cs="Times New Roman"/>
          <w:b/>
          <w:sz w:val="24"/>
          <w:szCs w:val="24"/>
          <w:lang w:val="fr-FR"/>
        </w:rPr>
        <w:t>Truong Huynh Kim Ngoc</w:t>
      </w:r>
      <w:r w:rsidR="00982A66" w:rsidRPr="00030E16">
        <w:rPr>
          <w:rFonts w:cs="Times New Roman"/>
          <w:b/>
          <w:sz w:val="24"/>
          <w:szCs w:val="24"/>
          <w:vertAlign w:val="superscript"/>
          <w:lang w:val="fr-FR"/>
        </w:rPr>
        <w:t>1</w:t>
      </w:r>
      <w:r w:rsidRPr="00030E16">
        <w:rPr>
          <w:rFonts w:cs="Times New Roman"/>
          <w:b/>
          <w:sz w:val="24"/>
          <w:szCs w:val="24"/>
          <w:vertAlign w:val="superscript"/>
          <w:lang w:val="fr-FR"/>
        </w:rPr>
        <w:t>*</w:t>
      </w:r>
      <w:r w:rsidR="00CA1CE3" w:rsidRPr="00030E16">
        <w:rPr>
          <w:rFonts w:cs="Times New Roman"/>
          <w:b/>
          <w:sz w:val="24"/>
          <w:szCs w:val="24"/>
          <w:lang w:val="fr-FR"/>
        </w:rPr>
        <w:t>,</w:t>
      </w:r>
      <w:r w:rsidR="00982A66" w:rsidRPr="00030E16">
        <w:rPr>
          <w:rFonts w:cs="Times New Roman"/>
          <w:b/>
          <w:sz w:val="24"/>
          <w:szCs w:val="24"/>
          <w:lang w:val="fr-FR"/>
        </w:rPr>
        <w:t xml:space="preserve"> Quach Thi Hong Dung</w:t>
      </w:r>
      <w:r w:rsidR="00982A66" w:rsidRPr="00030E16">
        <w:rPr>
          <w:rFonts w:cs="Times New Roman"/>
          <w:b/>
          <w:sz w:val="24"/>
          <w:szCs w:val="24"/>
          <w:vertAlign w:val="superscript"/>
          <w:lang w:val="fr-FR"/>
        </w:rPr>
        <w:t>1</w:t>
      </w:r>
      <w:r w:rsidR="00982A66" w:rsidRPr="00030E16">
        <w:rPr>
          <w:rFonts w:cs="Times New Roman"/>
          <w:b/>
          <w:sz w:val="24"/>
          <w:szCs w:val="24"/>
          <w:lang w:val="fr-FR"/>
        </w:rPr>
        <w:t>, Nguyen Thi Anh Thu</w:t>
      </w:r>
      <w:r w:rsidR="00982A66" w:rsidRPr="00030E16">
        <w:rPr>
          <w:rFonts w:cs="Times New Roman"/>
          <w:b/>
          <w:sz w:val="24"/>
          <w:szCs w:val="24"/>
          <w:vertAlign w:val="superscript"/>
          <w:lang w:val="fr-FR"/>
        </w:rPr>
        <w:t>2</w:t>
      </w:r>
      <w:r w:rsidR="00C835D9" w:rsidRPr="00030E16">
        <w:rPr>
          <w:rFonts w:cs="Times New Roman"/>
          <w:b/>
          <w:sz w:val="24"/>
          <w:szCs w:val="24"/>
          <w:lang w:val="fr-FR"/>
        </w:rPr>
        <w:t>,</w:t>
      </w:r>
      <w:r w:rsidR="00E71B4B" w:rsidRPr="00030E16">
        <w:rPr>
          <w:rFonts w:cs="Times New Roman"/>
          <w:b/>
          <w:sz w:val="24"/>
          <w:szCs w:val="24"/>
          <w:lang w:val="fr-FR"/>
        </w:rPr>
        <w:t xml:space="preserve"> Nguyen Thi Ngoc Tram</w:t>
      </w:r>
      <w:r w:rsidR="00E71B4B" w:rsidRPr="00030E16">
        <w:rPr>
          <w:rFonts w:cs="Times New Roman"/>
          <w:b/>
          <w:sz w:val="24"/>
          <w:szCs w:val="24"/>
          <w:vertAlign w:val="superscript"/>
          <w:lang w:val="fr-FR"/>
        </w:rPr>
        <w:t>1</w:t>
      </w:r>
    </w:p>
    <w:p w14:paraId="4A330FA9" w14:textId="77777777" w:rsidR="00030E16" w:rsidRPr="00030E16" w:rsidRDefault="00030E16" w:rsidP="00030E16">
      <w:pPr>
        <w:spacing w:before="120" w:after="120"/>
        <w:jc w:val="center"/>
        <w:rPr>
          <w:rFonts w:cs="Times New Roman"/>
          <w:b/>
          <w:sz w:val="24"/>
          <w:szCs w:val="24"/>
          <w:lang w:val="fr-FR"/>
        </w:rPr>
      </w:pPr>
    </w:p>
    <w:p w14:paraId="4DE3C902" w14:textId="723F1A73" w:rsidR="00CA6570" w:rsidRPr="000007B1" w:rsidRDefault="00CA6570" w:rsidP="00030E16">
      <w:pPr>
        <w:pStyle w:val="AuthorNote"/>
        <w:spacing w:before="120" w:after="120"/>
        <w:jc w:val="center"/>
        <w:rPr>
          <w:sz w:val="22"/>
        </w:rPr>
      </w:pPr>
      <w:r w:rsidRPr="000007B1">
        <w:rPr>
          <w:sz w:val="22"/>
          <w:vertAlign w:val="superscript"/>
        </w:rPr>
        <w:t>1</w:t>
      </w:r>
      <w:r w:rsidR="0057447E" w:rsidRPr="000007B1">
        <w:rPr>
          <w:sz w:val="22"/>
        </w:rPr>
        <w:t xml:space="preserve">Department of Health Sciences, </w:t>
      </w:r>
      <w:r w:rsidR="00311B4C" w:rsidRPr="000007B1">
        <w:rPr>
          <w:sz w:val="22"/>
        </w:rPr>
        <w:t>Can Tho University, Viet Nam</w:t>
      </w:r>
    </w:p>
    <w:p w14:paraId="4F473119" w14:textId="77777777" w:rsidR="000007B1" w:rsidRDefault="00CA6570" w:rsidP="000007B1">
      <w:pPr>
        <w:pStyle w:val="AuthorNote"/>
        <w:spacing w:before="120" w:after="120"/>
        <w:jc w:val="center"/>
        <w:rPr>
          <w:sz w:val="22"/>
        </w:rPr>
      </w:pPr>
      <w:r w:rsidRPr="000007B1">
        <w:rPr>
          <w:sz w:val="22"/>
          <w:vertAlign w:val="superscript"/>
        </w:rPr>
        <w:t>2</w:t>
      </w:r>
      <w:r w:rsidR="00311B4C" w:rsidRPr="000007B1">
        <w:rPr>
          <w:sz w:val="22"/>
        </w:rPr>
        <w:t>Long My Health Center, Hau Giang, Viet Nam</w:t>
      </w:r>
    </w:p>
    <w:p w14:paraId="44E25482" w14:textId="77777777" w:rsidR="000007B1" w:rsidRDefault="000007B1" w:rsidP="000007B1">
      <w:pPr>
        <w:pStyle w:val="AuthorNote"/>
        <w:spacing w:before="120" w:after="120"/>
        <w:jc w:val="center"/>
        <w:rPr>
          <w:sz w:val="22"/>
        </w:rPr>
      </w:pPr>
    </w:p>
    <w:p w14:paraId="055AFA0F" w14:textId="79336CD0" w:rsidR="000007B1" w:rsidRPr="000007B1" w:rsidRDefault="000007B1" w:rsidP="000007B1">
      <w:pPr>
        <w:pStyle w:val="AuthorNote"/>
        <w:spacing w:before="120" w:after="120"/>
        <w:jc w:val="center"/>
        <w:rPr>
          <w:sz w:val="22"/>
        </w:rPr>
      </w:pPr>
      <w:r>
        <w:rPr>
          <w:i w:val="0"/>
          <w:sz w:val="22"/>
        </w:rPr>
        <w:t>Received: dd/mm/yyyy; Revised: dd/mm/yyyy;</w:t>
      </w:r>
    </w:p>
    <w:p w14:paraId="0E37C3E1" w14:textId="77777777" w:rsidR="000007B1" w:rsidRDefault="000007B1" w:rsidP="000007B1">
      <w:pPr>
        <w:ind w:right="70"/>
        <w:jc w:val="center"/>
        <w:rPr>
          <w:i/>
        </w:rPr>
      </w:pPr>
      <w:r>
        <w:rPr>
          <w:i/>
        </w:rPr>
        <w:t>Accepted: dd/mm/yyyy; Published: dd/mm/yyyy</w:t>
      </w:r>
    </w:p>
    <w:p w14:paraId="39D0DD43" w14:textId="77777777" w:rsidR="000007B1" w:rsidRDefault="000007B1" w:rsidP="0023114C">
      <w:pPr>
        <w:spacing w:before="120" w:after="120"/>
        <w:rPr>
          <w:rFonts w:cs="Times New Roman"/>
          <w:i/>
        </w:rPr>
      </w:pPr>
    </w:p>
    <w:p w14:paraId="1CC52B9C" w14:textId="77777777" w:rsidR="000007B1" w:rsidRDefault="000007B1" w:rsidP="0023114C">
      <w:pPr>
        <w:spacing w:before="120" w:after="120"/>
        <w:rPr>
          <w:rFonts w:cs="Times New Roman"/>
          <w:i/>
        </w:rPr>
      </w:pPr>
    </w:p>
    <w:p w14:paraId="6FD0B369" w14:textId="77777777" w:rsidR="0023114C" w:rsidRPr="0023114C" w:rsidRDefault="0023114C" w:rsidP="0023114C">
      <w:pPr>
        <w:spacing w:before="120" w:after="120"/>
        <w:rPr>
          <w:b/>
          <w:shd w:val="clear" w:color="auto" w:fill="FFFFFF"/>
          <w:lang w:val="de-DE"/>
        </w:rPr>
      </w:pPr>
      <w:r w:rsidRPr="0023114C">
        <w:rPr>
          <w:b/>
          <w:shd w:val="clear" w:color="auto" w:fill="FFFFFF"/>
          <w:lang w:val="de-DE"/>
        </w:rPr>
        <w:t>ABSTRACT</w:t>
      </w:r>
    </w:p>
    <w:p w14:paraId="52C83A6B" w14:textId="347FB842" w:rsidR="00411E62" w:rsidRDefault="0023114C" w:rsidP="000007B1">
      <w:pPr>
        <w:spacing w:before="120" w:after="120"/>
        <w:ind w:firstLine="567"/>
        <w:jc w:val="both"/>
        <w:rPr>
          <w:sz w:val="20"/>
          <w:szCs w:val="20"/>
        </w:rPr>
      </w:pPr>
      <w:r w:rsidRPr="0023114C">
        <w:rPr>
          <w:sz w:val="20"/>
          <w:szCs w:val="20"/>
          <w:shd w:val="clear" w:color="auto" w:fill="FFFFFF"/>
          <w:lang w:val="de-DE"/>
        </w:rPr>
        <w:t>Drug-drug interactions (DDIs) are adverse events that frequently occur in clinical practice. Notably, the incidence of cardiovascular DDIs has been observed to be higher compared to other drugs</w:t>
      </w:r>
      <w:bookmarkStart w:id="0" w:name="_GoBack"/>
      <w:bookmarkEnd w:id="0"/>
      <w:r w:rsidRPr="0023114C">
        <w:rPr>
          <w:sz w:val="20"/>
          <w:szCs w:val="20"/>
          <w:shd w:val="clear" w:color="auto" w:fill="FFFFFF"/>
          <w:lang w:val="de-DE"/>
        </w:rPr>
        <w:t>. DDIs may result in severe outcomes, including increased toxicity, diminished therapeutic efficacy, and an elevated risk of hospitalization and mortality. The purpose of this research was to assess the prevalence, severity, pharmacological mechanisms of cardiovascular DDIs and develop a cardiovascular DDIs list among outpatients at Long My Health Center, Hau Giang, in 2023. We conducted a cross-sectional, retrospective study of all cardiovascular prescriptions among outpatients at Long My Health Center, Hau Giang from January 1</w:t>
      </w:r>
      <w:r w:rsidRPr="0023114C">
        <w:rPr>
          <w:sz w:val="20"/>
          <w:szCs w:val="20"/>
          <w:shd w:val="clear" w:color="auto" w:fill="FFFFFF"/>
          <w:vertAlign w:val="superscript"/>
          <w:lang w:val="de-DE"/>
        </w:rPr>
        <w:t>st</w:t>
      </w:r>
      <w:r w:rsidRPr="0023114C">
        <w:rPr>
          <w:sz w:val="20"/>
          <w:szCs w:val="20"/>
          <w:shd w:val="clear" w:color="auto" w:fill="FFFFFF"/>
          <w:lang w:val="de-DE"/>
        </w:rPr>
        <w:t>, 2023, to March 31</w:t>
      </w:r>
      <w:r w:rsidRPr="0023114C">
        <w:rPr>
          <w:sz w:val="20"/>
          <w:szCs w:val="20"/>
          <w:shd w:val="clear" w:color="auto" w:fill="FFFFFF"/>
          <w:vertAlign w:val="superscript"/>
          <w:lang w:val="de-DE"/>
        </w:rPr>
        <w:t>st</w:t>
      </w:r>
      <w:r w:rsidRPr="0023114C">
        <w:rPr>
          <w:sz w:val="20"/>
          <w:szCs w:val="20"/>
          <w:shd w:val="clear" w:color="auto" w:fill="FFFFFF"/>
          <w:lang w:val="de-DE"/>
        </w:rPr>
        <w:t xml:space="preserve">, 2023. Criteria for evaluating DDIs involve using three databases: drugs.com (www.drugs.com/drug_interactions.html), medscape (reference.medscape.com/drug-interactionchecker), and micromedex (www.micromedexsolutions.com). </w:t>
      </w:r>
      <w:r w:rsidRPr="0023114C">
        <w:rPr>
          <w:sz w:val="20"/>
          <w:szCs w:val="20"/>
        </w:rPr>
        <w:t>The study has successfully built a practical list of clinically significant cardiovascular DDIs using three databases, including 23 pairs, which will be the foundation for future clinical interventions aimed at minimizing the prevalent drug interactions, especially to prevent the occurrence of major severity.</w:t>
      </w:r>
    </w:p>
    <w:p w14:paraId="361739C0" w14:textId="4E9500FB" w:rsidR="00313188" w:rsidRPr="00F263E1" w:rsidRDefault="0023114C" w:rsidP="0023114C">
      <w:pPr>
        <w:spacing w:before="120" w:after="120"/>
        <w:jc w:val="both"/>
        <w:rPr>
          <w:i/>
          <w:sz w:val="20"/>
          <w:szCs w:val="20"/>
        </w:rPr>
        <w:sectPr w:rsidR="00313188" w:rsidRPr="00F263E1" w:rsidSect="00030E16">
          <w:headerReference w:type="default" r:id="rId8"/>
          <w:footerReference w:type="even" r:id="rId9"/>
          <w:footerReference w:type="default" r:id="rId10"/>
          <w:type w:val="continuous"/>
          <w:pgSz w:w="11906" w:h="16838" w:code="9"/>
          <w:pgMar w:top="1134" w:right="1134" w:bottom="1134" w:left="1418" w:header="851" w:footer="851" w:gutter="0"/>
          <w:cols w:space="566"/>
          <w:docGrid w:linePitch="360"/>
        </w:sectPr>
      </w:pPr>
      <w:r w:rsidRPr="0023114C">
        <w:rPr>
          <w:b/>
          <w:sz w:val="20"/>
          <w:szCs w:val="20"/>
        </w:rPr>
        <w:t xml:space="preserve">Keywords: </w:t>
      </w:r>
      <w:r w:rsidRPr="0023114C">
        <w:rPr>
          <w:i/>
          <w:sz w:val="20"/>
          <w:szCs w:val="20"/>
        </w:rPr>
        <w:t>Drug-drug interactions, cardiovascular medicines, outpatients, Health Center Long My, Hau Giang.</w:t>
      </w:r>
    </w:p>
    <w:p w14:paraId="66760AE3" w14:textId="77777777" w:rsidR="00814B24" w:rsidRPr="003828C3" w:rsidRDefault="00AF31C4" w:rsidP="005E418A">
      <w:pPr>
        <w:pStyle w:val="Heading1"/>
        <w:ind w:left="272" w:hanging="272"/>
        <w:rPr>
          <w:rFonts w:cs="Times New Roman"/>
          <w:sz w:val="22"/>
        </w:rPr>
      </w:pPr>
      <w:r w:rsidRPr="003828C3">
        <w:rPr>
          <w:rFonts w:cs="Times New Roman"/>
          <w:sz w:val="22"/>
        </w:rPr>
        <w:lastRenderedPageBreak/>
        <w:t>INTRODUCTION</w:t>
      </w:r>
    </w:p>
    <w:p w14:paraId="74225370" w14:textId="31ED5403" w:rsidR="005E418A" w:rsidRDefault="000073AC" w:rsidP="00936FC4">
      <w:pPr>
        <w:pStyle w:val="Text"/>
        <w:tabs>
          <w:tab w:val="left" w:pos="567"/>
        </w:tabs>
        <w:rPr>
          <w:rFonts w:cs="Times New Roman"/>
          <w:sz w:val="22"/>
          <w:szCs w:val="22"/>
          <w:shd w:val="clear" w:color="auto" w:fill="FFFFFF"/>
          <w:lang w:val="de-DE"/>
        </w:rPr>
      </w:pPr>
      <w:r w:rsidRPr="003828C3">
        <w:rPr>
          <w:rFonts w:cs="Times New Roman"/>
          <w:sz w:val="22"/>
          <w:szCs w:val="22"/>
          <w:shd w:val="clear" w:color="auto" w:fill="FFFFFF"/>
          <w:lang w:val="de-DE"/>
        </w:rPr>
        <w:t>Drug-drug interactions (DDIs) refer to alterations in the concentration of medications in the bloodstream due to the concurrent presence of additional pharmaceuticals, which could potentially impact therapeutic efficacy or elevate adverse events.</w:t>
      </w:r>
      <w:r w:rsidR="00E13130" w:rsidRPr="003828C3">
        <w:rPr>
          <w:rFonts w:cs="Times New Roman"/>
          <w:sz w:val="22"/>
          <w:szCs w:val="22"/>
          <w:shd w:val="clear" w:color="auto" w:fill="FFFFFF"/>
          <w:lang w:val="de-DE"/>
        </w:rPr>
        <w:t xml:space="preserve"> </w:t>
      </w:r>
      <w:r w:rsidR="005B5677" w:rsidRPr="003828C3">
        <w:rPr>
          <w:rFonts w:cs="Times New Roman"/>
          <w:sz w:val="22"/>
          <w:szCs w:val="22"/>
          <w:shd w:val="clear" w:color="auto" w:fill="FFFFFF"/>
          <w:lang w:val="de-DE"/>
        </w:rPr>
        <w:t>DDIs</w:t>
      </w:r>
      <w:r w:rsidR="005429DC" w:rsidRPr="003828C3">
        <w:rPr>
          <w:rFonts w:cs="Times New Roman"/>
          <w:sz w:val="22"/>
          <w:szCs w:val="22"/>
          <w:shd w:val="clear" w:color="auto" w:fill="FFFFFF"/>
          <w:lang w:val="de-DE"/>
        </w:rPr>
        <w:t xml:space="preserve"> may result in severe outcomes, including increased toxicity, diminished therapeutic efficacy, and an elevated risk </w:t>
      </w:r>
      <w:r w:rsidR="00313188">
        <w:rPr>
          <w:rFonts w:cs="Times New Roman"/>
          <w:sz w:val="22"/>
          <w:szCs w:val="22"/>
          <w:shd w:val="clear" w:color="auto" w:fill="FFFFFF"/>
          <w:lang w:val="de-DE"/>
        </w:rPr>
        <w:t>of hospitalization and mortality</w:t>
      </w:r>
      <w:r w:rsidR="00E64E9C">
        <w:rPr>
          <w:rFonts w:cs="Times New Roman"/>
          <w:sz w:val="22"/>
          <w:szCs w:val="22"/>
          <w:shd w:val="clear" w:color="auto" w:fill="FFFFFF"/>
          <w:lang w:val="de-DE"/>
        </w:rPr>
        <w:t>.</w:t>
      </w:r>
      <w:r w:rsidR="00D26618" w:rsidRPr="003A67A6">
        <w:rPr>
          <w:rFonts w:cs="Times New Roman"/>
          <w:sz w:val="22"/>
          <w:szCs w:val="22"/>
          <w:shd w:val="clear" w:color="auto" w:fill="FFFFFF"/>
          <w:vertAlign w:val="superscript"/>
          <w:lang w:val="de-DE"/>
        </w:rPr>
        <w:fldChar w:fldCharType="begin"/>
      </w:r>
      <w:r w:rsidR="003A67A6" w:rsidRPr="003A67A6">
        <w:rPr>
          <w:rFonts w:cs="Times New Roman"/>
          <w:sz w:val="22"/>
          <w:szCs w:val="22"/>
          <w:shd w:val="clear" w:color="auto" w:fill="FFFFFF"/>
          <w:vertAlign w:val="superscript"/>
          <w:lang w:val="de-DE"/>
        </w:rPr>
        <w:instrText xml:space="preserve"> ADDIN ZOTERO_ITEM CSL_CITATION {"citationID":"AIpFCCYz","properties":{"formattedCitation":"(1)","plainCitation":"(1)","noteIndex":0},"citationItems":[{"id":1746,"uris":["http://zotero.org/users/6883290/items/NNDJHBIE"],"itemData":{"id":1746,"type":"book","edition":"ninth","ISBN":"978 0 85369 914 9","publisher":"Pharmaceutical Press","title":"Stockley's Drug Interactions","author":[{"literal":"Karen Baxter"}],"issued":{"date-parts":[["2010"]]}}}],"schema":"https://github.com/citation-style-language/schema/raw/master/csl-citation.json"} </w:instrText>
      </w:r>
      <w:r w:rsidR="00D26618" w:rsidRPr="003A67A6">
        <w:rPr>
          <w:rFonts w:cs="Times New Roman"/>
          <w:sz w:val="22"/>
          <w:szCs w:val="22"/>
          <w:shd w:val="clear" w:color="auto" w:fill="FFFFFF"/>
          <w:vertAlign w:val="superscript"/>
          <w:lang w:val="de-DE"/>
        </w:rPr>
        <w:fldChar w:fldCharType="separate"/>
      </w:r>
      <w:r w:rsidR="00892097" w:rsidRPr="00692783">
        <w:rPr>
          <w:rFonts w:cs="Times New Roman"/>
          <w:noProof/>
          <w:sz w:val="22"/>
          <w:szCs w:val="22"/>
          <w:shd w:val="clear" w:color="auto" w:fill="FFFFFF"/>
          <w:vertAlign w:val="superscript"/>
          <w:lang w:val="de-DE"/>
        </w:rPr>
        <w:t>1</w:t>
      </w:r>
      <w:r w:rsidR="00D26618" w:rsidRPr="003A67A6">
        <w:rPr>
          <w:rFonts w:cs="Times New Roman"/>
          <w:sz w:val="22"/>
          <w:szCs w:val="22"/>
          <w:shd w:val="clear" w:color="auto" w:fill="FFFFFF"/>
          <w:vertAlign w:val="superscript"/>
          <w:lang w:val="de-DE"/>
        </w:rPr>
        <w:fldChar w:fldCharType="end"/>
      </w:r>
      <w:r w:rsidR="00E64E9C">
        <w:rPr>
          <w:rFonts w:cs="Times New Roman"/>
          <w:sz w:val="22"/>
          <w:szCs w:val="22"/>
          <w:shd w:val="clear" w:color="auto" w:fill="FFFFFF"/>
          <w:vertAlign w:val="superscript"/>
          <w:lang w:val="de-DE"/>
        </w:rPr>
        <w:t xml:space="preserve"> </w:t>
      </w:r>
      <w:r w:rsidR="00E13130" w:rsidRPr="003828C3">
        <w:rPr>
          <w:rFonts w:cs="Times New Roman"/>
          <w:sz w:val="22"/>
          <w:szCs w:val="22"/>
          <w:shd w:val="clear" w:color="auto" w:fill="FFFFFF"/>
          <w:lang w:val="de-DE"/>
        </w:rPr>
        <w:t>DDIs</w:t>
      </w:r>
      <w:r w:rsidR="00C97E6F" w:rsidRPr="003828C3">
        <w:rPr>
          <w:rFonts w:cs="Times New Roman"/>
          <w:sz w:val="22"/>
          <w:szCs w:val="22"/>
          <w:shd w:val="clear" w:color="auto" w:fill="FFFFFF"/>
          <w:lang w:val="de-DE"/>
        </w:rPr>
        <w:t xml:space="preserve"> are </w:t>
      </w:r>
      <w:r w:rsidR="002F5FE5" w:rsidRPr="003828C3">
        <w:rPr>
          <w:rFonts w:cs="Times New Roman"/>
          <w:sz w:val="22"/>
          <w:szCs w:val="22"/>
          <w:shd w:val="clear" w:color="auto" w:fill="FFFFFF"/>
          <w:lang w:val="de-DE"/>
        </w:rPr>
        <w:t>events that frequently occur in clinical practice</w:t>
      </w:r>
      <w:r w:rsidR="00E64E9C">
        <w:rPr>
          <w:rFonts w:cs="Times New Roman"/>
          <w:sz w:val="22"/>
          <w:szCs w:val="22"/>
          <w:shd w:val="clear" w:color="auto" w:fill="FFFFFF"/>
          <w:lang w:val="de-DE"/>
        </w:rPr>
        <w:t>.</w:t>
      </w:r>
      <w:r w:rsidR="00324288" w:rsidRPr="00E64E9C">
        <w:rPr>
          <w:rFonts w:cs="Times New Roman"/>
          <w:sz w:val="22"/>
          <w:szCs w:val="22"/>
          <w:shd w:val="clear" w:color="auto" w:fill="FFFFFF"/>
          <w:vertAlign w:val="superscript"/>
          <w:lang w:val="de-DE"/>
        </w:rPr>
        <w:fldChar w:fldCharType="begin"/>
      </w:r>
      <w:r w:rsidR="0065347E" w:rsidRPr="00E64E9C">
        <w:rPr>
          <w:rFonts w:cs="Times New Roman"/>
          <w:sz w:val="22"/>
          <w:szCs w:val="22"/>
          <w:shd w:val="clear" w:color="auto" w:fill="FFFFFF"/>
          <w:vertAlign w:val="superscript"/>
          <w:lang w:val="de-DE"/>
        </w:rPr>
        <w:instrText xml:space="preserve"> ADDIN ZOTERO_ITEM CSL_CITATION {"citationID":"JbCCyFCx","properties":{"formattedCitation":"(2)","plainCitation":"(2)","dontUpdate":true,"noteIndex":0},"citationItems":[{"id":1735,"uris":["http://zotero.org/users/6883290/items/IRQYBKXC"],"itemData":{"id":1735,"type":"article-journal","abstract":"Background Potential drug-drug interactions are important factors resulting in adverse drug reactions or therapeutic failure. Therefore, potential drug-drug interactions need to be identified to prevent the related risk and improve drug safety. Objective This study was designed to determine the prevalence of potential drug-drug interactions and investigate the association of potential drug-drug interactions with characteristics in outpatient prescriptions. Setting A large-scale general university hospital in Jinshan District of Shanghai, China. Method The retrospective study was conducted on data obtained from prescriptions containing two or more drugs, written for outpatients older than 18 years. They were screened for potential drug-drug interactions using Lexi-Interact in UpToDate, Stockley's Drug Interactions and Medicine Specification in the order of priority. Main outcome measure Drug-drug interactions with C, D, X risk rating and clinical parameters recorded at the prescriptions. Results 16,120 prescriptions were screened for the presence of potential drug-drug interactions and 4882 (30.29%) prescriptions containing 6667 potential drug-drug interactions were identified. Among 6667 potential drug-drug interactions, 90.81% (6054/6667), 8.49% (566/6667), 0.70% (47/6667) potential drug-drug interactions belonged to the risk category of C, D and X, respectively. Male, old age and polypharmacy increased the likelihood of potential drug-drug interactions. The most frequently prescribed drugs responsible for potential drug-drug interactions included pioglitazone, dihydrocodeine, thalidomide, sotalol, amiodarone and amlodipine. The predominant potential adverse outcome of potential drug-drug interactions was the increased central nervous system suppression function with the mechanism of reinforced pharmacological effects. Conclusion This study showed that potentially significant drug-drug interactions in outpatients were prevalent in real-world practice. Considering the risk of potential clinical consequences related to potential drug-drug interactions, it is necessary to implement the computerized surveillance and warning systems with drug-drug interactions databases as well as develop the clinical guidelines regarding the widespread potential drug-drug interactions.","container-title":"International Journal of Clinical Pharmacy","DOI":"10.1007/s11096-020-01068-3","ISSN":"2210-7711","issue":"4","journalAbbreviation":"Int J Clin Pharm","language":"eng","note":"PMID: 32488437\nPMCID: PMC7476976","page":"1190-1196","source":"PubMed","title":"Prevalence of potential drug-drug interactions in outpatients of a general hospital in China: a retrospective investigation","title-short":"Prevalence of potential drug-drug interactions in outpatients of a general hospital in China","volume":"42","author":[{"family":"Ren","given":"Weifang"},{"family":"Liu","given":"Yujuan"},{"family":"Zhang","given":"Jun"},{"family":"Fang","given":"Zhonghong"},{"family":"Fang","given":"Huan"},{"family":"Gong","given":"Yuan"},{"family":"Lv","given":"Xiaoqun"}],"issued":{"date-parts":[["2020",8]]}}}],"schema":"https://github.com/citation-style-language/schema/raw/master/csl-citation.json"} </w:instrText>
      </w:r>
      <w:r w:rsidR="00324288" w:rsidRPr="00E64E9C">
        <w:rPr>
          <w:rFonts w:cs="Times New Roman"/>
          <w:sz w:val="22"/>
          <w:szCs w:val="22"/>
          <w:shd w:val="clear" w:color="auto" w:fill="FFFFFF"/>
          <w:vertAlign w:val="superscript"/>
          <w:lang w:val="de-DE"/>
        </w:rPr>
        <w:fldChar w:fldCharType="separate"/>
      </w:r>
      <w:r w:rsidR="003A67A6" w:rsidRPr="00E64E9C">
        <w:rPr>
          <w:rFonts w:cs="Times New Roman"/>
          <w:sz w:val="22"/>
          <w:szCs w:val="22"/>
          <w:shd w:val="clear" w:color="auto" w:fill="FFFFFF"/>
          <w:vertAlign w:val="superscript"/>
          <w:lang w:val="de-DE"/>
        </w:rPr>
        <w:t>2</w:t>
      </w:r>
      <w:r w:rsidR="00324288" w:rsidRPr="00E64E9C">
        <w:rPr>
          <w:rFonts w:cs="Times New Roman"/>
          <w:sz w:val="22"/>
          <w:szCs w:val="22"/>
          <w:shd w:val="clear" w:color="auto" w:fill="FFFFFF"/>
          <w:vertAlign w:val="superscript"/>
          <w:lang w:val="de-DE"/>
        </w:rPr>
        <w:fldChar w:fldCharType="end"/>
      </w:r>
      <w:r w:rsidR="00E64E9C">
        <w:rPr>
          <w:rFonts w:cs="Times New Roman"/>
          <w:sz w:val="22"/>
          <w:szCs w:val="22"/>
          <w:shd w:val="clear" w:color="auto" w:fill="FFFFFF"/>
          <w:vertAlign w:val="superscript"/>
          <w:lang w:val="de-DE"/>
        </w:rPr>
        <w:t xml:space="preserve"> </w:t>
      </w:r>
      <w:r w:rsidR="002F5FE5" w:rsidRPr="003828C3">
        <w:rPr>
          <w:rFonts w:cs="Times New Roman"/>
          <w:sz w:val="22"/>
          <w:szCs w:val="22"/>
          <w:shd w:val="clear" w:color="auto" w:fill="FFFFFF"/>
          <w:lang w:val="de-DE"/>
        </w:rPr>
        <w:t>Notably, the incidence of cardiovascular DDIs has been observed to be higher compared to other drugs</w:t>
      </w:r>
      <w:r w:rsidR="00E64E9C">
        <w:rPr>
          <w:rFonts w:cs="Times New Roman"/>
          <w:sz w:val="22"/>
          <w:szCs w:val="22"/>
          <w:shd w:val="clear" w:color="auto" w:fill="FFFFFF"/>
          <w:lang w:val="de-DE"/>
        </w:rPr>
        <w:t>.</w:t>
      </w:r>
      <w:r w:rsidR="00324288" w:rsidRPr="003A67A6">
        <w:rPr>
          <w:rFonts w:cs="Times New Roman"/>
          <w:sz w:val="22"/>
          <w:szCs w:val="22"/>
          <w:shd w:val="clear" w:color="auto" w:fill="FFFFFF"/>
          <w:vertAlign w:val="superscript"/>
          <w:lang w:val="de-DE"/>
        </w:rPr>
        <w:fldChar w:fldCharType="begin"/>
      </w:r>
      <w:r w:rsidR="003A67A6" w:rsidRPr="003A67A6">
        <w:rPr>
          <w:rFonts w:cs="Times New Roman"/>
          <w:sz w:val="22"/>
          <w:szCs w:val="22"/>
          <w:shd w:val="clear" w:color="auto" w:fill="FFFFFF"/>
          <w:vertAlign w:val="superscript"/>
          <w:lang w:val="de-DE"/>
        </w:rPr>
        <w:instrText xml:space="preserve"> ADDIN ZOTERO_ITEM CSL_CITATION {"citationID":"EwvdcZHn","properties":{"formattedCitation":"(3)","plainCitation":"(3)","noteIndex":0},"citationItems":[{"id":1732,"uris":["http://zotero.org/users/6883290/items/G889PE6W"],"itemData":{"id":1732,"type":"article-journal","abstract":"BACKGROUND: Elderly people are most commonly associated with cardiac disease. Cardiovascular diseases are interlinked with co-morbidities which require multiple drug therapy in addition to cardiovascular drugs. This results to polypharmacy which carries a high risk of potential drug-drug interactions. Elderly patients are at a particular risk of drug related problems because of increased level of polypharmacy and the physiological changes which accompany aging. This study was aimed to assess polypharmacy and potential drug-drug interactions (DDIs) among elderly people with cardiovascular diseases at Yekatit 12 hospital.\nMETHODOLOGY: A retrospective cross-sectional study using patients chart review was conducted on all elderly people with cardiovascular diseases at Yekatit 12 hospital in the period between March 2018 and March 2019. The types, seriousness and level of potential DDIs were checked using Medscape online drug interaction checker.\nRESULTS: The mean number of drugs per prescription was 4.25 ± 1.754 and the prevalence of polypharmacy (concurrent use of 5 and more drugs) was 42.7%. Polypharmacy and potential DDIs were significantly associated with polymorbidity (P = 0.000), being hospitalized (P = 0.047) and congestive heart failure (P = 0.016). A total of 850-potential DDIs were identified, the mean number of potential DDIs was 3.37 per prescription. The potential DDIs were mainly significant (73.29%) in nature and pharmacodynamics (73.06%) in mechanism. The prevalence of total and serious potential DDIs were 84.3% and 17.3%, respectively. Most commonly interacting drug combination was aspirin + enalapril (30.2%).\nCONCLUSION: A higher incidence of polypharmacy and increased risk of potential DDIs in elderly people with cardiovascular disease are major therapeutic issues at Yekatit 12 hospital.","container-title":"Integrated Pharmacy Research &amp; Practice","DOI":"10.2147/IPRP.S231286","ISSN":"2230-5254","journalAbbreviation":"Integr Pharm Res Pract","language":"eng","note":"PMID: 32021833\nPMCID: PMC6959213","page":"1-9","source":"PubMed","title":"Survey on Polypharmacy and Drug-Drug Interactions Among Elderly People with Cardiovascular Diseases at Yekatit 12 Hospital, Addis Ababa, Ethiopia","volume":"9","author":[{"family":"Assefa","given":"Yelbeneh Abayneh"},{"family":"Kedir","given":"Ansha"},{"family":"Kahaliw","given":"Wubayehu"}],"issued":{"date-parts":[["2020"]]}}}],"schema":"https://github.com/citation-style-language/schema/raw/master/csl-citation.json"} </w:instrText>
      </w:r>
      <w:r w:rsidR="00324288" w:rsidRPr="003A67A6">
        <w:rPr>
          <w:rFonts w:cs="Times New Roman"/>
          <w:sz w:val="22"/>
          <w:szCs w:val="22"/>
          <w:shd w:val="clear" w:color="auto" w:fill="FFFFFF"/>
          <w:vertAlign w:val="superscript"/>
          <w:lang w:val="de-DE"/>
        </w:rPr>
        <w:fldChar w:fldCharType="separate"/>
      </w:r>
      <w:r w:rsidR="00892097" w:rsidRPr="00E64E9C">
        <w:rPr>
          <w:rFonts w:cs="Times New Roman"/>
          <w:noProof/>
          <w:sz w:val="22"/>
          <w:szCs w:val="22"/>
          <w:shd w:val="clear" w:color="auto" w:fill="FFFFFF"/>
          <w:vertAlign w:val="superscript"/>
          <w:lang w:val="de-DE"/>
        </w:rPr>
        <w:t>3</w:t>
      </w:r>
      <w:r w:rsidR="00324288" w:rsidRPr="003A67A6">
        <w:rPr>
          <w:rFonts w:cs="Times New Roman"/>
          <w:sz w:val="22"/>
          <w:szCs w:val="22"/>
          <w:shd w:val="clear" w:color="auto" w:fill="FFFFFF"/>
          <w:vertAlign w:val="superscript"/>
          <w:lang w:val="de-DE"/>
        </w:rPr>
        <w:fldChar w:fldCharType="end"/>
      </w:r>
      <w:r w:rsidR="00E64E9C">
        <w:rPr>
          <w:rFonts w:cs="Times New Roman"/>
          <w:sz w:val="22"/>
          <w:szCs w:val="22"/>
          <w:shd w:val="clear" w:color="auto" w:fill="FFFFFF"/>
          <w:lang w:val="de-DE"/>
        </w:rPr>
        <w:t xml:space="preserve"> </w:t>
      </w:r>
      <w:r w:rsidR="009928B9" w:rsidRPr="003828C3">
        <w:rPr>
          <w:rFonts w:cs="Times New Roman"/>
          <w:sz w:val="22"/>
          <w:szCs w:val="22"/>
          <w:shd w:val="clear" w:color="auto" w:fill="FFFFFF"/>
          <w:lang w:val="de-DE"/>
        </w:rPr>
        <w:t xml:space="preserve">Indeed, clinicians frequently prescribe cardiovascular medications to the elderly, who typically have multiple </w:t>
      </w:r>
      <w:r w:rsidR="00006FE0" w:rsidRPr="003828C3">
        <w:rPr>
          <w:rFonts w:cs="Times New Roman"/>
          <w:sz w:val="22"/>
          <w:szCs w:val="22"/>
          <w:shd w:val="clear" w:color="auto" w:fill="FFFFFF"/>
          <w:lang w:val="de-DE"/>
        </w:rPr>
        <w:t>comorbid</w:t>
      </w:r>
      <w:r w:rsidR="00BC52EA" w:rsidRPr="003828C3">
        <w:rPr>
          <w:rFonts w:cs="Times New Roman"/>
          <w:sz w:val="22"/>
          <w:szCs w:val="22"/>
          <w:shd w:val="clear" w:color="auto" w:fill="FFFFFF"/>
          <w:lang w:val="de-DE"/>
        </w:rPr>
        <w:t>ities that</w:t>
      </w:r>
      <w:r w:rsidR="009928B9" w:rsidRPr="003828C3">
        <w:rPr>
          <w:rFonts w:cs="Times New Roman"/>
          <w:sz w:val="22"/>
          <w:szCs w:val="22"/>
          <w:shd w:val="clear" w:color="auto" w:fill="FFFFFF"/>
          <w:lang w:val="de-DE"/>
        </w:rPr>
        <w:t xml:space="preserve"> require</w:t>
      </w:r>
      <w:r w:rsidR="00BC52EA" w:rsidRPr="003828C3">
        <w:rPr>
          <w:rFonts w:cs="Times New Roman"/>
          <w:sz w:val="22"/>
          <w:szCs w:val="22"/>
          <w:shd w:val="clear" w:color="auto" w:fill="FFFFFF"/>
          <w:lang w:val="de-DE"/>
        </w:rPr>
        <w:t>d</w:t>
      </w:r>
      <w:r w:rsidR="009928B9" w:rsidRPr="003828C3">
        <w:rPr>
          <w:rFonts w:cs="Times New Roman"/>
          <w:sz w:val="22"/>
          <w:szCs w:val="22"/>
          <w:shd w:val="clear" w:color="auto" w:fill="FFFFFF"/>
          <w:lang w:val="de-DE"/>
        </w:rPr>
        <w:t xml:space="preserve"> </w:t>
      </w:r>
      <w:r w:rsidR="00BC52EA" w:rsidRPr="003828C3">
        <w:rPr>
          <w:rFonts w:cs="Times New Roman"/>
          <w:sz w:val="22"/>
          <w:szCs w:val="22"/>
          <w:shd w:val="clear" w:color="auto" w:fill="FFFFFF"/>
          <w:lang w:val="de-DE"/>
        </w:rPr>
        <w:t>complex drug regimens</w:t>
      </w:r>
      <w:r w:rsidR="00E97615" w:rsidRPr="003828C3">
        <w:rPr>
          <w:rFonts w:cs="Times New Roman"/>
          <w:sz w:val="22"/>
          <w:szCs w:val="22"/>
          <w:shd w:val="clear" w:color="auto" w:fill="FFFFFF"/>
          <w:lang w:val="de-DE"/>
        </w:rPr>
        <w:t>, known as polypharmacy</w:t>
      </w:r>
      <w:r w:rsidR="00410CC9" w:rsidRPr="003828C3">
        <w:rPr>
          <w:rFonts w:cs="Times New Roman"/>
          <w:sz w:val="22"/>
          <w:szCs w:val="22"/>
          <w:shd w:val="clear" w:color="auto" w:fill="FFFFFF"/>
          <w:lang w:val="de-DE"/>
        </w:rPr>
        <w:t xml:space="preserve">, </w:t>
      </w:r>
      <w:r w:rsidR="00410CC9" w:rsidRPr="003828C3">
        <w:rPr>
          <w:rFonts w:cs="Times New Roman"/>
          <w:sz w:val="22"/>
          <w:szCs w:val="22"/>
          <w:shd w:val="clear" w:color="auto" w:fill="FFFFFF"/>
          <w:lang w:val="de-DE"/>
        </w:rPr>
        <w:lastRenderedPageBreak/>
        <w:t xml:space="preserve">which </w:t>
      </w:r>
      <w:r w:rsidR="00E97615" w:rsidRPr="003828C3">
        <w:rPr>
          <w:rFonts w:cs="Times New Roman"/>
          <w:sz w:val="22"/>
          <w:szCs w:val="22"/>
          <w:shd w:val="clear" w:color="auto" w:fill="FFFFFF"/>
          <w:lang w:val="de-DE"/>
        </w:rPr>
        <w:t>could increase</w:t>
      </w:r>
      <w:r w:rsidR="00E35A04" w:rsidRPr="003828C3">
        <w:rPr>
          <w:rFonts w:cs="Times New Roman"/>
          <w:sz w:val="22"/>
          <w:szCs w:val="22"/>
          <w:shd w:val="clear" w:color="auto" w:fill="FFFFFF"/>
          <w:lang w:val="de-DE"/>
        </w:rPr>
        <w:t xml:space="preserve"> </w:t>
      </w:r>
      <w:r w:rsidR="00E97615" w:rsidRPr="003828C3">
        <w:rPr>
          <w:rFonts w:cs="Times New Roman"/>
          <w:sz w:val="22"/>
          <w:szCs w:val="22"/>
          <w:shd w:val="clear" w:color="auto" w:fill="FFFFFF"/>
          <w:lang w:val="de-DE"/>
        </w:rPr>
        <w:t xml:space="preserve">the </w:t>
      </w:r>
      <w:r w:rsidR="00E35A04" w:rsidRPr="003828C3">
        <w:rPr>
          <w:rFonts w:cs="Times New Roman"/>
          <w:sz w:val="22"/>
          <w:szCs w:val="22"/>
          <w:shd w:val="clear" w:color="auto" w:fill="FFFFFF"/>
          <w:lang w:val="de-DE"/>
        </w:rPr>
        <w:t>risk of DDIs</w:t>
      </w:r>
      <w:r w:rsidR="00E64E9C">
        <w:rPr>
          <w:rFonts w:cs="Times New Roman"/>
          <w:sz w:val="22"/>
          <w:szCs w:val="22"/>
          <w:shd w:val="clear" w:color="auto" w:fill="FFFFFF"/>
          <w:lang w:val="de-DE"/>
        </w:rPr>
        <w:t>.</w:t>
      </w:r>
      <w:r w:rsidR="003A67A6" w:rsidRPr="0065347E">
        <w:rPr>
          <w:rFonts w:cs="Times New Roman"/>
          <w:sz w:val="22"/>
          <w:szCs w:val="22"/>
          <w:shd w:val="clear" w:color="auto" w:fill="FFFFFF"/>
          <w:vertAlign w:val="superscript"/>
          <w:lang w:val="de-DE"/>
        </w:rPr>
        <w:fldChar w:fldCharType="begin"/>
      </w:r>
      <w:r w:rsidR="0065347E" w:rsidRPr="0065347E">
        <w:rPr>
          <w:rFonts w:cs="Times New Roman"/>
          <w:sz w:val="22"/>
          <w:szCs w:val="22"/>
          <w:shd w:val="clear" w:color="auto" w:fill="FFFFFF"/>
          <w:vertAlign w:val="superscript"/>
          <w:lang w:val="de-DE"/>
        </w:rPr>
        <w:instrText xml:space="preserve"> ADDIN ZOTERO_ITEM CSL_CITATION {"citationID":"jlqqpKSL","properties":{"formattedCitation":"(4,5)","plainCitation":"(4,5)","noteIndex":0},"citationItems":[{"id":1741,"uris":["http://zotero.org/users/6883290/items/N2VRHLVM"],"itemData":{"id":1741,"type":"article-journal","abstract":"Background: The quality of pharmacotherapy is highly dependent on the process of choosing a drug in relation to nature of the disease. Several factors should be considered in choosing optimal pharmacotherapeutics strategy including efficacy, safety, availability and cost of the drugs. The objective of this study was to assess potential drug-drug interactions and risk factors in outpatients taking cardiovascular drugs at Jimma University specialized hospital.Methods: A cross-sectional study was conducted from Feb. to April, 2011on patients visiting the cardiac clinic of Jimma University Specialized hospital. A sample of 332 outpatients who were taking cardiovascular medications at study clinic was studied. MicroMedex software was used to screen drug-drug interactions and SPSS for windows software versions-16.0 was used for data analysis.Results: A total of 1249 drugs with average of 3.76 drugs per prescription were prescribed for the 332 patients. The frequency of potential DDIs was found to be 241 (72.6%). Among these 200 (67.3%) were of \"moderate\" severity and 164 (55.2%) were delayed in onset. The most common potential DDI observed was between Enalapril and Furosemide (20%). Patients who prescribed many drugs (AOR=4.09; P=0.00) by medical intern had a higher risk of developing potential DDIs (AOR=4.6; P=0.00).Conclusions: Patients with cardiovascular disorders are subjected to high risk of potential drug-drug interactions and the number of drugs prescribed and educational level of the prescribers has a high significantly associated with the occurrence of potential drug-drug interactions. Therefore, it is imperative that further studies need to be conducted to identify reasons for and tackle the problem and provide appropriate mechanisms for management.","container-title":"International Journal of Basic &amp; Clinical Pharmacology","ISSN":"2279-0780","issue":"2","language":"en","page":"144-152","source":"www.ijbcp.com","title":"Assessment of potential drug-drug interactions among outpatients receiving cardiovascular medications at Jimma University specialized hospital, South West Ethiopia","volume":"2","author":[{"family":"Chelkeba","given":"Legese"},{"family":"Alemseged","given":"Fessahaye"},{"family":"Bedada","given":"Worku"}],"issued":{"date-parts":[["2013"]]}},"label":"page"},{"id":1738,"uris":["http://zotero.org/users/6883290/items/ZIMU99KC"],"itemData":{"id":1738,"type":"article-journal","abstract":"BACKGROUND: Polypharmacy continues to be a topic of concern among older adults and puts patients at increased risk of potential drug-drug interactions (DDIs) and negative health outcomes. The objective of this study was to assess the prevalence of polypharmacy among older adults with cardiovascular disease (CVD) and to identify severe potential DDIs.\nMETHODS: A retrospective chart review was conducted in a tertiary care center over a three-month period where we reviewed home medications of older adults upon hospital admission. Inclusion criteria were age ≥ 65 years, history of CVD, and admission to the cardiology service. Polypharmacy was defined as 5 or more medications taken concomitantly, hyper-polypharmacy was defined as 10 or more medications taken concomitantly, and severe potential DDIs were considered to be those belonging to category D or X using Lexicomp® Drug Information Handbook. Category D interaction states that modification of therapy should be considered while category X states that the combination should be absolutely avoided.\nRESULTS: A total of 404 patients with a mean age of 76.6 ± 7.4 years were included. Patients were taking an average of 11.6 ± 4.5 medications at home and 385 (95%) received polypharmacy, 278 (69%) received hyper-polypharmacy, and 313 (77.5%) had at least one severe potential DDI. Under category D, the most common potential DDIs were drugs with additive central nervous system (CNS) depressant effect and drugs that increase the risk of QT prolongation. Under category X, the most common potential DDIs were non-selective β-blockers that may diminish the bronchodilator effect of β2 agonists and drugs with anticholinergic properties that enhance the ulcerogenic effect of oral solid potassium.\nCONCLUSIONS: Polypharmacy, hyper-polypharmacy, and severe potential DDIs are very common in older adults with CVD. Clinicians should vigilantly review patients' drug records and adjust therapy accordingly to prevent adverse drug reactions and negative health outcomes.","container-title":"BMC geriatrics","DOI":"10.1186/s12877-021-02183-0","ISSN":"1471-2318","issue":"1","journalAbbreviation":"BMC Geriatr","language":"eng","note":"PMID: 33827442\nPMCID: PMC8028718","page":"233","source":"PubMed","title":"Polypharmacy and severe potential drug-drug interactions among older adults with cardiovascular disease in the United States","volume":"21","author":[{"family":"Sheikh-Taha","given":"Marwan"},{"family":"Asmar","given":"Myriam"}],"issued":{"date-parts":[["2021",4,7]]}},"label":"page"}],"schema":"https://github.com/citation-style-language/schema/raw/master/csl-citation.json"} </w:instrText>
      </w:r>
      <w:r w:rsidR="003A67A6" w:rsidRPr="0065347E">
        <w:rPr>
          <w:rFonts w:cs="Times New Roman"/>
          <w:sz w:val="22"/>
          <w:szCs w:val="22"/>
          <w:shd w:val="clear" w:color="auto" w:fill="FFFFFF"/>
          <w:vertAlign w:val="superscript"/>
          <w:lang w:val="de-DE"/>
        </w:rPr>
        <w:fldChar w:fldCharType="separate"/>
      </w:r>
      <w:r w:rsidR="00892097" w:rsidRPr="00E64E9C">
        <w:rPr>
          <w:rFonts w:cs="Times New Roman"/>
          <w:noProof/>
          <w:sz w:val="22"/>
          <w:szCs w:val="22"/>
          <w:shd w:val="clear" w:color="auto" w:fill="FFFFFF"/>
          <w:vertAlign w:val="superscript"/>
          <w:lang w:val="de-DE"/>
        </w:rPr>
        <w:t>4,5</w:t>
      </w:r>
      <w:r w:rsidR="00E64E9C">
        <w:rPr>
          <w:rFonts w:cs="Times New Roman"/>
          <w:noProof/>
          <w:sz w:val="22"/>
          <w:szCs w:val="22"/>
          <w:shd w:val="clear" w:color="auto" w:fill="FFFFFF"/>
          <w:lang w:val="de-DE"/>
        </w:rPr>
        <w:t xml:space="preserve"> </w:t>
      </w:r>
      <w:r w:rsidR="003A67A6" w:rsidRPr="0065347E">
        <w:rPr>
          <w:rFonts w:cs="Times New Roman"/>
          <w:sz w:val="22"/>
          <w:szCs w:val="22"/>
          <w:shd w:val="clear" w:color="auto" w:fill="FFFFFF"/>
          <w:vertAlign w:val="superscript"/>
          <w:lang w:val="de-DE"/>
        </w:rPr>
        <w:fldChar w:fldCharType="end"/>
      </w:r>
      <w:r w:rsidR="005401DE" w:rsidRPr="003828C3">
        <w:rPr>
          <w:rFonts w:cs="Times New Roman"/>
          <w:sz w:val="22"/>
          <w:szCs w:val="22"/>
          <w:shd w:val="clear" w:color="auto" w:fill="FFFFFF"/>
          <w:lang w:val="de-DE"/>
        </w:rPr>
        <w:t>DDIs</w:t>
      </w:r>
      <w:r w:rsidR="001138A7" w:rsidRPr="003828C3">
        <w:rPr>
          <w:rFonts w:cs="Times New Roman"/>
          <w:sz w:val="22"/>
          <w:szCs w:val="22"/>
          <w:shd w:val="clear" w:color="auto" w:fill="FFFFFF"/>
          <w:lang w:val="de-DE"/>
        </w:rPr>
        <w:t xml:space="preserve"> </w:t>
      </w:r>
      <w:r w:rsidR="0020238B" w:rsidRPr="003828C3">
        <w:rPr>
          <w:rFonts w:cs="Times New Roman"/>
          <w:sz w:val="22"/>
          <w:szCs w:val="22"/>
          <w:shd w:val="clear" w:color="auto" w:fill="FFFFFF"/>
          <w:lang w:val="de-DE"/>
        </w:rPr>
        <w:t>are preventable clinical events</w:t>
      </w:r>
      <w:r w:rsidR="004B54AE" w:rsidRPr="003828C3">
        <w:rPr>
          <w:rFonts w:cs="Times New Roman"/>
          <w:sz w:val="22"/>
          <w:szCs w:val="22"/>
          <w:shd w:val="clear" w:color="auto" w:fill="FFFFFF"/>
          <w:lang w:val="de-DE"/>
        </w:rPr>
        <w:t xml:space="preserve"> that can be mitigated</w:t>
      </w:r>
      <w:r w:rsidR="001138B4" w:rsidRPr="003828C3">
        <w:rPr>
          <w:rFonts w:cs="Times New Roman"/>
          <w:sz w:val="22"/>
          <w:szCs w:val="22"/>
          <w:shd w:val="clear" w:color="auto" w:fill="FFFFFF"/>
          <w:lang w:val="de-DE"/>
        </w:rPr>
        <w:t xml:space="preserve"> through the utilization of </w:t>
      </w:r>
      <w:r w:rsidR="004B54AE" w:rsidRPr="003828C3">
        <w:rPr>
          <w:rFonts w:cs="Times New Roman"/>
          <w:sz w:val="22"/>
          <w:szCs w:val="22"/>
          <w:shd w:val="clear" w:color="auto" w:fill="FFFFFF"/>
          <w:lang w:val="de-DE"/>
        </w:rPr>
        <w:t xml:space="preserve">popular </w:t>
      </w:r>
      <w:r w:rsidR="001138B4" w:rsidRPr="003828C3">
        <w:rPr>
          <w:rFonts w:cs="Times New Roman"/>
          <w:sz w:val="22"/>
          <w:szCs w:val="22"/>
          <w:shd w:val="clear" w:color="auto" w:fill="FFFFFF"/>
          <w:lang w:val="de-DE"/>
        </w:rPr>
        <w:t xml:space="preserve">medication interaction monitoring databases, including </w:t>
      </w:r>
      <w:r w:rsidR="00A22174" w:rsidRPr="003828C3">
        <w:rPr>
          <w:rFonts w:cs="Times New Roman"/>
          <w:sz w:val="22"/>
          <w:szCs w:val="22"/>
          <w:shd w:val="clear" w:color="auto" w:fill="FFFFFF"/>
          <w:lang w:val="de-DE"/>
        </w:rPr>
        <w:t xml:space="preserve">Drug Interaction Checker, </w:t>
      </w:r>
      <w:r w:rsidR="004B54AE" w:rsidRPr="003828C3">
        <w:rPr>
          <w:rFonts w:cs="Times New Roman"/>
          <w:sz w:val="22"/>
          <w:szCs w:val="22"/>
          <w:shd w:val="clear" w:color="auto" w:fill="FFFFFF"/>
          <w:lang w:val="de-DE"/>
        </w:rPr>
        <w:t>Medscape Drug Interaction C</w:t>
      </w:r>
      <w:r w:rsidR="00A22174" w:rsidRPr="003828C3">
        <w:rPr>
          <w:rFonts w:cs="Times New Roman"/>
          <w:sz w:val="22"/>
          <w:szCs w:val="22"/>
          <w:shd w:val="clear" w:color="auto" w:fill="FFFFFF"/>
          <w:lang w:val="de-DE"/>
        </w:rPr>
        <w:t xml:space="preserve">hecker, </w:t>
      </w:r>
      <w:r w:rsidR="006408CE" w:rsidRPr="003828C3">
        <w:rPr>
          <w:rFonts w:cs="Times New Roman"/>
          <w:sz w:val="22"/>
          <w:szCs w:val="22"/>
          <w:shd w:val="clear" w:color="auto" w:fill="FFFFFF"/>
          <w:lang w:val="de-DE"/>
        </w:rPr>
        <w:t xml:space="preserve">and </w:t>
      </w:r>
      <w:r w:rsidR="004B54AE" w:rsidRPr="003828C3">
        <w:rPr>
          <w:rFonts w:cs="Times New Roman"/>
          <w:sz w:val="22"/>
          <w:szCs w:val="22"/>
          <w:shd w:val="clear" w:color="auto" w:fill="FFFFFF"/>
          <w:lang w:val="de-DE"/>
        </w:rPr>
        <w:t>Micromedex Drug Interaction C</w:t>
      </w:r>
      <w:r w:rsidR="00A22174" w:rsidRPr="003828C3">
        <w:rPr>
          <w:rFonts w:cs="Times New Roman"/>
          <w:sz w:val="22"/>
          <w:szCs w:val="22"/>
          <w:shd w:val="clear" w:color="auto" w:fill="FFFFFF"/>
          <w:lang w:val="de-DE"/>
        </w:rPr>
        <w:t xml:space="preserve">hecker. </w:t>
      </w:r>
      <w:r w:rsidR="00CD03F1" w:rsidRPr="003828C3">
        <w:rPr>
          <w:rFonts w:cs="Times New Roman"/>
          <w:sz w:val="22"/>
          <w:szCs w:val="22"/>
          <w:shd w:val="clear" w:color="auto" w:fill="FFFFFF"/>
          <w:lang w:val="de-DE"/>
        </w:rPr>
        <w:t>Assessment</w:t>
      </w:r>
      <w:r w:rsidR="008A548E" w:rsidRPr="003828C3">
        <w:rPr>
          <w:rFonts w:cs="Times New Roman"/>
          <w:sz w:val="22"/>
          <w:szCs w:val="22"/>
          <w:shd w:val="clear" w:color="auto" w:fill="FFFFFF"/>
          <w:lang w:val="de-DE"/>
        </w:rPr>
        <w:t xml:space="preserve"> of the prevalence, mechanism, and severity of cardiovascular DDIs</w:t>
      </w:r>
      <w:r w:rsidR="00B176CC" w:rsidRPr="003828C3">
        <w:rPr>
          <w:rFonts w:cs="Times New Roman"/>
          <w:sz w:val="22"/>
          <w:szCs w:val="22"/>
          <w:shd w:val="clear" w:color="auto" w:fill="FFFFFF"/>
          <w:lang w:val="de-DE"/>
        </w:rPr>
        <w:t xml:space="preserve"> </w:t>
      </w:r>
      <w:r w:rsidR="008A548E" w:rsidRPr="003828C3">
        <w:rPr>
          <w:rFonts w:cs="Times New Roman"/>
          <w:sz w:val="22"/>
          <w:szCs w:val="22"/>
          <w:shd w:val="clear" w:color="auto" w:fill="FFFFFF"/>
          <w:lang w:val="de-DE"/>
        </w:rPr>
        <w:t>may inform clinical pharmacological strategies to reduce the rate of DDIs in the future.</w:t>
      </w:r>
    </w:p>
    <w:p w14:paraId="7C5B4119" w14:textId="0253455E" w:rsidR="002F5FE5" w:rsidRPr="003828C3" w:rsidRDefault="00CA3E6A" w:rsidP="00CA3E6A">
      <w:pPr>
        <w:pStyle w:val="Text"/>
        <w:tabs>
          <w:tab w:val="left" w:pos="567"/>
        </w:tabs>
        <w:ind w:firstLine="567"/>
        <w:rPr>
          <w:rFonts w:cs="Times New Roman"/>
          <w:sz w:val="22"/>
          <w:szCs w:val="22"/>
          <w:shd w:val="clear" w:color="auto" w:fill="FFFFFF"/>
          <w:lang w:val="de-DE"/>
        </w:rPr>
      </w:pPr>
      <w:r>
        <w:rPr>
          <w:rFonts w:cs="Times New Roman"/>
          <w:sz w:val="22"/>
          <w:szCs w:val="22"/>
          <w:shd w:val="clear" w:color="auto" w:fill="FFFFFF"/>
          <w:lang w:val="de-DE"/>
        </w:rPr>
        <w:tab/>
      </w:r>
      <w:r w:rsidR="00BC52EA" w:rsidRPr="003828C3">
        <w:rPr>
          <w:rFonts w:cs="Times New Roman"/>
          <w:sz w:val="22"/>
          <w:szCs w:val="22"/>
          <w:shd w:val="clear" w:color="auto" w:fill="FFFFFF"/>
          <w:lang w:val="de-DE"/>
        </w:rPr>
        <w:t>Consequently, this study was conducted to ide</w:t>
      </w:r>
      <w:r w:rsidR="00852CA7" w:rsidRPr="003828C3">
        <w:rPr>
          <w:rFonts w:cs="Times New Roman"/>
          <w:sz w:val="22"/>
          <w:szCs w:val="22"/>
          <w:shd w:val="clear" w:color="auto" w:fill="FFFFFF"/>
          <w:lang w:val="de-DE"/>
        </w:rPr>
        <w:t>n</w:t>
      </w:r>
      <w:r w:rsidR="00BC52EA" w:rsidRPr="003828C3">
        <w:rPr>
          <w:rFonts w:cs="Times New Roman"/>
          <w:sz w:val="22"/>
          <w:szCs w:val="22"/>
          <w:shd w:val="clear" w:color="auto" w:fill="FFFFFF"/>
          <w:lang w:val="de-DE"/>
        </w:rPr>
        <w:t xml:space="preserve">tify cardiovascular DDIs among outpatients at Long My Health Center, Hau Giang, Vietnam </w:t>
      </w:r>
      <w:r w:rsidR="00003593" w:rsidRPr="003828C3">
        <w:rPr>
          <w:rFonts w:cs="Times New Roman"/>
          <w:sz w:val="22"/>
          <w:szCs w:val="22"/>
          <w:shd w:val="clear" w:color="auto" w:fill="FFFFFF"/>
          <w:lang w:val="de-DE"/>
        </w:rPr>
        <w:t>and thereby develop a list</w:t>
      </w:r>
      <w:r w:rsidR="00852CA7" w:rsidRPr="003828C3">
        <w:rPr>
          <w:rFonts w:cs="Times New Roman"/>
          <w:sz w:val="22"/>
          <w:szCs w:val="22"/>
          <w:shd w:val="clear" w:color="auto" w:fill="FFFFFF"/>
          <w:lang w:val="de-DE"/>
        </w:rPr>
        <w:t xml:space="preserve"> of</w:t>
      </w:r>
      <w:r w:rsidR="00003593" w:rsidRPr="003828C3">
        <w:rPr>
          <w:rFonts w:cs="Times New Roman"/>
          <w:sz w:val="22"/>
          <w:szCs w:val="22"/>
          <w:shd w:val="clear" w:color="auto" w:fill="FFFFFF"/>
          <w:lang w:val="de-DE"/>
        </w:rPr>
        <w:t xml:space="preserve"> clinically relevant cardiovascular DDIs</w:t>
      </w:r>
      <w:r w:rsidR="00852CA7" w:rsidRPr="003828C3">
        <w:rPr>
          <w:rFonts w:cs="Times New Roman"/>
          <w:sz w:val="22"/>
          <w:szCs w:val="22"/>
          <w:shd w:val="clear" w:color="auto" w:fill="FFFFFF"/>
          <w:lang w:val="de-DE"/>
        </w:rPr>
        <w:t>.</w:t>
      </w:r>
    </w:p>
    <w:p w14:paraId="01507D6A" w14:textId="5A721D08" w:rsidR="00AF31C4" w:rsidRPr="003828C3" w:rsidRDefault="00AF31C4" w:rsidP="002406F8">
      <w:pPr>
        <w:pStyle w:val="Heading1"/>
        <w:rPr>
          <w:rFonts w:cs="Times New Roman"/>
          <w:sz w:val="22"/>
        </w:rPr>
      </w:pPr>
      <w:r w:rsidRPr="003828C3">
        <w:rPr>
          <w:rFonts w:cs="Times New Roman"/>
          <w:sz w:val="22"/>
        </w:rPr>
        <w:lastRenderedPageBreak/>
        <w:t>method</w:t>
      </w:r>
      <w:r w:rsidR="00173927">
        <w:rPr>
          <w:rFonts w:cs="Times New Roman"/>
          <w:sz w:val="22"/>
        </w:rPr>
        <w:t>s</w:t>
      </w:r>
      <w:r w:rsidRPr="003828C3">
        <w:rPr>
          <w:rFonts w:cs="Times New Roman"/>
          <w:sz w:val="22"/>
        </w:rPr>
        <w:t xml:space="preserve"> </w:t>
      </w:r>
    </w:p>
    <w:p w14:paraId="4741663D" w14:textId="77777777" w:rsidR="00C86D54" w:rsidRDefault="000922E8" w:rsidP="00C86D54">
      <w:pPr>
        <w:pStyle w:val="Text"/>
        <w:rPr>
          <w:rFonts w:cs="Times New Roman"/>
          <w:b/>
          <w:sz w:val="22"/>
          <w:szCs w:val="22"/>
        </w:rPr>
      </w:pPr>
      <w:r w:rsidRPr="003828C3">
        <w:rPr>
          <w:rFonts w:cs="Times New Roman"/>
          <w:b/>
          <w:sz w:val="22"/>
          <w:szCs w:val="22"/>
        </w:rPr>
        <w:t>2.1. Method</w:t>
      </w:r>
    </w:p>
    <w:p w14:paraId="0120DF41" w14:textId="32FC0302" w:rsidR="0010479C" w:rsidRPr="00C86D54" w:rsidRDefault="0010479C" w:rsidP="00936FC4">
      <w:pPr>
        <w:pStyle w:val="Text"/>
        <w:rPr>
          <w:rFonts w:cs="Times New Roman"/>
          <w:b/>
          <w:sz w:val="22"/>
          <w:szCs w:val="22"/>
        </w:rPr>
      </w:pPr>
      <w:r w:rsidRPr="003828C3">
        <w:rPr>
          <w:rFonts w:cs="Times New Roman"/>
          <w:sz w:val="22"/>
          <w:szCs w:val="22"/>
        </w:rPr>
        <w:t>Cross-sectional, retrospective study of all cardiovascular prescriptions among outpatients from January 1</w:t>
      </w:r>
      <w:r w:rsidRPr="003828C3">
        <w:rPr>
          <w:rFonts w:cs="Times New Roman"/>
          <w:sz w:val="22"/>
          <w:szCs w:val="22"/>
          <w:vertAlign w:val="superscript"/>
        </w:rPr>
        <w:t>st</w:t>
      </w:r>
      <w:r w:rsidRPr="003828C3">
        <w:rPr>
          <w:rFonts w:cs="Times New Roman"/>
          <w:sz w:val="22"/>
          <w:szCs w:val="22"/>
        </w:rPr>
        <w:t>, 2023, to March 31</w:t>
      </w:r>
      <w:r w:rsidRPr="003828C3">
        <w:rPr>
          <w:rFonts w:cs="Times New Roman"/>
          <w:sz w:val="22"/>
          <w:szCs w:val="22"/>
          <w:vertAlign w:val="superscript"/>
        </w:rPr>
        <w:t>st</w:t>
      </w:r>
      <w:r w:rsidRPr="003828C3">
        <w:rPr>
          <w:rFonts w:cs="Times New Roman"/>
          <w:sz w:val="22"/>
          <w:szCs w:val="22"/>
        </w:rPr>
        <w:t>, 2023, satisfying the inclusion and exclusion criteria.</w:t>
      </w:r>
    </w:p>
    <w:p w14:paraId="2AA2E34A" w14:textId="1EDB0C0A" w:rsidR="00B66875" w:rsidRPr="003828C3" w:rsidRDefault="00603945" w:rsidP="00B66875">
      <w:pPr>
        <w:pStyle w:val="Text"/>
        <w:numPr>
          <w:ilvl w:val="0"/>
          <w:numId w:val="46"/>
        </w:numPr>
        <w:ind w:left="0" w:firstLine="0"/>
        <w:rPr>
          <w:rFonts w:cs="Times New Roman"/>
          <w:sz w:val="22"/>
          <w:szCs w:val="22"/>
        </w:rPr>
      </w:pPr>
      <w:r w:rsidRPr="003828C3">
        <w:rPr>
          <w:rFonts w:cs="Times New Roman"/>
          <w:sz w:val="22"/>
          <w:szCs w:val="22"/>
        </w:rPr>
        <w:t xml:space="preserve">Inclusion criteria: </w:t>
      </w:r>
      <w:r w:rsidR="00B66875" w:rsidRPr="003828C3">
        <w:rPr>
          <w:rFonts w:cs="Times New Roman"/>
          <w:sz w:val="22"/>
          <w:szCs w:val="22"/>
        </w:rPr>
        <w:t>P</w:t>
      </w:r>
      <w:r w:rsidRPr="003828C3">
        <w:rPr>
          <w:rFonts w:cs="Times New Roman"/>
          <w:sz w:val="22"/>
          <w:szCs w:val="22"/>
        </w:rPr>
        <w:t>rescriptions</w:t>
      </w:r>
      <w:r w:rsidR="00B66875" w:rsidRPr="003828C3">
        <w:rPr>
          <w:rFonts w:cs="Times New Roman"/>
          <w:sz w:val="22"/>
          <w:szCs w:val="22"/>
        </w:rPr>
        <w:t>,</w:t>
      </w:r>
      <w:r w:rsidRPr="003828C3">
        <w:rPr>
          <w:rFonts w:cs="Times New Roman"/>
          <w:sz w:val="22"/>
          <w:szCs w:val="22"/>
        </w:rPr>
        <w:t xml:space="preserve"> including cardiovascular </w:t>
      </w:r>
      <w:r w:rsidR="00C4299E" w:rsidRPr="003828C3">
        <w:rPr>
          <w:rFonts w:cs="Times New Roman"/>
          <w:sz w:val="22"/>
          <w:szCs w:val="22"/>
        </w:rPr>
        <w:t>medication</w:t>
      </w:r>
      <w:r w:rsidRPr="003828C3">
        <w:rPr>
          <w:rFonts w:cs="Times New Roman"/>
          <w:sz w:val="22"/>
          <w:szCs w:val="22"/>
        </w:rPr>
        <w:t>.</w:t>
      </w:r>
    </w:p>
    <w:p w14:paraId="6BA73067" w14:textId="45F65537" w:rsidR="00B66875" w:rsidRPr="003828C3" w:rsidRDefault="00B66875" w:rsidP="00B66875">
      <w:pPr>
        <w:pStyle w:val="Text"/>
        <w:numPr>
          <w:ilvl w:val="0"/>
          <w:numId w:val="46"/>
        </w:numPr>
        <w:ind w:left="284" w:hanging="284"/>
        <w:rPr>
          <w:rFonts w:cs="Times New Roman"/>
          <w:sz w:val="22"/>
          <w:szCs w:val="22"/>
        </w:rPr>
      </w:pPr>
      <w:r w:rsidRPr="003828C3">
        <w:rPr>
          <w:rFonts w:cs="Times New Roman"/>
          <w:sz w:val="22"/>
          <w:szCs w:val="22"/>
        </w:rPr>
        <w:t>Exclusion criteria:</w:t>
      </w:r>
    </w:p>
    <w:p w14:paraId="3288EE94" w14:textId="77777777" w:rsidR="00B66875" w:rsidRPr="003828C3" w:rsidRDefault="00B66875" w:rsidP="00B66875">
      <w:pPr>
        <w:pStyle w:val="Text"/>
        <w:rPr>
          <w:rFonts w:cs="Times New Roman"/>
          <w:sz w:val="22"/>
          <w:szCs w:val="22"/>
        </w:rPr>
      </w:pPr>
      <w:r w:rsidRPr="003828C3">
        <w:rPr>
          <w:rFonts w:cs="Times New Roman"/>
          <w:sz w:val="22"/>
          <w:szCs w:val="22"/>
        </w:rPr>
        <w:t>+</w:t>
      </w:r>
      <w:r w:rsidRPr="003828C3">
        <w:rPr>
          <w:rFonts w:cs="Times New Roman"/>
          <w:sz w:val="22"/>
          <w:szCs w:val="22"/>
        </w:rPr>
        <w:tab/>
        <w:t>The prescription only has one medication.</w:t>
      </w:r>
    </w:p>
    <w:p w14:paraId="4A8BA6BF" w14:textId="2A2A09BE" w:rsidR="00B66875" w:rsidRPr="003828C3" w:rsidRDefault="00B66875" w:rsidP="00B66875">
      <w:pPr>
        <w:pStyle w:val="Text"/>
        <w:rPr>
          <w:rFonts w:cs="Times New Roman"/>
          <w:sz w:val="22"/>
          <w:szCs w:val="22"/>
        </w:rPr>
      </w:pPr>
      <w:r w:rsidRPr="003828C3">
        <w:rPr>
          <w:rFonts w:cs="Times New Roman"/>
          <w:sz w:val="22"/>
          <w:szCs w:val="22"/>
        </w:rPr>
        <w:t>+</w:t>
      </w:r>
      <w:r w:rsidRPr="003828C3">
        <w:rPr>
          <w:rFonts w:cs="Times New Roman"/>
          <w:sz w:val="22"/>
          <w:szCs w:val="22"/>
        </w:rPr>
        <w:tab/>
        <w:t>The prescription contains two drugs, of which one is a functional food or an exte</w:t>
      </w:r>
      <w:r w:rsidR="00E57018" w:rsidRPr="003828C3">
        <w:rPr>
          <w:rFonts w:cs="Times New Roman"/>
          <w:sz w:val="22"/>
          <w:szCs w:val="22"/>
        </w:rPr>
        <w:t>rnal drug or a</w:t>
      </w:r>
      <w:r w:rsidR="000222CC" w:rsidRPr="003828C3">
        <w:rPr>
          <w:rFonts w:cs="Times New Roman"/>
          <w:sz w:val="22"/>
          <w:szCs w:val="22"/>
        </w:rPr>
        <w:t>n</w:t>
      </w:r>
      <w:r w:rsidR="00E57018" w:rsidRPr="003828C3">
        <w:rPr>
          <w:rFonts w:cs="Times New Roman"/>
          <w:sz w:val="22"/>
          <w:szCs w:val="22"/>
        </w:rPr>
        <w:t xml:space="preserve"> </w:t>
      </w:r>
      <w:r w:rsidR="00B767DC" w:rsidRPr="003828C3">
        <w:rPr>
          <w:rFonts w:cs="Times New Roman"/>
          <w:sz w:val="22"/>
          <w:szCs w:val="22"/>
        </w:rPr>
        <w:t>herb</w:t>
      </w:r>
      <w:r w:rsidR="00E57018" w:rsidRPr="003828C3">
        <w:rPr>
          <w:rFonts w:cs="Times New Roman"/>
          <w:sz w:val="22"/>
          <w:szCs w:val="22"/>
        </w:rPr>
        <w:t>al</w:t>
      </w:r>
      <w:r w:rsidR="00B767DC" w:rsidRPr="003828C3">
        <w:rPr>
          <w:rFonts w:cs="Times New Roman"/>
          <w:sz w:val="22"/>
          <w:szCs w:val="22"/>
        </w:rPr>
        <w:t xml:space="preserve"> </w:t>
      </w:r>
      <w:r w:rsidR="00E57018" w:rsidRPr="003828C3">
        <w:rPr>
          <w:rFonts w:cs="Times New Roman"/>
          <w:sz w:val="22"/>
          <w:szCs w:val="22"/>
        </w:rPr>
        <w:t>medicinal product</w:t>
      </w:r>
      <w:r w:rsidR="00B767DC" w:rsidRPr="003828C3">
        <w:rPr>
          <w:rFonts w:cs="Times New Roman"/>
          <w:sz w:val="22"/>
          <w:szCs w:val="22"/>
        </w:rPr>
        <w:t>.</w:t>
      </w:r>
    </w:p>
    <w:p w14:paraId="09F291F0" w14:textId="23514963" w:rsidR="000922E8" w:rsidRPr="003828C3" w:rsidRDefault="000922E8" w:rsidP="00AF31C4">
      <w:pPr>
        <w:pStyle w:val="Text"/>
        <w:rPr>
          <w:rFonts w:cs="Times New Roman"/>
          <w:b/>
          <w:sz w:val="22"/>
          <w:szCs w:val="22"/>
        </w:rPr>
      </w:pPr>
      <w:r w:rsidRPr="003828C3">
        <w:rPr>
          <w:rFonts w:cs="Times New Roman"/>
          <w:b/>
          <w:sz w:val="22"/>
          <w:szCs w:val="22"/>
        </w:rPr>
        <w:t>2.2. Assessment criteria</w:t>
      </w:r>
    </w:p>
    <w:p w14:paraId="0D72343B" w14:textId="60C2CE1C" w:rsidR="000922E8" w:rsidRPr="003828C3" w:rsidRDefault="00D02736" w:rsidP="00AF31C4">
      <w:pPr>
        <w:pStyle w:val="Text"/>
        <w:rPr>
          <w:rFonts w:cs="Times New Roman"/>
          <w:i/>
          <w:sz w:val="22"/>
          <w:szCs w:val="22"/>
        </w:rPr>
      </w:pPr>
      <w:r w:rsidRPr="003828C3">
        <w:rPr>
          <w:rFonts w:cs="Times New Roman"/>
          <w:i/>
          <w:sz w:val="22"/>
          <w:szCs w:val="22"/>
        </w:rPr>
        <w:t xml:space="preserve">2.2.1. </w:t>
      </w:r>
      <w:r w:rsidR="009475C8" w:rsidRPr="003828C3">
        <w:rPr>
          <w:rFonts w:cs="Times New Roman"/>
          <w:i/>
          <w:sz w:val="22"/>
          <w:szCs w:val="22"/>
        </w:rPr>
        <w:t>Drug interaction</w:t>
      </w:r>
      <w:r w:rsidR="00A807FF" w:rsidRPr="003828C3">
        <w:rPr>
          <w:rFonts w:cs="Times New Roman"/>
          <w:i/>
          <w:sz w:val="22"/>
          <w:szCs w:val="22"/>
        </w:rPr>
        <w:t xml:space="preserve"> checker</w:t>
      </w:r>
      <w:r w:rsidR="009475C8" w:rsidRPr="003828C3">
        <w:rPr>
          <w:rFonts w:cs="Times New Roman"/>
          <w:i/>
          <w:sz w:val="22"/>
          <w:szCs w:val="22"/>
        </w:rPr>
        <w:t xml:space="preserve"> database</w:t>
      </w:r>
      <w:r w:rsidR="00A807FF" w:rsidRPr="003828C3">
        <w:rPr>
          <w:rFonts w:cs="Times New Roman"/>
          <w:i/>
          <w:sz w:val="22"/>
          <w:szCs w:val="22"/>
        </w:rPr>
        <w:t>s</w:t>
      </w:r>
    </w:p>
    <w:p w14:paraId="1EAD25A7" w14:textId="27968B67" w:rsidR="003F5AC4" w:rsidRPr="003828C3" w:rsidRDefault="00535B5C" w:rsidP="00936FC4">
      <w:pPr>
        <w:pStyle w:val="Text"/>
        <w:rPr>
          <w:rFonts w:cs="Times New Roman"/>
          <w:sz w:val="22"/>
          <w:szCs w:val="22"/>
        </w:rPr>
      </w:pPr>
      <w:r w:rsidRPr="003828C3">
        <w:rPr>
          <w:rFonts w:cs="Times New Roman"/>
          <w:sz w:val="22"/>
          <w:szCs w:val="22"/>
        </w:rPr>
        <w:t xml:space="preserve">Lookup drug interactions based on comprehensive, professional websites, including: </w:t>
      </w:r>
    </w:p>
    <w:p w14:paraId="54C5D6E2" w14:textId="5AE147FC" w:rsidR="00535B5C" w:rsidRPr="003828C3" w:rsidRDefault="00535B5C" w:rsidP="00AF31C4">
      <w:pPr>
        <w:pStyle w:val="Text"/>
        <w:numPr>
          <w:ilvl w:val="0"/>
          <w:numId w:val="47"/>
        </w:numPr>
        <w:ind w:left="0" w:firstLine="0"/>
        <w:rPr>
          <w:rFonts w:cs="Times New Roman"/>
          <w:sz w:val="22"/>
          <w:szCs w:val="22"/>
          <w:shd w:val="clear" w:color="auto" w:fill="FFFFFF"/>
          <w:lang w:val="de-DE"/>
        </w:rPr>
      </w:pPr>
      <w:r w:rsidRPr="003828C3">
        <w:rPr>
          <w:rFonts w:cs="Times New Roman"/>
          <w:sz w:val="22"/>
          <w:szCs w:val="22"/>
          <w:shd w:val="clear" w:color="auto" w:fill="FFFFFF"/>
          <w:lang w:val="de-DE"/>
        </w:rPr>
        <w:t>Drug Interaction Checker</w:t>
      </w:r>
      <w:r w:rsidR="00643755" w:rsidRPr="003828C3">
        <w:rPr>
          <w:rFonts w:cs="Times New Roman"/>
          <w:sz w:val="22"/>
          <w:szCs w:val="22"/>
          <w:shd w:val="clear" w:color="auto" w:fill="FFFFFF"/>
          <w:lang w:val="de-DE"/>
        </w:rPr>
        <w:t xml:space="preserve">-DI </w:t>
      </w:r>
      <w:r w:rsidRPr="003828C3">
        <w:rPr>
          <w:rFonts w:cs="Times New Roman"/>
          <w:sz w:val="22"/>
          <w:szCs w:val="22"/>
          <w:shd w:val="clear" w:color="auto" w:fill="FFFFFF"/>
          <w:lang w:val="de-DE"/>
        </w:rPr>
        <w:t>(</w:t>
      </w:r>
      <w:r w:rsidRPr="00F263E1">
        <w:rPr>
          <w:rFonts w:cs="Times New Roman"/>
          <w:sz w:val="22"/>
          <w:szCs w:val="22"/>
          <w:shd w:val="clear" w:color="auto" w:fill="FFFFFF"/>
          <w:lang w:val="de-DE"/>
        </w:rPr>
        <w:t>https://www.drugs.com/drug_interactions.html)</w:t>
      </w:r>
      <w:r w:rsidRPr="003828C3">
        <w:rPr>
          <w:rFonts w:cs="Times New Roman"/>
          <w:sz w:val="22"/>
          <w:szCs w:val="22"/>
          <w:shd w:val="clear" w:color="auto" w:fill="FFFFFF"/>
          <w:lang w:val="de-DE"/>
        </w:rPr>
        <w:t>,</w:t>
      </w:r>
    </w:p>
    <w:p w14:paraId="28383EB6" w14:textId="276894FF" w:rsidR="00535B5C" w:rsidRPr="003828C3" w:rsidRDefault="00535B5C" w:rsidP="00AF31C4">
      <w:pPr>
        <w:pStyle w:val="Text"/>
        <w:numPr>
          <w:ilvl w:val="0"/>
          <w:numId w:val="47"/>
        </w:numPr>
        <w:ind w:left="0" w:firstLine="0"/>
        <w:rPr>
          <w:rFonts w:cs="Times New Roman"/>
          <w:sz w:val="22"/>
          <w:szCs w:val="22"/>
          <w:shd w:val="clear" w:color="auto" w:fill="FFFFFF"/>
          <w:lang w:val="de-DE"/>
        </w:rPr>
      </w:pPr>
      <w:r w:rsidRPr="003828C3">
        <w:rPr>
          <w:rFonts w:cs="Times New Roman"/>
          <w:sz w:val="22"/>
          <w:szCs w:val="22"/>
          <w:shd w:val="clear" w:color="auto" w:fill="FFFFFF"/>
          <w:lang w:val="de-DE"/>
        </w:rPr>
        <w:t>Medscape Drug Interaction Checker</w:t>
      </w:r>
      <w:r w:rsidR="00643755" w:rsidRPr="003828C3">
        <w:rPr>
          <w:rFonts w:cs="Times New Roman"/>
          <w:sz w:val="22"/>
          <w:szCs w:val="22"/>
          <w:shd w:val="clear" w:color="auto" w:fill="FFFFFF"/>
          <w:lang w:val="de-DE"/>
        </w:rPr>
        <w:t>-MDI</w:t>
      </w:r>
      <w:r w:rsidRPr="003828C3">
        <w:rPr>
          <w:rFonts w:cs="Times New Roman"/>
          <w:sz w:val="22"/>
          <w:szCs w:val="22"/>
          <w:shd w:val="clear" w:color="auto" w:fill="FFFFFF"/>
          <w:lang w:val="de-DE"/>
        </w:rPr>
        <w:t xml:space="preserve"> (</w:t>
      </w:r>
      <w:r w:rsidRPr="00F263E1">
        <w:rPr>
          <w:rFonts w:cs="Times New Roman"/>
          <w:sz w:val="22"/>
          <w:szCs w:val="22"/>
          <w:shd w:val="clear" w:color="auto" w:fill="FFFFFF"/>
          <w:lang w:val="de-DE"/>
        </w:rPr>
        <w:t>https://reference.medscape.com/drug-interactionchecker)</w:t>
      </w:r>
      <w:r w:rsidRPr="003828C3">
        <w:rPr>
          <w:rFonts w:cs="Times New Roman"/>
          <w:sz w:val="22"/>
          <w:szCs w:val="22"/>
          <w:shd w:val="clear" w:color="auto" w:fill="FFFFFF"/>
          <w:lang w:val="de-DE"/>
        </w:rPr>
        <w:t xml:space="preserve">, and </w:t>
      </w:r>
    </w:p>
    <w:p w14:paraId="6E83565E" w14:textId="6215E320" w:rsidR="00535B5C" w:rsidRPr="003828C3" w:rsidRDefault="00535B5C" w:rsidP="00AF31C4">
      <w:pPr>
        <w:pStyle w:val="Text"/>
        <w:numPr>
          <w:ilvl w:val="0"/>
          <w:numId w:val="47"/>
        </w:numPr>
        <w:ind w:left="0" w:firstLine="0"/>
        <w:rPr>
          <w:rFonts w:cs="Times New Roman"/>
          <w:sz w:val="22"/>
          <w:szCs w:val="22"/>
          <w:shd w:val="clear" w:color="auto" w:fill="FFFFFF"/>
          <w:lang w:val="de-DE"/>
        </w:rPr>
      </w:pPr>
      <w:r w:rsidRPr="003828C3">
        <w:rPr>
          <w:rFonts w:cs="Times New Roman"/>
          <w:sz w:val="22"/>
          <w:szCs w:val="22"/>
          <w:shd w:val="clear" w:color="auto" w:fill="FFFFFF"/>
          <w:lang w:val="de-DE"/>
        </w:rPr>
        <w:t>Micromedex Drug Interaction Checker</w:t>
      </w:r>
      <w:r w:rsidR="00643755" w:rsidRPr="003828C3">
        <w:rPr>
          <w:rFonts w:cs="Times New Roman"/>
          <w:sz w:val="22"/>
          <w:szCs w:val="22"/>
          <w:shd w:val="clear" w:color="auto" w:fill="FFFFFF"/>
          <w:lang w:val="de-DE"/>
        </w:rPr>
        <w:t>-MMDI</w:t>
      </w:r>
      <w:r w:rsidRPr="003828C3">
        <w:rPr>
          <w:rFonts w:cs="Times New Roman"/>
          <w:sz w:val="22"/>
          <w:szCs w:val="22"/>
          <w:shd w:val="clear" w:color="auto" w:fill="FFFFFF"/>
          <w:lang w:val="de-DE"/>
        </w:rPr>
        <w:t xml:space="preserve"> (</w:t>
      </w:r>
      <w:r w:rsidRPr="00F263E1">
        <w:rPr>
          <w:rFonts w:cs="Times New Roman"/>
          <w:sz w:val="22"/>
          <w:szCs w:val="22"/>
          <w:shd w:val="clear" w:color="auto" w:fill="FFFFFF"/>
          <w:lang w:val="de-DE"/>
        </w:rPr>
        <w:t>https://www.micromedexsolutions.com/micromedex2/librarian/)</w:t>
      </w:r>
      <w:r w:rsidR="00F263E1">
        <w:rPr>
          <w:rFonts w:cs="Times New Roman"/>
          <w:sz w:val="22"/>
          <w:szCs w:val="22"/>
          <w:shd w:val="clear" w:color="auto" w:fill="FFFFFF"/>
          <w:lang w:val="de-DE"/>
        </w:rPr>
        <w:t>.</w:t>
      </w:r>
    </w:p>
    <w:p w14:paraId="2FA73FF0" w14:textId="0823C397" w:rsidR="00730D08" w:rsidRPr="003828C3" w:rsidRDefault="00BA3043" w:rsidP="00CA3E6A">
      <w:pPr>
        <w:pStyle w:val="Text"/>
        <w:ind w:firstLine="567"/>
        <w:rPr>
          <w:rFonts w:cs="Times New Roman"/>
          <w:sz w:val="22"/>
          <w:szCs w:val="22"/>
        </w:rPr>
      </w:pPr>
      <w:r w:rsidRPr="003828C3">
        <w:rPr>
          <w:rFonts w:cs="Times New Roman"/>
          <w:sz w:val="22"/>
          <w:szCs w:val="22"/>
        </w:rPr>
        <w:t>This s</w:t>
      </w:r>
      <w:r w:rsidR="00B9724B" w:rsidRPr="003828C3">
        <w:rPr>
          <w:rFonts w:cs="Times New Roman"/>
          <w:sz w:val="22"/>
          <w:szCs w:val="22"/>
        </w:rPr>
        <w:t xml:space="preserve">tudy recorded interactions between </w:t>
      </w:r>
      <w:r w:rsidR="00F3697E" w:rsidRPr="003828C3">
        <w:rPr>
          <w:rFonts w:cs="Times New Roman"/>
          <w:sz w:val="22"/>
          <w:szCs w:val="22"/>
        </w:rPr>
        <w:t>cardiovascular</w:t>
      </w:r>
      <w:r w:rsidR="00B9724B" w:rsidRPr="003828C3">
        <w:rPr>
          <w:rFonts w:cs="Times New Roman"/>
          <w:sz w:val="22"/>
          <w:szCs w:val="22"/>
        </w:rPr>
        <w:t xml:space="preserve"> medications </w:t>
      </w:r>
      <w:r w:rsidR="00F3697E" w:rsidRPr="003828C3">
        <w:rPr>
          <w:rFonts w:cs="Times New Roman"/>
          <w:sz w:val="22"/>
          <w:szCs w:val="22"/>
        </w:rPr>
        <w:t>and other drugs.</w:t>
      </w:r>
    </w:p>
    <w:p w14:paraId="2DCBDC20" w14:textId="3E1036AA" w:rsidR="000E399E" w:rsidRPr="003828C3" w:rsidRDefault="000E399E" w:rsidP="00AF31C4">
      <w:pPr>
        <w:pStyle w:val="Text"/>
        <w:rPr>
          <w:rFonts w:cs="Times New Roman"/>
          <w:i/>
          <w:sz w:val="22"/>
          <w:szCs w:val="22"/>
        </w:rPr>
      </w:pPr>
      <w:r w:rsidRPr="003828C3">
        <w:rPr>
          <w:rFonts w:cs="Times New Roman"/>
          <w:i/>
          <w:sz w:val="22"/>
          <w:szCs w:val="22"/>
        </w:rPr>
        <w:t>2.2.2.  Assessment criteria of clinically relevant drug interactions</w:t>
      </w:r>
    </w:p>
    <w:p w14:paraId="0F0DE670" w14:textId="77C9A342" w:rsidR="000E399E" w:rsidRPr="003828C3" w:rsidRDefault="00657843" w:rsidP="00936FC4">
      <w:pPr>
        <w:pStyle w:val="Text"/>
        <w:rPr>
          <w:rFonts w:cs="Times New Roman"/>
          <w:sz w:val="22"/>
          <w:szCs w:val="22"/>
        </w:rPr>
      </w:pPr>
      <w:r w:rsidRPr="003828C3">
        <w:rPr>
          <w:rFonts w:cs="Times New Roman"/>
          <w:sz w:val="22"/>
          <w:szCs w:val="22"/>
        </w:rPr>
        <w:t xml:space="preserve">According to the European Medicines Agency, a clinically </w:t>
      </w:r>
      <w:r w:rsidR="00780DE3" w:rsidRPr="003828C3">
        <w:rPr>
          <w:rFonts w:cs="Times New Roman"/>
          <w:sz w:val="22"/>
          <w:szCs w:val="22"/>
        </w:rPr>
        <w:t>relevant</w:t>
      </w:r>
      <w:r w:rsidRPr="003828C3">
        <w:rPr>
          <w:rFonts w:cs="Times New Roman"/>
          <w:sz w:val="22"/>
          <w:szCs w:val="22"/>
        </w:rPr>
        <w:t xml:space="preserve"> drug interaction is one that results in therapeutic</w:t>
      </w:r>
      <w:r w:rsidR="00780DE3" w:rsidRPr="003828C3">
        <w:rPr>
          <w:rFonts w:cs="Times New Roman"/>
          <w:sz w:val="22"/>
          <w:szCs w:val="22"/>
        </w:rPr>
        <w:t xml:space="preserve"> or toxic</w:t>
      </w:r>
      <w:r w:rsidRPr="003828C3">
        <w:rPr>
          <w:rFonts w:cs="Times New Roman"/>
          <w:sz w:val="22"/>
          <w:szCs w:val="22"/>
        </w:rPr>
        <w:t xml:space="preserve"> changes that require dose adjustment or medical intervention</w:t>
      </w:r>
      <w:r w:rsidR="00E64E9C">
        <w:rPr>
          <w:rFonts w:cs="Times New Roman"/>
          <w:sz w:val="22"/>
          <w:szCs w:val="22"/>
        </w:rPr>
        <w:t>.</w:t>
      </w:r>
      <w:r w:rsidR="00550973" w:rsidRPr="0065347E">
        <w:rPr>
          <w:rFonts w:cs="Times New Roman"/>
          <w:sz w:val="22"/>
          <w:szCs w:val="22"/>
          <w:vertAlign w:val="superscript"/>
        </w:rPr>
        <w:fldChar w:fldCharType="begin"/>
      </w:r>
      <w:r w:rsidR="003A67A6" w:rsidRPr="0065347E">
        <w:rPr>
          <w:rFonts w:cs="Times New Roman"/>
          <w:sz w:val="22"/>
          <w:szCs w:val="22"/>
          <w:vertAlign w:val="superscript"/>
        </w:rPr>
        <w:instrText xml:space="preserve"> ADDIN ZOTERO_ITEM CSL_CITATION {"citationID":"Z26zLmad","properties":{"formattedCitation":"(6)","plainCitation":"(6)","noteIndex":0},"citationItems":[{"id":1777,"uris":["http://zotero.org/users/6883290/items/KEFG4YYH"],"itemData":{"id":1777,"type":"article-journal","title":"Note for guidance on the investigation of drug interactions","author":[{"literal":"European Medicines Agency"}],"issued":{"date-parts":[["1997",12,17]]}}}],"schema":"https://github.com/citation-style-language/schema/raw/master/csl-citation.json"} </w:instrText>
      </w:r>
      <w:r w:rsidR="00550973" w:rsidRPr="0065347E">
        <w:rPr>
          <w:rFonts w:cs="Times New Roman"/>
          <w:sz w:val="22"/>
          <w:szCs w:val="22"/>
          <w:vertAlign w:val="superscript"/>
        </w:rPr>
        <w:fldChar w:fldCharType="separate"/>
      </w:r>
      <w:r w:rsidR="00892097" w:rsidRPr="00E64E9C">
        <w:rPr>
          <w:rFonts w:cs="Times New Roman"/>
          <w:noProof/>
          <w:sz w:val="22"/>
          <w:szCs w:val="22"/>
          <w:vertAlign w:val="superscript"/>
        </w:rPr>
        <w:t>6</w:t>
      </w:r>
      <w:r w:rsidR="00550973" w:rsidRPr="0065347E">
        <w:rPr>
          <w:rFonts w:cs="Times New Roman"/>
          <w:sz w:val="22"/>
          <w:szCs w:val="22"/>
          <w:vertAlign w:val="superscript"/>
        </w:rPr>
        <w:fldChar w:fldCharType="end"/>
      </w:r>
      <w:r w:rsidR="00892097">
        <w:rPr>
          <w:rFonts w:cs="Times New Roman"/>
          <w:sz w:val="22"/>
          <w:szCs w:val="22"/>
          <w:vertAlign w:val="superscript"/>
        </w:rPr>
        <w:t xml:space="preserve"> </w:t>
      </w:r>
      <w:r w:rsidR="00103189" w:rsidRPr="003828C3">
        <w:rPr>
          <w:rFonts w:cs="Times New Roman"/>
          <w:sz w:val="22"/>
          <w:szCs w:val="22"/>
        </w:rPr>
        <w:t>Therefore, this study recorded i</w:t>
      </w:r>
      <w:r w:rsidR="000E399E" w:rsidRPr="003828C3">
        <w:rPr>
          <w:rFonts w:cs="Times New Roman"/>
          <w:sz w:val="22"/>
          <w:szCs w:val="22"/>
        </w:rPr>
        <w:t xml:space="preserve">nteractions between </w:t>
      </w:r>
      <w:r w:rsidR="00114789" w:rsidRPr="003828C3">
        <w:rPr>
          <w:rFonts w:cs="Times New Roman"/>
          <w:sz w:val="22"/>
          <w:szCs w:val="22"/>
        </w:rPr>
        <w:t>cardiovascular</w:t>
      </w:r>
      <w:r w:rsidR="000E399E" w:rsidRPr="003828C3">
        <w:rPr>
          <w:rFonts w:cs="Times New Roman"/>
          <w:sz w:val="22"/>
          <w:szCs w:val="22"/>
        </w:rPr>
        <w:t xml:space="preserve"> medications and</w:t>
      </w:r>
      <w:r w:rsidR="00114789" w:rsidRPr="003828C3">
        <w:rPr>
          <w:rFonts w:cs="Times New Roman"/>
          <w:sz w:val="22"/>
          <w:szCs w:val="22"/>
        </w:rPr>
        <w:t xml:space="preserve"> other drugs</w:t>
      </w:r>
      <w:r w:rsidR="007B5CA8" w:rsidRPr="003828C3">
        <w:rPr>
          <w:rFonts w:cs="Times New Roman"/>
          <w:sz w:val="22"/>
          <w:szCs w:val="22"/>
        </w:rPr>
        <w:t xml:space="preserve"> documented in </w:t>
      </w:r>
      <w:r w:rsidR="00103189" w:rsidRPr="003828C3">
        <w:rPr>
          <w:rFonts w:cs="Times New Roman"/>
          <w:sz w:val="22"/>
          <w:szCs w:val="22"/>
        </w:rPr>
        <w:t xml:space="preserve">the </w:t>
      </w:r>
      <w:r w:rsidR="007B5CA8" w:rsidRPr="003828C3">
        <w:rPr>
          <w:rFonts w:cs="Times New Roman"/>
          <w:sz w:val="22"/>
          <w:szCs w:val="22"/>
        </w:rPr>
        <w:t xml:space="preserve">three </w:t>
      </w:r>
      <w:r w:rsidR="00103189" w:rsidRPr="003828C3">
        <w:rPr>
          <w:rFonts w:cs="Times New Roman"/>
          <w:sz w:val="22"/>
          <w:szCs w:val="22"/>
        </w:rPr>
        <w:t>aforementioned</w:t>
      </w:r>
      <w:r w:rsidR="007B5CA8" w:rsidRPr="003828C3">
        <w:rPr>
          <w:rFonts w:cs="Times New Roman"/>
          <w:sz w:val="22"/>
          <w:szCs w:val="22"/>
        </w:rPr>
        <w:t xml:space="preserve"> databases with a moderate to severe interactive </w:t>
      </w:r>
      <w:r w:rsidR="00114789" w:rsidRPr="003828C3">
        <w:rPr>
          <w:rFonts w:cs="Times New Roman"/>
          <w:sz w:val="22"/>
          <w:szCs w:val="22"/>
        </w:rPr>
        <w:t>severity</w:t>
      </w:r>
      <w:r w:rsidR="007B5CA8" w:rsidRPr="003828C3">
        <w:rPr>
          <w:rFonts w:cs="Times New Roman"/>
          <w:sz w:val="22"/>
          <w:szCs w:val="22"/>
        </w:rPr>
        <w:t xml:space="preserve">. </w:t>
      </w:r>
    </w:p>
    <w:p w14:paraId="556EAE7B" w14:textId="1C25ECFA" w:rsidR="00535B5C" w:rsidRPr="003828C3" w:rsidRDefault="007B5CA8" w:rsidP="00AF31C4">
      <w:pPr>
        <w:pStyle w:val="Text"/>
        <w:rPr>
          <w:rFonts w:cs="Times New Roman"/>
          <w:i/>
          <w:sz w:val="22"/>
          <w:szCs w:val="22"/>
        </w:rPr>
      </w:pPr>
      <w:r w:rsidRPr="003828C3">
        <w:rPr>
          <w:rFonts w:cs="Times New Roman"/>
          <w:i/>
          <w:sz w:val="22"/>
          <w:szCs w:val="22"/>
        </w:rPr>
        <w:t>2.2.3. Development a list</w:t>
      </w:r>
      <w:r w:rsidR="008645F7" w:rsidRPr="003828C3">
        <w:rPr>
          <w:rFonts w:cs="Times New Roman"/>
          <w:i/>
          <w:sz w:val="22"/>
          <w:szCs w:val="22"/>
        </w:rPr>
        <w:t xml:space="preserve"> of c</w:t>
      </w:r>
      <w:r w:rsidR="00535B5C" w:rsidRPr="003828C3">
        <w:rPr>
          <w:rFonts w:cs="Times New Roman"/>
          <w:i/>
          <w:sz w:val="22"/>
          <w:szCs w:val="22"/>
        </w:rPr>
        <w:t>linically relevant drug interactions</w:t>
      </w:r>
      <w:r w:rsidRPr="003828C3">
        <w:rPr>
          <w:rFonts w:cs="Times New Roman"/>
          <w:i/>
          <w:sz w:val="22"/>
          <w:szCs w:val="22"/>
        </w:rPr>
        <w:t xml:space="preserve"> </w:t>
      </w:r>
    </w:p>
    <w:p w14:paraId="3848384F" w14:textId="75066358" w:rsidR="00535B5C" w:rsidRPr="003828C3" w:rsidRDefault="007A44DA" w:rsidP="00936FC4">
      <w:pPr>
        <w:pStyle w:val="Text"/>
        <w:rPr>
          <w:rFonts w:cs="Times New Roman"/>
          <w:sz w:val="22"/>
          <w:szCs w:val="22"/>
        </w:rPr>
      </w:pPr>
      <w:r w:rsidRPr="003828C3">
        <w:rPr>
          <w:rFonts w:cs="Times New Roman"/>
          <w:sz w:val="22"/>
          <w:szCs w:val="22"/>
        </w:rPr>
        <w:t>Identify</w:t>
      </w:r>
      <w:r w:rsidR="0052701B" w:rsidRPr="003828C3">
        <w:rPr>
          <w:rFonts w:cs="Times New Roman"/>
          <w:sz w:val="22"/>
          <w:szCs w:val="22"/>
        </w:rPr>
        <w:t xml:space="preserve"> clinically relevant drug interactions </w:t>
      </w:r>
      <w:r w:rsidRPr="003828C3">
        <w:rPr>
          <w:rFonts w:cs="Times New Roman"/>
          <w:sz w:val="22"/>
          <w:szCs w:val="22"/>
        </w:rPr>
        <w:t xml:space="preserve">that </w:t>
      </w:r>
      <w:r w:rsidR="00325812" w:rsidRPr="003828C3">
        <w:rPr>
          <w:rFonts w:cs="Times New Roman"/>
          <w:sz w:val="22"/>
          <w:szCs w:val="22"/>
        </w:rPr>
        <w:t>were reported</w:t>
      </w:r>
      <w:r w:rsidRPr="003828C3">
        <w:rPr>
          <w:rFonts w:cs="Times New Roman"/>
          <w:sz w:val="22"/>
          <w:szCs w:val="22"/>
        </w:rPr>
        <w:t xml:space="preserve"> in</w:t>
      </w:r>
      <w:r w:rsidR="0052701B" w:rsidRPr="003828C3">
        <w:rPr>
          <w:rFonts w:cs="Times New Roman"/>
          <w:sz w:val="22"/>
          <w:szCs w:val="22"/>
        </w:rPr>
        <w:t xml:space="preserve"> at least two of </w:t>
      </w:r>
      <w:r w:rsidR="00DB2C7C" w:rsidRPr="003828C3">
        <w:rPr>
          <w:rFonts w:cs="Times New Roman"/>
          <w:sz w:val="22"/>
          <w:szCs w:val="22"/>
        </w:rPr>
        <w:t xml:space="preserve">the </w:t>
      </w:r>
      <w:r w:rsidR="0052701B" w:rsidRPr="003828C3">
        <w:rPr>
          <w:rFonts w:cs="Times New Roman"/>
          <w:sz w:val="22"/>
          <w:szCs w:val="22"/>
        </w:rPr>
        <w:t>three</w:t>
      </w:r>
      <w:r w:rsidR="00876624" w:rsidRPr="003828C3">
        <w:rPr>
          <w:rFonts w:cs="Times New Roman"/>
          <w:sz w:val="22"/>
          <w:szCs w:val="22"/>
        </w:rPr>
        <w:t xml:space="preserve"> </w:t>
      </w:r>
      <w:r w:rsidR="00B17E92" w:rsidRPr="003828C3">
        <w:rPr>
          <w:rFonts w:cs="Times New Roman"/>
          <w:sz w:val="22"/>
          <w:szCs w:val="22"/>
        </w:rPr>
        <w:t>above</w:t>
      </w:r>
      <w:r w:rsidR="0052701B" w:rsidRPr="003828C3">
        <w:rPr>
          <w:rFonts w:cs="Times New Roman"/>
          <w:sz w:val="22"/>
          <w:szCs w:val="22"/>
        </w:rPr>
        <w:t xml:space="preserve"> databases</w:t>
      </w:r>
      <w:r w:rsidR="00392C86" w:rsidRPr="003828C3">
        <w:rPr>
          <w:rFonts w:cs="Times New Roman"/>
          <w:sz w:val="22"/>
          <w:szCs w:val="22"/>
        </w:rPr>
        <w:t xml:space="preserve"> </w:t>
      </w:r>
      <w:r w:rsidR="00DB2C7C" w:rsidRPr="003828C3">
        <w:rPr>
          <w:rFonts w:cs="Times New Roman"/>
          <w:sz w:val="22"/>
          <w:szCs w:val="22"/>
        </w:rPr>
        <w:t xml:space="preserve">with </w:t>
      </w:r>
      <w:r w:rsidR="00392C86" w:rsidRPr="003828C3">
        <w:rPr>
          <w:rFonts w:cs="Times New Roman"/>
          <w:sz w:val="22"/>
          <w:szCs w:val="22"/>
        </w:rPr>
        <w:t>a</w:t>
      </w:r>
      <w:r w:rsidR="00DB2C7C" w:rsidRPr="003828C3">
        <w:rPr>
          <w:rFonts w:cs="Times New Roman"/>
          <w:sz w:val="22"/>
          <w:szCs w:val="22"/>
        </w:rPr>
        <w:t xml:space="preserve"> moderate to </w:t>
      </w:r>
      <w:r w:rsidR="00F87190" w:rsidRPr="003828C3">
        <w:rPr>
          <w:rFonts w:cs="Times New Roman"/>
          <w:sz w:val="22"/>
          <w:szCs w:val="22"/>
        </w:rPr>
        <w:t>major</w:t>
      </w:r>
      <w:r w:rsidR="00DB2C7C" w:rsidRPr="003828C3">
        <w:rPr>
          <w:rFonts w:cs="Times New Roman"/>
          <w:sz w:val="22"/>
          <w:szCs w:val="22"/>
        </w:rPr>
        <w:t xml:space="preserve"> </w:t>
      </w:r>
      <w:r w:rsidR="00876624" w:rsidRPr="003828C3">
        <w:rPr>
          <w:rFonts w:cs="Times New Roman"/>
          <w:sz w:val="22"/>
          <w:szCs w:val="22"/>
        </w:rPr>
        <w:t>severity</w:t>
      </w:r>
      <w:r w:rsidR="00DB2C7C" w:rsidRPr="003828C3">
        <w:rPr>
          <w:rFonts w:cs="Times New Roman"/>
          <w:sz w:val="22"/>
          <w:szCs w:val="22"/>
        </w:rPr>
        <w:t xml:space="preserve"> or</w:t>
      </w:r>
      <w:r w:rsidRPr="003828C3">
        <w:rPr>
          <w:rFonts w:cs="Times New Roman"/>
          <w:sz w:val="22"/>
          <w:szCs w:val="22"/>
        </w:rPr>
        <w:t xml:space="preserve"> in</w:t>
      </w:r>
      <w:r w:rsidR="00DB2C7C" w:rsidRPr="003828C3">
        <w:rPr>
          <w:rFonts w:cs="Times New Roman"/>
          <w:sz w:val="22"/>
          <w:szCs w:val="22"/>
        </w:rPr>
        <w:t xml:space="preserve"> at least one </w:t>
      </w:r>
      <w:r w:rsidR="00325812" w:rsidRPr="003828C3">
        <w:rPr>
          <w:rFonts w:cs="Times New Roman"/>
          <w:sz w:val="22"/>
          <w:szCs w:val="22"/>
        </w:rPr>
        <w:t>database</w:t>
      </w:r>
      <w:r w:rsidR="00392C86" w:rsidRPr="003828C3">
        <w:rPr>
          <w:rFonts w:cs="Times New Roman"/>
          <w:sz w:val="22"/>
          <w:szCs w:val="22"/>
        </w:rPr>
        <w:t xml:space="preserve"> </w:t>
      </w:r>
      <w:r w:rsidR="00DB2C7C" w:rsidRPr="003828C3">
        <w:rPr>
          <w:rFonts w:cs="Times New Roman"/>
          <w:sz w:val="22"/>
          <w:szCs w:val="22"/>
        </w:rPr>
        <w:t xml:space="preserve">with </w:t>
      </w:r>
      <w:r w:rsidR="00392C86" w:rsidRPr="003828C3">
        <w:rPr>
          <w:rFonts w:cs="Times New Roman"/>
          <w:sz w:val="22"/>
          <w:szCs w:val="22"/>
        </w:rPr>
        <w:t xml:space="preserve">a </w:t>
      </w:r>
      <w:r w:rsidR="00876624" w:rsidRPr="003828C3">
        <w:rPr>
          <w:rFonts w:cs="Times New Roman"/>
          <w:sz w:val="22"/>
          <w:szCs w:val="22"/>
        </w:rPr>
        <w:t>major</w:t>
      </w:r>
      <w:r w:rsidR="00325812" w:rsidRPr="003828C3">
        <w:rPr>
          <w:rFonts w:cs="Times New Roman"/>
          <w:sz w:val="22"/>
          <w:szCs w:val="22"/>
        </w:rPr>
        <w:t xml:space="preserve"> severity</w:t>
      </w:r>
      <w:r w:rsidR="00DB2C7C" w:rsidRPr="003828C3">
        <w:rPr>
          <w:rFonts w:cs="Times New Roman"/>
          <w:sz w:val="22"/>
          <w:szCs w:val="22"/>
        </w:rPr>
        <w:t>.</w:t>
      </w:r>
    </w:p>
    <w:p w14:paraId="3943B983" w14:textId="5681650E" w:rsidR="00A24731" w:rsidRPr="003828C3" w:rsidRDefault="00A24731" w:rsidP="00AF31C4">
      <w:pPr>
        <w:pStyle w:val="Text"/>
        <w:rPr>
          <w:rFonts w:cs="Times New Roman"/>
          <w:i/>
          <w:sz w:val="22"/>
          <w:szCs w:val="22"/>
        </w:rPr>
      </w:pPr>
      <w:r w:rsidRPr="003828C3">
        <w:rPr>
          <w:rFonts w:cs="Times New Roman"/>
          <w:i/>
          <w:sz w:val="22"/>
          <w:szCs w:val="22"/>
        </w:rPr>
        <w:t>2.2.3. Data analysis</w:t>
      </w:r>
    </w:p>
    <w:p w14:paraId="27C1EABF" w14:textId="3ED81AFD" w:rsidR="00A22174" w:rsidRPr="003828C3" w:rsidRDefault="00CB7B58" w:rsidP="00936FC4">
      <w:pPr>
        <w:pStyle w:val="Text"/>
        <w:rPr>
          <w:rFonts w:cs="Times New Roman"/>
          <w:sz w:val="22"/>
          <w:szCs w:val="22"/>
        </w:rPr>
      </w:pPr>
      <w:r w:rsidRPr="003828C3">
        <w:rPr>
          <w:rFonts w:cs="Times New Roman"/>
          <w:sz w:val="22"/>
          <w:szCs w:val="22"/>
        </w:rPr>
        <w:t>Data were analyzed using SPSS (version 16.0) software and expressed in percentage.</w:t>
      </w:r>
    </w:p>
    <w:p w14:paraId="67CF5681" w14:textId="77777777" w:rsidR="00AF31C4" w:rsidRPr="003828C3" w:rsidRDefault="00AF31C4" w:rsidP="002406F8">
      <w:pPr>
        <w:pStyle w:val="Heading1"/>
        <w:rPr>
          <w:rFonts w:cs="Times New Roman"/>
          <w:sz w:val="22"/>
        </w:rPr>
      </w:pPr>
      <w:r w:rsidRPr="003828C3">
        <w:rPr>
          <w:rFonts w:cs="Times New Roman"/>
          <w:sz w:val="22"/>
        </w:rPr>
        <w:lastRenderedPageBreak/>
        <w:t xml:space="preserve">results and discussion </w:t>
      </w:r>
    </w:p>
    <w:p w14:paraId="6DEB6BD1" w14:textId="59C74B63" w:rsidR="00132F25" w:rsidRPr="003828C3" w:rsidRDefault="00ED49B4" w:rsidP="00936FC4">
      <w:pPr>
        <w:pStyle w:val="Text"/>
        <w:rPr>
          <w:rFonts w:cs="Times New Roman"/>
          <w:sz w:val="22"/>
          <w:szCs w:val="22"/>
          <w:lang w:val="de-DE"/>
        </w:rPr>
      </w:pPr>
      <w:r w:rsidRPr="003828C3">
        <w:rPr>
          <w:rFonts w:cs="Times New Roman"/>
          <w:sz w:val="22"/>
          <w:szCs w:val="22"/>
          <w:lang w:val="de-DE"/>
        </w:rPr>
        <w:t>During the 3-month study period, 468 prescr</w:t>
      </w:r>
      <w:r w:rsidR="00AB18C6" w:rsidRPr="003828C3">
        <w:rPr>
          <w:rFonts w:cs="Times New Roman"/>
          <w:sz w:val="22"/>
          <w:szCs w:val="22"/>
          <w:lang w:val="de-DE"/>
        </w:rPr>
        <w:t xml:space="preserve">iptions </w:t>
      </w:r>
      <w:r w:rsidR="00006FE0" w:rsidRPr="003828C3">
        <w:rPr>
          <w:rFonts w:cs="Times New Roman"/>
          <w:sz w:val="22"/>
          <w:szCs w:val="22"/>
          <w:lang w:val="de-DE"/>
        </w:rPr>
        <w:t xml:space="preserve">that </w:t>
      </w:r>
      <w:r w:rsidR="00AB18C6" w:rsidRPr="003828C3">
        <w:rPr>
          <w:rFonts w:cs="Times New Roman"/>
          <w:sz w:val="22"/>
          <w:szCs w:val="22"/>
          <w:lang w:val="de-DE"/>
        </w:rPr>
        <w:t>met</w:t>
      </w:r>
      <w:r w:rsidR="00E438A4" w:rsidRPr="003828C3">
        <w:rPr>
          <w:rFonts w:cs="Times New Roman"/>
          <w:sz w:val="22"/>
          <w:szCs w:val="22"/>
          <w:lang w:val="de-DE"/>
        </w:rPr>
        <w:t xml:space="preserve"> both inclusion and exclusion criteria</w:t>
      </w:r>
      <w:r w:rsidR="00325812" w:rsidRPr="003828C3">
        <w:rPr>
          <w:rFonts w:cs="Times New Roman"/>
          <w:sz w:val="22"/>
          <w:szCs w:val="22"/>
          <w:lang w:val="de-DE"/>
        </w:rPr>
        <w:t xml:space="preserve"> were utilized for this study.</w:t>
      </w:r>
    </w:p>
    <w:p w14:paraId="3081D139" w14:textId="44BFF67B" w:rsidR="00814B24" w:rsidRPr="003828C3" w:rsidRDefault="00486EDA" w:rsidP="00BD18B5">
      <w:pPr>
        <w:pStyle w:val="Heading2"/>
        <w:rPr>
          <w:rFonts w:cs="Times New Roman"/>
          <w:sz w:val="22"/>
        </w:rPr>
      </w:pPr>
      <w:r w:rsidRPr="003828C3">
        <w:rPr>
          <w:rFonts w:cs="Times New Roman"/>
          <w:sz w:val="22"/>
        </w:rPr>
        <w:t xml:space="preserve">Demographic </w:t>
      </w:r>
      <w:r w:rsidR="00161A0B" w:rsidRPr="003828C3">
        <w:rPr>
          <w:rFonts w:cs="Times New Roman"/>
          <w:sz w:val="22"/>
        </w:rPr>
        <w:t>characteristics</w:t>
      </w:r>
    </w:p>
    <w:p w14:paraId="0DAA642D" w14:textId="1D9D7BEC" w:rsidR="00CA6570" w:rsidRPr="003828C3" w:rsidRDefault="00203775" w:rsidP="00936FC4">
      <w:pPr>
        <w:pStyle w:val="Text"/>
        <w:rPr>
          <w:rFonts w:cs="Times New Roman"/>
          <w:sz w:val="22"/>
          <w:szCs w:val="22"/>
          <w:lang w:val="de-DE"/>
        </w:rPr>
      </w:pPr>
      <w:r w:rsidRPr="003828C3">
        <w:rPr>
          <w:rFonts w:cs="Times New Roman"/>
          <w:sz w:val="22"/>
          <w:szCs w:val="22"/>
        </w:rPr>
        <w:t xml:space="preserve">The 468 prescriptions of </w:t>
      </w:r>
      <w:r w:rsidR="00006FE0" w:rsidRPr="003828C3">
        <w:rPr>
          <w:rFonts w:cs="Times New Roman"/>
          <w:sz w:val="22"/>
          <w:szCs w:val="22"/>
        </w:rPr>
        <w:t xml:space="preserve">the </w:t>
      </w:r>
      <w:r w:rsidRPr="003828C3">
        <w:rPr>
          <w:rFonts w:cs="Times New Roman"/>
          <w:sz w:val="22"/>
          <w:szCs w:val="22"/>
        </w:rPr>
        <w:t xml:space="preserve">study population had nearly equal proportions of male and female participants. </w:t>
      </w:r>
      <w:r w:rsidR="00C278C0" w:rsidRPr="003828C3">
        <w:rPr>
          <w:rFonts w:cs="Times New Roman"/>
          <w:sz w:val="22"/>
          <w:szCs w:val="22"/>
        </w:rPr>
        <w:t xml:space="preserve">The mean age of included patients was </w:t>
      </w:r>
      <w:r w:rsidR="00C54A7F" w:rsidRPr="003828C3">
        <w:rPr>
          <w:rFonts w:cs="Times New Roman"/>
          <w:sz w:val="22"/>
          <w:szCs w:val="22"/>
          <w:lang w:val="de-DE"/>
        </w:rPr>
        <w:t>64.5</w:t>
      </w:r>
      <w:r w:rsidR="00C278C0" w:rsidRPr="003828C3">
        <w:rPr>
          <w:rFonts w:cs="Times New Roman"/>
          <w:b/>
          <w:sz w:val="22"/>
          <w:szCs w:val="22"/>
          <w:lang w:val="de-DE"/>
        </w:rPr>
        <w:t xml:space="preserve"> </w:t>
      </w:r>
      <m:oMath>
        <m:r>
          <w:rPr>
            <w:rFonts w:ascii="Cambria Math" w:hAnsi="Cambria Math" w:cs="Times New Roman"/>
            <w:sz w:val="22"/>
            <w:szCs w:val="22"/>
            <w:lang w:val="de-DE"/>
          </w:rPr>
          <m:t xml:space="preserve">± </m:t>
        </m:r>
      </m:oMath>
      <w:r w:rsidR="00C278C0" w:rsidRPr="003828C3">
        <w:rPr>
          <w:rFonts w:cs="Times New Roman"/>
          <w:sz w:val="22"/>
          <w:szCs w:val="22"/>
          <w:lang w:val="de-DE"/>
        </w:rPr>
        <w:t>12</w:t>
      </w:r>
      <w:r w:rsidR="00C54A7F" w:rsidRPr="003828C3">
        <w:rPr>
          <w:rFonts w:cs="Times New Roman"/>
          <w:sz w:val="22"/>
          <w:szCs w:val="22"/>
          <w:lang w:val="de-DE"/>
        </w:rPr>
        <w:t>.0</w:t>
      </w:r>
      <w:r w:rsidR="00C278C0" w:rsidRPr="003828C3">
        <w:rPr>
          <w:rFonts w:cs="Times New Roman"/>
          <w:sz w:val="22"/>
          <w:szCs w:val="22"/>
          <w:lang w:val="de-DE"/>
        </w:rPr>
        <w:t xml:space="preserve"> years</w:t>
      </w:r>
      <w:r w:rsidR="00DB08B4" w:rsidRPr="003828C3">
        <w:rPr>
          <w:rFonts w:cs="Times New Roman"/>
          <w:sz w:val="22"/>
          <w:szCs w:val="22"/>
          <w:lang w:val="de-DE"/>
        </w:rPr>
        <w:t>,</w:t>
      </w:r>
      <w:r w:rsidR="00C278C0" w:rsidRPr="003828C3">
        <w:rPr>
          <w:rFonts w:cs="Times New Roman"/>
          <w:sz w:val="22"/>
          <w:szCs w:val="22"/>
          <w:lang w:val="de-DE"/>
        </w:rPr>
        <w:t xml:space="preserve"> and </w:t>
      </w:r>
      <w:r w:rsidR="00951FD3" w:rsidRPr="003828C3">
        <w:rPr>
          <w:rFonts w:cs="Times New Roman"/>
          <w:sz w:val="22"/>
          <w:szCs w:val="22"/>
          <w:lang w:val="de-DE"/>
        </w:rPr>
        <w:t>those</w:t>
      </w:r>
      <w:r w:rsidR="001547F9" w:rsidRPr="003828C3">
        <w:rPr>
          <w:rFonts w:cs="Times New Roman"/>
          <w:sz w:val="22"/>
          <w:szCs w:val="22"/>
          <w:lang w:val="de-DE"/>
        </w:rPr>
        <w:t xml:space="preserve"> aged 60 years and older accounted f</w:t>
      </w:r>
      <w:r w:rsidR="00C54A7F" w:rsidRPr="003828C3">
        <w:rPr>
          <w:rFonts w:cs="Times New Roman"/>
          <w:sz w:val="22"/>
          <w:szCs w:val="22"/>
          <w:lang w:val="de-DE"/>
        </w:rPr>
        <w:t>or the highest proportion (63.7</w:t>
      </w:r>
      <w:r w:rsidR="001547F9" w:rsidRPr="003828C3">
        <w:rPr>
          <w:rFonts w:cs="Times New Roman"/>
          <w:sz w:val="22"/>
          <w:szCs w:val="22"/>
          <w:lang w:val="de-DE"/>
        </w:rPr>
        <w:t>%)</w:t>
      </w:r>
      <w:r w:rsidR="00DB08B4" w:rsidRPr="003828C3">
        <w:rPr>
          <w:rFonts w:cs="Times New Roman"/>
          <w:sz w:val="22"/>
          <w:szCs w:val="22"/>
          <w:lang w:val="de-DE"/>
        </w:rPr>
        <w:t>.</w:t>
      </w:r>
      <w:r w:rsidR="000A71D9" w:rsidRPr="003828C3">
        <w:rPr>
          <w:rFonts w:cs="Times New Roman"/>
          <w:sz w:val="22"/>
          <w:szCs w:val="22"/>
          <w:lang w:val="de-DE"/>
        </w:rPr>
        <w:t xml:space="preserve"> There were seven types of cardiovascular diseases </w:t>
      </w:r>
      <w:r w:rsidR="007441E8" w:rsidRPr="003828C3">
        <w:rPr>
          <w:rFonts w:cs="Times New Roman"/>
          <w:sz w:val="22"/>
          <w:szCs w:val="22"/>
          <w:lang w:val="de-DE"/>
        </w:rPr>
        <w:t>diagnosed among patients</w:t>
      </w:r>
      <w:r w:rsidR="005A6544" w:rsidRPr="003828C3">
        <w:rPr>
          <w:rFonts w:cs="Times New Roman"/>
          <w:sz w:val="22"/>
          <w:szCs w:val="22"/>
          <w:lang w:val="de-DE"/>
        </w:rPr>
        <w:t>, of which hyperten</w:t>
      </w:r>
      <w:r w:rsidR="00C54A7F" w:rsidRPr="003828C3">
        <w:rPr>
          <w:rFonts w:cs="Times New Roman"/>
          <w:sz w:val="22"/>
          <w:szCs w:val="22"/>
          <w:lang w:val="de-DE"/>
        </w:rPr>
        <w:t>sion had the highest rate (87.4</w:t>
      </w:r>
      <w:r w:rsidR="005A6544" w:rsidRPr="003828C3">
        <w:rPr>
          <w:rFonts w:cs="Times New Roman"/>
          <w:sz w:val="22"/>
          <w:szCs w:val="22"/>
          <w:lang w:val="de-DE"/>
        </w:rPr>
        <w:t>%),</w:t>
      </w:r>
      <w:r w:rsidR="00C54A7F" w:rsidRPr="003828C3">
        <w:rPr>
          <w:rFonts w:cs="Times New Roman"/>
          <w:sz w:val="22"/>
          <w:szCs w:val="22"/>
          <w:lang w:val="de-DE"/>
        </w:rPr>
        <w:t xml:space="preserve"> followed by dyslipidemia (12.6</w:t>
      </w:r>
      <w:r w:rsidR="005A6544" w:rsidRPr="003828C3">
        <w:rPr>
          <w:rFonts w:cs="Times New Roman"/>
          <w:sz w:val="22"/>
          <w:szCs w:val="22"/>
          <w:lang w:val="de-DE"/>
        </w:rPr>
        <w:t>%)</w:t>
      </w:r>
      <w:r w:rsidR="00504816" w:rsidRPr="003828C3">
        <w:rPr>
          <w:rFonts w:cs="Times New Roman"/>
          <w:sz w:val="22"/>
          <w:szCs w:val="22"/>
          <w:lang w:val="de-DE"/>
        </w:rPr>
        <w:t>; angina pectoris and cardiomyopathy had almost the same rates (7.26% v</w:t>
      </w:r>
      <w:r w:rsidR="00A27A2F">
        <w:rPr>
          <w:rFonts w:cs="Times New Roman"/>
          <w:sz w:val="22"/>
          <w:szCs w:val="22"/>
          <w:lang w:val="de-DE"/>
        </w:rPr>
        <w:t>ersus</w:t>
      </w:r>
      <w:r w:rsidR="00504816" w:rsidRPr="003828C3">
        <w:rPr>
          <w:rFonts w:cs="Times New Roman"/>
          <w:sz w:val="22"/>
          <w:szCs w:val="22"/>
          <w:lang w:val="de-DE"/>
        </w:rPr>
        <w:t xml:space="preserve"> 6.62%); </w:t>
      </w:r>
      <w:r w:rsidR="00CC076C" w:rsidRPr="003828C3">
        <w:rPr>
          <w:rFonts w:cs="Times New Roman"/>
          <w:sz w:val="22"/>
          <w:szCs w:val="22"/>
          <w:lang w:val="de-DE"/>
        </w:rPr>
        <w:t>the remaining ones, such as old myocardial infarction, acute myocardial infarction and heart failure, constituted approximately 1%.</w:t>
      </w:r>
      <w:r w:rsidR="007764C7" w:rsidRPr="003828C3">
        <w:rPr>
          <w:rFonts w:cs="Times New Roman"/>
          <w:sz w:val="22"/>
          <w:szCs w:val="22"/>
        </w:rPr>
        <w:t xml:space="preserve"> </w:t>
      </w:r>
      <w:r w:rsidR="00E64E9C">
        <w:rPr>
          <w:rFonts w:cs="Times New Roman"/>
          <w:sz w:val="22"/>
          <w:szCs w:val="22"/>
        </w:rPr>
        <w:t xml:space="preserve">This study </w:t>
      </w:r>
      <w:r w:rsidR="000B6F5B">
        <w:rPr>
          <w:rFonts w:cs="Times New Roman"/>
          <w:sz w:val="22"/>
          <w:szCs w:val="22"/>
        </w:rPr>
        <w:t xml:space="preserve">was similar the reseach conducted by </w:t>
      </w:r>
      <w:r w:rsidR="0029015C">
        <w:rPr>
          <w:rFonts w:cs="Times New Roman"/>
          <w:sz w:val="22"/>
          <w:szCs w:val="22"/>
        </w:rPr>
        <w:t>Sharma S</w:t>
      </w:r>
      <w:r w:rsidR="00EE713B">
        <w:rPr>
          <w:rFonts w:cs="Times New Roman"/>
          <w:sz w:val="22"/>
          <w:szCs w:val="22"/>
        </w:rPr>
        <w:t>.</w:t>
      </w:r>
      <w:r w:rsidR="0029015C">
        <w:rPr>
          <w:rFonts w:cs="Times New Roman"/>
          <w:sz w:val="22"/>
          <w:szCs w:val="22"/>
        </w:rPr>
        <w:t xml:space="preserve"> et al. with hypertension being the most prevalent condition.</w:t>
      </w:r>
      <w:r w:rsidR="00E64E9C">
        <w:rPr>
          <w:rFonts w:cs="Times New Roman"/>
          <w:sz w:val="22"/>
          <w:szCs w:val="22"/>
        </w:rPr>
        <w:t xml:space="preserve"> </w:t>
      </w:r>
      <w:r w:rsidR="0029015C">
        <w:rPr>
          <w:rFonts w:cs="Times New Roman"/>
          <w:sz w:val="22"/>
          <w:szCs w:val="22"/>
          <w:lang w:val="de-DE"/>
        </w:rPr>
        <w:t>The</w:t>
      </w:r>
      <w:r w:rsidR="007764C7" w:rsidRPr="003828C3">
        <w:rPr>
          <w:rFonts w:cs="Times New Roman"/>
          <w:sz w:val="22"/>
          <w:szCs w:val="22"/>
          <w:lang w:val="de-DE"/>
        </w:rPr>
        <w:t xml:space="preserve"> research at Phulbari Hospital, Pokhara, Nepal, regarding cardiovascular drug interactions in outpatients revealed that over fifty percent of patients with cardiovascular disease presented with hypertension</w:t>
      </w:r>
      <w:r w:rsidR="00E64E9C">
        <w:rPr>
          <w:rFonts w:cs="Times New Roman"/>
          <w:sz w:val="22"/>
          <w:szCs w:val="22"/>
          <w:lang w:val="de-DE"/>
        </w:rPr>
        <w:t>.</w:t>
      </w:r>
      <w:r w:rsidR="00C4267D" w:rsidRPr="0065347E">
        <w:rPr>
          <w:rFonts w:cs="Times New Roman"/>
          <w:sz w:val="22"/>
          <w:szCs w:val="22"/>
          <w:vertAlign w:val="superscript"/>
          <w:lang w:val="de-DE"/>
        </w:rPr>
        <w:fldChar w:fldCharType="begin"/>
      </w:r>
      <w:r w:rsidR="003A67A6" w:rsidRPr="0065347E">
        <w:rPr>
          <w:rFonts w:cs="Times New Roman"/>
          <w:sz w:val="22"/>
          <w:szCs w:val="22"/>
          <w:vertAlign w:val="superscript"/>
          <w:lang w:val="de-DE"/>
        </w:rPr>
        <w:instrText xml:space="preserve"> ADDIN ZOTERO_ITEM CSL_CITATION {"citationID":"1wUBaV02","properties":{"formattedCitation":"(7)","plainCitation":"(7)","noteIndex":0},"citationItems":[{"id":1747,"uris":["http://zotero.org/users/6883290/items/HFFB3R23"],"itemData":{"id":1747,"type":"article-journal","abstract":"AIM: Drug-drug interaction (DDI) is of major concern in patients with complex therapeutic regimens. The involvement of cardiovascular medicines in drug interaction is even higher. However, reports of DDI between these groups of drugs are few. The study aims to identify the potential DDI among hospitalized cardiac patients. Furthermore, we assessed the possible risk factors associated with these interactions.\nSUBJECTS AND METHODS: The Type of study prospective observational study was conducted from May 2012 to August 2012 among hospitalized cardiac patients. Cardiac patients who were taking at least two drugs and who had a hospital stay of at least 24 h were enrolled. The medications of the patients were analyzed for possible interactions using the standard drug interaction database - Micromedex -2 (Thomson Reuters) × 2.0.\nRESULTS: From a total of 150 enrolled patients, at least one interacting drug combination was identified among 32 patients. The incidence of potential DDI was 21.3%. A total of 48 potentially hazardous drug interactions were identified. Atorvastatin/azithromycin (10.4%), enalapril/metformin (10.4%), enalapril/potassium chloride (10.4%), atorvastatin/clarithromycin (8.3%) and furosemide/gentamicin (6.3%) were the most common interacting pairs. Drugs most commonly involved were atorvastatin, enalapril, digoxin, furosemide, clopidogrel and warfarin. Majority of interactions were of moderate severity (62.5%) and pharmacokinetic (58.3%) in nature. Increased number of medicines, prolonged hospital stays and comorbid conditions were the risk factors found associated with the potential DDI.\nCONCLUSIONS: This study highlighted the need of intense monitoring of patients who have identified risk factors to help detect and prevent them from serious health hazards associated with drug interactions.","container-title":"Indian Journal of Pharmacology","DOI":"10.4103/0253-7613.129303","ISSN":"1998-3751","issue":"2","journalAbbreviation":"Indian J Pharmacol","language":"eng","note":"PMID: 24741184\nPMCID: PMC3987181","page":"152-156","source":"PubMed","title":"A study of potential drug-drug interactions among hospitalized cardiac patients in a teaching hospital in Western Nepal","volume":"46","author":[{"family":"Sharma","given":"Sushmita"},{"family":"Chhetri","given":"Himal Paudel"},{"family":"Alam","given":"Kadir"}],"issued":{"date-parts":[["2014"]]}}}],"schema":"https://github.com/citation-style-language/schema/raw/master/csl-citation.json"} </w:instrText>
      </w:r>
      <w:r w:rsidR="00C4267D" w:rsidRPr="0065347E">
        <w:rPr>
          <w:rFonts w:cs="Times New Roman"/>
          <w:sz w:val="22"/>
          <w:szCs w:val="22"/>
          <w:vertAlign w:val="superscript"/>
          <w:lang w:val="de-DE"/>
        </w:rPr>
        <w:fldChar w:fldCharType="separate"/>
      </w:r>
      <w:r w:rsidR="00892097" w:rsidRPr="00E64E9C">
        <w:rPr>
          <w:rFonts w:cs="Times New Roman"/>
          <w:noProof/>
          <w:sz w:val="22"/>
          <w:szCs w:val="22"/>
          <w:vertAlign w:val="superscript"/>
          <w:lang w:val="de-DE"/>
        </w:rPr>
        <w:t>7</w:t>
      </w:r>
      <w:r w:rsidR="00C4267D" w:rsidRPr="0065347E">
        <w:rPr>
          <w:rFonts w:cs="Times New Roman"/>
          <w:sz w:val="22"/>
          <w:szCs w:val="22"/>
          <w:vertAlign w:val="superscript"/>
          <w:lang w:val="de-DE"/>
        </w:rPr>
        <w:fldChar w:fldCharType="end"/>
      </w:r>
      <w:r w:rsidR="00CC076C" w:rsidRPr="003828C3">
        <w:rPr>
          <w:rFonts w:cs="Times New Roman"/>
          <w:sz w:val="22"/>
          <w:szCs w:val="22"/>
          <w:lang w:val="de-DE"/>
        </w:rPr>
        <w:t xml:space="preserve"> Table 1</w:t>
      </w:r>
      <w:r w:rsidR="00744C87" w:rsidRPr="003828C3">
        <w:rPr>
          <w:rFonts w:cs="Times New Roman"/>
          <w:sz w:val="22"/>
          <w:szCs w:val="22"/>
          <w:lang w:val="de-DE"/>
        </w:rPr>
        <w:t xml:space="preserve"> following</w:t>
      </w:r>
      <w:r w:rsidR="00C95920">
        <w:rPr>
          <w:rFonts w:cs="Times New Roman"/>
          <w:sz w:val="22"/>
          <w:szCs w:val="22"/>
          <w:lang w:val="de-DE"/>
        </w:rPr>
        <w:t xml:space="preserve"> described</w:t>
      </w:r>
      <w:r w:rsidR="00006FE0" w:rsidRPr="003828C3">
        <w:rPr>
          <w:rFonts w:cs="Times New Roman"/>
          <w:sz w:val="22"/>
          <w:szCs w:val="22"/>
          <w:lang w:val="de-DE"/>
        </w:rPr>
        <w:t xml:space="preserve"> patient character</w:t>
      </w:r>
      <w:r w:rsidR="00CC076C" w:rsidRPr="003828C3">
        <w:rPr>
          <w:rFonts w:cs="Times New Roman"/>
          <w:sz w:val="22"/>
          <w:szCs w:val="22"/>
          <w:lang w:val="de-DE"/>
        </w:rPr>
        <w:t>istics</w:t>
      </w:r>
      <w:r w:rsidR="00744C87" w:rsidRPr="003828C3">
        <w:rPr>
          <w:rFonts w:cs="Times New Roman"/>
          <w:sz w:val="22"/>
          <w:szCs w:val="22"/>
          <w:lang w:val="de-DE"/>
        </w:rPr>
        <w:t>.</w:t>
      </w:r>
    </w:p>
    <w:p w14:paraId="279DCE94" w14:textId="0EC0CE6B" w:rsidR="00A65644" w:rsidRPr="003828C3" w:rsidRDefault="00E83606" w:rsidP="00377842">
      <w:pPr>
        <w:pStyle w:val="Heading2"/>
        <w:tabs>
          <w:tab w:val="clear" w:pos="406"/>
          <w:tab w:val="left" w:pos="0"/>
        </w:tabs>
        <w:ind w:left="0" w:firstLine="0"/>
        <w:rPr>
          <w:rFonts w:cs="Times New Roman"/>
          <w:sz w:val="22"/>
        </w:rPr>
      </w:pPr>
      <w:r w:rsidRPr="003828C3">
        <w:rPr>
          <w:rFonts w:cs="Times New Roman"/>
          <w:sz w:val="22"/>
        </w:rPr>
        <w:t>Characteristics of cardiovascular</w:t>
      </w:r>
      <w:r w:rsidR="00A65644" w:rsidRPr="003828C3">
        <w:rPr>
          <w:rFonts w:cs="Times New Roman"/>
          <w:sz w:val="22"/>
        </w:rPr>
        <w:t xml:space="preserve"> medications</w:t>
      </w:r>
    </w:p>
    <w:p w14:paraId="4F53EA66" w14:textId="5D18C70C" w:rsidR="00F14C79" w:rsidRDefault="00B20A00" w:rsidP="00936FC4">
      <w:pPr>
        <w:pStyle w:val="Text"/>
        <w:rPr>
          <w:rFonts w:eastAsia="Times New Roman" w:cs="Times New Roman"/>
          <w:sz w:val="22"/>
          <w:szCs w:val="22"/>
        </w:rPr>
      </w:pPr>
      <w:r w:rsidRPr="003828C3">
        <w:rPr>
          <w:rStyle w:val="heading40"/>
          <w:rFonts w:cs="Times New Roman"/>
          <w:i w:val="0"/>
          <w:sz w:val="22"/>
          <w:szCs w:val="22"/>
        </w:rPr>
        <w:t xml:space="preserve">The average number of medications prescribed per patient was </w:t>
      </w:r>
      <w:r w:rsidRPr="003828C3">
        <w:rPr>
          <w:rFonts w:cs="Times New Roman"/>
          <w:sz w:val="22"/>
          <w:szCs w:val="22"/>
          <w:lang w:val="de-DE"/>
        </w:rPr>
        <w:t xml:space="preserve">4.76 </w:t>
      </w:r>
      <m:oMath>
        <m:r>
          <w:rPr>
            <w:rFonts w:ascii="Cambria Math" w:hAnsi="Cambria Math" w:cs="Times New Roman"/>
            <w:sz w:val="22"/>
            <w:szCs w:val="22"/>
            <w:lang w:val="de-DE"/>
          </w:rPr>
          <m:t>±</m:t>
        </m:r>
      </m:oMath>
      <w:r w:rsidRPr="003828C3">
        <w:rPr>
          <w:rFonts w:cs="Times New Roman"/>
          <w:sz w:val="22"/>
          <w:szCs w:val="22"/>
          <w:lang w:val="de-DE"/>
        </w:rPr>
        <w:t xml:space="preserve"> 1.6</w:t>
      </w:r>
      <w:r w:rsidR="005860E1" w:rsidRPr="003828C3">
        <w:rPr>
          <w:rFonts w:cs="Times New Roman"/>
          <w:sz w:val="22"/>
          <w:szCs w:val="22"/>
          <w:lang w:val="de-DE"/>
        </w:rPr>
        <w:t>0</w:t>
      </w:r>
      <w:r w:rsidRPr="003828C3">
        <w:rPr>
          <w:rFonts w:cs="Times New Roman"/>
          <w:sz w:val="22"/>
          <w:szCs w:val="22"/>
          <w:lang w:val="de-DE"/>
        </w:rPr>
        <w:t xml:space="preserve"> medications.</w:t>
      </w:r>
      <w:r w:rsidR="00D57765" w:rsidRPr="003828C3">
        <w:rPr>
          <w:rFonts w:cs="Times New Roman"/>
          <w:sz w:val="22"/>
          <w:szCs w:val="22"/>
          <w:lang w:val="de-DE"/>
        </w:rPr>
        <w:t xml:space="preserve"> </w:t>
      </w:r>
      <w:r w:rsidR="0029015C">
        <w:rPr>
          <w:rFonts w:cs="Times New Roman"/>
          <w:sz w:val="22"/>
          <w:szCs w:val="22"/>
          <w:lang w:val="de-DE"/>
        </w:rPr>
        <w:t xml:space="preserve">A total of </w:t>
      </w:r>
      <w:r w:rsidR="005860E1" w:rsidRPr="003828C3">
        <w:rPr>
          <w:rFonts w:cs="Times New Roman"/>
          <w:sz w:val="22"/>
          <w:szCs w:val="22"/>
          <w:lang w:val="de-DE"/>
        </w:rPr>
        <w:t>256 (54.7</w:t>
      </w:r>
      <w:r w:rsidR="00D57765" w:rsidRPr="003828C3">
        <w:rPr>
          <w:rFonts w:cs="Times New Roman"/>
          <w:sz w:val="22"/>
          <w:szCs w:val="22"/>
          <w:lang w:val="de-DE"/>
        </w:rPr>
        <w:t xml:space="preserve">%) of patients </w:t>
      </w:r>
      <w:r w:rsidR="00006FE0" w:rsidRPr="003828C3">
        <w:rPr>
          <w:rFonts w:cs="Times New Roman"/>
          <w:sz w:val="22"/>
          <w:szCs w:val="22"/>
          <w:lang w:val="de-DE"/>
        </w:rPr>
        <w:t>were</w:t>
      </w:r>
      <w:r w:rsidR="00D57765" w:rsidRPr="003828C3">
        <w:rPr>
          <w:rFonts w:cs="Times New Roman"/>
          <w:sz w:val="22"/>
          <w:szCs w:val="22"/>
          <w:lang w:val="de-DE"/>
        </w:rPr>
        <w:t xml:space="preserve"> prescribed </w:t>
      </w:r>
      <w:r w:rsidR="00F250C8" w:rsidRPr="003828C3">
        <w:rPr>
          <w:rFonts w:cs="Times New Roman"/>
          <w:sz w:val="22"/>
          <w:szCs w:val="22"/>
          <w:lang w:val="de-DE"/>
        </w:rPr>
        <w:t>five or more (known as polypharmacy).</w:t>
      </w:r>
      <w:r w:rsidR="00C41485" w:rsidRPr="003828C3">
        <w:rPr>
          <w:rFonts w:cs="Times New Roman"/>
          <w:sz w:val="22"/>
          <w:szCs w:val="22"/>
        </w:rPr>
        <w:t xml:space="preserve"> </w:t>
      </w:r>
      <w:r w:rsidR="00C41485" w:rsidRPr="003828C3">
        <w:rPr>
          <w:rFonts w:cs="Times New Roman"/>
          <w:sz w:val="22"/>
          <w:szCs w:val="22"/>
          <w:lang w:val="de-DE"/>
        </w:rPr>
        <w:t>Polypharmacy is prevalent among the elderly due to the presence</w:t>
      </w:r>
      <w:r w:rsidR="00006FE0" w:rsidRPr="003828C3">
        <w:rPr>
          <w:rFonts w:cs="Times New Roman"/>
          <w:sz w:val="22"/>
          <w:szCs w:val="22"/>
          <w:lang w:val="de-DE"/>
        </w:rPr>
        <w:t xml:space="preserve"> of</w:t>
      </w:r>
      <w:r w:rsidR="00C41485" w:rsidRPr="003828C3">
        <w:rPr>
          <w:rFonts w:cs="Times New Roman"/>
          <w:sz w:val="22"/>
          <w:szCs w:val="22"/>
          <w:lang w:val="de-DE"/>
        </w:rPr>
        <w:t xml:space="preserve"> multimorbidity</w:t>
      </w:r>
      <w:r w:rsidR="00E1607D" w:rsidRPr="003828C3">
        <w:rPr>
          <w:rFonts w:cs="Times New Roman"/>
          <w:sz w:val="22"/>
          <w:szCs w:val="22"/>
          <w:lang w:val="de-DE"/>
        </w:rPr>
        <w:t xml:space="preserve">. </w:t>
      </w:r>
      <w:r w:rsidR="00A8043F" w:rsidRPr="003828C3">
        <w:rPr>
          <w:rFonts w:cs="Times New Roman"/>
          <w:sz w:val="22"/>
          <w:szCs w:val="22"/>
          <w:lang w:val="de-DE"/>
        </w:rPr>
        <w:t>Notably, p</w:t>
      </w:r>
      <w:r w:rsidR="00E1607D" w:rsidRPr="003828C3">
        <w:rPr>
          <w:rFonts w:cs="Times New Roman"/>
          <w:sz w:val="22"/>
          <w:szCs w:val="22"/>
          <w:lang w:val="de-DE"/>
        </w:rPr>
        <w:t>olypharmacy increases the risk of appearing drug interactions, which can increase the hazard of hospitalization and death if the drug</w:t>
      </w:r>
      <w:r w:rsidR="00DC02A9" w:rsidRPr="003828C3">
        <w:rPr>
          <w:rFonts w:cs="Times New Roman"/>
          <w:sz w:val="22"/>
          <w:szCs w:val="22"/>
          <w:lang w:val="de-DE"/>
        </w:rPr>
        <w:t xml:space="preserve"> interaction is contraindicated</w:t>
      </w:r>
      <w:r w:rsidR="00E64E9C">
        <w:rPr>
          <w:rFonts w:cs="Times New Roman"/>
          <w:sz w:val="22"/>
          <w:szCs w:val="22"/>
          <w:lang w:val="de-DE"/>
        </w:rPr>
        <w:t>.</w:t>
      </w:r>
      <w:r w:rsidR="0065347E" w:rsidRPr="0065347E">
        <w:rPr>
          <w:rFonts w:cs="Times New Roman"/>
          <w:sz w:val="22"/>
          <w:szCs w:val="22"/>
          <w:shd w:val="clear" w:color="auto" w:fill="FFFFFF"/>
          <w:vertAlign w:val="superscript"/>
          <w:lang w:val="de-DE"/>
        </w:rPr>
        <w:fldChar w:fldCharType="begin"/>
      </w:r>
      <w:r w:rsidR="00892097">
        <w:rPr>
          <w:rFonts w:cs="Times New Roman"/>
          <w:sz w:val="22"/>
          <w:szCs w:val="22"/>
          <w:shd w:val="clear" w:color="auto" w:fill="FFFFFF"/>
          <w:vertAlign w:val="superscript"/>
          <w:lang w:val="de-DE"/>
        </w:rPr>
        <w:instrText xml:space="preserve"> ADDIN ZOTERO_ITEM CSL_CITATION {"citationID":"Df1lTHwh","properties":{"formattedCitation":"(4,5)","plainCitation":"(4,5)","noteIndex":0},"citationItems":[{"id":1741,"uris":["http://zotero.org/users/6883290/items/N2VRHLVM"],"itemData":{"id":1741,"type":"article-journal","abstract":"Background: The quality of pharmacotherapy is highly dependent on the process of choosing a drug in relation to nature of the disease. Several factors should be considered in choosing optimal pharmacotherapeutics strategy including efficacy, safety, availability and cost of the drugs. The objective of this study was to assess potential drug-drug interactions and risk factors in outpatients taking cardiovascular drugs at Jimma University specialized hospital.Methods: A cross-sectional study was conducted from Feb. to April, 2011on patients visiting the cardiac clinic of Jimma University Specialized hospital. A sample of 332 outpatients who were taking cardiovascular medications at study clinic was studied. MicroMedex software was used to screen drug-drug interactions and SPSS for windows software versions-16.0 was used for data analysis.Results: A total of 1249 drugs with average of 3.76 drugs per prescription were prescribed for the 332 patients. The frequency of potential DDIs was found to be 241 (72.6%). Among these 200 (67.3%) were of \"moderate\" severity and 164 (55.2%) were delayed in onset. The most common potential DDI observed was between Enalapril and Furosemide (20%). Patients who prescribed many drugs (AOR=4.09; P=0.00) by medical intern had a higher risk of developing potential DDIs (AOR=4.6; P=0.00).Conclusions: Patients with cardiovascular disorders are subjected to high risk of potential drug-drug interactions and the number of drugs prescribed and educational level of the prescribers has a high significantly associated with the occurrence of potential drug-drug interactions. Therefore, it is imperative that further studies need to be conducted to identify reasons for and tackle the problem and provide appropriate mechanisms for management.","container-title":"International Journal of Basic &amp; Clinical Pharmacology","ISSN":"2279-0780","issue":"2","language":"en","page":"144-152","source":"www.ijbcp.com","title":"Assessment of potential drug-drug interactions among outpatients receiving cardiovascular medications at Jimma University specialized hospital, South West Ethiopia","volume":"2","author":[{"family":"Chelkeba","given":"Legese"},{"family":"Alemseged","given":"Fessahaye"},{"family":"Bedada","given":"Worku"}],"issued":{"date-parts":[["2013"]]}},"label":"page"},{"id":1738,"uris":["http://zotero.org/users/6883290/items/ZIMU99KC"],"itemData":{"id":1738,"type":"article-journal","abstract":"BACKGROUND: Polypharmacy continues to be a topic of concern among older adults and puts patients at increased risk of potential drug-drug interactions (DDIs) and negative health outcomes. The objective of this study was to assess the prevalence of polypharmacy among older adults with cardiovascular disease (CVD) and to identify severe potential DDIs.\nMETHODS: A retrospective chart review was conducted in a tertiary care center over a three-month period where we reviewed home medications of older adults upon hospital admission. Inclusion criteria were age ≥ 65 years, history of CVD, and admission to the cardiology service. Polypharmacy was defined as 5 or more medications taken concomitantly, hyper-polypharmacy was defined as 10 or more medications taken concomitantly, and severe potential DDIs were considered to be those belonging to category D or X using Lexicomp® Drug Information Handbook. Category D interaction states that modification of therapy should be considered while category X states that the combination should be absolutely avoided.\nRESULTS: A total of 404 patients with a mean age of 76.6 ± 7.4 years were included. Patients were taking an average of 11.6 ± 4.5 medications at home and 385 (95%) received polypharmacy, 278 (69%) received hyper-polypharmacy, and 313 (77.5%) had at least one severe potential DDI. Under category D, the most common potential DDIs were drugs with additive central nervous system (CNS) depressant effect and drugs that increase the risk of QT prolongation. Under category X, the most common potential DDIs were non-selective β-blockers that may diminish the bronchodilator effect of β2 agonists and drugs with anticholinergic properties that enhance the ulcerogenic effect of oral solid potassium.\nCONCLUSIONS: Polypharmacy, hyper-polypharmacy, and severe potential DDIs are very common in older adults with CVD. Clinicians should vigilantly review patients' drug records and adjust therapy accordingly to prevent adverse drug reactions and negative health outcomes.","container-title":"BMC geriatrics","DOI":"10.1186/s12877-021-02183-0","ISSN":"1471-2318","issue":"1","journalAbbreviation":"BMC Geriatr","language":"eng","note":"PMID: 33827442\nPMCID: PMC8028718","page":"233","source":"PubMed","title":"Polypharmacy and severe potential drug-drug interactions among older adults with cardiovascular disease in the United States","volume":"21","author":[{"family":"Sheikh-Taha","given":"Marwan"},{"family":"Asmar","given":"Myriam"}],"issued":{"date-parts":[["2021",4,7]]}},"label":"page"}],"schema":"https://github.com/citation-style-language/schema/raw/master/csl-citation.json"} </w:instrText>
      </w:r>
      <w:r w:rsidR="0065347E" w:rsidRPr="0065347E">
        <w:rPr>
          <w:rFonts w:cs="Times New Roman"/>
          <w:sz w:val="22"/>
          <w:szCs w:val="22"/>
          <w:shd w:val="clear" w:color="auto" w:fill="FFFFFF"/>
          <w:vertAlign w:val="superscript"/>
          <w:lang w:val="de-DE"/>
        </w:rPr>
        <w:fldChar w:fldCharType="separate"/>
      </w:r>
      <w:r w:rsidR="00892097" w:rsidRPr="00E64E9C">
        <w:rPr>
          <w:rFonts w:cs="Times New Roman"/>
          <w:noProof/>
          <w:sz w:val="22"/>
          <w:szCs w:val="22"/>
          <w:shd w:val="clear" w:color="auto" w:fill="FFFFFF"/>
          <w:vertAlign w:val="superscript"/>
          <w:lang w:val="de-DE"/>
        </w:rPr>
        <w:t>4,5</w:t>
      </w:r>
      <w:r w:rsidR="0065347E" w:rsidRPr="0065347E">
        <w:rPr>
          <w:rFonts w:cs="Times New Roman"/>
          <w:sz w:val="22"/>
          <w:szCs w:val="22"/>
          <w:shd w:val="clear" w:color="auto" w:fill="FFFFFF"/>
          <w:vertAlign w:val="superscript"/>
          <w:lang w:val="de-DE"/>
        </w:rPr>
        <w:fldChar w:fldCharType="end"/>
      </w:r>
      <w:r w:rsidR="00BE7973" w:rsidRPr="003828C3">
        <w:rPr>
          <w:rFonts w:cs="Times New Roman"/>
          <w:sz w:val="22"/>
          <w:szCs w:val="22"/>
          <w:lang w:val="de-DE"/>
        </w:rPr>
        <w:t xml:space="preserve"> </w:t>
      </w:r>
      <w:r w:rsidR="001B08FE" w:rsidRPr="001B08FE">
        <w:rPr>
          <w:rFonts w:cs="Times New Roman"/>
          <w:sz w:val="22"/>
          <w:szCs w:val="22"/>
          <w:lang w:val="de-DE"/>
        </w:rPr>
        <w:t>This study found that more than half of patients were received polypharmacy during treatment.</w:t>
      </w:r>
      <w:r w:rsidR="00AC74CE">
        <w:rPr>
          <w:rFonts w:cs="Times New Roman"/>
          <w:sz w:val="22"/>
          <w:szCs w:val="22"/>
          <w:lang w:val="de-DE"/>
        </w:rPr>
        <w:t xml:space="preserve"> </w:t>
      </w:r>
      <w:r w:rsidR="00AF3A95" w:rsidRPr="003828C3">
        <w:rPr>
          <w:rFonts w:cs="Times New Roman"/>
          <w:sz w:val="22"/>
          <w:szCs w:val="22"/>
          <w:lang w:val="de-DE"/>
        </w:rPr>
        <w:t>The most frequently prescribed cardiovascular medication in this study was calcium channel blockers</w:t>
      </w:r>
      <w:r w:rsidR="005860E1" w:rsidRPr="003828C3">
        <w:rPr>
          <w:rFonts w:cs="Times New Roman"/>
          <w:sz w:val="22"/>
          <w:szCs w:val="22"/>
          <w:lang w:val="de-DE"/>
        </w:rPr>
        <w:t xml:space="preserve"> (60.5</w:t>
      </w:r>
      <w:r w:rsidR="00AF3A95" w:rsidRPr="003828C3">
        <w:rPr>
          <w:rFonts w:cs="Times New Roman"/>
          <w:sz w:val="22"/>
          <w:szCs w:val="22"/>
          <w:lang w:val="de-DE"/>
        </w:rPr>
        <w:t>%), followed by angiotensin II receptor blockers</w:t>
      </w:r>
      <w:r w:rsidR="00A1113F" w:rsidRPr="003828C3">
        <w:rPr>
          <w:rFonts w:cs="Times New Roman"/>
          <w:sz w:val="22"/>
          <w:szCs w:val="22"/>
          <w:lang w:val="de-DE"/>
        </w:rPr>
        <w:t>-ARBs (roughly 20%)</w:t>
      </w:r>
      <w:r w:rsidR="00915D1B" w:rsidRPr="003828C3">
        <w:rPr>
          <w:rFonts w:cs="Times New Roman"/>
          <w:sz w:val="22"/>
          <w:szCs w:val="22"/>
          <w:lang w:val="de-DE"/>
        </w:rPr>
        <w:t xml:space="preserve">; </w:t>
      </w:r>
      <w:r w:rsidR="00AF3A95" w:rsidRPr="003828C3">
        <w:rPr>
          <w:rFonts w:cs="Times New Roman"/>
          <w:sz w:val="22"/>
          <w:szCs w:val="22"/>
          <w:lang w:val="de-DE"/>
        </w:rPr>
        <w:t>the statin and diuretic groups were approximately equivalent</w:t>
      </w:r>
      <w:r w:rsidR="00BE7973" w:rsidRPr="003828C3">
        <w:rPr>
          <w:rFonts w:cs="Times New Roman"/>
          <w:sz w:val="22"/>
          <w:szCs w:val="22"/>
          <w:lang w:val="de-DE"/>
        </w:rPr>
        <w:t xml:space="preserve"> (</w:t>
      </w:r>
      <w:r w:rsidR="00982494" w:rsidRPr="003828C3">
        <w:rPr>
          <w:rFonts w:cs="Times New Roman"/>
          <w:sz w:val="22"/>
          <w:szCs w:val="22"/>
          <w:lang w:val="de-DE"/>
        </w:rPr>
        <w:t>around 13%)</w:t>
      </w:r>
      <w:r w:rsidR="00915D1B" w:rsidRPr="003828C3">
        <w:rPr>
          <w:rFonts w:cs="Times New Roman"/>
          <w:sz w:val="22"/>
          <w:szCs w:val="22"/>
          <w:lang w:val="de-DE"/>
        </w:rPr>
        <w:t xml:space="preserve">; </w:t>
      </w:r>
      <w:r w:rsidR="00BC2109" w:rsidRPr="003828C3">
        <w:rPr>
          <w:rFonts w:cs="Times New Roman"/>
          <w:sz w:val="22"/>
          <w:szCs w:val="22"/>
          <w:lang w:val="de-DE"/>
        </w:rPr>
        <w:t>th</w:t>
      </w:r>
      <w:r w:rsidR="00685ECE" w:rsidRPr="003828C3">
        <w:rPr>
          <w:rFonts w:cs="Times New Roman"/>
          <w:sz w:val="22"/>
          <w:szCs w:val="22"/>
          <w:lang w:val="de-DE"/>
        </w:rPr>
        <w:t>e remaining pharmaceuticals, such as</w:t>
      </w:r>
      <w:r w:rsidR="00C4012A" w:rsidRPr="003828C3">
        <w:rPr>
          <w:rFonts w:cs="Times New Roman"/>
          <w:sz w:val="22"/>
          <w:szCs w:val="22"/>
          <w:lang w:val="de-DE"/>
        </w:rPr>
        <w:t xml:space="preserve"> angiotensin</w:t>
      </w:r>
      <w:r w:rsidR="00927B9B" w:rsidRPr="003828C3">
        <w:rPr>
          <w:rFonts w:cs="Times New Roman"/>
          <w:sz w:val="22"/>
          <w:szCs w:val="22"/>
          <w:lang w:val="de-DE"/>
        </w:rPr>
        <w:t>-converting enzyme inhibitors (</w:t>
      </w:r>
      <w:r w:rsidR="00C4012A" w:rsidRPr="003828C3">
        <w:rPr>
          <w:rFonts w:cs="Times New Roman"/>
          <w:sz w:val="22"/>
          <w:szCs w:val="22"/>
          <w:lang w:val="de-DE"/>
        </w:rPr>
        <w:t>ACEIs</w:t>
      </w:r>
      <w:r w:rsidR="00927B9B" w:rsidRPr="003828C3">
        <w:rPr>
          <w:rFonts w:cs="Times New Roman"/>
          <w:sz w:val="22"/>
          <w:szCs w:val="22"/>
          <w:lang w:val="de-DE"/>
        </w:rPr>
        <w:t>)</w:t>
      </w:r>
      <w:r w:rsidR="00C4012A" w:rsidRPr="003828C3">
        <w:rPr>
          <w:rFonts w:cs="Times New Roman"/>
          <w:sz w:val="22"/>
          <w:szCs w:val="22"/>
          <w:lang w:val="de-DE"/>
        </w:rPr>
        <w:t xml:space="preserve">, organic nitrates, and </w:t>
      </w:r>
      <w:r w:rsidR="00C4012A" w:rsidRPr="003828C3">
        <w:rPr>
          <w:rFonts w:eastAsia="Times New Roman" w:cs="Times New Roman"/>
          <w:sz w:val="22"/>
          <w:szCs w:val="22"/>
        </w:rPr>
        <w:t>β-blockers,</w:t>
      </w:r>
      <w:r w:rsidR="00DC7B55" w:rsidRPr="003828C3">
        <w:rPr>
          <w:rFonts w:eastAsia="Times New Roman" w:cs="Times New Roman"/>
          <w:sz w:val="22"/>
          <w:szCs w:val="22"/>
        </w:rPr>
        <w:t xml:space="preserve"> comprised about 10%</w:t>
      </w:r>
      <w:r w:rsidR="00927B9B" w:rsidRPr="003828C3">
        <w:rPr>
          <w:rFonts w:eastAsia="Times New Roman" w:cs="Times New Roman"/>
          <w:sz w:val="22"/>
          <w:szCs w:val="22"/>
        </w:rPr>
        <w:t>.</w:t>
      </w:r>
      <w:r w:rsidR="00B163F6" w:rsidRPr="003828C3">
        <w:rPr>
          <w:rFonts w:eastAsia="Times New Roman" w:cs="Times New Roman"/>
          <w:sz w:val="22"/>
          <w:szCs w:val="22"/>
        </w:rPr>
        <w:t xml:space="preserve"> </w:t>
      </w:r>
      <w:r w:rsidR="00A65644" w:rsidRPr="003828C3">
        <w:rPr>
          <w:rFonts w:eastAsia="Times New Roman" w:cs="Times New Roman"/>
          <w:sz w:val="22"/>
          <w:szCs w:val="22"/>
        </w:rPr>
        <w:t xml:space="preserve">Table 2 following </w:t>
      </w:r>
      <w:r w:rsidR="00C95920">
        <w:rPr>
          <w:rFonts w:eastAsia="Times New Roman" w:cs="Times New Roman"/>
          <w:sz w:val="22"/>
          <w:szCs w:val="22"/>
        </w:rPr>
        <w:t>showed</w:t>
      </w:r>
      <w:r w:rsidR="00A65644" w:rsidRPr="003828C3">
        <w:rPr>
          <w:rFonts w:eastAsia="Times New Roman" w:cs="Times New Roman"/>
          <w:sz w:val="22"/>
          <w:szCs w:val="22"/>
        </w:rPr>
        <w:t xml:space="preserve"> numbers and classes of cardiovascular medications.</w:t>
      </w:r>
    </w:p>
    <w:p w14:paraId="7CB71D83" w14:textId="77777777" w:rsidR="00F263E1" w:rsidRDefault="00F263E1" w:rsidP="00936FC4">
      <w:pPr>
        <w:pStyle w:val="Text"/>
        <w:rPr>
          <w:rFonts w:eastAsia="Times New Roman" w:cs="Times New Roman"/>
          <w:sz w:val="22"/>
          <w:szCs w:val="22"/>
        </w:rPr>
      </w:pPr>
    </w:p>
    <w:p w14:paraId="17F42819" w14:textId="77777777" w:rsidR="00F263E1" w:rsidRDefault="00F263E1" w:rsidP="00936FC4">
      <w:pPr>
        <w:pStyle w:val="Text"/>
        <w:rPr>
          <w:rFonts w:eastAsia="Times New Roman" w:cs="Times New Roman"/>
          <w:sz w:val="22"/>
          <w:szCs w:val="22"/>
        </w:rPr>
      </w:pPr>
    </w:p>
    <w:p w14:paraId="0CB30427" w14:textId="77777777" w:rsidR="00F263E1" w:rsidRDefault="00F263E1" w:rsidP="00936FC4">
      <w:pPr>
        <w:pStyle w:val="Text"/>
        <w:rPr>
          <w:rFonts w:eastAsia="Times New Roman" w:cs="Times New Roman"/>
          <w:sz w:val="22"/>
          <w:szCs w:val="22"/>
        </w:rPr>
      </w:pPr>
    </w:p>
    <w:p w14:paraId="0317EE15" w14:textId="5867D836" w:rsidR="00BB43A9" w:rsidRPr="00CF565F" w:rsidRDefault="00B42815" w:rsidP="00295554">
      <w:pPr>
        <w:pStyle w:val="Text"/>
        <w:spacing w:before="240"/>
        <w:rPr>
          <w:b/>
        </w:rPr>
      </w:pPr>
      <w:r w:rsidRPr="00CF565F">
        <w:rPr>
          <w:b/>
        </w:rPr>
        <w:lastRenderedPageBreak/>
        <w:t>Table</w:t>
      </w:r>
      <w:r w:rsidR="009023ED">
        <w:rPr>
          <w:b/>
        </w:rPr>
        <w:t xml:space="preserve"> 1. </w:t>
      </w:r>
      <w:r w:rsidR="009023ED" w:rsidRPr="00256091">
        <w:t>Patient characteristics</w:t>
      </w:r>
      <w:r w:rsidR="00733AA4">
        <w:t>.</w:t>
      </w:r>
    </w:p>
    <w:tbl>
      <w:tblPr>
        <w:tblStyle w:val="table"/>
        <w:tblW w:w="5000" w:type="pct"/>
        <w:tblLook w:val="04A0" w:firstRow="1" w:lastRow="0" w:firstColumn="1" w:lastColumn="0" w:noHBand="0" w:noVBand="1"/>
      </w:tblPr>
      <w:tblGrid>
        <w:gridCol w:w="2895"/>
        <w:gridCol w:w="256"/>
        <w:gridCol w:w="1299"/>
      </w:tblGrid>
      <w:tr w:rsidR="00FC12E9" w:rsidRPr="00256091" w14:paraId="7D9299F8" w14:textId="77777777" w:rsidTr="0023114C">
        <w:trPr>
          <w:cnfStyle w:val="100000000000" w:firstRow="1" w:lastRow="0" w:firstColumn="0" w:lastColumn="0" w:oddVBand="0" w:evenVBand="0" w:oddHBand="0" w:evenHBand="0" w:firstRowFirstColumn="0" w:firstRowLastColumn="0" w:lastRowFirstColumn="0" w:lastRowLastColumn="0"/>
          <w:trHeight w:val="60"/>
        </w:trPr>
        <w:tc>
          <w:tcPr>
            <w:tcW w:w="3252" w:type="pct"/>
          </w:tcPr>
          <w:p w14:paraId="4815442A" w14:textId="095A4C25" w:rsidR="00BB43A9" w:rsidRPr="00256091" w:rsidRDefault="00BB43A9" w:rsidP="007116DB">
            <w:pPr>
              <w:pStyle w:val="bang"/>
              <w:jc w:val="right"/>
              <w:rPr>
                <w:b/>
                <w:sz w:val="22"/>
                <w:lang w:val="de-DE"/>
              </w:rPr>
            </w:pPr>
          </w:p>
        </w:tc>
        <w:tc>
          <w:tcPr>
            <w:tcW w:w="288" w:type="pct"/>
          </w:tcPr>
          <w:p w14:paraId="72E4E35D" w14:textId="6827D4EC" w:rsidR="00BB43A9" w:rsidRPr="00256091" w:rsidRDefault="00BB43A9" w:rsidP="007116DB">
            <w:pPr>
              <w:pStyle w:val="bang"/>
              <w:jc w:val="right"/>
              <w:rPr>
                <w:b/>
                <w:sz w:val="22"/>
                <w:lang w:val="de-DE"/>
              </w:rPr>
            </w:pPr>
          </w:p>
        </w:tc>
        <w:tc>
          <w:tcPr>
            <w:tcW w:w="1460" w:type="pct"/>
          </w:tcPr>
          <w:p w14:paraId="51F34B0A" w14:textId="14558507" w:rsidR="00BB43A9" w:rsidRPr="00256091" w:rsidRDefault="009023ED" w:rsidP="007116DB">
            <w:pPr>
              <w:pStyle w:val="bang"/>
              <w:jc w:val="right"/>
              <w:rPr>
                <w:b/>
                <w:sz w:val="22"/>
                <w:vertAlign w:val="subscript"/>
                <w:lang w:val="de-DE"/>
              </w:rPr>
            </w:pPr>
            <w:r w:rsidRPr="00256091">
              <w:rPr>
                <w:b/>
                <w:sz w:val="22"/>
                <w:lang w:val="de-DE"/>
              </w:rPr>
              <w:t>N=468</w:t>
            </w:r>
            <w:r w:rsidR="0025044B" w:rsidRPr="00256091">
              <w:rPr>
                <w:b/>
                <w:sz w:val="22"/>
                <w:lang w:val="de-DE"/>
              </w:rPr>
              <w:t xml:space="preserve"> (%)</w:t>
            </w:r>
          </w:p>
        </w:tc>
      </w:tr>
      <w:tr w:rsidR="00FC12E9" w:rsidRPr="00256091" w14:paraId="251BFF84" w14:textId="77777777" w:rsidTr="0023114C">
        <w:trPr>
          <w:trHeight w:val="80"/>
        </w:trPr>
        <w:tc>
          <w:tcPr>
            <w:tcW w:w="3252" w:type="pct"/>
          </w:tcPr>
          <w:p w14:paraId="7C29A90A" w14:textId="38123F30" w:rsidR="00ED6684" w:rsidRPr="00256091" w:rsidRDefault="00ED6684" w:rsidP="00275E6B">
            <w:pPr>
              <w:pStyle w:val="bang"/>
              <w:jc w:val="left"/>
              <w:rPr>
                <w:b/>
                <w:sz w:val="22"/>
                <w:lang w:val="de-DE"/>
              </w:rPr>
            </w:pPr>
            <w:r w:rsidRPr="00256091">
              <w:rPr>
                <w:b/>
                <w:sz w:val="22"/>
                <w:lang w:val="de-DE"/>
              </w:rPr>
              <w:t>Gender</w:t>
            </w:r>
          </w:p>
        </w:tc>
        <w:tc>
          <w:tcPr>
            <w:tcW w:w="288" w:type="pct"/>
          </w:tcPr>
          <w:p w14:paraId="6546DED7" w14:textId="673F1D3F" w:rsidR="00BB43A9" w:rsidRPr="00256091" w:rsidRDefault="00BB43A9" w:rsidP="00BB43A9">
            <w:pPr>
              <w:pStyle w:val="bang"/>
              <w:jc w:val="left"/>
              <w:rPr>
                <w:b/>
                <w:i/>
                <w:sz w:val="22"/>
                <w:lang w:val="de-DE"/>
              </w:rPr>
            </w:pPr>
          </w:p>
        </w:tc>
        <w:tc>
          <w:tcPr>
            <w:tcW w:w="1460" w:type="pct"/>
          </w:tcPr>
          <w:p w14:paraId="6ADFC1D5" w14:textId="2A01088F" w:rsidR="00BB43A9" w:rsidRPr="00256091" w:rsidRDefault="00BB43A9" w:rsidP="00F63FB5">
            <w:pPr>
              <w:pStyle w:val="bang"/>
              <w:jc w:val="left"/>
              <w:rPr>
                <w:b/>
                <w:sz w:val="22"/>
                <w:lang w:val="de-DE"/>
              </w:rPr>
            </w:pPr>
          </w:p>
        </w:tc>
      </w:tr>
      <w:tr w:rsidR="00FC12E9" w:rsidRPr="00256091" w14:paraId="6D5E1819" w14:textId="77777777" w:rsidTr="0023114C">
        <w:trPr>
          <w:trHeight w:val="80"/>
        </w:trPr>
        <w:tc>
          <w:tcPr>
            <w:tcW w:w="3252" w:type="pct"/>
          </w:tcPr>
          <w:p w14:paraId="3E263D99" w14:textId="01B689BB" w:rsidR="00BB43A9" w:rsidRPr="00256091" w:rsidRDefault="00ED6684" w:rsidP="004E2774">
            <w:pPr>
              <w:pStyle w:val="bang"/>
              <w:rPr>
                <w:sz w:val="22"/>
                <w:lang w:val="de-DE"/>
              </w:rPr>
            </w:pPr>
            <w:r w:rsidRPr="00256091">
              <w:rPr>
                <w:sz w:val="22"/>
                <w:lang w:val="de-DE"/>
              </w:rPr>
              <w:t>Females</w:t>
            </w:r>
          </w:p>
        </w:tc>
        <w:tc>
          <w:tcPr>
            <w:tcW w:w="288" w:type="pct"/>
          </w:tcPr>
          <w:p w14:paraId="5C15FDD5" w14:textId="21653390" w:rsidR="00BB43A9" w:rsidRPr="00256091" w:rsidRDefault="00BB43A9" w:rsidP="00567CB4">
            <w:pPr>
              <w:pStyle w:val="bang"/>
              <w:jc w:val="left"/>
              <w:rPr>
                <w:b/>
                <w:i/>
                <w:sz w:val="22"/>
                <w:lang w:val="de-DE"/>
              </w:rPr>
            </w:pPr>
          </w:p>
        </w:tc>
        <w:tc>
          <w:tcPr>
            <w:tcW w:w="1460" w:type="pct"/>
          </w:tcPr>
          <w:p w14:paraId="52B7B9C2" w14:textId="3A7B67AF" w:rsidR="00BB43A9" w:rsidRPr="00256091" w:rsidRDefault="004E2774" w:rsidP="00FC12E9">
            <w:pPr>
              <w:pStyle w:val="bang"/>
              <w:jc w:val="right"/>
              <w:rPr>
                <w:sz w:val="22"/>
                <w:lang w:val="de-DE"/>
              </w:rPr>
            </w:pPr>
            <w:r w:rsidRPr="00256091">
              <w:rPr>
                <w:sz w:val="22"/>
                <w:lang w:val="de-DE"/>
              </w:rPr>
              <w:t>229 (48.9)</w:t>
            </w:r>
          </w:p>
        </w:tc>
      </w:tr>
      <w:tr w:rsidR="00FC12E9" w:rsidRPr="00256091" w14:paraId="0C1E47AB" w14:textId="77777777" w:rsidTr="0023114C">
        <w:trPr>
          <w:trHeight w:val="80"/>
        </w:trPr>
        <w:tc>
          <w:tcPr>
            <w:tcW w:w="3252" w:type="pct"/>
          </w:tcPr>
          <w:p w14:paraId="785FB189" w14:textId="16DDE1FA" w:rsidR="00ED6684" w:rsidRPr="00256091" w:rsidRDefault="00ED6684" w:rsidP="003B7BE5">
            <w:pPr>
              <w:pStyle w:val="bang"/>
              <w:rPr>
                <w:sz w:val="22"/>
                <w:lang w:val="de-DE"/>
              </w:rPr>
            </w:pPr>
            <w:r w:rsidRPr="00256091">
              <w:rPr>
                <w:sz w:val="22"/>
                <w:lang w:val="de-DE"/>
              </w:rPr>
              <w:t>Males</w:t>
            </w:r>
          </w:p>
        </w:tc>
        <w:tc>
          <w:tcPr>
            <w:tcW w:w="288" w:type="pct"/>
          </w:tcPr>
          <w:p w14:paraId="0A2AD49A" w14:textId="77777777" w:rsidR="00ED6684" w:rsidRPr="00256091" w:rsidRDefault="00ED6684" w:rsidP="00567CB4">
            <w:pPr>
              <w:pStyle w:val="bang"/>
              <w:jc w:val="left"/>
              <w:rPr>
                <w:b/>
                <w:i/>
                <w:sz w:val="22"/>
                <w:lang w:val="de-DE"/>
              </w:rPr>
            </w:pPr>
          </w:p>
        </w:tc>
        <w:tc>
          <w:tcPr>
            <w:tcW w:w="1460" w:type="pct"/>
          </w:tcPr>
          <w:p w14:paraId="282AC6ED" w14:textId="2B457C51" w:rsidR="00ED6684" w:rsidRPr="00256091" w:rsidRDefault="004E2774" w:rsidP="00FC12E9">
            <w:pPr>
              <w:pStyle w:val="bang"/>
              <w:jc w:val="right"/>
              <w:rPr>
                <w:sz w:val="22"/>
                <w:lang w:val="de-DE"/>
              </w:rPr>
            </w:pPr>
            <w:r w:rsidRPr="00256091">
              <w:rPr>
                <w:sz w:val="22"/>
                <w:lang w:val="de-DE"/>
              </w:rPr>
              <w:t>239 (51.1)</w:t>
            </w:r>
          </w:p>
        </w:tc>
      </w:tr>
      <w:tr w:rsidR="00FC12E9" w:rsidRPr="00256091" w14:paraId="31CDF51A" w14:textId="77777777" w:rsidTr="0023114C">
        <w:trPr>
          <w:trHeight w:val="80"/>
        </w:trPr>
        <w:tc>
          <w:tcPr>
            <w:tcW w:w="3252" w:type="pct"/>
          </w:tcPr>
          <w:p w14:paraId="00B02F3C" w14:textId="68DF68AB" w:rsidR="00ED6684" w:rsidRPr="00256091" w:rsidRDefault="00ED6684" w:rsidP="00275E6B">
            <w:pPr>
              <w:pStyle w:val="bang"/>
              <w:jc w:val="left"/>
              <w:rPr>
                <w:b/>
                <w:sz w:val="22"/>
                <w:lang w:val="de-DE"/>
              </w:rPr>
            </w:pPr>
            <w:r w:rsidRPr="00256091">
              <w:rPr>
                <w:b/>
                <w:sz w:val="22"/>
                <w:lang w:val="de-DE"/>
              </w:rPr>
              <w:t>Age (years)</w:t>
            </w:r>
          </w:p>
        </w:tc>
        <w:tc>
          <w:tcPr>
            <w:tcW w:w="288" w:type="pct"/>
          </w:tcPr>
          <w:p w14:paraId="0210C88C" w14:textId="77777777" w:rsidR="00ED6684" w:rsidRPr="00256091" w:rsidRDefault="00ED6684" w:rsidP="00567CB4">
            <w:pPr>
              <w:pStyle w:val="bang"/>
              <w:jc w:val="left"/>
              <w:rPr>
                <w:b/>
                <w:i/>
                <w:sz w:val="22"/>
                <w:lang w:val="de-DE"/>
              </w:rPr>
            </w:pPr>
          </w:p>
        </w:tc>
        <w:tc>
          <w:tcPr>
            <w:tcW w:w="1460" w:type="pct"/>
          </w:tcPr>
          <w:p w14:paraId="58EA5BBB" w14:textId="5905EB40" w:rsidR="00ED6684" w:rsidRPr="00256091" w:rsidRDefault="00ED6684" w:rsidP="00FC12E9">
            <w:pPr>
              <w:pStyle w:val="bang"/>
              <w:jc w:val="right"/>
              <w:rPr>
                <w:sz w:val="22"/>
                <w:lang w:val="de-DE"/>
              </w:rPr>
            </w:pPr>
          </w:p>
        </w:tc>
      </w:tr>
      <w:tr w:rsidR="00FC12E9" w:rsidRPr="00256091" w14:paraId="3FDE220D" w14:textId="77777777" w:rsidTr="0023114C">
        <w:trPr>
          <w:trHeight w:val="273"/>
        </w:trPr>
        <w:tc>
          <w:tcPr>
            <w:tcW w:w="3252" w:type="pct"/>
          </w:tcPr>
          <w:p w14:paraId="6D7EF8E0" w14:textId="0E4724AF" w:rsidR="004E2774" w:rsidRPr="00256091" w:rsidRDefault="004E2774" w:rsidP="003B7BE5">
            <w:pPr>
              <w:pStyle w:val="bang"/>
              <w:jc w:val="left"/>
              <w:rPr>
                <w:sz w:val="22"/>
                <w:lang w:val="de-DE"/>
              </w:rPr>
            </w:pPr>
            <m:oMath>
              <m:r>
                <w:rPr>
                  <w:rFonts w:ascii="Cambria Math" w:hAnsi="Cambria Math"/>
                  <w:sz w:val="22"/>
                  <w:lang w:val="de-DE"/>
                </w:rPr>
                <m:t>≤</m:t>
              </m:r>
            </m:oMath>
            <w:r w:rsidRPr="00256091">
              <w:rPr>
                <w:sz w:val="22"/>
                <w:lang w:val="de-DE"/>
              </w:rPr>
              <w:t xml:space="preserve"> 40</w:t>
            </w:r>
          </w:p>
        </w:tc>
        <w:tc>
          <w:tcPr>
            <w:tcW w:w="288" w:type="pct"/>
          </w:tcPr>
          <w:p w14:paraId="3B1EA54F" w14:textId="77777777" w:rsidR="004E2774" w:rsidRPr="00256091" w:rsidRDefault="004E2774" w:rsidP="00567CB4">
            <w:pPr>
              <w:pStyle w:val="bang"/>
              <w:jc w:val="left"/>
              <w:rPr>
                <w:b/>
                <w:i/>
                <w:sz w:val="22"/>
                <w:lang w:val="de-DE"/>
              </w:rPr>
            </w:pPr>
          </w:p>
        </w:tc>
        <w:tc>
          <w:tcPr>
            <w:tcW w:w="1460" w:type="pct"/>
          </w:tcPr>
          <w:p w14:paraId="21B88BF6" w14:textId="26E72748" w:rsidR="004E2774" w:rsidRPr="00256091" w:rsidRDefault="004E2774" w:rsidP="00FC12E9">
            <w:pPr>
              <w:pStyle w:val="bang"/>
              <w:jc w:val="right"/>
              <w:rPr>
                <w:sz w:val="22"/>
                <w:lang w:val="de-DE"/>
              </w:rPr>
            </w:pPr>
            <w:r w:rsidRPr="00256091">
              <w:rPr>
                <w:sz w:val="22"/>
                <w:lang w:val="de-DE"/>
              </w:rPr>
              <w:t>14 (3</w:t>
            </w:r>
            <w:r w:rsidR="00C54A7F" w:rsidRPr="00256091">
              <w:rPr>
                <w:sz w:val="22"/>
                <w:lang w:val="de-DE"/>
              </w:rPr>
              <w:t>.00</w:t>
            </w:r>
            <w:r w:rsidRPr="00256091">
              <w:rPr>
                <w:sz w:val="22"/>
                <w:lang w:val="de-DE"/>
              </w:rPr>
              <w:t>)</w:t>
            </w:r>
          </w:p>
        </w:tc>
      </w:tr>
      <w:tr w:rsidR="00FC12E9" w:rsidRPr="00256091" w14:paraId="0EAB94B6" w14:textId="77777777" w:rsidTr="0023114C">
        <w:trPr>
          <w:trHeight w:val="80"/>
        </w:trPr>
        <w:tc>
          <w:tcPr>
            <w:tcW w:w="3252" w:type="pct"/>
          </w:tcPr>
          <w:p w14:paraId="47CD23B7" w14:textId="5BAAF90C" w:rsidR="004E2774" w:rsidRPr="00256091" w:rsidRDefault="004E2774" w:rsidP="00275E6B">
            <w:pPr>
              <w:pStyle w:val="bang"/>
              <w:jc w:val="left"/>
              <w:rPr>
                <w:sz w:val="22"/>
                <w:lang w:val="de-DE"/>
              </w:rPr>
            </w:pPr>
            <w:r w:rsidRPr="00256091">
              <w:rPr>
                <w:sz w:val="22"/>
                <w:lang w:val="de-DE"/>
              </w:rPr>
              <w:t>41-60</w:t>
            </w:r>
          </w:p>
        </w:tc>
        <w:tc>
          <w:tcPr>
            <w:tcW w:w="288" w:type="pct"/>
          </w:tcPr>
          <w:p w14:paraId="23DFF8E7" w14:textId="77777777" w:rsidR="004E2774" w:rsidRPr="00256091" w:rsidRDefault="004E2774" w:rsidP="00567CB4">
            <w:pPr>
              <w:pStyle w:val="bang"/>
              <w:jc w:val="left"/>
              <w:rPr>
                <w:b/>
                <w:i/>
                <w:sz w:val="22"/>
                <w:lang w:val="de-DE"/>
              </w:rPr>
            </w:pPr>
          </w:p>
        </w:tc>
        <w:tc>
          <w:tcPr>
            <w:tcW w:w="1460" w:type="pct"/>
          </w:tcPr>
          <w:p w14:paraId="625C6C17" w14:textId="242E8AD5" w:rsidR="004E2774" w:rsidRPr="00256091" w:rsidRDefault="004E2774" w:rsidP="00FC12E9">
            <w:pPr>
              <w:pStyle w:val="bang"/>
              <w:jc w:val="right"/>
              <w:rPr>
                <w:sz w:val="22"/>
                <w:lang w:val="de-DE"/>
              </w:rPr>
            </w:pPr>
            <w:r w:rsidRPr="00256091">
              <w:rPr>
                <w:sz w:val="22"/>
                <w:lang w:val="de-DE"/>
              </w:rPr>
              <w:t>156 (33.3)</w:t>
            </w:r>
          </w:p>
        </w:tc>
      </w:tr>
      <w:tr w:rsidR="00FC12E9" w:rsidRPr="00256091" w14:paraId="1E1EA31E" w14:textId="77777777" w:rsidTr="0023114C">
        <w:trPr>
          <w:trHeight w:val="263"/>
        </w:trPr>
        <w:tc>
          <w:tcPr>
            <w:tcW w:w="3252" w:type="pct"/>
          </w:tcPr>
          <w:p w14:paraId="4AF0BC80" w14:textId="56B362B0" w:rsidR="004E2774" w:rsidRPr="00256091" w:rsidRDefault="004E2774" w:rsidP="003B7BE5">
            <w:pPr>
              <w:pStyle w:val="bang"/>
              <w:jc w:val="left"/>
              <w:rPr>
                <w:sz w:val="22"/>
                <w:lang w:val="de-DE"/>
              </w:rPr>
            </w:pPr>
            <m:oMath>
              <m:r>
                <w:rPr>
                  <w:rFonts w:ascii="Cambria Math" w:hAnsi="Cambria Math"/>
                  <w:sz w:val="22"/>
                  <w:lang w:val="de-DE"/>
                </w:rPr>
                <m:t>≥</m:t>
              </m:r>
            </m:oMath>
            <w:r w:rsidRPr="00256091">
              <w:rPr>
                <w:sz w:val="22"/>
                <w:lang w:val="de-DE"/>
              </w:rPr>
              <w:t xml:space="preserve"> 60</w:t>
            </w:r>
          </w:p>
        </w:tc>
        <w:tc>
          <w:tcPr>
            <w:tcW w:w="288" w:type="pct"/>
          </w:tcPr>
          <w:p w14:paraId="107C4CD9" w14:textId="77777777" w:rsidR="004E2774" w:rsidRPr="00256091" w:rsidRDefault="004E2774" w:rsidP="00567CB4">
            <w:pPr>
              <w:pStyle w:val="bang"/>
              <w:jc w:val="left"/>
              <w:rPr>
                <w:b/>
                <w:i/>
                <w:sz w:val="22"/>
                <w:lang w:val="de-DE"/>
              </w:rPr>
            </w:pPr>
          </w:p>
        </w:tc>
        <w:tc>
          <w:tcPr>
            <w:tcW w:w="1460" w:type="pct"/>
          </w:tcPr>
          <w:p w14:paraId="0B9CEC37" w14:textId="3C029AD5" w:rsidR="004E2774" w:rsidRPr="00256091" w:rsidRDefault="00C54A7F" w:rsidP="00FC12E9">
            <w:pPr>
              <w:pStyle w:val="bang"/>
              <w:jc w:val="right"/>
              <w:rPr>
                <w:sz w:val="22"/>
                <w:lang w:val="de-DE"/>
              </w:rPr>
            </w:pPr>
            <w:r w:rsidRPr="00256091">
              <w:rPr>
                <w:sz w:val="22"/>
                <w:lang w:val="de-DE"/>
              </w:rPr>
              <w:t>298 (63.7</w:t>
            </w:r>
            <w:r w:rsidR="004E2774" w:rsidRPr="00256091">
              <w:rPr>
                <w:sz w:val="22"/>
                <w:lang w:val="de-DE"/>
              </w:rPr>
              <w:t>)</w:t>
            </w:r>
          </w:p>
        </w:tc>
      </w:tr>
      <w:tr w:rsidR="00FC12E9" w:rsidRPr="00256091" w14:paraId="42AFEC62" w14:textId="77777777" w:rsidTr="0023114C">
        <w:trPr>
          <w:trHeight w:val="263"/>
        </w:trPr>
        <w:tc>
          <w:tcPr>
            <w:tcW w:w="3252" w:type="pct"/>
          </w:tcPr>
          <w:p w14:paraId="54D8A762" w14:textId="2F6AC856" w:rsidR="004E2774" w:rsidRPr="00256091" w:rsidRDefault="004E2774" w:rsidP="004E2774">
            <w:pPr>
              <w:pStyle w:val="bang"/>
              <w:jc w:val="left"/>
              <w:rPr>
                <w:sz w:val="22"/>
                <w:lang w:val="de-DE"/>
              </w:rPr>
            </w:pPr>
            <w:r w:rsidRPr="00256091">
              <w:rPr>
                <w:sz w:val="22"/>
                <w:lang w:val="de-DE"/>
              </w:rPr>
              <w:t xml:space="preserve">Mean </w:t>
            </w:r>
            <m:oMath>
              <m:r>
                <w:rPr>
                  <w:rFonts w:ascii="Cambria Math" w:hAnsi="Cambria Math"/>
                  <w:sz w:val="22"/>
                  <w:lang w:val="de-DE"/>
                </w:rPr>
                <m:t>±</m:t>
              </m:r>
            </m:oMath>
            <w:r w:rsidRPr="00256091">
              <w:rPr>
                <w:sz w:val="22"/>
                <w:lang w:val="de-DE"/>
              </w:rPr>
              <w:t xml:space="preserve"> SD</w:t>
            </w:r>
          </w:p>
        </w:tc>
        <w:tc>
          <w:tcPr>
            <w:tcW w:w="288" w:type="pct"/>
          </w:tcPr>
          <w:p w14:paraId="169A3E2F" w14:textId="77777777" w:rsidR="004E2774" w:rsidRPr="00256091" w:rsidRDefault="004E2774" w:rsidP="00567CB4">
            <w:pPr>
              <w:pStyle w:val="bang"/>
              <w:jc w:val="left"/>
              <w:rPr>
                <w:b/>
                <w:i/>
                <w:sz w:val="22"/>
                <w:lang w:val="de-DE"/>
              </w:rPr>
            </w:pPr>
          </w:p>
        </w:tc>
        <w:tc>
          <w:tcPr>
            <w:tcW w:w="1460" w:type="pct"/>
          </w:tcPr>
          <w:p w14:paraId="365053E9" w14:textId="65524424" w:rsidR="004E2774" w:rsidRPr="00256091" w:rsidRDefault="00C54A7F" w:rsidP="00FC12E9">
            <w:pPr>
              <w:pStyle w:val="bang"/>
              <w:jc w:val="right"/>
              <w:rPr>
                <w:b/>
                <w:sz w:val="22"/>
                <w:lang w:val="de-DE"/>
              </w:rPr>
            </w:pPr>
            <w:r w:rsidRPr="00256091">
              <w:rPr>
                <w:sz w:val="22"/>
                <w:lang w:val="de-DE"/>
              </w:rPr>
              <w:t>64.5</w:t>
            </w:r>
            <w:r w:rsidR="00132F25" w:rsidRPr="00256091">
              <w:rPr>
                <w:b/>
                <w:sz w:val="22"/>
                <w:lang w:val="de-DE"/>
              </w:rPr>
              <w:t xml:space="preserve"> </w:t>
            </w:r>
            <m:oMath>
              <m:r>
                <w:rPr>
                  <w:rFonts w:ascii="Cambria Math" w:hAnsi="Cambria Math"/>
                  <w:sz w:val="22"/>
                  <w:lang w:val="de-DE"/>
                </w:rPr>
                <m:t xml:space="preserve">± </m:t>
              </m:r>
            </m:oMath>
            <w:r w:rsidR="00132F25" w:rsidRPr="00256091">
              <w:rPr>
                <w:sz w:val="22"/>
                <w:lang w:val="de-DE"/>
              </w:rPr>
              <w:t>12</w:t>
            </w:r>
            <w:r w:rsidRPr="00256091">
              <w:rPr>
                <w:sz w:val="22"/>
                <w:lang w:val="de-DE"/>
              </w:rPr>
              <w:t>.0</w:t>
            </w:r>
          </w:p>
        </w:tc>
      </w:tr>
      <w:tr w:rsidR="00FC12E9" w:rsidRPr="00256091" w14:paraId="5D95E54B" w14:textId="77777777" w:rsidTr="0023114C">
        <w:trPr>
          <w:trHeight w:val="80"/>
        </w:trPr>
        <w:tc>
          <w:tcPr>
            <w:tcW w:w="3252" w:type="pct"/>
          </w:tcPr>
          <w:p w14:paraId="18648507" w14:textId="7A89EAFC" w:rsidR="004E2774" w:rsidRPr="00256091" w:rsidRDefault="004E2774" w:rsidP="00275E6B">
            <w:pPr>
              <w:pStyle w:val="bang"/>
              <w:jc w:val="left"/>
              <w:rPr>
                <w:b/>
                <w:sz w:val="22"/>
                <w:lang w:val="de-DE"/>
              </w:rPr>
            </w:pPr>
            <w:r w:rsidRPr="00256091">
              <w:rPr>
                <w:b/>
                <w:sz w:val="22"/>
                <w:lang w:val="de-DE"/>
              </w:rPr>
              <w:t>Types of cardiovascular disease</w:t>
            </w:r>
            <w:r w:rsidR="000A71D9" w:rsidRPr="00256091">
              <w:rPr>
                <w:b/>
                <w:sz w:val="22"/>
                <w:lang w:val="de-DE"/>
              </w:rPr>
              <w:t>s</w:t>
            </w:r>
          </w:p>
        </w:tc>
        <w:tc>
          <w:tcPr>
            <w:tcW w:w="288" w:type="pct"/>
          </w:tcPr>
          <w:p w14:paraId="635009D3" w14:textId="77777777" w:rsidR="004E2774" w:rsidRPr="00256091" w:rsidRDefault="004E2774" w:rsidP="00567CB4">
            <w:pPr>
              <w:pStyle w:val="bang"/>
              <w:jc w:val="left"/>
              <w:rPr>
                <w:b/>
                <w:i/>
                <w:sz w:val="22"/>
                <w:lang w:val="de-DE"/>
              </w:rPr>
            </w:pPr>
          </w:p>
        </w:tc>
        <w:tc>
          <w:tcPr>
            <w:tcW w:w="1460" w:type="pct"/>
          </w:tcPr>
          <w:p w14:paraId="1095CAE8" w14:textId="77777777" w:rsidR="004E2774" w:rsidRPr="00256091" w:rsidRDefault="004E2774" w:rsidP="00FC12E9">
            <w:pPr>
              <w:pStyle w:val="bang"/>
              <w:jc w:val="right"/>
              <w:rPr>
                <w:b/>
                <w:sz w:val="22"/>
                <w:lang w:val="de-DE"/>
              </w:rPr>
            </w:pPr>
          </w:p>
        </w:tc>
      </w:tr>
      <w:tr w:rsidR="00FC12E9" w:rsidRPr="00256091" w14:paraId="5FDBEE7A" w14:textId="77777777" w:rsidTr="0023114C">
        <w:trPr>
          <w:trHeight w:val="80"/>
        </w:trPr>
        <w:tc>
          <w:tcPr>
            <w:tcW w:w="3252" w:type="pct"/>
          </w:tcPr>
          <w:p w14:paraId="1849B2E9" w14:textId="19C37B2C" w:rsidR="004E2774" w:rsidRPr="00256091" w:rsidRDefault="004E2774" w:rsidP="00275E6B">
            <w:pPr>
              <w:pStyle w:val="bang"/>
              <w:jc w:val="left"/>
              <w:rPr>
                <w:sz w:val="22"/>
                <w:lang w:val="de-DE"/>
              </w:rPr>
            </w:pPr>
            <w:r w:rsidRPr="00256091">
              <w:rPr>
                <w:sz w:val="22"/>
                <w:lang w:val="de-DE"/>
              </w:rPr>
              <w:t>Hypertension</w:t>
            </w:r>
          </w:p>
        </w:tc>
        <w:tc>
          <w:tcPr>
            <w:tcW w:w="288" w:type="pct"/>
          </w:tcPr>
          <w:p w14:paraId="5E614532" w14:textId="77777777" w:rsidR="004E2774" w:rsidRPr="00256091" w:rsidRDefault="004E2774" w:rsidP="00567CB4">
            <w:pPr>
              <w:pStyle w:val="bang"/>
              <w:jc w:val="left"/>
              <w:rPr>
                <w:b/>
                <w:i/>
                <w:sz w:val="22"/>
                <w:lang w:val="de-DE"/>
              </w:rPr>
            </w:pPr>
          </w:p>
        </w:tc>
        <w:tc>
          <w:tcPr>
            <w:tcW w:w="1460" w:type="pct"/>
          </w:tcPr>
          <w:p w14:paraId="54A883FA" w14:textId="70210169" w:rsidR="004E2774" w:rsidRPr="00256091" w:rsidRDefault="004E2774" w:rsidP="00FC12E9">
            <w:pPr>
              <w:pStyle w:val="bang"/>
              <w:jc w:val="right"/>
              <w:rPr>
                <w:sz w:val="22"/>
                <w:lang w:val="de-DE"/>
              </w:rPr>
            </w:pPr>
            <w:r w:rsidRPr="00256091">
              <w:rPr>
                <w:sz w:val="22"/>
                <w:lang w:val="de-DE"/>
              </w:rPr>
              <w:t>409</w:t>
            </w:r>
            <w:r w:rsidR="00C54A7F" w:rsidRPr="00256091">
              <w:rPr>
                <w:sz w:val="22"/>
                <w:lang w:val="de-DE"/>
              </w:rPr>
              <w:t xml:space="preserve"> (87.4</w:t>
            </w:r>
            <w:r w:rsidRPr="00256091">
              <w:rPr>
                <w:sz w:val="22"/>
                <w:lang w:val="de-DE"/>
              </w:rPr>
              <w:t>)</w:t>
            </w:r>
          </w:p>
        </w:tc>
      </w:tr>
      <w:tr w:rsidR="00FC12E9" w:rsidRPr="00256091" w14:paraId="59DDFD3F" w14:textId="77777777" w:rsidTr="0023114C">
        <w:trPr>
          <w:trHeight w:val="80"/>
        </w:trPr>
        <w:tc>
          <w:tcPr>
            <w:tcW w:w="3252" w:type="pct"/>
          </w:tcPr>
          <w:p w14:paraId="1358A44D" w14:textId="47A4AB74" w:rsidR="004E2774" w:rsidRPr="00256091" w:rsidRDefault="004E2774" w:rsidP="00275E6B">
            <w:pPr>
              <w:pStyle w:val="bang"/>
              <w:jc w:val="left"/>
              <w:rPr>
                <w:sz w:val="22"/>
                <w:lang w:val="de-DE"/>
              </w:rPr>
            </w:pPr>
            <w:r w:rsidRPr="00256091">
              <w:rPr>
                <w:sz w:val="22"/>
                <w:lang w:val="de-DE"/>
              </w:rPr>
              <w:t>Dyslipidemia</w:t>
            </w:r>
          </w:p>
        </w:tc>
        <w:tc>
          <w:tcPr>
            <w:tcW w:w="288" w:type="pct"/>
          </w:tcPr>
          <w:p w14:paraId="4AA3D99E" w14:textId="77777777" w:rsidR="004E2774" w:rsidRPr="00256091" w:rsidRDefault="004E2774" w:rsidP="00567CB4">
            <w:pPr>
              <w:pStyle w:val="bang"/>
              <w:jc w:val="left"/>
              <w:rPr>
                <w:b/>
                <w:i/>
                <w:sz w:val="22"/>
                <w:lang w:val="de-DE"/>
              </w:rPr>
            </w:pPr>
          </w:p>
        </w:tc>
        <w:tc>
          <w:tcPr>
            <w:tcW w:w="1460" w:type="pct"/>
          </w:tcPr>
          <w:p w14:paraId="0AE04C5B" w14:textId="5B6787B3" w:rsidR="004E2774" w:rsidRPr="00256091" w:rsidRDefault="00C54A7F" w:rsidP="00FC12E9">
            <w:pPr>
              <w:pStyle w:val="bang"/>
              <w:jc w:val="right"/>
              <w:rPr>
                <w:sz w:val="22"/>
                <w:lang w:val="de-DE"/>
              </w:rPr>
            </w:pPr>
            <w:r w:rsidRPr="00256091">
              <w:rPr>
                <w:sz w:val="22"/>
                <w:lang w:val="de-DE"/>
              </w:rPr>
              <w:t>59 (12.6</w:t>
            </w:r>
            <w:r w:rsidR="004E2774" w:rsidRPr="00256091">
              <w:rPr>
                <w:sz w:val="22"/>
                <w:lang w:val="de-DE"/>
              </w:rPr>
              <w:t>)</w:t>
            </w:r>
          </w:p>
        </w:tc>
      </w:tr>
      <w:tr w:rsidR="00FC12E9" w:rsidRPr="00256091" w14:paraId="6C94BD62" w14:textId="77777777" w:rsidTr="0023114C">
        <w:trPr>
          <w:trHeight w:val="80"/>
        </w:trPr>
        <w:tc>
          <w:tcPr>
            <w:tcW w:w="3252" w:type="pct"/>
          </w:tcPr>
          <w:p w14:paraId="344950F3" w14:textId="0F5BE326" w:rsidR="004E2774" w:rsidRPr="00256091" w:rsidRDefault="004E2774" w:rsidP="00275E6B">
            <w:pPr>
              <w:pStyle w:val="bang"/>
              <w:jc w:val="left"/>
              <w:rPr>
                <w:sz w:val="22"/>
                <w:lang w:val="de-DE"/>
              </w:rPr>
            </w:pPr>
            <w:r w:rsidRPr="00256091">
              <w:rPr>
                <w:sz w:val="22"/>
                <w:lang w:val="de-DE"/>
              </w:rPr>
              <w:t>Angina pectoris</w:t>
            </w:r>
          </w:p>
        </w:tc>
        <w:tc>
          <w:tcPr>
            <w:tcW w:w="288" w:type="pct"/>
          </w:tcPr>
          <w:p w14:paraId="7BB345CD" w14:textId="77777777" w:rsidR="004E2774" w:rsidRPr="00256091" w:rsidRDefault="004E2774" w:rsidP="00567CB4">
            <w:pPr>
              <w:pStyle w:val="bang"/>
              <w:jc w:val="left"/>
              <w:rPr>
                <w:b/>
                <w:i/>
                <w:sz w:val="22"/>
                <w:lang w:val="de-DE"/>
              </w:rPr>
            </w:pPr>
          </w:p>
        </w:tc>
        <w:tc>
          <w:tcPr>
            <w:tcW w:w="1460" w:type="pct"/>
          </w:tcPr>
          <w:p w14:paraId="2789CD46" w14:textId="21E7366C" w:rsidR="004E2774" w:rsidRPr="00256091" w:rsidRDefault="000A71D9" w:rsidP="00FC12E9">
            <w:pPr>
              <w:pStyle w:val="bang"/>
              <w:jc w:val="right"/>
              <w:rPr>
                <w:sz w:val="22"/>
                <w:lang w:val="de-DE"/>
              </w:rPr>
            </w:pPr>
            <w:r w:rsidRPr="00256091">
              <w:rPr>
                <w:sz w:val="22"/>
                <w:lang w:val="de-DE"/>
              </w:rPr>
              <w:t>34 (7</w:t>
            </w:r>
            <w:r w:rsidR="004E2774" w:rsidRPr="00256091">
              <w:rPr>
                <w:sz w:val="22"/>
                <w:lang w:val="de-DE"/>
              </w:rPr>
              <w:t>.26)</w:t>
            </w:r>
          </w:p>
        </w:tc>
      </w:tr>
      <w:tr w:rsidR="00FC12E9" w:rsidRPr="00256091" w14:paraId="1EF6ECD4" w14:textId="77777777" w:rsidTr="0023114C">
        <w:trPr>
          <w:trHeight w:val="259"/>
        </w:trPr>
        <w:tc>
          <w:tcPr>
            <w:tcW w:w="3252" w:type="pct"/>
          </w:tcPr>
          <w:p w14:paraId="21325955" w14:textId="71EB262E" w:rsidR="004E2774" w:rsidRPr="00256091" w:rsidRDefault="004E2774" w:rsidP="00275E6B">
            <w:pPr>
              <w:pStyle w:val="bang"/>
              <w:jc w:val="left"/>
              <w:rPr>
                <w:sz w:val="22"/>
                <w:lang w:val="de-DE"/>
              </w:rPr>
            </w:pPr>
            <w:r w:rsidRPr="00256091">
              <w:rPr>
                <w:sz w:val="22"/>
                <w:lang w:val="de-DE"/>
              </w:rPr>
              <w:t>Cardiomyopathy</w:t>
            </w:r>
          </w:p>
        </w:tc>
        <w:tc>
          <w:tcPr>
            <w:tcW w:w="288" w:type="pct"/>
          </w:tcPr>
          <w:p w14:paraId="2399C7C1" w14:textId="77777777" w:rsidR="004E2774" w:rsidRPr="00256091" w:rsidRDefault="004E2774" w:rsidP="00567CB4">
            <w:pPr>
              <w:pStyle w:val="bang"/>
              <w:jc w:val="left"/>
              <w:rPr>
                <w:b/>
                <w:i/>
                <w:sz w:val="22"/>
                <w:lang w:val="de-DE"/>
              </w:rPr>
            </w:pPr>
          </w:p>
        </w:tc>
        <w:tc>
          <w:tcPr>
            <w:tcW w:w="1460" w:type="pct"/>
          </w:tcPr>
          <w:p w14:paraId="5D910197" w14:textId="59885890" w:rsidR="004E2774" w:rsidRPr="00256091" w:rsidRDefault="000A71D9" w:rsidP="00FC12E9">
            <w:pPr>
              <w:pStyle w:val="bang"/>
              <w:jc w:val="right"/>
              <w:rPr>
                <w:sz w:val="22"/>
                <w:lang w:val="de-DE"/>
              </w:rPr>
            </w:pPr>
            <w:r w:rsidRPr="00256091">
              <w:rPr>
                <w:sz w:val="22"/>
                <w:lang w:val="de-DE"/>
              </w:rPr>
              <w:t>31 (6.62</w:t>
            </w:r>
            <w:r w:rsidR="004E2774" w:rsidRPr="00256091">
              <w:rPr>
                <w:sz w:val="22"/>
                <w:lang w:val="de-DE"/>
              </w:rPr>
              <w:t>)</w:t>
            </w:r>
          </w:p>
        </w:tc>
      </w:tr>
      <w:tr w:rsidR="00FC12E9" w:rsidRPr="00256091" w14:paraId="05105A15" w14:textId="77777777" w:rsidTr="0023114C">
        <w:trPr>
          <w:trHeight w:val="80"/>
        </w:trPr>
        <w:tc>
          <w:tcPr>
            <w:tcW w:w="3252" w:type="pct"/>
          </w:tcPr>
          <w:p w14:paraId="01E834DF" w14:textId="7F0A3859" w:rsidR="004E2774" w:rsidRPr="00256091" w:rsidRDefault="004E2774" w:rsidP="00275E6B">
            <w:pPr>
              <w:pStyle w:val="bang"/>
              <w:jc w:val="left"/>
              <w:rPr>
                <w:sz w:val="22"/>
                <w:lang w:val="de-DE"/>
              </w:rPr>
            </w:pPr>
            <w:r w:rsidRPr="00256091">
              <w:rPr>
                <w:sz w:val="22"/>
                <w:lang w:val="de-DE"/>
              </w:rPr>
              <w:t xml:space="preserve">Old myocardial infarction </w:t>
            </w:r>
          </w:p>
        </w:tc>
        <w:tc>
          <w:tcPr>
            <w:tcW w:w="288" w:type="pct"/>
          </w:tcPr>
          <w:p w14:paraId="4440F6CC" w14:textId="77777777" w:rsidR="004E2774" w:rsidRPr="00256091" w:rsidRDefault="004E2774" w:rsidP="00567CB4">
            <w:pPr>
              <w:pStyle w:val="bang"/>
              <w:jc w:val="left"/>
              <w:rPr>
                <w:b/>
                <w:i/>
                <w:sz w:val="22"/>
                <w:lang w:val="de-DE"/>
              </w:rPr>
            </w:pPr>
          </w:p>
        </w:tc>
        <w:tc>
          <w:tcPr>
            <w:tcW w:w="1460" w:type="pct"/>
          </w:tcPr>
          <w:p w14:paraId="0B48DB43" w14:textId="33910DF0" w:rsidR="004E2774" w:rsidRPr="00256091" w:rsidRDefault="000A71D9" w:rsidP="00FC12E9">
            <w:pPr>
              <w:pStyle w:val="bang"/>
              <w:jc w:val="right"/>
              <w:rPr>
                <w:sz w:val="22"/>
                <w:lang w:val="de-DE"/>
              </w:rPr>
            </w:pPr>
            <w:r w:rsidRPr="00256091">
              <w:rPr>
                <w:sz w:val="22"/>
                <w:lang w:val="de-DE"/>
              </w:rPr>
              <w:t>8 (1.71</w:t>
            </w:r>
            <w:r w:rsidR="004E2774" w:rsidRPr="00256091">
              <w:rPr>
                <w:sz w:val="22"/>
                <w:lang w:val="de-DE"/>
              </w:rPr>
              <w:t>)</w:t>
            </w:r>
          </w:p>
        </w:tc>
      </w:tr>
      <w:tr w:rsidR="00FC12E9" w:rsidRPr="00256091" w14:paraId="016004B8" w14:textId="77777777" w:rsidTr="0023114C">
        <w:trPr>
          <w:trHeight w:val="80"/>
        </w:trPr>
        <w:tc>
          <w:tcPr>
            <w:tcW w:w="3252" w:type="pct"/>
          </w:tcPr>
          <w:p w14:paraId="5F5C88B5" w14:textId="4620A47E" w:rsidR="004E2774" w:rsidRPr="00256091" w:rsidRDefault="004E2774" w:rsidP="00275E6B">
            <w:pPr>
              <w:pStyle w:val="bang"/>
              <w:jc w:val="left"/>
              <w:rPr>
                <w:sz w:val="22"/>
                <w:lang w:val="de-DE"/>
              </w:rPr>
            </w:pPr>
            <w:r w:rsidRPr="00256091">
              <w:rPr>
                <w:sz w:val="22"/>
                <w:lang w:val="de-DE"/>
              </w:rPr>
              <w:t>Acute myocardial infarction</w:t>
            </w:r>
          </w:p>
        </w:tc>
        <w:tc>
          <w:tcPr>
            <w:tcW w:w="288" w:type="pct"/>
          </w:tcPr>
          <w:p w14:paraId="7BF5609E" w14:textId="77777777" w:rsidR="004E2774" w:rsidRPr="00256091" w:rsidRDefault="004E2774" w:rsidP="00567CB4">
            <w:pPr>
              <w:pStyle w:val="bang"/>
              <w:jc w:val="left"/>
              <w:rPr>
                <w:b/>
                <w:i/>
                <w:sz w:val="22"/>
                <w:lang w:val="de-DE"/>
              </w:rPr>
            </w:pPr>
          </w:p>
        </w:tc>
        <w:tc>
          <w:tcPr>
            <w:tcW w:w="1460" w:type="pct"/>
          </w:tcPr>
          <w:p w14:paraId="0F887793" w14:textId="025A3410" w:rsidR="004E2774" w:rsidRPr="00256091" w:rsidRDefault="000A71D9" w:rsidP="00FC12E9">
            <w:pPr>
              <w:pStyle w:val="bang"/>
              <w:jc w:val="right"/>
              <w:rPr>
                <w:sz w:val="22"/>
                <w:lang w:val="de-DE"/>
              </w:rPr>
            </w:pPr>
            <w:r w:rsidRPr="00256091">
              <w:rPr>
                <w:sz w:val="22"/>
                <w:lang w:val="de-DE"/>
              </w:rPr>
              <w:t>1 (0.21</w:t>
            </w:r>
            <w:r w:rsidR="004E2774" w:rsidRPr="00256091">
              <w:rPr>
                <w:sz w:val="22"/>
                <w:lang w:val="de-DE"/>
              </w:rPr>
              <w:t>)</w:t>
            </w:r>
          </w:p>
        </w:tc>
      </w:tr>
      <w:tr w:rsidR="00FC12E9" w:rsidRPr="00256091" w14:paraId="4257F1AA" w14:textId="77777777" w:rsidTr="0023114C">
        <w:trPr>
          <w:trHeight w:val="80"/>
        </w:trPr>
        <w:tc>
          <w:tcPr>
            <w:tcW w:w="3252" w:type="pct"/>
          </w:tcPr>
          <w:p w14:paraId="5BA1B0CD" w14:textId="5501F7BE" w:rsidR="004E2774" w:rsidRPr="00256091" w:rsidRDefault="004E2774" w:rsidP="00275E6B">
            <w:pPr>
              <w:pStyle w:val="bang"/>
              <w:jc w:val="left"/>
              <w:rPr>
                <w:sz w:val="22"/>
                <w:lang w:val="de-DE"/>
              </w:rPr>
            </w:pPr>
            <w:r w:rsidRPr="00256091">
              <w:rPr>
                <w:sz w:val="22"/>
                <w:lang w:val="de-DE"/>
              </w:rPr>
              <w:t>Heart failure</w:t>
            </w:r>
          </w:p>
        </w:tc>
        <w:tc>
          <w:tcPr>
            <w:tcW w:w="288" w:type="pct"/>
          </w:tcPr>
          <w:p w14:paraId="65089DE2" w14:textId="77777777" w:rsidR="004E2774" w:rsidRPr="00256091" w:rsidRDefault="004E2774" w:rsidP="00567CB4">
            <w:pPr>
              <w:pStyle w:val="bang"/>
              <w:jc w:val="left"/>
              <w:rPr>
                <w:b/>
                <w:i/>
                <w:sz w:val="22"/>
                <w:lang w:val="de-DE"/>
              </w:rPr>
            </w:pPr>
          </w:p>
        </w:tc>
        <w:tc>
          <w:tcPr>
            <w:tcW w:w="1460" w:type="pct"/>
          </w:tcPr>
          <w:p w14:paraId="169DE49C" w14:textId="69DFD8CC" w:rsidR="004E2774" w:rsidRPr="00256091" w:rsidRDefault="000A71D9" w:rsidP="00FC12E9">
            <w:pPr>
              <w:pStyle w:val="bang"/>
              <w:jc w:val="right"/>
              <w:rPr>
                <w:sz w:val="22"/>
                <w:lang w:val="de-DE"/>
              </w:rPr>
            </w:pPr>
            <w:r w:rsidRPr="00256091">
              <w:rPr>
                <w:sz w:val="22"/>
                <w:lang w:val="de-DE"/>
              </w:rPr>
              <w:t>1 (0.21</w:t>
            </w:r>
            <w:r w:rsidR="004E2774" w:rsidRPr="00256091">
              <w:rPr>
                <w:sz w:val="22"/>
                <w:lang w:val="de-DE"/>
              </w:rPr>
              <w:t>)</w:t>
            </w:r>
          </w:p>
        </w:tc>
      </w:tr>
    </w:tbl>
    <w:p w14:paraId="1715B1CF" w14:textId="22DE74EC" w:rsidR="00CF4ABB" w:rsidRDefault="00CF4ABB" w:rsidP="00377842">
      <w:pPr>
        <w:pStyle w:val="Text"/>
        <w:spacing w:before="240"/>
        <w:rPr>
          <w:b/>
        </w:rPr>
      </w:pPr>
      <w:r w:rsidRPr="00CF565F">
        <w:rPr>
          <w:b/>
        </w:rPr>
        <w:t>Table</w:t>
      </w:r>
      <w:r>
        <w:rPr>
          <w:b/>
        </w:rPr>
        <w:t xml:space="preserve"> 2. </w:t>
      </w:r>
      <w:r w:rsidRPr="00256091">
        <w:t xml:space="preserve">Number and classes </w:t>
      </w:r>
      <w:r w:rsidR="007C0A7C" w:rsidRPr="00256091">
        <w:t xml:space="preserve">of cardiovascular </w:t>
      </w:r>
      <w:r w:rsidRPr="00256091">
        <w:t>medications</w:t>
      </w:r>
      <w:r w:rsidR="00733AA4">
        <w:t>.</w:t>
      </w:r>
    </w:p>
    <w:tbl>
      <w:tblPr>
        <w:tblStyle w:val="table"/>
        <w:tblW w:w="5000" w:type="pct"/>
        <w:tblInd w:w="2" w:type="dxa"/>
        <w:tblLook w:val="04A0" w:firstRow="1" w:lastRow="0" w:firstColumn="1" w:lastColumn="0" w:noHBand="0" w:noVBand="1"/>
      </w:tblPr>
      <w:tblGrid>
        <w:gridCol w:w="2895"/>
        <w:gridCol w:w="263"/>
        <w:gridCol w:w="1292"/>
      </w:tblGrid>
      <w:tr w:rsidR="00F263E1" w:rsidRPr="00256091" w14:paraId="698F7960" w14:textId="77777777" w:rsidTr="00295554">
        <w:trPr>
          <w:cnfStyle w:val="100000000000" w:firstRow="1" w:lastRow="0" w:firstColumn="0" w:lastColumn="0" w:oddVBand="0" w:evenVBand="0" w:oddHBand="0" w:evenHBand="0" w:firstRowFirstColumn="0" w:firstRowLastColumn="0" w:lastRowFirstColumn="0" w:lastRowLastColumn="0"/>
          <w:trHeight w:val="63"/>
        </w:trPr>
        <w:tc>
          <w:tcPr>
            <w:tcW w:w="3252" w:type="pct"/>
          </w:tcPr>
          <w:p w14:paraId="4CFAFA38" w14:textId="77777777" w:rsidR="00F263E1" w:rsidRPr="00256091" w:rsidRDefault="00F263E1" w:rsidP="00F263E1">
            <w:pPr>
              <w:pStyle w:val="bang"/>
              <w:jc w:val="right"/>
              <w:rPr>
                <w:b/>
                <w:sz w:val="22"/>
                <w:lang w:val="de-DE"/>
              </w:rPr>
            </w:pPr>
          </w:p>
        </w:tc>
        <w:tc>
          <w:tcPr>
            <w:tcW w:w="296" w:type="pct"/>
          </w:tcPr>
          <w:p w14:paraId="535E2037" w14:textId="77777777" w:rsidR="00F263E1" w:rsidRPr="00256091" w:rsidRDefault="00F263E1" w:rsidP="00F263E1">
            <w:pPr>
              <w:pStyle w:val="bang"/>
              <w:jc w:val="right"/>
              <w:rPr>
                <w:b/>
                <w:sz w:val="22"/>
                <w:lang w:val="de-DE"/>
              </w:rPr>
            </w:pPr>
          </w:p>
        </w:tc>
        <w:tc>
          <w:tcPr>
            <w:tcW w:w="1452" w:type="pct"/>
          </w:tcPr>
          <w:p w14:paraId="5D06D112" w14:textId="77777777" w:rsidR="00F263E1" w:rsidRPr="00256091" w:rsidRDefault="00F263E1" w:rsidP="00F263E1">
            <w:pPr>
              <w:pStyle w:val="bang"/>
              <w:jc w:val="right"/>
              <w:rPr>
                <w:b/>
                <w:sz w:val="22"/>
                <w:vertAlign w:val="subscript"/>
                <w:lang w:val="de-DE"/>
              </w:rPr>
            </w:pPr>
            <w:r w:rsidRPr="00256091">
              <w:rPr>
                <w:b/>
                <w:sz w:val="22"/>
                <w:lang w:val="de-DE"/>
              </w:rPr>
              <w:t>N=468 (%)</w:t>
            </w:r>
          </w:p>
        </w:tc>
      </w:tr>
      <w:tr w:rsidR="00F263E1" w:rsidRPr="00256091" w14:paraId="7CEC6DE3" w14:textId="77777777" w:rsidTr="00295554">
        <w:trPr>
          <w:trHeight w:val="84"/>
        </w:trPr>
        <w:tc>
          <w:tcPr>
            <w:tcW w:w="3252" w:type="pct"/>
          </w:tcPr>
          <w:p w14:paraId="40304FE9" w14:textId="77777777" w:rsidR="00F263E1" w:rsidRPr="00256091" w:rsidRDefault="00F263E1" w:rsidP="00F263E1">
            <w:pPr>
              <w:pStyle w:val="bang"/>
              <w:jc w:val="left"/>
              <w:rPr>
                <w:b/>
                <w:sz w:val="22"/>
                <w:lang w:val="de-DE"/>
              </w:rPr>
            </w:pPr>
            <w:r w:rsidRPr="00256091">
              <w:rPr>
                <w:b/>
                <w:sz w:val="22"/>
                <w:lang w:val="de-DE"/>
              </w:rPr>
              <w:t>Number of medications</w:t>
            </w:r>
          </w:p>
        </w:tc>
        <w:tc>
          <w:tcPr>
            <w:tcW w:w="296" w:type="pct"/>
          </w:tcPr>
          <w:p w14:paraId="18767709" w14:textId="77777777" w:rsidR="00F263E1" w:rsidRPr="00256091" w:rsidRDefault="00F263E1" w:rsidP="00F263E1">
            <w:pPr>
              <w:pStyle w:val="bang"/>
              <w:jc w:val="left"/>
              <w:rPr>
                <w:b/>
                <w:i/>
                <w:sz w:val="22"/>
                <w:lang w:val="de-DE"/>
              </w:rPr>
            </w:pPr>
          </w:p>
        </w:tc>
        <w:tc>
          <w:tcPr>
            <w:tcW w:w="1452" w:type="pct"/>
          </w:tcPr>
          <w:p w14:paraId="13C1627F" w14:textId="77777777" w:rsidR="00F263E1" w:rsidRPr="00256091" w:rsidRDefault="00F263E1" w:rsidP="00F263E1">
            <w:pPr>
              <w:pStyle w:val="bang"/>
              <w:jc w:val="right"/>
              <w:rPr>
                <w:b/>
                <w:sz w:val="22"/>
                <w:lang w:val="de-DE"/>
              </w:rPr>
            </w:pPr>
          </w:p>
        </w:tc>
      </w:tr>
      <w:tr w:rsidR="00F263E1" w:rsidRPr="00256091" w14:paraId="2DF5C636" w14:textId="77777777" w:rsidTr="00295554">
        <w:trPr>
          <w:trHeight w:val="84"/>
        </w:trPr>
        <w:tc>
          <w:tcPr>
            <w:tcW w:w="3252" w:type="pct"/>
          </w:tcPr>
          <w:p w14:paraId="15408FCF" w14:textId="77777777" w:rsidR="00F263E1" w:rsidRPr="00256091" w:rsidRDefault="00F263E1" w:rsidP="00F263E1">
            <w:pPr>
              <w:pStyle w:val="bang"/>
              <w:rPr>
                <w:sz w:val="22"/>
                <w:lang w:val="de-DE"/>
              </w:rPr>
            </w:pPr>
            <m:oMath>
              <m:r>
                <w:rPr>
                  <w:rFonts w:ascii="Cambria Math" w:hAnsi="Cambria Math"/>
                  <w:sz w:val="22"/>
                  <w:lang w:val="de-DE"/>
                </w:rPr>
                <m:t>≤</m:t>
              </m:r>
            </m:oMath>
            <w:r w:rsidRPr="00256091">
              <w:rPr>
                <w:sz w:val="22"/>
                <w:lang w:val="de-DE"/>
              </w:rPr>
              <w:t xml:space="preserve"> 4</w:t>
            </w:r>
          </w:p>
        </w:tc>
        <w:tc>
          <w:tcPr>
            <w:tcW w:w="296" w:type="pct"/>
          </w:tcPr>
          <w:p w14:paraId="68D9B2DE" w14:textId="77777777" w:rsidR="00F263E1" w:rsidRPr="00256091" w:rsidRDefault="00F263E1" w:rsidP="00F263E1">
            <w:pPr>
              <w:pStyle w:val="bang"/>
              <w:jc w:val="left"/>
              <w:rPr>
                <w:b/>
                <w:i/>
                <w:sz w:val="22"/>
                <w:lang w:val="de-DE"/>
              </w:rPr>
            </w:pPr>
          </w:p>
        </w:tc>
        <w:tc>
          <w:tcPr>
            <w:tcW w:w="1452" w:type="pct"/>
          </w:tcPr>
          <w:p w14:paraId="02AFD11C" w14:textId="77777777" w:rsidR="00F263E1" w:rsidRPr="00256091" w:rsidRDefault="00F263E1" w:rsidP="00F263E1">
            <w:pPr>
              <w:pStyle w:val="bang"/>
              <w:jc w:val="right"/>
              <w:rPr>
                <w:sz w:val="22"/>
                <w:lang w:val="de-DE"/>
              </w:rPr>
            </w:pPr>
            <w:r w:rsidRPr="00256091">
              <w:rPr>
                <w:sz w:val="22"/>
                <w:lang w:val="de-DE"/>
              </w:rPr>
              <w:t>212 (45.3)</w:t>
            </w:r>
          </w:p>
        </w:tc>
      </w:tr>
      <w:tr w:rsidR="00F263E1" w:rsidRPr="00256091" w14:paraId="37AB6767" w14:textId="77777777" w:rsidTr="00295554">
        <w:trPr>
          <w:trHeight w:val="84"/>
        </w:trPr>
        <w:tc>
          <w:tcPr>
            <w:tcW w:w="3252" w:type="pct"/>
          </w:tcPr>
          <w:p w14:paraId="48C1D172" w14:textId="77777777" w:rsidR="00F263E1" w:rsidRPr="00256091" w:rsidRDefault="00F263E1" w:rsidP="00F263E1">
            <w:pPr>
              <w:pStyle w:val="bang"/>
              <w:rPr>
                <w:sz w:val="22"/>
                <w:lang w:val="de-DE"/>
              </w:rPr>
            </w:pPr>
            <m:oMath>
              <m:r>
                <w:rPr>
                  <w:rFonts w:ascii="Cambria Math" w:hAnsi="Cambria Math"/>
                  <w:sz w:val="22"/>
                  <w:lang w:val="de-DE"/>
                </w:rPr>
                <m:t>≥</m:t>
              </m:r>
            </m:oMath>
            <w:r w:rsidRPr="00256091">
              <w:rPr>
                <w:sz w:val="22"/>
                <w:lang w:val="de-DE"/>
              </w:rPr>
              <w:t xml:space="preserve"> 5</w:t>
            </w:r>
          </w:p>
        </w:tc>
        <w:tc>
          <w:tcPr>
            <w:tcW w:w="296" w:type="pct"/>
          </w:tcPr>
          <w:p w14:paraId="4E8CEC5D" w14:textId="77777777" w:rsidR="00F263E1" w:rsidRPr="00256091" w:rsidRDefault="00F263E1" w:rsidP="00F263E1">
            <w:pPr>
              <w:pStyle w:val="bang"/>
              <w:jc w:val="left"/>
              <w:rPr>
                <w:b/>
                <w:i/>
                <w:sz w:val="22"/>
                <w:lang w:val="de-DE"/>
              </w:rPr>
            </w:pPr>
          </w:p>
        </w:tc>
        <w:tc>
          <w:tcPr>
            <w:tcW w:w="1452" w:type="pct"/>
          </w:tcPr>
          <w:p w14:paraId="0F547F7C" w14:textId="77777777" w:rsidR="00F263E1" w:rsidRPr="00256091" w:rsidRDefault="00F263E1" w:rsidP="00F263E1">
            <w:pPr>
              <w:pStyle w:val="bang"/>
              <w:jc w:val="right"/>
              <w:rPr>
                <w:sz w:val="22"/>
                <w:lang w:val="de-DE"/>
              </w:rPr>
            </w:pPr>
            <w:r w:rsidRPr="00256091">
              <w:rPr>
                <w:sz w:val="22"/>
                <w:lang w:val="de-DE"/>
              </w:rPr>
              <w:t>256 (54.7)</w:t>
            </w:r>
          </w:p>
        </w:tc>
      </w:tr>
      <w:tr w:rsidR="00F263E1" w:rsidRPr="00256091" w14:paraId="62BBBBCD" w14:textId="77777777" w:rsidTr="00295554">
        <w:trPr>
          <w:trHeight w:val="84"/>
        </w:trPr>
        <w:tc>
          <w:tcPr>
            <w:tcW w:w="3252" w:type="pct"/>
          </w:tcPr>
          <w:p w14:paraId="45AAAC77" w14:textId="77777777" w:rsidR="00F263E1" w:rsidRPr="00256091" w:rsidRDefault="00F263E1" w:rsidP="00F263E1">
            <w:pPr>
              <w:pStyle w:val="bang"/>
              <w:jc w:val="left"/>
              <w:rPr>
                <w:sz w:val="22"/>
                <w:lang w:val="de-DE"/>
              </w:rPr>
            </w:pPr>
            <w:r w:rsidRPr="00256091">
              <w:rPr>
                <w:sz w:val="22"/>
                <w:lang w:val="de-DE"/>
              </w:rPr>
              <w:t>5-7</w:t>
            </w:r>
          </w:p>
        </w:tc>
        <w:tc>
          <w:tcPr>
            <w:tcW w:w="296" w:type="pct"/>
          </w:tcPr>
          <w:p w14:paraId="3FA72719" w14:textId="77777777" w:rsidR="00F263E1" w:rsidRPr="00256091" w:rsidRDefault="00F263E1" w:rsidP="00F263E1">
            <w:pPr>
              <w:pStyle w:val="bang"/>
              <w:jc w:val="left"/>
              <w:rPr>
                <w:b/>
                <w:i/>
                <w:sz w:val="22"/>
                <w:lang w:val="de-DE"/>
              </w:rPr>
            </w:pPr>
          </w:p>
        </w:tc>
        <w:tc>
          <w:tcPr>
            <w:tcW w:w="1452" w:type="pct"/>
          </w:tcPr>
          <w:p w14:paraId="0A93CA12" w14:textId="77777777" w:rsidR="00F263E1" w:rsidRPr="00256091" w:rsidRDefault="00F263E1" w:rsidP="00F263E1">
            <w:pPr>
              <w:pStyle w:val="bang"/>
              <w:jc w:val="right"/>
              <w:rPr>
                <w:sz w:val="22"/>
                <w:lang w:val="de-DE"/>
              </w:rPr>
            </w:pPr>
            <w:r w:rsidRPr="00256091">
              <w:rPr>
                <w:sz w:val="22"/>
                <w:lang w:val="de-DE"/>
              </w:rPr>
              <w:t>235 (50.2)</w:t>
            </w:r>
          </w:p>
        </w:tc>
      </w:tr>
      <w:tr w:rsidR="00F263E1" w:rsidRPr="00256091" w14:paraId="733314D0" w14:textId="77777777" w:rsidTr="00295554">
        <w:trPr>
          <w:trHeight w:val="84"/>
        </w:trPr>
        <w:tc>
          <w:tcPr>
            <w:tcW w:w="3252" w:type="pct"/>
          </w:tcPr>
          <w:p w14:paraId="57208834" w14:textId="77777777" w:rsidR="00F263E1" w:rsidRPr="00256091" w:rsidRDefault="00F263E1" w:rsidP="00F263E1">
            <w:pPr>
              <w:pStyle w:val="bang"/>
              <w:jc w:val="left"/>
              <w:rPr>
                <w:sz w:val="22"/>
                <w:lang w:val="de-DE"/>
              </w:rPr>
            </w:pPr>
            <w:r w:rsidRPr="00256091">
              <w:rPr>
                <w:sz w:val="22"/>
                <w:lang w:val="de-DE"/>
              </w:rPr>
              <w:t>8-10</w:t>
            </w:r>
          </w:p>
        </w:tc>
        <w:tc>
          <w:tcPr>
            <w:tcW w:w="296" w:type="pct"/>
          </w:tcPr>
          <w:p w14:paraId="16161FD7" w14:textId="77777777" w:rsidR="00F263E1" w:rsidRPr="00256091" w:rsidRDefault="00F263E1" w:rsidP="00F263E1">
            <w:pPr>
              <w:pStyle w:val="bang"/>
              <w:jc w:val="left"/>
              <w:rPr>
                <w:b/>
                <w:i/>
                <w:sz w:val="22"/>
                <w:lang w:val="de-DE"/>
              </w:rPr>
            </w:pPr>
          </w:p>
        </w:tc>
        <w:tc>
          <w:tcPr>
            <w:tcW w:w="1452" w:type="pct"/>
          </w:tcPr>
          <w:p w14:paraId="69D032A0" w14:textId="77777777" w:rsidR="00F263E1" w:rsidRPr="00256091" w:rsidRDefault="00F263E1" w:rsidP="00F263E1">
            <w:pPr>
              <w:pStyle w:val="bang"/>
              <w:jc w:val="right"/>
              <w:rPr>
                <w:sz w:val="22"/>
                <w:lang w:val="de-DE"/>
              </w:rPr>
            </w:pPr>
            <w:r w:rsidRPr="00256091">
              <w:rPr>
                <w:sz w:val="22"/>
                <w:lang w:val="de-DE"/>
              </w:rPr>
              <w:t>21 (4.50)</w:t>
            </w:r>
          </w:p>
        </w:tc>
      </w:tr>
      <w:tr w:rsidR="00F263E1" w:rsidRPr="00256091" w14:paraId="676B07C8" w14:textId="77777777" w:rsidTr="00295554">
        <w:trPr>
          <w:trHeight w:val="84"/>
        </w:trPr>
        <w:tc>
          <w:tcPr>
            <w:tcW w:w="3252" w:type="pct"/>
          </w:tcPr>
          <w:p w14:paraId="09B276F6" w14:textId="77777777" w:rsidR="00F263E1" w:rsidRPr="00256091" w:rsidRDefault="00F263E1" w:rsidP="00F263E1">
            <w:pPr>
              <w:pStyle w:val="bang"/>
              <w:jc w:val="left"/>
              <w:rPr>
                <w:sz w:val="22"/>
                <w:lang w:val="de-DE"/>
              </w:rPr>
            </w:pPr>
            <w:r w:rsidRPr="00256091">
              <w:rPr>
                <w:sz w:val="22"/>
                <w:lang w:val="de-DE"/>
              </w:rPr>
              <w:t xml:space="preserve">Mean </w:t>
            </w:r>
            <m:oMath>
              <m:r>
                <w:rPr>
                  <w:rFonts w:ascii="Cambria Math" w:hAnsi="Cambria Math"/>
                  <w:sz w:val="22"/>
                  <w:lang w:val="de-DE"/>
                </w:rPr>
                <m:t>±</m:t>
              </m:r>
            </m:oMath>
            <w:r w:rsidRPr="00256091">
              <w:rPr>
                <w:sz w:val="22"/>
                <w:lang w:val="de-DE"/>
              </w:rPr>
              <w:t xml:space="preserve"> SD</w:t>
            </w:r>
          </w:p>
        </w:tc>
        <w:tc>
          <w:tcPr>
            <w:tcW w:w="296" w:type="pct"/>
          </w:tcPr>
          <w:p w14:paraId="1E8A7789" w14:textId="77777777" w:rsidR="00F263E1" w:rsidRPr="00256091" w:rsidRDefault="00F263E1" w:rsidP="00F263E1">
            <w:pPr>
              <w:pStyle w:val="bang"/>
              <w:jc w:val="left"/>
              <w:rPr>
                <w:b/>
                <w:i/>
                <w:sz w:val="22"/>
                <w:lang w:val="de-DE"/>
              </w:rPr>
            </w:pPr>
          </w:p>
        </w:tc>
        <w:tc>
          <w:tcPr>
            <w:tcW w:w="1452" w:type="pct"/>
          </w:tcPr>
          <w:p w14:paraId="41189724" w14:textId="77777777" w:rsidR="00F263E1" w:rsidRPr="00256091" w:rsidRDefault="00F263E1" w:rsidP="00F263E1">
            <w:pPr>
              <w:pStyle w:val="bang"/>
              <w:jc w:val="right"/>
              <w:rPr>
                <w:sz w:val="22"/>
                <w:lang w:val="de-DE"/>
              </w:rPr>
            </w:pPr>
            <w:r w:rsidRPr="00256091">
              <w:rPr>
                <w:sz w:val="22"/>
                <w:lang w:val="de-DE"/>
              </w:rPr>
              <w:t xml:space="preserve">4.76 </w:t>
            </w:r>
            <m:oMath>
              <m:r>
                <w:rPr>
                  <w:rFonts w:ascii="Cambria Math" w:hAnsi="Cambria Math"/>
                  <w:sz w:val="22"/>
                  <w:lang w:val="de-DE"/>
                </w:rPr>
                <m:t>±</m:t>
              </m:r>
            </m:oMath>
            <w:r w:rsidRPr="00256091">
              <w:rPr>
                <w:sz w:val="22"/>
                <w:lang w:val="de-DE"/>
              </w:rPr>
              <w:t xml:space="preserve"> 1.60</w:t>
            </w:r>
          </w:p>
        </w:tc>
      </w:tr>
      <w:tr w:rsidR="00F263E1" w:rsidRPr="00256091" w14:paraId="1D066D42" w14:textId="77777777" w:rsidTr="00295554">
        <w:trPr>
          <w:trHeight w:val="84"/>
        </w:trPr>
        <w:tc>
          <w:tcPr>
            <w:tcW w:w="3252" w:type="pct"/>
          </w:tcPr>
          <w:p w14:paraId="10167D58" w14:textId="77777777" w:rsidR="00F263E1" w:rsidRPr="00256091" w:rsidRDefault="00F263E1" w:rsidP="00F263E1">
            <w:pPr>
              <w:pStyle w:val="bang"/>
              <w:jc w:val="left"/>
              <w:rPr>
                <w:b/>
                <w:sz w:val="22"/>
                <w:lang w:val="de-DE"/>
              </w:rPr>
            </w:pPr>
            <w:r w:rsidRPr="00256091">
              <w:rPr>
                <w:b/>
                <w:sz w:val="22"/>
                <w:lang w:val="de-DE"/>
              </w:rPr>
              <w:t>Classes of cardiovascular medications</w:t>
            </w:r>
          </w:p>
        </w:tc>
        <w:tc>
          <w:tcPr>
            <w:tcW w:w="296" w:type="pct"/>
          </w:tcPr>
          <w:p w14:paraId="49D34BD8" w14:textId="77777777" w:rsidR="00F263E1" w:rsidRPr="00256091" w:rsidRDefault="00F263E1" w:rsidP="00F263E1">
            <w:pPr>
              <w:pStyle w:val="bang"/>
              <w:jc w:val="left"/>
              <w:rPr>
                <w:b/>
                <w:i/>
                <w:sz w:val="22"/>
                <w:lang w:val="de-DE"/>
              </w:rPr>
            </w:pPr>
          </w:p>
        </w:tc>
        <w:tc>
          <w:tcPr>
            <w:tcW w:w="1452" w:type="pct"/>
          </w:tcPr>
          <w:p w14:paraId="4A11841F" w14:textId="77777777" w:rsidR="00F263E1" w:rsidRPr="00256091" w:rsidRDefault="00F263E1" w:rsidP="00F263E1">
            <w:pPr>
              <w:pStyle w:val="bang"/>
              <w:jc w:val="right"/>
              <w:rPr>
                <w:b/>
                <w:sz w:val="22"/>
                <w:lang w:val="de-DE"/>
              </w:rPr>
            </w:pPr>
          </w:p>
        </w:tc>
      </w:tr>
      <w:tr w:rsidR="00F263E1" w:rsidRPr="00256091" w14:paraId="46261E25" w14:textId="77777777" w:rsidTr="00295554">
        <w:trPr>
          <w:trHeight w:val="84"/>
        </w:trPr>
        <w:tc>
          <w:tcPr>
            <w:tcW w:w="3252" w:type="pct"/>
          </w:tcPr>
          <w:p w14:paraId="1A9A4835" w14:textId="77777777" w:rsidR="00F263E1" w:rsidRPr="00256091" w:rsidRDefault="00F263E1" w:rsidP="00F263E1">
            <w:pPr>
              <w:pStyle w:val="bang"/>
              <w:jc w:val="left"/>
              <w:rPr>
                <w:sz w:val="22"/>
                <w:lang w:val="de-DE"/>
              </w:rPr>
            </w:pPr>
            <w:r w:rsidRPr="00256091">
              <w:rPr>
                <w:sz w:val="22"/>
                <w:lang w:val="de-DE"/>
              </w:rPr>
              <w:t>Calcium channel blockers (CCBs)</w:t>
            </w:r>
          </w:p>
        </w:tc>
        <w:tc>
          <w:tcPr>
            <w:tcW w:w="296" w:type="pct"/>
          </w:tcPr>
          <w:p w14:paraId="2BD0DAD1" w14:textId="77777777" w:rsidR="00F263E1" w:rsidRPr="00256091" w:rsidRDefault="00F263E1" w:rsidP="00F263E1">
            <w:pPr>
              <w:pStyle w:val="bang"/>
              <w:jc w:val="left"/>
              <w:rPr>
                <w:b/>
                <w:i/>
                <w:sz w:val="22"/>
                <w:lang w:val="de-DE"/>
              </w:rPr>
            </w:pPr>
          </w:p>
        </w:tc>
        <w:tc>
          <w:tcPr>
            <w:tcW w:w="1452" w:type="pct"/>
          </w:tcPr>
          <w:p w14:paraId="06675B4C" w14:textId="77777777" w:rsidR="00F263E1" w:rsidRPr="00256091" w:rsidRDefault="00F263E1" w:rsidP="00F263E1">
            <w:pPr>
              <w:pStyle w:val="bang"/>
              <w:jc w:val="right"/>
              <w:rPr>
                <w:sz w:val="22"/>
                <w:lang w:val="de-DE"/>
              </w:rPr>
            </w:pPr>
            <w:r w:rsidRPr="00256091">
              <w:rPr>
                <w:sz w:val="22"/>
                <w:lang w:val="de-DE"/>
              </w:rPr>
              <w:t>283 (60.5)</w:t>
            </w:r>
          </w:p>
        </w:tc>
      </w:tr>
      <w:tr w:rsidR="00F263E1" w:rsidRPr="00256091" w14:paraId="5DF3138B" w14:textId="77777777" w:rsidTr="00295554">
        <w:trPr>
          <w:trHeight w:val="84"/>
        </w:trPr>
        <w:tc>
          <w:tcPr>
            <w:tcW w:w="3252" w:type="pct"/>
          </w:tcPr>
          <w:p w14:paraId="3F5F395F" w14:textId="77777777" w:rsidR="00F263E1" w:rsidRPr="00256091" w:rsidRDefault="00F263E1" w:rsidP="00F263E1">
            <w:pPr>
              <w:pStyle w:val="bang"/>
              <w:jc w:val="left"/>
              <w:rPr>
                <w:sz w:val="22"/>
                <w:lang w:val="de-DE"/>
              </w:rPr>
            </w:pPr>
            <w:r w:rsidRPr="00256091">
              <w:rPr>
                <w:sz w:val="22"/>
                <w:lang w:val="de-DE"/>
              </w:rPr>
              <w:t>Angiotensin II receptor blockers (ARBs)</w:t>
            </w:r>
          </w:p>
        </w:tc>
        <w:tc>
          <w:tcPr>
            <w:tcW w:w="296" w:type="pct"/>
          </w:tcPr>
          <w:p w14:paraId="4328D9BD" w14:textId="77777777" w:rsidR="00F263E1" w:rsidRPr="00256091" w:rsidRDefault="00F263E1" w:rsidP="00F263E1">
            <w:pPr>
              <w:pStyle w:val="bang"/>
              <w:jc w:val="left"/>
              <w:rPr>
                <w:b/>
                <w:i/>
                <w:sz w:val="22"/>
                <w:lang w:val="de-DE"/>
              </w:rPr>
            </w:pPr>
          </w:p>
        </w:tc>
        <w:tc>
          <w:tcPr>
            <w:tcW w:w="1452" w:type="pct"/>
          </w:tcPr>
          <w:p w14:paraId="1135F48A" w14:textId="77777777" w:rsidR="00F263E1" w:rsidRPr="00256091" w:rsidRDefault="00F263E1" w:rsidP="00F263E1">
            <w:pPr>
              <w:pStyle w:val="bang"/>
              <w:jc w:val="right"/>
              <w:rPr>
                <w:sz w:val="22"/>
                <w:lang w:val="de-DE"/>
              </w:rPr>
            </w:pPr>
            <w:r w:rsidRPr="00256091">
              <w:rPr>
                <w:sz w:val="22"/>
                <w:lang w:val="de-DE"/>
              </w:rPr>
              <w:t>92 (19.6)</w:t>
            </w:r>
          </w:p>
        </w:tc>
      </w:tr>
      <w:tr w:rsidR="00F263E1" w:rsidRPr="00256091" w14:paraId="0D5A21B2" w14:textId="77777777" w:rsidTr="00295554">
        <w:trPr>
          <w:trHeight w:val="84"/>
        </w:trPr>
        <w:tc>
          <w:tcPr>
            <w:tcW w:w="3252" w:type="pct"/>
          </w:tcPr>
          <w:p w14:paraId="5141AB4A" w14:textId="77777777" w:rsidR="00F263E1" w:rsidRPr="00256091" w:rsidRDefault="00F263E1" w:rsidP="00F263E1">
            <w:pPr>
              <w:pStyle w:val="bang"/>
              <w:jc w:val="left"/>
              <w:rPr>
                <w:sz w:val="22"/>
                <w:lang w:val="de-DE"/>
              </w:rPr>
            </w:pPr>
            <w:r w:rsidRPr="00256091">
              <w:rPr>
                <w:sz w:val="22"/>
                <w:lang w:val="de-DE"/>
              </w:rPr>
              <w:t>Statin</w:t>
            </w:r>
          </w:p>
        </w:tc>
        <w:tc>
          <w:tcPr>
            <w:tcW w:w="296" w:type="pct"/>
          </w:tcPr>
          <w:p w14:paraId="5F551005" w14:textId="77777777" w:rsidR="00F263E1" w:rsidRPr="00256091" w:rsidRDefault="00F263E1" w:rsidP="00F263E1">
            <w:pPr>
              <w:pStyle w:val="bang"/>
              <w:jc w:val="left"/>
              <w:rPr>
                <w:b/>
                <w:i/>
                <w:sz w:val="22"/>
                <w:lang w:val="de-DE"/>
              </w:rPr>
            </w:pPr>
          </w:p>
        </w:tc>
        <w:tc>
          <w:tcPr>
            <w:tcW w:w="1452" w:type="pct"/>
          </w:tcPr>
          <w:p w14:paraId="5D547D5C" w14:textId="77777777" w:rsidR="00F263E1" w:rsidRPr="00256091" w:rsidRDefault="00F263E1" w:rsidP="00F263E1">
            <w:pPr>
              <w:pStyle w:val="bang"/>
              <w:jc w:val="right"/>
              <w:rPr>
                <w:sz w:val="22"/>
                <w:lang w:val="de-DE"/>
              </w:rPr>
            </w:pPr>
            <w:r w:rsidRPr="00256091">
              <w:rPr>
                <w:sz w:val="22"/>
                <w:lang w:val="de-DE"/>
              </w:rPr>
              <w:t>64 (13.7)</w:t>
            </w:r>
          </w:p>
        </w:tc>
      </w:tr>
      <w:tr w:rsidR="00F263E1" w:rsidRPr="00256091" w14:paraId="1B57E215" w14:textId="77777777" w:rsidTr="00295554">
        <w:trPr>
          <w:trHeight w:val="84"/>
        </w:trPr>
        <w:tc>
          <w:tcPr>
            <w:tcW w:w="3252" w:type="pct"/>
          </w:tcPr>
          <w:p w14:paraId="55CB5306" w14:textId="77777777" w:rsidR="00F263E1" w:rsidRPr="00256091" w:rsidRDefault="00F263E1" w:rsidP="00F263E1">
            <w:pPr>
              <w:pStyle w:val="bang"/>
              <w:jc w:val="left"/>
              <w:rPr>
                <w:sz w:val="22"/>
                <w:lang w:val="de-DE"/>
              </w:rPr>
            </w:pPr>
            <w:r w:rsidRPr="00256091">
              <w:rPr>
                <w:sz w:val="22"/>
                <w:lang w:val="de-DE"/>
              </w:rPr>
              <w:t>Diuretics</w:t>
            </w:r>
          </w:p>
        </w:tc>
        <w:tc>
          <w:tcPr>
            <w:tcW w:w="296" w:type="pct"/>
          </w:tcPr>
          <w:p w14:paraId="743CF135" w14:textId="77777777" w:rsidR="00F263E1" w:rsidRPr="00256091" w:rsidRDefault="00F263E1" w:rsidP="00F263E1">
            <w:pPr>
              <w:pStyle w:val="bang"/>
              <w:jc w:val="left"/>
              <w:rPr>
                <w:b/>
                <w:i/>
                <w:sz w:val="22"/>
                <w:lang w:val="de-DE"/>
              </w:rPr>
            </w:pPr>
          </w:p>
        </w:tc>
        <w:tc>
          <w:tcPr>
            <w:tcW w:w="1452" w:type="pct"/>
          </w:tcPr>
          <w:p w14:paraId="60FE6AE6" w14:textId="77777777" w:rsidR="00F263E1" w:rsidRPr="00256091" w:rsidRDefault="00F263E1" w:rsidP="00F263E1">
            <w:pPr>
              <w:pStyle w:val="bang"/>
              <w:jc w:val="right"/>
              <w:rPr>
                <w:sz w:val="22"/>
                <w:lang w:val="de-DE"/>
              </w:rPr>
            </w:pPr>
            <w:r w:rsidRPr="00256091">
              <w:rPr>
                <w:sz w:val="22"/>
                <w:lang w:val="de-DE"/>
              </w:rPr>
              <w:t>62 (13.2)</w:t>
            </w:r>
          </w:p>
        </w:tc>
      </w:tr>
      <w:tr w:rsidR="00F263E1" w:rsidRPr="00256091" w14:paraId="735A6B7A" w14:textId="77777777" w:rsidTr="00295554">
        <w:trPr>
          <w:trHeight w:val="84"/>
        </w:trPr>
        <w:tc>
          <w:tcPr>
            <w:tcW w:w="3252" w:type="pct"/>
          </w:tcPr>
          <w:p w14:paraId="15890205" w14:textId="77777777" w:rsidR="00F263E1" w:rsidRPr="00256091" w:rsidRDefault="00F263E1" w:rsidP="00F263E1">
            <w:pPr>
              <w:pStyle w:val="bang"/>
              <w:jc w:val="left"/>
              <w:rPr>
                <w:sz w:val="22"/>
                <w:lang w:val="de-DE"/>
              </w:rPr>
            </w:pPr>
            <w:r w:rsidRPr="00256091">
              <w:rPr>
                <w:sz w:val="22"/>
                <w:lang w:val="de-DE"/>
              </w:rPr>
              <w:t>Angiotensin-converting enzyme inhibitors (ACEIs)</w:t>
            </w:r>
          </w:p>
        </w:tc>
        <w:tc>
          <w:tcPr>
            <w:tcW w:w="296" w:type="pct"/>
          </w:tcPr>
          <w:p w14:paraId="441F2ABF" w14:textId="77777777" w:rsidR="00F263E1" w:rsidRPr="00256091" w:rsidRDefault="00F263E1" w:rsidP="00F263E1">
            <w:pPr>
              <w:pStyle w:val="bang"/>
              <w:jc w:val="left"/>
              <w:rPr>
                <w:b/>
                <w:i/>
                <w:sz w:val="22"/>
                <w:lang w:val="de-DE"/>
              </w:rPr>
            </w:pPr>
          </w:p>
        </w:tc>
        <w:tc>
          <w:tcPr>
            <w:tcW w:w="1452" w:type="pct"/>
          </w:tcPr>
          <w:p w14:paraId="7AB7AC50" w14:textId="77777777" w:rsidR="00F263E1" w:rsidRPr="00256091" w:rsidRDefault="00F263E1" w:rsidP="00F263E1">
            <w:pPr>
              <w:pStyle w:val="bang"/>
              <w:jc w:val="right"/>
              <w:rPr>
                <w:sz w:val="22"/>
                <w:lang w:val="de-DE"/>
              </w:rPr>
            </w:pPr>
            <w:r w:rsidRPr="00256091">
              <w:rPr>
                <w:sz w:val="22"/>
                <w:lang w:val="de-DE"/>
              </w:rPr>
              <w:t>21 (4.49)</w:t>
            </w:r>
          </w:p>
        </w:tc>
      </w:tr>
      <w:tr w:rsidR="00F263E1" w:rsidRPr="00256091" w14:paraId="0C767949" w14:textId="77777777" w:rsidTr="00295554">
        <w:trPr>
          <w:trHeight w:val="84"/>
        </w:trPr>
        <w:tc>
          <w:tcPr>
            <w:tcW w:w="3252" w:type="pct"/>
          </w:tcPr>
          <w:p w14:paraId="6EDA0F3E" w14:textId="77777777" w:rsidR="00F263E1" w:rsidRPr="00256091" w:rsidRDefault="00F263E1" w:rsidP="00F263E1">
            <w:pPr>
              <w:pStyle w:val="bang"/>
              <w:jc w:val="left"/>
              <w:rPr>
                <w:sz w:val="22"/>
                <w:lang w:val="de-DE"/>
              </w:rPr>
            </w:pPr>
            <w:r w:rsidRPr="00256091">
              <w:rPr>
                <w:sz w:val="22"/>
                <w:lang w:val="de-DE"/>
              </w:rPr>
              <w:t xml:space="preserve">Organic nitrates </w:t>
            </w:r>
          </w:p>
        </w:tc>
        <w:tc>
          <w:tcPr>
            <w:tcW w:w="296" w:type="pct"/>
          </w:tcPr>
          <w:p w14:paraId="3E87BB54" w14:textId="77777777" w:rsidR="00F263E1" w:rsidRPr="00256091" w:rsidRDefault="00F263E1" w:rsidP="00F263E1">
            <w:pPr>
              <w:pStyle w:val="bang"/>
              <w:jc w:val="left"/>
              <w:rPr>
                <w:b/>
                <w:i/>
                <w:sz w:val="22"/>
                <w:lang w:val="de-DE"/>
              </w:rPr>
            </w:pPr>
          </w:p>
        </w:tc>
        <w:tc>
          <w:tcPr>
            <w:tcW w:w="1452" w:type="pct"/>
          </w:tcPr>
          <w:p w14:paraId="782A5E74" w14:textId="77777777" w:rsidR="00F263E1" w:rsidRPr="00256091" w:rsidRDefault="00F263E1" w:rsidP="00F263E1">
            <w:pPr>
              <w:pStyle w:val="bang"/>
              <w:jc w:val="right"/>
              <w:rPr>
                <w:sz w:val="22"/>
                <w:lang w:val="de-DE"/>
              </w:rPr>
            </w:pPr>
            <w:r w:rsidRPr="00256091">
              <w:rPr>
                <w:sz w:val="22"/>
                <w:lang w:val="de-DE"/>
              </w:rPr>
              <w:t>10 (2.14)</w:t>
            </w:r>
          </w:p>
        </w:tc>
      </w:tr>
      <w:tr w:rsidR="00F263E1" w:rsidRPr="00256091" w14:paraId="47448DDB" w14:textId="77777777" w:rsidTr="00295554">
        <w:trPr>
          <w:trHeight w:val="84"/>
        </w:trPr>
        <w:tc>
          <w:tcPr>
            <w:tcW w:w="3252" w:type="pct"/>
          </w:tcPr>
          <w:p w14:paraId="3817A3C9" w14:textId="77777777" w:rsidR="00F263E1" w:rsidRPr="00256091" w:rsidRDefault="00F263E1" w:rsidP="00F263E1">
            <w:pPr>
              <w:pStyle w:val="bang"/>
              <w:jc w:val="left"/>
              <w:rPr>
                <w:sz w:val="22"/>
                <w:lang w:val="de-DE"/>
              </w:rPr>
            </w:pPr>
            <w:r w:rsidRPr="00256091">
              <w:rPr>
                <w:rFonts w:eastAsia="Times New Roman"/>
                <w:sz w:val="22"/>
              </w:rPr>
              <w:t xml:space="preserve">β-blockers </w:t>
            </w:r>
          </w:p>
        </w:tc>
        <w:tc>
          <w:tcPr>
            <w:tcW w:w="296" w:type="pct"/>
          </w:tcPr>
          <w:p w14:paraId="7DF32DAF" w14:textId="77777777" w:rsidR="00F263E1" w:rsidRPr="00256091" w:rsidRDefault="00F263E1" w:rsidP="00F263E1">
            <w:pPr>
              <w:pStyle w:val="bang"/>
              <w:jc w:val="left"/>
              <w:rPr>
                <w:b/>
                <w:i/>
                <w:sz w:val="22"/>
                <w:lang w:val="de-DE"/>
              </w:rPr>
            </w:pPr>
          </w:p>
        </w:tc>
        <w:tc>
          <w:tcPr>
            <w:tcW w:w="1452" w:type="pct"/>
          </w:tcPr>
          <w:p w14:paraId="752C8057" w14:textId="77777777" w:rsidR="00F263E1" w:rsidRPr="00256091" w:rsidRDefault="00F263E1" w:rsidP="00F263E1">
            <w:pPr>
              <w:pStyle w:val="bang"/>
              <w:jc w:val="right"/>
              <w:rPr>
                <w:sz w:val="22"/>
                <w:lang w:val="de-DE"/>
              </w:rPr>
            </w:pPr>
            <w:r w:rsidRPr="00256091">
              <w:rPr>
                <w:sz w:val="22"/>
                <w:lang w:val="de-DE"/>
              </w:rPr>
              <w:t>9 (1.92)</w:t>
            </w:r>
          </w:p>
        </w:tc>
      </w:tr>
    </w:tbl>
    <w:p w14:paraId="2104B75C" w14:textId="77777777" w:rsidR="00F263E1" w:rsidRPr="00CF565F" w:rsidRDefault="00F263E1" w:rsidP="00295554">
      <w:pPr>
        <w:pStyle w:val="Text"/>
        <w:spacing w:before="0" w:after="0"/>
        <w:rPr>
          <w:b/>
        </w:rPr>
      </w:pPr>
    </w:p>
    <w:p w14:paraId="48CB46AA" w14:textId="5666F705" w:rsidR="00B23CD2" w:rsidRPr="00377842" w:rsidRDefault="0025044B" w:rsidP="00CA3E6A">
      <w:pPr>
        <w:pStyle w:val="Text"/>
        <w:ind w:firstLine="567"/>
        <w:rPr>
          <w:rFonts w:eastAsia="Times New Roman"/>
          <w:sz w:val="22"/>
          <w:szCs w:val="22"/>
        </w:rPr>
      </w:pPr>
      <w:r w:rsidRPr="00377842">
        <w:rPr>
          <w:rStyle w:val="heading40"/>
          <w:i w:val="0"/>
          <w:sz w:val="22"/>
          <w:szCs w:val="22"/>
        </w:rPr>
        <w:t>Amlodipine was the only medication that belonged to calcium channel blockers (CCBs). ARBs had two medications prescribed frequently: Telmisartan and irbesartan. Atorvastatin and rosuvastatin were anti-dyslipidemia drugs prescribed among the patients. In the diuretics, hydroc</w:t>
      </w:r>
      <w:r w:rsidR="00006FE0" w:rsidRPr="00377842">
        <w:rPr>
          <w:rStyle w:val="heading40"/>
          <w:i w:val="0"/>
          <w:sz w:val="22"/>
          <w:szCs w:val="22"/>
        </w:rPr>
        <w:t>h</w:t>
      </w:r>
      <w:r w:rsidRPr="00377842">
        <w:rPr>
          <w:rStyle w:val="heading40"/>
          <w:i w:val="0"/>
          <w:sz w:val="22"/>
          <w:szCs w:val="22"/>
        </w:rPr>
        <w:t>lorothiazide was documented to have the highest r</w:t>
      </w:r>
      <w:r w:rsidR="00380609" w:rsidRPr="00377842">
        <w:rPr>
          <w:rStyle w:val="heading40"/>
          <w:i w:val="0"/>
          <w:sz w:val="22"/>
          <w:szCs w:val="22"/>
        </w:rPr>
        <w:t xml:space="preserve">ate. Table 3 following </w:t>
      </w:r>
      <w:r w:rsidR="00C95920">
        <w:rPr>
          <w:rStyle w:val="heading40"/>
          <w:i w:val="0"/>
          <w:sz w:val="22"/>
          <w:szCs w:val="22"/>
        </w:rPr>
        <w:t>indicated</w:t>
      </w:r>
      <w:r w:rsidR="00380609" w:rsidRPr="00377842">
        <w:rPr>
          <w:rStyle w:val="heading40"/>
          <w:i w:val="0"/>
          <w:sz w:val="22"/>
          <w:szCs w:val="22"/>
        </w:rPr>
        <w:t xml:space="preserve"> cardiovascular</w:t>
      </w:r>
      <w:r w:rsidRPr="00377842">
        <w:rPr>
          <w:rStyle w:val="heading40"/>
          <w:i w:val="0"/>
          <w:sz w:val="22"/>
          <w:szCs w:val="22"/>
        </w:rPr>
        <w:t xml:space="preserve"> medications.</w:t>
      </w:r>
    </w:p>
    <w:p w14:paraId="6454F2C7" w14:textId="77777777" w:rsidR="00295554" w:rsidRDefault="00295554" w:rsidP="00377842">
      <w:pPr>
        <w:pStyle w:val="Text"/>
        <w:spacing w:before="240"/>
        <w:rPr>
          <w:b/>
        </w:rPr>
      </w:pPr>
    </w:p>
    <w:p w14:paraId="29F2A994" w14:textId="77777777" w:rsidR="00295554" w:rsidRDefault="00295554" w:rsidP="00377842">
      <w:pPr>
        <w:pStyle w:val="Text"/>
        <w:spacing w:before="240"/>
        <w:rPr>
          <w:b/>
        </w:rPr>
      </w:pPr>
    </w:p>
    <w:p w14:paraId="4A645681" w14:textId="4B384B63" w:rsidR="00CF4ABB" w:rsidRPr="00A56FF7" w:rsidRDefault="00A56FF7" w:rsidP="00377842">
      <w:pPr>
        <w:pStyle w:val="Text"/>
        <w:spacing w:before="240"/>
        <w:rPr>
          <w:b/>
        </w:rPr>
      </w:pPr>
      <w:r w:rsidRPr="00CF565F">
        <w:rPr>
          <w:b/>
        </w:rPr>
        <w:lastRenderedPageBreak/>
        <w:t>Table</w:t>
      </w:r>
      <w:r w:rsidR="00751C64">
        <w:rPr>
          <w:b/>
        </w:rPr>
        <w:t xml:space="preserve"> 3</w:t>
      </w:r>
      <w:r>
        <w:rPr>
          <w:b/>
        </w:rPr>
        <w:t xml:space="preserve">. </w:t>
      </w:r>
      <w:r w:rsidR="00751C64" w:rsidRPr="00256091">
        <w:t>C</w:t>
      </w:r>
      <w:r w:rsidRPr="00256091">
        <w:t>ardiovascular medications</w:t>
      </w:r>
      <w:r w:rsidR="00733AA4">
        <w:t>.</w:t>
      </w:r>
    </w:p>
    <w:tbl>
      <w:tblPr>
        <w:tblStyle w:val="table"/>
        <w:tblW w:w="5112" w:type="pct"/>
        <w:tblLook w:val="04A0" w:firstRow="1" w:lastRow="0" w:firstColumn="1" w:lastColumn="0" w:noHBand="0" w:noVBand="1"/>
      </w:tblPr>
      <w:tblGrid>
        <w:gridCol w:w="2894"/>
        <w:gridCol w:w="254"/>
        <w:gridCol w:w="1402"/>
      </w:tblGrid>
      <w:tr w:rsidR="00A56FF7" w:rsidRPr="00256091" w14:paraId="1FA1E973" w14:textId="77777777" w:rsidTr="0023114C">
        <w:trPr>
          <w:cnfStyle w:val="100000000000" w:firstRow="1" w:lastRow="0" w:firstColumn="0" w:lastColumn="0" w:oddVBand="0" w:evenVBand="0" w:oddHBand="0" w:evenHBand="0" w:firstRowFirstColumn="0" w:firstRowLastColumn="0" w:lastRowFirstColumn="0" w:lastRowLastColumn="0"/>
          <w:trHeight w:val="60"/>
        </w:trPr>
        <w:tc>
          <w:tcPr>
            <w:tcW w:w="3180" w:type="pct"/>
          </w:tcPr>
          <w:p w14:paraId="5BACFF96" w14:textId="5AFAEEB2" w:rsidR="00A56FF7" w:rsidRPr="00256091" w:rsidRDefault="00E83606" w:rsidP="00C51C9E">
            <w:pPr>
              <w:pStyle w:val="bang"/>
              <w:jc w:val="left"/>
              <w:rPr>
                <w:b/>
                <w:sz w:val="22"/>
                <w:lang w:val="de-DE"/>
              </w:rPr>
            </w:pPr>
            <w:r w:rsidRPr="00256091">
              <w:rPr>
                <w:b/>
                <w:sz w:val="22"/>
                <w:lang w:val="de-DE"/>
              </w:rPr>
              <w:t>Cardiovascular</w:t>
            </w:r>
            <w:r w:rsidR="00C51C9E" w:rsidRPr="00256091">
              <w:rPr>
                <w:b/>
                <w:sz w:val="22"/>
                <w:lang w:val="de-DE"/>
              </w:rPr>
              <w:t xml:space="preserve"> medications</w:t>
            </w:r>
          </w:p>
        </w:tc>
        <w:tc>
          <w:tcPr>
            <w:tcW w:w="279" w:type="pct"/>
          </w:tcPr>
          <w:p w14:paraId="16D607E5" w14:textId="77777777" w:rsidR="00A56FF7" w:rsidRPr="00256091" w:rsidRDefault="00A56FF7" w:rsidP="00B23631">
            <w:pPr>
              <w:pStyle w:val="bang"/>
              <w:jc w:val="right"/>
              <w:rPr>
                <w:b/>
                <w:sz w:val="22"/>
                <w:lang w:val="de-DE"/>
              </w:rPr>
            </w:pPr>
          </w:p>
        </w:tc>
        <w:tc>
          <w:tcPr>
            <w:tcW w:w="1541" w:type="pct"/>
          </w:tcPr>
          <w:p w14:paraId="2BF98CF9" w14:textId="5091EB17" w:rsidR="00A56FF7" w:rsidRPr="00256091" w:rsidRDefault="00A56FF7" w:rsidP="00B23631">
            <w:pPr>
              <w:pStyle w:val="bang"/>
              <w:jc w:val="right"/>
              <w:rPr>
                <w:b/>
                <w:sz w:val="22"/>
                <w:vertAlign w:val="subscript"/>
                <w:lang w:val="de-DE"/>
              </w:rPr>
            </w:pPr>
            <w:r w:rsidRPr="00256091">
              <w:rPr>
                <w:b/>
                <w:sz w:val="22"/>
                <w:lang w:val="de-DE"/>
              </w:rPr>
              <w:t>N=468</w:t>
            </w:r>
            <w:r w:rsidR="0025044B" w:rsidRPr="00256091">
              <w:rPr>
                <w:b/>
                <w:sz w:val="22"/>
                <w:lang w:val="de-DE"/>
              </w:rPr>
              <w:t xml:space="preserve"> (%)</w:t>
            </w:r>
          </w:p>
        </w:tc>
      </w:tr>
      <w:tr w:rsidR="00A56FF7" w:rsidRPr="00256091" w14:paraId="67140F5A" w14:textId="77777777" w:rsidTr="0023114C">
        <w:trPr>
          <w:trHeight w:val="80"/>
        </w:trPr>
        <w:tc>
          <w:tcPr>
            <w:tcW w:w="3180" w:type="pct"/>
          </w:tcPr>
          <w:p w14:paraId="4EB3095A" w14:textId="77777777" w:rsidR="00A56FF7" w:rsidRPr="00256091" w:rsidRDefault="00A56FF7" w:rsidP="00B23631">
            <w:pPr>
              <w:pStyle w:val="bang"/>
              <w:jc w:val="left"/>
              <w:rPr>
                <w:b/>
                <w:sz w:val="22"/>
                <w:lang w:val="de-DE"/>
              </w:rPr>
            </w:pPr>
            <w:r w:rsidRPr="00256091">
              <w:rPr>
                <w:b/>
                <w:sz w:val="22"/>
                <w:lang w:val="de-DE"/>
              </w:rPr>
              <w:t>CCBs</w:t>
            </w:r>
          </w:p>
          <w:p w14:paraId="4282760A" w14:textId="12ADEF26" w:rsidR="00A56FF7" w:rsidRPr="00256091" w:rsidRDefault="00A56FF7" w:rsidP="00B23631">
            <w:pPr>
              <w:pStyle w:val="bang"/>
              <w:jc w:val="left"/>
              <w:rPr>
                <w:sz w:val="22"/>
                <w:lang w:val="de-DE"/>
              </w:rPr>
            </w:pPr>
            <w:r w:rsidRPr="00256091">
              <w:rPr>
                <w:sz w:val="22"/>
                <w:lang w:val="de-DE"/>
              </w:rPr>
              <w:t>Amlodipin</w:t>
            </w:r>
          </w:p>
        </w:tc>
        <w:tc>
          <w:tcPr>
            <w:tcW w:w="279" w:type="pct"/>
          </w:tcPr>
          <w:p w14:paraId="21F72604" w14:textId="77777777" w:rsidR="00A56FF7" w:rsidRPr="00256091" w:rsidRDefault="00A56FF7" w:rsidP="00B23631">
            <w:pPr>
              <w:pStyle w:val="bang"/>
              <w:jc w:val="left"/>
              <w:rPr>
                <w:b/>
                <w:i/>
                <w:sz w:val="22"/>
                <w:lang w:val="de-DE"/>
              </w:rPr>
            </w:pPr>
          </w:p>
        </w:tc>
        <w:tc>
          <w:tcPr>
            <w:tcW w:w="1541" w:type="pct"/>
          </w:tcPr>
          <w:p w14:paraId="319F2C56" w14:textId="70269C13" w:rsidR="00A56FF7" w:rsidRPr="00256091" w:rsidRDefault="005860E1" w:rsidP="00751C64">
            <w:pPr>
              <w:pStyle w:val="bang"/>
              <w:jc w:val="right"/>
              <w:rPr>
                <w:b/>
                <w:sz w:val="22"/>
                <w:lang w:val="de-DE"/>
              </w:rPr>
            </w:pPr>
            <w:r w:rsidRPr="00256091">
              <w:rPr>
                <w:b/>
                <w:sz w:val="22"/>
                <w:lang w:val="de-DE"/>
              </w:rPr>
              <w:t>283 (60.5</w:t>
            </w:r>
            <w:r w:rsidR="00A56FF7" w:rsidRPr="00256091">
              <w:rPr>
                <w:b/>
                <w:sz w:val="22"/>
                <w:lang w:val="de-DE"/>
              </w:rPr>
              <w:t>)</w:t>
            </w:r>
          </w:p>
          <w:p w14:paraId="217A2CC4" w14:textId="3E1AA7D5" w:rsidR="00A56FF7" w:rsidRPr="00256091" w:rsidRDefault="005860E1" w:rsidP="00751C64">
            <w:pPr>
              <w:pStyle w:val="bang"/>
              <w:jc w:val="right"/>
              <w:rPr>
                <w:sz w:val="22"/>
                <w:lang w:val="de-DE"/>
              </w:rPr>
            </w:pPr>
            <w:r w:rsidRPr="00256091">
              <w:rPr>
                <w:sz w:val="22"/>
                <w:lang w:val="de-DE"/>
              </w:rPr>
              <w:t>283 (60.5</w:t>
            </w:r>
            <w:r w:rsidR="00A56FF7" w:rsidRPr="00256091">
              <w:rPr>
                <w:sz w:val="22"/>
                <w:lang w:val="de-DE"/>
              </w:rPr>
              <w:t>)</w:t>
            </w:r>
          </w:p>
        </w:tc>
      </w:tr>
      <w:tr w:rsidR="00A56FF7" w:rsidRPr="00256091" w14:paraId="1203DF14" w14:textId="77777777" w:rsidTr="0023114C">
        <w:trPr>
          <w:trHeight w:val="80"/>
        </w:trPr>
        <w:tc>
          <w:tcPr>
            <w:tcW w:w="3180" w:type="pct"/>
          </w:tcPr>
          <w:p w14:paraId="4FBAA7E6" w14:textId="77777777" w:rsidR="00A56FF7" w:rsidRPr="00256091" w:rsidRDefault="00A56FF7" w:rsidP="00B23631">
            <w:pPr>
              <w:pStyle w:val="bang"/>
              <w:jc w:val="left"/>
              <w:rPr>
                <w:b/>
                <w:sz w:val="22"/>
                <w:lang w:val="de-DE"/>
              </w:rPr>
            </w:pPr>
            <w:r w:rsidRPr="00256091">
              <w:rPr>
                <w:b/>
                <w:sz w:val="22"/>
                <w:lang w:val="de-DE"/>
              </w:rPr>
              <w:t>ARBs</w:t>
            </w:r>
          </w:p>
          <w:p w14:paraId="04D519C4" w14:textId="77777777" w:rsidR="00A56FF7" w:rsidRPr="00256091" w:rsidRDefault="00A56FF7" w:rsidP="00B23631">
            <w:pPr>
              <w:pStyle w:val="bang"/>
              <w:jc w:val="left"/>
              <w:rPr>
                <w:rFonts w:eastAsia="Times New Roman"/>
                <w:sz w:val="22"/>
              </w:rPr>
            </w:pPr>
            <w:r w:rsidRPr="00256091">
              <w:rPr>
                <w:rFonts w:eastAsia="Times New Roman"/>
                <w:sz w:val="22"/>
              </w:rPr>
              <w:t>Telmisartan</w:t>
            </w:r>
          </w:p>
          <w:p w14:paraId="796A64C4" w14:textId="77777777" w:rsidR="00A56FF7" w:rsidRPr="00256091" w:rsidRDefault="00A56FF7" w:rsidP="00B23631">
            <w:pPr>
              <w:pStyle w:val="bang"/>
              <w:jc w:val="left"/>
              <w:rPr>
                <w:rFonts w:eastAsia="Times New Roman"/>
                <w:sz w:val="22"/>
              </w:rPr>
            </w:pPr>
            <w:r w:rsidRPr="00256091">
              <w:rPr>
                <w:rFonts w:eastAsia="Times New Roman"/>
                <w:sz w:val="22"/>
              </w:rPr>
              <w:t>Irbesartan</w:t>
            </w:r>
          </w:p>
          <w:p w14:paraId="079DD9B9" w14:textId="01A8A83F" w:rsidR="00A56FF7" w:rsidRPr="00256091" w:rsidRDefault="00A56FF7" w:rsidP="00B23631">
            <w:pPr>
              <w:pStyle w:val="bang"/>
              <w:jc w:val="left"/>
              <w:rPr>
                <w:sz w:val="22"/>
                <w:lang w:val="de-DE"/>
              </w:rPr>
            </w:pPr>
            <w:r w:rsidRPr="00256091">
              <w:rPr>
                <w:rFonts w:eastAsia="Times New Roman"/>
                <w:sz w:val="22"/>
              </w:rPr>
              <w:t>Candesartan</w:t>
            </w:r>
          </w:p>
        </w:tc>
        <w:tc>
          <w:tcPr>
            <w:tcW w:w="279" w:type="pct"/>
          </w:tcPr>
          <w:p w14:paraId="4DB64282" w14:textId="77777777" w:rsidR="00A56FF7" w:rsidRPr="00256091" w:rsidRDefault="00A56FF7" w:rsidP="00B23631">
            <w:pPr>
              <w:pStyle w:val="bang"/>
              <w:jc w:val="left"/>
              <w:rPr>
                <w:b/>
                <w:i/>
                <w:sz w:val="22"/>
                <w:lang w:val="de-DE"/>
              </w:rPr>
            </w:pPr>
          </w:p>
        </w:tc>
        <w:tc>
          <w:tcPr>
            <w:tcW w:w="1541" w:type="pct"/>
          </w:tcPr>
          <w:p w14:paraId="00EE2315" w14:textId="264204E6" w:rsidR="00A56FF7" w:rsidRPr="00256091" w:rsidRDefault="000D6927" w:rsidP="00B23631">
            <w:pPr>
              <w:pStyle w:val="bang"/>
              <w:jc w:val="right"/>
              <w:rPr>
                <w:b/>
                <w:sz w:val="22"/>
                <w:lang w:val="de-DE"/>
              </w:rPr>
            </w:pPr>
            <w:r w:rsidRPr="00256091">
              <w:rPr>
                <w:b/>
                <w:sz w:val="22"/>
                <w:lang w:val="de-DE"/>
              </w:rPr>
              <w:t>96 (20.5</w:t>
            </w:r>
            <w:r w:rsidR="00A56FF7" w:rsidRPr="00256091">
              <w:rPr>
                <w:b/>
                <w:sz w:val="22"/>
                <w:lang w:val="de-DE"/>
              </w:rPr>
              <w:t>)</w:t>
            </w:r>
          </w:p>
          <w:p w14:paraId="7D543637" w14:textId="3E98A5CF" w:rsidR="00A56FF7" w:rsidRPr="00256091" w:rsidRDefault="00A56FF7" w:rsidP="00B23631">
            <w:pPr>
              <w:pStyle w:val="bang"/>
              <w:jc w:val="right"/>
              <w:rPr>
                <w:sz w:val="22"/>
                <w:lang w:val="de-DE"/>
              </w:rPr>
            </w:pPr>
            <w:r w:rsidRPr="00256091">
              <w:rPr>
                <w:sz w:val="22"/>
                <w:lang w:val="de-DE"/>
              </w:rPr>
              <w:t>52</w:t>
            </w:r>
            <w:r w:rsidR="000D6927" w:rsidRPr="00256091">
              <w:rPr>
                <w:sz w:val="22"/>
                <w:lang w:val="de-DE"/>
              </w:rPr>
              <w:t xml:space="preserve"> (11.1)</w:t>
            </w:r>
          </w:p>
          <w:p w14:paraId="3E4B21DF" w14:textId="186A7B17" w:rsidR="00A56FF7" w:rsidRPr="00256091" w:rsidRDefault="00A56FF7" w:rsidP="00B23631">
            <w:pPr>
              <w:pStyle w:val="bang"/>
              <w:jc w:val="right"/>
              <w:rPr>
                <w:sz w:val="22"/>
                <w:lang w:val="de-DE"/>
              </w:rPr>
            </w:pPr>
            <w:r w:rsidRPr="00256091">
              <w:rPr>
                <w:sz w:val="22"/>
                <w:lang w:val="de-DE"/>
              </w:rPr>
              <w:t>43</w:t>
            </w:r>
            <w:r w:rsidR="000D6927" w:rsidRPr="00256091">
              <w:rPr>
                <w:sz w:val="22"/>
                <w:lang w:val="de-DE"/>
              </w:rPr>
              <w:t xml:space="preserve"> (9.18)</w:t>
            </w:r>
          </w:p>
          <w:p w14:paraId="642246D2" w14:textId="437D6C7A" w:rsidR="00A56FF7" w:rsidRPr="00256091" w:rsidRDefault="00A56FF7" w:rsidP="00B23631">
            <w:pPr>
              <w:pStyle w:val="bang"/>
              <w:jc w:val="right"/>
              <w:rPr>
                <w:sz w:val="22"/>
                <w:lang w:val="de-DE"/>
              </w:rPr>
            </w:pPr>
            <w:r w:rsidRPr="00256091">
              <w:rPr>
                <w:sz w:val="22"/>
                <w:lang w:val="de-DE"/>
              </w:rPr>
              <w:t>1</w:t>
            </w:r>
            <w:r w:rsidR="000D6927" w:rsidRPr="00256091">
              <w:rPr>
                <w:sz w:val="22"/>
                <w:lang w:val="de-DE"/>
              </w:rPr>
              <w:t xml:space="preserve"> (0.22)</w:t>
            </w:r>
          </w:p>
        </w:tc>
      </w:tr>
      <w:tr w:rsidR="00A56FF7" w:rsidRPr="00256091" w14:paraId="35CCE409" w14:textId="77777777" w:rsidTr="0023114C">
        <w:trPr>
          <w:trHeight w:val="80"/>
        </w:trPr>
        <w:tc>
          <w:tcPr>
            <w:tcW w:w="3180" w:type="pct"/>
          </w:tcPr>
          <w:p w14:paraId="4CAE6CBE" w14:textId="77777777" w:rsidR="00A56FF7" w:rsidRPr="00256091" w:rsidRDefault="00A56FF7" w:rsidP="00B23631">
            <w:pPr>
              <w:pStyle w:val="bang"/>
              <w:jc w:val="left"/>
              <w:rPr>
                <w:b/>
                <w:sz w:val="22"/>
                <w:lang w:val="de-DE"/>
              </w:rPr>
            </w:pPr>
            <w:r w:rsidRPr="00256091">
              <w:rPr>
                <w:b/>
                <w:sz w:val="22"/>
                <w:lang w:val="de-DE"/>
              </w:rPr>
              <w:t>Statin</w:t>
            </w:r>
          </w:p>
          <w:p w14:paraId="6F61BB9B" w14:textId="77777777" w:rsidR="00751C64" w:rsidRPr="00256091" w:rsidRDefault="00751C64" w:rsidP="00B23631">
            <w:pPr>
              <w:pStyle w:val="bang"/>
              <w:jc w:val="left"/>
              <w:rPr>
                <w:rFonts w:eastAsia="Times New Roman"/>
                <w:sz w:val="22"/>
              </w:rPr>
            </w:pPr>
            <w:r w:rsidRPr="00256091">
              <w:rPr>
                <w:rFonts w:eastAsia="Times New Roman"/>
                <w:sz w:val="22"/>
              </w:rPr>
              <w:t>Atorvastatin</w:t>
            </w:r>
          </w:p>
          <w:p w14:paraId="3991AE40" w14:textId="13672B63" w:rsidR="00751C64" w:rsidRPr="00256091" w:rsidRDefault="00751C64" w:rsidP="00B23631">
            <w:pPr>
              <w:pStyle w:val="bang"/>
              <w:jc w:val="left"/>
              <w:rPr>
                <w:sz w:val="22"/>
                <w:lang w:val="de-DE"/>
              </w:rPr>
            </w:pPr>
            <w:r w:rsidRPr="00256091">
              <w:rPr>
                <w:rFonts w:eastAsia="Times New Roman"/>
                <w:sz w:val="22"/>
              </w:rPr>
              <w:t>Rosuvastatin</w:t>
            </w:r>
          </w:p>
        </w:tc>
        <w:tc>
          <w:tcPr>
            <w:tcW w:w="279" w:type="pct"/>
          </w:tcPr>
          <w:p w14:paraId="24D698A1" w14:textId="77777777" w:rsidR="00A56FF7" w:rsidRPr="00256091" w:rsidRDefault="00A56FF7" w:rsidP="00B23631">
            <w:pPr>
              <w:pStyle w:val="bang"/>
              <w:jc w:val="left"/>
              <w:rPr>
                <w:b/>
                <w:i/>
                <w:sz w:val="22"/>
                <w:lang w:val="de-DE"/>
              </w:rPr>
            </w:pPr>
          </w:p>
        </w:tc>
        <w:tc>
          <w:tcPr>
            <w:tcW w:w="1541" w:type="pct"/>
          </w:tcPr>
          <w:p w14:paraId="122CEDE7" w14:textId="77777777" w:rsidR="00A56FF7" w:rsidRPr="00256091" w:rsidRDefault="00A56FF7" w:rsidP="00B23631">
            <w:pPr>
              <w:pStyle w:val="bang"/>
              <w:jc w:val="right"/>
              <w:rPr>
                <w:b/>
                <w:sz w:val="22"/>
                <w:lang w:val="de-DE"/>
              </w:rPr>
            </w:pPr>
            <w:r w:rsidRPr="00256091">
              <w:rPr>
                <w:b/>
                <w:sz w:val="22"/>
                <w:lang w:val="de-DE"/>
              </w:rPr>
              <w:t>64 (13.68)</w:t>
            </w:r>
          </w:p>
          <w:p w14:paraId="77F83507" w14:textId="3DB75A30" w:rsidR="00751C64" w:rsidRPr="00256091" w:rsidRDefault="00751C64" w:rsidP="00B23631">
            <w:pPr>
              <w:pStyle w:val="bang"/>
              <w:jc w:val="right"/>
              <w:rPr>
                <w:sz w:val="22"/>
                <w:lang w:val="de-DE"/>
              </w:rPr>
            </w:pPr>
            <w:r w:rsidRPr="00256091">
              <w:rPr>
                <w:sz w:val="22"/>
                <w:lang w:val="de-DE"/>
              </w:rPr>
              <w:t>36</w:t>
            </w:r>
            <w:r w:rsidR="000D6927" w:rsidRPr="00256091">
              <w:rPr>
                <w:sz w:val="22"/>
                <w:lang w:val="de-DE"/>
              </w:rPr>
              <w:t xml:space="preserve"> (7.69)</w:t>
            </w:r>
          </w:p>
          <w:p w14:paraId="57AA27FC" w14:textId="25507FA8" w:rsidR="00751C64" w:rsidRPr="00256091" w:rsidRDefault="00751C64" w:rsidP="00B23631">
            <w:pPr>
              <w:pStyle w:val="bang"/>
              <w:jc w:val="right"/>
              <w:rPr>
                <w:sz w:val="22"/>
                <w:lang w:val="de-DE"/>
              </w:rPr>
            </w:pPr>
            <w:r w:rsidRPr="00256091">
              <w:rPr>
                <w:sz w:val="22"/>
                <w:lang w:val="de-DE"/>
              </w:rPr>
              <w:t>28</w:t>
            </w:r>
            <w:r w:rsidR="000D6927" w:rsidRPr="00256091">
              <w:rPr>
                <w:sz w:val="22"/>
                <w:lang w:val="de-DE"/>
              </w:rPr>
              <w:t xml:space="preserve"> (5.99)</w:t>
            </w:r>
          </w:p>
        </w:tc>
      </w:tr>
      <w:tr w:rsidR="00A56FF7" w:rsidRPr="00256091" w14:paraId="04DA2BAF" w14:textId="77777777" w:rsidTr="0023114C">
        <w:trPr>
          <w:trHeight w:val="80"/>
        </w:trPr>
        <w:tc>
          <w:tcPr>
            <w:tcW w:w="3180" w:type="pct"/>
          </w:tcPr>
          <w:p w14:paraId="7EECF3DF" w14:textId="77777777" w:rsidR="00A56FF7" w:rsidRPr="00256091" w:rsidRDefault="00A56FF7" w:rsidP="00B23631">
            <w:pPr>
              <w:pStyle w:val="bang"/>
              <w:jc w:val="left"/>
              <w:rPr>
                <w:b/>
                <w:sz w:val="22"/>
                <w:lang w:val="de-DE"/>
              </w:rPr>
            </w:pPr>
            <w:r w:rsidRPr="00256091">
              <w:rPr>
                <w:b/>
                <w:sz w:val="22"/>
                <w:lang w:val="de-DE"/>
              </w:rPr>
              <w:t>Diuretics</w:t>
            </w:r>
          </w:p>
          <w:p w14:paraId="5E735C5A" w14:textId="3F05278B" w:rsidR="00751C64" w:rsidRPr="00256091" w:rsidRDefault="00751C64" w:rsidP="00B23631">
            <w:pPr>
              <w:pStyle w:val="bang"/>
              <w:jc w:val="left"/>
              <w:rPr>
                <w:rFonts w:eastAsia="Times New Roman"/>
                <w:sz w:val="22"/>
              </w:rPr>
            </w:pPr>
            <w:r w:rsidRPr="00256091">
              <w:rPr>
                <w:rFonts w:eastAsia="Times New Roman"/>
                <w:sz w:val="22"/>
              </w:rPr>
              <w:t>Hydroc</w:t>
            </w:r>
            <w:r w:rsidR="00006FE0" w:rsidRPr="00256091">
              <w:rPr>
                <w:rFonts w:eastAsia="Times New Roman"/>
                <w:sz w:val="22"/>
              </w:rPr>
              <w:t>h</w:t>
            </w:r>
            <w:r w:rsidRPr="00256091">
              <w:rPr>
                <w:rFonts w:eastAsia="Times New Roman"/>
                <w:sz w:val="22"/>
              </w:rPr>
              <w:t>lorothiazid</w:t>
            </w:r>
            <w:r w:rsidR="00F42EB6" w:rsidRPr="00256091">
              <w:rPr>
                <w:rFonts w:eastAsia="Times New Roman"/>
                <w:sz w:val="22"/>
              </w:rPr>
              <w:t>e</w:t>
            </w:r>
          </w:p>
          <w:p w14:paraId="1054FFEB" w14:textId="634A30BD" w:rsidR="00751C64" w:rsidRPr="00256091" w:rsidRDefault="00751C64" w:rsidP="00B23631">
            <w:pPr>
              <w:pStyle w:val="bang"/>
              <w:jc w:val="left"/>
              <w:rPr>
                <w:sz w:val="22"/>
                <w:lang w:val="de-DE"/>
              </w:rPr>
            </w:pPr>
            <w:r w:rsidRPr="00256091">
              <w:rPr>
                <w:rFonts w:eastAsia="Times New Roman"/>
                <w:sz w:val="22"/>
              </w:rPr>
              <w:t>Furosemid</w:t>
            </w:r>
            <w:r w:rsidR="00F42EB6" w:rsidRPr="00256091">
              <w:rPr>
                <w:rFonts w:eastAsia="Times New Roman"/>
                <w:sz w:val="22"/>
              </w:rPr>
              <w:t>e</w:t>
            </w:r>
          </w:p>
        </w:tc>
        <w:tc>
          <w:tcPr>
            <w:tcW w:w="279" w:type="pct"/>
          </w:tcPr>
          <w:p w14:paraId="27EA9B43" w14:textId="77777777" w:rsidR="00A56FF7" w:rsidRPr="00256091" w:rsidRDefault="00A56FF7" w:rsidP="00B23631">
            <w:pPr>
              <w:pStyle w:val="bang"/>
              <w:jc w:val="left"/>
              <w:rPr>
                <w:b/>
                <w:i/>
                <w:sz w:val="22"/>
                <w:lang w:val="de-DE"/>
              </w:rPr>
            </w:pPr>
          </w:p>
        </w:tc>
        <w:tc>
          <w:tcPr>
            <w:tcW w:w="1541" w:type="pct"/>
          </w:tcPr>
          <w:p w14:paraId="57C167BA" w14:textId="14F662EC" w:rsidR="00A56FF7" w:rsidRPr="00256091" w:rsidRDefault="000D6927" w:rsidP="00B23631">
            <w:pPr>
              <w:pStyle w:val="bang"/>
              <w:jc w:val="right"/>
              <w:rPr>
                <w:b/>
                <w:sz w:val="22"/>
                <w:lang w:val="de-DE"/>
              </w:rPr>
            </w:pPr>
            <w:r w:rsidRPr="00256091">
              <w:rPr>
                <w:b/>
                <w:sz w:val="22"/>
                <w:lang w:val="de-DE"/>
              </w:rPr>
              <w:t>62 (13.2</w:t>
            </w:r>
            <w:r w:rsidR="00A56FF7" w:rsidRPr="00256091">
              <w:rPr>
                <w:b/>
                <w:sz w:val="22"/>
                <w:lang w:val="de-DE"/>
              </w:rPr>
              <w:t>)</w:t>
            </w:r>
          </w:p>
          <w:p w14:paraId="31B53E7C" w14:textId="4B3DC210" w:rsidR="00751C64" w:rsidRPr="00256091" w:rsidRDefault="00751C64" w:rsidP="00B23631">
            <w:pPr>
              <w:pStyle w:val="bang"/>
              <w:jc w:val="right"/>
              <w:rPr>
                <w:sz w:val="22"/>
                <w:lang w:val="de-DE"/>
              </w:rPr>
            </w:pPr>
            <w:r w:rsidRPr="00256091">
              <w:rPr>
                <w:sz w:val="22"/>
                <w:lang w:val="de-DE"/>
              </w:rPr>
              <w:t>58</w:t>
            </w:r>
            <w:r w:rsidR="000D6927" w:rsidRPr="00256091">
              <w:rPr>
                <w:sz w:val="22"/>
                <w:lang w:val="de-DE"/>
              </w:rPr>
              <w:t xml:space="preserve"> (12.4)</w:t>
            </w:r>
          </w:p>
          <w:p w14:paraId="6E53185A" w14:textId="3418104A" w:rsidR="00751C64" w:rsidRPr="00256091" w:rsidRDefault="00751C64" w:rsidP="00B23631">
            <w:pPr>
              <w:pStyle w:val="bang"/>
              <w:jc w:val="right"/>
              <w:rPr>
                <w:sz w:val="22"/>
                <w:lang w:val="de-DE"/>
              </w:rPr>
            </w:pPr>
            <w:r w:rsidRPr="00256091">
              <w:rPr>
                <w:sz w:val="22"/>
                <w:lang w:val="de-DE"/>
              </w:rPr>
              <w:t>4</w:t>
            </w:r>
            <w:r w:rsidR="006A5CD6" w:rsidRPr="00256091">
              <w:rPr>
                <w:sz w:val="22"/>
                <w:lang w:val="de-DE"/>
              </w:rPr>
              <w:t xml:space="preserve"> (0.80</w:t>
            </w:r>
            <w:r w:rsidR="000D6927" w:rsidRPr="00256091">
              <w:rPr>
                <w:sz w:val="22"/>
                <w:lang w:val="de-DE"/>
              </w:rPr>
              <w:t>)</w:t>
            </w:r>
          </w:p>
        </w:tc>
      </w:tr>
      <w:tr w:rsidR="00A56FF7" w:rsidRPr="00256091" w14:paraId="523A8E16" w14:textId="77777777" w:rsidTr="0023114C">
        <w:trPr>
          <w:trHeight w:val="80"/>
        </w:trPr>
        <w:tc>
          <w:tcPr>
            <w:tcW w:w="3180" w:type="pct"/>
          </w:tcPr>
          <w:p w14:paraId="1ADB1C41" w14:textId="77777777" w:rsidR="00A56FF7" w:rsidRPr="00256091" w:rsidRDefault="00A56FF7" w:rsidP="00B23631">
            <w:pPr>
              <w:pStyle w:val="bang"/>
              <w:jc w:val="left"/>
              <w:rPr>
                <w:b/>
                <w:sz w:val="22"/>
                <w:lang w:val="de-DE"/>
              </w:rPr>
            </w:pPr>
            <w:r w:rsidRPr="00256091">
              <w:rPr>
                <w:b/>
                <w:sz w:val="22"/>
                <w:lang w:val="de-DE"/>
              </w:rPr>
              <w:t>ACEIs</w:t>
            </w:r>
          </w:p>
          <w:p w14:paraId="49C8548E" w14:textId="43CACAA6" w:rsidR="00751C64" w:rsidRPr="00256091" w:rsidRDefault="00751C64" w:rsidP="00B23631">
            <w:pPr>
              <w:pStyle w:val="bang"/>
              <w:jc w:val="left"/>
              <w:rPr>
                <w:rFonts w:eastAsia="Times New Roman"/>
                <w:sz w:val="22"/>
              </w:rPr>
            </w:pPr>
            <w:r w:rsidRPr="00256091">
              <w:rPr>
                <w:rFonts w:eastAsia="Times New Roman"/>
                <w:sz w:val="22"/>
              </w:rPr>
              <w:t>Peri</w:t>
            </w:r>
            <w:r w:rsidR="00006FE0" w:rsidRPr="00256091">
              <w:rPr>
                <w:rFonts w:eastAsia="Times New Roman"/>
                <w:sz w:val="22"/>
              </w:rPr>
              <w:t>n</w:t>
            </w:r>
            <w:r w:rsidRPr="00256091">
              <w:rPr>
                <w:rFonts w:eastAsia="Times New Roman"/>
                <w:sz w:val="22"/>
              </w:rPr>
              <w:t>dopril</w:t>
            </w:r>
          </w:p>
          <w:p w14:paraId="7B0E3D77" w14:textId="77777777" w:rsidR="00751C64" w:rsidRPr="00256091" w:rsidRDefault="00751C64" w:rsidP="00B23631">
            <w:pPr>
              <w:pStyle w:val="bang"/>
              <w:jc w:val="left"/>
              <w:rPr>
                <w:rFonts w:eastAsia="Times New Roman"/>
                <w:sz w:val="22"/>
              </w:rPr>
            </w:pPr>
            <w:r w:rsidRPr="00256091">
              <w:rPr>
                <w:rFonts w:eastAsia="Times New Roman"/>
                <w:sz w:val="22"/>
              </w:rPr>
              <w:t>Enalapril</w:t>
            </w:r>
          </w:p>
          <w:p w14:paraId="40CA9D22" w14:textId="6C58E9E6" w:rsidR="00751C64" w:rsidRPr="00256091" w:rsidRDefault="00751C64" w:rsidP="00B23631">
            <w:pPr>
              <w:pStyle w:val="bang"/>
              <w:jc w:val="left"/>
              <w:rPr>
                <w:sz w:val="22"/>
                <w:lang w:val="de-DE"/>
              </w:rPr>
            </w:pPr>
            <w:r w:rsidRPr="00256091">
              <w:rPr>
                <w:rFonts w:eastAsia="Times New Roman"/>
                <w:sz w:val="22"/>
              </w:rPr>
              <w:t>Captopril</w:t>
            </w:r>
          </w:p>
        </w:tc>
        <w:tc>
          <w:tcPr>
            <w:tcW w:w="279" w:type="pct"/>
          </w:tcPr>
          <w:p w14:paraId="37FB02E9" w14:textId="77777777" w:rsidR="00A56FF7" w:rsidRPr="00256091" w:rsidRDefault="00A56FF7" w:rsidP="00B23631">
            <w:pPr>
              <w:pStyle w:val="bang"/>
              <w:jc w:val="left"/>
              <w:rPr>
                <w:b/>
                <w:i/>
                <w:sz w:val="22"/>
                <w:lang w:val="de-DE"/>
              </w:rPr>
            </w:pPr>
          </w:p>
        </w:tc>
        <w:tc>
          <w:tcPr>
            <w:tcW w:w="1541" w:type="pct"/>
          </w:tcPr>
          <w:p w14:paraId="56875E3A" w14:textId="77777777" w:rsidR="00A56FF7" w:rsidRPr="00256091" w:rsidRDefault="00A56FF7" w:rsidP="00B23631">
            <w:pPr>
              <w:pStyle w:val="bang"/>
              <w:jc w:val="right"/>
              <w:rPr>
                <w:b/>
                <w:sz w:val="22"/>
                <w:lang w:val="de-DE"/>
              </w:rPr>
            </w:pPr>
            <w:r w:rsidRPr="00256091">
              <w:rPr>
                <w:b/>
                <w:sz w:val="22"/>
                <w:lang w:val="de-DE"/>
              </w:rPr>
              <w:t>21 (4.49)</w:t>
            </w:r>
          </w:p>
          <w:p w14:paraId="0AC4F519" w14:textId="1A35C106" w:rsidR="00751C64" w:rsidRPr="00256091" w:rsidRDefault="00751C64" w:rsidP="00B23631">
            <w:pPr>
              <w:pStyle w:val="bang"/>
              <w:jc w:val="right"/>
              <w:rPr>
                <w:sz w:val="22"/>
                <w:lang w:val="de-DE"/>
              </w:rPr>
            </w:pPr>
            <w:r w:rsidRPr="00256091">
              <w:rPr>
                <w:sz w:val="22"/>
                <w:lang w:val="de-DE"/>
              </w:rPr>
              <w:t>14</w:t>
            </w:r>
            <w:r w:rsidR="006A5CD6" w:rsidRPr="00256091">
              <w:rPr>
                <w:sz w:val="22"/>
                <w:lang w:val="de-DE"/>
              </w:rPr>
              <w:t xml:space="preserve"> (2.99)</w:t>
            </w:r>
          </w:p>
          <w:p w14:paraId="2A121D82" w14:textId="6976C806" w:rsidR="00751C64" w:rsidRPr="00256091" w:rsidRDefault="00751C64" w:rsidP="00B23631">
            <w:pPr>
              <w:pStyle w:val="bang"/>
              <w:jc w:val="right"/>
              <w:rPr>
                <w:sz w:val="22"/>
                <w:lang w:val="de-DE"/>
              </w:rPr>
            </w:pPr>
            <w:r w:rsidRPr="00256091">
              <w:rPr>
                <w:sz w:val="22"/>
                <w:lang w:val="de-DE"/>
              </w:rPr>
              <w:t>4</w:t>
            </w:r>
            <w:r w:rsidR="006A5CD6" w:rsidRPr="00256091">
              <w:rPr>
                <w:sz w:val="22"/>
                <w:lang w:val="de-DE"/>
              </w:rPr>
              <w:t xml:space="preserve"> (0.85)</w:t>
            </w:r>
          </w:p>
          <w:p w14:paraId="33AB6B27" w14:textId="60192AEE" w:rsidR="00751C64" w:rsidRPr="00256091" w:rsidRDefault="00751C64" w:rsidP="00B23631">
            <w:pPr>
              <w:pStyle w:val="bang"/>
              <w:jc w:val="right"/>
              <w:rPr>
                <w:sz w:val="22"/>
                <w:lang w:val="de-DE"/>
              </w:rPr>
            </w:pPr>
            <w:r w:rsidRPr="00256091">
              <w:rPr>
                <w:sz w:val="22"/>
                <w:lang w:val="de-DE"/>
              </w:rPr>
              <w:t>3</w:t>
            </w:r>
            <w:r w:rsidR="006A5CD6" w:rsidRPr="00256091">
              <w:rPr>
                <w:sz w:val="22"/>
                <w:lang w:val="de-DE"/>
              </w:rPr>
              <w:t xml:space="preserve"> (0.65)</w:t>
            </w:r>
          </w:p>
        </w:tc>
      </w:tr>
      <w:tr w:rsidR="00A56FF7" w:rsidRPr="00256091" w14:paraId="213BAFF1" w14:textId="77777777" w:rsidTr="0023114C">
        <w:trPr>
          <w:trHeight w:val="80"/>
        </w:trPr>
        <w:tc>
          <w:tcPr>
            <w:tcW w:w="3180" w:type="pct"/>
          </w:tcPr>
          <w:p w14:paraId="318490F9" w14:textId="77777777" w:rsidR="00A56FF7" w:rsidRPr="00256091" w:rsidRDefault="00A56FF7" w:rsidP="00B23631">
            <w:pPr>
              <w:pStyle w:val="bang"/>
              <w:jc w:val="left"/>
              <w:rPr>
                <w:b/>
                <w:sz w:val="22"/>
                <w:lang w:val="de-DE"/>
              </w:rPr>
            </w:pPr>
            <w:r w:rsidRPr="00256091">
              <w:rPr>
                <w:b/>
                <w:sz w:val="22"/>
                <w:lang w:val="de-DE"/>
              </w:rPr>
              <w:t xml:space="preserve">Organic nitrates </w:t>
            </w:r>
          </w:p>
          <w:p w14:paraId="2B69B072" w14:textId="55CD2343" w:rsidR="00751C64" w:rsidRPr="00256091" w:rsidRDefault="00751C64" w:rsidP="00B23631">
            <w:pPr>
              <w:pStyle w:val="bang"/>
              <w:jc w:val="left"/>
              <w:rPr>
                <w:sz w:val="22"/>
                <w:lang w:val="de-DE"/>
              </w:rPr>
            </w:pPr>
            <w:r w:rsidRPr="00256091">
              <w:rPr>
                <w:rFonts w:eastAsia="Times New Roman"/>
                <w:sz w:val="22"/>
              </w:rPr>
              <w:t>Isosorbid</w:t>
            </w:r>
            <w:r w:rsidR="00006FE0" w:rsidRPr="00256091">
              <w:rPr>
                <w:rFonts w:eastAsia="Times New Roman"/>
                <w:sz w:val="22"/>
              </w:rPr>
              <w:t>e</w:t>
            </w:r>
            <w:r w:rsidRPr="00256091">
              <w:rPr>
                <w:rFonts w:eastAsia="Times New Roman"/>
                <w:sz w:val="22"/>
              </w:rPr>
              <w:t xml:space="preserve"> mononitrat</w:t>
            </w:r>
            <w:r w:rsidR="00F42EB6" w:rsidRPr="00256091">
              <w:rPr>
                <w:rFonts w:eastAsia="Times New Roman"/>
                <w:sz w:val="22"/>
              </w:rPr>
              <w:t>e</w:t>
            </w:r>
          </w:p>
        </w:tc>
        <w:tc>
          <w:tcPr>
            <w:tcW w:w="279" w:type="pct"/>
          </w:tcPr>
          <w:p w14:paraId="10A2BFB6" w14:textId="77777777" w:rsidR="00A56FF7" w:rsidRPr="00256091" w:rsidRDefault="00A56FF7" w:rsidP="00B23631">
            <w:pPr>
              <w:pStyle w:val="bang"/>
              <w:jc w:val="left"/>
              <w:rPr>
                <w:b/>
                <w:i/>
                <w:sz w:val="22"/>
                <w:lang w:val="de-DE"/>
              </w:rPr>
            </w:pPr>
          </w:p>
        </w:tc>
        <w:tc>
          <w:tcPr>
            <w:tcW w:w="1541" w:type="pct"/>
          </w:tcPr>
          <w:p w14:paraId="1EF53BA5" w14:textId="77777777" w:rsidR="00A56FF7" w:rsidRPr="00256091" w:rsidRDefault="00A56FF7" w:rsidP="00B23631">
            <w:pPr>
              <w:pStyle w:val="bang"/>
              <w:jc w:val="right"/>
              <w:rPr>
                <w:b/>
                <w:sz w:val="22"/>
                <w:lang w:val="de-DE"/>
              </w:rPr>
            </w:pPr>
            <w:r w:rsidRPr="00256091">
              <w:rPr>
                <w:b/>
                <w:sz w:val="22"/>
                <w:lang w:val="de-DE"/>
              </w:rPr>
              <w:t>10 (2.14)</w:t>
            </w:r>
          </w:p>
          <w:p w14:paraId="4EA168BB" w14:textId="4090C746" w:rsidR="00751C64" w:rsidRPr="00256091" w:rsidRDefault="00751C64" w:rsidP="00B23631">
            <w:pPr>
              <w:pStyle w:val="bang"/>
              <w:jc w:val="right"/>
              <w:rPr>
                <w:sz w:val="22"/>
                <w:lang w:val="de-DE"/>
              </w:rPr>
            </w:pPr>
            <w:r w:rsidRPr="00256091">
              <w:rPr>
                <w:sz w:val="22"/>
                <w:lang w:val="de-DE"/>
              </w:rPr>
              <w:t>10</w:t>
            </w:r>
            <w:r w:rsidR="006A5CD6" w:rsidRPr="00256091">
              <w:rPr>
                <w:sz w:val="22"/>
                <w:lang w:val="de-DE"/>
              </w:rPr>
              <w:t xml:space="preserve"> (2.14)</w:t>
            </w:r>
          </w:p>
        </w:tc>
      </w:tr>
      <w:tr w:rsidR="00A56FF7" w:rsidRPr="00256091" w14:paraId="00C4A4A5" w14:textId="77777777" w:rsidTr="0023114C">
        <w:trPr>
          <w:trHeight w:val="80"/>
        </w:trPr>
        <w:tc>
          <w:tcPr>
            <w:tcW w:w="3180" w:type="pct"/>
          </w:tcPr>
          <w:p w14:paraId="3C6A82F2" w14:textId="2C64C5C1" w:rsidR="00A56FF7" w:rsidRPr="00256091" w:rsidRDefault="00A56FF7" w:rsidP="00B23631">
            <w:pPr>
              <w:pStyle w:val="bang"/>
              <w:jc w:val="left"/>
              <w:rPr>
                <w:rFonts w:eastAsia="Times New Roman"/>
                <w:b/>
                <w:sz w:val="22"/>
              </w:rPr>
            </w:pPr>
            <w:r w:rsidRPr="00256091">
              <w:rPr>
                <w:rFonts w:eastAsia="Times New Roman"/>
                <w:b/>
                <w:sz w:val="22"/>
              </w:rPr>
              <w:t>β-blockers</w:t>
            </w:r>
          </w:p>
          <w:p w14:paraId="399A7AF7" w14:textId="77777777" w:rsidR="00751C64" w:rsidRPr="00256091" w:rsidRDefault="00751C64" w:rsidP="00B23631">
            <w:pPr>
              <w:pStyle w:val="bang"/>
              <w:jc w:val="left"/>
              <w:rPr>
                <w:rFonts w:eastAsia="Times New Roman"/>
                <w:sz w:val="22"/>
              </w:rPr>
            </w:pPr>
            <w:r w:rsidRPr="00256091">
              <w:rPr>
                <w:rFonts w:eastAsia="Times New Roman"/>
                <w:sz w:val="22"/>
              </w:rPr>
              <w:t>Bisoprolol</w:t>
            </w:r>
          </w:p>
          <w:p w14:paraId="09D97A82" w14:textId="766C2899" w:rsidR="00751C64" w:rsidRPr="00256091" w:rsidRDefault="00751C64" w:rsidP="00B23631">
            <w:pPr>
              <w:pStyle w:val="bang"/>
              <w:jc w:val="left"/>
              <w:rPr>
                <w:sz w:val="22"/>
                <w:lang w:val="de-DE"/>
              </w:rPr>
            </w:pPr>
            <w:r w:rsidRPr="00256091">
              <w:rPr>
                <w:rFonts w:eastAsia="Times New Roman"/>
                <w:sz w:val="22"/>
              </w:rPr>
              <w:t>Atenolol</w:t>
            </w:r>
          </w:p>
        </w:tc>
        <w:tc>
          <w:tcPr>
            <w:tcW w:w="279" w:type="pct"/>
          </w:tcPr>
          <w:p w14:paraId="773D8B6A" w14:textId="77777777" w:rsidR="00A56FF7" w:rsidRPr="00256091" w:rsidRDefault="00A56FF7" w:rsidP="00B23631">
            <w:pPr>
              <w:pStyle w:val="bang"/>
              <w:jc w:val="left"/>
              <w:rPr>
                <w:b/>
                <w:i/>
                <w:sz w:val="22"/>
                <w:lang w:val="de-DE"/>
              </w:rPr>
            </w:pPr>
          </w:p>
        </w:tc>
        <w:tc>
          <w:tcPr>
            <w:tcW w:w="1541" w:type="pct"/>
          </w:tcPr>
          <w:p w14:paraId="537C74B8" w14:textId="77777777" w:rsidR="00A56FF7" w:rsidRPr="00256091" w:rsidRDefault="00A56FF7" w:rsidP="00B23631">
            <w:pPr>
              <w:pStyle w:val="bang"/>
              <w:jc w:val="right"/>
              <w:rPr>
                <w:b/>
                <w:sz w:val="22"/>
                <w:lang w:val="de-DE"/>
              </w:rPr>
            </w:pPr>
            <w:r w:rsidRPr="00256091">
              <w:rPr>
                <w:b/>
                <w:sz w:val="22"/>
                <w:lang w:val="de-DE"/>
              </w:rPr>
              <w:t>9 (1.92)</w:t>
            </w:r>
          </w:p>
          <w:p w14:paraId="2E5E71BD" w14:textId="77ED78E8" w:rsidR="00751C64" w:rsidRPr="00256091" w:rsidRDefault="00751C64" w:rsidP="00B23631">
            <w:pPr>
              <w:pStyle w:val="bang"/>
              <w:jc w:val="right"/>
              <w:rPr>
                <w:sz w:val="22"/>
                <w:lang w:val="de-DE"/>
              </w:rPr>
            </w:pPr>
            <w:r w:rsidRPr="00256091">
              <w:rPr>
                <w:sz w:val="22"/>
                <w:lang w:val="de-DE"/>
              </w:rPr>
              <w:t>5</w:t>
            </w:r>
            <w:r w:rsidR="006A5CD6" w:rsidRPr="00256091">
              <w:rPr>
                <w:sz w:val="22"/>
                <w:lang w:val="de-DE"/>
              </w:rPr>
              <w:t xml:space="preserve"> (1.06)</w:t>
            </w:r>
          </w:p>
          <w:p w14:paraId="0F1A5892" w14:textId="149A1E70" w:rsidR="00751C64" w:rsidRPr="00256091" w:rsidRDefault="00751C64" w:rsidP="00B23631">
            <w:pPr>
              <w:pStyle w:val="bang"/>
              <w:jc w:val="right"/>
              <w:rPr>
                <w:sz w:val="22"/>
                <w:lang w:val="de-DE"/>
              </w:rPr>
            </w:pPr>
            <w:r w:rsidRPr="00256091">
              <w:rPr>
                <w:sz w:val="22"/>
                <w:lang w:val="de-DE"/>
              </w:rPr>
              <w:t>4</w:t>
            </w:r>
            <w:r w:rsidR="006A5CD6" w:rsidRPr="00256091">
              <w:rPr>
                <w:sz w:val="22"/>
                <w:lang w:val="de-DE"/>
              </w:rPr>
              <w:t xml:space="preserve"> (0.86)</w:t>
            </w:r>
          </w:p>
        </w:tc>
      </w:tr>
    </w:tbl>
    <w:p w14:paraId="29A4EDF2" w14:textId="77777777" w:rsidR="00C95920" w:rsidRPr="00C95920" w:rsidRDefault="00C95920" w:rsidP="00C95920">
      <w:pPr>
        <w:rPr>
          <w:lang w:val="de-DE"/>
        </w:rPr>
      </w:pPr>
    </w:p>
    <w:p w14:paraId="0C3C9E9B" w14:textId="77777777" w:rsidR="007B5CA8" w:rsidRPr="00377842" w:rsidRDefault="007B5CA8" w:rsidP="00A057FC">
      <w:pPr>
        <w:pStyle w:val="Heading2"/>
        <w:rPr>
          <w:sz w:val="22"/>
        </w:rPr>
      </w:pPr>
      <w:r w:rsidRPr="00377842">
        <w:rPr>
          <w:sz w:val="22"/>
        </w:rPr>
        <w:t>Characteristics of DDIs</w:t>
      </w:r>
    </w:p>
    <w:p w14:paraId="73C074B6" w14:textId="77777777" w:rsidR="002F3E17" w:rsidRPr="00377842" w:rsidRDefault="002F3E17" w:rsidP="002F3E17">
      <w:pPr>
        <w:spacing w:before="120" w:after="120"/>
        <w:jc w:val="both"/>
        <w:rPr>
          <w:i/>
          <w:lang w:val="de-DE"/>
        </w:rPr>
      </w:pPr>
      <w:r w:rsidRPr="00377842">
        <w:rPr>
          <w:i/>
          <w:lang w:val="de-DE"/>
        </w:rPr>
        <w:t>3.3.1. Prevalence of DDIs</w:t>
      </w:r>
    </w:p>
    <w:p w14:paraId="52B887BF" w14:textId="785E83B7" w:rsidR="007B5CA8" w:rsidRPr="00377842" w:rsidRDefault="00380609" w:rsidP="00A057FC">
      <w:pPr>
        <w:spacing w:before="120" w:after="120"/>
        <w:jc w:val="both"/>
        <w:rPr>
          <w:lang w:val="de-DE"/>
        </w:rPr>
      </w:pPr>
      <w:r w:rsidRPr="00377842">
        <w:rPr>
          <w:lang w:val="de-DE"/>
        </w:rPr>
        <w:t>In DI database</w:t>
      </w:r>
      <w:r w:rsidR="004A443D" w:rsidRPr="00377842">
        <w:rPr>
          <w:lang w:val="de-DE"/>
        </w:rPr>
        <w:t xml:space="preserve">, </w:t>
      </w:r>
      <w:r w:rsidR="00015A4E" w:rsidRPr="00377842">
        <w:rPr>
          <w:lang w:val="de-DE"/>
        </w:rPr>
        <w:t>approximately</w:t>
      </w:r>
      <w:r w:rsidR="00731B7A" w:rsidRPr="00377842">
        <w:rPr>
          <w:lang w:val="de-DE"/>
        </w:rPr>
        <w:t xml:space="preserve"> half of prescriptions</w:t>
      </w:r>
      <w:r w:rsidR="00366828" w:rsidRPr="00377842">
        <w:rPr>
          <w:lang w:val="de-DE"/>
        </w:rPr>
        <w:t xml:space="preserve"> (n=468)</w:t>
      </w:r>
      <w:r w:rsidR="00731B7A" w:rsidRPr="00377842">
        <w:rPr>
          <w:lang w:val="de-DE"/>
        </w:rPr>
        <w:t xml:space="preserve"> were recorded DDIs</w:t>
      </w:r>
      <w:r w:rsidR="00B61E58" w:rsidRPr="00377842">
        <w:rPr>
          <w:lang w:val="de-DE"/>
        </w:rPr>
        <w:t xml:space="preserve">; </w:t>
      </w:r>
      <w:r w:rsidR="00F715DF" w:rsidRPr="00377842">
        <w:rPr>
          <w:lang w:val="de-DE"/>
        </w:rPr>
        <w:t>the number of DDIs in the MD</w:t>
      </w:r>
      <w:r w:rsidR="00AC74CE">
        <w:rPr>
          <w:lang w:val="de-DE"/>
        </w:rPr>
        <w:t>I and MMDI was equivalent to one</w:t>
      </w:r>
      <w:r w:rsidR="00F715DF" w:rsidRPr="00377842">
        <w:rPr>
          <w:lang w:val="de-DE"/>
        </w:rPr>
        <w:t>-thirds of prescriptions.</w:t>
      </w:r>
      <w:r w:rsidR="006E586F" w:rsidRPr="00377842">
        <w:rPr>
          <w:lang w:val="de-DE"/>
        </w:rPr>
        <w:t xml:space="preserve"> The findings of our study regarding the prevalence of drug interactions in prescriptions were closely proportional to those of a survey conducted in Puducherry, India, which reported that 48% of prescriptions for outpatients with hypertension contained drug interactions</w:t>
      </w:r>
      <w:r w:rsidR="0029015C">
        <w:rPr>
          <w:lang w:val="de-DE"/>
        </w:rPr>
        <w:t>.</w:t>
      </w:r>
      <w:r w:rsidR="00F14C79" w:rsidRPr="00E77689">
        <w:rPr>
          <w:vertAlign w:val="superscript"/>
          <w:lang w:val="de-DE"/>
        </w:rPr>
        <w:fldChar w:fldCharType="begin"/>
      </w:r>
      <w:r w:rsidR="003A67A6" w:rsidRPr="00E77689">
        <w:rPr>
          <w:vertAlign w:val="superscript"/>
          <w:lang w:val="de-DE"/>
        </w:rPr>
        <w:instrText xml:space="preserve"> ADDIN ZOTERO_ITEM CSL_CITATION {"citationID":"HHKxoRzK","properties":{"formattedCitation":"(8)","plainCitation":"(8)","noteIndex":0},"citationItems":[{"id":1752,"uris":["http://zotero.org/users/6883290/items/Z24VMG6K"],"itemData":{"id":1752,"type":"article-journal","abstract":"AIM: Drug-drug interactions (DDIs) are one of the major but preventable cause of adverse drug reaction. Study of prevalence and prediction of DDIs will make the physician easier to provide better patient care and mitigate patient's harm. Hence, the study was planned to evaluate the potential DDIs among medication prescribed to hypertensive patients in our hospital.\nMATERIALS AND METHODS: A prospective, cross-sectional study was conducted among the hypertensive patients in medicine (outpatient/inpatient) department over the period of three months in a tertiary care hospital. Adult hypertensive patients of either sex with comorbidities were included in the study. The prescriptions were collected and analyzed for DDI using Medscape interaction checker. Data were analyzed using SPSS (version 16.0) software and expressed in percentage. Pearson's correlation and regression analysis were done.\nRESULTS: Among 125 patients, 48% were exposed to at least one DDI. Totally 123 DDI were identified and majority of them were significant (85.36%). No serious interactions were identified. Pharmacodynamic and pharmacokinetic drug interactions were found to be 37.39% and 28.76%, respectively. Logistic regression analysis showed advanced male gender and polypharmacy was associated with increased risk of DDI. About 51 interacting pairs of DDI were identified and most frequently occurring pair was amlodipine with atenolol. Aspirin was found to have commonly involved in DDI with enalapril, atenolol, frusemide, spironolactone, carvedilol, and metoprolol.\nCONCLUSION: The study highlighted that patients with hypertension are particularly vulnerable to DDI. The comorbidities, advanced age, and polypharmacy are the important factors associated with the occurrence of DDI.","container-title":"Perspectives in Clinical Research","DOI":"10.4103/picr.PICR_145_16","ISSN":"2229-3485","issue":"1","journalAbbreviation":"Perspect Clin Res","language":"eng","note":"PMID: 29430412\nPMCID: PMC5799957","page":"9-14","source":"PubMed","title":"Study of drug-Drug interactions among the hypertensive patients in a tertiary care teaching hospital","volume":"9","author":[{"family":"Subramanian","given":"Ansha"},{"family":"Adhimoolam","given":"Mangaiarkkarasi"},{"family":"Kannan","given":"Suresh"}],"issued":{"date-parts":[["2018"]]}}}],"schema":"https://github.com/citation-style-language/schema/raw/master/csl-citation.json"} </w:instrText>
      </w:r>
      <w:r w:rsidR="00F14C79" w:rsidRPr="00E77689">
        <w:rPr>
          <w:vertAlign w:val="superscript"/>
          <w:lang w:val="de-DE"/>
        </w:rPr>
        <w:fldChar w:fldCharType="separate"/>
      </w:r>
      <w:r w:rsidR="00892097" w:rsidRPr="0029015C">
        <w:rPr>
          <w:noProof/>
          <w:vertAlign w:val="superscript"/>
          <w:lang w:val="de-DE"/>
        </w:rPr>
        <w:t>8</w:t>
      </w:r>
      <w:r w:rsidR="00F14C79" w:rsidRPr="00E77689">
        <w:rPr>
          <w:vertAlign w:val="superscript"/>
          <w:lang w:val="de-DE"/>
        </w:rPr>
        <w:fldChar w:fldCharType="end"/>
      </w:r>
      <w:r w:rsidR="00080D1C" w:rsidRPr="00E77689">
        <w:rPr>
          <w:vertAlign w:val="superscript"/>
          <w:lang w:val="de-DE"/>
        </w:rPr>
        <w:t xml:space="preserve"> </w:t>
      </w:r>
      <w:r w:rsidR="00080D1C" w:rsidRPr="00377842">
        <w:rPr>
          <w:lang w:val="de-DE"/>
        </w:rPr>
        <w:t>Figure 1</w:t>
      </w:r>
      <w:r w:rsidR="006E5ECC" w:rsidRPr="00377842">
        <w:rPr>
          <w:lang w:val="de-DE"/>
        </w:rPr>
        <w:t xml:space="preserve"> illustrated the frequency of DDIs in three databases.</w:t>
      </w:r>
    </w:p>
    <w:p w14:paraId="630184B9" w14:textId="77777777" w:rsidR="001A0391" w:rsidRPr="00377842" w:rsidRDefault="001A0391" w:rsidP="001A0391">
      <w:pPr>
        <w:rPr>
          <w:lang w:val="de-DE"/>
        </w:rPr>
      </w:pPr>
      <w:r w:rsidRPr="00377842">
        <w:rPr>
          <w:i/>
          <w:lang w:val="de-DE"/>
        </w:rPr>
        <w:t>3.3.2. Frequency of pair of interacting drugs</w:t>
      </w:r>
    </w:p>
    <w:p w14:paraId="4C4D925C" w14:textId="070C3D11" w:rsidR="001A0391" w:rsidRPr="00377842" w:rsidRDefault="001A0391" w:rsidP="00A057FC">
      <w:pPr>
        <w:spacing w:before="120" w:after="120"/>
        <w:jc w:val="both"/>
        <w:rPr>
          <w:lang w:val="de-DE"/>
        </w:rPr>
      </w:pPr>
      <w:r w:rsidRPr="00377842">
        <w:rPr>
          <w:lang w:val="de-DE"/>
        </w:rPr>
        <w:t>The total number of drug interaction pairs in the three databases DI, MDI, an</w:t>
      </w:r>
      <w:r w:rsidR="00590010" w:rsidRPr="00377842">
        <w:rPr>
          <w:lang w:val="de-DE"/>
        </w:rPr>
        <w:t>d MMDI were 338, 194</w:t>
      </w:r>
      <w:r w:rsidRPr="00377842">
        <w:rPr>
          <w:lang w:val="de-DE"/>
        </w:rPr>
        <w:t>, and 188 pairs, respectively.</w:t>
      </w:r>
    </w:p>
    <w:p w14:paraId="25D288C7" w14:textId="5AEB6FD8" w:rsidR="00BC3220" w:rsidRDefault="001A0391" w:rsidP="00CA3E6A">
      <w:pPr>
        <w:spacing w:before="120" w:after="120"/>
        <w:ind w:firstLine="567"/>
        <w:jc w:val="both"/>
        <w:rPr>
          <w:i/>
          <w:noProof/>
        </w:rPr>
      </w:pPr>
      <w:r w:rsidRPr="00377842">
        <w:rPr>
          <w:lang w:val="de-DE"/>
        </w:rPr>
        <w:t>Approximately one-third of prescriptions with one pair of DDI were recorded in all three da</w:t>
      </w:r>
      <w:r w:rsidR="00EC7E6B">
        <w:rPr>
          <w:lang w:val="de-DE"/>
        </w:rPr>
        <w:t>tabases. In DI, there were 12.2</w:t>
      </w:r>
      <w:r w:rsidRPr="00377842">
        <w:rPr>
          <w:lang w:val="de-DE"/>
        </w:rPr>
        <w:t>% of prescriptions that had two pairs of DDIs per prescription; in MDI and MMDI, both were below 3%. The percentage of prescriptions with 4 or more pairs was qui</w:t>
      </w:r>
      <w:r w:rsidR="00006FE0" w:rsidRPr="00377842">
        <w:rPr>
          <w:lang w:val="de-DE"/>
        </w:rPr>
        <w:t>te low, it was</w:t>
      </w:r>
      <w:r w:rsidRPr="00377842">
        <w:rPr>
          <w:lang w:val="de-DE"/>
        </w:rPr>
        <w:t xml:space="preserve"> below 1% </w:t>
      </w:r>
      <w:r w:rsidR="00E93A48" w:rsidRPr="00377842">
        <w:rPr>
          <w:lang w:val="de-DE"/>
        </w:rPr>
        <w:t>across</w:t>
      </w:r>
      <w:r w:rsidRPr="00377842">
        <w:rPr>
          <w:lang w:val="de-DE"/>
        </w:rPr>
        <w:t xml:space="preserve"> all 3 databases. </w:t>
      </w:r>
      <w:r w:rsidR="00DB5CC8" w:rsidRPr="00377842">
        <w:rPr>
          <w:lang w:val="de-DE"/>
        </w:rPr>
        <w:t>Table 4</w:t>
      </w:r>
      <w:r w:rsidRPr="00377842">
        <w:rPr>
          <w:lang w:val="de-DE"/>
        </w:rPr>
        <w:t xml:space="preserve"> </w:t>
      </w:r>
      <w:r w:rsidR="00BC3220">
        <w:rPr>
          <w:lang w:val="de-DE"/>
        </w:rPr>
        <w:t>demonstrated</w:t>
      </w:r>
      <w:r w:rsidRPr="00377842">
        <w:rPr>
          <w:lang w:val="de-DE"/>
        </w:rPr>
        <w:t xml:space="preserve"> frequency of </w:t>
      </w:r>
      <w:r w:rsidR="00DB5CC8" w:rsidRPr="00377842">
        <w:rPr>
          <w:lang w:val="de-DE"/>
        </w:rPr>
        <w:t xml:space="preserve">number of </w:t>
      </w:r>
      <w:r w:rsidR="00A05F41" w:rsidRPr="00377842">
        <w:rPr>
          <w:lang w:val="de-DE"/>
        </w:rPr>
        <w:t>drug interactions pairs</w:t>
      </w:r>
      <w:r w:rsidRPr="00377842">
        <w:rPr>
          <w:lang w:val="de-DE"/>
        </w:rPr>
        <w:t>.</w:t>
      </w:r>
      <w:r w:rsidR="00BC3220" w:rsidRPr="00BC3220">
        <w:rPr>
          <w:i/>
          <w:noProof/>
        </w:rPr>
        <w:t xml:space="preserve"> </w:t>
      </w:r>
    </w:p>
    <w:p w14:paraId="123AD6E3" w14:textId="3617EFDA" w:rsidR="00295554" w:rsidRDefault="00295554" w:rsidP="00BC3220">
      <w:pPr>
        <w:spacing w:before="120" w:after="120"/>
        <w:ind w:firstLine="567"/>
        <w:jc w:val="both"/>
        <w:rPr>
          <w:lang w:val="de-DE"/>
        </w:rPr>
      </w:pPr>
    </w:p>
    <w:p w14:paraId="00AAEEFB" w14:textId="77777777" w:rsidR="00295554" w:rsidRPr="00BC3220" w:rsidRDefault="00295554" w:rsidP="00256091">
      <w:pPr>
        <w:spacing w:before="120" w:after="120"/>
        <w:jc w:val="both"/>
        <w:rPr>
          <w:lang w:val="de-DE"/>
        </w:rPr>
      </w:pPr>
    </w:p>
    <w:p w14:paraId="513FD1DC" w14:textId="389ED113" w:rsidR="0008644D" w:rsidRDefault="00295554" w:rsidP="00295554">
      <w:pPr>
        <w:spacing w:before="120" w:after="240"/>
        <w:jc w:val="center"/>
        <w:rPr>
          <w:b/>
          <w:sz w:val="20"/>
          <w:szCs w:val="20"/>
          <w:lang w:val="de-DE"/>
        </w:rPr>
      </w:pPr>
      <w:r>
        <w:rPr>
          <w:noProof/>
        </w:rPr>
        <w:lastRenderedPageBreak/>
        <w:drawing>
          <wp:inline distT="0" distB="0" distL="0" distR="0" wp14:anchorId="1A8A48E7" wp14:editId="6F4D5234">
            <wp:extent cx="2790190" cy="2743835"/>
            <wp:effectExtent l="0" t="0" r="10160" b="184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89E62B" w14:textId="77777777" w:rsidR="00240BC5" w:rsidRDefault="00240BC5" w:rsidP="00240BC5">
      <w:pPr>
        <w:spacing w:before="120" w:after="240"/>
        <w:jc w:val="center"/>
        <w:rPr>
          <w:b/>
          <w:sz w:val="20"/>
          <w:szCs w:val="20"/>
          <w:lang w:val="de-DE"/>
        </w:rPr>
      </w:pPr>
      <w:r w:rsidRPr="002A77F6">
        <w:rPr>
          <w:b/>
          <w:sz w:val="20"/>
          <w:szCs w:val="20"/>
          <w:lang w:val="de-DE"/>
        </w:rPr>
        <w:t xml:space="preserve">Figure 1. </w:t>
      </w:r>
      <w:r w:rsidRPr="00256091">
        <w:rPr>
          <w:sz w:val="20"/>
          <w:szCs w:val="20"/>
          <w:lang w:val="de-DE"/>
        </w:rPr>
        <w:t>The prevalence of drug interaction pairs per prescription.</w:t>
      </w:r>
    </w:p>
    <w:p w14:paraId="1F14D253" w14:textId="77777777" w:rsidR="0008644D" w:rsidRPr="002E74F7" w:rsidRDefault="0008644D" w:rsidP="0008644D">
      <w:pPr>
        <w:spacing w:before="240" w:after="120"/>
        <w:jc w:val="both"/>
        <w:rPr>
          <w:b/>
          <w:sz w:val="20"/>
          <w:szCs w:val="20"/>
          <w:lang w:val="de-DE"/>
        </w:rPr>
      </w:pPr>
      <w:r w:rsidRPr="002E74F7">
        <w:rPr>
          <w:b/>
          <w:sz w:val="20"/>
          <w:szCs w:val="20"/>
          <w:lang w:val="de-DE"/>
        </w:rPr>
        <w:t xml:space="preserve">Table 4. </w:t>
      </w:r>
      <w:r w:rsidRPr="00256091">
        <w:rPr>
          <w:sz w:val="20"/>
          <w:szCs w:val="20"/>
          <w:lang w:val="de-DE"/>
        </w:rPr>
        <w:t>The prevalence of the number of drug interaction pairs per prescription.</w:t>
      </w:r>
    </w:p>
    <w:tbl>
      <w:tblPr>
        <w:tblStyle w:val="TableGrid"/>
        <w:tblW w:w="4292" w:type="dxa"/>
        <w:tblLook w:val="04A0" w:firstRow="1" w:lastRow="0" w:firstColumn="1" w:lastColumn="0" w:noHBand="0" w:noVBand="1"/>
      </w:tblPr>
      <w:tblGrid>
        <w:gridCol w:w="1169"/>
        <w:gridCol w:w="1149"/>
        <w:gridCol w:w="943"/>
        <w:gridCol w:w="1031"/>
      </w:tblGrid>
      <w:tr w:rsidR="0008644D" w:rsidRPr="00256091" w14:paraId="68C6B9E1" w14:textId="77777777" w:rsidTr="00D7288C">
        <w:trPr>
          <w:trHeight w:val="454"/>
        </w:trPr>
        <w:tc>
          <w:tcPr>
            <w:tcW w:w="1169" w:type="dxa"/>
            <w:vMerge w:val="restart"/>
            <w:hideMark/>
          </w:tcPr>
          <w:p w14:paraId="7CD58082" w14:textId="77777777" w:rsidR="0008644D" w:rsidRPr="00256091" w:rsidRDefault="0008644D" w:rsidP="00D7288C">
            <w:pPr>
              <w:jc w:val="center"/>
              <w:rPr>
                <w:b/>
                <w:bCs/>
                <w:color w:val="000000"/>
                <w:sz w:val="22"/>
                <w:szCs w:val="22"/>
              </w:rPr>
            </w:pPr>
            <w:r w:rsidRPr="00256091">
              <w:rPr>
                <w:b/>
                <w:bCs/>
                <w:color w:val="000000"/>
                <w:sz w:val="22"/>
                <w:szCs w:val="22"/>
              </w:rPr>
              <w:t>Number of drug interaction pairs</w:t>
            </w:r>
          </w:p>
        </w:tc>
        <w:tc>
          <w:tcPr>
            <w:tcW w:w="3123" w:type="dxa"/>
            <w:gridSpan w:val="3"/>
            <w:hideMark/>
          </w:tcPr>
          <w:p w14:paraId="25AFEA92" w14:textId="77777777" w:rsidR="0008644D" w:rsidRPr="00256091" w:rsidRDefault="0008644D" w:rsidP="00D7288C">
            <w:pPr>
              <w:jc w:val="right"/>
              <w:rPr>
                <w:b/>
                <w:bCs/>
                <w:color w:val="000000"/>
                <w:sz w:val="22"/>
                <w:szCs w:val="22"/>
              </w:rPr>
            </w:pPr>
            <w:r w:rsidRPr="00256091">
              <w:rPr>
                <w:b/>
                <w:bCs/>
                <w:color w:val="000000"/>
                <w:sz w:val="22"/>
                <w:szCs w:val="22"/>
              </w:rPr>
              <w:t>N=468 (%)</w:t>
            </w:r>
          </w:p>
        </w:tc>
      </w:tr>
      <w:tr w:rsidR="0008644D" w:rsidRPr="00256091" w14:paraId="0201990D" w14:textId="77777777" w:rsidTr="00D7288C">
        <w:trPr>
          <w:trHeight w:val="320"/>
        </w:trPr>
        <w:tc>
          <w:tcPr>
            <w:tcW w:w="1169" w:type="dxa"/>
            <w:vMerge/>
            <w:hideMark/>
          </w:tcPr>
          <w:p w14:paraId="2AD5DA96" w14:textId="77777777" w:rsidR="0008644D" w:rsidRPr="00256091" w:rsidRDefault="0008644D" w:rsidP="00D7288C">
            <w:pPr>
              <w:rPr>
                <w:b/>
                <w:bCs/>
                <w:color w:val="000000"/>
                <w:sz w:val="22"/>
                <w:szCs w:val="22"/>
              </w:rPr>
            </w:pPr>
          </w:p>
        </w:tc>
        <w:tc>
          <w:tcPr>
            <w:tcW w:w="1149" w:type="dxa"/>
            <w:hideMark/>
          </w:tcPr>
          <w:p w14:paraId="692F6AE8" w14:textId="77777777" w:rsidR="0008644D" w:rsidRPr="00256091" w:rsidRDefault="0008644D" w:rsidP="00D7288C">
            <w:pPr>
              <w:jc w:val="center"/>
              <w:rPr>
                <w:b/>
                <w:bCs/>
                <w:color w:val="000000"/>
                <w:sz w:val="22"/>
                <w:szCs w:val="22"/>
              </w:rPr>
            </w:pPr>
            <w:r w:rsidRPr="00256091">
              <w:rPr>
                <w:b/>
                <w:bCs/>
                <w:color w:val="000000"/>
                <w:sz w:val="22"/>
                <w:szCs w:val="22"/>
              </w:rPr>
              <w:t>DI</w:t>
            </w:r>
          </w:p>
        </w:tc>
        <w:tc>
          <w:tcPr>
            <w:tcW w:w="943" w:type="dxa"/>
            <w:hideMark/>
          </w:tcPr>
          <w:p w14:paraId="5B252BE2" w14:textId="77777777" w:rsidR="0008644D" w:rsidRPr="00256091" w:rsidRDefault="0008644D" w:rsidP="00D7288C">
            <w:pPr>
              <w:jc w:val="center"/>
              <w:rPr>
                <w:b/>
                <w:bCs/>
                <w:color w:val="000000"/>
                <w:sz w:val="22"/>
                <w:szCs w:val="22"/>
              </w:rPr>
            </w:pPr>
            <w:r w:rsidRPr="00256091">
              <w:rPr>
                <w:b/>
                <w:bCs/>
                <w:color w:val="000000"/>
                <w:sz w:val="22"/>
                <w:szCs w:val="22"/>
              </w:rPr>
              <w:t>MDI</w:t>
            </w:r>
          </w:p>
        </w:tc>
        <w:tc>
          <w:tcPr>
            <w:tcW w:w="1031" w:type="dxa"/>
            <w:hideMark/>
          </w:tcPr>
          <w:p w14:paraId="3C1162A1" w14:textId="77777777" w:rsidR="0008644D" w:rsidRPr="00256091" w:rsidRDefault="0008644D" w:rsidP="00D7288C">
            <w:pPr>
              <w:jc w:val="center"/>
              <w:rPr>
                <w:b/>
                <w:bCs/>
                <w:color w:val="000000"/>
                <w:sz w:val="22"/>
                <w:szCs w:val="22"/>
              </w:rPr>
            </w:pPr>
            <w:r w:rsidRPr="00256091">
              <w:rPr>
                <w:b/>
                <w:bCs/>
                <w:color w:val="000000"/>
                <w:sz w:val="22"/>
                <w:szCs w:val="22"/>
              </w:rPr>
              <w:t>MMDI</w:t>
            </w:r>
          </w:p>
        </w:tc>
      </w:tr>
      <w:tr w:rsidR="0008644D" w:rsidRPr="00256091" w14:paraId="16736A50" w14:textId="77777777" w:rsidTr="00D7288C">
        <w:trPr>
          <w:trHeight w:val="340"/>
        </w:trPr>
        <w:tc>
          <w:tcPr>
            <w:tcW w:w="1169" w:type="dxa"/>
            <w:hideMark/>
          </w:tcPr>
          <w:p w14:paraId="1259440B" w14:textId="77777777" w:rsidR="0008644D" w:rsidRPr="00256091" w:rsidRDefault="0008644D" w:rsidP="00D7288C">
            <w:pPr>
              <w:jc w:val="center"/>
              <w:rPr>
                <w:color w:val="000000"/>
                <w:sz w:val="22"/>
                <w:szCs w:val="22"/>
              </w:rPr>
            </w:pPr>
            <w:r w:rsidRPr="00256091">
              <w:rPr>
                <w:color w:val="000000"/>
                <w:sz w:val="22"/>
                <w:szCs w:val="22"/>
              </w:rPr>
              <w:t>1</w:t>
            </w:r>
          </w:p>
        </w:tc>
        <w:tc>
          <w:tcPr>
            <w:tcW w:w="1149" w:type="dxa"/>
            <w:hideMark/>
          </w:tcPr>
          <w:p w14:paraId="059415F2" w14:textId="77777777" w:rsidR="0008644D" w:rsidRPr="00256091" w:rsidRDefault="0008644D" w:rsidP="00D7288C">
            <w:pPr>
              <w:jc w:val="center"/>
              <w:rPr>
                <w:color w:val="000000"/>
                <w:sz w:val="22"/>
                <w:szCs w:val="22"/>
              </w:rPr>
            </w:pPr>
            <w:r w:rsidRPr="00256091">
              <w:rPr>
                <w:color w:val="000000"/>
                <w:sz w:val="22"/>
                <w:szCs w:val="22"/>
              </w:rPr>
              <w:t>146 (31.2)</w:t>
            </w:r>
          </w:p>
        </w:tc>
        <w:tc>
          <w:tcPr>
            <w:tcW w:w="943" w:type="dxa"/>
            <w:hideMark/>
          </w:tcPr>
          <w:p w14:paraId="1D1A9505" w14:textId="77777777" w:rsidR="0008644D" w:rsidRPr="00256091" w:rsidRDefault="0008644D" w:rsidP="00D7288C">
            <w:pPr>
              <w:jc w:val="center"/>
              <w:rPr>
                <w:color w:val="000000"/>
                <w:sz w:val="22"/>
                <w:szCs w:val="22"/>
              </w:rPr>
            </w:pPr>
            <w:r w:rsidRPr="00256091">
              <w:rPr>
                <w:color w:val="000000"/>
                <w:sz w:val="22"/>
                <w:szCs w:val="22"/>
              </w:rPr>
              <w:t>142(30.3)</w:t>
            </w:r>
          </w:p>
        </w:tc>
        <w:tc>
          <w:tcPr>
            <w:tcW w:w="1031" w:type="dxa"/>
            <w:hideMark/>
          </w:tcPr>
          <w:p w14:paraId="1FD3ABD2" w14:textId="77777777" w:rsidR="0008644D" w:rsidRPr="00256091" w:rsidRDefault="0008644D" w:rsidP="00D7288C">
            <w:pPr>
              <w:jc w:val="center"/>
              <w:rPr>
                <w:color w:val="000000"/>
                <w:sz w:val="22"/>
                <w:szCs w:val="22"/>
              </w:rPr>
            </w:pPr>
            <w:r w:rsidRPr="00256091">
              <w:rPr>
                <w:color w:val="000000"/>
                <w:sz w:val="22"/>
                <w:szCs w:val="22"/>
              </w:rPr>
              <w:t>145 (31)</w:t>
            </w:r>
          </w:p>
        </w:tc>
      </w:tr>
      <w:tr w:rsidR="0008644D" w:rsidRPr="00256091" w14:paraId="76642411" w14:textId="77777777" w:rsidTr="00D7288C">
        <w:trPr>
          <w:trHeight w:val="340"/>
        </w:trPr>
        <w:tc>
          <w:tcPr>
            <w:tcW w:w="1169" w:type="dxa"/>
            <w:hideMark/>
          </w:tcPr>
          <w:p w14:paraId="64C23C6D" w14:textId="77777777" w:rsidR="0008644D" w:rsidRPr="00256091" w:rsidRDefault="0008644D" w:rsidP="00D7288C">
            <w:pPr>
              <w:jc w:val="center"/>
              <w:rPr>
                <w:color w:val="000000"/>
                <w:sz w:val="22"/>
                <w:szCs w:val="22"/>
              </w:rPr>
            </w:pPr>
            <w:r w:rsidRPr="00256091">
              <w:rPr>
                <w:color w:val="000000"/>
                <w:sz w:val="22"/>
                <w:szCs w:val="22"/>
              </w:rPr>
              <w:t>2</w:t>
            </w:r>
          </w:p>
        </w:tc>
        <w:tc>
          <w:tcPr>
            <w:tcW w:w="1149" w:type="dxa"/>
            <w:hideMark/>
          </w:tcPr>
          <w:p w14:paraId="0A9518BD" w14:textId="77777777" w:rsidR="0008644D" w:rsidRPr="00256091" w:rsidRDefault="0008644D" w:rsidP="00D7288C">
            <w:pPr>
              <w:jc w:val="center"/>
              <w:rPr>
                <w:color w:val="000000"/>
                <w:sz w:val="22"/>
                <w:szCs w:val="22"/>
              </w:rPr>
            </w:pPr>
            <w:r w:rsidRPr="00256091">
              <w:rPr>
                <w:color w:val="000000"/>
                <w:sz w:val="22"/>
                <w:szCs w:val="22"/>
              </w:rPr>
              <w:t>57 (12.2)</w:t>
            </w:r>
          </w:p>
        </w:tc>
        <w:tc>
          <w:tcPr>
            <w:tcW w:w="943" w:type="dxa"/>
            <w:hideMark/>
          </w:tcPr>
          <w:p w14:paraId="14E2B6CC" w14:textId="77777777" w:rsidR="0008644D" w:rsidRPr="00256091" w:rsidRDefault="0008644D" w:rsidP="00D7288C">
            <w:pPr>
              <w:jc w:val="center"/>
              <w:rPr>
                <w:color w:val="000000"/>
                <w:sz w:val="22"/>
                <w:szCs w:val="22"/>
              </w:rPr>
            </w:pPr>
            <w:r w:rsidRPr="00256091">
              <w:rPr>
                <w:color w:val="000000"/>
                <w:sz w:val="22"/>
                <w:szCs w:val="22"/>
              </w:rPr>
              <w:t>12 (2.56)</w:t>
            </w:r>
          </w:p>
        </w:tc>
        <w:tc>
          <w:tcPr>
            <w:tcW w:w="1031" w:type="dxa"/>
            <w:hideMark/>
          </w:tcPr>
          <w:p w14:paraId="588B630F" w14:textId="77777777" w:rsidR="0008644D" w:rsidRPr="00256091" w:rsidRDefault="0008644D" w:rsidP="00D7288C">
            <w:pPr>
              <w:jc w:val="center"/>
              <w:rPr>
                <w:color w:val="000000"/>
                <w:sz w:val="22"/>
                <w:szCs w:val="22"/>
              </w:rPr>
            </w:pPr>
            <w:r w:rsidRPr="00256091">
              <w:rPr>
                <w:color w:val="000000"/>
                <w:sz w:val="22"/>
                <w:szCs w:val="22"/>
              </w:rPr>
              <w:t>12 (2.56)</w:t>
            </w:r>
          </w:p>
        </w:tc>
      </w:tr>
      <w:tr w:rsidR="0008644D" w:rsidRPr="00256091" w14:paraId="6E984AFA" w14:textId="77777777" w:rsidTr="00D7288C">
        <w:trPr>
          <w:trHeight w:val="340"/>
        </w:trPr>
        <w:tc>
          <w:tcPr>
            <w:tcW w:w="1169" w:type="dxa"/>
            <w:hideMark/>
          </w:tcPr>
          <w:p w14:paraId="7AC89669" w14:textId="77777777" w:rsidR="0008644D" w:rsidRPr="00256091" w:rsidRDefault="0008644D" w:rsidP="00D7288C">
            <w:pPr>
              <w:jc w:val="center"/>
              <w:rPr>
                <w:color w:val="000000"/>
                <w:sz w:val="22"/>
                <w:szCs w:val="22"/>
              </w:rPr>
            </w:pPr>
            <w:r w:rsidRPr="00256091">
              <w:rPr>
                <w:color w:val="000000"/>
                <w:sz w:val="22"/>
                <w:szCs w:val="22"/>
              </w:rPr>
              <w:t>3</w:t>
            </w:r>
          </w:p>
        </w:tc>
        <w:tc>
          <w:tcPr>
            <w:tcW w:w="1149" w:type="dxa"/>
            <w:hideMark/>
          </w:tcPr>
          <w:p w14:paraId="7C3F2C42" w14:textId="77777777" w:rsidR="0008644D" w:rsidRPr="00256091" w:rsidRDefault="0008644D" w:rsidP="00D7288C">
            <w:pPr>
              <w:jc w:val="center"/>
              <w:rPr>
                <w:color w:val="000000"/>
                <w:sz w:val="22"/>
                <w:szCs w:val="22"/>
              </w:rPr>
            </w:pPr>
            <w:r w:rsidRPr="00256091">
              <w:rPr>
                <w:color w:val="000000"/>
                <w:sz w:val="22"/>
                <w:szCs w:val="22"/>
              </w:rPr>
              <w:t>12 (2.56)</w:t>
            </w:r>
          </w:p>
        </w:tc>
        <w:tc>
          <w:tcPr>
            <w:tcW w:w="943" w:type="dxa"/>
            <w:hideMark/>
          </w:tcPr>
          <w:p w14:paraId="1E91D265" w14:textId="77777777" w:rsidR="0008644D" w:rsidRPr="00256091" w:rsidRDefault="0008644D" w:rsidP="00D7288C">
            <w:pPr>
              <w:jc w:val="center"/>
              <w:rPr>
                <w:color w:val="000000"/>
                <w:sz w:val="22"/>
                <w:szCs w:val="22"/>
              </w:rPr>
            </w:pPr>
            <w:r w:rsidRPr="00256091">
              <w:rPr>
                <w:color w:val="000000"/>
                <w:sz w:val="22"/>
                <w:szCs w:val="22"/>
              </w:rPr>
              <w:t xml:space="preserve"> 4 (0.85)</w:t>
            </w:r>
          </w:p>
        </w:tc>
        <w:tc>
          <w:tcPr>
            <w:tcW w:w="1031" w:type="dxa"/>
            <w:hideMark/>
          </w:tcPr>
          <w:p w14:paraId="5B412E41" w14:textId="77777777" w:rsidR="0008644D" w:rsidRPr="00256091" w:rsidRDefault="0008644D" w:rsidP="00D7288C">
            <w:pPr>
              <w:jc w:val="center"/>
              <w:rPr>
                <w:color w:val="000000"/>
                <w:sz w:val="22"/>
                <w:szCs w:val="22"/>
              </w:rPr>
            </w:pPr>
            <w:r w:rsidRPr="00256091">
              <w:rPr>
                <w:color w:val="000000"/>
                <w:sz w:val="22"/>
                <w:szCs w:val="22"/>
              </w:rPr>
              <w:t>3 (0.64)</w:t>
            </w:r>
          </w:p>
        </w:tc>
      </w:tr>
      <w:tr w:rsidR="0008644D" w:rsidRPr="00256091" w14:paraId="603289AF" w14:textId="77777777" w:rsidTr="00D7288C">
        <w:trPr>
          <w:trHeight w:val="340"/>
        </w:trPr>
        <w:tc>
          <w:tcPr>
            <w:tcW w:w="1169" w:type="dxa"/>
            <w:hideMark/>
          </w:tcPr>
          <w:p w14:paraId="63815114" w14:textId="77777777" w:rsidR="0008644D" w:rsidRPr="00256091" w:rsidRDefault="0008644D" w:rsidP="00D7288C">
            <w:pPr>
              <w:jc w:val="center"/>
              <w:rPr>
                <w:color w:val="000000"/>
                <w:sz w:val="22"/>
                <w:szCs w:val="22"/>
              </w:rPr>
            </w:pPr>
            <w:r w:rsidRPr="00256091">
              <w:rPr>
                <w:color w:val="000000"/>
                <w:sz w:val="22"/>
                <w:szCs w:val="22"/>
              </w:rPr>
              <w:t>4</w:t>
            </w:r>
          </w:p>
        </w:tc>
        <w:tc>
          <w:tcPr>
            <w:tcW w:w="1149" w:type="dxa"/>
            <w:hideMark/>
          </w:tcPr>
          <w:p w14:paraId="73105AA2" w14:textId="77777777" w:rsidR="0008644D" w:rsidRPr="00256091" w:rsidRDefault="0008644D" w:rsidP="00D7288C">
            <w:pPr>
              <w:jc w:val="center"/>
              <w:rPr>
                <w:color w:val="000000"/>
                <w:sz w:val="22"/>
                <w:szCs w:val="22"/>
              </w:rPr>
            </w:pPr>
            <w:r w:rsidRPr="00256091">
              <w:rPr>
                <w:color w:val="000000"/>
                <w:sz w:val="22"/>
                <w:szCs w:val="22"/>
              </w:rPr>
              <w:t>4 (0.85)</w:t>
            </w:r>
          </w:p>
        </w:tc>
        <w:tc>
          <w:tcPr>
            <w:tcW w:w="943" w:type="dxa"/>
            <w:hideMark/>
          </w:tcPr>
          <w:p w14:paraId="5571E80B" w14:textId="77777777" w:rsidR="0008644D" w:rsidRPr="00256091" w:rsidRDefault="0008644D" w:rsidP="00D7288C">
            <w:pPr>
              <w:jc w:val="center"/>
              <w:rPr>
                <w:color w:val="000000"/>
                <w:sz w:val="22"/>
                <w:szCs w:val="22"/>
              </w:rPr>
            </w:pPr>
            <w:r w:rsidRPr="00256091">
              <w:rPr>
                <w:color w:val="000000"/>
                <w:sz w:val="22"/>
                <w:szCs w:val="22"/>
              </w:rPr>
              <w:t>4 (0.85)</w:t>
            </w:r>
          </w:p>
        </w:tc>
        <w:tc>
          <w:tcPr>
            <w:tcW w:w="1031" w:type="dxa"/>
            <w:hideMark/>
          </w:tcPr>
          <w:p w14:paraId="0DDFDD1E" w14:textId="77777777" w:rsidR="0008644D" w:rsidRPr="00256091" w:rsidRDefault="0008644D" w:rsidP="00D7288C">
            <w:pPr>
              <w:jc w:val="center"/>
              <w:rPr>
                <w:color w:val="000000"/>
                <w:sz w:val="22"/>
                <w:szCs w:val="22"/>
              </w:rPr>
            </w:pPr>
            <w:r w:rsidRPr="00256091">
              <w:rPr>
                <w:color w:val="000000"/>
                <w:sz w:val="22"/>
                <w:szCs w:val="22"/>
              </w:rPr>
              <w:t>1 (0.21)</w:t>
            </w:r>
          </w:p>
        </w:tc>
      </w:tr>
      <w:tr w:rsidR="0008644D" w:rsidRPr="00256091" w14:paraId="3E3E9803" w14:textId="77777777" w:rsidTr="00D7288C">
        <w:trPr>
          <w:trHeight w:val="340"/>
        </w:trPr>
        <w:tc>
          <w:tcPr>
            <w:tcW w:w="1169" w:type="dxa"/>
            <w:hideMark/>
          </w:tcPr>
          <w:p w14:paraId="0DD8EAD9" w14:textId="77777777" w:rsidR="0008644D" w:rsidRPr="00256091" w:rsidRDefault="0008644D" w:rsidP="00D7288C">
            <w:pPr>
              <w:jc w:val="center"/>
              <w:rPr>
                <w:color w:val="000000"/>
                <w:sz w:val="22"/>
                <w:szCs w:val="22"/>
              </w:rPr>
            </w:pPr>
            <w:r w:rsidRPr="00256091">
              <w:rPr>
                <w:color w:val="000000"/>
                <w:sz w:val="22"/>
                <w:szCs w:val="22"/>
              </w:rPr>
              <w:t>5</w:t>
            </w:r>
          </w:p>
        </w:tc>
        <w:tc>
          <w:tcPr>
            <w:tcW w:w="1149" w:type="dxa"/>
            <w:hideMark/>
          </w:tcPr>
          <w:p w14:paraId="55B64C5D" w14:textId="77777777" w:rsidR="0008644D" w:rsidRPr="00256091" w:rsidRDefault="0008644D" w:rsidP="00D7288C">
            <w:pPr>
              <w:jc w:val="center"/>
              <w:rPr>
                <w:color w:val="000000"/>
                <w:sz w:val="22"/>
                <w:szCs w:val="22"/>
              </w:rPr>
            </w:pPr>
            <w:r w:rsidRPr="00256091">
              <w:rPr>
                <w:color w:val="000000"/>
                <w:sz w:val="22"/>
                <w:szCs w:val="22"/>
              </w:rPr>
              <w:t>2 (0.43)</w:t>
            </w:r>
          </w:p>
        </w:tc>
        <w:tc>
          <w:tcPr>
            <w:tcW w:w="943" w:type="dxa"/>
            <w:hideMark/>
          </w:tcPr>
          <w:p w14:paraId="4D9C7B34" w14:textId="77777777" w:rsidR="0008644D" w:rsidRPr="00256091" w:rsidRDefault="0008644D" w:rsidP="00D7288C">
            <w:pPr>
              <w:jc w:val="center"/>
              <w:rPr>
                <w:color w:val="000000"/>
                <w:sz w:val="22"/>
                <w:szCs w:val="22"/>
              </w:rPr>
            </w:pPr>
            <w:r w:rsidRPr="00256091">
              <w:rPr>
                <w:color w:val="000000"/>
                <w:sz w:val="22"/>
                <w:szCs w:val="22"/>
              </w:rPr>
              <w:t>-</w:t>
            </w:r>
          </w:p>
        </w:tc>
        <w:tc>
          <w:tcPr>
            <w:tcW w:w="1031" w:type="dxa"/>
            <w:hideMark/>
          </w:tcPr>
          <w:p w14:paraId="072F578E" w14:textId="77777777" w:rsidR="0008644D" w:rsidRPr="00256091" w:rsidRDefault="0008644D" w:rsidP="00D7288C">
            <w:pPr>
              <w:jc w:val="center"/>
              <w:rPr>
                <w:color w:val="000000"/>
                <w:sz w:val="22"/>
                <w:szCs w:val="22"/>
              </w:rPr>
            </w:pPr>
            <w:r w:rsidRPr="00256091">
              <w:rPr>
                <w:color w:val="000000"/>
                <w:sz w:val="22"/>
                <w:szCs w:val="22"/>
              </w:rPr>
              <w:t>-</w:t>
            </w:r>
          </w:p>
        </w:tc>
      </w:tr>
      <w:tr w:rsidR="0008644D" w:rsidRPr="00256091" w14:paraId="6035E5AE" w14:textId="77777777" w:rsidTr="00D7288C">
        <w:trPr>
          <w:trHeight w:val="340"/>
        </w:trPr>
        <w:tc>
          <w:tcPr>
            <w:tcW w:w="1169" w:type="dxa"/>
          </w:tcPr>
          <w:p w14:paraId="025A7220" w14:textId="77777777" w:rsidR="0008644D" w:rsidRPr="00256091" w:rsidRDefault="0008644D" w:rsidP="00D7288C">
            <w:pPr>
              <w:jc w:val="center"/>
              <w:rPr>
                <w:color w:val="000000"/>
                <w:sz w:val="22"/>
                <w:szCs w:val="22"/>
              </w:rPr>
            </w:pPr>
            <w:r w:rsidRPr="00256091">
              <w:rPr>
                <w:color w:val="000000"/>
                <w:sz w:val="22"/>
                <w:szCs w:val="22"/>
              </w:rPr>
              <w:t>6</w:t>
            </w:r>
          </w:p>
        </w:tc>
        <w:tc>
          <w:tcPr>
            <w:tcW w:w="1149" w:type="dxa"/>
          </w:tcPr>
          <w:p w14:paraId="62D8F097" w14:textId="77777777" w:rsidR="0008644D" w:rsidRPr="00256091" w:rsidRDefault="0008644D" w:rsidP="00D7288C">
            <w:pPr>
              <w:jc w:val="center"/>
              <w:rPr>
                <w:color w:val="000000"/>
                <w:sz w:val="22"/>
                <w:szCs w:val="22"/>
              </w:rPr>
            </w:pPr>
            <w:r w:rsidRPr="00256091">
              <w:rPr>
                <w:color w:val="000000"/>
                <w:sz w:val="22"/>
                <w:szCs w:val="22"/>
              </w:rPr>
              <w:t>-</w:t>
            </w:r>
          </w:p>
        </w:tc>
        <w:tc>
          <w:tcPr>
            <w:tcW w:w="943" w:type="dxa"/>
          </w:tcPr>
          <w:p w14:paraId="3792CF30" w14:textId="77777777" w:rsidR="0008644D" w:rsidRPr="00256091" w:rsidRDefault="0008644D" w:rsidP="00D7288C">
            <w:pPr>
              <w:jc w:val="center"/>
              <w:rPr>
                <w:color w:val="000000"/>
                <w:sz w:val="22"/>
                <w:szCs w:val="22"/>
              </w:rPr>
            </w:pPr>
            <w:r w:rsidRPr="00256091">
              <w:rPr>
                <w:color w:val="000000"/>
                <w:sz w:val="22"/>
                <w:szCs w:val="22"/>
              </w:rPr>
              <w:t>-</w:t>
            </w:r>
          </w:p>
        </w:tc>
        <w:tc>
          <w:tcPr>
            <w:tcW w:w="1031" w:type="dxa"/>
          </w:tcPr>
          <w:p w14:paraId="1623385C" w14:textId="77777777" w:rsidR="0008644D" w:rsidRPr="00256091" w:rsidRDefault="0008644D" w:rsidP="00D7288C">
            <w:pPr>
              <w:jc w:val="center"/>
              <w:rPr>
                <w:color w:val="000000"/>
                <w:sz w:val="22"/>
                <w:szCs w:val="22"/>
              </w:rPr>
            </w:pPr>
            <w:r w:rsidRPr="00256091">
              <w:rPr>
                <w:color w:val="000000"/>
                <w:sz w:val="22"/>
                <w:szCs w:val="22"/>
              </w:rPr>
              <w:t>1 (0.21)</w:t>
            </w:r>
          </w:p>
        </w:tc>
      </w:tr>
      <w:tr w:rsidR="0008644D" w:rsidRPr="00256091" w14:paraId="6B5980FA" w14:textId="77777777" w:rsidTr="00D7288C">
        <w:trPr>
          <w:trHeight w:val="340"/>
        </w:trPr>
        <w:tc>
          <w:tcPr>
            <w:tcW w:w="1169" w:type="dxa"/>
          </w:tcPr>
          <w:p w14:paraId="0EB93043" w14:textId="77777777" w:rsidR="0008644D" w:rsidRPr="00256091" w:rsidRDefault="0008644D" w:rsidP="00D7288C">
            <w:pPr>
              <w:jc w:val="center"/>
              <w:rPr>
                <w:color w:val="000000"/>
                <w:sz w:val="22"/>
                <w:szCs w:val="22"/>
              </w:rPr>
            </w:pPr>
            <w:r w:rsidRPr="00256091">
              <w:rPr>
                <w:color w:val="000000"/>
                <w:sz w:val="22"/>
                <w:szCs w:val="22"/>
              </w:rPr>
              <w:t>7</w:t>
            </w:r>
          </w:p>
        </w:tc>
        <w:tc>
          <w:tcPr>
            <w:tcW w:w="1149" w:type="dxa"/>
          </w:tcPr>
          <w:p w14:paraId="717D2AF7" w14:textId="77777777" w:rsidR="0008644D" w:rsidRPr="00256091" w:rsidRDefault="0008644D" w:rsidP="00D7288C">
            <w:pPr>
              <w:jc w:val="center"/>
              <w:rPr>
                <w:color w:val="000000"/>
                <w:sz w:val="22"/>
                <w:szCs w:val="22"/>
              </w:rPr>
            </w:pPr>
            <w:r w:rsidRPr="00256091">
              <w:rPr>
                <w:color w:val="000000"/>
                <w:sz w:val="22"/>
                <w:szCs w:val="22"/>
              </w:rPr>
              <w:t>-</w:t>
            </w:r>
          </w:p>
        </w:tc>
        <w:tc>
          <w:tcPr>
            <w:tcW w:w="943" w:type="dxa"/>
          </w:tcPr>
          <w:p w14:paraId="69E64183" w14:textId="77777777" w:rsidR="0008644D" w:rsidRPr="00256091" w:rsidRDefault="0008644D" w:rsidP="00D7288C">
            <w:pPr>
              <w:jc w:val="center"/>
              <w:rPr>
                <w:color w:val="000000"/>
                <w:sz w:val="22"/>
                <w:szCs w:val="22"/>
              </w:rPr>
            </w:pPr>
            <w:r w:rsidRPr="00256091">
              <w:rPr>
                <w:color w:val="000000"/>
                <w:sz w:val="22"/>
                <w:szCs w:val="22"/>
              </w:rPr>
              <w:t>-</w:t>
            </w:r>
          </w:p>
        </w:tc>
        <w:tc>
          <w:tcPr>
            <w:tcW w:w="1031" w:type="dxa"/>
          </w:tcPr>
          <w:p w14:paraId="416C1B20" w14:textId="77777777" w:rsidR="0008644D" w:rsidRPr="00256091" w:rsidRDefault="0008644D" w:rsidP="00D7288C">
            <w:pPr>
              <w:jc w:val="center"/>
              <w:rPr>
                <w:color w:val="000000"/>
                <w:sz w:val="22"/>
                <w:szCs w:val="22"/>
              </w:rPr>
            </w:pPr>
            <w:r w:rsidRPr="00256091">
              <w:rPr>
                <w:color w:val="000000"/>
                <w:sz w:val="22"/>
                <w:szCs w:val="22"/>
              </w:rPr>
              <w:t>-</w:t>
            </w:r>
          </w:p>
        </w:tc>
      </w:tr>
      <w:tr w:rsidR="0008644D" w:rsidRPr="00256091" w14:paraId="0E9820C1" w14:textId="77777777" w:rsidTr="00D7288C">
        <w:trPr>
          <w:trHeight w:val="371"/>
        </w:trPr>
        <w:tc>
          <w:tcPr>
            <w:tcW w:w="1169" w:type="dxa"/>
          </w:tcPr>
          <w:p w14:paraId="63B5D54E" w14:textId="77777777" w:rsidR="0008644D" w:rsidRPr="00256091" w:rsidRDefault="0008644D" w:rsidP="00D7288C">
            <w:pPr>
              <w:jc w:val="center"/>
              <w:rPr>
                <w:color w:val="000000"/>
                <w:sz w:val="22"/>
                <w:szCs w:val="22"/>
              </w:rPr>
            </w:pPr>
            <w:r w:rsidRPr="00256091">
              <w:rPr>
                <w:color w:val="000000"/>
                <w:sz w:val="22"/>
                <w:szCs w:val="22"/>
              </w:rPr>
              <w:t>8</w:t>
            </w:r>
          </w:p>
        </w:tc>
        <w:tc>
          <w:tcPr>
            <w:tcW w:w="1149" w:type="dxa"/>
          </w:tcPr>
          <w:p w14:paraId="51C4ED1F" w14:textId="77777777" w:rsidR="0008644D" w:rsidRPr="00256091" w:rsidRDefault="0008644D" w:rsidP="00D7288C">
            <w:pPr>
              <w:jc w:val="center"/>
              <w:rPr>
                <w:color w:val="000000"/>
                <w:sz w:val="22"/>
                <w:szCs w:val="22"/>
              </w:rPr>
            </w:pPr>
            <w:r w:rsidRPr="00256091">
              <w:rPr>
                <w:color w:val="000000"/>
                <w:sz w:val="22"/>
                <w:szCs w:val="22"/>
              </w:rPr>
              <w:t>2 (0.43)</w:t>
            </w:r>
          </w:p>
        </w:tc>
        <w:tc>
          <w:tcPr>
            <w:tcW w:w="943" w:type="dxa"/>
          </w:tcPr>
          <w:p w14:paraId="0AC9ABA9" w14:textId="77777777" w:rsidR="0008644D" w:rsidRPr="00256091" w:rsidRDefault="0008644D" w:rsidP="00D7288C">
            <w:pPr>
              <w:jc w:val="center"/>
              <w:rPr>
                <w:color w:val="000000"/>
                <w:sz w:val="22"/>
                <w:szCs w:val="22"/>
              </w:rPr>
            </w:pPr>
            <w:r w:rsidRPr="00256091">
              <w:rPr>
                <w:color w:val="000000"/>
                <w:sz w:val="22"/>
                <w:szCs w:val="22"/>
              </w:rPr>
              <w:t>-</w:t>
            </w:r>
          </w:p>
        </w:tc>
        <w:tc>
          <w:tcPr>
            <w:tcW w:w="1031" w:type="dxa"/>
          </w:tcPr>
          <w:p w14:paraId="75CB2D5C" w14:textId="77777777" w:rsidR="0008644D" w:rsidRPr="00256091" w:rsidRDefault="0008644D" w:rsidP="00D7288C">
            <w:pPr>
              <w:jc w:val="center"/>
              <w:rPr>
                <w:color w:val="000000"/>
                <w:sz w:val="22"/>
                <w:szCs w:val="22"/>
              </w:rPr>
            </w:pPr>
            <w:r w:rsidRPr="00256091">
              <w:rPr>
                <w:color w:val="000000"/>
                <w:sz w:val="22"/>
                <w:szCs w:val="22"/>
              </w:rPr>
              <w:t>-</w:t>
            </w:r>
          </w:p>
        </w:tc>
      </w:tr>
    </w:tbl>
    <w:p w14:paraId="407F1BCE" w14:textId="52A5D5B4" w:rsidR="00C31BA6" w:rsidRPr="00AE3C3F" w:rsidRDefault="00C31BA6" w:rsidP="00C31BA6">
      <w:pPr>
        <w:spacing w:before="120" w:after="120"/>
        <w:rPr>
          <w:i/>
          <w:lang w:val="de-DE"/>
        </w:rPr>
      </w:pPr>
      <w:r w:rsidRPr="00AE3C3F">
        <w:rPr>
          <w:i/>
          <w:lang w:val="de-DE"/>
        </w:rPr>
        <w:t>3.3.3. Pharmacological mechanism of DDI</w:t>
      </w:r>
      <w:r w:rsidR="00A60B73" w:rsidRPr="00AE3C3F">
        <w:rPr>
          <w:i/>
          <w:lang w:val="de-DE"/>
        </w:rPr>
        <w:t>s</w:t>
      </w:r>
      <w:r w:rsidRPr="00AE3C3F">
        <w:rPr>
          <w:i/>
          <w:lang w:val="de-DE"/>
        </w:rPr>
        <w:t xml:space="preserve"> </w:t>
      </w:r>
    </w:p>
    <w:p w14:paraId="5D1E948A" w14:textId="4B26C289" w:rsidR="0008644D" w:rsidRPr="00AE3C3F" w:rsidRDefault="00C31BA6" w:rsidP="00A057FC">
      <w:pPr>
        <w:spacing w:before="120" w:after="240"/>
        <w:jc w:val="both"/>
        <w:rPr>
          <w:lang w:val="de-DE"/>
        </w:rPr>
      </w:pPr>
      <w:r w:rsidRPr="00AE3C3F">
        <w:rPr>
          <w:lang w:val="de-DE"/>
        </w:rPr>
        <w:t>In all 3 databases, the pharmacodynamic mechanism accounted for a higher proportion than the pharmacokinetic mechanism. In which the pharmacodynamic mechanism was higher than 83%</w:t>
      </w:r>
      <w:r w:rsidR="00D57010" w:rsidRPr="00AE3C3F">
        <w:rPr>
          <w:lang w:val="de-DE"/>
        </w:rPr>
        <w:t xml:space="preserve"> among the pairs of interacting drugs</w:t>
      </w:r>
      <w:r w:rsidRPr="00AE3C3F">
        <w:rPr>
          <w:lang w:val="de-DE"/>
        </w:rPr>
        <w:t xml:space="preserve">, the pharmacokinetic mechanism was lower than 17%. </w:t>
      </w:r>
      <w:r w:rsidR="00B13ED4" w:rsidRPr="00AE3C3F">
        <w:rPr>
          <w:lang w:val="de-DE"/>
        </w:rPr>
        <w:t>A study was conducted in Ethiopia that also indicated that pharmacodynamic mechanism inte</w:t>
      </w:r>
      <w:r w:rsidR="002A38A5" w:rsidRPr="00AE3C3F">
        <w:rPr>
          <w:lang w:val="de-DE"/>
        </w:rPr>
        <w:t>ractions were predominant (73.1</w:t>
      </w:r>
      <w:r w:rsidR="00B13ED4" w:rsidRPr="00AE3C3F">
        <w:rPr>
          <w:lang w:val="de-DE"/>
        </w:rPr>
        <w:t>%)</w:t>
      </w:r>
      <w:r w:rsidR="0029015C">
        <w:rPr>
          <w:lang w:val="de-DE"/>
        </w:rPr>
        <w:t>.</w:t>
      </w:r>
      <w:r w:rsidR="00B13ED4" w:rsidRPr="00AE3C3F">
        <w:rPr>
          <w:lang w:val="de-DE"/>
        </w:rPr>
        <w:fldChar w:fldCharType="begin"/>
      </w:r>
      <w:r w:rsidR="003A67A6">
        <w:rPr>
          <w:lang w:val="de-DE"/>
        </w:rPr>
        <w:instrText xml:space="preserve"> ADDIN ZOTERO_ITEM CSL_CITATION {"citationID":"dWfBIjJI","properties":{"formattedCitation":"(3)","plainCitation":"(3)","noteIndex":0},"citationItems":[{"id":1732,"uris":["http://zotero.org/users/6883290/items/G889PE6W"],"itemData":{"id":1732,"type":"article-journal","abstract":"BACKGROUND: Elderly people are most commonly associated with cardiac disease. Cardiovascular diseases are interlinked with co-morbidities which require multiple drug therapy in addition to cardiovascular drugs. This results to polypharmacy which carries a high risk of potential drug-drug interactions. Elderly patients are at a particular risk of drug related problems because of increased level of polypharmacy and the physiological changes which accompany aging. This study was aimed to assess polypharmacy and potential drug-drug interactions (DDIs) among elderly people with cardiovascular diseases at Yekatit 12 hospital.\nMETHODOLOGY: A retrospective cross-sectional study using patients chart review was conducted on all elderly people with cardiovascular diseases at Yekatit 12 hospital in the period between March 2018 and March 2019. The types, seriousness and level of potential DDIs were checked using Medscape online drug interaction checker.\nRESULTS: The mean number of drugs per prescription was 4.25 ± 1.754 and the prevalence of polypharmacy (concurrent use of 5 and more drugs) was 42.7%. Polypharmacy and potential DDIs were significantly associated with polymorbidity (P = 0.000), being hospitalized (P = 0.047) and congestive heart failure (P = 0.016). A total of 850-potential DDIs were identified, the mean number of potential DDIs was 3.37 per prescription. The potential DDIs were mainly significant (73.29%) in nature and pharmacodynamics (73.06%) in mechanism. The prevalence of total and serious potential DDIs were 84.3% and 17.3%, respectively. Most commonly interacting drug combination was aspirin + enalapril (30.2%).\nCONCLUSION: A higher incidence of polypharmacy and increased risk of potential DDIs in elderly people with cardiovascular disease are major therapeutic issues at Yekatit 12 hospital.","container-title":"Integrated Pharmacy Research &amp; Practice","DOI":"10.2147/IPRP.S231286","ISSN":"2230-5254","journalAbbreviation":"Integr Pharm Res Pract","language":"eng","note":"PMID: 32021833\nPMCID: PMC6959213","page":"1-9","source":"PubMed","title":"Survey on Polypharmacy and Drug-Drug Interactions Among Elderly People with Cardiovascular Diseases at Yekatit 12 Hospital, Addis Ababa, Ethiopia","volume":"9","author":[{"family":"Assefa","given":"Yelbeneh Abayneh"},{"family":"Kedir","given":"Ansha"},{"family":"Kahaliw","given":"Wubayehu"}],"issued":{"date-parts":[["2020"]]}}}],"schema":"https://github.com/citation-style-language/schema/raw/master/csl-citation.json"} </w:instrText>
      </w:r>
      <w:r w:rsidR="00B13ED4" w:rsidRPr="00AE3C3F">
        <w:rPr>
          <w:lang w:val="de-DE"/>
        </w:rPr>
        <w:fldChar w:fldCharType="separate"/>
      </w:r>
      <w:r w:rsidR="00892097" w:rsidRPr="0029015C">
        <w:rPr>
          <w:noProof/>
          <w:vertAlign w:val="superscript"/>
          <w:lang w:val="de-DE"/>
        </w:rPr>
        <w:t>3</w:t>
      </w:r>
      <w:r w:rsidR="00B13ED4" w:rsidRPr="00AE3C3F">
        <w:rPr>
          <w:lang w:val="de-DE"/>
        </w:rPr>
        <w:fldChar w:fldCharType="end"/>
      </w:r>
      <w:r w:rsidR="00B13ED4" w:rsidRPr="00AE3C3F">
        <w:rPr>
          <w:lang w:val="de-DE"/>
        </w:rPr>
        <w:t xml:space="preserve"> </w:t>
      </w:r>
      <w:r w:rsidR="00431D86" w:rsidRPr="00AE3C3F">
        <w:rPr>
          <w:lang w:val="de-DE"/>
        </w:rPr>
        <w:t xml:space="preserve">The drug interaction pairs based on pharmacodynamic mechanisms estimated for the majority, including: amlodipine-methocarbamol, amlodipine-methylprednisolone, amlodipine-metformin, and hydrochlorothiazide-metformin. Most of these drug interaction pairs involve antagonistic effects. Specifically, methylprednisolone increases salt and water retention and raises sympathetic receptor </w:t>
      </w:r>
      <w:r w:rsidR="00431D86" w:rsidRPr="00AE3C3F">
        <w:rPr>
          <w:lang w:val="de-DE"/>
        </w:rPr>
        <w:lastRenderedPageBreak/>
        <w:t xml:space="preserve">expression, leading to hypertension. Therefore, methylprednisolone can reduce the antihypertensive effect of amlodipine. </w:t>
      </w:r>
      <w:r w:rsidR="002E74F7" w:rsidRPr="00AE3C3F">
        <w:rPr>
          <w:lang w:val="de-DE"/>
        </w:rPr>
        <w:t>Figure 2</w:t>
      </w:r>
      <w:r w:rsidRPr="00AE3C3F">
        <w:rPr>
          <w:lang w:val="de-DE"/>
        </w:rPr>
        <w:t xml:space="preserve"> showed the pharmacological</w:t>
      </w:r>
      <w:r w:rsidR="00F176D6" w:rsidRPr="00AE3C3F">
        <w:rPr>
          <w:lang w:val="de-DE"/>
        </w:rPr>
        <w:t xml:space="preserve"> mechanism</w:t>
      </w:r>
      <w:r w:rsidRPr="00AE3C3F">
        <w:rPr>
          <w:lang w:val="de-DE"/>
        </w:rPr>
        <w:t xml:space="preserve"> of DDIs.</w:t>
      </w:r>
    </w:p>
    <w:p w14:paraId="0ADFFA79" w14:textId="72108E6A" w:rsidR="008D1582" w:rsidRPr="00EF73D0" w:rsidRDefault="008D1582" w:rsidP="00CB7B58">
      <w:pPr>
        <w:spacing w:before="120" w:after="120"/>
        <w:jc w:val="both"/>
        <w:rPr>
          <w:sz w:val="20"/>
          <w:szCs w:val="20"/>
          <w:lang w:val="de-DE"/>
        </w:rPr>
      </w:pPr>
      <w:r>
        <w:rPr>
          <w:noProof/>
        </w:rPr>
        <w:drawing>
          <wp:inline distT="0" distB="0" distL="0" distR="0" wp14:anchorId="00346708" wp14:editId="71ED7D4C">
            <wp:extent cx="2765816" cy="2241550"/>
            <wp:effectExtent l="0" t="0" r="15875"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06F0E6" w14:textId="628ECD7B" w:rsidR="002A38A5" w:rsidRPr="002A38A5" w:rsidRDefault="002A38A5" w:rsidP="00313188">
      <w:pPr>
        <w:spacing w:before="120" w:after="240"/>
        <w:jc w:val="center"/>
        <w:rPr>
          <w:b/>
          <w:sz w:val="20"/>
          <w:szCs w:val="20"/>
          <w:lang w:val="de-DE"/>
        </w:rPr>
      </w:pPr>
      <w:r w:rsidRPr="002A38A5">
        <w:rPr>
          <w:b/>
          <w:sz w:val="20"/>
          <w:szCs w:val="20"/>
          <w:lang w:val="de-DE"/>
        </w:rPr>
        <w:t xml:space="preserve">Figure 2. </w:t>
      </w:r>
      <w:r w:rsidRPr="00256091">
        <w:rPr>
          <w:sz w:val="20"/>
          <w:szCs w:val="20"/>
          <w:lang w:val="de-DE"/>
        </w:rPr>
        <w:t>The rate of pharmacological mechanism of DDIs.</w:t>
      </w:r>
    </w:p>
    <w:p w14:paraId="1C8445BE" w14:textId="401A2DAB" w:rsidR="00B01522" w:rsidRPr="00EF73D0" w:rsidRDefault="00A60B73" w:rsidP="002A38A5">
      <w:pPr>
        <w:spacing w:after="120"/>
        <w:rPr>
          <w:sz w:val="20"/>
          <w:szCs w:val="20"/>
          <w:lang w:val="de-DE"/>
        </w:rPr>
      </w:pPr>
      <w:r w:rsidRPr="00EF73D0">
        <w:rPr>
          <w:i/>
          <w:sz w:val="20"/>
          <w:szCs w:val="20"/>
          <w:lang w:val="de-DE"/>
        </w:rPr>
        <w:t xml:space="preserve">3.3.4. </w:t>
      </w:r>
      <w:r w:rsidR="008F3401" w:rsidRPr="00EF73D0">
        <w:rPr>
          <w:i/>
          <w:sz w:val="20"/>
          <w:szCs w:val="20"/>
          <w:lang w:val="de-DE"/>
        </w:rPr>
        <w:t>Clinically relevant DDIs</w:t>
      </w:r>
    </w:p>
    <w:p w14:paraId="79D2ABF7" w14:textId="2AC371BF" w:rsidR="00B63F9C" w:rsidRPr="00EF73D0" w:rsidRDefault="00D25C25" w:rsidP="00A057FC">
      <w:pPr>
        <w:spacing w:before="120" w:after="120"/>
        <w:jc w:val="both"/>
        <w:rPr>
          <w:sz w:val="20"/>
          <w:szCs w:val="20"/>
          <w:lang w:val="de-DE"/>
        </w:rPr>
      </w:pPr>
      <w:r w:rsidRPr="00EF73D0">
        <w:rPr>
          <w:sz w:val="20"/>
          <w:szCs w:val="20"/>
          <w:lang w:val="de-DE"/>
        </w:rPr>
        <w:t xml:space="preserve">Of the 338 </w:t>
      </w:r>
      <w:r w:rsidR="002A38A5">
        <w:rPr>
          <w:sz w:val="20"/>
          <w:szCs w:val="20"/>
          <w:lang w:val="de-DE"/>
        </w:rPr>
        <w:t>drug interaction</w:t>
      </w:r>
      <w:r w:rsidRPr="00EF73D0">
        <w:rPr>
          <w:sz w:val="20"/>
          <w:szCs w:val="20"/>
          <w:lang w:val="de-DE"/>
        </w:rPr>
        <w:t xml:space="preserve"> pairs in DI, 324 pairs were clinic</w:t>
      </w:r>
      <w:r w:rsidR="004E6181">
        <w:rPr>
          <w:sz w:val="20"/>
          <w:szCs w:val="20"/>
          <w:lang w:val="de-DE"/>
        </w:rPr>
        <w:t>ally significant. There were 133</w:t>
      </w:r>
      <w:r w:rsidR="009A6E48">
        <w:rPr>
          <w:sz w:val="20"/>
          <w:szCs w:val="20"/>
          <w:lang w:val="de-DE"/>
        </w:rPr>
        <w:t xml:space="preserve"> and 182</w:t>
      </w:r>
      <w:r w:rsidRPr="00EF73D0">
        <w:rPr>
          <w:sz w:val="20"/>
          <w:szCs w:val="20"/>
          <w:lang w:val="de-DE"/>
        </w:rPr>
        <w:t xml:space="preserve"> clinica</w:t>
      </w:r>
      <w:r w:rsidR="008D1582">
        <w:rPr>
          <w:sz w:val="20"/>
          <w:szCs w:val="20"/>
          <w:lang w:val="de-DE"/>
        </w:rPr>
        <w:t>lly relevant pairs among 194</w:t>
      </w:r>
      <w:r w:rsidRPr="00EF73D0">
        <w:rPr>
          <w:sz w:val="20"/>
          <w:szCs w:val="20"/>
          <w:lang w:val="de-DE"/>
        </w:rPr>
        <w:t xml:space="preserve"> and 188 pairs in MDI and MMDI, respectively.</w:t>
      </w:r>
      <w:r w:rsidR="00AA35EA" w:rsidRPr="00EF73D0">
        <w:rPr>
          <w:sz w:val="20"/>
          <w:szCs w:val="20"/>
          <w:lang w:val="de-DE"/>
        </w:rPr>
        <w:t xml:space="preserve"> A study performed on cardiac patients at Ayub Teaching Hospital, Abbottabad, Pakistan, found a high incidence of clinically significant drug interactions of 84.5%</w:t>
      </w:r>
      <w:r w:rsidR="0029015C">
        <w:rPr>
          <w:sz w:val="20"/>
          <w:szCs w:val="20"/>
          <w:lang w:val="de-DE"/>
        </w:rPr>
        <w:t>.</w:t>
      </w:r>
      <w:r w:rsidR="00AA35EA" w:rsidRPr="0029015C">
        <w:rPr>
          <w:sz w:val="20"/>
          <w:szCs w:val="20"/>
          <w:vertAlign w:val="superscript"/>
          <w:lang w:val="de-DE"/>
        </w:rPr>
        <w:fldChar w:fldCharType="begin"/>
      </w:r>
      <w:r w:rsidR="003A67A6" w:rsidRPr="0029015C">
        <w:rPr>
          <w:sz w:val="20"/>
          <w:szCs w:val="20"/>
          <w:vertAlign w:val="superscript"/>
          <w:lang w:val="de-DE"/>
        </w:rPr>
        <w:instrText xml:space="preserve"> ADDIN ZOTERO_ITEM CSL_CITATION {"citationID":"Capsk3Jb","properties":{"formattedCitation":"(9)","plainCitation":"(9)","noteIndex":0},"citationItems":[{"id":1756,"uris":["http://zotero.org/users/6883290/items/LBYV8TIW"],"itemData":{"id":1756,"type":"article-journal","abstract":"Drug–drug interactions (DDIs) may result in the alteration of therapeutic response. Sometimes they may increase the untoward effects of many drugs. Hospitalized cardiac patients need more attention regarding drug–drug interactions due to complexity of their disease and therapeutic regimen. This research was performed to find out types, prevalence and association between various predictors of potential drug–drug interactions (pDDIs) in the Department of Cardiology and to report common interactions. This study was performed in the hospitalized cardiac patients at Ayub Teaching Hospital, Abbottabad, Pakistan. Patient charts of 2342 patients were assessed for pDDIs using Micromedex® Drug Information. Logistic regression was applied to find predictors of pDDIs. The main outcome measure in the study was the association of the potential drug–drug interactions with various factors such as age, gender, polypharmacy, and hospital stay of the patients. We identified 53 interacting-combinations that were present in total 5109 pDDIs with median number of 02 pDDIs per patient. Overall, 91.6% patients had at least one pDDI; 86.3% were having at least one major pDDI, and 84.5% patients had at least one moderate pDDI. Among 5109 identified pDDIs, most were of moderate (55%) or major severity (45%); established (24.2%), theoretical (18.8%) or probable (57%) type of scientific evidence. Top 10 common pDDIs included 3 major and 7 moderate interactions. Results obtained by multivariate logistic regression revealed a significant association of the occurrence of pDDIs in patient with age of 60years or more (p&lt;0.001), hospital stay of 7days or longer (p&lt;0.001) and taking 7 or more drugs (p&lt;0.001). We found a high prevalence for pDDIs in the Department of Cardiology, most of which were of moderate severity. Older patients, patients with longer hospital stay and with elevated number of prescribed drugs were at higher risk of pDDIs.","container-title":"Saudi Pharmaceutical Journal","DOI":"10.1016/j.jsps.2015.03.009","ISSN":"1319-0164","issue":"2","journalAbbreviation":"Saudi Pharmaceutical Journal","page":"220-225","source":"ScienceDirect","title":"Assessment of potential drug–drug interactions and its associated factors in the hospitalized cardiac patients","volume":"24","author":[{"family":"Murtaza","given":"Ghulam"},{"family":"Khan","given":"Muhammad Yasir Ghani"},{"family":"Azhar","given":"Saira"},{"family":"Khan","given":"Shujaat Ali"},{"family":"Khan","given":"Tahir M."}],"issued":{"date-parts":[["2016",3,1]]}}}],"schema":"https://github.com/citation-style-language/schema/raw/master/csl-citation.json"} </w:instrText>
      </w:r>
      <w:r w:rsidR="00AA35EA" w:rsidRPr="0029015C">
        <w:rPr>
          <w:sz w:val="20"/>
          <w:szCs w:val="20"/>
          <w:vertAlign w:val="superscript"/>
          <w:lang w:val="de-DE"/>
        </w:rPr>
        <w:fldChar w:fldCharType="separate"/>
      </w:r>
      <w:r w:rsidR="00892097" w:rsidRPr="0029015C">
        <w:rPr>
          <w:noProof/>
          <w:sz w:val="20"/>
          <w:szCs w:val="20"/>
          <w:vertAlign w:val="superscript"/>
          <w:lang w:val="de-DE"/>
        </w:rPr>
        <w:t>9</w:t>
      </w:r>
      <w:r w:rsidR="00AA35EA" w:rsidRPr="0029015C">
        <w:rPr>
          <w:sz w:val="20"/>
          <w:szCs w:val="20"/>
          <w:vertAlign w:val="superscript"/>
          <w:lang w:val="de-DE"/>
        </w:rPr>
        <w:fldChar w:fldCharType="end"/>
      </w:r>
    </w:p>
    <w:p w14:paraId="46A79FCB" w14:textId="59D44489" w:rsidR="00B3608D" w:rsidRDefault="00F203AD" w:rsidP="00CA3E6A">
      <w:pPr>
        <w:ind w:firstLine="567"/>
        <w:jc w:val="both"/>
        <w:rPr>
          <w:sz w:val="20"/>
          <w:szCs w:val="20"/>
          <w:lang w:val="de-DE"/>
        </w:rPr>
      </w:pPr>
      <w:r w:rsidRPr="00EF73D0">
        <w:rPr>
          <w:sz w:val="20"/>
          <w:szCs w:val="20"/>
          <w:lang w:val="de-DE"/>
        </w:rPr>
        <w:t>The most clinically relevant</w:t>
      </w:r>
      <w:r w:rsidR="00577AA3" w:rsidRPr="00EF73D0">
        <w:rPr>
          <w:sz w:val="20"/>
          <w:szCs w:val="20"/>
          <w:lang w:val="de-DE"/>
        </w:rPr>
        <w:t xml:space="preserve"> DDI was moderate interactions, </w:t>
      </w:r>
      <w:r w:rsidR="007E3042">
        <w:rPr>
          <w:sz w:val="20"/>
          <w:szCs w:val="20"/>
          <w:lang w:val="de-DE"/>
        </w:rPr>
        <w:t>accounting</w:t>
      </w:r>
      <w:r w:rsidR="00615325" w:rsidRPr="00EF73D0">
        <w:rPr>
          <w:sz w:val="20"/>
          <w:szCs w:val="20"/>
          <w:lang w:val="de-DE"/>
        </w:rPr>
        <w:t xml:space="preserve"> </w:t>
      </w:r>
      <w:r w:rsidR="00C225A8">
        <w:rPr>
          <w:sz w:val="20"/>
          <w:szCs w:val="20"/>
          <w:lang w:val="de-DE"/>
        </w:rPr>
        <w:t>for 91.1</w:t>
      </w:r>
      <w:r w:rsidR="00AD4DE8" w:rsidRPr="00EF73D0">
        <w:rPr>
          <w:sz w:val="20"/>
          <w:szCs w:val="20"/>
          <w:lang w:val="de-DE"/>
        </w:rPr>
        <w:t>%</w:t>
      </w:r>
      <w:r w:rsidR="00615325" w:rsidRPr="00EF73D0">
        <w:rPr>
          <w:sz w:val="20"/>
          <w:szCs w:val="20"/>
          <w:lang w:val="de-DE"/>
        </w:rPr>
        <w:t xml:space="preserve"> of all interactive pairs</w:t>
      </w:r>
      <w:r w:rsidR="00577AA3" w:rsidRPr="00EF73D0">
        <w:rPr>
          <w:sz w:val="20"/>
          <w:szCs w:val="20"/>
          <w:lang w:val="de-DE"/>
        </w:rPr>
        <w:t xml:space="preserve"> in DI.</w:t>
      </w:r>
      <w:r w:rsidR="00615325" w:rsidRPr="00EF73D0">
        <w:rPr>
          <w:sz w:val="20"/>
          <w:szCs w:val="20"/>
          <w:lang w:val="de-DE"/>
        </w:rPr>
        <w:t xml:space="preserve"> </w:t>
      </w:r>
      <w:r w:rsidR="00577AA3" w:rsidRPr="00EF73D0">
        <w:rPr>
          <w:sz w:val="20"/>
          <w:szCs w:val="20"/>
          <w:lang w:val="de-DE"/>
        </w:rPr>
        <w:t>Similarly,</w:t>
      </w:r>
      <w:r w:rsidR="00615325" w:rsidRPr="00EF73D0">
        <w:rPr>
          <w:sz w:val="20"/>
          <w:szCs w:val="20"/>
          <w:lang w:val="de-DE"/>
        </w:rPr>
        <w:t xml:space="preserve"> </w:t>
      </w:r>
      <w:r w:rsidR="00577AA3" w:rsidRPr="00EF73D0">
        <w:rPr>
          <w:sz w:val="20"/>
          <w:szCs w:val="20"/>
          <w:lang w:val="de-DE"/>
        </w:rPr>
        <w:t>moderate DDI constituted</w:t>
      </w:r>
      <w:r w:rsidR="00C225A8">
        <w:rPr>
          <w:sz w:val="20"/>
          <w:szCs w:val="20"/>
          <w:lang w:val="de-DE"/>
        </w:rPr>
        <w:t xml:space="preserve"> 68.5</w:t>
      </w:r>
      <w:r w:rsidR="00615325" w:rsidRPr="00EF73D0">
        <w:rPr>
          <w:sz w:val="20"/>
          <w:szCs w:val="20"/>
          <w:lang w:val="de-DE"/>
        </w:rPr>
        <w:t xml:space="preserve">% </w:t>
      </w:r>
      <w:r w:rsidRPr="00EF73D0">
        <w:rPr>
          <w:sz w:val="20"/>
          <w:szCs w:val="20"/>
          <w:lang w:val="de-DE"/>
        </w:rPr>
        <w:t>and</w:t>
      </w:r>
      <w:r w:rsidR="00C225A8">
        <w:rPr>
          <w:sz w:val="20"/>
          <w:szCs w:val="20"/>
          <w:lang w:val="de-DE"/>
        </w:rPr>
        <w:t xml:space="preserve"> 87.7</w:t>
      </w:r>
      <w:r w:rsidR="00615325" w:rsidRPr="00EF73D0">
        <w:rPr>
          <w:sz w:val="20"/>
          <w:szCs w:val="20"/>
          <w:lang w:val="de-DE"/>
        </w:rPr>
        <w:t>% in MDI and MMDI, respectively</w:t>
      </w:r>
      <w:r w:rsidR="00341ACE" w:rsidRPr="00EF73D0">
        <w:rPr>
          <w:sz w:val="20"/>
          <w:szCs w:val="20"/>
          <w:lang w:val="de-DE"/>
        </w:rPr>
        <w:t xml:space="preserve">. </w:t>
      </w:r>
      <w:r w:rsidR="00113F36" w:rsidRPr="00EF73D0">
        <w:rPr>
          <w:sz w:val="20"/>
          <w:szCs w:val="20"/>
          <w:lang w:val="de-DE"/>
        </w:rPr>
        <w:t>Maj</w:t>
      </w:r>
      <w:r w:rsidR="00C225A8">
        <w:rPr>
          <w:sz w:val="20"/>
          <w:szCs w:val="20"/>
          <w:lang w:val="de-DE"/>
        </w:rPr>
        <w:t>or interactions were 4.73%, 4.12%, and 9.04</w:t>
      </w:r>
      <w:r w:rsidR="00113F36" w:rsidRPr="00EF73D0">
        <w:rPr>
          <w:sz w:val="20"/>
          <w:szCs w:val="20"/>
          <w:lang w:val="de-DE"/>
        </w:rPr>
        <w:t xml:space="preserve">% in DI, MDI, MMDI, respectively. </w:t>
      </w:r>
      <w:r w:rsidR="00A51739" w:rsidRPr="00EF73D0">
        <w:rPr>
          <w:sz w:val="20"/>
          <w:szCs w:val="20"/>
          <w:lang w:val="de-DE"/>
        </w:rPr>
        <w:t xml:space="preserve">A study </w:t>
      </w:r>
      <w:r w:rsidR="002B48E5" w:rsidRPr="00EF73D0">
        <w:rPr>
          <w:sz w:val="20"/>
          <w:szCs w:val="20"/>
          <w:lang w:val="de-DE"/>
        </w:rPr>
        <w:t>conducted</w:t>
      </w:r>
      <w:r w:rsidR="00A51739" w:rsidRPr="00EF73D0">
        <w:rPr>
          <w:sz w:val="20"/>
          <w:szCs w:val="20"/>
          <w:lang w:val="de-DE"/>
        </w:rPr>
        <w:t xml:space="preserve"> </w:t>
      </w:r>
      <w:r w:rsidR="002B48E5" w:rsidRPr="00EF73D0">
        <w:rPr>
          <w:sz w:val="20"/>
          <w:szCs w:val="20"/>
          <w:lang w:val="de-DE"/>
        </w:rPr>
        <w:t>among outpatients</w:t>
      </w:r>
      <w:r w:rsidR="00D7470E" w:rsidRPr="00EF73D0">
        <w:rPr>
          <w:sz w:val="20"/>
          <w:szCs w:val="20"/>
          <w:lang w:val="de-DE"/>
        </w:rPr>
        <w:t xml:space="preserve"> similar</w:t>
      </w:r>
      <w:r w:rsidR="002B48E5" w:rsidRPr="00EF73D0">
        <w:rPr>
          <w:sz w:val="20"/>
          <w:szCs w:val="20"/>
          <w:lang w:val="de-DE"/>
        </w:rPr>
        <w:t>ly demonstrated these</w:t>
      </w:r>
      <w:r w:rsidR="00D7470E" w:rsidRPr="00EF73D0">
        <w:rPr>
          <w:sz w:val="20"/>
          <w:szCs w:val="20"/>
          <w:lang w:val="de-DE"/>
        </w:rPr>
        <w:t xml:space="preserve"> result</w:t>
      </w:r>
      <w:r w:rsidR="002B48E5" w:rsidRPr="00EF73D0">
        <w:rPr>
          <w:sz w:val="20"/>
          <w:szCs w:val="20"/>
          <w:lang w:val="de-DE"/>
        </w:rPr>
        <w:t>s of our study</w:t>
      </w:r>
      <w:r w:rsidR="0029015C">
        <w:rPr>
          <w:sz w:val="20"/>
          <w:szCs w:val="20"/>
          <w:lang w:val="de-DE"/>
        </w:rPr>
        <w:t>.</w:t>
      </w:r>
      <w:r w:rsidR="002B48E5" w:rsidRPr="00EF73D0">
        <w:rPr>
          <w:sz w:val="20"/>
          <w:szCs w:val="20"/>
          <w:lang w:val="de-DE"/>
        </w:rPr>
        <w:fldChar w:fldCharType="begin"/>
      </w:r>
      <w:r w:rsidR="003A67A6">
        <w:rPr>
          <w:sz w:val="20"/>
          <w:szCs w:val="20"/>
          <w:lang w:val="de-DE"/>
        </w:rPr>
        <w:instrText xml:space="preserve"> ADDIN ZOTERO_ITEM CSL_CITATION {"citationID":"Dz0G15zP","properties":{"formattedCitation":"(10)","plainCitation":"(10)","noteIndex":0},"citationItems":[{"id":1759,"uris":["http://zotero.org/users/6883290/items/EKHK7ASG"],"itemData":{"id":1759,"type":"article-journal","abstract":"Objective:\nTo identify and evaluate the frequency, severity, mechanism and common pairs of drug-drug interactions (DDIs) in prescriptions by consultants in medicine outpatient department.\n\nMethods:\nThis cross sectional descriptive study was done by Pharmacology department of Bahria University Medical &amp; Dental College (BUMDC) in medicine outpatient department (OPD) of a private hospital in Karachi from December 2015 to January 2016. A total of 220 prescriptions written by consultants were collected. Medications given with patient's diagnosis were recorded. Drugs were analyzed for interactions by utilizing Medscape drug interaction checker, drugs.com checker and stockley`s drug interactions index. Two hundred eleven prescriptions were selected while remaining were excluded from the study because of unavailability of the prescribed drugs in the drug interaction checkers.\n\nResults:\nIn 211 prescriptions, two common diagnoses were diabetes mellitus (28.43%) and hypertension (27.96%). A total of 978 medications were given. Mean number of medications per prescription was 4.6. A total of 369 drug-drug interactions were identified in 211 prescriptions (175%). They were serious 4.33%, significant 66.12% and minor 29.53%. Pharmacokinetic and pharmacodynamic interactions were 37.94% and 51.21% respectively while 10.84% had unknown mechanism. Number wise common pairs of DDIs were Omeprazole-Losartan (S), Gabapentine- Acetaminophen (M), Losartan-Diclofenac (S).\n\nConclusion:\nThe frequency of DDIs is found to be too high in prescriptions of consultants from medicine OPD of a private hospital in Karachi. Significant drug-drug interactions were more and mostly caused by Pharmacodynamic mechanism. Number wise evaluation showed three common pairs of drugs involved in interactions.","container-title":"Pakistan Journal of Medical Sciences","DOI":"10.12669/pjms.341.13986","ISSN":"1682-024X","issue":"1","journalAbbreviation":"Pak J Med Sci","note":"PMID: 29643896\nPMCID: PMC5857000","page":"144-148","source":"PubMed Central","title":"Potential Drug-Drug Interactions among Patients prescriptions collected from Medicine Out-patient Setting","volume":"34","author":[{"family":"Farooqui","given":"Riffat"},{"family":"Hoor","given":"Talea"},{"family":"Karim","given":"Nasim"},{"family":"Muneer","given":"Mehtab"}],"issued":{"date-parts":[["2018"]]}}}],"schema":"https://github.com/citation-style-language/schema/raw/master/csl-citation.json"} </w:instrText>
      </w:r>
      <w:r w:rsidR="002B48E5" w:rsidRPr="00EF73D0">
        <w:rPr>
          <w:sz w:val="20"/>
          <w:szCs w:val="20"/>
          <w:lang w:val="de-DE"/>
        </w:rPr>
        <w:fldChar w:fldCharType="separate"/>
      </w:r>
      <w:r w:rsidR="00892097" w:rsidRPr="0029015C">
        <w:rPr>
          <w:noProof/>
          <w:sz w:val="20"/>
          <w:szCs w:val="20"/>
          <w:vertAlign w:val="superscript"/>
          <w:lang w:val="de-DE"/>
        </w:rPr>
        <w:t>10</w:t>
      </w:r>
      <w:r w:rsidR="002B48E5" w:rsidRPr="00EF73D0">
        <w:rPr>
          <w:sz w:val="20"/>
          <w:szCs w:val="20"/>
          <w:lang w:val="de-DE"/>
        </w:rPr>
        <w:fldChar w:fldCharType="end"/>
      </w:r>
      <w:r w:rsidR="00D7470E" w:rsidRPr="00EF73D0">
        <w:rPr>
          <w:sz w:val="20"/>
          <w:szCs w:val="20"/>
          <w:lang w:val="de-DE"/>
        </w:rPr>
        <w:t xml:space="preserve"> </w:t>
      </w:r>
      <w:r w:rsidR="008D1582">
        <w:rPr>
          <w:sz w:val="20"/>
          <w:szCs w:val="20"/>
          <w:lang w:val="de-DE"/>
        </w:rPr>
        <w:t>Figure 3</w:t>
      </w:r>
      <w:r w:rsidRPr="00EF73D0">
        <w:rPr>
          <w:sz w:val="20"/>
          <w:szCs w:val="20"/>
          <w:lang w:val="de-DE"/>
        </w:rPr>
        <w:t xml:space="preserve"> </w:t>
      </w:r>
      <w:r w:rsidR="00BC3220">
        <w:rPr>
          <w:sz w:val="20"/>
          <w:szCs w:val="20"/>
          <w:lang w:val="de-DE"/>
        </w:rPr>
        <w:t>signified</w:t>
      </w:r>
      <w:r w:rsidR="007E3042">
        <w:rPr>
          <w:sz w:val="20"/>
          <w:szCs w:val="20"/>
          <w:lang w:val="de-DE"/>
        </w:rPr>
        <w:t xml:space="preserve"> the severity of clinically </w:t>
      </w:r>
      <w:r w:rsidRPr="00EF73D0">
        <w:rPr>
          <w:sz w:val="20"/>
          <w:szCs w:val="20"/>
          <w:lang w:val="de-DE"/>
        </w:rPr>
        <w:t>relevant DDIs.</w:t>
      </w:r>
    </w:p>
    <w:p w14:paraId="5D51B4E9" w14:textId="77777777" w:rsidR="008D1582" w:rsidRDefault="008D1582" w:rsidP="00CB7B58">
      <w:pPr>
        <w:jc w:val="both"/>
        <w:rPr>
          <w:sz w:val="20"/>
          <w:szCs w:val="20"/>
          <w:lang w:val="de-DE"/>
        </w:rPr>
      </w:pPr>
    </w:p>
    <w:p w14:paraId="22963DFD" w14:textId="16C0641C" w:rsidR="008D1582" w:rsidRDefault="00C225A8" w:rsidP="00CB7B58">
      <w:pPr>
        <w:jc w:val="both"/>
        <w:rPr>
          <w:sz w:val="20"/>
          <w:szCs w:val="20"/>
          <w:lang w:val="de-DE"/>
        </w:rPr>
      </w:pPr>
      <w:r>
        <w:rPr>
          <w:noProof/>
          <w:sz w:val="20"/>
          <w:szCs w:val="20"/>
        </w:rPr>
        <mc:AlternateContent>
          <mc:Choice Requires="wps">
            <w:drawing>
              <wp:anchor distT="0" distB="0" distL="114300" distR="114300" simplePos="0" relativeHeight="251659264" behindDoc="0" locked="0" layoutInCell="1" allowOverlap="1" wp14:anchorId="6E8FB261" wp14:editId="0906A301">
                <wp:simplePos x="0" y="0"/>
                <wp:positionH relativeFrom="column">
                  <wp:posOffset>12123</wp:posOffset>
                </wp:positionH>
                <wp:positionV relativeFrom="paragraph">
                  <wp:posOffset>930795</wp:posOffset>
                </wp:positionV>
                <wp:extent cx="352800" cy="280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52800" cy="280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728D40" w14:textId="3D8143B8" w:rsidR="00DC0FC7" w:rsidRPr="00C225A8" w:rsidRDefault="00DC0FC7">
                            <w:pPr>
                              <w:rPr>
                                <w:color w:val="404040" w:themeColor="text1" w:themeTint="BF"/>
                                <w:sz w:val="20"/>
                                <w:szCs w:val="20"/>
                                <w:lang w:val="en-GB"/>
                              </w:rPr>
                            </w:pPr>
                            <w:r w:rsidRPr="00C225A8">
                              <w:rPr>
                                <w:color w:val="404040" w:themeColor="text1" w:themeTint="BF"/>
                                <w:sz w:val="20"/>
                                <w:szCs w:val="20"/>
                                <w:lang w:val="en-GB"/>
                              </w:rPr>
                              <w:t>(%)</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8FB261" id="_x0000_t202" coordsize="21600,21600" o:spt="202" path="m0,0l0,21600,21600,21600,21600,0xe">
                <v:stroke joinstyle="miter"/>
                <v:path gradientshapeok="t" o:connecttype="rect"/>
              </v:shapetype>
              <v:shape id="Text Box 8" o:spid="_x0000_s1026" type="#_x0000_t202" style="position:absolute;left:0;text-align:left;margin-left:.95pt;margin-top:73.3pt;width:27.8pt;height:2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" filled="f" stroked="f">
                <v:textbox style="layout-flow:vertical-ideographic">
                  <w:txbxContent>
                    <w:p w14:paraId="3A728D40" w14:textId="3D8143B8" w:rsidR="00DC0FC7" w:rsidRPr="00C225A8" w:rsidRDefault="00DC0FC7">
                      <w:pPr>
                        <w:rPr>
                          <w:color w:val="404040" w:themeColor="text1" w:themeTint="BF"/>
                          <w:sz w:val="20"/>
                          <w:szCs w:val="20"/>
                          <w:lang w:val="en-GB"/>
                        </w:rPr>
                      </w:pPr>
                      <w:r w:rsidRPr="00C225A8">
                        <w:rPr>
                          <w:color w:val="404040" w:themeColor="text1" w:themeTint="BF"/>
                          <w:sz w:val="20"/>
                          <w:szCs w:val="20"/>
                          <w:lang w:val="en-GB"/>
                        </w:rPr>
                        <w:t>(%)</w:t>
                      </w:r>
                    </w:p>
                  </w:txbxContent>
                </v:textbox>
              </v:shape>
            </w:pict>
          </mc:Fallback>
        </mc:AlternateContent>
      </w:r>
      <w:r>
        <w:rPr>
          <w:noProof/>
        </w:rPr>
        <w:drawing>
          <wp:inline distT="0" distB="0" distL="0" distR="0" wp14:anchorId="12378302" wp14:editId="6D3407F3">
            <wp:extent cx="2790727" cy="2303780"/>
            <wp:effectExtent l="0" t="0" r="3810" b="762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D4E999" w14:textId="613F7617" w:rsidR="008D1582" w:rsidRPr="00624A41" w:rsidRDefault="00C225A8" w:rsidP="00BC3220">
      <w:pPr>
        <w:spacing w:before="120" w:after="240"/>
        <w:jc w:val="center"/>
        <w:rPr>
          <w:b/>
          <w:sz w:val="20"/>
          <w:szCs w:val="20"/>
          <w:lang w:val="de-DE"/>
        </w:rPr>
      </w:pPr>
      <w:r w:rsidRPr="00624A41">
        <w:rPr>
          <w:b/>
          <w:sz w:val="20"/>
          <w:szCs w:val="20"/>
          <w:lang w:val="de-DE"/>
        </w:rPr>
        <w:t xml:space="preserve">Figure 3. </w:t>
      </w:r>
      <w:r w:rsidRPr="00256091">
        <w:rPr>
          <w:sz w:val="20"/>
          <w:szCs w:val="20"/>
          <w:lang w:val="de-DE"/>
        </w:rPr>
        <w:t xml:space="preserve">The frequency of clinically relevant </w:t>
      </w:r>
      <w:r w:rsidR="00624A41" w:rsidRPr="00256091">
        <w:rPr>
          <w:sz w:val="20"/>
          <w:szCs w:val="20"/>
          <w:lang w:val="de-DE"/>
        </w:rPr>
        <w:t>drug interactions.</w:t>
      </w:r>
    </w:p>
    <w:p w14:paraId="7F673DA4" w14:textId="3FF1B1D2" w:rsidR="006818B9" w:rsidRPr="00313188" w:rsidRDefault="006818B9" w:rsidP="006818B9">
      <w:pPr>
        <w:spacing w:before="120" w:after="120"/>
        <w:jc w:val="both"/>
        <w:rPr>
          <w:i/>
          <w:lang w:val="de-DE"/>
        </w:rPr>
      </w:pPr>
      <w:r w:rsidRPr="00313188">
        <w:rPr>
          <w:i/>
          <w:lang w:val="de-DE"/>
        </w:rPr>
        <w:lastRenderedPageBreak/>
        <w:t>3.3.5. Pharmaceutical pairs of clinically relevant DDIs</w:t>
      </w:r>
    </w:p>
    <w:p w14:paraId="48D7CF6C" w14:textId="04C5E888" w:rsidR="00CA6C9F" w:rsidRPr="00313188" w:rsidRDefault="007D5942" w:rsidP="00A057FC">
      <w:pPr>
        <w:spacing w:before="120" w:after="120"/>
        <w:jc w:val="both"/>
        <w:rPr>
          <w:lang w:val="de-DE"/>
        </w:rPr>
      </w:pPr>
      <w:r w:rsidRPr="00313188">
        <w:rPr>
          <w:lang w:val="de-DE"/>
        </w:rPr>
        <w:t xml:space="preserve">Within the DI database, three </w:t>
      </w:r>
      <w:r w:rsidR="001D49E6" w:rsidRPr="00313188">
        <w:rPr>
          <w:lang w:val="de-DE"/>
        </w:rPr>
        <w:t xml:space="preserve">clinically relevant </w:t>
      </w:r>
      <w:r w:rsidRPr="00313188">
        <w:rPr>
          <w:lang w:val="de-DE"/>
        </w:rPr>
        <w:t>drug interaction pairs</w:t>
      </w:r>
      <w:r w:rsidR="00AA2F4C" w:rsidRPr="00313188">
        <w:rPr>
          <w:lang w:val="de-DE"/>
        </w:rPr>
        <w:t>, all of those</w:t>
      </w:r>
      <w:r w:rsidR="000E71C8" w:rsidRPr="00313188">
        <w:rPr>
          <w:lang w:val="de-DE"/>
        </w:rPr>
        <w:t xml:space="preserve"> were moderate </w:t>
      </w:r>
      <w:r w:rsidR="00AA2F4C" w:rsidRPr="00313188">
        <w:rPr>
          <w:lang w:val="de-DE"/>
        </w:rPr>
        <w:t>in</w:t>
      </w:r>
      <w:r w:rsidR="00E83606" w:rsidRPr="00313188">
        <w:rPr>
          <w:lang w:val="de-DE"/>
        </w:rPr>
        <w:t xml:space="preserve"> sever</w:t>
      </w:r>
      <w:r w:rsidR="000E71C8" w:rsidRPr="00313188">
        <w:rPr>
          <w:lang w:val="de-DE"/>
        </w:rPr>
        <w:t>ity</w:t>
      </w:r>
      <w:r w:rsidR="00AA2F4C" w:rsidRPr="00313188">
        <w:rPr>
          <w:lang w:val="de-DE"/>
        </w:rPr>
        <w:t>,</w:t>
      </w:r>
      <w:r w:rsidRPr="00313188">
        <w:rPr>
          <w:lang w:val="de-DE"/>
        </w:rPr>
        <w:t xml:space="preserve"> were identified as having the highest prevalence among the total prescrip</w:t>
      </w:r>
      <w:r w:rsidR="001D49E6" w:rsidRPr="00313188">
        <w:rPr>
          <w:lang w:val="de-DE"/>
        </w:rPr>
        <w:t xml:space="preserve">tions analyzed (n=468), namely </w:t>
      </w:r>
      <w:r w:rsidR="001D49E6" w:rsidRPr="00313188">
        <w:rPr>
          <w:rFonts w:eastAsia="Times New Roman" w:cs="Times New Roman"/>
          <w:color w:val="000000"/>
        </w:rPr>
        <w:t>amlodipine-methocarbamol</w:t>
      </w:r>
      <w:r w:rsidR="001D49E6" w:rsidRPr="00313188">
        <w:rPr>
          <w:lang w:val="de-DE"/>
        </w:rPr>
        <w:t xml:space="preserve">, </w:t>
      </w:r>
      <w:r w:rsidR="001D49E6" w:rsidRPr="00313188">
        <w:rPr>
          <w:rFonts w:eastAsia="Times New Roman" w:cs="Times New Roman"/>
          <w:color w:val="000000"/>
        </w:rPr>
        <w:t>amlodipine-methylprednisolone</w:t>
      </w:r>
      <w:r w:rsidR="001D49E6" w:rsidRPr="00313188">
        <w:rPr>
          <w:lang w:val="de-DE"/>
        </w:rPr>
        <w:t xml:space="preserve">, and </w:t>
      </w:r>
      <w:r w:rsidR="001D49E6" w:rsidRPr="00313188">
        <w:rPr>
          <w:rFonts w:eastAsia="Times New Roman" w:cs="Times New Roman"/>
          <w:color w:val="000000"/>
        </w:rPr>
        <w:t>hydrochlorothiazide-metformin</w:t>
      </w:r>
      <w:r w:rsidRPr="00313188">
        <w:rPr>
          <w:lang w:val="de-DE"/>
        </w:rPr>
        <w:t xml:space="preserve">, with corresponding proportions of </w:t>
      </w:r>
      <w:r w:rsidR="00F32EB9" w:rsidRPr="00313188">
        <w:rPr>
          <w:lang w:val="de-DE"/>
        </w:rPr>
        <w:t>12.8</w:t>
      </w:r>
      <w:r w:rsidRPr="00313188">
        <w:rPr>
          <w:lang w:val="de-DE"/>
        </w:rPr>
        <w:t xml:space="preserve">%, </w:t>
      </w:r>
      <w:r w:rsidR="00F32EB9" w:rsidRPr="00313188">
        <w:rPr>
          <w:lang w:val="de-DE"/>
        </w:rPr>
        <w:t>10.5</w:t>
      </w:r>
      <w:r w:rsidRPr="00313188">
        <w:rPr>
          <w:lang w:val="de-DE"/>
        </w:rPr>
        <w:t xml:space="preserve">%, and </w:t>
      </w:r>
      <w:r w:rsidR="001D49E6" w:rsidRPr="00313188">
        <w:rPr>
          <w:lang w:val="de-DE"/>
        </w:rPr>
        <w:t>8.55</w:t>
      </w:r>
      <w:r w:rsidRPr="00313188">
        <w:rPr>
          <w:lang w:val="de-DE"/>
        </w:rPr>
        <w:t>%, respectively.</w:t>
      </w:r>
      <w:r w:rsidR="00AA2F4C" w:rsidRPr="00313188">
        <w:rPr>
          <w:lang w:val="de-DE"/>
        </w:rPr>
        <w:t xml:space="preserve">     </w:t>
      </w:r>
      <w:r w:rsidR="00402C66" w:rsidRPr="00313188">
        <w:rPr>
          <w:lang w:val="de-DE"/>
        </w:rPr>
        <w:t xml:space="preserve"> There were 3.41% of all prescriptions with major level, including the interactions </w:t>
      </w:r>
      <w:r w:rsidR="00FC5A2A" w:rsidRPr="00313188">
        <w:rPr>
          <w:lang w:val="de-DE"/>
        </w:rPr>
        <w:t>involving clopidogrel (</w:t>
      </w:r>
      <w:r w:rsidR="00402C66" w:rsidRPr="00313188">
        <w:rPr>
          <w:lang w:val="de-DE"/>
        </w:rPr>
        <w:t>with rosuvastatin, esomeprazole, and omeprazole)</w:t>
      </w:r>
      <w:r w:rsidR="009070CC" w:rsidRPr="00313188">
        <w:rPr>
          <w:lang w:val="de-DE"/>
        </w:rPr>
        <w:t>, irbesartan-</w:t>
      </w:r>
      <w:r w:rsidR="00402C66" w:rsidRPr="00313188">
        <w:rPr>
          <w:lang w:val="de-DE"/>
        </w:rPr>
        <w:t>methocar</w:t>
      </w:r>
      <w:r w:rsidR="00B55479" w:rsidRPr="00313188">
        <w:rPr>
          <w:lang w:val="de-DE"/>
        </w:rPr>
        <w:t xml:space="preserve">bamol, notably the drug interaction pairs between ACEIs </w:t>
      </w:r>
      <w:r w:rsidR="009070CC" w:rsidRPr="00313188">
        <w:rPr>
          <w:lang w:val="de-DE"/>
        </w:rPr>
        <w:t>with</w:t>
      </w:r>
      <w:r w:rsidR="00B55479" w:rsidRPr="00313188">
        <w:rPr>
          <w:lang w:val="de-DE"/>
        </w:rPr>
        <w:t xml:space="preserve"> ARBs</w:t>
      </w:r>
      <w:r w:rsidR="00256091">
        <w:rPr>
          <w:lang w:val="de-DE"/>
        </w:rPr>
        <w:t>. Table 5</w:t>
      </w:r>
      <w:r w:rsidR="000A136A" w:rsidRPr="00313188">
        <w:rPr>
          <w:lang w:val="de-DE"/>
        </w:rPr>
        <w:t xml:space="preserve"> demo</w:t>
      </w:r>
      <w:r w:rsidR="008F0ACB" w:rsidRPr="00313188">
        <w:rPr>
          <w:lang w:val="de-DE"/>
        </w:rPr>
        <w:t>n</w:t>
      </w:r>
      <w:r w:rsidR="000A136A" w:rsidRPr="00313188">
        <w:rPr>
          <w:lang w:val="de-DE"/>
        </w:rPr>
        <w:t>strated the</w:t>
      </w:r>
      <w:r w:rsidR="009C1BEE" w:rsidRPr="00313188">
        <w:rPr>
          <w:lang w:val="de-DE"/>
        </w:rPr>
        <w:t xml:space="preserve"> most freque</w:t>
      </w:r>
      <w:r w:rsidR="00A04F5B" w:rsidRPr="00313188">
        <w:rPr>
          <w:lang w:val="de-DE"/>
        </w:rPr>
        <w:t xml:space="preserve">nt </w:t>
      </w:r>
      <w:r w:rsidR="00B55479" w:rsidRPr="00313188">
        <w:rPr>
          <w:lang w:val="de-DE"/>
        </w:rPr>
        <w:t>clinically r</w:t>
      </w:r>
      <w:r w:rsidR="003171B4" w:rsidRPr="00313188">
        <w:rPr>
          <w:lang w:val="de-DE"/>
        </w:rPr>
        <w:t>elevant drug interaction pa</w:t>
      </w:r>
      <w:r w:rsidR="008F0ACB" w:rsidRPr="00313188">
        <w:rPr>
          <w:lang w:val="de-DE"/>
        </w:rPr>
        <w:t>irs</w:t>
      </w:r>
      <w:r w:rsidR="00A04F5B" w:rsidRPr="00313188">
        <w:rPr>
          <w:lang w:val="de-DE"/>
        </w:rPr>
        <w:t>;</w:t>
      </w:r>
      <w:r w:rsidR="008F0ACB" w:rsidRPr="00313188">
        <w:rPr>
          <w:lang w:val="de-DE"/>
        </w:rPr>
        <w:t xml:space="preserve"> lookup the DI website.</w:t>
      </w:r>
    </w:p>
    <w:p w14:paraId="64756EC0" w14:textId="4FF35D02" w:rsidR="00A04F5B" w:rsidRPr="00313188" w:rsidRDefault="003171B4" w:rsidP="00CA3E6A">
      <w:pPr>
        <w:spacing w:before="120" w:after="120"/>
        <w:ind w:firstLine="567"/>
        <w:jc w:val="both"/>
        <w:rPr>
          <w:lang w:val="de-DE"/>
        </w:rPr>
      </w:pPr>
      <w:r w:rsidRPr="00313188">
        <w:rPr>
          <w:lang w:val="de-DE"/>
        </w:rPr>
        <w:t xml:space="preserve">For the MDI database, amlodipine-metformin was the most frequent drug interaction pair (roughly 18% of all prescriptions), with moderate </w:t>
      </w:r>
      <w:r w:rsidR="00651DC4" w:rsidRPr="00313188">
        <w:rPr>
          <w:lang w:val="de-DE"/>
        </w:rPr>
        <w:t xml:space="preserve">in </w:t>
      </w:r>
      <w:r w:rsidRPr="00313188">
        <w:rPr>
          <w:lang w:val="de-DE"/>
        </w:rPr>
        <w:t xml:space="preserve">severity. Major drug interactions accounted for 1.71%, including </w:t>
      </w:r>
      <w:r w:rsidR="009070CC" w:rsidRPr="00313188">
        <w:rPr>
          <w:lang w:val="de-DE"/>
        </w:rPr>
        <w:t xml:space="preserve">interaction involving </w:t>
      </w:r>
      <w:r w:rsidRPr="00313188">
        <w:rPr>
          <w:lang w:val="de-DE"/>
        </w:rPr>
        <w:t>clopidogrel</w:t>
      </w:r>
      <w:r w:rsidR="009070CC" w:rsidRPr="00313188">
        <w:rPr>
          <w:lang w:val="de-DE"/>
        </w:rPr>
        <w:t xml:space="preserve"> (</w:t>
      </w:r>
      <w:r w:rsidRPr="00313188">
        <w:rPr>
          <w:lang w:val="de-DE"/>
        </w:rPr>
        <w:t>with esomeprazole and omepr</w:t>
      </w:r>
      <w:r w:rsidR="009070CC" w:rsidRPr="00313188">
        <w:rPr>
          <w:lang w:val="de-DE"/>
        </w:rPr>
        <w:t>azole), celecoxib (</w:t>
      </w:r>
      <w:r w:rsidRPr="00313188">
        <w:rPr>
          <w:lang w:val="de-DE"/>
        </w:rPr>
        <w:t>with enalapril and captopril), and ACEIs-ARBs.</w:t>
      </w:r>
      <w:r w:rsidR="00651DC4" w:rsidRPr="00313188">
        <w:rPr>
          <w:lang w:val="de-DE"/>
        </w:rPr>
        <w:t xml:space="preserve"> Table </w:t>
      </w:r>
      <w:r w:rsidR="00256091">
        <w:rPr>
          <w:lang w:val="de-DE"/>
        </w:rPr>
        <w:t>6</w:t>
      </w:r>
      <w:r w:rsidR="008F0ACB" w:rsidRPr="00313188">
        <w:rPr>
          <w:lang w:val="de-DE"/>
        </w:rPr>
        <w:t xml:space="preserve"> presented the details of </w:t>
      </w:r>
      <w:r w:rsidR="00A04F5B" w:rsidRPr="00313188">
        <w:rPr>
          <w:lang w:val="de-DE"/>
        </w:rPr>
        <w:t>clinically relevant DDI pairs on the MDI.</w:t>
      </w:r>
    </w:p>
    <w:p w14:paraId="31D50356" w14:textId="3AB717E7" w:rsidR="00BE06F6" w:rsidRPr="00313188" w:rsidRDefault="00BE06F6" w:rsidP="00CA3E6A">
      <w:pPr>
        <w:spacing w:before="120" w:after="120"/>
        <w:ind w:firstLine="567"/>
        <w:jc w:val="both"/>
        <w:rPr>
          <w:lang w:val="de-DE"/>
        </w:rPr>
      </w:pPr>
      <w:r w:rsidRPr="00313188">
        <w:rPr>
          <w:lang w:val="de-DE"/>
        </w:rPr>
        <w:t xml:space="preserve">According to the MMDI website, amlodipine-metformin exhibited the highest proportion of clinically significant drug interactions, accounting for nearly 18%. A similar result was observed when this interaction was analyzed using the MDI database. </w:t>
      </w:r>
      <w:r w:rsidR="009749D3" w:rsidRPr="00313188">
        <w:rPr>
          <w:rFonts w:eastAsia="Times New Roman" w:cs="Times New Roman"/>
          <w:color w:val="000000"/>
        </w:rPr>
        <w:t>Hydrochlorothiazide-metformin</w:t>
      </w:r>
      <w:r w:rsidR="009749D3" w:rsidRPr="00313188">
        <w:rPr>
          <w:lang w:val="de-DE"/>
        </w:rPr>
        <w:t xml:space="preserve"> ranked second (</w:t>
      </w:r>
      <w:r w:rsidRPr="00313188">
        <w:rPr>
          <w:lang w:val="de-DE"/>
        </w:rPr>
        <w:t>8.55%</w:t>
      </w:r>
      <w:r w:rsidR="009749D3" w:rsidRPr="00313188">
        <w:rPr>
          <w:lang w:val="de-DE"/>
        </w:rPr>
        <w:t>)</w:t>
      </w:r>
      <w:r w:rsidRPr="00313188">
        <w:rPr>
          <w:lang w:val="de-DE"/>
        </w:rPr>
        <w:t>. In addition, both of these interactions were classified as having moderate severity.</w:t>
      </w:r>
      <w:r w:rsidR="004B672B" w:rsidRPr="00313188">
        <w:rPr>
          <w:lang w:val="de-DE"/>
        </w:rPr>
        <w:t xml:space="preserve"> The major drug interaction pairs with 3.63% included hydrochlorothiazide (interacting with tenoxicam, etoricoxib, and etodolac), clopidogrel (interacting with esomeprazole, omeprazole, diclofenac, and etoricoxib), rosuvastatin-antacids, and ACEIs-ARBs.</w:t>
      </w:r>
      <w:r w:rsidR="00E04523" w:rsidRPr="00313188">
        <w:rPr>
          <w:lang w:val="de-DE"/>
        </w:rPr>
        <w:t xml:space="preserve"> Ta</w:t>
      </w:r>
      <w:r w:rsidR="00256091">
        <w:rPr>
          <w:lang w:val="de-DE"/>
        </w:rPr>
        <w:t>ble 7</w:t>
      </w:r>
      <w:r w:rsidR="00E04523" w:rsidRPr="00313188">
        <w:rPr>
          <w:lang w:val="de-DE"/>
        </w:rPr>
        <w:t xml:space="preserve"> provided a comprehensive overview of clinically significant DDI pairs identified on the MMDI.</w:t>
      </w:r>
    </w:p>
    <w:p w14:paraId="22B6E3E6" w14:textId="4252864F" w:rsidR="008D1582" w:rsidRPr="00313188" w:rsidRDefault="005C28B1" w:rsidP="00CA3E6A">
      <w:pPr>
        <w:spacing w:before="120" w:after="120"/>
        <w:ind w:firstLine="567"/>
        <w:jc w:val="both"/>
        <w:rPr>
          <w:lang w:val="de-DE"/>
        </w:rPr>
      </w:pPr>
      <w:r w:rsidRPr="00313188">
        <w:rPr>
          <w:lang w:val="de-DE"/>
        </w:rPr>
        <w:t>Amlodipine was the drug with the highest incidence of drug interactions across all three databases, which may be attributed to its highest frequency prescription. All identified drug interactions involving amlodipine were classified as moderate in severity.</w:t>
      </w:r>
      <w:r w:rsidR="00113EEC" w:rsidRPr="00313188">
        <w:rPr>
          <w:lang w:val="de-DE"/>
        </w:rPr>
        <w:t xml:space="preserve"> </w:t>
      </w:r>
      <w:r w:rsidR="00F81CD6" w:rsidRPr="00313188">
        <w:rPr>
          <w:lang w:val="de-DE"/>
        </w:rPr>
        <w:t xml:space="preserve">For major severity, </w:t>
      </w:r>
      <w:r w:rsidR="00F81CD6" w:rsidRPr="00313188">
        <w:rPr>
          <w:lang w:val="de-DE"/>
        </w:rPr>
        <w:lastRenderedPageBreak/>
        <w:t>clopidogrel-PPI</w:t>
      </w:r>
      <w:r w:rsidR="006D7476" w:rsidRPr="00313188">
        <w:rPr>
          <w:lang w:val="de-DE"/>
        </w:rPr>
        <w:t>s (such as om</w:t>
      </w:r>
      <w:r w:rsidR="00E83606" w:rsidRPr="00313188">
        <w:rPr>
          <w:lang w:val="de-DE"/>
        </w:rPr>
        <w:t>e</w:t>
      </w:r>
      <w:r w:rsidR="006D7476" w:rsidRPr="00313188">
        <w:rPr>
          <w:lang w:val="de-DE"/>
        </w:rPr>
        <w:t>prazole, esomeprazole)</w:t>
      </w:r>
      <w:r w:rsidR="00A72EFD" w:rsidRPr="00313188">
        <w:rPr>
          <w:lang w:val="de-DE"/>
        </w:rPr>
        <w:t>, and ACEIs-ARBs pairs</w:t>
      </w:r>
      <w:r w:rsidR="00F81CD6" w:rsidRPr="00313188">
        <w:rPr>
          <w:lang w:val="de-DE"/>
        </w:rPr>
        <w:t xml:space="preserve"> were consistently identified across all three databases. </w:t>
      </w:r>
      <w:r w:rsidR="00A72EFD" w:rsidRPr="00313188">
        <w:rPr>
          <w:lang w:val="de-DE"/>
        </w:rPr>
        <w:t>For clopidogrel-PPIs, t</w:t>
      </w:r>
      <w:r w:rsidR="00F81CD6" w:rsidRPr="00313188">
        <w:rPr>
          <w:lang w:val="de-DE"/>
        </w:rPr>
        <w:t xml:space="preserve">hese interactions have been </w:t>
      </w:r>
      <w:r w:rsidR="006D7476" w:rsidRPr="00313188">
        <w:rPr>
          <w:lang w:val="de-DE"/>
        </w:rPr>
        <w:t>regularly</w:t>
      </w:r>
      <w:r w:rsidR="00F81CD6" w:rsidRPr="00313188">
        <w:rPr>
          <w:lang w:val="de-DE"/>
        </w:rPr>
        <w:t xml:space="preserve"> discussed among the medical experts. Mechanistically, PPIs inhibit the CYP2C19 isoform, a crucial enzyme</w:t>
      </w:r>
      <w:r w:rsidR="00E83606" w:rsidRPr="00313188">
        <w:rPr>
          <w:lang w:val="de-DE"/>
        </w:rPr>
        <w:t xml:space="preserve"> responsible for biotransformation</w:t>
      </w:r>
      <w:r w:rsidR="00F81CD6" w:rsidRPr="00313188">
        <w:rPr>
          <w:lang w:val="de-DE"/>
        </w:rPr>
        <w:t xml:space="preserve"> clopidogrel into its active metabolite, thereby potentially reducing its antiplatelet efficacy. Multiple studies have reported that the concomitant use of PPIs and clopidogrel may elevate the risk of adverse cardiovascular events</w:t>
      </w:r>
      <w:r w:rsidR="0029015C">
        <w:rPr>
          <w:lang w:val="de-DE"/>
        </w:rPr>
        <w:t>.</w:t>
      </w:r>
      <w:r w:rsidR="006A611E" w:rsidRPr="00313188">
        <w:rPr>
          <w:lang w:val="de-DE"/>
        </w:rPr>
        <w:fldChar w:fldCharType="begin"/>
      </w:r>
      <w:r w:rsidR="003A67A6">
        <w:rPr>
          <w:lang w:val="de-DE"/>
        </w:rPr>
        <w:instrText xml:space="preserve"> ADDIN ZOTERO_ITEM CSL_CITATION {"citationID":"bqHpGfOD","properties":{"formattedCitation":"(11\\uc0\\u8211{}13)","plainCitation":"(11–13)","noteIndex":0},"citationItems":[{"id":1762,"uris":["http://zotero.org/users/6883290/items/3YQ35ZDV"],"itemData":{"id":1762,"type":"article-journal","abstract":"BACKGROUND: Proton-pump inhibitors (PPIs) are often prescribed to patients receiving dual antiplatelet therapy (DAPT). However, this class of medication, especially omeprazole, has been associated with a reduction in clopidogrel efficacy, leading many clinicians to substitute omeprazole with ranitidine.\nOBJECTIVES: Our objective was to compare the antiplatelet effect of clopidogrel before and after the addition of omeprazole or ranitidine.\nMETHODS: We measured platelet aggregability at baseline and after 1 week of clopidogrel 75 mg daily. Subjects were then randomized in a double-blinded, double-dummy fashion to omeprazole 20 mg twice daily (bid) or ranitidine 150 mg bid. We repeated aggregability tests after 1 additional week, using VerifyNow P2Y12™ (Accumetrics; San Diego, CA, USA), depicting aggregability as percent inhibition of platelet aggregation (IPA).\nRESULTS: We enrolled 41 patients in the omeprazole group and 44 in the ranitidine group. IPA was significantly decreased after the addition of omeprazole to clopidogrel (from 26.3 ± 32.9 to 17.4 ± 33.1 %; p = 0.025), with no statistical significant changes observed in the ranitidine group (from 32.6 ± 28.9 to 30.1 ± 31.3 %; p = 0.310). The comparison of IPA in both groups at the end of the follow-up showed a trend toward significance (p = 0.07, 95 % confidence interval [CI] -1.19 to 26.59); after excluding homozygous patients for 2C19*2 genotype, the comparison of IPA between the groups reached statistical significance (32.7 ± 30.8 vs. 17.7 ± 33.4 %, respectively, for ranitidine and omeprazole groups; p = 0.04).\nCONCLUSIONS: Unlike omeprazole, ranitidine did not influence platelet aggregability response to clopidogrel.\nCLINICAL TRIAL REGISTRATION: NCT01896557.","container-title":"American Journal of Cardiovascular Drugs: Drugs, Devices, and Other Interventions","DOI":"10.1007/s40256-016-0172-5","ISSN":"1179-187X","issue":"4","journalAbbreviation":"Am J Cardiovasc Drugs","language":"eng","note":"PMID: 27289472","page":"275-284","source":"PubMed","title":"Drug Interaction Between Clopidogrel and Ranitidine or Omeprazole in Stable Coronary Artery Disease: A Double-Blind, Double Dummy, Randomized Study","title-short":"Drug Interaction Between Clopidogrel and Ranitidine or Omeprazole in Stable Coronary Artery Disease","volume":"16","author":[{"family":"Furtado","given":"Remo Holanda de Mendonça"},{"family":"Giugliano","given":"Robert Patrick"},{"family":"Strunz","given":"Celia Maria Cassaro"},{"family":"Filho","given":"Cyrillo Cavalheiro"},{"family":"Ramires","given":"José Antonio Franchini"},{"family":"Filho","given":"Roberto Kalil"},{"family":"Neto","given":"Pedro Alves Lemos"},{"family":"Pereira","given":"Alexandre Costa"},{"family":"Rocha","given":"Tânia Rúbia"},{"family":"Freire","given":"Beatriz Tonon"},{"family":"D'Amico","given":"Elbio Antonio"},{"family":"Nicolau","given":"José Carlos"}],"issued":{"date-parts":[["2016",8]]}},"label":"page"},{"id":1764,"uris":["http://zotero.org/users/6883290/items/M5MU65ZW"],"itemData":{"id":1764,"type":"article-journal","abstract":"Proton pump inhibitors (PPIs) at low doses can effectively prevent gastrointestinal bleeding due to aspirin and are widely used in Japan for gastroprotection in patients taking anti-platelet agents. We examined the influence of different PPIs at low doses administered concomitantly or separately on anti-platelet functions of clopidogrel. In 41 healthy Japanese volunteers with different CYP2C19 genotypes who took clopidogrel 75 mg in the morning alone, or with omeprazole 10 mg, esomeprazole 10 mg, lansoprazole 15 mg, or rabeprazole 10 mg, either concomitantly in the morning or separately in the evening, we measured the inhibition of platelet aggregation (IPA, %) using VerifyNow P2Y12 assay at 4 h after the last clopidogrel dose on Day 7 of each regimen. IPA by clopidogrel with rabeprazole administered at lunchtime, approximately 4 h after clopidogrel, was also measured. Mean IPAs in those concomitantly receiving omeprazole, esomeprazole, lansoprazole or rabeprazole (47.2 ± 21.1%, 43.2 ± 20.2%, 46.4 ± 18.8%, and 47.3 ± 19.2%, respectively) were significantly decreased compared with those receiving clopidogrel alone (56.0%) (all ps &lt; 0.001). This decrease was observed when PPIs were administered separately in the evening. However, IPA by clopidogrel with rabeprazole administered at lunchtime was 51.6%, which was markedly similar to that of clopidogrel alone (p = 0.114). All tested PPIs reduce the efficacy of clopidogrel when administered concomitantly. Our preliminary data suggest that administration of rabeprazole 4 h following clopidogrel may minimize potential drug-drug interactions.","container-title":"Journal of Thrombosis and Thrombolysis","DOI":"10.1007/s11239-016-1460-2","ISSN":"1573-742X","issue":"3","journalAbbreviation":"J Thromb Thrombolysis","language":"eng","note":"PMID: 27981489","page":"333-342","source":"PubMed","title":"Influence of low-dose proton pump inhibitors administered concomitantly or separately on the anti-platelet function of clopidogrel","volume":"43","author":[{"family":"Furuta","given":"Takahisa"},{"family":"Sugimoto","given":"Mitsushige"},{"family":"Kodaira","given":"Chise"},{"family":"Nishino","given":"Masafumi"},{"family":"Yamade","given":"Mihoko"},{"family":"Uotani","given":"Takahiro"},{"family":"Sahara","given":"Shu"},{"family":"Ichikawa","given":"Hitomi"},{"family":"Kagami","given":"Takuma"},{"family":"Iwaizumi","given":"Moriya"},{"family":"Hamaya","given":"Yasushi"},{"family":"Osawa","given":"Satoshi"},{"family":"Sugimoto","given":"Ken"},{"family":"Umemura","given":"Kazuo"}],"issued":{"date-parts":[["2017",4]]}},"label":"page"},{"id":1769,"uris":["http://zotero.org/users/6883290/items/9E355S6A"],"itemData":{"id":1769,"type":"article-journal","abstract":"Background: Most proton pump inhibitors inhibit the bioactivation of clopidogrel to its active metabolite. The clinical significance of this drug interaction is unknown.\nMethods: We conducted a population-based nested case–control study among patients aged 66 years or older who commenced clopidogrel between Apr. 1, 2002, and Dec. 31, 2007, following hospital discharge after treatment of acute myocardial infarction. The cases in our study were those readmitted with acute myocardial infarction within 90 days after discharge. We performed a secondary analysis considering events within 1 year. Event-free controls (at a ratio of 3:1) were matched to cases on age, percutaneous coronary intervention and a validated risk score. We categorized exposure to proton pump inhibitors before the index date as current (within 30 days), previous (31–90 days) or remote (91–180 days).\nResults: Among 13 636 patients prescribed clopidogrel following acute myocardial infarction, we identified 734 cases readmitted with myocardial infarction and 2057 controls. After extensive multivariable adjustment, current use of proton pump inhibitors was associated with an increased risk of reinfarction (adjusted odds ratio [OR] 1.27, 95% confidence interval [CI] 1.03–1.57). We found no association with more distant exposure to proton pump inhibitors or in multiple sensitivity analyses. In a stratified analysis, pantoprazole, which does not inhibit cytochrome P450 2C19, had no association with readmission for myocardial infarction (adjusted OR 1.02, 95% CI 0.70–1.47).\nInterpretation: Among patients receiving clopidogrel following acute myocardial infarction, concomitant therapy with proton pump inhibitors other than pantoprazole was associated with a loss of the beneficial effects of clopidogrel and an increased risk of reinfarction.","container-title":"CMAJ","DOI":"10.1503/cmaj.082001","ISSN":"0820-3946, 1488-2329","issue":"7","language":"en","license":"© 2009 Canadian Medical Association","note":"publisher: CMAJ\nsection: Research\nPMID: 19176635","page":"713-718","source":"www.cmaj.ca","title":"A population-based study of the drug interaction between proton pump inhibitors and clopidogrel","volume":"180","author":[{"family":"Juurlink","given":"David N."},{"family":"Gomes","given":"Tara"},{"family":"Ko","given":"Dennis T."},{"family":"Szmitko","given":"Paul E."},{"family":"Austin","given":"Peter C."},{"family":"Tu","given":"Jack V."},{"family":"Henry","given":"David A."},{"family":"Kopp","given":"Alex"},{"family":"Mamdani","given":"Muhammad M."}],"issued":{"date-parts":[["2009",3,31]]}},"label":"page"}],"schema":"https://github.com/citation-style-language/schema/raw/master/csl-citation.json"} </w:instrText>
      </w:r>
      <w:r w:rsidR="006A611E" w:rsidRPr="00313188">
        <w:rPr>
          <w:lang w:val="de-DE"/>
        </w:rPr>
        <w:fldChar w:fldCharType="separate"/>
      </w:r>
      <w:r w:rsidR="00892097" w:rsidRPr="0029015C">
        <w:rPr>
          <w:rFonts w:eastAsia="Times New Roman" w:cs="Times New Roman"/>
          <w:vertAlign w:val="superscript"/>
        </w:rPr>
        <w:t>11–13</w:t>
      </w:r>
      <w:r w:rsidR="006A611E" w:rsidRPr="00313188">
        <w:rPr>
          <w:lang w:val="de-DE"/>
        </w:rPr>
        <w:fldChar w:fldCharType="end"/>
      </w:r>
      <w:r w:rsidR="003E3C98" w:rsidRPr="00313188">
        <w:rPr>
          <w:lang w:val="de-DE"/>
        </w:rPr>
        <w:t xml:space="preserve"> </w:t>
      </w:r>
      <w:r w:rsidR="00B754C2" w:rsidRPr="00313188">
        <w:rPr>
          <w:lang w:val="de-DE"/>
        </w:rPr>
        <w:t>However, the prescription of PPIs in patients receiving clopidogrel is sometimes necessary, especially for those at high risk of gastrointestinal bleeding (e.g., patients over 75 years of age, those with a history of gastrointestinal bleeding, those taking NSAIDs, and so forth). This combination has the benefit of preventing the risk of gastrointestinal bleeding but the disadvantage of increasing the adverse cardiovascular events. Therefore, the additional prescription of PPIs should be tailored, only prescribed when the patient is at high risk of gastrointestinal bleeding, and another drug in the PPI group, such as pantoprazole, should be chosen</w:t>
      </w:r>
      <w:r w:rsidR="00A72EFD" w:rsidRPr="00313188">
        <w:rPr>
          <w:lang w:val="de-DE"/>
        </w:rPr>
        <w:fldChar w:fldCharType="begin"/>
      </w:r>
      <w:r w:rsidR="003A67A6">
        <w:rPr>
          <w:lang w:val="de-DE"/>
        </w:rPr>
        <w:instrText xml:space="preserve"> ADDIN ZOTERO_ITEM CSL_CITATION {"citationID":"7y5DJb5O","properties":{"formattedCitation":"(14)","plainCitation":"(14)","noteIndex":0},"citationItems":[{"id":1772,"uris":["http://zotero.org/users/6883290/items/8QG8HC59"],"itemData":{"id":1772,"type":"article-journal","abstract":"Dual antiplatelet therapy (DAPT) with aspirin and a P2Y12 receptor inhibitor is the cornerstone of pharmacologic management of patients with acute coronary syndrome (ACS) and/or those receiving coronary stents. Long-term (&gt;1 year) DAPT may further reduce the risk of stent thrombosis after a percutaneous coronary intervention (PCI) and may decrease the occurrence of non-stent-related ischaemic events in patients with ACS. Nevertheless, compared with aspirin alone, extended use of aspirin plus a P2Y12 receptor inhibitor may increase the risk of bleeding events that have been strongly linked to adverse outcomes including recurrent ischaemia, repeat hospitalisation and death. In the past years, multiple randomised trials have been published comparing the duration of DAPT after PCI and in ACS patients, investigating either a shorter or prolonged DAPT regimen. Although the current European Society of Cardiology guidelines provide a backup to individualised treatment, it appears to be difficult to identify the ideal patient profile which could safely reduce or prolong the DAPT duration in daily clinical practice. The aim of this consensus document is to review contemporary literature on optimal DAPT duration, and to guide clinicians in tailoring antiplatelet strategies in patients undergoing PCI or presenting with ACS.","container-title":"European Heart Journal Supplements: Journal of the European Society of Cardiology","DOI":"10.1093/eurheartj/suy019","ISSN":"1520-765X","issue":"Suppl F","journalAbbreviation":"Eur Heart J Suppl","language":"eng","note":"PMID: 29867293\nPMCID: PMC5978022","page":"F1-F74","source":"PubMed","title":"Consensus Document ANMCO/ANCE/ARCA/GICR-IACPR/GISE/SICOA: Long-term Antiplatelet Therapy in Patients with Coronary Artery Disease","title-short":"Consensus Document ANMCO/ANCE/ARCA/GICR-IACPR/GISE/SICOA","volume":"20","author":[{"family":"Gulizia","given":"Michele Massimo"},{"family":"Colivicchi","given":"Furio"},{"family":"Abrignani","given":"Maurizio Giuseppe"},{"family":"Ambrosetti","given":"Marco"},{"family":"Aspromonte","given":"Nadia"},{"family":"Barile","given":"Gabriella"},{"family":"Caporale","given":"Roberto"},{"family":"Casolo","given":"Giancarlo"},{"family":"Chiuini","given":"Emilia"},{"family":"Di Lenarda","given":"Andrea"},{"family":"Faggiano","given":"Pompilio"},{"family":"Gabrielli","given":"Domenico"},{"family":"Geraci","given":"Giovanna"},{"family":"La Manna","given":"Alessio Gaetano"},{"family":"Maggioni","given":"Aldo Pietro"},{"family":"Marchese","given":"Alfredo"},{"family":"Massari","given":"Ferdinando Maria"},{"family":"Mureddu","given":"Gian Francesco"},{"family":"Musumeci","given":"Giuseppe"},{"family":"Nardi","given":"Federico"},{"family":"Panno","given":"Antonio Vittorio"},{"family":"Pedretti","given":"Roberto Franco Enrico"},{"family":"Piredda","given":"Massimo"},{"family":"Pusineri","given":"Enrico"},{"family":"Riccio","given":"Carmine"},{"family":"Rossini","given":"Roberta"},{"family":"Uccio","given":"Fortunato Scotto","non-dropping-particle":"di"},{"family":"Urbinati","given":"Stefano"},{"family":"Varbella","given":"Ferdinando"},{"family":"Zito","given":"Giovanni Battista"},{"family":"De Luca","given":"Leonardo"},{"literal":"ESC Scientific Document Group"},{"literal":"Faculty for approval of the Consensus Document"}],"issued":{"date-parts":[["2018",5]]}}}],"schema":"https://github.com/citation-style-language/schema/raw/master/csl-citation.json"} </w:instrText>
      </w:r>
      <w:r w:rsidR="00A72EFD" w:rsidRPr="00313188">
        <w:rPr>
          <w:lang w:val="de-DE"/>
        </w:rPr>
        <w:fldChar w:fldCharType="separate"/>
      </w:r>
      <w:r w:rsidR="0029015C">
        <w:rPr>
          <w:noProof/>
          <w:lang w:val="de-DE"/>
        </w:rPr>
        <w:t>.</w:t>
      </w:r>
      <w:r w:rsidR="00892097" w:rsidRPr="0029015C">
        <w:rPr>
          <w:noProof/>
          <w:vertAlign w:val="superscript"/>
          <w:lang w:val="de-DE"/>
        </w:rPr>
        <w:t>14</w:t>
      </w:r>
      <w:r w:rsidR="00A72EFD" w:rsidRPr="00313188">
        <w:rPr>
          <w:lang w:val="de-DE"/>
        </w:rPr>
        <w:fldChar w:fldCharType="end"/>
      </w:r>
      <w:r w:rsidR="0065767A" w:rsidRPr="00313188">
        <w:rPr>
          <w:lang w:val="de-DE"/>
        </w:rPr>
        <w:t xml:space="preserve"> For ACEIs-ARBs, the concurrent use of both may result in increased risk of adverse events including hypotension, syncope, hyperkalemia, changes in renal function, acute renal failure.</w:t>
      </w:r>
      <w:r w:rsidR="008975E8" w:rsidRPr="00313188">
        <w:rPr>
          <w:lang w:val="de-DE"/>
        </w:rPr>
        <w:t xml:space="preserve"> The concomitant use of those should therefore be avoided.</w:t>
      </w:r>
    </w:p>
    <w:p w14:paraId="0109FB09" w14:textId="6ACA1008" w:rsidR="005C3831" w:rsidRPr="00313188" w:rsidRDefault="005C3831" w:rsidP="005C3831">
      <w:pPr>
        <w:pStyle w:val="Heading2"/>
        <w:tabs>
          <w:tab w:val="clear" w:pos="406"/>
          <w:tab w:val="left" w:pos="0"/>
        </w:tabs>
        <w:ind w:left="0" w:firstLine="0"/>
        <w:rPr>
          <w:sz w:val="22"/>
        </w:rPr>
      </w:pPr>
      <w:r w:rsidRPr="00313188">
        <w:rPr>
          <w:sz w:val="22"/>
        </w:rPr>
        <w:t>Development a list of clinically relevant drug interactions</w:t>
      </w:r>
    </w:p>
    <w:p w14:paraId="3E105F79" w14:textId="7718BF46" w:rsidR="0071759D" w:rsidRPr="00313188" w:rsidRDefault="00323632" w:rsidP="00A057FC">
      <w:pPr>
        <w:jc w:val="both"/>
        <w:rPr>
          <w:lang w:val="de-DE"/>
        </w:rPr>
      </w:pPr>
      <w:r w:rsidRPr="00313188">
        <w:rPr>
          <w:lang w:val="de-DE"/>
        </w:rPr>
        <w:t>The drug interaction list was developed utilizing data from three aforementioned databases. This list serves as a foundation for clinical interventions aimed at improving outcomes related to drug interactions in the future. To ensure practicality, the study included interaction pairs that achieved a consensus of at least two-thirds of the databases with a classification of moderate or those with major severity in each database. This list provides comprehensive information on drug interaction pairs, includin</w:t>
      </w:r>
      <w:r w:rsidR="00D22508" w:rsidRPr="00313188">
        <w:rPr>
          <w:lang w:val="de-DE"/>
        </w:rPr>
        <w:t>g warn patients</w:t>
      </w:r>
      <w:r w:rsidRPr="00313188">
        <w:rPr>
          <w:lang w:val="de-DE"/>
        </w:rPr>
        <w:t>, clinical management strategies, levels of consensus, and severity classifications. </w:t>
      </w:r>
      <w:r w:rsidR="00256091">
        <w:rPr>
          <w:lang w:val="de-DE"/>
        </w:rPr>
        <w:t>Table 8</w:t>
      </w:r>
      <w:r w:rsidR="000236DF" w:rsidRPr="00313188">
        <w:rPr>
          <w:lang w:val="de-DE"/>
        </w:rPr>
        <w:t xml:space="preserve"> showed a comprehensive list of clinically relevant cardiovascular drug-drug interactions across the three databases.</w:t>
      </w:r>
    </w:p>
    <w:p w14:paraId="59DDAD20" w14:textId="13245D09" w:rsidR="003A5435" w:rsidRPr="0093190E" w:rsidRDefault="00C22099" w:rsidP="0093190E">
      <w:pPr>
        <w:pStyle w:val="Heading1"/>
        <w:numPr>
          <w:ilvl w:val="0"/>
          <w:numId w:val="0"/>
        </w:numPr>
        <w:ind w:left="270"/>
        <w:rPr>
          <w:sz w:val="22"/>
        </w:rPr>
        <w:sectPr w:rsidR="003A5435" w:rsidRPr="0093190E" w:rsidSect="00030E16">
          <w:type w:val="continuous"/>
          <w:pgSz w:w="11906" w:h="16838" w:code="9"/>
          <w:pgMar w:top="1134" w:right="1134" w:bottom="1134" w:left="1418" w:header="851" w:footer="851" w:gutter="0"/>
          <w:cols w:num="2" w:space="454"/>
          <w:docGrid w:linePitch="360"/>
        </w:sectPr>
      </w:pPr>
      <w:r w:rsidRPr="0093190E">
        <w:rPr>
          <w:rFonts w:eastAsia="Times New Roman"/>
          <w:sz w:val="22"/>
        </w:rPr>
        <w:t xml:space="preserve"> </w:t>
      </w:r>
    </w:p>
    <w:p w14:paraId="0D5232F1" w14:textId="77777777" w:rsidR="0093190E" w:rsidRDefault="0093190E" w:rsidP="00BC3220">
      <w:pPr>
        <w:spacing w:before="240" w:after="120"/>
        <w:ind w:firstLine="284"/>
        <w:jc w:val="both"/>
        <w:rPr>
          <w:b/>
          <w:sz w:val="20"/>
          <w:szCs w:val="20"/>
          <w:lang w:val="de-DE"/>
        </w:rPr>
      </w:pPr>
    </w:p>
    <w:p w14:paraId="7992BD3F" w14:textId="77777777" w:rsidR="0093190E" w:rsidRDefault="0093190E" w:rsidP="00BC3220">
      <w:pPr>
        <w:spacing w:before="240" w:after="120"/>
        <w:ind w:firstLine="284"/>
        <w:jc w:val="both"/>
        <w:rPr>
          <w:b/>
          <w:sz w:val="20"/>
          <w:szCs w:val="20"/>
          <w:lang w:val="de-DE"/>
        </w:rPr>
      </w:pPr>
    </w:p>
    <w:p w14:paraId="54A7277B" w14:textId="152E9799" w:rsidR="00BC3220" w:rsidRPr="00BC3220" w:rsidRDefault="00BC3220" w:rsidP="00BC3220">
      <w:pPr>
        <w:spacing w:before="240" w:after="120"/>
        <w:ind w:firstLine="284"/>
        <w:jc w:val="both"/>
        <w:rPr>
          <w:b/>
          <w:sz w:val="20"/>
          <w:szCs w:val="20"/>
          <w:lang w:val="de-DE"/>
        </w:rPr>
      </w:pPr>
      <w:r w:rsidRPr="00BC3220">
        <w:rPr>
          <w:b/>
          <w:sz w:val="20"/>
          <w:szCs w:val="20"/>
          <w:lang w:val="de-DE"/>
        </w:rPr>
        <w:lastRenderedPageBreak/>
        <w:t>Table</w:t>
      </w:r>
      <w:r w:rsidR="00256091">
        <w:rPr>
          <w:b/>
          <w:sz w:val="20"/>
          <w:szCs w:val="20"/>
          <w:lang w:val="de-DE"/>
        </w:rPr>
        <w:t xml:space="preserve"> 5</w:t>
      </w:r>
      <w:r w:rsidRPr="00BC3220">
        <w:rPr>
          <w:b/>
          <w:sz w:val="20"/>
          <w:szCs w:val="20"/>
          <w:lang w:val="de-DE"/>
        </w:rPr>
        <w:t xml:space="preserve">. </w:t>
      </w:r>
      <w:r w:rsidRPr="00256091">
        <w:rPr>
          <w:sz w:val="20"/>
          <w:szCs w:val="20"/>
          <w:lang w:val="de-DE"/>
        </w:rPr>
        <w:t>Pharmaceutical pairs of clinically relevant DDI in DI database</w:t>
      </w:r>
      <w:r w:rsidR="00EC7E6B">
        <w:rPr>
          <w:sz w:val="20"/>
          <w:szCs w:val="20"/>
          <w:lang w:val="de-DE"/>
        </w:rPr>
        <w:t>.</w:t>
      </w:r>
    </w:p>
    <w:tbl>
      <w:tblPr>
        <w:tblStyle w:val="table"/>
        <w:tblW w:w="8646" w:type="dxa"/>
        <w:tblInd w:w="61" w:type="dxa"/>
        <w:tblLayout w:type="fixed"/>
        <w:tblLook w:val="04A0" w:firstRow="1" w:lastRow="0" w:firstColumn="1" w:lastColumn="0" w:noHBand="0" w:noVBand="1"/>
      </w:tblPr>
      <w:tblGrid>
        <w:gridCol w:w="3537"/>
        <w:gridCol w:w="1985"/>
        <w:gridCol w:w="1359"/>
        <w:gridCol w:w="1765"/>
      </w:tblGrid>
      <w:tr w:rsidR="00BC3220" w:rsidRPr="00256091" w14:paraId="3C8A84DC" w14:textId="77777777" w:rsidTr="005757E8">
        <w:trPr>
          <w:cnfStyle w:val="100000000000" w:firstRow="1" w:lastRow="0" w:firstColumn="0" w:lastColumn="0" w:oddVBand="0" w:evenVBand="0" w:oddHBand="0" w:evenHBand="0" w:firstRowFirstColumn="0" w:firstRowLastColumn="0" w:lastRowFirstColumn="0" w:lastRowLastColumn="0"/>
          <w:trHeight w:val="340"/>
        </w:trPr>
        <w:tc>
          <w:tcPr>
            <w:tcW w:w="3537" w:type="dxa"/>
            <w:noWrap/>
            <w:hideMark/>
          </w:tcPr>
          <w:p w14:paraId="2BA2703A" w14:textId="77777777" w:rsidR="00BC3220" w:rsidRPr="00256091" w:rsidRDefault="00BC3220" w:rsidP="00D7288C">
            <w:pPr>
              <w:jc w:val="center"/>
              <w:rPr>
                <w:rFonts w:eastAsia="Times New Roman" w:cs="Times New Roman"/>
                <w:b/>
                <w:color w:val="000000"/>
                <w:sz w:val="22"/>
              </w:rPr>
            </w:pPr>
            <w:r w:rsidRPr="00256091">
              <w:rPr>
                <w:rFonts w:eastAsia="Times New Roman" w:cs="Times New Roman"/>
                <w:b/>
                <w:color w:val="000000"/>
                <w:sz w:val="22"/>
              </w:rPr>
              <w:t>Pharmaceutical pairs of clinically relevant DDI</w:t>
            </w:r>
          </w:p>
        </w:tc>
        <w:tc>
          <w:tcPr>
            <w:tcW w:w="1985" w:type="dxa"/>
            <w:noWrap/>
            <w:hideMark/>
          </w:tcPr>
          <w:p w14:paraId="11B8330C" w14:textId="77777777" w:rsidR="00BC3220" w:rsidRPr="00256091" w:rsidRDefault="00BC3220" w:rsidP="00D7288C">
            <w:pPr>
              <w:jc w:val="center"/>
              <w:rPr>
                <w:rFonts w:eastAsia="Times New Roman" w:cs="Times New Roman"/>
                <w:b/>
                <w:color w:val="000000"/>
                <w:sz w:val="22"/>
              </w:rPr>
            </w:pPr>
            <w:r w:rsidRPr="00256091">
              <w:rPr>
                <w:rFonts w:eastAsia="Times New Roman" w:cs="Times New Roman"/>
                <w:b/>
                <w:color w:val="000000"/>
                <w:sz w:val="22"/>
              </w:rPr>
              <w:t>Interactive level</w:t>
            </w:r>
          </w:p>
        </w:tc>
        <w:tc>
          <w:tcPr>
            <w:tcW w:w="1359" w:type="dxa"/>
            <w:noWrap/>
            <w:hideMark/>
          </w:tcPr>
          <w:p w14:paraId="628AFBE5" w14:textId="77777777" w:rsidR="00BC3220" w:rsidRPr="00256091" w:rsidRDefault="00BC3220" w:rsidP="00D7288C">
            <w:pPr>
              <w:jc w:val="center"/>
              <w:rPr>
                <w:rFonts w:eastAsia="Times New Roman" w:cs="Times New Roman"/>
                <w:b/>
                <w:color w:val="000000"/>
                <w:sz w:val="22"/>
              </w:rPr>
            </w:pPr>
            <w:r w:rsidRPr="00256091">
              <w:rPr>
                <w:rFonts w:eastAsia="Times New Roman" w:cs="Times New Roman"/>
                <w:b/>
                <w:color w:val="000000"/>
                <w:sz w:val="22"/>
              </w:rPr>
              <w:t>Frequency</w:t>
            </w:r>
          </w:p>
        </w:tc>
        <w:tc>
          <w:tcPr>
            <w:tcW w:w="1765" w:type="dxa"/>
            <w:noWrap/>
            <w:hideMark/>
          </w:tcPr>
          <w:p w14:paraId="08EE644D" w14:textId="77777777" w:rsidR="00BC3220" w:rsidRPr="00256091" w:rsidRDefault="00BC3220" w:rsidP="00D7288C">
            <w:pPr>
              <w:jc w:val="center"/>
              <w:rPr>
                <w:rFonts w:eastAsia="Times New Roman" w:cs="Times New Roman"/>
                <w:b/>
                <w:color w:val="000000"/>
                <w:sz w:val="22"/>
              </w:rPr>
            </w:pPr>
            <w:r w:rsidRPr="00256091">
              <w:rPr>
                <w:rFonts w:eastAsia="Times New Roman" w:cs="Times New Roman"/>
                <w:b/>
                <w:color w:val="000000"/>
                <w:sz w:val="22"/>
              </w:rPr>
              <w:t>Percentage (%)</w:t>
            </w:r>
          </w:p>
        </w:tc>
      </w:tr>
      <w:tr w:rsidR="00BC3220" w:rsidRPr="00256091" w14:paraId="38832830" w14:textId="77777777" w:rsidTr="005757E8">
        <w:trPr>
          <w:trHeight w:val="340"/>
        </w:trPr>
        <w:tc>
          <w:tcPr>
            <w:tcW w:w="3537" w:type="dxa"/>
            <w:noWrap/>
            <w:hideMark/>
          </w:tcPr>
          <w:p w14:paraId="2917D02D"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Amlodipine-methocarbamol</w:t>
            </w:r>
          </w:p>
        </w:tc>
        <w:tc>
          <w:tcPr>
            <w:tcW w:w="1985" w:type="dxa"/>
            <w:noWrap/>
            <w:hideMark/>
          </w:tcPr>
          <w:p w14:paraId="119A298A"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623848C8"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60</w:t>
            </w:r>
          </w:p>
        </w:tc>
        <w:tc>
          <w:tcPr>
            <w:tcW w:w="1765" w:type="dxa"/>
            <w:noWrap/>
            <w:hideMark/>
          </w:tcPr>
          <w:p w14:paraId="244CFC98"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12.8</w:t>
            </w:r>
          </w:p>
        </w:tc>
      </w:tr>
      <w:tr w:rsidR="00BC3220" w:rsidRPr="00256091" w14:paraId="112192EC" w14:textId="77777777" w:rsidTr="005757E8">
        <w:trPr>
          <w:trHeight w:val="340"/>
        </w:trPr>
        <w:tc>
          <w:tcPr>
            <w:tcW w:w="3537" w:type="dxa"/>
            <w:noWrap/>
            <w:hideMark/>
          </w:tcPr>
          <w:p w14:paraId="1AA99288"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Amlodipine-methylprednisolone</w:t>
            </w:r>
          </w:p>
        </w:tc>
        <w:tc>
          <w:tcPr>
            <w:tcW w:w="1985" w:type="dxa"/>
            <w:noWrap/>
            <w:hideMark/>
          </w:tcPr>
          <w:p w14:paraId="76671DC1"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6CED77B6"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49</w:t>
            </w:r>
          </w:p>
        </w:tc>
        <w:tc>
          <w:tcPr>
            <w:tcW w:w="1765" w:type="dxa"/>
            <w:noWrap/>
            <w:hideMark/>
          </w:tcPr>
          <w:p w14:paraId="6D167208"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10.5</w:t>
            </w:r>
          </w:p>
        </w:tc>
      </w:tr>
      <w:tr w:rsidR="00BC3220" w:rsidRPr="00256091" w14:paraId="5E304405" w14:textId="77777777" w:rsidTr="005757E8">
        <w:trPr>
          <w:trHeight w:val="340"/>
        </w:trPr>
        <w:tc>
          <w:tcPr>
            <w:tcW w:w="3537" w:type="dxa"/>
            <w:noWrap/>
            <w:hideMark/>
          </w:tcPr>
          <w:p w14:paraId="500E1E82"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Hydrochlorothiazide-metformin</w:t>
            </w:r>
          </w:p>
        </w:tc>
        <w:tc>
          <w:tcPr>
            <w:tcW w:w="1985" w:type="dxa"/>
            <w:noWrap/>
            <w:hideMark/>
          </w:tcPr>
          <w:p w14:paraId="48B53299"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6A62FB76"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40</w:t>
            </w:r>
          </w:p>
        </w:tc>
        <w:tc>
          <w:tcPr>
            <w:tcW w:w="1765" w:type="dxa"/>
            <w:noWrap/>
            <w:hideMark/>
          </w:tcPr>
          <w:p w14:paraId="7255BC93"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8.55</w:t>
            </w:r>
          </w:p>
        </w:tc>
      </w:tr>
      <w:tr w:rsidR="00BC3220" w:rsidRPr="00256091" w14:paraId="4BF07E1C" w14:textId="77777777" w:rsidTr="005757E8">
        <w:trPr>
          <w:trHeight w:val="340"/>
        </w:trPr>
        <w:tc>
          <w:tcPr>
            <w:tcW w:w="3537" w:type="dxa"/>
            <w:noWrap/>
            <w:hideMark/>
          </w:tcPr>
          <w:p w14:paraId="7CAE4DF4"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Amlodipine-atorvastatin</w:t>
            </w:r>
          </w:p>
        </w:tc>
        <w:tc>
          <w:tcPr>
            <w:tcW w:w="1985" w:type="dxa"/>
            <w:noWrap/>
            <w:hideMark/>
          </w:tcPr>
          <w:p w14:paraId="45F17730"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5B76357E"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14</w:t>
            </w:r>
          </w:p>
        </w:tc>
        <w:tc>
          <w:tcPr>
            <w:tcW w:w="1765" w:type="dxa"/>
            <w:noWrap/>
            <w:hideMark/>
          </w:tcPr>
          <w:p w14:paraId="60EF006F"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2.99</w:t>
            </w:r>
          </w:p>
        </w:tc>
      </w:tr>
      <w:tr w:rsidR="00BC3220" w:rsidRPr="00256091" w14:paraId="2F1C8B75" w14:textId="77777777" w:rsidTr="005757E8">
        <w:trPr>
          <w:trHeight w:val="340"/>
        </w:trPr>
        <w:tc>
          <w:tcPr>
            <w:tcW w:w="3537" w:type="dxa"/>
            <w:noWrap/>
            <w:hideMark/>
          </w:tcPr>
          <w:p w14:paraId="6422E591"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Amlodipine-calcium carbonate</w:t>
            </w:r>
          </w:p>
        </w:tc>
        <w:tc>
          <w:tcPr>
            <w:tcW w:w="1985" w:type="dxa"/>
            <w:noWrap/>
            <w:hideMark/>
          </w:tcPr>
          <w:p w14:paraId="29CDCD02"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573E9DB1"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14</w:t>
            </w:r>
          </w:p>
        </w:tc>
        <w:tc>
          <w:tcPr>
            <w:tcW w:w="1765" w:type="dxa"/>
            <w:noWrap/>
            <w:hideMark/>
          </w:tcPr>
          <w:p w14:paraId="18347295"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2.99</w:t>
            </w:r>
          </w:p>
        </w:tc>
      </w:tr>
      <w:tr w:rsidR="00BC3220" w:rsidRPr="00256091" w14:paraId="5ED5F401" w14:textId="77777777" w:rsidTr="005757E8">
        <w:trPr>
          <w:trHeight w:val="340"/>
        </w:trPr>
        <w:tc>
          <w:tcPr>
            <w:tcW w:w="3537" w:type="dxa"/>
            <w:noWrap/>
            <w:hideMark/>
          </w:tcPr>
          <w:p w14:paraId="751ECC5C"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Hydrochlorothiazide-esomeprazole</w:t>
            </w:r>
          </w:p>
        </w:tc>
        <w:tc>
          <w:tcPr>
            <w:tcW w:w="1985" w:type="dxa"/>
            <w:noWrap/>
            <w:hideMark/>
          </w:tcPr>
          <w:p w14:paraId="3992E2DA"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5315A1BB"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11</w:t>
            </w:r>
          </w:p>
        </w:tc>
        <w:tc>
          <w:tcPr>
            <w:tcW w:w="1765" w:type="dxa"/>
            <w:noWrap/>
            <w:hideMark/>
          </w:tcPr>
          <w:p w14:paraId="7FEA6948"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2.35</w:t>
            </w:r>
          </w:p>
        </w:tc>
      </w:tr>
      <w:tr w:rsidR="00BC3220" w:rsidRPr="00256091" w14:paraId="611F28BE" w14:textId="77777777" w:rsidTr="005757E8">
        <w:trPr>
          <w:trHeight w:val="340"/>
        </w:trPr>
        <w:tc>
          <w:tcPr>
            <w:tcW w:w="3537" w:type="dxa"/>
            <w:noWrap/>
            <w:hideMark/>
          </w:tcPr>
          <w:p w14:paraId="50FEA626"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Atorvastatin-esomeprazole</w:t>
            </w:r>
          </w:p>
        </w:tc>
        <w:tc>
          <w:tcPr>
            <w:tcW w:w="1985" w:type="dxa"/>
            <w:noWrap/>
            <w:hideMark/>
          </w:tcPr>
          <w:p w14:paraId="5438ED33"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26F09EDC"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10</w:t>
            </w:r>
          </w:p>
        </w:tc>
        <w:tc>
          <w:tcPr>
            <w:tcW w:w="1765" w:type="dxa"/>
            <w:noWrap/>
            <w:hideMark/>
          </w:tcPr>
          <w:p w14:paraId="780B35E2"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2.14</w:t>
            </w:r>
          </w:p>
        </w:tc>
      </w:tr>
      <w:tr w:rsidR="00BC3220" w:rsidRPr="00256091" w14:paraId="6022FDCB" w14:textId="77777777" w:rsidTr="005757E8">
        <w:trPr>
          <w:trHeight w:val="320"/>
        </w:trPr>
        <w:tc>
          <w:tcPr>
            <w:tcW w:w="3537" w:type="dxa"/>
            <w:noWrap/>
            <w:hideMark/>
          </w:tcPr>
          <w:p w14:paraId="036AF4CB"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Atorvastatin-clopidogrel</w:t>
            </w:r>
          </w:p>
        </w:tc>
        <w:tc>
          <w:tcPr>
            <w:tcW w:w="1985" w:type="dxa"/>
            <w:noWrap/>
            <w:hideMark/>
          </w:tcPr>
          <w:p w14:paraId="393DB536"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0F5DAB91"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9</w:t>
            </w:r>
          </w:p>
        </w:tc>
        <w:tc>
          <w:tcPr>
            <w:tcW w:w="1765" w:type="dxa"/>
            <w:noWrap/>
            <w:hideMark/>
          </w:tcPr>
          <w:p w14:paraId="178B9014"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1.92</w:t>
            </w:r>
          </w:p>
        </w:tc>
      </w:tr>
      <w:tr w:rsidR="00BC3220" w:rsidRPr="00256091" w14:paraId="049586D3" w14:textId="77777777" w:rsidTr="005757E8">
        <w:trPr>
          <w:trHeight w:val="340"/>
        </w:trPr>
        <w:tc>
          <w:tcPr>
            <w:tcW w:w="3537" w:type="dxa"/>
            <w:noWrap/>
            <w:hideMark/>
          </w:tcPr>
          <w:p w14:paraId="396F4D3B"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Amlodipine-etodolac</w:t>
            </w:r>
          </w:p>
        </w:tc>
        <w:tc>
          <w:tcPr>
            <w:tcW w:w="1985" w:type="dxa"/>
            <w:noWrap/>
            <w:hideMark/>
          </w:tcPr>
          <w:p w14:paraId="7DF2AD44"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61EE0BED"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9</w:t>
            </w:r>
          </w:p>
        </w:tc>
        <w:tc>
          <w:tcPr>
            <w:tcW w:w="1765" w:type="dxa"/>
            <w:noWrap/>
            <w:hideMark/>
          </w:tcPr>
          <w:p w14:paraId="044C779D"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1.92</w:t>
            </w:r>
          </w:p>
        </w:tc>
      </w:tr>
      <w:tr w:rsidR="00BC3220" w:rsidRPr="00256091" w14:paraId="545652AB" w14:textId="77777777" w:rsidTr="005757E8">
        <w:trPr>
          <w:trHeight w:val="340"/>
        </w:trPr>
        <w:tc>
          <w:tcPr>
            <w:tcW w:w="3537" w:type="dxa"/>
            <w:noWrap/>
            <w:hideMark/>
          </w:tcPr>
          <w:p w14:paraId="7761F662"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Perindopril-metformin</w:t>
            </w:r>
          </w:p>
        </w:tc>
        <w:tc>
          <w:tcPr>
            <w:tcW w:w="1985" w:type="dxa"/>
            <w:noWrap/>
            <w:hideMark/>
          </w:tcPr>
          <w:p w14:paraId="0436147A"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29BC3E00"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7</w:t>
            </w:r>
          </w:p>
        </w:tc>
        <w:tc>
          <w:tcPr>
            <w:tcW w:w="1765" w:type="dxa"/>
            <w:noWrap/>
            <w:hideMark/>
          </w:tcPr>
          <w:p w14:paraId="35A349E3"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1.49</w:t>
            </w:r>
          </w:p>
        </w:tc>
      </w:tr>
      <w:tr w:rsidR="00BC3220" w:rsidRPr="00256091" w14:paraId="669926FC" w14:textId="77777777" w:rsidTr="005757E8">
        <w:trPr>
          <w:trHeight w:val="340"/>
        </w:trPr>
        <w:tc>
          <w:tcPr>
            <w:tcW w:w="3537" w:type="dxa"/>
            <w:noWrap/>
            <w:hideMark/>
          </w:tcPr>
          <w:p w14:paraId="0EAE55B9"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Irbesartan-celecoxib</w:t>
            </w:r>
          </w:p>
        </w:tc>
        <w:tc>
          <w:tcPr>
            <w:tcW w:w="1985" w:type="dxa"/>
            <w:noWrap/>
            <w:hideMark/>
          </w:tcPr>
          <w:p w14:paraId="511B4763"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1E8E8F1D"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6</w:t>
            </w:r>
          </w:p>
        </w:tc>
        <w:tc>
          <w:tcPr>
            <w:tcW w:w="1765" w:type="dxa"/>
            <w:noWrap/>
            <w:hideMark/>
          </w:tcPr>
          <w:p w14:paraId="5E14FF75"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1.28</w:t>
            </w:r>
          </w:p>
        </w:tc>
      </w:tr>
      <w:tr w:rsidR="00BC3220" w:rsidRPr="00256091" w14:paraId="2E20C056" w14:textId="77777777" w:rsidTr="005757E8">
        <w:trPr>
          <w:trHeight w:val="340"/>
        </w:trPr>
        <w:tc>
          <w:tcPr>
            <w:tcW w:w="3537" w:type="dxa"/>
            <w:noWrap/>
            <w:hideMark/>
          </w:tcPr>
          <w:p w14:paraId="1C797893"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Hydrochlorothiazide-methocarbamol</w:t>
            </w:r>
          </w:p>
        </w:tc>
        <w:tc>
          <w:tcPr>
            <w:tcW w:w="1985" w:type="dxa"/>
            <w:noWrap/>
            <w:hideMark/>
          </w:tcPr>
          <w:p w14:paraId="7B136FDF"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33B7C15D"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5</w:t>
            </w:r>
          </w:p>
        </w:tc>
        <w:tc>
          <w:tcPr>
            <w:tcW w:w="1765" w:type="dxa"/>
            <w:noWrap/>
            <w:hideMark/>
          </w:tcPr>
          <w:p w14:paraId="2B81D04C"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1.07</w:t>
            </w:r>
          </w:p>
        </w:tc>
      </w:tr>
      <w:tr w:rsidR="00BC3220" w:rsidRPr="00256091" w14:paraId="01DFBFB8" w14:textId="77777777" w:rsidTr="005757E8">
        <w:trPr>
          <w:trHeight w:val="340"/>
        </w:trPr>
        <w:tc>
          <w:tcPr>
            <w:tcW w:w="3537" w:type="dxa"/>
            <w:noWrap/>
            <w:hideMark/>
          </w:tcPr>
          <w:p w14:paraId="397F7D15"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Hydrochlorothiazide-bisoprolol</w:t>
            </w:r>
          </w:p>
        </w:tc>
        <w:tc>
          <w:tcPr>
            <w:tcW w:w="1985" w:type="dxa"/>
            <w:noWrap/>
            <w:hideMark/>
          </w:tcPr>
          <w:p w14:paraId="6AEE604C"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55F1435C"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5</w:t>
            </w:r>
          </w:p>
        </w:tc>
        <w:tc>
          <w:tcPr>
            <w:tcW w:w="1765" w:type="dxa"/>
            <w:noWrap/>
            <w:hideMark/>
          </w:tcPr>
          <w:p w14:paraId="23B21516"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1.07</w:t>
            </w:r>
          </w:p>
        </w:tc>
      </w:tr>
      <w:tr w:rsidR="00BC3220" w:rsidRPr="00256091" w14:paraId="78160668" w14:textId="77777777" w:rsidTr="005757E8">
        <w:trPr>
          <w:trHeight w:val="340"/>
        </w:trPr>
        <w:tc>
          <w:tcPr>
            <w:tcW w:w="3537" w:type="dxa"/>
            <w:noWrap/>
            <w:hideMark/>
          </w:tcPr>
          <w:p w14:paraId="7FCA9755"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Hydrochlorothiazide-lansoprazole</w:t>
            </w:r>
          </w:p>
        </w:tc>
        <w:tc>
          <w:tcPr>
            <w:tcW w:w="1985" w:type="dxa"/>
            <w:noWrap/>
            <w:hideMark/>
          </w:tcPr>
          <w:p w14:paraId="1A1C9F81"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571FD993"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5</w:t>
            </w:r>
          </w:p>
        </w:tc>
        <w:tc>
          <w:tcPr>
            <w:tcW w:w="1765" w:type="dxa"/>
            <w:noWrap/>
            <w:hideMark/>
          </w:tcPr>
          <w:p w14:paraId="7BEAC1B4"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1.07</w:t>
            </w:r>
          </w:p>
        </w:tc>
      </w:tr>
      <w:tr w:rsidR="00BC3220" w:rsidRPr="00256091" w14:paraId="2B6C1BB6" w14:textId="77777777" w:rsidTr="005757E8">
        <w:trPr>
          <w:trHeight w:val="340"/>
        </w:trPr>
        <w:tc>
          <w:tcPr>
            <w:tcW w:w="3537" w:type="dxa"/>
            <w:noWrap/>
            <w:hideMark/>
          </w:tcPr>
          <w:p w14:paraId="0000B2E7"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Hydrochlorothiazide-magnesium hydroxide</w:t>
            </w:r>
          </w:p>
        </w:tc>
        <w:tc>
          <w:tcPr>
            <w:tcW w:w="1985" w:type="dxa"/>
            <w:noWrap/>
            <w:hideMark/>
          </w:tcPr>
          <w:p w14:paraId="35DC09C8"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55700A88"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5</w:t>
            </w:r>
          </w:p>
        </w:tc>
        <w:tc>
          <w:tcPr>
            <w:tcW w:w="1765" w:type="dxa"/>
            <w:noWrap/>
            <w:hideMark/>
          </w:tcPr>
          <w:p w14:paraId="4650F8F8"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1.07</w:t>
            </w:r>
          </w:p>
        </w:tc>
      </w:tr>
      <w:tr w:rsidR="00BC3220" w:rsidRPr="00256091" w14:paraId="23C44033" w14:textId="77777777" w:rsidTr="005757E8">
        <w:trPr>
          <w:trHeight w:val="340"/>
        </w:trPr>
        <w:tc>
          <w:tcPr>
            <w:tcW w:w="3537" w:type="dxa"/>
            <w:noWrap/>
            <w:hideMark/>
          </w:tcPr>
          <w:p w14:paraId="6D6FD1E2"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Rosuvastatin-Aluminum hydroxide</w:t>
            </w:r>
          </w:p>
        </w:tc>
        <w:tc>
          <w:tcPr>
            <w:tcW w:w="1985" w:type="dxa"/>
            <w:noWrap/>
            <w:hideMark/>
          </w:tcPr>
          <w:p w14:paraId="75D3B0DA"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55348ECF"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5</w:t>
            </w:r>
          </w:p>
        </w:tc>
        <w:tc>
          <w:tcPr>
            <w:tcW w:w="1765" w:type="dxa"/>
            <w:noWrap/>
            <w:hideMark/>
          </w:tcPr>
          <w:p w14:paraId="5C577F87"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1.07</w:t>
            </w:r>
          </w:p>
        </w:tc>
      </w:tr>
      <w:tr w:rsidR="00BC3220" w:rsidRPr="00256091" w14:paraId="5500ABD8" w14:textId="77777777" w:rsidTr="005757E8">
        <w:trPr>
          <w:trHeight w:val="371"/>
        </w:trPr>
        <w:tc>
          <w:tcPr>
            <w:tcW w:w="3537" w:type="dxa"/>
            <w:noWrap/>
            <w:hideMark/>
          </w:tcPr>
          <w:p w14:paraId="3ADFBC6B"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 xml:space="preserve">Others </w:t>
            </w:r>
            <w:r w:rsidRPr="00256091">
              <w:rPr>
                <w:rFonts w:eastAsia="Times New Roman" w:cs="Times New Roman"/>
                <w:color w:val="000000"/>
                <w:sz w:val="22"/>
                <w:vertAlign w:val="superscript"/>
              </w:rPr>
              <w:t>(*)</w:t>
            </w:r>
          </w:p>
        </w:tc>
        <w:tc>
          <w:tcPr>
            <w:tcW w:w="1985" w:type="dxa"/>
            <w:noWrap/>
            <w:hideMark/>
          </w:tcPr>
          <w:p w14:paraId="344C312F"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Moderate</w:t>
            </w:r>
          </w:p>
        </w:tc>
        <w:tc>
          <w:tcPr>
            <w:tcW w:w="1359" w:type="dxa"/>
            <w:noWrap/>
            <w:hideMark/>
          </w:tcPr>
          <w:p w14:paraId="6A07A985"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54</w:t>
            </w:r>
          </w:p>
        </w:tc>
        <w:tc>
          <w:tcPr>
            <w:tcW w:w="1765" w:type="dxa"/>
            <w:noWrap/>
            <w:hideMark/>
          </w:tcPr>
          <w:p w14:paraId="42FF3E2A"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11.5</w:t>
            </w:r>
          </w:p>
        </w:tc>
      </w:tr>
      <w:tr w:rsidR="00BC3220" w:rsidRPr="00256091" w14:paraId="049D5438" w14:textId="77777777" w:rsidTr="005757E8">
        <w:trPr>
          <w:trHeight w:val="340"/>
        </w:trPr>
        <w:tc>
          <w:tcPr>
            <w:tcW w:w="3537" w:type="dxa"/>
            <w:noWrap/>
            <w:hideMark/>
          </w:tcPr>
          <w:p w14:paraId="15CD6E77"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Irbesartan-methocarbamol</w:t>
            </w:r>
          </w:p>
        </w:tc>
        <w:tc>
          <w:tcPr>
            <w:tcW w:w="1985" w:type="dxa"/>
            <w:noWrap/>
            <w:hideMark/>
          </w:tcPr>
          <w:p w14:paraId="05137B6A"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Major</w:t>
            </w:r>
          </w:p>
        </w:tc>
        <w:tc>
          <w:tcPr>
            <w:tcW w:w="1359" w:type="dxa"/>
            <w:noWrap/>
            <w:hideMark/>
          </w:tcPr>
          <w:p w14:paraId="57723D1D"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7</w:t>
            </w:r>
          </w:p>
        </w:tc>
        <w:tc>
          <w:tcPr>
            <w:tcW w:w="1765" w:type="dxa"/>
            <w:noWrap/>
            <w:hideMark/>
          </w:tcPr>
          <w:p w14:paraId="549F76CC"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1.49</w:t>
            </w:r>
          </w:p>
        </w:tc>
      </w:tr>
      <w:tr w:rsidR="00BC3220" w:rsidRPr="00256091" w14:paraId="5A2BAD27" w14:textId="77777777" w:rsidTr="005757E8">
        <w:trPr>
          <w:trHeight w:val="340"/>
        </w:trPr>
        <w:tc>
          <w:tcPr>
            <w:tcW w:w="3537" w:type="dxa"/>
            <w:noWrap/>
            <w:hideMark/>
          </w:tcPr>
          <w:p w14:paraId="22B48F3C"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Clopidogrel-rosuvastatin</w:t>
            </w:r>
          </w:p>
        </w:tc>
        <w:tc>
          <w:tcPr>
            <w:tcW w:w="1985" w:type="dxa"/>
            <w:noWrap/>
            <w:hideMark/>
          </w:tcPr>
          <w:p w14:paraId="03E7AEB1"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Major</w:t>
            </w:r>
          </w:p>
        </w:tc>
        <w:tc>
          <w:tcPr>
            <w:tcW w:w="1359" w:type="dxa"/>
            <w:noWrap/>
            <w:hideMark/>
          </w:tcPr>
          <w:p w14:paraId="6A25711F"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3</w:t>
            </w:r>
          </w:p>
        </w:tc>
        <w:tc>
          <w:tcPr>
            <w:tcW w:w="1765" w:type="dxa"/>
            <w:noWrap/>
            <w:hideMark/>
          </w:tcPr>
          <w:p w14:paraId="3971B4A3"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0.64</w:t>
            </w:r>
          </w:p>
        </w:tc>
      </w:tr>
      <w:tr w:rsidR="00BC3220" w:rsidRPr="00256091" w14:paraId="261AEA59" w14:textId="77777777" w:rsidTr="005757E8">
        <w:trPr>
          <w:trHeight w:val="340"/>
        </w:trPr>
        <w:tc>
          <w:tcPr>
            <w:tcW w:w="3537" w:type="dxa"/>
            <w:noWrap/>
            <w:hideMark/>
          </w:tcPr>
          <w:p w14:paraId="589E8623"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Clopidogrel-esomeprazole</w:t>
            </w:r>
          </w:p>
        </w:tc>
        <w:tc>
          <w:tcPr>
            <w:tcW w:w="1985" w:type="dxa"/>
            <w:noWrap/>
            <w:hideMark/>
          </w:tcPr>
          <w:p w14:paraId="548CC5CE"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Major</w:t>
            </w:r>
          </w:p>
        </w:tc>
        <w:tc>
          <w:tcPr>
            <w:tcW w:w="1359" w:type="dxa"/>
            <w:noWrap/>
            <w:hideMark/>
          </w:tcPr>
          <w:p w14:paraId="378D488D"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3</w:t>
            </w:r>
          </w:p>
        </w:tc>
        <w:tc>
          <w:tcPr>
            <w:tcW w:w="1765" w:type="dxa"/>
            <w:noWrap/>
            <w:hideMark/>
          </w:tcPr>
          <w:p w14:paraId="42252576"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0.64</w:t>
            </w:r>
          </w:p>
        </w:tc>
      </w:tr>
      <w:tr w:rsidR="00BC3220" w:rsidRPr="00256091" w14:paraId="27D879C1" w14:textId="77777777" w:rsidTr="005757E8">
        <w:trPr>
          <w:trHeight w:val="340"/>
        </w:trPr>
        <w:tc>
          <w:tcPr>
            <w:tcW w:w="3537" w:type="dxa"/>
            <w:noWrap/>
            <w:hideMark/>
          </w:tcPr>
          <w:p w14:paraId="719D20EF"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Clopidogrel-omeprazole</w:t>
            </w:r>
          </w:p>
        </w:tc>
        <w:tc>
          <w:tcPr>
            <w:tcW w:w="1985" w:type="dxa"/>
            <w:noWrap/>
            <w:hideMark/>
          </w:tcPr>
          <w:p w14:paraId="34057167"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Major</w:t>
            </w:r>
          </w:p>
        </w:tc>
        <w:tc>
          <w:tcPr>
            <w:tcW w:w="1359" w:type="dxa"/>
            <w:noWrap/>
            <w:hideMark/>
          </w:tcPr>
          <w:p w14:paraId="4FDC4A91"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1</w:t>
            </w:r>
          </w:p>
        </w:tc>
        <w:tc>
          <w:tcPr>
            <w:tcW w:w="1765" w:type="dxa"/>
            <w:noWrap/>
            <w:hideMark/>
          </w:tcPr>
          <w:p w14:paraId="512587D3"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0.21</w:t>
            </w:r>
          </w:p>
        </w:tc>
      </w:tr>
      <w:tr w:rsidR="00BC3220" w:rsidRPr="00256091" w14:paraId="5B143ED0" w14:textId="77777777" w:rsidTr="005757E8">
        <w:trPr>
          <w:trHeight w:val="340"/>
        </w:trPr>
        <w:tc>
          <w:tcPr>
            <w:tcW w:w="3537" w:type="dxa"/>
            <w:noWrap/>
            <w:hideMark/>
          </w:tcPr>
          <w:p w14:paraId="36C39B42"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Irbesartan-enalapril</w:t>
            </w:r>
          </w:p>
        </w:tc>
        <w:tc>
          <w:tcPr>
            <w:tcW w:w="1985" w:type="dxa"/>
            <w:noWrap/>
            <w:hideMark/>
          </w:tcPr>
          <w:p w14:paraId="09280B05"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Major</w:t>
            </w:r>
          </w:p>
        </w:tc>
        <w:tc>
          <w:tcPr>
            <w:tcW w:w="1359" w:type="dxa"/>
            <w:noWrap/>
            <w:hideMark/>
          </w:tcPr>
          <w:p w14:paraId="603B82B3"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1</w:t>
            </w:r>
          </w:p>
        </w:tc>
        <w:tc>
          <w:tcPr>
            <w:tcW w:w="1765" w:type="dxa"/>
            <w:noWrap/>
            <w:hideMark/>
          </w:tcPr>
          <w:p w14:paraId="6611FC98"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0.21</w:t>
            </w:r>
          </w:p>
        </w:tc>
      </w:tr>
      <w:tr w:rsidR="00BC3220" w:rsidRPr="00256091" w14:paraId="75FEA0B7" w14:textId="77777777" w:rsidTr="005757E8">
        <w:trPr>
          <w:trHeight w:val="340"/>
        </w:trPr>
        <w:tc>
          <w:tcPr>
            <w:tcW w:w="3537" w:type="dxa"/>
            <w:noWrap/>
            <w:hideMark/>
          </w:tcPr>
          <w:p w14:paraId="32BAAB79"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Telmisartan-perindopril</w:t>
            </w:r>
          </w:p>
        </w:tc>
        <w:tc>
          <w:tcPr>
            <w:tcW w:w="1985" w:type="dxa"/>
            <w:noWrap/>
            <w:hideMark/>
          </w:tcPr>
          <w:p w14:paraId="3E5108BD"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Major</w:t>
            </w:r>
          </w:p>
        </w:tc>
        <w:tc>
          <w:tcPr>
            <w:tcW w:w="1359" w:type="dxa"/>
            <w:noWrap/>
            <w:hideMark/>
          </w:tcPr>
          <w:p w14:paraId="45C914F3"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1</w:t>
            </w:r>
          </w:p>
        </w:tc>
        <w:tc>
          <w:tcPr>
            <w:tcW w:w="1765" w:type="dxa"/>
            <w:noWrap/>
            <w:hideMark/>
          </w:tcPr>
          <w:p w14:paraId="4E358365"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0.21</w:t>
            </w:r>
          </w:p>
        </w:tc>
      </w:tr>
    </w:tbl>
    <w:p w14:paraId="18A16D14" w14:textId="6040B8DB" w:rsidR="00BC3220" w:rsidRPr="00BC3220" w:rsidRDefault="00BC3220" w:rsidP="00BC3220">
      <w:pPr>
        <w:spacing w:after="120"/>
        <w:jc w:val="both"/>
        <w:rPr>
          <w:i/>
          <w:sz w:val="18"/>
          <w:szCs w:val="18"/>
          <w:lang w:val="de-DE"/>
        </w:rPr>
        <w:sectPr w:rsidR="00BC3220" w:rsidRPr="00BC3220" w:rsidSect="00BC3220">
          <w:type w:val="continuous"/>
          <w:pgSz w:w="11906" w:h="16838" w:code="9"/>
          <w:pgMar w:top="1134" w:right="1134" w:bottom="1134" w:left="1418" w:header="851" w:footer="851" w:gutter="0"/>
          <w:cols w:space="454"/>
          <w:docGrid w:linePitch="360"/>
        </w:sectPr>
      </w:pPr>
      <w:r>
        <w:rPr>
          <w:b/>
          <w:sz w:val="20"/>
          <w:szCs w:val="20"/>
          <w:lang w:val="de-DE"/>
        </w:rPr>
        <w:tab/>
        <w:t xml:space="preserve">   </w:t>
      </w:r>
      <w:r w:rsidRPr="00010A67">
        <w:rPr>
          <w:i/>
          <w:sz w:val="18"/>
          <w:szCs w:val="18"/>
          <w:lang w:val="de-DE"/>
        </w:rPr>
        <w:t>(*)</w:t>
      </w:r>
      <w:r>
        <w:rPr>
          <w:i/>
          <w:sz w:val="18"/>
          <w:szCs w:val="18"/>
          <w:lang w:val="de-DE"/>
        </w:rPr>
        <w:t xml:space="preserve"> others included drug interaction pairs that had prevalence less than 1.00 percen</w:t>
      </w:r>
    </w:p>
    <w:p w14:paraId="2487F6AD" w14:textId="377A922A" w:rsidR="00BC3220" w:rsidRPr="00BC3220" w:rsidRDefault="00BC3220" w:rsidP="00CA3E6A">
      <w:pPr>
        <w:tabs>
          <w:tab w:val="left" w:pos="640"/>
        </w:tabs>
        <w:spacing w:before="240" w:after="120"/>
        <w:rPr>
          <w:lang w:val="de-DE"/>
        </w:rPr>
      </w:pPr>
      <w:r>
        <w:rPr>
          <w:lang w:val="de-DE"/>
        </w:rPr>
        <w:lastRenderedPageBreak/>
        <w:tab/>
      </w:r>
      <w:r w:rsidR="00256091">
        <w:rPr>
          <w:b/>
          <w:sz w:val="20"/>
          <w:szCs w:val="20"/>
          <w:lang w:val="de-DE"/>
        </w:rPr>
        <w:t>Table 6</w:t>
      </w:r>
      <w:r w:rsidRPr="00FA6E8B">
        <w:rPr>
          <w:b/>
          <w:sz w:val="20"/>
          <w:szCs w:val="20"/>
          <w:lang w:val="de-DE"/>
        </w:rPr>
        <w:t xml:space="preserve">. </w:t>
      </w:r>
      <w:r w:rsidRPr="00256091">
        <w:rPr>
          <w:sz w:val="20"/>
          <w:szCs w:val="20"/>
          <w:lang w:val="de-DE"/>
        </w:rPr>
        <w:t>Pharmaceutical pairs of clinically relevant DDI in MDI database</w:t>
      </w:r>
      <w:r w:rsidR="00EC7E6B">
        <w:rPr>
          <w:sz w:val="20"/>
          <w:szCs w:val="20"/>
          <w:lang w:val="de-DE"/>
        </w:rPr>
        <w:t>.</w:t>
      </w:r>
    </w:p>
    <w:tbl>
      <w:tblPr>
        <w:tblStyle w:val="table"/>
        <w:tblW w:w="8860" w:type="dxa"/>
        <w:tblInd w:w="458" w:type="dxa"/>
        <w:tblLook w:val="04A0" w:firstRow="1" w:lastRow="0" w:firstColumn="1" w:lastColumn="0" w:noHBand="0" w:noVBand="1"/>
      </w:tblPr>
      <w:tblGrid>
        <w:gridCol w:w="3540"/>
        <w:gridCol w:w="2060"/>
        <w:gridCol w:w="1300"/>
        <w:gridCol w:w="1960"/>
      </w:tblGrid>
      <w:tr w:rsidR="00BC3220" w:rsidRPr="00256091" w14:paraId="2A2A09EA" w14:textId="77777777" w:rsidTr="00BC3220">
        <w:trPr>
          <w:cnfStyle w:val="100000000000" w:firstRow="1" w:lastRow="0" w:firstColumn="0" w:lastColumn="0" w:oddVBand="0" w:evenVBand="0" w:oddHBand="0" w:evenHBand="0" w:firstRowFirstColumn="0" w:firstRowLastColumn="0" w:lastRowFirstColumn="0" w:lastRowLastColumn="0"/>
          <w:trHeight w:val="340"/>
        </w:trPr>
        <w:tc>
          <w:tcPr>
            <w:tcW w:w="3540" w:type="dxa"/>
            <w:noWrap/>
            <w:hideMark/>
          </w:tcPr>
          <w:p w14:paraId="0F0F1E19" w14:textId="77777777" w:rsidR="00BC3220" w:rsidRPr="00256091" w:rsidRDefault="00BC3220" w:rsidP="00D7288C">
            <w:pPr>
              <w:jc w:val="center"/>
              <w:rPr>
                <w:rFonts w:eastAsia="Times New Roman" w:cs="Times New Roman"/>
                <w:b/>
                <w:color w:val="000000"/>
                <w:sz w:val="22"/>
              </w:rPr>
            </w:pPr>
            <w:r w:rsidRPr="00256091">
              <w:rPr>
                <w:rFonts w:eastAsia="Times New Roman" w:cs="Times New Roman"/>
                <w:b/>
                <w:color w:val="000000"/>
                <w:sz w:val="22"/>
              </w:rPr>
              <w:t>Pharmaceutical pairs of clinically relevant DDIs</w:t>
            </w:r>
          </w:p>
        </w:tc>
        <w:tc>
          <w:tcPr>
            <w:tcW w:w="2060" w:type="dxa"/>
            <w:noWrap/>
            <w:hideMark/>
          </w:tcPr>
          <w:p w14:paraId="520250FD" w14:textId="77777777" w:rsidR="00BC3220" w:rsidRPr="00256091" w:rsidRDefault="00BC3220" w:rsidP="00D7288C">
            <w:pPr>
              <w:jc w:val="center"/>
              <w:rPr>
                <w:rFonts w:eastAsia="Times New Roman" w:cs="Times New Roman"/>
                <w:b/>
                <w:color w:val="000000"/>
                <w:sz w:val="22"/>
              </w:rPr>
            </w:pPr>
            <w:r w:rsidRPr="00256091">
              <w:rPr>
                <w:rFonts w:eastAsia="Times New Roman" w:cs="Times New Roman"/>
                <w:b/>
                <w:color w:val="000000"/>
                <w:sz w:val="22"/>
              </w:rPr>
              <w:t>Interactive level</w:t>
            </w:r>
          </w:p>
        </w:tc>
        <w:tc>
          <w:tcPr>
            <w:tcW w:w="1300" w:type="dxa"/>
            <w:noWrap/>
            <w:hideMark/>
          </w:tcPr>
          <w:p w14:paraId="3DE9E4AF" w14:textId="77777777" w:rsidR="00BC3220" w:rsidRPr="00256091" w:rsidRDefault="00BC3220" w:rsidP="00D7288C">
            <w:pPr>
              <w:jc w:val="center"/>
              <w:rPr>
                <w:rFonts w:eastAsia="Times New Roman" w:cs="Times New Roman"/>
                <w:b/>
                <w:color w:val="000000"/>
                <w:sz w:val="22"/>
              </w:rPr>
            </w:pPr>
            <w:r w:rsidRPr="00256091">
              <w:rPr>
                <w:rFonts w:eastAsia="Times New Roman" w:cs="Times New Roman"/>
                <w:b/>
                <w:color w:val="000000"/>
                <w:sz w:val="22"/>
              </w:rPr>
              <w:t>Frequency</w:t>
            </w:r>
          </w:p>
        </w:tc>
        <w:tc>
          <w:tcPr>
            <w:tcW w:w="1960" w:type="dxa"/>
            <w:noWrap/>
            <w:hideMark/>
          </w:tcPr>
          <w:p w14:paraId="50F6E132" w14:textId="77777777" w:rsidR="00BC3220" w:rsidRPr="00256091" w:rsidRDefault="00BC3220" w:rsidP="00D7288C">
            <w:pPr>
              <w:jc w:val="center"/>
              <w:rPr>
                <w:rFonts w:eastAsia="Times New Roman" w:cs="Times New Roman"/>
                <w:b/>
                <w:color w:val="000000"/>
                <w:sz w:val="22"/>
              </w:rPr>
            </w:pPr>
            <w:r w:rsidRPr="00256091">
              <w:rPr>
                <w:rFonts w:eastAsia="Times New Roman" w:cs="Times New Roman"/>
                <w:b/>
                <w:color w:val="000000"/>
                <w:sz w:val="22"/>
              </w:rPr>
              <w:t>Percentage (%)</w:t>
            </w:r>
          </w:p>
        </w:tc>
      </w:tr>
      <w:tr w:rsidR="00BC3220" w:rsidRPr="00256091" w14:paraId="7A4D74D9" w14:textId="77777777" w:rsidTr="00BC3220">
        <w:trPr>
          <w:trHeight w:val="340"/>
        </w:trPr>
        <w:tc>
          <w:tcPr>
            <w:tcW w:w="3540" w:type="dxa"/>
            <w:noWrap/>
            <w:hideMark/>
          </w:tcPr>
          <w:p w14:paraId="29CB2C2D"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lang w:val="vi-VN"/>
              </w:rPr>
              <w:t>Amlodipine-metformin</w:t>
            </w:r>
          </w:p>
        </w:tc>
        <w:tc>
          <w:tcPr>
            <w:tcW w:w="2060" w:type="dxa"/>
            <w:noWrap/>
            <w:hideMark/>
          </w:tcPr>
          <w:p w14:paraId="726A8FD7"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Moderate</w:t>
            </w:r>
          </w:p>
        </w:tc>
        <w:tc>
          <w:tcPr>
            <w:tcW w:w="1300" w:type="dxa"/>
            <w:noWrap/>
            <w:hideMark/>
          </w:tcPr>
          <w:p w14:paraId="7D1D0E9B"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lang w:val="vi-VN"/>
              </w:rPr>
              <w:t>84</w:t>
            </w:r>
          </w:p>
        </w:tc>
        <w:tc>
          <w:tcPr>
            <w:tcW w:w="1960" w:type="dxa"/>
            <w:noWrap/>
            <w:hideMark/>
          </w:tcPr>
          <w:p w14:paraId="5EC658E7"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17.9</w:t>
            </w:r>
          </w:p>
        </w:tc>
      </w:tr>
      <w:tr w:rsidR="00BC3220" w:rsidRPr="00256091" w14:paraId="6EC30963" w14:textId="77777777" w:rsidTr="00BC3220">
        <w:trPr>
          <w:trHeight w:val="340"/>
        </w:trPr>
        <w:tc>
          <w:tcPr>
            <w:tcW w:w="3540" w:type="dxa"/>
            <w:noWrap/>
            <w:hideMark/>
          </w:tcPr>
          <w:p w14:paraId="0888AE5C"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Perindopril-metformin</w:t>
            </w:r>
          </w:p>
        </w:tc>
        <w:tc>
          <w:tcPr>
            <w:tcW w:w="2060" w:type="dxa"/>
            <w:noWrap/>
            <w:hideMark/>
          </w:tcPr>
          <w:p w14:paraId="7E95A6E8"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Moderate</w:t>
            </w:r>
          </w:p>
        </w:tc>
        <w:tc>
          <w:tcPr>
            <w:tcW w:w="1300" w:type="dxa"/>
            <w:noWrap/>
            <w:hideMark/>
          </w:tcPr>
          <w:p w14:paraId="4E3107EB"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lang w:val="vi-VN"/>
              </w:rPr>
              <w:t>7</w:t>
            </w:r>
          </w:p>
        </w:tc>
        <w:tc>
          <w:tcPr>
            <w:tcW w:w="1960" w:type="dxa"/>
            <w:noWrap/>
            <w:hideMark/>
          </w:tcPr>
          <w:p w14:paraId="4A09A31A"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1.50</w:t>
            </w:r>
          </w:p>
        </w:tc>
      </w:tr>
      <w:tr w:rsidR="00BC3220" w:rsidRPr="00256091" w14:paraId="247E87EF" w14:textId="77777777" w:rsidTr="00BC3220">
        <w:trPr>
          <w:trHeight w:val="340"/>
        </w:trPr>
        <w:tc>
          <w:tcPr>
            <w:tcW w:w="3540" w:type="dxa"/>
            <w:noWrap/>
            <w:hideMark/>
          </w:tcPr>
          <w:p w14:paraId="4B4C1F37"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Irbesartan-celecoxib</w:t>
            </w:r>
          </w:p>
        </w:tc>
        <w:tc>
          <w:tcPr>
            <w:tcW w:w="2060" w:type="dxa"/>
            <w:noWrap/>
            <w:hideMark/>
          </w:tcPr>
          <w:p w14:paraId="42564B62"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lang w:val="vi-VN"/>
              </w:rPr>
              <w:t>Moderate</w:t>
            </w:r>
          </w:p>
        </w:tc>
        <w:tc>
          <w:tcPr>
            <w:tcW w:w="1300" w:type="dxa"/>
            <w:noWrap/>
            <w:hideMark/>
          </w:tcPr>
          <w:p w14:paraId="0396D69B"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lang w:val="vi-VN"/>
              </w:rPr>
              <w:t>6</w:t>
            </w:r>
          </w:p>
        </w:tc>
        <w:tc>
          <w:tcPr>
            <w:tcW w:w="1960" w:type="dxa"/>
            <w:noWrap/>
            <w:hideMark/>
          </w:tcPr>
          <w:p w14:paraId="4CB3B048"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1.28</w:t>
            </w:r>
          </w:p>
        </w:tc>
      </w:tr>
      <w:tr w:rsidR="00BC3220" w:rsidRPr="00256091" w14:paraId="693F0803" w14:textId="77777777" w:rsidTr="00BC3220">
        <w:trPr>
          <w:trHeight w:val="320"/>
        </w:trPr>
        <w:tc>
          <w:tcPr>
            <w:tcW w:w="3540" w:type="dxa"/>
            <w:noWrap/>
            <w:hideMark/>
          </w:tcPr>
          <w:p w14:paraId="2531A422"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 xml:space="preserve">Others </w:t>
            </w:r>
            <w:r w:rsidRPr="00256091">
              <w:rPr>
                <w:rFonts w:eastAsia="Times New Roman" w:cs="Times New Roman"/>
                <w:color w:val="000000"/>
                <w:sz w:val="22"/>
                <w:vertAlign w:val="superscript"/>
              </w:rPr>
              <w:t>(*)</w:t>
            </w:r>
          </w:p>
        </w:tc>
        <w:tc>
          <w:tcPr>
            <w:tcW w:w="2060" w:type="dxa"/>
            <w:noWrap/>
            <w:hideMark/>
          </w:tcPr>
          <w:p w14:paraId="7C726AB0"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Moderate</w:t>
            </w:r>
          </w:p>
        </w:tc>
        <w:tc>
          <w:tcPr>
            <w:tcW w:w="1300" w:type="dxa"/>
            <w:noWrap/>
            <w:hideMark/>
          </w:tcPr>
          <w:p w14:paraId="4C73E6EF"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lang w:val="vi-VN"/>
              </w:rPr>
              <w:t>28</w:t>
            </w:r>
          </w:p>
        </w:tc>
        <w:tc>
          <w:tcPr>
            <w:tcW w:w="1960" w:type="dxa"/>
            <w:noWrap/>
            <w:hideMark/>
          </w:tcPr>
          <w:p w14:paraId="156F488D"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5.98</w:t>
            </w:r>
          </w:p>
        </w:tc>
      </w:tr>
      <w:tr w:rsidR="00BC3220" w:rsidRPr="00256091" w14:paraId="773AD197" w14:textId="77777777" w:rsidTr="00BC3220">
        <w:trPr>
          <w:trHeight w:val="320"/>
        </w:trPr>
        <w:tc>
          <w:tcPr>
            <w:tcW w:w="3540" w:type="dxa"/>
            <w:noWrap/>
            <w:hideMark/>
          </w:tcPr>
          <w:p w14:paraId="32233D2C"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lang w:val="vi-VN"/>
              </w:rPr>
              <w:t>Clopidogrel-esomeprazole</w:t>
            </w:r>
          </w:p>
        </w:tc>
        <w:tc>
          <w:tcPr>
            <w:tcW w:w="2060" w:type="dxa"/>
            <w:noWrap/>
            <w:hideMark/>
          </w:tcPr>
          <w:p w14:paraId="0CEE91E9"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lang w:val="vi-VN"/>
              </w:rPr>
              <w:t>Major</w:t>
            </w:r>
          </w:p>
        </w:tc>
        <w:tc>
          <w:tcPr>
            <w:tcW w:w="1300" w:type="dxa"/>
            <w:noWrap/>
            <w:hideMark/>
          </w:tcPr>
          <w:p w14:paraId="376051B7"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lang w:val="vi-VN"/>
              </w:rPr>
              <w:t>3</w:t>
            </w:r>
          </w:p>
        </w:tc>
        <w:tc>
          <w:tcPr>
            <w:tcW w:w="1960" w:type="dxa"/>
            <w:noWrap/>
            <w:hideMark/>
          </w:tcPr>
          <w:p w14:paraId="052BAA8F"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0.64</w:t>
            </w:r>
          </w:p>
        </w:tc>
      </w:tr>
      <w:tr w:rsidR="00BC3220" w:rsidRPr="00256091" w14:paraId="6FE8592E" w14:textId="77777777" w:rsidTr="00BC3220">
        <w:trPr>
          <w:trHeight w:val="320"/>
        </w:trPr>
        <w:tc>
          <w:tcPr>
            <w:tcW w:w="3540" w:type="dxa"/>
            <w:noWrap/>
            <w:hideMark/>
          </w:tcPr>
          <w:p w14:paraId="26877D0D"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Clopidogrel-omeprazole</w:t>
            </w:r>
          </w:p>
        </w:tc>
        <w:tc>
          <w:tcPr>
            <w:tcW w:w="2060" w:type="dxa"/>
            <w:noWrap/>
            <w:hideMark/>
          </w:tcPr>
          <w:p w14:paraId="36D5247B"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Major</w:t>
            </w:r>
          </w:p>
        </w:tc>
        <w:tc>
          <w:tcPr>
            <w:tcW w:w="1300" w:type="dxa"/>
            <w:noWrap/>
            <w:hideMark/>
          </w:tcPr>
          <w:p w14:paraId="29E54479"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rPr>
              <w:t>1</w:t>
            </w:r>
          </w:p>
        </w:tc>
        <w:tc>
          <w:tcPr>
            <w:tcW w:w="1960" w:type="dxa"/>
            <w:noWrap/>
            <w:hideMark/>
          </w:tcPr>
          <w:p w14:paraId="5B809BDD"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0.21</w:t>
            </w:r>
          </w:p>
        </w:tc>
      </w:tr>
      <w:tr w:rsidR="00BC3220" w:rsidRPr="00256091" w14:paraId="2EF29A49" w14:textId="77777777" w:rsidTr="00BC3220">
        <w:trPr>
          <w:trHeight w:val="320"/>
        </w:trPr>
        <w:tc>
          <w:tcPr>
            <w:tcW w:w="3540" w:type="dxa"/>
            <w:noWrap/>
            <w:hideMark/>
          </w:tcPr>
          <w:p w14:paraId="3FB22921"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Irbesartan-enalapril</w:t>
            </w:r>
          </w:p>
        </w:tc>
        <w:tc>
          <w:tcPr>
            <w:tcW w:w="2060" w:type="dxa"/>
            <w:noWrap/>
            <w:hideMark/>
          </w:tcPr>
          <w:p w14:paraId="30E0B4BA"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Major</w:t>
            </w:r>
          </w:p>
        </w:tc>
        <w:tc>
          <w:tcPr>
            <w:tcW w:w="1300" w:type="dxa"/>
            <w:noWrap/>
            <w:hideMark/>
          </w:tcPr>
          <w:p w14:paraId="3781FFF7"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lang w:val="vi-VN"/>
              </w:rPr>
              <w:t>1</w:t>
            </w:r>
          </w:p>
        </w:tc>
        <w:tc>
          <w:tcPr>
            <w:tcW w:w="1960" w:type="dxa"/>
            <w:noWrap/>
            <w:hideMark/>
          </w:tcPr>
          <w:p w14:paraId="114569A5"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lang w:val="vi-VN"/>
              </w:rPr>
              <w:t>0.21</w:t>
            </w:r>
          </w:p>
        </w:tc>
      </w:tr>
      <w:tr w:rsidR="00BC3220" w:rsidRPr="00256091" w14:paraId="591F873D" w14:textId="77777777" w:rsidTr="00BC3220">
        <w:trPr>
          <w:trHeight w:val="320"/>
        </w:trPr>
        <w:tc>
          <w:tcPr>
            <w:tcW w:w="3540" w:type="dxa"/>
            <w:noWrap/>
            <w:hideMark/>
          </w:tcPr>
          <w:p w14:paraId="2C15B6F7"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lang w:val="vi-VN"/>
              </w:rPr>
              <w:t>Telmisartan-perindopril</w:t>
            </w:r>
          </w:p>
        </w:tc>
        <w:tc>
          <w:tcPr>
            <w:tcW w:w="2060" w:type="dxa"/>
            <w:noWrap/>
            <w:hideMark/>
          </w:tcPr>
          <w:p w14:paraId="5818F067"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lang w:val="vi-VN"/>
              </w:rPr>
              <w:t>Major</w:t>
            </w:r>
          </w:p>
        </w:tc>
        <w:tc>
          <w:tcPr>
            <w:tcW w:w="1300" w:type="dxa"/>
            <w:noWrap/>
            <w:hideMark/>
          </w:tcPr>
          <w:p w14:paraId="4FCB94FB"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lang w:val="vi-VN"/>
              </w:rPr>
              <w:t>1</w:t>
            </w:r>
          </w:p>
        </w:tc>
        <w:tc>
          <w:tcPr>
            <w:tcW w:w="1960" w:type="dxa"/>
            <w:noWrap/>
            <w:hideMark/>
          </w:tcPr>
          <w:p w14:paraId="501F3ACC"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lang w:val="vi-VN"/>
              </w:rPr>
              <w:t>0.21</w:t>
            </w:r>
          </w:p>
        </w:tc>
      </w:tr>
      <w:tr w:rsidR="00BC3220" w:rsidRPr="00256091" w14:paraId="5FB46B71" w14:textId="77777777" w:rsidTr="00BC3220">
        <w:trPr>
          <w:trHeight w:val="320"/>
        </w:trPr>
        <w:tc>
          <w:tcPr>
            <w:tcW w:w="3540" w:type="dxa"/>
            <w:noWrap/>
            <w:hideMark/>
          </w:tcPr>
          <w:p w14:paraId="299414EA"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lang w:val="vi-VN"/>
              </w:rPr>
              <w:t>Enalapril-celecoxib</w:t>
            </w:r>
          </w:p>
        </w:tc>
        <w:tc>
          <w:tcPr>
            <w:tcW w:w="2060" w:type="dxa"/>
            <w:noWrap/>
            <w:hideMark/>
          </w:tcPr>
          <w:p w14:paraId="30F3221C"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lang w:val="vi-VN"/>
              </w:rPr>
              <w:t>Major</w:t>
            </w:r>
          </w:p>
        </w:tc>
        <w:tc>
          <w:tcPr>
            <w:tcW w:w="1300" w:type="dxa"/>
            <w:noWrap/>
            <w:hideMark/>
          </w:tcPr>
          <w:p w14:paraId="7A70627C"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lang w:val="vi-VN"/>
              </w:rPr>
              <w:t>1</w:t>
            </w:r>
          </w:p>
        </w:tc>
        <w:tc>
          <w:tcPr>
            <w:tcW w:w="1960" w:type="dxa"/>
            <w:noWrap/>
            <w:hideMark/>
          </w:tcPr>
          <w:p w14:paraId="447F38D7"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0.21</w:t>
            </w:r>
          </w:p>
        </w:tc>
      </w:tr>
      <w:tr w:rsidR="00BC3220" w:rsidRPr="00256091" w14:paraId="11A8FC2D" w14:textId="77777777" w:rsidTr="00BC3220">
        <w:trPr>
          <w:trHeight w:val="320"/>
        </w:trPr>
        <w:tc>
          <w:tcPr>
            <w:tcW w:w="3540" w:type="dxa"/>
            <w:noWrap/>
            <w:hideMark/>
          </w:tcPr>
          <w:p w14:paraId="278AB800"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Captopril-celecoxib</w:t>
            </w:r>
          </w:p>
        </w:tc>
        <w:tc>
          <w:tcPr>
            <w:tcW w:w="2060" w:type="dxa"/>
            <w:noWrap/>
            <w:hideMark/>
          </w:tcPr>
          <w:p w14:paraId="0FC1ABB3" w14:textId="77777777" w:rsidR="00BC3220" w:rsidRPr="00256091" w:rsidRDefault="00BC3220" w:rsidP="00D7288C">
            <w:pPr>
              <w:rPr>
                <w:rFonts w:eastAsia="Times New Roman" w:cs="Times New Roman"/>
                <w:color w:val="000000"/>
                <w:sz w:val="22"/>
              </w:rPr>
            </w:pPr>
            <w:r w:rsidRPr="00256091">
              <w:rPr>
                <w:rFonts w:eastAsia="Times New Roman" w:cs="Times New Roman"/>
                <w:color w:val="000000"/>
                <w:sz w:val="22"/>
              </w:rPr>
              <w:t>Major</w:t>
            </w:r>
          </w:p>
        </w:tc>
        <w:tc>
          <w:tcPr>
            <w:tcW w:w="1300" w:type="dxa"/>
            <w:noWrap/>
            <w:hideMark/>
          </w:tcPr>
          <w:p w14:paraId="13E4A163" w14:textId="77777777" w:rsidR="00BC3220" w:rsidRPr="00256091" w:rsidRDefault="00BC3220" w:rsidP="00D7288C">
            <w:pPr>
              <w:jc w:val="center"/>
              <w:rPr>
                <w:rFonts w:eastAsia="Times New Roman" w:cs="Times New Roman"/>
                <w:color w:val="000000"/>
                <w:sz w:val="22"/>
              </w:rPr>
            </w:pPr>
            <w:r w:rsidRPr="00256091">
              <w:rPr>
                <w:rFonts w:eastAsia="Times New Roman" w:cs="Times New Roman"/>
                <w:color w:val="000000"/>
                <w:sz w:val="22"/>
                <w:lang w:val="vi-VN"/>
              </w:rPr>
              <w:t>1</w:t>
            </w:r>
          </w:p>
        </w:tc>
        <w:tc>
          <w:tcPr>
            <w:tcW w:w="1960" w:type="dxa"/>
            <w:noWrap/>
            <w:hideMark/>
          </w:tcPr>
          <w:p w14:paraId="450FFEA6" w14:textId="77777777" w:rsidR="00BC3220" w:rsidRPr="00256091" w:rsidRDefault="00BC3220" w:rsidP="00D7288C">
            <w:pPr>
              <w:jc w:val="right"/>
              <w:rPr>
                <w:rFonts w:eastAsia="Times New Roman" w:cs="Times New Roman"/>
                <w:color w:val="000000"/>
                <w:sz w:val="22"/>
              </w:rPr>
            </w:pPr>
            <w:r w:rsidRPr="00256091">
              <w:rPr>
                <w:rFonts w:eastAsia="Times New Roman" w:cs="Times New Roman"/>
                <w:color w:val="000000"/>
                <w:sz w:val="22"/>
              </w:rPr>
              <w:t>0.21</w:t>
            </w:r>
          </w:p>
        </w:tc>
      </w:tr>
    </w:tbl>
    <w:p w14:paraId="415B37BA" w14:textId="6C661EB8" w:rsidR="00BC3220" w:rsidRPr="00BC3220" w:rsidRDefault="00BC3220" w:rsidP="00BC3220">
      <w:pPr>
        <w:spacing w:after="120"/>
        <w:jc w:val="both"/>
        <w:rPr>
          <w:i/>
          <w:sz w:val="18"/>
          <w:szCs w:val="18"/>
          <w:lang w:val="de-DE"/>
        </w:rPr>
        <w:sectPr w:rsidR="00BC3220" w:rsidRPr="00BC3220" w:rsidSect="00030E16">
          <w:type w:val="continuous"/>
          <w:pgSz w:w="11906" w:h="16838" w:code="9"/>
          <w:pgMar w:top="1418" w:right="1105" w:bottom="1418" w:left="1021" w:header="851" w:footer="851" w:gutter="0"/>
          <w:cols w:space="454"/>
          <w:docGrid w:linePitch="360"/>
        </w:sectPr>
      </w:pPr>
      <w:r>
        <w:rPr>
          <w:i/>
          <w:sz w:val="18"/>
          <w:szCs w:val="18"/>
          <w:lang w:val="de-DE"/>
        </w:rPr>
        <w:t xml:space="preserve">         </w:t>
      </w:r>
      <w:r w:rsidRPr="00010A67">
        <w:rPr>
          <w:i/>
          <w:sz w:val="18"/>
          <w:szCs w:val="18"/>
          <w:lang w:val="de-DE"/>
        </w:rPr>
        <w:t>(*)</w:t>
      </w:r>
      <w:r>
        <w:rPr>
          <w:i/>
          <w:sz w:val="18"/>
          <w:szCs w:val="18"/>
          <w:lang w:val="de-DE"/>
        </w:rPr>
        <w:t xml:space="preserve"> others included drug interaction pairs that had prevalence less than 1.00 percent.</w:t>
      </w:r>
    </w:p>
    <w:p w14:paraId="7511D777" w14:textId="77777777" w:rsidR="0093190E" w:rsidRDefault="0093190E" w:rsidP="00CA3E6A">
      <w:pPr>
        <w:spacing w:before="240" w:after="120"/>
        <w:jc w:val="both"/>
        <w:rPr>
          <w:b/>
          <w:sz w:val="20"/>
          <w:szCs w:val="20"/>
          <w:lang w:val="de-DE"/>
        </w:rPr>
      </w:pPr>
    </w:p>
    <w:p w14:paraId="7E232FE5" w14:textId="5DCACBB5" w:rsidR="009C1BEE" w:rsidRPr="00EC7E6B" w:rsidRDefault="00256091" w:rsidP="00EC7E6B">
      <w:pPr>
        <w:spacing w:before="240" w:after="120"/>
        <w:jc w:val="both"/>
        <w:rPr>
          <w:sz w:val="20"/>
          <w:szCs w:val="20"/>
          <w:lang w:val="de-DE"/>
        </w:rPr>
        <w:sectPr w:rsidR="009C1BEE" w:rsidRPr="00EC7E6B" w:rsidSect="005757E8">
          <w:type w:val="continuous"/>
          <w:pgSz w:w="11906" w:h="16838" w:code="9"/>
          <w:pgMar w:top="1134" w:right="1134" w:bottom="1134" w:left="1418" w:header="851" w:footer="851" w:gutter="0"/>
          <w:cols w:space="454"/>
          <w:docGrid w:linePitch="360"/>
        </w:sectPr>
      </w:pPr>
      <w:r>
        <w:rPr>
          <w:b/>
          <w:sz w:val="20"/>
          <w:szCs w:val="20"/>
          <w:lang w:val="de-DE"/>
        </w:rPr>
        <w:lastRenderedPageBreak/>
        <w:t>Table 7</w:t>
      </w:r>
      <w:r w:rsidR="00FA6E8B" w:rsidRPr="00FA6E8B">
        <w:rPr>
          <w:b/>
          <w:sz w:val="20"/>
          <w:szCs w:val="20"/>
          <w:lang w:val="de-DE"/>
        </w:rPr>
        <w:t xml:space="preserve">. </w:t>
      </w:r>
      <w:r w:rsidR="00FA6E8B" w:rsidRPr="00256091">
        <w:rPr>
          <w:sz w:val="20"/>
          <w:szCs w:val="20"/>
          <w:lang w:val="de-DE"/>
        </w:rPr>
        <w:t>Pharmaceutical pairs of clinically relevant DDI in MMDI database</w:t>
      </w:r>
      <w:r w:rsidR="00EC7E6B">
        <w:rPr>
          <w:sz w:val="20"/>
          <w:szCs w:val="20"/>
          <w:lang w:val="de-DE"/>
        </w:rPr>
        <w:t>.</w:t>
      </w:r>
    </w:p>
    <w:tbl>
      <w:tblPr>
        <w:tblStyle w:val="table"/>
        <w:tblW w:w="8860" w:type="dxa"/>
        <w:tblInd w:w="568" w:type="dxa"/>
        <w:tblLook w:val="04A0" w:firstRow="1" w:lastRow="0" w:firstColumn="1" w:lastColumn="0" w:noHBand="0" w:noVBand="1"/>
      </w:tblPr>
      <w:tblGrid>
        <w:gridCol w:w="3540"/>
        <w:gridCol w:w="2060"/>
        <w:gridCol w:w="1300"/>
        <w:gridCol w:w="1960"/>
      </w:tblGrid>
      <w:tr w:rsidR="00E84C58" w:rsidRPr="00256091" w14:paraId="62809DFC" w14:textId="77777777" w:rsidTr="005757E8">
        <w:trPr>
          <w:cnfStyle w:val="100000000000" w:firstRow="1" w:lastRow="0" w:firstColumn="0" w:lastColumn="0" w:oddVBand="0" w:evenVBand="0" w:oddHBand="0" w:evenHBand="0" w:firstRowFirstColumn="0" w:firstRowLastColumn="0" w:lastRowFirstColumn="0" w:lastRowLastColumn="0"/>
          <w:trHeight w:val="340"/>
        </w:trPr>
        <w:tc>
          <w:tcPr>
            <w:tcW w:w="3540" w:type="dxa"/>
            <w:noWrap/>
            <w:hideMark/>
          </w:tcPr>
          <w:p w14:paraId="356D9088" w14:textId="225BE01A" w:rsidR="00E84C58" w:rsidRPr="00256091" w:rsidRDefault="00E84C58" w:rsidP="00964265">
            <w:pPr>
              <w:jc w:val="center"/>
              <w:rPr>
                <w:rFonts w:eastAsia="Times New Roman" w:cs="Times New Roman"/>
                <w:b/>
                <w:color w:val="000000"/>
                <w:sz w:val="22"/>
              </w:rPr>
            </w:pPr>
            <w:r w:rsidRPr="00256091">
              <w:rPr>
                <w:rFonts w:eastAsia="Times New Roman" w:cs="Times New Roman"/>
                <w:b/>
                <w:color w:val="000000"/>
                <w:sz w:val="22"/>
              </w:rPr>
              <w:lastRenderedPageBreak/>
              <w:t xml:space="preserve">Pharmaceutical pairs of </w:t>
            </w:r>
            <w:r w:rsidR="00964265" w:rsidRPr="00256091">
              <w:rPr>
                <w:rFonts w:eastAsia="Times New Roman" w:cs="Times New Roman"/>
                <w:b/>
                <w:color w:val="000000"/>
                <w:sz w:val="22"/>
              </w:rPr>
              <w:t xml:space="preserve">clinically relevant </w:t>
            </w:r>
            <w:r w:rsidRPr="00256091">
              <w:rPr>
                <w:rFonts w:eastAsia="Times New Roman" w:cs="Times New Roman"/>
                <w:b/>
                <w:color w:val="000000"/>
                <w:sz w:val="22"/>
              </w:rPr>
              <w:t>DDI</w:t>
            </w:r>
            <w:r w:rsidR="00964265" w:rsidRPr="00256091">
              <w:rPr>
                <w:rFonts w:eastAsia="Times New Roman" w:cs="Times New Roman"/>
                <w:b/>
                <w:color w:val="000000"/>
                <w:sz w:val="22"/>
              </w:rPr>
              <w:t>s</w:t>
            </w:r>
          </w:p>
        </w:tc>
        <w:tc>
          <w:tcPr>
            <w:tcW w:w="2060" w:type="dxa"/>
            <w:noWrap/>
            <w:hideMark/>
          </w:tcPr>
          <w:p w14:paraId="474E7464" w14:textId="77777777" w:rsidR="00E84C58" w:rsidRPr="00256091" w:rsidRDefault="00E84C58" w:rsidP="00964265">
            <w:pPr>
              <w:jc w:val="center"/>
              <w:rPr>
                <w:rFonts w:eastAsia="Times New Roman" w:cs="Times New Roman"/>
                <w:b/>
                <w:color w:val="000000"/>
                <w:sz w:val="22"/>
              </w:rPr>
            </w:pPr>
            <w:r w:rsidRPr="00256091">
              <w:rPr>
                <w:rFonts w:eastAsia="Times New Roman" w:cs="Times New Roman"/>
                <w:b/>
                <w:color w:val="000000"/>
                <w:sz w:val="22"/>
              </w:rPr>
              <w:t>Interactive level</w:t>
            </w:r>
          </w:p>
        </w:tc>
        <w:tc>
          <w:tcPr>
            <w:tcW w:w="1300" w:type="dxa"/>
            <w:noWrap/>
            <w:hideMark/>
          </w:tcPr>
          <w:p w14:paraId="27D40901" w14:textId="77777777" w:rsidR="00E84C58" w:rsidRPr="00256091" w:rsidRDefault="00E84C58" w:rsidP="00964265">
            <w:pPr>
              <w:jc w:val="center"/>
              <w:rPr>
                <w:rFonts w:eastAsia="Times New Roman" w:cs="Times New Roman"/>
                <w:b/>
                <w:color w:val="000000"/>
                <w:sz w:val="22"/>
              </w:rPr>
            </w:pPr>
            <w:r w:rsidRPr="00256091">
              <w:rPr>
                <w:rFonts w:eastAsia="Times New Roman" w:cs="Times New Roman"/>
                <w:b/>
                <w:color w:val="000000"/>
                <w:sz w:val="22"/>
              </w:rPr>
              <w:t>Frequency</w:t>
            </w:r>
          </w:p>
        </w:tc>
        <w:tc>
          <w:tcPr>
            <w:tcW w:w="1960" w:type="dxa"/>
            <w:noWrap/>
            <w:hideMark/>
          </w:tcPr>
          <w:p w14:paraId="0C6A3BB1" w14:textId="77777777" w:rsidR="00E84C58" w:rsidRPr="00256091" w:rsidRDefault="00E84C58" w:rsidP="00964265">
            <w:pPr>
              <w:jc w:val="center"/>
              <w:rPr>
                <w:rFonts w:eastAsia="Times New Roman" w:cs="Times New Roman"/>
                <w:b/>
                <w:color w:val="000000"/>
                <w:sz w:val="22"/>
              </w:rPr>
            </w:pPr>
            <w:r w:rsidRPr="00256091">
              <w:rPr>
                <w:rFonts w:eastAsia="Times New Roman" w:cs="Times New Roman"/>
                <w:b/>
                <w:color w:val="000000"/>
                <w:sz w:val="22"/>
              </w:rPr>
              <w:t>Percentage (%)</w:t>
            </w:r>
          </w:p>
        </w:tc>
      </w:tr>
      <w:tr w:rsidR="00E84C58" w:rsidRPr="00256091" w14:paraId="7D700077" w14:textId="77777777" w:rsidTr="005757E8">
        <w:trPr>
          <w:trHeight w:val="340"/>
        </w:trPr>
        <w:tc>
          <w:tcPr>
            <w:tcW w:w="3540" w:type="dxa"/>
            <w:noWrap/>
            <w:hideMark/>
          </w:tcPr>
          <w:p w14:paraId="7B39BE96"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lang w:val="vi-VN"/>
              </w:rPr>
              <w:t>Amlodipine-metformin</w:t>
            </w:r>
          </w:p>
        </w:tc>
        <w:tc>
          <w:tcPr>
            <w:tcW w:w="2060" w:type="dxa"/>
            <w:noWrap/>
            <w:hideMark/>
          </w:tcPr>
          <w:p w14:paraId="71516BDD"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lang w:val="vi-VN"/>
              </w:rPr>
              <w:t>Moderate</w:t>
            </w:r>
          </w:p>
        </w:tc>
        <w:tc>
          <w:tcPr>
            <w:tcW w:w="1300" w:type="dxa"/>
            <w:noWrap/>
            <w:hideMark/>
          </w:tcPr>
          <w:p w14:paraId="5BA3E25D" w14:textId="3BCA62E3"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rPr>
              <w:t>8</w:t>
            </w:r>
            <w:r w:rsidR="00AD27AB" w:rsidRPr="00256091">
              <w:rPr>
                <w:rFonts w:eastAsia="Times New Roman" w:cs="Times New Roman"/>
                <w:color w:val="000000"/>
                <w:sz w:val="22"/>
              </w:rPr>
              <w:t>4</w:t>
            </w:r>
          </w:p>
        </w:tc>
        <w:tc>
          <w:tcPr>
            <w:tcW w:w="1960" w:type="dxa"/>
            <w:noWrap/>
            <w:hideMark/>
          </w:tcPr>
          <w:p w14:paraId="392FE4F9" w14:textId="5F2681EF"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lang w:val="vi-VN"/>
              </w:rPr>
              <w:t>1</w:t>
            </w:r>
            <w:r w:rsidR="00AD27AB" w:rsidRPr="00256091">
              <w:rPr>
                <w:rFonts w:eastAsia="Times New Roman" w:cs="Times New Roman"/>
                <w:color w:val="000000"/>
                <w:sz w:val="22"/>
                <w:lang w:val="vi-VN"/>
              </w:rPr>
              <w:t>7.95</w:t>
            </w:r>
          </w:p>
        </w:tc>
      </w:tr>
      <w:tr w:rsidR="00E84C58" w:rsidRPr="00256091" w14:paraId="175415DB" w14:textId="77777777" w:rsidTr="005757E8">
        <w:trPr>
          <w:trHeight w:val="340"/>
        </w:trPr>
        <w:tc>
          <w:tcPr>
            <w:tcW w:w="3540" w:type="dxa"/>
            <w:noWrap/>
            <w:hideMark/>
          </w:tcPr>
          <w:p w14:paraId="4CCED788" w14:textId="55E8604B" w:rsidR="00E84C58" w:rsidRPr="00256091" w:rsidRDefault="00964265" w:rsidP="00E84C58">
            <w:pPr>
              <w:rPr>
                <w:rFonts w:eastAsia="Times New Roman" w:cs="Times New Roman"/>
                <w:color w:val="000000"/>
                <w:sz w:val="22"/>
              </w:rPr>
            </w:pPr>
            <w:r w:rsidRPr="00256091">
              <w:rPr>
                <w:rFonts w:eastAsia="Times New Roman" w:cs="Times New Roman"/>
                <w:color w:val="000000"/>
                <w:sz w:val="22"/>
              </w:rPr>
              <w:t>Hydrochl</w:t>
            </w:r>
            <w:r w:rsidR="00E84C58" w:rsidRPr="00256091">
              <w:rPr>
                <w:rFonts w:eastAsia="Times New Roman" w:cs="Times New Roman"/>
                <w:color w:val="000000"/>
                <w:sz w:val="22"/>
              </w:rPr>
              <w:t>orothiazide-metformin</w:t>
            </w:r>
          </w:p>
        </w:tc>
        <w:tc>
          <w:tcPr>
            <w:tcW w:w="2060" w:type="dxa"/>
            <w:noWrap/>
            <w:hideMark/>
          </w:tcPr>
          <w:p w14:paraId="362F5173"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Moderate</w:t>
            </w:r>
          </w:p>
        </w:tc>
        <w:tc>
          <w:tcPr>
            <w:tcW w:w="1300" w:type="dxa"/>
            <w:noWrap/>
            <w:hideMark/>
          </w:tcPr>
          <w:p w14:paraId="505488D6" w14:textId="19E4CC12" w:rsidR="00E84C58" w:rsidRPr="00256091" w:rsidRDefault="00AD27AB" w:rsidP="00964265">
            <w:pPr>
              <w:jc w:val="center"/>
              <w:rPr>
                <w:rFonts w:eastAsia="Times New Roman" w:cs="Times New Roman"/>
                <w:color w:val="000000"/>
                <w:sz w:val="22"/>
              </w:rPr>
            </w:pPr>
            <w:r w:rsidRPr="00256091">
              <w:rPr>
                <w:rFonts w:eastAsia="Times New Roman" w:cs="Times New Roman"/>
                <w:color w:val="000000"/>
                <w:sz w:val="22"/>
              </w:rPr>
              <w:t>40</w:t>
            </w:r>
          </w:p>
        </w:tc>
        <w:tc>
          <w:tcPr>
            <w:tcW w:w="1960" w:type="dxa"/>
            <w:noWrap/>
            <w:hideMark/>
          </w:tcPr>
          <w:p w14:paraId="56124E56" w14:textId="205CE9FE" w:rsidR="00E84C58" w:rsidRPr="00256091" w:rsidRDefault="00AD27AB" w:rsidP="00E84C58">
            <w:pPr>
              <w:jc w:val="right"/>
              <w:rPr>
                <w:rFonts w:eastAsia="Times New Roman" w:cs="Times New Roman"/>
                <w:color w:val="000000"/>
                <w:sz w:val="22"/>
              </w:rPr>
            </w:pPr>
            <w:r w:rsidRPr="00256091">
              <w:rPr>
                <w:rFonts w:eastAsia="Times New Roman" w:cs="Times New Roman"/>
                <w:color w:val="000000"/>
                <w:sz w:val="22"/>
              </w:rPr>
              <w:t>8.55</w:t>
            </w:r>
          </w:p>
        </w:tc>
      </w:tr>
      <w:tr w:rsidR="00E84C58" w:rsidRPr="00256091" w14:paraId="7842B6FB" w14:textId="77777777" w:rsidTr="005757E8">
        <w:trPr>
          <w:trHeight w:val="340"/>
        </w:trPr>
        <w:tc>
          <w:tcPr>
            <w:tcW w:w="3540" w:type="dxa"/>
            <w:noWrap/>
            <w:hideMark/>
          </w:tcPr>
          <w:p w14:paraId="0FD73985"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lang w:val="vi-VN"/>
              </w:rPr>
              <w:t>Clopidogrel-atorvastatin</w:t>
            </w:r>
          </w:p>
        </w:tc>
        <w:tc>
          <w:tcPr>
            <w:tcW w:w="2060" w:type="dxa"/>
            <w:noWrap/>
            <w:hideMark/>
          </w:tcPr>
          <w:p w14:paraId="4EC65751"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Moderate</w:t>
            </w:r>
          </w:p>
        </w:tc>
        <w:tc>
          <w:tcPr>
            <w:tcW w:w="1300" w:type="dxa"/>
            <w:noWrap/>
            <w:hideMark/>
          </w:tcPr>
          <w:p w14:paraId="2A109A84"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rPr>
              <w:t>9</w:t>
            </w:r>
          </w:p>
        </w:tc>
        <w:tc>
          <w:tcPr>
            <w:tcW w:w="1960" w:type="dxa"/>
            <w:noWrap/>
            <w:hideMark/>
          </w:tcPr>
          <w:p w14:paraId="5A04767E"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1.92</w:t>
            </w:r>
          </w:p>
        </w:tc>
      </w:tr>
      <w:tr w:rsidR="00E84C58" w:rsidRPr="00256091" w14:paraId="44BE4AD3" w14:textId="77777777" w:rsidTr="005757E8">
        <w:trPr>
          <w:trHeight w:val="340"/>
        </w:trPr>
        <w:tc>
          <w:tcPr>
            <w:tcW w:w="3540" w:type="dxa"/>
            <w:noWrap/>
            <w:hideMark/>
          </w:tcPr>
          <w:p w14:paraId="3272BB03"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Perindopril-metformin</w:t>
            </w:r>
          </w:p>
        </w:tc>
        <w:tc>
          <w:tcPr>
            <w:tcW w:w="2060" w:type="dxa"/>
            <w:noWrap/>
            <w:hideMark/>
          </w:tcPr>
          <w:p w14:paraId="767D376E"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Moderate</w:t>
            </w:r>
          </w:p>
        </w:tc>
        <w:tc>
          <w:tcPr>
            <w:tcW w:w="1300" w:type="dxa"/>
            <w:noWrap/>
            <w:hideMark/>
          </w:tcPr>
          <w:p w14:paraId="3CC472E5"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rPr>
              <w:t>7</w:t>
            </w:r>
          </w:p>
        </w:tc>
        <w:tc>
          <w:tcPr>
            <w:tcW w:w="1960" w:type="dxa"/>
            <w:noWrap/>
            <w:hideMark/>
          </w:tcPr>
          <w:p w14:paraId="57787F73"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1.50</w:t>
            </w:r>
          </w:p>
        </w:tc>
      </w:tr>
      <w:tr w:rsidR="00E84C58" w:rsidRPr="00256091" w14:paraId="057FE9B2" w14:textId="77777777" w:rsidTr="005757E8">
        <w:trPr>
          <w:trHeight w:val="340"/>
        </w:trPr>
        <w:tc>
          <w:tcPr>
            <w:tcW w:w="3540" w:type="dxa"/>
            <w:noWrap/>
            <w:hideMark/>
          </w:tcPr>
          <w:p w14:paraId="534957A5" w14:textId="5857CF0E"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Irbesartan-celecoxi</w:t>
            </w:r>
            <w:r w:rsidR="00E83606" w:rsidRPr="00256091">
              <w:rPr>
                <w:rFonts w:eastAsia="Times New Roman" w:cs="Times New Roman"/>
                <w:color w:val="000000"/>
                <w:sz w:val="22"/>
              </w:rPr>
              <w:t>b</w:t>
            </w:r>
          </w:p>
        </w:tc>
        <w:tc>
          <w:tcPr>
            <w:tcW w:w="2060" w:type="dxa"/>
            <w:noWrap/>
            <w:hideMark/>
          </w:tcPr>
          <w:p w14:paraId="3FB42A5C"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Moderate</w:t>
            </w:r>
          </w:p>
        </w:tc>
        <w:tc>
          <w:tcPr>
            <w:tcW w:w="1300" w:type="dxa"/>
            <w:noWrap/>
            <w:hideMark/>
          </w:tcPr>
          <w:p w14:paraId="7DC9E7F4"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lang w:val="vi-VN"/>
              </w:rPr>
              <w:t>6</w:t>
            </w:r>
          </w:p>
        </w:tc>
        <w:tc>
          <w:tcPr>
            <w:tcW w:w="1960" w:type="dxa"/>
            <w:noWrap/>
            <w:hideMark/>
          </w:tcPr>
          <w:p w14:paraId="45D4885B"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1.28</w:t>
            </w:r>
          </w:p>
        </w:tc>
      </w:tr>
      <w:tr w:rsidR="00E84C58" w:rsidRPr="00256091" w14:paraId="74C07FF2" w14:textId="77777777" w:rsidTr="005757E8">
        <w:trPr>
          <w:trHeight w:val="340"/>
        </w:trPr>
        <w:tc>
          <w:tcPr>
            <w:tcW w:w="3540" w:type="dxa"/>
            <w:noWrap/>
            <w:hideMark/>
          </w:tcPr>
          <w:p w14:paraId="173514F4" w14:textId="49C1387C"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Others</w:t>
            </w:r>
            <w:r w:rsidR="00894E69" w:rsidRPr="00256091">
              <w:rPr>
                <w:rFonts w:eastAsia="Times New Roman" w:cs="Times New Roman"/>
                <w:color w:val="000000"/>
                <w:sz w:val="22"/>
              </w:rPr>
              <w:t xml:space="preserve"> </w:t>
            </w:r>
            <w:r w:rsidR="00894E69" w:rsidRPr="00256091">
              <w:rPr>
                <w:rFonts w:eastAsia="Times New Roman" w:cs="Times New Roman"/>
                <w:color w:val="000000"/>
                <w:sz w:val="22"/>
                <w:vertAlign w:val="superscript"/>
              </w:rPr>
              <w:t>(*)</w:t>
            </w:r>
          </w:p>
        </w:tc>
        <w:tc>
          <w:tcPr>
            <w:tcW w:w="2060" w:type="dxa"/>
            <w:noWrap/>
            <w:hideMark/>
          </w:tcPr>
          <w:p w14:paraId="6A718C76"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Moderate</w:t>
            </w:r>
          </w:p>
        </w:tc>
        <w:tc>
          <w:tcPr>
            <w:tcW w:w="1300" w:type="dxa"/>
            <w:noWrap/>
            <w:hideMark/>
          </w:tcPr>
          <w:p w14:paraId="21267112" w14:textId="5D060933" w:rsidR="00E84C58" w:rsidRPr="00256091" w:rsidRDefault="00AD27AB" w:rsidP="00964265">
            <w:pPr>
              <w:jc w:val="center"/>
              <w:rPr>
                <w:rFonts w:eastAsia="Times New Roman" w:cs="Times New Roman"/>
                <w:color w:val="000000"/>
                <w:sz w:val="22"/>
              </w:rPr>
            </w:pPr>
            <w:r w:rsidRPr="00256091">
              <w:rPr>
                <w:rFonts w:eastAsia="Times New Roman" w:cs="Times New Roman"/>
                <w:color w:val="000000"/>
                <w:sz w:val="22"/>
              </w:rPr>
              <w:t>19</w:t>
            </w:r>
          </w:p>
        </w:tc>
        <w:tc>
          <w:tcPr>
            <w:tcW w:w="1960" w:type="dxa"/>
            <w:noWrap/>
            <w:hideMark/>
          </w:tcPr>
          <w:p w14:paraId="5ACC9016" w14:textId="0DFC5675"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4.</w:t>
            </w:r>
            <w:r w:rsidR="00AD27AB" w:rsidRPr="00256091">
              <w:rPr>
                <w:rFonts w:eastAsia="Times New Roman" w:cs="Times New Roman"/>
                <w:color w:val="000000"/>
                <w:sz w:val="22"/>
              </w:rPr>
              <w:t>06</w:t>
            </w:r>
          </w:p>
        </w:tc>
      </w:tr>
      <w:tr w:rsidR="00E84C58" w:rsidRPr="00256091" w14:paraId="27110FC5" w14:textId="77777777" w:rsidTr="005757E8">
        <w:trPr>
          <w:trHeight w:val="340"/>
        </w:trPr>
        <w:tc>
          <w:tcPr>
            <w:tcW w:w="3540" w:type="dxa"/>
            <w:noWrap/>
            <w:hideMark/>
          </w:tcPr>
          <w:p w14:paraId="17F94C98" w14:textId="4EC2FA28"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Hydroc</w:t>
            </w:r>
            <w:r w:rsidR="00964265" w:rsidRPr="00256091">
              <w:rPr>
                <w:rFonts w:eastAsia="Times New Roman" w:cs="Times New Roman"/>
                <w:color w:val="000000"/>
                <w:sz w:val="22"/>
              </w:rPr>
              <w:t>h</w:t>
            </w:r>
            <w:r w:rsidRPr="00256091">
              <w:rPr>
                <w:rFonts w:eastAsia="Times New Roman" w:cs="Times New Roman"/>
                <w:color w:val="000000"/>
                <w:sz w:val="22"/>
              </w:rPr>
              <w:t>lorothiazide-tenoxicam</w:t>
            </w:r>
          </w:p>
        </w:tc>
        <w:tc>
          <w:tcPr>
            <w:tcW w:w="2060" w:type="dxa"/>
            <w:noWrap/>
            <w:hideMark/>
          </w:tcPr>
          <w:p w14:paraId="51FC296D"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Major</w:t>
            </w:r>
          </w:p>
        </w:tc>
        <w:tc>
          <w:tcPr>
            <w:tcW w:w="1300" w:type="dxa"/>
            <w:noWrap/>
            <w:hideMark/>
          </w:tcPr>
          <w:p w14:paraId="51CE1C01"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rPr>
              <w:t>3</w:t>
            </w:r>
          </w:p>
        </w:tc>
        <w:tc>
          <w:tcPr>
            <w:tcW w:w="1960" w:type="dxa"/>
            <w:noWrap/>
            <w:hideMark/>
          </w:tcPr>
          <w:p w14:paraId="6B15314C"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0.64</w:t>
            </w:r>
          </w:p>
        </w:tc>
      </w:tr>
      <w:tr w:rsidR="00E84C58" w:rsidRPr="00256091" w14:paraId="7A975290" w14:textId="77777777" w:rsidTr="005757E8">
        <w:trPr>
          <w:trHeight w:val="340"/>
        </w:trPr>
        <w:tc>
          <w:tcPr>
            <w:tcW w:w="3540" w:type="dxa"/>
            <w:noWrap/>
            <w:hideMark/>
          </w:tcPr>
          <w:p w14:paraId="5496C66A"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Rosuvastatin-antacid</w:t>
            </w:r>
          </w:p>
        </w:tc>
        <w:tc>
          <w:tcPr>
            <w:tcW w:w="2060" w:type="dxa"/>
            <w:noWrap/>
            <w:hideMark/>
          </w:tcPr>
          <w:p w14:paraId="3746C625"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Major</w:t>
            </w:r>
          </w:p>
        </w:tc>
        <w:tc>
          <w:tcPr>
            <w:tcW w:w="1300" w:type="dxa"/>
            <w:noWrap/>
            <w:hideMark/>
          </w:tcPr>
          <w:p w14:paraId="312C5A06"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lang w:val="vi-VN"/>
              </w:rPr>
              <w:t>3</w:t>
            </w:r>
          </w:p>
        </w:tc>
        <w:tc>
          <w:tcPr>
            <w:tcW w:w="1960" w:type="dxa"/>
            <w:noWrap/>
            <w:hideMark/>
          </w:tcPr>
          <w:p w14:paraId="0D867731"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0.64</w:t>
            </w:r>
          </w:p>
        </w:tc>
      </w:tr>
      <w:tr w:rsidR="00E84C58" w:rsidRPr="00256091" w14:paraId="2661A5CC" w14:textId="77777777" w:rsidTr="005757E8">
        <w:trPr>
          <w:trHeight w:val="340"/>
        </w:trPr>
        <w:tc>
          <w:tcPr>
            <w:tcW w:w="3540" w:type="dxa"/>
            <w:noWrap/>
            <w:hideMark/>
          </w:tcPr>
          <w:p w14:paraId="1A474E42"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Clopidogrel-esomeprazole</w:t>
            </w:r>
          </w:p>
        </w:tc>
        <w:tc>
          <w:tcPr>
            <w:tcW w:w="2060" w:type="dxa"/>
            <w:noWrap/>
            <w:hideMark/>
          </w:tcPr>
          <w:p w14:paraId="3C91FBD7"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Major</w:t>
            </w:r>
          </w:p>
        </w:tc>
        <w:tc>
          <w:tcPr>
            <w:tcW w:w="1300" w:type="dxa"/>
            <w:noWrap/>
            <w:hideMark/>
          </w:tcPr>
          <w:p w14:paraId="477733FB"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lang w:val="vi-VN"/>
              </w:rPr>
              <w:t>3</w:t>
            </w:r>
          </w:p>
        </w:tc>
        <w:tc>
          <w:tcPr>
            <w:tcW w:w="1960" w:type="dxa"/>
            <w:noWrap/>
            <w:hideMark/>
          </w:tcPr>
          <w:p w14:paraId="43120BF6"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0.64</w:t>
            </w:r>
          </w:p>
        </w:tc>
      </w:tr>
      <w:tr w:rsidR="00E84C58" w:rsidRPr="00256091" w14:paraId="052B5390" w14:textId="77777777" w:rsidTr="005757E8">
        <w:trPr>
          <w:trHeight w:val="340"/>
        </w:trPr>
        <w:tc>
          <w:tcPr>
            <w:tcW w:w="3540" w:type="dxa"/>
            <w:noWrap/>
            <w:hideMark/>
          </w:tcPr>
          <w:p w14:paraId="0B225D40"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Clopidogrel-omeprazole</w:t>
            </w:r>
          </w:p>
        </w:tc>
        <w:tc>
          <w:tcPr>
            <w:tcW w:w="2060" w:type="dxa"/>
            <w:noWrap/>
            <w:hideMark/>
          </w:tcPr>
          <w:p w14:paraId="4060276F"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Major</w:t>
            </w:r>
          </w:p>
        </w:tc>
        <w:tc>
          <w:tcPr>
            <w:tcW w:w="1300" w:type="dxa"/>
            <w:noWrap/>
            <w:hideMark/>
          </w:tcPr>
          <w:p w14:paraId="43D5963B"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rPr>
              <w:t>1</w:t>
            </w:r>
          </w:p>
        </w:tc>
        <w:tc>
          <w:tcPr>
            <w:tcW w:w="1960" w:type="dxa"/>
            <w:noWrap/>
            <w:hideMark/>
          </w:tcPr>
          <w:p w14:paraId="73F12528"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0.21</w:t>
            </w:r>
          </w:p>
        </w:tc>
      </w:tr>
      <w:tr w:rsidR="00E84C58" w:rsidRPr="00256091" w14:paraId="6AD70899" w14:textId="77777777" w:rsidTr="005757E8">
        <w:trPr>
          <w:trHeight w:val="340"/>
        </w:trPr>
        <w:tc>
          <w:tcPr>
            <w:tcW w:w="3540" w:type="dxa"/>
            <w:noWrap/>
            <w:hideMark/>
          </w:tcPr>
          <w:p w14:paraId="6A3181AB" w14:textId="2903B35D"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Hydroc</w:t>
            </w:r>
            <w:r w:rsidR="00964265" w:rsidRPr="00256091">
              <w:rPr>
                <w:rFonts w:eastAsia="Times New Roman" w:cs="Times New Roman"/>
                <w:color w:val="000000"/>
                <w:sz w:val="22"/>
              </w:rPr>
              <w:t>h</w:t>
            </w:r>
            <w:r w:rsidRPr="00256091">
              <w:rPr>
                <w:rFonts w:eastAsia="Times New Roman" w:cs="Times New Roman"/>
                <w:color w:val="000000"/>
                <w:sz w:val="22"/>
              </w:rPr>
              <w:t>lorothiazide-etoricoxib</w:t>
            </w:r>
          </w:p>
        </w:tc>
        <w:tc>
          <w:tcPr>
            <w:tcW w:w="2060" w:type="dxa"/>
            <w:noWrap/>
            <w:hideMark/>
          </w:tcPr>
          <w:p w14:paraId="08486C78"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Major</w:t>
            </w:r>
          </w:p>
        </w:tc>
        <w:tc>
          <w:tcPr>
            <w:tcW w:w="1300" w:type="dxa"/>
            <w:noWrap/>
            <w:hideMark/>
          </w:tcPr>
          <w:p w14:paraId="5D75E7EC"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lang w:val="vi-VN"/>
              </w:rPr>
              <w:t>2</w:t>
            </w:r>
          </w:p>
        </w:tc>
        <w:tc>
          <w:tcPr>
            <w:tcW w:w="1960" w:type="dxa"/>
            <w:noWrap/>
            <w:hideMark/>
          </w:tcPr>
          <w:p w14:paraId="0F4F28A5"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0.43</w:t>
            </w:r>
          </w:p>
        </w:tc>
      </w:tr>
      <w:tr w:rsidR="00E84C58" w:rsidRPr="00256091" w14:paraId="092D4599" w14:textId="77777777" w:rsidTr="005757E8">
        <w:trPr>
          <w:trHeight w:val="340"/>
        </w:trPr>
        <w:tc>
          <w:tcPr>
            <w:tcW w:w="3540" w:type="dxa"/>
            <w:noWrap/>
            <w:hideMark/>
          </w:tcPr>
          <w:p w14:paraId="5671BA6F" w14:textId="74545772" w:rsidR="00E84C58" w:rsidRPr="00256091" w:rsidRDefault="00E84C58" w:rsidP="00E84C58">
            <w:pPr>
              <w:rPr>
                <w:rFonts w:eastAsia="Times New Roman" w:cs="Times New Roman"/>
                <w:color w:val="000000"/>
                <w:sz w:val="22"/>
              </w:rPr>
            </w:pPr>
            <w:r w:rsidRPr="00256091">
              <w:rPr>
                <w:rFonts w:eastAsia="Times New Roman" w:cs="Times New Roman"/>
                <w:color w:val="000000"/>
                <w:sz w:val="22"/>
                <w:lang w:val="vi-VN"/>
              </w:rPr>
              <w:t>Hydroc</w:t>
            </w:r>
            <w:r w:rsidR="005A5B47" w:rsidRPr="00256091">
              <w:rPr>
                <w:rFonts w:eastAsia="Times New Roman" w:cs="Times New Roman"/>
                <w:color w:val="000000"/>
                <w:sz w:val="22"/>
                <w:lang w:val="vi-VN"/>
              </w:rPr>
              <w:t>h</w:t>
            </w:r>
            <w:r w:rsidRPr="00256091">
              <w:rPr>
                <w:rFonts w:eastAsia="Times New Roman" w:cs="Times New Roman"/>
                <w:color w:val="000000"/>
                <w:sz w:val="22"/>
                <w:lang w:val="vi-VN"/>
              </w:rPr>
              <w:t>lorothiazide-etodolac</w:t>
            </w:r>
          </w:p>
        </w:tc>
        <w:tc>
          <w:tcPr>
            <w:tcW w:w="2060" w:type="dxa"/>
            <w:noWrap/>
            <w:hideMark/>
          </w:tcPr>
          <w:p w14:paraId="640A210B"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lang w:val="vi-VN"/>
              </w:rPr>
              <w:t>Major</w:t>
            </w:r>
          </w:p>
        </w:tc>
        <w:tc>
          <w:tcPr>
            <w:tcW w:w="1300" w:type="dxa"/>
            <w:noWrap/>
            <w:hideMark/>
          </w:tcPr>
          <w:p w14:paraId="73A29256"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lang w:val="vi-VN"/>
              </w:rPr>
              <w:t>1</w:t>
            </w:r>
          </w:p>
        </w:tc>
        <w:tc>
          <w:tcPr>
            <w:tcW w:w="1960" w:type="dxa"/>
            <w:noWrap/>
            <w:hideMark/>
          </w:tcPr>
          <w:p w14:paraId="3ED4EA4C"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0.21</w:t>
            </w:r>
          </w:p>
        </w:tc>
      </w:tr>
      <w:tr w:rsidR="00E84C58" w:rsidRPr="00256091" w14:paraId="1AC394CD" w14:textId="77777777" w:rsidTr="005757E8">
        <w:trPr>
          <w:trHeight w:val="340"/>
        </w:trPr>
        <w:tc>
          <w:tcPr>
            <w:tcW w:w="3540" w:type="dxa"/>
            <w:noWrap/>
            <w:hideMark/>
          </w:tcPr>
          <w:p w14:paraId="28D3A5D9"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lang w:val="vi-VN"/>
              </w:rPr>
              <w:t>Telmisartan-perindopril</w:t>
            </w:r>
          </w:p>
        </w:tc>
        <w:tc>
          <w:tcPr>
            <w:tcW w:w="2060" w:type="dxa"/>
            <w:noWrap/>
            <w:hideMark/>
          </w:tcPr>
          <w:p w14:paraId="5A8E3033"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lang w:val="vi-VN"/>
              </w:rPr>
              <w:t>Major</w:t>
            </w:r>
          </w:p>
        </w:tc>
        <w:tc>
          <w:tcPr>
            <w:tcW w:w="1300" w:type="dxa"/>
            <w:noWrap/>
            <w:hideMark/>
          </w:tcPr>
          <w:p w14:paraId="1BDC017A"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lang w:val="vi-VN"/>
              </w:rPr>
              <w:t>1</w:t>
            </w:r>
          </w:p>
        </w:tc>
        <w:tc>
          <w:tcPr>
            <w:tcW w:w="1960" w:type="dxa"/>
            <w:noWrap/>
            <w:hideMark/>
          </w:tcPr>
          <w:p w14:paraId="62315CD7"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0.21</w:t>
            </w:r>
          </w:p>
        </w:tc>
      </w:tr>
      <w:tr w:rsidR="00E84C58" w:rsidRPr="00256091" w14:paraId="0326FC83" w14:textId="77777777" w:rsidTr="005757E8">
        <w:trPr>
          <w:trHeight w:val="340"/>
        </w:trPr>
        <w:tc>
          <w:tcPr>
            <w:tcW w:w="3540" w:type="dxa"/>
            <w:noWrap/>
            <w:hideMark/>
          </w:tcPr>
          <w:p w14:paraId="5C303724"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Irbesartan-enalapril</w:t>
            </w:r>
          </w:p>
        </w:tc>
        <w:tc>
          <w:tcPr>
            <w:tcW w:w="2060" w:type="dxa"/>
            <w:noWrap/>
            <w:hideMark/>
          </w:tcPr>
          <w:p w14:paraId="40C04289"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Major</w:t>
            </w:r>
          </w:p>
        </w:tc>
        <w:tc>
          <w:tcPr>
            <w:tcW w:w="1300" w:type="dxa"/>
            <w:noWrap/>
            <w:hideMark/>
          </w:tcPr>
          <w:p w14:paraId="2AC54F2C"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lang w:val="vi-VN"/>
              </w:rPr>
              <w:t>1</w:t>
            </w:r>
          </w:p>
        </w:tc>
        <w:tc>
          <w:tcPr>
            <w:tcW w:w="1960" w:type="dxa"/>
            <w:noWrap/>
            <w:hideMark/>
          </w:tcPr>
          <w:p w14:paraId="6E7B16CF"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0.21</w:t>
            </w:r>
          </w:p>
        </w:tc>
      </w:tr>
      <w:tr w:rsidR="00E84C58" w:rsidRPr="00256091" w14:paraId="1884BA8C" w14:textId="77777777" w:rsidTr="005757E8">
        <w:trPr>
          <w:trHeight w:val="340"/>
        </w:trPr>
        <w:tc>
          <w:tcPr>
            <w:tcW w:w="3540" w:type="dxa"/>
            <w:noWrap/>
            <w:hideMark/>
          </w:tcPr>
          <w:p w14:paraId="09B1E411"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lang w:val="vi-VN"/>
              </w:rPr>
              <w:t>Clopidogrel-diclofenac</w:t>
            </w:r>
          </w:p>
        </w:tc>
        <w:tc>
          <w:tcPr>
            <w:tcW w:w="2060" w:type="dxa"/>
            <w:noWrap/>
            <w:hideMark/>
          </w:tcPr>
          <w:p w14:paraId="088715AE"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lang w:val="vi-VN"/>
              </w:rPr>
              <w:t>Major</w:t>
            </w:r>
          </w:p>
        </w:tc>
        <w:tc>
          <w:tcPr>
            <w:tcW w:w="1300" w:type="dxa"/>
            <w:noWrap/>
            <w:hideMark/>
          </w:tcPr>
          <w:p w14:paraId="415772D8"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lang w:val="vi-VN"/>
              </w:rPr>
              <w:t>1</w:t>
            </w:r>
          </w:p>
        </w:tc>
        <w:tc>
          <w:tcPr>
            <w:tcW w:w="1960" w:type="dxa"/>
            <w:noWrap/>
            <w:hideMark/>
          </w:tcPr>
          <w:p w14:paraId="52DD8D5B"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0.21</w:t>
            </w:r>
          </w:p>
        </w:tc>
      </w:tr>
      <w:tr w:rsidR="00E84C58" w:rsidRPr="00256091" w14:paraId="16EB36F4" w14:textId="77777777" w:rsidTr="005757E8">
        <w:trPr>
          <w:trHeight w:val="340"/>
        </w:trPr>
        <w:tc>
          <w:tcPr>
            <w:tcW w:w="3540" w:type="dxa"/>
            <w:noWrap/>
            <w:hideMark/>
          </w:tcPr>
          <w:p w14:paraId="36F54236"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Clopidogrel-etoricoxib</w:t>
            </w:r>
          </w:p>
        </w:tc>
        <w:tc>
          <w:tcPr>
            <w:tcW w:w="2060" w:type="dxa"/>
            <w:noWrap/>
            <w:hideMark/>
          </w:tcPr>
          <w:p w14:paraId="79F9D1AD" w14:textId="77777777" w:rsidR="00E84C58" w:rsidRPr="00256091" w:rsidRDefault="00E84C58" w:rsidP="00E84C58">
            <w:pPr>
              <w:rPr>
                <w:rFonts w:eastAsia="Times New Roman" w:cs="Times New Roman"/>
                <w:color w:val="000000"/>
                <w:sz w:val="22"/>
              </w:rPr>
            </w:pPr>
            <w:r w:rsidRPr="00256091">
              <w:rPr>
                <w:rFonts w:eastAsia="Times New Roman" w:cs="Times New Roman"/>
                <w:color w:val="000000"/>
                <w:sz w:val="22"/>
              </w:rPr>
              <w:t>Major</w:t>
            </w:r>
          </w:p>
        </w:tc>
        <w:tc>
          <w:tcPr>
            <w:tcW w:w="1300" w:type="dxa"/>
            <w:noWrap/>
            <w:hideMark/>
          </w:tcPr>
          <w:p w14:paraId="7FEDE5A9" w14:textId="77777777" w:rsidR="00E84C58" w:rsidRPr="00256091" w:rsidRDefault="00E84C58" w:rsidP="00964265">
            <w:pPr>
              <w:jc w:val="center"/>
              <w:rPr>
                <w:rFonts w:eastAsia="Times New Roman" w:cs="Times New Roman"/>
                <w:color w:val="000000"/>
                <w:sz w:val="22"/>
              </w:rPr>
            </w:pPr>
            <w:r w:rsidRPr="00256091">
              <w:rPr>
                <w:rFonts w:eastAsia="Times New Roman" w:cs="Times New Roman"/>
                <w:color w:val="000000"/>
                <w:sz w:val="22"/>
                <w:lang w:val="vi-VN"/>
              </w:rPr>
              <w:t>1</w:t>
            </w:r>
          </w:p>
        </w:tc>
        <w:tc>
          <w:tcPr>
            <w:tcW w:w="1960" w:type="dxa"/>
            <w:noWrap/>
            <w:hideMark/>
          </w:tcPr>
          <w:p w14:paraId="6490827F" w14:textId="77777777" w:rsidR="00E84C58" w:rsidRPr="00256091" w:rsidRDefault="00E84C58" w:rsidP="00E84C58">
            <w:pPr>
              <w:jc w:val="right"/>
              <w:rPr>
                <w:rFonts w:eastAsia="Times New Roman" w:cs="Times New Roman"/>
                <w:color w:val="000000"/>
                <w:sz w:val="22"/>
              </w:rPr>
            </w:pPr>
            <w:r w:rsidRPr="00256091">
              <w:rPr>
                <w:rFonts w:eastAsia="Times New Roman" w:cs="Times New Roman"/>
                <w:color w:val="000000"/>
                <w:sz w:val="22"/>
              </w:rPr>
              <w:t>0.21</w:t>
            </w:r>
          </w:p>
        </w:tc>
      </w:tr>
    </w:tbl>
    <w:p w14:paraId="55A41B26" w14:textId="220CF22E" w:rsidR="00E04523" w:rsidRDefault="005757E8" w:rsidP="00441EFC">
      <w:pPr>
        <w:spacing w:after="120"/>
        <w:jc w:val="both"/>
        <w:rPr>
          <w:i/>
          <w:sz w:val="18"/>
          <w:szCs w:val="18"/>
          <w:lang w:val="de-DE"/>
        </w:rPr>
      </w:pPr>
      <w:r>
        <w:rPr>
          <w:i/>
          <w:sz w:val="18"/>
          <w:szCs w:val="18"/>
          <w:lang w:val="de-DE"/>
        </w:rPr>
        <w:t xml:space="preserve">            </w:t>
      </w:r>
      <w:r w:rsidR="00894E69" w:rsidRPr="00010A67">
        <w:rPr>
          <w:i/>
          <w:sz w:val="18"/>
          <w:szCs w:val="18"/>
          <w:lang w:val="de-DE"/>
        </w:rPr>
        <w:t>(*)</w:t>
      </w:r>
      <w:r w:rsidR="00894E69">
        <w:rPr>
          <w:i/>
          <w:sz w:val="18"/>
          <w:szCs w:val="18"/>
          <w:lang w:val="de-DE"/>
        </w:rPr>
        <w:t xml:space="preserve"> others included drug interaction pairs that had prevalence less than 1.00 per</w:t>
      </w:r>
      <w:r w:rsidR="00441EFC">
        <w:rPr>
          <w:i/>
          <w:sz w:val="18"/>
          <w:szCs w:val="18"/>
          <w:lang w:val="de-DE"/>
        </w:rPr>
        <w:t>cent.</w:t>
      </w:r>
    </w:p>
    <w:p w14:paraId="569D4510" w14:textId="77777777" w:rsidR="00441EFC" w:rsidRDefault="00441EFC" w:rsidP="00441EFC">
      <w:pPr>
        <w:spacing w:after="120"/>
        <w:jc w:val="both"/>
        <w:rPr>
          <w:i/>
          <w:sz w:val="18"/>
          <w:szCs w:val="18"/>
          <w:lang w:val="de-DE"/>
        </w:rPr>
      </w:pPr>
    </w:p>
    <w:p w14:paraId="57952E34" w14:textId="77777777" w:rsidR="003A5435" w:rsidRDefault="003A5435" w:rsidP="00441EFC">
      <w:pPr>
        <w:spacing w:after="120"/>
        <w:jc w:val="both"/>
        <w:rPr>
          <w:i/>
          <w:sz w:val="18"/>
          <w:szCs w:val="18"/>
          <w:lang w:val="de-DE"/>
        </w:rPr>
      </w:pPr>
    </w:p>
    <w:p w14:paraId="111A661F" w14:textId="77777777" w:rsidR="003A5435" w:rsidRDefault="003A5435" w:rsidP="00441EFC">
      <w:pPr>
        <w:spacing w:after="120"/>
        <w:jc w:val="both"/>
        <w:rPr>
          <w:i/>
          <w:sz w:val="18"/>
          <w:szCs w:val="18"/>
          <w:lang w:val="de-DE"/>
        </w:rPr>
      </w:pPr>
    </w:p>
    <w:p w14:paraId="400D22E0" w14:textId="77777777" w:rsidR="003A5435" w:rsidRDefault="003A5435" w:rsidP="00441EFC">
      <w:pPr>
        <w:spacing w:after="120"/>
        <w:jc w:val="both"/>
        <w:rPr>
          <w:b/>
          <w:sz w:val="20"/>
          <w:szCs w:val="20"/>
          <w:lang w:val="de-DE"/>
        </w:rPr>
        <w:sectPr w:rsidR="003A5435" w:rsidSect="00030E16">
          <w:type w:val="continuous"/>
          <w:pgSz w:w="11906" w:h="16838" w:code="9"/>
          <w:pgMar w:top="1418" w:right="1105" w:bottom="1418" w:left="1021" w:header="851" w:footer="851" w:gutter="0"/>
          <w:cols w:space="454"/>
          <w:docGrid w:linePitch="360"/>
        </w:sectPr>
      </w:pPr>
    </w:p>
    <w:p w14:paraId="0AD5B815" w14:textId="47F5CDCC" w:rsidR="003A5435" w:rsidRDefault="00256091" w:rsidP="0093190E">
      <w:pPr>
        <w:spacing w:before="240" w:after="120"/>
        <w:jc w:val="both"/>
        <w:rPr>
          <w:b/>
          <w:sz w:val="20"/>
          <w:szCs w:val="20"/>
          <w:lang w:val="de-DE"/>
        </w:rPr>
      </w:pPr>
      <w:r>
        <w:rPr>
          <w:b/>
          <w:sz w:val="20"/>
          <w:szCs w:val="20"/>
          <w:lang w:val="de-DE"/>
        </w:rPr>
        <w:lastRenderedPageBreak/>
        <w:t>Table 8</w:t>
      </w:r>
      <w:r w:rsidR="00E83606">
        <w:rPr>
          <w:b/>
          <w:sz w:val="20"/>
          <w:szCs w:val="20"/>
          <w:lang w:val="de-DE"/>
        </w:rPr>
        <w:t xml:space="preserve">. A </w:t>
      </w:r>
      <w:r w:rsidR="00E83606" w:rsidRPr="00256091">
        <w:rPr>
          <w:sz w:val="20"/>
          <w:szCs w:val="20"/>
          <w:lang w:val="de-DE"/>
        </w:rPr>
        <w:t>comprehens</w:t>
      </w:r>
      <w:r w:rsidR="003A5435" w:rsidRPr="00256091">
        <w:rPr>
          <w:sz w:val="20"/>
          <w:szCs w:val="20"/>
          <w:lang w:val="de-DE"/>
        </w:rPr>
        <w:t>ive list of clinically relevant of cardiovascular DDIs across the three databases</w:t>
      </w:r>
      <w:r w:rsidR="00EC7E6B">
        <w:rPr>
          <w:sz w:val="20"/>
          <w:szCs w:val="20"/>
          <w:lang w:val="de-DE"/>
        </w:rPr>
        <w:t>.</w:t>
      </w:r>
    </w:p>
    <w:tbl>
      <w:tblPr>
        <w:tblStyle w:val="PlainTable2"/>
        <w:tblW w:w="12893" w:type="dxa"/>
        <w:tblLayout w:type="fixed"/>
        <w:tblLook w:val="04A0" w:firstRow="1" w:lastRow="0" w:firstColumn="1" w:lastColumn="0" w:noHBand="0" w:noVBand="1"/>
      </w:tblPr>
      <w:tblGrid>
        <w:gridCol w:w="2691"/>
        <w:gridCol w:w="1134"/>
        <w:gridCol w:w="1134"/>
        <w:gridCol w:w="1134"/>
        <w:gridCol w:w="3398"/>
        <w:gridCol w:w="3402"/>
      </w:tblGrid>
      <w:tr w:rsidR="003A5435" w:rsidRPr="00256091" w14:paraId="3AF30FF3" w14:textId="77777777" w:rsidTr="0025609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1" w:type="dxa"/>
            <w:vMerge w:val="restart"/>
            <w:noWrap/>
            <w:vAlign w:val="center"/>
            <w:hideMark/>
          </w:tcPr>
          <w:p w14:paraId="1536018B" w14:textId="77777777" w:rsidR="003A5435" w:rsidRPr="00256091" w:rsidRDefault="003A5435" w:rsidP="00D35F65">
            <w:pPr>
              <w:jc w:val="center"/>
              <w:rPr>
                <w:rFonts w:eastAsia="Times New Roman" w:cs="Times New Roman"/>
                <w:b w:val="0"/>
                <w:bCs w:val="0"/>
                <w:color w:val="000000"/>
                <w:sz w:val="22"/>
                <w:szCs w:val="22"/>
              </w:rPr>
            </w:pPr>
            <w:r w:rsidRPr="00256091">
              <w:rPr>
                <w:rFonts w:eastAsia="Times New Roman" w:cs="Times New Roman"/>
                <w:color w:val="000000"/>
                <w:sz w:val="22"/>
                <w:szCs w:val="22"/>
                <w:lang w:val="vi-VN"/>
              </w:rPr>
              <w:t>Drug-drug interactions</w:t>
            </w:r>
          </w:p>
        </w:tc>
        <w:tc>
          <w:tcPr>
            <w:tcW w:w="3402" w:type="dxa"/>
            <w:gridSpan w:val="3"/>
            <w:noWrap/>
            <w:hideMark/>
          </w:tcPr>
          <w:p w14:paraId="53E5F215" w14:textId="77777777" w:rsidR="003A5435" w:rsidRPr="00256091" w:rsidRDefault="003A5435" w:rsidP="002B650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2"/>
                <w:szCs w:val="22"/>
              </w:rPr>
            </w:pPr>
            <w:r w:rsidRPr="00256091">
              <w:rPr>
                <w:rFonts w:eastAsia="Times New Roman" w:cs="Times New Roman"/>
                <w:color w:val="000000"/>
                <w:sz w:val="22"/>
                <w:szCs w:val="22"/>
                <w:lang w:val="vi-VN"/>
              </w:rPr>
              <w:t>Databases</w:t>
            </w:r>
          </w:p>
        </w:tc>
        <w:tc>
          <w:tcPr>
            <w:tcW w:w="3398" w:type="dxa"/>
            <w:vAlign w:val="center"/>
          </w:tcPr>
          <w:p w14:paraId="3784FF7F" w14:textId="77777777" w:rsidR="003A5435" w:rsidRPr="00256091" w:rsidRDefault="003A5435" w:rsidP="00D35F6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2"/>
                <w:szCs w:val="22"/>
                <w:lang w:val="vi-VN"/>
              </w:rPr>
            </w:pPr>
            <w:r w:rsidRPr="00256091">
              <w:rPr>
                <w:rFonts w:eastAsia="Times New Roman" w:cs="Times New Roman"/>
                <w:color w:val="000000"/>
                <w:sz w:val="22"/>
                <w:szCs w:val="22"/>
                <w:lang w:val="vi-VN"/>
              </w:rPr>
              <w:t>Warnings</w:t>
            </w:r>
          </w:p>
        </w:tc>
        <w:tc>
          <w:tcPr>
            <w:tcW w:w="3402" w:type="dxa"/>
            <w:vAlign w:val="center"/>
          </w:tcPr>
          <w:p w14:paraId="044A8C3F" w14:textId="77777777" w:rsidR="003A5435" w:rsidRPr="00256091" w:rsidRDefault="003A5435" w:rsidP="00D35F6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2"/>
                <w:szCs w:val="22"/>
                <w:lang w:val="vi-VN"/>
              </w:rPr>
            </w:pPr>
            <w:r w:rsidRPr="00256091">
              <w:rPr>
                <w:rFonts w:eastAsia="Times New Roman" w:cs="Times New Roman"/>
                <w:color w:val="000000"/>
                <w:sz w:val="22"/>
                <w:szCs w:val="22"/>
                <w:lang w:val="vi-VN"/>
              </w:rPr>
              <w:t>Clinical management</w:t>
            </w:r>
          </w:p>
        </w:tc>
      </w:tr>
      <w:tr w:rsidR="00D35F65" w:rsidRPr="00256091" w14:paraId="3D38680A" w14:textId="77777777" w:rsidTr="0025609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1" w:type="dxa"/>
            <w:vMerge/>
            <w:hideMark/>
          </w:tcPr>
          <w:p w14:paraId="19B7A68F" w14:textId="77777777" w:rsidR="003A5435" w:rsidRPr="00256091" w:rsidRDefault="003A5435" w:rsidP="002B6500">
            <w:pPr>
              <w:rPr>
                <w:rFonts w:eastAsia="Times New Roman" w:cs="Times New Roman"/>
                <w:b w:val="0"/>
                <w:bCs w:val="0"/>
                <w:color w:val="000000"/>
                <w:sz w:val="22"/>
                <w:szCs w:val="22"/>
              </w:rPr>
            </w:pPr>
          </w:p>
        </w:tc>
        <w:tc>
          <w:tcPr>
            <w:tcW w:w="1134" w:type="dxa"/>
            <w:noWrap/>
            <w:hideMark/>
          </w:tcPr>
          <w:p w14:paraId="357D8827"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2"/>
                <w:szCs w:val="22"/>
              </w:rPr>
            </w:pPr>
            <w:r w:rsidRPr="00256091">
              <w:rPr>
                <w:rFonts w:eastAsia="Times New Roman" w:cs="Times New Roman"/>
                <w:b/>
                <w:bCs/>
                <w:color w:val="000000"/>
                <w:sz w:val="22"/>
                <w:szCs w:val="22"/>
                <w:lang w:val="vi-VN"/>
              </w:rPr>
              <w:t>DI</w:t>
            </w:r>
          </w:p>
        </w:tc>
        <w:tc>
          <w:tcPr>
            <w:tcW w:w="1134" w:type="dxa"/>
            <w:noWrap/>
            <w:hideMark/>
          </w:tcPr>
          <w:p w14:paraId="2BDD0F98"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2"/>
                <w:szCs w:val="22"/>
              </w:rPr>
            </w:pPr>
            <w:r w:rsidRPr="00256091">
              <w:rPr>
                <w:rFonts w:eastAsia="Times New Roman" w:cs="Times New Roman"/>
                <w:b/>
                <w:bCs/>
                <w:color w:val="000000"/>
                <w:sz w:val="22"/>
                <w:szCs w:val="22"/>
                <w:lang w:val="vi-VN"/>
              </w:rPr>
              <w:t>MDI</w:t>
            </w:r>
          </w:p>
        </w:tc>
        <w:tc>
          <w:tcPr>
            <w:tcW w:w="1134" w:type="dxa"/>
            <w:noWrap/>
            <w:hideMark/>
          </w:tcPr>
          <w:p w14:paraId="5AAC0260"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2"/>
                <w:szCs w:val="22"/>
              </w:rPr>
            </w:pPr>
            <w:r w:rsidRPr="00256091">
              <w:rPr>
                <w:rFonts w:eastAsia="Times New Roman" w:cs="Times New Roman"/>
                <w:b/>
                <w:bCs/>
                <w:color w:val="000000"/>
                <w:sz w:val="22"/>
                <w:szCs w:val="22"/>
                <w:lang w:val="vi-VN"/>
              </w:rPr>
              <w:t>MMDI</w:t>
            </w:r>
          </w:p>
        </w:tc>
        <w:tc>
          <w:tcPr>
            <w:tcW w:w="3398" w:type="dxa"/>
          </w:tcPr>
          <w:p w14:paraId="13E3F3A5"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2"/>
                <w:szCs w:val="22"/>
                <w:lang w:val="vi-VN"/>
              </w:rPr>
            </w:pPr>
          </w:p>
        </w:tc>
        <w:tc>
          <w:tcPr>
            <w:tcW w:w="3402" w:type="dxa"/>
          </w:tcPr>
          <w:p w14:paraId="2B06C175"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2"/>
                <w:szCs w:val="22"/>
                <w:lang w:val="vi-VN"/>
              </w:rPr>
            </w:pPr>
          </w:p>
        </w:tc>
      </w:tr>
      <w:tr w:rsidR="00D35F65" w:rsidRPr="00256091" w14:paraId="6EC7AF62" w14:textId="77777777" w:rsidTr="00256091">
        <w:trPr>
          <w:trHeight w:val="340"/>
        </w:trPr>
        <w:tc>
          <w:tcPr>
            <w:cnfStyle w:val="001000000000" w:firstRow="0" w:lastRow="0" w:firstColumn="1" w:lastColumn="0" w:oddVBand="0" w:evenVBand="0" w:oddHBand="0" w:evenHBand="0" w:firstRowFirstColumn="0" w:firstRowLastColumn="0" w:lastRowFirstColumn="0" w:lastRowLastColumn="0"/>
            <w:tcW w:w="2691" w:type="dxa"/>
            <w:noWrap/>
            <w:hideMark/>
          </w:tcPr>
          <w:p w14:paraId="37FC2CDD"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t>Clopidogrel-omeprazole/esomeprazole</w:t>
            </w:r>
          </w:p>
        </w:tc>
        <w:tc>
          <w:tcPr>
            <w:tcW w:w="1134" w:type="dxa"/>
            <w:noWrap/>
            <w:hideMark/>
          </w:tcPr>
          <w:p w14:paraId="6051DCF8"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Major</w:t>
            </w:r>
          </w:p>
        </w:tc>
        <w:tc>
          <w:tcPr>
            <w:tcW w:w="1134" w:type="dxa"/>
            <w:noWrap/>
            <w:hideMark/>
          </w:tcPr>
          <w:p w14:paraId="3F970942"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Major</w:t>
            </w:r>
          </w:p>
        </w:tc>
        <w:tc>
          <w:tcPr>
            <w:tcW w:w="1134" w:type="dxa"/>
            <w:noWrap/>
            <w:hideMark/>
          </w:tcPr>
          <w:p w14:paraId="204B09C9"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Major</w:t>
            </w:r>
          </w:p>
        </w:tc>
        <w:tc>
          <w:tcPr>
            <w:tcW w:w="3398" w:type="dxa"/>
          </w:tcPr>
          <w:p w14:paraId="79C33191"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256091">
              <w:rPr>
                <w:rFonts w:eastAsia="Times New Roman" w:cs="Times New Roman"/>
                <w:color w:val="000000"/>
                <w:sz w:val="22"/>
                <w:szCs w:val="22"/>
                <w:shd w:val="clear" w:color="auto" w:fill="FFFFFF"/>
              </w:rPr>
              <w:t>Concurrent use of clopidogrel and omeprazole/esomeprazole may result in reduced clopidogrel's active metabolite exposure and reduced antiplatelet activity.</w:t>
            </w:r>
          </w:p>
        </w:tc>
        <w:tc>
          <w:tcPr>
            <w:tcW w:w="3402" w:type="dxa"/>
          </w:tcPr>
          <w:p w14:paraId="505187CD"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shd w:val="clear" w:color="auto" w:fill="FFFFFF"/>
              </w:rPr>
            </w:pPr>
            <w:r w:rsidRPr="00256091">
              <w:rPr>
                <w:rFonts w:eastAsia="Times New Roman" w:cs="Times New Roman"/>
                <w:color w:val="000000"/>
                <w:sz w:val="22"/>
                <w:szCs w:val="22"/>
                <w:shd w:val="clear" w:color="auto" w:fill="FFFFFF"/>
              </w:rPr>
              <w:t>Consider the use of alternative medications:</w:t>
            </w:r>
          </w:p>
          <w:p w14:paraId="62D3B4B0"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i/>
                <w:color w:val="000000"/>
                <w:sz w:val="22"/>
                <w:szCs w:val="22"/>
                <w:shd w:val="clear" w:color="auto" w:fill="FFFFFF"/>
              </w:rPr>
              <w:t>Rabeprazole</w:t>
            </w:r>
            <w:r w:rsidRPr="00256091">
              <w:rPr>
                <w:rFonts w:eastAsia="Times New Roman" w:cs="Times New Roman"/>
                <w:color w:val="000000"/>
                <w:sz w:val="22"/>
                <w:szCs w:val="22"/>
                <w:shd w:val="clear" w:color="auto" w:fill="FFFFFF"/>
              </w:rPr>
              <w:t xml:space="preserve"> (given 4 hours after clopidogrel), </w:t>
            </w:r>
            <w:r w:rsidRPr="00256091">
              <w:rPr>
                <w:rFonts w:eastAsia="Times New Roman" w:cs="Times New Roman"/>
                <w:i/>
                <w:color w:val="000000"/>
                <w:sz w:val="22"/>
                <w:szCs w:val="22"/>
                <w:shd w:val="clear" w:color="auto" w:fill="FFFFFF"/>
              </w:rPr>
              <w:t>lansoprazole</w:t>
            </w:r>
            <w:r w:rsidRPr="00256091">
              <w:rPr>
                <w:rFonts w:eastAsia="Times New Roman" w:cs="Times New Roman"/>
                <w:color w:val="000000"/>
                <w:sz w:val="22"/>
                <w:szCs w:val="22"/>
                <w:shd w:val="clear" w:color="auto" w:fill="FFFFFF"/>
              </w:rPr>
              <w:t xml:space="preserve">, </w:t>
            </w:r>
            <w:r w:rsidRPr="00256091">
              <w:rPr>
                <w:rFonts w:eastAsia="Times New Roman" w:cs="Times New Roman"/>
                <w:i/>
                <w:color w:val="000000"/>
                <w:sz w:val="22"/>
                <w:szCs w:val="22"/>
                <w:shd w:val="clear" w:color="auto" w:fill="FFFFFF"/>
              </w:rPr>
              <w:t>dexlansoprazole</w:t>
            </w:r>
            <w:r w:rsidRPr="00256091">
              <w:rPr>
                <w:rFonts w:eastAsia="Times New Roman" w:cs="Times New Roman"/>
                <w:color w:val="000000"/>
                <w:sz w:val="22"/>
                <w:szCs w:val="22"/>
                <w:shd w:val="clear" w:color="auto" w:fill="FFFFFF"/>
              </w:rPr>
              <w:t xml:space="preserve">, and </w:t>
            </w:r>
            <w:r w:rsidRPr="00256091">
              <w:rPr>
                <w:rFonts w:eastAsia="Times New Roman" w:cs="Times New Roman"/>
                <w:i/>
                <w:color w:val="000000"/>
                <w:sz w:val="22"/>
                <w:szCs w:val="22"/>
                <w:shd w:val="clear" w:color="auto" w:fill="FFFFFF"/>
              </w:rPr>
              <w:t>ranitidine</w:t>
            </w:r>
            <w:r w:rsidRPr="00256091">
              <w:rPr>
                <w:rFonts w:eastAsia="Times New Roman" w:cs="Times New Roman"/>
                <w:color w:val="000000"/>
                <w:sz w:val="22"/>
                <w:szCs w:val="22"/>
                <w:shd w:val="clear" w:color="auto" w:fill="FFFFFF"/>
              </w:rPr>
              <w:t>.</w:t>
            </w:r>
          </w:p>
        </w:tc>
      </w:tr>
      <w:tr w:rsidR="00D35F65" w:rsidRPr="00256091" w14:paraId="02EB5EF0" w14:textId="77777777" w:rsidTr="0025609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1" w:type="dxa"/>
            <w:noWrap/>
            <w:hideMark/>
          </w:tcPr>
          <w:p w14:paraId="7DA02E92"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t>Irbesartan-enalapril</w:t>
            </w:r>
          </w:p>
        </w:tc>
        <w:tc>
          <w:tcPr>
            <w:tcW w:w="1134" w:type="dxa"/>
            <w:vMerge w:val="restart"/>
            <w:noWrap/>
            <w:hideMark/>
          </w:tcPr>
          <w:p w14:paraId="05278D81"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Major</w:t>
            </w:r>
          </w:p>
        </w:tc>
        <w:tc>
          <w:tcPr>
            <w:tcW w:w="1134" w:type="dxa"/>
            <w:vMerge w:val="restart"/>
            <w:noWrap/>
            <w:hideMark/>
          </w:tcPr>
          <w:p w14:paraId="596C4815"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Major</w:t>
            </w:r>
          </w:p>
        </w:tc>
        <w:tc>
          <w:tcPr>
            <w:tcW w:w="1134" w:type="dxa"/>
            <w:vMerge w:val="restart"/>
            <w:noWrap/>
            <w:hideMark/>
          </w:tcPr>
          <w:p w14:paraId="2A162CA4"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Major</w:t>
            </w:r>
          </w:p>
        </w:tc>
        <w:tc>
          <w:tcPr>
            <w:tcW w:w="3398" w:type="dxa"/>
            <w:vMerge w:val="restart"/>
          </w:tcPr>
          <w:p w14:paraId="2FBB4F58" w14:textId="77777777" w:rsidR="003A5435" w:rsidRPr="00256091"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Concurrent use of ACEIs and ARBs may result in increased risk of adverse events (ie, hypotension, syncope, hyperkalemia, changes in renal function, acute renal failure).</w:t>
            </w:r>
          </w:p>
        </w:tc>
        <w:tc>
          <w:tcPr>
            <w:tcW w:w="3402" w:type="dxa"/>
            <w:vMerge w:val="restart"/>
          </w:tcPr>
          <w:p w14:paraId="3FDFAC8C" w14:textId="77777777" w:rsidR="003A5435" w:rsidRPr="00256091"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Concomitant use should generally be avoided; however, should coadministration be necessary, closely monitor blood pressure, renal function, and electrolytes.</w:t>
            </w:r>
          </w:p>
        </w:tc>
      </w:tr>
      <w:tr w:rsidR="00D35F65" w:rsidRPr="00256091" w14:paraId="6229A6C2" w14:textId="77777777" w:rsidTr="00256091">
        <w:trPr>
          <w:trHeight w:val="772"/>
        </w:trPr>
        <w:tc>
          <w:tcPr>
            <w:cnfStyle w:val="001000000000" w:firstRow="0" w:lastRow="0" w:firstColumn="1" w:lastColumn="0" w:oddVBand="0" w:evenVBand="0" w:oddHBand="0" w:evenHBand="0" w:firstRowFirstColumn="0" w:firstRowLastColumn="0" w:lastRowFirstColumn="0" w:lastRowLastColumn="0"/>
            <w:tcW w:w="2691" w:type="dxa"/>
            <w:noWrap/>
            <w:hideMark/>
          </w:tcPr>
          <w:p w14:paraId="1AA5DC21"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t>Telmisartan-perindopril</w:t>
            </w:r>
          </w:p>
        </w:tc>
        <w:tc>
          <w:tcPr>
            <w:tcW w:w="1134" w:type="dxa"/>
            <w:vMerge/>
            <w:noWrap/>
            <w:hideMark/>
          </w:tcPr>
          <w:p w14:paraId="67FAA7A5"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p>
        </w:tc>
        <w:tc>
          <w:tcPr>
            <w:tcW w:w="1134" w:type="dxa"/>
            <w:vMerge/>
            <w:noWrap/>
            <w:hideMark/>
          </w:tcPr>
          <w:p w14:paraId="15FE44A1"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p>
        </w:tc>
        <w:tc>
          <w:tcPr>
            <w:tcW w:w="1134" w:type="dxa"/>
            <w:vMerge/>
            <w:noWrap/>
            <w:hideMark/>
          </w:tcPr>
          <w:p w14:paraId="569B863D"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p>
        </w:tc>
        <w:tc>
          <w:tcPr>
            <w:tcW w:w="3398" w:type="dxa"/>
            <w:vMerge/>
          </w:tcPr>
          <w:p w14:paraId="2779C361"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p>
        </w:tc>
        <w:tc>
          <w:tcPr>
            <w:tcW w:w="3402" w:type="dxa"/>
            <w:vMerge/>
          </w:tcPr>
          <w:p w14:paraId="05492553"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p>
        </w:tc>
      </w:tr>
      <w:tr w:rsidR="00D35F65" w:rsidRPr="00256091" w14:paraId="51295C5F" w14:textId="77777777" w:rsidTr="0025609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1" w:type="dxa"/>
            <w:noWrap/>
            <w:hideMark/>
          </w:tcPr>
          <w:p w14:paraId="72EF56DC"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t>Hydrochlorothiazide-etodolac</w:t>
            </w:r>
          </w:p>
        </w:tc>
        <w:tc>
          <w:tcPr>
            <w:tcW w:w="1134" w:type="dxa"/>
            <w:noWrap/>
            <w:hideMark/>
          </w:tcPr>
          <w:p w14:paraId="62E435D3"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67F1BBE3"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3FC1E44F"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Major</w:t>
            </w:r>
          </w:p>
        </w:tc>
        <w:tc>
          <w:tcPr>
            <w:tcW w:w="3398" w:type="dxa"/>
          </w:tcPr>
          <w:p w14:paraId="0C60734F" w14:textId="77777777" w:rsidR="003A5435" w:rsidRPr="00256091"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Concurrent use of NSAIDs and thiazide diuretics may result in reduced diuretic effectiveness and possible nephrotoxicity.</w:t>
            </w:r>
          </w:p>
        </w:tc>
        <w:tc>
          <w:tcPr>
            <w:tcW w:w="3402" w:type="dxa"/>
          </w:tcPr>
          <w:p w14:paraId="6B34518C" w14:textId="77777777" w:rsidR="003A5435" w:rsidRPr="00256091"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During concomitant use of NSAIDs and diuretics, monitor for signs of worsening renal function and assure diuretic efficacy, including appropriate effects on blood pressure.</w:t>
            </w:r>
          </w:p>
        </w:tc>
      </w:tr>
      <w:tr w:rsidR="00D35F65" w:rsidRPr="00256091" w14:paraId="1EFA06DF" w14:textId="77777777" w:rsidTr="00256091">
        <w:trPr>
          <w:trHeight w:val="340"/>
        </w:trPr>
        <w:tc>
          <w:tcPr>
            <w:cnfStyle w:val="001000000000" w:firstRow="0" w:lastRow="0" w:firstColumn="1" w:lastColumn="0" w:oddVBand="0" w:evenVBand="0" w:oddHBand="0" w:evenHBand="0" w:firstRowFirstColumn="0" w:firstRowLastColumn="0" w:lastRowFirstColumn="0" w:lastRowLastColumn="0"/>
            <w:tcW w:w="2691" w:type="dxa"/>
            <w:noWrap/>
            <w:hideMark/>
          </w:tcPr>
          <w:p w14:paraId="3AC993BC"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t>Clopidogrel-diclofenac</w:t>
            </w:r>
          </w:p>
        </w:tc>
        <w:tc>
          <w:tcPr>
            <w:tcW w:w="1134" w:type="dxa"/>
            <w:noWrap/>
            <w:hideMark/>
          </w:tcPr>
          <w:p w14:paraId="62356A5D"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363E4E2C"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0F49C667"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Major</w:t>
            </w:r>
          </w:p>
        </w:tc>
        <w:tc>
          <w:tcPr>
            <w:tcW w:w="3398" w:type="dxa"/>
          </w:tcPr>
          <w:p w14:paraId="1C4D1DC9"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Concurrent use of antiplatelet agents and NSAIDS may result in an increased risk of bleeding.</w:t>
            </w:r>
          </w:p>
        </w:tc>
        <w:tc>
          <w:tcPr>
            <w:tcW w:w="3402" w:type="dxa"/>
          </w:tcPr>
          <w:p w14:paraId="557C5C9E"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Use caution and monitor the patient for signs of bleeding with concomitant use of antiplatelet agents and NSAIDs.</w:t>
            </w:r>
          </w:p>
        </w:tc>
      </w:tr>
      <w:tr w:rsidR="00D35F65" w:rsidRPr="00256091" w14:paraId="1F39B07E" w14:textId="77777777" w:rsidTr="0025609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1" w:type="dxa"/>
            <w:noWrap/>
            <w:hideMark/>
          </w:tcPr>
          <w:p w14:paraId="78E65AF2"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t>Rosuvastatin-aluminum hydroxide</w:t>
            </w:r>
          </w:p>
        </w:tc>
        <w:tc>
          <w:tcPr>
            <w:tcW w:w="1134" w:type="dxa"/>
            <w:noWrap/>
            <w:hideMark/>
          </w:tcPr>
          <w:p w14:paraId="383BF01F"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6E77B8FD"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0200B90D"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Major</w:t>
            </w:r>
          </w:p>
        </w:tc>
        <w:tc>
          <w:tcPr>
            <w:tcW w:w="3398" w:type="dxa"/>
          </w:tcPr>
          <w:p w14:paraId="70C7D401" w14:textId="77777777" w:rsidR="003A5435" w:rsidRPr="00256091"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Concurrent use of rosuvastatin and antacids may result in reduced rosuvastatin exposure and reduced efficacy of rosuvastatin.</w:t>
            </w:r>
          </w:p>
        </w:tc>
        <w:tc>
          <w:tcPr>
            <w:tcW w:w="3402" w:type="dxa"/>
          </w:tcPr>
          <w:p w14:paraId="3D1D119E" w14:textId="77777777" w:rsidR="003A5435" w:rsidRPr="00256091"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In patients taking antacids, administer rosuvastatin at least 2 hours after the antacid.</w:t>
            </w:r>
          </w:p>
        </w:tc>
      </w:tr>
      <w:tr w:rsidR="00D35F65" w:rsidRPr="00256091" w14:paraId="673F3180" w14:textId="77777777" w:rsidTr="00256091">
        <w:trPr>
          <w:trHeight w:val="340"/>
        </w:trPr>
        <w:tc>
          <w:tcPr>
            <w:cnfStyle w:val="001000000000" w:firstRow="0" w:lastRow="0" w:firstColumn="1" w:lastColumn="0" w:oddVBand="0" w:evenVBand="0" w:oddHBand="0" w:evenHBand="0" w:firstRowFirstColumn="0" w:firstRowLastColumn="0" w:lastRowFirstColumn="0" w:lastRowLastColumn="0"/>
            <w:tcW w:w="2691" w:type="dxa"/>
            <w:noWrap/>
            <w:hideMark/>
          </w:tcPr>
          <w:p w14:paraId="0334A04D"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t>Captopril/enalapril-celecoxib</w:t>
            </w:r>
          </w:p>
        </w:tc>
        <w:tc>
          <w:tcPr>
            <w:tcW w:w="1134" w:type="dxa"/>
            <w:noWrap/>
            <w:hideMark/>
          </w:tcPr>
          <w:p w14:paraId="14F66B3D"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4C7CBEA8"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Major</w:t>
            </w:r>
          </w:p>
        </w:tc>
        <w:tc>
          <w:tcPr>
            <w:tcW w:w="1134" w:type="dxa"/>
            <w:noWrap/>
            <w:hideMark/>
          </w:tcPr>
          <w:p w14:paraId="68AB060D"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3398" w:type="dxa"/>
            <w:vMerge w:val="restart"/>
          </w:tcPr>
          <w:p w14:paraId="04140475"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Concurrent use of ACEIs/ARBs and NSAIDs may result in reduced antihypertensive effect and renal dysfunction and/or increased blood pressure.</w:t>
            </w:r>
          </w:p>
        </w:tc>
        <w:tc>
          <w:tcPr>
            <w:tcW w:w="3402" w:type="dxa"/>
            <w:vMerge w:val="restart"/>
          </w:tcPr>
          <w:p w14:paraId="0EFBA6EB" w14:textId="77777777" w:rsidR="003A5435" w:rsidRPr="00256091" w:rsidRDefault="003A5435" w:rsidP="002B6500">
            <w:pPr>
              <w:pStyle w:val="NormalWeb"/>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256091">
              <w:rPr>
                <w:color w:val="000000"/>
                <w:sz w:val="22"/>
                <w:szCs w:val="22"/>
              </w:rPr>
              <w:t>When concomitant use is required, determine the need to monitor renal function at initiation of treatment, monitor for antihypertensive efficacy, and assess renal function periodically for signs of renal deterioration or failure, especially in patients who are elderly, during treatment initiation, in the volume-</w:t>
            </w:r>
            <w:r w:rsidRPr="00256091">
              <w:rPr>
                <w:color w:val="000000"/>
                <w:sz w:val="22"/>
                <w:szCs w:val="22"/>
              </w:rPr>
              <w:lastRenderedPageBreak/>
              <w:t>depleted, or those with preexisting renal dysfunction. Ensure that patients are adequately hydrated.</w:t>
            </w:r>
          </w:p>
        </w:tc>
      </w:tr>
      <w:tr w:rsidR="00D35F65" w:rsidRPr="00256091" w14:paraId="503DEB68" w14:textId="77777777" w:rsidTr="0025609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1" w:type="dxa"/>
            <w:noWrap/>
            <w:hideMark/>
          </w:tcPr>
          <w:p w14:paraId="7E5AFB2D"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t>Irbesartan-celecoxib/etodolac</w:t>
            </w:r>
          </w:p>
        </w:tc>
        <w:tc>
          <w:tcPr>
            <w:tcW w:w="1134" w:type="dxa"/>
            <w:noWrap/>
            <w:hideMark/>
          </w:tcPr>
          <w:p w14:paraId="0362DAF9"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02772C0C"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30E17491"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3398" w:type="dxa"/>
            <w:vMerge/>
          </w:tcPr>
          <w:p w14:paraId="5441BEF6" w14:textId="77777777" w:rsidR="003A5435" w:rsidRPr="00256091"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p>
        </w:tc>
        <w:tc>
          <w:tcPr>
            <w:tcW w:w="3402" w:type="dxa"/>
            <w:vMerge/>
          </w:tcPr>
          <w:p w14:paraId="7947BD81" w14:textId="77777777" w:rsidR="003A5435" w:rsidRPr="00256091" w:rsidRDefault="003A5435" w:rsidP="002B6500">
            <w:pPr>
              <w:pStyle w:val="NormalWeb"/>
              <w:jc w:val="both"/>
              <w:cnfStyle w:val="000000100000" w:firstRow="0" w:lastRow="0" w:firstColumn="0" w:lastColumn="0" w:oddVBand="0" w:evenVBand="0" w:oddHBand="1" w:evenHBand="0" w:firstRowFirstColumn="0" w:firstRowLastColumn="0" w:lastRowFirstColumn="0" w:lastRowLastColumn="0"/>
              <w:rPr>
                <w:color w:val="000000"/>
                <w:sz w:val="22"/>
                <w:szCs w:val="22"/>
              </w:rPr>
            </w:pPr>
          </w:p>
        </w:tc>
      </w:tr>
      <w:tr w:rsidR="00D35F65" w:rsidRPr="00256091" w14:paraId="531940FE" w14:textId="77777777" w:rsidTr="00256091">
        <w:trPr>
          <w:trHeight w:val="340"/>
        </w:trPr>
        <w:tc>
          <w:tcPr>
            <w:cnfStyle w:val="001000000000" w:firstRow="0" w:lastRow="0" w:firstColumn="1" w:lastColumn="0" w:oddVBand="0" w:evenVBand="0" w:oddHBand="0" w:evenHBand="0" w:firstRowFirstColumn="0" w:firstRowLastColumn="0" w:lastRowFirstColumn="0" w:lastRowLastColumn="0"/>
            <w:tcW w:w="2691" w:type="dxa"/>
            <w:noWrap/>
            <w:hideMark/>
          </w:tcPr>
          <w:p w14:paraId="727CE432"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lastRenderedPageBreak/>
              <w:t>Enalapril/perindopril-metformin</w:t>
            </w:r>
          </w:p>
        </w:tc>
        <w:tc>
          <w:tcPr>
            <w:tcW w:w="1134" w:type="dxa"/>
            <w:noWrap/>
            <w:hideMark/>
          </w:tcPr>
          <w:p w14:paraId="3C4B5630"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31364B60"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0AF676D9"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3398" w:type="dxa"/>
          </w:tcPr>
          <w:p w14:paraId="2C3A158F"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Concurrent use of ACEIs and antidiabetic agents may result in an increased risk of hypoglycemia.</w:t>
            </w:r>
          </w:p>
        </w:tc>
        <w:tc>
          <w:tcPr>
            <w:tcW w:w="3402" w:type="dxa"/>
          </w:tcPr>
          <w:p w14:paraId="4B59E7AA" w14:textId="77777777" w:rsidR="003A5435" w:rsidRPr="00256091" w:rsidRDefault="003A5435" w:rsidP="002B6500">
            <w:pPr>
              <w:pStyle w:val="NormalWeb"/>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256091">
              <w:rPr>
                <w:color w:val="000000"/>
                <w:sz w:val="22"/>
                <w:szCs w:val="22"/>
              </w:rPr>
              <w:t>If concomitant use is required, conduct more frequent glucose monitoring, both during treatment and after withdrawal of an ACE inhibitor.</w:t>
            </w:r>
          </w:p>
        </w:tc>
      </w:tr>
      <w:tr w:rsidR="00D35F65" w:rsidRPr="00256091" w14:paraId="24CEE43D" w14:textId="77777777" w:rsidTr="00256091">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2691" w:type="dxa"/>
            <w:noWrap/>
            <w:hideMark/>
          </w:tcPr>
          <w:p w14:paraId="0ADF411E"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t>Atenolol-diclofenac</w:t>
            </w:r>
          </w:p>
        </w:tc>
        <w:tc>
          <w:tcPr>
            <w:tcW w:w="1134" w:type="dxa"/>
            <w:noWrap/>
            <w:hideMark/>
          </w:tcPr>
          <w:p w14:paraId="31D1E481"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rPr>
              <w:t>Moderate</w:t>
            </w:r>
          </w:p>
        </w:tc>
        <w:tc>
          <w:tcPr>
            <w:tcW w:w="1134" w:type="dxa"/>
            <w:noWrap/>
            <w:hideMark/>
          </w:tcPr>
          <w:p w14:paraId="5C380313"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6BDAE46A"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3398" w:type="dxa"/>
          </w:tcPr>
          <w:p w14:paraId="4779A1A8" w14:textId="77777777" w:rsidR="003A5435" w:rsidRPr="00256091"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Concurrent use of beta blocker and NSAIDs may result in reduced antihypertensive effect.</w:t>
            </w:r>
          </w:p>
        </w:tc>
        <w:tc>
          <w:tcPr>
            <w:tcW w:w="3402" w:type="dxa"/>
          </w:tcPr>
          <w:p w14:paraId="203B7A48" w14:textId="77777777" w:rsidR="003A5435" w:rsidRPr="00256091" w:rsidRDefault="003A5435" w:rsidP="002B6500">
            <w:pPr>
              <w:pStyle w:val="NormalWeb"/>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256091">
              <w:rPr>
                <w:color w:val="000000"/>
                <w:sz w:val="22"/>
                <w:szCs w:val="22"/>
              </w:rPr>
              <w:t>Monitor blood pressure when coadministration is required.</w:t>
            </w:r>
          </w:p>
        </w:tc>
      </w:tr>
      <w:tr w:rsidR="00D35F65" w:rsidRPr="00256091" w14:paraId="1923057F" w14:textId="77777777" w:rsidTr="00256091">
        <w:trPr>
          <w:trHeight w:val="786"/>
        </w:trPr>
        <w:tc>
          <w:tcPr>
            <w:cnfStyle w:val="001000000000" w:firstRow="0" w:lastRow="0" w:firstColumn="1" w:lastColumn="0" w:oddVBand="0" w:evenVBand="0" w:oddHBand="0" w:evenHBand="0" w:firstRowFirstColumn="0" w:firstRowLastColumn="0" w:lastRowFirstColumn="0" w:lastRowLastColumn="0"/>
            <w:tcW w:w="2691" w:type="dxa"/>
            <w:noWrap/>
            <w:hideMark/>
          </w:tcPr>
          <w:p w14:paraId="3016C7F6"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rPr>
              <w:t>Irbesartan-methocarbamol</w:t>
            </w:r>
          </w:p>
        </w:tc>
        <w:tc>
          <w:tcPr>
            <w:tcW w:w="1134" w:type="dxa"/>
            <w:noWrap/>
            <w:hideMark/>
          </w:tcPr>
          <w:p w14:paraId="7501ED00"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rPr>
              <w:t>Major</w:t>
            </w:r>
          </w:p>
        </w:tc>
        <w:tc>
          <w:tcPr>
            <w:tcW w:w="1134" w:type="dxa"/>
            <w:noWrap/>
            <w:hideMark/>
          </w:tcPr>
          <w:p w14:paraId="65EE0186"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 Moderate</w:t>
            </w:r>
          </w:p>
        </w:tc>
        <w:tc>
          <w:tcPr>
            <w:tcW w:w="1134" w:type="dxa"/>
            <w:noWrap/>
            <w:hideMark/>
          </w:tcPr>
          <w:p w14:paraId="76BD5A80"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None </w:t>
            </w:r>
          </w:p>
        </w:tc>
        <w:tc>
          <w:tcPr>
            <w:tcW w:w="3398" w:type="dxa"/>
          </w:tcPr>
          <w:p w14:paraId="5945E51F"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color w:val="000000"/>
                <w:sz w:val="22"/>
                <w:szCs w:val="22"/>
                <w:lang w:val="vi-VN"/>
              </w:rPr>
              <w:t>Concurrent use of irbesartan and methocarbamol may result in increased hypotension.</w:t>
            </w:r>
          </w:p>
        </w:tc>
        <w:tc>
          <w:tcPr>
            <w:tcW w:w="3402" w:type="dxa"/>
          </w:tcPr>
          <w:p w14:paraId="6973C394"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color w:val="000000"/>
                <w:sz w:val="22"/>
                <w:szCs w:val="22"/>
                <w:lang w:val="vi-VN"/>
              </w:rPr>
              <w:t>Close monitoring for development of hypotension is advised during coadministration of these agents</w:t>
            </w:r>
          </w:p>
        </w:tc>
      </w:tr>
      <w:tr w:rsidR="00D35F65" w:rsidRPr="00256091" w14:paraId="3FF1948D" w14:textId="77777777" w:rsidTr="0025609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1" w:type="dxa"/>
            <w:noWrap/>
            <w:hideMark/>
          </w:tcPr>
          <w:p w14:paraId="6F968EDC" w14:textId="17350843"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t>Clopidogrel</w:t>
            </w:r>
            <w:r w:rsidRPr="00256091">
              <w:rPr>
                <w:rFonts w:eastAsia="Times New Roman" w:cs="Times New Roman"/>
                <w:color w:val="000000"/>
                <w:sz w:val="22"/>
                <w:szCs w:val="22"/>
              </w:rPr>
              <w:t>-p</w:t>
            </w:r>
            <w:r w:rsidRPr="00256091">
              <w:rPr>
                <w:rFonts w:eastAsia="Times New Roman" w:cs="Times New Roman"/>
                <w:color w:val="000000"/>
                <w:sz w:val="22"/>
                <w:szCs w:val="22"/>
                <w:lang w:val="vi-VN"/>
              </w:rPr>
              <w:t>antoprazol</w:t>
            </w:r>
            <w:r w:rsidR="00E83606" w:rsidRPr="00256091">
              <w:rPr>
                <w:rFonts w:eastAsia="Times New Roman" w:cs="Times New Roman"/>
                <w:color w:val="000000"/>
                <w:sz w:val="22"/>
                <w:szCs w:val="22"/>
                <w:lang w:val="vi-VN"/>
              </w:rPr>
              <w:t>e</w:t>
            </w:r>
          </w:p>
        </w:tc>
        <w:tc>
          <w:tcPr>
            <w:tcW w:w="1134" w:type="dxa"/>
            <w:noWrap/>
            <w:hideMark/>
          </w:tcPr>
          <w:p w14:paraId="7DF370D3"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7F3C45DC"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465108D3"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None </w:t>
            </w:r>
          </w:p>
        </w:tc>
        <w:tc>
          <w:tcPr>
            <w:tcW w:w="3398" w:type="dxa"/>
          </w:tcPr>
          <w:p w14:paraId="2DCC62E4" w14:textId="77777777" w:rsidR="003A5435" w:rsidRPr="00256091"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color w:val="000000"/>
                <w:sz w:val="22"/>
                <w:szCs w:val="22"/>
                <w:shd w:val="clear" w:color="auto" w:fill="FFFFFF"/>
              </w:rPr>
              <w:t>Concurrent use of clopidogrel and pantoprazole may result in reduced clopidogrel's active metabolite exposure and reduced antiplatelet activity.</w:t>
            </w:r>
          </w:p>
        </w:tc>
        <w:tc>
          <w:tcPr>
            <w:tcW w:w="3402" w:type="dxa"/>
          </w:tcPr>
          <w:p w14:paraId="14FA8F4F" w14:textId="77777777" w:rsidR="003A5435" w:rsidRPr="00256091"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shd w:val="clear" w:color="auto" w:fill="FFFFFF"/>
              </w:rPr>
            </w:pPr>
            <w:r w:rsidRPr="00256091">
              <w:rPr>
                <w:rFonts w:eastAsia="Times New Roman" w:cs="Times New Roman"/>
                <w:color w:val="000000"/>
                <w:sz w:val="22"/>
                <w:szCs w:val="22"/>
                <w:shd w:val="clear" w:color="auto" w:fill="FFFFFF"/>
              </w:rPr>
              <w:t>Consider the use of alternative medications:</w:t>
            </w:r>
          </w:p>
          <w:p w14:paraId="6B58924D" w14:textId="77777777" w:rsidR="003A5435" w:rsidRPr="00256091"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i/>
                <w:color w:val="000000"/>
                <w:sz w:val="22"/>
                <w:szCs w:val="22"/>
                <w:shd w:val="clear" w:color="auto" w:fill="FFFFFF"/>
              </w:rPr>
              <w:t>Rabeprazole</w:t>
            </w:r>
            <w:r w:rsidRPr="00256091">
              <w:rPr>
                <w:rFonts w:eastAsia="Times New Roman" w:cs="Times New Roman"/>
                <w:color w:val="000000"/>
                <w:sz w:val="22"/>
                <w:szCs w:val="22"/>
                <w:shd w:val="clear" w:color="auto" w:fill="FFFFFF"/>
              </w:rPr>
              <w:t xml:space="preserve"> (given 4 hours after clopidogrel), </w:t>
            </w:r>
            <w:r w:rsidRPr="00256091">
              <w:rPr>
                <w:rFonts w:eastAsia="Times New Roman" w:cs="Times New Roman"/>
                <w:i/>
                <w:color w:val="000000"/>
                <w:sz w:val="22"/>
                <w:szCs w:val="22"/>
                <w:shd w:val="clear" w:color="auto" w:fill="FFFFFF"/>
              </w:rPr>
              <w:t>lansoprazole</w:t>
            </w:r>
            <w:r w:rsidRPr="00256091">
              <w:rPr>
                <w:rFonts w:eastAsia="Times New Roman" w:cs="Times New Roman"/>
                <w:color w:val="000000"/>
                <w:sz w:val="22"/>
                <w:szCs w:val="22"/>
                <w:shd w:val="clear" w:color="auto" w:fill="FFFFFF"/>
              </w:rPr>
              <w:t xml:space="preserve">, </w:t>
            </w:r>
            <w:r w:rsidRPr="00256091">
              <w:rPr>
                <w:rFonts w:eastAsia="Times New Roman" w:cs="Times New Roman"/>
                <w:i/>
                <w:color w:val="000000"/>
                <w:sz w:val="22"/>
                <w:szCs w:val="22"/>
                <w:shd w:val="clear" w:color="auto" w:fill="FFFFFF"/>
              </w:rPr>
              <w:t>dexlansoprazole</w:t>
            </w:r>
            <w:r w:rsidRPr="00256091">
              <w:rPr>
                <w:rFonts w:eastAsia="Times New Roman" w:cs="Times New Roman"/>
                <w:color w:val="000000"/>
                <w:sz w:val="22"/>
                <w:szCs w:val="22"/>
                <w:shd w:val="clear" w:color="auto" w:fill="FFFFFF"/>
              </w:rPr>
              <w:t xml:space="preserve">, and </w:t>
            </w:r>
            <w:r w:rsidRPr="00256091">
              <w:rPr>
                <w:rFonts w:eastAsia="Times New Roman" w:cs="Times New Roman"/>
                <w:i/>
                <w:color w:val="000000"/>
                <w:sz w:val="22"/>
                <w:szCs w:val="22"/>
                <w:shd w:val="clear" w:color="auto" w:fill="FFFFFF"/>
              </w:rPr>
              <w:t>ranitidine</w:t>
            </w:r>
            <w:r w:rsidRPr="00256091">
              <w:rPr>
                <w:rFonts w:eastAsia="Times New Roman" w:cs="Times New Roman"/>
                <w:color w:val="000000"/>
                <w:sz w:val="22"/>
                <w:szCs w:val="22"/>
                <w:shd w:val="clear" w:color="auto" w:fill="FFFFFF"/>
              </w:rPr>
              <w:t>.</w:t>
            </w:r>
          </w:p>
        </w:tc>
      </w:tr>
      <w:tr w:rsidR="00D35F65" w:rsidRPr="00256091" w14:paraId="6B95E8EA" w14:textId="77777777" w:rsidTr="00256091">
        <w:trPr>
          <w:trHeight w:val="340"/>
        </w:trPr>
        <w:tc>
          <w:tcPr>
            <w:cnfStyle w:val="001000000000" w:firstRow="0" w:lastRow="0" w:firstColumn="1" w:lastColumn="0" w:oddVBand="0" w:evenVBand="0" w:oddHBand="0" w:evenHBand="0" w:firstRowFirstColumn="0" w:firstRowLastColumn="0" w:lastRowFirstColumn="0" w:lastRowLastColumn="0"/>
            <w:tcW w:w="2691" w:type="dxa"/>
            <w:noWrap/>
            <w:hideMark/>
          </w:tcPr>
          <w:p w14:paraId="31DCB360"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t>Bisoprolol-amlodipine</w:t>
            </w:r>
          </w:p>
        </w:tc>
        <w:tc>
          <w:tcPr>
            <w:tcW w:w="1134" w:type="dxa"/>
            <w:noWrap/>
            <w:hideMark/>
          </w:tcPr>
          <w:p w14:paraId="7ADA2EA8"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1F3CD97F"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7C70975A"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rPr>
              <w:t>None</w:t>
            </w:r>
          </w:p>
        </w:tc>
        <w:tc>
          <w:tcPr>
            <w:tcW w:w="3398" w:type="dxa"/>
          </w:tcPr>
          <w:p w14:paraId="066B5D12"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rPr>
              <w:t>Additive reductions in heart rate, cardiac conduction, and cardiac contractility may occur when CCBs are used concomitantly with beta blockers, particularly in patients with ventricular or conduction abnormalities.</w:t>
            </w:r>
          </w:p>
        </w:tc>
        <w:tc>
          <w:tcPr>
            <w:tcW w:w="3402" w:type="dxa"/>
          </w:tcPr>
          <w:p w14:paraId="5FDE3B4D"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rPr>
              <w:t>Close clinical monitoring of patient hemodynamic response and tolerance</w:t>
            </w:r>
          </w:p>
        </w:tc>
      </w:tr>
      <w:tr w:rsidR="00D35F65" w:rsidRPr="00256091" w14:paraId="6F600735" w14:textId="77777777" w:rsidTr="00256091">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2691" w:type="dxa"/>
            <w:noWrap/>
          </w:tcPr>
          <w:p w14:paraId="71154115" w14:textId="77777777" w:rsidR="003A5435" w:rsidRPr="00256091" w:rsidRDefault="003A5435" w:rsidP="002B6500">
            <w:pPr>
              <w:rPr>
                <w:rFonts w:eastAsia="Times New Roman" w:cs="Times New Roman"/>
                <w:color w:val="000000"/>
                <w:sz w:val="22"/>
                <w:szCs w:val="22"/>
                <w:lang w:val="vi-VN"/>
              </w:rPr>
            </w:pPr>
            <w:r w:rsidRPr="00256091">
              <w:rPr>
                <w:rFonts w:eastAsia="Times New Roman" w:cs="Times New Roman"/>
                <w:color w:val="000000"/>
                <w:sz w:val="22"/>
                <w:szCs w:val="22"/>
                <w:lang w:val="vi-VN"/>
              </w:rPr>
              <w:t>Bisoprolol-furosemide</w:t>
            </w:r>
          </w:p>
        </w:tc>
        <w:tc>
          <w:tcPr>
            <w:tcW w:w="1134" w:type="dxa"/>
            <w:noWrap/>
          </w:tcPr>
          <w:p w14:paraId="576EA801"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color w:val="000000"/>
                <w:sz w:val="22"/>
                <w:szCs w:val="22"/>
                <w:lang w:val="vi-VN"/>
              </w:rPr>
              <w:t>Moderate</w:t>
            </w:r>
          </w:p>
        </w:tc>
        <w:tc>
          <w:tcPr>
            <w:tcW w:w="1134" w:type="dxa"/>
            <w:noWrap/>
          </w:tcPr>
          <w:p w14:paraId="4B30256D"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color w:val="000000"/>
                <w:sz w:val="22"/>
                <w:szCs w:val="22"/>
                <w:lang w:val="vi-VN"/>
              </w:rPr>
              <w:t>Moderate</w:t>
            </w:r>
          </w:p>
        </w:tc>
        <w:tc>
          <w:tcPr>
            <w:tcW w:w="1134" w:type="dxa"/>
            <w:noWrap/>
          </w:tcPr>
          <w:p w14:paraId="11189221"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color w:val="000000"/>
                <w:sz w:val="22"/>
                <w:szCs w:val="22"/>
                <w:lang w:val="vi-VN"/>
              </w:rPr>
              <w:t>None</w:t>
            </w:r>
          </w:p>
        </w:tc>
        <w:tc>
          <w:tcPr>
            <w:tcW w:w="3398" w:type="dxa"/>
          </w:tcPr>
          <w:p w14:paraId="76AAB30F" w14:textId="77777777" w:rsidR="003A5435" w:rsidRPr="00256091"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color w:val="000000"/>
                <w:sz w:val="22"/>
                <w:szCs w:val="22"/>
                <w:lang w:val="vi-VN"/>
              </w:rPr>
              <w:t>Diuretics and beta-blockers may increase the risk of hyperglycemia and hypertriglyceridemia in some patients.</w:t>
            </w:r>
          </w:p>
        </w:tc>
        <w:tc>
          <w:tcPr>
            <w:tcW w:w="3402" w:type="dxa"/>
          </w:tcPr>
          <w:p w14:paraId="0DA433B3" w14:textId="77777777" w:rsidR="003A5435" w:rsidRPr="00256091"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color w:val="000000"/>
                <w:sz w:val="22"/>
                <w:szCs w:val="22"/>
                <w:lang w:val="vi-VN"/>
              </w:rPr>
              <w:t>Monitoring of serum potassium levels, blood pressure, and blood glucose is recommended during coadministration.</w:t>
            </w:r>
          </w:p>
        </w:tc>
      </w:tr>
      <w:tr w:rsidR="00D35F65" w:rsidRPr="00256091" w14:paraId="7A23E042" w14:textId="77777777" w:rsidTr="00256091">
        <w:trPr>
          <w:trHeight w:val="605"/>
        </w:trPr>
        <w:tc>
          <w:tcPr>
            <w:cnfStyle w:val="001000000000" w:firstRow="0" w:lastRow="0" w:firstColumn="1" w:lastColumn="0" w:oddVBand="0" w:evenVBand="0" w:oddHBand="0" w:evenHBand="0" w:firstRowFirstColumn="0" w:firstRowLastColumn="0" w:lastRowFirstColumn="0" w:lastRowLastColumn="0"/>
            <w:tcW w:w="2691" w:type="dxa"/>
            <w:noWrap/>
            <w:hideMark/>
          </w:tcPr>
          <w:p w14:paraId="52016A66"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t>Hydrochlorothiazide-furosemide</w:t>
            </w:r>
          </w:p>
        </w:tc>
        <w:tc>
          <w:tcPr>
            <w:tcW w:w="1134" w:type="dxa"/>
            <w:noWrap/>
            <w:hideMark/>
          </w:tcPr>
          <w:p w14:paraId="1B5BA57F"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25E8B5D5"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6B9464CC"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None </w:t>
            </w:r>
          </w:p>
        </w:tc>
        <w:tc>
          <w:tcPr>
            <w:tcW w:w="3398" w:type="dxa"/>
          </w:tcPr>
          <w:p w14:paraId="36EBDDB2"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color w:val="000000"/>
                <w:sz w:val="22"/>
                <w:szCs w:val="22"/>
                <w:lang w:val="vi-VN"/>
              </w:rPr>
              <w:t>The combination of a thiazide and loop diuretic may produce additive or synergistic effects on diuresis and excretion of electrolytes including sodium, potassium, magnesium, and chloride.</w:t>
            </w:r>
          </w:p>
        </w:tc>
        <w:tc>
          <w:tcPr>
            <w:tcW w:w="3402" w:type="dxa"/>
          </w:tcPr>
          <w:p w14:paraId="11A4CB9C"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eastAsia="Times New Roman" w:cs="Times New Roman"/>
                <w:color w:val="000000"/>
                <w:sz w:val="22"/>
                <w:szCs w:val="22"/>
                <w:lang w:val="vi-VN"/>
              </w:rPr>
              <w:t>Dosages should be titrated slowly and carefully, and electrolytes, fluid status, blood pressure, and renal function should be monitored regularly.</w:t>
            </w:r>
          </w:p>
        </w:tc>
      </w:tr>
      <w:tr w:rsidR="00D35F65" w:rsidRPr="00256091" w14:paraId="2E26B1F9" w14:textId="77777777" w:rsidTr="0025609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91" w:type="dxa"/>
            <w:noWrap/>
            <w:hideMark/>
          </w:tcPr>
          <w:p w14:paraId="4D5F33D8"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lastRenderedPageBreak/>
              <w:t>Hydrochlorothiazide-perindopril</w:t>
            </w:r>
          </w:p>
        </w:tc>
        <w:tc>
          <w:tcPr>
            <w:tcW w:w="1134" w:type="dxa"/>
            <w:noWrap/>
            <w:hideMark/>
          </w:tcPr>
          <w:p w14:paraId="5854C6A6"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4755BEB2"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rPr>
              <w:t>None</w:t>
            </w:r>
          </w:p>
        </w:tc>
        <w:tc>
          <w:tcPr>
            <w:tcW w:w="1134" w:type="dxa"/>
            <w:noWrap/>
            <w:hideMark/>
          </w:tcPr>
          <w:p w14:paraId="3F819E30"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3398" w:type="dxa"/>
          </w:tcPr>
          <w:p w14:paraId="6A9E6403" w14:textId="77777777" w:rsidR="003A5435" w:rsidRPr="00256091"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Concurrent use of ACEÍ and thiazide diuretics may result in reduction of blood pressure.</w:t>
            </w:r>
          </w:p>
        </w:tc>
        <w:tc>
          <w:tcPr>
            <w:tcW w:w="3402" w:type="dxa"/>
          </w:tcPr>
          <w:p w14:paraId="596FB95B" w14:textId="77777777" w:rsidR="003A5435" w:rsidRPr="00256091" w:rsidRDefault="003A5435" w:rsidP="002B6500">
            <w:pPr>
              <w:pStyle w:val="NormalWeb"/>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256091">
              <w:rPr>
                <w:color w:val="000000"/>
                <w:sz w:val="22"/>
                <w:szCs w:val="22"/>
              </w:rPr>
              <w:t>Before starting ACEI therapy, decreasing or discontinuing the diuretic or increasing salt intake may minimize the risk of hypotensive effects. If these measures are not possible, reduce the ACE inhibitor starting dose.</w:t>
            </w:r>
          </w:p>
        </w:tc>
      </w:tr>
      <w:tr w:rsidR="00D35F65" w:rsidRPr="00256091" w14:paraId="28126C33" w14:textId="77777777" w:rsidTr="00256091">
        <w:trPr>
          <w:trHeight w:val="320"/>
        </w:trPr>
        <w:tc>
          <w:tcPr>
            <w:cnfStyle w:val="001000000000" w:firstRow="0" w:lastRow="0" w:firstColumn="1" w:lastColumn="0" w:oddVBand="0" w:evenVBand="0" w:oddHBand="0" w:evenHBand="0" w:firstRowFirstColumn="0" w:firstRowLastColumn="0" w:lastRowFirstColumn="0" w:lastRowLastColumn="0"/>
            <w:tcW w:w="2691" w:type="dxa"/>
            <w:noWrap/>
            <w:hideMark/>
          </w:tcPr>
          <w:p w14:paraId="1D86761A"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t>Telmisartan-etodolac</w:t>
            </w:r>
          </w:p>
        </w:tc>
        <w:tc>
          <w:tcPr>
            <w:tcW w:w="1134" w:type="dxa"/>
            <w:noWrap/>
            <w:hideMark/>
          </w:tcPr>
          <w:p w14:paraId="4A6D725A"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63C8B54B"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rPr>
              <w:t>None</w:t>
            </w:r>
          </w:p>
        </w:tc>
        <w:tc>
          <w:tcPr>
            <w:tcW w:w="1134" w:type="dxa"/>
            <w:noWrap/>
            <w:hideMark/>
          </w:tcPr>
          <w:p w14:paraId="25DFECD8"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3398" w:type="dxa"/>
          </w:tcPr>
          <w:p w14:paraId="1A8DD1D8"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Concurrent use of ACEIs/ARBs and NSAIDs may result in reduced antihypertensive effect and renal dysfunction and/or increased blood pressure.</w:t>
            </w:r>
          </w:p>
        </w:tc>
        <w:tc>
          <w:tcPr>
            <w:tcW w:w="3402" w:type="dxa"/>
          </w:tcPr>
          <w:p w14:paraId="4DB807DC" w14:textId="77777777" w:rsidR="003A5435" w:rsidRPr="00256091" w:rsidRDefault="003A5435" w:rsidP="002B6500">
            <w:pPr>
              <w:pStyle w:val="NormalWeb"/>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256091">
              <w:rPr>
                <w:color w:val="000000"/>
                <w:sz w:val="22"/>
                <w:szCs w:val="22"/>
              </w:rPr>
              <w:t>When concomitant use is required, determine the need to monitor renal function at initiation of treatment, monitor for antihypertensive efficacy, and assess renal function periodically for signs of renal deterioration or failure, especially in patients who are elderly, during treatment initiation, in the volume-depleted, or those with preexisting renal dysfunction. Ensure that patients are adequately hydrated.</w:t>
            </w:r>
          </w:p>
        </w:tc>
      </w:tr>
      <w:tr w:rsidR="00D35F65" w:rsidRPr="00256091" w14:paraId="512F1C8F" w14:textId="77777777" w:rsidTr="0025609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1" w:type="dxa"/>
            <w:noWrap/>
            <w:hideMark/>
          </w:tcPr>
          <w:p w14:paraId="65CD9BDE"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t>Clopidogrel-atorvastatin</w:t>
            </w:r>
          </w:p>
        </w:tc>
        <w:tc>
          <w:tcPr>
            <w:tcW w:w="1134" w:type="dxa"/>
            <w:noWrap/>
            <w:hideMark/>
          </w:tcPr>
          <w:p w14:paraId="1BE18E75"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3722ED2E"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rPr>
              <w:t>None</w:t>
            </w:r>
          </w:p>
        </w:tc>
        <w:tc>
          <w:tcPr>
            <w:tcW w:w="1134" w:type="dxa"/>
            <w:noWrap/>
            <w:hideMark/>
          </w:tcPr>
          <w:p w14:paraId="51F1CCE9" w14:textId="77777777" w:rsidR="003A5435" w:rsidRPr="00256091" w:rsidRDefault="003A5435" w:rsidP="002B650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3398" w:type="dxa"/>
          </w:tcPr>
          <w:p w14:paraId="444EE042" w14:textId="688AB3E6" w:rsidR="003A5435" w:rsidRPr="00256091" w:rsidRDefault="003A5435" w:rsidP="002B6500">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Concurrent use of clopidogrel and CYP3A4 metabolized statins may result in decreased formation of clopidogrel active metabolite</w:t>
            </w:r>
            <w:r w:rsidR="00E83606" w:rsidRPr="00256091">
              <w:rPr>
                <w:rFonts w:cs="Times New Roman"/>
                <w:color w:val="000000"/>
                <w:sz w:val="22"/>
                <w:szCs w:val="22"/>
                <w:shd w:val="clear" w:color="auto" w:fill="FFFFFF"/>
              </w:rPr>
              <w:t>s</w:t>
            </w:r>
            <w:r w:rsidRPr="00256091">
              <w:rPr>
                <w:rFonts w:cs="Times New Roman"/>
                <w:color w:val="000000"/>
                <w:sz w:val="22"/>
                <w:szCs w:val="22"/>
                <w:shd w:val="clear" w:color="auto" w:fill="FFFFFF"/>
              </w:rPr>
              <w:t xml:space="preserve"> resulting in high on-treatment platelet reactivity.</w:t>
            </w:r>
          </w:p>
        </w:tc>
        <w:tc>
          <w:tcPr>
            <w:tcW w:w="3402" w:type="dxa"/>
          </w:tcPr>
          <w:p w14:paraId="20FE271C" w14:textId="77777777" w:rsidR="003A5435" w:rsidRPr="00256091" w:rsidRDefault="003A5435" w:rsidP="002B6500">
            <w:pPr>
              <w:pStyle w:val="NormalWeb"/>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256091">
              <w:rPr>
                <w:color w:val="000000"/>
                <w:sz w:val="22"/>
                <w:szCs w:val="22"/>
              </w:rPr>
              <w:t>If a patient develops high on-treatment platelet reactivity during treatment with clopidogrel and a statin metabolized by CYP3A4 (ie, atorvastatin, lovastatin, or simvastatin), discontinue the statin and substitute a statin that is not metabolized by CYP3A4 (ie, pravastatin or rosuvastatin).</w:t>
            </w:r>
          </w:p>
        </w:tc>
      </w:tr>
      <w:tr w:rsidR="00D35F65" w:rsidRPr="00256091" w14:paraId="13FE3BBE" w14:textId="77777777" w:rsidTr="00256091">
        <w:trPr>
          <w:trHeight w:val="340"/>
        </w:trPr>
        <w:tc>
          <w:tcPr>
            <w:cnfStyle w:val="001000000000" w:firstRow="0" w:lastRow="0" w:firstColumn="1" w:lastColumn="0" w:oddVBand="0" w:evenVBand="0" w:oddHBand="0" w:evenHBand="0" w:firstRowFirstColumn="0" w:firstRowLastColumn="0" w:lastRowFirstColumn="0" w:lastRowLastColumn="0"/>
            <w:tcW w:w="2691" w:type="dxa"/>
            <w:noWrap/>
            <w:hideMark/>
          </w:tcPr>
          <w:p w14:paraId="17678D6B" w14:textId="77777777" w:rsidR="003A5435" w:rsidRPr="00256091" w:rsidRDefault="003A5435" w:rsidP="002B6500">
            <w:pPr>
              <w:rPr>
                <w:rFonts w:eastAsia="Times New Roman" w:cs="Times New Roman"/>
                <w:color w:val="000000"/>
                <w:sz w:val="22"/>
                <w:szCs w:val="22"/>
              </w:rPr>
            </w:pPr>
            <w:r w:rsidRPr="00256091">
              <w:rPr>
                <w:rFonts w:eastAsia="Times New Roman" w:cs="Times New Roman"/>
                <w:color w:val="000000"/>
                <w:sz w:val="22"/>
                <w:szCs w:val="22"/>
                <w:lang w:val="vi-VN"/>
              </w:rPr>
              <w:t>Amlodipin-metformin</w:t>
            </w:r>
          </w:p>
        </w:tc>
        <w:tc>
          <w:tcPr>
            <w:tcW w:w="1134" w:type="dxa"/>
            <w:noWrap/>
            <w:hideMark/>
          </w:tcPr>
          <w:p w14:paraId="7AA8F1D2"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 None</w:t>
            </w:r>
          </w:p>
        </w:tc>
        <w:tc>
          <w:tcPr>
            <w:tcW w:w="1134" w:type="dxa"/>
            <w:noWrap/>
            <w:hideMark/>
          </w:tcPr>
          <w:p w14:paraId="3E520F15"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1134" w:type="dxa"/>
            <w:noWrap/>
            <w:hideMark/>
          </w:tcPr>
          <w:p w14:paraId="6D1973F7" w14:textId="77777777" w:rsidR="003A5435" w:rsidRPr="00256091" w:rsidRDefault="003A5435" w:rsidP="002B650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sidRPr="00256091">
              <w:rPr>
                <w:rFonts w:eastAsia="Times New Roman" w:cs="Times New Roman"/>
                <w:color w:val="000000"/>
                <w:sz w:val="22"/>
                <w:szCs w:val="22"/>
                <w:lang w:val="vi-VN"/>
              </w:rPr>
              <w:t>Moderate</w:t>
            </w:r>
          </w:p>
        </w:tc>
        <w:tc>
          <w:tcPr>
            <w:tcW w:w="3398" w:type="dxa"/>
          </w:tcPr>
          <w:p w14:paraId="0482B4AF" w14:textId="77777777" w:rsidR="003A5435" w:rsidRPr="00256091" w:rsidRDefault="003A5435" w:rsidP="002B6500">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lang w:val="vi-VN"/>
              </w:rPr>
            </w:pPr>
            <w:r w:rsidRPr="00256091">
              <w:rPr>
                <w:rFonts w:cs="Times New Roman"/>
                <w:color w:val="000000"/>
                <w:sz w:val="22"/>
                <w:szCs w:val="22"/>
                <w:shd w:val="clear" w:color="auto" w:fill="FFFFFF"/>
              </w:rPr>
              <w:t>Concurrent use of metformin and CCBs may result in an increased risk of hyperglycemia and potential loss of glycemic control.</w:t>
            </w:r>
          </w:p>
        </w:tc>
        <w:tc>
          <w:tcPr>
            <w:tcW w:w="3402" w:type="dxa"/>
          </w:tcPr>
          <w:p w14:paraId="255A4B0F" w14:textId="77777777" w:rsidR="003A5435" w:rsidRPr="00256091" w:rsidRDefault="003A5435" w:rsidP="002B6500">
            <w:pPr>
              <w:pStyle w:val="NormalWeb"/>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256091">
              <w:rPr>
                <w:color w:val="000000"/>
                <w:sz w:val="22"/>
                <w:szCs w:val="22"/>
              </w:rPr>
              <w:t>Observe the patients for loss of blood glucose control when such drugs are administered to a patient receiving metformin. When such drugs are withdrawn from a patient receiving metformin, the patient should be observed closely for hypoglycemia.</w:t>
            </w:r>
          </w:p>
        </w:tc>
      </w:tr>
    </w:tbl>
    <w:p w14:paraId="3D77C2D8" w14:textId="77777777" w:rsidR="002D76DC" w:rsidRDefault="002D76DC">
      <w:pPr>
        <w:spacing w:after="200" w:line="276" w:lineRule="auto"/>
        <w:rPr>
          <w:i/>
          <w:sz w:val="18"/>
          <w:szCs w:val="18"/>
          <w:lang w:val="de-DE"/>
        </w:rPr>
        <w:sectPr w:rsidR="002D76DC" w:rsidSect="00C926BB">
          <w:headerReference w:type="default" r:id="rId14"/>
          <w:pgSz w:w="16838" w:h="11906" w:code="9"/>
          <w:pgMar w:top="1134" w:right="2733" w:bottom="1134" w:left="2705" w:header="851" w:footer="851" w:gutter="0"/>
          <w:cols w:space="454"/>
          <w:docGrid w:linePitch="360"/>
        </w:sectPr>
      </w:pPr>
    </w:p>
    <w:p w14:paraId="2305E679" w14:textId="77777777" w:rsidR="003C51C5" w:rsidRPr="00CF565F" w:rsidRDefault="003C51C5" w:rsidP="0030748A">
      <w:pPr>
        <w:rPr>
          <w:sz w:val="4"/>
          <w:szCs w:val="4"/>
          <w:lang w:val="de-DE"/>
        </w:rPr>
        <w:sectPr w:rsidR="003C51C5" w:rsidRPr="00CF565F" w:rsidSect="00313188">
          <w:pgSz w:w="11906" w:h="16838" w:code="9"/>
          <w:pgMar w:top="1418" w:right="1021" w:bottom="1418" w:left="1021" w:header="851" w:footer="851" w:gutter="0"/>
          <w:cols w:space="454"/>
          <w:docGrid w:linePitch="360"/>
        </w:sectPr>
      </w:pPr>
    </w:p>
    <w:p w14:paraId="4883EF15" w14:textId="0972A19C" w:rsidR="0093190E" w:rsidRDefault="0093190E" w:rsidP="00C926BB">
      <w:pPr>
        <w:pStyle w:val="Heading1"/>
        <w:numPr>
          <w:ilvl w:val="0"/>
          <w:numId w:val="0"/>
        </w:numPr>
        <w:rPr>
          <w:rFonts w:eastAsia="Times New Roman"/>
          <w:sz w:val="22"/>
        </w:rPr>
      </w:pPr>
      <w:r>
        <w:rPr>
          <w:rFonts w:eastAsia="Times New Roman"/>
          <w:sz w:val="22"/>
        </w:rPr>
        <w:lastRenderedPageBreak/>
        <w:t>4. CONCLUSION</w:t>
      </w:r>
    </w:p>
    <w:p w14:paraId="7EA4DE08" w14:textId="14F637B0" w:rsidR="0093190E" w:rsidRPr="0093190E" w:rsidRDefault="0093190E" w:rsidP="0093190E">
      <w:pPr>
        <w:jc w:val="both"/>
        <w:rPr>
          <w:lang w:val="de-DE"/>
        </w:rPr>
      </w:pPr>
      <w:r w:rsidRPr="0093190E">
        <w:rPr>
          <w:lang w:val="de-DE"/>
        </w:rPr>
        <w:t>The study has built a quietly comprehensive list of clinically significant drug interactions using three databases, which will be the foundation for future clinical interventions aimed at minimizing the prevalent drug interactions, especially to prevent the occurrence of major drug interactions. In the future, we will intervene clinically by implementing workshops and then re-evaluate the effectiveness of the intervention in subsequent studies.</w:t>
      </w:r>
    </w:p>
    <w:p w14:paraId="693B8DD8" w14:textId="50E25747" w:rsidR="00C926BB" w:rsidRPr="000B14EA" w:rsidRDefault="00C926BB" w:rsidP="00C926BB">
      <w:pPr>
        <w:pStyle w:val="Heading1"/>
        <w:numPr>
          <w:ilvl w:val="0"/>
          <w:numId w:val="0"/>
        </w:numPr>
        <w:rPr>
          <w:sz w:val="22"/>
        </w:rPr>
      </w:pPr>
      <w:r w:rsidRPr="000B14EA">
        <w:rPr>
          <w:sz w:val="22"/>
        </w:rPr>
        <w:t xml:space="preserve">REFERENCES </w:t>
      </w:r>
    </w:p>
    <w:p w14:paraId="2AB5CDFB" w14:textId="633AB9FE" w:rsidR="00892097" w:rsidRPr="0096262F" w:rsidRDefault="005269C6" w:rsidP="0093190E">
      <w:pPr>
        <w:pStyle w:val="Bibliography"/>
        <w:spacing w:before="120" w:after="120"/>
        <w:ind w:left="0" w:firstLine="0"/>
        <w:jc w:val="both"/>
        <w:rPr>
          <w:rFonts w:cs="Times New Roman"/>
          <w:sz w:val="20"/>
          <w:szCs w:val="20"/>
        </w:rPr>
      </w:pPr>
      <w:r>
        <w:rPr>
          <w:szCs w:val="18"/>
          <w:lang w:val="de-DE"/>
        </w:rPr>
        <w:fldChar w:fldCharType="begin"/>
      </w:r>
      <w:r w:rsidR="00892097">
        <w:rPr>
          <w:szCs w:val="18"/>
          <w:lang w:val="de-DE"/>
        </w:rPr>
        <w:instrText xml:space="preserve"> ADDIN ZOTERO_BIBL {"uncited":[],"omitted":[],"custom":[]} CSL_BIBLIOGRAPHY </w:instrText>
      </w:r>
      <w:r>
        <w:rPr>
          <w:szCs w:val="18"/>
          <w:lang w:val="de-DE"/>
        </w:rPr>
        <w:fldChar w:fldCharType="separate"/>
      </w:r>
      <w:r w:rsidR="005B1D21">
        <w:rPr>
          <w:rFonts w:cs="Times New Roman"/>
          <w:sz w:val="20"/>
          <w:szCs w:val="20"/>
        </w:rPr>
        <w:t>1.</w:t>
      </w:r>
      <w:r w:rsidR="005B1D21">
        <w:rPr>
          <w:rFonts w:cs="Times New Roman"/>
          <w:sz w:val="20"/>
          <w:szCs w:val="20"/>
        </w:rPr>
        <w:tab/>
        <w:t xml:space="preserve">K. </w:t>
      </w:r>
      <w:r w:rsidR="00892097" w:rsidRPr="0096262F">
        <w:rPr>
          <w:rFonts w:cs="Times New Roman"/>
          <w:sz w:val="20"/>
          <w:szCs w:val="20"/>
        </w:rPr>
        <w:t xml:space="preserve">Baxter. </w:t>
      </w:r>
      <w:r w:rsidR="00892097" w:rsidRPr="0096262F">
        <w:rPr>
          <w:rFonts w:cs="Times New Roman"/>
          <w:i/>
          <w:sz w:val="20"/>
          <w:szCs w:val="20"/>
        </w:rPr>
        <w:t>Stockley’s Drug Interactions</w:t>
      </w:r>
      <w:r w:rsidR="0096262F">
        <w:rPr>
          <w:rFonts w:cs="Times New Roman"/>
          <w:sz w:val="20"/>
          <w:szCs w:val="20"/>
        </w:rPr>
        <w:t xml:space="preserve"> (ninth edition), Pharmaceutical Press,</w:t>
      </w:r>
      <w:r w:rsidR="00892097" w:rsidRPr="0096262F">
        <w:rPr>
          <w:rFonts w:cs="Times New Roman"/>
          <w:sz w:val="20"/>
          <w:szCs w:val="20"/>
        </w:rPr>
        <w:t xml:space="preserve"> </w:t>
      </w:r>
      <w:r w:rsidR="000533EE">
        <w:rPr>
          <w:rFonts w:cs="Times New Roman"/>
          <w:sz w:val="20"/>
          <w:szCs w:val="20"/>
        </w:rPr>
        <w:t xml:space="preserve">London, </w:t>
      </w:r>
      <w:r w:rsidR="00892097" w:rsidRPr="002D1FA2">
        <w:rPr>
          <w:rFonts w:cs="Times New Roman"/>
          <w:sz w:val="20"/>
          <w:szCs w:val="20"/>
        </w:rPr>
        <w:t>2010</w:t>
      </w:r>
      <w:r w:rsidR="00892097" w:rsidRPr="0096262F">
        <w:rPr>
          <w:rFonts w:cs="Times New Roman"/>
          <w:sz w:val="20"/>
          <w:szCs w:val="20"/>
        </w:rPr>
        <w:t xml:space="preserve">. </w:t>
      </w:r>
    </w:p>
    <w:p w14:paraId="1BABF006" w14:textId="6FDE46B3" w:rsidR="00892097" w:rsidRPr="0096262F" w:rsidRDefault="00892097" w:rsidP="0093190E">
      <w:pPr>
        <w:pStyle w:val="Bibliography"/>
        <w:spacing w:before="120" w:after="120"/>
        <w:ind w:left="0" w:firstLine="0"/>
        <w:jc w:val="both"/>
        <w:rPr>
          <w:rFonts w:cs="Times New Roman"/>
          <w:sz w:val="20"/>
          <w:szCs w:val="20"/>
        </w:rPr>
      </w:pPr>
      <w:r w:rsidRPr="0096262F">
        <w:rPr>
          <w:rFonts w:cs="Times New Roman"/>
          <w:sz w:val="20"/>
          <w:szCs w:val="20"/>
        </w:rPr>
        <w:t>2.</w:t>
      </w:r>
      <w:r w:rsidRPr="0096262F">
        <w:rPr>
          <w:rFonts w:cs="Times New Roman"/>
          <w:sz w:val="20"/>
          <w:szCs w:val="20"/>
        </w:rPr>
        <w:tab/>
      </w:r>
      <w:r w:rsidR="00465BD2">
        <w:rPr>
          <w:rFonts w:cs="Times New Roman"/>
          <w:sz w:val="20"/>
          <w:szCs w:val="20"/>
        </w:rPr>
        <w:t>W. Ren</w:t>
      </w:r>
      <w:r w:rsidR="005B1D21">
        <w:rPr>
          <w:rFonts w:cs="Times New Roman"/>
          <w:sz w:val="20"/>
          <w:szCs w:val="20"/>
        </w:rPr>
        <w:t>, Y. Liu, J. Zhang</w:t>
      </w:r>
      <w:r w:rsidRPr="0096262F">
        <w:rPr>
          <w:rFonts w:cs="Times New Roman"/>
          <w:sz w:val="20"/>
          <w:szCs w:val="20"/>
        </w:rPr>
        <w:t xml:space="preserve">, </w:t>
      </w:r>
      <w:r w:rsidR="005B1D21">
        <w:rPr>
          <w:rFonts w:cs="Times New Roman"/>
          <w:sz w:val="20"/>
          <w:szCs w:val="20"/>
        </w:rPr>
        <w:t xml:space="preserve">Z. Fang, H. Fang, Y. Gong, X. Lv. </w:t>
      </w:r>
      <w:r w:rsidRPr="0096262F">
        <w:rPr>
          <w:rFonts w:cs="Times New Roman"/>
          <w:sz w:val="20"/>
          <w:szCs w:val="20"/>
        </w:rPr>
        <w:t>Prevalence of potential drug-drug interactions in outpatients of a general hospital in China:</w:t>
      </w:r>
      <w:r w:rsidR="000533EE">
        <w:rPr>
          <w:rFonts w:cs="Times New Roman"/>
          <w:sz w:val="20"/>
          <w:szCs w:val="20"/>
        </w:rPr>
        <w:t xml:space="preserve"> a retrospective investigation, </w:t>
      </w:r>
      <w:r w:rsidR="000533EE" w:rsidRPr="000533EE">
        <w:rPr>
          <w:rFonts w:cs="Times New Roman"/>
          <w:i/>
          <w:sz w:val="20"/>
          <w:szCs w:val="20"/>
        </w:rPr>
        <w:t>Int</w:t>
      </w:r>
      <w:r w:rsidR="002504CD">
        <w:rPr>
          <w:rFonts w:cs="Times New Roman"/>
          <w:i/>
          <w:sz w:val="20"/>
          <w:szCs w:val="20"/>
        </w:rPr>
        <w:t>ernational</w:t>
      </w:r>
      <w:r w:rsidR="000533EE" w:rsidRPr="000533EE">
        <w:rPr>
          <w:rFonts w:cs="Times New Roman"/>
          <w:i/>
          <w:sz w:val="20"/>
          <w:szCs w:val="20"/>
        </w:rPr>
        <w:t xml:space="preserve"> J</w:t>
      </w:r>
      <w:r w:rsidR="002504CD">
        <w:rPr>
          <w:rFonts w:cs="Times New Roman"/>
          <w:i/>
          <w:sz w:val="20"/>
          <w:szCs w:val="20"/>
        </w:rPr>
        <w:t>ournal</w:t>
      </w:r>
      <w:r w:rsidR="000533EE" w:rsidRPr="000533EE">
        <w:rPr>
          <w:rFonts w:cs="Times New Roman"/>
          <w:i/>
          <w:sz w:val="20"/>
          <w:szCs w:val="20"/>
        </w:rPr>
        <w:t xml:space="preserve"> Clin</w:t>
      </w:r>
      <w:r w:rsidR="002504CD">
        <w:rPr>
          <w:rFonts w:cs="Times New Roman"/>
          <w:i/>
          <w:sz w:val="20"/>
          <w:szCs w:val="20"/>
        </w:rPr>
        <w:t>ical</w:t>
      </w:r>
      <w:r w:rsidR="000533EE" w:rsidRPr="000533EE">
        <w:rPr>
          <w:rFonts w:cs="Times New Roman"/>
          <w:i/>
          <w:sz w:val="20"/>
          <w:szCs w:val="20"/>
        </w:rPr>
        <w:t xml:space="preserve"> Pharm</w:t>
      </w:r>
      <w:r w:rsidR="002504CD">
        <w:rPr>
          <w:rFonts w:cs="Times New Roman"/>
          <w:i/>
          <w:sz w:val="20"/>
          <w:szCs w:val="20"/>
        </w:rPr>
        <w:t>acy</w:t>
      </w:r>
      <w:r w:rsidR="000533EE">
        <w:rPr>
          <w:rFonts w:cs="Times New Roman"/>
          <w:sz w:val="20"/>
          <w:szCs w:val="20"/>
        </w:rPr>
        <w:t xml:space="preserve">, </w:t>
      </w:r>
      <w:r w:rsidR="000533EE" w:rsidRPr="000533EE">
        <w:rPr>
          <w:rFonts w:cs="Times New Roman"/>
          <w:b/>
          <w:sz w:val="20"/>
          <w:szCs w:val="20"/>
        </w:rPr>
        <w:t>2020</w:t>
      </w:r>
      <w:r w:rsidR="000533EE">
        <w:rPr>
          <w:rFonts w:cs="Times New Roman"/>
          <w:sz w:val="20"/>
          <w:szCs w:val="20"/>
        </w:rPr>
        <w:t xml:space="preserve">, </w:t>
      </w:r>
      <w:r w:rsidR="000533EE" w:rsidRPr="000533EE">
        <w:rPr>
          <w:rFonts w:cs="Times New Roman"/>
          <w:i/>
          <w:sz w:val="20"/>
          <w:szCs w:val="20"/>
        </w:rPr>
        <w:t>42</w:t>
      </w:r>
      <w:r w:rsidR="000533EE">
        <w:rPr>
          <w:rFonts w:cs="Times New Roman"/>
          <w:sz w:val="20"/>
          <w:szCs w:val="20"/>
        </w:rPr>
        <w:t>(4),1190-119</w:t>
      </w:r>
      <w:r w:rsidRPr="0096262F">
        <w:rPr>
          <w:rFonts w:cs="Times New Roman"/>
          <w:sz w:val="20"/>
          <w:szCs w:val="20"/>
        </w:rPr>
        <w:t xml:space="preserve">6. </w:t>
      </w:r>
    </w:p>
    <w:p w14:paraId="2E23E7DA" w14:textId="0D565D4E" w:rsidR="00892097" w:rsidRPr="0096262F" w:rsidRDefault="00892097" w:rsidP="0093190E">
      <w:pPr>
        <w:pStyle w:val="Bibliography"/>
        <w:spacing w:before="120" w:after="120"/>
        <w:ind w:left="0" w:firstLine="0"/>
        <w:jc w:val="both"/>
        <w:rPr>
          <w:rFonts w:cs="Times New Roman"/>
          <w:sz w:val="20"/>
          <w:szCs w:val="20"/>
        </w:rPr>
      </w:pPr>
      <w:r w:rsidRPr="0096262F">
        <w:rPr>
          <w:rFonts w:cs="Times New Roman"/>
          <w:sz w:val="20"/>
          <w:szCs w:val="20"/>
        </w:rPr>
        <w:t>3.</w:t>
      </w:r>
      <w:r w:rsidRPr="0096262F">
        <w:rPr>
          <w:rFonts w:cs="Times New Roman"/>
          <w:sz w:val="20"/>
          <w:szCs w:val="20"/>
        </w:rPr>
        <w:tab/>
      </w:r>
      <w:r w:rsidR="002504CD" w:rsidRPr="0096262F">
        <w:rPr>
          <w:rFonts w:cs="Times New Roman"/>
          <w:sz w:val="20"/>
          <w:szCs w:val="20"/>
        </w:rPr>
        <w:t>Y</w:t>
      </w:r>
      <w:r w:rsidR="002504CD">
        <w:rPr>
          <w:rFonts w:cs="Times New Roman"/>
          <w:sz w:val="20"/>
          <w:szCs w:val="20"/>
        </w:rPr>
        <w:t>.</w:t>
      </w:r>
      <w:r w:rsidR="002504CD" w:rsidRPr="0096262F">
        <w:rPr>
          <w:rFonts w:cs="Times New Roman"/>
          <w:sz w:val="20"/>
          <w:szCs w:val="20"/>
        </w:rPr>
        <w:t>A</w:t>
      </w:r>
      <w:r w:rsidR="002504CD">
        <w:rPr>
          <w:rFonts w:cs="Times New Roman"/>
          <w:sz w:val="20"/>
          <w:szCs w:val="20"/>
        </w:rPr>
        <w:t>.</w:t>
      </w:r>
      <w:r w:rsidR="002504CD">
        <w:rPr>
          <w:rFonts w:cs="Times New Roman"/>
          <w:sz w:val="20"/>
          <w:szCs w:val="20"/>
        </w:rPr>
        <w:t xml:space="preserve"> </w:t>
      </w:r>
      <w:r w:rsidRPr="0096262F">
        <w:rPr>
          <w:rFonts w:cs="Times New Roman"/>
          <w:sz w:val="20"/>
          <w:szCs w:val="20"/>
        </w:rPr>
        <w:t>Assefa</w:t>
      </w:r>
      <w:r w:rsidR="002504CD">
        <w:rPr>
          <w:rFonts w:cs="Times New Roman"/>
          <w:sz w:val="20"/>
          <w:szCs w:val="20"/>
        </w:rPr>
        <w:t>, A. Kedir</w:t>
      </w:r>
      <w:r w:rsidRPr="0096262F">
        <w:rPr>
          <w:rFonts w:cs="Times New Roman"/>
          <w:sz w:val="20"/>
          <w:szCs w:val="20"/>
        </w:rPr>
        <w:t xml:space="preserve">, </w:t>
      </w:r>
      <w:r w:rsidR="002504CD">
        <w:rPr>
          <w:rFonts w:cs="Times New Roman"/>
          <w:sz w:val="20"/>
          <w:szCs w:val="20"/>
        </w:rPr>
        <w:t>W. Kahaliw</w:t>
      </w:r>
      <w:r w:rsidRPr="0096262F">
        <w:rPr>
          <w:rFonts w:cs="Times New Roman"/>
          <w:sz w:val="20"/>
          <w:szCs w:val="20"/>
        </w:rPr>
        <w:t xml:space="preserve">. Survey on Polypharmacy and Drug-Drug Interactions Among Elderly People with Cardiovascular Diseases at Yekatit 12 </w:t>
      </w:r>
      <w:r w:rsidR="000533EE">
        <w:rPr>
          <w:rFonts w:cs="Times New Roman"/>
          <w:sz w:val="20"/>
          <w:szCs w:val="20"/>
        </w:rPr>
        <w:t>Hospital, Addis Ababa, Ethiopia,</w:t>
      </w:r>
      <w:r w:rsidRPr="0096262F">
        <w:rPr>
          <w:rFonts w:cs="Times New Roman"/>
          <w:sz w:val="20"/>
          <w:szCs w:val="20"/>
        </w:rPr>
        <w:t xml:space="preserve"> </w:t>
      </w:r>
      <w:r w:rsidRPr="000533EE">
        <w:rPr>
          <w:rFonts w:cs="Times New Roman"/>
          <w:i/>
          <w:sz w:val="20"/>
          <w:szCs w:val="20"/>
        </w:rPr>
        <w:t>Integr</w:t>
      </w:r>
      <w:r w:rsidR="002504CD">
        <w:rPr>
          <w:rFonts w:cs="Times New Roman"/>
          <w:i/>
          <w:sz w:val="20"/>
          <w:szCs w:val="20"/>
        </w:rPr>
        <w:t>ated</w:t>
      </w:r>
      <w:r w:rsidRPr="000533EE">
        <w:rPr>
          <w:rFonts w:cs="Times New Roman"/>
          <w:i/>
          <w:sz w:val="20"/>
          <w:szCs w:val="20"/>
        </w:rPr>
        <w:t xml:space="preserve"> Pharm</w:t>
      </w:r>
      <w:r w:rsidR="002504CD">
        <w:rPr>
          <w:rFonts w:cs="Times New Roman"/>
          <w:i/>
          <w:sz w:val="20"/>
          <w:szCs w:val="20"/>
        </w:rPr>
        <w:t>acy</w:t>
      </w:r>
      <w:r w:rsidRPr="000533EE">
        <w:rPr>
          <w:rFonts w:cs="Times New Roman"/>
          <w:i/>
          <w:sz w:val="20"/>
          <w:szCs w:val="20"/>
        </w:rPr>
        <w:t xml:space="preserve"> Res</w:t>
      </w:r>
      <w:r w:rsidR="002504CD">
        <w:rPr>
          <w:rFonts w:cs="Times New Roman"/>
          <w:i/>
          <w:sz w:val="20"/>
          <w:szCs w:val="20"/>
        </w:rPr>
        <w:t>earch</w:t>
      </w:r>
      <w:r w:rsidRPr="000533EE">
        <w:rPr>
          <w:rFonts w:cs="Times New Roman"/>
          <w:i/>
          <w:sz w:val="20"/>
          <w:szCs w:val="20"/>
        </w:rPr>
        <w:t xml:space="preserve"> Pract</w:t>
      </w:r>
      <w:r w:rsidR="002504CD">
        <w:rPr>
          <w:rFonts w:cs="Times New Roman"/>
          <w:i/>
          <w:sz w:val="20"/>
          <w:szCs w:val="20"/>
        </w:rPr>
        <w:t>ice</w:t>
      </w:r>
      <w:r w:rsidR="000533EE">
        <w:rPr>
          <w:rFonts w:cs="Times New Roman"/>
          <w:sz w:val="20"/>
          <w:szCs w:val="20"/>
        </w:rPr>
        <w:t xml:space="preserve">, </w:t>
      </w:r>
      <w:r w:rsidR="000533EE" w:rsidRPr="000533EE">
        <w:rPr>
          <w:rFonts w:cs="Times New Roman"/>
          <w:b/>
          <w:sz w:val="20"/>
          <w:szCs w:val="20"/>
        </w:rPr>
        <w:t>2020</w:t>
      </w:r>
      <w:r w:rsidR="000533EE">
        <w:rPr>
          <w:rFonts w:cs="Times New Roman"/>
          <w:sz w:val="20"/>
          <w:szCs w:val="20"/>
        </w:rPr>
        <w:t xml:space="preserve">, </w:t>
      </w:r>
      <w:r w:rsidR="000533EE" w:rsidRPr="000533EE">
        <w:rPr>
          <w:rFonts w:cs="Times New Roman"/>
          <w:i/>
          <w:sz w:val="20"/>
          <w:szCs w:val="20"/>
        </w:rPr>
        <w:t>9</w:t>
      </w:r>
      <w:r w:rsidR="000533EE">
        <w:rPr>
          <w:rFonts w:cs="Times New Roman"/>
          <w:sz w:val="20"/>
          <w:szCs w:val="20"/>
        </w:rPr>
        <w:t xml:space="preserve">, </w:t>
      </w:r>
      <w:r w:rsidR="002504CD">
        <w:rPr>
          <w:rFonts w:cs="Times New Roman"/>
          <w:sz w:val="20"/>
          <w:szCs w:val="20"/>
        </w:rPr>
        <w:t>1-</w:t>
      </w:r>
      <w:r w:rsidRPr="0096262F">
        <w:rPr>
          <w:rFonts w:cs="Times New Roman"/>
          <w:sz w:val="20"/>
          <w:szCs w:val="20"/>
        </w:rPr>
        <w:t xml:space="preserve">9. </w:t>
      </w:r>
    </w:p>
    <w:p w14:paraId="32826F96" w14:textId="5EB0D5BF" w:rsidR="00892097" w:rsidRPr="0096262F" w:rsidRDefault="00892097" w:rsidP="0093190E">
      <w:pPr>
        <w:pStyle w:val="Bibliography"/>
        <w:spacing w:before="120" w:after="120"/>
        <w:ind w:left="0" w:firstLine="0"/>
        <w:jc w:val="both"/>
        <w:rPr>
          <w:rFonts w:cs="Times New Roman"/>
          <w:sz w:val="20"/>
          <w:szCs w:val="20"/>
        </w:rPr>
      </w:pPr>
      <w:r w:rsidRPr="0096262F">
        <w:rPr>
          <w:rFonts w:cs="Times New Roman"/>
          <w:sz w:val="20"/>
          <w:szCs w:val="20"/>
        </w:rPr>
        <w:t>4</w:t>
      </w:r>
      <w:r w:rsidR="002504CD">
        <w:rPr>
          <w:rFonts w:cs="Times New Roman"/>
          <w:sz w:val="20"/>
          <w:szCs w:val="20"/>
        </w:rPr>
        <w:t>.</w:t>
      </w:r>
      <w:r w:rsidR="002504CD">
        <w:rPr>
          <w:rFonts w:cs="Times New Roman"/>
          <w:sz w:val="20"/>
          <w:szCs w:val="20"/>
        </w:rPr>
        <w:tab/>
        <w:t>L. Chelkeba, F. Alemseged</w:t>
      </w:r>
      <w:r w:rsidRPr="0096262F">
        <w:rPr>
          <w:rFonts w:cs="Times New Roman"/>
          <w:sz w:val="20"/>
          <w:szCs w:val="20"/>
        </w:rPr>
        <w:t xml:space="preserve">, </w:t>
      </w:r>
      <w:r w:rsidR="002504CD">
        <w:rPr>
          <w:rFonts w:cs="Times New Roman"/>
          <w:sz w:val="20"/>
          <w:szCs w:val="20"/>
        </w:rPr>
        <w:t>W. Bedada</w:t>
      </w:r>
      <w:r w:rsidRPr="0096262F">
        <w:rPr>
          <w:rFonts w:cs="Times New Roman"/>
          <w:sz w:val="20"/>
          <w:szCs w:val="20"/>
        </w:rPr>
        <w:t>. Assessment of potential drug-drug interactions among outpatients receiving cardiovascular medications at Jimma University specialize</w:t>
      </w:r>
      <w:r w:rsidR="000533EE">
        <w:rPr>
          <w:rFonts w:cs="Times New Roman"/>
          <w:sz w:val="20"/>
          <w:szCs w:val="20"/>
        </w:rPr>
        <w:t>d hospital, South West Ethiopia,</w:t>
      </w:r>
      <w:r w:rsidRPr="0096262F">
        <w:rPr>
          <w:rFonts w:cs="Times New Roman"/>
          <w:sz w:val="20"/>
          <w:szCs w:val="20"/>
        </w:rPr>
        <w:t xml:space="preserve"> </w:t>
      </w:r>
      <w:r w:rsidRPr="000533EE">
        <w:rPr>
          <w:rFonts w:cs="Times New Roman"/>
          <w:i/>
          <w:sz w:val="20"/>
          <w:szCs w:val="20"/>
        </w:rPr>
        <w:t>International Journal of Basic &amp; Clinical Pharmacology</w:t>
      </w:r>
      <w:r w:rsidR="000533EE">
        <w:rPr>
          <w:rFonts w:cs="Times New Roman"/>
          <w:sz w:val="20"/>
          <w:szCs w:val="20"/>
        </w:rPr>
        <w:t>,</w:t>
      </w:r>
      <w:r w:rsidRPr="000533EE">
        <w:rPr>
          <w:rFonts w:cs="Times New Roman"/>
          <w:b/>
          <w:sz w:val="20"/>
          <w:szCs w:val="20"/>
        </w:rPr>
        <w:t xml:space="preserve"> 2013</w:t>
      </w:r>
      <w:r w:rsidR="000533EE">
        <w:rPr>
          <w:rFonts w:cs="Times New Roman"/>
          <w:sz w:val="20"/>
          <w:szCs w:val="20"/>
        </w:rPr>
        <w:t xml:space="preserve">, </w:t>
      </w:r>
      <w:r w:rsidR="000533EE" w:rsidRPr="000533EE">
        <w:rPr>
          <w:rFonts w:cs="Times New Roman"/>
          <w:i/>
          <w:sz w:val="20"/>
          <w:szCs w:val="20"/>
        </w:rPr>
        <w:t>2</w:t>
      </w:r>
      <w:r w:rsidR="000533EE">
        <w:rPr>
          <w:rFonts w:cs="Times New Roman"/>
          <w:sz w:val="20"/>
          <w:szCs w:val="20"/>
        </w:rPr>
        <w:t>(2), 144-1</w:t>
      </w:r>
      <w:r w:rsidRPr="0096262F">
        <w:rPr>
          <w:rFonts w:cs="Times New Roman"/>
          <w:sz w:val="20"/>
          <w:szCs w:val="20"/>
        </w:rPr>
        <w:t xml:space="preserve">52. </w:t>
      </w:r>
    </w:p>
    <w:p w14:paraId="50FF9BB7" w14:textId="4E917765" w:rsidR="00892097" w:rsidRPr="0096262F" w:rsidRDefault="002504CD" w:rsidP="0093190E">
      <w:pPr>
        <w:pStyle w:val="Bibliography"/>
        <w:spacing w:before="120" w:after="120"/>
        <w:ind w:left="0" w:firstLine="0"/>
        <w:jc w:val="both"/>
        <w:rPr>
          <w:rFonts w:cs="Times New Roman"/>
          <w:sz w:val="20"/>
          <w:szCs w:val="20"/>
        </w:rPr>
      </w:pPr>
      <w:r>
        <w:rPr>
          <w:rFonts w:cs="Times New Roman"/>
          <w:sz w:val="20"/>
          <w:szCs w:val="20"/>
        </w:rPr>
        <w:t>5.</w:t>
      </w:r>
      <w:r>
        <w:rPr>
          <w:rFonts w:cs="Times New Roman"/>
          <w:sz w:val="20"/>
          <w:szCs w:val="20"/>
        </w:rPr>
        <w:tab/>
        <w:t>M. Sheikh-Taha, M. Asmar</w:t>
      </w:r>
      <w:r w:rsidR="00892097" w:rsidRPr="0096262F">
        <w:rPr>
          <w:rFonts w:cs="Times New Roman"/>
          <w:sz w:val="20"/>
          <w:szCs w:val="20"/>
        </w:rPr>
        <w:t>. Polypharmacy and severe potential drug-drug interactions among older adults with cardiovascul</w:t>
      </w:r>
      <w:r w:rsidR="000533EE">
        <w:rPr>
          <w:rFonts w:cs="Times New Roman"/>
          <w:sz w:val="20"/>
          <w:szCs w:val="20"/>
        </w:rPr>
        <w:t>ar disease in the United States,</w:t>
      </w:r>
      <w:r w:rsidR="00892097" w:rsidRPr="0096262F">
        <w:rPr>
          <w:rFonts w:cs="Times New Roman"/>
          <w:sz w:val="20"/>
          <w:szCs w:val="20"/>
        </w:rPr>
        <w:t xml:space="preserve"> </w:t>
      </w:r>
      <w:r w:rsidR="00892097" w:rsidRPr="000533EE">
        <w:rPr>
          <w:rFonts w:cs="Times New Roman"/>
          <w:i/>
          <w:sz w:val="20"/>
          <w:szCs w:val="20"/>
        </w:rPr>
        <w:t>BMC Geriatr</w:t>
      </w:r>
      <w:r>
        <w:rPr>
          <w:rFonts w:cs="Times New Roman"/>
          <w:i/>
          <w:sz w:val="20"/>
          <w:szCs w:val="20"/>
        </w:rPr>
        <w:t>ics</w:t>
      </w:r>
      <w:r w:rsidR="000533EE">
        <w:rPr>
          <w:rFonts w:cs="Times New Roman"/>
          <w:sz w:val="20"/>
          <w:szCs w:val="20"/>
        </w:rPr>
        <w:t>,</w:t>
      </w:r>
      <w:r w:rsidR="00892097" w:rsidRPr="0096262F">
        <w:rPr>
          <w:rFonts w:cs="Times New Roman"/>
          <w:sz w:val="20"/>
          <w:szCs w:val="20"/>
        </w:rPr>
        <w:t xml:space="preserve"> </w:t>
      </w:r>
      <w:r w:rsidR="00892097" w:rsidRPr="000533EE">
        <w:rPr>
          <w:rFonts w:cs="Times New Roman"/>
          <w:b/>
          <w:sz w:val="20"/>
          <w:szCs w:val="20"/>
        </w:rPr>
        <w:t>2021</w:t>
      </w:r>
      <w:r w:rsidR="000533EE">
        <w:rPr>
          <w:rFonts w:cs="Times New Roman"/>
          <w:sz w:val="20"/>
          <w:szCs w:val="20"/>
        </w:rPr>
        <w:t xml:space="preserve">, </w:t>
      </w:r>
      <w:r w:rsidR="000533EE" w:rsidRPr="000533EE">
        <w:rPr>
          <w:rFonts w:cs="Times New Roman"/>
          <w:i/>
          <w:sz w:val="20"/>
          <w:szCs w:val="20"/>
        </w:rPr>
        <w:t>21</w:t>
      </w:r>
      <w:r w:rsidR="000533EE">
        <w:rPr>
          <w:rFonts w:cs="Times New Roman"/>
          <w:sz w:val="20"/>
          <w:szCs w:val="20"/>
        </w:rPr>
        <w:t xml:space="preserve">(1), </w:t>
      </w:r>
      <w:r w:rsidR="00892097" w:rsidRPr="0096262F">
        <w:rPr>
          <w:rFonts w:cs="Times New Roman"/>
          <w:sz w:val="20"/>
          <w:szCs w:val="20"/>
        </w:rPr>
        <w:t xml:space="preserve">233. </w:t>
      </w:r>
    </w:p>
    <w:p w14:paraId="7905AD98" w14:textId="419AD7E3" w:rsidR="00892097" w:rsidRPr="0096262F" w:rsidRDefault="00892097" w:rsidP="0093190E">
      <w:pPr>
        <w:pStyle w:val="Bibliography"/>
        <w:spacing w:before="120" w:after="120"/>
        <w:ind w:left="0" w:firstLine="0"/>
        <w:jc w:val="both"/>
        <w:rPr>
          <w:rFonts w:cs="Times New Roman"/>
          <w:sz w:val="20"/>
          <w:szCs w:val="20"/>
        </w:rPr>
      </w:pPr>
      <w:r w:rsidRPr="0096262F">
        <w:rPr>
          <w:rFonts w:cs="Times New Roman"/>
          <w:sz w:val="20"/>
          <w:szCs w:val="20"/>
        </w:rPr>
        <w:t>6.</w:t>
      </w:r>
      <w:r w:rsidRPr="0096262F">
        <w:rPr>
          <w:rFonts w:cs="Times New Roman"/>
          <w:sz w:val="20"/>
          <w:szCs w:val="20"/>
        </w:rPr>
        <w:tab/>
        <w:t xml:space="preserve">European Medicines Agency. </w:t>
      </w:r>
      <w:r w:rsidRPr="000533EE">
        <w:rPr>
          <w:rFonts w:cs="Times New Roman"/>
          <w:i/>
          <w:sz w:val="20"/>
          <w:szCs w:val="20"/>
        </w:rPr>
        <w:t>Note for guidance on the investigation of drug interactions</w:t>
      </w:r>
      <w:r w:rsidR="000533EE">
        <w:rPr>
          <w:rFonts w:cs="Times New Roman"/>
          <w:sz w:val="20"/>
          <w:szCs w:val="20"/>
        </w:rPr>
        <w:t>,</w:t>
      </w:r>
      <w:r w:rsidRPr="0096262F">
        <w:rPr>
          <w:rFonts w:cs="Times New Roman"/>
          <w:sz w:val="20"/>
          <w:szCs w:val="20"/>
        </w:rPr>
        <w:t xml:space="preserve"> </w:t>
      </w:r>
      <w:r w:rsidR="00530173" w:rsidRPr="00530173">
        <w:rPr>
          <w:rFonts w:cs="Times New Roman"/>
          <w:sz w:val="20"/>
          <w:szCs w:val="20"/>
        </w:rPr>
        <w:t>Committee for Human Medicinal Products</w:t>
      </w:r>
      <w:r w:rsidR="00530173">
        <w:rPr>
          <w:rFonts w:cs="Times New Roman"/>
          <w:sz w:val="20"/>
          <w:szCs w:val="20"/>
        </w:rPr>
        <w:t xml:space="preserve">, </w:t>
      </w:r>
      <w:r w:rsidR="000533EE">
        <w:rPr>
          <w:rFonts w:cs="Times New Roman"/>
          <w:sz w:val="20"/>
          <w:szCs w:val="20"/>
        </w:rPr>
        <w:t xml:space="preserve">London, </w:t>
      </w:r>
      <w:r w:rsidR="000533EE" w:rsidRPr="00B66092">
        <w:rPr>
          <w:rFonts w:cs="Times New Roman"/>
          <w:sz w:val="20"/>
          <w:szCs w:val="20"/>
        </w:rPr>
        <w:t>1997</w:t>
      </w:r>
      <w:r w:rsidR="000533EE">
        <w:rPr>
          <w:rFonts w:cs="Times New Roman"/>
          <w:sz w:val="20"/>
          <w:szCs w:val="20"/>
        </w:rPr>
        <w:t>.</w:t>
      </w:r>
      <w:r w:rsidRPr="0096262F">
        <w:rPr>
          <w:rFonts w:cs="Times New Roman"/>
          <w:sz w:val="20"/>
          <w:szCs w:val="20"/>
        </w:rPr>
        <w:t xml:space="preserve"> </w:t>
      </w:r>
    </w:p>
    <w:p w14:paraId="69E1928F" w14:textId="7F2298F4" w:rsidR="00892097" w:rsidRPr="0096262F" w:rsidRDefault="002504CD" w:rsidP="0093190E">
      <w:pPr>
        <w:pStyle w:val="Bibliography"/>
        <w:spacing w:before="120" w:after="120"/>
        <w:ind w:left="0" w:firstLine="0"/>
        <w:jc w:val="both"/>
        <w:rPr>
          <w:rFonts w:cs="Times New Roman"/>
          <w:sz w:val="20"/>
          <w:szCs w:val="20"/>
        </w:rPr>
      </w:pPr>
      <w:r>
        <w:rPr>
          <w:rFonts w:cs="Times New Roman"/>
          <w:sz w:val="20"/>
          <w:szCs w:val="20"/>
        </w:rPr>
        <w:t>7.</w:t>
      </w:r>
      <w:r>
        <w:rPr>
          <w:rFonts w:cs="Times New Roman"/>
          <w:sz w:val="20"/>
          <w:szCs w:val="20"/>
        </w:rPr>
        <w:tab/>
        <w:t>S. Sharma, H. P. Chhetri, K. Alam</w:t>
      </w:r>
      <w:r w:rsidR="00892097" w:rsidRPr="0096262F">
        <w:rPr>
          <w:rFonts w:cs="Times New Roman"/>
          <w:sz w:val="20"/>
          <w:szCs w:val="20"/>
        </w:rPr>
        <w:t>. A study of potential drug-drug interactions among hospitalized cardiac patients in a tea</w:t>
      </w:r>
      <w:r w:rsidR="001F6768">
        <w:rPr>
          <w:rFonts w:cs="Times New Roman"/>
          <w:sz w:val="20"/>
          <w:szCs w:val="20"/>
        </w:rPr>
        <w:t xml:space="preserve">ching hospital in Western Nepal, </w:t>
      </w:r>
      <w:r w:rsidR="00892097" w:rsidRPr="001F6768">
        <w:rPr>
          <w:rFonts w:cs="Times New Roman"/>
          <w:i/>
          <w:sz w:val="20"/>
          <w:szCs w:val="20"/>
        </w:rPr>
        <w:t>Indian J</w:t>
      </w:r>
      <w:r>
        <w:rPr>
          <w:rFonts w:cs="Times New Roman"/>
          <w:i/>
          <w:sz w:val="20"/>
          <w:szCs w:val="20"/>
        </w:rPr>
        <w:t>ournal</w:t>
      </w:r>
      <w:r w:rsidR="00892097" w:rsidRPr="001F6768">
        <w:rPr>
          <w:rFonts w:cs="Times New Roman"/>
          <w:i/>
          <w:sz w:val="20"/>
          <w:szCs w:val="20"/>
        </w:rPr>
        <w:t xml:space="preserve"> Pharmacol</w:t>
      </w:r>
      <w:r>
        <w:rPr>
          <w:rFonts w:cs="Times New Roman"/>
          <w:i/>
          <w:sz w:val="20"/>
          <w:szCs w:val="20"/>
        </w:rPr>
        <w:t>ogy</w:t>
      </w:r>
      <w:r w:rsidR="001F6768">
        <w:rPr>
          <w:rFonts w:cs="Times New Roman"/>
          <w:sz w:val="20"/>
          <w:szCs w:val="20"/>
        </w:rPr>
        <w:t xml:space="preserve">, </w:t>
      </w:r>
      <w:r w:rsidR="001F6768" w:rsidRPr="001F6768">
        <w:rPr>
          <w:rFonts w:cs="Times New Roman"/>
          <w:b/>
          <w:sz w:val="20"/>
          <w:szCs w:val="20"/>
        </w:rPr>
        <w:t>2014</w:t>
      </w:r>
      <w:r w:rsidR="001F6768">
        <w:rPr>
          <w:rFonts w:cs="Times New Roman"/>
          <w:sz w:val="20"/>
          <w:szCs w:val="20"/>
        </w:rPr>
        <w:t xml:space="preserve">, </w:t>
      </w:r>
      <w:r w:rsidR="001F6768" w:rsidRPr="001F6768">
        <w:rPr>
          <w:rFonts w:cs="Times New Roman"/>
          <w:i/>
          <w:sz w:val="20"/>
          <w:szCs w:val="20"/>
        </w:rPr>
        <w:t>46</w:t>
      </w:r>
      <w:r w:rsidR="001F6768">
        <w:rPr>
          <w:rFonts w:cs="Times New Roman"/>
          <w:sz w:val="20"/>
          <w:szCs w:val="20"/>
        </w:rPr>
        <w:t>(2), 152-15</w:t>
      </w:r>
      <w:r w:rsidR="00892097" w:rsidRPr="0096262F">
        <w:rPr>
          <w:rFonts w:cs="Times New Roman"/>
          <w:sz w:val="20"/>
          <w:szCs w:val="20"/>
        </w:rPr>
        <w:t xml:space="preserve">6. </w:t>
      </w:r>
    </w:p>
    <w:p w14:paraId="6F52156C" w14:textId="4BC5436C" w:rsidR="00C926BB" w:rsidRDefault="002504CD" w:rsidP="0093190E">
      <w:pPr>
        <w:pStyle w:val="Bibliography"/>
        <w:spacing w:before="120" w:after="120"/>
        <w:ind w:left="0" w:firstLine="0"/>
        <w:jc w:val="both"/>
        <w:rPr>
          <w:rFonts w:cs="Times New Roman"/>
          <w:sz w:val="20"/>
          <w:szCs w:val="20"/>
        </w:rPr>
      </w:pPr>
      <w:r>
        <w:rPr>
          <w:rFonts w:cs="Times New Roman"/>
          <w:sz w:val="20"/>
          <w:szCs w:val="20"/>
        </w:rPr>
        <w:t>8.</w:t>
      </w:r>
      <w:r>
        <w:rPr>
          <w:rFonts w:cs="Times New Roman"/>
          <w:sz w:val="20"/>
          <w:szCs w:val="20"/>
        </w:rPr>
        <w:tab/>
        <w:t>A. Subramanian, M. Adhimoolam</w:t>
      </w:r>
      <w:r w:rsidR="00892097" w:rsidRPr="0096262F">
        <w:rPr>
          <w:rFonts w:cs="Times New Roman"/>
          <w:sz w:val="20"/>
          <w:szCs w:val="20"/>
        </w:rPr>
        <w:t xml:space="preserve">, </w:t>
      </w:r>
      <w:r>
        <w:rPr>
          <w:rFonts w:cs="Times New Roman"/>
          <w:sz w:val="20"/>
          <w:szCs w:val="20"/>
        </w:rPr>
        <w:t>S. Kannan</w:t>
      </w:r>
      <w:r w:rsidR="00892097" w:rsidRPr="0096262F">
        <w:rPr>
          <w:rFonts w:cs="Times New Roman"/>
          <w:sz w:val="20"/>
          <w:szCs w:val="20"/>
        </w:rPr>
        <w:t>. Study of drug-Drug interactions among the hypertensive patients in a t</w:t>
      </w:r>
      <w:r w:rsidR="001F6768">
        <w:rPr>
          <w:rFonts w:cs="Times New Roman"/>
          <w:sz w:val="20"/>
          <w:szCs w:val="20"/>
        </w:rPr>
        <w:t xml:space="preserve">ertiary care teaching hospital, </w:t>
      </w:r>
      <w:r w:rsidR="00892097" w:rsidRPr="001F6768">
        <w:rPr>
          <w:rFonts w:cs="Times New Roman"/>
          <w:i/>
          <w:sz w:val="20"/>
          <w:szCs w:val="20"/>
        </w:rPr>
        <w:t>Perspect</w:t>
      </w:r>
      <w:r>
        <w:rPr>
          <w:rFonts w:cs="Times New Roman"/>
          <w:i/>
          <w:sz w:val="20"/>
          <w:szCs w:val="20"/>
        </w:rPr>
        <w:t>ives</w:t>
      </w:r>
      <w:r w:rsidR="00892097" w:rsidRPr="001F6768">
        <w:rPr>
          <w:rFonts w:cs="Times New Roman"/>
          <w:i/>
          <w:sz w:val="20"/>
          <w:szCs w:val="20"/>
        </w:rPr>
        <w:t xml:space="preserve"> Clin</w:t>
      </w:r>
      <w:r>
        <w:rPr>
          <w:rFonts w:cs="Times New Roman"/>
          <w:i/>
          <w:sz w:val="20"/>
          <w:szCs w:val="20"/>
        </w:rPr>
        <w:t>ical</w:t>
      </w:r>
      <w:r w:rsidR="00892097" w:rsidRPr="001F6768">
        <w:rPr>
          <w:rFonts w:cs="Times New Roman"/>
          <w:i/>
          <w:sz w:val="20"/>
          <w:szCs w:val="20"/>
        </w:rPr>
        <w:t xml:space="preserve"> Res</w:t>
      </w:r>
      <w:r>
        <w:rPr>
          <w:rFonts w:cs="Times New Roman"/>
          <w:i/>
          <w:sz w:val="20"/>
          <w:szCs w:val="20"/>
        </w:rPr>
        <w:t>earch</w:t>
      </w:r>
      <w:r w:rsidR="001F6768">
        <w:rPr>
          <w:rFonts w:cs="Times New Roman"/>
          <w:sz w:val="20"/>
          <w:szCs w:val="20"/>
        </w:rPr>
        <w:t xml:space="preserve">, </w:t>
      </w:r>
      <w:r w:rsidR="001F6768" w:rsidRPr="001F6768">
        <w:rPr>
          <w:rFonts w:cs="Times New Roman"/>
          <w:b/>
          <w:sz w:val="20"/>
          <w:szCs w:val="20"/>
        </w:rPr>
        <w:t>2018</w:t>
      </w:r>
      <w:r w:rsidR="001F6768">
        <w:rPr>
          <w:rFonts w:cs="Times New Roman"/>
          <w:sz w:val="20"/>
          <w:szCs w:val="20"/>
        </w:rPr>
        <w:t xml:space="preserve">, </w:t>
      </w:r>
      <w:r w:rsidR="00892097" w:rsidRPr="001F6768">
        <w:rPr>
          <w:rFonts w:cs="Times New Roman"/>
          <w:i/>
          <w:sz w:val="20"/>
          <w:szCs w:val="20"/>
        </w:rPr>
        <w:t>9</w:t>
      </w:r>
      <w:r w:rsidR="001F6768">
        <w:rPr>
          <w:rFonts w:cs="Times New Roman"/>
          <w:sz w:val="20"/>
          <w:szCs w:val="20"/>
        </w:rPr>
        <w:t>(1), 9-</w:t>
      </w:r>
      <w:r w:rsidR="00892097" w:rsidRPr="0096262F">
        <w:rPr>
          <w:rFonts w:cs="Times New Roman"/>
          <w:sz w:val="20"/>
          <w:szCs w:val="20"/>
        </w:rPr>
        <w:t xml:space="preserve">14. </w:t>
      </w:r>
    </w:p>
    <w:p w14:paraId="3B0CB0BE" w14:textId="01CB70ED" w:rsidR="00C926BB" w:rsidRPr="0096262F" w:rsidRDefault="002504CD" w:rsidP="0093190E">
      <w:pPr>
        <w:pStyle w:val="Bibliography"/>
        <w:spacing w:before="120" w:after="120"/>
        <w:ind w:left="0" w:firstLine="0"/>
        <w:jc w:val="both"/>
        <w:rPr>
          <w:rFonts w:cs="Times New Roman"/>
          <w:sz w:val="20"/>
          <w:szCs w:val="20"/>
        </w:rPr>
      </w:pPr>
      <w:r>
        <w:rPr>
          <w:rFonts w:cs="Times New Roman"/>
          <w:sz w:val="20"/>
          <w:szCs w:val="20"/>
        </w:rPr>
        <w:t>9.</w:t>
      </w:r>
      <w:r>
        <w:rPr>
          <w:rFonts w:cs="Times New Roman"/>
          <w:sz w:val="20"/>
          <w:szCs w:val="20"/>
        </w:rPr>
        <w:tab/>
        <w:t>G. Murtaza</w:t>
      </w:r>
      <w:r w:rsidR="00C926BB" w:rsidRPr="0096262F">
        <w:rPr>
          <w:rFonts w:cs="Times New Roman"/>
          <w:sz w:val="20"/>
          <w:szCs w:val="20"/>
        </w:rPr>
        <w:t xml:space="preserve">, </w:t>
      </w:r>
      <w:r w:rsidRPr="0096262F">
        <w:rPr>
          <w:rFonts w:cs="Times New Roman"/>
          <w:sz w:val="20"/>
          <w:szCs w:val="20"/>
        </w:rPr>
        <w:t>M</w:t>
      </w:r>
      <w:r>
        <w:rPr>
          <w:rFonts w:cs="Times New Roman"/>
          <w:sz w:val="20"/>
          <w:szCs w:val="20"/>
        </w:rPr>
        <w:t xml:space="preserve">. </w:t>
      </w:r>
      <w:r w:rsidRPr="0096262F">
        <w:rPr>
          <w:rFonts w:cs="Times New Roman"/>
          <w:sz w:val="20"/>
          <w:szCs w:val="20"/>
        </w:rPr>
        <w:t>Y</w:t>
      </w:r>
      <w:r>
        <w:rPr>
          <w:rFonts w:cs="Times New Roman"/>
          <w:sz w:val="20"/>
          <w:szCs w:val="20"/>
        </w:rPr>
        <w:t xml:space="preserve">. </w:t>
      </w:r>
      <w:r w:rsidRPr="0096262F">
        <w:rPr>
          <w:rFonts w:cs="Times New Roman"/>
          <w:sz w:val="20"/>
          <w:szCs w:val="20"/>
        </w:rPr>
        <w:t>G</w:t>
      </w:r>
      <w:r>
        <w:rPr>
          <w:rFonts w:cs="Times New Roman"/>
          <w:sz w:val="20"/>
          <w:szCs w:val="20"/>
        </w:rPr>
        <w:t>.</w:t>
      </w:r>
      <w:r>
        <w:rPr>
          <w:rFonts w:cs="Times New Roman"/>
          <w:sz w:val="20"/>
          <w:szCs w:val="20"/>
        </w:rPr>
        <w:t xml:space="preserve"> </w:t>
      </w:r>
      <w:r w:rsidR="00C926BB" w:rsidRPr="0096262F">
        <w:rPr>
          <w:rFonts w:cs="Times New Roman"/>
          <w:sz w:val="20"/>
          <w:szCs w:val="20"/>
        </w:rPr>
        <w:t>Khan</w:t>
      </w:r>
      <w:r>
        <w:rPr>
          <w:rFonts w:cs="Times New Roman"/>
          <w:sz w:val="20"/>
          <w:szCs w:val="20"/>
        </w:rPr>
        <w:t>, S. Azhar</w:t>
      </w:r>
      <w:r w:rsidR="00C926BB" w:rsidRPr="0096262F">
        <w:rPr>
          <w:rFonts w:cs="Times New Roman"/>
          <w:sz w:val="20"/>
          <w:szCs w:val="20"/>
        </w:rPr>
        <w:t xml:space="preserve">, </w:t>
      </w:r>
      <w:r>
        <w:rPr>
          <w:rFonts w:cs="Times New Roman"/>
          <w:sz w:val="20"/>
          <w:szCs w:val="20"/>
        </w:rPr>
        <w:t xml:space="preserve">S. A. </w:t>
      </w:r>
      <w:r w:rsidR="00C926BB" w:rsidRPr="0096262F">
        <w:rPr>
          <w:rFonts w:cs="Times New Roman"/>
          <w:sz w:val="20"/>
          <w:szCs w:val="20"/>
        </w:rPr>
        <w:t>K</w:t>
      </w:r>
      <w:r>
        <w:rPr>
          <w:rFonts w:cs="Times New Roman"/>
          <w:sz w:val="20"/>
          <w:szCs w:val="20"/>
        </w:rPr>
        <w:t>han, T. M. Khan</w:t>
      </w:r>
      <w:r w:rsidR="00C926BB" w:rsidRPr="0096262F">
        <w:rPr>
          <w:rFonts w:cs="Times New Roman"/>
          <w:sz w:val="20"/>
          <w:szCs w:val="20"/>
        </w:rPr>
        <w:t>. Assessment of potential drug–drug interactions and its associated factors in the hospitalized cardiac</w:t>
      </w:r>
      <w:r w:rsidR="00C926BB">
        <w:rPr>
          <w:rFonts w:cs="Times New Roman"/>
          <w:sz w:val="20"/>
          <w:szCs w:val="20"/>
        </w:rPr>
        <w:t xml:space="preserve"> patients, </w:t>
      </w:r>
      <w:r w:rsidR="00C926BB">
        <w:rPr>
          <w:rFonts w:cs="Times New Roman"/>
          <w:i/>
          <w:sz w:val="20"/>
          <w:szCs w:val="20"/>
        </w:rPr>
        <w:t xml:space="preserve">Saudi Pharmaceutical Journal, </w:t>
      </w:r>
      <w:r w:rsidR="00C926BB" w:rsidRPr="001F6768">
        <w:rPr>
          <w:rFonts w:cs="Times New Roman"/>
          <w:b/>
          <w:sz w:val="20"/>
          <w:szCs w:val="20"/>
        </w:rPr>
        <w:t>2016</w:t>
      </w:r>
      <w:r w:rsidR="00C926BB">
        <w:rPr>
          <w:rFonts w:cs="Times New Roman"/>
          <w:sz w:val="20"/>
          <w:szCs w:val="20"/>
        </w:rPr>
        <w:t xml:space="preserve">, </w:t>
      </w:r>
      <w:r w:rsidR="00C926BB" w:rsidRPr="001F6768">
        <w:rPr>
          <w:rFonts w:cs="Times New Roman"/>
          <w:i/>
          <w:sz w:val="20"/>
          <w:szCs w:val="20"/>
        </w:rPr>
        <w:t>24</w:t>
      </w:r>
      <w:r w:rsidR="00C926BB">
        <w:rPr>
          <w:rFonts w:cs="Times New Roman"/>
          <w:sz w:val="20"/>
          <w:szCs w:val="20"/>
        </w:rPr>
        <w:t>(2), 220-22</w:t>
      </w:r>
      <w:r w:rsidR="00C926BB" w:rsidRPr="0096262F">
        <w:rPr>
          <w:rFonts w:cs="Times New Roman"/>
          <w:sz w:val="20"/>
          <w:szCs w:val="20"/>
        </w:rPr>
        <w:t xml:space="preserve">5. </w:t>
      </w:r>
    </w:p>
    <w:p w14:paraId="70E54110" w14:textId="3EC02651" w:rsidR="00C926BB" w:rsidRPr="0096262F" w:rsidRDefault="002504CD" w:rsidP="0093190E">
      <w:pPr>
        <w:pStyle w:val="Bibliography"/>
        <w:spacing w:before="120" w:after="120"/>
        <w:ind w:left="0" w:firstLine="0"/>
        <w:jc w:val="both"/>
        <w:rPr>
          <w:rFonts w:cs="Times New Roman"/>
          <w:sz w:val="20"/>
          <w:szCs w:val="20"/>
        </w:rPr>
      </w:pPr>
      <w:r>
        <w:rPr>
          <w:rFonts w:cs="Times New Roman"/>
          <w:sz w:val="20"/>
          <w:szCs w:val="20"/>
        </w:rPr>
        <w:t>10.</w:t>
      </w:r>
      <w:r>
        <w:rPr>
          <w:rFonts w:cs="Times New Roman"/>
          <w:sz w:val="20"/>
          <w:szCs w:val="20"/>
        </w:rPr>
        <w:tab/>
        <w:t>R. Farooqui, T. Hoor, N. Karim, M. Muneer</w:t>
      </w:r>
      <w:r w:rsidR="00C926BB" w:rsidRPr="0096262F">
        <w:rPr>
          <w:rFonts w:cs="Times New Roman"/>
          <w:sz w:val="20"/>
          <w:szCs w:val="20"/>
        </w:rPr>
        <w:t xml:space="preserve">. Potential Drug-Drug Interactions among Patients </w:t>
      </w:r>
      <w:r w:rsidR="00C926BB" w:rsidRPr="0096262F">
        <w:rPr>
          <w:rFonts w:cs="Times New Roman"/>
          <w:sz w:val="20"/>
          <w:szCs w:val="20"/>
        </w:rPr>
        <w:lastRenderedPageBreak/>
        <w:t>prescriptions collected fr</w:t>
      </w:r>
      <w:r w:rsidR="00C926BB">
        <w:rPr>
          <w:rFonts w:cs="Times New Roman"/>
          <w:sz w:val="20"/>
          <w:szCs w:val="20"/>
        </w:rPr>
        <w:t xml:space="preserve">om Medicine Out-patient Setting, </w:t>
      </w:r>
      <w:r w:rsidR="00C926BB" w:rsidRPr="00FF3FA3">
        <w:rPr>
          <w:rFonts w:cs="Times New Roman"/>
          <w:i/>
          <w:sz w:val="20"/>
          <w:szCs w:val="20"/>
        </w:rPr>
        <w:t>Pak</w:t>
      </w:r>
      <w:r>
        <w:rPr>
          <w:rFonts w:cs="Times New Roman"/>
          <w:i/>
          <w:sz w:val="20"/>
          <w:szCs w:val="20"/>
        </w:rPr>
        <w:t>istan</w:t>
      </w:r>
      <w:r w:rsidR="00C926BB" w:rsidRPr="00FF3FA3">
        <w:rPr>
          <w:rFonts w:cs="Times New Roman"/>
          <w:i/>
          <w:sz w:val="20"/>
          <w:szCs w:val="20"/>
        </w:rPr>
        <w:t xml:space="preserve"> J</w:t>
      </w:r>
      <w:r>
        <w:rPr>
          <w:rFonts w:cs="Times New Roman"/>
          <w:i/>
          <w:sz w:val="20"/>
          <w:szCs w:val="20"/>
        </w:rPr>
        <w:t>ournal of</w:t>
      </w:r>
      <w:r w:rsidR="00C926BB" w:rsidRPr="00FF3FA3">
        <w:rPr>
          <w:rFonts w:cs="Times New Roman"/>
          <w:i/>
          <w:sz w:val="20"/>
          <w:szCs w:val="20"/>
        </w:rPr>
        <w:t xml:space="preserve"> Med</w:t>
      </w:r>
      <w:r>
        <w:rPr>
          <w:rFonts w:cs="Times New Roman"/>
          <w:i/>
          <w:sz w:val="20"/>
          <w:szCs w:val="20"/>
        </w:rPr>
        <w:t>ical</w:t>
      </w:r>
      <w:r w:rsidR="00C926BB" w:rsidRPr="00FF3FA3">
        <w:rPr>
          <w:rFonts w:cs="Times New Roman"/>
          <w:i/>
          <w:sz w:val="20"/>
          <w:szCs w:val="20"/>
        </w:rPr>
        <w:t xml:space="preserve"> Sci</w:t>
      </w:r>
      <w:r>
        <w:rPr>
          <w:rFonts w:cs="Times New Roman"/>
          <w:i/>
          <w:sz w:val="20"/>
          <w:szCs w:val="20"/>
        </w:rPr>
        <w:t>ences</w:t>
      </w:r>
      <w:r w:rsidR="00C926BB">
        <w:rPr>
          <w:rFonts w:cs="Times New Roman"/>
          <w:sz w:val="20"/>
          <w:szCs w:val="20"/>
        </w:rPr>
        <w:t xml:space="preserve">, </w:t>
      </w:r>
      <w:r w:rsidR="00C926BB" w:rsidRPr="00FF3FA3">
        <w:rPr>
          <w:rFonts w:cs="Times New Roman"/>
          <w:b/>
          <w:sz w:val="20"/>
          <w:szCs w:val="20"/>
        </w:rPr>
        <w:t>2018</w:t>
      </w:r>
      <w:r w:rsidR="00C926BB">
        <w:rPr>
          <w:rFonts w:cs="Times New Roman"/>
          <w:sz w:val="20"/>
          <w:szCs w:val="20"/>
        </w:rPr>
        <w:t xml:space="preserve">, </w:t>
      </w:r>
      <w:r w:rsidR="00C926BB" w:rsidRPr="00FF3FA3">
        <w:rPr>
          <w:rFonts w:cs="Times New Roman"/>
          <w:i/>
          <w:sz w:val="20"/>
          <w:szCs w:val="20"/>
        </w:rPr>
        <w:t>34</w:t>
      </w:r>
      <w:r w:rsidR="00C926BB">
        <w:rPr>
          <w:rFonts w:cs="Times New Roman"/>
          <w:sz w:val="20"/>
          <w:szCs w:val="20"/>
        </w:rPr>
        <w:t>(1), 144-14</w:t>
      </w:r>
      <w:r w:rsidR="00C926BB" w:rsidRPr="0096262F">
        <w:rPr>
          <w:rFonts w:cs="Times New Roman"/>
          <w:sz w:val="20"/>
          <w:szCs w:val="20"/>
        </w:rPr>
        <w:t xml:space="preserve">8. </w:t>
      </w:r>
    </w:p>
    <w:p w14:paraId="25FDED10" w14:textId="2E27CA81" w:rsidR="00C926BB" w:rsidRPr="0096262F" w:rsidRDefault="00C926BB" w:rsidP="0093190E">
      <w:pPr>
        <w:pStyle w:val="Bibliography"/>
        <w:spacing w:before="120" w:after="120"/>
        <w:ind w:left="0" w:firstLine="0"/>
        <w:jc w:val="both"/>
        <w:rPr>
          <w:rFonts w:cs="Times New Roman"/>
          <w:sz w:val="20"/>
          <w:szCs w:val="20"/>
        </w:rPr>
      </w:pPr>
      <w:r w:rsidRPr="0096262F">
        <w:rPr>
          <w:rFonts w:cs="Times New Roman"/>
          <w:sz w:val="20"/>
          <w:szCs w:val="20"/>
        </w:rPr>
        <w:t>11.</w:t>
      </w:r>
      <w:r w:rsidRPr="0096262F">
        <w:rPr>
          <w:rFonts w:cs="Times New Roman"/>
          <w:sz w:val="20"/>
          <w:szCs w:val="20"/>
        </w:rPr>
        <w:tab/>
      </w:r>
      <w:r w:rsidR="002504CD" w:rsidRPr="0096262F">
        <w:rPr>
          <w:rFonts w:cs="Times New Roman"/>
          <w:sz w:val="20"/>
          <w:szCs w:val="20"/>
        </w:rPr>
        <w:t>R</w:t>
      </w:r>
      <w:r w:rsidR="002504CD">
        <w:rPr>
          <w:rFonts w:cs="Times New Roman"/>
          <w:sz w:val="20"/>
          <w:szCs w:val="20"/>
        </w:rPr>
        <w:t xml:space="preserve">. </w:t>
      </w:r>
      <w:r w:rsidR="002504CD" w:rsidRPr="0096262F">
        <w:rPr>
          <w:rFonts w:cs="Times New Roman"/>
          <w:sz w:val="20"/>
          <w:szCs w:val="20"/>
        </w:rPr>
        <w:t>H</w:t>
      </w:r>
      <w:r w:rsidR="002504CD">
        <w:rPr>
          <w:rFonts w:cs="Times New Roman"/>
          <w:sz w:val="20"/>
          <w:szCs w:val="20"/>
        </w:rPr>
        <w:t xml:space="preserve">. </w:t>
      </w:r>
      <w:r w:rsidR="002504CD" w:rsidRPr="0096262F">
        <w:rPr>
          <w:rFonts w:cs="Times New Roman"/>
          <w:sz w:val="20"/>
          <w:szCs w:val="20"/>
        </w:rPr>
        <w:t>M</w:t>
      </w:r>
      <w:r w:rsidR="002504CD">
        <w:rPr>
          <w:rFonts w:cs="Times New Roman"/>
          <w:sz w:val="20"/>
          <w:szCs w:val="20"/>
        </w:rPr>
        <w:t>.</w:t>
      </w:r>
      <w:r w:rsidR="002504CD" w:rsidRPr="0096262F">
        <w:rPr>
          <w:rFonts w:cs="Times New Roman"/>
          <w:sz w:val="20"/>
          <w:szCs w:val="20"/>
        </w:rPr>
        <w:t xml:space="preserve"> </w:t>
      </w:r>
      <w:r w:rsidRPr="0096262F">
        <w:rPr>
          <w:rFonts w:cs="Times New Roman"/>
          <w:sz w:val="20"/>
          <w:szCs w:val="20"/>
        </w:rPr>
        <w:t xml:space="preserve">Furtado, </w:t>
      </w:r>
      <w:r w:rsidR="002504CD">
        <w:rPr>
          <w:rFonts w:cs="Times New Roman"/>
          <w:sz w:val="20"/>
          <w:szCs w:val="20"/>
        </w:rPr>
        <w:t>R. P. Giugliano</w:t>
      </w:r>
      <w:r w:rsidRPr="0096262F">
        <w:rPr>
          <w:rFonts w:cs="Times New Roman"/>
          <w:sz w:val="20"/>
          <w:szCs w:val="20"/>
        </w:rPr>
        <w:t xml:space="preserve">, </w:t>
      </w:r>
      <w:r w:rsidR="002504CD">
        <w:rPr>
          <w:rFonts w:cs="Times New Roman"/>
          <w:sz w:val="20"/>
          <w:szCs w:val="20"/>
        </w:rPr>
        <w:t xml:space="preserve">C. M. C. </w:t>
      </w:r>
      <w:r w:rsidRPr="0096262F">
        <w:rPr>
          <w:rFonts w:cs="Times New Roman"/>
          <w:sz w:val="20"/>
          <w:szCs w:val="20"/>
        </w:rPr>
        <w:t>Strunz</w:t>
      </w:r>
      <w:r w:rsidR="002504CD">
        <w:rPr>
          <w:rFonts w:cs="Times New Roman"/>
          <w:sz w:val="20"/>
          <w:szCs w:val="20"/>
        </w:rPr>
        <w:t>, C. C. Filho</w:t>
      </w:r>
      <w:r w:rsidRPr="0096262F">
        <w:rPr>
          <w:rFonts w:cs="Times New Roman"/>
          <w:sz w:val="20"/>
          <w:szCs w:val="20"/>
        </w:rPr>
        <w:t xml:space="preserve">, </w:t>
      </w:r>
      <w:r w:rsidR="002504CD">
        <w:rPr>
          <w:rFonts w:cs="Times New Roman"/>
          <w:sz w:val="20"/>
          <w:szCs w:val="20"/>
        </w:rPr>
        <w:t>J. A. F. Ramires</w:t>
      </w:r>
      <w:r w:rsidRPr="0096262F">
        <w:rPr>
          <w:rFonts w:cs="Times New Roman"/>
          <w:sz w:val="20"/>
          <w:szCs w:val="20"/>
        </w:rPr>
        <w:t xml:space="preserve">, </w:t>
      </w:r>
      <w:r w:rsidR="002504CD">
        <w:rPr>
          <w:rFonts w:cs="Times New Roman"/>
          <w:sz w:val="20"/>
          <w:szCs w:val="20"/>
        </w:rPr>
        <w:t>R. K. Filho</w:t>
      </w:r>
      <w:r w:rsidR="008D44A4">
        <w:rPr>
          <w:rFonts w:cs="Times New Roman"/>
          <w:sz w:val="20"/>
          <w:szCs w:val="20"/>
        </w:rPr>
        <w:t xml:space="preserve">, </w:t>
      </w:r>
      <w:r w:rsidR="008D44A4" w:rsidRPr="008D44A4">
        <w:rPr>
          <w:rFonts w:cs="Times New Roman"/>
          <w:sz w:val="20"/>
          <w:szCs w:val="20"/>
        </w:rPr>
        <w:t>P. A. L. Neto, A. C. Pereira, T. R. Rocha, B. T. Freir</w:t>
      </w:r>
      <w:r w:rsidR="008D44A4">
        <w:rPr>
          <w:rFonts w:cs="Times New Roman"/>
          <w:sz w:val="20"/>
          <w:szCs w:val="20"/>
        </w:rPr>
        <w:t>e, E. A. D'Amico, J. C. Nicolau</w:t>
      </w:r>
      <w:r w:rsidRPr="0096262F">
        <w:rPr>
          <w:rFonts w:cs="Times New Roman"/>
          <w:sz w:val="20"/>
          <w:szCs w:val="20"/>
        </w:rPr>
        <w:t xml:space="preserve">. Drug Interaction Between Clopidogrel and Ranitidine or Omeprazole in Stable Coronary Artery Disease: A Double-Blind, </w:t>
      </w:r>
      <w:r>
        <w:rPr>
          <w:rFonts w:cs="Times New Roman"/>
          <w:sz w:val="20"/>
          <w:szCs w:val="20"/>
        </w:rPr>
        <w:t xml:space="preserve">Double Dummy, Randomized Study, </w:t>
      </w:r>
      <w:r w:rsidRPr="00FF3FA3">
        <w:rPr>
          <w:rFonts w:cs="Times New Roman"/>
          <w:i/>
          <w:sz w:val="20"/>
          <w:szCs w:val="20"/>
        </w:rPr>
        <w:t>Am</w:t>
      </w:r>
      <w:r w:rsidR="008D44A4">
        <w:rPr>
          <w:rFonts w:cs="Times New Roman"/>
          <w:i/>
          <w:sz w:val="20"/>
          <w:szCs w:val="20"/>
        </w:rPr>
        <w:t>erican</w:t>
      </w:r>
      <w:r w:rsidRPr="00FF3FA3">
        <w:rPr>
          <w:rFonts w:cs="Times New Roman"/>
          <w:i/>
          <w:sz w:val="20"/>
          <w:szCs w:val="20"/>
        </w:rPr>
        <w:t xml:space="preserve"> J</w:t>
      </w:r>
      <w:r w:rsidR="008D44A4">
        <w:rPr>
          <w:rFonts w:cs="Times New Roman"/>
          <w:i/>
          <w:sz w:val="20"/>
          <w:szCs w:val="20"/>
        </w:rPr>
        <w:t>ournal of</w:t>
      </w:r>
      <w:r w:rsidRPr="00FF3FA3">
        <w:rPr>
          <w:rFonts w:cs="Times New Roman"/>
          <w:i/>
          <w:sz w:val="20"/>
          <w:szCs w:val="20"/>
        </w:rPr>
        <w:t xml:space="preserve"> Cardiovasc</w:t>
      </w:r>
      <w:r w:rsidR="008D44A4">
        <w:rPr>
          <w:rFonts w:cs="Times New Roman"/>
          <w:i/>
          <w:sz w:val="20"/>
          <w:szCs w:val="20"/>
        </w:rPr>
        <w:t>ular</w:t>
      </w:r>
      <w:r w:rsidRPr="00FF3FA3">
        <w:rPr>
          <w:rFonts w:cs="Times New Roman"/>
          <w:i/>
          <w:sz w:val="20"/>
          <w:szCs w:val="20"/>
        </w:rPr>
        <w:t xml:space="preserve"> Drugs</w:t>
      </w:r>
      <w:r>
        <w:rPr>
          <w:rFonts w:cs="Times New Roman"/>
          <w:sz w:val="20"/>
          <w:szCs w:val="20"/>
        </w:rPr>
        <w:t>,</w:t>
      </w:r>
      <w:r w:rsidRPr="0096262F">
        <w:rPr>
          <w:rFonts w:cs="Times New Roman"/>
          <w:sz w:val="20"/>
          <w:szCs w:val="20"/>
        </w:rPr>
        <w:t xml:space="preserve"> </w:t>
      </w:r>
      <w:r w:rsidRPr="00FF3FA3">
        <w:rPr>
          <w:rFonts w:cs="Times New Roman"/>
          <w:b/>
          <w:sz w:val="20"/>
          <w:szCs w:val="20"/>
        </w:rPr>
        <w:t>2016</w:t>
      </w:r>
      <w:r>
        <w:rPr>
          <w:rFonts w:cs="Times New Roman"/>
          <w:sz w:val="20"/>
          <w:szCs w:val="20"/>
        </w:rPr>
        <w:t xml:space="preserve">, </w:t>
      </w:r>
      <w:r w:rsidRPr="00FF3FA3">
        <w:rPr>
          <w:rFonts w:cs="Times New Roman"/>
          <w:i/>
          <w:sz w:val="20"/>
          <w:szCs w:val="20"/>
        </w:rPr>
        <w:t>16</w:t>
      </w:r>
      <w:r>
        <w:rPr>
          <w:rFonts w:cs="Times New Roman"/>
          <w:sz w:val="20"/>
          <w:szCs w:val="20"/>
        </w:rPr>
        <w:t>(4), 275-2</w:t>
      </w:r>
      <w:r w:rsidRPr="0096262F">
        <w:rPr>
          <w:rFonts w:cs="Times New Roman"/>
          <w:sz w:val="20"/>
          <w:szCs w:val="20"/>
        </w:rPr>
        <w:t xml:space="preserve">84. </w:t>
      </w:r>
    </w:p>
    <w:p w14:paraId="45D01E09" w14:textId="140DA724" w:rsidR="00892097" w:rsidRPr="0096262F" w:rsidRDefault="00892097" w:rsidP="0093190E">
      <w:pPr>
        <w:pStyle w:val="Bibliography"/>
        <w:tabs>
          <w:tab w:val="clear" w:pos="380"/>
        </w:tabs>
        <w:spacing w:before="120" w:after="120"/>
        <w:ind w:left="0" w:firstLine="0"/>
        <w:jc w:val="both"/>
        <w:rPr>
          <w:rFonts w:cs="Times New Roman"/>
          <w:sz w:val="20"/>
          <w:szCs w:val="20"/>
        </w:rPr>
      </w:pPr>
      <w:r w:rsidRPr="0096262F">
        <w:rPr>
          <w:rFonts w:cs="Times New Roman"/>
          <w:sz w:val="20"/>
          <w:szCs w:val="20"/>
        </w:rPr>
        <w:t>12.</w:t>
      </w:r>
      <w:proofErr w:type="gramStart"/>
      <w:r w:rsidRPr="0096262F">
        <w:rPr>
          <w:rFonts w:cs="Times New Roman"/>
          <w:sz w:val="20"/>
          <w:szCs w:val="20"/>
        </w:rPr>
        <w:tab/>
      </w:r>
      <w:r w:rsidR="00FC7A3F">
        <w:rPr>
          <w:rFonts w:cs="Times New Roman"/>
          <w:sz w:val="20"/>
          <w:szCs w:val="20"/>
        </w:rPr>
        <w:t xml:space="preserve"> </w:t>
      </w:r>
      <w:r w:rsidR="00B40C81">
        <w:rPr>
          <w:rFonts w:cs="Times New Roman"/>
          <w:sz w:val="20"/>
          <w:szCs w:val="20"/>
        </w:rPr>
        <w:t xml:space="preserve"> </w:t>
      </w:r>
      <w:r w:rsidR="008D44A4">
        <w:rPr>
          <w:rFonts w:cs="Times New Roman"/>
          <w:sz w:val="20"/>
          <w:szCs w:val="20"/>
        </w:rPr>
        <w:t>T.</w:t>
      </w:r>
      <w:proofErr w:type="gramEnd"/>
      <w:r w:rsidR="008D44A4">
        <w:rPr>
          <w:rFonts w:cs="Times New Roman"/>
          <w:sz w:val="20"/>
          <w:szCs w:val="20"/>
        </w:rPr>
        <w:t xml:space="preserve"> Furuta, M. Sugimoto, C. Kodaira, M. Nishino, M. Yamade, T. Uotani, S. Sahara</w:t>
      </w:r>
      <w:r w:rsidR="007D40EA">
        <w:rPr>
          <w:rFonts w:cs="Times New Roman"/>
          <w:sz w:val="20"/>
          <w:szCs w:val="20"/>
        </w:rPr>
        <w:t xml:space="preserve">, </w:t>
      </w:r>
      <w:r w:rsidR="008D44A4">
        <w:rPr>
          <w:rFonts w:cs="Times New Roman"/>
          <w:sz w:val="20"/>
          <w:szCs w:val="20"/>
        </w:rPr>
        <w:t>H. Ichikawa, T. Kagami, M. Iwaizumi</w:t>
      </w:r>
      <w:r w:rsidR="007D40EA" w:rsidRPr="007D40EA">
        <w:rPr>
          <w:rFonts w:cs="Times New Roman"/>
          <w:sz w:val="20"/>
          <w:szCs w:val="20"/>
        </w:rPr>
        <w:t xml:space="preserve">, </w:t>
      </w:r>
      <w:r w:rsidR="008D44A4">
        <w:rPr>
          <w:rFonts w:cs="Times New Roman"/>
          <w:sz w:val="20"/>
          <w:szCs w:val="20"/>
        </w:rPr>
        <w:t xml:space="preserve">M. </w:t>
      </w:r>
      <w:r w:rsidR="007D40EA" w:rsidRPr="007D40EA">
        <w:rPr>
          <w:rFonts w:cs="Times New Roman"/>
          <w:sz w:val="20"/>
          <w:szCs w:val="20"/>
        </w:rPr>
        <w:t>Ha</w:t>
      </w:r>
      <w:r w:rsidR="008D44A4">
        <w:rPr>
          <w:rFonts w:cs="Times New Roman"/>
          <w:sz w:val="20"/>
          <w:szCs w:val="20"/>
        </w:rPr>
        <w:t>maya, S. Osawa, K. Sugimoto, K. Umemura</w:t>
      </w:r>
      <w:r w:rsidRPr="0096262F">
        <w:rPr>
          <w:rFonts w:cs="Times New Roman"/>
          <w:sz w:val="20"/>
          <w:szCs w:val="20"/>
        </w:rPr>
        <w:t>. Influence of low-dose proton pump inhibitors administered concomitantly or separately on the anti-pl</w:t>
      </w:r>
      <w:r w:rsidR="00FF3FA3">
        <w:rPr>
          <w:rFonts w:cs="Times New Roman"/>
          <w:sz w:val="20"/>
          <w:szCs w:val="20"/>
        </w:rPr>
        <w:t xml:space="preserve">atelet function of clopidogrel, </w:t>
      </w:r>
      <w:r w:rsidRPr="00FF3FA3">
        <w:rPr>
          <w:rFonts w:cs="Times New Roman"/>
          <w:i/>
          <w:sz w:val="20"/>
          <w:szCs w:val="20"/>
        </w:rPr>
        <w:t>J</w:t>
      </w:r>
      <w:r w:rsidR="008D44A4">
        <w:rPr>
          <w:rFonts w:cs="Times New Roman"/>
          <w:i/>
          <w:sz w:val="20"/>
          <w:szCs w:val="20"/>
        </w:rPr>
        <w:t>ournal</w:t>
      </w:r>
      <w:r w:rsidRPr="00FF3FA3">
        <w:rPr>
          <w:rFonts w:cs="Times New Roman"/>
          <w:i/>
          <w:sz w:val="20"/>
          <w:szCs w:val="20"/>
        </w:rPr>
        <w:t xml:space="preserve"> Thromb</w:t>
      </w:r>
      <w:r w:rsidR="008D44A4">
        <w:rPr>
          <w:rFonts w:cs="Times New Roman"/>
          <w:i/>
          <w:sz w:val="20"/>
          <w:szCs w:val="20"/>
        </w:rPr>
        <w:t>osis and</w:t>
      </w:r>
      <w:r w:rsidRPr="00FF3FA3">
        <w:rPr>
          <w:rFonts w:cs="Times New Roman"/>
          <w:i/>
          <w:sz w:val="20"/>
          <w:szCs w:val="20"/>
        </w:rPr>
        <w:t xml:space="preserve"> Thrombolysis</w:t>
      </w:r>
      <w:r w:rsidR="00FF3FA3">
        <w:rPr>
          <w:rFonts w:cs="Times New Roman"/>
          <w:sz w:val="20"/>
          <w:szCs w:val="20"/>
        </w:rPr>
        <w:t xml:space="preserve">, </w:t>
      </w:r>
      <w:r w:rsidR="00FF3FA3" w:rsidRPr="00FF3FA3">
        <w:rPr>
          <w:rFonts w:cs="Times New Roman"/>
          <w:b/>
          <w:sz w:val="20"/>
          <w:szCs w:val="20"/>
        </w:rPr>
        <w:t>2017</w:t>
      </w:r>
      <w:r w:rsidR="00FF3FA3">
        <w:rPr>
          <w:rFonts w:cs="Times New Roman"/>
          <w:sz w:val="20"/>
          <w:szCs w:val="20"/>
        </w:rPr>
        <w:t xml:space="preserve">, </w:t>
      </w:r>
      <w:r w:rsidR="00FF3FA3" w:rsidRPr="00FF3FA3">
        <w:rPr>
          <w:rFonts w:cs="Times New Roman"/>
          <w:i/>
          <w:sz w:val="20"/>
          <w:szCs w:val="20"/>
        </w:rPr>
        <w:t>43</w:t>
      </w:r>
      <w:r w:rsidR="00FF3FA3">
        <w:rPr>
          <w:rFonts w:cs="Times New Roman"/>
          <w:sz w:val="20"/>
          <w:szCs w:val="20"/>
        </w:rPr>
        <w:t>(3), 333-3</w:t>
      </w:r>
      <w:r w:rsidRPr="0096262F">
        <w:rPr>
          <w:rFonts w:cs="Times New Roman"/>
          <w:sz w:val="20"/>
          <w:szCs w:val="20"/>
        </w:rPr>
        <w:t xml:space="preserve">42. </w:t>
      </w:r>
    </w:p>
    <w:p w14:paraId="5C1D1C1B" w14:textId="5D372FD8" w:rsidR="00892097" w:rsidRPr="0096262F" w:rsidRDefault="00892097" w:rsidP="0093190E">
      <w:pPr>
        <w:pStyle w:val="Bibliography"/>
        <w:tabs>
          <w:tab w:val="clear" w:pos="380"/>
        </w:tabs>
        <w:spacing w:before="120" w:after="120"/>
        <w:ind w:left="0" w:firstLine="0"/>
        <w:jc w:val="both"/>
        <w:rPr>
          <w:rFonts w:cs="Times New Roman"/>
          <w:sz w:val="20"/>
          <w:szCs w:val="20"/>
        </w:rPr>
      </w:pPr>
      <w:r w:rsidRPr="0096262F">
        <w:rPr>
          <w:rFonts w:cs="Times New Roman"/>
          <w:sz w:val="20"/>
          <w:szCs w:val="20"/>
        </w:rPr>
        <w:t>13.</w:t>
      </w:r>
      <w:proofErr w:type="gramStart"/>
      <w:r w:rsidRPr="0096262F">
        <w:rPr>
          <w:rFonts w:cs="Times New Roman"/>
          <w:sz w:val="20"/>
          <w:szCs w:val="20"/>
        </w:rPr>
        <w:tab/>
      </w:r>
      <w:r w:rsidR="00122DA1">
        <w:rPr>
          <w:rFonts w:cs="Times New Roman"/>
          <w:sz w:val="20"/>
          <w:szCs w:val="20"/>
        </w:rPr>
        <w:t xml:space="preserve"> </w:t>
      </w:r>
      <w:r w:rsidR="00B40C81">
        <w:rPr>
          <w:rFonts w:cs="Times New Roman"/>
          <w:sz w:val="20"/>
          <w:szCs w:val="20"/>
        </w:rPr>
        <w:t xml:space="preserve"> </w:t>
      </w:r>
      <w:r w:rsidR="008D44A4">
        <w:rPr>
          <w:rFonts w:cs="Times New Roman"/>
          <w:sz w:val="20"/>
          <w:szCs w:val="20"/>
        </w:rPr>
        <w:t>D.</w:t>
      </w:r>
      <w:proofErr w:type="gramEnd"/>
      <w:r w:rsidR="008D44A4">
        <w:rPr>
          <w:rFonts w:cs="Times New Roman"/>
          <w:sz w:val="20"/>
          <w:szCs w:val="20"/>
        </w:rPr>
        <w:t xml:space="preserve"> N. Juurlink</w:t>
      </w:r>
      <w:r w:rsidRPr="0096262F">
        <w:rPr>
          <w:rFonts w:cs="Times New Roman"/>
          <w:sz w:val="20"/>
          <w:szCs w:val="20"/>
        </w:rPr>
        <w:t xml:space="preserve">, </w:t>
      </w:r>
      <w:r w:rsidR="008D44A4">
        <w:rPr>
          <w:rFonts w:cs="Times New Roman"/>
          <w:sz w:val="20"/>
          <w:szCs w:val="20"/>
        </w:rPr>
        <w:t>T. Gomes, D.T. Ko</w:t>
      </w:r>
      <w:r w:rsidRPr="0096262F">
        <w:rPr>
          <w:rFonts w:cs="Times New Roman"/>
          <w:sz w:val="20"/>
          <w:szCs w:val="20"/>
        </w:rPr>
        <w:t xml:space="preserve">, </w:t>
      </w:r>
      <w:r w:rsidR="008D44A4">
        <w:rPr>
          <w:rFonts w:cs="Times New Roman"/>
          <w:sz w:val="20"/>
          <w:szCs w:val="20"/>
        </w:rPr>
        <w:t xml:space="preserve">P. E. </w:t>
      </w:r>
      <w:r w:rsidRPr="0096262F">
        <w:rPr>
          <w:rFonts w:cs="Times New Roman"/>
          <w:sz w:val="20"/>
          <w:szCs w:val="20"/>
        </w:rPr>
        <w:t>Szm</w:t>
      </w:r>
      <w:r w:rsidR="008D44A4">
        <w:rPr>
          <w:rFonts w:cs="Times New Roman"/>
          <w:sz w:val="20"/>
          <w:szCs w:val="20"/>
        </w:rPr>
        <w:t>itko</w:t>
      </w:r>
      <w:r w:rsidRPr="0096262F">
        <w:rPr>
          <w:rFonts w:cs="Times New Roman"/>
          <w:sz w:val="20"/>
          <w:szCs w:val="20"/>
        </w:rPr>
        <w:t xml:space="preserve">, </w:t>
      </w:r>
      <w:r w:rsidR="008D44A4">
        <w:rPr>
          <w:rFonts w:cs="Times New Roman"/>
          <w:sz w:val="20"/>
          <w:szCs w:val="20"/>
        </w:rPr>
        <w:t xml:space="preserve">C. P. </w:t>
      </w:r>
      <w:r w:rsidRPr="0096262F">
        <w:rPr>
          <w:rFonts w:cs="Times New Roman"/>
          <w:sz w:val="20"/>
          <w:szCs w:val="20"/>
        </w:rPr>
        <w:t>A</w:t>
      </w:r>
      <w:r w:rsidR="008D44A4">
        <w:rPr>
          <w:rFonts w:cs="Times New Roman"/>
          <w:sz w:val="20"/>
          <w:szCs w:val="20"/>
        </w:rPr>
        <w:t>ustin, J. V. Tu</w:t>
      </w:r>
      <w:r w:rsidR="00122DA1">
        <w:rPr>
          <w:rFonts w:cs="Times New Roman"/>
          <w:sz w:val="20"/>
          <w:szCs w:val="20"/>
        </w:rPr>
        <w:t xml:space="preserve">, </w:t>
      </w:r>
      <w:r w:rsidR="008D44A4">
        <w:rPr>
          <w:rFonts w:cs="Times New Roman"/>
          <w:sz w:val="20"/>
          <w:szCs w:val="20"/>
        </w:rPr>
        <w:t>D. A. Henry, A. Kopp, M. M. Mamdani</w:t>
      </w:r>
      <w:r w:rsidRPr="0096262F">
        <w:rPr>
          <w:rFonts w:cs="Times New Roman"/>
          <w:sz w:val="20"/>
          <w:szCs w:val="20"/>
        </w:rPr>
        <w:t>. A population-based study of the drug interaction between proton p</w:t>
      </w:r>
      <w:r w:rsidR="00FF3FA3">
        <w:rPr>
          <w:rFonts w:cs="Times New Roman"/>
          <w:sz w:val="20"/>
          <w:szCs w:val="20"/>
        </w:rPr>
        <w:t xml:space="preserve">ump inhibitors and clopidogrel, </w:t>
      </w:r>
      <w:r w:rsidR="008D44A4">
        <w:rPr>
          <w:rFonts w:cs="Times New Roman"/>
          <w:i/>
          <w:sz w:val="20"/>
          <w:szCs w:val="20"/>
        </w:rPr>
        <w:t>Canadian Medical Association Journal</w:t>
      </w:r>
      <w:r w:rsidR="00FF3FA3">
        <w:rPr>
          <w:rFonts w:cs="Times New Roman"/>
          <w:sz w:val="20"/>
          <w:szCs w:val="20"/>
        </w:rPr>
        <w:t xml:space="preserve">, </w:t>
      </w:r>
      <w:r w:rsidR="00FF3FA3" w:rsidRPr="00FF3FA3">
        <w:rPr>
          <w:rFonts w:cs="Times New Roman"/>
          <w:b/>
          <w:sz w:val="20"/>
          <w:szCs w:val="20"/>
        </w:rPr>
        <w:t>2009</w:t>
      </w:r>
      <w:r w:rsidR="00FF3FA3">
        <w:rPr>
          <w:rFonts w:cs="Times New Roman"/>
          <w:sz w:val="20"/>
          <w:szCs w:val="20"/>
        </w:rPr>
        <w:t xml:space="preserve">, </w:t>
      </w:r>
      <w:r w:rsidR="00FF3FA3" w:rsidRPr="00FF3FA3">
        <w:rPr>
          <w:rFonts w:cs="Times New Roman"/>
          <w:i/>
          <w:sz w:val="20"/>
          <w:szCs w:val="20"/>
        </w:rPr>
        <w:t>180</w:t>
      </w:r>
      <w:r w:rsidR="00FF3FA3">
        <w:rPr>
          <w:rFonts w:cs="Times New Roman"/>
          <w:sz w:val="20"/>
          <w:szCs w:val="20"/>
        </w:rPr>
        <w:t>(7), 713-71</w:t>
      </w:r>
      <w:r w:rsidRPr="0096262F">
        <w:rPr>
          <w:rFonts w:cs="Times New Roman"/>
          <w:sz w:val="20"/>
          <w:szCs w:val="20"/>
        </w:rPr>
        <w:t xml:space="preserve">8. </w:t>
      </w:r>
    </w:p>
    <w:p w14:paraId="63CC13AB" w14:textId="7F8E74EF" w:rsidR="00892097" w:rsidRPr="0096262F" w:rsidRDefault="00892097" w:rsidP="0093190E">
      <w:pPr>
        <w:pStyle w:val="Bibliography"/>
        <w:tabs>
          <w:tab w:val="clear" w:pos="380"/>
        </w:tabs>
        <w:spacing w:before="120" w:after="120"/>
        <w:ind w:left="0" w:firstLine="0"/>
        <w:jc w:val="both"/>
        <w:rPr>
          <w:rFonts w:cs="Times New Roman"/>
          <w:sz w:val="20"/>
          <w:szCs w:val="20"/>
        </w:rPr>
      </w:pPr>
      <w:r w:rsidRPr="0096262F">
        <w:rPr>
          <w:rFonts w:cs="Times New Roman"/>
          <w:sz w:val="20"/>
          <w:szCs w:val="20"/>
        </w:rPr>
        <w:t>14.</w:t>
      </w:r>
      <w:proofErr w:type="gramStart"/>
      <w:r w:rsidRPr="0096262F">
        <w:rPr>
          <w:rFonts w:cs="Times New Roman"/>
          <w:sz w:val="20"/>
          <w:szCs w:val="20"/>
        </w:rPr>
        <w:tab/>
      </w:r>
      <w:r w:rsidR="00B57637">
        <w:rPr>
          <w:rFonts w:cs="Times New Roman"/>
          <w:sz w:val="20"/>
          <w:szCs w:val="20"/>
        </w:rPr>
        <w:t xml:space="preserve"> </w:t>
      </w:r>
      <w:r w:rsidR="00B40C81">
        <w:rPr>
          <w:rFonts w:cs="Times New Roman"/>
          <w:sz w:val="20"/>
          <w:szCs w:val="20"/>
        </w:rPr>
        <w:t xml:space="preserve"> </w:t>
      </w:r>
      <w:r w:rsidR="00517AEE">
        <w:rPr>
          <w:rFonts w:cs="Times New Roman"/>
          <w:sz w:val="20"/>
          <w:szCs w:val="20"/>
        </w:rPr>
        <w:t>M.</w:t>
      </w:r>
      <w:proofErr w:type="gramEnd"/>
      <w:r w:rsidR="00517AEE">
        <w:rPr>
          <w:rFonts w:cs="Times New Roman"/>
          <w:sz w:val="20"/>
          <w:szCs w:val="20"/>
        </w:rPr>
        <w:t xml:space="preserve"> M. Gulizia, F. Colivicchi</w:t>
      </w:r>
      <w:r w:rsidRPr="0096262F">
        <w:rPr>
          <w:rFonts w:cs="Times New Roman"/>
          <w:sz w:val="20"/>
          <w:szCs w:val="20"/>
        </w:rPr>
        <w:t xml:space="preserve">, </w:t>
      </w:r>
      <w:r w:rsidR="00517AEE">
        <w:rPr>
          <w:rFonts w:cs="Times New Roman"/>
          <w:sz w:val="20"/>
          <w:szCs w:val="20"/>
        </w:rPr>
        <w:t>M. G. Abrignani, M. Ambrosetti, N. Aspromonte, G. Barile</w:t>
      </w:r>
      <w:r w:rsidR="006A4DCB">
        <w:rPr>
          <w:rFonts w:cs="Times New Roman"/>
          <w:sz w:val="20"/>
          <w:szCs w:val="20"/>
        </w:rPr>
        <w:t xml:space="preserve">, </w:t>
      </w:r>
      <w:r w:rsidR="006A4DCB" w:rsidRPr="006A4DCB">
        <w:rPr>
          <w:rFonts w:cs="Times New Roman"/>
          <w:sz w:val="20"/>
          <w:szCs w:val="20"/>
        </w:rPr>
        <w:t>R. Caporale, G. Casolo, E. Chiuini, A. D. Lenarda, P. Faggiano, D. Gabrielli, G. Geraci, A. G. L. Manna, A. P. Maggioni, A. Marchese, F. M. Massari, G. F.  Mureddu, G. Musumeci, F. Nardi, A. V. Panno, R. F. E. Pedretti, M. Piredda, E. Pusineri, C. Riccio, R. Rossini, F. S. Uccio, S. Urbinati, F. Varbella, G. B.  Zito, L. D. Luca</w:t>
      </w:r>
      <w:r w:rsidRPr="0096262F">
        <w:rPr>
          <w:rFonts w:cs="Times New Roman"/>
          <w:sz w:val="20"/>
          <w:szCs w:val="20"/>
        </w:rPr>
        <w:t>. Consensus Document ANMCO/ANCE/ARCA/GICR-IACPR/GISE/SICOA: Long-term Antiplatelet Therapy in Patien</w:t>
      </w:r>
      <w:r w:rsidR="00FF3FA3">
        <w:rPr>
          <w:rFonts w:cs="Times New Roman"/>
          <w:sz w:val="20"/>
          <w:szCs w:val="20"/>
        </w:rPr>
        <w:t xml:space="preserve">ts with Coronary Artery Disease, </w:t>
      </w:r>
      <w:r w:rsidRPr="00FF3FA3">
        <w:rPr>
          <w:rFonts w:cs="Times New Roman"/>
          <w:i/>
          <w:sz w:val="20"/>
          <w:szCs w:val="20"/>
        </w:rPr>
        <w:t>Eur</w:t>
      </w:r>
      <w:r w:rsidR="006A4DCB">
        <w:rPr>
          <w:rFonts w:cs="Times New Roman"/>
          <w:i/>
          <w:sz w:val="20"/>
          <w:szCs w:val="20"/>
        </w:rPr>
        <w:t>opean</w:t>
      </w:r>
      <w:r w:rsidRPr="00FF3FA3">
        <w:rPr>
          <w:rFonts w:cs="Times New Roman"/>
          <w:i/>
          <w:sz w:val="20"/>
          <w:szCs w:val="20"/>
        </w:rPr>
        <w:t xml:space="preserve"> Heart J</w:t>
      </w:r>
      <w:r w:rsidR="006A4DCB">
        <w:rPr>
          <w:rFonts w:cs="Times New Roman"/>
          <w:i/>
          <w:sz w:val="20"/>
          <w:szCs w:val="20"/>
        </w:rPr>
        <w:t>ournal</w:t>
      </w:r>
      <w:r w:rsidRPr="00FF3FA3">
        <w:rPr>
          <w:rFonts w:cs="Times New Roman"/>
          <w:i/>
          <w:sz w:val="20"/>
          <w:szCs w:val="20"/>
        </w:rPr>
        <w:t xml:space="preserve"> Suppl</w:t>
      </w:r>
      <w:r w:rsidR="006A4DCB">
        <w:rPr>
          <w:rFonts w:cs="Times New Roman"/>
          <w:i/>
          <w:sz w:val="20"/>
          <w:szCs w:val="20"/>
        </w:rPr>
        <w:t>ements</w:t>
      </w:r>
      <w:r w:rsidR="00FF3FA3">
        <w:rPr>
          <w:rFonts w:cs="Times New Roman"/>
          <w:sz w:val="20"/>
          <w:szCs w:val="20"/>
        </w:rPr>
        <w:t xml:space="preserve">, </w:t>
      </w:r>
      <w:r w:rsidR="00FF3FA3" w:rsidRPr="00B66092">
        <w:rPr>
          <w:rFonts w:cs="Times New Roman"/>
          <w:b/>
          <w:sz w:val="20"/>
          <w:szCs w:val="20"/>
        </w:rPr>
        <w:t>2018</w:t>
      </w:r>
      <w:r w:rsidR="00FF3FA3">
        <w:rPr>
          <w:rFonts w:cs="Times New Roman"/>
          <w:sz w:val="20"/>
          <w:szCs w:val="20"/>
        </w:rPr>
        <w:t xml:space="preserve">, </w:t>
      </w:r>
      <w:r w:rsidRPr="00FF3FA3">
        <w:rPr>
          <w:rFonts w:cs="Times New Roman"/>
          <w:i/>
          <w:sz w:val="20"/>
          <w:szCs w:val="20"/>
        </w:rPr>
        <w:t>20</w:t>
      </w:r>
      <w:r w:rsidR="00FF3FA3">
        <w:rPr>
          <w:rFonts w:cs="Times New Roman"/>
          <w:sz w:val="20"/>
          <w:szCs w:val="20"/>
        </w:rPr>
        <w:t>(Suppl F), 1-</w:t>
      </w:r>
      <w:r w:rsidRPr="0096262F">
        <w:rPr>
          <w:rFonts w:cs="Times New Roman"/>
          <w:sz w:val="20"/>
          <w:szCs w:val="20"/>
        </w:rPr>
        <w:t xml:space="preserve">74. </w:t>
      </w:r>
    </w:p>
    <w:p w14:paraId="3A78446D" w14:textId="42F0A1F0" w:rsidR="00D156B4" w:rsidRPr="00CF565F" w:rsidRDefault="005269C6" w:rsidP="0093190E">
      <w:pPr>
        <w:pStyle w:val="References"/>
        <w:spacing w:before="120" w:after="120"/>
        <w:ind w:left="0" w:firstLine="0"/>
        <w:jc w:val="both"/>
        <w:rPr>
          <w:szCs w:val="18"/>
          <w:lang w:val="de-DE"/>
        </w:rPr>
      </w:pPr>
      <w:r>
        <w:rPr>
          <w:szCs w:val="18"/>
          <w:lang w:val="de-DE"/>
        </w:rPr>
        <w:fldChar w:fldCharType="end"/>
      </w:r>
    </w:p>
    <w:sectPr w:rsidR="00D156B4" w:rsidRPr="00CF565F" w:rsidSect="00C926BB">
      <w:type w:val="continuous"/>
      <w:pgSz w:w="11906" w:h="16838" w:code="9"/>
      <w:pgMar w:top="1134" w:right="1134" w:bottom="1134" w:left="1418" w:header="851" w:footer="851" w:gutter="0"/>
      <w:cols w:num="2" w:space="454"/>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BBD73" w14:textId="77777777" w:rsidR="005566A2" w:rsidRDefault="005566A2" w:rsidP="00A817AE">
      <w:r>
        <w:separator/>
      </w:r>
    </w:p>
  </w:endnote>
  <w:endnote w:type="continuationSeparator" w:id="0">
    <w:p w14:paraId="31FCBCFF" w14:textId="77777777" w:rsidR="005566A2" w:rsidRDefault="005566A2" w:rsidP="00A8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A1529" w14:textId="77777777" w:rsidR="00DC0FC7" w:rsidRDefault="00DC0FC7" w:rsidP="00D7288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C0BFB07" w14:textId="77777777" w:rsidR="00DC0FC7" w:rsidRDefault="00DC0FC7" w:rsidP="00BC322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37326" w14:textId="77777777" w:rsidR="00DC0FC7" w:rsidRDefault="00DC0FC7" w:rsidP="00D7288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330B">
      <w:rPr>
        <w:rStyle w:val="PageNumber"/>
        <w:noProof/>
      </w:rPr>
      <w:t>3</w:t>
    </w:r>
    <w:r>
      <w:rPr>
        <w:rStyle w:val="PageNumber"/>
      </w:rPr>
      <w:fldChar w:fldCharType="end"/>
    </w:r>
  </w:p>
  <w:p w14:paraId="4D8777ED" w14:textId="41FA82A9" w:rsidR="00DC0FC7" w:rsidRPr="00C82DB1" w:rsidRDefault="00DC0FC7" w:rsidP="00BC3220">
    <w:pPr>
      <w:ind w:right="360"/>
      <w:jc w:val="center"/>
      <w:rPr>
        <w:rFonts w:cs="Times New Roman"/>
        <w:color w:val="000000" w:themeColor="text1"/>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8D1DE" w14:textId="77777777" w:rsidR="005566A2" w:rsidRDefault="005566A2" w:rsidP="00A817AE">
      <w:r>
        <w:separator/>
      </w:r>
    </w:p>
  </w:footnote>
  <w:footnote w:type="continuationSeparator" w:id="0">
    <w:p w14:paraId="7116F4B0" w14:textId="77777777" w:rsidR="005566A2" w:rsidRDefault="005566A2" w:rsidP="00A817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738D0" w14:textId="62CF1D58" w:rsidR="00DC0FC7" w:rsidRPr="00484C0C" w:rsidRDefault="00DC0FC7" w:rsidP="006C5ECA">
    <w:pPr>
      <w:tabs>
        <w:tab w:val="center" w:pos="2835"/>
        <w:tab w:val="right" w:pos="8707"/>
      </w:tabs>
      <w:jc w:val="center"/>
      <w:rPr>
        <w:rFonts w:cs="Times New Roman"/>
        <w:i/>
        <w:sz w:val="17"/>
        <w:szCs w:val="17"/>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46A47" w14:textId="303F3EF7" w:rsidR="00DC0FC7" w:rsidRPr="00484C0C" w:rsidRDefault="00DC0FC7" w:rsidP="006C5ECA">
    <w:pPr>
      <w:tabs>
        <w:tab w:val="center" w:pos="2835"/>
        <w:tab w:val="right" w:pos="8707"/>
      </w:tabs>
      <w:jc w:val="center"/>
      <w:rPr>
        <w:rFonts w:cs="Times New Roman"/>
        <w:i/>
        <w:sz w:val="17"/>
        <w:szCs w:val="17"/>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C04B908"/>
    <w:lvl w:ilvl="0">
      <w:start w:val="1"/>
      <w:numFmt w:val="decimal"/>
      <w:lvlText w:val="%1."/>
      <w:lvlJc w:val="left"/>
      <w:pPr>
        <w:tabs>
          <w:tab w:val="num" w:pos="1800"/>
        </w:tabs>
        <w:ind w:left="1800" w:hanging="360"/>
      </w:pPr>
    </w:lvl>
  </w:abstractNum>
  <w:abstractNum w:abstractNumId="1">
    <w:nsid w:val="FFFFFF7D"/>
    <w:multiLevelType w:val="singleLevel"/>
    <w:tmpl w:val="34762192"/>
    <w:lvl w:ilvl="0">
      <w:start w:val="1"/>
      <w:numFmt w:val="decimal"/>
      <w:lvlText w:val="%1."/>
      <w:lvlJc w:val="left"/>
      <w:pPr>
        <w:tabs>
          <w:tab w:val="num" w:pos="1440"/>
        </w:tabs>
        <w:ind w:left="1440" w:hanging="360"/>
      </w:pPr>
    </w:lvl>
  </w:abstractNum>
  <w:abstractNum w:abstractNumId="2">
    <w:nsid w:val="FFFFFF7E"/>
    <w:multiLevelType w:val="singleLevel"/>
    <w:tmpl w:val="56C88CEA"/>
    <w:lvl w:ilvl="0">
      <w:start w:val="1"/>
      <w:numFmt w:val="decimal"/>
      <w:lvlText w:val="%1."/>
      <w:lvlJc w:val="left"/>
      <w:pPr>
        <w:tabs>
          <w:tab w:val="num" w:pos="926"/>
        </w:tabs>
        <w:ind w:left="926" w:hanging="360"/>
      </w:pPr>
    </w:lvl>
  </w:abstractNum>
  <w:abstractNum w:abstractNumId="3">
    <w:nsid w:val="FFFFFF7F"/>
    <w:multiLevelType w:val="singleLevel"/>
    <w:tmpl w:val="9B14D872"/>
    <w:lvl w:ilvl="0">
      <w:start w:val="1"/>
      <w:numFmt w:val="decimal"/>
      <w:lvlText w:val="%1."/>
      <w:lvlJc w:val="left"/>
      <w:pPr>
        <w:tabs>
          <w:tab w:val="num" w:pos="720"/>
        </w:tabs>
        <w:ind w:left="720" w:hanging="360"/>
      </w:pPr>
    </w:lvl>
  </w:abstractNum>
  <w:abstractNum w:abstractNumId="4">
    <w:nsid w:val="FFFFFF80"/>
    <w:multiLevelType w:val="singleLevel"/>
    <w:tmpl w:val="2FE0026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76018A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282698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CD402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31EC4E0"/>
    <w:lvl w:ilvl="0">
      <w:start w:val="1"/>
      <w:numFmt w:val="decimal"/>
      <w:lvlText w:val="%1."/>
      <w:lvlJc w:val="left"/>
      <w:pPr>
        <w:tabs>
          <w:tab w:val="num" w:pos="360"/>
        </w:tabs>
        <w:ind w:left="360" w:hanging="360"/>
      </w:pPr>
    </w:lvl>
  </w:abstractNum>
  <w:abstractNum w:abstractNumId="9">
    <w:nsid w:val="FFFFFF89"/>
    <w:multiLevelType w:val="singleLevel"/>
    <w:tmpl w:val="33C6BA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C4A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1AD7261"/>
    <w:multiLevelType w:val="hybridMultilevel"/>
    <w:tmpl w:val="7D56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FB311C"/>
    <w:multiLevelType w:val="hybridMultilevel"/>
    <w:tmpl w:val="07E2E436"/>
    <w:lvl w:ilvl="0" w:tplc="92C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9C3FC8"/>
    <w:multiLevelType w:val="hybridMultilevel"/>
    <w:tmpl w:val="3CA61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A853B40"/>
    <w:multiLevelType w:val="hybridMultilevel"/>
    <w:tmpl w:val="7C425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A31B1E"/>
    <w:multiLevelType w:val="hybridMultilevel"/>
    <w:tmpl w:val="59385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F67543"/>
    <w:multiLevelType w:val="hybridMultilevel"/>
    <w:tmpl w:val="6436012C"/>
    <w:lvl w:ilvl="0" w:tplc="4CBE999C">
      <w:start w:val="1"/>
      <w:numFmt w:val="decimal"/>
      <w:lvlText w:val="1.%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4302EC1"/>
    <w:multiLevelType w:val="hybridMultilevel"/>
    <w:tmpl w:val="FB90471E"/>
    <w:lvl w:ilvl="0" w:tplc="B91639E0">
      <w:start w:val="1"/>
      <w:numFmt w:val="lowerLetter"/>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B63E9B"/>
    <w:multiLevelType w:val="multilevel"/>
    <w:tmpl w:val="C0E00B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23BA3E7D"/>
    <w:multiLevelType w:val="hybridMultilevel"/>
    <w:tmpl w:val="0044933E"/>
    <w:lvl w:ilvl="0" w:tplc="3A50578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172ECB"/>
    <w:multiLevelType w:val="hybridMultilevel"/>
    <w:tmpl w:val="A8148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9A452E"/>
    <w:multiLevelType w:val="multilevel"/>
    <w:tmpl w:val="7240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8614A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B2C02CC"/>
    <w:multiLevelType w:val="hybridMultilevel"/>
    <w:tmpl w:val="F058F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7B3884"/>
    <w:multiLevelType w:val="hybridMultilevel"/>
    <w:tmpl w:val="DD6AD292"/>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D80550"/>
    <w:multiLevelType w:val="hybridMultilevel"/>
    <w:tmpl w:val="E9DE892E"/>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424101F"/>
    <w:multiLevelType w:val="multilevel"/>
    <w:tmpl w:val="526ED754"/>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F9876D2"/>
    <w:multiLevelType w:val="hybridMultilevel"/>
    <w:tmpl w:val="F9F25188"/>
    <w:lvl w:ilvl="0" w:tplc="5D02A794">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8693523"/>
    <w:multiLevelType w:val="hybridMultilevel"/>
    <w:tmpl w:val="036A42D2"/>
    <w:lvl w:ilvl="0" w:tplc="C44650DE">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86613E"/>
    <w:multiLevelType w:val="hybridMultilevel"/>
    <w:tmpl w:val="2B944FBC"/>
    <w:lvl w:ilvl="0" w:tplc="2E6E969C">
      <w:start w:val="1"/>
      <w:numFmt w:val="decimal"/>
      <w:lvlText w:val="3.%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30">
    <w:nsid w:val="54E219CD"/>
    <w:multiLevelType w:val="multilevel"/>
    <w:tmpl w:val="F92CD3B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557527A3"/>
    <w:multiLevelType w:val="hybridMultilevel"/>
    <w:tmpl w:val="8AA8C91E"/>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017B1E"/>
    <w:multiLevelType w:val="multilevel"/>
    <w:tmpl w:val="2836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AD0950"/>
    <w:multiLevelType w:val="hybridMultilevel"/>
    <w:tmpl w:val="CC3A6214"/>
    <w:lvl w:ilvl="0" w:tplc="0CC0985C">
      <w:start w:val="1"/>
      <w:numFmt w:val="bullet"/>
      <w:pStyle w:val="IdeaListing"/>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34">
    <w:nsid w:val="62BE6B61"/>
    <w:multiLevelType w:val="multilevel"/>
    <w:tmpl w:val="19C29424"/>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6376656D"/>
    <w:multiLevelType w:val="hybridMultilevel"/>
    <w:tmpl w:val="8982C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001FBE"/>
    <w:multiLevelType w:val="hybridMultilevel"/>
    <w:tmpl w:val="CA5231EC"/>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E00423"/>
    <w:multiLevelType w:val="hybridMultilevel"/>
    <w:tmpl w:val="CFA20A76"/>
    <w:lvl w:ilvl="0" w:tplc="BED236DA">
      <w:start w:val="1"/>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8">
    <w:nsid w:val="7226597D"/>
    <w:multiLevelType w:val="hybridMultilevel"/>
    <w:tmpl w:val="936CFC90"/>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9D4A98"/>
    <w:multiLevelType w:val="hybridMultilevel"/>
    <w:tmpl w:val="33603960"/>
    <w:lvl w:ilvl="0" w:tplc="11F67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F6665F"/>
    <w:multiLevelType w:val="multilevel"/>
    <w:tmpl w:val="B0ECBA9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43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1">
    <w:nsid w:val="799645B6"/>
    <w:multiLevelType w:val="hybridMultilevel"/>
    <w:tmpl w:val="1CE84818"/>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667CDB"/>
    <w:multiLevelType w:val="hybridMultilevel"/>
    <w:tmpl w:val="EF6A653C"/>
    <w:lvl w:ilvl="0" w:tplc="A3D83D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E12E46"/>
    <w:multiLevelType w:val="hybridMultilevel"/>
    <w:tmpl w:val="0372A952"/>
    <w:lvl w:ilvl="0" w:tplc="4CBE99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D023D8"/>
    <w:multiLevelType w:val="hybridMultilevel"/>
    <w:tmpl w:val="967C9F52"/>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0"/>
  </w:num>
  <w:num w:numId="2">
    <w:abstractNumId w:val="36"/>
  </w:num>
  <w:num w:numId="3">
    <w:abstractNumId w:val="36"/>
    <w:lvlOverride w:ilvl="0">
      <w:startOverride w:val="1"/>
    </w:lvlOverride>
  </w:num>
  <w:num w:numId="4">
    <w:abstractNumId w:val="24"/>
  </w:num>
  <w:num w:numId="5">
    <w:abstractNumId w:val="31"/>
  </w:num>
  <w:num w:numId="6">
    <w:abstractNumId w:val="11"/>
  </w:num>
  <w:num w:numId="7">
    <w:abstractNumId w:val="20"/>
  </w:num>
  <w:num w:numId="8">
    <w:abstractNumId w:val="41"/>
  </w:num>
  <w:num w:numId="9">
    <w:abstractNumId w:val="22"/>
  </w:num>
  <w:num w:numId="10">
    <w:abstractNumId w:val="16"/>
  </w:num>
  <w:num w:numId="11">
    <w:abstractNumId w:val="43"/>
  </w:num>
  <w:num w:numId="12">
    <w:abstractNumId w:val="25"/>
  </w:num>
  <w:num w:numId="13">
    <w:abstractNumId w:val="44"/>
  </w:num>
  <w:num w:numId="14">
    <w:abstractNumId w:val="26"/>
  </w:num>
  <w:num w:numId="15">
    <w:abstractNumId w:val="28"/>
  </w:num>
  <w:num w:numId="16">
    <w:abstractNumId w:val="37"/>
  </w:num>
  <w:num w:numId="17">
    <w:abstractNumId w:val="33"/>
  </w:num>
  <w:num w:numId="18">
    <w:abstractNumId w:val="27"/>
  </w:num>
  <w:num w:numId="19">
    <w:abstractNumId w:val="34"/>
  </w:num>
  <w:num w:numId="20">
    <w:abstractNumId w:val="12"/>
  </w:num>
  <w:num w:numId="21">
    <w:abstractNumId w:val="19"/>
  </w:num>
  <w:num w:numId="22">
    <w:abstractNumId w:val="39"/>
  </w:num>
  <w:num w:numId="23">
    <w:abstractNumId w:val="29"/>
  </w:num>
  <w:num w:numId="24">
    <w:abstractNumId w:val="29"/>
    <w:lvlOverride w:ilvl="0">
      <w:startOverride w:val="1"/>
    </w:lvlOverride>
  </w:num>
  <w:num w:numId="25">
    <w:abstractNumId w:val="38"/>
  </w:num>
  <w:num w:numId="26">
    <w:abstractNumId w:val="42"/>
  </w:num>
  <w:num w:numId="27">
    <w:abstractNumId w:val="10"/>
  </w:num>
  <w:num w:numId="28">
    <w:abstractNumId w:val="40"/>
  </w:num>
  <w:num w:numId="29">
    <w:abstractNumId w:val="15"/>
  </w:num>
  <w:num w:numId="30">
    <w:abstractNumId w:val="17"/>
  </w:num>
  <w:num w:numId="31">
    <w:abstractNumId w:val="2"/>
  </w:num>
  <w:num w:numId="32">
    <w:abstractNumId w:val="18"/>
  </w:num>
  <w:num w:numId="33">
    <w:abstractNumId w:val="21"/>
  </w:num>
  <w:num w:numId="34">
    <w:abstractNumId w:val="32"/>
  </w:num>
  <w:num w:numId="35">
    <w:abstractNumId w:val="40"/>
  </w:num>
  <w:num w:numId="36">
    <w:abstractNumId w:val="0"/>
  </w:num>
  <w:num w:numId="37">
    <w:abstractNumId w:val="1"/>
  </w:num>
  <w:num w:numId="38">
    <w:abstractNumId w:val="3"/>
  </w:num>
  <w:num w:numId="39">
    <w:abstractNumId w:val="8"/>
  </w:num>
  <w:num w:numId="40">
    <w:abstractNumId w:val="4"/>
  </w:num>
  <w:num w:numId="41">
    <w:abstractNumId w:val="5"/>
  </w:num>
  <w:num w:numId="42">
    <w:abstractNumId w:val="6"/>
  </w:num>
  <w:num w:numId="43">
    <w:abstractNumId w:val="7"/>
  </w:num>
  <w:num w:numId="44">
    <w:abstractNumId w:val="9"/>
  </w:num>
  <w:num w:numId="45">
    <w:abstractNumId w:val="40"/>
  </w:num>
  <w:num w:numId="46">
    <w:abstractNumId w:val="23"/>
  </w:num>
  <w:num w:numId="47">
    <w:abstractNumId w:val="35"/>
  </w:num>
  <w:num w:numId="48">
    <w:abstractNumId w:val="13"/>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4"/>
  <w:proofState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357"/>
  <w:doNotHyphenateCap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QwsjQzsrC0sDAxMDFQ0lEKTi0uzszPAykwqQUApcL/0CwAAAA="/>
  </w:docVars>
  <w:rsids>
    <w:rsidRoot w:val="00D21895"/>
    <w:rsid w:val="000007B1"/>
    <w:rsid w:val="00000A64"/>
    <w:rsid w:val="00003593"/>
    <w:rsid w:val="00006FE0"/>
    <w:rsid w:val="000073AC"/>
    <w:rsid w:val="00010A67"/>
    <w:rsid w:val="000112FB"/>
    <w:rsid w:val="000154F9"/>
    <w:rsid w:val="00015A4E"/>
    <w:rsid w:val="00015D06"/>
    <w:rsid w:val="00020A38"/>
    <w:rsid w:val="00020D70"/>
    <w:rsid w:val="000220AF"/>
    <w:rsid w:val="000222CC"/>
    <w:rsid w:val="000236DF"/>
    <w:rsid w:val="000276CA"/>
    <w:rsid w:val="00030E16"/>
    <w:rsid w:val="00032DE3"/>
    <w:rsid w:val="00036AAE"/>
    <w:rsid w:val="000408E9"/>
    <w:rsid w:val="000525FC"/>
    <w:rsid w:val="000533EE"/>
    <w:rsid w:val="00056BAC"/>
    <w:rsid w:val="000649EE"/>
    <w:rsid w:val="00073379"/>
    <w:rsid w:val="00073C4A"/>
    <w:rsid w:val="0007535C"/>
    <w:rsid w:val="00075EC0"/>
    <w:rsid w:val="0008053E"/>
    <w:rsid w:val="00080D1C"/>
    <w:rsid w:val="00081731"/>
    <w:rsid w:val="00082813"/>
    <w:rsid w:val="000828BD"/>
    <w:rsid w:val="00083917"/>
    <w:rsid w:val="000845BF"/>
    <w:rsid w:val="0008644D"/>
    <w:rsid w:val="00086C67"/>
    <w:rsid w:val="00086FDF"/>
    <w:rsid w:val="00087314"/>
    <w:rsid w:val="000900E0"/>
    <w:rsid w:val="00090A13"/>
    <w:rsid w:val="000922E8"/>
    <w:rsid w:val="00096ADB"/>
    <w:rsid w:val="000A136A"/>
    <w:rsid w:val="000A27C9"/>
    <w:rsid w:val="000A71D9"/>
    <w:rsid w:val="000A792A"/>
    <w:rsid w:val="000B14EA"/>
    <w:rsid w:val="000B3CC2"/>
    <w:rsid w:val="000B5B7B"/>
    <w:rsid w:val="000B610E"/>
    <w:rsid w:val="000B6F5B"/>
    <w:rsid w:val="000C79CF"/>
    <w:rsid w:val="000D02FF"/>
    <w:rsid w:val="000D1D80"/>
    <w:rsid w:val="000D2480"/>
    <w:rsid w:val="000D3DF8"/>
    <w:rsid w:val="000D6927"/>
    <w:rsid w:val="000D7B32"/>
    <w:rsid w:val="000E0E50"/>
    <w:rsid w:val="000E364B"/>
    <w:rsid w:val="000E399E"/>
    <w:rsid w:val="000E5AB4"/>
    <w:rsid w:val="000E6419"/>
    <w:rsid w:val="000E71C8"/>
    <w:rsid w:val="000F31F9"/>
    <w:rsid w:val="000F7559"/>
    <w:rsid w:val="00101836"/>
    <w:rsid w:val="00101BD1"/>
    <w:rsid w:val="00103189"/>
    <w:rsid w:val="0010479C"/>
    <w:rsid w:val="00107904"/>
    <w:rsid w:val="0011088F"/>
    <w:rsid w:val="001115C3"/>
    <w:rsid w:val="00112E22"/>
    <w:rsid w:val="001138A7"/>
    <w:rsid w:val="001138B4"/>
    <w:rsid w:val="00113EEC"/>
    <w:rsid w:val="00113F36"/>
    <w:rsid w:val="00114789"/>
    <w:rsid w:val="00116CB4"/>
    <w:rsid w:val="001213A8"/>
    <w:rsid w:val="00122DA1"/>
    <w:rsid w:val="00123FA7"/>
    <w:rsid w:val="0012460B"/>
    <w:rsid w:val="00125300"/>
    <w:rsid w:val="0012794B"/>
    <w:rsid w:val="001303B3"/>
    <w:rsid w:val="00132F25"/>
    <w:rsid w:val="00133868"/>
    <w:rsid w:val="0014246C"/>
    <w:rsid w:val="00151008"/>
    <w:rsid w:val="001539AC"/>
    <w:rsid w:val="00154068"/>
    <w:rsid w:val="001547F9"/>
    <w:rsid w:val="00161A0B"/>
    <w:rsid w:val="001647ED"/>
    <w:rsid w:val="00164AB4"/>
    <w:rsid w:val="00173927"/>
    <w:rsid w:val="00182DC6"/>
    <w:rsid w:val="00186FE5"/>
    <w:rsid w:val="00187E64"/>
    <w:rsid w:val="001970E1"/>
    <w:rsid w:val="001A0391"/>
    <w:rsid w:val="001A0A17"/>
    <w:rsid w:val="001B01B2"/>
    <w:rsid w:val="001B08FE"/>
    <w:rsid w:val="001B6366"/>
    <w:rsid w:val="001C0EA9"/>
    <w:rsid w:val="001C78A0"/>
    <w:rsid w:val="001D0032"/>
    <w:rsid w:val="001D49E6"/>
    <w:rsid w:val="001D5C6E"/>
    <w:rsid w:val="001D65E7"/>
    <w:rsid w:val="001E3F7C"/>
    <w:rsid w:val="001E4C3D"/>
    <w:rsid w:val="001E60B2"/>
    <w:rsid w:val="001E7A96"/>
    <w:rsid w:val="001F2E03"/>
    <w:rsid w:val="001F5A1C"/>
    <w:rsid w:val="001F6768"/>
    <w:rsid w:val="002004D0"/>
    <w:rsid w:val="0020238B"/>
    <w:rsid w:val="00203775"/>
    <w:rsid w:val="00206118"/>
    <w:rsid w:val="002078F9"/>
    <w:rsid w:val="00210F2D"/>
    <w:rsid w:val="0021115E"/>
    <w:rsid w:val="002129CB"/>
    <w:rsid w:val="0022381A"/>
    <w:rsid w:val="00224492"/>
    <w:rsid w:val="00225574"/>
    <w:rsid w:val="0022569D"/>
    <w:rsid w:val="0022590E"/>
    <w:rsid w:val="0023114C"/>
    <w:rsid w:val="0023597A"/>
    <w:rsid w:val="0023631B"/>
    <w:rsid w:val="002406F8"/>
    <w:rsid w:val="00240BC5"/>
    <w:rsid w:val="00243754"/>
    <w:rsid w:val="00244123"/>
    <w:rsid w:val="00245099"/>
    <w:rsid w:val="00245680"/>
    <w:rsid w:val="0025044B"/>
    <w:rsid w:val="002504CD"/>
    <w:rsid w:val="00250A37"/>
    <w:rsid w:val="002523E4"/>
    <w:rsid w:val="00252787"/>
    <w:rsid w:val="00256091"/>
    <w:rsid w:val="00260DBA"/>
    <w:rsid w:val="0026196C"/>
    <w:rsid w:val="00261D64"/>
    <w:rsid w:val="002757C7"/>
    <w:rsid w:val="00275E6B"/>
    <w:rsid w:val="00285042"/>
    <w:rsid w:val="002860BD"/>
    <w:rsid w:val="0028735E"/>
    <w:rsid w:val="0029015C"/>
    <w:rsid w:val="0029347B"/>
    <w:rsid w:val="00294D35"/>
    <w:rsid w:val="00295554"/>
    <w:rsid w:val="00296755"/>
    <w:rsid w:val="002A38A5"/>
    <w:rsid w:val="002A56E3"/>
    <w:rsid w:val="002A63CC"/>
    <w:rsid w:val="002A6924"/>
    <w:rsid w:val="002A77F6"/>
    <w:rsid w:val="002B30AE"/>
    <w:rsid w:val="002B3C47"/>
    <w:rsid w:val="002B4513"/>
    <w:rsid w:val="002B48E5"/>
    <w:rsid w:val="002B6500"/>
    <w:rsid w:val="002B6690"/>
    <w:rsid w:val="002C2466"/>
    <w:rsid w:val="002C5FC9"/>
    <w:rsid w:val="002D1FA2"/>
    <w:rsid w:val="002D24BD"/>
    <w:rsid w:val="002D490C"/>
    <w:rsid w:val="002D76DC"/>
    <w:rsid w:val="002D7FC1"/>
    <w:rsid w:val="002E1401"/>
    <w:rsid w:val="002E642D"/>
    <w:rsid w:val="002E74F7"/>
    <w:rsid w:val="002F0F13"/>
    <w:rsid w:val="002F2990"/>
    <w:rsid w:val="002F3065"/>
    <w:rsid w:val="002F3850"/>
    <w:rsid w:val="002F3DD6"/>
    <w:rsid w:val="002F3E17"/>
    <w:rsid w:val="002F58D2"/>
    <w:rsid w:val="002F5FE5"/>
    <w:rsid w:val="00300ABB"/>
    <w:rsid w:val="00302D09"/>
    <w:rsid w:val="0030748A"/>
    <w:rsid w:val="00307829"/>
    <w:rsid w:val="00311B4C"/>
    <w:rsid w:val="00311F13"/>
    <w:rsid w:val="00312314"/>
    <w:rsid w:val="00313188"/>
    <w:rsid w:val="003171B4"/>
    <w:rsid w:val="0032026F"/>
    <w:rsid w:val="00323632"/>
    <w:rsid w:val="00324288"/>
    <w:rsid w:val="00324A51"/>
    <w:rsid w:val="00324C4F"/>
    <w:rsid w:val="00325812"/>
    <w:rsid w:val="0032596A"/>
    <w:rsid w:val="003266A1"/>
    <w:rsid w:val="00327411"/>
    <w:rsid w:val="00334014"/>
    <w:rsid w:val="00334D95"/>
    <w:rsid w:val="00341ACE"/>
    <w:rsid w:val="00343291"/>
    <w:rsid w:val="003448A8"/>
    <w:rsid w:val="00351A02"/>
    <w:rsid w:val="003537BE"/>
    <w:rsid w:val="00362231"/>
    <w:rsid w:val="00363352"/>
    <w:rsid w:val="00365407"/>
    <w:rsid w:val="00366596"/>
    <w:rsid w:val="00366617"/>
    <w:rsid w:val="00366828"/>
    <w:rsid w:val="003676C9"/>
    <w:rsid w:val="003710CD"/>
    <w:rsid w:val="0037148C"/>
    <w:rsid w:val="0037406E"/>
    <w:rsid w:val="00376C17"/>
    <w:rsid w:val="00376ED7"/>
    <w:rsid w:val="00377842"/>
    <w:rsid w:val="00380609"/>
    <w:rsid w:val="00381EC6"/>
    <w:rsid w:val="003828C3"/>
    <w:rsid w:val="00384742"/>
    <w:rsid w:val="00387ECF"/>
    <w:rsid w:val="00392308"/>
    <w:rsid w:val="00392C86"/>
    <w:rsid w:val="003975DF"/>
    <w:rsid w:val="003A2683"/>
    <w:rsid w:val="003A51A8"/>
    <w:rsid w:val="003A5435"/>
    <w:rsid w:val="003A662C"/>
    <w:rsid w:val="003A67A6"/>
    <w:rsid w:val="003A6913"/>
    <w:rsid w:val="003B735A"/>
    <w:rsid w:val="003B7BE5"/>
    <w:rsid w:val="003C51C5"/>
    <w:rsid w:val="003C5352"/>
    <w:rsid w:val="003D6683"/>
    <w:rsid w:val="003E0265"/>
    <w:rsid w:val="003E3C98"/>
    <w:rsid w:val="003E76B1"/>
    <w:rsid w:val="003F0146"/>
    <w:rsid w:val="003F08E6"/>
    <w:rsid w:val="003F182B"/>
    <w:rsid w:val="003F1ECE"/>
    <w:rsid w:val="003F432D"/>
    <w:rsid w:val="003F5AC4"/>
    <w:rsid w:val="0040243B"/>
    <w:rsid w:val="00402C66"/>
    <w:rsid w:val="00410044"/>
    <w:rsid w:val="00410CC9"/>
    <w:rsid w:val="00411E62"/>
    <w:rsid w:val="004121B6"/>
    <w:rsid w:val="00412EA9"/>
    <w:rsid w:val="00422965"/>
    <w:rsid w:val="00424CB4"/>
    <w:rsid w:val="00426AA3"/>
    <w:rsid w:val="00431D86"/>
    <w:rsid w:val="00441EFC"/>
    <w:rsid w:val="004440DA"/>
    <w:rsid w:val="00452E4E"/>
    <w:rsid w:val="00455823"/>
    <w:rsid w:val="0046224D"/>
    <w:rsid w:val="00465BD2"/>
    <w:rsid w:val="0047106C"/>
    <w:rsid w:val="00474A2E"/>
    <w:rsid w:val="00477D73"/>
    <w:rsid w:val="0048092F"/>
    <w:rsid w:val="004815AE"/>
    <w:rsid w:val="00484C0C"/>
    <w:rsid w:val="00485AED"/>
    <w:rsid w:val="00486251"/>
    <w:rsid w:val="00486EDA"/>
    <w:rsid w:val="00487F1E"/>
    <w:rsid w:val="00490981"/>
    <w:rsid w:val="00490ABD"/>
    <w:rsid w:val="00491963"/>
    <w:rsid w:val="00495A3E"/>
    <w:rsid w:val="00495B6C"/>
    <w:rsid w:val="004A443D"/>
    <w:rsid w:val="004A5C90"/>
    <w:rsid w:val="004A7BA9"/>
    <w:rsid w:val="004B25E6"/>
    <w:rsid w:val="004B2718"/>
    <w:rsid w:val="004B3693"/>
    <w:rsid w:val="004B4D88"/>
    <w:rsid w:val="004B54AE"/>
    <w:rsid w:val="004B672B"/>
    <w:rsid w:val="004B75FD"/>
    <w:rsid w:val="004B7894"/>
    <w:rsid w:val="004C3D8E"/>
    <w:rsid w:val="004D09DE"/>
    <w:rsid w:val="004D4669"/>
    <w:rsid w:val="004D67B1"/>
    <w:rsid w:val="004E02F3"/>
    <w:rsid w:val="004E125A"/>
    <w:rsid w:val="004E2774"/>
    <w:rsid w:val="004E2ECD"/>
    <w:rsid w:val="004E3028"/>
    <w:rsid w:val="004E37E3"/>
    <w:rsid w:val="004E4C86"/>
    <w:rsid w:val="004E6181"/>
    <w:rsid w:val="004E6BC4"/>
    <w:rsid w:val="004E765C"/>
    <w:rsid w:val="004F0F4F"/>
    <w:rsid w:val="004F3A75"/>
    <w:rsid w:val="004F4A86"/>
    <w:rsid w:val="004F5836"/>
    <w:rsid w:val="00504816"/>
    <w:rsid w:val="00506069"/>
    <w:rsid w:val="00507A8E"/>
    <w:rsid w:val="00510382"/>
    <w:rsid w:val="005104B8"/>
    <w:rsid w:val="005140FB"/>
    <w:rsid w:val="00516C2A"/>
    <w:rsid w:val="00517AEE"/>
    <w:rsid w:val="00522036"/>
    <w:rsid w:val="00526704"/>
    <w:rsid w:val="005269C6"/>
    <w:rsid w:val="00526F6C"/>
    <w:rsid w:val="0052701B"/>
    <w:rsid w:val="00530173"/>
    <w:rsid w:val="00530A96"/>
    <w:rsid w:val="00535B5C"/>
    <w:rsid w:val="00536039"/>
    <w:rsid w:val="005401DE"/>
    <w:rsid w:val="00541FC1"/>
    <w:rsid w:val="005429DC"/>
    <w:rsid w:val="0054379E"/>
    <w:rsid w:val="0054630B"/>
    <w:rsid w:val="00547E60"/>
    <w:rsid w:val="00550973"/>
    <w:rsid w:val="005560AC"/>
    <w:rsid w:val="005566A2"/>
    <w:rsid w:val="00557FA5"/>
    <w:rsid w:val="00567CB4"/>
    <w:rsid w:val="0057447E"/>
    <w:rsid w:val="0057537E"/>
    <w:rsid w:val="005757E8"/>
    <w:rsid w:val="00577AA3"/>
    <w:rsid w:val="00580C5D"/>
    <w:rsid w:val="005860E1"/>
    <w:rsid w:val="00590010"/>
    <w:rsid w:val="00596044"/>
    <w:rsid w:val="005A0EBF"/>
    <w:rsid w:val="005A4BEB"/>
    <w:rsid w:val="005A5B47"/>
    <w:rsid w:val="005A6544"/>
    <w:rsid w:val="005A7786"/>
    <w:rsid w:val="005B0F50"/>
    <w:rsid w:val="005B1D21"/>
    <w:rsid w:val="005B5677"/>
    <w:rsid w:val="005C140F"/>
    <w:rsid w:val="005C25DB"/>
    <w:rsid w:val="005C28B1"/>
    <w:rsid w:val="005C3831"/>
    <w:rsid w:val="005C69D4"/>
    <w:rsid w:val="005C6DED"/>
    <w:rsid w:val="005C6FE1"/>
    <w:rsid w:val="005D1940"/>
    <w:rsid w:val="005D2AA4"/>
    <w:rsid w:val="005D4190"/>
    <w:rsid w:val="005D4C39"/>
    <w:rsid w:val="005E17F4"/>
    <w:rsid w:val="005E418A"/>
    <w:rsid w:val="005E4878"/>
    <w:rsid w:val="005F2E15"/>
    <w:rsid w:val="005F4F35"/>
    <w:rsid w:val="005F5ABB"/>
    <w:rsid w:val="00603945"/>
    <w:rsid w:val="00615325"/>
    <w:rsid w:val="006177B5"/>
    <w:rsid w:val="006222A4"/>
    <w:rsid w:val="006244C9"/>
    <w:rsid w:val="00624A41"/>
    <w:rsid w:val="0063014C"/>
    <w:rsid w:val="006332B8"/>
    <w:rsid w:val="0063527E"/>
    <w:rsid w:val="00636BDB"/>
    <w:rsid w:val="006408CE"/>
    <w:rsid w:val="0064330B"/>
    <w:rsid w:val="00643755"/>
    <w:rsid w:val="00645195"/>
    <w:rsid w:val="00651DC4"/>
    <w:rsid w:val="00652866"/>
    <w:rsid w:val="0065347E"/>
    <w:rsid w:val="0065767A"/>
    <w:rsid w:val="00657843"/>
    <w:rsid w:val="0066638B"/>
    <w:rsid w:val="0067100B"/>
    <w:rsid w:val="00671E15"/>
    <w:rsid w:val="0067583D"/>
    <w:rsid w:val="00675FC2"/>
    <w:rsid w:val="006818B9"/>
    <w:rsid w:val="00685ECE"/>
    <w:rsid w:val="00690AA2"/>
    <w:rsid w:val="006923FF"/>
    <w:rsid w:val="00692783"/>
    <w:rsid w:val="00694213"/>
    <w:rsid w:val="0069437F"/>
    <w:rsid w:val="006A27B4"/>
    <w:rsid w:val="006A4DCB"/>
    <w:rsid w:val="006A5CD6"/>
    <w:rsid w:val="006A611E"/>
    <w:rsid w:val="006A630C"/>
    <w:rsid w:val="006B0428"/>
    <w:rsid w:val="006B28EF"/>
    <w:rsid w:val="006B2F34"/>
    <w:rsid w:val="006B3E66"/>
    <w:rsid w:val="006B46A4"/>
    <w:rsid w:val="006B5FE2"/>
    <w:rsid w:val="006B6EBD"/>
    <w:rsid w:val="006C41E0"/>
    <w:rsid w:val="006C5ECA"/>
    <w:rsid w:val="006C6873"/>
    <w:rsid w:val="006C763E"/>
    <w:rsid w:val="006D20E7"/>
    <w:rsid w:val="006D3AE9"/>
    <w:rsid w:val="006D7476"/>
    <w:rsid w:val="006E586F"/>
    <w:rsid w:val="006E5ECC"/>
    <w:rsid w:val="006E6091"/>
    <w:rsid w:val="006E763D"/>
    <w:rsid w:val="006F35A4"/>
    <w:rsid w:val="006F4743"/>
    <w:rsid w:val="006F6199"/>
    <w:rsid w:val="006F6A68"/>
    <w:rsid w:val="006F6C77"/>
    <w:rsid w:val="006F76D0"/>
    <w:rsid w:val="007022BB"/>
    <w:rsid w:val="00704418"/>
    <w:rsid w:val="00704F45"/>
    <w:rsid w:val="00705F68"/>
    <w:rsid w:val="00711690"/>
    <w:rsid w:val="007116DB"/>
    <w:rsid w:val="00712FF1"/>
    <w:rsid w:val="00715ABA"/>
    <w:rsid w:val="0071759D"/>
    <w:rsid w:val="00722B41"/>
    <w:rsid w:val="00730D08"/>
    <w:rsid w:val="00731B7A"/>
    <w:rsid w:val="00733AA4"/>
    <w:rsid w:val="00736E7E"/>
    <w:rsid w:val="00737B1C"/>
    <w:rsid w:val="007408BB"/>
    <w:rsid w:val="007441E8"/>
    <w:rsid w:val="00744C87"/>
    <w:rsid w:val="00751C64"/>
    <w:rsid w:val="0075261B"/>
    <w:rsid w:val="007540CB"/>
    <w:rsid w:val="00754C9A"/>
    <w:rsid w:val="00756B20"/>
    <w:rsid w:val="00760067"/>
    <w:rsid w:val="00761D78"/>
    <w:rsid w:val="00770F81"/>
    <w:rsid w:val="007764C7"/>
    <w:rsid w:val="007766CF"/>
    <w:rsid w:val="00776EE9"/>
    <w:rsid w:val="0077790D"/>
    <w:rsid w:val="00780DE3"/>
    <w:rsid w:val="00781534"/>
    <w:rsid w:val="007817A1"/>
    <w:rsid w:val="007A44DA"/>
    <w:rsid w:val="007A5338"/>
    <w:rsid w:val="007A535A"/>
    <w:rsid w:val="007B0DAA"/>
    <w:rsid w:val="007B5CA8"/>
    <w:rsid w:val="007B6EC6"/>
    <w:rsid w:val="007C0A7C"/>
    <w:rsid w:val="007C405D"/>
    <w:rsid w:val="007C7230"/>
    <w:rsid w:val="007C7493"/>
    <w:rsid w:val="007D2492"/>
    <w:rsid w:val="007D4088"/>
    <w:rsid w:val="007D40EA"/>
    <w:rsid w:val="007D5942"/>
    <w:rsid w:val="007E2F8A"/>
    <w:rsid w:val="007E3042"/>
    <w:rsid w:val="007E3D6E"/>
    <w:rsid w:val="007F0D10"/>
    <w:rsid w:val="007F340D"/>
    <w:rsid w:val="00800DE4"/>
    <w:rsid w:val="008016AB"/>
    <w:rsid w:val="00806912"/>
    <w:rsid w:val="00813812"/>
    <w:rsid w:val="00813BF1"/>
    <w:rsid w:val="00813C17"/>
    <w:rsid w:val="00814B24"/>
    <w:rsid w:val="0082167F"/>
    <w:rsid w:val="00821952"/>
    <w:rsid w:val="00831F7A"/>
    <w:rsid w:val="008360A3"/>
    <w:rsid w:val="00843305"/>
    <w:rsid w:val="0084556D"/>
    <w:rsid w:val="008460EF"/>
    <w:rsid w:val="00852CA7"/>
    <w:rsid w:val="008538A6"/>
    <w:rsid w:val="0085546E"/>
    <w:rsid w:val="00857B43"/>
    <w:rsid w:val="00860E51"/>
    <w:rsid w:val="008645F7"/>
    <w:rsid w:val="008656E8"/>
    <w:rsid w:val="00867A0D"/>
    <w:rsid w:val="00870A62"/>
    <w:rsid w:val="008745D4"/>
    <w:rsid w:val="00876624"/>
    <w:rsid w:val="008805C4"/>
    <w:rsid w:val="00880834"/>
    <w:rsid w:val="00891827"/>
    <w:rsid w:val="00892097"/>
    <w:rsid w:val="008940CD"/>
    <w:rsid w:val="00894888"/>
    <w:rsid w:val="00894E69"/>
    <w:rsid w:val="00895D8C"/>
    <w:rsid w:val="008975E8"/>
    <w:rsid w:val="00897F31"/>
    <w:rsid w:val="008A548E"/>
    <w:rsid w:val="008A6466"/>
    <w:rsid w:val="008C61C5"/>
    <w:rsid w:val="008D0141"/>
    <w:rsid w:val="008D1582"/>
    <w:rsid w:val="008D44A4"/>
    <w:rsid w:val="008D6420"/>
    <w:rsid w:val="008E0639"/>
    <w:rsid w:val="008E4389"/>
    <w:rsid w:val="008F0ACB"/>
    <w:rsid w:val="008F167A"/>
    <w:rsid w:val="008F1ADF"/>
    <w:rsid w:val="008F1D9A"/>
    <w:rsid w:val="008F3401"/>
    <w:rsid w:val="008F3ED2"/>
    <w:rsid w:val="008F7945"/>
    <w:rsid w:val="009023ED"/>
    <w:rsid w:val="009070CC"/>
    <w:rsid w:val="00915D1B"/>
    <w:rsid w:val="00916D34"/>
    <w:rsid w:val="009172F8"/>
    <w:rsid w:val="0092133A"/>
    <w:rsid w:val="00926C03"/>
    <w:rsid w:val="00927B9B"/>
    <w:rsid w:val="00930C55"/>
    <w:rsid w:val="0093190E"/>
    <w:rsid w:val="00931B63"/>
    <w:rsid w:val="00935810"/>
    <w:rsid w:val="00936FC4"/>
    <w:rsid w:val="00937460"/>
    <w:rsid w:val="00940D60"/>
    <w:rsid w:val="00942F34"/>
    <w:rsid w:val="0094527F"/>
    <w:rsid w:val="009467F2"/>
    <w:rsid w:val="00946C9C"/>
    <w:rsid w:val="009475C8"/>
    <w:rsid w:val="009502B1"/>
    <w:rsid w:val="00950CA0"/>
    <w:rsid w:val="00951FD3"/>
    <w:rsid w:val="00952B84"/>
    <w:rsid w:val="009619CE"/>
    <w:rsid w:val="0096262F"/>
    <w:rsid w:val="00962867"/>
    <w:rsid w:val="00964265"/>
    <w:rsid w:val="0096558E"/>
    <w:rsid w:val="00965F54"/>
    <w:rsid w:val="00967E9E"/>
    <w:rsid w:val="0097085A"/>
    <w:rsid w:val="00970C9F"/>
    <w:rsid w:val="00973060"/>
    <w:rsid w:val="009749D3"/>
    <w:rsid w:val="00974E56"/>
    <w:rsid w:val="00975526"/>
    <w:rsid w:val="009763E1"/>
    <w:rsid w:val="00982494"/>
    <w:rsid w:val="00982A66"/>
    <w:rsid w:val="009845E2"/>
    <w:rsid w:val="00990937"/>
    <w:rsid w:val="009915E1"/>
    <w:rsid w:val="009928B9"/>
    <w:rsid w:val="00992E7E"/>
    <w:rsid w:val="009945F2"/>
    <w:rsid w:val="009971F2"/>
    <w:rsid w:val="009A42F3"/>
    <w:rsid w:val="009A4E03"/>
    <w:rsid w:val="009A6E48"/>
    <w:rsid w:val="009B0E32"/>
    <w:rsid w:val="009B2A72"/>
    <w:rsid w:val="009B3AB8"/>
    <w:rsid w:val="009B5CAE"/>
    <w:rsid w:val="009C1BEE"/>
    <w:rsid w:val="009C52CB"/>
    <w:rsid w:val="009C63E1"/>
    <w:rsid w:val="009C6B85"/>
    <w:rsid w:val="009C70E5"/>
    <w:rsid w:val="009C7375"/>
    <w:rsid w:val="009C76B6"/>
    <w:rsid w:val="009C770D"/>
    <w:rsid w:val="009D565E"/>
    <w:rsid w:val="009D5796"/>
    <w:rsid w:val="009E2B07"/>
    <w:rsid w:val="009E3317"/>
    <w:rsid w:val="009E68B9"/>
    <w:rsid w:val="009E7D4F"/>
    <w:rsid w:val="009F2E65"/>
    <w:rsid w:val="009F58F1"/>
    <w:rsid w:val="009F7248"/>
    <w:rsid w:val="00A03383"/>
    <w:rsid w:val="00A03915"/>
    <w:rsid w:val="00A0479C"/>
    <w:rsid w:val="00A04F5B"/>
    <w:rsid w:val="00A04FB0"/>
    <w:rsid w:val="00A057FC"/>
    <w:rsid w:val="00A05F41"/>
    <w:rsid w:val="00A1113F"/>
    <w:rsid w:val="00A17093"/>
    <w:rsid w:val="00A17888"/>
    <w:rsid w:val="00A201C4"/>
    <w:rsid w:val="00A21468"/>
    <w:rsid w:val="00A22174"/>
    <w:rsid w:val="00A22188"/>
    <w:rsid w:val="00A24731"/>
    <w:rsid w:val="00A26CC4"/>
    <w:rsid w:val="00A27A2F"/>
    <w:rsid w:val="00A31255"/>
    <w:rsid w:val="00A3669D"/>
    <w:rsid w:val="00A51739"/>
    <w:rsid w:val="00A56FF7"/>
    <w:rsid w:val="00A5704C"/>
    <w:rsid w:val="00A60B73"/>
    <w:rsid w:val="00A61E30"/>
    <w:rsid w:val="00A61FD1"/>
    <w:rsid w:val="00A625EE"/>
    <w:rsid w:val="00A65644"/>
    <w:rsid w:val="00A72EFD"/>
    <w:rsid w:val="00A73D8C"/>
    <w:rsid w:val="00A8043F"/>
    <w:rsid w:val="00A807FF"/>
    <w:rsid w:val="00A817AE"/>
    <w:rsid w:val="00A81E8C"/>
    <w:rsid w:val="00A82612"/>
    <w:rsid w:val="00A82C72"/>
    <w:rsid w:val="00A9197F"/>
    <w:rsid w:val="00A92FA8"/>
    <w:rsid w:val="00AA2F4C"/>
    <w:rsid w:val="00AA3556"/>
    <w:rsid w:val="00AA35EA"/>
    <w:rsid w:val="00AA4FE7"/>
    <w:rsid w:val="00AA71F4"/>
    <w:rsid w:val="00AA7A08"/>
    <w:rsid w:val="00AB119A"/>
    <w:rsid w:val="00AB18C6"/>
    <w:rsid w:val="00AB2938"/>
    <w:rsid w:val="00AC2880"/>
    <w:rsid w:val="00AC74CE"/>
    <w:rsid w:val="00AD046F"/>
    <w:rsid w:val="00AD1C30"/>
    <w:rsid w:val="00AD263B"/>
    <w:rsid w:val="00AD27AB"/>
    <w:rsid w:val="00AD4963"/>
    <w:rsid w:val="00AD4DE8"/>
    <w:rsid w:val="00AD4E7C"/>
    <w:rsid w:val="00AE002A"/>
    <w:rsid w:val="00AE0C23"/>
    <w:rsid w:val="00AE1612"/>
    <w:rsid w:val="00AE3C3F"/>
    <w:rsid w:val="00AE54D3"/>
    <w:rsid w:val="00AE5521"/>
    <w:rsid w:val="00AE5E88"/>
    <w:rsid w:val="00AE7D51"/>
    <w:rsid w:val="00AF2E93"/>
    <w:rsid w:val="00AF3078"/>
    <w:rsid w:val="00AF31C4"/>
    <w:rsid w:val="00AF3A95"/>
    <w:rsid w:val="00AF4A88"/>
    <w:rsid w:val="00AF793B"/>
    <w:rsid w:val="00AF7B28"/>
    <w:rsid w:val="00B01522"/>
    <w:rsid w:val="00B04546"/>
    <w:rsid w:val="00B10CF1"/>
    <w:rsid w:val="00B10D99"/>
    <w:rsid w:val="00B11452"/>
    <w:rsid w:val="00B126B7"/>
    <w:rsid w:val="00B13ED4"/>
    <w:rsid w:val="00B1480B"/>
    <w:rsid w:val="00B15B82"/>
    <w:rsid w:val="00B163F6"/>
    <w:rsid w:val="00B176CC"/>
    <w:rsid w:val="00B17E92"/>
    <w:rsid w:val="00B20A00"/>
    <w:rsid w:val="00B20B34"/>
    <w:rsid w:val="00B22EEA"/>
    <w:rsid w:val="00B23631"/>
    <w:rsid w:val="00B23CD2"/>
    <w:rsid w:val="00B250C7"/>
    <w:rsid w:val="00B25E5A"/>
    <w:rsid w:val="00B338B6"/>
    <w:rsid w:val="00B3608D"/>
    <w:rsid w:val="00B37125"/>
    <w:rsid w:val="00B40C81"/>
    <w:rsid w:val="00B40CCA"/>
    <w:rsid w:val="00B40CCB"/>
    <w:rsid w:val="00B40F6C"/>
    <w:rsid w:val="00B42815"/>
    <w:rsid w:val="00B42AB0"/>
    <w:rsid w:val="00B454A8"/>
    <w:rsid w:val="00B50B83"/>
    <w:rsid w:val="00B552EE"/>
    <w:rsid w:val="00B55479"/>
    <w:rsid w:val="00B57448"/>
    <w:rsid w:val="00B57637"/>
    <w:rsid w:val="00B61E58"/>
    <w:rsid w:val="00B63F9C"/>
    <w:rsid w:val="00B66092"/>
    <w:rsid w:val="00B661B4"/>
    <w:rsid w:val="00B66875"/>
    <w:rsid w:val="00B67B39"/>
    <w:rsid w:val="00B71C3B"/>
    <w:rsid w:val="00B73E74"/>
    <w:rsid w:val="00B744EF"/>
    <w:rsid w:val="00B754C2"/>
    <w:rsid w:val="00B767DC"/>
    <w:rsid w:val="00B77A5F"/>
    <w:rsid w:val="00B77E8D"/>
    <w:rsid w:val="00B83F4A"/>
    <w:rsid w:val="00B84947"/>
    <w:rsid w:val="00B92659"/>
    <w:rsid w:val="00B92BC1"/>
    <w:rsid w:val="00B92CE4"/>
    <w:rsid w:val="00B95D2E"/>
    <w:rsid w:val="00B9724B"/>
    <w:rsid w:val="00BA3043"/>
    <w:rsid w:val="00BA4A30"/>
    <w:rsid w:val="00BA5CB9"/>
    <w:rsid w:val="00BB43A9"/>
    <w:rsid w:val="00BB5798"/>
    <w:rsid w:val="00BC0EB1"/>
    <w:rsid w:val="00BC2109"/>
    <w:rsid w:val="00BC3220"/>
    <w:rsid w:val="00BC3247"/>
    <w:rsid w:val="00BC4624"/>
    <w:rsid w:val="00BC4885"/>
    <w:rsid w:val="00BC52EA"/>
    <w:rsid w:val="00BD1831"/>
    <w:rsid w:val="00BD18B5"/>
    <w:rsid w:val="00BD4FB8"/>
    <w:rsid w:val="00BE06F6"/>
    <w:rsid w:val="00BE67D9"/>
    <w:rsid w:val="00BE6846"/>
    <w:rsid w:val="00BE7973"/>
    <w:rsid w:val="00BF0FD3"/>
    <w:rsid w:val="00BF2A4A"/>
    <w:rsid w:val="00BF30B0"/>
    <w:rsid w:val="00BF4FDF"/>
    <w:rsid w:val="00BF5DAC"/>
    <w:rsid w:val="00C160C9"/>
    <w:rsid w:val="00C22099"/>
    <w:rsid w:val="00C225A8"/>
    <w:rsid w:val="00C226BF"/>
    <w:rsid w:val="00C27830"/>
    <w:rsid w:val="00C278C0"/>
    <w:rsid w:val="00C302DE"/>
    <w:rsid w:val="00C31BA6"/>
    <w:rsid w:val="00C3421E"/>
    <w:rsid w:val="00C4012A"/>
    <w:rsid w:val="00C41485"/>
    <w:rsid w:val="00C4267D"/>
    <w:rsid w:val="00C4299E"/>
    <w:rsid w:val="00C51C9E"/>
    <w:rsid w:val="00C529E6"/>
    <w:rsid w:val="00C52E4A"/>
    <w:rsid w:val="00C54A7F"/>
    <w:rsid w:val="00C5618B"/>
    <w:rsid w:val="00C60869"/>
    <w:rsid w:val="00C704DD"/>
    <w:rsid w:val="00C741E3"/>
    <w:rsid w:val="00C75540"/>
    <w:rsid w:val="00C7699B"/>
    <w:rsid w:val="00C82DB1"/>
    <w:rsid w:val="00C835D9"/>
    <w:rsid w:val="00C84DD8"/>
    <w:rsid w:val="00C86D54"/>
    <w:rsid w:val="00C91053"/>
    <w:rsid w:val="00C926BB"/>
    <w:rsid w:val="00C92F63"/>
    <w:rsid w:val="00C95920"/>
    <w:rsid w:val="00C97E6F"/>
    <w:rsid w:val="00CA19DF"/>
    <w:rsid w:val="00CA1CE3"/>
    <w:rsid w:val="00CA3E6A"/>
    <w:rsid w:val="00CA43A2"/>
    <w:rsid w:val="00CA6570"/>
    <w:rsid w:val="00CA6C9F"/>
    <w:rsid w:val="00CB4A9E"/>
    <w:rsid w:val="00CB4EDA"/>
    <w:rsid w:val="00CB6FE7"/>
    <w:rsid w:val="00CB78B7"/>
    <w:rsid w:val="00CB7B58"/>
    <w:rsid w:val="00CC04E9"/>
    <w:rsid w:val="00CC076C"/>
    <w:rsid w:val="00CC2EA2"/>
    <w:rsid w:val="00CD03F1"/>
    <w:rsid w:val="00CD37CC"/>
    <w:rsid w:val="00CD6879"/>
    <w:rsid w:val="00CE0F97"/>
    <w:rsid w:val="00CE47A5"/>
    <w:rsid w:val="00CF4ABB"/>
    <w:rsid w:val="00CF54F0"/>
    <w:rsid w:val="00CF565F"/>
    <w:rsid w:val="00D0170D"/>
    <w:rsid w:val="00D02736"/>
    <w:rsid w:val="00D02796"/>
    <w:rsid w:val="00D14FF6"/>
    <w:rsid w:val="00D156B4"/>
    <w:rsid w:val="00D21895"/>
    <w:rsid w:val="00D21E78"/>
    <w:rsid w:val="00D21EF4"/>
    <w:rsid w:val="00D22508"/>
    <w:rsid w:val="00D25C25"/>
    <w:rsid w:val="00D26618"/>
    <w:rsid w:val="00D31F92"/>
    <w:rsid w:val="00D32D73"/>
    <w:rsid w:val="00D35F65"/>
    <w:rsid w:val="00D37D38"/>
    <w:rsid w:val="00D42A4B"/>
    <w:rsid w:val="00D4304F"/>
    <w:rsid w:val="00D46F33"/>
    <w:rsid w:val="00D477A2"/>
    <w:rsid w:val="00D566A3"/>
    <w:rsid w:val="00D57010"/>
    <w:rsid w:val="00D57765"/>
    <w:rsid w:val="00D6175D"/>
    <w:rsid w:val="00D62E30"/>
    <w:rsid w:val="00D633C2"/>
    <w:rsid w:val="00D6723D"/>
    <w:rsid w:val="00D67D53"/>
    <w:rsid w:val="00D720AE"/>
    <w:rsid w:val="00D7288C"/>
    <w:rsid w:val="00D73D87"/>
    <w:rsid w:val="00D7470E"/>
    <w:rsid w:val="00D765DB"/>
    <w:rsid w:val="00D76BE6"/>
    <w:rsid w:val="00D775C7"/>
    <w:rsid w:val="00D9694A"/>
    <w:rsid w:val="00DA2892"/>
    <w:rsid w:val="00DA664B"/>
    <w:rsid w:val="00DB08B4"/>
    <w:rsid w:val="00DB12AD"/>
    <w:rsid w:val="00DB1D8E"/>
    <w:rsid w:val="00DB2C7C"/>
    <w:rsid w:val="00DB5CC8"/>
    <w:rsid w:val="00DB7E3F"/>
    <w:rsid w:val="00DC02A9"/>
    <w:rsid w:val="00DC0FC7"/>
    <w:rsid w:val="00DC2449"/>
    <w:rsid w:val="00DC4158"/>
    <w:rsid w:val="00DC4F70"/>
    <w:rsid w:val="00DC79FA"/>
    <w:rsid w:val="00DC7B55"/>
    <w:rsid w:val="00DD1459"/>
    <w:rsid w:val="00DD194D"/>
    <w:rsid w:val="00DD53F4"/>
    <w:rsid w:val="00DD6A50"/>
    <w:rsid w:val="00DE1EAA"/>
    <w:rsid w:val="00DE2110"/>
    <w:rsid w:val="00DE4F0C"/>
    <w:rsid w:val="00DE7A1C"/>
    <w:rsid w:val="00DF25BB"/>
    <w:rsid w:val="00DF686E"/>
    <w:rsid w:val="00DF69FA"/>
    <w:rsid w:val="00E0143C"/>
    <w:rsid w:val="00E04523"/>
    <w:rsid w:val="00E06ED7"/>
    <w:rsid w:val="00E12136"/>
    <w:rsid w:val="00E13130"/>
    <w:rsid w:val="00E13CA9"/>
    <w:rsid w:val="00E15A94"/>
    <w:rsid w:val="00E15CAE"/>
    <w:rsid w:val="00E1607D"/>
    <w:rsid w:val="00E27277"/>
    <w:rsid w:val="00E3092D"/>
    <w:rsid w:val="00E33443"/>
    <w:rsid w:val="00E34B81"/>
    <w:rsid w:val="00E35A04"/>
    <w:rsid w:val="00E37B17"/>
    <w:rsid w:val="00E438A4"/>
    <w:rsid w:val="00E511C5"/>
    <w:rsid w:val="00E540B0"/>
    <w:rsid w:val="00E568BA"/>
    <w:rsid w:val="00E57018"/>
    <w:rsid w:val="00E57B72"/>
    <w:rsid w:val="00E6230B"/>
    <w:rsid w:val="00E62AEF"/>
    <w:rsid w:val="00E63340"/>
    <w:rsid w:val="00E64E9C"/>
    <w:rsid w:val="00E67EE1"/>
    <w:rsid w:val="00E7003D"/>
    <w:rsid w:val="00E71B4B"/>
    <w:rsid w:val="00E72719"/>
    <w:rsid w:val="00E7361F"/>
    <w:rsid w:val="00E74401"/>
    <w:rsid w:val="00E77689"/>
    <w:rsid w:val="00E77EB5"/>
    <w:rsid w:val="00E83606"/>
    <w:rsid w:val="00E84C58"/>
    <w:rsid w:val="00E85B18"/>
    <w:rsid w:val="00E93A48"/>
    <w:rsid w:val="00E9566C"/>
    <w:rsid w:val="00E97615"/>
    <w:rsid w:val="00EA00A4"/>
    <w:rsid w:val="00EA2E37"/>
    <w:rsid w:val="00EA33AC"/>
    <w:rsid w:val="00EA4DF0"/>
    <w:rsid w:val="00EA5654"/>
    <w:rsid w:val="00EB0863"/>
    <w:rsid w:val="00EC1D0C"/>
    <w:rsid w:val="00EC706A"/>
    <w:rsid w:val="00EC7E6B"/>
    <w:rsid w:val="00ED0FC2"/>
    <w:rsid w:val="00ED49B4"/>
    <w:rsid w:val="00ED5832"/>
    <w:rsid w:val="00ED6684"/>
    <w:rsid w:val="00EE1326"/>
    <w:rsid w:val="00EE1B91"/>
    <w:rsid w:val="00EE386F"/>
    <w:rsid w:val="00EE3F9E"/>
    <w:rsid w:val="00EE713B"/>
    <w:rsid w:val="00EF1CC0"/>
    <w:rsid w:val="00EF1EE3"/>
    <w:rsid w:val="00EF2914"/>
    <w:rsid w:val="00EF3D9A"/>
    <w:rsid w:val="00EF73D0"/>
    <w:rsid w:val="00F02BA3"/>
    <w:rsid w:val="00F045E1"/>
    <w:rsid w:val="00F04A39"/>
    <w:rsid w:val="00F06C34"/>
    <w:rsid w:val="00F11D66"/>
    <w:rsid w:val="00F14C79"/>
    <w:rsid w:val="00F176D6"/>
    <w:rsid w:val="00F17D54"/>
    <w:rsid w:val="00F203AD"/>
    <w:rsid w:val="00F2190A"/>
    <w:rsid w:val="00F250C8"/>
    <w:rsid w:val="00F263E1"/>
    <w:rsid w:val="00F32EB9"/>
    <w:rsid w:val="00F331B8"/>
    <w:rsid w:val="00F345AB"/>
    <w:rsid w:val="00F34A76"/>
    <w:rsid w:val="00F366E5"/>
    <w:rsid w:val="00F3697E"/>
    <w:rsid w:val="00F42EB6"/>
    <w:rsid w:val="00F43EE4"/>
    <w:rsid w:val="00F45330"/>
    <w:rsid w:val="00F53E76"/>
    <w:rsid w:val="00F5540A"/>
    <w:rsid w:val="00F566AE"/>
    <w:rsid w:val="00F63FB5"/>
    <w:rsid w:val="00F65553"/>
    <w:rsid w:val="00F66659"/>
    <w:rsid w:val="00F713EB"/>
    <w:rsid w:val="00F715DF"/>
    <w:rsid w:val="00F72F64"/>
    <w:rsid w:val="00F7344C"/>
    <w:rsid w:val="00F76AC3"/>
    <w:rsid w:val="00F81CD6"/>
    <w:rsid w:val="00F83480"/>
    <w:rsid w:val="00F87190"/>
    <w:rsid w:val="00F9077D"/>
    <w:rsid w:val="00F91F55"/>
    <w:rsid w:val="00F93709"/>
    <w:rsid w:val="00FA4A07"/>
    <w:rsid w:val="00FA5CBB"/>
    <w:rsid w:val="00FA6E8B"/>
    <w:rsid w:val="00FB2949"/>
    <w:rsid w:val="00FB2DCC"/>
    <w:rsid w:val="00FB5F2A"/>
    <w:rsid w:val="00FB6D96"/>
    <w:rsid w:val="00FB71FC"/>
    <w:rsid w:val="00FC12E9"/>
    <w:rsid w:val="00FC5A2A"/>
    <w:rsid w:val="00FC7A3F"/>
    <w:rsid w:val="00FD779B"/>
    <w:rsid w:val="00FE0E34"/>
    <w:rsid w:val="00FF3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CDF1A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081731"/>
    <w:pPr>
      <w:spacing w:after="0" w:line="240" w:lineRule="auto"/>
    </w:pPr>
    <w:rPr>
      <w:rFonts w:ascii="Times New Roman" w:hAnsi="Times New Roman"/>
    </w:rPr>
  </w:style>
  <w:style w:type="paragraph" w:styleId="Heading1">
    <w:name w:val="heading 1"/>
    <w:basedOn w:val="Heading2"/>
    <w:next w:val="Normal"/>
    <w:link w:val="Heading1Char"/>
    <w:uiPriority w:val="9"/>
    <w:qFormat/>
    <w:rsid w:val="002406F8"/>
    <w:pPr>
      <w:numPr>
        <w:ilvl w:val="0"/>
      </w:numPr>
      <w:tabs>
        <w:tab w:val="clear" w:pos="406"/>
      </w:tabs>
      <w:ind w:left="270" w:hanging="270"/>
      <w:outlineLvl w:val="0"/>
    </w:pPr>
    <w:rPr>
      <w:caps/>
    </w:rPr>
  </w:style>
  <w:style w:type="paragraph" w:styleId="Heading2">
    <w:name w:val="heading 2"/>
    <w:basedOn w:val="Normal"/>
    <w:next w:val="Normal"/>
    <w:link w:val="Heading2Char"/>
    <w:uiPriority w:val="9"/>
    <w:unhideWhenUsed/>
    <w:qFormat/>
    <w:rsid w:val="00867A0D"/>
    <w:pPr>
      <w:keepNext/>
      <w:numPr>
        <w:ilvl w:val="1"/>
        <w:numId w:val="28"/>
      </w:numPr>
      <w:tabs>
        <w:tab w:val="left" w:pos="406"/>
      </w:tabs>
      <w:spacing w:before="120" w:after="120"/>
      <w:ind w:left="420" w:hanging="420"/>
      <w:outlineLvl w:val="1"/>
    </w:pPr>
    <w:rPr>
      <w:b/>
      <w:sz w:val="20"/>
      <w:lang w:val="de-DE"/>
    </w:rPr>
  </w:style>
  <w:style w:type="paragraph" w:styleId="Heading3">
    <w:name w:val="heading 3"/>
    <w:basedOn w:val="Normal"/>
    <w:next w:val="Normal"/>
    <w:link w:val="Heading3Char"/>
    <w:uiPriority w:val="9"/>
    <w:unhideWhenUsed/>
    <w:qFormat/>
    <w:rsid w:val="00867A0D"/>
    <w:pPr>
      <w:keepNext/>
      <w:keepLines/>
      <w:numPr>
        <w:ilvl w:val="2"/>
        <w:numId w:val="28"/>
      </w:numPr>
      <w:tabs>
        <w:tab w:val="left" w:pos="574"/>
      </w:tabs>
      <w:spacing w:before="120" w:after="120"/>
      <w:ind w:left="567" w:hanging="567"/>
      <w:outlineLvl w:val="2"/>
    </w:pPr>
    <w:rPr>
      <w:rFonts w:eastAsiaTheme="majorEastAsia" w:cs="Times New Roman"/>
      <w:bCs/>
      <w:i/>
      <w:sz w:val="20"/>
      <w:lang w:val="de-DE"/>
    </w:rPr>
  </w:style>
  <w:style w:type="paragraph" w:styleId="Heading4">
    <w:name w:val="heading 4"/>
    <w:basedOn w:val="Normal"/>
    <w:next w:val="Normal"/>
    <w:link w:val="Heading4Char"/>
    <w:uiPriority w:val="9"/>
    <w:unhideWhenUsed/>
    <w:rsid w:val="00EE1326"/>
    <w:pPr>
      <w:keepNext/>
      <w:keepLines/>
      <w:numPr>
        <w:numId w:val="30"/>
      </w:numPr>
      <w:spacing w:before="120" w:after="120"/>
      <w:ind w:left="0" w:firstLine="0"/>
      <w:outlineLvl w:val="3"/>
    </w:pPr>
    <w:rPr>
      <w:rFonts w:eastAsiaTheme="majorEastAsia" w:cs="Times New Roman"/>
      <w:bCs/>
      <w:i/>
      <w:iCs/>
      <w:sz w:val="20"/>
      <w:lang w:val="de-DE"/>
    </w:rPr>
  </w:style>
  <w:style w:type="paragraph" w:styleId="Heading5">
    <w:name w:val="heading 5"/>
    <w:basedOn w:val="Normal"/>
    <w:next w:val="Normal"/>
    <w:link w:val="Heading5Char"/>
    <w:uiPriority w:val="9"/>
    <w:semiHidden/>
    <w:unhideWhenUsed/>
    <w:qFormat/>
    <w:rsid w:val="005D4190"/>
    <w:pPr>
      <w:keepNext/>
      <w:keepLines/>
      <w:numPr>
        <w:ilvl w:val="4"/>
        <w:numId w:val="2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D4190"/>
    <w:pPr>
      <w:keepNext/>
      <w:keepLines/>
      <w:numPr>
        <w:ilvl w:val="5"/>
        <w:numId w:val="2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D4190"/>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4190"/>
    <w:pPr>
      <w:keepNext/>
      <w:keepLines/>
      <w:numPr>
        <w:ilvl w:val="7"/>
        <w:numId w:val="2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D4190"/>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rsid w:val="00F331B8"/>
    <w:pPr>
      <w:spacing w:after="60" w:line="240" w:lineRule="auto"/>
      <w:ind w:left="284" w:hanging="284"/>
    </w:pPr>
    <w:rPr>
      <w:rFonts w:ascii="Times New Roman" w:eastAsiaTheme="majorEastAsia" w:hAnsi="Times New Roman" w:cstheme="majorBidi"/>
      <w:bCs/>
      <w:sz w:val="18"/>
      <w:szCs w:val="26"/>
    </w:rPr>
  </w:style>
  <w:style w:type="paragraph" w:customStyle="1" w:styleId="Text">
    <w:name w:val="Text"/>
    <w:link w:val="TextChar"/>
    <w:rsid w:val="00224492"/>
    <w:pPr>
      <w:spacing w:before="120" w:after="120" w:line="240" w:lineRule="auto"/>
      <w:jc w:val="both"/>
    </w:pPr>
    <w:rPr>
      <w:rFonts w:ascii="Times New Roman" w:eastAsiaTheme="majorEastAsia" w:hAnsi="Times New Roman" w:cstheme="majorBidi"/>
      <w:bCs/>
      <w:sz w:val="20"/>
      <w:szCs w:val="26"/>
    </w:rPr>
  </w:style>
  <w:style w:type="paragraph" w:customStyle="1" w:styleId="IdeaListing">
    <w:name w:val="Idea Listing"/>
    <w:rsid w:val="001303B3"/>
    <w:pPr>
      <w:numPr>
        <w:numId w:val="17"/>
      </w:numPr>
      <w:spacing w:after="60" w:line="240" w:lineRule="auto"/>
      <w:ind w:left="0" w:firstLine="0"/>
      <w:jc w:val="both"/>
    </w:pPr>
    <w:rPr>
      <w:rFonts w:ascii="Times New Roman" w:eastAsiaTheme="majorEastAsia" w:hAnsi="Times New Roman" w:cstheme="majorBidi"/>
      <w:bCs/>
      <w:sz w:val="20"/>
      <w:szCs w:val="26"/>
      <w:lang w:val="vi-VN"/>
    </w:rPr>
  </w:style>
  <w:style w:type="paragraph" w:customStyle="1" w:styleId="Abstract">
    <w:name w:val="Abstract"/>
    <w:basedOn w:val="Normal"/>
    <w:link w:val="AbstractChar"/>
    <w:rsid w:val="00895D8C"/>
    <w:pPr>
      <w:spacing w:before="120" w:after="120"/>
      <w:jc w:val="both"/>
    </w:pPr>
    <w:rPr>
      <w:rFonts w:cs="Times New Roman"/>
      <w:i/>
      <w:sz w:val="20"/>
    </w:rPr>
  </w:style>
  <w:style w:type="paragraph" w:customStyle="1" w:styleId="AbstractTitle">
    <w:name w:val="Abstract Title"/>
    <w:rsid w:val="00895D8C"/>
    <w:pPr>
      <w:spacing w:before="120" w:line="240" w:lineRule="auto"/>
    </w:pPr>
    <w:rPr>
      <w:rFonts w:ascii="Times New Roman" w:hAnsi="Times New Roman" w:cs="Times New Roman"/>
      <w:i/>
      <w:sz w:val="20"/>
    </w:rPr>
  </w:style>
  <w:style w:type="paragraph" w:customStyle="1" w:styleId="Author">
    <w:name w:val="Author"/>
    <w:rsid w:val="00E72719"/>
    <w:pPr>
      <w:spacing w:before="120" w:after="0" w:line="240" w:lineRule="auto"/>
    </w:pPr>
    <w:rPr>
      <w:rFonts w:ascii="Times New Roman" w:hAnsi="Times New Roman" w:cs="Times New Roman"/>
    </w:rPr>
  </w:style>
  <w:style w:type="paragraph" w:customStyle="1" w:styleId="AuthorNote">
    <w:name w:val="Author Note"/>
    <w:basedOn w:val="Author"/>
    <w:rsid w:val="00A817AE"/>
    <w:pPr>
      <w:spacing w:before="60"/>
    </w:pPr>
    <w:rPr>
      <w:i/>
      <w:sz w:val="20"/>
    </w:rPr>
  </w:style>
  <w:style w:type="paragraph" w:customStyle="1" w:styleId="FigureTitlte">
    <w:name w:val="Figure Titlte"/>
    <w:rsid w:val="00CB4EDA"/>
    <w:pPr>
      <w:spacing w:before="60" w:after="120" w:line="240" w:lineRule="auto"/>
      <w:jc w:val="center"/>
    </w:pPr>
    <w:rPr>
      <w:rFonts w:ascii="Times New Roman" w:hAnsi="Times New Roman" w:cs="Times New Roman"/>
      <w:b/>
      <w:sz w:val="20"/>
    </w:rPr>
  </w:style>
  <w:style w:type="character" w:customStyle="1" w:styleId="Heading1Char">
    <w:name w:val="Heading 1 Char"/>
    <w:basedOn w:val="DefaultParagraphFont"/>
    <w:link w:val="Heading1"/>
    <w:uiPriority w:val="9"/>
    <w:rsid w:val="002406F8"/>
    <w:rPr>
      <w:rFonts w:ascii="Times New Roman" w:hAnsi="Times New Roman"/>
      <w:b/>
      <w:caps/>
      <w:sz w:val="20"/>
      <w:lang w:val="de-DE"/>
    </w:rPr>
  </w:style>
  <w:style w:type="character" w:customStyle="1" w:styleId="Heading2Char">
    <w:name w:val="Heading 2 Char"/>
    <w:basedOn w:val="DefaultParagraphFont"/>
    <w:link w:val="Heading2"/>
    <w:uiPriority w:val="9"/>
    <w:rsid w:val="00867A0D"/>
    <w:rPr>
      <w:rFonts w:ascii="Times New Roman" w:hAnsi="Times New Roman"/>
      <w:b/>
      <w:sz w:val="20"/>
      <w:lang w:val="de-DE"/>
    </w:rPr>
  </w:style>
  <w:style w:type="character" w:customStyle="1" w:styleId="Heading3Char">
    <w:name w:val="Heading 3 Char"/>
    <w:basedOn w:val="DefaultParagraphFont"/>
    <w:link w:val="Heading3"/>
    <w:uiPriority w:val="9"/>
    <w:rsid w:val="00867A0D"/>
    <w:rPr>
      <w:rFonts w:ascii="Times New Roman" w:eastAsiaTheme="majorEastAsia" w:hAnsi="Times New Roman" w:cs="Times New Roman"/>
      <w:bCs/>
      <w:i/>
      <w:sz w:val="20"/>
      <w:lang w:val="de-DE"/>
    </w:rPr>
  </w:style>
  <w:style w:type="paragraph" w:styleId="Title">
    <w:name w:val="Title"/>
    <w:basedOn w:val="Normal"/>
    <w:next w:val="Normal"/>
    <w:link w:val="TitleChar"/>
    <w:uiPriority w:val="10"/>
    <w:qFormat/>
    <w:rsid w:val="00000A64"/>
    <w:pPr>
      <w:spacing w:before="240" w:after="240"/>
    </w:pPr>
    <w:rPr>
      <w:rFonts w:cs="Times New Roman"/>
      <w:b/>
      <w:sz w:val="24"/>
      <w:szCs w:val="24"/>
    </w:rPr>
  </w:style>
  <w:style w:type="character" w:customStyle="1" w:styleId="TitleChar">
    <w:name w:val="Title Char"/>
    <w:basedOn w:val="DefaultParagraphFont"/>
    <w:link w:val="Title"/>
    <w:uiPriority w:val="10"/>
    <w:rsid w:val="00000A64"/>
    <w:rPr>
      <w:rFonts w:ascii="Times New Roman" w:hAnsi="Times New Roman" w:cs="Times New Roman"/>
      <w:b/>
      <w:sz w:val="24"/>
      <w:szCs w:val="24"/>
    </w:rPr>
  </w:style>
  <w:style w:type="paragraph" w:styleId="Subtitle">
    <w:name w:val="Subtitle"/>
    <w:basedOn w:val="Normal"/>
    <w:next w:val="Normal"/>
    <w:link w:val="SubtitleChar"/>
    <w:rsid w:val="00DD6A50"/>
    <w:pPr>
      <w:numPr>
        <w:ilvl w:val="1"/>
      </w:numPr>
      <w:spacing w:before="120" w:after="120"/>
      <w:ind w:firstLine="284"/>
    </w:pPr>
    <w:rPr>
      <w:rFonts w:eastAsiaTheme="majorEastAsia" w:cstheme="majorBidi"/>
      <w:b/>
      <w:iCs/>
      <w:caps/>
      <w:sz w:val="20"/>
      <w:szCs w:val="24"/>
    </w:rPr>
  </w:style>
  <w:style w:type="character" w:customStyle="1" w:styleId="SubtitleChar">
    <w:name w:val="Subtitle Char"/>
    <w:basedOn w:val="DefaultParagraphFont"/>
    <w:link w:val="Subtitle"/>
    <w:rsid w:val="00DD6A50"/>
    <w:rPr>
      <w:rFonts w:ascii="Times New Roman" w:eastAsiaTheme="majorEastAsia" w:hAnsi="Times New Roman" w:cstheme="majorBidi"/>
      <w:b/>
      <w:iCs/>
      <w:caps/>
      <w:sz w:val="20"/>
      <w:szCs w:val="24"/>
    </w:rPr>
  </w:style>
  <w:style w:type="paragraph" w:customStyle="1" w:styleId="Note">
    <w:name w:val="Note"/>
    <w:rsid w:val="005F4F35"/>
    <w:pPr>
      <w:spacing w:before="60" w:after="120" w:line="240" w:lineRule="auto"/>
    </w:pPr>
    <w:rPr>
      <w:rFonts w:ascii="Times New Roman" w:eastAsiaTheme="majorEastAsia" w:hAnsi="Times New Roman" w:cstheme="majorBidi"/>
      <w:i/>
      <w:iCs/>
      <w:sz w:val="18"/>
      <w:szCs w:val="24"/>
    </w:rPr>
  </w:style>
  <w:style w:type="paragraph" w:customStyle="1" w:styleId="TableTitle">
    <w:name w:val="Table Title"/>
    <w:basedOn w:val="Normal"/>
    <w:rsid w:val="00B42815"/>
    <w:pPr>
      <w:spacing w:before="120" w:after="60"/>
      <w:ind w:left="714" w:hanging="714"/>
      <w:jc w:val="both"/>
    </w:pPr>
    <w:rPr>
      <w:b/>
      <w:sz w:val="20"/>
    </w:rPr>
  </w:style>
  <w:style w:type="paragraph" w:styleId="BodyTextIndent3">
    <w:name w:val="Body Text Indent 3"/>
    <w:basedOn w:val="Normal"/>
    <w:link w:val="BodyTextIndent3Char"/>
    <w:uiPriority w:val="99"/>
    <w:semiHidden/>
    <w:unhideWhenUsed/>
    <w:rsid w:val="00C160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60C9"/>
    <w:rPr>
      <w:sz w:val="16"/>
      <w:szCs w:val="16"/>
    </w:rPr>
  </w:style>
  <w:style w:type="character" w:customStyle="1" w:styleId="Heading4Char">
    <w:name w:val="Heading 4 Char"/>
    <w:basedOn w:val="DefaultParagraphFont"/>
    <w:link w:val="Heading4"/>
    <w:uiPriority w:val="9"/>
    <w:rsid w:val="00EE1326"/>
    <w:rPr>
      <w:rFonts w:ascii="Times New Roman" w:eastAsiaTheme="majorEastAsia" w:hAnsi="Times New Roman" w:cs="Times New Roman"/>
      <w:bCs/>
      <w:i/>
      <w:iCs/>
      <w:sz w:val="20"/>
      <w:lang w:val="de-DE"/>
    </w:rPr>
  </w:style>
  <w:style w:type="character" w:customStyle="1" w:styleId="Heading5Char">
    <w:name w:val="Heading 5 Char"/>
    <w:basedOn w:val="DefaultParagraphFont"/>
    <w:link w:val="Heading5"/>
    <w:uiPriority w:val="9"/>
    <w:semiHidden/>
    <w:rsid w:val="005D419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D419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D419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D41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D4190"/>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D62E30"/>
    <w:rPr>
      <w:rFonts w:ascii="Tahoma" w:hAnsi="Tahoma" w:cs="Tahoma"/>
      <w:sz w:val="16"/>
      <w:szCs w:val="16"/>
    </w:rPr>
  </w:style>
  <w:style w:type="character" w:customStyle="1" w:styleId="BalloonTextChar">
    <w:name w:val="Balloon Text Char"/>
    <w:basedOn w:val="DefaultParagraphFont"/>
    <w:link w:val="BalloonText"/>
    <w:uiPriority w:val="99"/>
    <w:semiHidden/>
    <w:rsid w:val="00D62E30"/>
    <w:rPr>
      <w:rFonts w:ascii="Tahoma" w:hAnsi="Tahoma" w:cs="Tahoma"/>
      <w:sz w:val="16"/>
      <w:szCs w:val="16"/>
    </w:rPr>
  </w:style>
  <w:style w:type="table" w:styleId="TableGrid">
    <w:name w:val="Table Grid"/>
    <w:basedOn w:val="TableNormal"/>
    <w:rsid w:val="00411E62"/>
    <w:pPr>
      <w:spacing w:after="0" w:line="240" w:lineRule="auto"/>
    </w:pPr>
    <w:rPr>
      <w:rFonts w:ascii="Times New Roman" w:eastAsia="Times New Roman" w:hAnsi="Times New Roman" w:cs="Times New Roman"/>
      <w:sz w:val="24"/>
      <w:szCs w:val="20"/>
    </w:rPr>
    <w:tblPr>
      <w:tblInd w:w="0" w:type="dxa"/>
      <w:tblBorders>
        <w:top w:val="single" w:sz="12" w:space="0" w:color="auto"/>
        <w:bottom w:val="single" w:sz="12" w:space="0" w:color="auto"/>
        <w:insideH w:val="single" w:sz="2" w:space="0" w:color="auto"/>
      </w:tblBorders>
      <w:tblCellMar>
        <w:top w:w="0" w:type="dxa"/>
        <w:left w:w="14" w:type="dxa"/>
        <w:bottom w:w="0" w:type="dxa"/>
        <w:right w:w="14" w:type="dxa"/>
      </w:tblCellMar>
    </w:tblPr>
    <w:trPr>
      <w:tblHeader/>
    </w:trPr>
  </w:style>
  <w:style w:type="table" w:customStyle="1" w:styleId="table">
    <w:name w:val="table"/>
    <w:basedOn w:val="TableNormal"/>
    <w:uiPriority w:val="99"/>
    <w:rsid w:val="0048092F"/>
    <w:pPr>
      <w:spacing w:after="0" w:line="240" w:lineRule="auto"/>
    </w:pPr>
    <w:rPr>
      <w:rFonts w:ascii="Times New Roman" w:hAnsi="Times New Roman"/>
      <w:sz w:val="20"/>
    </w:rPr>
    <w:tblPr>
      <w:tblInd w:w="0" w:type="dxa"/>
      <w:tblBorders>
        <w:top w:val="single" w:sz="4" w:space="0" w:color="auto"/>
        <w:bottom w:val="single" w:sz="4" w:space="0" w:color="auto"/>
      </w:tblBorders>
      <w:tblCellMar>
        <w:top w:w="0" w:type="dxa"/>
        <w:left w:w="108" w:type="dxa"/>
        <w:bottom w:w="0" w:type="dxa"/>
        <w:right w:w="108" w:type="dxa"/>
      </w:tblCellMar>
    </w:tblPr>
    <w:tcPr>
      <w:vAlign w:val="center"/>
    </w:tcPr>
    <w:tblStylePr w:type="firstRow">
      <w:tblPr/>
      <w:tcPr>
        <w:tcBorders>
          <w:top w:val="single" w:sz="8" w:space="0" w:color="auto"/>
          <w:left w:val="nil"/>
          <w:bottom w:val="single" w:sz="8" w:space="0" w:color="auto"/>
          <w:right w:val="nil"/>
          <w:insideH w:val="nil"/>
          <w:insideV w:val="nil"/>
          <w:tl2br w:val="nil"/>
          <w:tr2bl w:val="nil"/>
        </w:tcBorders>
      </w:tcPr>
    </w:tblStylePr>
  </w:style>
  <w:style w:type="paragraph" w:styleId="Header">
    <w:name w:val="header"/>
    <w:basedOn w:val="Normal"/>
    <w:link w:val="HeaderChar"/>
    <w:uiPriority w:val="99"/>
    <w:unhideWhenUsed/>
    <w:rsid w:val="006C5ECA"/>
    <w:pPr>
      <w:tabs>
        <w:tab w:val="center" w:pos="4680"/>
        <w:tab w:val="right" w:pos="9360"/>
      </w:tabs>
    </w:pPr>
  </w:style>
  <w:style w:type="character" w:customStyle="1" w:styleId="HeaderChar">
    <w:name w:val="Header Char"/>
    <w:basedOn w:val="DefaultParagraphFont"/>
    <w:link w:val="Header"/>
    <w:uiPriority w:val="99"/>
    <w:rsid w:val="006C5ECA"/>
    <w:rPr>
      <w:rFonts w:ascii="Times New Roman" w:hAnsi="Times New Roman"/>
    </w:rPr>
  </w:style>
  <w:style w:type="paragraph" w:styleId="Footer">
    <w:name w:val="footer"/>
    <w:basedOn w:val="Normal"/>
    <w:link w:val="FooterChar"/>
    <w:uiPriority w:val="99"/>
    <w:unhideWhenUsed/>
    <w:rsid w:val="006C5ECA"/>
    <w:pPr>
      <w:tabs>
        <w:tab w:val="center" w:pos="4680"/>
        <w:tab w:val="right" w:pos="9360"/>
      </w:tabs>
    </w:pPr>
  </w:style>
  <w:style w:type="character" w:customStyle="1" w:styleId="FooterChar">
    <w:name w:val="Footer Char"/>
    <w:basedOn w:val="DefaultParagraphFont"/>
    <w:link w:val="Footer"/>
    <w:uiPriority w:val="99"/>
    <w:rsid w:val="006C5ECA"/>
    <w:rPr>
      <w:rFonts w:ascii="Times New Roman" w:hAnsi="Times New Roman"/>
    </w:rPr>
  </w:style>
  <w:style w:type="paragraph" w:customStyle="1" w:styleId="trichdan">
    <w:name w:val="trichdan"/>
    <w:basedOn w:val="Abstract"/>
    <w:link w:val="trichdanChar"/>
    <w:qFormat/>
    <w:rsid w:val="0007535C"/>
    <w:pPr>
      <w:ind w:left="862" w:hanging="851"/>
    </w:pPr>
    <w:rPr>
      <w:rFonts w:eastAsia="Times New Roman"/>
      <w:i w:val="0"/>
      <w:szCs w:val="20"/>
      <w:lang w:val="de-DE"/>
    </w:rPr>
  </w:style>
  <w:style w:type="character" w:customStyle="1" w:styleId="AbstractChar">
    <w:name w:val="Abstract Char"/>
    <w:basedOn w:val="DefaultParagraphFont"/>
    <w:link w:val="Abstract"/>
    <w:rsid w:val="0007535C"/>
    <w:rPr>
      <w:rFonts w:ascii="Times New Roman" w:hAnsi="Times New Roman" w:cs="Times New Roman"/>
      <w:i/>
      <w:sz w:val="20"/>
    </w:rPr>
  </w:style>
  <w:style w:type="character" w:customStyle="1" w:styleId="trichdanChar">
    <w:name w:val="trichdan Char"/>
    <w:basedOn w:val="AbstractChar"/>
    <w:link w:val="trichdan"/>
    <w:rsid w:val="0007535C"/>
    <w:rPr>
      <w:rFonts w:ascii="Times New Roman" w:eastAsia="Times New Roman" w:hAnsi="Times New Roman" w:cs="Times New Roman"/>
      <w:i w:val="0"/>
      <w:sz w:val="20"/>
      <w:szCs w:val="20"/>
      <w:lang w:val="de-DE"/>
    </w:rPr>
  </w:style>
  <w:style w:type="paragraph" w:customStyle="1" w:styleId="p1a">
    <w:name w:val="p1a"/>
    <w:basedOn w:val="Normal"/>
    <w:next w:val="Normal"/>
    <w:rsid w:val="00814B24"/>
    <w:pPr>
      <w:overflowPunct w:val="0"/>
      <w:autoSpaceDE w:val="0"/>
      <w:autoSpaceDN w:val="0"/>
      <w:adjustRightInd w:val="0"/>
      <w:spacing w:line="240" w:lineRule="atLeast"/>
      <w:jc w:val="both"/>
      <w:textAlignment w:val="baseline"/>
    </w:pPr>
    <w:rPr>
      <w:rFonts w:eastAsia="Times New Roman" w:cs="Times New Roman"/>
      <w:sz w:val="20"/>
      <w:szCs w:val="20"/>
    </w:rPr>
  </w:style>
  <w:style w:type="character" w:customStyle="1" w:styleId="heading30">
    <w:name w:val="heading3"/>
    <w:basedOn w:val="DefaultParagraphFont"/>
    <w:rsid w:val="00814B24"/>
    <w:rPr>
      <w:b/>
    </w:rPr>
  </w:style>
  <w:style w:type="character" w:customStyle="1" w:styleId="heading40">
    <w:name w:val="heading4"/>
    <w:basedOn w:val="DefaultParagraphFont"/>
    <w:rsid w:val="00814B24"/>
    <w:rPr>
      <w:i/>
    </w:rPr>
  </w:style>
  <w:style w:type="paragraph" w:styleId="NormalWeb">
    <w:name w:val="Normal (Web)"/>
    <w:basedOn w:val="Normal"/>
    <w:uiPriority w:val="99"/>
    <w:unhideWhenUsed/>
    <w:rsid w:val="00AF31C4"/>
    <w:pPr>
      <w:spacing w:before="100" w:beforeAutospacing="1" w:after="100" w:afterAutospacing="1"/>
    </w:pPr>
    <w:rPr>
      <w:rFonts w:eastAsia="Times New Roman" w:cs="Times New Roman"/>
      <w:sz w:val="24"/>
      <w:szCs w:val="24"/>
    </w:rPr>
  </w:style>
  <w:style w:type="character" w:customStyle="1" w:styleId="TextChar">
    <w:name w:val="Text Char"/>
    <w:link w:val="Text"/>
    <w:rsid w:val="00BB43A9"/>
    <w:rPr>
      <w:rFonts w:ascii="Times New Roman" w:eastAsiaTheme="majorEastAsia" w:hAnsi="Times New Roman" w:cstheme="majorBidi"/>
      <w:bCs/>
      <w:sz w:val="20"/>
      <w:szCs w:val="26"/>
    </w:rPr>
  </w:style>
  <w:style w:type="paragraph" w:customStyle="1" w:styleId="bang">
    <w:name w:val="bang"/>
    <w:basedOn w:val="Normal"/>
    <w:link w:val="bangChar"/>
    <w:qFormat/>
    <w:rsid w:val="00BB43A9"/>
    <w:pPr>
      <w:keepNext/>
      <w:keepLines/>
      <w:jc w:val="both"/>
    </w:pPr>
    <w:rPr>
      <w:rFonts w:eastAsia="Calibri" w:cs="Times New Roman"/>
    </w:rPr>
  </w:style>
  <w:style w:type="character" w:customStyle="1" w:styleId="bangChar">
    <w:name w:val="bang Char"/>
    <w:link w:val="bang"/>
    <w:rsid w:val="00BB43A9"/>
    <w:rPr>
      <w:rFonts w:ascii="Times New Roman" w:eastAsia="Calibri" w:hAnsi="Times New Roman" w:cs="Times New Roman"/>
    </w:rPr>
  </w:style>
  <w:style w:type="character" w:styleId="Strong">
    <w:name w:val="Strong"/>
    <w:basedOn w:val="DefaultParagraphFont"/>
    <w:uiPriority w:val="22"/>
    <w:qFormat/>
    <w:rsid w:val="0030748A"/>
    <w:rPr>
      <w:b/>
      <w:bCs/>
    </w:rPr>
  </w:style>
  <w:style w:type="character" w:styleId="Emphasis">
    <w:name w:val="Emphasis"/>
    <w:basedOn w:val="DefaultParagraphFont"/>
    <w:uiPriority w:val="20"/>
    <w:qFormat/>
    <w:rsid w:val="0030748A"/>
    <w:rPr>
      <w:i/>
      <w:iCs/>
    </w:rPr>
  </w:style>
  <w:style w:type="character" w:styleId="Hyperlink">
    <w:name w:val="Hyperlink"/>
    <w:basedOn w:val="DefaultParagraphFont"/>
    <w:uiPriority w:val="99"/>
    <w:unhideWhenUsed/>
    <w:rsid w:val="003A2683"/>
    <w:rPr>
      <w:color w:val="0000FF" w:themeColor="hyperlink"/>
      <w:u w:val="single"/>
    </w:rPr>
  </w:style>
  <w:style w:type="paragraph" w:styleId="ListParagraph">
    <w:name w:val="List Paragraph"/>
    <w:basedOn w:val="Normal"/>
    <w:uiPriority w:val="34"/>
    <w:qFormat/>
    <w:rsid w:val="003C51C5"/>
    <w:pPr>
      <w:spacing w:after="160" w:line="259" w:lineRule="auto"/>
      <w:ind w:left="720"/>
      <w:contextualSpacing/>
    </w:pPr>
    <w:rPr>
      <w:rFonts w:asciiTheme="minorHAnsi" w:hAnsiTheme="minorHAnsi"/>
    </w:rPr>
  </w:style>
  <w:style w:type="character" w:customStyle="1" w:styleId="UnresolvedMention1">
    <w:name w:val="Unresolved Mention1"/>
    <w:basedOn w:val="DefaultParagraphFont"/>
    <w:uiPriority w:val="99"/>
    <w:semiHidden/>
    <w:unhideWhenUsed/>
    <w:rsid w:val="00D156B4"/>
    <w:rPr>
      <w:color w:val="605E5C"/>
      <w:shd w:val="clear" w:color="auto" w:fill="E1DFDD"/>
    </w:rPr>
  </w:style>
  <w:style w:type="paragraph" w:customStyle="1" w:styleId="Reference">
    <w:name w:val="Reference"/>
    <w:basedOn w:val="ListBullet"/>
    <w:autoRedefine/>
    <w:rsid w:val="00275E6B"/>
    <w:pPr>
      <w:numPr>
        <w:numId w:val="0"/>
      </w:numPr>
      <w:tabs>
        <w:tab w:val="right" w:pos="4365"/>
      </w:tabs>
      <w:spacing w:line="480" w:lineRule="auto"/>
      <w:ind w:left="450" w:right="-108" w:hanging="360"/>
      <w:contextualSpacing w:val="0"/>
    </w:pPr>
    <w:rPr>
      <w:rFonts w:eastAsia="Times New Roman" w:cs="Times New Roman"/>
      <w:color w:val="222222"/>
      <w:sz w:val="24"/>
      <w:szCs w:val="24"/>
      <w:shd w:val="clear" w:color="auto" w:fill="FFFFFF"/>
    </w:rPr>
  </w:style>
  <w:style w:type="paragraph" w:styleId="ListBullet">
    <w:name w:val="List Bullet"/>
    <w:basedOn w:val="Normal"/>
    <w:uiPriority w:val="99"/>
    <w:semiHidden/>
    <w:unhideWhenUsed/>
    <w:rsid w:val="00275E6B"/>
    <w:pPr>
      <w:numPr>
        <w:numId w:val="44"/>
      </w:numPr>
      <w:contextualSpacing/>
    </w:pPr>
  </w:style>
  <w:style w:type="character" w:styleId="FollowedHyperlink">
    <w:name w:val="FollowedHyperlink"/>
    <w:basedOn w:val="DefaultParagraphFont"/>
    <w:uiPriority w:val="99"/>
    <w:semiHidden/>
    <w:unhideWhenUsed/>
    <w:rsid w:val="00015D06"/>
    <w:rPr>
      <w:color w:val="800080" w:themeColor="followedHyperlink"/>
      <w:u w:val="single"/>
    </w:rPr>
  </w:style>
  <w:style w:type="character" w:styleId="CommentReference">
    <w:name w:val="annotation reference"/>
    <w:basedOn w:val="DefaultParagraphFont"/>
    <w:uiPriority w:val="99"/>
    <w:semiHidden/>
    <w:unhideWhenUsed/>
    <w:rsid w:val="00813812"/>
    <w:rPr>
      <w:sz w:val="16"/>
      <w:szCs w:val="16"/>
    </w:rPr>
  </w:style>
  <w:style w:type="paragraph" w:styleId="CommentText">
    <w:name w:val="annotation text"/>
    <w:basedOn w:val="Normal"/>
    <w:link w:val="CommentTextChar"/>
    <w:uiPriority w:val="99"/>
    <w:semiHidden/>
    <w:unhideWhenUsed/>
    <w:rsid w:val="00813812"/>
    <w:rPr>
      <w:sz w:val="20"/>
      <w:szCs w:val="20"/>
    </w:rPr>
  </w:style>
  <w:style w:type="character" w:customStyle="1" w:styleId="CommentTextChar">
    <w:name w:val="Comment Text Char"/>
    <w:basedOn w:val="DefaultParagraphFont"/>
    <w:link w:val="CommentText"/>
    <w:uiPriority w:val="99"/>
    <w:semiHidden/>
    <w:rsid w:val="0081381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13812"/>
    <w:rPr>
      <w:b/>
      <w:bCs/>
    </w:rPr>
  </w:style>
  <w:style w:type="character" w:customStyle="1" w:styleId="CommentSubjectChar">
    <w:name w:val="Comment Subject Char"/>
    <w:basedOn w:val="CommentTextChar"/>
    <w:link w:val="CommentSubject"/>
    <w:uiPriority w:val="99"/>
    <w:semiHidden/>
    <w:rsid w:val="00813812"/>
    <w:rPr>
      <w:rFonts w:ascii="Times New Roman" w:hAnsi="Times New Roman"/>
      <w:b/>
      <w:bCs/>
      <w:sz w:val="20"/>
      <w:szCs w:val="20"/>
    </w:rPr>
  </w:style>
  <w:style w:type="table" w:styleId="TableGridLight">
    <w:name w:val="Grid Table Light"/>
    <w:basedOn w:val="TableNormal"/>
    <w:uiPriority w:val="40"/>
    <w:rsid w:val="004E2EC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B7BE5"/>
    <w:rPr>
      <w:color w:val="808080"/>
    </w:rPr>
  </w:style>
  <w:style w:type="table" w:styleId="PlainTable2">
    <w:name w:val="Plain Table 2"/>
    <w:basedOn w:val="TableNormal"/>
    <w:uiPriority w:val="42"/>
    <w:rsid w:val="0063014C"/>
    <w:pPr>
      <w:spacing w:after="0" w:line="240" w:lineRule="auto"/>
    </w:pPr>
    <w:rPr>
      <w:sz w:val="24"/>
      <w:szCs w:val="24"/>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6D3AE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unhideWhenUsed/>
    <w:rsid w:val="00EB0863"/>
    <w:pPr>
      <w:tabs>
        <w:tab w:val="left" w:pos="380"/>
      </w:tabs>
      <w:spacing w:after="240"/>
      <w:ind w:left="384" w:hanging="384"/>
    </w:pPr>
  </w:style>
  <w:style w:type="character" w:styleId="PageNumber">
    <w:name w:val="page number"/>
    <w:basedOn w:val="DefaultParagraphFont"/>
    <w:uiPriority w:val="99"/>
    <w:semiHidden/>
    <w:unhideWhenUsed/>
    <w:rsid w:val="00BC3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79566">
      <w:bodyDiv w:val="1"/>
      <w:marLeft w:val="0"/>
      <w:marRight w:val="0"/>
      <w:marTop w:val="0"/>
      <w:marBottom w:val="0"/>
      <w:divBdr>
        <w:top w:val="none" w:sz="0" w:space="0" w:color="auto"/>
        <w:left w:val="none" w:sz="0" w:space="0" w:color="auto"/>
        <w:bottom w:val="none" w:sz="0" w:space="0" w:color="auto"/>
        <w:right w:val="none" w:sz="0" w:space="0" w:color="auto"/>
      </w:divBdr>
    </w:div>
    <w:div w:id="132408903">
      <w:bodyDiv w:val="1"/>
      <w:marLeft w:val="0"/>
      <w:marRight w:val="0"/>
      <w:marTop w:val="0"/>
      <w:marBottom w:val="0"/>
      <w:divBdr>
        <w:top w:val="none" w:sz="0" w:space="0" w:color="auto"/>
        <w:left w:val="none" w:sz="0" w:space="0" w:color="auto"/>
        <w:bottom w:val="none" w:sz="0" w:space="0" w:color="auto"/>
        <w:right w:val="none" w:sz="0" w:space="0" w:color="auto"/>
      </w:divBdr>
    </w:div>
    <w:div w:id="250698422">
      <w:bodyDiv w:val="1"/>
      <w:marLeft w:val="0"/>
      <w:marRight w:val="0"/>
      <w:marTop w:val="0"/>
      <w:marBottom w:val="0"/>
      <w:divBdr>
        <w:top w:val="none" w:sz="0" w:space="0" w:color="auto"/>
        <w:left w:val="none" w:sz="0" w:space="0" w:color="auto"/>
        <w:bottom w:val="none" w:sz="0" w:space="0" w:color="auto"/>
        <w:right w:val="none" w:sz="0" w:space="0" w:color="auto"/>
      </w:divBdr>
    </w:div>
    <w:div w:id="280962073">
      <w:bodyDiv w:val="1"/>
      <w:marLeft w:val="0"/>
      <w:marRight w:val="0"/>
      <w:marTop w:val="0"/>
      <w:marBottom w:val="0"/>
      <w:divBdr>
        <w:top w:val="none" w:sz="0" w:space="0" w:color="auto"/>
        <w:left w:val="none" w:sz="0" w:space="0" w:color="auto"/>
        <w:bottom w:val="none" w:sz="0" w:space="0" w:color="auto"/>
        <w:right w:val="none" w:sz="0" w:space="0" w:color="auto"/>
      </w:divBdr>
    </w:div>
    <w:div w:id="320812966">
      <w:bodyDiv w:val="1"/>
      <w:marLeft w:val="0"/>
      <w:marRight w:val="0"/>
      <w:marTop w:val="0"/>
      <w:marBottom w:val="0"/>
      <w:divBdr>
        <w:top w:val="none" w:sz="0" w:space="0" w:color="auto"/>
        <w:left w:val="none" w:sz="0" w:space="0" w:color="auto"/>
        <w:bottom w:val="none" w:sz="0" w:space="0" w:color="auto"/>
        <w:right w:val="none" w:sz="0" w:space="0" w:color="auto"/>
      </w:divBdr>
    </w:div>
    <w:div w:id="320934716">
      <w:bodyDiv w:val="1"/>
      <w:marLeft w:val="0"/>
      <w:marRight w:val="0"/>
      <w:marTop w:val="0"/>
      <w:marBottom w:val="0"/>
      <w:divBdr>
        <w:top w:val="none" w:sz="0" w:space="0" w:color="auto"/>
        <w:left w:val="none" w:sz="0" w:space="0" w:color="auto"/>
        <w:bottom w:val="none" w:sz="0" w:space="0" w:color="auto"/>
        <w:right w:val="none" w:sz="0" w:space="0" w:color="auto"/>
      </w:divBdr>
    </w:div>
    <w:div w:id="357856177">
      <w:bodyDiv w:val="1"/>
      <w:marLeft w:val="0"/>
      <w:marRight w:val="0"/>
      <w:marTop w:val="0"/>
      <w:marBottom w:val="0"/>
      <w:divBdr>
        <w:top w:val="none" w:sz="0" w:space="0" w:color="auto"/>
        <w:left w:val="none" w:sz="0" w:space="0" w:color="auto"/>
        <w:bottom w:val="none" w:sz="0" w:space="0" w:color="auto"/>
        <w:right w:val="none" w:sz="0" w:space="0" w:color="auto"/>
      </w:divBdr>
    </w:div>
    <w:div w:id="442655744">
      <w:bodyDiv w:val="1"/>
      <w:marLeft w:val="0"/>
      <w:marRight w:val="0"/>
      <w:marTop w:val="0"/>
      <w:marBottom w:val="0"/>
      <w:divBdr>
        <w:top w:val="none" w:sz="0" w:space="0" w:color="auto"/>
        <w:left w:val="none" w:sz="0" w:space="0" w:color="auto"/>
        <w:bottom w:val="none" w:sz="0" w:space="0" w:color="auto"/>
        <w:right w:val="none" w:sz="0" w:space="0" w:color="auto"/>
      </w:divBdr>
    </w:div>
    <w:div w:id="458497238">
      <w:bodyDiv w:val="1"/>
      <w:marLeft w:val="0"/>
      <w:marRight w:val="0"/>
      <w:marTop w:val="0"/>
      <w:marBottom w:val="0"/>
      <w:divBdr>
        <w:top w:val="none" w:sz="0" w:space="0" w:color="auto"/>
        <w:left w:val="none" w:sz="0" w:space="0" w:color="auto"/>
        <w:bottom w:val="none" w:sz="0" w:space="0" w:color="auto"/>
        <w:right w:val="none" w:sz="0" w:space="0" w:color="auto"/>
      </w:divBdr>
    </w:div>
    <w:div w:id="486555125">
      <w:bodyDiv w:val="1"/>
      <w:marLeft w:val="0"/>
      <w:marRight w:val="0"/>
      <w:marTop w:val="0"/>
      <w:marBottom w:val="0"/>
      <w:divBdr>
        <w:top w:val="none" w:sz="0" w:space="0" w:color="auto"/>
        <w:left w:val="none" w:sz="0" w:space="0" w:color="auto"/>
        <w:bottom w:val="none" w:sz="0" w:space="0" w:color="auto"/>
        <w:right w:val="none" w:sz="0" w:space="0" w:color="auto"/>
      </w:divBdr>
    </w:div>
    <w:div w:id="516383034">
      <w:bodyDiv w:val="1"/>
      <w:marLeft w:val="0"/>
      <w:marRight w:val="0"/>
      <w:marTop w:val="0"/>
      <w:marBottom w:val="0"/>
      <w:divBdr>
        <w:top w:val="none" w:sz="0" w:space="0" w:color="auto"/>
        <w:left w:val="none" w:sz="0" w:space="0" w:color="auto"/>
        <w:bottom w:val="none" w:sz="0" w:space="0" w:color="auto"/>
        <w:right w:val="none" w:sz="0" w:space="0" w:color="auto"/>
      </w:divBdr>
    </w:div>
    <w:div w:id="525366115">
      <w:bodyDiv w:val="1"/>
      <w:marLeft w:val="0"/>
      <w:marRight w:val="0"/>
      <w:marTop w:val="0"/>
      <w:marBottom w:val="0"/>
      <w:divBdr>
        <w:top w:val="none" w:sz="0" w:space="0" w:color="auto"/>
        <w:left w:val="none" w:sz="0" w:space="0" w:color="auto"/>
        <w:bottom w:val="none" w:sz="0" w:space="0" w:color="auto"/>
        <w:right w:val="none" w:sz="0" w:space="0" w:color="auto"/>
      </w:divBdr>
    </w:div>
    <w:div w:id="580407789">
      <w:bodyDiv w:val="1"/>
      <w:marLeft w:val="0"/>
      <w:marRight w:val="0"/>
      <w:marTop w:val="0"/>
      <w:marBottom w:val="0"/>
      <w:divBdr>
        <w:top w:val="none" w:sz="0" w:space="0" w:color="auto"/>
        <w:left w:val="none" w:sz="0" w:space="0" w:color="auto"/>
        <w:bottom w:val="none" w:sz="0" w:space="0" w:color="auto"/>
        <w:right w:val="none" w:sz="0" w:space="0" w:color="auto"/>
      </w:divBdr>
    </w:div>
    <w:div w:id="611670038">
      <w:bodyDiv w:val="1"/>
      <w:marLeft w:val="0"/>
      <w:marRight w:val="0"/>
      <w:marTop w:val="0"/>
      <w:marBottom w:val="0"/>
      <w:divBdr>
        <w:top w:val="none" w:sz="0" w:space="0" w:color="auto"/>
        <w:left w:val="none" w:sz="0" w:space="0" w:color="auto"/>
        <w:bottom w:val="none" w:sz="0" w:space="0" w:color="auto"/>
        <w:right w:val="none" w:sz="0" w:space="0" w:color="auto"/>
      </w:divBdr>
    </w:div>
    <w:div w:id="720984480">
      <w:bodyDiv w:val="1"/>
      <w:marLeft w:val="0"/>
      <w:marRight w:val="0"/>
      <w:marTop w:val="0"/>
      <w:marBottom w:val="0"/>
      <w:divBdr>
        <w:top w:val="none" w:sz="0" w:space="0" w:color="auto"/>
        <w:left w:val="none" w:sz="0" w:space="0" w:color="auto"/>
        <w:bottom w:val="none" w:sz="0" w:space="0" w:color="auto"/>
        <w:right w:val="none" w:sz="0" w:space="0" w:color="auto"/>
      </w:divBdr>
    </w:div>
    <w:div w:id="731538786">
      <w:bodyDiv w:val="1"/>
      <w:marLeft w:val="0"/>
      <w:marRight w:val="0"/>
      <w:marTop w:val="0"/>
      <w:marBottom w:val="0"/>
      <w:divBdr>
        <w:top w:val="none" w:sz="0" w:space="0" w:color="auto"/>
        <w:left w:val="none" w:sz="0" w:space="0" w:color="auto"/>
        <w:bottom w:val="none" w:sz="0" w:space="0" w:color="auto"/>
        <w:right w:val="none" w:sz="0" w:space="0" w:color="auto"/>
      </w:divBdr>
    </w:div>
    <w:div w:id="775052948">
      <w:bodyDiv w:val="1"/>
      <w:marLeft w:val="0"/>
      <w:marRight w:val="0"/>
      <w:marTop w:val="0"/>
      <w:marBottom w:val="0"/>
      <w:divBdr>
        <w:top w:val="none" w:sz="0" w:space="0" w:color="auto"/>
        <w:left w:val="none" w:sz="0" w:space="0" w:color="auto"/>
        <w:bottom w:val="none" w:sz="0" w:space="0" w:color="auto"/>
        <w:right w:val="none" w:sz="0" w:space="0" w:color="auto"/>
      </w:divBdr>
    </w:div>
    <w:div w:id="846361683">
      <w:bodyDiv w:val="1"/>
      <w:marLeft w:val="0"/>
      <w:marRight w:val="0"/>
      <w:marTop w:val="0"/>
      <w:marBottom w:val="0"/>
      <w:divBdr>
        <w:top w:val="none" w:sz="0" w:space="0" w:color="auto"/>
        <w:left w:val="none" w:sz="0" w:space="0" w:color="auto"/>
        <w:bottom w:val="none" w:sz="0" w:space="0" w:color="auto"/>
        <w:right w:val="none" w:sz="0" w:space="0" w:color="auto"/>
      </w:divBdr>
    </w:div>
    <w:div w:id="903880260">
      <w:bodyDiv w:val="1"/>
      <w:marLeft w:val="0"/>
      <w:marRight w:val="0"/>
      <w:marTop w:val="0"/>
      <w:marBottom w:val="0"/>
      <w:divBdr>
        <w:top w:val="none" w:sz="0" w:space="0" w:color="auto"/>
        <w:left w:val="none" w:sz="0" w:space="0" w:color="auto"/>
        <w:bottom w:val="none" w:sz="0" w:space="0" w:color="auto"/>
        <w:right w:val="none" w:sz="0" w:space="0" w:color="auto"/>
      </w:divBdr>
    </w:div>
    <w:div w:id="942881431">
      <w:bodyDiv w:val="1"/>
      <w:marLeft w:val="0"/>
      <w:marRight w:val="0"/>
      <w:marTop w:val="0"/>
      <w:marBottom w:val="0"/>
      <w:divBdr>
        <w:top w:val="none" w:sz="0" w:space="0" w:color="auto"/>
        <w:left w:val="none" w:sz="0" w:space="0" w:color="auto"/>
        <w:bottom w:val="none" w:sz="0" w:space="0" w:color="auto"/>
        <w:right w:val="none" w:sz="0" w:space="0" w:color="auto"/>
      </w:divBdr>
    </w:div>
    <w:div w:id="1056971358">
      <w:bodyDiv w:val="1"/>
      <w:marLeft w:val="0"/>
      <w:marRight w:val="0"/>
      <w:marTop w:val="0"/>
      <w:marBottom w:val="0"/>
      <w:divBdr>
        <w:top w:val="none" w:sz="0" w:space="0" w:color="auto"/>
        <w:left w:val="none" w:sz="0" w:space="0" w:color="auto"/>
        <w:bottom w:val="none" w:sz="0" w:space="0" w:color="auto"/>
        <w:right w:val="none" w:sz="0" w:space="0" w:color="auto"/>
      </w:divBdr>
    </w:div>
    <w:div w:id="1137147609">
      <w:bodyDiv w:val="1"/>
      <w:marLeft w:val="0"/>
      <w:marRight w:val="0"/>
      <w:marTop w:val="0"/>
      <w:marBottom w:val="0"/>
      <w:divBdr>
        <w:top w:val="none" w:sz="0" w:space="0" w:color="auto"/>
        <w:left w:val="none" w:sz="0" w:space="0" w:color="auto"/>
        <w:bottom w:val="none" w:sz="0" w:space="0" w:color="auto"/>
        <w:right w:val="none" w:sz="0" w:space="0" w:color="auto"/>
      </w:divBdr>
    </w:div>
    <w:div w:id="1249853563">
      <w:bodyDiv w:val="1"/>
      <w:marLeft w:val="0"/>
      <w:marRight w:val="0"/>
      <w:marTop w:val="0"/>
      <w:marBottom w:val="0"/>
      <w:divBdr>
        <w:top w:val="none" w:sz="0" w:space="0" w:color="auto"/>
        <w:left w:val="none" w:sz="0" w:space="0" w:color="auto"/>
        <w:bottom w:val="none" w:sz="0" w:space="0" w:color="auto"/>
        <w:right w:val="none" w:sz="0" w:space="0" w:color="auto"/>
      </w:divBdr>
    </w:div>
    <w:div w:id="1264461928">
      <w:bodyDiv w:val="1"/>
      <w:marLeft w:val="0"/>
      <w:marRight w:val="0"/>
      <w:marTop w:val="0"/>
      <w:marBottom w:val="0"/>
      <w:divBdr>
        <w:top w:val="none" w:sz="0" w:space="0" w:color="auto"/>
        <w:left w:val="none" w:sz="0" w:space="0" w:color="auto"/>
        <w:bottom w:val="none" w:sz="0" w:space="0" w:color="auto"/>
        <w:right w:val="none" w:sz="0" w:space="0" w:color="auto"/>
      </w:divBdr>
    </w:div>
    <w:div w:id="1334607555">
      <w:bodyDiv w:val="1"/>
      <w:marLeft w:val="0"/>
      <w:marRight w:val="0"/>
      <w:marTop w:val="0"/>
      <w:marBottom w:val="0"/>
      <w:divBdr>
        <w:top w:val="none" w:sz="0" w:space="0" w:color="auto"/>
        <w:left w:val="none" w:sz="0" w:space="0" w:color="auto"/>
        <w:bottom w:val="none" w:sz="0" w:space="0" w:color="auto"/>
        <w:right w:val="none" w:sz="0" w:space="0" w:color="auto"/>
      </w:divBdr>
    </w:div>
    <w:div w:id="1377394687">
      <w:bodyDiv w:val="1"/>
      <w:marLeft w:val="0"/>
      <w:marRight w:val="0"/>
      <w:marTop w:val="0"/>
      <w:marBottom w:val="0"/>
      <w:divBdr>
        <w:top w:val="none" w:sz="0" w:space="0" w:color="auto"/>
        <w:left w:val="none" w:sz="0" w:space="0" w:color="auto"/>
        <w:bottom w:val="none" w:sz="0" w:space="0" w:color="auto"/>
        <w:right w:val="none" w:sz="0" w:space="0" w:color="auto"/>
      </w:divBdr>
    </w:div>
    <w:div w:id="1380015645">
      <w:bodyDiv w:val="1"/>
      <w:marLeft w:val="0"/>
      <w:marRight w:val="0"/>
      <w:marTop w:val="0"/>
      <w:marBottom w:val="0"/>
      <w:divBdr>
        <w:top w:val="none" w:sz="0" w:space="0" w:color="auto"/>
        <w:left w:val="none" w:sz="0" w:space="0" w:color="auto"/>
        <w:bottom w:val="none" w:sz="0" w:space="0" w:color="auto"/>
        <w:right w:val="none" w:sz="0" w:space="0" w:color="auto"/>
      </w:divBdr>
    </w:div>
    <w:div w:id="1411729586">
      <w:bodyDiv w:val="1"/>
      <w:marLeft w:val="0"/>
      <w:marRight w:val="0"/>
      <w:marTop w:val="0"/>
      <w:marBottom w:val="0"/>
      <w:divBdr>
        <w:top w:val="none" w:sz="0" w:space="0" w:color="auto"/>
        <w:left w:val="none" w:sz="0" w:space="0" w:color="auto"/>
        <w:bottom w:val="none" w:sz="0" w:space="0" w:color="auto"/>
        <w:right w:val="none" w:sz="0" w:space="0" w:color="auto"/>
      </w:divBdr>
    </w:div>
    <w:div w:id="1481730906">
      <w:bodyDiv w:val="1"/>
      <w:marLeft w:val="0"/>
      <w:marRight w:val="0"/>
      <w:marTop w:val="0"/>
      <w:marBottom w:val="0"/>
      <w:divBdr>
        <w:top w:val="none" w:sz="0" w:space="0" w:color="auto"/>
        <w:left w:val="none" w:sz="0" w:space="0" w:color="auto"/>
        <w:bottom w:val="none" w:sz="0" w:space="0" w:color="auto"/>
        <w:right w:val="none" w:sz="0" w:space="0" w:color="auto"/>
      </w:divBdr>
    </w:div>
    <w:div w:id="1546746619">
      <w:bodyDiv w:val="1"/>
      <w:marLeft w:val="0"/>
      <w:marRight w:val="0"/>
      <w:marTop w:val="0"/>
      <w:marBottom w:val="0"/>
      <w:divBdr>
        <w:top w:val="none" w:sz="0" w:space="0" w:color="auto"/>
        <w:left w:val="none" w:sz="0" w:space="0" w:color="auto"/>
        <w:bottom w:val="none" w:sz="0" w:space="0" w:color="auto"/>
        <w:right w:val="none" w:sz="0" w:space="0" w:color="auto"/>
      </w:divBdr>
    </w:div>
    <w:div w:id="1644971073">
      <w:bodyDiv w:val="1"/>
      <w:marLeft w:val="0"/>
      <w:marRight w:val="0"/>
      <w:marTop w:val="0"/>
      <w:marBottom w:val="0"/>
      <w:divBdr>
        <w:top w:val="none" w:sz="0" w:space="0" w:color="auto"/>
        <w:left w:val="none" w:sz="0" w:space="0" w:color="auto"/>
        <w:bottom w:val="none" w:sz="0" w:space="0" w:color="auto"/>
        <w:right w:val="none" w:sz="0" w:space="0" w:color="auto"/>
      </w:divBdr>
    </w:div>
    <w:div w:id="1764453652">
      <w:bodyDiv w:val="1"/>
      <w:marLeft w:val="0"/>
      <w:marRight w:val="0"/>
      <w:marTop w:val="0"/>
      <w:marBottom w:val="0"/>
      <w:divBdr>
        <w:top w:val="none" w:sz="0" w:space="0" w:color="auto"/>
        <w:left w:val="none" w:sz="0" w:space="0" w:color="auto"/>
        <w:bottom w:val="none" w:sz="0" w:space="0" w:color="auto"/>
        <w:right w:val="none" w:sz="0" w:space="0" w:color="auto"/>
      </w:divBdr>
    </w:div>
    <w:div w:id="1785535040">
      <w:bodyDiv w:val="1"/>
      <w:marLeft w:val="0"/>
      <w:marRight w:val="0"/>
      <w:marTop w:val="0"/>
      <w:marBottom w:val="0"/>
      <w:divBdr>
        <w:top w:val="none" w:sz="0" w:space="0" w:color="auto"/>
        <w:left w:val="none" w:sz="0" w:space="0" w:color="auto"/>
        <w:bottom w:val="none" w:sz="0" w:space="0" w:color="auto"/>
        <w:right w:val="none" w:sz="0" w:space="0" w:color="auto"/>
      </w:divBdr>
    </w:div>
    <w:div w:id="178750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1.xml"/><Relationship Id="rId12" Type="http://schemas.openxmlformats.org/officeDocument/2006/relationships/chart" Target="charts/chart2.xml"/><Relationship Id="rId13" Type="http://schemas.openxmlformats.org/officeDocument/2006/relationships/chart" Target="charts/chart3.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Vol%2015-2\Template%20(ENG).dotx" TargetMode="Externa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Users\macbook\Desktop\NCKH%20sinh%20vie&#770;n\Thang-TTT\data%20TTT.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Users\macbook\Desktop\NCKH%20sinh%20vie&#770;n\Thang-TTT\data%20TTT.xlsx" TargetMode="External"/><Relationship Id="rId4" Type="http://schemas.openxmlformats.org/officeDocument/2006/relationships/chartUserShapes" Target="../drawings/drawing1.xml"/><Relationship Id="rId1" Type="http://schemas.microsoft.com/office/2011/relationships/chartStyle" Target="style2.xml"/><Relationship Id="rId2" Type="http://schemas.microsoft.com/office/2011/relationships/chartColorStyle" Target="colors2.xml"/></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oleObject" Target="file:////Users\macbook\Desktop\NCKH%20sinh%20vie&#770;n\Thang-TTT\data%20TT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lumMod val="65000"/>
                    <a:lumOff val="35000"/>
                  </a:sysClr>
                </a:solidFill>
                <a:latin typeface="Times New Roman" charset="0"/>
                <a:ea typeface="Times New Roman" charset="0"/>
                <a:cs typeface="Times New Roman" charset="0"/>
              </a:defRPr>
            </a:pPr>
            <a:r>
              <a:rPr lang="en-GB" sz="1000">
                <a:effectLst/>
              </a:rPr>
              <a:t>Prevalence of pairs of DDIs per prescription</a:t>
            </a:r>
            <a:endParaRPr lang="en-US"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100">
                <a:solidFill>
                  <a:sysClr val="windowText" lastClr="000000">
                    <a:lumMod val="65000"/>
                    <a:lumOff val="35000"/>
                  </a:sysClr>
                </a:solidFill>
              </a:defRPr>
            </a:pPr>
            <a:endParaRPr lang="en-US" sz="1100"/>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lumMod val="65000"/>
                  <a:lumOff val="35000"/>
                </a:sysClr>
              </a:solidFill>
              <a:latin typeface="Times New Roman" charset="0"/>
              <a:ea typeface="Times New Roman" charset="0"/>
              <a:cs typeface="Times New Roman" charset="0"/>
            </a:defRPr>
          </a:pPr>
          <a:endParaRPr lang="en-US"/>
        </a:p>
      </c:txPr>
    </c:title>
    <c:autoTitleDeleted val="0"/>
    <c:plotArea>
      <c:layout>
        <c:manualLayout>
          <c:layoutTarget val="inner"/>
          <c:xMode val="edge"/>
          <c:yMode val="edge"/>
          <c:x val="0.211728439696609"/>
          <c:y val="0.179292929292929"/>
          <c:w val="0.725439274174827"/>
          <c:h val="0.473009226119462"/>
        </c:manualLayout>
      </c:layout>
      <c:barChart>
        <c:barDir val="col"/>
        <c:grouping val="stacked"/>
        <c:varyColors val="0"/>
        <c:ser>
          <c:idx val="1"/>
          <c:order val="1"/>
          <c:tx>
            <c:strRef>
              <c:f>Sheet2!$B$4</c:f>
              <c:strCache>
                <c:ptCount val="1"/>
                <c:pt idx="0">
                  <c:v>DDIs</c:v>
                </c:pt>
              </c:strCache>
            </c:strRef>
          </c:tx>
          <c:spPr>
            <a:solidFill>
              <a:schemeClr val="accent2"/>
            </a:solidFill>
            <a:ln>
              <a:noFill/>
            </a:ln>
            <a:effectLst/>
          </c:spPr>
          <c:invertIfNegative val="0"/>
          <c:dLbls>
            <c:dLbl>
              <c:idx val="0"/>
              <c:tx>
                <c:rich>
                  <a:bodyPr/>
                  <a:lstStyle/>
                  <a:p>
                    <a:r>
                      <a:rPr lang="nb-NO"/>
                      <a:t>47.7</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hr-HR"/>
                      <a:t>34.6</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hr-HR"/>
                      <a:t>34.6</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charset="0"/>
                    <a:ea typeface="Times New Roman" charset="0"/>
                    <a:cs typeface="Times New Roman"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Sheet2!$C$1:$E$2</c:f>
              <c:multiLvlStrCache>
                <c:ptCount val="3"/>
                <c:lvl>
                  <c:pt idx="0">
                    <c:v>DI</c:v>
                  </c:pt>
                  <c:pt idx="1">
                    <c:v>MDI</c:v>
                  </c:pt>
                  <c:pt idx="2">
                    <c:v>MMDI</c:v>
                  </c:pt>
                </c:lvl>
                <c:lvl>
                  <c:pt idx="0">
                    <c:v>Databases</c:v>
                  </c:pt>
                </c:lvl>
              </c:multiLvlStrCache>
            </c:multiLvlStrRef>
          </c:cat>
          <c:val>
            <c:numRef>
              <c:f>Sheet2!$C$4:$E$4</c:f>
              <c:numCache>
                <c:formatCode>General</c:formatCode>
                <c:ptCount val="3"/>
                <c:pt idx="0">
                  <c:v>47.65</c:v>
                </c:pt>
                <c:pt idx="1">
                  <c:v>34.62</c:v>
                </c:pt>
                <c:pt idx="2">
                  <c:v>34.62</c:v>
                </c:pt>
              </c:numCache>
            </c:numRef>
          </c:val>
        </c:ser>
        <c:ser>
          <c:idx val="2"/>
          <c:order val="2"/>
          <c:tx>
            <c:strRef>
              <c:f>Sheet2!$B$5</c:f>
              <c:strCache>
                <c:ptCount val="1"/>
                <c:pt idx="0">
                  <c:v>Non-DDIs</c:v>
                </c:pt>
              </c:strCache>
            </c:strRef>
          </c:tx>
          <c:spPr>
            <a:solidFill>
              <a:schemeClr val="accent3"/>
            </a:solidFill>
            <a:ln>
              <a:noFill/>
            </a:ln>
            <a:effectLst/>
          </c:spPr>
          <c:invertIfNegative val="0"/>
          <c:cat>
            <c:multiLvlStrRef>
              <c:f>Sheet2!$C$1:$E$2</c:f>
              <c:multiLvlStrCache>
                <c:ptCount val="3"/>
                <c:lvl>
                  <c:pt idx="0">
                    <c:v>DI</c:v>
                  </c:pt>
                  <c:pt idx="1">
                    <c:v>MDI</c:v>
                  </c:pt>
                  <c:pt idx="2">
                    <c:v>MMDI</c:v>
                  </c:pt>
                </c:lvl>
                <c:lvl>
                  <c:pt idx="0">
                    <c:v>Databases</c:v>
                  </c:pt>
                </c:lvl>
              </c:multiLvlStrCache>
            </c:multiLvlStrRef>
          </c:cat>
          <c:val>
            <c:numRef>
              <c:f>Sheet2!$C$5:$E$5</c:f>
              <c:numCache>
                <c:formatCode>General</c:formatCode>
                <c:ptCount val="3"/>
                <c:pt idx="0">
                  <c:v>52.35</c:v>
                </c:pt>
                <c:pt idx="1">
                  <c:v>65.38</c:v>
                </c:pt>
                <c:pt idx="2">
                  <c:v>65.38</c:v>
                </c:pt>
              </c:numCache>
            </c:numRef>
          </c:val>
        </c:ser>
        <c:dLbls>
          <c:showLegendKey val="0"/>
          <c:showVal val="0"/>
          <c:showCatName val="0"/>
          <c:showSerName val="0"/>
          <c:showPercent val="0"/>
          <c:showBubbleSize val="0"/>
        </c:dLbls>
        <c:gapWidth val="150"/>
        <c:overlap val="100"/>
        <c:axId val="-1143395184"/>
        <c:axId val="-1143393408"/>
        <c:extLst>
          <c:ext xmlns:c15="http://schemas.microsoft.com/office/drawing/2012/chart" uri="{02D57815-91ED-43cb-92C2-25804820EDAC}">
            <c15:filteredBarSeries>
              <c15:ser>
                <c:idx val="0"/>
                <c:order val="0"/>
                <c:tx>
                  <c:strRef>
                    <c:extLst>
                      <c:ext uri="{02D57815-91ED-43cb-92C2-25804820EDAC}">
                        <c15:formulaRef>
                          <c15:sqref>Sheet2!$B$3</c15:sqref>
                        </c15:formulaRef>
                      </c:ext>
                    </c:extLst>
                    <c:strCache>
                      <c:ptCount val="1"/>
                    </c:strCache>
                  </c:strRef>
                </c:tx>
                <c:spPr>
                  <a:solidFill>
                    <a:schemeClr val="accent1"/>
                  </a:solidFill>
                  <a:ln>
                    <a:noFill/>
                  </a:ln>
                  <a:effectLst/>
                </c:spPr>
                <c:invertIfNegative val="0"/>
                <c:cat>
                  <c:multiLvlStrRef>
                    <c:extLst>
                      <c:ext uri="{02D57815-91ED-43cb-92C2-25804820EDAC}">
                        <c15:formulaRef>
                          <c15:sqref>Sheet2!$C$1:$E$2</c15:sqref>
                        </c15:formulaRef>
                      </c:ext>
                    </c:extLst>
                    <c:multiLvlStrCache>
                      <c:ptCount val="3"/>
                      <c:lvl>
                        <c:pt idx="0">
                          <c:v>DI</c:v>
                        </c:pt>
                        <c:pt idx="1">
                          <c:v>MDI</c:v>
                        </c:pt>
                        <c:pt idx="2">
                          <c:v>MMDI</c:v>
                        </c:pt>
                      </c:lvl>
                      <c:lvl>
                        <c:pt idx="0">
                          <c:v>Databases</c:v>
                        </c:pt>
                      </c:lvl>
                    </c:multiLvlStrCache>
                  </c:multiLvlStrRef>
                </c:cat>
                <c:val>
                  <c:numRef>
                    <c:extLst>
                      <c:ext uri="{02D57815-91ED-43cb-92C2-25804820EDAC}">
                        <c15:formulaRef>
                          <c15:sqref>Sheet2!$C$3:$E$3</c15:sqref>
                        </c15:formulaRef>
                      </c:ext>
                    </c:extLst>
                    <c:numCache>
                      <c:formatCode>General</c:formatCode>
                      <c:ptCount val="3"/>
                    </c:numCache>
                  </c:numRef>
                </c:val>
              </c15:ser>
            </c15:filteredBarSeries>
          </c:ext>
        </c:extLst>
      </c:barChart>
      <c:catAx>
        <c:axId val="-1143395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crossAx val="-1143393408"/>
        <c:crosses val="autoZero"/>
        <c:auto val="1"/>
        <c:lblAlgn val="ctr"/>
        <c:lblOffset val="100"/>
        <c:noMultiLvlLbl val="0"/>
      </c:catAx>
      <c:valAx>
        <c:axId val="-1143393408"/>
        <c:scaling>
          <c:orientation val="minMax"/>
          <c:max val="1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r>
                  <a:rPr lang="en-US"/>
                  <a:t>(%)</a:t>
                </a:r>
                <a:endParaRPr lang="vi-V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crossAx val="-1143395184"/>
        <c:crosses val="autoZero"/>
        <c:crossBetween val="between"/>
        <c:majorUnit val="10.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charset="0"/>
          <a:ea typeface="Times New Roman" charset="0"/>
          <a:cs typeface="Times New Roman"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charset="0"/>
                <a:ea typeface="Times New Roman" charset="0"/>
                <a:cs typeface="Times New Roman" charset="0"/>
              </a:defRPr>
            </a:pPr>
            <a:r>
              <a:rPr lang="en-US" sz="1000"/>
              <a:t>The rate of pharmacological mechanism of DDIs</a:t>
            </a:r>
          </a:p>
        </c:rich>
      </c:tx>
      <c:layout>
        <c:manualLayout>
          <c:xMode val="edge"/>
          <c:yMode val="edge"/>
          <c:x val="0.210990173523938"/>
          <c:y val="0.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charset="0"/>
              <a:ea typeface="Times New Roman" charset="0"/>
              <a:cs typeface="Times New Roman" charset="0"/>
            </a:defRPr>
          </a:pPr>
          <a:endParaRPr lang="en-US"/>
        </a:p>
      </c:txPr>
    </c:title>
    <c:autoTitleDeleted val="0"/>
    <c:plotArea>
      <c:layout>
        <c:manualLayout>
          <c:layoutTarget val="inner"/>
          <c:xMode val="edge"/>
          <c:yMode val="edge"/>
          <c:x val="0.209965326327294"/>
          <c:y val="0.165732959850607"/>
          <c:w val="0.725821287651466"/>
          <c:h val="0.512865671202864"/>
        </c:manualLayout>
      </c:layout>
      <c:barChart>
        <c:barDir val="col"/>
        <c:grouping val="clustered"/>
        <c:varyColors val="0"/>
        <c:ser>
          <c:idx val="0"/>
          <c:order val="0"/>
          <c:tx>
            <c:strRef>
              <c:f>Sheet1!$O$50</c:f>
              <c:strCache>
                <c:ptCount val="1"/>
                <c:pt idx="0">
                  <c:v>Pharmacokinetics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charset="0"/>
                    <a:ea typeface="Times New Roman" charset="0"/>
                    <a:cs typeface="Times New Roman"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Sheet1!$P$48:$R$49</c:f>
              <c:multiLvlStrCache>
                <c:ptCount val="3"/>
                <c:lvl>
                  <c:pt idx="0">
                    <c:v>DI</c:v>
                  </c:pt>
                  <c:pt idx="1">
                    <c:v>MDI</c:v>
                  </c:pt>
                  <c:pt idx="2">
                    <c:v>MMDI</c:v>
                  </c:pt>
                </c:lvl>
                <c:lvl>
                  <c:pt idx="0">
                    <c:v>Databases</c:v>
                  </c:pt>
                </c:lvl>
              </c:multiLvlStrCache>
            </c:multiLvlStrRef>
          </c:cat>
          <c:val>
            <c:numRef>
              <c:f>Sheet1!$P$50:$R$50</c:f>
              <c:numCache>
                <c:formatCode>General</c:formatCode>
                <c:ptCount val="3"/>
                <c:pt idx="0">
                  <c:v>16.3</c:v>
                </c:pt>
                <c:pt idx="1">
                  <c:v>13.9</c:v>
                </c:pt>
                <c:pt idx="2">
                  <c:v>13.8</c:v>
                </c:pt>
              </c:numCache>
            </c:numRef>
          </c:val>
        </c:ser>
        <c:ser>
          <c:idx val="1"/>
          <c:order val="1"/>
          <c:tx>
            <c:strRef>
              <c:f>Sheet1!$O$51</c:f>
              <c:strCache>
                <c:ptCount val="1"/>
                <c:pt idx="0">
                  <c:v>Pharmacodynamics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charset="0"/>
                    <a:ea typeface="Times New Roman" charset="0"/>
                    <a:cs typeface="Times New Roman"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Sheet1!$P$48:$R$49</c:f>
              <c:multiLvlStrCache>
                <c:ptCount val="3"/>
                <c:lvl>
                  <c:pt idx="0">
                    <c:v>DI</c:v>
                  </c:pt>
                  <c:pt idx="1">
                    <c:v>MDI</c:v>
                  </c:pt>
                  <c:pt idx="2">
                    <c:v>MMDI</c:v>
                  </c:pt>
                </c:lvl>
                <c:lvl>
                  <c:pt idx="0">
                    <c:v>Databases</c:v>
                  </c:pt>
                </c:lvl>
              </c:multiLvlStrCache>
            </c:multiLvlStrRef>
          </c:cat>
          <c:val>
            <c:numRef>
              <c:f>Sheet1!$P$51:$R$51</c:f>
              <c:numCache>
                <c:formatCode>General</c:formatCode>
                <c:ptCount val="3"/>
                <c:pt idx="0">
                  <c:v>83.7</c:v>
                </c:pt>
                <c:pt idx="1">
                  <c:v>86.1</c:v>
                </c:pt>
                <c:pt idx="2">
                  <c:v>86.2</c:v>
                </c:pt>
              </c:numCache>
            </c:numRef>
          </c:val>
        </c:ser>
        <c:dLbls>
          <c:showLegendKey val="0"/>
          <c:showVal val="0"/>
          <c:showCatName val="0"/>
          <c:showSerName val="0"/>
          <c:showPercent val="0"/>
          <c:showBubbleSize val="0"/>
        </c:dLbls>
        <c:gapWidth val="219"/>
        <c:overlap val="-27"/>
        <c:axId val="-1117914368"/>
        <c:axId val="-1118028720"/>
      </c:barChart>
      <c:catAx>
        <c:axId val="-1117914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crossAx val="-1118028720"/>
        <c:crosses val="autoZero"/>
        <c:auto val="1"/>
        <c:lblAlgn val="ctr"/>
        <c:lblOffset val="100"/>
        <c:noMultiLvlLbl val="0"/>
      </c:catAx>
      <c:valAx>
        <c:axId val="-1118028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crossAx val="-1117914368"/>
        <c:crosses val="autoZero"/>
        <c:crossBetween val="between"/>
      </c:valAx>
      <c:spPr>
        <a:noFill/>
        <a:ln>
          <a:noFill/>
        </a:ln>
        <a:effectLst/>
      </c:spPr>
    </c:plotArea>
    <c:legend>
      <c:legendPos val="b"/>
      <c:layout>
        <c:manualLayout>
          <c:xMode val="edge"/>
          <c:yMode val="edge"/>
          <c:x val="0.0500000972340794"/>
          <c:y val="0.892554259329482"/>
          <c:w val="0.899999805531841"/>
          <c:h val="0.10744574067051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charset="0"/>
          <a:ea typeface="Times New Roman" charset="0"/>
          <a:cs typeface="Times New Roman" charset="0"/>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charset="0"/>
                <a:ea typeface="Times New Roman" charset="0"/>
                <a:cs typeface="Times New Roman" charset="0"/>
              </a:defRPr>
            </a:pPr>
            <a:r>
              <a:rPr lang="en-US" sz="1000"/>
              <a:t>The severity of DDIs</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charset="0"/>
              <a:ea typeface="Times New Roman" charset="0"/>
              <a:cs typeface="Times New Roman" charset="0"/>
            </a:defRPr>
          </a:pPr>
          <a:endParaRPr lang="en-US"/>
        </a:p>
      </c:txPr>
    </c:title>
    <c:autoTitleDeleted val="0"/>
    <c:plotArea>
      <c:layout>
        <c:manualLayout>
          <c:layoutTarget val="inner"/>
          <c:xMode val="edge"/>
          <c:yMode val="edge"/>
          <c:x val="0.217321681225394"/>
          <c:y val="0.163481464425512"/>
          <c:w val="0.719201756274606"/>
          <c:h val="0.519483429756636"/>
        </c:manualLayout>
      </c:layout>
      <c:barChart>
        <c:barDir val="col"/>
        <c:grouping val="clustered"/>
        <c:varyColors val="0"/>
        <c:ser>
          <c:idx val="0"/>
          <c:order val="0"/>
          <c:tx>
            <c:strRef>
              <c:f>Sheet1!$B$100</c:f>
              <c:strCache>
                <c:ptCount val="1"/>
                <c:pt idx="0">
                  <c:v>Moderate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charset="0"/>
                    <a:ea typeface="Times New Roman" charset="0"/>
                    <a:cs typeface="Times New Roman"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Sheet1!$C$98:$E$99</c:f>
              <c:multiLvlStrCache>
                <c:ptCount val="3"/>
                <c:lvl>
                  <c:pt idx="0">
                    <c:v>DI</c:v>
                  </c:pt>
                  <c:pt idx="1">
                    <c:v>MDI</c:v>
                  </c:pt>
                  <c:pt idx="2">
                    <c:v>MMDI</c:v>
                  </c:pt>
                </c:lvl>
                <c:lvl>
                  <c:pt idx="0">
                    <c:v>Databases</c:v>
                  </c:pt>
                </c:lvl>
              </c:multiLvlStrCache>
            </c:multiLvlStrRef>
          </c:cat>
          <c:val>
            <c:numRef>
              <c:f>Sheet1!$C$100:$E$100</c:f>
              <c:numCache>
                <c:formatCode>General</c:formatCode>
                <c:ptCount val="3"/>
                <c:pt idx="0">
                  <c:v>91.1</c:v>
                </c:pt>
                <c:pt idx="1">
                  <c:v>68.5</c:v>
                </c:pt>
                <c:pt idx="2">
                  <c:v>87.7</c:v>
                </c:pt>
              </c:numCache>
            </c:numRef>
          </c:val>
        </c:ser>
        <c:ser>
          <c:idx val="1"/>
          <c:order val="1"/>
          <c:tx>
            <c:strRef>
              <c:f>Sheet1!$B$101</c:f>
              <c:strCache>
                <c:ptCount val="1"/>
                <c:pt idx="0">
                  <c:v>Major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charset="0"/>
                    <a:ea typeface="Times New Roman" charset="0"/>
                    <a:cs typeface="Times New Roman"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Sheet1!$C$98:$E$99</c:f>
              <c:multiLvlStrCache>
                <c:ptCount val="3"/>
                <c:lvl>
                  <c:pt idx="0">
                    <c:v>DI</c:v>
                  </c:pt>
                  <c:pt idx="1">
                    <c:v>MDI</c:v>
                  </c:pt>
                  <c:pt idx="2">
                    <c:v>MMDI</c:v>
                  </c:pt>
                </c:lvl>
                <c:lvl>
                  <c:pt idx="0">
                    <c:v>Databases</c:v>
                  </c:pt>
                </c:lvl>
              </c:multiLvlStrCache>
            </c:multiLvlStrRef>
          </c:cat>
          <c:val>
            <c:numRef>
              <c:f>Sheet1!$C$101:$E$101</c:f>
              <c:numCache>
                <c:formatCode>General</c:formatCode>
                <c:ptCount val="3"/>
                <c:pt idx="0">
                  <c:v>4.73</c:v>
                </c:pt>
                <c:pt idx="1">
                  <c:v>4.119999999999997</c:v>
                </c:pt>
                <c:pt idx="2">
                  <c:v>9.040000000000001</c:v>
                </c:pt>
              </c:numCache>
            </c:numRef>
          </c:val>
        </c:ser>
        <c:dLbls>
          <c:showLegendKey val="0"/>
          <c:showVal val="0"/>
          <c:showCatName val="0"/>
          <c:showSerName val="0"/>
          <c:showPercent val="0"/>
          <c:showBubbleSize val="0"/>
        </c:dLbls>
        <c:gapWidth val="219"/>
        <c:overlap val="-27"/>
        <c:axId val="-1116292032"/>
        <c:axId val="-1116289712"/>
      </c:barChart>
      <c:catAx>
        <c:axId val="-1116292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crossAx val="-1116289712"/>
        <c:crosses val="autoZero"/>
        <c:auto val="1"/>
        <c:lblAlgn val="ctr"/>
        <c:lblOffset val="100"/>
        <c:noMultiLvlLbl val="0"/>
      </c:catAx>
      <c:valAx>
        <c:axId val="-1116289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crossAx val="-1116292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charset="0"/>
          <a:ea typeface="Times New Roman" charset="0"/>
          <a:cs typeface="Times New Roman"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0.01531</cdr:x>
      <cdr:y>0.33499</cdr:y>
    </cdr:from>
    <cdr:to>
      <cdr:x>0.14868</cdr:x>
      <cdr:y>0.47224</cdr:y>
    </cdr:to>
    <cdr:sp macro="" textlink="">
      <cdr:nvSpPr>
        <cdr:cNvPr id="2" name="Text Box 9"/>
        <cdr:cNvSpPr txBox="1"/>
      </cdr:nvSpPr>
      <cdr:spPr>
        <a:xfrm xmlns:a="http://schemas.openxmlformats.org/drawingml/2006/main" rot="16200000">
          <a:off x="72920" y="720308"/>
          <a:ext cx="307653" cy="36882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non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en-US" sz="1000">
              <a:solidFill>
                <a:schemeClr val="tx1">
                  <a:lumMod val="75000"/>
                  <a:lumOff val="25000"/>
                </a:schemeClr>
              </a:solidFill>
              <a:latin typeface="Times New Roman" charset="0"/>
              <a:ea typeface="Times New Roman" charset="0"/>
              <a:cs typeface="Times New Roman" charset="0"/>
            </a:rPr>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92AB6-5867-EB4A-AC92-0769A1536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D:\Vol 15-2\Template (ENG).dotx</Template>
  <TotalTime>1248</TotalTime>
  <Pages>12</Pages>
  <Words>11522</Words>
  <Characters>65680</Characters>
  <Application>Microsoft Macintosh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kngoc1990@gmail.com</cp:lastModifiedBy>
  <cp:revision>78</cp:revision>
  <cp:lastPrinted>2018-03-05T09:01:00Z</cp:lastPrinted>
  <dcterms:created xsi:type="dcterms:W3CDTF">2024-10-31T02:14:00Z</dcterms:created>
  <dcterms:modified xsi:type="dcterms:W3CDTF">2025-02-05T03:57:00Z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55d93a12df181d69f9805e7cb1c55206ab2d7ea37f92a798a482345a2089e40a</vt:lpwstr>
  </property>
  <property fmtid="{D5CDD505-2E9C-101B-9397-08002B2CF9AE}" pid="3" name="ZOTERO_PREF_1">
    <vt:lpwstr>&lt;data data-version="3" zotero-version="6.0.37"&gt;&lt;session id="whLqkAoN"/&gt;&lt;style id="http://www.zotero.org/styles/vancouver" locale="en-US" hasBibliography="1" bibliographyStyleHasBeenSet="1"/&gt;&lt;prefs&gt;&lt;pref name="fieldType" value="Field"/&gt;&lt;/prefs&gt;&lt;/data&gt;</vt:lpwstr>
  </property>
</Properties>
</file>