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68" w:rsidRPr="00436468" w:rsidRDefault="00436468" w:rsidP="00436468">
      <w:pPr>
        <w:rPr>
          <w:rFonts w:ascii="Arial" w:hAnsi="Arial" w:cs="Arial"/>
          <w:b/>
          <w:bCs/>
          <w:sz w:val="28"/>
          <w:szCs w:val="28"/>
        </w:rPr>
      </w:pPr>
    </w:p>
    <w:p w:rsidR="00436468" w:rsidRPr="00436468" w:rsidRDefault="00436468" w:rsidP="00436468">
      <w:pPr>
        <w:rPr>
          <w:rFonts w:ascii="Arial" w:hAnsi="Arial" w:cs="Arial"/>
          <w:b/>
          <w:bCs/>
          <w:sz w:val="28"/>
          <w:szCs w:val="28"/>
        </w:rPr>
      </w:pPr>
    </w:p>
    <w:p w:rsidR="00436468" w:rsidRDefault="00436468" w:rsidP="00436468">
      <w:pPr>
        <w:jc w:val="center"/>
        <w:rPr>
          <w:rFonts w:ascii="Arial" w:hAnsi="Arial" w:cs="Arial"/>
          <w:b/>
          <w:color w:val="081B3A"/>
          <w:spacing w:val="3"/>
          <w:sz w:val="32"/>
          <w:szCs w:val="32"/>
          <w:shd w:val="clear" w:color="auto" w:fill="FFFFFF"/>
        </w:rPr>
      </w:pPr>
      <w:r w:rsidRPr="00436468">
        <w:rPr>
          <w:rFonts w:ascii="Arial" w:hAnsi="Arial" w:cs="Arial"/>
          <w:b/>
          <w:color w:val="081B3A"/>
          <w:spacing w:val="3"/>
          <w:sz w:val="32"/>
          <w:szCs w:val="32"/>
          <w:shd w:val="clear" w:color="auto" w:fill="FFFFFF"/>
        </w:rPr>
        <w:t>Application of Input-Output Tables in Analyzing the Relationships among Economic Sectors in Vietnam</w:t>
      </w:r>
    </w:p>
    <w:p w:rsidR="00436468" w:rsidRPr="00436468" w:rsidRDefault="00436468" w:rsidP="00436468">
      <w:pPr>
        <w:jc w:val="center"/>
        <w:rPr>
          <w:rFonts w:ascii="Arial" w:hAnsi="Arial" w:cs="Arial"/>
          <w:b/>
          <w:color w:val="081B3A"/>
          <w:spacing w:val="3"/>
          <w:sz w:val="28"/>
          <w:szCs w:val="28"/>
          <w:shd w:val="clear" w:color="auto" w:fill="FFFFFF"/>
        </w:rPr>
      </w:pPr>
    </w:p>
    <w:p w:rsidR="00436468" w:rsidRDefault="00436468" w:rsidP="009D29B8">
      <w:pPr>
        <w:spacing w:before="120" w:after="120"/>
        <w:jc w:val="center"/>
        <w:rPr>
          <w:b/>
          <w:bCs/>
          <w:vertAlign w:val="superscript"/>
        </w:rPr>
      </w:pPr>
      <w:r>
        <w:rPr>
          <w:b/>
          <w:bCs/>
        </w:rPr>
        <w:t>Truong Thi Thanh Phuong</w:t>
      </w:r>
      <w:r w:rsidRPr="007C02A9">
        <w:rPr>
          <w:b/>
          <w:bCs/>
          <w:vertAlign w:val="superscript"/>
        </w:rPr>
        <w:t>1</w:t>
      </w:r>
      <w:r>
        <w:rPr>
          <w:b/>
          <w:bCs/>
        </w:rPr>
        <w:t>, Ta Hoai Thuong</w:t>
      </w:r>
      <w:r w:rsidRPr="007C02A9">
        <w:rPr>
          <w:b/>
          <w:bCs/>
          <w:vertAlign w:val="superscript"/>
        </w:rPr>
        <w:t>2,</w:t>
      </w:r>
      <w:r>
        <w:rPr>
          <w:b/>
          <w:bCs/>
        </w:rPr>
        <w:t>*, Nguyen Ngoc</w:t>
      </w:r>
      <w:r w:rsidRPr="007C02A9">
        <w:rPr>
          <w:b/>
          <w:bCs/>
        </w:rPr>
        <w:t xml:space="preserve"> Lan Quy</w:t>
      </w:r>
      <w:r w:rsidRPr="007C02A9">
        <w:rPr>
          <w:b/>
          <w:bCs/>
          <w:vertAlign w:val="superscript"/>
        </w:rPr>
        <w:t>3</w:t>
      </w:r>
      <w:r>
        <w:rPr>
          <w:b/>
          <w:bCs/>
        </w:rPr>
        <w:t>, Le Thi Thanh Hang</w:t>
      </w:r>
      <w:r w:rsidRPr="007C02A9">
        <w:rPr>
          <w:b/>
          <w:bCs/>
          <w:vertAlign w:val="superscript"/>
        </w:rPr>
        <w:t>4</w:t>
      </w:r>
      <w:r>
        <w:rPr>
          <w:b/>
          <w:bCs/>
        </w:rPr>
        <w:t>, Bui Luong Cam Tu</w:t>
      </w:r>
      <w:r w:rsidRPr="007C02A9">
        <w:rPr>
          <w:b/>
          <w:bCs/>
          <w:vertAlign w:val="superscript"/>
        </w:rPr>
        <w:t>5</w:t>
      </w:r>
    </w:p>
    <w:p w:rsidR="00436468" w:rsidRPr="00436468" w:rsidRDefault="00436468" w:rsidP="009D29B8">
      <w:pPr>
        <w:spacing w:before="120" w:after="120"/>
        <w:jc w:val="center"/>
        <w:rPr>
          <w:b/>
          <w:bCs/>
          <w:sz w:val="18"/>
          <w:szCs w:val="18"/>
          <w:vertAlign w:val="superscript"/>
        </w:rPr>
      </w:pPr>
    </w:p>
    <w:p w:rsidR="009D009F" w:rsidRDefault="00436468" w:rsidP="009D29B8">
      <w:pPr>
        <w:pStyle w:val="NormalWeb"/>
        <w:spacing w:before="120" w:beforeAutospacing="0" w:after="0" w:afterAutospacing="0"/>
        <w:jc w:val="center"/>
      </w:pPr>
      <w:r w:rsidRPr="009D29B8">
        <w:rPr>
          <w:bCs/>
          <w:i/>
          <w:color w:val="000000" w:themeColor="text1"/>
          <w:sz w:val="22"/>
          <w:szCs w:val="22"/>
          <w:vertAlign w:val="superscript"/>
        </w:rPr>
        <w:t>1</w:t>
      </w:r>
      <w:r w:rsidRPr="009D29B8">
        <w:rPr>
          <w:bCs/>
          <w:i/>
          <w:color w:val="000000" w:themeColor="text1"/>
          <w:sz w:val="22"/>
          <w:szCs w:val="22"/>
        </w:rPr>
        <w:t xml:space="preserve"> </w:t>
      </w:r>
      <w:r w:rsidR="009D009F" w:rsidRPr="009D29B8">
        <w:rPr>
          <w:i/>
          <w:color w:val="000000" w:themeColor="text1"/>
          <w:spacing w:val="3"/>
          <w:sz w:val="22"/>
          <w:szCs w:val="22"/>
          <w:shd w:val="clear" w:color="auto" w:fill="FFFFFF"/>
        </w:rPr>
        <w:t>Department of Economics and Accounting</w:t>
      </w:r>
      <w:r w:rsidRPr="009D29B8">
        <w:rPr>
          <w:bCs/>
          <w:i/>
          <w:color w:val="000000" w:themeColor="text1"/>
          <w:sz w:val="22"/>
          <w:szCs w:val="22"/>
        </w:rPr>
        <w:t xml:space="preserve">, </w:t>
      </w:r>
      <w:r w:rsidR="009D009F" w:rsidRPr="009D009F">
        <w:rPr>
          <w:i/>
          <w:sz w:val="22"/>
          <w:szCs w:val="22"/>
        </w:rPr>
        <w:t>Quy Nhon University</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2</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118 Chuong Duong, Quy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3</w:t>
      </w:r>
      <w:r w:rsidR="00761BE0" w:rsidRPr="00761BE0">
        <w:rPr>
          <w:i/>
          <w:sz w:val="22"/>
          <w:szCs w:val="22"/>
        </w:rPr>
        <w:t xml:space="preserve"> </w:t>
      </w:r>
      <w:r w:rsidR="00761BE0" w:rsidRPr="009D009F">
        <w:rPr>
          <w:i/>
          <w:sz w:val="22"/>
          <w:szCs w:val="22"/>
        </w:rPr>
        <w:t>Quy Nhon University</w:t>
      </w:r>
      <w:r w:rsidRPr="007C02A9">
        <w:rPr>
          <w:bCs/>
          <w:i/>
          <w:sz w:val="22"/>
          <w:szCs w:val="22"/>
        </w:rPr>
        <w:t>,</w:t>
      </w:r>
      <w:r w:rsidR="00761BE0">
        <w:rPr>
          <w:i/>
          <w:sz w:val="22"/>
          <w:szCs w:val="22"/>
        </w:rPr>
        <w:t xml:space="preserve"> 22 Nguyen Van Troi, Quy Nhon, Binh Đinh</w:t>
      </w:r>
    </w:p>
    <w:p w:rsidR="00436468" w:rsidRPr="00761BE0" w:rsidRDefault="00436468" w:rsidP="009D29B8">
      <w:pPr>
        <w:pStyle w:val="NormalWeb"/>
        <w:spacing w:before="0" w:beforeAutospacing="0" w:after="0" w:afterAutospacing="0"/>
        <w:jc w:val="center"/>
      </w:pPr>
      <w:r w:rsidRPr="007C02A9">
        <w:rPr>
          <w:bCs/>
          <w:i/>
          <w:sz w:val="22"/>
          <w:szCs w:val="22"/>
          <w:vertAlign w:val="superscript"/>
        </w:rPr>
        <w:t>4</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Nhon Khanh, An Nhon, Binh Đinh</w:t>
      </w:r>
    </w:p>
    <w:p w:rsidR="00436468" w:rsidRPr="00761BE0" w:rsidRDefault="00436468" w:rsidP="00761BE0">
      <w:pPr>
        <w:pStyle w:val="NormalWeb"/>
        <w:spacing w:before="0" w:beforeAutospacing="0" w:after="0" w:afterAutospacing="0"/>
        <w:ind w:right="68"/>
        <w:jc w:val="center"/>
      </w:pPr>
      <w:r w:rsidRPr="007C02A9">
        <w:rPr>
          <w:bCs/>
          <w:i/>
          <w:sz w:val="22"/>
          <w:szCs w:val="22"/>
          <w:vertAlign w:val="superscript"/>
        </w:rPr>
        <w:t>5</w:t>
      </w:r>
      <w:r w:rsidR="00761BE0" w:rsidRPr="00761BE0">
        <w:rPr>
          <w:i/>
          <w:sz w:val="22"/>
          <w:szCs w:val="22"/>
        </w:rPr>
        <w:t xml:space="preserve"> </w:t>
      </w:r>
      <w:r w:rsidR="00761BE0" w:rsidRPr="009D009F">
        <w:rPr>
          <w:i/>
          <w:sz w:val="22"/>
          <w:szCs w:val="22"/>
        </w:rPr>
        <w:t>Quy Nhon University</w:t>
      </w:r>
      <w:r w:rsidRPr="007C02A9">
        <w:rPr>
          <w:bCs/>
          <w:i/>
          <w:sz w:val="22"/>
          <w:szCs w:val="22"/>
        </w:rPr>
        <w:t xml:space="preserve">, </w:t>
      </w:r>
      <w:r w:rsidR="00761BE0">
        <w:rPr>
          <w:i/>
          <w:sz w:val="22"/>
          <w:szCs w:val="22"/>
        </w:rPr>
        <w:t>414/8 Hoang Van Thu</w:t>
      </w:r>
      <w:r w:rsidRPr="007C02A9">
        <w:rPr>
          <w:i/>
          <w:sz w:val="22"/>
          <w:szCs w:val="22"/>
        </w:rPr>
        <w:t>, Quy Nh</w:t>
      </w:r>
      <w:r w:rsidR="00761BE0">
        <w:rPr>
          <w:i/>
          <w:sz w:val="22"/>
          <w:szCs w:val="22"/>
        </w:rPr>
        <w:t>on, Binh Đinh</w:t>
      </w:r>
    </w:p>
    <w:p w:rsidR="009D009F" w:rsidRDefault="009D009F" w:rsidP="00436468">
      <w:pPr>
        <w:pStyle w:val="NormalWeb"/>
        <w:spacing w:before="60" w:beforeAutospacing="0" w:after="60" w:afterAutospacing="0"/>
        <w:ind w:right="68"/>
        <w:jc w:val="center"/>
        <w:rPr>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8" w:history="1">
        <w:r w:rsidRPr="007C02A9">
          <w:rPr>
            <w:rStyle w:val="Hyperlink"/>
            <w:rFonts w:eastAsiaTheme="majorEastAsia"/>
            <w:i/>
            <w:sz w:val="22"/>
            <w:szCs w:val="22"/>
          </w:rPr>
          <w:t>tahoaithuong68@gmail.com</w:t>
        </w:r>
      </w:hyperlink>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761BE0">
      <w:pPr>
        <w:pStyle w:val="NormalWeb"/>
        <w:spacing w:before="120" w:beforeAutospacing="0" w:after="120" w:afterAutospacing="0"/>
        <w:jc w:val="both"/>
        <w:rPr>
          <w:b/>
          <w:sz w:val="22"/>
          <w:szCs w:val="20"/>
        </w:rPr>
      </w:pPr>
      <w:r w:rsidRPr="004E58D8">
        <w:rPr>
          <w:b/>
          <w:sz w:val="22"/>
          <w:szCs w:val="20"/>
        </w:rPr>
        <w:t>ABSTRAC</w:t>
      </w:r>
      <w:r>
        <w:rPr>
          <w:b/>
          <w:sz w:val="22"/>
          <w:szCs w:val="20"/>
        </w:rPr>
        <w:t>T</w:t>
      </w:r>
    </w:p>
    <w:p w:rsidR="009D009F" w:rsidRDefault="009D009F" w:rsidP="00430785">
      <w:pPr>
        <w:ind w:firstLine="567"/>
        <w:jc w:val="both"/>
        <w:rPr>
          <w:sz w:val="20"/>
          <w:szCs w:val="20"/>
          <w:shd w:val="clear" w:color="auto" w:fill="FFFFFF"/>
        </w:rPr>
      </w:pPr>
      <w:r w:rsidRPr="00430785">
        <w:rPr>
          <w:sz w:val="20"/>
          <w:szCs w:val="20"/>
          <w:shd w:val="clear" w:color="auto" w:fill="FFFFFF"/>
        </w:rPr>
        <w:t>This study examines the intersectoral relationships among 20 first-level economic sectors in Vietnam, utilizing data from the 2012 Input-Output Table published by the General Statistics Office of Vietnam in 2015. By computing cost share ratios, backward and forward linkages, dispersion coefficients, and sensitivity indices, the research elucidates the extent of sectoral interdependencies and their economic impact. The quantitative insights derived from this analysis not only provide a comprehensive understanding of Vietnam’s economic structure but also serve as a critical reference for evaluating and formulating development policies for key economic sectors in the post-2015 period.</w:t>
      </w:r>
    </w:p>
    <w:p w:rsidR="00430785" w:rsidRDefault="00430785" w:rsidP="00430785">
      <w:pPr>
        <w:spacing w:before="120" w:after="240"/>
        <w:jc w:val="both"/>
        <w:rPr>
          <w:i/>
          <w:sz w:val="20"/>
          <w:szCs w:val="20"/>
        </w:rPr>
      </w:pPr>
      <w:r w:rsidRPr="00430785">
        <w:rPr>
          <w:b/>
          <w:sz w:val="20"/>
          <w:szCs w:val="20"/>
          <w:shd w:val="clear" w:color="auto" w:fill="FFFFFF"/>
        </w:rPr>
        <w:t>Keywords</w:t>
      </w:r>
      <w:r w:rsidRPr="00430785">
        <w:rPr>
          <w:i/>
          <w:sz w:val="20"/>
          <w:szCs w:val="20"/>
        </w:rPr>
        <w:t>: Input-Output Table, backward linkages, forward linkages, dispersion coefficients and sensitivity indices.</w:t>
      </w:r>
    </w:p>
    <w:p w:rsidR="00C825FA" w:rsidRPr="00430785" w:rsidRDefault="00C825FA" w:rsidP="00430785">
      <w:pPr>
        <w:spacing w:before="120" w:after="240"/>
        <w:jc w:val="both"/>
        <w:rPr>
          <w:sz w:val="20"/>
          <w:szCs w:val="20"/>
          <w:shd w:val="clear" w:color="auto" w:fill="FFFFFF"/>
        </w:rPr>
      </w:pPr>
    </w:p>
    <w:p w:rsidR="00430785" w:rsidRPr="009D009F" w:rsidRDefault="00430785" w:rsidP="009D009F">
      <w:pPr>
        <w:pStyle w:val="NormalWeb"/>
        <w:spacing w:before="60" w:beforeAutospacing="0" w:after="60" w:afterAutospacing="0"/>
        <w:ind w:right="68" w:firstLine="567"/>
        <w:jc w:val="both"/>
        <w:rPr>
          <w:rStyle w:val="Hyperlink"/>
          <w:rFonts w:eastAsiaTheme="majorEastAsia"/>
          <w:sz w:val="20"/>
          <w:szCs w:val="20"/>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9D009F">
      <w:pPr>
        <w:pStyle w:val="NormalWeb"/>
        <w:spacing w:before="60" w:beforeAutospacing="0" w:after="60" w:afterAutospacing="0"/>
        <w:ind w:right="68"/>
        <w:jc w:val="center"/>
        <w:rPr>
          <w:rStyle w:val="Hyperlink"/>
          <w:rFonts w:eastAsiaTheme="majorEastAsia"/>
          <w:i/>
          <w:sz w:val="22"/>
          <w:szCs w:val="22"/>
        </w:rPr>
      </w:pPr>
    </w:p>
    <w:p w:rsidR="009D009F" w:rsidRDefault="009D009F" w:rsidP="00436468">
      <w:pPr>
        <w:pStyle w:val="NormalWeb"/>
        <w:spacing w:before="60" w:beforeAutospacing="0" w:after="60" w:afterAutospacing="0"/>
        <w:ind w:right="68"/>
        <w:jc w:val="center"/>
        <w:rPr>
          <w:i/>
          <w:sz w:val="22"/>
          <w:szCs w:val="22"/>
        </w:rPr>
      </w:pPr>
    </w:p>
    <w:p w:rsidR="009D009F" w:rsidRPr="007C02A9" w:rsidRDefault="009D009F" w:rsidP="00436468">
      <w:pPr>
        <w:pStyle w:val="NormalWeb"/>
        <w:spacing w:before="60" w:beforeAutospacing="0" w:after="60" w:afterAutospacing="0"/>
        <w:ind w:right="68"/>
        <w:jc w:val="center"/>
        <w:rPr>
          <w:i/>
          <w:sz w:val="22"/>
          <w:szCs w:val="22"/>
        </w:rPr>
      </w:pPr>
    </w:p>
    <w:p w:rsidR="00436468" w:rsidRPr="00436468" w:rsidRDefault="00436468" w:rsidP="00436468">
      <w:pPr>
        <w:spacing w:after="120"/>
        <w:ind w:right="68"/>
        <w:jc w:val="center"/>
        <w:rPr>
          <w:b/>
          <w:bCs/>
          <w:vertAlign w:val="superscript"/>
        </w:rPr>
      </w:pPr>
    </w:p>
    <w:p w:rsidR="00436468" w:rsidRDefault="00436468" w:rsidP="00436468">
      <w:pPr>
        <w:spacing w:after="120"/>
        <w:ind w:right="68"/>
        <w:jc w:val="center"/>
        <w:rPr>
          <w:b/>
          <w:bCs/>
          <w:vertAlign w:val="superscript"/>
        </w:rPr>
      </w:pPr>
    </w:p>
    <w:p w:rsidR="00436468" w:rsidRDefault="00436468" w:rsidP="00436468">
      <w:pPr>
        <w:jc w:val="center"/>
        <w:rPr>
          <w:rFonts w:ascii="Arial" w:hAnsi="Arial" w:cs="Arial"/>
          <w:b/>
          <w:color w:val="081B3A"/>
          <w:spacing w:val="3"/>
          <w:sz w:val="32"/>
          <w:szCs w:val="32"/>
          <w:shd w:val="clear" w:color="auto" w:fill="FFFFFF"/>
        </w:rPr>
      </w:pPr>
    </w:p>
    <w:p w:rsidR="00436468" w:rsidRPr="00436468" w:rsidRDefault="00436468" w:rsidP="00436468">
      <w:pPr>
        <w:jc w:val="center"/>
        <w:rPr>
          <w:rFonts w:ascii="Arial" w:hAnsi="Arial" w:cs="Arial"/>
          <w:b/>
          <w:bCs/>
          <w:sz w:val="32"/>
          <w:szCs w:val="32"/>
        </w:rPr>
      </w:pPr>
    </w:p>
    <w:p w:rsidR="00436468" w:rsidRDefault="00436468">
      <w:pPr>
        <w:spacing w:after="160" w:line="259" w:lineRule="auto"/>
        <w:rPr>
          <w:rFonts w:ascii="Arial" w:hAnsi="Arial" w:cs="Arial"/>
          <w:b/>
          <w:bCs/>
          <w:sz w:val="28"/>
          <w:szCs w:val="28"/>
        </w:rPr>
      </w:pPr>
      <w:r>
        <w:rPr>
          <w:rFonts w:ascii="Arial" w:hAnsi="Arial" w:cs="Arial"/>
          <w:b/>
          <w:bCs/>
          <w:sz w:val="28"/>
          <w:szCs w:val="28"/>
        </w:rPr>
        <w:br w:type="page"/>
      </w:r>
    </w:p>
    <w:p w:rsidR="00421D4A" w:rsidRPr="00421D4A" w:rsidRDefault="00421D4A" w:rsidP="00421D4A">
      <w:pPr>
        <w:jc w:val="center"/>
        <w:rPr>
          <w:rFonts w:ascii="Arial" w:hAnsi="Arial" w:cs="Arial"/>
          <w:b/>
          <w:bCs/>
          <w:sz w:val="28"/>
          <w:szCs w:val="28"/>
        </w:rPr>
      </w:pPr>
      <w:bookmarkStart w:id="0" w:name="_GoBack"/>
      <w:bookmarkEnd w:id="0"/>
    </w:p>
    <w:p w:rsidR="00446E19" w:rsidRPr="005B411D" w:rsidRDefault="00446E19" w:rsidP="00421D4A">
      <w:pPr>
        <w:ind w:right="68"/>
        <w:jc w:val="center"/>
        <w:rPr>
          <w:rFonts w:ascii="Arial" w:hAnsi="Arial" w:cs="Arial"/>
          <w:b/>
          <w:bCs/>
          <w:sz w:val="32"/>
          <w:szCs w:val="32"/>
        </w:rPr>
      </w:pPr>
      <w:r w:rsidRPr="005B411D">
        <w:rPr>
          <w:rFonts w:ascii="Arial" w:hAnsi="Arial" w:cs="Arial"/>
          <w:b/>
          <w:bCs/>
          <w:sz w:val="32"/>
          <w:szCs w:val="32"/>
        </w:rPr>
        <w:t xml:space="preserve">Ứng dụng của bảng cân đối liên ngành trong phân tích mối quan hệ giữa các ngành </w:t>
      </w:r>
      <w:r w:rsidR="00EF649A">
        <w:rPr>
          <w:rFonts w:ascii="Arial" w:hAnsi="Arial" w:cs="Arial"/>
          <w:b/>
          <w:bCs/>
          <w:sz w:val="32"/>
          <w:szCs w:val="32"/>
        </w:rPr>
        <w:t xml:space="preserve">kinh tế </w:t>
      </w:r>
      <w:r w:rsidRPr="005B411D">
        <w:rPr>
          <w:rFonts w:ascii="Arial" w:hAnsi="Arial" w:cs="Arial"/>
          <w:b/>
          <w:bCs/>
          <w:sz w:val="32"/>
          <w:szCs w:val="32"/>
        </w:rPr>
        <w:t>tại Việt Nam</w:t>
      </w:r>
    </w:p>
    <w:p w:rsidR="00446E19" w:rsidRPr="00421D4A" w:rsidRDefault="00446E19" w:rsidP="00421D4A">
      <w:pPr>
        <w:ind w:right="68"/>
        <w:jc w:val="center"/>
        <w:rPr>
          <w:b/>
          <w:bCs/>
          <w:sz w:val="28"/>
          <w:szCs w:val="28"/>
        </w:rPr>
      </w:pPr>
    </w:p>
    <w:p w:rsidR="00421D4A" w:rsidRDefault="00446E19" w:rsidP="00421D4A">
      <w:pPr>
        <w:spacing w:after="120"/>
        <w:ind w:right="68"/>
        <w:jc w:val="center"/>
        <w:rPr>
          <w:b/>
          <w:bCs/>
          <w:vertAlign w:val="superscript"/>
        </w:rPr>
      </w:pPr>
      <w:r w:rsidRPr="007C02A9">
        <w:rPr>
          <w:b/>
          <w:bCs/>
        </w:rPr>
        <w:t>Trương Thị Thanh Phượng</w:t>
      </w:r>
      <w:r w:rsidRPr="007C02A9">
        <w:rPr>
          <w:b/>
          <w:bCs/>
          <w:vertAlign w:val="superscript"/>
        </w:rPr>
        <w:t>1</w:t>
      </w:r>
      <w:r w:rsidRPr="007C02A9">
        <w:rPr>
          <w:b/>
          <w:bCs/>
        </w:rPr>
        <w:t>, Tạ Hoài Thương</w:t>
      </w:r>
      <w:r w:rsidRPr="007C02A9">
        <w:rPr>
          <w:b/>
          <w:bCs/>
          <w:vertAlign w:val="superscript"/>
        </w:rPr>
        <w:t>2,</w:t>
      </w:r>
      <w:r w:rsidRPr="007C02A9">
        <w:rPr>
          <w:b/>
          <w:bCs/>
        </w:rPr>
        <w:t>*, Nguyễn Ngọc Lan Quy</w:t>
      </w:r>
      <w:r w:rsidRPr="007C02A9">
        <w:rPr>
          <w:b/>
          <w:bCs/>
          <w:vertAlign w:val="superscript"/>
        </w:rPr>
        <w:t>3</w:t>
      </w:r>
      <w:r w:rsidRPr="007C02A9">
        <w:rPr>
          <w:b/>
          <w:bCs/>
        </w:rPr>
        <w:t>, Lê Thị Thanh Hằng</w:t>
      </w:r>
      <w:r w:rsidRPr="007C02A9">
        <w:rPr>
          <w:b/>
          <w:bCs/>
          <w:vertAlign w:val="superscript"/>
        </w:rPr>
        <w:t>4</w:t>
      </w:r>
      <w:r w:rsidRPr="007C02A9">
        <w:rPr>
          <w:b/>
          <w:bCs/>
        </w:rPr>
        <w:t>, Bùi Lương Cẩm Tú</w:t>
      </w:r>
      <w:r w:rsidRPr="007C02A9">
        <w:rPr>
          <w:b/>
          <w:bCs/>
          <w:vertAlign w:val="superscript"/>
        </w:rPr>
        <w:t>5</w:t>
      </w:r>
    </w:p>
    <w:p w:rsidR="00421D4A" w:rsidRPr="00421D4A" w:rsidRDefault="00421D4A" w:rsidP="00421D4A">
      <w:pPr>
        <w:ind w:right="68"/>
        <w:jc w:val="center"/>
        <w:rPr>
          <w:b/>
          <w:bCs/>
          <w:sz w:val="18"/>
          <w:szCs w:val="18"/>
          <w:vertAlign w:val="superscript"/>
        </w:rPr>
      </w:pPr>
    </w:p>
    <w:p w:rsidR="00446E19" w:rsidRPr="007C02A9" w:rsidRDefault="00446E19" w:rsidP="00421D4A">
      <w:pPr>
        <w:pStyle w:val="NormalWeb"/>
        <w:spacing w:before="0" w:beforeAutospacing="0" w:after="0" w:afterAutospacing="0"/>
        <w:ind w:right="68"/>
        <w:jc w:val="center"/>
        <w:rPr>
          <w:i/>
          <w:sz w:val="22"/>
          <w:szCs w:val="22"/>
        </w:rPr>
      </w:pPr>
      <w:r w:rsidRPr="007C02A9">
        <w:rPr>
          <w:bCs/>
          <w:i/>
          <w:sz w:val="22"/>
          <w:szCs w:val="22"/>
          <w:vertAlign w:val="superscript"/>
        </w:rPr>
        <w:t>1</w:t>
      </w:r>
      <w:r w:rsidRPr="007C02A9">
        <w:rPr>
          <w:bCs/>
          <w:i/>
          <w:sz w:val="22"/>
          <w:szCs w:val="22"/>
        </w:rPr>
        <w:t xml:space="preserve"> Khoa Kinh tế và Kế toán, Trường Đại học Quy Nhơn</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2</w:t>
      </w:r>
      <w:r w:rsidRPr="007C02A9">
        <w:rPr>
          <w:bCs/>
          <w:i/>
          <w:sz w:val="22"/>
          <w:szCs w:val="22"/>
        </w:rPr>
        <w:t xml:space="preserve">Trường Đại học Quy Nhơn, </w:t>
      </w:r>
      <w:r w:rsidRPr="007C02A9">
        <w:rPr>
          <w:i/>
          <w:sz w:val="22"/>
          <w:szCs w:val="22"/>
        </w:rPr>
        <w:t>118 Chương Dương, Quy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3</w:t>
      </w:r>
      <w:r w:rsidR="006C306C">
        <w:rPr>
          <w:bCs/>
          <w:i/>
          <w:sz w:val="22"/>
          <w:szCs w:val="22"/>
        </w:rPr>
        <w:t>Trường Đại học Q</w:t>
      </w:r>
      <w:r w:rsidRPr="007C02A9">
        <w:rPr>
          <w:bCs/>
          <w:i/>
          <w:sz w:val="22"/>
          <w:szCs w:val="22"/>
        </w:rPr>
        <w:t>uy Nhơn,</w:t>
      </w:r>
      <w:r w:rsidR="006C306C">
        <w:rPr>
          <w:i/>
          <w:sz w:val="22"/>
          <w:szCs w:val="22"/>
        </w:rPr>
        <w:t xml:space="preserve"> 22 Nguyễn V</w:t>
      </w:r>
      <w:r w:rsidRPr="007C02A9">
        <w:rPr>
          <w:i/>
          <w:sz w:val="22"/>
          <w:szCs w:val="22"/>
        </w:rPr>
        <w:t>ăn Trỗi, Quy Nhơn, Bình Định</w:t>
      </w:r>
    </w:p>
    <w:p w:rsidR="00446E19" w:rsidRPr="007C02A9" w:rsidRDefault="00446E19" w:rsidP="00421D4A">
      <w:pPr>
        <w:pStyle w:val="NormalWeb"/>
        <w:spacing w:before="60" w:beforeAutospacing="0" w:after="60" w:afterAutospacing="0"/>
        <w:ind w:right="68" w:hanging="851"/>
        <w:jc w:val="center"/>
        <w:rPr>
          <w:i/>
          <w:sz w:val="22"/>
          <w:szCs w:val="22"/>
        </w:rPr>
      </w:pPr>
      <w:r w:rsidRPr="007C02A9">
        <w:rPr>
          <w:bCs/>
          <w:i/>
          <w:sz w:val="22"/>
          <w:szCs w:val="22"/>
          <w:vertAlign w:val="superscript"/>
        </w:rPr>
        <w:t>4</w:t>
      </w:r>
      <w:r w:rsidRPr="007C02A9">
        <w:rPr>
          <w:bCs/>
          <w:i/>
          <w:sz w:val="22"/>
          <w:szCs w:val="22"/>
        </w:rPr>
        <w:t xml:space="preserve">Trường Đại học Quy Nhơn, </w:t>
      </w:r>
      <w:r w:rsidRPr="007C02A9">
        <w:rPr>
          <w:i/>
          <w:sz w:val="22"/>
          <w:szCs w:val="22"/>
        </w:rPr>
        <w:t>Nhơn Khánh, An Nhơn, Bình Định</w:t>
      </w:r>
    </w:p>
    <w:p w:rsidR="00446E19" w:rsidRPr="007C02A9" w:rsidRDefault="00446E19" w:rsidP="00421D4A">
      <w:pPr>
        <w:pStyle w:val="NormalWeb"/>
        <w:spacing w:before="60" w:beforeAutospacing="0" w:after="60" w:afterAutospacing="0"/>
        <w:ind w:right="68"/>
        <w:jc w:val="center"/>
        <w:rPr>
          <w:i/>
          <w:sz w:val="22"/>
          <w:szCs w:val="22"/>
        </w:rPr>
      </w:pPr>
      <w:r w:rsidRPr="007C02A9">
        <w:rPr>
          <w:bCs/>
          <w:i/>
          <w:sz w:val="22"/>
          <w:szCs w:val="22"/>
          <w:vertAlign w:val="superscript"/>
        </w:rPr>
        <w:t>5</w:t>
      </w:r>
      <w:r w:rsidRPr="007C02A9">
        <w:rPr>
          <w:bCs/>
          <w:i/>
          <w:sz w:val="22"/>
          <w:szCs w:val="22"/>
        </w:rPr>
        <w:t xml:space="preserve">Trường Đại học Quy Nhơn, </w:t>
      </w:r>
      <w:r w:rsidRPr="007C02A9">
        <w:rPr>
          <w:i/>
          <w:sz w:val="22"/>
          <w:szCs w:val="22"/>
        </w:rPr>
        <w:t>414/8 Hoàng Văn Thụ, Quy Nhơn, Bình Định</w:t>
      </w:r>
    </w:p>
    <w:p w:rsidR="00421D4A" w:rsidRDefault="00421D4A" w:rsidP="00421D4A">
      <w:pPr>
        <w:pStyle w:val="NormalWeb"/>
        <w:spacing w:before="0" w:beforeAutospacing="0" w:after="0" w:afterAutospacing="0"/>
        <w:ind w:right="68"/>
        <w:jc w:val="center"/>
        <w:rPr>
          <w:i/>
          <w:sz w:val="22"/>
          <w:szCs w:val="22"/>
        </w:rPr>
      </w:pPr>
    </w:p>
    <w:p w:rsidR="00446E19" w:rsidRDefault="00446E19" w:rsidP="00421D4A">
      <w:pPr>
        <w:pStyle w:val="NormalWeb"/>
        <w:spacing w:before="60" w:beforeAutospacing="0" w:after="60" w:afterAutospacing="0"/>
        <w:ind w:right="68"/>
        <w:jc w:val="center"/>
        <w:rPr>
          <w:rStyle w:val="Hyperlink"/>
          <w:rFonts w:eastAsiaTheme="majorEastAsia"/>
          <w:i/>
          <w:sz w:val="22"/>
          <w:szCs w:val="22"/>
        </w:rPr>
      </w:pPr>
      <w:r w:rsidRPr="007C02A9">
        <w:rPr>
          <w:i/>
          <w:sz w:val="22"/>
          <w:szCs w:val="22"/>
        </w:rPr>
        <w:t xml:space="preserve">*Email: </w:t>
      </w:r>
      <w:hyperlink r:id="rId9" w:history="1">
        <w:r w:rsidRPr="007C02A9">
          <w:rPr>
            <w:rStyle w:val="Hyperlink"/>
            <w:rFonts w:eastAsiaTheme="majorEastAsia"/>
            <w:i/>
            <w:sz w:val="22"/>
            <w:szCs w:val="22"/>
          </w:rPr>
          <w:t>tahoaithuong68@gmail.com</w:t>
        </w:r>
      </w:hyperlink>
    </w:p>
    <w:p w:rsidR="00421D4A" w:rsidRDefault="00421D4A" w:rsidP="00421D4A">
      <w:pPr>
        <w:pStyle w:val="NormalWeb"/>
        <w:spacing w:before="0" w:beforeAutospacing="0" w:after="0" w:afterAutospacing="0"/>
        <w:ind w:right="68"/>
        <w:jc w:val="center"/>
        <w:rPr>
          <w:rStyle w:val="Hyperlink"/>
          <w:rFonts w:eastAsiaTheme="majorEastAsia"/>
          <w:i/>
          <w:sz w:val="22"/>
          <w:szCs w:val="22"/>
        </w:rPr>
      </w:pPr>
    </w:p>
    <w:p w:rsidR="00421D4A" w:rsidRPr="007C02A9" w:rsidRDefault="00421D4A" w:rsidP="00421D4A">
      <w:pPr>
        <w:pStyle w:val="NormalWeb"/>
        <w:spacing w:before="0" w:beforeAutospacing="0" w:after="0" w:afterAutospacing="0"/>
        <w:jc w:val="center"/>
        <w:rPr>
          <w:i/>
          <w:sz w:val="22"/>
          <w:szCs w:val="22"/>
        </w:rPr>
      </w:pPr>
    </w:p>
    <w:p w:rsidR="00446E19" w:rsidRPr="007C02A9" w:rsidRDefault="00446E19" w:rsidP="00446E19">
      <w:pPr>
        <w:pStyle w:val="NormalWeb"/>
        <w:spacing w:before="60" w:beforeAutospacing="0" w:after="60" w:afterAutospacing="0"/>
        <w:jc w:val="both"/>
        <w:rPr>
          <w:b/>
          <w:sz w:val="22"/>
          <w:szCs w:val="22"/>
        </w:rPr>
      </w:pPr>
      <w:r w:rsidRPr="007C02A9">
        <w:rPr>
          <w:b/>
          <w:sz w:val="22"/>
          <w:szCs w:val="22"/>
        </w:rPr>
        <w:t>TÓM TẮT</w:t>
      </w:r>
    </w:p>
    <w:p w:rsidR="00784D38" w:rsidRPr="00C26A69" w:rsidRDefault="00784D38" w:rsidP="00446E19">
      <w:pPr>
        <w:pStyle w:val="NormalWeb"/>
        <w:spacing w:before="120" w:beforeAutospacing="0" w:after="120" w:afterAutospacing="0"/>
        <w:ind w:firstLine="567"/>
        <w:jc w:val="both"/>
        <w:rPr>
          <w:sz w:val="20"/>
          <w:szCs w:val="20"/>
        </w:rPr>
      </w:pPr>
      <w:r w:rsidRPr="00C26A69">
        <w:rPr>
          <w:sz w:val="20"/>
          <w:szCs w:val="20"/>
        </w:rPr>
        <w:t xml:space="preserve">Bài báo này đánh giá mối quan hệ giữa 20 ngành kinh tế cấp 1 của Việt Nam dựa trên dữ liệu từ Bảng cân đối liên ngành năm 2012, do Tổng Cục Thống kê Việt Nam công bố vào năm 2015. Bằng cách tính toán tỷ phần chi phí, liên kết ngược, liên kết xuôi, hệ số lan tỏa và độ nhạy, nghiên cứu làm sáng tỏ mức độ tác động và sự phụ thuộc lẫn nhau giữa các ngành. Những phát hiện định lượng từ nghiên cứu không chỉ cung cấp góc nhìn toàn diện về cấu trúc kinh tế mà còn là cơ sở tham chiếu quan trọng </w:t>
      </w:r>
      <w:r w:rsidR="00993305" w:rsidRPr="00C26A69">
        <w:rPr>
          <w:sz w:val="20"/>
          <w:szCs w:val="20"/>
        </w:rPr>
        <w:t>trong</w:t>
      </w:r>
      <w:r w:rsidRPr="00C26A69">
        <w:rPr>
          <w:sz w:val="20"/>
          <w:szCs w:val="20"/>
        </w:rPr>
        <w:t xml:space="preserve"> việc đánh giá và điều chỉnh chính sách phát triển các ngành kinh tế trọng điểm của Việt Nam trong giai đoạn hậu 2015.</w:t>
      </w:r>
    </w:p>
    <w:p w:rsidR="00C26A69" w:rsidRPr="00C26A69" w:rsidRDefault="00446E19" w:rsidP="00C26A69">
      <w:pPr>
        <w:pStyle w:val="NormalWeb"/>
        <w:spacing w:before="120" w:beforeAutospacing="0" w:after="120" w:afterAutospacing="0"/>
        <w:ind w:firstLine="567"/>
        <w:jc w:val="both"/>
        <w:rPr>
          <w:i/>
          <w:iCs/>
          <w:color w:val="000000"/>
          <w:sz w:val="20"/>
          <w:szCs w:val="20"/>
        </w:rPr>
      </w:pPr>
      <w:r w:rsidRPr="007C02A9">
        <w:rPr>
          <w:b/>
          <w:sz w:val="22"/>
          <w:szCs w:val="22"/>
        </w:rPr>
        <w:t xml:space="preserve">Từ khóa: </w:t>
      </w:r>
      <w:r w:rsidR="00D91B53" w:rsidRPr="00C26A69">
        <w:rPr>
          <w:i/>
          <w:sz w:val="20"/>
          <w:szCs w:val="20"/>
        </w:rPr>
        <w:t>Bảng I/O, liên kết ngược, liên kết xuôi</w:t>
      </w:r>
      <w:r w:rsidR="00D91B53">
        <w:rPr>
          <w:i/>
          <w:iCs/>
          <w:color w:val="000000"/>
          <w:sz w:val="20"/>
          <w:szCs w:val="20"/>
        </w:rPr>
        <w:t>, hệ số lan tỏa và độ nhạy.</w:t>
      </w:r>
    </w:p>
    <w:p w:rsidR="005D3CA0" w:rsidRDefault="005D3CA0" w:rsidP="00446E19">
      <w:pPr>
        <w:pStyle w:val="NormalWeb"/>
        <w:spacing w:before="120" w:beforeAutospacing="0" w:after="120" w:afterAutospacing="0"/>
        <w:jc w:val="both"/>
        <w:rPr>
          <w:b/>
          <w:sz w:val="22"/>
          <w:szCs w:val="22"/>
        </w:rPr>
      </w:pPr>
    </w:p>
    <w:p w:rsidR="0082723E" w:rsidRPr="007C02A9" w:rsidRDefault="0082723E" w:rsidP="0082723E">
      <w:pPr>
        <w:pStyle w:val="NormalWeb"/>
        <w:spacing w:before="120" w:beforeAutospacing="0" w:after="120" w:afterAutospacing="0"/>
        <w:jc w:val="both"/>
        <w:rPr>
          <w:b/>
          <w:sz w:val="22"/>
          <w:szCs w:val="22"/>
        </w:rPr>
      </w:pPr>
      <w:r w:rsidRPr="007C02A9">
        <w:rPr>
          <w:b/>
          <w:sz w:val="22"/>
          <w:szCs w:val="22"/>
        </w:rPr>
        <w:t>1. GIỚI THIỆU</w:t>
      </w:r>
    </w:p>
    <w:p w:rsidR="007A0288" w:rsidRDefault="007A0288" w:rsidP="007A0288">
      <w:pPr>
        <w:pStyle w:val="NormalWeb"/>
        <w:spacing w:before="120" w:beforeAutospacing="0" w:after="120" w:afterAutospacing="0"/>
        <w:ind w:firstLine="567"/>
        <w:jc w:val="both"/>
        <w:rPr>
          <w:sz w:val="22"/>
          <w:szCs w:val="22"/>
        </w:rPr>
        <w:sectPr w:rsidR="007A0288" w:rsidSect="00D25A19">
          <w:footerReference w:type="default" r:id="rId10"/>
          <w:pgSz w:w="11907" w:h="16840" w:code="9"/>
          <w:pgMar w:top="1134" w:right="1134" w:bottom="1134" w:left="1418" w:header="720" w:footer="720" w:gutter="0"/>
          <w:cols w:space="720"/>
          <w:docGrid w:linePitch="360"/>
        </w:sectPr>
      </w:pPr>
    </w:p>
    <w:p w:rsidR="007A0288" w:rsidRPr="00717D61" w:rsidRDefault="007A0288" w:rsidP="001D04B2">
      <w:pPr>
        <w:pStyle w:val="NormalWeb"/>
        <w:spacing w:before="120" w:beforeAutospacing="0" w:after="120" w:afterAutospacing="0"/>
        <w:jc w:val="both"/>
        <w:rPr>
          <w:sz w:val="22"/>
          <w:szCs w:val="22"/>
          <w:vertAlign w:val="superscript"/>
        </w:rPr>
      </w:pPr>
      <w:r w:rsidRPr="00993305">
        <w:rPr>
          <w:sz w:val="22"/>
          <w:szCs w:val="22"/>
        </w:rPr>
        <w:lastRenderedPageBreak/>
        <w:t>Việc xác định các ngành kinh tế trọng điểm là một quyết định chiến lược đối với sự phát triển bền vững của nền kinh tế Việt Nam. Trong bối cảnh nền kinh tế toàn cầu đang thay đổi nhanh chóng, Việt Nam phải đối mặt với hàng loạt thách thức như cạnh tranh quốc tế ngày càng gay gắt, biến đổi khí hậu và áp lực chuyển đổi mô hì</w:t>
      </w:r>
      <w:r w:rsidR="007E3C8A">
        <w:rPr>
          <w:sz w:val="22"/>
          <w:szCs w:val="22"/>
        </w:rPr>
        <w:t xml:space="preserve">nh </w:t>
      </w:r>
      <w:r w:rsidR="00FB1A36">
        <w:rPr>
          <w:sz w:val="22"/>
          <w:szCs w:val="22"/>
        </w:rPr>
        <w:t>tăng trưởng. Bùi Tất Thắng</w:t>
      </w:r>
      <w:r w:rsidRPr="00993305">
        <w:rPr>
          <w:sz w:val="22"/>
          <w:szCs w:val="22"/>
        </w:rPr>
        <w:t xml:space="preserve"> nhấn mạnh rằng, lựa chọn đúng các ngành kinh tế trọng điểm không chỉ giúp tối ưu hóa nguồn lực mà còn đóng vai trò quyết định trong việc thúc đẩy tăng trưởng kinh tế và nâng cao năng lực cạnh tranh quốc gia.</w:t>
      </w:r>
      <w:r w:rsidR="00717D61">
        <w:rPr>
          <w:sz w:val="22"/>
          <w:szCs w:val="22"/>
          <w:vertAlign w:val="superscript"/>
        </w:rPr>
        <w:t>1</w:t>
      </w:r>
    </w:p>
    <w:p w:rsidR="00354D01" w:rsidRPr="00FB1A36" w:rsidRDefault="007A0288" w:rsidP="00354D01">
      <w:pPr>
        <w:pStyle w:val="NormalWeb"/>
        <w:spacing w:before="120" w:beforeAutospacing="0" w:after="120" w:afterAutospacing="0"/>
        <w:ind w:firstLine="567"/>
        <w:jc w:val="both"/>
        <w:rPr>
          <w:sz w:val="22"/>
          <w:szCs w:val="22"/>
          <w:vertAlign w:val="superscript"/>
        </w:rPr>
      </w:pPr>
      <w:r w:rsidRPr="00993305">
        <w:rPr>
          <w:sz w:val="22"/>
          <w:szCs w:val="22"/>
        </w:rPr>
        <w:t>Mô hình cân đối liên ngành (Input-Output</w:t>
      </w:r>
      <w:r w:rsidR="00354D01">
        <w:rPr>
          <w:sz w:val="22"/>
          <w:szCs w:val="22"/>
        </w:rPr>
        <w:t>, I/O</w:t>
      </w:r>
      <w:r w:rsidRPr="00993305">
        <w:rPr>
          <w:sz w:val="22"/>
          <w:szCs w:val="22"/>
        </w:rPr>
        <w:t>) là một công cụ phân tích</w:t>
      </w:r>
      <w:r>
        <w:rPr>
          <w:sz w:val="22"/>
          <w:szCs w:val="22"/>
        </w:rPr>
        <w:t xml:space="preserve"> định lượng</w:t>
      </w:r>
      <w:r w:rsidRPr="00993305">
        <w:rPr>
          <w:sz w:val="22"/>
          <w:szCs w:val="22"/>
        </w:rPr>
        <w:t>, cho phép đánh giá chính xác mức độ liên kết giữa các ngành và xác định những lĩnh vực có khả năng tạo ra giá trị gia tăn</w:t>
      </w:r>
      <w:r w:rsidR="00FB1A36">
        <w:rPr>
          <w:sz w:val="22"/>
          <w:szCs w:val="22"/>
        </w:rPr>
        <w:t>g cao nhất. Theo Leontief</w:t>
      </w:r>
      <w:r w:rsidRPr="00993305">
        <w:rPr>
          <w:sz w:val="22"/>
          <w:szCs w:val="22"/>
        </w:rPr>
        <w:t>, mô hình này giúp làm rõ sự tương tác giữa các ngành và đo lường tác động lan tỏa của từng ngành đối với toàn bộ nền kinh tế, từ đó hỗ trợ các quyết định đầu tư và hoạch định chính sách hiệu quả hơn.</w:t>
      </w:r>
      <w:r w:rsidR="00FB1A36">
        <w:rPr>
          <w:sz w:val="22"/>
          <w:szCs w:val="22"/>
          <w:vertAlign w:val="superscript"/>
        </w:rPr>
        <w:t>2</w:t>
      </w:r>
      <w:r w:rsidR="00FB1A36">
        <w:rPr>
          <w:sz w:val="22"/>
          <w:szCs w:val="22"/>
        </w:rPr>
        <w:t xml:space="preserve"> Miller &amp; Blair </w:t>
      </w:r>
      <w:r w:rsidRPr="00993305">
        <w:rPr>
          <w:sz w:val="22"/>
          <w:szCs w:val="22"/>
        </w:rPr>
        <w:t xml:space="preserve">cũng khẳng định rằng việc ứng dụng mô hình cân đối liên ngành giúp chính phủ và các nhà hoạch định chính sách lựa chọn </w:t>
      </w:r>
      <w:r w:rsidRPr="00993305">
        <w:rPr>
          <w:sz w:val="22"/>
          <w:szCs w:val="22"/>
        </w:rPr>
        <w:lastRenderedPageBreak/>
        <w:t>chính xác các ngành kinh tế mũi nhọn, qua đó nâng cao hiệu quả phát triển và củng cố vị thế của Việt Nam trên trường quốc tế.</w:t>
      </w:r>
      <w:r w:rsidR="00717D61">
        <w:rPr>
          <w:sz w:val="22"/>
          <w:szCs w:val="22"/>
          <w:vertAlign w:val="superscript"/>
        </w:rPr>
        <w:t>3</w:t>
      </w:r>
      <w:r>
        <w:rPr>
          <w:sz w:val="22"/>
          <w:szCs w:val="22"/>
        </w:rPr>
        <w:t xml:space="preserve"> </w:t>
      </w:r>
      <w:r w:rsidR="00FB1A36">
        <w:rPr>
          <w:sz w:val="22"/>
          <w:szCs w:val="22"/>
        </w:rPr>
        <w:t>Đặc biệt, theo World Bank</w:t>
      </w:r>
      <w:r w:rsidRPr="00993305">
        <w:rPr>
          <w:sz w:val="22"/>
          <w:szCs w:val="22"/>
        </w:rPr>
        <w:t xml:space="preserve">, việc áp dụng mô hình này không chỉ giúp tối ưu hóa phân bổ nguồn lực mà còn tạo nền tảng cho chiến lược phát triển kinh tế dài hạn. </w:t>
      </w:r>
      <w:r w:rsidR="00354D01" w:rsidRPr="00354D01">
        <w:rPr>
          <w:sz w:val="22"/>
          <w:szCs w:val="22"/>
        </w:rPr>
        <w:t>Dựa trên các phân tích định lượng kết hợp với những lý thuyết kinh tế chuyên sâu, Việt Nam có thể xây dựng các chính sách hiệu quả, không chỉ thúc đẩy tăng trưởng bền vững mà còn nâng cao khả năng thích ứng trước những biến động toàn cầu. Đồng thời, việc hoạch định chiến lược dựa trên nền tảng khoa học sẽ giúp củng cố vị thế cạnh tranh của Việt Nam trong khu vực và trên trường quốc tế.</w:t>
      </w:r>
      <w:r w:rsidR="00FB1A36">
        <w:rPr>
          <w:sz w:val="22"/>
          <w:szCs w:val="22"/>
          <w:vertAlign w:val="superscript"/>
        </w:rPr>
        <w:t>4</w:t>
      </w:r>
    </w:p>
    <w:p w:rsidR="007A0288" w:rsidRPr="00993305" w:rsidRDefault="007A0288" w:rsidP="00354D01">
      <w:pPr>
        <w:pStyle w:val="NormalWeb"/>
        <w:spacing w:before="120" w:beforeAutospacing="0" w:after="120" w:afterAutospacing="0"/>
        <w:jc w:val="both"/>
        <w:rPr>
          <w:sz w:val="22"/>
          <w:szCs w:val="22"/>
        </w:rPr>
      </w:pPr>
      <w:r w:rsidRPr="007C02A9">
        <w:rPr>
          <w:b/>
          <w:sz w:val="22"/>
          <w:szCs w:val="22"/>
        </w:rPr>
        <w:t>2. TỔNG QUAN NGHIÊN CỨU</w:t>
      </w:r>
    </w:p>
    <w:p w:rsidR="007A0288" w:rsidRPr="00CA7771" w:rsidRDefault="007A0288" w:rsidP="001D04B2">
      <w:pPr>
        <w:pStyle w:val="NormalWeb"/>
        <w:spacing w:before="120" w:beforeAutospacing="0" w:after="120" w:afterAutospacing="0"/>
        <w:jc w:val="both"/>
        <w:rPr>
          <w:sz w:val="22"/>
          <w:szCs w:val="22"/>
          <w:vertAlign w:val="superscript"/>
        </w:rPr>
      </w:pPr>
      <w:r w:rsidRPr="00EA7EE2">
        <w:rPr>
          <w:sz w:val="22"/>
          <w:szCs w:val="22"/>
        </w:rPr>
        <w:t>Nhiều nghiên cứu đã chứng minh tầm quan trọng của mô hình cân đối liên ngành</w:t>
      </w:r>
      <w:r w:rsidR="00354D01">
        <w:rPr>
          <w:sz w:val="22"/>
          <w:szCs w:val="22"/>
        </w:rPr>
        <w:t xml:space="preserve"> </w:t>
      </w:r>
      <w:r w:rsidRPr="00EA7EE2">
        <w:rPr>
          <w:sz w:val="22"/>
          <w:szCs w:val="22"/>
        </w:rPr>
        <w:t xml:space="preserve">trong việc phân tích, đánh giá và hoạch </w:t>
      </w:r>
      <w:r>
        <w:rPr>
          <w:sz w:val="22"/>
          <w:szCs w:val="22"/>
        </w:rPr>
        <w:t xml:space="preserve">định chính sách kinh tế. </w:t>
      </w:r>
      <w:r w:rsidR="00FB1A36">
        <w:rPr>
          <w:sz w:val="22"/>
          <w:szCs w:val="22"/>
        </w:rPr>
        <w:t xml:space="preserve">Lenzen và Valadkhani </w:t>
      </w:r>
      <w:r w:rsidRPr="00EA7EE2">
        <w:rPr>
          <w:sz w:val="22"/>
          <w:szCs w:val="22"/>
        </w:rPr>
        <w:t>áp dụng mô hình này để xếp hạng các ngành kinh tế Úc theo khả năng tạo việc làm,</w:t>
      </w:r>
      <w:r w:rsidR="00717D61">
        <w:rPr>
          <w:sz w:val="22"/>
          <w:szCs w:val="22"/>
          <w:vertAlign w:val="superscript"/>
        </w:rPr>
        <w:t>5,6</w:t>
      </w:r>
      <w:r w:rsidR="00FB1A36">
        <w:rPr>
          <w:sz w:val="22"/>
          <w:szCs w:val="22"/>
        </w:rPr>
        <w:t xml:space="preserve"> trong khi Bekhet </w:t>
      </w:r>
      <w:r w:rsidRPr="00EA7EE2">
        <w:rPr>
          <w:sz w:val="22"/>
          <w:szCs w:val="22"/>
        </w:rPr>
        <w:t>sử dụng để đánh giá hiệu quả chính sách phát triển giai đoạn 1983–</w:t>
      </w:r>
      <w:r w:rsidRPr="00EA7EE2">
        <w:rPr>
          <w:sz w:val="22"/>
          <w:szCs w:val="22"/>
        </w:rPr>
        <w:lastRenderedPageBreak/>
        <w:t>2000 ở Malaysia thông qua ước lượng các nhân tử sản lượng, thu nhập và việc làm.</w:t>
      </w:r>
      <w:r w:rsidR="00CA7771">
        <w:rPr>
          <w:sz w:val="22"/>
          <w:szCs w:val="22"/>
          <w:vertAlign w:val="superscript"/>
        </w:rPr>
        <w:t>7</w:t>
      </w:r>
    </w:p>
    <w:p w:rsidR="007A0288" w:rsidRPr="00FB1A36" w:rsidRDefault="007A0288" w:rsidP="007A0288">
      <w:pPr>
        <w:pStyle w:val="NormalWeb"/>
        <w:spacing w:before="120" w:beforeAutospacing="0" w:after="120" w:afterAutospacing="0"/>
        <w:ind w:firstLine="567"/>
        <w:jc w:val="both"/>
        <w:rPr>
          <w:sz w:val="22"/>
          <w:szCs w:val="22"/>
          <w:vertAlign w:val="superscript"/>
        </w:rPr>
      </w:pPr>
      <w:r w:rsidRPr="00EA7EE2">
        <w:rPr>
          <w:sz w:val="22"/>
          <w:szCs w:val="22"/>
        </w:rPr>
        <w:t>Tại Việ</w:t>
      </w:r>
      <w:r w:rsidR="00FB1A36">
        <w:rPr>
          <w:sz w:val="22"/>
          <w:szCs w:val="22"/>
        </w:rPr>
        <w:t>t Nam, Nguyễn Phương Thảo</w:t>
      </w:r>
      <w:r w:rsidRPr="00EA7EE2">
        <w:rPr>
          <w:sz w:val="22"/>
          <w:szCs w:val="22"/>
        </w:rPr>
        <w:t xml:space="preserve"> đi tiên phong trong ứng dụng </w:t>
      </w:r>
      <w:r w:rsidR="00354D01">
        <w:rPr>
          <w:sz w:val="22"/>
          <w:szCs w:val="22"/>
        </w:rPr>
        <w:t>b</w:t>
      </w:r>
      <w:r w:rsidRPr="00EA7EE2">
        <w:rPr>
          <w:sz w:val="22"/>
          <w:szCs w:val="22"/>
        </w:rPr>
        <w:t>ảng cân đối liên ngành để lựa chọn ngành kinh tế trọng điểm, dựa trên</w:t>
      </w:r>
      <w:r w:rsidR="00CA6A9D">
        <w:rPr>
          <w:sz w:val="22"/>
          <w:szCs w:val="22"/>
        </w:rPr>
        <w:t xml:space="preserve"> dữ liệu của Tổng Cục Thống kê năm 2010</w:t>
      </w:r>
      <w:r w:rsidRPr="00EA7EE2">
        <w:rPr>
          <w:sz w:val="22"/>
          <w:szCs w:val="22"/>
        </w:rPr>
        <w:t>.</w:t>
      </w:r>
      <w:r w:rsidR="00717D61">
        <w:rPr>
          <w:sz w:val="22"/>
          <w:szCs w:val="22"/>
          <w:vertAlign w:val="superscript"/>
        </w:rPr>
        <w:t>8</w:t>
      </w:r>
      <w:r w:rsidRPr="00EA7EE2">
        <w:rPr>
          <w:sz w:val="22"/>
          <w:szCs w:val="22"/>
        </w:rPr>
        <w:t xml:space="preserve"> Ngoài ra, nghiên cứu của Bùi Trinh, Phạm</w:t>
      </w:r>
      <w:r w:rsidR="00FB1A36">
        <w:rPr>
          <w:sz w:val="22"/>
          <w:szCs w:val="22"/>
        </w:rPr>
        <w:t xml:space="preserve"> Lê Hoa và Bùi Châu Giang</w:t>
      </w:r>
      <w:r w:rsidRPr="00EA7EE2">
        <w:rPr>
          <w:sz w:val="22"/>
          <w:szCs w:val="22"/>
        </w:rPr>
        <w:t xml:space="preserve"> đã giới thiệu khái niệm “số nhân nhập khẩu”,</w:t>
      </w:r>
      <w:r w:rsidR="00FB1A36">
        <w:rPr>
          <w:sz w:val="22"/>
          <w:szCs w:val="22"/>
          <w:vertAlign w:val="superscript"/>
        </w:rPr>
        <w:t xml:space="preserve"> </w:t>
      </w:r>
      <w:r w:rsidRPr="00EA7EE2">
        <w:rPr>
          <w:sz w:val="22"/>
          <w:szCs w:val="22"/>
        </w:rPr>
        <w:t>từ đó đặt nền móng cho cách tiếp cận mới nhằm đo lường hệ số lan tỏa nhập khẩu của các ngành.</w:t>
      </w:r>
      <w:r w:rsidR="00FB1A36">
        <w:rPr>
          <w:sz w:val="22"/>
          <w:szCs w:val="22"/>
          <w:vertAlign w:val="superscript"/>
        </w:rPr>
        <w:t>9</w:t>
      </w:r>
      <w:r w:rsidR="00FB1A36">
        <w:rPr>
          <w:sz w:val="22"/>
          <w:szCs w:val="22"/>
        </w:rPr>
        <w:t xml:space="preserve"> </w:t>
      </w:r>
      <w:r w:rsidRPr="00EA7EE2">
        <w:rPr>
          <w:sz w:val="22"/>
          <w:szCs w:val="22"/>
        </w:rPr>
        <w:t>Kwang M. K., Bùi Trinh, K</w:t>
      </w:r>
      <w:r w:rsidR="00FB1A36">
        <w:rPr>
          <w:sz w:val="22"/>
          <w:szCs w:val="22"/>
        </w:rPr>
        <w:t>aneko F. và Secretario T.</w:t>
      </w:r>
      <w:r w:rsidRPr="00EA7EE2">
        <w:rPr>
          <w:sz w:val="22"/>
          <w:szCs w:val="22"/>
        </w:rPr>
        <w:t xml:space="preserve"> đã làm rõ cơ cấu kinh tế Việt Nam ở nhiều giai đoạn khác nhau, đồng thời tính toán các chỉ số quan trọng như độ lan tỏa, độ nhạy và kích thích nhập khẩu, qua đó chỉ ra những hạn chế cần khắc phục để nâng cao hiệu quả phát triển kinh tế.</w:t>
      </w:r>
      <w:r w:rsidR="00717D61">
        <w:rPr>
          <w:sz w:val="22"/>
          <w:szCs w:val="22"/>
          <w:vertAlign w:val="superscript"/>
        </w:rPr>
        <w:t>10</w:t>
      </w:r>
      <w:r w:rsidRPr="00EA7EE2">
        <w:rPr>
          <w:sz w:val="22"/>
          <w:szCs w:val="22"/>
        </w:rPr>
        <w:t xml:space="preserve"> Cùng với đó, nhiều công trình khác như Nguyễn Khắc</w:t>
      </w:r>
      <w:r w:rsidR="00FB1A36">
        <w:rPr>
          <w:sz w:val="22"/>
          <w:szCs w:val="22"/>
        </w:rPr>
        <w:t xml:space="preserve"> Minh và Nguyễn Việt Hùng</w:t>
      </w:r>
      <w:r w:rsidRPr="00EA7EE2">
        <w:rPr>
          <w:sz w:val="22"/>
          <w:szCs w:val="22"/>
        </w:rPr>
        <w:t>,</w:t>
      </w:r>
      <w:r w:rsidR="00FB1A36">
        <w:rPr>
          <w:sz w:val="22"/>
          <w:szCs w:val="22"/>
        </w:rPr>
        <w:t xml:space="preserve"> </w:t>
      </w:r>
      <w:r w:rsidRPr="00EA7EE2">
        <w:rPr>
          <w:sz w:val="22"/>
          <w:szCs w:val="22"/>
        </w:rPr>
        <w:t>Bùi Trinh, Kiyoshi K</w:t>
      </w:r>
      <w:r w:rsidR="00FB1A36">
        <w:rPr>
          <w:sz w:val="22"/>
          <w:szCs w:val="22"/>
        </w:rPr>
        <w:t>obayashi và Vũ Trung Điền</w:t>
      </w:r>
      <w:r w:rsidRPr="00EA7EE2">
        <w:rPr>
          <w:sz w:val="22"/>
          <w:szCs w:val="22"/>
        </w:rPr>
        <w:t>,</w:t>
      </w:r>
      <w:r w:rsidR="00FB1A36">
        <w:rPr>
          <w:sz w:val="22"/>
          <w:szCs w:val="22"/>
        </w:rPr>
        <w:t xml:space="preserve"> </w:t>
      </w:r>
      <w:r w:rsidRPr="00EA7EE2">
        <w:rPr>
          <w:sz w:val="22"/>
          <w:szCs w:val="22"/>
        </w:rPr>
        <w:t>Bùi Trinh, Kiyoshi Kobayashi, Vũ Trung Điền, Phạm Lê</w:t>
      </w:r>
      <w:r w:rsidR="00FB1A36">
        <w:rPr>
          <w:sz w:val="22"/>
          <w:szCs w:val="22"/>
        </w:rPr>
        <w:t xml:space="preserve"> Hoa và Nguyễn Việt Phong</w:t>
      </w:r>
      <w:r w:rsidR="00717D61">
        <w:rPr>
          <w:sz w:val="22"/>
          <w:szCs w:val="22"/>
        </w:rPr>
        <w:t>,</w:t>
      </w:r>
      <w:r w:rsidR="00FB1A36">
        <w:rPr>
          <w:sz w:val="22"/>
          <w:szCs w:val="22"/>
          <w:vertAlign w:val="superscript"/>
        </w:rPr>
        <w:t xml:space="preserve"> </w:t>
      </w:r>
      <w:r w:rsidR="00717D61">
        <w:rPr>
          <w:sz w:val="22"/>
          <w:szCs w:val="22"/>
        </w:rPr>
        <w:t xml:space="preserve"> </w:t>
      </w:r>
      <w:r w:rsidRPr="00EA7EE2">
        <w:rPr>
          <w:sz w:val="22"/>
          <w:szCs w:val="22"/>
        </w:rPr>
        <w:t>đã nghiên cứu sâu về mô hình I/O và cơ cấu kinh tế Việt Nam, góp phần cung cấp thêm bằng chứng khoa học để hỗ trợ việc xây dựng chính sách.</w:t>
      </w:r>
      <w:r w:rsidR="00FB1A36">
        <w:rPr>
          <w:sz w:val="22"/>
          <w:szCs w:val="22"/>
          <w:vertAlign w:val="superscript"/>
        </w:rPr>
        <w:t>11,12,13</w:t>
      </w:r>
    </w:p>
    <w:p w:rsidR="007A0288" w:rsidRPr="00FB1A36" w:rsidRDefault="00CA6A9D" w:rsidP="007A0288">
      <w:pPr>
        <w:pStyle w:val="NormalWeb"/>
        <w:spacing w:before="120" w:beforeAutospacing="0" w:after="120" w:afterAutospacing="0"/>
        <w:ind w:firstLine="567"/>
        <w:jc w:val="both"/>
        <w:rPr>
          <w:sz w:val="22"/>
          <w:szCs w:val="22"/>
          <w:vertAlign w:val="superscript"/>
        </w:rPr>
      </w:pPr>
      <w:r>
        <w:rPr>
          <w:sz w:val="22"/>
          <w:szCs w:val="22"/>
        </w:rPr>
        <w:t>Theo Tổng Cục Thống kê năm 2015</w:t>
      </w:r>
      <w:r w:rsidR="007A0288" w:rsidRPr="00EA7EE2">
        <w:rPr>
          <w:sz w:val="22"/>
          <w:szCs w:val="22"/>
        </w:rPr>
        <w:t>, mô hình I/O được xem là công cụ then chốt để xác định lượng sản phẩm cần thiết của mỗi ngành nhằm đáp ứng nhu cầu tiêu dùng, tích lũy và xuất khẩu.</w:t>
      </w:r>
      <w:r>
        <w:rPr>
          <w:sz w:val="22"/>
          <w:szCs w:val="22"/>
          <w:vertAlign w:val="superscript"/>
        </w:rPr>
        <w:t>14</w:t>
      </w:r>
      <w:r w:rsidR="007A0288" w:rsidRPr="00EA7EE2">
        <w:rPr>
          <w:sz w:val="22"/>
          <w:szCs w:val="22"/>
        </w:rPr>
        <w:t xml:space="preserve"> Chính tên gọi “đầu vào – đầu ra” cũng đã thể hiện ý nghĩa quan trọng của mô hình: sản </w:t>
      </w:r>
      <w:r w:rsidR="007A0288" w:rsidRPr="00EA7EE2">
        <w:rPr>
          <w:sz w:val="22"/>
          <w:szCs w:val="22"/>
        </w:rPr>
        <w:lastRenderedPageBreak/>
        <w:t>phẩm của một ngành là đầu vào không thể thiếu của các ngành khác. Do đó, việc xác định đúng mức đầu ra của từng ngành sẽ giúp duy trì cân bằng nguồn lực, giảm thiểu nguy cơ ách tắc hoặc thiếu hụt đầu vào, qua đó thúc đẩy sự ổn định và bền vững cho toàn bộ nền kinh tế.</w:t>
      </w:r>
    </w:p>
    <w:p w:rsidR="007A0288" w:rsidRPr="008156DB" w:rsidRDefault="007A0288" w:rsidP="007A0288">
      <w:pPr>
        <w:pStyle w:val="NormalWeb"/>
        <w:spacing w:before="120" w:beforeAutospacing="0" w:after="120" w:afterAutospacing="0" w:line="312" w:lineRule="auto"/>
        <w:jc w:val="both"/>
        <w:rPr>
          <w:sz w:val="22"/>
          <w:szCs w:val="22"/>
        </w:rPr>
      </w:pPr>
      <w:r w:rsidRPr="007C02A9">
        <w:rPr>
          <w:b/>
          <w:sz w:val="22"/>
          <w:szCs w:val="22"/>
        </w:rPr>
        <w:t>3. DỮ LIỆU NGHIÊN CỨU VÀ PHƯƠNG PHÁP TÍNH TOÁN</w:t>
      </w:r>
    </w:p>
    <w:p w:rsidR="007A0288" w:rsidRPr="007C02A9" w:rsidRDefault="007A0288" w:rsidP="007A0288">
      <w:pPr>
        <w:pStyle w:val="NormalWeb"/>
        <w:spacing w:before="0" w:beforeAutospacing="0" w:after="0" w:afterAutospacing="0" w:line="312" w:lineRule="auto"/>
        <w:rPr>
          <w:b/>
          <w:sz w:val="22"/>
          <w:szCs w:val="22"/>
        </w:rPr>
      </w:pPr>
      <w:r w:rsidRPr="007C02A9">
        <w:rPr>
          <w:b/>
          <w:sz w:val="22"/>
          <w:szCs w:val="22"/>
        </w:rPr>
        <w:t>3.1. Dữ liệu nghiên cứu</w:t>
      </w:r>
    </w:p>
    <w:p w:rsidR="007A0288" w:rsidRPr="00C51353" w:rsidRDefault="007A0288" w:rsidP="001D04B2">
      <w:pPr>
        <w:pStyle w:val="NormalWeb"/>
        <w:spacing w:before="0" w:beforeAutospacing="0" w:after="0" w:afterAutospacing="0"/>
        <w:jc w:val="both"/>
        <w:rPr>
          <w:sz w:val="22"/>
          <w:szCs w:val="22"/>
        </w:rPr>
      </w:pPr>
      <w:r w:rsidRPr="007C02A9">
        <w:rPr>
          <w:sz w:val="22"/>
          <w:szCs w:val="22"/>
        </w:rPr>
        <w:t>Bảng cân đối liên ngành của Việt Nam đã bắt đầu được thực hiện điều tra vào năm 1989, đến nay đã có 5 lần Tổng Cục Thống kê thực hiện điều tra bảng cân đối liên ngành. Báo cáo gần đây nhất về Bảng cân đối liên ngành do Tổng Cục Thống kê ban hành căn cứ vào cuộc điều tra năm 2012. Theo chương trình điều tra thống kê cấp độ quốc gia thì cuộc điều tra I/O sau đó sẽ được thực hiện vào năm 2018, tuy nhiên do dự kiến chuyển đổi năm gốc so sánh nên Tổng Cục Thống kê đã lùi thời điểm điều tra I/O sang năm 2021. Cho đến nay Tổng Cục Thống kê vẫn chưa báo cáo số liệu điều tra I/O mới nhất nên bài nghiên cứu vẫn sử dụng dữ liệu được điều tra năm 2012 và công bố năm 2015, là năm báo cáo I/O gần nhất tính đến thời điểm hiện nay. Trong nghiên cứu này, bảng I/O của 20 ngành kinh tế cấp 1 tại Việt Nam sẽ được trình bày ở dạng giá trị, tức là đo bằng đơn vị tiền tệ, đơn vị tính là triệu đồng. Cụ thể như sau:</w:t>
      </w:r>
    </w:p>
    <w:p w:rsidR="007A0288" w:rsidRDefault="007A0288" w:rsidP="0082723E">
      <w:pPr>
        <w:pStyle w:val="NormalWeb"/>
        <w:spacing w:before="120" w:beforeAutospacing="0" w:after="120" w:afterAutospacing="0"/>
        <w:ind w:firstLine="567"/>
        <w:jc w:val="both"/>
        <w:rPr>
          <w:sz w:val="22"/>
          <w:szCs w:val="22"/>
        </w:rPr>
        <w:sectPr w:rsidR="007A0288" w:rsidSect="00D25A19">
          <w:type w:val="continuous"/>
          <w:pgSz w:w="11907" w:h="16840" w:code="9"/>
          <w:pgMar w:top="1134" w:right="1134" w:bottom="1134" w:left="1418" w:header="720" w:footer="720" w:gutter="0"/>
          <w:cols w:num="2" w:space="720"/>
          <w:docGrid w:linePitch="360"/>
        </w:sectPr>
      </w:pPr>
    </w:p>
    <w:p w:rsidR="007A0288" w:rsidRPr="00C51353" w:rsidRDefault="007B701C" w:rsidP="00354D01">
      <w:pPr>
        <w:pStyle w:val="NormalWeb"/>
        <w:spacing w:before="240" w:beforeAutospacing="0" w:after="120" w:afterAutospacing="0"/>
        <w:rPr>
          <w:sz w:val="20"/>
          <w:szCs w:val="20"/>
        </w:rPr>
      </w:pPr>
      <w:r>
        <w:rPr>
          <w:b/>
          <w:sz w:val="20"/>
          <w:szCs w:val="20"/>
        </w:rPr>
        <w:lastRenderedPageBreak/>
        <w:t>Bảng 1.</w:t>
      </w:r>
      <w:r w:rsidR="007A0288" w:rsidRPr="00C51353">
        <w:rPr>
          <w:sz w:val="20"/>
          <w:szCs w:val="20"/>
        </w:rPr>
        <w:t xml:space="preserve"> Bảng tên ngành của 20 ngành cấp 1</w:t>
      </w:r>
      <w:r>
        <w:rPr>
          <w:sz w:val="20"/>
          <w:szCs w:val="20"/>
        </w:rPr>
        <w:t>.</w:t>
      </w:r>
    </w:p>
    <w:tbl>
      <w:tblPr>
        <w:tblStyle w:val="TableGrid"/>
        <w:tblW w:w="0" w:type="auto"/>
        <w:tblLook w:val="04A0" w:firstRow="1" w:lastRow="0" w:firstColumn="1" w:lastColumn="0" w:noHBand="0" w:noVBand="1"/>
      </w:tblPr>
      <w:tblGrid>
        <w:gridCol w:w="714"/>
        <w:gridCol w:w="3257"/>
        <w:gridCol w:w="715"/>
        <w:gridCol w:w="4659"/>
      </w:tblGrid>
      <w:tr w:rsidR="007A0288" w:rsidRPr="007C02A9" w:rsidTr="007517F8">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Thứ tự</w:t>
            </w:r>
          </w:p>
        </w:tc>
        <w:tc>
          <w:tcPr>
            <w:tcW w:w="0" w:type="auto"/>
          </w:tcPr>
          <w:p w:rsidR="007A0288" w:rsidRPr="007C02A9" w:rsidRDefault="007A0288" w:rsidP="007517F8">
            <w:pPr>
              <w:pStyle w:val="NormalWeb"/>
              <w:spacing w:before="240" w:beforeAutospacing="0" w:after="120" w:afterAutospacing="0"/>
              <w:jc w:val="center"/>
              <w:rPr>
                <w:b/>
                <w:sz w:val="22"/>
                <w:szCs w:val="22"/>
              </w:rPr>
            </w:pPr>
            <w:r w:rsidRPr="007C02A9">
              <w:rPr>
                <w:b/>
                <w:sz w:val="22"/>
                <w:szCs w:val="22"/>
              </w:rPr>
              <w:t>Tên ngành</w:t>
            </w:r>
          </w:p>
        </w:tc>
      </w:tr>
      <w:tr w:rsidR="007A0288" w:rsidRPr="007C02A9" w:rsidTr="00354D01">
        <w:trPr>
          <w:trHeight w:val="491"/>
        </w:trPr>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Nông nghiệp, lâm nghiệp và thủy sản</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11</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tài chính, ngân hàng và bảo hiểm</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Khai khoáng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12</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kinh doanh bất động sản</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Công nghiệp chế biến, chế tạo</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13</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chuyên môn, khoa học và công nghệ</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Sản xuất và phân phối điện, khí đốt, nước nóng, hơi nước và điều hòa không khí</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14</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hành chính và dịch vụ hỗ trợ</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Cung cấp nước, hoạt động quản lý và xử lý rác thải, nước thải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15</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của đảng cộng sản, tổ chức chính trị - xã hội, quản lý nhà nước, an ninh quốc phòng, bảo đảm xã hội bắt buộc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lastRenderedPageBreak/>
              <w:t>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Xây dựng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16</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Giáo dục và đào tạo</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Bán buôn và bán lẻ, sửa chữa ô tô, mô tô, xe máy và xe có cơ động khác</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17</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Y tế và hoạt động trợ giúp xã hội</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Vận tải kho bãi</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18</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Nghệ thuật, vui chơi và giải rí</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Dịch vụ lưu trú và ăn uống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19</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dịch vụ khác</w:t>
            </w:r>
          </w:p>
        </w:tc>
      </w:tr>
      <w:tr w:rsidR="007A0288" w:rsidRPr="007C02A9" w:rsidTr="007517F8">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10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Thông tin và truyền thông</w:t>
            </w:r>
          </w:p>
        </w:tc>
        <w:tc>
          <w:tcPr>
            <w:tcW w:w="0" w:type="auto"/>
            <w:vAlign w:val="center"/>
          </w:tcPr>
          <w:p w:rsidR="007A0288" w:rsidRPr="007C02A9" w:rsidRDefault="007A0288" w:rsidP="007517F8">
            <w:pPr>
              <w:pStyle w:val="NormalWeb"/>
              <w:spacing w:before="240" w:beforeAutospacing="0" w:after="120" w:afterAutospacing="0"/>
              <w:jc w:val="center"/>
              <w:rPr>
                <w:sz w:val="22"/>
                <w:szCs w:val="22"/>
              </w:rPr>
            </w:pPr>
            <w:r w:rsidRPr="007C02A9">
              <w:rPr>
                <w:sz w:val="22"/>
                <w:szCs w:val="22"/>
              </w:rPr>
              <w:t>20</w:t>
            </w:r>
          </w:p>
        </w:tc>
        <w:tc>
          <w:tcPr>
            <w:tcW w:w="0" w:type="auto"/>
            <w:vAlign w:val="center"/>
          </w:tcPr>
          <w:p w:rsidR="007A0288" w:rsidRPr="007C02A9" w:rsidRDefault="007A0288" w:rsidP="007517F8">
            <w:pPr>
              <w:pStyle w:val="NormalWeb"/>
              <w:spacing w:before="240" w:beforeAutospacing="0" w:after="120" w:afterAutospacing="0"/>
              <w:rPr>
                <w:sz w:val="22"/>
                <w:szCs w:val="22"/>
              </w:rPr>
            </w:pPr>
            <w:r w:rsidRPr="007C02A9">
              <w:rPr>
                <w:sz w:val="22"/>
                <w:szCs w:val="22"/>
              </w:rPr>
              <w:t>Hoạt động làm thuê các công việc trong các hộ gia đình, sản xuất sản phẩm vật chất và dịch vụ tự tiêu dung của hộ gia đình</w:t>
            </w:r>
          </w:p>
        </w:tc>
      </w:tr>
    </w:tbl>
    <w:p w:rsidR="0096267E" w:rsidRPr="00F03CAB" w:rsidRDefault="003C360F" w:rsidP="0096267E">
      <w:pPr>
        <w:pStyle w:val="NormalWeb"/>
        <w:spacing w:before="240" w:beforeAutospacing="0" w:after="120" w:afterAutospacing="0"/>
        <w:rPr>
          <w:bCs/>
          <w:color w:val="000000"/>
          <w:sz w:val="20"/>
          <w:szCs w:val="20"/>
        </w:rPr>
      </w:pPr>
      <w:r>
        <w:rPr>
          <w:b/>
          <w:bCs/>
          <w:color w:val="000000"/>
          <w:sz w:val="20"/>
          <w:szCs w:val="20"/>
        </w:rPr>
        <w:t>Bảng 2.</w:t>
      </w:r>
      <w:r w:rsidR="0096267E" w:rsidRPr="00C51353">
        <w:rPr>
          <w:b/>
          <w:bCs/>
          <w:color w:val="000000"/>
          <w:sz w:val="20"/>
          <w:szCs w:val="20"/>
        </w:rPr>
        <w:t xml:space="preserve"> </w:t>
      </w:r>
      <w:r w:rsidR="0096267E" w:rsidRPr="00F03CAB">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431" w:type="dxa"/>
        <w:tblLook w:val="04A0" w:firstRow="1" w:lastRow="0" w:firstColumn="1" w:lastColumn="0" w:noHBand="0" w:noVBand="1"/>
      </w:tblPr>
      <w:tblGrid>
        <w:gridCol w:w="525"/>
        <w:gridCol w:w="1327"/>
        <w:gridCol w:w="1327"/>
        <w:gridCol w:w="1495"/>
        <w:gridCol w:w="1106"/>
        <w:gridCol w:w="1106"/>
        <w:gridCol w:w="1328"/>
        <w:gridCol w:w="1217"/>
      </w:tblGrid>
      <w:tr w:rsidR="0096267E" w:rsidRPr="007C02A9" w:rsidTr="0096267E">
        <w:trPr>
          <w:trHeight w:val="201"/>
        </w:trPr>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w:t>
            </w:r>
          </w:p>
        </w:tc>
        <w:tc>
          <w:tcPr>
            <w:tcW w:w="132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w:t>
            </w:r>
          </w:p>
        </w:tc>
        <w:tc>
          <w:tcPr>
            <w:tcW w:w="149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3</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4</w:t>
            </w:r>
          </w:p>
        </w:tc>
        <w:tc>
          <w:tcPr>
            <w:tcW w:w="110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6</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243,011,267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129,918 </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684,716,208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15,039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1,434,484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1,135,882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1,253,729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61,225,497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203,068,474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80,953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123,971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13,521,805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700,388 </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429,586,673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168,841,608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2,275,465,415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1,220,409 </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7,663,736 </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321,997,784 </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72,415,023 </w:t>
            </w:r>
          </w:p>
        </w:tc>
      </w:tr>
      <w:tr w:rsidR="0096267E" w:rsidRPr="007C02A9" w:rsidTr="0096267E">
        <w:trPr>
          <w:trHeight w:val="24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1,709,613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1,908,675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1,402,560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169,821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2,491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47,635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23,002</w:t>
            </w:r>
          </w:p>
        </w:tc>
      </w:tr>
      <w:tr w:rsidR="0096267E" w:rsidRPr="007C02A9" w:rsidTr="0096267E">
        <w:trPr>
          <w:trHeight w:val="12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957,001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316,202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5,684,151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25,306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1,987,282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794,775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952,395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2,247,480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1,172,667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3,181,963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2,282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68,754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35,298,714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3,968,148</w:t>
            </w:r>
          </w:p>
        </w:tc>
      </w:tr>
      <w:tr w:rsidR="0096267E" w:rsidRPr="007C02A9" w:rsidTr="0096267E">
        <w:trPr>
          <w:trHeight w:val="148"/>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35,359,520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5,694,112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159,163,964</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94,401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413,827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23,218,093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5,031,877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13,945,490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6,755,672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68,214,500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113,366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195,855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9,290,575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13,776,228</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3,504,531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1,228,017</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6,843,018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17,491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97,049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2,704,247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5,593,491</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2,137,323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830,408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5,042,519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8,801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85,883</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915,208</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6,264,106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7,186,845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8,770,439</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42,858,188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47,165</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264,137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10,918,720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28,546,250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3,152,927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536,098</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6,441,136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30,583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175,248</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1,646,145</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26,783,757</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2,861,857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4,571,436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20,386,948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10,269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208,487</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4,545,016</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10,217,026</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1,102,977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574,975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4,487,131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2,576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32,489</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5,370,367</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3,712,265</w:t>
            </w:r>
          </w:p>
        </w:tc>
      </w:tr>
      <w:tr w:rsidR="0096267E" w:rsidRPr="007C02A9" w:rsidTr="0096267E">
        <w:trPr>
          <w:trHeight w:val="3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19,463</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6,621</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173,228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931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1,054</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19,882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226,549</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90,244</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1,558,803</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715,586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1,122</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2,670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135,593</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771,810</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60,325</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5,266</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260,133</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3,701</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75,310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95,765</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14,421</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3,782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59,759</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730</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31,320</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43,832</w:t>
            </w:r>
          </w:p>
        </w:tc>
      </w:tr>
      <w:tr w:rsidR="0096267E" w:rsidRPr="007C02A9" w:rsidTr="0096267E">
        <w:trPr>
          <w:trHeight w:val="257"/>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3,107</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2,962</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49,906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0</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125</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12,192</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17,620</w:t>
            </w:r>
          </w:p>
        </w:tc>
      </w:tr>
      <w:tr w:rsidR="0096267E" w:rsidRPr="007C02A9" w:rsidTr="0096267E">
        <w:trPr>
          <w:trHeight w:val="155"/>
        </w:trPr>
        <w:tc>
          <w:tcPr>
            <w:tcW w:w="525"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167,538</w:t>
            </w:r>
          </w:p>
        </w:tc>
        <w:tc>
          <w:tcPr>
            <w:tcW w:w="132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3,675</w:t>
            </w:r>
          </w:p>
        </w:tc>
        <w:tc>
          <w:tcPr>
            <w:tcW w:w="149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398,191</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316</w:t>
            </w:r>
          </w:p>
        </w:tc>
        <w:tc>
          <w:tcPr>
            <w:tcW w:w="110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8,002</w:t>
            </w:r>
          </w:p>
        </w:tc>
        <w:tc>
          <w:tcPr>
            <w:tcW w:w="132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105,144</w:t>
            </w:r>
          </w:p>
        </w:tc>
        <w:tc>
          <w:tcPr>
            <w:tcW w:w="1217"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469,362</w:t>
            </w:r>
          </w:p>
        </w:tc>
      </w:tr>
    </w:tbl>
    <w:p w:rsidR="007A0288" w:rsidRPr="00353D0D" w:rsidRDefault="0096267E" w:rsidP="0096267E">
      <w:pPr>
        <w:spacing w:before="120" w:after="120" w:line="312" w:lineRule="auto"/>
        <w:jc w:val="right"/>
        <w:rPr>
          <w:sz w:val="22"/>
          <w:szCs w:val="22"/>
        </w:rPr>
      </w:pPr>
      <w:r w:rsidRPr="00353D0D">
        <w:rPr>
          <w:i/>
          <w:iCs/>
          <w:sz w:val="22"/>
          <w:szCs w:val="22"/>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3.</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sidRPr="003C360F">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85" w:type="dxa"/>
        <w:tblLook w:val="04A0" w:firstRow="1" w:lastRow="0" w:firstColumn="1" w:lastColumn="0" w:noHBand="0" w:noVBand="1"/>
      </w:tblPr>
      <w:tblGrid>
        <w:gridCol w:w="564"/>
        <w:gridCol w:w="1481"/>
        <w:gridCol w:w="1275"/>
        <w:gridCol w:w="1371"/>
        <w:gridCol w:w="1206"/>
        <w:gridCol w:w="1206"/>
        <w:gridCol w:w="1371"/>
        <w:gridCol w:w="1176"/>
      </w:tblGrid>
      <w:tr w:rsidR="0096267E" w:rsidRPr="007C02A9" w:rsidTr="0096267E">
        <w:trPr>
          <w:trHeight w:val="168"/>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9</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10</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11</w:t>
            </w:r>
          </w:p>
        </w:tc>
        <w:tc>
          <w:tcPr>
            <w:tcW w:w="1158"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13</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42,732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19,342,316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20,878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45,124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132,434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1,181,637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182,980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52,701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1,944,832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181,744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97,273</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19,749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146,250,803.3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84,698,102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40,697,442.1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9,568,973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9,894,237</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14,165,785.7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8,524,366</w:t>
            </w:r>
          </w:p>
        </w:tc>
      </w:tr>
      <w:tr w:rsidR="0096267E" w:rsidRPr="007C02A9" w:rsidTr="0096267E">
        <w:trPr>
          <w:trHeight w:val="38"/>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3,309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169,397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162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826</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4,992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828</w:t>
            </w:r>
          </w:p>
        </w:tc>
      </w:tr>
      <w:tr w:rsidR="0096267E" w:rsidRPr="007C02A9" w:rsidTr="0096267E">
        <w:trPr>
          <w:trHeight w:val="267"/>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176,651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837,926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93,080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61,223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395,878</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65,302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47,754</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1,275,830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559,302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539,290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106,300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10,253,343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428,256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123,588</w:t>
            </w:r>
          </w:p>
        </w:tc>
      </w:tr>
      <w:tr w:rsidR="0096267E" w:rsidRPr="007C02A9" w:rsidTr="0096267E">
        <w:trPr>
          <w:trHeight w:val="275"/>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6,730,398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5,801,204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2,807,432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519,274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868,634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914,104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553,999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lastRenderedPageBreak/>
              <w:t>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34,832,760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2,753,477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1,872,145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1,409,658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820,039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2,099,436</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1,071,345</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1,270,542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1,086,375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868,198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2,221,814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665,124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1,792,462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1,468,139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1,170,814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687,194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37,607,471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2,374,500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584,644</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6,320,779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405,809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7,205,084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9,595,137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800,031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62,981,214</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2,545,689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1,194,620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729,488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2,268,105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7,462,756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1,504,789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6,846,302</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6,821,002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2,415,375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694,919</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1,958,122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2,171,177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1,948,170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3,628,531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2,563,646</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7,445,569</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1,561,291</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4,626,246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293,149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466,468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440,213</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1,083,573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1,118,934</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937,372</w:t>
            </w:r>
          </w:p>
        </w:tc>
      </w:tr>
      <w:tr w:rsidR="0096267E" w:rsidRPr="007C02A9" w:rsidTr="0096267E">
        <w:trPr>
          <w:trHeight w:val="260"/>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18,231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12,566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11,454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9,438</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20,820</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17,685</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13,127</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192,437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33,525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527,834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296,930</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173,289</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210,897</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114,550</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40,079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11,434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13,584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47,391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22,012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22,212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8,938</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11,575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52,104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152,601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8,531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54,941</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1,002,010</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163,406</w:t>
            </w:r>
          </w:p>
        </w:tc>
      </w:tr>
      <w:tr w:rsidR="0096267E" w:rsidRPr="007C02A9" w:rsidTr="0096267E">
        <w:trPr>
          <w:trHeight w:val="2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7,129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2,201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2,272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72,071</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55,923</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23,711</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12,171</w:t>
            </w:r>
          </w:p>
        </w:tc>
      </w:tr>
      <w:tr w:rsidR="0096267E" w:rsidRPr="007C02A9" w:rsidTr="0096267E">
        <w:trPr>
          <w:trHeight w:val="53"/>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22"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58,126 </w:t>
            </w:r>
          </w:p>
        </w:tc>
        <w:tc>
          <w:tcPr>
            <w:tcW w:w="1275"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461,704 </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 xml:space="preserve">46,951 </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21,099</w:t>
            </w:r>
          </w:p>
        </w:tc>
        <w:tc>
          <w:tcPr>
            <w:tcW w:w="1158"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57,822</w:t>
            </w:r>
          </w:p>
        </w:tc>
        <w:tc>
          <w:tcPr>
            <w:tcW w:w="131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693,362</w:t>
            </w:r>
          </w:p>
        </w:tc>
        <w:tc>
          <w:tcPr>
            <w:tcW w:w="1176"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26,029</w:t>
            </w:r>
          </w:p>
        </w:tc>
      </w:tr>
    </w:tbl>
    <w:p w:rsidR="0096267E" w:rsidRPr="00353D0D" w:rsidRDefault="0096267E" w:rsidP="0096267E">
      <w:pPr>
        <w:spacing w:before="120" w:after="120" w:line="312" w:lineRule="auto"/>
        <w:jc w:val="right"/>
        <w:rPr>
          <w:i/>
          <w:iCs/>
          <w:sz w:val="20"/>
          <w:szCs w:val="20"/>
        </w:rPr>
      </w:pPr>
      <w:r w:rsidRPr="00353D0D">
        <w:rPr>
          <w:i/>
          <w:iCs/>
          <w:sz w:val="20"/>
          <w:szCs w:val="20"/>
        </w:rPr>
        <w:t>Nguồn: Tính toán của nhóm tác giả từ bảng I/O của Việt Nam năm 2015</w:t>
      </w:r>
    </w:p>
    <w:p w:rsidR="0096267E" w:rsidRPr="003C360F" w:rsidRDefault="003C360F" w:rsidP="0096267E">
      <w:pPr>
        <w:pStyle w:val="NormalWeb"/>
        <w:spacing w:before="240" w:beforeAutospacing="0" w:after="120" w:afterAutospacing="0"/>
        <w:rPr>
          <w:bCs/>
          <w:color w:val="000000"/>
          <w:sz w:val="20"/>
          <w:szCs w:val="20"/>
        </w:rPr>
      </w:pPr>
      <w:r>
        <w:rPr>
          <w:b/>
          <w:bCs/>
          <w:color w:val="000000"/>
          <w:sz w:val="20"/>
          <w:szCs w:val="20"/>
        </w:rPr>
        <w:t>Bảng 4.</w:t>
      </w:r>
      <w:r w:rsidR="0096267E" w:rsidRPr="00C51353">
        <w:rPr>
          <w:b/>
          <w:bCs/>
          <w:color w:val="000000"/>
          <w:sz w:val="20"/>
          <w:szCs w:val="20"/>
        </w:rPr>
        <w:t xml:space="preserve"> </w:t>
      </w:r>
      <w:r w:rsidR="0096267E" w:rsidRPr="003C360F">
        <w:rPr>
          <w:bCs/>
          <w:color w:val="000000"/>
          <w:sz w:val="20"/>
          <w:szCs w:val="20"/>
        </w:rPr>
        <w:t>Bảng cân đối liên ngành theo giá người sản xuất/bảng chi phí</w:t>
      </w:r>
      <w:r>
        <w:rPr>
          <w:bCs/>
          <w:color w:val="000000"/>
          <w:sz w:val="20"/>
          <w:szCs w:val="20"/>
        </w:rPr>
        <w:t>.</w:t>
      </w:r>
    </w:p>
    <w:p w:rsidR="0096267E" w:rsidRPr="00353D0D" w:rsidRDefault="0096267E" w:rsidP="0096267E">
      <w:pPr>
        <w:pStyle w:val="NormalWeb"/>
        <w:spacing w:before="120" w:beforeAutospacing="0" w:after="120" w:afterAutospacing="0"/>
        <w:jc w:val="right"/>
        <w:rPr>
          <w:b/>
          <w:sz w:val="20"/>
          <w:szCs w:val="20"/>
        </w:rPr>
      </w:pPr>
      <w:r w:rsidRPr="00353D0D">
        <w:rPr>
          <w:i/>
          <w:iCs/>
          <w:color w:val="000000"/>
          <w:sz w:val="20"/>
          <w:szCs w:val="20"/>
        </w:rPr>
        <w:t>Đơn vị tính: Triệu đồng</w:t>
      </w:r>
    </w:p>
    <w:tbl>
      <w:tblPr>
        <w:tblW w:w="9368" w:type="dxa"/>
        <w:jc w:val="center"/>
        <w:tblLook w:val="04A0" w:firstRow="1" w:lastRow="0" w:firstColumn="1" w:lastColumn="0" w:noHBand="0" w:noVBand="1"/>
      </w:tblPr>
      <w:tblGrid>
        <w:gridCol w:w="629"/>
        <w:gridCol w:w="1410"/>
        <w:gridCol w:w="1410"/>
        <w:gridCol w:w="1410"/>
        <w:gridCol w:w="1503"/>
        <w:gridCol w:w="1503"/>
        <w:gridCol w:w="1503"/>
      </w:tblGrid>
      <w:tr w:rsidR="0096267E" w:rsidRPr="007C02A9" w:rsidTr="0096267E">
        <w:trPr>
          <w:trHeight w:val="140"/>
          <w:jc w:val="center"/>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rPr>
                <w:b/>
                <w:bCs/>
                <w:sz w:val="22"/>
                <w:szCs w:val="22"/>
              </w:rPr>
            </w:pPr>
            <w:r w:rsidRPr="007C02A9">
              <w:rPr>
                <w:b/>
                <w:bCs/>
                <w:sz w:val="22"/>
                <w:szCs w:val="22"/>
              </w:rPr>
              <w:t>TT</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15</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16</w:t>
            </w:r>
          </w:p>
        </w:tc>
        <w:tc>
          <w:tcPr>
            <w:tcW w:w="1410"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17</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18</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19</w:t>
            </w:r>
          </w:p>
        </w:tc>
        <w:tc>
          <w:tcPr>
            <w:tcW w:w="1503" w:type="dxa"/>
            <w:tcBorders>
              <w:top w:val="single" w:sz="4" w:space="0" w:color="auto"/>
              <w:left w:val="nil"/>
              <w:bottom w:val="single" w:sz="4" w:space="0" w:color="auto"/>
              <w:right w:val="single" w:sz="4" w:space="0" w:color="auto"/>
            </w:tcBorders>
            <w:shd w:val="clear" w:color="auto" w:fill="auto"/>
            <w:noWrap/>
            <w:vAlign w:val="center"/>
            <w:hideMark/>
          </w:tcPr>
          <w:p w:rsidR="0096267E" w:rsidRPr="007C02A9" w:rsidRDefault="0096267E" w:rsidP="00D25A19">
            <w:pPr>
              <w:jc w:val="center"/>
              <w:rPr>
                <w:b/>
                <w:bCs/>
                <w:sz w:val="22"/>
                <w:szCs w:val="22"/>
              </w:rPr>
            </w:pPr>
            <w:r w:rsidRPr="007C02A9">
              <w:rPr>
                <w:b/>
                <w:bCs/>
                <w:sz w:val="22"/>
                <w:szCs w:val="22"/>
              </w:rPr>
              <w:t>20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37,403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423,990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68,815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52,062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8,342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29,588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37,862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25,597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20,119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456,648</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11,375,043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10,088,243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41,968,828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7,830,569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979,629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9,371,708</w:t>
            </w:r>
          </w:p>
        </w:tc>
      </w:tr>
      <w:tr w:rsidR="0096267E" w:rsidRPr="007C02A9" w:rsidTr="0096267E">
        <w:trPr>
          <w:trHeight w:val="25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1,101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2,161</w:t>
            </w:r>
          </w:p>
        </w:tc>
      </w:tr>
      <w:tr w:rsidR="0096267E" w:rsidRPr="007C02A9" w:rsidTr="0096267E">
        <w:trPr>
          <w:trHeight w:val="300"/>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207,337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226,754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337,794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47,749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11,652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283,789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1,216,081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1,203,982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568,564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221,528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141,888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13,953</w:t>
            </w:r>
          </w:p>
        </w:tc>
      </w:tr>
      <w:tr w:rsidR="0096267E" w:rsidRPr="007C02A9" w:rsidTr="0096267E">
        <w:trPr>
          <w:trHeight w:val="29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1,065,460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690,072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1,739,688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741,637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626,122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2,050,829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1,046,249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739,985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405,527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168,238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304,193</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3,351,522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1,057,560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254,691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371,791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221,132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170,087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1,990,535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1,243,973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232,521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1,425,431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132,254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166,461</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860,125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680,236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217,981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211,527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94,372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626,892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810,736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4,359,400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113,393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289,762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78,479</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1,285,265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1,245,058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1,276,683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116,227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145,045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79,457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206,177</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14</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139,859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328,235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296,031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99,818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20,720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39,567</w:t>
            </w:r>
          </w:p>
        </w:tc>
      </w:tr>
      <w:tr w:rsidR="0096267E" w:rsidRPr="007C02A9" w:rsidTr="0096267E">
        <w:trPr>
          <w:trHeight w:val="281"/>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15</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339,003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80,011</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21,407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10,228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4,870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6,515</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474,030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1,899,919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95,710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48,255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13,020</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19,870</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148,857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86,452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452,644</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30,508</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9,082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3,009</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18</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174,277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99,379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4,682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5,175,142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44,141</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84,422</w:t>
            </w:r>
          </w:p>
        </w:tc>
      </w:tr>
      <w:tr w:rsidR="0096267E" w:rsidRPr="007C02A9" w:rsidTr="0096267E">
        <w:trPr>
          <w:trHeight w:val="274"/>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19</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58,343</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15,007</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257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3,932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8,507</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24</w:t>
            </w:r>
          </w:p>
        </w:tc>
      </w:tr>
      <w:tr w:rsidR="0096267E" w:rsidRPr="007C02A9" w:rsidTr="0096267E">
        <w:trPr>
          <w:trHeight w:val="65"/>
          <w:jc w:val="center"/>
        </w:trPr>
        <w:tc>
          <w:tcPr>
            <w:tcW w:w="629" w:type="dxa"/>
            <w:tcBorders>
              <w:top w:val="nil"/>
              <w:left w:val="single" w:sz="4" w:space="0" w:color="auto"/>
              <w:bottom w:val="single" w:sz="4" w:space="0" w:color="auto"/>
              <w:right w:val="single" w:sz="4" w:space="0" w:color="auto"/>
            </w:tcBorders>
            <w:shd w:val="clear" w:color="auto" w:fill="auto"/>
            <w:noWrap/>
            <w:vAlign w:val="center"/>
            <w:hideMark/>
          </w:tcPr>
          <w:p w:rsidR="0096267E" w:rsidRPr="007C02A9" w:rsidRDefault="0096267E" w:rsidP="00D25A19">
            <w:pPr>
              <w:jc w:val="center"/>
              <w:rPr>
                <w:sz w:val="22"/>
                <w:szCs w:val="22"/>
              </w:rPr>
            </w:pPr>
            <w:r w:rsidRPr="007C02A9">
              <w:rPr>
                <w:sz w:val="22"/>
                <w:szCs w:val="22"/>
              </w:rPr>
              <w:t>20</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223,726</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102,142</w:t>
            </w:r>
          </w:p>
        </w:tc>
        <w:tc>
          <w:tcPr>
            <w:tcW w:w="1410"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66,745</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19,573</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18,462</w:t>
            </w:r>
          </w:p>
        </w:tc>
        <w:tc>
          <w:tcPr>
            <w:tcW w:w="1503" w:type="dxa"/>
            <w:tcBorders>
              <w:top w:val="nil"/>
              <w:left w:val="nil"/>
              <w:bottom w:val="single" w:sz="4" w:space="0" w:color="auto"/>
              <w:right w:val="single" w:sz="4" w:space="0" w:color="auto"/>
            </w:tcBorders>
            <w:shd w:val="clear" w:color="auto" w:fill="auto"/>
            <w:noWrap/>
            <w:vAlign w:val="center"/>
            <w:hideMark/>
          </w:tcPr>
          <w:p w:rsidR="0096267E" w:rsidRPr="007C02A9" w:rsidRDefault="0096267E" w:rsidP="00D25A19">
            <w:pPr>
              <w:jc w:val="right"/>
              <w:rPr>
                <w:sz w:val="22"/>
                <w:szCs w:val="22"/>
              </w:rPr>
            </w:pPr>
            <w:r w:rsidRPr="007C02A9">
              <w:rPr>
                <w:sz w:val="22"/>
                <w:szCs w:val="22"/>
              </w:rPr>
              <w:t>181,621</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Default="0096267E" w:rsidP="0096267E">
      <w:pPr>
        <w:spacing w:line="312" w:lineRule="auto"/>
        <w:ind w:firstLine="720"/>
        <w:jc w:val="both"/>
        <w:sectPr w:rsidR="0096267E" w:rsidSect="007A0288">
          <w:type w:val="continuous"/>
          <w:pgSz w:w="11907" w:h="16840" w:code="9"/>
          <w:pgMar w:top="1134" w:right="1134" w:bottom="1134" w:left="1418" w:header="720" w:footer="720" w:gutter="0"/>
          <w:cols w:space="720"/>
          <w:docGrid w:linePitch="360"/>
        </w:sectPr>
      </w:pPr>
    </w:p>
    <w:p w:rsidR="0096267E" w:rsidRPr="007C02A9" w:rsidRDefault="0096267E" w:rsidP="0096267E">
      <w:pPr>
        <w:spacing w:line="312" w:lineRule="auto"/>
        <w:ind w:firstLine="720"/>
        <w:jc w:val="both"/>
        <w:rPr>
          <w:b/>
          <w:bCs/>
        </w:rPr>
      </w:pPr>
      <w:r w:rsidRPr="007C02A9">
        <w:lastRenderedPageBreak/>
        <w:t>Tổng cầu (đầu ra) đối với mỗi ngành bao gồm 2 thành phần: Cầu trung gian và cầu cuối cùng. Thông tin trong Bảng 2</w:t>
      </w:r>
      <w:r>
        <w:t xml:space="preserve"> đến Bảng 4</w:t>
      </w:r>
      <w:r w:rsidRPr="007C02A9">
        <w:t xml:space="preserve"> được gọi là cầu trung gian của 20 ngành. </w:t>
      </w:r>
      <w:r w:rsidRPr="007C02A9">
        <w:lastRenderedPageBreak/>
        <w:t>Cầu cuối cùng của các ngành đó</w:t>
      </w:r>
      <w:r>
        <w:t xml:space="preserve"> bao gồm tích lũy tài sản, xuất khẩu hàng hóa và dịch vụ, tiêu dùng cuối cùng</w:t>
      </w:r>
      <w:r w:rsidRPr="007C02A9">
        <w:t xml:space="preserve"> được thể hiện ở bảng sau: </w:t>
      </w:r>
    </w:p>
    <w:p w:rsidR="0096267E" w:rsidRDefault="0096267E" w:rsidP="0096267E">
      <w:pPr>
        <w:spacing w:before="240" w:after="120" w:line="312" w:lineRule="auto"/>
        <w:rPr>
          <w:b/>
          <w:bCs/>
          <w:sz w:val="20"/>
          <w:szCs w:val="20"/>
        </w:rPr>
        <w:sectPr w:rsidR="0096267E" w:rsidSect="0096267E">
          <w:type w:val="continuous"/>
          <w:pgSz w:w="11907" w:h="16840" w:code="9"/>
          <w:pgMar w:top="1134" w:right="1134" w:bottom="1134" w:left="1418" w:header="720" w:footer="720" w:gutter="0"/>
          <w:cols w:num="2" w:space="720"/>
          <w:docGrid w:linePitch="360"/>
        </w:sectPr>
      </w:pPr>
    </w:p>
    <w:p w:rsidR="0096267E" w:rsidRPr="003C360F" w:rsidRDefault="003C360F" w:rsidP="0096267E">
      <w:pPr>
        <w:spacing w:before="240" w:after="120" w:line="312" w:lineRule="auto"/>
        <w:rPr>
          <w:bCs/>
          <w:sz w:val="20"/>
          <w:szCs w:val="20"/>
        </w:rPr>
      </w:pPr>
      <w:r>
        <w:rPr>
          <w:b/>
          <w:bCs/>
          <w:sz w:val="20"/>
          <w:szCs w:val="20"/>
        </w:rPr>
        <w:lastRenderedPageBreak/>
        <w:t>Bảng 5.</w:t>
      </w:r>
      <w:r w:rsidR="0096267E" w:rsidRPr="00C51353">
        <w:rPr>
          <w:b/>
          <w:bCs/>
          <w:sz w:val="20"/>
          <w:szCs w:val="20"/>
        </w:rPr>
        <w:t xml:space="preserve"> </w:t>
      </w:r>
      <w:r w:rsidR="0096267E" w:rsidRPr="003C360F">
        <w:rPr>
          <w:bCs/>
          <w:sz w:val="20"/>
          <w:szCs w:val="20"/>
        </w:rPr>
        <w:t>Bảng cầu cuối cùng theo giá người sản xuất</w:t>
      </w:r>
      <w:r>
        <w:rPr>
          <w:bCs/>
          <w:sz w:val="20"/>
          <w:szCs w:val="20"/>
        </w:rPr>
        <w:t>.</w:t>
      </w:r>
    </w:p>
    <w:p w:rsidR="0096267E" w:rsidRPr="00353D0D" w:rsidRDefault="0096267E" w:rsidP="0096267E">
      <w:pPr>
        <w:spacing w:before="120" w:after="120" w:line="312" w:lineRule="auto"/>
        <w:jc w:val="right"/>
        <w:rPr>
          <w:i/>
          <w:iCs/>
          <w:color w:val="000000"/>
          <w:sz w:val="20"/>
          <w:szCs w:val="20"/>
        </w:rPr>
      </w:pPr>
      <w:r w:rsidRPr="00353D0D">
        <w:rPr>
          <w:i/>
          <w:iCs/>
          <w:color w:val="000000"/>
          <w:sz w:val="20"/>
          <w:szCs w:val="20"/>
        </w:rPr>
        <w:t>Đơn vị tính: Triệu đồng</w:t>
      </w:r>
    </w:p>
    <w:tbl>
      <w:tblPr>
        <w:tblW w:w="9776" w:type="dxa"/>
        <w:jc w:val="center"/>
        <w:tblLook w:val="04A0" w:firstRow="1" w:lastRow="0" w:firstColumn="1" w:lastColumn="0" w:noHBand="0" w:noVBand="1"/>
      </w:tblPr>
      <w:tblGrid>
        <w:gridCol w:w="580"/>
        <w:gridCol w:w="4400"/>
        <w:gridCol w:w="1316"/>
        <w:gridCol w:w="2126"/>
        <w:gridCol w:w="1559"/>
      </w:tblGrid>
      <w:tr w:rsidR="0096267E" w:rsidRPr="0064404E" w:rsidTr="00D25A19">
        <w:trPr>
          <w:trHeight w:val="936"/>
          <w:jc w:val="center"/>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lastRenderedPageBreak/>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Tên mã ngành cấp 1</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Tích lũy </w:t>
            </w:r>
            <w:r w:rsidRPr="0064404E">
              <w:rPr>
                <w:b/>
                <w:bCs/>
                <w:color w:val="000000"/>
                <w:sz w:val="22"/>
                <w:szCs w:val="22"/>
              </w:rPr>
              <w:br/>
              <w:t>tài sản</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267E" w:rsidRPr="0064404E" w:rsidRDefault="0096267E" w:rsidP="00D25A19">
            <w:pPr>
              <w:jc w:val="center"/>
              <w:rPr>
                <w:b/>
                <w:bCs/>
                <w:color w:val="000000"/>
                <w:sz w:val="22"/>
                <w:szCs w:val="22"/>
              </w:rPr>
            </w:pPr>
            <w:r w:rsidRPr="0064404E">
              <w:rPr>
                <w:b/>
                <w:bCs/>
                <w:color w:val="000000"/>
                <w:sz w:val="22"/>
                <w:szCs w:val="22"/>
              </w:rPr>
              <w:t xml:space="preserve">Xuất khẩu </w:t>
            </w:r>
            <w:r w:rsidRPr="0064404E">
              <w:rPr>
                <w:b/>
                <w:bCs/>
                <w:color w:val="000000"/>
                <w:sz w:val="22"/>
                <w:szCs w:val="22"/>
              </w:rPr>
              <w:br/>
              <w:t>hàng hóa</w:t>
            </w:r>
            <w:r>
              <w:rPr>
                <w:b/>
                <w:bCs/>
                <w:color w:val="000000"/>
                <w:sz w:val="22"/>
                <w:szCs w:val="22"/>
              </w:rPr>
              <w:t xml:space="preserve"> và</w:t>
            </w:r>
            <w:r w:rsidRPr="0064404E">
              <w:rPr>
                <w:b/>
                <w:bCs/>
                <w:color w:val="000000"/>
                <w:sz w:val="22"/>
                <w:szCs w:val="22"/>
              </w:rPr>
              <w:t xml:space="preserve"> dịch vụ</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6267E" w:rsidRPr="0064404E" w:rsidRDefault="0096267E" w:rsidP="00D25A19">
            <w:pPr>
              <w:jc w:val="center"/>
              <w:rPr>
                <w:b/>
                <w:bCs/>
                <w:sz w:val="22"/>
                <w:szCs w:val="22"/>
              </w:rPr>
            </w:pPr>
            <w:r w:rsidRPr="0064404E">
              <w:rPr>
                <w:b/>
                <w:bCs/>
                <w:sz w:val="22"/>
                <w:szCs w:val="22"/>
              </w:rPr>
              <w:t>Tiêu dùng cuối cùng</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44,784,400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153,117,889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288,206,438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13,783,794</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245,313,267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36,043,866</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283,169,293</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1,820,284,025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774,520,350</w:t>
            </w:r>
          </w:p>
        </w:tc>
      </w:tr>
      <w:tr w:rsidR="0096267E" w:rsidRPr="0064404E" w:rsidTr="00D25A19">
        <w:trPr>
          <w:trHeight w:val="48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-43,393</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1,569,426</w:t>
            </w:r>
          </w:p>
        </w:tc>
      </w:tr>
      <w:tr w:rsidR="0096267E" w:rsidRPr="0064404E" w:rsidTr="00D25A19">
        <w:trPr>
          <w:trHeight w:val="52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518,086,962</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36,734,597</w:t>
            </w:r>
          </w:p>
        </w:tc>
      </w:tr>
      <w:tr w:rsidR="0096267E" w:rsidRPr="0064404E" w:rsidTr="00D25A19">
        <w:trPr>
          <w:trHeight w:val="47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 xml:space="preserve">16,762,414 </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134409282</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95,176,689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5,349,450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97,092,806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85,910,189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99,318,621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116,686,523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2,114,269</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84,055,188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16,323,274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81,936,325</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240,386</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115,601,173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4,699,458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39,813,843</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6,170,981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14,083,865</w:t>
            </w:r>
          </w:p>
        </w:tc>
      </w:tr>
      <w:tr w:rsidR="0096267E" w:rsidRPr="0064404E" w:rsidTr="00D25A19">
        <w:trPr>
          <w:trHeight w:val="70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1,091,795</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110,332,739</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13,100,540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148,125,951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5850103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86,522,291</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4,085,635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45,100,878</w:t>
            </w:r>
          </w:p>
        </w:tc>
      </w:tr>
      <w:tr w:rsidR="0096267E" w:rsidRPr="0064404E" w:rsidTr="00D25A19">
        <w:trPr>
          <w:trHeight w:val="2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11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r>
      <w:tr w:rsidR="0096267E" w:rsidRPr="0064404E" w:rsidTr="00D25A19">
        <w:trPr>
          <w:trHeight w:val="73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11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2126"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r>
    </w:tbl>
    <w:p w:rsidR="0096267E" w:rsidRPr="00353D0D" w:rsidRDefault="0096267E" w:rsidP="0096267E">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96267E" w:rsidRPr="0064404E" w:rsidRDefault="0096267E" w:rsidP="001D04B2">
      <w:pPr>
        <w:spacing w:line="312" w:lineRule="auto"/>
        <w:ind w:firstLine="567"/>
        <w:jc w:val="both"/>
        <w:rPr>
          <w:color w:val="4472C4" w:themeColor="accent1"/>
          <w:sz w:val="22"/>
          <w:szCs w:val="22"/>
        </w:rPr>
      </w:pPr>
      <w:r w:rsidRPr="0064404E">
        <w:rPr>
          <w:sz w:val="22"/>
          <w:szCs w:val="22"/>
        </w:rPr>
        <w:t>Dựa vào thông tin từ Bảng 2 đến Bảng 5, ta lập được bảng tổng cầu đối với mỗi ngành như sau:</w:t>
      </w:r>
    </w:p>
    <w:p w:rsidR="0096267E" w:rsidRPr="003C360F" w:rsidRDefault="003C360F" w:rsidP="0096267E">
      <w:pPr>
        <w:spacing w:before="240" w:after="120" w:line="312" w:lineRule="auto"/>
        <w:rPr>
          <w:bCs/>
          <w:sz w:val="20"/>
          <w:szCs w:val="20"/>
        </w:rPr>
      </w:pPr>
      <w:r>
        <w:rPr>
          <w:b/>
          <w:bCs/>
          <w:sz w:val="20"/>
          <w:szCs w:val="20"/>
        </w:rPr>
        <w:t>Bảng 6.</w:t>
      </w:r>
      <w:r w:rsidR="0096267E" w:rsidRPr="00BB4BF5">
        <w:rPr>
          <w:b/>
          <w:bCs/>
          <w:sz w:val="20"/>
          <w:szCs w:val="20"/>
        </w:rPr>
        <w:t xml:space="preserve"> </w:t>
      </w:r>
      <w:r w:rsidR="0096267E" w:rsidRPr="003C360F">
        <w:rPr>
          <w:bCs/>
          <w:sz w:val="20"/>
          <w:szCs w:val="20"/>
        </w:rPr>
        <w:t>Bảng tổng cầu theo giá người sản xuất</w:t>
      </w:r>
      <w:r>
        <w:rPr>
          <w:bCs/>
          <w:sz w:val="20"/>
          <w:szCs w:val="20"/>
        </w:rPr>
        <w:t>.</w:t>
      </w:r>
    </w:p>
    <w:p w:rsidR="0096267E" w:rsidRPr="0064404E" w:rsidRDefault="0096267E" w:rsidP="0096267E">
      <w:pPr>
        <w:spacing w:line="312" w:lineRule="auto"/>
        <w:jc w:val="right"/>
        <w:rPr>
          <w:i/>
          <w:iCs/>
          <w:color w:val="000000"/>
          <w:sz w:val="22"/>
          <w:szCs w:val="22"/>
        </w:rPr>
      </w:pPr>
      <w:r w:rsidRPr="0064404E">
        <w:rPr>
          <w:i/>
          <w:iCs/>
          <w:color w:val="000000"/>
          <w:sz w:val="22"/>
          <w:szCs w:val="22"/>
        </w:rPr>
        <w:t>Đơn vị tính: Triệu đồng</w:t>
      </w:r>
    </w:p>
    <w:tbl>
      <w:tblPr>
        <w:tblW w:w="9918" w:type="dxa"/>
        <w:jc w:val="center"/>
        <w:tblLook w:val="04A0" w:firstRow="1" w:lastRow="0" w:firstColumn="1" w:lastColumn="0" w:noHBand="0" w:noVBand="1"/>
      </w:tblPr>
      <w:tblGrid>
        <w:gridCol w:w="594"/>
        <w:gridCol w:w="4400"/>
        <w:gridCol w:w="1664"/>
        <w:gridCol w:w="1701"/>
        <w:gridCol w:w="1559"/>
      </w:tblGrid>
      <w:tr w:rsidR="0096267E" w:rsidRPr="0064404E" w:rsidTr="0096267E">
        <w:trPr>
          <w:trHeight w:val="343"/>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Tên mã ngành cấp 1</w:t>
            </w:r>
          </w:p>
        </w:tc>
        <w:tc>
          <w:tcPr>
            <w:tcW w:w="1664"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t>Cầu cuối cùng</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96267E" w:rsidRPr="0064404E" w:rsidRDefault="0096267E" w:rsidP="0096267E">
            <w:pPr>
              <w:jc w:val="center"/>
              <w:rPr>
                <w:b/>
                <w:bCs/>
                <w:sz w:val="22"/>
                <w:szCs w:val="22"/>
              </w:rPr>
            </w:pPr>
            <w:r w:rsidRPr="0064404E">
              <w:rPr>
                <w:b/>
                <w:bCs/>
                <w:sz w:val="22"/>
                <w:szCs w:val="22"/>
              </w:rPr>
              <w:br/>
            </w:r>
            <w:r>
              <w:rPr>
                <w:b/>
                <w:bCs/>
                <w:sz w:val="22"/>
                <w:szCs w:val="22"/>
              </w:rPr>
              <w:t>Cầu trung gian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96267E" w:rsidRPr="0064404E" w:rsidRDefault="0096267E" w:rsidP="0096267E">
            <w:pPr>
              <w:jc w:val="center"/>
              <w:rPr>
                <w:b/>
                <w:bCs/>
                <w:sz w:val="22"/>
                <w:szCs w:val="22"/>
              </w:rPr>
            </w:pPr>
            <w:r w:rsidRPr="0064404E">
              <w:rPr>
                <w:b/>
                <w:bCs/>
                <w:sz w:val="22"/>
                <w:szCs w:val="22"/>
              </w:rPr>
              <w:t>Tổng cầu</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Nông nghiệp, lâm nghiệp và thuỷ sản</w:t>
            </w:r>
          </w:p>
        </w:tc>
        <w:tc>
          <w:tcPr>
            <w:tcW w:w="1664"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486,108,727</w:t>
            </w:r>
          </w:p>
        </w:tc>
        <w:tc>
          <w:tcPr>
            <w:tcW w:w="1701"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952,011,144</w:t>
            </w:r>
          </w:p>
        </w:tc>
        <w:tc>
          <w:tcPr>
            <w:tcW w:w="1559" w:type="dxa"/>
            <w:tcBorders>
              <w:top w:val="nil"/>
              <w:left w:val="nil"/>
              <w:bottom w:val="single" w:sz="4" w:space="0" w:color="auto"/>
              <w:right w:val="single" w:sz="4" w:space="0" w:color="auto"/>
            </w:tcBorders>
            <w:shd w:val="clear" w:color="auto" w:fill="auto"/>
            <w:noWrap/>
            <w:vAlign w:val="bottom"/>
            <w:hideMark/>
          </w:tcPr>
          <w:p w:rsidR="0096267E" w:rsidRPr="0064404E" w:rsidRDefault="0096267E" w:rsidP="00D25A19">
            <w:pPr>
              <w:jc w:val="right"/>
              <w:rPr>
                <w:sz w:val="22"/>
                <w:szCs w:val="22"/>
              </w:rPr>
            </w:pPr>
            <w:r w:rsidRPr="0064404E">
              <w:rPr>
                <w:sz w:val="22"/>
                <w:szCs w:val="22"/>
              </w:rPr>
              <w:t>1,438,119,871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Khai khoáng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295,140,927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282,820,123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577,961,050</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Công nghiệp chế biến, chế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2,877,973,668</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3,672,604,377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6,550,578,045</w:t>
            </w:r>
          </w:p>
        </w:tc>
      </w:tr>
      <w:tr w:rsidR="0096267E" w:rsidRPr="0064404E" w:rsidTr="0096267E">
        <w:trPr>
          <w:trHeight w:val="491"/>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Sản xuất và phân phối điện, khí đốt, nước nóng, hơi nước và điều hoà không khí</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1,526,033</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5,451,340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6,977,373</w:t>
            </w:r>
          </w:p>
        </w:tc>
      </w:tr>
      <w:tr w:rsidR="0096267E" w:rsidRPr="0064404E" w:rsidTr="00D25A19">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Cung cấp nước, hoạt động quản lý và </w:t>
            </w:r>
            <w:r w:rsidRPr="0064404E">
              <w:rPr>
                <w:sz w:val="22"/>
                <w:szCs w:val="22"/>
              </w:rPr>
              <w:br/>
              <w:t>xử lý rác thải, nước thải</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12,735,120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13,510,001</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26,245,121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Xây dựng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554,821,559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62,591,913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617,413,472</w:t>
            </w:r>
          </w:p>
        </w:tc>
      </w:tr>
      <w:tr w:rsidR="0096267E" w:rsidRPr="0064404E" w:rsidTr="00D25A19">
        <w:trPr>
          <w:trHeight w:val="46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 xml:space="preserve">Bán buôn và bán lẻ, sữa chữa ô tô, mô tô, xe máy và xe có động cơ khác </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246,348,385</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252,124,326</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498,472,711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Vận tải kho bãi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188,352,445</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161,865,567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350,218,012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Dịch vụ lưu trú và ăn uống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216,005,144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34,787,281</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250,792,425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Thông tin và truyền thông</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86,169,457</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69,626,634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155,796,091</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tài chính ngân hàng và bảo hiểm</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98,259,599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186,334,140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284,593,739</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lastRenderedPageBreak/>
              <w:t>12</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kinh doanh bất động sản</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115,841,559</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73,716,177</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189,557,736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chuyên môn khoa học và công nghệ</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44,513,301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67,146,192</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111,659,493</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hành chính và dịch vụ hỗ trợ</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20,254,846</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25,172,965</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45,427,811</w:t>
            </w:r>
          </w:p>
        </w:tc>
      </w:tr>
      <w:tr w:rsidR="0096267E" w:rsidRPr="0064404E" w:rsidTr="00D25A19">
        <w:trPr>
          <w:trHeight w:val="80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của Đảng Cộng sản, tổ chữ chính trị-xã hội, quản lý Nhà nước, an ninh quốc phòng, bảo đảm xã hội bắt buộc</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111,424,534</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1,013,083</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112,437,617</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Giáo dục và đào tạo</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161,226,491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7,376,094</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168,602,585</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Y tế và hoạt động trợ giúp xã hội</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92,372,394</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1,400,308</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93,772,702</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Nghệ thuật, vui chơi và giải trí</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49,186,513</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7,181,073</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56,367,586</w:t>
            </w:r>
          </w:p>
        </w:tc>
      </w:tr>
      <w:tr w:rsidR="0096267E" w:rsidRPr="0064404E" w:rsidTr="00D25A19">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rPr>
                <w:sz w:val="22"/>
                <w:szCs w:val="22"/>
              </w:rPr>
            </w:pPr>
            <w:r w:rsidRPr="0064404E">
              <w:rPr>
                <w:sz w:val="22"/>
                <w:szCs w:val="22"/>
              </w:rPr>
              <w:t>Hoạt động dịch vụ khác</w:t>
            </w:r>
          </w:p>
        </w:tc>
        <w:tc>
          <w:tcPr>
            <w:tcW w:w="1664"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6,514,151</w:t>
            </w:r>
          </w:p>
        </w:tc>
        <w:tc>
          <w:tcPr>
            <w:tcW w:w="1701"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347,460</w:t>
            </w:r>
          </w:p>
        </w:tc>
        <w:tc>
          <w:tcPr>
            <w:tcW w:w="1559" w:type="dxa"/>
            <w:tcBorders>
              <w:top w:val="nil"/>
              <w:left w:val="nil"/>
              <w:bottom w:val="single" w:sz="4" w:space="0" w:color="auto"/>
              <w:right w:val="single" w:sz="4" w:space="0" w:color="auto"/>
            </w:tcBorders>
            <w:shd w:val="clear" w:color="auto" w:fill="auto"/>
            <w:noWrap/>
            <w:vAlign w:val="center"/>
            <w:hideMark/>
          </w:tcPr>
          <w:p w:rsidR="0096267E" w:rsidRPr="0064404E" w:rsidRDefault="0096267E" w:rsidP="00D25A19">
            <w:pPr>
              <w:jc w:val="right"/>
              <w:rPr>
                <w:sz w:val="22"/>
                <w:szCs w:val="22"/>
              </w:rPr>
            </w:pPr>
            <w:r w:rsidRPr="0064404E">
              <w:rPr>
                <w:sz w:val="22"/>
                <w:szCs w:val="22"/>
              </w:rPr>
              <w:t>6,861,611</w:t>
            </w:r>
          </w:p>
        </w:tc>
      </w:tr>
      <w:tr w:rsidR="0096267E" w:rsidRPr="0064404E" w:rsidTr="00D25A19">
        <w:trPr>
          <w:trHeight w:val="910"/>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6267E" w:rsidRPr="0064404E" w:rsidRDefault="0096267E" w:rsidP="00D25A19">
            <w:pPr>
              <w:jc w:val="center"/>
              <w:rPr>
                <w:sz w:val="22"/>
                <w:szCs w:val="22"/>
              </w:rPr>
            </w:pPr>
            <w:r w:rsidRPr="0064404E">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rPr>
                <w:sz w:val="22"/>
                <w:szCs w:val="22"/>
              </w:rPr>
            </w:pPr>
            <w:r w:rsidRPr="0064404E">
              <w:rPr>
                <w:sz w:val="22"/>
                <w:szCs w:val="22"/>
              </w:rPr>
              <w:t>Hoạt động làm thuê và các công việc trong các hộ gia đình, sản xuất sản phẩm vật chất và dịch vụ tự tiêu dùng của hộ gia đình</w:t>
            </w:r>
          </w:p>
        </w:tc>
        <w:tc>
          <w:tcPr>
            <w:tcW w:w="1664"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26,642,640</w:t>
            </w:r>
          </w:p>
        </w:tc>
        <w:tc>
          <w:tcPr>
            <w:tcW w:w="1701"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3,129,590</w:t>
            </w:r>
          </w:p>
        </w:tc>
        <w:tc>
          <w:tcPr>
            <w:tcW w:w="1559" w:type="dxa"/>
            <w:tcBorders>
              <w:top w:val="nil"/>
              <w:left w:val="nil"/>
              <w:bottom w:val="single" w:sz="4" w:space="0" w:color="auto"/>
              <w:right w:val="single" w:sz="4" w:space="0" w:color="auto"/>
            </w:tcBorders>
            <w:shd w:val="clear" w:color="auto" w:fill="auto"/>
            <w:vAlign w:val="center"/>
            <w:hideMark/>
          </w:tcPr>
          <w:p w:rsidR="0096267E" w:rsidRPr="0064404E" w:rsidRDefault="0096267E" w:rsidP="00D25A19">
            <w:pPr>
              <w:jc w:val="right"/>
              <w:rPr>
                <w:sz w:val="22"/>
                <w:szCs w:val="22"/>
              </w:rPr>
            </w:pPr>
            <w:r w:rsidRPr="0064404E">
              <w:rPr>
                <w:sz w:val="22"/>
                <w:szCs w:val="22"/>
              </w:rPr>
              <w:t>29,772,230</w:t>
            </w:r>
          </w:p>
        </w:tc>
      </w:tr>
    </w:tbl>
    <w:p w:rsidR="0096267E" w:rsidRPr="00353D0D" w:rsidRDefault="0096267E" w:rsidP="00353D0D">
      <w:pPr>
        <w:spacing w:before="120" w:after="120" w:line="312" w:lineRule="auto"/>
        <w:jc w:val="right"/>
        <w:rPr>
          <w:sz w:val="20"/>
          <w:szCs w:val="20"/>
        </w:rPr>
      </w:pPr>
      <w:r w:rsidRPr="00353D0D">
        <w:rPr>
          <w:i/>
          <w:iCs/>
          <w:sz w:val="20"/>
          <w:szCs w:val="20"/>
        </w:rPr>
        <w:t>Nguồn: Tính toán của nhóm tác giả từ bảng I/O của Việt Nam năm 2015</w:t>
      </w:r>
    </w:p>
    <w:p w:rsidR="00353D0D" w:rsidRPr="00D25A19" w:rsidRDefault="0096267E" w:rsidP="00D25A19">
      <w:pPr>
        <w:pStyle w:val="NormalWeb"/>
        <w:spacing w:before="240" w:beforeAutospacing="0" w:after="120" w:afterAutospacing="0"/>
        <w:jc w:val="both"/>
        <w:rPr>
          <w:b/>
          <w:sz w:val="22"/>
          <w:szCs w:val="22"/>
        </w:rPr>
      </w:pPr>
      <w:r w:rsidRPr="007C02A9">
        <w:rPr>
          <w:b/>
          <w:sz w:val="22"/>
          <w:szCs w:val="22"/>
        </w:rPr>
        <w:t>3.2. Phương pháp tính toán</w:t>
      </w:r>
    </w:p>
    <w:p w:rsidR="009D29B8" w:rsidRDefault="009D29B8" w:rsidP="00D25A19">
      <w:pPr>
        <w:pStyle w:val="NormalWeb"/>
        <w:spacing w:before="120" w:beforeAutospacing="0" w:after="120" w:afterAutospacing="0"/>
        <w:jc w:val="both"/>
        <w:rPr>
          <w:sz w:val="22"/>
          <w:szCs w:val="22"/>
        </w:rPr>
        <w:sectPr w:rsidR="009D29B8" w:rsidSect="00D25A19">
          <w:type w:val="continuous"/>
          <w:pgSz w:w="11907" w:h="16840" w:code="9"/>
          <w:pgMar w:top="1134" w:right="1134" w:bottom="1134" w:left="1418" w:header="720" w:footer="720" w:gutter="0"/>
          <w:cols w:space="720"/>
          <w:docGrid w:linePitch="360"/>
        </w:sectPr>
      </w:pP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lastRenderedPageBreak/>
        <w:t>Xét mô hình I/O phi cạnh tranh, phương trình Leontief được xác định như sau:</w:t>
      </w:r>
    </w:p>
    <w:p w:rsidR="00D25A19" w:rsidRPr="007C02A9" w:rsidRDefault="00D25A19" w:rsidP="00D25A19">
      <w:pPr>
        <w:pStyle w:val="NormalWeb"/>
        <w:spacing w:before="120" w:beforeAutospacing="0" w:after="120" w:afterAutospacing="0"/>
        <w:jc w:val="center"/>
        <w:rPr>
          <w:sz w:val="22"/>
          <w:szCs w:val="22"/>
        </w:rPr>
      </w:pPr>
      <w:r w:rsidRPr="007C02A9">
        <w:rPr>
          <w:sz w:val="22"/>
          <w:szCs w:val="22"/>
        </w:rPr>
        <w:t>X = (I - A)</w:t>
      </w:r>
      <w:r w:rsidRPr="007C02A9">
        <w:rPr>
          <w:sz w:val="22"/>
          <w:szCs w:val="22"/>
          <w:vertAlign w:val="superscript"/>
        </w:rPr>
        <w:t>-1</w:t>
      </w:r>
      <w:r w:rsidRPr="007C02A9">
        <w:rPr>
          <w:sz w:val="22"/>
          <w:szCs w:val="22"/>
        </w:rPr>
        <w:t>Y</w:t>
      </w:r>
    </w:p>
    <w:p w:rsidR="00D25A19" w:rsidRPr="007C02A9" w:rsidRDefault="00D25A19" w:rsidP="00D25A19">
      <w:pPr>
        <w:pStyle w:val="NormalWeb"/>
        <w:spacing w:before="120" w:beforeAutospacing="0" w:after="120" w:afterAutospacing="0"/>
        <w:jc w:val="both"/>
        <w:rPr>
          <w:sz w:val="22"/>
          <w:szCs w:val="22"/>
        </w:rPr>
      </w:pPr>
      <w:r w:rsidRPr="007C02A9">
        <w:rPr>
          <w:sz w:val="22"/>
          <w:szCs w:val="22"/>
        </w:rPr>
        <w:t>trong đó A được gọi là ma trận hệ số chi phí trực tiếp, hay ma trận hệ số đầu vào, I là ma trận đơn vị cùng cấp với ma trận A, (I - A)</w:t>
      </w:r>
      <w:r w:rsidRPr="007C02A9">
        <w:rPr>
          <w:sz w:val="22"/>
          <w:szCs w:val="22"/>
          <w:vertAlign w:val="superscript"/>
        </w:rPr>
        <w:t>-1</w:t>
      </w:r>
      <w:r w:rsidRPr="007C02A9">
        <w:rPr>
          <w:sz w:val="22"/>
          <w:szCs w:val="22"/>
        </w:rPr>
        <w:t xml:space="preserve"> được gọi là ma trận Leontief nghịch đảo và Y là ma trận tổng cầu bao gồm tiêu dùng cuối cùng, tích lũy tài sản và xuất khẩu hàng hóa, dịch vụ.</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Đặt B = (b</w:t>
      </w:r>
      <w:r w:rsidRPr="007C02A9">
        <w:rPr>
          <w:sz w:val="22"/>
          <w:szCs w:val="22"/>
          <w:vertAlign w:val="subscript"/>
        </w:rPr>
        <w:t>ij</w:t>
      </w:r>
      <w:r w:rsidRPr="007C02A9">
        <w:rPr>
          <w:sz w:val="22"/>
          <w:szCs w:val="22"/>
        </w:rPr>
        <w:t>) = (I - A)</w:t>
      </w:r>
      <w:r w:rsidRPr="007C02A9">
        <w:rPr>
          <w:sz w:val="22"/>
          <w:szCs w:val="22"/>
          <w:vertAlign w:val="superscript"/>
        </w:rPr>
        <w:t>-1</w:t>
      </w:r>
      <w:r w:rsidRPr="007C02A9">
        <w:rPr>
          <w:sz w:val="22"/>
          <w:szCs w:val="22"/>
        </w:rPr>
        <w:t xml:space="preserve">. Liên kết ngược, ký hiệu bởi BL, là công cụ được sử dụng để đánh giá mức độ quan trọng của một ngành trong nền kinh tế dựa trên vai trò của nó là bên sử dụng các hàng hóa và dịch vụ từ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j</w:t>
      </w:r>
      <w:r w:rsidRPr="007C02A9">
        <w:rPr>
          <w:sz w:val="22"/>
          <w:szCs w:val="22"/>
        </w:rPr>
        <w:t xml:space="preserve"> = b</w:t>
      </w:r>
      <w:r w:rsidRPr="007C02A9">
        <w:rPr>
          <w:sz w:val="22"/>
          <w:szCs w:val="22"/>
          <w:vertAlign w:val="subscript"/>
        </w:rPr>
        <w:t>1j</w:t>
      </w:r>
      <w:r w:rsidRPr="007C02A9">
        <w:rPr>
          <w:sz w:val="22"/>
          <w:szCs w:val="22"/>
        </w:rPr>
        <w:t xml:space="preserve"> + b</w:t>
      </w:r>
      <w:r w:rsidRPr="007C02A9">
        <w:rPr>
          <w:sz w:val="22"/>
          <w:szCs w:val="22"/>
          <w:vertAlign w:val="subscript"/>
        </w:rPr>
        <w:t>2j</w:t>
      </w:r>
      <w:r w:rsidRPr="007C02A9">
        <w:rPr>
          <w:sz w:val="22"/>
          <w:szCs w:val="22"/>
        </w:rPr>
        <w:t xml:space="preserve"> + … + b</w:t>
      </w:r>
      <w:r w:rsidRPr="007C02A9">
        <w:rPr>
          <w:sz w:val="22"/>
          <w:szCs w:val="22"/>
          <w:vertAlign w:val="subscript"/>
        </w:rPr>
        <w:t>nj</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Liên kết xuôi, ký hiệu bởi FL, là công cụ được sử dụng để đánh giá mức độ quan trọng của một ngành trong nền kinh tế dựa trên vai trò của nó là bên cung cấp các hàng hóa và dịch vụ cho các ngành khác và được xác định bởi công thức: </w:t>
      </w:r>
    </w:p>
    <w:p w:rsidR="00D25A19" w:rsidRPr="007C02A9" w:rsidRDefault="00D25A19" w:rsidP="00D25A19">
      <w:pPr>
        <w:pStyle w:val="NormalWeb"/>
        <w:spacing w:before="120" w:beforeAutospacing="0" w:after="120" w:afterAutospacing="0"/>
        <w:jc w:val="center"/>
        <w:rPr>
          <w:sz w:val="22"/>
          <w:szCs w:val="22"/>
          <w:vertAlign w:val="subscript"/>
        </w:rPr>
      </w:pPr>
      <w:r w:rsidRPr="007C02A9">
        <w:rPr>
          <w:sz w:val="22"/>
          <w:szCs w:val="22"/>
        </w:rPr>
        <w:t>B</w:t>
      </w:r>
      <w:r w:rsidRPr="007C02A9">
        <w:rPr>
          <w:sz w:val="22"/>
          <w:szCs w:val="22"/>
          <w:vertAlign w:val="subscript"/>
        </w:rPr>
        <w:t>i</w:t>
      </w:r>
      <w:r w:rsidRPr="007C02A9">
        <w:rPr>
          <w:sz w:val="22"/>
          <w:szCs w:val="22"/>
        </w:rPr>
        <w:t xml:space="preserve"> = b</w:t>
      </w:r>
      <w:r w:rsidRPr="007C02A9">
        <w:rPr>
          <w:sz w:val="22"/>
          <w:szCs w:val="22"/>
          <w:vertAlign w:val="subscript"/>
        </w:rPr>
        <w:t>i1</w:t>
      </w:r>
      <w:r w:rsidRPr="007C02A9">
        <w:rPr>
          <w:sz w:val="22"/>
          <w:szCs w:val="22"/>
        </w:rPr>
        <w:t xml:space="preserve"> + b</w:t>
      </w:r>
      <w:r w:rsidRPr="007C02A9">
        <w:rPr>
          <w:sz w:val="22"/>
          <w:szCs w:val="22"/>
          <w:vertAlign w:val="subscript"/>
        </w:rPr>
        <w:t>i2</w:t>
      </w:r>
      <w:r w:rsidRPr="007C02A9">
        <w:rPr>
          <w:sz w:val="22"/>
          <w:szCs w:val="22"/>
        </w:rPr>
        <w:t xml:space="preserve"> + … + b</w:t>
      </w:r>
      <w:r w:rsidRPr="007C02A9">
        <w:rPr>
          <w:sz w:val="22"/>
          <w:szCs w:val="22"/>
          <w:vertAlign w:val="subscript"/>
        </w:rPr>
        <w:t>in</w:t>
      </w:r>
    </w:p>
    <w:p w:rsidR="00D25A19" w:rsidRPr="007C02A9" w:rsidRDefault="00D25A19" w:rsidP="001D04B2">
      <w:pPr>
        <w:pStyle w:val="NormalWeb"/>
        <w:spacing w:before="120" w:beforeAutospacing="0" w:after="120" w:afterAutospacing="0"/>
        <w:ind w:firstLine="567"/>
        <w:jc w:val="both"/>
        <w:rPr>
          <w:sz w:val="22"/>
          <w:szCs w:val="22"/>
        </w:rPr>
      </w:pPr>
      <w:r w:rsidRPr="007C02A9">
        <w:rPr>
          <w:sz w:val="22"/>
          <w:szCs w:val="22"/>
        </w:rPr>
        <w:t xml:space="preserve"> Hệ số lan tỏa Pj và độ nhạy Si được xác định bởi công thức:</w:t>
      </w:r>
    </w:p>
    <w:p w:rsidR="00D25A19" w:rsidRPr="007C02A9" w:rsidRDefault="00D25A19" w:rsidP="00D25A19">
      <w:pPr>
        <w:pStyle w:val="NormalWeb"/>
        <w:tabs>
          <w:tab w:val="right" w:pos="2694"/>
        </w:tabs>
        <w:spacing w:before="120" w:beforeAutospacing="0" w:after="120" w:afterAutospacing="0"/>
        <w:jc w:val="center"/>
        <w:rPr>
          <w:noProof/>
          <w:sz w:val="22"/>
          <w:szCs w:val="22"/>
          <w:vertAlign w:val="subscript"/>
        </w:rPr>
      </w:pPr>
      <w:r w:rsidRPr="007C02A9">
        <w:rPr>
          <w:sz w:val="22"/>
          <w:szCs w:val="22"/>
        </w:rPr>
        <w:t>P</w:t>
      </w:r>
      <w:r w:rsidRPr="007C02A9">
        <w:rPr>
          <w:sz w:val="22"/>
          <w:szCs w:val="22"/>
          <w:vertAlign w:val="subscript"/>
        </w:rPr>
        <w:t>j=</w:t>
      </w:r>
      <w:r w:rsidRPr="007C02A9">
        <w:rPr>
          <w:noProof/>
          <w:sz w:val="22"/>
          <w:szCs w:val="22"/>
        </w:rPr>
        <w:t xml:space="preserve"> </w:t>
      </w:r>
      <m:oMath>
        <m:f>
          <m:fPr>
            <m:ctrlPr>
              <w:rPr>
                <w:rFonts w:ascii="Cambria Math" w:hAnsi="Cambria Math"/>
                <w:i/>
                <w:noProof/>
                <w:sz w:val="22"/>
                <w:szCs w:val="22"/>
              </w:rPr>
            </m:ctrlPr>
          </m:fPr>
          <m:num>
            <m:r>
              <w:rPr>
                <w:rFonts w:ascii="Cambria Math" w:hAnsi="Cambria Math"/>
                <w:i/>
                <w:noProof/>
                <w:sz w:val="22"/>
                <w:szCs w:val="22"/>
              </w:rPr>
              <w:drawing>
                <wp:inline distT="0" distB="0" distL="0" distR="0" wp14:anchorId="33C92FC7" wp14:editId="483ABF35">
                  <wp:extent cx="301389" cy="147995"/>
                  <wp:effectExtent l="0" t="0" r="3810" b="4445"/>
                  <wp:docPr id="1" name="Picture 1" descr="C:\Users\Admin\Downloads\screenshot-17267549474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ownloads\screenshot-17267549474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381" cy="157321"/>
                          </a:xfrm>
                          <a:prstGeom prst="rect">
                            <a:avLst/>
                          </a:prstGeom>
                          <a:noFill/>
                          <a:ln>
                            <a:noFill/>
                          </a:ln>
                        </pic:spPr>
                      </pic:pic>
                    </a:graphicData>
                  </a:graphic>
                </wp:inline>
              </w:drawing>
            </m:r>
          </m:num>
          <m:den>
            <m:r>
              <m:rPr>
                <m:sty m:val="p"/>
              </m:rPr>
              <w:rPr>
                <w:rFonts w:ascii="Cambria Math" w:hAnsi="Cambria Math"/>
                <w:noProof/>
                <w:sz w:val="22"/>
                <w:szCs w:val="22"/>
                <w:vertAlign w:val="subscript"/>
              </w:rPr>
              <w:drawing>
                <wp:inline distT="0" distB="0" distL="0" distR="0" wp14:anchorId="10C62CE6" wp14:editId="1DB52276">
                  <wp:extent cx="438268" cy="309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1726754116013.png"/>
                          <pic:cNvPicPr/>
                        </pic:nvPicPr>
                        <pic:blipFill rotWithShape="1">
                          <a:blip r:embed="rId12" cstate="print">
                            <a:extLst>
                              <a:ext uri="{28A0092B-C50C-407E-A947-70E740481C1C}">
                                <a14:useLocalDpi xmlns:a14="http://schemas.microsoft.com/office/drawing/2010/main" val="0"/>
                              </a:ext>
                            </a:extLst>
                          </a:blip>
                          <a:srcRect l="-11" t="8854" r="12016" b="1973"/>
                          <a:stretch/>
                        </pic:blipFill>
                        <pic:spPr bwMode="auto">
                          <a:xfrm>
                            <a:off x="0" y="0"/>
                            <a:ext cx="444015" cy="313300"/>
                          </a:xfrm>
                          <a:prstGeom prst="rect">
                            <a:avLst/>
                          </a:prstGeom>
                          <a:ln>
                            <a:noFill/>
                          </a:ln>
                          <a:extLst>
                            <a:ext uri="{53640926-AAD7-44D8-BBD7-CCE9431645EC}">
                              <a14:shadowObscured xmlns:a14="http://schemas.microsoft.com/office/drawing/2010/main"/>
                            </a:ext>
                          </a:extLst>
                        </pic:spPr>
                      </pic:pic>
                    </a:graphicData>
                  </a:graphic>
                </wp:inline>
              </w:drawing>
            </m:r>
          </m:den>
        </m:f>
      </m:oMath>
      <w:r w:rsidRPr="007C02A9">
        <w:rPr>
          <w:noProof/>
          <w:sz w:val="22"/>
          <w:szCs w:val="22"/>
        </w:rPr>
        <w:t xml:space="preserve">      ;</w:t>
      </w:r>
      <w:r w:rsidRPr="007C02A9">
        <w:rPr>
          <w:noProof/>
          <w:sz w:val="22"/>
          <w:szCs w:val="22"/>
        </w:rPr>
        <w:tab/>
        <w:t>S</w:t>
      </w:r>
      <w:r w:rsidRPr="007C02A9">
        <w:rPr>
          <w:noProof/>
          <w:sz w:val="22"/>
          <w:szCs w:val="22"/>
          <w:vertAlign w:val="subscript"/>
        </w:rPr>
        <w:t>i=</w:t>
      </w:r>
      <m:oMath>
        <m:f>
          <m:fPr>
            <m:ctrlPr>
              <w:rPr>
                <w:rFonts w:ascii="Cambria Math" w:hAnsi="Cambria Math"/>
                <w:i/>
                <w:noProof/>
                <w:sz w:val="22"/>
                <w:szCs w:val="22"/>
                <w:vertAlign w:val="subscript"/>
              </w:rPr>
            </m:ctrlPr>
          </m:fPr>
          <m:num>
            <m:r>
              <w:rPr>
                <w:rFonts w:ascii="Cambria Math" w:hAnsi="Cambria Math"/>
                <w:i/>
                <w:noProof/>
                <w:sz w:val="22"/>
                <w:szCs w:val="22"/>
                <w:vertAlign w:val="subscript"/>
              </w:rPr>
              <w:drawing>
                <wp:inline distT="0" distB="0" distL="0" distR="0" wp14:anchorId="48F7D777" wp14:editId="6711DED3">
                  <wp:extent cx="359417" cy="153840"/>
                  <wp:effectExtent l="0" t="0" r="2540" b="0"/>
                  <wp:docPr id="3" name="Picture 3" descr="C:\Users\Admin\Downloads\screenshot-1726755193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ownloads\screenshot-17267551931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625" cy="155641"/>
                          </a:xfrm>
                          <a:prstGeom prst="rect">
                            <a:avLst/>
                          </a:prstGeom>
                          <a:noFill/>
                          <a:ln>
                            <a:noFill/>
                          </a:ln>
                        </pic:spPr>
                      </pic:pic>
                    </a:graphicData>
                  </a:graphic>
                </wp:inline>
              </w:drawing>
            </m:r>
          </m:num>
          <m:den>
            <m:r>
              <w:rPr>
                <w:rFonts w:ascii="Cambria Math" w:hAnsi="Cambria Math"/>
                <w:i/>
                <w:noProof/>
                <w:sz w:val="22"/>
                <w:szCs w:val="22"/>
                <w:vertAlign w:val="subscript"/>
              </w:rPr>
              <w:drawing>
                <wp:inline distT="0" distB="0" distL="0" distR="0" wp14:anchorId="339E2264" wp14:editId="549A12B8">
                  <wp:extent cx="465128" cy="323497"/>
                  <wp:effectExtent l="0" t="0" r="0" b="635"/>
                  <wp:docPr id="4" name="Picture 4" descr="C:\Users\Admin\Downloads\screenshot-1726754116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ownloads\screenshot-172675411601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2148" cy="328379"/>
                          </a:xfrm>
                          <a:prstGeom prst="rect">
                            <a:avLst/>
                          </a:prstGeom>
                          <a:noFill/>
                          <a:ln>
                            <a:noFill/>
                          </a:ln>
                        </pic:spPr>
                      </pic:pic>
                    </a:graphicData>
                  </a:graphic>
                </wp:inline>
              </w:drawing>
            </m:r>
          </m:den>
        </m:f>
      </m:oMath>
    </w:p>
    <w:p w:rsidR="00D25A19" w:rsidRPr="007C02A9" w:rsidRDefault="00D25A19" w:rsidP="001D04B2">
      <w:pPr>
        <w:pStyle w:val="NormalWeb"/>
        <w:spacing w:before="120" w:beforeAutospacing="0" w:after="120" w:afterAutospacing="0"/>
        <w:ind w:firstLine="567"/>
        <w:jc w:val="both"/>
        <w:rPr>
          <w:b/>
          <w:sz w:val="22"/>
          <w:szCs w:val="22"/>
        </w:rPr>
      </w:pPr>
      <w:r w:rsidRPr="007C02A9">
        <w:rPr>
          <w:sz w:val="22"/>
          <w:szCs w:val="22"/>
        </w:rPr>
        <w:t xml:space="preserve">Hệ số lan tỏa lớn hơn 1 và càng cao có nghĩa là liên kết ngược của ngành đó càng lớn, khi ngành đó phát triển sẽ kéo theo sự tăng trưởng của các ngành khác. Hệ số độ nhạy lớn hơn 1 và càng cao có nghĩa là liên kết xuôi của ngành đó </w:t>
      </w:r>
      <w:r w:rsidRPr="007C02A9">
        <w:rPr>
          <w:sz w:val="22"/>
          <w:szCs w:val="22"/>
        </w:rPr>
        <w:lastRenderedPageBreak/>
        <w:t>càng lớn, càng thể hiện sự cần thiết của ngành đó đối với các ngành còn lại.</w:t>
      </w:r>
    </w:p>
    <w:p w:rsidR="00D25A19" w:rsidRDefault="00D25A19" w:rsidP="00D25A19">
      <w:pPr>
        <w:pStyle w:val="NormalWeb"/>
        <w:spacing w:before="120" w:beforeAutospacing="0" w:after="120" w:afterAutospacing="0"/>
        <w:jc w:val="both"/>
        <w:rPr>
          <w:b/>
          <w:sz w:val="22"/>
          <w:szCs w:val="22"/>
        </w:rPr>
      </w:pPr>
      <w:r w:rsidRPr="007C02A9">
        <w:rPr>
          <w:b/>
          <w:sz w:val="22"/>
          <w:szCs w:val="22"/>
        </w:rPr>
        <w:t>4. Kết quả và thảo luận</w:t>
      </w:r>
    </w:p>
    <w:p w:rsidR="00D25A19" w:rsidRPr="00311093" w:rsidRDefault="00D25A19" w:rsidP="001D04B2">
      <w:pPr>
        <w:spacing w:line="312" w:lineRule="auto"/>
        <w:jc w:val="both"/>
        <w:rPr>
          <w:sz w:val="22"/>
          <w:szCs w:val="22"/>
          <w:lang w:val="vi-VN"/>
        </w:rPr>
      </w:pPr>
      <w:r w:rsidRPr="00311093">
        <w:rPr>
          <w:sz w:val="22"/>
          <w:szCs w:val="22"/>
          <w:lang w:val="vi-VN"/>
        </w:rPr>
        <w:t xml:space="preserve">Với dữ liệu nghiên cứu của 20 ngành kinh tế </w:t>
      </w:r>
      <w:r>
        <w:rPr>
          <w:sz w:val="22"/>
          <w:szCs w:val="22"/>
        </w:rPr>
        <w:t xml:space="preserve">cấp 1 </w:t>
      </w:r>
      <w:r w:rsidRPr="00311093">
        <w:rPr>
          <w:sz w:val="22"/>
          <w:szCs w:val="22"/>
          <w:lang w:val="vi-VN"/>
        </w:rPr>
        <w:t>từ bảng cân đối liên ngành của Việt Nam năm 201</w:t>
      </w:r>
      <w:r>
        <w:rPr>
          <w:sz w:val="22"/>
          <w:szCs w:val="22"/>
        </w:rPr>
        <w:t>5</w:t>
      </w:r>
      <w:r w:rsidRPr="00311093">
        <w:rPr>
          <w:sz w:val="22"/>
          <w:szCs w:val="22"/>
          <w:lang w:val="vi-VN"/>
        </w:rPr>
        <w:t>, ma trận chi phí C = (c</w:t>
      </w:r>
      <w:r w:rsidRPr="00311093">
        <w:rPr>
          <w:sz w:val="22"/>
          <w:szCs w:val="22"/>
          <w:vertAlign w:val="subscript"/>
          <w:lang w:val="vi-VN"/>
        </w:rPr>
        <w:t>ij</w:t>
      </w:r>
      <w:r w:rsidRPr="00311093">
        <w:rPr>
          <w:sz w:val="22"/>
          <w:szCs w:val="22"/>
          <w:lang w:val="vi-VN"/>
        </w:rPr>
        <w:t>)</w:t>
      </w:r>
      <w:r w:rsidRPr="00311093">
        <w:rPr>
          <w:sz w:val="22"/>
          <w:szCs w:val="22"/>
          <w:vertAlign w:val="subscript"/>
          <w:lang w:val="vi-VN"/>
        </w:rPr>
        <w:t>20 x 20</w:t>
      </w:r>
      <w:r w:rsidRPr="00311093">
        <w:rPr>
          <w:sz w:val="22"/>
          <w:szCs w:val="22"/>
          <w:lang w:val="vi-VN"/>
        </w:rPr>
        <w:t xml:space="preserve"> là ma trận gầm 20 dòng và 20 cột ứng với các giá trị ở Bảng 2 đến Bảng 4 và ma trận tổng cầu Y được xác định như sau:</w:t>
      </w:r>
    </w:p>
    <w:p w:rsidR="00D25A19" w:rsidRDefault="00D25A19" w:rsidP="00353D0D">
      <w:pPr>
        <w:pStyle w:val="NormalWeb"/>
        <w:spacing w:before="120" w:beforeAutospacing="0" w:after="120" w:afterAutospacing="0"/>
        <w:jc w:val="both"/>
        <w:rPr>
          <w:sz w:val="22"/>
          <w:szCs w:val="22"/>
        </w:rPr>
        <w:sectPr w:rsidR="00D25A19" w:rsidSect="009D29B8">
          <w:type w:val="continuous"/>
          <w:pgSz w:w="11907" w:h="16840" w:code="9"/>
          <w:pgMar w:top="1134" w:right="1134" w:bottom="1134" w:left="1418" w:header="720" w:footer="720" w:gutter="0"/>
          <w:cols w:num="2" w:space="720"/>
          <w:docGrid w:linePitch="360"/>
        </w:sectPr>
      </w:pPr>
    </w:p>
    <w:p w:rsidR="00353D0D" w:rsidRDefault="009B45BF" w:rsidP="00353D0D">
      <w:pPr>
        <w:spacing w:line="312" w:lineRule="auto"/>
        <w:jc w:val="center"/>
      </w:pPr>
      <w:r w:rsidRPr="00636BAD">
        <w:rPr>
          <w:position w:val="-98"/>
        </w:rPr>
        <w:object w:dxaOrig="2120"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5pt;height:306.25pt" o:ole="">
            <v:imagedata r:id="rId15" o:title=""/>
          </v:shape>
          <o:OLEObject Type="Embed" ProgID="Equation.DSMT4" ShapeID="_x0000_i1025" DrawAspect="Content" ObjectID="_1802802644" r:id="rId16"/>
        </w:object>
      </w:r>
    </w:p>
    <w:p w:rsidR="006B78E6" w:rsidRDefault="006B78E6" w:rsidP="009B45BF">
      <w:pPr>
        <w:spacing w:before="120" w:after="120" w:line="312" w:lineRule="auto"/>
        <w:jc w:val="both"/>
        <w:rPr>
          <w:sz w:val="22"/>
          <w:szCs w:val="22"/>
        </w:rPr>
        <w:sectPr w:rsidR="006B78E6" w:rsidSect="00D25A19">
          <w:pgSz w:w="11907" w:h="16840" w:code="9"/>
          <w:pgMar w:top="1134" w:right="1134" w:bottom="1134" w:left="1418" w:header="720" w:footer="720" w:gutter="0"/>
          <w:cols w:space="720"/>
          <w:docGrid w:linePitch="360"/>
        </w:sectPr>
      </w:pPr>
    </w:p>
    <w:p w:rsidR="009B45BF" w:rsidRDefault="009B45BF" w:rsidP="001D04B2">
      <w:pPr>
        <w:spacing w:before="120" w:after="120" w:line="312" w:lineRule="auto"/>
        <w:ind w:firstLine="567"/>
        <w:jc w:val="both"/>
        <w:rPr>
          <w:sz w:val="22"/>
          <w:szCs w:val="22"/>
        </w:rPr>
      </w:pPr>
      <w:r w:rsidRPr="00311093">
        <w:rPr>
          <w:sz w:val="22"/>
          <w:szCs w:val="22"/>
        </w:rPr>
        <w:lastRenderedPageBreak/>
        <w:t xml:space="preserve">Từ đó thiết lập ma trận hệ số chi phí trực tiếp, ký hiệu bởi A = </w:t>
      </w:r>
      <w:r w:rsidRPr="00311093">
        <w:rPr>
          <w:position w:val="-14"/>
          <w:sz w:val="22"/>
          <w:szCs w:val="22"/>
        </w:rPr>
        <w:object w:dxaOrig="859" w:dyaOrig="380">
          <v:shape id="_x0000_i1026" type="#_x0000_t75" style="width:43pt;height:19.15pt" o:ole="">
            <v:imagedata r:id="rId17" o:title=""/>
          </v:shape>
          <o:OLEObject Type="Embed" ProgID="Equation.DSMT4" ShapeID="_x0000_i1026" DrawAspect="Content" ObjectID="_1802802645" r:id="rId18"/>
        </w:object>
      </w:r>
      <w:r w:rsidRPr="00311093">
        <w:rPr>
          <w:sz w:val="22"/>
          <w:szCs w:val="22"/>
        </w:rPr>
        <w:t>, trong đó a</w:t>
      </w:r>
      <w:r w:rsidRPr="00311093">
        <w:rPr>
          <w:sz w:val="22"/>
          <w:szCs w:val="22"/>
          <w:vertAlign w:val="subscript"/>
        </w:rPr>
        <w:t>ij</w:t>
      </w:r>
      <w:r w:rsidRPr="00311093">
        <w:rPr>
          <w:sz w:val="22"/>
          <w:szCs w:val="22"/>
        </w:rPr>
        <w:t xml:space="preserve"> </w:t>
      </w:r>
      <w:r w:rsidRPr="00311093">
        <w:rPr>
          <w:sz w:val="22"/>
          <w:szCs w:val="22"/>
          <w:lang w:val="vi-VN"/>
        </w:rPr>
        <w:t xml:space="preserve">được </w:t>
      </w:r>
      <w:r w:rsidRPr="00311093">
        <w:rPr>
          <w:sz w:val="22"/>
          <w:szCs w:val="22"/>
          <w:lang w:val="vi-VN"/>
        </w:rPr>
        <w:lastRenderedPageBreak/>
        <w:t>tính bằng cách chia từng phần tử của ma trận C theo cột cho y</w:t>
      </w:r>
      <w:r w:rsidRPr="00311093">
        <w:rPr>
          <w:sz w:val="22"/>
          <w:szCs w:val="22"/>
          <w:vertAlign w:val="subscript"/>
          <w:lang w:val="vi-VN"/>
        </w:rPr>
        <w:t>j</w:t>
      </w:r>
      <w:r w:rsidRPr="00311093">
        <w:rPr>
          <w:sz w:val="22"/>
          <w:szCs w:val="22"/>
          <w:lang w:val="vi-VN"/>
        </w:rPr>
        <w:t>, và được kết quả sau:</w:t>
      </w:r>
    </w:p>
    <w:p w:rsidR="006B78E6" w:rsidRDefault="006B78E6" w:rsidP="009B45BF">
      <w:pPr>
        <w:spacing w:line="312" w:lineRule="auto"/>
        <w:jc w:val="both"/>
        <w:rPr>
          <w:sz w:val="22"/>
          <w:szCs w:val="22"/>
        </w:rPr>
        <w:sectPr w:rsidR="006B78E6" w:rsidSect="006B78E6">
          <w:type w:val="continuous"/>
          <w:pgSz w:w="11907" w:h="16840" w:code="9"/>
          <w:pgMar w:top="1134" w:right="1134" w:bottom="1134" w:left="1418" w:header="720" w:footer="720" w:gutter="0"/>
          <w:cols w:num="2" w:space="720"/>
          <w:docGrid w:linePitch="360"/>
        </w:sectPr>
      </w:pPr>
    </w:p>
    <w:p w:rsidR="009B45BF" w:rsidRDefault="00CA6A9D" w:rsidP="009B45BF">
      <w:pPr>
        <w:spacing w:line="312" w:lineRule="auto"/>
        <w:jc w:val="both"/>
        <w:rPr>
          <w:sz w:val="22"/>
          <w:szCs w:val="22"/>
        </w:rPr>
      </w:pPr>
      <w:r>
        <w:rPr>
          <w:noProof/>
        </w:rPr>
        <w:object w:dxaOrig="1440" w:dyaOrig="1440">
          <v:shape id="_x0000_s1036" type="#_x0000_t75" style="position:absolute;left:0;text-align:left;margin-left:-13.7pt;margin-top:8.85pt;width:472.15pt;height:242.7pt;z-index:251663360;mso-position-horizontal-relative:text;mso-position-vertical-relative:text">
            <v:imagedata r:id="rId19" o:title=""/>
            <w10:wrap type="square" side="right"/>
          </v:shape>
          <o:OLEObject Type="Embed" ProgID="Equation.DSMT4" ShapeID="_x0000_s1036" DrawAspect="Content" ObjectID="_1802802647" r:id="rId20"/>
        </w:object>
      </w:r>
    </w:p>
    <w:p w:rsidR="006B78E6" w:rsidRDefault="006B78E6" w:rsidP="009B45BF">
      <w:pPr>
        <w:spacing w:line="312" w:lineRule="auto"/>
        <w:jc w:val="both"/>
        <w:rPr>
          <w:sz w:val="22"/>
          <w:szCs w:val="22"/>
          <w:lang w:val="vi-VN"/>
        </w:rPr>
        <w:sectPr w:rsidR="006B78E6" w:rsidSect="006B78E6">
          <w:type w:val="continuous"/>
          <w:pgSz w:w="11907" w:h="16840" w:code="9"/>
          <w:pgMar w:top="1134" w:right="1134" w:bottom="1134" w:left="1418" w:header="720" w:footer="720" w:gutter="0"/>
          <w:cols w:space="720"/>
          <w:docGrid w:linePitch="360"/>
        </w:sectPr>
      </w:pPr>
    </w:p>
    <w:p w:rsidR="009B45BF" w:rsidRPr="00311093" w:rsidRDefault="009B45BF" w:rsidP="001D04B2">
      <w:pPr>
        <w:spacing w:line="312" w:lineRule="auto"/>
        <w:ind w:firstLine="567"/>
        <w:jc w:val="both"/>
        <w:rPr>
          <w:sz w:val="22"/>
          <w:szCs w:val="22"/>
        </w:rPr>
      </w:pPr>
      <w:r w:rsidRPr="00311093">
        <w:rPr>
          <w:sz w:val="22"/>
          <w:szCs w:val="22"/>
          <w:lang w:val="vi-VN"/>
        </w:rPr>
        <w:lastRenderedPageBreak/>
        <w:t>Giá trị a</w:t>
      </w:r>
      <w:r w:rsidRPr="00311093">
        <w:rPr>
          <w:sz w:val="22"/>
          <w:szCs w:val="22"/>
          <w:vertAlign w:val="subscript"/>
          <w:lang w:val="vi-VN"/>
        </w:rPr>
        <w:t>ij</w:t>
      </w:r>
      <w:r w:rsidRPr="00311093">
        <w:rPr>
          <w:sz w:val="22"/>
          <w:szCs w:val="22"/>
          <w:lang w:val="vi-VN"/>
        </w:rPr>
        <w:t xml:space="preserve"> được gọi là tỷ phần chi phí mà ngành j phải trả cho việc sử dụng hàng hóa, dịch vụ của ngành i. Do đó, tổng tất cả các phần tử của cột j của ma trận A là tỷ phần chi phí mà ngành j phải trả cho việc sử dụng hàng hóa, dịch vụ từ các ngành khác kể cả ngành j.</w:t>
      </w:r>
      <w:r w:rsidRPr="00311093">
        <w:rPr>
          <w:sz w:val="22"/>
          <w:szCs w:val="22"/>
        </w:rPr>
        <w:t xml:space="preserve"> Kết quả trong ma trận </w:t>
      </w:r>
      <w:r w:rsidRPr="00311093">
        <w:rPr>
          <w:sz w:val="22"/>
          <w:szCs w:val="22"/>
        </w:rPr>
        <w:lastRenderedPageBreak/>
        <w:t xml:space="preserve">A cho thấy </w:t>
      </w:r>
      <w:r w:rsidRPr="00311093">
        <w:rPr>
          <w:sz w:val="22"/>
          <w:szCs w:val="22"/>
          <w:lang w:val="vi-VN"/>
        </w:rPr>
        <w:t xml:space="preserve">tỷ phần chi phí </w:t>
      </w:r>
      <w:r w:rsidRPr="00311093">
        <w:rPr>
          <w:sz w:val="22"/>
          <w:szCs w:val="22"/>
        </w:rPr>
        <w:t xml:space="preserve">ngành xây dựng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36</w:t>
      </w:r>
      <w:r w:rsidRPr="00311093">
        <w:rPr>
          <w:sz w:val="22"/>
          <w:szCs w:val="22"/>
        </w:rPr>
        <w:t xml:space="preserve"> = 0.52 </w:t>
      </w:r>
      <w:r w:rsidRPr="00311093">
        <w:rPr>
          <w:sz w:val="22"/>
          <w:szCs w:val="22"/>
          <w:lang w:val="vi-VN"/>
        </w:rPr>
        <w:t>là lớn nhất,</w:t>
      </w:r>
      <w:r w:rsidRPr="00311093">
        <w:rPr>
          <w:sz w:val="22"/>
          <w:szCs w:val="22"/>
        </w:rPr>
        <w:t xml:space="preserve"> có nghĩa là 52% chi phí đầu vào của ngành Xây dựng được sử dụng để mua hàng hóa, dịch vụ từ ngành Công nghiệp chế biến, chế tạo. Điều này phản ánh sự phụ thuộc rất lớn của </w:t>
      </w:r>
      <w:r w:rsidRPr="00311093">
        <w:rPr>
          <w:sz w:val="22"/>
          <w:szCs w:val="22"/>
        </w:rPr>
        <w:lastRenderedPageBreak/>
        <w:t>ngành xây dựng vào các sản phẩm công nghiệp chế biến, chế tạo, bao gồm: vật liệu xây dựng (xi măng, sắt thép, gạch, kính, nhựa, ...); máy móc, thiết bị xây dựng (máy trộn bê tông, cần cẩu, thang máy, ...); các sản phẩm chế biến khác như nội thất, ống nước, thiết bị điện. Mức độ phụ thuộc cao này cho thấy, bất kỳ biến động nào trong ngành Công nghiệp chế biến, chế tạo đều có thể ảnh hưởng lớn đến chi phí và hiệu suất của ngành Xây dựng. Điều này cũng nhấn mạnh rằng chính sách phát triển ngành Xây dựng cần gắn liền với sự ổn định và phát triển của ngành Công nghiệp chế biến, chế tạo. T</w:t>
      </w:r>
      <w:r w:rsidRPr="00311093">
        <w:rPr>
          <w:sz w:val="22"/>
          <w:szCs w:val="22"/>
          <w:lang w:val="vi-VN"/>
        </w:rPr>
        <w:t xml:space="preserve">iếp theo đó là tỷ phần chi phí </w:t>
      </w:r>
      <w:r w:rsidRPr="00311093">
        <w:rPr>
          <w:sz w:val="22"/>
          <w:szCs w:val="22"/>
        </w:rPr>
        <w:t xml:space="preserve">ngành y tế và trợ giúp xã hội </w:t>
      </w:r>
      <w:r w:rsidRPr="00311093">
        <w:rPr>
          <w:sz w:val="22"/>
          <w:szCs w:val="22"/>
          <w:lang w:val="vi-VN"/>
        </w:rPr>
        <w:t>chi trả cho ngành</w:t>
      </w:r>
      <w:r w:rsidRPr="00311093">
        <w:rPr>
          <w:sz w:val="22"/>
          <w:szCs w:val="22"/>
        </w:rPr>
        <w:t xml:space="preserve"> công nghiệp chế biến, chế tạo a</w:t>
      </w:r>
      <w:r w:rsidRPr="00311093">
        <w:rPr>
          <w:sz w:val="22"/>
          <w:szCs w:val="22"/>
          <w:vertAlign w:val="subscript"/>
        </w:rPr>
        <w:t>3,17</w:t>
      </w:r>
      <w:r w:rsidRPr="00311093">
        <w:rPr>
          <w:sz w:val="22"/>
          <w:szCs w:val="22"/>
        </w:rPr>
        <w:t xml:space="preserve"> = 0.45, có nghĩa là 45% chi phí đầu vào của ngành Y tế và trợ giúp xã hội được sử dụng để mua hàng hóa, dịch vụ từ ngành Công nghiệp chế biến, chế tạo. Điều này cho thấy ngành Y tế phụ thuộc lớn vào các sản phẩm của ngành công nghiệp chế biến, bao gồm: thiết bị y tế (máy X-quang, giường bệnh, thiết bị phẫu thuật, dụng cụ xét nghiệm); dược phẩm và hóa chất y tế (thuốc men, vật tư y tế, hóa chất xét nghiệm); vật tư tiêu hao (bông băng, găng tay, khẩu trang y tế). Sự phụ thuộc cao này nhấn mạnh tầm quan trọng của ngành Công nghiệp chế biến, chế tạo trong việc cung cấp thiết bị và vật tư thiết yếu cho ngành Y tế.</w:t>
      </w:r>
      <w:r>
        <w:rPr>
          <w:sz w:val="22"/>
          <w:szCs w:val="22"/>
        </w:rPr>
        <w:t xml:space="preserve"> </w:t>
      </w:r>
      <w:r w:rsidRPr="00311093">
        <w:rPr>
          <w:sz w:val="22"/>
          <w:szCs w:val="22"/>
        </w:rPr>
        <w:t xml:space="preserve">Do đó, nếu </w:t>
      </w:r>
      <w:r w:rsidRPr="00311093">
        <w:rPr>
          <w:sz w:val="22"/>
          <w:szCs w:val="22"/>
        </w:rPr>
        <w:lastRenderedPageBreak/>
        <w:t xml:space="preserve">muốn phát triển hệ thống y tế bền vững, cần có chính sách hỗ trợ ngành Công nghiệp chế biến, chế tạo, đặc biệt là trong sản xuất thiết bị y tế và dược phẩm trong nước để giảm phụ thuộc vào nhập khẩu. Đứng thứ ba là </w:t>
      </w:r>
      <w:r w:rsidRPr="00311093">
        <w:rPr>
          <w:sz w:val="22"/>
          <w:szCs w:val="22"/>
          <w:lang w:val="vi-VN"/>
        </w:rPr>
        <w:t xml:space="preserve">tỷ phần chi phí </w:t>
      </w:r>
      <w:r w:rsidRPr="00311093">
        <w:rPr>
          <w:sz w:val="22"/>
          <w:szCs w:val="22"/>
        </w:rPr>
        <w:t xml:space="preserve">ngành vận tải kho bãi </w:t>
      </w:r>
      <w:r w:rsidRPr="00311093">
        <w:rPr>
          <w:sz w:val="22"/>
          <w:szCs w:val="22"/>
          <w:lang w:val="vi-VN"/>
        </w:rPr>
        <w:t>chi trả cho ngành</w:t>
      </w:r>
      <w:r w:rsidRPr="00311093">
        <w:rPr>
          <w:sz w:val="22"/>
          <w:szCs w:val="22"/>
        </w:rPr>
        <w:t xml:space="preserve"> công nghiệp chế</w:t>
      </w:r>
      <w:r>
        <w:rPr>
          <w:sz w:val="22"/>
          <w:szCs w:val="22"/>
        </w:rPr>
        <w:t xml:space="preserve"> </w:t>
      </w:r>
      <w:r w:rsidRPr="00311093">
        <w:rPr>
          <w:sz w:val="22"/>
          <w:szCs w:val="22"/>
        </w:rPr>
        <w:t>biến, chế tạo a</w:t>
      </w:r>
      <w:r w:rsidRPr="00311093">
        <w:rPr>
          <w:sz w:val="22"/>
          <w:szCs w:val="22"/>
          <w:vertAlign w:val="subscript"/>
        </w:rPr>
        <w:t>38</w:t>
      </w:r>
      <w:r w:rsidRPr="00311093">
        <w:rPr>
          <w:sz w:val="22"/>
          <w:szCs w:val="22"/>
        </w:rPr>
        <w:t xml:space="preserve"> = 0.42, có nghĩa là 42% chi phí đầu vào của ngành Vận tải kho bãi được sử dụng để mua hàng hóa, dịch vụ từ ngành Công nghiệp chế biến, chế tạo. Điều này phản ánh sự phụ thuộc lớn của ngành vận tải vào sản phẩm công nghiệp chế biến, bao gồm: phương tiện vận tải (xe tải, tàu hỏa, container, máy bay, tàu thủy); máy móc và thiết bị phục vụ kho bãi (băng chuyền, xe nâng, phần mềm quản lý logistics); nhiên liệu và phụ tùng (động cơ, lốp xe, dầu nhớt, linh kiện thay thế). Mức độ phụ thuộc cao này cho thấy bất kỳ sự thay đổi nào trong ngành Công nghiệp chế biến, chế tạo (đặc biệt là sản xuất phương tiện vận tải) đều sẽ ảnh hưởng lớn đến chi phí và hoạt động của ngành Vận tải kho bãi. Vì vậy, để nâng cao năng lực cạnh tranh của ngành Vận tải kho bãi, cần có các chính sách hỗ trợ phát triển ngành sản xuất phương tiện và công nghệ logistics trong nước.</w:t>
      </w:r>
    </w:p>
    <w:p w:rsidR="009B45BF" w:rsidRPr="00311093" w:rsidRDefault="009B45BF" w:rsidP="001D04B2">
      <w:pPr>
        <w:spacing w:line="312" w:lineRule="auto"/>
        <w:ind w:firstLine="567"/>
        <w:rPr>
          <w:sz w:val="22"/>
          <w:szCs w:val="22"/>
          <w:lang w:val="vi-VN"/>
        </w:rPr>
      </w:pPr>
      <w:r>
        <w:rPr>
          <w:sz w:val="22"/>
          <w:szCs w:val="22"/>
          <w:lang w:val="vi-VN"/>
        </w:rPr>
        <w:t>M</w:t>
      </w:r>
      <w:r w:rsidRPr="00311093">
        <w:rPr>
          <w:sz w:val="22"/>
          <w:szCs w:val="22"/>
          <w:lang w:val="vi-VN"/>
        </w:rPr>
        <w:t>a trận Leontief nghịch đảo được xác định như sau:</w:t>
      </w:r>
    </w:p>
    <w:p w:rsidR="009B45BF" w:rsidRDefault="009B45BF" w:rsidP="009B45BF">
      <w:pPr>
        <w:spacing w:line="312" w:lineRule="auto"/>
        <w:jc w:val="both"/>
      </w:pPr>
    </w:p>
    <w:p w:rsidR="006B78E6" w:rsidRDefault="006B78E6" w:rsidP="009B45BF">
      <w:pPr>
        <w:spacing w:line="312" w:lineRule="auto"/>
        <w:jc w:val="both"/>
        <w:sectPr w:rsidR="006B78E6" w:rsidSect="006B78E6">
          <w:type w:val="continuous"/>
          <w:pgSz w:w="11907" w:h="16840" w:code="9"/>
          <w:pgMar w:top="1134" w:right="1134" w:bottom="1134" w:left="1418" w:header="720" w:footer="720" w:gutter="0"/>
          <w:cols w:num="2" w:space="720"/>
          <w:docGrid w:linePitch="360"/>
        </w:sectPr>
      </w:pPr>
    </w:p>
    <w:p w:rsidR="009B45BF" w:rsidRDefault="009B45BF" w:rsidP="009B45BF">
      <w:pPr>
        <w:spacing w:line="312" w:lineRule="auto"/>
        <w:jc w:val="both"/>
        <w:sectPr w:rsidR="009B45BF" w:rsidSect="006B78E6">
          <w:type w:val="continuous"/>
          <w:pgSz w:w="11907" w:h="16840" w:code="9"/>
          <w:pgMar w:top="1134" w:right="1134" w:bottom="1134" w:left="1418" w:header="720" w:footer="720" w:gutter="0"/>
          <w:cols w:space="720"/>
          <w:docGrid w:linePitch="360"/>
        </w:sectPr>
      </w:pPr>
      <w:r w:rsidRPr="0084365E">
        <w:rPr>
          <w:position w:val="-122"/>
        </w:rPr>
        <w:object w:dxaOrig="13980" w:dyaOrig="7680">
          <v:shape id="_x0000_i1028" type="#_x0000_t75" style="width:471.75pt;height:259pt" o:ole="">
            <v:imagedata r:id="rId21" o:title=""/>
          </v:shape>
          <o:OLEObject Type="Embed" ProgID="Equation.DSMT4" ShapeID="_x0000_i1028" DrawAspect="Content" ObjectID="_1802802646" r:id="rId22"/>
        </w:object>
      </w:r>
    </w:p>
    <w:p w:rsidR="001D04B2" w:rsidRDefault="009D29B8" w:rsidP="001D04B2">
      <w:pPr>
        <w:spacing w:after="120"/>
        <w:ind w:firstLine="567"/>
        <w:jc w:val="both"/>
        <w:rPr>
          <w:sz w:val="22"/>
          <w:szCs w:val="22"/>
          <w:lang w:val="vi-VN"/>
        </w:rPr>
      </w:pPr>
      <w:r w:rsidRPr="0045134C">
        <w:rPr>
          <w:sz w:val="22"/>
          <w:szCs w:val="22"/>
          <w:lang w:val="vi-VN"/>
        </w:rPr>
        <w:lastRenderedPageBreak/>
        <w:t xml:space="preserve">Khi đó, ta tính được liên kết ngược, liên kết xuôi, hệ số lan tỏa và độ nhạy của 20 ngành kinh </w:t>
      </w:r>
    </w:p>
    <w:p w:rsidR="009D29B8" w:rsidRDefault="009D29B8" w:rsidP="001D04B2">
      <w:pPr>
        <w:spacing w:after="120"/>
        <w:ind w:firstLine="567"/>
        <w:jc w:val="both"/>
        <w:rPr>
          <w:sz w:val="22"/>
          <w:szCs w:val="22"/>
          <w:lang w:val="vi-VN"/>
        </w:rPr>
      </w:pPr>
      <w:r w:rsidRPr="0045134C">
        <w:rPr>
          <w:sz w:val="22"/>
          <w:szCs w:val="22"/>
          <w:lang w:val="vi-VN"/>
        </w:rPr>
        <w:lastRenderedPageBreak/>
        <w:t xml:space="preserve">tế cấp </w:t>
      </w:r>
      <w:r>
        <w:rPr>
          <w:sz w:val="22"/>
          <w:szCs w:val="22"/>
          <w:lang w:val="vi-VN"/>
        </w:rPr>
        <w:t>1 như dưới đây:</w:t>
      </w:r>
    </w:p>
    <w:p w:rsidR="006B78E6" w:rsidRDefault="006B78E6" w:rsidP="009D29B8">
      <w:pPr>
        <w:spacing w:before="120" w:after="120" w:line="312" w:lineRule="auto"/>
        <w:jc w:val="both"/>
        <w:rPr>
          <w:b/>
          <w:bCs/>
          <w:sz w:val="20"/>
          <w:szCs w:val="20"/>
        </w:rPr>
        <w:sectPr w:rsidR="006B78E6" w:rsidSect="006B78E6">
          <w:pgSz w:w="11907" w:h="16840" w:code="9"/>
          <w:pgMar w:top="1134" w:right="1134" w:bottom="1134" w:left="1418" w:header="720" w:footer="720" w:gutter="0"/>
          <w:cols w:num="2" w:space="720"/>
          <w:docGrid w:linePitch="360"/>
        </w:sectPr>
      </w:pPr>
    </w:p>
    <w:p w:rsidR="009D29B8" w:rsidRPr="009D29B8" w:rsidRDefault="003C360F" w:rsidP="009D29B8">
      <w:pPr>
        <w:spacing w:before="120" w:after="120" w:line="312" w:lineRule="auto"/>
        <w:jc w:val="both"/>
        <w:rPr>
          <w:sz w:val="22"/>
          <w:szCs w:val="22"/>
          <w:lang w:val="vi-VN"/>
        </w:rPr>
      </w:pPr>
      <w:r>
        <w:rPr>
          <w:b/>
          <w:bCs/>
          <w:sz w:val="20"/>
          <w:szCs w:val="20"/>
        </w:rPr>
        <w:lastRenderedPageBreak/>
        <w:t>Bảng 6.</w:t>
      </w:r>
      <w:r w:rsidR="009D29B8" w:rsidRPr="00C4147D">
        <w:rPr>
          <w:b/>
          <w:bCs/>
          <w:sz w:val="20"/>
          <w:szCs w:val="20"/>
        </w:rPr>
        <w:t xml:space="preserve"> </w:t>
      </w:r>
      <w:r w:rsidR="009D29B8" w:rsidRPr="00C4147D">
        <w:rPr>
          <w:bCs/>
          <w:sz w:val="20"/>
          <w:szCs w:val="20"/>
          <w:lang w:val="vi-VN"/>
        </w:rPr>
        <w:t xml:space="preserve">Liên kết ngược và liên kết xuôi của </w:t>
      </w:r>
      <w:r w:rsidR="009D29B8" w:rsidRPr="00C4147D">
        <w:rPr>
          <w:bCs/>
          <w:sz w:val="20"/>
          <w:szCs w:val="20"/>
        </w:rPr>
        <w:t>20 ngành kinh tế cấp 1</w:t>
      </w:r>
      <w:r>
        <w:rPr>
          <w:bCs/>
          <w:sz w:val="20"/>
          <w:szCs w:val="20"/>
        </w:rPr>
        <w:t>.</w:t>
      </w:r>
    </w:p>
    <w:tbl>
      <w:tblPr>
        <w:tblW w:w="7792" w:type="dxa"/>
        <w:jc w:val="center"/>
        <w:tblLook w:val="04A0" w:firstRow="1" w:lastRow="0" w:firstColumn="1" w:lastColumn="0" w:noHBand="0" w:noVBand="1"/>
      </w:tblPr>
      <w:tblGrid>
        <w:gridCol w:w="632"/>
        <w:gridCol w:w="4400"/>
        <w:gridCol w:w="1342"/>
        <w:gridCol w:w="1418"/>
      </w:tblGrid>
      <w:tr w:rsidR="009D29B8" w:rsidRPr="00761DA1" w:rsidTr="007B701C">
        <w:trPr>
          <w:trHeight w:val="312"/>
          <w:jc w:val="center"/>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342" w:type="dxa"/>
            <w:tcBorders>
              <w:top w:val="single" w:sz="4" w:space="0" w:color="auto"/>
              <w:left w:val="nil"/>
              <w:bottom w:val="single" w:sz="4" w:space="0" w:color="auto"/>
              <w:right w:val="single" w:sz="4" w:space="0" w:color="auto"/>
            </w:tcBorders>
            <w:vAlign w:val="bottom"/>
          </w:tcPr>
          <w:p w:rsidR="009D29B8" w:rsidRPr="005B5982" w:rsidRDefault="009D29B8" w:rsidP="007B701C">
            <w:pPr>
              <w:jc w:val="center"/>
              <w:rPr>
                <w:b/>
                <w:bCs/>
                <w:color w:val="000000" w:themeColor="text1"/>
                <w:sz w:val="22"/>
                <w:szCs w:val="22"/>
              </w:rPr>
            </w:pPr>
            <w:r w:rsidRPr="005B5982">
              <w:rPr>
                <w:b/>
                <w:bCs/>
                <w:color w:val="000000" w:themeColor="text1"/>
                <w:sz w:val="22"/>
                <w:szCs w:val="22"/>
              </w:rPr>
              <w:t>Liên kết ngược</w:t>
            </w:r>
          </w:p>
          <w:p w:rsidR="009D29B8" w:rsidRPr="005B5982" w:rsidRDefault="009D29B8" w:rsidP="007B701C">
            <w:pPr>
              <w:jc w:val="center"/>
              <w:rPr>
                <w:color w:val="000000" w:themeColor="text1"/>
                <w:sz w:val="22"/>
                <w:szCs w:val="22"/>
              </w:rPr>
            </w:pPr>
            <w:r w:rsidRPr="005B5982">
              <w:rPr>
                <w:b/>
                <w:bCs/>
                <w:color w:val="000000" w:themeColor="text1"/>
                <w:sz w:val="22"/>
                <w:szCs w:val="22"/>
              </w:rPr>
              <w:t>(BL)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29B8" w:rsidRDefault="009D29B8" w:rsidP="007B701C">
            <w:pPr>
              <w:jc w:val="center"/>
              <w:rPr>
                <w:b/>
                <w:bCs/>
                <w:color w:val="000000" w:themeColor="text1"/>
                <w:sz w:val="22"/>
                <w:szCs w:val="22"/>
              </w:rPr>
            </w:pPr>
            <w:r w:rsidRPr="005B5982">
              <w:rPr>
                <w:b/>
                <w:bCs/>
                <w:color w:val="000000" w:themeColor="text1"/>
                <w:sz w:val="22"/>
                <w:szCs w:val="22"/>
              </w:rPr>
              <w:t>Liên kết xuôi</w:t>
            </w:r>
          </w:p>
          <w:p w:rsidR="009D29B8" w:rsidRPr="005B5982" w:rsidRDefault="009D29B8" w:rsidP="007B701C">
            <w:pPr>
              <w:jc w:val="center"/>
              <w:rPr>
                <w:b/>
                <w:bCs/>
                <w:color w:val="000000" w:themeColor="text1"/>
                <w:sz w:val="22"/>
                <w:szCs w:val="22"/>
              </w:rPr>
            </w:pPr>
            <w:r>
              <w:rPr>
                <w:b/>
                <w:bCs/>
                <w:color w:val="000000" w:themeColor="text1"/>
                <w:sz w:val="22"/>
                <w:szCs w:val="22"/>
              </w:rPr>
              <w:t>(FL)</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Nông nghiệp, lâm nghiệp và thuỷ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2.0703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2.6967</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Khai khoáng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1.5755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Công nghiệp chế biến, chế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10.6247</w:t>
            </w:r>
          </w:p>
        </w:tc>
      </w:tr>
      <w:tr w:rsidR="009D29B8" w:rsidRPr="00C4147D" w:rsidTr="007B701C">
        <w:trPr>
          <w:trHeight w:val="49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Sản xuất và phân phối điện, khí đốt, nước nóng, hơi nước và điều hoà không khí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1.0373</w:t>
            </w:r>
          </w:p>
        </w:tc>
      </w:tr>
      <w:tr w:rsidR="009D29B8" w:rsidRPr="00C4147D" w:rsidTr="007B701C">
        <w:trPr>
          <w:trHeight w:val="528"/>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Cung cấp nước, hoạt động quản lý và </w:t>
            </w:r>
            <w:r w:rsidRPr="00C4147D">
              <w:rPr>
                <w:sz w:val="22"/>
                <w:szCs w:val="22"/>
              </w:rPr>
              <w:br/>
              <w:t>xử lý rác thải, nước thải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1.8686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1.1371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Xây dựng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2.4485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1.2508</w:t>
            </w:r>
          </w:p>
        </w:tc>
      </w:tr>
      <w:tr w:rsidR="009D29B8" w:rsidRPr="00C4147D" w:rsidTr="007B701C">
        <w:trPr>
          <w:trHeight w:val="526"/>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 xml:space="preserve">Bán buôn và bán lẻ, sữa chữa ô tô, mô tô, xe máy và xe có động cơ khác </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1.6787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1.6410</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Vận tải kho bãi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bCs/>
                <w:color w:val="000000" w:themeColor="text1"/>
                <w:sz w:val="22"/>
                <w:szCs w:val="22"/>
              </w:rPr>
            </w:pPr>
            <w:r w:rsidRPr="00C4147D">
              <w:rPr>
                <w:bCs/>
                <w:color w:val="000000" w:themeColor="text1"/>
                <w:sz w:val="22"/>
                <w:szCs w:val="22"/>
              </w:rPr>
              <w:t>2.2266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1.5783</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Dịch vụ lưu trú và ăn uống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2.0925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1.2344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Thông tin và truyền thông</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2.2141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1.6334</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tài chính ngân hàng và bảo hiểm</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1.5169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bCs/>
                <w:color w:val="000000" w:themeColor="text1"/>
                <w:sz w:val="22"/>
                <w:szCs w:val="22"/>
              </w:rPr>
            </w:pPr>
            <w:r w:rsidRPr="00C4147D">
              <w:rPr>
                <w:bCs/>
                <w:color w:val="000000" w:themeColor="text1"/>
                <w:sz w:val="22"/>
                <w:szCs w:val="22"/>
              </w:rPr>
              <w:t>1.8431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kinh doanh bất động sản</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1.3868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1.4235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chuyên môn khoa học và công nghệ</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1.3581</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hành chính và dịch vụ hỗ trợ</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1.7223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1.1237</w:t>
            </w:r>
          </w:p>
        </w:tc>
      </w:tr>
      <w:tr w:rsidR="009D29B8" w:rsidRPr="00C4147D" w:rsidTr="007B701C">
        <w:trPr>
          <w:trHeight w:val="841"/>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của Đảng Cộng sản, tổ chữ chính trị-xã hội, quản lý Nhà nước, an ninh quốc phòng, bảo đảm xã hội bắt buộc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1.4628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1.0072</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Giáo dục và đào tạo</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1.2777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1.0445</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Y tế và hoạt động trợ giúp xã hội</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2.0455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1.0119</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Nghệ thuật, vui chơi và giải trí</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1.5810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1.1348</w:t>
            </w:r>
          </w:p>
        </w:tc>
      </w:tr>
      <w:tr w:rsidR="009D29B8" w:rsidRPr="00C4147D" w:rsidTr="007B701C">
        <w:trPr>
          <w:trHeight w:val="264"/>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rPr>
                <w:sz w:val="22"/>
                <w:szCs w:val="22"/>
              </w:rPr>
            </w:pPr>
            <w:r w:rsidRPr="00C4147D">
              <w:rPr>
                <w:sz w:val="22"/>
                <w:szCs w:val="22"/>
              </w:rPr>
              <w:t>Hoạt động dịch vụ khác</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1.6275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1.0037</w:t>
            </w:r>
          </w:p>
        </w:tc>
      </w:tr>
      <w:tr w:rsidR="009D29B8" w:rsidRPr="00C4147D" w:rsidTr="007B701C">
        <w:trPr>
          <w:trHeight w:val="912"/>
          <w:jc w:val="center"/>
        </w:trPr>
        <w:tc>
          <w:tcPr>
            <w:tcW w:w="632" w:type="dxa"/>
            <w:tcBorders>
              <w:top w:val="nil"/>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center"/>
              <w:rPr>
                <w:sz w:val="22"/>
                <w:szCs w:val="22"/>
              </w:rPr>
            </w:pPr>
            <w:r w:rsidRPr="00C4147D">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C4147D" w:rsidRDefault="009D29B8" w:rsidP="007B701C">
            <w:pPr>
              <w:rPr>
                <w:sz w:val="22"/>
                <w:szCs w:val="22"/>
              </w:rPr>
            </w:pPr>
            <w:r w:rsidRPr="00C4147D">
              <w:rPr>
                <w:sz w:val="22"/>
                <w:szCs w:val="22"/>
              </w:rPr>
              <w:t>Hoạt động làm thuê và các công việc trong các hộ gia đình, sản xuất sản phẩm vật chất và dịch vụ tự tiêu dùng của hộ gia đình</w:t>
            </w:r>
          </w:p>
        </w:tc>
        <w:tc>
          <w:tcPr>
            <w:tcW w:w="1342" w:type="dxa"/>
            <w:tcBorders>
              <w:top w:val="single" w:sz="4" w:space="0" w:color="auto"/>
              <w:left w:val="nil"/>
              <w:bottom w:val="single" w:sz="4" w:space="0" w:color="auto"/>
              <w:right w:val="single" w:sz="4" w:space="0" w:color="auto"/>
            </w:tcBorders>
            <w:vAlign w:val="center"/>
          </w:tcPr>
          <w:p w:rsidR="009D29B8" w:rsidRPr="00C4147D" w:rsidRDefault="009D29B8" w:rsidP="007B701C">
            <w:pPr>
              <w:jc w:val="right"/>
              <w:rPr>
                <w:color w:val="000000" w:themeColor="text1"/>
                <w:sz w:val="22"/>
                <w:szCs w:val="22"/>
              </w:rPr>
            </w:pPr>
            <w:r w:rsidRPr="00C4147D">
              <w:rPr>
                <w:color w:val="000000" w:themeColor="text1"/>
                <w:sz w:val="22"/>
                <w:szCs w:val="22"/>
              </w:rPr>
              <w:t>1.9150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C4147D" w:rsidRDefault="009D29B8" w:rsidP="007B701C">
            <w:pPr>
              <w:jc w:val="right"/>
              <w:rPr>
                <w:color w:val="000000" w:themeColor="text1"/>
                <w:sz w:val="22"/>
                <w:szCs w:val="22"/>
              </w:rPr>
            </w:pPr>
            <w:r w:rsidRPr="00C4147D">
              <w:rPr>
                <w:color w:val="000000" w:themeColor="text1"/>
                <w:sz w:val="22"/>
                <w:szCs w:val="22"/>
              </w:rPr>
              <w:t>1.0285</w:t>
            </w:r>
          </w:p>
        </w:tc>
      </w:tr>
    </w:tbl>
    <w:p w:rsidR="009D29B8" w:rsidRPr="00C4147D" w:rsidRDefault="009D29B8" w:rsidP="009D29B8">
      <w:pPr>
        <w:spacing w:before="120" w:after="120" w:line="312" w:lineRule="auto"/>
        <w:ind w:right="855"/>
        <w:jc w:val="right"/>
        <w:rPr>
          <w:sz w:val="20"/>
          <w:szCs w:val="20"/>
        </w:rPr>
      </w:pPr>
      <w:r w:rsidRPr="00C4147D">
        <w:rPr>
          <w:i/>
          <w:iCs/>
          <w:sz w:val="20"/>
          <w:szCs w:val="20"/>
        </w:rPr>
        <w:t xml:space="preserve">Nguồn: Tính toán của nhóm tác giả </w:t>
      </w:r>
    </w:p>
    <w:p w:rsidR="009D29B8" w:rsidRPr="00C4147D" w:rsidRDefault="003C360F" w:rsidP="009D29B8">
      <w:pPr>
        <w:spacing w:before="240" w:after="120" w:line="312" w:lineRule="auto"/>
        <w:rPr>
          <w:bCs/>
          <w:sz w:val="20"/>
          <w:szCs w:val="20"/>
        </w:rPr>
      </w:pPr>
      <w:r>
        <w:rPr>
          <w:b/>
          <w:bCs/>
          <w:sz w:val="20"/>
          <w:szCs w:val="20"/>
        </w:rPr>
        <w:t>Bảng 7.</w:t>
      </w:r>
      <w:r w:rsidR="009D29B8" w:rsidRPr="00C4147D">
        <w:rPr>
          <w:b/>
          <w:bCs/>
          <w:sz w:val="20"/>
          <w:szCs w:val="20"/>
        </w:rPr>
        <w:t xml:space="preserve"> </w:t>
      </w:r>
      <w:r w:rsidR="009D29B8" w:rsidRPr="00C4147D">
        <w:rPr>
          <w:bCs/>
          <w:sz w:val="20"/>
          <w:szCs w:val="20"/>
          <w:lang w:val="vi-VN"/>
        </w:rPr>
        <w:t xml:space="preserve">Hệ số lan tỏa và độ nhạy của </w:t>
      </w:r>
      <w:r w:rsidR="009D29B8" w:rsidRPr="00C4147D">
        <w:rPr>
          <w:bCs/>
          <w:sz w:val="20"/>
          <w:szCs w:val="20"/>
        </w:rPr>
        <w:t>20 ngành kinh tế cấp 1</w:t>
      </w:r>
      <w:r>
        <w:rPr>
          <w:bCs/>
          <w:sz w:val="20"/>
          <w:szCs w:val="20"/>
        </w:rPr>
        <w:t>.</w:t>
      </w:r>
    </w:p>
    <w:tbl>
      <w:tblPr>
        <w:tblW w:w="8454" w:type="dxa"/>
        <w:jc w:val="center"/>
        <w:tblLook w:val="04A0" w:firstRow="1" w:lastRow="0" w:firstColumn="1" w:lastColumn="0" w:noHBand="0" w:noVBand="1"/>
      </w:tblPr>
      <w:tblGrid>
        <w:gridCol w:w="632"/>
        <w:gridCol w:w="4400"/>
        <w:gridCol w:w="1740"/>
        <w:gridCol w:w="1720"/>
      </w:tblGrid>
      <w:tr w:rsidR="009D29B8" w:rsidRPr="00761DA1" w:rsidTr="007B701C">
        <w:trPr>
          <w:trHeight w:val="312"/>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STT</w:t>
            </w:r>
          </w:p>
        </w:tc>
        <w:tc>
          <w:tcPr>
            <w:tcW w:w="440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sz w:val="22"/>
                <w:szCs w:val="22"/>
              </w:rPr>
            </w:pPr>
            <w:r w:rsidRPr="00761DA1">
              <w:rPr>
                <w:b/>
                <w:bCs/>
                <w:sz w:val="22"/>
                <w:szCs w:val="22"/>
              </w:rPr>
              <w:t>Tên mã ngành cấp 1</w:t>
            </w:r>
          </w:p>
        </w:tc>
        <w:tc>
          <w:tcPr>
            <w:tcW w:w="174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sidRPr="00761DA1">
              <w:rPr>
                <w:b/>
                <w:bCs/>
                <w:color w:val="000000"/>
                <w:sz w:val="22"/>
                <w:szCs w:val="22"/>
              </w:rPr>
              <w:t>Hệ số lan tỏa</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9D29B8" w:rsidRPr="00761DA1" w:rsidRDefault="009D29B8" w:rsidP="007B701C">
            <w:pPr>
              <w:jc w:val="center"/>
              <w:rPr>
                <w:b/>
                <w:bCs/>
                <w:color w:val="000000"/>
                <w:sz w:val="22"/>
                <w:szCs w:val="22"/>
              </w:rPr>
            </w:pPr>
            <w:r>
              <w:rPr>
                <w:b/>
                <w:bCs/>
                <w:color w:val="000000"/>
                <w:sz w:val="22"/>
                <w:szCs w:val="22"/>
              </w:rPr>
              <w:t>Đ</w:t>
            </w:r>
            <w:r w:rsidRPr="00761DA1">
              <w:rPr>
                <w:b/>
                <w:bCs/>
                <w:color w:val="000000"/>
                <w:sz w:val="22"/>
                <w:szCs w:val="22"/>
              </w:rPr>
              <w:t>ộ nhạy</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Nông nghiệp, lâm nghiệp và thuỷ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1.1379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1.4822</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Khai khoáng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1.0548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0.8659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Công nghiệp chế biến, chế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1.1497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5.8397</w:t>
            </w:r>
          </w:p>
        </w:tc>
      </w:tr>
      <w:tr w:rsidR="009D29B8" w:rsidRPr="00761DA1" w:rsidTr="007B701C">
        <w:trPr>
          <w:trHeight w:val="41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4</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Sản xuất và phân phối điện, khí đốt, nước nóng, hơi nước và điều hoà không khí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0.5701</w:t>
            </w:r>
          </w:p>
        </w:tc>
      </w:tr>
      <w:tr w:rsidR="009D29B8" w:rsidRPr="00761DA1" w:rsidTr="007B701C">
        <w:trPr>
          <w:trHeight w:val="528"/>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Cung cấp nước, hoạt động quản lý và </w:t>
            </w:r>
            <w:r w:rsidRPr="00761DA1">
              <w:rPr>
                <w:sz w:val="22"/>
                <w:szCs w:val="22"/>
              </w:rPr>
              <w:br/>
              <w:t>xử lý rác thải, nước thải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1.0270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0.6250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Xây dựng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1.3458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0.6875</w:t>
            </w:r>
          </w:p>
        </w:tc>
      </w:tr>
      <w:tr w:rsidR="009D29B8" w:rsidRPr="00761DA1" w:rsidTr="007B701C">
        <w:trPr>
          <w:trHeight w:val="509"/>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7</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 xml:space="preserve">Bán buôn và bán lẻ, sữa chữa ô tô, mô tô, xe máy và xe có động cơ khác </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0.9227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0.9019</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Vận tải kho bãi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1.2238</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0.8675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Dịch vụ lưu trú và ăn uống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1.1501</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0.6785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10</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Thông tin và truyền thông</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1.2169</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0.8978</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lastRenderedPageBreak/>
              <w:t>11</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tài chính ngân hàng và bảo hiểm</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0.8337</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1.0130</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12</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kinh doanh bất động sản</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0.7622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0.7824</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13</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chuyên môn khoa học và công nghệ</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0.7465</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14</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hành chính và dịch vụ hỗ trợ</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0.9466</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0.6176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15</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của Đảng Cộng sản, tổ chữ chính trị-xã hội, quản lý Nhà nước, an ninh quốc phòng, bảo đảm xã hội bắt buộc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0.8040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0.5536</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16</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Giáo dục và đào tạo</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0.7023</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0.5741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17</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Y tế và hoạt động trợ giúp xã hội</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1.1242</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0.5561</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18</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Nghệ thuật, vui chơi và giải trí</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0.8690</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0.6237</w:t>
            </w:r>
          </w:p>
        </w:tc>
      </w:tr>
      <w:tr w:rsidR="009D29B8" w:rsidRPr="00761DA1" w:rsidTr="007B701C">
        <w:trPr>
          <w:trHeight w:val="264"/>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19</w:t>
            </w:r>
          </w:p>
        </w:tc>
        <w:tc>
          <w:tcPr>
            <w:tcW w:w="4400" w:type="dxa"/>
            <w:tcBorders>
              <w:top w:val="nil"/>
              <w:left w:val="nil"/>
              <w:bottom w:val="single" w:sz="4" w:space="0" w:color="auto"/>
              <w:right w:val="single" w:sz="4" w:space="0" w:color="auto"/>
            </w:tcBorders>
            <w:shd w:val="clear" w:color="auto" w:fill="auto"/>
            <w:noWrap/>
            <w:vAlign w:val="center"/>
            <w:hideMark/>
          </w:tcPr>
          <w:p w:rsidR="009D29B8" w:rsidRPr="00761DA1" w:rsidRDefault="009D29B8" w:rsidP="007B701C">
            <w:pPr>
              <w:rPr>
                <w:sz w:val="22"/>
                <w:szCs w:val="22"/>
              </w:rPr>
            </w:pPr>
            <w:r w:rsidRPr="00761DA1">
              <w:rPr>
                <w:sz w:val="22"/>
                <w:szCs w:val="22"/>
              </w:rPr>
              <w:t>Hoạt động dịch vụ khác</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0.8945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0.5516</w:t>
            </w:r>
          </w:p>
        </w:tc>
      </w:tr>
      <w:tr w:rsidR="009D29B8" w:rsidRPr="00761DA1" w:rsidTr="007B701C">
        <w:trPr>
          <w:trHeight w:val="912"/>
          <w:jc w:val="center"/>
        </w:trPr>
        <w:tc>
          <w:tcPr>
            <w:tcW w:w="594" w:type="dxa"/>
            <w:tcBorders>
              <w:top w:val="nil"/>
              <w:left w:val="single" w:sz="4" w:space="0" w:color="auto"/>
              <w:bottom w:val="single" w:sz="4" w:space="0" w:color="auto"/>
              <w:right w:val="single" w:sz="4" w:space="0" w:color="auto"/>
            </w:tcBorders>
            <w:shd w:val="clear" w:color="auto" w:fill="auto"/>
            <w:noWrap/>
            <w:vAlign w:val="center"/>
            <w:hideMark/>
          </w:tcPr>
          <w:p w:rsidR="009D29B8" w:rsidRPr="00761DA1" w:rsidRDefault="009D29B8" w:rsidP="007B701C">
            <w:pPr>
              <w:jc w:val="center"/>
              <w:rPr>
                <w:sz w:val="22"/>
                <w:szCs w:val="22"/>
              </w:rPr>
            </w:pPr>
            <w:r w:rsidRPr="00761DA1">
              <w:rPr>
                <w:sz w:val="22"/>
                <w:szCs w:val="22"/>
              </w:rPr>
              <w:t>20</w:t>
            </w:r>
          </w:p>
        </w:tc>
        <w:tc>
          <w:tcPr>
            <w:tcW w:w="4400" w:type="dxa"/>
            <w:tcBorders>
              <w:top w:val="nil"/>
              <w:left w:val="nil"/>
              <w:bottom w:val="single" w:sz="4" w:space="0" w:color="auto"/>
              <w:right w:val="single" w:sz="4" w:space="0" w:color="auto"/>
            </w:tcBorders>
            <w:shd w:val="clear" w:color="auto" w:fill="auto"/>
            <w:vAlign w:val="center"/>
            <w:hideMark/>
          </w:tcPr>
          <w:p w:rsidR="009D29B8" w:rsidRPr="00761DA1" w:rsidRDefault="009D29B8" w:rsidP="007B701C">
            <w:pPr>
              <w:rPr>
                <w:sz w:val="22"/>
                <w:szCs w:val="22"/>
              </w:rPr>
            </w:pPr>
            <w:r w:rsidRPr="00761DA1">
              <w:rPr>
                <w:sz w:val="22"/>
                <w:szCs w:val="22"/>
              </w:rPr>
              <w:t>Hoạt động làm thuê và các công việc trong các hộ gia đình, sản xuất sản phẩm vật chất và dịch vụ tự tiêu dùng của hộ gia đình</w:t>
            </w:r>
          </w:p>
        </w:tc>
        <w:tc>
          <w:tcPr>
            <w:tcW w:w="174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bCs/>
                <w:sz w:val="22"/>
                <w:szCs w:val="22"/>
              </w:rPr>
            </w:pPr>
            <w:r w:rsidRPr="00C4147D">
              <w:rPr>
                <w:bCs/>
                <w:sz w:val="22"/>
                <w:szCs w:val="22"/>
              </w:rPr>
              <w:t>1.0525</w:t>
            </w:r>
          </w:p>
        </w:tc>
        <w:tc>
          <w:tcPr>
            <w:tcW w:w="1720" w:type="dxa"/>
            <w:tcBorders>
              <w:top w:val="nil"/>
              <w:left w:val="nil"/>
              <w:bottom w:val="single" w:sz="4" w:space="0" w:color="auto"/>
              <w:right w:val="single" w:sz="4" w:space="0" w:color="auto"/>
            </w:tcBorders>
            <w:shd w:val="clear" w:color="auto" w:fill="auto"/>
            <w:noWrap/>
            <w:vAlign w:val="center"/>
            <w:hideMark/>
          </w:tcPr>
          <w:p w:rsidR="009D29B8" w:rsidRPr="00C4147D" w:rsidRDefault="009D29B8" w:rsidP="007B701C">
            <w:pPr>
              <w:jc w:val="right"/>
              <w:rPr>
                <w:sz w:val="22"/>
                <w:szCs w:val="22"/>
              </w:rPr>
            </w:pPr>
            <w:r w:rsidRPr="00C4147D">
              <w:rPr>
                <w:sz w:val="22"/>
                <w:szCs w:val="22"/>
              </w:rPr>
              <w:t>0.5653</w:t>
            </w:r>
          </w:p>
        </w:tc>
      </w:tr>
    </w:tbl>
    <w:p w:rsidR="009D29B8" w:rsidRPr="006B78E6" w:rsidRDefault="009D29B8" w:rsidP="006B78E6">
      <w:pPr>
        <w:tabs>
          <w:tab w:val="left" w:pos="9214"/>
        </w:tabs>
        <w:spacing w:before="120" w:after="120" w:line="312" w:lineRule="auto"/>
        <w:ind w:right="429"/>
        <w:jc w:val="right"/>
        <w:rPr>
          <w:sz w:val="20"/>
          <w:szCs w:val="20"/>
        </w:rPr>
      </w:pPr>
      <w:r w:rsidRPr="00C4147D">
        <w:rPr>
          <w:i/>
          <w:iCs/>
          <w:sz w:val="20"/>
          <w:szCs w:val="20"/>
        </w:rPr>
        <w:t xml:space="preserve">Nguồn: Tính toán của nhóm tác giả </w:t>
      </w:r>
    </w:p>
    <w:p w:rsidR="006B78E6" w:rsidRDefault="006B78E6" w:rsidP="009D29B8">
      <w:pPr>
        <w:pStyle w:val="NormalWeb"/>
        <w:spacing w:before="0" w:beforeAutospacing="0" w:after="0" w:afterAutospacing="0"/>
        <w:ind w:firstLine="567"/>
        <w:jc w:val="both"/>
        <w:rPr>
          <w:sz w:val="22"/>
          <w:szCs w:val="22"/>
        </w:rPr>
        <w:sectPr w:rsidR="006B78E6" w:rsidSect="006B78E6">
          <w:type w:val="continuous"/>
          <w:pgSz w:w="11907" w:h="16840" w:code="9"/>
          <w:pgMar w:top="1134" w:right="1134" w:bottom="1134" w:left="1418" w:header="720" w:footer="720" w:gutter="0"/>
          <w:cols w:space="720"/>
          <w:docGrid w:linePitch="360"/>
        </w:sectPr>
      </w:pPr>
    </w:p>
    <w:p w:rsidR="009D29B8" w:rsidRPr="00783CDC" w:rsidRDefault="009D29B8" w:rsidP="009D29B8">
      <w:pPr>
        <w:pStyle w:val="NormalWeb"/>
        <w:spacing w:before="0" w:beforeAutospacing="0" w:after="0" w:afterAutospacing="0"/>
        <w:ind w:firstLine="567"/>
        <w:jc w:val="both"/>
        <w:rPr>
          <w:sz w:val="22"/>
          <w:szCs w:val="22"/>
        </w:rPr>
      </w:pPr>
      <w:r w:rsidRPr="00783CDC">
        <w:rPr>
          <w:sz w:val="22"/>
          <w:szCs w:val="22"/>
        </w:rPr>
        <w:lastRenderedPageBreak/>
        <w:t xml:space="preserve">Bảng 6 trình bày chỉ số liên kết ngược (BL) và liên kết xuôi (FL) của 20 ngành kinh tế cấp 1 tại Việt Nam. Ngành có liên kết ngược cao nhất là </w:t>
      </w:r>
      <w:r w:rsidRPr="00783CDC">
        <w:rPr>
          <w:i/>
          <w:iCs/>
          <w:sz w:val="22"/>
          <w:szCs w:val="22"/>
        </w:rPr>
        <w:t>Xây dựng</w:t>
      </w:r>
      <w:r w:rsidRPr="00783CDC">
        <w:rPr>
          <w:sz w:val="22"/>
          <w:szCs w:val="22"/>
        </w:rPr>
        <w:t xml:space="preserve"> (BL = 2.4485), cho thấy mức độ phụ thuộc lớn vào đầu vào từ các ngành khác như khai khoáng, sản xuất vật liệu xây dựng, tài chính, vận tải và năng lượng. Khi ngành xây dựng phát triển, nhu cầu về các yếu tố đầu vào này sẽ tăng lên, tạo hiệu ứng lan tỏa mạnh mẽ đến các ngành liên quan, khẳng định vai trò trung tâm của ngành này trong việc thúc đẩy tăng trưởng kinh tế. Ngành </w:t>
      </w:r>
      <w:r w:rsidRPr="00783CDC">
        <w:rPr>
          <w:i/>
          <w:iCs/>
          <w:sz w:val="22"/>
          <w:szCs w:val="22"/>
        </w:rPr>
        <w:t>Vận tải kho bãi</w:t>
      </w:r>
      <w:r w:rsidRPr="00783CDC">
        <w:rPr>
          <w:sz w:val="22"/>
          <w:szCs w:val="22"/>
        </w:rPr>
        <w:t xml:space="preserve"> có liên kết ngược cao thứ hai (BL = 2.2266), phản ánh mức độ sử dụng lớn các đầu vào từ ngành công nghiệp chế biến, năng lượng và các dịch vụ hỗ trợ. Điều này nhấn mạnh vai trò quan trọng của ngành vận tải trong việc kết nối sản xuất và phân phối hàng hóa, hỗ trợ sự vận hành của toàn bộ nền kinh tế. Ngành có liên kết xuôi cao nhất là </w:t>
      </w:r>
      <w:r w:rsidRPr="00783CDC">
        <w:rPr>
          <w:i/>
          <w:iCs/>
          <w:sz w:val="22"/>
          <w:szCs w:val="22"/>
        </w:rPr>
        <w:t>Công nghiệp chế biến, chế tạo</w:t>
      </w:r>
      <w:r w:rsidRPr="00783CDC">
        <w:rPr>
          <w:sz w:val="22"/>
          <w:szCs w:val="22"/>
        </w:rPr>
        <w:t xml:space="preserve"> (FL = 10.6247), cho thấy đây là ngành cung cấp đầu ra lớn nhất cho các ngành khác. Sự phát triển của ngành này không chỉ thúc đẩy sản xuất công nghiệp mà còn ảnh hưởng đáng kể đến thương mại, vận tải, tài chính và các dịch vụ liên quan, đóng vai trò trụ cột trong nền kinh tế. Ngành </w:t>
      </w:r>
      <w:r w:rsidRPr="00783CDC">
        <w:rPr>
          <w:i/>
          <w:iCs/>
          <w:sz w:val="22"/>
          <w:szCs w:val="22"/>
        </w:rPr>
        <w:t>Nông nghiệp, lâm nghiệp và thủy sản</w:t>
      </w:r>
      <w:r w:rsidRPr="00783CDC">
        <w:rPr>
          <w:sz w:val="22"/>
          <w:szCs w:val="22"/>
        </w:rPr>
        <w:t xml:space="preserve"> có liên kết xuôi cao thứ hai (FL = 2.6967), thể hiện tầm quan trọng của ngành này trong việc cung cấp nguyên liệu đầu vào cho công nghiệp chế biến, thương mại và tiêu dùng. Bên cạnh việc đáp ứng nhu cầu nội địa, ngành nông nghiệp còn có tác động lớn đến xuất khẩu, góp phần nâng cao giá trị gia tăng trong chuỗi cung ứng toàn cầu. Ngành </w:t>
      </w:r>
      <w:r w:rsidRPr="00783CDC">
        <w:rPr>
          <w:i/>
          <w:iCs/>
          <w:sz w:val="22"/>
          <w:szCs w:val="22"/>
        </w:rPr>
        <w:t>Hoạt động tài chính, ngân hàng và bảo hiểm</w:t>
      </w:r>
      <w:r w:rsidRPr="00783CDC">
        <w:rPr>
          <w:sz w:val="22"/>
          <w:szCs w:val="22"/>
        </w:rPr>
        <w:t xml:space="preserve"> có mức độ liên kết xuôi đáng kể (FL = 1.8431), cho thấy vai trò thiết yếu của ngành này trong việc cung cấp vốn, bảo hiểm và các dịch vụ tài chính cho các lĩnh vực khác, góp phần thúc đẩy tăng trưởng kinh tế.</w:t>
      </w:r>
    </w:p>
    <w:p w:rsidR="009D29B8" w:rsidRDefault="009D29B8" w:rsidP="005E19B3">
      <w:pPr>
        <w:pStyle w:val="NormalWeb"/>
        <w:spacing w:before="0" w:beforeAutospacing="0" w:after="120" w:afterAutospacing="0"/>
        <w:ind w:firstLine="360"/>
        <w:jc w:val="both"/>
        <w:rPr>
          <w:sz w:val="22"/>
          <w:szCs w:val="22"/>
        </w:rPr>
      </w:pPr>
      <w:r w:rsidRPr="00783CDC">
        <w:rPr>
          <w:sz w:val="22"/>
          <w:szCs w:val="22"/>
        </w:rPr>
        <w:lastRenderedPageBreak/>
        <w:t xml:space="preserve">Bảng 7 phân tích hệ số lan tỏa (mức độ tác động của một ngành đến các ngành khác) và hệ số độ nhạy (mức độ một ngành chịu tác động từ các ngành khác). Ngành </w:t>
      </w:r>
      <w:r w:rsidRPr="00783CDC">
        <w:rPr>
          <w:i/>
          <w:iCs/>
          <w:sz w:val="22"/>
          <w:szCs w:val="22"/>
        </w:rPr>
        <w:t>Công nghiệp chế biến, chế tạo</w:t>
      </w:r>
      <w:r w:rsidRPr="00783CDC">
        <w:rPr>
          <w:sz w:val="22"/>
          <w:szCs w:val="22"/>
        </w:rPr>
        <w:t xml:space="preserve"> có độ nhạy cao nhất (5.8397), phản ánh mức độ ảnh hưởng sâu rộng đến toàn bộ nền kinh tế. Khi ngành này tăng</w:t>
      </w:r>
      <w:r>
        <w:rPr>
          <w:sz w:val="22"/>
          <w:szCs w:val="22"/>
        </w:rPr>
        <w:t xml:space="preserve">   </w:t>
      </w:r>
      <w:r w:rsidRPr="00783CDC">
        <w:rPr>
          <w:sz w:val="22"/>
          <w:szCs w:val="22"/>
        </w:rPr>
        <w:t xml:space="preserve">trưởng, nó sẽ tạo ra nhu cầu mạnh mẽ đối với nhiều ngành khác, đặc biệt là nguyên liệu, dịch vụ vận tải và tài chính. Ngành </w:t>
      </w:r>
      <w:r w:rsidRPr="00783CDC">
        <w:rPr>
          <w:i/>
          <w:iCs/>
          <w:sz w:val="22"/>
          <w:szCs w:val="22"/>
        </w:rPr>
        <w:t>Xây dựng</w:t>
      </w:r>
      <w:r w:rsidRPr="00783CDC">
        <w:rPr>
          <w:sz w:val="22"/>
          <w:szCs w:val="22"/>
        </w:rPr>
        <w:t xml:space="preserve"> có hệ số lan tỏa cao nhất (1.3458), khẳng định vai trò quan trọng trong việc thúc đẩy phát triển các ngành như sản xuất vật liệu xây dựng, tài chính, vận tải và lao động. Ngành </w:t>
      </w:r>
      <w:r w:rsidRPr="00783CDC">
        <w:rPr>
          <w:i/>
          <w:iCs/>
          <w:sz w:val="22"/>
          <w:szCs w:val="22"/>
        </w:rPr>
        <w:t>Vận tải kho bãi</w:t>
      </w:r>
      <w:r w:rsidRPr="00783CDC">
        <w:rPr>
          <w:sz w:val="22"/>
          <w:szCs w:val="22"/>
        </w:rPr>
        <w:t xml:space="preserve"> có hệ số lan tỏa đáng kể (1.2238), cho thấy tác động mạnh mẽ của ngành này trong việc kết nối chuỗi cung ứng, hỗ trợ lưu thông hàng hóa và phát triển thương mại. Ngoài ra, 8 ngành khác có hệ số lan tỏa lớn hơn 1, cho thấy những ngành này có khả năng tác động lan tỏa đáng kể đến nền kinh tế. Việc tập trung đầu tư vào các ngành này sẽ tạo hiệu ứng lan tỏa tích cực, thúc đẩy tăng trưởng bền vững và tối ưu hóa nguồn lực quốc gia.</w:t>
      </w:r>
    </w:p>
    <w:p w:rsidR="009D29B8" w:rsidRDefault="009D29B8" w:rsidP="009D29B8">
      <w:pPr>
        <w:pStyle w:val="NormalWeb"/>
        <w:spacing w:before="120" w:beforeAutospacing="0" w:after="120" w:afterAutospacing="0"/>
        <w:jc w:val="both"/>
        <w:rPr>
          <w:b/>
          <w:sz w:val="22"/>
          <w:szCs w:val="22"/>
        </w:rPr>
      </w:pPr>
      <w:r w:rsidRPr="007C02A9">
        <w:rPr>
          <w:b/>
          <w:sz w:val="22"/>
          <w:szCs w:val="22"/>
        </w:rPr>
        <w:t>5. Kết luận</w:t>
      </w:r>
    </w:p>
    <w:p w:rsidR="00E66A7B" w:rsidRPr="00A30E69" w:rsidRDefault="009D29B8" w:rsidP="00741485">
      <w:pPr>
        <w:pStyle w:val="NormalWeb"/>
        <w:spacing w:before="120" w:beforeAutospacing="0" w:after="120" w:afterAutospacing="0"/>
        <w:jc w:val="both"/>
        <w:rPr>
          <w:bCs/>
          <w:sz w:val="22"/>
          <w:szCs w:val="22"/>
        </w:rPr>
      </w:pPr>
      <w:r w:rsidRPr="00A30E69">
        <w:rPr>
          <w:bCs/>
          <w:sz w:val="22"/>
          <w:szCs w:val="22"/>
        </w:rPr>
        <w:t>Bài báo đã sử dụng mô hình cân đối liên ngành (I/O) để phân tích mối quan hệ giữa 20 ngành kinh tế cấp 1 tại Việt Nam, dựa trên dữ liệu từ Bảng cân đối liên ngành năm 201</w:t>
      </w:r>
      <w:r>
        <w:rPr>
          <w:bCs/>
          <w:sz w:val="22"/>
          <w:szCs w:val="22"/>
          <w:lang w:val="vi-VN"/>
        </w:rPr>
        <w:t>5</w:t>
      </w:r>
      <w:r w:rsidRPr="00A30E69">
        <w:rPr>
          <w:bCs/>
          <w:sz w:val="22"/>
          <w:szCs w:val="22"/>
        </w:rPr>
        <w:t>. Thông qua các chỉ số liên kết ngược, liên kết xuôi, hệ số lan tỏa và độ nhạy, nghiên cứu đã xác định được mức độ phụ thuộc và tác động lẫn nhau giữa các ngành, từ đó cung cấp cái nhìn toàn diện về cấu trúc kinh tế của Việt Nam.</w:t>
      </w:r>
      <w:r>
        <w:rPr>
          <w:bCs/>
          <w:sz w:val="22"/>
          <w:szCs w:val="22"/>
        </w:rPr>
        <w:t xml:space="preserve"> </w:t>
      </w:r>
      <w:r w:rsidRPr="00A30E69">
        <w:rPr>
          <w:bCs/>
          <w:sz w:val="22"/>
          <w:szCs w:val="22"/>
        </w:rPr>
        <w:t xml:space="preserve">Kết quả phân tích cho thấy Xây dựng là ngành có mức độ phụ thuộc cao nhất vào các ngành khác, thể hiện qua chỉ số liên kết ngược cao nhất. Trong khi đó, Công nghiệp chế biến, chế tạo là ngành có liên kết xuôi lớn nhất, phản ánh vai trò trung tâm của ngành này </w:t>
      </w:r>
      <w:r w:rsidR="00E66A7B" w:rsidRPr="00A30E69">
        <w:rPr>
          <w:bCs/>
          <w:sz w:val="22"/>
          <w:szCs w:val="22"/>
        </w:rPr>
        <w:lastRenderedPageBreak/>
        <w:t>trong cung cấp đầu vào cho toàn bộ nền kinh tế. Ngoài ra, các ngành Nông nghiệp, lâm nghiệp và thủy sản, và Vận tải kho bãi cũng đóng vai trò quan trọng trong việc thúc đẩy tăng trưởng và ổn định nền kinh tế.</w:t>
      </w:r>
      <w:r w:rsidR="00E66A7B">
        <w:rPr>
          <w:bCs/>
          <w:sz w:val="22"/>
          <w:szCs w:val="22"/>
        </w:rPr>
        <w:t xml:space="preserve"> </w:t>
      </w:r>
      <w:r w:rsidR="00E66A7B" w:rsidRPr="00A30E69">
        <w:rPr>
          <w:bCs/>
          <w:sz w:val="22"/>
          <w:szCs w:val="22"/>
        </w:rPr>
        <w:t>Dù dữ liệu nghiên cứu có từ năm 201</w:t>
      </w:r>
      <w:r w:rsidR="00E66A7B">
        <w:rPr>
          <w:bCs/>
          <w:sz w:val="22"/>
          <w:szCs w:val="22"/>
          <w:lang w:val="vi-VN"/>
        </w:rPr>
        <w:t>5</w:t>
      </w:r>
      <w:r w:rsidR="00E66A7B" w:rsidRPr="00A30E69">
        <w:rPr>
          <w:bCs/>
          <w:sz w:val="22"/>
          <w:szCs w:val="22"/>
        </w:rPr>
        <w:t xml:space="preserve">, nhưng phương pháp tiếp cận và các kết quả phân tích vẫn có giá trị tham khảo cao. Trong tương lai, các nghiên cứu </w:t>
      </w:r>
      <w:r w:rsidR="00E66A7B">
        <w:rPr>
          <w:bCs/>
          <w:sz w:val="22"/>
          <w:szCs w:val="22"/>
        </w:rPr>
        <w:t>sẽ</w:t>
      </w:r>
      <w:r w:rsidR="00E66A7B" w:rsidRPr="00A30E69">
        <w:rPr>
          <w:bCs/>
          <w:sz w:val="22"/>
          <w:szCs w:val="22"/>
        </w:rPr>
        <w:t xml:space="preserve"> cập nhật dữ liệu mới nhất để phản ánh chính xác hơn sự thay đổi trong cơ cấu kinh tế, đồng thời kết hợp với các mô hình phân tích khác như mô hình cân bằng tổng thể hoặc mô hình dự báo kinh tế để đưa ra các khuyến nghị chính sách toàn diện hơn.</w:t>
      </w:r>
      <w:r w:rsidR="00E66A7B">
        <w:rPr>
          <w:bCs/>
          <w:sz w:val="22"/>
          <w:szCs w:val="22"/>
        </w:rPr>
        <w:t xml:space="preserve"> </w:t>
      </w:r>
      <w:r w:rsidR="00E66A7B" w:rsidRPr="00A30E69">
        <w:rPr>
          <w:bCs/>
          <w:sz w:val="22"/>
          <w:szCs w:val="22"/>
        </w:rPr>
        <w:t>Tóm lại, nghiên cứu này không chỉ cung cấp một bức tranh tổng thể về sự liên kết giữa các ngành kinh tế tại Việt Nam mà còn là cơ sở quan trọng để hoạch định các chính sách phát triển kinh tế, hướng tới tăng trưởng bền vững</w:t>
      </w:r>
      <w:r w:rsidR="00E66A7B">
        <w:rPr>
          <w:bCs/>
          <w:sz w:val="22"/>
          <w:szCs w:val="22"/>
        </w:rPr>
        <w:t xml:space="preserve">, </w:t>
      </w:r>
      <w:r w:rsidR="00E66A7B" w:rsidRPr="00A30E69">
        <w:rPr>
          <w:bCs/>
          <w:sz w:val="22"/>
          <w:szCs w:val="22"/>
        </w:rPr>
        <w:t>tối ưu hóa nguồn lực</w:t>
      </w:r>
      <w:r w:rsidR="00E66A7B">
        <w:rPr>
          <w:bCs/>
          <w:sz w:val="22"/>
          <w:szCs w:val="22"/>
        </w:rPr>
        <w:t xml:space="preserve"> và nâng cao năng lực cạnh tranh</w:t>
      </w:r>
      <w:r w:rsidR="00E66A7B" w:rsidRPr="00A30E69">
        <w:rPr>
          <w:bCs/>
          <w:sz w:val="22"/>
          <w:szCs w:val="22"/>
        </w:rPr>
        <w:t xml:space="preserve"> quốc gia.</w:t>
      </w:r>
    </w:p>
    <w:p w:rsidR="00E66A7B" w:rsidRDefault="00E66A7B" w:rsidP="00E66A7B">
      <w:pPr>
        <w:pStyle w:val="NormalWeb"/>
        <w:spacing w:before="120" w:beforeAutospacing="0" w:after="120" w:afterAutospacing="0"/>
        <w:jc w:val="both"/>
        <w:rPr>
          <w:b/>
          <w:sz w:val="22"/>
          <w:szCs w:val="22"/>
        </w:rPr>
      </w:pPr>
      <w:r w:rsidRPr="007C02A9">
        <w:rPr>
          <w:b/>
          <w:sz w:val="22"/>
          <w:szCs w:val="22"/>
        </w:rPr>
        <w:t>6. TÀI LIỆU THAM KHẢO</w:t>
      </w:r>
    </w:p>
    <w:p w:rsidR="00E66A7B" w:rsidRPr="007E3C8A" w:rsidRDefault="00E66A7B" w:rsidP="00E66A7B">
      <w:pPr>
        <w:pStyle w:val="NormalWeb"/>
        <w:spacing w:before="120" w:beforeAutospacing="0" w:after="120" w:afterAutospacing="0"/>
        <w:jc w:val="both"/>
        <w:rPr>
          <w:color w:val="000000" w:themeColor="text1"/>
          <w:sz w:val="20"/>
          <w:szCs w:val="20"/>
        </w:rPr>
      </w:pPr>
      <w:r w:rsidRPr="003C360F">
        <w:rPr>
          <w:sz w:val="20"/>
          <w:szCs w:val="20"/>
        </w:rPr>
        <w:t>1.</w:t>
      </w:r>
      <w:r>
        <w:rPr>
          <w:sz w:val="20"/>
          <w:szCs w:val="20"/>
        </w:rPr>
        <w:t xml:space="preserve"> Bùi Tất Thắng. </w:t>
      </w:r>
      <w:r w:rsidRPr="007E3C8A">
        <w:rPr>
          <w:color w:val="000000" w:themeColor="text1"/>
          <w:sz w:val="20"/>
          <w:szCs w:val="20"/>
          <w:shd w:val="clear" w:color="auto" w:fill="FFFFFF"/>
        </w:rPr>
        <w:t xml:space="preserve">Những đột phá và định hướng lớn của Chiến lược phát triển kinh </w:t>
      </w:r>
      <w:r>
        <w:rPr>
          <w:color w:val="000000" w:themeColor="text1"/>
          <w:sz w:val="20"/>
          <w:szCs w:val="20"/>
          <w:shd w:val="clear" w:color="auto" w:fill="FFFFFF"/>
        </w:rPr>
        <w:t>tế - xã hội giai đoạn 2021-2030,</w:t>
      </w:r>
      <w:r w:rsidRPr="007E3C8A">
        <w:rPr>
          <w:color w:val="000000" w:themeColor="text1"/>
          <w:sz w:val="20"/>
          <w:szCs w:val="20"/>
          <w:shd w:val="clear" w:color="auto" w:fill="FFFFFF"/>
        </w:rPr>
        <w:t xml:space="preserve"> </w:t>
      </w:r>
      <w:r w:rsidRPr="007E3C8A">
        <w:rPr>
          <w:i/>
          <w:color w:val="000000" w:themeColor="text1"/>
          <w:sz w:val="20"/>
          <w:szCs w:val="20"/>
          <w:shd w:val="clear" w:color="auto" w:fill="FFFFFF"/>
        </w:rPr>
        <w:t>Tạp chí Kinh tế Tài chính Việt Nam</w:t>
      </w:r>
      <w:r>
        <w:rPr>
          <w:color w:val="000000" w:themeColor="text1"/>
          <w:sz w:val="20"/>
          <w:szCs w:val="20"/>
          <w:shd w:val="clear" w:color="auto" w:fill="FFFFFF"/>
        </w:rPr>
        <w:t xml:space="preserve">, </w:t>
      </w:r>
      <w:r w:rsidRPr="007E3C8A">
        <w:rPr>
          <w:b/>
          <w:color w:val="000000" w:themeColor="text1"/>
          <w:sz w:val="20"/>
          <w:szCs w:val="20"/>
          <w:shd w:val="clear" w:color="auto" w:fill="FFFFFF"/>
        </w:rPr>
        <w:t>2021</w:t>
      </w:r>
      <w:r>
        <w:rPr>
          <w:color w:val="000000" w:themeColor="text1"/>
          <w:sz w:val="20"/>
          <w:szCs w:val="20"/>
          <w:shd w:val="clear" w:color="auto" w:fill="FFFFFF"/>
        </w:rPr>
        <w:t>, (</w:t>
      </w:r>
      <w:r w:rsidRPr="007E3C8A">
        <w:rPr>
          <w:color w:val="000000" w:themeColor="text1"/>
          <w:sz w:val="20"/>
          <w:szCs w:val="20"/>
          <w:shd w:val="clear" w:color="auto" w:fill="FFFFFF"/>
        </w:rPr>
        <w:t>1</w:t>
      </w:r>
      <w:r>
        <w:rPr>
          <w:color w:val="000000" w:themeColor="text1"/>
          <w:sz w:val="20"/>
          <w:szCs w:val="20"/>
          <w:shd w:val="clear" w:color="auto" w:fill="FFFFFF"/>
        </w:rPr>
        <w:t>)</w:t>
      </w:r>
      <w:r w:rsidRPr="007E3C8A">
        <w:rPr>
          <w:color w:val="000000" w:themeColor="text1"/>
          <w:sz w:val="20"/>
          <w:szCs w:val="20"/>
          <w:shd w:val="clear" w:color="auto" w:fill="FFFFFF"/>
        </w:rPr>
        <w:t>.</w:t>
      </w:r>
    </w:p>
    <w:p w:rsidR="00E66A7B" w:rsidRPr="00553F43" w:rsidRDefault="00E66A7B" w:rsidP="00E66A7B">
      <w:pPr>
        <w:jc w:val="both"/>
        <w:rPr>
          <w:sz w:val="20"/>
          <w:szCs w:val="20"/>
        </w:rPr>
      </w:pPr>
      <w:r>
        <w:rPr>
          <w:sz w:val="20"/>
          <w:szCs w:val="20"/>
        </w:rPr>
        <w:t>2</w:t>
      </w:r>
      <w:r w:rsidRPr="00553F43">
        <w:rPr>
          <w:sz w:val="20"/>
          <w:szCs w:val="20"/>
        </w:rPr>
        <w:t xml:space="preserve">. </w:t>
      </w:r>
      <w:r>
        <w:rPr>
          <w:sz w:val="20"/>
          <w:szCs w:val="20"/>
        </w:rPr>
        <w:t>Wassily Leontief.</w:t>
      </w:r>
      <w:r w:rsidRPr="00553F43">
        <w:rPr>
          <w:sz w:val="20"/>
          <w:szCs w:val="20"/>
        </w:rPr>
        <w:t xml:space="preserve"> </w:t>
      </w:r>
      <w:r w:rsidRPr="00553F43">
        <w:rPr>
          <w:i/>
          <w:sz w:val="20"/>
          <w:szCs w:val="20"/>
        </w:rPr>
        <w:t>Input - Output Economics</w:t>
      </w:r>
      <w:r w:rsidRPr="00553F43">
        <w:rPr>
          <w:sz w:val="20"/>
          <w:szCs w:val="20"/>
        </w:rPr>
        <w:t>, New York</w:t>
      </w:r>
      <w:r>
        <w:rPr>
          <w:sz w:val="20"/>
          <w:szCs w:val="20"/>
        </w:rPr>
        <w:t xml:space="preserve"> Offord University Press, 1986</w:t>
      </w:r>
      <w:r w:rsidRPr="00553F43">
        <w:rPr>
          <w:sz w:val="20"/>
          <w:szCs w:val="20"/>
        </w:rPr>
        <w:t>.</w:t>
      </w:r>
    </w:p>
    <w:p w:rsidR="00E66A7B" w:rsidRDefault="00E66A7B" w:rsidP="00E66A7B">
      <w:pPr>
        <w:spacing w:before="120" w:after="120"/>
        <w:jc w:val="both"/>
        <w:rPr>
          <w:sz w:val="20"/>
          <w:szCs w:val="20"/>
        </w:rPr>
      </w:pPr>
      <w:r>
        <w:rPr>
          <w:sz w:val="20"/>
          <w:szCs w:val="20"/>
        </w:rPr>
        <w:t xml:space="preserve">3. Ronald E. Miller and Peter D. Blair. </w:t>
      </w:r>
      <w:r w:rsidRPr="00553F43">
        <w:rPr>
          <w:sz w:val="20"/>
          <w:szCs w:val="20"/>
        </w:rPr>
        <w:t xml:space="preserve"> </w:t>
      </w:r>
      <w:r w:rsidRPr="00F30AB3">
        <w:rPr>
          <w:i/>
          <w:sz w:val="20"/>
          <w:szCs w:val="20"/>
        </w:rPr>
        <w:t>Input - Output Analysis – Foun</w:t>
      </w:r>
      <w:r>
        <w:rPr>
          <w:i/>
          <w:sz w:val="20"/>
          <w:szCs w:val="20"/>
        </w:rPr>
        <w:t xml:space="preserve">dation and Extensions </w:t>
      </w:r>
      <w:r w:rsidRPr="00F30AB3">
        <w:rPr>
          <w:i/>
          <w:sz w:val="20"/>
          <w:szCs w:val="20"/>
        </w:rPr>
        <w:t>(Second Edition)</w:t>
      </w:r>
      <w:r w:rsidRPr="00F30AB3">
        <w:rPr>
          <w:sz w:val="20"/>
          <w:szCs w:val="20"/>
        </w:rPr>
        <w:t>,</w:t>
      </w:r>
      <w:r w:rsidRPr="00553F43">
        <w:rPr>
          <w:sz w:val="20"/>
          <w:szCs w:val="20"/>
        </w:rPr>
        <w:t xml:space="preserve"> Cambrid</w:t>
      </w:r>
      <w:r>
        <w:rPr>
          <w:sz w:val="20"/>
          <w:szCs w:val="20"/>
        </w:rPr>
        <w:t>ge University Press, New York, 2009</w:t>
      </w:r>
      <w:r w:rsidRPr="00553F43">
        <w:rPr>
          <w:sz w:val="20"/>
          <w:szCs w:val="20"/>
        </w:rPr>
        <w:t>.</w:t>
      </w:r>
    </w:p>
    <w:p w:rsidR="00E66A7B" w:rsidRPr="00462BDB" w:rsidRDefault="00E66A7B" w:rsidP="00E66A7B">
      <w:pPr>
        <w:spacing w:before="120" w:after="120"/>
        <w:jc w:val="both"/>
        <w:rPr>
          <w:sz w:val="20"/>
          <w:szCs w:val="20"/>
        </w:rPr>
      </w:pPr>
      <w:r>
        <w:rPr>
          <w:sz w:val="20"/>
          <w:szCs w:val="20"/>
        </w:rPr>
        <w:t>4. World Bank Group.</w:t>
      </w:r>
      <w:r w:rsidRPr="00462BDB">
        <w:rPr>
          <w:sz w:val="20"/>
          <w:szCs w:val="20"/>
        </w:rPr>
        <w:t xml:space="preserve"> World Bank Group Global Market Survey: Digital Technology and The Future of Finance,</w:t>
      </w:r>
      <w:r>
        <w:rPr>
          <w:sz w:val="20"/>
          <w:szCs w:val="20"/>
        </w:rPr>
        <w:t xml:space="preserve"> </w:t>
      </w:r>
      <w:r w:rsidRPr="00BB0D7A">
        <w:rPr>
          <w:i/>
          <w:sz w:val="20"/>
          <w:szCs w:val="20"/>
        </w:rPr>
        <w:t>Tạp chí Khoa học và Công nghệ Việt Nam</w:t>
      </w:r>
      <w:r>
        <w:rPr>
          <w:sz w:val="20"/>
          <w:szCs w:val="20"/>
        </w:rPr>
        <w:t>,</w:t>
      </w:r>
      <w:r w:rsidRPr="00462BDB">
        <w:rPr>
          <w:sz w:val="20"/>
          <w:szCs w:val="20"/>
        </w:rPr>
        <w:t xml:space="preserve"> </w:t>
      </w:r>
      <w:r w:rsidRPr="00BB0D7A">
        <w:rPr>
          <w:b/>
          <w:sz w:val="20"/>
          <w:szCs w:val="20"/>
        </w:rPr>
        <w:t>2022</w:t>
      </w:r>
      <w:r>
        <w:rPr>
          <w:sz w:val="20"/>
          <w:szCs w:val="20"/>
        </w:rPr>
        <w:t>, 75</w:t>
      </w:r>
      <w:r w:rsidRPr="00462BDB">
        <w:rPr>
          <w:sz w:val="20"/>
          <w:szCs w:val="20"/>
        </w:rPr>
        <w:t>.</w:t>
      </w:r>
    </w:p>
    <w:p w:rsidR="00E66A7B" w:rsidRDefault="00E66A7B" w:rsidP="00E66A7B">
      <w:pPr>
        <w:spacing w:before="120" w:after="120"/>
        <w:jc w:val="both"/>
        <w:rPr>
          <w:sz w:val="20"/>
          <w:szCs w:val="20"/>
        </w:rPr>
      </w:pPr>
      <w:r>
        <w:rPr>
          <w:sz w:val="20"/>
          <w:szCs w:val="20"/>
        </w:rPr>
        <w:t xml:space="preserve">5. Manfred Lenzen. </w:t>
      </w:r>
      <w:r w:rsidRPr="00BB0D7A">
        <w:rPr>
          <w:sz w:val="20"/>
          <w:szCs w:val="20"/>
        </w:rPr>
        <w:t xml:space="preserve">A generalized input output multiplier calculus for Australia, </w:t>
      </w:r>
      <w:r w:rsidRPr="005E19B3">
        <w:rPr>
          <w:i/>
          <w:sz w:val="20"/>
          <w:szCs w:val="20"/>
        </w:rPr>
        <w:t>Economic System Research</w:t>
      </w:r>
      <w:r w:rsidRPr="00BB0D7A">
        <w:rPr>
          <w:sz w:val="20"/>
          <w:szCs w:val="20"/>
        </w:rPr>
        <w:t>,</w:t>
      </w:r>
      <w:r>
        <w:rPr>
          <w:sz w:val="20"/>
          <w:szCs w:val="20"/>
        </w:rPr>
        <w:t xml:space="preserve"> </w:t>
      </w:r>
      <w:r w:rsidRPr="005E19B3">
        <w:rPr>
          <w:b/>
          <w:sz w:val="20"/>
          <w:szCs w:val="20"/>
        </w:rPr>
        <w:t>2001</w:t>
      </w:r>
      <w:r>
        <w:rPr>
          <w:sz w:val="20"/>
          <w:szCs w:val="20"/>
        </w:rPr>
        <w:t xml:space="preserve">, </w:t>
      </w:r>
      <w:r w:rsidRPr="00DF5377">
        <w:rPr>
          <w:i/>
          <w:sz w:val="20"/>
          <w:szCs w:val="20"/>
        </w:rPr>
        <w:t>13</w:t>
      </w:r>
      <w:r>
        <w:rPr>
          <w:sz w:val="20"/>
          <w:szCs w:val="20"/>
        </w:rPr>
        <w:t>, 65-92.</w:t>
      </w:r>
    </w:p>
    <w:p w:rsidR="00E66A7B" w:rsidRPr="005E19B3" w:rsidRDefault="00E66A7B" w:rsidP="00E66A7B">
      <w:pPr>
        <w:spacing w:before="120" w:after="120"/>
        <w:jc w:val="both"/>
        <w:rPr>
          <w:sz w:val="20"/>
          <w:szCs w:val="20"/>
        </w:rPr>
      </w:pPr>
      <w:r>
        <w:rPr>
          <w:sz w:val="20"/>
          <w:szCs w:val="20"/>
        </w:rPr>
        <w:t>6. Abbas Valadkhani. UsingInput-</w:t>
      </w:r>
      <w:r w:rsidRPr="00F056BF">
        <w:rPr>
          <w:sz w:val="20"/>
          <w:szCs w:val="20"/>
        </w:rPr>
        <w:t xml:space="preserve">Output Analysis to Identify Australia’s High Employment Generating Industries, </w:t>
      </w:r>
      <w:r w:rsidRPr="005E19B3">
        <w:rPr>
          <w:i/>
          <w:sz w:val="20"/>
          <w:szCs w:val="20"/>
        </w:rPr>
        <w:t>Australian Bulletinof Labour</w:t>
      </w:r>
      <w:r w:rsidRPr="005E19B3">
        <w:rPr>
          <w:sz w:val="20"/>
          <w:szCs w:val="20"/>
        </w:rPr>
        <w:t xml:space="preserve">, </w:t>
      </w:r>
      <w:r w:rsidRPr="005E19B3">
        <w:rPr>
          <w:b/>
          <w:sz w:val="20"/>
          <w:szCs w:val="20"/>
        </w:rPr>
        <w:t>2003</w:t>
      </w:r>
      <w:r w:rsidRPr="005E19B3">
        <w:rPr>
          <w:sz w:val="20"/>
          <w:szCs w:val="20"/>
        </w:rPr>
        <w:t xml:space="preserve">, </w:t>
      </w:r>
      <w:r w:rsidRPr="005E19B3">
        <w:rPr>
          <w:i/>
          <w:sz w:val="20"/>
          <w:szCs w:val="20"/>
        </w:rPr>
        <w:t>29</w:t>
      </w:r>
      <w:r w:rsidRPr="005E19B3">
        <w:rPr>
          <w:sz w:val="20"/>
          <w:szCs w:val="20"/>
        </w:rPr>
        <w:t>(3), 199-217.</w:t>
      </w:r>
    </w:p>
    <w:p w:rsidR="00E66A7B" w:rsidRPr="005E19B3" w:rsidRDefault="00E66A7B" w:rsidP="00E66A7B">
      <w:pPr>
        <w:spacing w:before="120" w:after="120"/>
        <w:jc w:val="both"/>
        <w:rPr>
          <w:color w:val="000000" w:themeColor="text1"/>
          <w:sz w:val="20"/>
          <w:szCs w:val="20"/>
        </w:rPr>
      </w:pPr>
      <w:r w:rsidRPr="005E19B3">
        <w:rPr>
          <w:color w:val="000000" w:themeColor="text1"/>
          <w:sz w:val="20"/>
          <w:szCs w:val="20"/>
        </w:rPr>
        <w:t>7.</w:t>
      </w:r>
      <w:r>
        <w:rPr>
          <w:color w:val="000000" w:themeColor="text1"/>
          <w:sz w:val="20"/>
          <w:szCs w:val="20"/>
        </w:rPr>
        <w:t xml:space="preserve"> Hussain Ali Bekhet.</w:t>
      </w:r>
      <w:r w:rsidRPr="005E19B3">
        <w:rPr>
          <w:color w:val="000000" w:themeColor="text1"/>
          <w:spacing w:val="3"/>
          <w:sz w:val="20"/>
          <w:szCs w:val="20"/>
          <w:shd w:val="clear" w:color="auto" w:fill="FFFFFF"/>
        </w:rPr>
        <w:t xml:space="preserve"> Output, Income and Employment Multipliers in Malaysian Economy: Input-Output Approach, </w:t>
      </w:r>
      <w:r w:rsidRPr="005E19B3">
        <w:rPr>
          <w:i/>
          <w:color w:val="000000" w:themeColor="text1"/>
          <w:spacing w:val="3"/>
          <w:sz w:val="20"/>
          <w:szCs w:val="20"/>
          <w:shd w:val="clear" w:color="auto" w:fill="FFFFFF"/>
        </w:rPr>
        <w:t>International Business. Research</w:t>
      </w:r>
      <w:r>
        <w:rPr>
          <w:color w:val="000000" w:themeColor="text1"/>
          <w:spacing w:val="3"/>
          <w:sz w:val="20"/>
          <w:szCs w:val="20"/>
          <w:shd w:val="clear" w:color="auto" w:fill="FFFFFF"/>
        </w:rPr>
        <w:t xml:space="preserve">, </w:t>
      </w:r>
      <w:r w:rsidRPr="005E19B3">
        <w:rPr>
          <w:b/>
          <w:color w:val="000000" w:themeColor="text1"/>
          <w:spacing w:val="3"/>
          <w:sz w:val="20"/>
          <w:szCs w:val="20"/>
          <w:shd w:val="clear" w:color="auto" w:fill="FFFFFF"/>
        </w:rPr>
        <w:t>2011</w:t>
      </w:r>
      <w:r>
        <w:rPr>
          <w:color w:val="000000" w:themeColor="text1"/>
          <w:spacing w:val="3"/>
          <w:sz w:val="20"/>
          <w:szCs w:val="20"/>
          <w:shd w:val="clear" w:color="auto" w:fill="FFFFFF"/>
        </w:rPr>
        <w:t xml:space="preserve">, </w:t>
      </w:r>
      <w:r w:rsidRPr="005E19B3">
        <w:rPr>
          <w:i/>
          <w:color w:val="000000" w:themeColor="text1"/>
          <w:spacing w:val="3"/>
          <w:sz w:val="20"/>
          <w:szCs w:val="20"/>
          <w:shd w:val="clear" w:color="auto" w:fill="FFFFFF"/>
        </w:rPr>
        <w:t>4</w:t>
      </w:r>
      <w:r>
        <w:rPr>
          <w:color w:val="000000" w:themeColor="text1"/>
          <w:spacing w:val="3"/>
          <w:sz w:val="20"/>
          <w:szCs w:val="20"/>
          <w:shd w:val="clear" w:color="auto" w:fill="FFFFFF"/>
        </w:rPr>
        <w:t>(</w:t>
      </w:r>
      <w:r w:rsidRPr="005E19B3">
        <w:rPr>
          <w:color w:val="000000" w:themeColor="text1"/>
          <w:spacing w:val="3"/>
          <w:sz w:val="20"/>
          <w:szCs w:val="20"/>
          <w:shd w:val="clear" w:color="auto" w:fill="FFFFFF"/>
        </w:rPr>
        <w:t>1</w:t>
      </w:r>
      <w:r>
        <w:rPr>
          <w:color w:val="000000" w:themeColor="text1"/>
          <w:spacing w:val="3"/>
          <w:sz w:val="20"/>
          <w:szCs w:val="20"/>
          <w:shd w:val="clear" w:color="auto" w:fill="FFFFFF"/>
        </w:rPr>
        <w:t>), 208-223</w:t>
      </w:r>
      <w:r w:rsidRPr="005E19B3">
        <w:rPr>
          <w:color w:val="000000" w:themeColor="text1"/>
          <w:spacing w:val="3"/>
          <w:sz w:val="20"/>
          <w:szCs w:val="20"/>
          <w:shd w:val="clear" w:color="auto" w:fill="FFFFFF"/>
        </w:rPr>
        <w:t>.</w:t>
      </w:r>
    </w:p>
    <w:p w:rsidR="00E66A7B" w:rsidRPr="00553F43" w:rsidRDefault="00E66A7B" w:rsidP="00E66A7B">
      <w:pPr>
        <w:spacing w:before="120" w:after="120"/>
        <w:jc w:val="both"/>
        <w:rPr>
          <w:sz w:val="20"/>
          <w:szCs w:val="20"/>
        </w:rPr>
      </w:pPr>
      <w:r>
        <w:rPr>
          <w:sz w:val="20"/>
          <w:szCs w:val="20"/>
        </w:rPr>
        <w:t>8. Nguyễn Phương Thảo.</w:t>
      </w:r>
      <w:r w:rsidRPr="00553F43">
        <w:rPr>
          <w:sz w:val="20"/>
          <w:szCs w:val="20"/>
        </w:rPr>
        <w:t xml:space="preserve"> </w:t>
      </w:r>
      <w:r w:rsidRPr="00F30AB3">
        <w:rPr>
          <w:sz w:val="20"/>
          <w:szCs w:val="20"/>
        </w:rPr>
        <w:t>“Sử dụng mô hình cân đối liên ngành trong việc lựa chọn ngành kinh tế trọng điểm của Việt Nam”</w:t>
      </w:r>
      <w:r>
        <w:rPr>
          <w:sz w:val="20"/>
          <w:szCs w:val="20"/>
        </w:rPr>
        <w:t xml:space="preserve">, </w:t>
      </w:r>
      <w:r w:rsidRPr="00F30AB3">
        <w:rPr>
          <w:i/>
          <w:sz w:val="20"/>
          <w:szCs w:val="20"/>
        </w:rPr>
        <w:t>Tạp chí Khoa học ĐHQGHN: Kinh tế và Kinh doanh,</w:t>
      </w:r>
      <w:r w:rsidRPr="00553F43">
        <w:rPr>
          <w:sz w:val="20"/>
          <w:szCs w:val="20"/>
        </w:rPr>
        <w:t xml:space="preserve"> </w:t>
      </w:r>
      <w:r w:rsidRPr="00F30AB3">
        <w:rPr>
          <w:b/>
          <w:sz w:val="20"/>
          <w:szCs w:val="20"/>
        </w:rPr>
        <w:t>2015</w:t>
      </w:r>
      <w:r>
        <w:rPr>
          <w:sz w:val="20"/>
          <w:szCs w:val="20"/>
        </w:rPr>
        <w:t xml:space="preserve">, </w:t>
      </w:r>
      <w:r w:rsidRPr="00F30AB3">
        <w:rPr>
          <w:i/>
          <w:sz w:val="20"/>
          <w:szCs w:val="20"/>
        </w:rPr>
        <w:t>31</w:t>
      </w:r>
      <w:r w:rsidRPr="00176CC8">
        <w:rPr>
          <w:sz w:val="20"/>
          <w:szCs w:val="20"/>
        </w:rPr>
        <w:t>(4)</w:t>
      </w:r>
      <w:r>
        <w:rPr>
          <w:sz w:val="20"/>
          <w:szCs w:val="20"/>
        </w:rPr>
        <w:t>, 1-10</w:t>
      </w:r>
      <w:r w:rsidRPr="00553F43">
        <w:rPr>
          <w:sz w:val="20"/>
          <w:szCs w:val="20"/>
        </w:rPr>
        <w:t>.</w:t>
      </w:r>
    </w:p>
    <w:p w:rsidR="00E66A7B" w:rsidRPr="0044723E" w:rsidRDefault="00E66A7B" w:rsidP="00E66A7B">
      <w:pPr>
        <w:spacing w:before="120" w:after="120" w:line="298" w:lineRule="auto"/>
        <w:jc w:val="both"/>
        <w:rPr>
          <w:sz w:val="20"/>
          <w:szCs w:val="20"/>
        </w:rPr>
      </w:pPr>
      <w:r>
        <w:rPr>
          <w:sz w:val="20"/>
          <w:szCs w:val="20"/>
        </w:rPr>
        <w:t xml:space="preserve">9. Bùi </w:t>
      </w:r>
      <w:r w:rsidRPr="00553F43">
        <w:rPr>
          <w:sz w:val="20"/>
          <w:szCs w:val="20"/>
        </w:rPr>
        <w:t>Trin</w:t>
      </w:r>
      <w:r>
        <w:rPr>
          <w:sz w:val="20"/>
          <w:szCs w:val="20"/>
        </w:rPr>
        <w:t>h, Phạm Lê Hoa &amp; Bùi Châu Giang.</w:t>
      </w:r>
      <w:r w:rsidRPr="00553F43">
        <w:rPr>
          <w:sz w:val="20"/>
          <w:szCs w:val="20"/>
        </w:rPr>
        <w:t xml:space="preserve"> </w:t>
      </w:r>
      <w:r w:rsidRPr="0044723E">
        <w:rPr>
          <w:sz w:val="20"/>
          <w:szCs w:val="20"/>
        </w:rPr>
        <w:t>“Import Multiplier in Input-output Analysis”,</w:t>
      </w:r>
      <w:r>
        <w:rPr>
          <w:sz w:val="20"/>
          <w:szCs w:val="20"/>
        </w:rPr>
        <w:t xml:space="preserve"> </w:t>
      </w:r>
      <w:r w:rsidRPr="0044723E">
        <w:rPr>
          <w:i/>
          <w:sz w:val="20"/>
          <w:szCs w:val="20"/>
        </w:rPr>
        <w:t>VNU Journal of Sci</w:t>
      </w:r>
      <w:r>
        <w:rPr>
          <w:i/>
          <w:sz w:val="20"/>
          <w:szCs w:val="20"/>
        </w:rPr>
        <w:t>ence, Economics and Business 25</w:t>
      </w:r>
      <w:r>
        <w:rPr>
          <w:sz w:val="20"/>
          <w:szCs w:val="20"/>
        </w:rPr>
        <w:t xml:space="preserve">, </w:t>
      </w:r>
      <w:r w:rsidRPr="0044723E">
        <w:rPr>
          <w:b/>
          <w:sz w:val="20"/>
          <w:szCs w:val="20"/>
        </w:rPr>
        <w:t>2009</w:t>
      </w:r>
      <w:r>
        <w:rPr>
          <w:sz w:val="20"/>
          <w:szCs w:val="20"/>
        </w:rPr>
        <w:t>, 41-45</w:t>
      </w:r>
      <w:r w:rsidRPr="0044723E">
        <w:rPr>
          <w:sz w:val="20"/>
          <w:szCs w:val="20"/>
        </w:rPr>
        <w:t>.</w:t>
      </w:r>
    </w:p>
    <w:p w:rsidR="00E66A7B" w:rsidRPr="00553F43" w:rsidRDefault="00E66A7B" w:rsidP="00E66A7B">
      <w:pPr>
        <w:spacing w:before="120" w:after="120"/>
        <w:jc w:val="both"/>
        <w:rPr>
          <w:sz w:val="20"/>
          <w:szCs w:val="20"/>
        </w:rPr>
      </w:pPr>
      <w:r>
        <w:rPr>
          <w:sz w:val="20"/>
          <w:szCs w:val="20"/>
        </w:rPr>
        <w:lastRenderedPageBreak/>
        <w:t>10. Kwang-Man KO</w:t>
      </w:r>
      <w:r w:rsidRPr="00553F43">
        <w:rPr>
          <w:sz w:val="20"/>
          <w:szCs w:val="20"/>
        </w:rPr>
        <w:t>, Bu</w:t>
      </w:r>
      <w:r>
        <w:rPr>
          <w:sz w:val="20"/>
          <w:szCs w:val="20"/>
        </w:rPr>
        <w:t>i Trinh, Fuminari Kaneko, Secretario T..</w:t>
      </w:r>
      <w:r w:rsidRPr="00553F43">
        <w:rPr>
          <w:sz w:val="20"/>
          <w:szCs w:val="20"/>
        </w:rPr>
        <w:t xml:space="preserve"> </w:t>
      </w:r>
      <w:r w:rsidRPr="00F30AB3">
        <w:rPr>
          <w:i/>
          <w:sz w:val="20"/>
          <w:szCs w:val="20"/>
        </w:rPr>
        <w:t>“Structural Analysis of National Economy in Vietnam: Comparative Time Series Analysis based on 1989-1996-2000’s Vietnam I/O Tables”</w:t>
      </w:r>
      <w:r w:rsidRPr="00553F43">
        <w:rPr>
          <w:sz w:val="20"/>
          <w:szCs w:val="20"/>
        </w:rPr>
        <w:t xml:space="preserve"> presented at the 18th conference Pan Pacific Association of input-outp</w:t>
      </w:r>
      <w:r>
        <w:rPr>
          <w:sz w:val="20"/>
          <w:szCs w:val="20"/>
        </w:rPr>
        <w:t>ut studies, Chukyo University, 2007</w:t>
      </w:r>
      <w:r w:rsidRPr="00553F43">
        <w:rPr>
          <w:sz w:val="20"/>
          <w:szCs w:val="20"/>
        </w:rPr>
        <w:t>.</w:t>
      </w:r>
    </w:p>
    <w:p w:rsidR="00E66A7B" w:rsidRPr="00553F43" w:rsidRDefault="00E66A7B" w:rsidP="00E66A7B">
      <w:pPr>
        <w:jc w:val="both"/>
        <w:rPr>
          <w:sz w:val="20"/>
          <w:szCs w:val="20"/>
        </w:rPr>
      </w:pPr>
      <w:r>
        <w:rPr>
          <w:sz w:val="20"/>
          <w:szCs w:val="20"/>
        </w:rPr>
        <w:t>11</w:t>
      </w:r>
      <w:r w:rsidRPr="00553F43">
        <w:rPr>
          <w:sz w:val="20"/>
          <w:szCs w:val="20"/>
        </w:rPr>
        <w:t>. Ngu</w:t>
      </w:r>
      <w:r>
        <w:rPr>
          <w:sz w:val="20"/>
          <w:szCs w:val="20"/>
        </w:rPr>
        <w:t>yễn Khắc Minh, Nguyễn Việt Hùng.</w:t>
      </w:r>
      <w:r w:rsidRPr="00553F43">
        <w:rPr>
          <w:sz w:val="20"/>
          <w:szCs w:val="20"/>
        </w:rPr>
        <w:t xml:space="preserve"> </w:t>
      </w:r>
      <w:r w:rsidRPr="00176CC8">
        <w:rPr>
          <w:sz w:val="20"/>
          <w:szCs w:val="20"/>
        </w:rPr>
        <w:t>“Thay đổi cấu trúc kinh tế ở Việt Nam - Cách tiếp cận phân tích I/O”,</w:t>
      </w:r>
      <w:r w:rsidRPr="00553F43">
        <w:rPr>
          <w:sz w:val="20"/>
          <w:szCs w:val="20"/>
        </w:rPr>
        <w:t xml:space="preserve"> </w:t>
      </w:r>
      <w:r>
        <w:rPr>
          <w:i/>
          <w:sz w:val="20"/>
          <w:szCs w:val="20"/>
        </w:rPr>
        <w:t xml:space="preserve">Tạp chí Kinh tế &amp; Phát triển, </w:t>
      </w:r>
      <w:r w:rsidRPr="00176CC8">
        <w:rPr>
          <w:b/>
          <w:sz w:val="20"/>
          <w:szCs w:val="20"/>
        </w:rPr>
        <w:t>2009</w:t>
      </w:r>
      <w:r>
        <w:rPr>
          <w:sz w:val="20"/>
          <w:szCs w:val="20"/>
        </w:rPr>
        <w:t xml:space="preserve">, </w:t>
      </w:r>
      <w:r w:rsidRPr="00176CC8">
        <w:rPr>
          <w:i/>
          <w:sz w:val="20"/>
          <w:szCs w:val="20"/>
        </w:rPr>
        <w:t xml:space="preserve">142 </w:t>
      </w:r>
      <w:r w:rsidRPr="00176CC8">
        <w:rPr>
          <w:sz w:val="20"/>
          <w:szCs w:val="20"/>
        </w:rPr>
        <w:t>(4)</w:t>
      </w:r>
      <w:r w:rsidRPr="00553F43">
        <w:rPr>
          <w:sz w:val="20"/>
          <w:szCs w:val="20"/>
        </w:rPr>
        <w:t>.</w:t>
      </w:r>
    </w:p>
    <w:p w:rsidR="00E66A7B" w:rsidRPr="00553F43" w:rsidRDefault="00E66A7B" w:rsidP="00E66A7B">
      <w:pPr>
        <w:spacing w:before="120" w:after="120"/>
        <w:jc w:val="both"/>
        <w:rPr>
          <w:sz w:val="20"/>
          <w:szCs w:val="20"/>
        </w:rPr>
      </w:pPr>
      <w:r>
        <w:rPr>
          <w:sz w:val="20"/>
          <w:szCs w:val="20"/>
        </w:rPr>
        <w:t>12</w:t>
      </w:r>
      <w:r w:rsidRPr="00553F43">
        <w:rPr>
          <w:sz w:val="20"/>
          <w:szCs w:val="20"/>
        </w:rPr>
        <w:t>. Bùi Trinh, Ki</w:t>
      </w:r>
      <w:r>
        <w:rPr>
          <w:sz w:val="20"/>
          <w:szCs w:val="20"/>
        </w:rPr>
        <w:t>yoshi Kobayashi, Vũ Trung Điền.</w:t>
      </w:r>
      <w:r w:rsidRPr="00553F43">
        <w:rPr>
          <w:sz w:val="20"/>
          <w:szCs w:val="20"/>
        </w:rPr>
        <w:t xml:space="preserve"> </w:t>
      </w:r>
      <w:r w:rsidRPr="00BB0D7A">
        <w:rPr>
          <w:sz w:val="20"/>
          <w:szCs w:val="20"/>
        </w:rPr>
        <w:t>“Economic Integration and Trade Deficit: A Case of Vietnam”,</w:t>
      </w:r>
      <w:r w:rsidRPr="00553F43">
        <w:rPr>
          <w:sz w:val="20"/>
          <w:szCs w:val="20"/>
        </w:rPr>
        <w:t xml:space="preserve"> </w:t>
      </w:r>
      <w:r w:rsidRPr="00BB0D7A">
        <w:rPr>
          <w:i/>
          <w:sz w:val="20"/>
          <w:szCs w:val="20"/>
        </w:rPr>
        <w:t>Journal of Economic and International Finance 3,</w:t>
      </w:r>
      <w:r w:rsidRPr="00BB0D7A">
        <w:rPr>
          <w:b/>
          <w:sz w:val="20"/>
          <w:szCs w:val="20"/>
        </w:rPr>
        <w:t xml:space="preserve"> 2011</w:t>
      </w:r>
      <w:r w:rsidRPr="00553F43">
        <w:rPr>
          <w:sz w:val="20"/>
          <w:szCs w:val="20"/>
        </w:rPr>
        <w:t>.</w:t>
      </w:r>
    </w:p>
    <w:p w:rsidR="00E66A7B" w:rsidRDefault="00E66A7B" w:rsidP="00E66A7B">
      <w:pPr>
        <w:spacing w:before="120" w:after="120"/>
        <w:jc w:val="both"/>
        <w:rPr>
          <w:sz w:val="20"/>
          <w:szCs w:val="20"/>
        </w:rPr>
      </w:pPr>
      <w:r>
        <w:rPr>
          <w:sz w:val="20"/>
          <w:szCs w:val="20"/>
        </w:rPr>
        <w:t>13</w:t>
      </w:r>
      <w:r w:rsidRPr="00553F43">
        <w:rPr>
          <w:sz w:val="20"/>
          <w:szCs w:val="20"/>
        </w:rPr>
        <w:t>. Bùi Trinh, Kiyoshi Kobayashi, Vũ Trung Điền, Phạm Lê Hoa, Nguyễn Việt Phong</w:t>
      </w:r>
      <w:r>
        <w:rPr>
          <w:sz w:val="20"/>
          <w:szCs w:val="20"/>
        </w:rPr>
        <w:t>.</w:t>
      </w:r>
      <w:r w:rsidRPr="00176CC8">
        <w:rPr>
          <w:sz w:val="20"/>
          <w:szCs w:val="20"/>
        </w:rPr>
        <w:t xml:space="preserve"> “New Economic Structure for Vietnam toward Sustainable Economic Growth in 2020”,</w:t>
      </w:r>
      <w:r w:rsidRPr="00553F43">
        <w:rPr>
          <w:sz w:val="20"/>
          <w:szCs w:val="20"/>
        </w:rPr>
        <w:t xml:space="preserve"> </w:t>
      </w:r>
      <w:r w:rsidRPr="00176CC8">
        <w:rPr>
          <w:i/>
          <w:sz w:val="20"/>
          <w:szCs w:val="20"/>
        </w:rPr>
        <w:t>Global Journal of HUMAN SOCIAL SCIENCE Sociology Economics &amp; Political Science,</w:t>
      </w:r>
      <w:r>
        <w:rPr>
          <w:i/>
          <w:sz w:val="20"/>
          <w:szCs w:val="20"/>
        </w:rPr>
        <w:t xml:space="preserve"> </w:t>
      </w:r>
      <w:r w:rsidRPr="00176CC8">
        <w:rPr>
          <w:b/>
          <w:sz w:val="20"/>
          <w:szCs w:val="20"/>
        </w:rPr>
        <w:t>2012</w:t>
      </w:r>
      <w:r>
        <w:rPr>
          <w:sz w:val="20"/>
          <w:szCs w:val="20"/>
        </w:rPr>
        <w:t>,</w:t>
      </w:r>
      <w:r w:rsidRPr="00553F43">
        <w:rPr>
          <w:sz w:val="20"/>
          <w:szCs w:val="20"/>
        </w:rPr>
        <w:t xml:space="preserve"> </w:t>
      </w:r>
      <w:r>
        <w:rPr>
          <w:i/>
          <w:sz w:val="20"/>
          <w:szCs w:val="20"/>
        </w:rPr>
        <w:t>12</w:t>
      </w:r>
      <w:r w:rsidRPr="00176CC8">
        <w:rPr>
          <w:sz w:val="20"/>
          <w:szCs w:val="20"/>
        </w:rPr>
        <w:t>(10</w:t>
      </w:r>
      <w:r>
        <w:rPr>
          <w:sz w:val="20"/>
          <w:szCs w:val="20"/>
        </w:rPr>
        <w:t>).</w:t>
      </w:r>
    </w:p>
    <w:p w:rsidR="00E66A7B" w:rsidRPr="00553F43" w:rsidRDefault="00E66A7B" w:rsidP="00E66A7B">
      <w:pPr>
        <w:spacing w:before="120" w:after="120"/>
        <w:jc w:val="both"/>
        <w:rPr>
          <w:sz w:val="20"/>
          <w:szCs w:val="20"/>
        </w:rPr>
      </w:pPr>
      <w:r>
        <w:rPr>
          <w:sz w:val="20"/>
          <w:szCs w:val="20"/>
        </w:rPr>
        <w:t>14</w:t>
      </w:r>
      <w:r w:rsidRPr="00553F43">
        <w:rPr>
          <w:sz w:val="20"/>
          <w:szCs w:val="20"/>
        </w:rPr>
        <w:t xml:space="preserve">. Tổng Cục Thống kê </w:t>
      </w:r>
      <w:r w:rsidRPr="00F03CAB">
        <w:rPr>
          <w:i/>
          <w:sz w:val="20"/>
          <w:szCs w:val="20"/>
        </w:rPr>
        <w:t>“Bảng cân đối liên ngành (I/O) của Việt Nam năm 2012”</w:t>
      </w:r>
      <w:r w:rsidRPr="00F03CAB">
        <w:rPr>
          <w:sz w:val="20"/>
          <w:szCs w:val="20"/>
        </w:rPr>
        <w:t>,</w:t>
      </w:r>
      <w:r>
        <w:rPr>
          <w:sz w:val="20"/>
          <w:szCs w:val="20"/>
        </w:rPr>
        <w:t xml:space="preserve"> Nxb Thống kê, 2015</w:t>
      </w:r>
      <w:r w:rsidRPr="00553F43">
        <w:rPr>
          <w:sz w:val="20"/>
          <w:szCs w:val="20"/>
        </w:rPr>
        <w:t>.</w:t>
      </w:r>
    </w:p>
    <w:p w:rsidR="00E66A7B" w:rsidRPr="00783CDC" w:rsidRDefault="00E66A7B" w:rsidP="00E66A7B">
      <w:pPr>
        <w:pStyle w:val="NormalWeb"/>
        <w:spacing w:before="120" w:beforeAutospacing="0" w:after="120" w:afterAutospacing="0"/>
        <w:jc w:val="both"/>
        <w:rPr>
          <w:sz w:val="22"/>
          <w:szCs w:val="22"/>
        </w:rPr>
      </w:pPr>
      <w:r>
        <w:rPr>
          <w:sz w:val="20"/>
          <w:szCs w:val="20"/>
        </w:rPr>
        <w:t>15</w:t>
      </w:r>
      <w:r w:rsidRPr="00553F43">
        <w:rPr>
          <w:sz w:val="20"/>
          <w:szCs w:val="20"/>
        </w:rPr>
        <w:t xml:space="preserve">.Tổng Cục Thống kê </w:t>
      </w:r>
      <w:r w:rsidRPr="00F03CAB">
        <w:rPr>
          <w:i/>
          <w:sz w:val="20"/>
          <w:szCs w:val="20"/>
        </w:rPr>
        <w:t>“Số liệu thống kê”</w:t>
      </w:r>
      <w:r w:rsidRPr="00553F43">
        <w:rPr>
          <w:sz w:val="20"/>
          <w:szCs w:val="20"/>
        </w:rPr>
        <w:t xml:space="preserve">, truy cập tại &lt; </w:t>
      </w:r>
      <w:hyperlink r:id="rId23" w:history="1">
        <w:r w:rsidRPr="00553F43">
          <w:rPr>
            <w:rStyle w:val="Hyperlink"/>
            <w:rFonts w:eastAsiaTheme="majorEastAsia"/>
            <w:sz w:val="20"/>
            <w:szCs w:val="20"/>
          </w:rPr>
          <w:t>https://www.gso.gov.vn</w:t>
        </w:r>
      </w:hyperlink>
      <w:r w:rsidRPr="00553F43">
        <w:rPr>
          <w:rStyle w:val="Hyperlink"/>
          <w:rFonts w:eastAsiaTheme="majorEastAsia"/>
          <w:sz w:val="20"/>
          <w:szCs w:val="20"/>
        </w:rPr>
        <w:t xml:space="preserve"> </w:t>
      </w:r>
      <w:r>
        <w:rPr>
          <w:rStyle w:val="Hyperlink"/>
          <w:rFonts w:eastAsiaTheme="majorEastAsia"/>
          <w:color w:val="000000" w:themeColor="text1"/>
          <w:sz w:val="20"/>
          <w:szCs w:val="20"/>
        </w:rPr>
        <w:t>&gt;, 2024.</w:t>
      </w:r>
    </w:p>
    <w:p w:rsidR="009D29B8" w:rsidRDefault="009D29B8" w:rsidP="00E66A7B">
      <w:pPr>
        <w:pStyle w:val="NormalWeb"/>
        <w:spacing w:before="120" w:beforeAutospacing="0" w:after="120" w:afterAutospacing="0"/>
        <w:jc w:val="both"/>
        <w:rPr>
          <w:sz w:val="22"/>
          <w:szCs w:val="22"/>
        </w:rPr>
        <w:sectPr w:rsidR="009D29B8" w:rsidSect="005E19B3">
          <w:type w:val="continuous"/>
          <w:pgSz w:w="11907" w:h="16840" w:code="9"/>
          <w:pgMar w:top="1134" w:right="1134" w:bottom="1134" w:left="1418" w:header="720" w:footer="720" w:gutter="0"/>
          <w:cols w:num="2" w:space="720"/>
          <w:docGrid w:linePitch="360"/>
        </w:sectPr>
      </w:pPr>
    </w:p>
    <w:p w:rsidR="003E5DDD" w:rsidRPr="00BB4BF5" w:rsidRDefault="003E5DDD" w:rsidP="00C4147D">
      <w:pPr>
        <w:pStyle w:val="NormalWeb"/>
        <w:spacing w:before="120" w:beforeAutospacing="0" w:after="120" w:afterAutospacing="0"/>
        <w:jc w:val="both"/>
        <w:rPr>
          <w:sz w:val="22"/>
          <w:szCs w:val="22"/>
          <w:lang w:val="vi-VN"/>
        </w:rPr>
      </w:pPr>
    </w:p>
    <w:sectPr w:rsidR="003E5DDD" w:rsidRPr="00BB4BF5" w:rsidSect="000E1CA6">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11D" w:rsidRDefault="00BD211D" w:rsidP="00311093">
      <w:r>
        <w:separator/>
      </w:r>
    </w:p>
  </w:endnote>
  <w:endnote w:type="continuationSeparator" w:id="0">
    <w:p w:rsidR="00BD211D" w:rsidRDefault="00BD211D" w:rsidP="0031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12903"/>
      <w:docPartObj>
        <w:docPartGallery w:val="Page Numbers (Bottom of Page)"/>
        <w:docPartUnique/>
      </w:docPartObj>
    </w:sdtPr>
    <w:sdtEndPr>
      <w:rPr>
        <w:noProof/>
      </w:rPr>
    </w:sdtEndPr>
    <w:sdtContent>
      <w:p w:rsidR="00CA6A9D" w:rsidRDefault="00CA6A9D">
        <w:pPr>
          <w:pStyle w:val="Footer"/>
          <w:jc w:val="center"/>
        </w:pPr>
        <w:r>
          <w:fldChar w:fldCharType="begin"/>
        </w:r>
        <w:r>
          <w:instrText xml:space="preserve"> PAGE   \* MERGEFORMAT </w:instrText>
        </w:r>
        <w:r>
          <w:fldChar w:fldCharType="separate"/>
        </w:r>
        <w:r w:rsidR="00741485">
          <w:rPr>
            <w:noProof/>
          </w:rPr>
          <w:t>3</w:t>
        </w:r>
        <w:r>
          <w:rPr>
            <w:noProof/>
          </w:rPr>
          <w:fldChar w:fldCharType="end"/>
        </w:r>
      </w:p>
    </w:sdtContent>
  </w:sdt>
  <w:p w:rsidR="00CA6A9D" w:rsidRDefault="00CA6A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11D" w:rsidRDefault="00BD211D" w:rsidP="00311093">
      <w:r>
        <w:separator/>
      </w:r>
    </w:p>
  </w:footnote>
  <w:footnote w:type="continuationSeparator" w:id="0">
    <w:p w:rsidR="00BD211D" w:rsidRDefault="00BD211D" w:rsidP="003110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10BD"/>
    <w:multiLevelType w:val="multilevel"/>
    <w:tmpl w:val="9A2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928F4"/>
    <w:multiLevelType w:val="multilevel"/>
    <w:tmpl w:val="B2A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26934"/>
    <w:multiLevelType w:val="multilevel"/>
    <w:tmpl w:val="9E44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65C48"/>
    <w:multiLevelType w:val="multilevel"/>
    <w:tmpl w:val="E16A6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12644"/>
    <w:multiLevelType w:val="multilevel"/>
    <w:tmpl w:val="90E2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56FBB"/>
    <w:multiLevelType w:val="multilevel"/>
    <w:tmpl w:val="75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19"/>
    <w:rsid w:val="000138E8"/>
    <w:rsid w:val="00070FB5"/>
    <w:rsid w:val="00075F1E"/>
    <w:rsid w:val="000D5DD4"/>
    <w:rsid w:val="000E1CA6"/>
    <w:rsid w:val="00156E5D"/>
    <w:rsid w:val="00163177"/>
    <w:rsid w:val="00176CC8"/>
    <w:rsid w:val="001903AD"/>
    <w:rsid w:val="001C7F33"/>
    <w:rsid w:val="001D04B2"/>
    <w:rsid w:val="00207C3B"/>
    <w:rsid w:val="00212810"/>
    <w:rsid w:val="00281A01"/>
    <w:rsid w:val="002C5B0C"/>
    <w:rsid w:val="003018BA"/>
    <w:rsid w:val="00311093"/>
    <w:rsid w:val="003142A5"/>
    <w:rsid w:val="00315885"/>
    <w:rsid w:val="00353D0D"/>
    <w:rsid w:val="00354D01"/>
    <w:rsid w:val="00360AAE"/>
    <w:rsid w:val="00366B68"/>
    <w:rsid w:val="0037377E"/>
    <w:rsid w:val="00377247"/>
    <w:rsid w:val="003B480A"/>
    <w:rsid w:val="003C360F"/>
    <w:rsid w:val="003E5DDD"/>
    <w:rsid w:val="004153C6"/>
    <w:rsid w:val="00421D4A"/>
    <w:rsid w:val="00430785"/>
    <w:rsid w:val="00436468"/>
    <w:rsid w:val="00446E19"/>
    <w:rsid w:val="0044723E"/>
    <w:rsid w:val="0045134C"/>
    <w:rsid w:val="00454D5A"/>
    <w:rsid w:val="00462BDB"/>
    <w:rsid w:val="004941ED"/>
    <w:rsid w:val="004B5BD5"/>
    <w:rsid w:val="004E21C3"/>
    <w:rsid w:val="005208A8"/>
    <w:rsid w:val="00520B28"/>
    <w:rsid w:val="00530CAA"/>
    <w:rsid w:val="00535170"/>
    <w:rsid w:val="00553F43"/>
    <w:rsid w:val="00561FB5"/>
    <w:rsid w:val="005B411D"/>
    <w:rsid w:val="005B5982"/>
    <w:rsid w:val="005D0A98"/>
    <w:rsid w:val="005D3CA0"/>
    <w:rsid w:val="005E19B3"/>
    <w:rsid w:val="00627450"/>
    <w:rsid w:val="00632C6F"/>
    <w:rsid w:val="0064404E"/>
    <w:rsid w:val="00671AFE"/>
    <w:rsid w:val="0068651A"/>
    <w:rsid w:val="006B78E6"/>
    <w:rsid w:val="006C306C"/>
    <w:rsid w:val="006C6689"/>
    <w:rsid w:val="006D1A0C"/>
    <w:rsid w:val="00717D61"/>
    <w:rsid w:val="00723C69"/>
    <w:rsid w:val="00732D1B"/>
    <w:rsid w:val="00741485"/>
    <w:rsid w:val="0075069F"/>
    <w:rsid w:val="007517F8"/>
    <w:rsid w:val="00761BE0"/>
    <w:rsid w:val="00761DA1"/>
    <w:rsid w:val="00783CDC"/>
    <w:rsid w:val="00784D38"/>
    <w:rsid w:val="007A0288"/>
    <w:rsid w:val="007B3B61"/>
    <w:rsid w:val="007B701C"/>
    <w:rsid w:val="007C02A9"/>
    <w:rsid w:val="007D508A"/>
    <w:rsid w:val="007E3C8A"/>
    <w:rsid w:val="008156DB"/>
    <w:rsid w:val="00823192"/>
    <w:rsid w:val="0082723E"/>
    <w:rsid w:val="0084365E"/>
    <w:rsid w:val="00851A8E"/>
    <w:rsid w:val="00905059"/>
    <w:rsid w:val="009577A0"/>
    <w:rsid w:val="0096267E"/>
    <w:rsid w:val="00993305"/>
    <w:rsid w:val="009B45BF"/>
    <w:rsid w:val="009D009F"/>
    <w:rsid w:val="009D29B8"/>
    <w:rsid w:val="009D459C"/>
    <w:rsid w:val="009F7DDF"/>
    <w:rsid w:val="00A30E69"/>
    <w:rsid w:val="00A82B88"/>
    <w:rsid w:val="00A95D12"/>
    <w:rsid w:val="00AF3D36"/>
    <w:rsid w:val="00B45230"/>
    <w:rsid w:val="00B71A93"/>
    <w:rsid w:val="00B94B9F"/>
    <w:rsid w:val="00BB0D7A"/>
    <w:rsid w:val="00BB4BF5"/>
    <w:rsid w:val="00BD211D"/>
    <w:rsid w:val="00BF7359"/>
    <w:rsid w:val="00C26A69"/>
    <w:rsid w:val="00C4147D"/>
    <w:rsid w:val="00C4175B"/>
    <w:rsid w:val="00C51353"/>
    <w:rsid w:val="00C60779"/>
    <w:rsid w:val="00C825FA"/>
    <w:rsid w:val="00CA6A9D"/>
    <w:rsid w:val="00CA7771"/>
    <w:rsid w:val="00CB1336"/>
    <w:rsid w:val="00CC0372"/>
    <w:rsid w:val="00D075C9"/>
    <w:rsid w:val="00D25A19"/>
    <w:rsid w:val="00D2656F"/>
    <w:rsid w:val="00D91B53"/>
    <w:rsid w:val="00DC44E4"/>
    <w:rsid w:val="00DF5377"/>
    <w:rsid w:val="00E66A7B"/>
    <w:rsid w:val="00E83204"/>
    <w:rsid w:val="00E94DDA"/>
    <w:rsid w:val="00EA7EE2"/>
    <w:rsid w:val="00EC5495"/>
    <w:rsid w:val="00EF649A"/>
    <w:rsid w:val="00F03CAB"/>
    <w:rsid w:val="00F056BF"/>
    <w:rsid w:val="00F06BD4"/>
    <w:rsid w:val="00F30AB3"/>
    <w:rsid w:val="00FA305A"/>
    <w:rsid w:val="00FB1A36"/>
    <w:rsid w:val="00F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65C835E"/>
  <w15:chartTrackingRefBased/>
  <w15:docId w15:val="{3D56F7F1-2C5E-4D8D-BA4E-13D65DE5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1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46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6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6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6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6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6E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E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E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E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19"/>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446E19"/>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446E19"/>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446E19"/>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446E19"/>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446E19"/>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446E19"/>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446E19"/>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446E19"/>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446E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E19"/>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44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E19"/>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446E19"/>
    <w:pPr>
      <w:spacing w:before="160"/>
      <w:jc w:val="center"/>
    </w:pPr>
    <w:rPr>
      <w:i/>
      <w:iCs/>
      <w:color w:val="404040" w:themeColor="text1" w:themeTint="BF"/>
    </w:rPr>
  </w:style>
  <w:style w:type="character" w:customStyle="1" w:styleId="QuoteChar">
    <w:name w:val="Quote Char"/>
    <w:basedOn w:val="DefaultParagraphFont"/>
    <w:link w:val="Quote"/>
    <w:uiPriority w:val="29"/>
    <w:rsid w:val="00446E19"/>
    <w:rPr>
      <w:i/>
      <w:iCs/>
      <w:noProof/>
      <w:color w:val="404040" w:themeColor="text1" w:themeTint="BF"/>
      <w:lang w:val="vi-VN"/>
    </w:rPr>
  </w:style>
  <w:style w:type="paragraph" w:styleId="ListParagraph">
    <w:name w:val="List Paragraph"/>
    <w:basedOn w:val="Normal"/>
    <w:uiPriority w:val="34"/>
    <w:qFormat/>
    <w:rsid w:val="00446E19"/>
    <w:pPr>
      <w:ind w:left="720"/>
      <w:contextualSpacing/>
    </w:pPr>
  </w:style>
  <w:style w:type="character" w:styleId="IntenseEmphasis">
    <w:name w:val="Intense Emphasis"/>
    <w:basedOn w:val="DefaultParagraphFont"/>
    <w:uiPriority w:val="21"/>
    <w:qFormat/>
    <w:rsid w:val="00446E19"/>
    <w:rPr>
      <w:i/>
      <w:iCs/>
      <w:color w:val="2F5496" w:themeColor="accent1" w:themeShade="BF"/>
    </w:rPr>
  </w:style>
  <w:style w:type="paragraph" w:styleId="IntenseQuote">
    <w:name w:val="Intense Quote"/>
    <w:basedOn w:val="Normal"/>
    <w:next w:val="Normal"/>
    <w:link w:val="IntenseQuoteChar"/>
    <w:uiPriority w:val="30"/>
    <w:qFormat/>
    <w:rsid w:val="00446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6E19"/>
    <w:rPr>
      <w:i/>
      <w:iCs/>
      <w:noProof/>
      <w:color w:val="2F5496" w:themeColor="accent1" w:themeShade="BF"/>
      <w:lang w:val="vi-VN"/>
    </w:rPr>
  </w:style>
  <w:style w:type="character" w:styleId="IntenseReference">
    <w:name w:val="Intense Reference"/>
    <w:basedOn w:val="DefaultParagraphFont"/>
    <w:uiPriority w:val="32"/>
    <w:qFormat/>
    <w:rsid w:val="00446E19"/>
    <w:rPr>
      <w:b/>
      <w:bCs/>
      <w:smallCaps/>
      <w:color w:val="2F5496" w:themeColor="accent1" w:themeShade="BF"/>
      <w:spacing w:val="5"/>
    </w:rPr>
  </w:style>
  <w:style w:type="paragraph" w:styleId="NormalWeb">
    <w:name w:val="Normal (Web)"/>
    <w:basedOn w:val="Normal"/>
    <w:uiPriority w:val="99"/>
    <w:unhideWhenUsed/>
    <w:rsid w:val="00446E19"/>
    <w:pPr>
      <w:spacing w:before="100" w:beforeAutospacing="1" w:after="100" w:afterAutospacing="1"/>
    </w:pPr>
  </w:style>
  <w:style w:type="character" w:styleId="Hyperlink">
    <w:name w:val="Hyperlink"/>
    <w:basedOn w:val="DefaultParagraphFont"/>
    <w:uiPriority w:val="99"/>
    <w:unhideWhenUsed/>
    <w:rsid w:val="00446E19"/>
    <w:rPr>
      <w:color w:val="0563C1" w:themeColor="hyperlink"/>
      <w:u w:val="single"/>
    </w:rPr>
  </w:style>
  <w:style w:type="table" w:styleId="TableGrid">
    <w:name w:val="Table Grid"/>
    <w:basedOn w:val="TableNormal"/>
    <w:uiPriority w:val="39"/>
    <w:rsid w:val="0068651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093"/>
    <w:pPr>
      <w:tabs>
        <w:tab w:val="center" w:pos="4680"/>
        <w:tab w:val="right" w:pos="9360"/>
      </w:tabs>
    </w:pPr>
  </w:style>
  <w:style w:type="character" w:customStyle="1" w:styleId="HeaderChar">
    <w:name w:val="Header Char"/>
    <w:basedOn w:val="DefaultParagraphFont"/>
    <w:link w:val="Header"/>
    <w:uiPriority w:val="99"/>
    <w:rsid w:val="00311093"/>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311093"/>
    <w:pPr>
      <w:tabs>
        <w:tab w:val="center" w:pos="4680"/>
        <w:tab w:val="right" w:pos="9360"/>
      </w:tabs>
    </w:pPr>
  </w:style>
  <w:style w:type="character" w:customStyle="1" w:styleId="FooterChar">
    <w:name w:val="Footer Char"/>
    <w:basedOn w:val="DefaultParagraphFont"/>
    <w:link w:val="Footer"/>
    <w:uiPriority w:val="99"/>
    <w:rsid w:val="00311093"/>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6C30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02519">
      <w:bodyDiv w:val="1"/>
      <w:marLeft w:val="0"/>
      <w:marRight w:val="0"/>
      <w:marTop w:val="0"/>
      <w:marBottom w:val="0"/>
      <w:divBdr>
        <w:top w:val="none" w:sz="0" w:space="0" w:color="auto"/>
        <w:left w:val="none" w:sz="0" w:space="0" w:color="auto"/>
        <w:bottom w:val="none" w:sz="0" w:space="0" w:color="auto"/>
        <w:right w:val="none" w:sz="0" w:space="0" w:color="auto"/>
      </w:divBdr>
    </w:div>
    <w:div w:id="155654207">
      <w:bodyDiv w:val="1"/>
      <w:marLeft w:val="0"/>
      <w:marRight w:val="0"/>
      <w:marTop w:val="0"/>
      <w:marBottom w:val="0"/>
      <w:divBdr>
        <w:top w:val="none" w:sz="0" w:space="0" w:color="auto"/>
        <w:left w:val="none" w:sz="0" w:space="0" w:color="auto"/>
        <w:bottom w:val="none" w:sz="0" w:space="0" w:color="auto"/>
        <w:right w:val="none" w:sz="0" w:space="0" w:color="auto"/>
      </w:divBdr>
    </w:div>
    <w:div w:id="160049644">
      <w:bodyDiv w:val="1"/>
      <w:marLeft w:val="0"/>
      <w:marRight w:val="0"/>
      <w:marTop w:val="0"/>
      <w:marBottom w:val="0"/>
      <w:divBdr>
        <w:top w:val="none" w:sz="0" w:space="0" w:color="auto"/>
        <w:left w:val="none" w:sz="0" w:space="0" w:color="auto"/>
        <w:bottom w:val="none" w:sz="0" w:space="0" w:color="auto"/>
        <w:right w:val="none" w:sz="0" w:space="0" w:color="auto"/>
      </w:divBdr>
    </w:div>
    <w:div w:id="196085757">
      <w:bodyDiv w:val="1"/>
      <w:marLeft w:val="0"/>
      <w:marRight w:val="0"/>
      <w:marTop w:val="0"/>
      <w:marBottom w:val="0"/>
      <w:divBdr>
        <w:top w:val="none" w:sz="0" w:space="0" w:color="auto"/>
        <w:left w:val="none" w:sz="0" w:space="0" w:color="auto"/>
        <w:bottom w:val="none" w:sz="0" w:space="0" w:color="auto"/>
        <w:right w:val="none" w:sz="0" w:space="0" w:color="auto"/>
      </w:divBdr>
    </w:div>
    <w:div w:id="265967329">
      <w:bodyDiv w:val="1"/>
      <w:marLeft w:val="0"/>
      <w:marRight w:val="0"/>
      <w:marTop w:val="0"/>
      <w:marBottom w:val="0"/>
      <w:divBdr>
        <w:top w:val="none" w:sz="0" w:space="0" w:color="auto"/>
        <w:left w:val="none" w:sz="0" w:space="0" w:color="auto"/>
        <w:bottom w:val="none" w:sz="0" w:space="0" w:color="auto"/>
        <w:right w:val="none" w:sz="0" w:space="0" w:color="auto"/>
      </w:divBdr>
    </w:div>
    <w:div w:id="385296239">
      <w:bodyDiv w:val="1"/>
      <w:marLeft w:val="0"/>
      <w:marRight w:val="0"/>
      <w:marTop w:val="0"/>
      <w:marBottom w:val="0"/>
      <w:divBdr>
        <w:top w:val="none" w:sz="0" w:space="0" w:color="auto"/>
        <w:left w:val="none" w:sz="0" w:space="0" w:color="auto"/>
        <w:bottom w:val="none" w:sz="0" w:space="0" w:color="auto"/>
        <w:right w:val="none" w:sz="0" w:space="0" w:color="auto"/>
      </w:divBdr>
    </w:div>
    <w:div w:id="436220492">
      <w:bodyDiv w:val="1"/>
      <w:marLeft w:val="0"/>
      <w:marRight w:val="0"/>
      <w:marTop w:val="0"/>
      <w:marBottom w:val="0"/>
      <w:divBdr>
        <w:top w:val="none" w:sz="0" w:space="0" w:color="auto"/>
        <w:left w:val="none" w:sz="0" w:space="0" w:color="auto"/>
        <w:bottom w:val="none" w:sz="0" w:space="0" w:color="auto"/>
        <w:right w:val="none" w:sz="0" w:space="0" w:color="auto"/>
      </w:divBdr>
    </w:div>
    <w:div w:id="517502387">
      <w:bodyDiv w:val="1"/>
      <w:marLeft w:val="0"/>
      <w:marRight w:val="0"/>
      <w:marTop w:val="0"/>
      <w:marBottom w:val="0"/>
      <w:divBdr>
        <w:top w:val="none" w:sz="0" w:space="0" w:color="auto"/>
        <w:left w:val="none" w:sz="0" w:space="0" w:color="auto"/>
        <w:bottom w:val="none" w:sz="0" w:space="0" w:color="auto"/>
        <w:right w:val="none" w:sz="0" w:space="0" w:color="auto"/>
      </w:divBdr>
      <w:divsChild>
        <w:div w:id="88283269">
          <w:marLeft w:val="0"/>
          <w:marRight w:val="0"/>
          <w:marTop w:val="0"/>
          <w:marBottom w:val="0"/>
          <w:divBdr>
            <w:top w:val="none" w:sz="0" w:space="0" w:color="auto"/>
            <w:left w:val="none" w:sz="0" w:space="0" w:color="auto"/>
            <w:bottom w:val="none" w:sz="0" w:space="0" w:color="auto"/>
            <w:right w:val="none" w:sz="0" w:space="0" w:color="auto"/>
          </w:divBdr>
          <w:divsChild>
            <w:div w:id="1038746247">
              <w:marLeft w:val="0"/>
              <w:marRight w:val="0"/>
              <w:marTop w:val="0"/>
              <w:marBottom w:val="0"/>
              <w:divBdr>
                <w:top w:val="none" w:sz="0" w:space="0" w:color="auto"/>
                <w:left w:val="none" w:sz="0" w:space="0" w:color="auto"/>
                <w:bottom w:val="none" w:sz="0" w:space="0" w:color="auto"/>
                <w:right w:val="none" w:sz="0" w:space="0" w:color="auto"/>
              </w:divBdr>
              <w:divsChild>
                <w:div w:id="1999266331">
                  <w:marLeft w:val="0"/>
                  <w:marRight w:val="0"/>
                  <w:marTop w:val="0"/>
                  <w:marBottom w:val="0"/>
                  <w:divBdr>
                    <w:top w:val="none" w:sz="0" w:space="0" w:color="auto"/>
                    <w:left w:val="none" w:sz="0" w:space="0" w:color="auto"/>
                    <w:bottom w:val="none" w:sz="0" w:space="0" w:color="auto"/>
                    <w:right w:val="none" w:sz="0" w:space="0" w:color="auto"/>
                  </w:divBdr>
                  <w:divsChild>
                    <w:div w:id="18351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0324">
          <w:marLeft w:val="0"/>
          <w:marRight w:val="0"/>
          <w:marTop w:val="0"/>
          <w:marBottom w:val="0"/>
          <w:divBdr>
            <w:top w:val="none" w:sz="0" w:space="0" w:color="auto"/>
            <w:left w:val="none" w:sz="0" w:space="0" w:color="auto"/>
            <w:bottom w:val="none" w:sz="0" w:space="0" w:color="auto"/>
            <w:right w:val="none" w:sz="0" w:space="0" w:color="auto"/>
          </w:divBdr>
          <w:divsChild>
            <w:div w:id="1703243564">
              <w:marLeft w:val="0"/>
              <w:marRight w:val="0"/>
              <w:marTop w:val="0"/>
              <w:marBottom w:val="0"/>
              <w:divBdr>
                <w:top w:val="none" w:sz="0" w:space="0" w:color="auto"/>
                <w:left w:val="none" w:sz="0" w:space="0" w:color="auto"/>
                <w:bottom w:val="none" w:sz="0" w:space="0" w:color="auto"/>
                <w:right w:val="none" w:sz="0" w:space="0" w:color="auto"/>
              </w:divBdr>
              <w:divsChild>
                <w:div w:id="1455446028">
                  <w:marLeft w:val="0"/>
                  <w:marRight w:val="0"/>
                  <w:marTop w:val="0"/>
                  <w:marBottom w:val="0"/>
                  <w:divBdr>
                    <w:top w:val="none" w:sz="0" w:space="0" w:color="auto"/>
                    <w:left w:val="none" w:sz="0" w:space="0" w:color="auto"/>
                    <w:bottom w:val="none" w:sz="0" w:space="0" w:color="auto"/>
                    <w:right w:val="none" w:sz="0" w:space="0" w:color="auto"/>
                  </w:divBdr>
                  <w:divsChild>
                    <w:div w:id="9437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9045">
      <w:bodyDiv w:val="1"/>
      <w:marLeft w:val="0"/>
      <w:marRight w:val="0"/>
      <w:marTop w:val="0"/>
      <w:marBottom w:val="0"/>
      <w:divBdr>
        <w:top w:val="none" w:sz="0" w:space="0" w:color="auto"/>
        <w:left w:val="none" w:sz="0" w:space="0" w:color="auto"/>
        <w:bottom w:val="none" w:sz="0" w:space="0" w:color="auto"/>
        <w:right w:val="none" w:sz="0" w:space="0" w:color="auto"/>
      </w:divBdr>
    </w:div>
    <w:div w:id="659893467">
      <w:bodyDiv w:val="1"/>
      <w:marLeft w:val="0"/>
      <w:marRight w:val="0"/>
      <w:marTop w:val="0"/>
      <w:marBottom w:val="0"/>
      <w:divBdr>
        <w:top w:val="none" w:sz="0" w:space="0" w:color="auto"/>
        <w:left w:val="none" w:sz="0" w:space="0" w:color="auto"/>
        <w:bottom w:val="none" w:sz="0" w:space="0" w:color="auto"/>
        <w:right w:val="none" w:sz="0" w:space="0" w:color="auto"/>
      </w:divBdr>
    </w:div>
    <w:div w:id="932207521">
      <w:bodyDiv w:val="1"/>
      <w:marLeft w:val="0"/>
      <w:marRight w:val="0"/>
      <w:marTop w:val="0"/>
      <w:marBottom w:val="0"/>
      <w:divBdr>
        <w:top w:val="none" w:sz="0" w:space="0" w:color="auto"/>
        <w:left w:val="none" w:sz="0" w:space="0" w:color="auto"/>
        <w:bottom w:val="none" w:sz="0" w:space="0" w:color="auto"/>
        <w:right w:val="none" w:sz="0" w:space="0" w:color="auto"/>
      </w:divBdr>
    </w:div>
    <w:div w:id="946890750">
      <w:bodyDiv w:val="1"/>
      <w:marLeft w:val="0"/>
      <w:marRight w:val="0"/>
      <w:marTop w:val="0"/>
      <w:marBottom w:val="0"/>
      <w:divBdr>
        <w:top w:val="none" w:sz="0" w:space="0" w:color="auto"/>
        <w:left w:val="none" w:sz="0" w:space="0" w:color="auto"/>
        <w:bottom w:val="none" w:sz="0" w:space="0" w:color="auto"/>
        <w:right w:val="none" w:sz="0" w:space="0" w:color="auto"/>
      </w:divBdr>
      <w:divsChild>
        <w:div w:id="2123069633">
          <w:marLeft w:val="0"/>
          <w:marRight w:val="0"/>
          <w:marTop w:val="0"/>
          <w:marBottom w:val="0"/>
          <w:divBdr>
            <w:top w:val="none" w:sz="0" w:space="0" w:color="auto"/>
            <w:left w:val="none" w:sz="0" w:space="0" w:color="auto"/>
            <w:bottom w:val="none" w:sz="0" w:space="0" w:color="auto"/>
            <w:right w:val="none" w:sz="0" w:space="0" w:color="auto"/>
          </w:divBdr>
          <w:divsChild>
            <w:div w:id="1778132784">
              <w:marLeft w:val="0"/>
              <w:marRight w:val="0"/>
              <w:marTop w:val="0"/>
              <w:marBottom w:val="0"/>
              <w:divBdr>
                <w:top w:val="none" w:sz="0" w:space="0" w:color="auto"/>
                <w:left w:val="none" w:sz="0" w:space="0" w:color="auto"/>
                <w:bottom w:val="none" w:sz="0" w:space="0" w:color="auto"/>
                <w:right w:val="none" w:sz="0" w:space="0" w:color="auto"/>
              </w:divBdr>
              <w:divsChild>
                <w:div w:id="601455387">
                  <w:marLeft w:val="0"/>
                  <w:marRight w:val="0"/>
                  <w:marTop w:val="0"/>
                  <w:marBottom w:val="0"/>
                  <w:divBdr>
                    <w:top w:val="none" w:sz="0" w:space="0" w:color="auto"/>
                    <w:left w:val="none" w:sz="0" w:space="0" w:color="auto"/>
                    <w:bottom w:val="none" w:sz="0" w:space="0" w:color="auto"/>
                    <w:right w:val="none" w:sz="0" w:space="0" w:color="auto"/>
                  </w:divBdr>
                  <w:divsChild>
                    <w:div w:id="17842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54651">
          <w:marLeft w:val="0"/>
          <w:marRight w:val="0"/>
          <w:marTop w:val="0"/>
          <w:marBottom w:val="0"/>
          <w:divBdr>
            <w:top w:val="none" w:sz="0" w:space="0" w:color="auto"/>
            <w:left w:val="none" w:sz="0" w:space="0" w:color="auto"/>
            <w:bottom w:val="none" w:sz="0" w:space="0" w:color="auto"/>
            <w:right w:val="none" w:sz="0" w:space="0" w:color="auto"/>
          </w:divBdr>
          <w:divsChild>
            <w:div w:id="48111997">
              <w:marLeft w:val="0"/>
              <w:marRight w:val="0"/>
              <w:marTop w:val="0"/>
              <w:marBottom w:val="0"/>
              <w:divBdr>
                <w:top w:val="none" w:sz="0" w:space="0" w:color="auto"/>
                <w:left w:val="none" w:sz="0" w:space="0" w:color="auto"/>
                <w:bottom w:val="none" w:sz="0" w:space="0" w:color="auto"/>
                <w:right w:val="none" w:sz="0" w:space="0" w:color="auto"/>
              </w:divBdr>
              <w:divsChild>
                <w:div w:id="894511437">
                  <w:marLeft w:val="0"/>
                  <w:marRight w:val="0"/>
                  <w:marTop w:val="0"/>
                  <w:marBottom w:val="0"/>
                  <w:divBdr>
                    <w:top w:val="none" w:sz="0" w:space="0" w:color="auto"/>
                    <w:left w:val="none" w:sz="0" w:space="0" w:color="auto"/>
                    <w:bottom w:val="none" w:sz="0" w:space="0" w:color="auto"/>
                    <w:right w:val="none" w:sz="0" w:space="0" w:color="auto"/>
                  </w:divBdr>
                  <w:divsChild>
                    <w:div w:id="56572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07113">
      <w:bodyDiv w:val="1"/>
      <w:marLeft w:val="0"/>
      <w:marRight w:val="0"/>
      <w:marTop w:val="0"/>
      <w:marBottom w:val="0"/>
      <w:divBdr>
        <w:top w:val="none" w:sz="0" w:space="0" w:color="auto"/>
        <w:left w:val="none" w:sz="0" w:space="0" w:color="auto"/>
        <w:bottom w:val="none" w:sz="0" w:space="0" w:color="auto"/>
        <w:right w:val="none" w:sz="0" w:space="0" w:color="auto"/>
      </w:divBdr>
    </w:div>
    <w:div w:id="1284573993">
      <w:bodyDiv w:val="1"/>
      <w:marLeft w:val="0"/>
      <w:marRight w:val="0"/>
      <w:marTop w:val="0"/>
      <w:marBottom w:val="0"/>
      <w:divBdr>
        <w:top w:val="none" w:sz="0" w:space="0" w:color="auto"/>
        <w:left w:val="none" w:sz="0" w:space="0" w:color="auto"/>
        <w:bottom w:val="none" w:sz="0" w:space="0" w:color="auto"/>
        <w:right w:val="none" w:sz="0" w:space="0" w:color="auto"/>
      </w:divBdr>
    </w:div>
    <w:div w:id="1324968673">
      <w:bodyDiv w:val="1"/>
      <w:marLeft w:val="0"/>
      <w:marRight w:val="0"/>
      <w:marTop w:val="0"/>
      <w:marBottom w:val="0"/>
      <w:divBdr>
        <w:top w:val="none" w:sz="0" w:space="0" w:color="auto"/>
        <w:left w:val="none" w:sz="0" w:space="0" w:color="auto"/>
        <w:bottom w:val="none" w:sz="0" w:space="0" w:color="auto"/>
        <w:right w:val="none" w:sz="0" w:space="0" w:color="auto"/>
      </w:divBdr>
      <w:divsChild>
        <w:div w:id="760561740">
          <w:marLeft w:val="0"/>
          <w:marRight w:val="0"/>
          <w:marTop w:val="0"/>
          <w:marBottom w:val="0"/>
          <w:divBdr>
            <w:top w:val="none" w:sz="0" w:space="0" w:color="auto"/>
            <w:left w:val="none" w:sz="0" w:space="0" w:color="auto"/>
            <w:bottom w:val="none" w:sz="0" w:space="0" w:color="auto"/>
            <w:right w:val="none" w:sz="0" w:space="0" w:color="auto"/>
          </w:divBdr>
          <w:divsChild>
            <w:div w:id="454568424">
              <w:marLeft w:val="0"/>
              <w:marRight w:val="0"/>
              <w:marTop w:val="0"/>
              <w:marBottom w:val="0"/>
              <w:divBdr>
                <w:top w:val="none" w:sz="0" w:space="0" w:color="auto"/>
                <w:left w:val="none" w:sz="0" w:space="0" w:color="auto"/>
                <w:bottom w:val="none" w:sz="0" w:space="0" w:color="auto"/>
                <w:right w:val="none" w:sz="0" w:space="0" w:color="auto"/>
              </w:divBdr>
              <w:divsChild>
                <w:div w:id="1425298675">
                  <w:marLeft w:val="0"/>
                  <w:marRight w:val="0"/>
                  <w:marTop w:val="0"/>
                  <w:marBottom w:val="0"/>
                  <w:divBdr>
                    <w:top w:val="none" w:sz="0" w:space="0" w:color="auto"/>
                    <w:left w:val="none" w:sz="0" w:space="0" w:color="auto"/>
                    <w:bottom w:val="none" w:sz="0" w:space="0" w:color="auto"/>
                    <w:right w:val="none" w:sz="0" w:space="0" w:color="auto"/>
                  </w:divBdr>
                  <w:divsChild>
                    <w:div w:id="37692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93419">
          <w:marLeft w:val="0"/>
          <w:marRight w:val="0"/>
          <w:marTop w:val="0"/>
          <w:marBottom w:val="0"/>
          <w:divBdr>
            <w:top w:val="none" w:sz="0" w:space="0" w:color="auto"/>
            <w:left w:val="none" w:sz="0" w:space="0" w:color="auto"/>
            <w:bottom w:val="none" w:sz="0" w:space="0" w:color="auto"/>
            <w:right w:val="none" w:sz="0" w:space="0" w:color="auto"/>
          </w:divBdr>
          <w:divsChild>
            <w:div w:id="588660475">
              <w:marLeft w:val="0"/>
              <w:marRight w:val="0"/>
              <w:marTop w:val="0"/>
              <w:marBottom w:val="0"/>
              <w:divBdr>
                <w:top w:val="none" w:sz="0" w:space="0" w:color="auto"/>
                <w:left w:val="none" w:sz="0" w:space="0" w:color="auto"/>
                <w:bottom w:val="none" w:sz="0" w:space="0" w:color="auto"/>
                <w:right w:val="none" w:sz="0" w:space="0" w:color="auto"/>
              </w:divBdr>
              <w:divsChild>
                <w:div w:id="1114985245">
                  <w:marLeft w:val="0"/>
                  <w:marRight w:val="0"/>
                  <w:marTop w:val="0"/>
                  <w:marBottom w:val="0"/>
                  <w:divBdr>
                    <w:top w:val="none" w:sz="0" w:space="0" w:color="auto"/>
                    <w:left w:val="none" w:sz="0" w:space="0" w:color="auto"/>
                    <w:bottom w:val="none" w:sz="0" w:space="0" w:color="auto"/>
                    <w:right w:val="none" w:sz="0" w:space="0" w:color="auto"/>
                  </w:divBdr>
                  <w:divsChild>
                    <w:div w:id="86259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3426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936">
          <w:marLeft w:val="0"/>
          <w:marRight w:val="0"/>
          <w:marTop w:val="0"/>
          <w:marBottom w:val="0"/>
          <w:divBdr>
            <w:top w:val="none" w:sz="0" w:space="0" w:color="auto"/>
            <w:left w:val="none" w:sz="0" w:space="0" w:color="auto"/>
            <w:bottom w:val="none" w:sz="0" w:space="0" w:color="auto"/>
            <w:right w:val="none" w:sz="0" w:space="0" w:color="auto"/>
          </w:divBdr>
          <w:divsChild>
            <w:div w:id="1904634690">
              <w:marLeft w:val="0"/>
              <w:marRight w:val="0"/>
              <w:marTop w:val="0"/>
              <w:marBottom w:val="0"/>
              <w:divBdr>
                <w:top w:val="none" w:sz="0" w:space="0" w:color="auto"/>
                <w:left w:val="none" w:sz="0" w:space="0" w:color="auto"/>
                <w:bottom w:val="none" w:sz="0" w:space="0" w:color="auto"/>
                <w:right w:val="none" w:sz="0" w:space="0" w:color="auto"/>
              </w:divBdr>
              <w:divsChild>
                <w:div w:id="73361031">
                  <w:marLeft w:val="0"/>
                  <w:marRight w:val="0"/>
                  <w:marTop w:val="0"/>
                  <w:marBottom w:val="0"/>
                  <w:divBdr>
                    <w:top w:val="none" w:sz="0" w:space="0" w:color="auto"/>
                    <w:left w:val="none" w:sz="0" w:space="0" w:color="auto"/>
                    <w:bottom w:val="none" w:sz="0" w:space="0" w:color="auto"/>
                    <w:right w:val="none" w:sz="0" w:space="0" w:color="auto"/>
                  </w:divBdr>
                  <w:divsChild>
                    <w:div w:id="11482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5219">
          <w:marLeft w:val="0"/>
          <w:marRight w:val="0"/>
          <w:marTop w:val="0"/>
          <w:marBottom w:val="0"/>
          <w:divBdr>
            <w:top w:val="none" w:sz="0" w:space="0" w:color="auto"/>
            <w:left w:val="none" w:sz="0" w:space="0" w:color="auto"/>
            <w:bottom w:val="none" w:sz="0" w:space="0" w:color="auto"/>
            <w:right w:val="none" w:sz="0" w:space="0" w:color="auto"/>
          </w:divBdr>
          <w:divsChild>
            <w:div w:id="1100832076">
              <w:marLeft w:val="0"/>
              <w:marRight w:val="0"/>
              <w:marTop w:val="0"/>
              <w:marBottom w:val="0"/>
              <w:divBdr>
                <w:top w:val="none" w:sz="0" w:space="0" w:color="auto"/>
                <w:left w:val="none" w:sz="0" w:space="0" w:color="auto"/>
                <w:bottom w:val="none" w:sz="0" w:space="0" w:color="auto"/>
                <w:right w:val="none" w:sz="0" w:space="0" w:color="auto"/>
              </w:divBdr>
              <w:divsChild>
                <w:div w:id="1275401566">
                  <w:marLeft w:val="0"/>
                  <w:marRight w:val="0"/>
                  <w:marTop w:val="0"/>
                  <w:marBottom w:val="0"/>
                  <w:divBdr>
                    <w:top w:val="none" w:sz="0" w:space="0" w:color="auto"/>
                    <w:left w:val="none" w:sz="0" w:space="0" w:color="auto"/>
                    <w:bottom w:val="none" w:sz="0" w:space="0" w:color="auto"/>
                    <w:right w:val="none" w:sz="0" w:space="0" w:color="auto"/>
                  </w:divBdr>
                  <w:divsChild>
                    <w:div w:id="46886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477126">
      <w:bodyDiv w:val="1"/>
      <w:marLeft w:val="0"/>
      <w:marRight w:val="0"/>
      <w:marTop w:val="0"/>
      <w:marBottom w:val="0"/>
      <w:divBdr>
        <w:top w:val="none" w:sz="0" w:space="0" w:color="auto"/>
        <w:left w:val="none" w:sz="0" w:space="0" w:color="auto"/>
        <w:bottom w:val="none" w:sz="0" w:space="0" w:color="auto"/>
        <w:right w:val="none" w:sz="0" w:space="0" w:color="auto"/>
      </w:divBdr>
    </w:div>
    <w:div w:id="1479033708">
      <w:bodyDiv w:val="1"/>
      <w:marLeft w:val="0"/>
      <w:marRight w:val="0"/>
      <w:marTop w:val="0"/>
      <w:marBottom w:val="0"/>
      <w:divBdr>
        <w:top w:val="none" w:sz="0" w:space="0" w:color="auto"/>
        <w:left w:val="none" w:sz="0" w:space="0" w:color="auto"/>
        <w:bottom w:val="none" w:sz="0" w:space="0" w:color="auto"/>
        <w:right w:val="none" w:sz="0" w:space="0" w:color="auto"/>
      </w:divBdr>
    </w:div>
    <w:div w:id="1494107214">
      <w:bodyDiv w:val="1"/>
      <w:marLeft w:val="0"/>
      <w:marRight w:val="0"/>
      <w:marTop w:val="0"/>
      <w:marBottom w:val="0"/>
      <w:divBdr>
        <w:top w:val="none" w:sz="0" w:space="0" w:color="auto"/>
        <w:left w:val="none" w:sz="0" w:space="0" w:color="auto"/>
        <w:bottom w:val="none" w:sz="0" w:space="0" w:color="auto"/>
        <w:right w:val="none" w:sz="0" w:space="0" w:color="auto"/>
      </w:divBdr>
    </w:div>
    <w:div w:id="1533179862">
      <w:bodyDiv w:val="1"/>
      <w:marLeft w:val="0"/>
      <w:marRight w:val="0"/>
      <w:marTop w:val="0"/>
      <w:marBottom w:val="0"/>
      <w:divBdr>
        <w:top w:val="none" w:sz="0" w:space="0" w:color="auto"/>
        <w:left w:val="none" w:sz="0" w:space="0" w:color="auto"/>
        <w:bottom w:val="none" w:sz="0" w:space="0" w:color="auto"/>
        <w:right w:val="none" w:sz="0" w:space="0" w:color="auto"/>
      </w:divBdr>
    </w:div>
    <w:div w:id="1759909451">
      <w:bodyDiv w:val="1"/>
      <w:marLeft w:val="0"/>
      <w:marRight w:val="0"/>
      <w:marTop w:val="0"/>
      <w:marBottom w:val="0"/>
      <w:divBdr>
        <w:top w:val="none" w:sz="0" w:space="0" w:color="auto"/>
        <w:left w:val="none" w:sz="0" w:space="0" w:color="auto"/>
        <w:bottom w:val="none" w:sz="0" w:space="0" w:color="auto"/>
        <w:right w:val="none" w:sz="0" w:space="0" w:color="auto"/>
      </w:divBdr>
    </w:div>
    <w:div w:id="1785079971">
      <w:bodyDiv w:val="1"/>
      <w:marLeft w:val="0"/>
      <w:marRight w:val="0"/>
      <w:marTop w:val="0"/>
      <w:marBottom w:val="0"/>
      <w:divBdr>
        <w:top w:val="none" w:sz="0" w:space="0" w:color="auto"/>
        <w:left w:val="none" w:sz="0" w:space="0" w:color="auto"/>
        <w:bottom w:val="none" w:sz="0" w:space="0" w:color="auto"/>
        <w:right w:val="none" w:sz="0" w:space="0" w:color="auto"/>
      </w:divBdr>
    </w:div>
    <w:div w:id="1817720945">
      <w:bodyDiv w:val="1"/>
      <w:marLeft w:val="0"/>
      <w:marRight w:val="0"/>
      <w:marTop w:val="0"/>
      <w:marBottom w:val="0"/>
      <w:divBdr>
        <w:top w:val="none" w:sz="0" w:space="0" w:color="auto"/>
        <w:left w:val="none" w:sz="0" w:space="0" w:color="auto"/>
        <w:bottom w:val="none" w:sz="0" w:space="0" w:color="auto"/>
        <w:right w:val="none" w:sz="0" w:space="0" w:color="auto"/>
      </w:divBdr>
    </w:div>
    <w:div w:id="1876918001">
      <w:bodyDiv w:val="1"/>
      <w:marLeft w:val="0"/>
      <w:marRight w:val="0"/>
      <w:marTop w:val="0"/>
      <w:marBottom w:val="0"/>
      <w:divBdr>
        <w:top w:val="none" w:sz="0" w:space="0" w:color="auto"/>
        <w:left w:val="none" w:sz="0" w:space="0" w:color="auto"/>
        <w:bottom w:val="none" w:sz="0" w:space="0" w:color="auto"/>
        <w:right w:val="none" w:sz="0" w:space="0" w:color="auto"/>
      </w:divBdr>
    </w:div>
    <w:div w:id="1905603417">
      <w:bodyDiv w:val="1"/>
      <w:marLeft w:val="0"/>
      <w:marRight w:val="0"/>
      <w:marTop w:val="0"/>
      <w:marBottom w:val="0"/>
      <w:divBdr>
        <w:top w:val="none" w:sz="0" w:space="0" w:color="auto"/>
        <w:left w:val="none" w:sz="0" w:space="0" w:color="auto"/>
        <w:bottom w:val="none" w:sz="0" w:space="0" w:color="auto"/>
        <w:right w:val="none" w:sz="0" w:space="0" w:color="auto"/>
      </w:divBdr>
    </w:div>
    <w:div w:id="1911499388">
      <w:bodyDiv w:val="1"/>
      <w:marLeft w:val="0"/>
      <w:marRight w:val="0"/>
      <w:marTop w:val="0"/>
      <w:marBottom w:val="0"/>
      <w:divBdr>
        <w:top w:val="none" w:sz="0" w:space="0" w:color="auto"/>
        <w:left w:val="none" w:sz="0" w:space="0" w:color="auto"/>
        <w:bottom w:val="none" w:sz="0" w:space="0" w:color="auto"/>
        <w:right w:val="none" w:sz="0" w:space="0" w:color="auto"/>
      </w:divBdr>
    </w:div>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 w:id="20817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hoaithuong68@gmail.com" TargetMode="External"/><Relationship Id="rId13" Type="http://schemas.openxmlformats.org/officeDocument/2006/relationships/image" Target="media/image3.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www.gso.gov.vn" TargetMode="External"/><Relationship Id="rId10" Type="http://schemas.openxmlformats.org/officeDocument/2006/relationships/footer" Target="footer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tahoaithuong68@gmail.com" TargetMode="External"/><Relationship Id="rId14" Type="http://schemas.openxmlformats.org/officeDocument/2006/relationships/image" Target="media/image4.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C00A3-1902-4A06-98AC-7D858EF9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4680</Words>
  <Characters>26681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Admin</cp:lastModifiedBy>
  <cp:revision>2</cp:revision>
  <dcterms:created xsi:type="dcterms:W3CDTF">2025-03-06T14:44:00Z</dcterms:created>
  <dcterms:modified xsi:type="dcterms:W3CDTF">2025-03-06T14:44:00Z</dcterms:modified>
</cp:coreProperties>
</file>