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8382" w14:textId="0005E759" w:rsidR="00A82DD0" w:rsidRPr="00A803C7" w:rsidRDefault="00A82DD0" w:rsidP="00A803C7">
      <w:pPr>
        <w:jc w:val="center"/>
        <w:rPr>
          <w:rFonts w:ascii="Times New Roman" w:hAnsi="Times New Roman" w:cs="Times New Roman"/>
          <w:caps/>
          <w:lang w:val="vi-VN"/>
        </w:rPr>
      </w:pPr>
      <w:r w:rsidRPr="00A803C7">
        <w:rPr>
          <w:rFonts w:ascii="Times New Roman" w:hAnsi="Times New Roman" w:cs="Times New Roman"/>
          <w:caps/>
        </w:rPr>
        <w:t>Chính sách thuế quan của Mỹ đối với Việt Nam và bài học cho chính sách thương mại Việt Nam trong kỷ nguyên hậu toàn cầu hóa</w:t>
      </w:r>
    </w:p>
    <w:p w14:paraId="7CF98B4B" w14:textId="77777777" w:rsidR="00A803C7" w:rsidRDefault="00A803C7">
      <w:pPr>
        <w:rPr>
          <w:lang w:val="vi-VN"/>
        </w:rPr>
      </w:pPr>
    </w:p>
    <w:p w14:paraId="225E6301" w14:textId="77777777" w:rsidR="00A803C7" w:rsidRPr="00C14C42" w:rsidRDefault="00A803C7" w:rsidP="00A803C7">
      <w:pPr>
        <w:jc w:val="center"/>
        <w:rPr>
          <w:rFonts w:asciiTheme="majorHAnsi" w:hAnsiTheme="majorHAnsi" w:cstheme="majorHAnsi"/>
        </w:rPr>
      </w:pPr>
      <w:r w:rsidRPr="00C14C42">
        <w:rPr>
          <w:rFonts w:asciiTheme="majorHAnsi" w:hAnsiTheme="majorHAnsi" w:cstheme="majorHAnsi"/>
          <w:b/>
          <w:bCs/>
        </w:rPr>
        <w:t>TS. Nghiêm Xuân Khoát</w:t>
      </w:r>
      <w:r w:rsidRPr="00C14C42">
        <w:rPr>
          <w:rFonts w:asciiTheme="majorHAnsi" w:hAnsiTheme="majorHAnsi" w:cstheme="majorHAnsi"/>
        </w:rPr>
        <w:br/>
        <w:t>Khoa Kinh tế – Trường Đại học Công nghiệp Việt – Hung</w:t>
      </w:r>
      <w:r w:rsidRPr="00C14C42">
        <w:rPr>
          <w:rFonts w:asciiTheme="majorHAnsi" w:hAnsiTheme="majorHAnsi" w:cstheme="majorHAnsi"/>
        </w:rPr>
        <w:br/>
      </w:r>
      <w:r w:rsidRPr="00C14C42">
        <w:rPr>
          <w:rFonts w:ascii="Segoe UI Emoji" w:hAnsi="Segoe UI Emoji" w:cs="Segoe UI Emoji"/>
        </w:rPr>
        <w:t>📧</w:t>
      </w:r>
      <w:r w:rsidRPr="00C14C42">
        <w:rPr>
          <w:rFonts w:asciiTheme="majorHAnsi" w:hAnsiTheme="majorHAnsi" w:cstheme="majorHAnsi"/>
        </w:rPr>
        <w:t xml:space="preserve"> Email: nghiemxuankhoat@viu.edu.vn | </w:t>
      </w:r>
      <w:r w:rsidRPr="00C14C42">
        <w:rPr>
          <w:rFonts w:ascii="Segoe UI Symbol" w:hAnsi="Segoe UI Symbol" w:cs="Segoe UI Symbol"/>
        </w:rPr>
        <w:t>☎</w:t>
      </w:r>
      <w:r w:rsidRPr="00C14C42">
        <w:rPr>
          <w:rFonts w:asciiTheme="majorHAnsi" w:hAnsiTheme="majorHAnsi" w:cstheme="majorHAnsi"/>
        </w:rPr>
        <w:t xml:space="preserve"> 0366.884.880</w:t>
      </w:r>
    </w:p>
    <w:p w14:paraId="40C14630" w14:textId="77777777" w:rsidR="00844A64" w:rsidRDefault="00844A64" w:rsidP="00815503">
      <w:pPr>
        <w:rPr>
          <w:b/>
          <w:bCs/>
          <w:lang w:val="vi-VN"/>
        </w:rPr>
      </w:pPr>
    </w:p>
    <w:p w14:paraId="6A00C56D" w14:textId="292BB3EB" w:rsidR="00815503" w:rsidRPr="009F4BDA" w:rsidRDefault="00815503" w:rsidP="00815503">
      <w:pPr>
        <w:rPr>
          <w:caps/>
          <w:lang w:val="vi-VN"/>
        </w:rPr>
      </w:pPr>
      <w:r w:rsidRPr="00815503">
        <w:rPr>
          <w:b/>
          <w:bCs/>
          <w:caps/>
        </w:rPr>
        <w:t>TÓM Tắt:</w:t>
      </w:r>
      <w:r w:rsidRPr="00815503">
        <w:rPr>
          <w:caps/>
        </w:rPr>
        <w:t xml:space="preserve"> </w:t>
      </w:r>
    </w:p>
    <w:p w14:paraId="62573B70" w14:textId="0B5686AA" w:rsidR="001E586F" w:rsidRPr="00331BEF" w:rsidRDefault="001E586F" w:rsidP="009F4BDA">
      <w:pPr>
        <w:ind w:firstLine="720"/>
        <w:jc w:val="both"/>
        <w:rPr>
          <w:i/>
          <w:iCs/>
          <w:lang w:val="vi-VN"/>
        </w:rPr>
      </w:pPr>
      <w:r w:rsidRPr="00331BEF">
        <w:rPr>
          <w:i/>
          <w:iCs/>
        </w:rPr>
        <w:t>Trong bối cảnh chủ nghĩa bảo hộ gia tăng mạnh mẽ sau đại dịch COVID-19, đặc biệt từ phía Hoa Kỳ – đối tác thương mại lớn nhất của Việt Nam, bài viết phân tích tác động của chính sách thuế quan của Mỹ đối với thương mại song phương và năng lực cạnh tranh của doanh nghiệp Việt Nam. Dựa trên phương pháp tiếp cận định tính và định lượng, nghiên cứu tập trung làm rõ hai nội dung chính: (1) đặc điểm và xu hướng chính sách thuế quan của Mỹ đối với Việt Nam giai đoạn 2017–2024, bao gồm thuế với thép, gỗ, dệt may, điện tử và các biện pháp rào cản phi thuế; (2) đánh giá tác động đến kim ngạch xuất khẩu, chi phí tuân thủ và xu hướng dịch chuyển chuỗi cung ứng. Nghiên cứu cũng đối sánh chính sách ứng phó của Việt Nam với Trung Quốc và một số nước ASEAN, qua đó rút ra bài học kinh nghiệm. Kết quả cho thấy Việt Nam cần chuyển sang mô hình hoạch định chính sách thương mại dựa trên quản trị rủi ro, đẩy mạnh khai thác FTA, đa dạng hóa thị trường và cải cách thể chế đồng bộ nhằm nâng cao năng lực thích ứng trong kỷ nguyên hậu toàn cầu hóa.</w:t>
      </w:r>
    </w:p>
    <w:p w14:paraId="3AA2D2A5" w14:textId="77777777" w:rsidR="00815503" w:rsidRPr="00815503" w:rsidRDefault="00815503" w:rsidP="00815503">
      <w:r w:rsidRPr="00815503">
        <w:rPr>
          <w:b/>
          <w:bCs/>
        </w:rPr>
        <w:t>Từ khóa:</w:t>
      </w:r>
      <w:r w:rsidRPr="00815503">
        <w:t xml:space="preserve"> US tariffs, trade policy, Vietnam exports, post-globalization, protectionism</w:t>
      </w:r>
    </w:p>
    <w:p w14:paraId="38A3CC13" w14:textId="77777777" w:rsidR="00857CBA" w:rsidRDefault="00857CBA" w:rsidP="00857CBA">
      <w:pPr>
        <w:rPr>
          <w:lang w:val="vi-VN"/>
        </w:rPr>
      </w:pPr>
    </w:p>
    <w:p w14:paraId="20C84873" w14:textId="77777777" w:rsidR="00857CBA" w:rsidRPr="00857CBA" w:rsidRDefault="00857CBA" w:rsidP="00857CBA">
      <w:pPr>
        <w:jc w:val="both"/>
      </w:pPr>
      <w:r w:rsidRPr="00857CBA">
        <w:rPr>
          <w:b/>
          <w:bCs/>
        </w:rPr>
        <w:t>MỞ ĐẦU</w:t>
      </w:r>
    </w:p>
    <w:p w14:paraId="01AEF0DD" w14:textId="77777777" w:rsidR="009C44B3" w:rsidRPr="009C44B3" w:rsidRDefault="009C44B3" w:rsidP="009C44B3">
      <w:pPr>
        <w:jc w:val="both"/>
        <w:rPr>
          <w:b/>
          <w:bCs/>
          <w:i/>
          <w:iCs/>
          <w:lang w:val="vi-VN"/>
        </w:rPr>
      </w:pPr>
      <w:r w:rsidRPr="009C44B3">
        <w:rPr>
          <w:b/>
          <w:bCs/>
          <w:i/>
          <w:iCs/>
        </w:rPr>
        <w:t>Bối cảnh gia tăng chủ nghĩa bảo hộ toàn cầu sau đại dịch</w:t>
      </w:r>
    </w:p>
    <w:p w14:paraId="57A14ED2" w14:textId="2F5B0A4E" w:rsidR="009C44B3" w:rsidRPr="009C44B3" w:rsidRDefault="009C44B3" w:rsidP="009C44B3">
      <w:pPr>
        <w:ind w:firstLine="720"/>
        <w:jc w:val="both"/>
      </w:pPr>
      <w:r w:rsidRPr="009C44B3">
        <w:t>Sau đại dịch Covid-19, thế giới bước vào một giai đoạn tái định hình sâu sắc các cấu trúc kinh tế và thương mại toàn cầu. Toàn cầu hóa – vốn từng được xem là xu thế không thể đảo ngược – nay đang phải đối mặt với làn sóng phản ứng từ các quốc gia theo hướng “phi toàn cầu hóa” và “an ninh hóa kinh tế”. Nhiều nền kinh tế lớn, đặc biệt là Hoa Kỳ, đã tái thiết lập chính sách bảo hộ nhằm kiểm soát chuỗi cung ứng chiến lược, bảo vệ sản xuất nội địa và giảm phụ thuộc vào các thị trường bên ngoài. Các công cụ được sử dụng bao gồm: tăng thuế nhập khẩu, siết chặt quy định xuất xứ, rào cản kỹ thuật và các biện pháp phòng vệ thương mại như chống bán phá giá và chống trợ cấp. Bối cảnh này tạo nên một môi trường thương mại quốc tế nhiều rủi ro và bất định – đặc biệt bất lợi cho những nền kinh tế đang phát triển, có độ mở lớn như Việt Nam.</w:t>
      </w:r>
    </w:p>
    <w:p w14:paraId="6F6E2484" w14:textId="77777777" w:rsidR="009C44B3" w:rsidRPr="009C44B3" w:rsidRDefault="009C44B3" w:rsidP="009C44B3">
      <w:pPr>
        <w:jc w:val="both"/>
        <w:rPr>
          <w:b/>
          <w:bCs/>
          <w:i/>
          <w:iCs/>
          <w:lang w:val="vi-VN"/>
        </w:rPr>
      </w:pPr>
      <w:r w:rsidRPr="009C44B3">
        <w:rPr>
          <w:b/>
          <w:bCs/>
          <w:i/>
          <w:iCs/>
        </w:rPr>
        <w:lastRenderedPageBreak/>
        <w:t>Vai trò đặc thù của Mỹ với tư cách đối tác thương mại số 1 của Việt Nam</w:t>
      </w:r>
    </w:p>
    <w:p w14:paraId="6259B371" w14:textId="6F7BCBD2" w:rsidR="009C44B3" w:rsidRPr="009C44B3" w:rsidRDefault="009C44B3" w:rsidP="009C44B3">
      <w:pPr>
        <w:ind w:firstLine="720"/>
        <w:jc w:val="both"/>
      </w:pPr>
      <w:r w:rsidRPr="009C44B3">
        <w:t>Trong hệ sinh thái thương mại của Việt Nam, Hoa Kỳ giữ một vị trí đặc biệt quan trọng. Tính đến năm 2023, Hoa Kỳ là thị trường xuất khẩu lớn nhất của Việt Nam, chiếm khoảng 27% tổng kim ngạch xuất khẩu hàng hóa. Các nhóm ngành chủ lực như dệt may, da giày, đồ gỗ, điện tử và thủy sản phụ thuộc phần lớn vào thị trường này. Tuy nhiên, chính sách thương mại của Hoa Kỳ đang chuyển dịch mạnh theo hướng bảo hộ. Dưới thời Tổng thống Donald Trump và cả sau đó, chính quyền Hoa Kỳ đã liên tục áp dụng các biện pháp hạn chế thương mại đối với hàng hóa nhập khẩu, bao gồm cả từ Việt Nam. Các vụ điều tra chống bán phá giá, áp thuế trừng phạt, gia tăng tiêu chuẩn kỹ thuật và siết xuất xứ ngày càng phổ biến. Điều này đặt ra thách thức lớn cho xuất khẩu của Việt Nam, khi phải đối mặt với các rào cản phi thuế ngày càng tinh vi và khắt khe từ đối tác thương mại số một.</w:t>
      </w:r>
    </w:p>
    <w:p w14:paraId="7182A40F" w14:textId="77777777" w:rsidR="009C44B3" w:rsidRPr="009C44B3" w:rsidRDefault="009C44B3" w:rsidP="009C44B3">
      <w:pPr>
        <w:jc w:val="both"/>
        <w:rPr>
          <w:b/>
          <w:bCs/>
          <w:i/>
          <w:iCs/>
          <w:lang w:val="vi-VN"/>
        </w:rPr>
      </w:pPr>
      <w:r w:rsidRPr="009C44B3">
        <w:rPr>
          <w:b/>
          <w:bCs/>
          <w:i/>
          <w:iCs/>
        </w:rPr>
        <w:t>Lý do và mục tiêu nghiên cứu</w:t>
      </w:r>
    </w:p>
    <w:p w14:paraId="48DC9BDF" w14:textId="77777777" w:rsidR="009C44B3" w:rsidRDefault="009C44B3" w:rsidP="009C44B3">
      <w:pPr>
        <w:ind w:firstLine="720"/>
        <w:jc w:val="both"/>
        <w:rPr>
          <w:lang w:val="vi-VN"/>
        </w:rPr>
      </w:pPr>
      <w:r w:rsidRPr="009C44B3">
        <w:t>Trước xu thế gia tăng bảo hộ và vai trò then chốt của Hoa Kỳ trong thương mại Việt Nam, việc nghiên cứu chính sách thuế quan của Hoa Kỳ và rút ra các bài học chính sách thương mại cho Việt Nam là yêu cầu mang tính chiến lược. Bài viết này được thực hiện nhằm phục vụ ba mục tiêu chính:</w:t>
      </w:r>
    </w:p>
    <w:p w14:paraId="25059DC4" w14:textId="52549A72" w:rsidR="009C44B3" w:rsidRDefault="009C44B3" w:rsidP="009C44B3">
      <w:pPr>
        <w:ind w:firstLine="720"/>
        <w:jc w:val="both"/>
        <w:rPr>
          <w:lang w:val="vi-VN"/>
        </w:rPr>
      </w:pPr>
      <w:r w:rsidRPr="009C44B3">
        <w:t>(1) Phân tích xu hướng và đặc điểm chính sách thuế quan của Hoa Kỳ đối với hàng hóa nhập khẩu từ Việt Nam trong giai đoạn hậu toàn cầu hóa;</w:t>
      </w:r>
    </w:p>
    <w:p w14:paraId="653EFB6A" w14:textId="77777777" w:rsidR="009C44B3" w:rsidRDefault="009C44B3" w:rsidP="009C44B3">
      <w:pPr>
        <w:ind w:firstLine="720"/>
        <w:jc w:val="both"/>
        <w:rPr>
          <w:lang w:val="vi-VN"/>
        </w:rPr>
      </w:pPr>
      <w:r w:rsidRPr="009C44B3">
        <w:t>(2) Đánh giá tác động của các chính sách này đến thương mại song phương, chuỗi cung ứng và năng lực cạnh tranh của doanh nghiệp Việt Nam;</w:t>
      </w:r>
    </w:p>
    <w:p w14:paraId="2645D822" w14:textId="3C4000B4" w:rsidR="009C44B3" w:rsidRPr="009C44B3" w:rsidRDefault="009C44B3" w:rsidP="009C44B3">
      <w:pPr>
        <w:ind w:firstLine="720"/>
        <w:jc w:val="both"/>
      </w:pPr>
      <w:r w:rsidRPr="009C44B3">
        <w:t>(3) Đề xuất các bài học kinh nghiệm và kiến nghị chính sách phù hợp, nhằm giúp Việt Nam chủ động thích ứng, củng cố vị thế thương mại, và nâng cao sức chống chịu trước các cú sốc bảo hộ trong tương lai.</w:t>
      </w:r>
    </w:p>
    <w:p w14:paraId="40DAE020" w14:textId="77777777" w:rsidR="003372CF" w:rsidRPr="003372CF" w:rsidRDefault="003372CF" w:rsidP="003372CF">
      <w:pPr>
        <w:jc w:val="both"/>
      </w:pPr>
      <w:r w:rsidRPr="003372CF">
        <w:rPr>
          <w:b/>
          <w:bCs/>
        </w:rPr>
        <w:t>CƠ SỞ LÝ THUYẾT / PHƯƠNG PHÁP</w:t>
      </w:r>
    </w:p>
    <w:p w14:paraId="10064644" w14:textId="77777777" w:rsidR="003372CF" w:rsidRDefault="003372CF" w:rsidP="003372CF">
      <w:pPr>
        <w:jc w:val="both"/>
        <w:rPr>
          <w:b/>
          <w:bCs/>
          <w:lang w:val="vi-VN"/>
        </w:rPr>
      </w:pPr>
      <w:r w:rsidRPr="003372CF">
        <w:rPr>
          <w:b/>
          <w:bCs/>
        </w:rPr>
        <w:t>1. Cơ sở lý thuyết</w:t>
      </w:r>
    </w:p>
    <w:p w14:paraId="27D4F7E7" w14:textId="58941D61" w:rsidR="003372CF" w:rsidRPr="003372CF" w:rsidRDefault="003372CF" w:rsidP="003372CF">
      <w:pPr>
        <w:ind w:firstLine="720"/>
        <w:jc w:val="both"/>
      </w:pPr>
      <w:r w:rsidRPr="003372CF">
        <w:t>Bài viết dựa trên hai lý thuyết kinh tế cơ bản để phân tích bối cảnh và đề xuất chính sách thương mại cho Việt Nam trong thời kỳ gia tăng chủ nghĩa bảo hộ:</w:t>
      </w:r>
    </w:p>
    <w:p w14:paraId="0C6018D7" w14:textId="77777777" w:rsidR="003372CF" w:rsidRPr="003372CF" w:rsidRDefault="003372CF" w:rsidP="003372CF">
      <w:pPr>
        <w:jc w:val="both"/>
        <w:rPr>
          <w:b/>
          <w:bCs/>
          <w:i/>
          <w:iCs/>
          <w:lang w:val="vi-VN"/>
        </w:rPr>
      </w:pPr>
      <w:r w:rsidRPr="003372CF">
        <w:rPr>
          <w:b/>
          <w:bCs/>
          <w:i/>
          <w:iCs/>
        </w:rPr>
        <w:t>1.1. Lý thuyết lợi thế so sánh (Comparative Advantage Theory)</w:t>
      </w:r>
    </w:p>
    <w:p w14:paraId="30372F50" w14:textId="01C28A74" w:rsidR="003372CF" w:rsidRPr="003372CF" w:rsidRDefault="003372CF" w:rsidP="003372CF">
      <w:pPr>
        <w:ind w:firstLine="720"/>
        <w:jc w:val="both"/>
      </w:pPr>
      <w:r w:rsidRPr="003372CF">
        <w:t xml:space="preserve">Ra đời từ mô hình Ricardo, lý thuyết lợi thế so sánh khẳng định rằng mỗi quốc gia nên chuyên môn hóa vào những ngành mà họ có chi phí cơ hội sản xuất thấp hơn, từ đó tối ưu hóa phúc lợi thông qua thương mại quốc tế. Trong bối cảnh toàn cầu hóa và hội nhập sâu rộng, lý thuyết này được mở rộng để bao gồm không chỉ yếu tố năng suất mà cả yếu tố thể chế, môi trường đầu tư và cam kết quốc tế. Đối với Việt Nam – quốc gia có thế mạnh trong các ngành thâm </w:t>
      </w:r>
      <w:r w:rsidRPr="003372CF">
        <w:lastRenderedPageBreak/>
        <w:t>dụng lao động – việc tận dụng lợi thế so sánh gắn với các hiệp định thương mại (FTA, CPTPP, EVFTA…) là chìa khóa để duy trì tăng trưởng xuất khẩu và giảm thiểu rủi ro từ rào cản thương mại mới do các nước lớn như Hoa Kỳ áp đặt.</w:t>
      </w:r>
    </w:p>
    <w:p w14:paraId="27D8C77E" w14:textId="77777777" w:rsidR="007F6E0F" w:rsidRPr="007F6E0F" w:rsidRDefault="003372CF" w:rsidP="003372CF">
      <w:pPr>
        <w:jc w:val="both"/>
        <w:rPr>
          <w:b/>
          <w:bCs/>
          <w:i/>
          <w:iCs/>
          <w:lang w:val="vi-VN"/>
        </w:rPr>
      </w:pPr>
      <w:r w:rsidRPr="003372CF">
        <w:rPr>
          <w:b/>
          <w:bCs/>
          <w:i/>
          <w:iCs/>
        </w:rPr>
        <w:t>1.2. Lý thuyết đa dạng hóa rủi ro thương mại (Trade Risk Diversification Theory)</w:t>
      </w:r>
    </w:p>
    <w:p w14:paraId="501ED419" w14:textId="680F23AE" w:rsidR="003372CF" w:rsidRPr="003372CF" w:rsidRDefault="003372CF" w:rsidP="007F6E0F">
      <w:pPr>
        <w:ind w:firstLine="720"/>
        <w:jc w:val="both"/>
        <w:rPr>
          <w:b/>
          <w:bCs/>
          <w:lang w:val="vi-VN"/>
        </w:rPr>
      </w:pPr>
      <w:r w:rsidRPr="003372CF">
        <w:t>Theo lý thuyết này, việc phụ thuộc quá mức vào một hoặc vài đối tác thương mại chủ lực sẽ khiến nền kinh tế dễ tổn thương trước những cú sốc chính sách, đặc biệt là trong điều kiện chủ nghĩa bảo hộ ngày càng mạnh mẽ. Đa dạng hóa thị trường xuất khẩu và chuỗi cung ứng được xem là chiến lược ứng phó hiệu quả nhằm phân tán rủi ro và nâng cao năng lực chống chịu thương mại. Lý thuyết này là nền tảng để đánh giá vai trò của các FTA trong việc mở rộng không gian thị trường cho Việt Nam, qua đó giảm sự lệ thuộc vào thị trường Hoa Kỳ.</w:t>
      </w:r>
    </w:p>
    <w:p w14:paraId="76D79A5D" w14:textId="77777777" w:rsidR="007F6E0F" w:rsidRDefault="003372CF" w:rsidP="003372CF">
      <w:pPr>
        <w:jc w:val="both"/>
        <w:rPr>
          <w:b/>
          <w:bCs/>
          <w:lang w:val="vi-VN"/>
        </w:rPr>
      </w:pPr>
      <w:r w:rsidRPr="003372CF">
        <w:rPr>
          <w:b/>
          <w:bCs/>
        </w:rPr>
        <w:t>2. Phương pháp nghiên cứu</w:t>
      </w:r>
    </w:p>
    <w:p w14:paraId="49BB9A39" w14:textId="4849C7C3" w:rsidR="003372CF" w:rsidRPr="003372CF" w:rsidRDefault="003372CF" w:rsidP="007F6E0F">
      <w:pPr>
        <w:ind w:firstLine="720"/>
        <w:jc w:val="both"/>
      </w:pPr>
      <w:r w:rsidRPr="003372CF">
        <w:t>Bài viết áp dụng cách tiếp cận kết hợp giữa phương pháp định tính và định lượng nhằm bảo đảm tính toàn diện và tính thực tiễn của kết quả nghiên cứu:</w:t>
      </w:r>
    </w:p>
    <w:p w14:paraId="6C2FDFA8" w14:textId="77777777" w:rsidR="007F6E0F" w:rsidRPr="007F6E0F" w:rsidRDefault="003372CF" w:rsidP="003372CF">
      <w:pPr>
        <w:jc w:val="both"/>
        <w:rPr>
          <w:b/>
          <w:bCs/>
          <w:i/>
          <w:iCs/>
          <w:lang w:val="vi-VN"/>
        </w:rPr>
      </w:pPr>
      <w:r w:rsidRPr="003372CF">
        <w:rPr>
          <w:b/>
          <w:bCs/>
          <w:i/>
          <w:iCs/>
        </w:rPr>
        <w:t>2.1. Phương pháp nghiên cứu định tính</w:t>
      </w:r>
    </w:p>
    <w:p w14:paraId="3D186010" w14:textId="03A41078" w:rsidR="003372CF" w:rsidRPr="003372CF" w:rsidRDefault="003372CF" w:rsidP="007F6E0F">
      <w:pPr>
        <w:ind w:firstLine="720"/>
        <w:jc w:val="both"/>
      </w:pPr>
      <w:r w:rsidRPr="003372CF">
        <w:t>Phân tích chính sách và văn kiện chính thức của Chính phủ Hoa Kỳ, Việt Nam và các tổ chức quốc tế (WTO, WB, OECD…) nhằm xác định xu hướng, mục tiêu và tác động của chính sách thuế quan Hoa Kỳ đối với thương mại Việt Nam. Bên cạnh đó, bài viết tiến hành đối chiếu quốc tế (comparative policy analysis) để so sánh phản ứng chính sách của các quốc gia ASEAN, Trung Quốc và Hàn Quốc trong bối cảnh tương tự, từ đó rút ra bài học cho Việt Nam.</w:t>
      </w:r>
    </w:p>
    <w:p w14:paraId="6D823636" w14:textId="77777777" w:rsidR="007F6E0F" w:rsidRDefault="003372CF" w:rsidP="003372CF">
      <w:pPr>
        <w:jc w:val="both"/>
        <w:rPr>
          <w:b/>
          <w:bCs/>
          <w:lang w:val="vi-VN"/>
        </w:rPr>
      </w:pPr>
      <w:r w:rsidRPr="003372CF">
        <w:rPr>
          <w:b/>
          <w:bCs/>
        </w:rPr>
        <w:t>2.2. Phương pháp nghiên cứu định lượng</w:t>
      </w:r>
    </w:p>
    <w:p w14:paraId="6B2A1A1B" w14:textId="3766A0B1" w:rsidR="003372CF" w:rsidRPr="003372CF" w:rsidRDefault="003372CF" w:rsidP="007F6E0F">
      <w:pPr>
        <w:ind w:firstLine="720"/>
        <w:jc w:val="both"/>
      </w:pPr>
      <w:r w:rsidRPr="003372CF">
        <w:t>Dữ liệu thương mại song phương giữa Việt Nam và Hoa Kỳ giai đoạn 2010–2023 được thu thập từ Tổng cục Hải quan Việt Nam, UN Comtrade và World Bank. Trên cơ sở này, mô hình hồi quy chênh lệch (Difference-in-Differences – DID) được áp dụng để đo lường tác động của chính sách thuế quan Hoa Kỳ đến kim ngạch xuất khẩu của Việt Nam, bằng cách so sánh tăng trưởng xuất khẩu giữa nhóm ngành chịu tác động trực tiếp (như dệt may, thép, gỗ, điện tử…) và nhóm ngành ít chịu tác động, trước và sau khi các chính sách bảo hộ được ban hành (giai đoạn từ 2017 trở đi).</w:t>
      </w:r>
    </w:p>
    <w:p w14:paraId="493864E9" w14:textId="77777777" w:rsidR="003372CF" w:rsidRPr="003372CF" w:rsidRDefault="003372CF" w:rsidP="007F6E0F">
      <w:pPr>
        <w:ind w:firstLine="720"/>
        <w:jc w:val="both"/>
      </w:pPr>
      <w:r w:rsidRPr="003372CF">
        <w:t>Mô hình định lượng giúp kiểm chứng mức độ tác động của các chính sách bảo hộ đến thương mại song phương, đồng thời cung cấp cơ sở thực tiễn cho các khuyến nghị chính sách mang tính khả thi và có sức thuyết phục hơn.</w:t>
      </w:r>
    </w:p>
    <w:p w14:paraId="6661378E" w14:textId="77777777" w:rsidR="002E0F30" w:rsidRPr="002E0F30" w:rsidRDefault="002E0F30" w:rsidP="002E0F30">
      <w:pPr>
        <w:jc w:val="both"/>
        <w:rPr>
          <w:b/>
          <w:bCs/>
        </w:rPr>
      </w:pPr>
      <w:r w:rsidRPr="002E0F30">
        <w:rPr>
          <w:b/>
          <w:bCs/>
        </w:rPr>
        <w:t>KẾT QUẢ VÀ THẢO LUẬN</w:t>
      </w:r>
    </w:p>
    <w:p w14:paraId="567DE8E9" w14:textId="77777777" w:rsidR="00C445D9" w:rsidRPr="00C445D9" w:rsidRDefault="00C445D9" w:rsidP="00C445D9">
      <w:pPr>
        <w:jc w:val="both"/>
        <w:rPr>
          <w:b/>
          <w:bCs/>
        </w:rPr>
      </w:pPr>
      <w:r w:rsidRPr="00C445D9">
        <w:rPr>
          <w:b/>
          <w:bCs/>
        </w:rPr>
        <w:t>1. Phân tích xu hướng và tác động của chính sách thuế quan Mỹ đối với Việt Nam</w:t>
      </w:r>
    </w:p>
    <w:p w14:paraId="375D0B6F" w14:textId="77777777" w:rsidR="00C445D9" w:rsidRPr="00C445D9" w:rsidRDefault="00C445D9" w:rsidP="00C445D9">
      <w:pPr>
        <w:jc w:val="both"/>
        <w:rPr>
          <w:b/>
          <w:bCs/>
          <w:i/>
          <w:iCs/>
        </w:rPr>
      </w:pPr>
      <w:r w:rsidRPr="00C445D9">
        <w:rPr>
          <w:b/>
          <w:bCs/>
          <w:i/>
          <w:iCs/>
        </w:rPr>
        <w:lastRenderedPageBreak/>
        <w:t>1.1. Xu hướng và đặc điểm chính sách thuế quan của Hoa Kỳ trong giai đoạn hậu toàn cầu hóa</w:t>
      </w:r>
    </w:p>
    <w:p w14:paraId="078C8488" w14:textId="77777777" w:rsidR="00C445D9" w:rsidRPr="00C445D9" w:rsidRDefault="00C445D9" w:rsidP="00C445D9">
      <w:pPr>
        <w:ind w:firstLine="720"/>
        <w:jc w:val="both"/>
      </w:pPr>
      <w:r w:rsidRPr="00C445D9">
        <w:t>Từ năm 2017, đặc biệt là sau đại dịch COVID-19, Hoa Kỳ bắt đầu chuyển hướng từ thương mại tự do sang chủ nghĩa bảo hộ có chọn lọc. Dưới chính quyền Tổng thống Donald Trump (nhiệm kỳ đầu), các chính sách thương mại của Mỹ được thiết kế nhằm bảo vệ lợi ích sản xuất nội địa, kiểm soát nhập siêu và tái thiết chuỗi cung ứng chiến lược. Điều này thể hiện rõ qua việc Mỹ rút khỏi TPP, gia tăng thuế quan với Trung Quốc và nhiều quốc gia, trong đó có Việt Nam.</w:t>
      </w:r>
    </w:p>
    <w:p w14:paraId="34C51BC4" w14:textId="77777777" w:rsidR="00C445D9" w:rsidRPr="00C445D9" w:rsidRDefault="00C445D9" w:rsidP="00C445D9">
      <w:pPr>
        <w:ind w:firstLine="360"/>
        <w:jc w:val="both"/>
      </w:pPr>
      <w:r w:rsidRPr="00C445D9">
        <w:t>Trong nhiệm kỳ thứ hai của Tổng thống Trump (theo các kịch bản chính sách được dự báo bởi Brookings Institution, Peterson Institute và CSIS), xu hướng bảo hộ thương mại tiếp tục được đẩy mạnh với ba đặc điểm chính:</w:t>
      </w:r>
    </w:p>
    <w:p w14:paraId="08C6F730" w14:textId="77777777" w:rsidR="00C445D9" w:rsidRPr="00C445D9" w:rsidRDefault="00C445D9" w:rsidP="00C445D9">
      <w:pPr>
        <w:numPr>
          <w:ilvl w:val="0"/>
          <w:numId w:val="13"/>
        </w:numPr>
        <w:jc w:val="both"/>
      </w:pPr>
      <w:r w:rsidRPr="00C445D9">
        <w:t>Áp dụng thuế đối ứng mở rộng, không chỉ với Trung Quốc mà với cả các nền kinh tế có thặng dư thương mại lớn với Hoa Kỳ, trong đó có Việt Nam – quốc gia có thặng dư thương mại song phương lớn thứ 6 với Mỹ trong năm 2023 (khoảng 105 tỷ USD) [1], [2].</w:t>
      </w:r>
    </w:p>
    <w:p w14:paraId="54059CC4" w14:textId="77777777" w:rsidR="00C445D9" w:rsidRPr="00C445D9" w:rsidRDefault="00C445D9" w:rsidP="00C445D9">
      <w:pPr>
        <w:numPr>
          <w:ilvl w:val="0"/>
          <w:numId w:val="13"/>
        </w:numPr>
        <w:jc w:val="both"/>
      </w:pPr>
      <w:r w:rsidRPr="00C445D9">
        <w:t>Gia tăng mức thuế nhập khẩu cơ bản (Most Favored Nation – MFN) đối với một loạt nhóm hàng chiến lược, bao gồm: thép, gỗ dán, thiết bị điện tử, pin năng lượng, linh kiện công nghệ cao, mà Việt Nam đang xuất khẩu với quy mô lớn sang thị trường Mỹ [4].</w:t>
      </w:r>
    </w:p>
    <w:p w14:paraId="765BEB1C" w14:textId="77777777" w:rsidR="00C445D9" w:rsidRPr="00C445D9" w:rsidRDefault="00C445D9" w:rsidP="00C445D9">
      <w:pPr>
        <w:numPr>
          <w:ilvl w:val="0"/>
          <w:numId w:val="13"/>
        </w:numPr>
        <w:jc w:val="both"/>
      </w:pPr>
      <w:r w:rsidRPr="00C445D9">
        <w:t>Khôi phục và mở rộng danh sách quốc gia bị giám sát tiền tệ và gian lận thương mại, đi kèm với các biện pháp điều tra chống bán phá giá, chống trợ cấp và tránh né xuất xứ (circumvention). Việt Nam từng bị Bộ Tài chính Hoa Kỳ đưa vào danh sách giám sát thao túng tiền tệ năm 2020 [3].</w:t>
      </w:r>
    </w:p>
    <w:p w14:paraId="1A9102BB" w14:textId="77777777" w:rsidR="00C445D9" w:rsidRPr="00C445D9" w:rsidRDefault="00C445D9" w:rsidP="00C445D9">
      <w:pPr>
        <w:jc w:val="both"/>
      </w:pPr>
      <w:r w:rsidRPr="00C445D9">
        <w:rPr>
          <w:b/>
          <w:bCs/>
        </w:rPr>
        <w:t>Bảng 1. Một số diễn biến chính sách thuế quan của Mỹ đối với hàng hóa Việt Nam (2017–2024)</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9"/>
        <w:gridCol w:w="2225"/>
        <w:gridCol w:w="941"/>
        <w:gridCol w:w="2415"/>
        <w:gridCol w:w="2810"/>
      </w:tblGrid>
      <w:tr w:rsidR="00C445D9" w:rsidRPr="00C445D9" w14:paraId="0D638E20" w14:textId="77777777" w:rsidTr="00C445D9">
        <w:trPr>
          <w:tblHeader/>
          <w:tblCellSpacing w:w="15" w:type="dxa"/>
          <w:jc w:val="center"/>
        </w:trPr>
        <w:tc>
          <w:tcPr>
            <w:tcW w:w="0" w:type="auto"/>
            <w:vAlign w:val="center"/>
            <w:hideMark/>
          </w:tcPr>
          <w:p w14:paraId="48228D1C" w14:textId="77777777" w:rsidR="00C445D9" w:rsidRPr="00C445D9" w:rsidRDefault="00C445D9" w:rsidP="00C445D9">
            <w:pPr>
              <w:jc w:val="center"/>
              <w:rPr>
                <w:b/>
                <w:bCs/>
                <w:sz w:val="22"/>
                <w:szCs w:val="22"/>
              </w:rPr>
            </w:pPr>
            <w:r w:rsidRPr="00C445D9">
              <w:rPr>
                <w:b/>
                <w:bCs/>
                <w:sz w:val="22"/>
                <w:szCs w:val="22"/>
              </w:rPr>
              <w:t>Nhóm hàng</w:t>
            </w:r>
          </w:p>
        </w:tc>
        <w:tc>
          <w:tcPr>
            <w:tcW w:w="0" w:type="auto"/>
            <w:vAlign w:val="center"/>
            <w:hideMark/>
          </w:tcPr>
          <w:p w14:paraId="708C4874" w14:textId="77777777" w:rsidR="00C445D9" w:rsidRPr="00C445D9" w:rsidRDefault="00C445D9" w:rsidP="00C445D9">
            <w:pPr>
              <w:jc w:val="center"/>
              <w:rPr>
                <w:b/>
                <w:bCs/>
                <w:sz w:val="22"/>
                <w:szCs w:val="22"/>
              </w:rPr>
            </w:pPr>
            <w:r w:rsidRPr="00C445D9">
              <w:rPr>
                <w:b/>
                <w:bCs/>
                <w:sz w:val="22"/>
                <w:szCs w:val="22"/>
              </w:rPr>
              <w:t>Biện pháp áp dụng</w:t>
            </w:r>
          </w:p>
        </w:tc>
        <w:tc>
          <w:tcPr>
            <w:tcW w:w="0" w:type="auto"/>
            <w:vAlign w:val="center"/>
            <w:hideMark/>
          </w:tcPr>
          <w:p w14:paraId="50C48FD0" w14:textId="77777777" w:rsidR="00C445D9" w:rsidRPr="00C445D9" w:rsidRDefault="00C445D9" w:rsidP="00C445D9">
            <w:pPr>
              <w:jc w:val="center"/>
              <w:rPr>
                <w:b/>
                <w:bCs/>
                <w:sz w:val="22"/>
                <w:szCs w:val="22"/>
              </w:rPr>
            </w:pPr>
            <w:r w:rsidRPr="00C445D9">
              <w:rPr>
                <w:b/>
                <w:bCs/>
                <w:sz w:val="22"/>
                <w:szCs w:val="22"/>
              </w:rPr>
              <w:t>Năm áp dụng</w:t>
            </w:r>
          </w:p>
        </w:tc>
        <w:tc>
          <w:tcPr>
            <w:tcW w:w="0" w:type="auto"/>
            <w:vAlign w:val="center"/>
            <w:hideMark/>
          </w:tcPr>
          <w:p w14:paraId="1FCDFA34" w14:textId="77777777" w:rsidR="00C445D9" w:rsidRPr="00C445D9" w:rsidRDefault="00C445D9" w:rsidP="00C445D9">
            <w:pPr>
              <w:jc w:val="center"/>
              <w:rPr>
                <w:b/>
                <w:bCs/>
                <w:sz w:val="22"/>
                <w:szCs w:val="22"/>
              </w:rPr>
            </w:pPr>
            <w:r w:rsidRPr="00C445D9">
              <w:rPr>
                <w:b/>
                <w:bCs/>
                <w:sz w:val="22"/>
                <w:szCs w:val="22"/>
              </w:rPr>
              <w:t>Mức thuế/Quy định</w:t>
            </w:r>
          </w:p>
        </w:tc>
        <w:tc>
          <w:tcPr>
            <w:tcW w:w="0" w:type="auto"/>
            <w:vAlign w:val="center"/>
            <w:hideMark/>
          </w:tcPr>
          <w:p w14:paraId="3C0455FD" w14:textId="77777777" w:rsidR="00C445D9" w:rsidRPr="00C445D9" w:rsidRDefault="00C445D9" w:rsidP="00C445D9">
            <w:pPr>
              <w:jc w:val="center"/>
              <w:rPr>
                <w:b/>
                <w:bCs/>
                <w:sz w:val="22"/>
                <w:szCs w:val="22"/>
              </w:rPr>
            </w:pPr>
            <w:r w:rsidRPr="00C445D9">
              <w:rPr>
                <w:b/>
                <w:bCs/>
                <w:sz w:val="22"/>
                <w:szCs w:val="22"/>
              </w:rPr>
              <w:t>Ghi chú</w:t>
            </w:r>
          </w:p>
        </w:tc>
      </w:tr>
      <w:tr w:rsidR="00C445D9" w:rsidRPr="00C445D9" w14:paraId="323C4422" w14:textId="77777777" w:rsidTr="00C445D9">
        <w:trPr>
          <w:tblCellSpacing w:w="15" w:type="dxa"/>
          <w:jc w:val="center"/>
        </w:trPr>
        <w:tc>
          <w:tcPr>
            <w:tcW w:w="0" w:type="auto"/>
            <w:vAlign w:val="center"/>
            <w:hideMark/>
          </w:tcPr>
          <w:p w14:paraId="3F50127B" w14:textId="77777777" w:rsidR="00C445D9" w:rsidRPr="00C445D9" w:rsidRDefault="00C445D9" w:rsidP="00C445D9">
            <w:pPr>
              <w:jc w:val="center"/>
              <w:rPr>
                <w:sz w:val="22"/>
                <w:szCs w:val="22"/>
              </w:rPr>
            </w:pPr>
            <w:r w:rsidRPr="00C445D9">
              <w:rPr>
                <w:sz w:val="22"/>
                <w:szCs w:val="22"/>
              </w:rPr>
              <w:t>Thép &amp; nhôm</w:t>
            </w:r>
          </w:p>
        </w:tc>
        <w:tc>
          <w:tcPr>
            <w:tcW w:w="0" w:type="auto"/>
            <w:vAlign w:val="center"/>
            <w:hideMark/>
          </w:tcPr>
          <w:p w14:paraId="7DE1BCA4" w14:textId="77777777" w:rsidR="00C445D9" w:rsidRPr="00C445D9" w:rsidRDefault="00C445D9" w:rsidP="00C445D9">
            <w:pPr>
              <w:jc w:val="center"/>
              <w:rPr>
                <w:sz w:val="22"/>
                <w:szCs w:val="22"/>
              </w:rPr>
            </w:pPr>
            <w:r w:rsidRPr="00C445D9">
              <w:rPr>
                <w:sz w:val="22"/>
                <w:szCs w:val="22"/>
              </w:rPr>
              <w:t>Chống bán phá giá (AD), chống trợ cấp (CVD)</w:t>
            </w:r>
          </w:p>
        </w:tc>
        <w:tc>
          <w:tcPr>
            <w:tcW w:w="0" w:type="auto"/>
            <w:vAlign w:val="center"/>
            <w:hideMark/>
          </w:tcPr>
          <w:p w14:paraId="580ED61D" w14:textId="77777777" w:rsidR="00C445D9" w:rsidRPr="00C445D9" w:rsidRDefault="00C445D9" w:rsidP="00C445D9">
            <w:pPr>
              <w:jc w:val="center"/>
              <w:rPr>
                <w:sz w:val="22"/>
                <w:szCs w:val="22"/>
              </w:rPr>
            </w:pPr>
            <w:r w:rsidRPr="00C445D9">
              <w:rPr>
                <w:sz w:val="22"/>
                <w:szCs w:val="22"/>
              </w:rPr>
              <w:t>2017–2023</w:t>
            </w:r>
          </w:p>
        </w:tc>
        <w:tc>
          <w:tcPr>
            <w:tcW w:w="0" w:type="auto"/>
            <w:vAlign w:val="center"/>
            <w:hideMark/>
          </w:tcPr>
          <w:p w14:paraId="4C38FE29" w14:textId="77777777" w:rsidR="00C445D9" w:rsidRPr="00C445D9" w:rsidRDefault="00C445D9" w:rsidP="00C445D9">
            <w:pPr>
              <w:jc w:val="center"/>
              <w:rPr>
                <w:sz w:val="22"/>
                <w:szCs w:val="22"/>
              </w:rPr>
            </w:pPr>
            <w:r w:rsidRPr="00C445D9">
              <w:rPr>
                <w:sz w:val="22"/>
                <w:szCs w:val="22"/>
              </w:rPr>
              <w:t>25%–35%</w:t>
            </w:r>
          </w:p>
        </w:tc>
        <w:tc>
          <w:tcPr>
            <w:tcW w:w="0" w:type="auto"/>
            <w:vAlign w:val="center"/>
            <w:hideMark/>
          </w:tcPr>
          <w:p w14:paraId="417B4CC0" w14:textId="77777777" w:rsidR="00C445D9" w:rsidRPr="00C445D9" w:rsidRDefault="00C445D9" w:rsidP="00C445D9">
            <w:pPr>
              <w:jc w:val="center"/>
              <w:rPr>
                <w:sz w:val="22"/>
                <w:szCs w:val="22"/>
              </w:rPr>
            </w:pPr>
            <w:r w:rsidRPr="00C445D9">
              <w:rPr>
                <w:sz w:val="22"/>
                <w:szCs w:val="22"/>
              </w:rPr>
              <w:t>Mở rộng từ tranh chấp với Trung Quốc</w:t>
            </w:r>
          </w:p>
        </w:tc>
      </w:tr>
      <w:tr w:rsidR="00C445D9" w:rsidRPr="00C445D9" w14:paraId="1CD01B9A" w14:textId="77777777" w:rsidTr="00C445D9">
        <w:trPr>
          <w:tblCellSpacing w:w="15" w:type="dxa"/>
          <w:jc w:val="center"/>
        </w:trPr>
        <w:tc>
          <w:tcPr>
            <w:tcW w:w="0" w:type="auto"/>
            <w:vAlign w:val="center"/>
            <w:hideMark/>
          </w:tcPr>
          <w:p w14:paraId="4D0E92C9" w14:textId="77777777" w:rsidR="00C445D9" w:rsidRPr="00C445D9" w:rsidRDefault="00C445D9" w:rsidP="00C445D9">
            <w:pPr>
              <w:jc w:val="center"/>
              <w:rPr>
                <w:sz w:val="22"/>
                <w:szCs w:val="22"/>
              </w:rPr>
            </w:pPr>
            <w:r w:rsidRPr="00C445D9">
              <w:rPr>
                <w:sz w:val="22"/>
                <w:szCs w:val="22"/>
              </w:rPr>
              <w:t>Gỗ dán, tủ gỗ</w:t>
            </w:r>
          </w:p>
        </w:tc>
        <w:tc>
          <w:tcPr>
            <w:tcW w:w="0" w:type="auto"/>
            <w:vAlign w:val="center"/>
            <w:hideMark/>
          </w:tcPr>
          <w:p w14:paraId="4321F8F8" w14:textId="77777777" w:rsidR="00C445D9" w:rsidRPr="00C445D9" w:rsidRDefault="00C445D9" w:rsidP="00C445D9">
            <w:pPr>
              <w:jc w:val="center"/>
              <w:rPr>
                <w:sz w:val="22"/>
                <w:szCs w:val="22"/>
              </w:rPr>
            </w:pPr>
            <w:r w:rsidRPr="00C445D9">
              <w:rPr>
                <w:sz w:val="22"/>
                <w:szCs w:val="22"/>
              </w:rPr>
              <w:t>Điều tra xuất xứ và áp thuế tránh né</w:t>
            </w:r>
          </w:p>
        </w:tc>
        <w:tc>
          <w:tcPr>
            <w:tcW w:w="0" w:type="auto"/>
            <w:vAlign w:val="center"/>
            <w:hideMark/>
          </w:tcPr>
          <w:p w14:paraId="095914AB" w14:textId="77777777" w:rsidR="00C445D9" w:rsidRPr="00C445D9" w:rsidRDefault="00C445D9" w:rsidP="00C445D9">
            <w:pPr>
              <w:jc w:val="center"/>
              <w:rPr>
                <w:sz w:val="22"/>
                <w:szCs w:val="22"/>
              </w:rPr>
            </w:pPr>
            <w:r w:rsidRPr="00C445D9">
              <w:rPr>
                <w:sz w:val="22"/>
                <w:szCs w:val="22"/>
              </w:rPr>
              <w:t>2019–2022</w:t>
            </w:r>
          </w:p>
        </w:tc>
        <w:tc>
          <w:tcPr>
            <w:tcW w:w="0" w:type="auto"/>
            <w:vAlign w:val="center"/>
            <w:hideMark/>
          </w:tcPr>
          <w:p w14:paraId="397A9E0B" w14:textId="77777777" w:rsidR="00C445D9" w:rsidRPr="00C445D9" w:rsidRDefault="00C445D9" w:rsidP="00C445D9">
            <w:pPr>
              <w:jc w:val="center"/>
              <w:rPr>
                <w:sz w:val="22"/>
                <w:szCs w:val="22"/>
              </w:rPr>
            </w:pPr>
            <w:r w:rsidRPr="00C445D9">
              <w:rPr>
                <w:sz w:val="22"/>
                <w:szCs w:val="22"/>
              </w:rPr>
              <w:t>Thuế AD/CVD 55%–183%</w:t>
            </w:r>
          </w:p>
        </w:tc>
        <w:tc>
          <w:tcPr>
            <w:tcW w:w="0" w:type="auto"/>
            <w:vAlign w:val="center"/>
            <w:hideMark/>
          </w:tcPr>
          <w:p w14:paraId="300DCF22" w14:textId="77777777" w:rsidR="00C445D9" w:rsidRPr="00C445D9" w:rsidRDefault="00C445D9" w:rsidP="00C445D9">
            <w:pPr>
              <w:jc w:val="center"/>
              <w:rPr>
                <w:sz w:val="22"/>
                <w:szCs w:val="22"/>
              </w:rPr>
            </w:pPr>
            <w:r w:rsidRPr="00C445D9">
              <w:rPr>
                <w:sz w:val="22"/>
                <w:szCs w:val="22"/>
              </w:rPr>
              <w:t>Bộ Thương mại Mỹ khẳng định gian lận xuất xứ</w:t>
            </w:r>
          </w:p>
        </w:tc>
      </w:tr>
      <w:tr w:rsidR="00C445D9" w:rsidRPr="00C445D9" w14:paraId="71BFB689" w14:textId="77777777" w:rsidTr="00C445D9">
        <w:trPr>
          <w:tblCellSpacing w:w="15" w:type="dxa"/>
          <w:jc w:val="center"/>
        </w:trPr>
        <w:tc>
          <w:tcPr>
            <w:tcW w:w="0" w:type="auto"/>
            <w:vAlign w:val="center"/>
            <w:hideMark/>
          </w:tcPr>
          <w:p w14:paraId="76BFAB06" w14:textId="77777777" w:rsidR="00C445D9" w:rsidRPr="00C445D9" w:rsidRDefault="00C445D9" w:rsidP="00C445D9">
            <w:pPr>
              <w:jc w:val="center"/>
              <w:rPr>
                <w:sz w:val="22"/>
                <w:szCs w:val="22"/>
              </w:rPr>
            </w:pPr>
            <w:r w:rsidRPr="00C445D9">
              <w:rPr>
                <w:sz w:val="22"/>
                <w:szCs w:val="22"/>
              </w:rPr>
              <w:t>Dệt may</w:t>
            </w:r>
          </w:p>
        </w:tc>
        <w:tc>
          <w:tcPr>
            <w:tcW w:w="0" w:type="auto"/>
            <w:vAlign w:val="center"/>
            <w:hideMark/>
          </w:tcPr>
          <w:p w14:paraId="3210FB58" w14:textId="77777777" w:rsidR="00C445D9" w:rsidRPr="00C445D9" w:rsidRDefault="00C445D9" w:rsidP="00C445D9">
            <w:pPr>
              <w:jc w:val="center"/>
              <w:rPr>
                <w:sz w:val="22"/>
                <w:szCs w:val="22"/>
              </w:rPr>
            </w:pPr>
            <w:r w:rsidRPr="00C445D9">
              <w:rPr>
                <w:sz w:val="22"/>
                <w:szCs w:val="22"/>
              </w:rPr>
              <w:t>Tăng kiểm tra xuất xứ, lao động cưỡng bức</w:t>
            </w:r>
          </w:p>
        </w:tc>
        <w:tc>
          <w:tcPr>
            <w:tcW w:w="0" w:type="auto"/>
            <w:vAlign w:val="center"/>
            <w:hideMark/>
          </w:tcPr>
          <w:p w14:paraId="508723AD" w14:textId="77777777" w:rsidR="00C445D9" w:rsidRPr="00C445D9" w:rsidRDefault="00C445D9" w:rsidP="00C445D9">
            <w:pPr>
              <w:jc w:val="center"/>
              <w:rPr>
                <w:sz w:val="22"/>
                <w:szCs w:val="22"/>
              </w:rPr>
            </w:pPr>
            <w:r w:rsidRPr="00C445D9">
              <w:rPr>
                <w:sz w:val="22"/>
                <w:szCs w:val="22"/>
              </w:rPr>
              <w:t>2021–2024</w:t>
            </w:r>
          </w:p>
        </w:tc>
        <w:tc>
          <w:tcPr>
            <w:tcW w:w="0" w:type="auto"/>
            <w:vAlign w:val="center"/>
            <w:hideMark/>
          </w:tcPr>
          <w:p w14:paraId="6B709357" w14:textId="77777777" w:rsidR="00C445D9" w:rsidRPr="00C445D9" w:rsidRDefault="00C445D9" w:rsidP="00C445D9">
            <w:pPr>
              <w:jc w:val="center"/>
              <w:rPr>
                <w:sz w:val="22"/>
                <w:szCs w:val="22"/>
              </w:rPr>
            </w:pPr>
            <w:r w:rsidRPr="00C445D9">
              <w:rPr>
                <w:sz w:val="22"/>
                <w:szCs w:val="22"/>
              </w:rPr>
              <w:t>Trì hoãn nhập khẩu, gia tăng chứng nhận ESG</w:t>
            </w:r>
          </w:p>
        </w:tc>
        <w:tc>
          <w:tcPr>
            <w:tcW w:w="0" w:type="auto"/>
            <w:vAlign w:val="center"/>
            <w:hideMark/>
          </w:tcPr>
          <w:p w14:paraId="58D1553C" w14:textId="77777777" w:rsidR="00C445D9" w:rsidRPr="00C445D9" w:rsidRDefault="00C445D9" w:rsidP="00C445D9">
            <w:pPr>
              <w:jc w:val="center"/>
              <w:rPr>
                <w:sz w:val="22"/>
                <w:szCs w:val="22"/>
              </w:rPr>
            </w:pPr>
            <w:r w:rsidRPr="00C445D9">
              <w:rPr>
                <w:sz w:val="22"/>
                <w:szCs w:val="22"/>
              </w:rPr>
              <w:t>Gắn với Đạo luật Uyghur Forced Labor Prevention Act</w:t>
            </w:r>
          </w:p>
        </w:tc>
      </w:tr>
      <w:tr w:rsidR="00C445D9" w:rsidRPr="00C445D9" w14:paraId="753C2A93" w14:textId="77777777" w:rsidTr="00C445D9">
        <w:trPr>
          <w:tblCellSpacing w:w="15" w:type="dxa"/>
          <w:jc w:val="center"/>
        </w:trPr>
        <w:tc>
          <w:tcPr>
            <w:tcW w:w="0" w:type="auto"/>
            <w:vAlign w:val="center"/>
            <w:hideMark/>
          </w:tcPr>
          <w:p w14:paraId="62CA9A82" w14:textId="77777777" w:rsidR="00C445D9" w:rsidRPr="00C445D9" w:rsidRDefault="00C445D9" w:rsidP="00C445D9">
            <w:pPr>
              <w:jc w:val="center"/>
              <w:rPr>
                <w:sz w:val="22"/>
                <w:szCs w:val="22"/>
              </w:rPr>
            </w:pPr>
            <w:r w:rsidRPr="00C445D9">
              <w:rPr>
                <w:sz w:val="22"/>
                <w:szCs w:val="22"/>
              </w:rPr>
              <w:t>Điện tử</w:t>
            </w:r>
          </w:p>
        </w:tc>
        <w:tc>
          <w:tcPr>
            <w:tcW w:w="0" w:type="auto"/>
            <w:vAlign w:val="center"/>
            <w:hideMark/>
          </w:tcPr>
          <w:p w14:paraId="11964712" w14:textId="77777777" w:rsidR="00C445D9" w:rsidRPr="00C445D9" w:rsidRDefault="00C445D9" w:rsidP="00C445D9">
            <w:pPr>
              <w:jc w:val="center"/>
              <w:rPr>
                <w:sz w:val="22"/>
                <w:szCs w:val="22"/>
              </w:rPr>
            </w:pPr>
            <w:r w:rsidRPr="00C445D9">
              <w:rPr>
                <w:sz w:val="22"/>
                <w:szCs w:val="22"/>
              </w:rPr>
              <w:t>Điều tra trợ cấp, truy xuất chuỗi cung ứng</w:t>
            </w:r>
          </w:p>
        </w:tc>
        <w:tc>
          <w:tcPr>
            <w:tcW w:w="0" w:type="auto"/>
            <w:vAlign w:val="center"/>
            <w:hideMark/>
          </w:tcPr>
          <w:p w14:paraId="4D3128D9" w14:textId="77777777" w:rsidR="00C445D9" w:rsidRPr="00C445D9" w:rsidRDefault="00C445D9" w:rsidP="00C445D9">
            <w:pPr>
              <w:jc w:val="center"/>
              <w:rPr>
                <w:sz w:val="22"/>
                <w:szCs w:val="22"/>
              </w:rPr>
            </w:pPr>
            <w:r w:rsidRPr="00C445D9">
              <w:rPr>
                <w:sz w:val="22"/>
                <w:szCs w:val="22"/>
              </w:rPr>
              <w:t>2022–2024</w:t>
            </w:r>
          </w:p>
        </w:tc>
        <w:tc>
          <w:tcPr>
            <w:tcW w:w="0" w:type="auto"/>
            <w:vAlign w:val="center"/>
            <w:hideMark/>
          </w:tcPr>
          <w:p w14:paraId="71F8E638" w14:textId="77777777" w:rsidR="00C445D9" w:rsidRPr="00C445D9" w:rsidRDefault="00C445D9" w:rsidP="00C445D9">
            <w:pPr>
              <w:jc w:val="center"/>
              <w:rPr>
                <w:sz w:val="22"/>
                <w:szCs w:val="22"/>
              </w:rPr>
            </w:pPr>
            <w:r w:rsidRPr="00C445D9">
              <w:rPr>
                <w:sz w:val="22"/>
                <w:szCs w:val="22"/>
              </w:rPr>
              <w:t>Thuế phòng vệ lên đến 18%</w:t>
            </w:r>
          </w:p>
        </w:tc>
        <w:tc>
          <w:tcPr>
            <w:tcW w:w="0" w:type="auto"/>
            <w:vAlign w:val="center"/>
            <w:hideMark/>
          </w:tcPr>
          <w:p w14:paraId="74A4E6EE" w14:textId="77777777" w:rsidR="00C445D9" w:rsidRPr="00C445D9" w:rsidRDefault="00C445D9" w:rsidP="00C445D9">
            <w:pPr>
              <w:jc w:val="center"/>
              <w:rPr>
                <w:sz w:val="22"/>
                <w:szCs w:val="22"/>
              </w:rPr>
            </w:pPr>
            <w:r w:rsidRPr="00C445D9">
              <w:rPr>
                <w:sz w:val="22"/>
                <w:szCs w:val="22"/>
              </w:rPr>
              <w:t>Tăng giám sát nhà cung cấp của Apple, Intel</w:t>
            </w:r>
          </w:p>
        </w:tc>
      </w:tr>
    </w:tbl>
    <w:p w14:paraId="203A3BD2" w14:textId="77777777" w:rsidR="00C445D9" w:rsidRPr="00C445D9" w:rsidRDefault="00C445D9" w:rsidP="00C445D9">
      <w:pPr>
        <w:jc w:val="right"/>
        <w:rPr>
          <w:i/>
          <w:iCs/>
          <w:sz w:val="22"/>
          <w:szCs w:val="22"/>
        </w:rPr>
      </w:pPr>
      <w:r w:rsidRPr="00C445D9">
        <w:rPr>
          <w:b/>
          <w:bCs/>
          <w:i/>
          <w:iCs/>
          <w:sz w:val="22"/>
          <w:szCs w:val="22"/>
        </w:rPr>
        <w:t>Nguồn</w:t>
      </w:r>
      <w:r w:rsidRPr="00C445D9">
        <w:rPr>
          <w:i/>
          <w:iCs/>
          <w:sz w:val="22"/>
          <w:szCs w:val="22"/>
        </w:rPr>
        <w:t>: Bộ Thương mại Hoa Kỳ (DOC), USTR Reports (2023), WTO Center [4], Vietnam Briefing [11]</w:t>
      </w:r>
    </w:p>
    <w:p w14:paraId="7515A8D9" w14:textId="6AC5FEE3" w:rsidR="00C445D9" w:rsidRPr="00C445D9" w:rsidRDefault="00C445D9" w:rsidP="00C445D9">
      <w:pPr>
        <w:jc w:val="both"/>
      </w:pPr>
    </w:p>
    <w:p w14:paraId="5AFB8A8F" w14:textId="77777777" w:rsidR="00C445D9" w:rsidRPr="00C445D9" w:rsidRDefault="00C445D9" w:rsidP="00C445D9">
      <w:pPr>
        <w:jc w:val="both"/>
        <w:rPr>
          <w:b/>
          <w:bCs/>
        </w:rPr>
      </w:pPr>
      <w:r w:rsidRPr="00C445D9">
        <w:rPr>
          <w:b/>
          <w:bCs/>
        </w:rPr>
        <w:t>Phân tích đặc điểm nổi bật trong chính sách thuế quan giai đoạn này:</w:t>
      </w:r>
    </w:p>
    <w:p w14:paraId="7EFF885B" w14:textId="77777777" w:rsidR="00C445D9" w:rsidRPr="00C445D9" w:rsidRDefault="00C445D9" w:rsidP="00C445D9">
      <w:pPr>
        <w:numPr>
          <w:ilvl w:val="0"/>
          <w:numId w:val="14"/>
        </w:numPr>
        <w:jc w:val="both"/>
      </w:pPr>
      <w:r w:rsidRPr="00C445D9">
        <w:t>Tính chiến lược cao: Chính sách không đơn thuần là biện pháp kinh tế, mà còn phục vụ chiến lược địa chính trị và “tái công nghiệp hóa nước Mỹ” (Reindustrialization) thông qua thu hút đầu tư về nước và giảm phụ thuộc chuỗi cung ứng nước ngoài.</w:t>
      </w:r>
    </w:p>
    <w:p w14:paraId="2C1F074B" w14:textId="77777777" w:rsidR="00C445D9" w:rsidRPr="00C445D9" w:rsidRDefault="00C445D9" w:rsidP="00C445D9">
      <w:pPr>
        <w:numPr>
          <w:ilvl w:val="0"/>
          <w:numId w:val="14"/>
        </w:numPr>
        <w:jc w:val="both"/>
      </w:pPr>
      <w:r w:rsidRPr="00C445D9">
        <w:t>Tác động lan tỏa sang Việt Nam: Dù không bị nhắm trực tiếp như Trung Quốc, Việt Nam lại bị coi là “quốc gia hưởng lợi gián tiếp” từ dòng dịch chuyển sản xuất và thương mại – điều dẫn đến sự gia tăng điều tra xuất xứ, truy xuất dòng vốn và tăng giám sát FDI từ Trung Quốc vào Việt Nam [2], [5].</w:t>
      </w:r>
    </w:p>
    <w:p w14:paraId="3D678204" w14:textId="77777777" w:rsidR="00C445D9" w:rsidRPr="00C445D9" w:rsidRDefault="00C445D9" w:rsidP="00C445D9">
      <w:pPr>
        <w:numPr>
          <w:ilvl w:val="0"/>
          <w:numId w:val="14"/>
        </w:numPr>
        <w:jc w:val="both"/>
      </w:pPr>
      <w:r w:rsidRPr="00C445D9">
        <w:t>Thách thức cho doanh nghiệp Việt Nam: Việc bị áp thuế đối ứng cao hoặc điều tra gian lận khiến nhiều doanh nghiệp gặp khó trong việc duy trì đơn hàng, tăng chi phí chứng từ, kiểm định và mất lợi thế cạnh tranh.</w:t>
      </w:r>
    </w:p>
    <w:p w14:paraId="0D8E04F2" w14:textId="77777777" w:rsidR="00C445D9" w:rsidRPr="00C445D9" w:rsidRDefault="00C445D9" w:rsidP="00C445D9">
      <w:pPr>
        <w:jc w:val="both"/>
      </w:pPr>
      <w:r w:rsidRPr="00C445D9">
        <w:rPr>
          <w:rFonts w:ascii="Segoe UI Emoji" w:hAnsi="Segoe UI Emoji" w:cs="Segoe UI Emoji"/>
        </w:rPr>
        <w:t>🔍</w:t>
      </w:r>
      <w:r w:rsidRPr="00C445D9">
        <w:t xml:space="preserve"> </w:t>
      </w:r>
      <w:r w:rsidRPr="00C445D9">
        <w:rPr>
          <w:b/>
          <w:bCs/>
        </w:rPr>
        <w:t xml:space="preserve">Dự báo </w:t>
      </w:r>
      <w:r w:rsidRPr="00C445D9">
        <w:t>của Viện Peterson (PIIE, 2024) cho rằng nếu Mỹ tiếp tục theo đuổi chính sách thuế đối ứng như giai đoạn 2018–2020 trong một nhiệm kỳ tiếp theo của ông Trump, GDP toàn cầu có thể giảm 1,8% vào năm 2028, riêng Việt Nam sẽ bị ảnh hưởng nặng hơn mức trung bình do phụ thuộc thị trường Mỹ và tính mở của nền kinh tế.</w:t>
      </w:r>
    </w:p>
    <w:p w14:paraId="4653A18F" w14:textId="77777777" w:rsidR="00F26C56" w:rsidRPr="00F26C56" w:rsidRDefault="00F26C56" w:rsidP="00F26C56">
      <w:pPr>
        <w:jc w:val="both"/>
        <w:rPr>
          <w:b/>
          <w:bCs/>
          <w:i/>
          <w:iCs/>
        </w:rPr>
      </w:pPr>
      <w:r w:rsidRPr="00F26C56">
        <w:rPr>
          <w:b/>
          <w:bCs/>
          <w:i/>
          <w:iCs/>
        </w:rPr>
        <w:t>1.2. Tác động đến thương mại song phương và năng lực cạnh tranh của doanh nghiệp Việt Nam</w:t>
      </w:r>
    </w:p>
    <w:p w14:paraId="1169C9BD" w14:textId="77777777" w:rsidR="00F26C56" w:rsidRPr="00F26C56" w:rsidRDefault="00F26C56" w:rsidP="00F26C56">
      <w:pPr>
        <w:ind w:firstLine="720"/>
        <w:jc w:val="both"/>
      </w:pPr>
      <w:r w:rsidRPr="00F26C56">
        <w:t>Chính sách thuế quan cứng rắn và các biện pháp bảo hộ thương mại ngày càng gia tăng từ phía Hoa Kỳ trong giai đoạn hậu toàn cầu hóa không chỉ tạo áp lực lên kim ngạch xuất khẩu của Việt Nam mà còn ảnh hưởng sâu rộng đến năng lực cạnh tranh và vị thế của doanh nghiệp Việt Nam trong chuỗi cung ứng toàn cầu.</w:t>
      </w:r>
    </w:p>
    <w:p w14:paraId="226D0285" w14:textId="77777777" w:rsidR="00F26C56" w:rsidRPr="00F26C56" w:rsidRDefault="00F26C56" w:rsidP="00F26C56">
      <w:pPr>
        <w:jc w:val="both"/>
        <w:rPr>
          <w:i/>
          <w:iCs/>
        </w:rPr>
      </w:pPr>
      <w:r w:rsidRPr="00F26C56">
        <w:rPr>
          <w:i/>
          <w:iCs/>
        </w:rPr>
        <w:t>Sự suy giảm tốc độ tăng trưởng xuất khẩu sang Hoa Kỳ</w:t>
      </w:r>
    </w:p>
    <w:p w14:paraId="4B067E42" w14:textId="77777777" w:rsidR="00F26C56" w:rsidRPr="00F26C56" w:rsidRDefault="00F26C56" w:rsidP="00F26C56">
      <w:pPr>
        <w:ind w:firstLine="720"/>
        <w:jc w:val="both"/>
      </w:pPr>
      <w:r w:rsidRPr="00F26C56">
        <w:t>Dữ liệu từ Tổng cục Thống kê (GSO, 2024) và Tổng cục Hải quan Việt Nam cho thấy sau giai đoạn tăng trưởng mạnh từ 2018 đến 2022, xuất khẩu của Việt Nam sang Hoa Kỳ đã giảm 8,5% trong năm 2023, từ mức 114,2 tỷ USD xuống còn 104,5 tỷ USD. Đây là mức giảm đầu tiên kể từ năm 2016, cho thấy ảnh hưởng rõ rệt từ các biện pháp rào cản thương mại, siết chặt xuất xứ và điều tra chống bán phá giá từ phía Hoa Kỳ [1], [2].</w:t>
      </w:r>
    </w:p>
    <w:p w14:paraId="532690ED" w14:textId="77777777" w:rsidR="00F26C56" w:rsidRPr="00F26C56" w:rsidRDefault="00F26C56" w:rsidP="00F26C56">
      <w:pPr>
        <w:ind w:firstLine="720"/>
        <w:jc w:val="both"/>
      </w:pPr>
      <w:r w:rsidRPr="00F26C56">
        <w:t>Trong khi đó, các thị trường thuộc Hiệp định CPTPP như Nhật Bản, Canada và Úc lại ghi nhận xu hướng tăng trưởng tích cực, cho thấy dòng thương mại đang có dấu hiệu dịch chuyển sang các thị trường ít rủi ro hơn và có mức thuế quan ổn định hơn.</w:t>
      </w:r>
    </w:p>
    <w:p w14:paraId="0992C3F8" w14:textId="77777777" w:rsidR="00F26C56" w:rsidRPr="00F26C56" w:rsidRDefault="00F26C56" w:rsidP="00F26C56">
      <w:pPr>
        <w:jc w:val="both"/>
      </w:pPr>
      <w:r w:rsidRPr="00F26C56">
        <w:rPr>
          <w:b/>
          <w:bCs/>
        </w:rPr>
        <w:t>Bảng 1. Kim ngạch xuất khẩu của Việt Nam sang Hoa Kỳ và các thị trường CPTPP giai đoạn 2018–2023 (tỷ USD)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264"/>
        <w:gridCol w:w="1151"/>
        <w:gridCol w:w="1271"/>
        <w:gridCol w:w="1281"/>
      </w:tblGrid>
      <w:tr w:rsidR="00F26C56" w:rsidRPr="00F26C56" w14:paraId="3FFDB218" w14:textId="77777777" w:rsidTr="00F26C56">
        <w:trPr>
          <w:tblHeader/>
          <w:tblCellSpacing w:w="15" w:type="dxa"/>
          <w:jc w:val="center"/>
        </w:trPr>
        <w:tc>
          <w:tcPr>
            <w:tcW w:w="1226" w:type="dxa"/>
            <w:vAlign w:val="center"/>
            <w:hideMark/>
          </w:tcPr>
          <w:p w14:paraId="5E74BBD6" w14:textId="77777777" w:rsidR="00F26C56" w:rsidRPr="00F26C56" w:rsidRDefault="00F26C56" w:rsidP="00F26C56">
            <w:pPr>
              <w:jc w:val="center"/>
              <w:rPr>
                <w:b/>
                <w:bCs/>
                <w:sz w:val="22"/>
                <w:szCs w:val="22"/>
              </w:rPr>
            </w:pPr>
            <w:r w:rsidRPr="00F26C56">
              <w:rPr>
                <w:b/>
                <w:bCs/>
                <w:sz w:val="22"/>
                <w:szCs w:val="22"/>
              </w:rPr>
              <w:lastRenderedPageBreak/>
              <w:t>Năm</w:t>
            </w:r>
          </w:p>
        </w:tc>
        <w:tc>
          <w:tcPr>
            <w:tcW w:w="1234" w:type="dxa"/>
            <w:vAlign w:val="center"/>
            <w:hideMark/>
          </w:tcPr>
          <w:p w14:paraId="3F56EA2B" w14:textId="77777777" w:rsidR="00F26C56" w:rsidRPr="00F26C56" w:rsidRDefault="00F26C56" w:rsidP="00F26C56">
            <w:pPr>
              <w:jc w:val="center"/>
              <w:rPr>
                <w:b/>
                <w:bCs/>
                <w:sz w:val="22"/>
                <w:szCs w:val="22"/>
              </w:rPr>
            </w:pPr>
            <w:r w:rsidRPr="00F26C56">
              <w:rPr>
                <w:b/>
                <w:bCs/>
                <w:sz w:val="22"/>
                <w:szCs w:val="22"/>
              </w:rPr>
              <w:t>Hoa Kỳ</w:t>
            </w:r>
          </w:p>
        </w:tc>
        <w:tc>
          <w:tcPr>
            <w:tcW w:w="1121" w:type="dxa"/>
            <w:vAlign w:val="center"/>
            <w:hideMark/>
          </w:tcPr>
          <w:p w14:paraId="04623CE8" w14:textId="77777777" w:rsidR="00F26C56" w:rsidRPr="00F26C56" w:rsidRDefault="00F26C56" w:rsidP="00F26C56">
            <w:pPr>
              <w:jc w:val="center"/>
              <w:rPr>
                <w:b/>
                <w:bCs/>
                <w:sz w:val="22"/>
                <w:szCs w:val="22"/>
              </w:rPr>
            </w:pPr>
            <w:r w:rsidRPr="00F26C56">
              <w:rPr>
                <w:b/>
                <w:bCs/>
                <w:sz w:val="22"/>
                <w:szCs w:val="22"/>
              </w:rPr>
              <w:t>Nhật Bản</w:t>
            </w:r>
          </w:p>
        </w:tc>
        <w:tc>
          <w:tcPr>
            <w:tcW w:w="1241" w:type="dxa"/>
            <w:vAlign w:val="center"/>
            <w:hideMark/>
          </w:tcPr>
          <w:p w14:paraId="47C7361F" w14:textId="77777777" w:rsidR="00F26C56" w:rsidRPr="00F26C56" w:rsidRDefault="00F26C56" w:rsidP="00F26C56">
            <w:pPr>
              <w:jc w:val="center"/>
              <w:rPr>
                <w:b/>
                <w:bCs/>
                <w:sz w:val="22"/>
                <w:szCs w:val="22"/>
              </w:rPr>
            </w:pPr>
            <w:r w:rsidRPr="00F26C56">
              <w:rPr>
                <w:b/>
                <w:bCs/>
                <w:sz w:val="22"/>
                <w:szCs w:val="22"/>
              </w:rPr>
              <w:t>Canada</w:t>
            </w:r>
          </w:p>
        </w:tc>
        <w:tc>
          <w:tcPr>
            <w:tcW w:w="1236" w:type="dxa"/>
            <w:vAlign w:val="center"/>
            <w:hideMark/>
          </w:tcPr>
          <w:p w14:paraId="407412B0" w14:textId="77777777" w:rsidR="00F26C56" w:rsidRPr="00F26C56" w:rsidRDefault="00F26C56" w:rsidP="00F26C56">
            <w:pPr>
              <w:jc w:val="center"/>
              <w:rPr>
                <w:b/>
                <w:bCs/>
                <w:sz w:val="22"/>
                <w:szCs w:val="22"/>
              </w:rPr>
            </w:pPr>
            <w:r w:rsidRPr="00F26C56">
              <w:rPr>
                <w:b/>
                <w:bCs/>
                <w:sz w:val="22"/>
                <w:szCs w:val="22"/>
              </w:rPr>
              <w:t>Úc</w:t>
            </w:r>
          </w:p>
        </w:tc>
      </w:tr>
      <w:tr w:rsidR="00F26C56" w:rsidRPr="00F26C56" w14:paraId="2C656E67" w14:textId="77777777" w:rsidTr="00F26C56">
        <w:trPr>
          <w:tblCellSpacing w:w="15" w:type="dxa"/>
          <w:jc w:val="center"/>
        </w:trPr>
        <w:tc>
          <w:tcPr>
            <w:tcW w:w="1226" w:type="dxa"/>
            <w:vAlign w:val="center"/>
            <w:hideMark/>
          </w:tcPr>
          <w:p w14:paraId="02A6197D" w14:textId="77777777" w:rsidR="00F26C56" w:rsidRPr="00F26C56" w:rsidRDefault="00F26C56" w:rsidP="00F26C56">
            <w:pPr>
              <w:jc w:val="center"/>
              <w:rPr>
                <w:sz w:val="22"/>
                <w:szCs w:val="22"/>
              </w:rPr>
            </w:pPr>
            <w:r w:rsidRPr="00F26C56">
              <w:rPr>
                <w:sz w:val="22"/>
                <w:szCs w:val="22"/>
              </w:rPr>
              <w:t>2018</w:t>
            </w:r>
          </w:p>
        </w:tc>
        <w:tc>
          <w:tcPr>
            <w:tcW w:w="1234" w:type="dxa"/>
            <w:vAlign w:val="center"/>
            <w:hideMark/>
          </w:tcPr>
          <w:p w14:paraId="392C90ED" w14:textId="77777777" w:rsidR="00F26C56" w:rsidRPr="00F26C56" w:rsidRDefault="00F26C56" w:rsidP="00F26C56">
            <w:pPr>
              <w:jc w:val="center"/>
              <w:rPr>
                <w:sz w:val="22"/>
                <w:szCs w:val="22"/>
              </w:rPr>
            </w:pPr>
            <w:r w:rsidRPr="00F26C56">
              <w:rPr>
                <w:sz w:val="22"/>
                <w:szCs w:val="22"/>
              </w:rPr>
              <w:t>47,5</w:t>
            </w:r>
          </w:p>
        </w:tc>
        <w:tc>
          <w:tcPr>
            <w:tcW w:w="1121" w:type="dxa"/>
            <w:vAlign w:val="center"/>
            <w:hideMark/>
          </w:tcPr>
          <w:p w14:paraId="7DC096A2" w14:textId="77777777" w:rsidR="00F26C56" w:rsidRPr="00F26C56" w:rsidRDefault="00F26C56" w:rsidP="00F26C56">
            <w:pPr>
              <w:jc w:val="center"/>
              <w:rPr>
                <w:sz w:val="22"/>
                <w:szCs w:val="22"/>
              </w:rPr>
            </w:pPr>
            <w:r w:rsidRPr="00F26C56">
              <w:rPr>
                <w:sz w:val="22"/>
                <w:szCs w:val="22"/>
              </w:rPr>
              <w:t>18,9</w:t>
            </w:r>
          </w:p>
        </w:tc>
        <w:tc>
          <w:tcPr>
            <w:tcW w:w="1241" w:type="dxa"/>
            <w:vAlign w:val="center"/>
            <w:hideMark/>
          </w:tcPr>
          <w:p w14:paraId="605FC115" w14:textId="77777777" w:rsidR="00F26C56" w:rsidRPr="00F26C56" w:rsidRDefault="00F26C56" w:rsidP="00F26C56">
            <w:pPr>
              <w:jc w:val="center"/>
              <w:rPr>
                <w:sz w:val="22"/>
                <w:szCs w:val="22"/>
              </w:rPr>
            </w:pPr>
            <w:r w:rsidRPr="00F26C56">
              <w:rPr>
                <w:sz w:val="22"/>
                <w:szCs w:val="22"/>
              </w:rPr>
              <w:t>3,8</w:t>
            </w:r>
          </w:p>
        </w:tc>
        <w:tc>
          <w:tcPr>
            <w:tcW w:w="1236" w:type="dxa"/>
            <w:vAlign w:val="center"/>
            <w:hideMark/>
          </w:tcPr>
          <w:p w14:paraId="547F22C3" w14:textId="77777777" w:rsidR="00F26C56" w:rsidRPr="00F26C56" w:rsidRDefault="00F26C56" w:rsidP="00F26C56">
            <w:pPr>
              <w:jc w:val="center"/>
              <w:rPr>
                <w:sz w:val="22"/>
                <w:szCs w:val="22"/>
              </w:rPr>
            </w:pPr>
            <w:r w:rsidRPr="00F26C56">
              <w:rPr>
                <w:sz w:val="22"/>
                <w:szCs w:val="22"/>
              </w:rPr>
              <w:t>3,5</w:t>
            </w:r>
          </w:p>
        </w:tc>
      </w:tr>
      <w:tr w:rsidR="00F26C56" w:rsidRPr="00F26C56" w14:paraId="0594928F" w14:textId="77777777" w:rsidTr="00F26C56">
        <w:trPr>
          <w:tblCellSpacing w:w="15" w:type="dxa"/>
          <w:jc w:val="center"/>
        </w:trPr>
        <w:tc>
          <w:tcPr>
            <w:tcW w:w="1226" w:type="dxa"/>
            <w:vAlign w:val="center"/>
            <w:hideMark/>
          </w:tcPr>
          <w:p w14:paraId="4A493DE8" w14:textId="77777777" w:rsidR="00F26C56" w:rsidRPr="00F26C56" w:rsidRDefault="00F26C56" w:rsidP="00F26C56">
            <w:pPr>
              <w:jc w:val="center"/>
              <w:rPr>
                <w:sz w:val="22"/>
                <w:szCs w:val="22"/>
              </w:rPr>
            </w:pPr>
            <w:r w:rsidRPr="00F26C56">
              <w:rPr>
                <w:sz w:val="22"/>
                <w:szCs w:val="22"/>
              </w:rPr>
              <w:t>2020</w:t>
            </w:r>
          </w:p>
        </w:tc>
        <w:tc>
          <w:tcPr>
            <w:tcW w:w="1234" w:type="dxa"/>
            <w:vAlign w:val="center"/>
            <w:hideMark/>
          </w:tcPr>
          <w:p w14:paraId="76D8DAF9" w14:textId="77777777" w:rsidR="00F26C56" w:rsidRPr="00F26C56" w:rsidRDefault="00F26C56" w:rsidP="00F26C56">
            <w:pPr>
              <w:jc w:val="center"/>
              <w:rPr>
                <w:sz w:val="22"/>
                <w:szCs w:val="22"/>
              </w:rPr>
            </w:pPr>
            <w:r w:rsidRPr="00F26C56">
              <w:rPr>
                <w:sz w:val="22"/>
                <w:szCs w:val="22"/>
              </w:rPr>
              <w:t>77,1</w:t>
            </w:r>
          </w:p>
        </w:tc>
        <w:tc>
          <w:tcPr>
            <w:tcW w:w="1121" w:type="dxa"/>
            <w:vAlign w:val="center"/>
            <w:hideMark/>
          </w:tcPr>
          <w:p w14:paraId="78557FA9" w14:textId="77777777" w:rsidR="00F26C56" w:rsidRPr="00F26C56" w:rsidRDefault="00F26C56" w:rsidP="00F26C56">
            <w:pPr>
              <w:jc w:val="center"/>
              <w:rPr>
                <w:sz w:val="22"/>
                <w:szCs w:val="22"/>
              </w:rPr>
            </w:pPr>
            <w:r w:rsidRPr="00F26C56">
              <w:rPr>
                <w:sz w:val="22"/>
                <w:szCs w:val="22"/>
              </w:rPr>
              <w:t>20,1</w:t>
            </w:r>
          </w:p>
        </w:tc>
        <w:tc>
          <w:tcPr>
            <w:tcW w:w="1241" w:type="dxa"/>
            <w:vAlign w:val="center"/>
            <w:hideMark/>
          </w:tcPr>
          <w:p w14:paraId="030F6452" w14:textId="77777777" w:rsidR="00F26C56" w:rsidRPr="00F26C56" w:rsidRDefault="00F26C56" w:rsidP="00F26C56">
            <w:pPr>
              <w:jc w:val="center"/>
              <w:rPr>
                <w:sz w:val="22"/>
                <w:szCs w:val="22"/>
              </w:rPr>
            </w:pPr>
            <w:r w:rsidRPr="00F26C56">
              <w:rPr>
                <w:sz w:val="22"/>
                <w:szCs w:val="22"/>
              </w:rPr>
              <w:t>4,4</w:t>
            </w:r>
          </w:p>
        </w:tc>
        <w:tc>
          <w:tcPr>
            <w:tcW w:w="1236" w:type="dxa"/>
            <w:vAlign w:val="center"/>
            <w:hideMark/>
          </w:tcPr>
          <w:p w14:paraId="00883CE3" w14:textId="77777777" w:rsidR="00F26C56" w:rsidRPr="00F26C56" w:rsidRDefault="00F26C56" w:rsidP="00F26C56">
            <w:pPr>
              <w:jc w:val="center"/>
              <w:rPr>
                <w:sz w:val="22"/>
                <w:szCs w:val="22"/>
              </w:rPr>
            </w:pPr>
            <w:r w:rsidRPr="00F26C56">
              <w:rPr>
                <w:sz w:val="22"/>
                <w:szCs w:val="22"/>
              </w:rPr>
              <w:t>4,1</w:t>
            </w:r>
          </w:p>
        </w:tc>
      </w:tr>
      <w:tr w:rsidR="00F26C56" w:rsidRPr="00F26C56" w14:paraId="1172EF85" w14:textId="77777777" w:rsidTr="00F26C56">
        <w:trPr>
          <w:tblCellSpacing w:w="15" w:type="dxa"/>
          <w:jc w:val="center"/>
        </w:trPr>
        <w:tc>
          <w:tcPr>
            <w:tcW w:w="1226" w:type="dxa"/>
            <w:vAlign w:val="center"/>
            <w:hideMark/>
          </w:tcPr>
          <w:p w14:paraId="2FC72401" w14:textId="77777777" w:rsidR="00F26C56" w:rsidRPr="00F26C56" w:rsidRDefault="00F26C56" w:rsidP="00F26C56">
            <w:pPr>
              <w:jc w:val="center"/>
              <w:rPr>
                <w:sz w:val="22"/>
                <w:szCs w:val="22"/>
              </w:rPr>
            </w:pPr>
            <w:r w:rsidRPr="00F26C56">
              <w:rPr>
                <w:sz w:val="22"/>
                <w:szCs w:val="22"/>
              </w:rPr>
              <w:t>2022</w:t>
            </w:r>
          </w:p>
        </w:tc>
        <w:tc>
          <w:tcPr>
            <w:tcW w:w="1234" w:type="dxa"/>
            <w:vAlign w:val="center"/>
            <w:hideMark/>
          </w:tcPr>
          <w:p w14:paraId="05BCF997" w14:textId="77777777" w:rsidR="00F26C56" w:rsidRPr="00F26C56" w:rsidRDefault="00F26C56" w:rsidP="00F26C56">
            <w:pPr>
              <w:jc w:val="center"/>
              <w:rPr>
                <w:sz w:val="22"/>
                <w:szCs w:val="22"/>
              </w:rPr>
            </w:pPr>
            <w:r w:rsidRPr="00F26C56">
              <w:rPr>
                <w:sz w:val="22"/>
                <w:szCs w:val="22"/>
              </w:rPr>
              <w:t>114,2</w:t>
            </w:r>
          </w:p>
        </w:tc>
        <w:tc>
          <w:tcPr>
            <w:tcW w:w="1121" w:type="dxa"/>
            <w:vAlign w:val="center"/>
            <w:hideMark/>
          </w:tcPr>
          <w:p w14:paraId="3DBFB686" w14:textId="77777777" w:rsidR="00F26C56" w:rsidRPr="00F26C56" w:rsidRDefault="00F26C56" w:rsidP="00F26C56">
            <w:pPr>
              <w:jc w:val="center"/>
              <w:rPr>
                <w:sz w:val="22"/>
                <w:szCs w:val="22"/>
              </w:rPr>
            </w:pPr>
            <w:r w:rsidRPr="00F26C56">
              <w:rPr>
                <w:sz w:val="22"/>
                <w:szCs w:val="22"/>
              </w:rPr>
              <w:t>22,9</w:t>
            </w:r>
          </w:p>
        </w:tc>
        <w:tc>
          <w:tcPr>
            <w:tcW w:w="1241" w:type="dxa"/>
            <w:vAlign w:val="center"/>
            <w:hideMark/>
          </w:tcPr>
          <w:p w14:paraId="7ECA1402" w14:textId="77777777" w:rsidR="00F26C56" w:rsidRPr="00F26C56" w:rsidRDefault="00F26C56" w:rsidP="00F26C56">
            <w:pPr>
              <w:jc w:val="center"/>
              <w:rPr>
                <w:sz w:val="22"/>
                <w:szCs w:val="22"/>
              </w:rPr>
            </w:pPr>
            <w:r w:rsidRPr="00F26C56">
              <w:rPr>
                <w:sz w:val="22"/>
                <w:szCs w:val="22"/>
              </w:rPr>
              <w:t>5,8</w:t>
            </w:r>
          </w:p>
        </w:tc>
        <w:tc>
          <w:tcPr>
            <w:tcW w:w="1236" w:type="dxa"/>
            <w:vAlign w:val="center"/>
            <w:hideMark/>
          </w:tcPr>
          <w:p w14:paraId="296E8F0F" w14:textId="77777777" w:rsidR="00F26C56" w:rsidRPr="00F26C56" w:rsidRDefault="00F26C56" w:rsidP="00F26C56">
            <w:pPr>
              <w:jc w:val="center"/>
              <w:rPr>
                <w:sz w:val="22"/>
                <w:szCs w:val="22"/>
              </w:rPr>
            </w:pPr>
            <w:r w:rsidRPr="00F26C56">
              <w:rPr>
                <w:sz w:val="22"/>
                <w:szCs w:val="22"/>
              </w:rPr>
              <w:t>5,0</w:t>
            </w:r>
          </w:p>
        </w:tc>
      </w:tr>
      <w:tr w:rsidR="00F26C56" w:rsidRPr="00F26C56" w14:paraId="34970E50" w14:textId="77777777" w:rsidTr="00F26C56">
        <w:trPr>
          <w:tblCellSpacing w:w="15" w:type="dxa"/>
          <w:jc w:val="center"/>
        </w:trPr>
        <w:tc>
          <w:tcPr>
            <w:tcW w:w="1226" w:type="dxa"/>
            <w:vAlign w:val="center"/>
            <w:hideMark/>
          </w:tcPr>
          <w:p w14:paraId="015B7638" w14:textId="77777777" w:rsidR="00F26C56" w:rsidRPr="00F26C56" w:rsidRDefault="00F26C56" w:rsidP="00F26C56">
            <w:pPr>
              <w:jc w:val="center"/>
              <w:rPr>
                <w:sz w:val="22"/>
                <w:szCs w:val="22"/>
              </w:rPr>
            </w:pPr>
            <w:r w:rsidRPr="00F26C56">
              <w:rPr>
                <w:sz w:val="22"/>
                <w:szCs w:val="22"/>
              </w:rPr>
              <w:t>2023</w:t>
            </w:r>
          </w:p>
        </w:tc>
        <w:tc>
          <w:tcPr>
            <w:tcW w:w="1234" w:type="dxa"/>
            <w:vAlign w:val="center"/>
            <w:hideMark/>
          </w:tcPr>
          <w:p w14:paraId="2CD2FEF6" w14:textId="77777777" w:rsidR="00F26C56" w:rsidRPr="00F26C56" w:rsidRDefault="00F26C56" w:rsidP="00F26C56">
            <w:pPr>
              <w:jc w:val="center"/>
              <w:rPr>
                <w:sz w:val="22"/>
                <w:szCs w:val="22"/>
              </w:rPr>
            </w:pPr>
            <w:r w:rsidRPr="00F26C56">
              <w:rPr>
                <w:sz w:val="22"/>
                <w:szCs w:val="22"/>
              </w:rPr>
              <w:t>104,5</w:t>
            </w:r>
          </w:p>
        </w:tc>
        <w:tc>
          <w:tcPr>
            <w:tcW w:w="1121" w:type="dxa"/>
            <w:vAlign w:val="center"/>
            <w:hideMark/>
          </w:tcPr>
          <w:p w14:paraId="358BFB2F" w14:textId="77777777" w:rsidR="00F26C56" w:rsidRPr="00F26C56" w:rsidRDefault="00F26C56" w:rsidP="00F26C56">
            <w:pPr>
              <w:jc w:val="center"/>
              <w:rPr>
                <w:sz w:val="22"/>
                <w:szCs w:val="22"/>
              </w:rPr>
            </w:pPr>
            <w:r w:rsidRPr="00F26C56">
              <w:rPr>
                <w:sz w:val="22"/>
                <w:szCs w:val="22"/>
              </w:rPr>
              <w:t>24,2</w:t>
            </w:r>
          </w:p>
        </w:tc>
        <w:tc>
          <w:tcPr>
            <w:tcW w:w="1241" w:type="dxa"/>
            <w:vAlign w:val="center"/>
            <w:hideMark/>
          </w:tcPr>
          <w:p w14:paraId="56301AEB" w14:textId="77777777" w:rsidR="00F26C56" w:rsidRPr="00F26C56" w:rsidRDefault="00F26C56" w:rsidP="00F26C56">
            <w:pPr>
              <w:jc w:val="center"/>
              <w:rPr>
                <w:sz w:val="22"/>
                <w:szCs w:val="22"/>
              </w:rPr>
            </w:pPr>
            <w:r w:rsidRPr="00F26C56">
              <w:rPr>
                <w:sz w:val="22"/>
                <w:szCs w:val="22"/>
              </w:rPr>
              <w:t>6,1</w:t>
            </w:r>
          </w:p>
        </w:tc>
        <w:tc>
          <w:tcPr>
            <w:tcW w:w="1236" w:type="dxa"/>
            <w:vAlign w:val="center"/>
            <w:hideMark/>
          </w:tcPr>
          <w:p w14:paraId="0E858DA1" w14:textId="77777777" w:rsidR="00F26C56" w:rsidRPr="00F26C56" w:rsidRDefault="00F26C56" w:rsidP="00F26C56">
            <w:pPr>
              <w:jc w:val="center"/>
              <w:rPr>
                <w:sz w:val="22"/>
                <w:szCs w:val="22"/>
              </w:rPr>
            </w:pPr>
            <w:r w:rsidRPr="00F26C56">
              <w:rPr>
                <w:sz w:val="22"/>
                <w:szCs w:val="22"/>
              </w:rPr>
              <w:t>5,4</w:t>
            </w:r>
          </w:p>
        </w:tc>
      </w:tr>
    </w:tbl>
    <w:p w14:paraId="220CEF14" w14:textId="77777777" w:rsidR="00F26C56" w:rsidRPr="00F26C56" w:rsidRDefault="00F26C56" w:rsidP="00F26C56">
      <w:pPr>
        <w:jc w:val="right"/>
        <w:rPr>
          <w:i/>
          <w:iCs/>
          <w:sz w:val="22"/>
          <w:szCs w:val="22"/>
        </w:rPr>
      </w:pPr>
      <w:r w:rsidRPr="00F26C56">
        <w:rPr>
          <w:b/>
          <w:bCs/>
          <w:i/>
          <w:iCs/>
          <w:sz w:val="22"/>
          <w:szCs w:val="22"/>
        </w:rPr>
        <w:t>Nguồn</w:t>
      </w:r>
      <w:r w:rsidRPr="00F26C56">
        <w:rPr>
          <w:i/>
          <w:iCs/>
          <w:sz w:val="22"/>
          <w:szCs w:val="22"/>
        </w:rPr>
        <w:t>: Tổng cục Hải quan Việt Nam, GSO (2024); xử lý bởi tác giả.</w:t>
      </w:r>
    </w:p>
    <w:p w14:paraId="653C87D6" w14:textId="77777777" w:rsidR="00F26C56" w:rsidRPr="00F26C56" w:rsidRDefault="00F26C56" w:rsidP="00F26C56">
      <w:pPr>
        <w:jc w:val="both"/>
        <w:rPr>
          <w:i/>
          <w:iCs/>
        </w:rPr>
      </w:pPr>
      <w:r w:rsidRPr="00F26C56">
        <w:rPr>
          <w:i/>
          <w:iCs/>
        </w:rPr>
        <w:t>Gia tăng chi phí tuân thủ và gánh nặng kỹ thuật</w:t>
      </w:r>
    </w:p>
    <w:p w14:paraId="5E341813" w14:textId="77777777" w:rsidR="00F26C56" w:rsidRPr="00F26C56" w:rsidRDefault="00F26C56" w:rsidP="00F26C56">
      <w:pPr>
        <w:ind w:firstLine="720"/>
        <w:jc w:val="both"/>
      </w:pPr>
      <w:r w:rsidRPr="00F26C56">
        <w:t>Việc bị áp thuế hoặc rơi vào diện điều tra phòng vệ thương mại khiến doanh nghiệp Việt Nam phải đầu tư nhiều hơn vào hoạt động chứng nhận xuất xứ, kiểm định chất lượng, truy xuất nguồn gốc và thực hiện các tiêu chuẩn ESG do phía Mỹ yêu cầu. Đặc biệt, các quy định như Đạo luật Ngăn chặn Lao động Cưỡng bức người Duy Ngô Nhĩ (UFLPA) đã tác động mạnh đến chuỗi cung ứng ngành dệt may, điện tử, da giày, buộc doanh nghiệp phải thay đổi nhà cung cấp nguyên phụ liệu, đồng thời chịu chi phí tuân thủ gia tăng [3], [6].</w:t>
      </w:r>
    </w:p>
    <w:p w14:paraId="0F8C69FF" w14:textId="77777777" w:rsidR="00F26C56" w:rsidRPr="00F26C56" w:rsidRDefault="00F26C56" w:rsidP="00F26C56">
      <w:pPr>
        <w:ind w:firstLine="720"/>
        <w:jc w:val="both"/>
      </w:pPr>
      <w:r w:rsidRPr="00F26C56">
        <w:t>Theo khảo sát của VCCI (2024), khoảng 43% doanh nghiệp xuất khẩu sang Hoa Kỳ cho biết chi phí tuân thủ kỹ thuật và xuất xứ đã tăng từ 15–25% kể từ năm 2020. Điều này làm giảm lợi thế cạnh tranh về giá và kéo dài thời gian giao hàng – hai yếu tố then chốt trong chuỗi cung ứng hiện đại.</w:t>
      </w:r>
    </w:p>
    <w:p w14:paraId="18CB0DFE" w14:textId="77777777" w:rsidR="00F26C56" w:rsidRPr="00F26C56" w:rsidRDefault="00F26C56" w:rsidP="00F26C56">
      <w:pPr>
        <w:jc w:val="both"/>
        <w:rPr>
          <w:i/>
          <w:iCs/>
        </w:rPr>
      </w:pPr>
      <w:r w:rsidRPr="00F26C56">
        <w:rPr>
          <w:i/>
          <w:iCs/>
        </w:rPr>
        <w:t>Nguy cơ dịch chuyển chuỗi cung ứng và dòng đầu tư</w:t>
      </w:r>
    </w:p>
    <w:p w14:paraId="40E47F26" w14:textId="77777777" w:rsidR="00F26C56" w:rsidRPr="00F26C56" w:rsidRDefault="00F26C56" w:rsidP="00F26C56">
      <w:pPr>
        <w:ind w:firstLine="720"/>
        <w:jc w:val="both"/>
      </w:pPr>
      <w:r w:rsidRPr="00F26C56">
        <w:t>Một số tập đoàn FDI lớn trong lĩnh vực công nghệ và sản xuất thiết bị điện tử đã bắt đầu cân nhắc dịch chuyển đơn hàng ra khỏi Việt Nam nhằm tránh rủi ro từ các biện pháp thương mại của Hoa Kỳ. Chẳng hạn, tập đoàn Stanley Black &amp; Decker và một số nhà thầu phụ của Apple đã điều chỉnh kế hoạch sản xuất sang Ấn Độ và Mexico trong năm 2023, chủ yếu do lo ngại Việt Nam bị điều tra xuất xứ và đối mặt với nguy cơ áp thuế phòng vệ [4].</w:t>
      </w:r>
    </w:p>
    <w:p w14:paraId="18EE9F49" w14:textId="77777777" w:rsidR="00F26C56" w:rsidRPr="00F26C56" w:rsidRDefault="00F26C56" w:rsidP="00F26C56">
      <w:pPr>
        <w:ind w:firstLine="720"/>
        <w:jc w:val="both"/>
      </w:pPr>
      <w:r w:rsidRPr="00F26C56">
        <w:t>Ngoài ra, nguồn vốn FDI mới từ các doanh nghiệp công nghệ Hoa Kỳ vào Việt Nam đã chững lại, với tốc độ tăng trưởng chỉ đạt 3,1% năm 2023, so với mức 8,7% năm 2021 (Bộ Kế hoạch &amp; Đầu tư, 2024). Đây là tín hiệu cho thấy môi trường thương mại song phương đang chịu ảnh hưởng tiêu cực từ các biện pháp thuế quan và điều tra phòng vệ thương mại của Mỹ.</w:t>
      </w:r>
    </w:p>
    <w:p w14:paraId="552A5341" w14:textId="77777777" w:rsidR="00F26C56" w:rsidRPr="00F26C56" w:rsidRDefault="00F26C56" w:rsidP="00F26C56">
      <w:pPr>
        <w:ind w:firstLine="720"/>
        <w:jc w:val="both"/>
      </w:pPr>
      <w:r w:rsidRPr="00F26C56">
        <w:t xml:space="preserve">Chính sách thuế quan và các biện pháp rào cản phi thuế từ phía Hoa Kỳ không chỉ khiến xuất khẩu của Việt Nam sang thị trường này sụt giảm, mà còn tác động đến tính bền vững của chuỗi cung ứng và làm tăng chi phí cạnh tranh của doanh nghiệp xuất khẩu Việt Nam. Trong bối cảnh đó, việc mở rộng thị trường sang các nước CPTPP, đồng thời củng cố năng lực nội tại của </w:t>
      </w:r>
      <w:r w:rsidRPr="00F26C56">
        <w:lastRenderedPageBreak/>
        <w:t>doanh nghiệp là xu hướng tất yếu nhằm duy trì đà tăng trưởng xuất khẩu và tránh rủi ro từ các cú sốc thương mại đơn phương.</w:t>
      </w:r>
    </w:p>
    <w:p w14:paraId="6CEAD6EB" w14:textId="77777777" w:rsidR="00EE1157" w:rsidRPr="00EE1157" w:rsidRDefault="00EE1157" w:rsidP="00EE1157">
      <w:pPr>
        <w:jc w:val="both"/>
        <w:rPr>
          <w:b/>
          <w:bCs/>
        </w:rPr>
      </w:pPr>
      <w:r w:rsidRPr="00EE1157">
        <w:rPr>
          <w:b/>
          <w:bCs/>
        </w:rPr>
        <w:t>2. ỨNG PHÓ CỦA VIỆT NAM TRƯỚC CHÍNH SÁCH THUẾ QUAN CỦA HOA KỲ</w:t>
      </w:r>
    </w:p>
    <w:p w14:paraId="0843E8B1" w14:textId="77777777" w:rsidR="00EE1157" w:rsidRPr="00EE1157" w:rsidRDefault="00EE1157" w:rsidP="00EE1157">
      <w:pPr>
        <w:ind w:firstLine="720"/>
        <w:jc w:val="both"/>
      </w:pPr>
      <w:r w:rsidRPr="00EE1157">
        <w:t>Trước làn sóng chủ nghĩa bảo hộ ngày càng gia tăng từ phía Hoa Kỳ – đặc biệt thông qua các biện pháp áp thuế, điều tra chống bán phá giá và rào cản kỹ thuật – Việt Nam đã chủ động triển khai một loạt biện pháp ứng phó ở cả cấp độ thị trường, chính sách và kỹ thuật nhằm duy trì ổn định thương mại song phương, bảo vệ năng lực cạnh tranh và giảm thiểu tác động tiêu cực tới doanh nghiệp trong nước.</w:t>
      </w:r>
    </w:p>
    <w:p w14:paraId="7FDE9EF7" w14:textId="77777777" w:rsidR="00EE1157" w:rsidRPr="00EE1157" w:rsidRDefault="00EE1157" w:rsidP="00EE1157">
      <w:pPr>
        <w:jc w:val="both"/>
        <w:rPr>
          <w:b/>
          <w:bCs/>
          <w:i/>
          <w:iCs/>
        </w:rPr>
      </w:pPr>
      <w:r w:rsidRPr="00EE1157">
        <w:rPr>
          <w:b/>
          <w:bCs/>
          <w:i/>
          <w:iCs/>
        </w:rPr>
        <w:t>2.1. Chuyển hướng thị trường và tận dụng hiệu quả các FTA</w:t>
      </w:r>
    </w:p>
    <w:p w14:paraId="1A85667D" w14:textId="77777777" w:rsidR="00EE1157" w:rsidRPr="00EE1157" w:rsidRDefault="00EE1157" w:rsidP="00EE1157">
      <w:pPr>
        <w:ind w:firstLine="720"/>
        <w:jc w:val="both"/>
      </w:pPr>
      <w:r w:rsidRPr="00EE1157">
        <w:t>Trong bối cảnh thị trường Hoa Kỳ trở nên rủi ro hơn, Việt Nam đã đẩy mạnh chiến lược đa dạng hóa thị trường xuất khẩu thông qua việc tham gia và khai thác hiệu quả các hiệp định thương mại tự do (FTA) thế hệ mới như Hiệp định CPTPP, Hiệp định EVFTA và Hiệp định RCEP. Những FTA này mở ra cơ hội lớn để Việt Nam tiếp cận các thị trường ít chịu ảnh hưởng từ chính sách bảo hộ của Mỹ, như Nhật Bản, Canada, Úc và Liên minh châu Âu.</w:t>
      </w:r>
    </w:p>
    <w:p w14:paraId="0AB98D86" w14:textId="77777777" w:rsidR="00EE1157" w:rsidRPr="00EE1157" w:rsidRDefault="00EE1157" w:rsidP="00EE1157">
      <w:pPr>
        <w:jc w:val="both"/>
      </w:pPr>
      <w:r w:rsidRPr="00EE1157">
        <w:t>Theo báo cáo của Bộ Công Thương (2024) [1]:</w:t>
      </w:r>
    </w:p>
    <w:p w14:paraId="0B77056E" w14:textId="77777777" w:rsidR="00EE1157" w:rsidRPr="00EE1157" w:rsidRDefault="00EE1157" w:rsidP="00EE1157">
      <w:pPr>
        <w:numPr>
          <w:ilvl w:val="0"/>
          <w:numId w:val="15"/>
        </w:numPr>
        <w:jc w:val="both"/>
      </w:pPr>
      <w:r w:rsidRPr="00EE1157">
        <w:t>Tỷ lệ tận dụng ưu đãi thuế quan từ Hiệp định CPTPP đạt hơn 72% trong năm 2023, tăng gần 15 điểm phần trăm so với năm 2020.</w:t>
      </w:r>
    </w:p>
    <w:p w14:paraId="701805D4" w14:textId="77777777" w:rsidR="00EE1157" w:rsidRPr="00EE1157" w:rsidRDefault="00EE1157" w:rsidP="00EE1157">
      <w:pPr>
        <w:numPr>
          <w:ilvl w:val="0"/>
          <w:numId w:val="15"/>
        </w:numPr>
        <w:jc w:val="both"/>
      </w:pPr>
      <w:r w:rsidRPr="00EE1157">
        <w:t>Kim ngạch xuất khẩu sang Canada và Úc tăng bình quân 12–14%/năm trong giai đoạn 2019–2023, đặc biệt tập trung ở các nhóm hàng như dệt may, thủy sản, gỗ chế biến và nông sản đóng hộp.</w:t>
      </w:r>
    </w:p>
    <w:p w14:paraId="64A4910C" w14:textId="77777777" w:rsidR="00EE1157" w:rsidRPr="00EE1157" w:rsidRDefault="00EE1157" w:rsidP="00EE1157">
      <w:pPr>
        <w:numPr>
          <w:ilvl w:val="0"/>
          <w:numId w:val="15"/>
        </w:numPr>
        <w:jc w:val="both"/>
      </w:pPr>
      <w:r w:rsidRPr="00EE1157">
        <w:t>Riêng thị trường Nhật Bản – một đối tác quan trọng trong CPTPP – tiếp tục ghi nhận tăng trưởng ổn định với mức tăng khoảng 7%/năm, bất chấp tác động toàn cầu của dịch COVID-19 và suy thoái kinh tế hậu đại dịch [2].</w:t>
      </w:r>
    </w:p>
    <w:p w14:paraId="185D5D17" w14:textId="77777777" w:rsidR="00EE1157" w:rsidRPr="00EE1157" w:rsidRDefault="00EE1157" w:rsidP="00EE1157">
      <w:pPr>
        <w:ind w:firstLine="360"/>
        <w:jc w:val="both"/>
      </w:pPr>
      <w:r w:rsidRPr="00EE1157">
        <w:t>Việc tận dụng FTA không chỉ giúp chuyển hướng dòng thương mại sang các thị trường “an toàn” hơn mà còn thúc đẩy nội lực doanh nghiệp thông qua yêu cầu về quy tắc xuất xứ, tiêu chuẩn chất lượng và công nghệ sản xuất.</w:t>
      </w:r>
    </w:p>
    <w:p w14:paraId="4BE3207C" w14:textId="77777777" w:rsidR="00EE1157" w:rsidRPr="00EE1157" w:rsidRDefault="00EE1157" w:rsidP="00EE1157">
      <w:pPr>
        <w:jc w:val="both"/>
        <w:rPr>
          <w:b/>
          <w:bCs/>
          <w:i/>
          <w:iCs/>
        </w:rPr>
      </w:pPr>
      <w:r w:rsidRPr="00EE1157">
        <w:rPr>
          <w:b/>
          <w:bCs/>
          <w:i/>
          <w:iCs/>
        </w:rPr>
        <w:t>2.2. Tăng cường kiểm soát xuất xứ và nâng cao tiêu chuẩn kỹ thuật</w:t>
      </w:r>
    </w:p>
    <w:p w14:paraId="63620E5C" w14:textId="77777777" w:rsidR="00EE1157" w:rsidRPr="00EE1157" w:rsidRDefault="00EE1157" w:rsidP="00EE1157">
      <w:pPr>
        <w:ind w:firstLine="360"/>
        <w:jc w:val="both"/>
      </w:pPr>
      <w:r w:rsidRPr="00EE1157">
        <w:t>Một trong những rủi ro lớn nhất đối với hàng xuất khẩu của Việt Nam hiện nay là bị cáo buộc “lẩn tránh thuế” qua nguồn gốc xuất xứ, đặc biệt với các mặt hàng như gỗ, thép, dệt may và sản phẩm điện tử – vốn có chuỗi cung ứng liên quan đến Trung Quốc. Để đối phó với nguy cơ này, Chính phủ Việt Nam đã triển khai một loạt giải pháp kỹ thuật nhằm kiểm soát chặt chẽ hơn quy trình xác minh xuất xứ:</w:t>
      </w:r>
    </w:p>
    <w:p w14:paraId="43CDCD0B" w14:textId="77777777" w:rsidR="00EE1157" w:rsidRPr="00EE1157" w:rsidRDefault="00EE1157" w:rsidP="00EE1157">
      <w:pPr>
        <w:numPr>
          <w:ilvl w:val="0"/>
          <w:numId w:val="16"/>
        </w:numPr>
        <w:jc w:val="both"/>
      </w:pPr>
      <w:r w:rsidRPr="00EE1157">
        <w:lastRenderedPageBreak/>
        <w:t>Tăng cường kiểm tra truy xuất xuất xứ đối với các mặt hàng có nguy cơ cao, đặc biệt là gỗ, thép và dệt may – những lĩnh vực từng bị Hoa Kỳ khởi xướng điều tra trong giai đoạn 2018–2023 [3].</w:t>
      </w:r>
    </w:p>
    <w:p w14:paraId="493FEEDF" w14:textId="77777777" w:rsidR="00EE1157" w:rsidRPr="00EE1157" w:rsidRDefault="00EE1157" w:rsidP="00EE1157">
      <w:pPr>
        <w:numPr>
          <w:ilvl w:val="0"/>
          <w:numId w:val="16"/>
        </w:numPr>
        <w:jc w:val="both"/>
      </w:pPr>
      <w:r w:rsidRPr="00EE1157">
        <w:t>Triển khai cơ sở dữ liệu quốc gia về xuất xứ hàng hóa, tích hợp vào hệ thống hải quan điện tử (VNACCS/VCIS) nhằm tăng cường minh bạch và khả năng kiểm tra chéo dữ liệu giữa các bộ ngành [4].</w:t>
      </w:r>
    </w:p>
    <w:p w14:paraId="34BBAC9E" w14:textId="77777777" w:rsidR="00EE1157" w:rsidRPr="00EE1157" w:rsidRDefault="00EE1157" w:rsidP="00EE1157">
      <w:pPr>
        <w:numPr>
          <w:ilvl w:val="0"/>
          <w:numId w:val="16"/>
        </w:numPr>
        <w:jc w:val="both"/>
      </w:pPr>
      <w:r w:rsidRPr="00EE1157">
        <w:t>Xây dựng khung pháp lý và thể chế phù hợp với yêu cầu phòng vệ thương mại. Bộ Công Thương đã ban hành Thông tư 07/2020/TT-BCT và Thông tư 21/2022/TT-BCT nhằm hướng dẫn doanh nghiệp trong các vụ việc điều tra chống bán phá giá và trợ cấp từ phía nước ngoài [5].</w:t>
      </w:r>
    </w:p>
    <w:p w14:paraId="1ED9E771" w14:textId="77777777" w:rsidR="00EE1157" w:rsidRPr="00EE1157" w:rsidRDefault="00EE1157" w:rsidP="00EE1157">
      <w:pPr>
        <w:numPr>
          <w:ilvl w:val="0"/>
          <w:numId w:val="16"/>
        </w:numPr>
        <w:jc w:val="both"/>
      </w:pPr>
      <w:r w:rsidRPr="00EE1157">
        <w:t>Thành lập Tổ công tác liên ngành về phòng vệ thương mại, kết nối giữa Bộ Công Thương – Bộ Tài chính – Bộ Kế hoạch và Đầu tư và các hiệp hội ngành hàng để phản biện hiệu quả trong các vụ kiện thương mại do Hoa Kỳ khởi xướng.</w:t>
      </w:r>
    </w:p>
    <w:p w14:paraId="28909CD0" w14:textId="77777777" w:rsidR="00EE1157" w:rsidRPr="00EE1157" w:rsidRDefault="00EE1157" w:rsidP="00EE1157">
      <w:pPr>
        <w:ind w:firstLine="360"/>
        <w:jc w:val="both"/>
      </w:pPr>
      <w:r w:rsidRPr="00EE1157">
        <w:t>Theo VCCI (2023), nhờ các biện pháp trên, số vụ việc Việt Nam bị điều tra và áp thuế bất lợi từ phía Hoa Kỳ đã giảm nhẹ trong năm 2023, đồng thời một số vụ việc đã được xử lý thành công thông qua đối thoại song phương hoặc hợp tác kỹ thuật [6].</w:t>
      </w:r>
    </w:p>
    <w:p w14:paraId="2AA6609A" w14:textId="77777777" w:rsidR="00EE1157" w:rsidRPr="00EE1157" w:rsidRDefault="00EE1157" w:rsidP="00EE1157">
      <w:pPr>
        <w:ind w:firstLine="360"/>
        <w:jc w:val="both"/>
      </w:pPr>
      <w:r w:rsidRPr="00EE1157">
        <w:t>Các biện pháp ứng phó nêu trên cho thấy Việt Nam đã chủ động chuyển sang trạng thái "phòng ngừa chủ động", thay vì chỉ phản ứng bị động trước các đòn thuế của Hoa Kỳ. Việc kết hợp giữa chiến lược thị trường – thể chế – kỹ thuật không chỉ giúp duy trì ổn định thương mại với Mỹ mà còn góp phần định hình chiến lược thương mại bền vững và tự cường hơn cho Việt Nam trong kỷ nguyên hậu toàn cầu hóa.</w:t>
      </w:r>
    </w:p>
    <w:p w14:paraId="04A6A239" w14:textId="77777777" w:rsidR="0060226A" w:rsidRPr="0060226A" w:rsidRDefault="0060226A" w:rsidP="0060226A">
      <w:pPr>
        <w:jc w:val="both"/>
      </w:pPr>
      <w:r w:rsidRPr="0060226A">
        <w:rPr>
          <w:b/>
          <w:bCs/>
        </w:rPr>
        <w:t>3. So sánh với các nước ASEAN và Trung Quốc</w:t>
      </w:r>
    </w:p>
    <w:p w14:paraId="07AA1DA8" w14:textId="77777777" w:rsidR="0060226A" w:rsidRPr="0060226A" w:rsidRDefault="0060226A" w:rsidP="0060226A">
      <w:pPr>
        <w:jc w:val="both"/>
        <w:rPr>
          <w:i/>
          <w:iCs/>
        </w:rPr>
      </w:pPr>
      <w:r w:rsidRPr="0060226A">
        <w:rPr>
          <w:b/>
          <w:bCs/>
          <w:i/>
          <w:iCs/>
        </w:rPr>
        <w:t>3.1. Kinh nghiệm ứng phó của Trung Quốc và ASEAN</w:t>
      </w:r>
    </w:p>
    <w:p w14:paraId="24406B4F" w14:textId="77777777" w:rsidR="0060226A" w:rsidRPr="0060226A" w:rsidRDefault="0060226A" w:rsidP="0060226A">
      <w:pPr>
        <w:ind w:firstLine="360"/>
        <w:jc w:val="both"/>
      </w:pPr>
      <w:r w:rsidRPr="0060226A">
        <w:t>Trong bối cảnh Mỹ gia tăng áp lực thương mại, nhiều quốc gia châu Á đã áp dụng các chiến lược ứng phó linh hoạt và chủ động:</w:t>
      </w:r>
    </w:p>
    <w:p w14:paraId="56616ECB" w14:textId="77777777" w:rsidR="0060226A" w:rsidRPr="0060226A" w:rsidRDefault="0060226A" w:rsidP="0060226A">
      <w:pPr>
        <w:numPr>
          <w:ilvl w:val="0"/>
          <w:numId w:val="17"/>
        </w:numPr>
        <w:jc w:val="both"/>
      </w:pPr>
      <w:r w:rsidRPr="0060226A">
        <w:t>Trung Quốc không chỉ đẩy mạnh đàm phán song phương với Mỹ nhằm tránh các biện pháp trừng phạt thương mại cứng rắn, mà còn chuyển hướng đầu tư và chuỗi cung ứng sang các nước ASEAN nhằm né tránh thuế quan. Đồng thời, Trung Quốc đầu tư mạnh vào công nghệ và sản phẩm có giá trị gia tăng cao để giảm phụ thuộc vào thị trường Mỹ.</w:t>
      </w:r>
    </w:p>
    <w:p w14:paraId="72E44B51" w14:textId="77777777" w:rsidR="0060226A" w:rsidRPr="0060226A" w:rsidRDefault="0060226A" w:rsidP="0060226A">
      <w:pPr>
        <w:numPr>
          <w:ilvl w:val="0"/>
          <w:numId w:val="17"/>
        </w:numPr>
        <w:jc w:val="both"/>
      </w:pPr>
      <w:r w:rsidRPr="0060226A">
        <w:t>ASEAN, đặc biệt là Thái Lan và Malaysia, tập trung vào đa dạng hóa thị trường xuất khẩu và cải thiện chuỗi cung ứng trong nước. Các quốc gia này ưu tiên phát triển ngành công nghiệp phụ trợ, tăng cường tiêu chuẩn chất lượng và truy xuất nguồn gốc hàng hóa để đáp ứng yêu cầu từ các thị trường khó tính như Mỹ và EU.</w:t>
      </w:r>
    </w:p>
    <w:p w14:paraId="3B2A6002" w14:textId="77777777" w:rsidR="0060226A" w:rsidRDefault="0060226A" w:rsidP="0060226A">
      <w:pPr>
        <w:jc w:val="both"/>
        <w:rPr>
          <w:lang w:val="vi-VN"/>
        </w:rPr>
      </w:pPr>
      <w:r w:rsidRPr="0060226A">
        <w:lastRenderedPageBreak/>
        <w:t>Biểu đồ sau thể hiện chỉ số đa dạng hóa thị trường xuất khẩu của một số nước trong khu vực và Trung Quốc giai đoạn 2020–2023, cho thấy Việt Nam còn ở mức thấp so với các đối thủ cạnh tranh trong khu vực:</w:t>
      </w:r>
    </w:p>
    <w:p w14:paraId="6324722A" w14:textId="3AEFA79C" w:rsidR="006D7109" w:rsidRPr="0060226A" w:rsidRDefault="006D7109" w:rsidP="006D7109">
      <w:pPr>
        <w:jc w:val="center"/>
        <w:rPr>
          <w:lang w:val="vi-VN"/>
        </w:rPr>
      </w:pPr>
      <w:r>
        <w:rPr>
          <w:noProof/>
        </w:rPr>
        <w:drawing>
          <wp:inline distT="0" distB="0" distL="0" distR="0" wp14:anchorId="644FBA4F" wp14:editId="63BA8708">
            <wp:extent cx="4063117" cy="2406181"/>
            <wp:effectExtent l="0" t="0" r="0" b="0"/>
            <wp:docPr id="1129359394"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3522" cy="2412343"/>
                    </a:xfrm>
                    <a:prstGeom prst="rect">
                      <a:avLst/>
                    </a:prstGeom>
                    <a:noFill/>
                    <a:ln>
                      <a:noFill/>
                    </a:ln>
                  </pic:spPr>
                </pic:pic>
              </a:graphicData>
            </a:graphic>
          </wp:inline>
        </w:drawing>
      </w:r>
    </w:p>
    <w:p w14:paraId="3C6B601C" w14:textId="77777777" w:rsidR="0060226A" w:rsidRPr="0060226A" w:rsidRDefault="0060226A" w:rsidP="006D7109">
      <w:pPr>
        <w:jc w:val="right"/>
        <w:rPr>
          <w:i/>
          <w:iCs/>
          <w:sz w:val="22"/>
          <w:szCs w:val="22"/>
        </w:rPr>
      </w:pPr>
      <w:r w:rsidRPr="0060226A">
        <w:rPr>
          <w:b/>
          <w:bCs/>
          <w:i/>
          <w:iCs/>
          <w:sz w:val="22"/>
          <w:szCs w:val="22"/>
        </w:rPr>
        <w:t>Nguồn:</w:t>
      </w:r>
      <w:r w:rsidRPr="0060226A">
        <w:rPr>
          <w:i/>
          <w:iCs/>
          <w:sz w:val="22"/>
          <w:szCs w:val="22"/>
        </w:rPr>
        <w:t xml:space="preserve"> UNCTAD (2023), tổng hợp và xử lý bởi tác giả</w:t>
      </w:r>
    </w:p>
    <w:p w14:paraId="50402939" w14:textId="77777777" w:rsidR="0060226A" w:rsidRPr="0060226A" w:rsidRDefault="0060226A" w:rsidP="0060226A">
      <w:pPr>
        <w:jc w:val="both"/>
        <w:rPr>
          <w:i/>
          <w:iCs/>
        </w:rPr>
      </w:pPr>
      <w:r w:rsidRPr="0060226A">
        <w:rPr>
          <w:b/>
          <w:bCs/>
          <w:i/>
          <w:iCs/>
        </w:rPr>
        <w:t>3.2. Bài học cho Việt Nam</w:t>
      </w:r>
    </w:p>
    <w:p w14:paraId="487A5A54" w14:textId="77777777" w:rsidR="0060226A" w:rsidRPr="0060226A" w:rsidRDefault="0060226A" w:rsidP="006D7109">
      <w:pPr>
        <w:ind w:firstLine="360"/>
        <w:jc w:val="both"/>
      </w:pPr>
      <w:r w:rsidRPr="0060226A">
        <w:t>Từ các kinh nghiệm quốc tế, có thể rút ra một số bài học quan trọng cho Việt Nam trong việc thích ứng với chính sách thương mại bảo hộ ngày càng khắt khe từ Hoa Kỳ:</w:t>
      </w:r>
    </w:p>
    <w:p w14:paraId="18E83491" w14:textId="77777777" w:rsidR="0060226A" w:rsidRPr="0060226A" w:rsidRDefault="0060226A" w:rsidP="0060226A">
      <w:pPr>
        <w:numPr>
          <w:ilvl w:val="0"/>
          <w:numId w:val="18"/>
        </w:numPr>
        <w:jc w:val="both"/>
      </w:pPr>
      <w:r w:rsidRPr="0060226A">
        <w:t>Phát triển chính sách thương mại linh hoạt và có khả năng dự báo sớm, nhằm nhận diện rủi ro từ thị trường lớn như Mỹ, đặc biệt là các thay đổi trong điều tra phòng vệ thương mại hoặc sửa đổi luật xuất xứ.</w:t>
      </w:r>
    </w:p>
    <w:p w14:paraId="1F354F4E" w14:textId="77777777" w:rsidR="0060226A" w:rsidRPr="0060226A" w:rsidRDefault="0060226A" w:rsidP="0060226A">
      <w:pPr>
        <w:numPr>
          <w:ilvl w:val="0"/>
          <w:numId w:val="18"/>
        </w:numPr>
        <w:jc w:val="both"/>
      </w:pPr>
      <w:r w:rsidRPr="0060226A">
        <w:t>Đẩy mạnh liên kết chuỗi cung ứng nội khối ASEAN và kết nối các FTA đa phương, tận dụng mạng lưới hiệp định đã ký như CPTPP, RCEP để tạo lợi thế quy mô và chuyển hướng thương mại hiệu quả.</w:t>
      </w:r>
    </w:p>
    <w:p w14:paraId="5B3038C1" w14:textId="77777777" w:rsidR="0060226A" w:rsidRPr="0060226A" w:rsidRDefault="0060226A" w:rsidP="0060226A">
      <w:pPr>
        <w:numPr>
          <w:ilvl w:val="0"/>
          <w:numId w:val="18"/>
        </w:numPr>
        <w:jc w:val="both"/>
      </w:pPr>
      <w:r w:rsidRPr="0060226A">
        <w:t>Nâng cấp thể chế ứng phó phòng vệ thương mại, bao gồm xây dựng đội ngũ chuyên gia pháp lý quốc tế, thiết lập hệ thống cảnh báo sớm với các vụ kiện chống bán phá giá, chống trợ cấp và gian lận xuất xứ.</w:t>
      </w:r>
    </w:p>
    <w:p w14:paraId="63FE20A6" w14:textId="77777777" w:rsidR="0060226A" w:rsidRPr="0060226A" w:rsidRDefault="0060226A" w:rsidP="006D7109">
      <w:pPr>
        <w:ind w:firstLine="360"/>
        <w:jc w:val="both"/>
      </w:pPr>
      <w:r w:rsidRPr="0060226A">
        <w:t>Những kinh nghiệm này không chỉ giúp ổn định thương mại trong ngắn hạn mà còn tạo nền tảng cho tăng trưởng bền vững của Việt Nam trong giai đoạn hậu toàn cầu hóa.</w:t>
      </w:r>
    </w:p>
    <w:p w14:paraId="7008E18C" w14:textId="77777777" w:rsidR="000E1FCE" w:rsidRPr="000E1FCE" w:rsidRDefault="000E1FCE" w:rsidP="000E1FCE">
      <w:pPr>
        <w:jc w:val="both"/>
      </w:pPr>
      <w:r w:rsidRPr="000E1FCE">
        <w:rPr>
          <w:b/>
          <w:bCs/>
        </w:rPr>
        <w:t>KẾT LUẬN</w:t>
      </w:r>
    </w:p>
    <w:p w14:paraId="1FC1A794" w14:textId="77777777" w:rsidR="000E1FCE" w:rsidRPr="000E1FCE" w:rsidRDefault="000E1FCE" w:rsidP="000E1FCE">
      <w:pPr>
        <w:ind w:firstLine="720"/>
        <w:jc w:val="both"/>
      </w:pPr>
      <w:r w:rsidRPr="000E1FCE">
        <w:t xml:space="preserve">Chính sách thuế quan của Hoa Kỳ trong giai đoạn từ năm 2017 đến nay, đặc biệt dưới các chính quyền theo đường lối bảo hộ như chính quyền Tổng thống Donald Trump và xu hướng tiếp diễn trong giai đoạn hậu đại dịch COVID-19, đã tạo ra những thay đổi lớn trong môi trường </w:t>
      </w:r>
      <w:r w:rsidRPr="000E1FCE">
        <w:lastRenderedPageBreak/>
        <w:t>thương mại toàn cầu. Dù không phải là đối tượng trực tiếp trong các cuộc chiến thuế quan Mỹ - Trung, Việt Nam vẫn chịu ảnh hưởng đáng kể từ làn sóng siết chặt kiểm soát thương mại, bao gồm áp thuế chống bán phá giá, tăng cường điều tra gian lận xuất xứ, và các biện pháp kỹ thuật mang tính bảo hộ khác.</w:t>
      </w:r>
    </w:p>
    <w:p w14:paraId="6346AC02" w14:textId="77777777" w:rsidR="000E1FCE" w:rsidRPr="000E1FCE" w:rsidRDefault="000E1FCE" w:rsidP="000E1FCE">
      <w:pPr>
        <w:ind w:firstLine="720"/>
        <w:jc w:val="both"/>
      </w:pPr>
      <w:r w:rsidRPr="000E1FCE">
        <w:t>Đánh giá tổng thể cho thấy, chính sách thuế quan của Mỹ đối với Việt Nam có tính chiến lược và chọn lọc cao, tập trung vào những mặt hàng có kim ngạch lớn như thép, gỗ, dệt may, và điện tử. Những chính sách này đã làm suy giảm tốc độ tăng trưởng xuất khẩu sang Mỹ, làm gia tăng chi phí tuân thủ và pháp lý cho doanh nghiệp Việt Nam, và đẩy nhanh xu hướng dịch chuyển chuỗi cung ứng sang các quốc gia khác trong khu vực.</w:t>
      </w:r>
    </w:p>
    <w:p w14:paraId="2941C15D" w14:textId="77777777" w:rsidR="000E1FCE" w:rsidRPr="000E1FCE" w:rsidRDefault="000E1FCE" w:rsidP="000E1FCE">
      <w:pPr>
        <w:ind w:firstLine="360"/>
        <w:jc w:val="both"/>
      </w:pPr>
      <w:r w:rsidRPr="000E1FCE">
        <w:t>Từ thực tiễn này, một yêu cầu quan trọng được đặt ra cho Việt Nam là cần xây dựng và điều hành chính sách thương mại theo hướng dựa trên quản trị rủi ro. Điều này bao gồm:</w:t>
      </w:r>
    </w:p>
    <w:p w14:paraId="5AA3D132" w14:textId="77777777" w:rsidR="000E1FCE" w:rsidRPr="000E1FCE" w:rsidRDefault="000E1FCE" w:rsidP="000E1FCE">
      <w:pPr>
        <w:numPr>
          <w:ilvl w:val="0"/>
          <w:numId w:val="19"/>
        </w:numPr>
        <w:jc w:val="both"/>
      </w:pPr>
      <w:r w:rsidRPr="000E1FCE">
        <w:t>Thiết lập hệ thống dự báo và cảnh báo sớm đối với các thay đổi chính sách của đối tác thương mại chiến lược;</w:t>
      </w:r>
    </w:p>
    <w:p w14:paraId="599D3EC8" w14:textId="77777777" w:rsidR="000E1FCE" w:rsidRPr="000E1FCE" w:rsidRDefault="000E1FCE" w:rsidP="000E1FCE">
      <w:pPr>
        <w:numPr>
          <w:ilvl w:val="0"/>
          <w:numId w:val="19"/>
        </w:numPr>
        <w:jc w:val="both"/>
      </w:pPr>
      <w:r w:rsidRPr="000E1FCE">
        <w:t>Tăng cường năng lực phản ứng nhanh của thể chế pháp lý và cơ quan quản lý thương mại;</w:t>
      </w:r>
    </w:p>
    <w:p w14:paraId="007E73C6" w14:textId="77777777" w:rsidR="000E1FCE" w:rsidRPr="000E1FCE" w:rsidRDefault="000E1FCE" w:rsidP="000E1FCE">
      <w:pPr>
        <w:numPr>
          <w:ilvl w:val="0"/>
          <w:numId w:val="19"/>
        </w:numPr>
        <w:jc w:val="both"/>
      </w:pPr>
      <w:r w:rsidRPr="000E1FCE">
        <w:t>Định hướng thị trường và chuỗi cung ứng theo hướng đa dạng hóa để tránh phụ thuộc vào một thị trường duy nhất như Hoa Kỳ;</w:t>
      </w:r>
    </w:p>
    <w:p w14:paraId="0E2C22BD" w14:textId="77777777" w:rsidR="000E1FCE" w:rsidRPr="000E1FCE" w:rsidRDefault="000E1FCE" w:rsidP="000E1FCE">
      <w:pPr>
        <w:numPr>
          <w:ilvl w:val="0"/>
          <w:numId w:val="19"/>
        </w:numPr>
        <w:jc w:val="both"/>
      </w:pPr>
      <w:r w:rsidRPr="000E1FCE">
        <w:t>Đồng thời, tận dụng hiệu quả mạng lưới các hiệp định thương mại tự do (FTA) thế hệ mới nhằm mở rộng không gian chiến lược cho xuất khẩu và đầu tư.</w:t>
      </w:r>
    </w:p>
    <w:p w14:paraId="4E3D5BCA" w14:textId="77777777" w:rsidR="000E1FCE" w:rsidRPr="000E1FCE" w:rsidRDefault="000E1FCE" w:rsidP="000E1FCE">
      <w:pPr>
        <w:ind w:firstLine="360"/>
        <w:jc w:val="both"/>
      </w:pPr>
      <w:r w:rsidRPr="000E1FCE">
        <w:t>Trong bối cảnh toàn cầu hóa đang định hình lại, một chính sách thương mại hiện đại không thể chỉ dựa vào cơ hội, mà cần được thiết kế dựa trên phân tích rủi ro và năng lực chủ động thích ứng. Đó chính là hướng đi chiến lược để Việt Nam giữ vững vị thế trong chuỗi cung ứng toàn cầu và đảm bảo tăng trưởng bền vững trong giai đoạn tới.</w:t>
      </w:r>
    </w:p>
    <w:p w14:paraId="21630453" w14:textId="77777777" w:rsidR="00884CD0" w:rsidRPr="00884CD0" w:rsidRDefault="00884CD0" w:rsidP="00884CD0">
      <w:pPr>
        <w:jc w:val="both"/>
      </w:pPr>
      <w:r w:rsidRPr="00884CD0">
        <w:rPr>
          <w:b/>
          <w:bCs/>
        </w:rPr>
        <w:t>HÀM Ý CHÍNH SÁCH</w:t>
      </w:r>
    </w:p>
    <w:p w14:paraId="6EA9B78C" w14:textId="77777777" w:rsidR="00884CD0" w:rsidRPr="00884CD0" w:rsidRDefault="00884CD0" w:rsidP="00884CD0">
      <w:pPr>
        <w:ind w:firstLine="720"/>
        <w:jc w:val="both"/>
      </w:pPr>
      <w:r w:rsidRPr="00884CD0">
        <w:t>Dựa trên phân tích tác động của chính sách thuế quan của Hoa Kỳ đối với Việt Nam trong bối cảnh hậu toàn cầu hóa, có thể rút ra năm nhóm hàm ý chính sách quan trọng nhằm giúp Việt Nam ứng phó hiệu quả và nâng cao năng lực thích ứng trong chiến lược thương mại dài hạn:</w:t>
      </w:r>
    </w:p>
    <w:p w14:paraId="7FF35610" w14:textId="77777777" w:rsidR="00884CD0" w:rsidRPr="00884CD0" w:rsidRDefault="00884CD0" w:rsidP="00884CD0">
      <w:pPr>
        <w:jc w:val="both"/>
      </w:pPr>
      <w:r w:rsidRPr="00884CD0">
        <w:rPr>
          <w:b/>
          <w:bCs/>
        </w:rPr>
        <w:t>1. Thiết lập hệ thống cảnh báo rủi ro thương mại</w:t>
      </w:r>
    </w:p>
    <w:p w14:paraId="3539ACB5" w14:textId="77777777" w:rsidR="00884CD0" w:rsidRPr="00884CD0" w:rsidRDefault="00884CD0" w:rsidP="00884CD0">
      <w:pPr>
        <w:ind w:firstLine="360"/>
        <w:jc w:val="both"/>
      </w:pPr>
      <w:r w:rsidRPr="00884CD0">
        <w:t>Việt Nam cần xây dựng một hệ thống cảnh báo sớm mang tính dự báo và cập nhật liên tục nhằm nhận diện kịp thời các nguy cơ từ các chính sách thương mại thay đổi đột ngột của đối tác lớn như Hoa Kỳ. Hệ thống này nên được tích hợp các dữ liệu về:</w:t>
      </w:r>
    </w:p>
    <w:p w14:paraId="00A37034" w14:textId="77777777" w:rsidR="00884CD0" w:rsidRPr="00884CD0" w:rsidRDefault="00884CD0" w:rsidP="00884CD0">
      <w:pPr>
        <w:numPr>
          <w:ilvl w:val="0"/>
          <w:numId w:val="20"/>
        </w:numPr>
        <w:jc w:val="both"/>
      </w:pPr>
      <w:r w:rsidRPr="00884CD0">
        <w:t>Các cuộc điều tra chống bán phá giá, chống trợ cấp đang diễn ra;</w:t>
      </w:r>
    </w:p>
    <w:p w14:paraId="19142334" w14:textId="77777777" w:rsidR="00884CD0" w:rsidRPr="00884CD0" w:rsidRDefault="00884CD0" w:rsidP="00884CD0">
      <w:pPr>
        <w:numPr>
          <w:ilvl w:val="0"/>
          <w:numId w:val="20"/>
        </w:numPr>
        <w:jc w:val="both"/>
      </w:pPr>
      <w:r w:rsidRPr="00884CD0">
        <w:t>Tình hình áp thuế mới, tiêu chuẩn kỹ thuật, truy xuất nguồn gốc tại thị trường Mỹ;</w:t>
      </w:r>
    </w:p>
    <w:p w14:paraId="34975118" w14:textId="77777777" w:rsidR="00884CD0" w:rsidRPr="00884CD0" w:rsidRDefault="00884CD0" w:rsidP="00884CD0">
      <w:pPr>
        <w:numPr>
          <w:ilvl w:val="0"/>
          <w:numId w:val="20"/>
        </w:numPr>
        <w:jc w:val="both"/>
      </w:pPr>
      <w:r w:rsidRPr="00884CD0">
        <w:lastRenderedPageBreak/>
        <w:t>Phân tích xu hướng lập pháp và chiến lược thương mại của Quốc hội và chính quyền liên bang Hoa Kỳ.</w:t>
      </w:r>
    </w:p>
    <w:p w14:paraId="2C0EC479" w14:textId="77777777" w:rsidR="00884CD0" w:rsidRPr="00884CD0" w:rsidRDefault="00884CD0" w:rsidP="00884CD0">
      <w:pPr>
        <w:ind w:firstLine="360"/>
        <w:jc w:val="both"/>
      </w:pPr>
      <w:r w:rsidRPr="00884CD0">
        <w:t>Việc cảnh báo sớm không chỉ giúp Chính phủ chuẩn bị phương án đối phó, mà còn tạo điều kiện cho doanh nghiệp chủ động điều chỉnh hoạt động sản xuất và xuất khẩu phù hợp.</w:t>
      </w:r>
    </w:p>
    <w:p w14:paraId="4D94215F" w14:textId="77777777" w:rsidR="00884CD0" w:rsidRPr="00884CD0" w:rsidRDefault="00884CD0" w:rsidP="00884CD0">
      <w:pPr>
        <w:jc w:val="both"/>
      </w:pPr>
      <w:r w:rsidRPr="00884CD0">
        <w:rPr>
          <w:b/>
          <w:bCs/>
        </w:rPr>
        <w:t>2. Tăng cường đối thoại song phương với Hoa Kỳ</w:t>
      </w:r>
    </w:p>
    <w:p w14:paraId="46D11FAD" w14:textId="77777777" w:rsidR="00884CD0" w:rsidRPr="00884CD0" w:rsidRDefault="00884CD0" w:rsidP="00884CD0">
      <w:pPr>
        <w:ind w:firstLine="360"/>
        <w:jc w:val="both"/>
      </w:pPr>
      <w:r w:rsidRPr="00884CD0">
        <w:t>Việt Nam cần chủ động hơn trong việc thiết lập và duy trì cơ chế đối thoại thương mại cấp cao với Hoa Kỳ, nhằm:</w:t>
      </w:r>
    </w:p>
    <w:p w14:paraId="5FB9100E" w14:textId="77777777" w:rsidR="00884CD0" w:rsidRPr="00884CD0" w:rsidRDefault="00884CD0" w:rsidP="00884CD0">
      <w:pPr>
        <w:numPr>
          <w:ilvl w:val="0"/>
          <w:numId w:val="21"/>
        </w:numPr>
        <w:jc w:val="both"/>
      </w:pPr>
      <w:r w:rsidRPr="00884CD0">
        <w:t>Giải thích minh bạch về chính sách xuất khẩu của Việt Nam, tránh hiểu nhầm là cạnh tranh không lành mạnh;</w:t>
      </w:r>
    </w:p>
    <w:p w14:paraId="59A9CB9E" w14:textId="77777777" w:rsidR="00884CD0" w:rsidRPr="00884CD0" w:rsidRDefault="00884CD0" w:rsidP="00884CD0">
      <w:pPr>
        <w:numPr>
          <w:ilvl w:val="0"/>
          <w:numId w:val="21"/>
        </w:numPr>
        <w:jc w:val="both"/>
      </w:pPr>
      <w:r w:rsidRPr="00884CD0">
        <w:t>Tạo kênh thông tin phản hồi về các vụ kiện thương mại;</w:t>
      </w:r>
    </w:p>
    <w:p w14:paraId="61F540C4" w14:textId="77777777" w:rsidR="00884CD0" w:rsidRPr="00884CD0" w:rsidRDefault="00884CD0" w:rsidP="00884CD0">
      <w:pPr>
        <w:numPr>
          <w:ilvl w:val="0"/>
          <w:numId w:val="21"/>
        </w:numPr>
        <w:jc w:val="both"/>
      </w:pPr>
      <w:r w:rsidRPr="00884CD0">
        <w:t>Thúc đẩy hợp tác trong lĩnh vực tiêu chuẩn kỹ thuật, hải quan, và thương mại số.</w:t>
      </w:r>
    </w:p>
    <w:p w14:paraId="18C28D47" w14:textId="77777777" w:rsidR="00884CD0" w:rsidRPr="00884CD0" w:rsidRDefault="00884CD0" w:rsidP="00884CD0">
      <w:pPr>
        <w:ind w:firstLine="360"/>
        <w:jc w:val="both"/>
      </w:pPr>
      <w:r w:rsidRPr="00884CD0">
        <w:t>Việc tăng cường ngoại giao kinh tế và minh bạch hóa thông tin có thể giúp giảm thiểu nguy cơ bị áp đặt thuế quan bất ngờ, đồng thời tạo nền tảng cho các hiệp định thương mại song phương trong tương lai.</w:t>
      </w:r>
    </w:p>
    <w:p w14:paraId="7AB289BF" w14:textId="77777777" w:rsidR="00884CD0" w:rsidRPr="00884CD0" w:rsidRDefault="00884CD0" w:rsidP="00884CD0">
      <w:pPr>
        <w:jc w:val="both"/>
      </w:pPr>
      <w:r w:rsidRPr="00884CD0">
        <w:rPr>
          <w:b/>
          <w:bCs/>
        </w:rPr>
        <w:t>3. Tối ưu hóa lợi thế từ FTA (CPTPP, EVFTA)</w:t>
      </w:r>
    </w:p>
    <w:p w14:paraId="2E5B63FE" w14:textId="77777777" w:rsidR="00884CD0" w:rsidRPr="00884CD0" w:rsidRDefault="00884CD0" w:rsidP="00884CD0">
      <w:pPr>
        <w:ind w:firstLine="360"/>
        <w:jc w:val="both"/>
      </w:pPr>
      <w:r w:rsidRPr="00884CD0">
        <w:t>Trong bối cảnh Mỹ gia tăng bảo hộ, các hiệp định thương mại tự do thế hệ mới như CPTPP và EVFTA là "tấm khiên" giúp Việt Nam:</w:t>
      </w:r>
    </w:p>
    <w:p w14:paraId="0317C7A4" w14:textId="77777777" w:rsidR="00884CD0" w:rsidRPr="00884CD0" w:rsidRDefault="00884CD0" w:rsidP="00884CD0">
      <w:pPr>
        <w:numPr>
          <w:ilvl w:val="0"/>
          <w:numId w:val="22"/>
        </w:numPr>
        <w:jc w:val="both"/>
      </w:pPr>
      <w:r w:rsidRPr="00884CD0">
        <w:t>Duy trì và mở rộng xuất khẩu sang các thị trường phát triển có tính ổn định cao;</w:t>
      </w:r>
    </w:p>
    <w:p w14:paraId="4252932E" w14:textId="77777777" w:rsidR="00884CD0" w:rsidRPr="00884CD0" w:rsidRDefault="00884CD0" w:rsidP="00884CD0">
      <w:pPr>
        <w:numPr>
          <w:ilvl w:val="0"/>
          <w:numId w:val="22"/>
        </w:numPr>
        <w:jc w:val="both"/>
      </w:pPr>
      <w:r w:rsidRPr="00884CD0">
        <w:t>Tận dụng ưu đãi thuế quan, giảm chi phí sản xuất và tiếp cận thị trường;</w:t>
      </w:r>
    </w:p>
    <w:p w14:paraId="74E512D1" w14:textId="77777777" w:rsidR="00884CD0" w:rsidRPr="00884CD0" w:rsidRDefault="00884CD0" w:rsidP="00884CD0">
      <w:pPr>
        <w:numPr>
          <w:ilvl w:val="0"/>
          <w:numId w:val="22"/>
        </w:numPr>
        <w:jc w:val="both"/>
      </w:pPr>
      <w:r w:rsidRPr="00884CD0">
        <w:t>Học hỏi và nâng cấp tiêu chuẩn trong quản trị, sở hữu trí tuệ và môi trường theo thông lệ quốc tế.</w:t>
      </w:r>
    </w:p>
    <w:p w14:paraId="130FDB3B" w14:textId="77777777" w:rsidR="00884CD0" w:rsidRPr="00884CD0" w:rsidRDefault="00884CD0" w:rsidP="00884CD0">
      <w:pPr>
        <w:ind w:firstLine="360"/>
        <w:jc w:val="both"/>
      </w:pPr>
      <w:r w:rsidRPr="00884CD0">
        <w:t>Việt Nam cần xây dựng hệ thống hỗ trợ doanh nghiệp tận dụng ưu đãi FTA, bao gồm: trung tâm tư vấn quy tắc xuất xứ, cổng thông tin số hóa FTA và các khóa huấn luyện chuyên sâu theo từng ngành hàng.</w:t>
      </w:r>
    </w:p>
    <w:p w14:paraId="625A3149" w14:textId="77777777" w:rsidR="00884CD0" w:rsidRPr="00884CD0" w:rsidRDefault="00884CD0" w:rsidP="00884CD0">
      <w:pPr>
        <w:jc w:val="both"/>
      </w:pPr>
      <w:r w:rsidRPr="00884CD0">
        <w:rPr>
          <w:b/>
          <w:bCs/>
        </w:rPr>
        <w:t>4. Đa dạng hóa thị trường và chuỗi cung ứng</w:t>
      </w:r>
    </w:p>
    <w:p w14:paraId="3921A8F8" w14:textId="77777777" w:rsidR="00884CD0" w:rsidRPr="00884CD0" w:rsidRDefault="00884CD0" w:rsidP="00884CD0">
      <w:pPr>
        <w:ind w:firstLine="360"/>
        <w:jc w:val="both"/>
      </w:pPr>
      <w:r w:rsidRPr="00884CD0">
        <w:t>Phụ thuộc quá mức vào thị trường Hoa Kỳ khiến Việt Nam dễ bị tổn thương trước các thay đổi chính sách đột ngột. Vì vậy:</w:t>
      </w:r>
    </w:p>
    <w:p w14:paraId="5B5BF7B3" w14:textId="77777777" w:rsidR="00884CD0" w:rsidRPr="00884CD0" w:rsidRDefault="00884CD0" w:rsidP="00884CD0">
      <w:pPr>
        <w:numPr>
          <w:ilvl w:val="0"/>
          <w:numId w:val="23"/>
        </w:numPr>
        <w:jc w:val="both"/>
      </w:pPr>
      <w:r w:rsidRPr="00884CD0">
        <w:t>Chính phủ cần có chiến lược cụ thể để phát triển các thị trường mới tiềm năng như Mỹ Latin (Chile, Peru), khu vực Trung Đông và châu Phi;</w:t>
      </w:r>
    </w:p>
    <w:p w14:paraId="723A8469" w14:textId="77777777" w:rsidR="00884CD0" w:rsidRPr="00884CD0" w:rsidRDefault="00884CD0" w:rsidP="00884CD0">
      <w:pPr>
        <w:numPr>
          <w:ilvl w:val="0"/>
          <w:numId w:val="23"/>
        </w:numPr>
        <w:jc w:val="both"/>
      </w:pPr>
      <w:r w:rsidRPr="00884CD0">
        <w:lastRenderedPageBreak/>
        <w:t>Khuyến khích doanh nghiệp tham gia sâu hơn vào các chuỗi giá trị toàn cầu không phụ thuộc vào Mỹ hoặc Trung Quốc;</w:t>
      </w:r>
    </w:p>
    <w:p w14:paraId="49F6B00C" w14:textId="77777777" w:rsidR="00884CD0" w:rsidRPr="00884CD0" w:rsidRDefault="00884CD0" w:rsidP="00884CD0">
      <w:pPr>
        <w:numPr>
          <w:ilvl w:val="0"/>
          <w:numId w:val="23"/>
        </w:numPr>
        <w:jc w:val="both"/>
      </w:pPr>
      <w:r w:rsidRPr="00884CD0">
        <w:t>Hỗ trợ phát triển công nghiệp phụ trợ, dịch vụ logistics và thương mại điện tử xuyên biên giới để nâng cao khả năng thích ứng linh hoạt.</w:t>
      </w:r>
    </w:p>
    <w:p w14:paraId="17CC9899" w14:textId="77777777" w:rsidR="00884CD0" w:rsidRPr="00884CD0" w:rsidRDefault="00884CD0" w:rsidP="00884CD0">
      <w:pPr>
        <w:jc w:val="both"/>
      </w:pPr>
      <w:r w:rsidRPr="00884CD0">
        <w:rPr>
          <w:b/>
          <w:bCs/>
        </w:rPr>
        <w:t>5. Thực hiện cải cách thể chế thương mại đồng bộ</w:t>
      </w:r>
    </w:p>
    <w:p w14:paraId="1F06F010" w14:textId="77777777" w:rsidR="00884CD0" w:rsidRPr="00884CD0" w:rsidRDefault="00884CD0" w:rsidP="00884CD0">
      <w:pPr>
        <w:ind w:firstLine="360"/>
        <w:jc w:val="both"/>
      </w:pPr>
      <w:r w:rsidRPr="00884CD0">
        <w:t>Để củng cố năng lực nội tại và tăng khả năng chống chịu với cú sốc chính sách bên ngoài, Việt Nam cần:</w:t>
      </w:r>
    </w:p>
    <w:p w14:paraId="68345E6A" w14:textId="77777777" w:rsidR="00884CD0" w:rsidRPr="00884CD0" w:rsidRDefault="00884CD0" w:rsidP="00884CD0">
      <w:pPr>
        <w:numPr>
          <w:ilvl w:val="0"/>
          <w:numId w:val="24"/>
        </w:numPr>
        <w:jc w:val="both"/>
      </w:pPr>
      <w:r w:rsidRPr="00884CD0">
        <w:t>Rà soát, điều chỉnh các quy định pháp luật về phòng vệ thương mại, kiểm soát xuất xứ, quy tắc kỹ thuật để đồng bộ với chuẩn mực FTA;</w:t>
      </w:r>
    </w:p>
    <w:p w14:paraId="3C170916" w14:textId="77777777" w:rsidR="00884CD0" w:rsidRPr="00884CD0" w:rsidRDefault="00884CD0" w:rsidP="00884CD0">
      <w:pPr>
        <w:numPr>
          <w:ilvl w:val="0"/>
          <w:numId w:val="24"/>
        </w:numPr>
        <w:jc w:val="both"/>
      </w:pPr>
      <w:r w:rsidRPr="00884CD0">
        <w:t>Đẩy mạnh cải cách hành chính, giảm chi phí thương mại, rút ngắn thời gian thông quan và nâng cao chất lượng dịch vụ công;</w:t>
      </w:r>
    </w:p>
    <w:p w14:paraId="5AC45F24" w14:textId="77777777" w:rsidR="00884CD0" w:rsidRPr="00884CD0" w:rsidRDefault="00884CD0" w:rsidP="00884CD0">
      <w:pPr>
        <w:numPr>
          <w:ilvl w:val="0"/>
          <w:numId w:val="24"/>
        </w:numPr>
        <w:jc w:val="both"/>
      </w:pPr>
      <w:r w:rsidRPr="00884CD0">
        <w:t>Xây dựng đội ngũ cán bộ chuyên trách có kiến thức sâu về pháp luật WTO, luật thương mại quốc tế và các cam kết FTA để làm nòng cốt cho công tác đàm phán, phản biện và phòng vệ thương mại.</w:t>
      </w:r>
    </w:p>
    <w:p w14:paraId="47EE282B" w14:textId="77777777" w:rsidR="00884CD0" w:rsidRPr="00884CD0" w:rsidRDefault="00884CD0" w:rsidP="00884CD0">
      <w:pPr>
        <w:ind w:firstLine="360"/>
        <w:jc w:val="both"/>
      </w:pPr>
      <w:r w:rsidRPr="00884CD0">
        <w:rPr>
          <w:b/>
          <w:bCs/>
        </w:rPr>
        <w:t>Tổng kết</w:t>
      </w:r>
      <w:r w:rsidRPr="00884CD0">
        <w:t>, các nhóm hàm ý chính sách trên đây cần được triển khai một cách đồng bộ, linh hoạt và có tầm nhìn dài hạn, nhằm giúp Việt Nam vừa ứng phó hiệu quả với xu hướng bảo hộ thương mại toàn cầu, vừa củng cố vị thế xuất khẩu bền vững trên trường quốc tế.</w:t>
      </w:r>
    </w:p>
    <w:p w14:paraId="14692739" w14:textId="2552FD49" w:rsidR="002E0F30" w:rsidRPr="002E0F30" w:rsidRDefault="002E0F30" w:rsidP="002E0F30">
      <w:pPr>
        <w:jc w:val="both"/>
      </w:pPr>
    </w:p>
    <w:p w14:paraId="04ED8F6C" w14:textId="53A90498" w:rsidR="002E0F30" w:rsidRPr="002E0F30" w:rsidRDefault="002E0F30" w:rsidP="002E0F30">
      <w:pPr>
        <w:jc w:val="both"/>
      </w:pPr>
    </w:p>
    <w:p w14:paraId="721E3D65" w14:textId="68D84AC1" w:rsidR="002E0F30" w:rsidRPr="002E0F30" w:rsidRDefault="002E0F30" w:rsidP="0060226A">
      <w:pPr>
        <w:jc w:val="both"/>
      </w:pPr>
    </w:p>
    <w:p w14:paraId="2F631D53" w14:textId="0B4455EE" w:rsidR="00857CBA" w:rsidRPr="00857CBA" w:rsidRDefault="00857CBA" w:rsidP="00857CBA">
      <w:pPr>
        <w:jc w:val="both"/>
      </w:pPr>
    </w:p>
    <w:p w14:paraId="27C75E45" w14:textId="77777777" w:rsidR="00857CBA" w:rsidRPr="00815503" w:rsidRDefault="00857CBA" w:rsidP="00857CBA">
      <w:pPr>
        <w:jc w:val="both"/>
        <w:rPr>
          <w:lang w:val="vi-VN"/>
        </w:rPr>
      </w:pPr>
    </w:p>
    <w:p w14:paraId="4DD9FB1C" w14:textId="41B2840B" w:rsidR="00815503" w:rsidRPr="00815503" w:rsidRDefault="00815503" w:rsidP="007F6E0F">
      <w:pPr>
        <w:ind w:left="720"/>
      </w:pPr>
    </w:p>
    <w:p w14:paraId="7D96A9E0" w14:textId="77777777" w:rsidR="00884CD0" w:rsidRDefault="00884CD0">
      <w:pPr>
        <w:rPr>
          <w:b/>
          <w:bCs/>
          <w:lang w:val="vi-VN"/>
        </w:rPr>
      </w:pPr>
      <w:r>
        <w:rPr>
          <w:b/>
          <w:bCs/>
          <w:lang w:val="vi-VN"/>
        </w:rPr>
        <w:br w:type="page"/>
      </w:r>
    </w:p>
    <w:p w14:paraId="75A87D23" w14:textId="50CDADF0" w:rsidR="00A2074A" w:rsidRDefault="00A2074A" w:rsidP="00A2074A">
      <w:pPr>
        <w:rPr>
          <w:b/>
          <w:bCs/>
          <w:lang w:val="vi-VN"/>
        </w:rPr>
      </w:pPr>
      <w:r w:rsidRPr="00A2074A">
        <w:rPr>
          <w:b/>
          <w:bCs/>
          <w:lang w:val="vi-VN"/>
        </w:rPr>
        <w:lastRenderedPageBreak/>
        <w:t>Tài liệu tham khảo</w:t>
      </w:r>
    </w:p>
    <w:p w14:paraId="41F64C7E" w14:textId="77777777" w:rsidR="00F35581" w:rsidRDefault="00F35581" w:rsidP="00A2074A">
      <w:pPr>
        <w:rPr>
          <w:b/>
          <w:bCs/>
          <w:lang w:val="vi-VN"/>
        </w:rPr>
      </w:pPr>
    </w:p>
    <w:p w14:paraId="1B419667" w14:textId="0D21EA3A" w:rsidR="00026CA8" w:rsidRPr="00026CA8" w:rsidRDefault="00026CA8" w:rsidP="00026CA8"/>
    <w:p w14:paraId="3E33AAA3" w14:textId="77777777" w:rsidR="00026CA8" w:rsidRPr="00026CA8" w:rsidRDefault="00026CA8" w:rsidP="00026CA8">
      <w:pPr>
        <w:numPr>
          <w:ilvl w:val="0"/>
          <w:numId w:val="25"/>
        </w:numPr>
      </w:pPr>
      <w:r w:rsidRPr="00026CA8">
        <w:t xml:space="preserve">Vietnam Briefing. US-Vietnam trade relations: Trump-era tariffs impact on Vietnamese exports, </w:t>
      </w:r>
      <w:r w:rsidRPr="00026CA8">
        <w:rPr>
          <w:i/>
          <w:iCs/>
        </w:rPr>
        <w:t>Vietnam Briefing</w:t>
      </w:r>
      <w:r w:rsidRPr="00026CA8">
        <w:t xml:space="preserve">, </w:t>
      </w:r>
      <w:r w:rsidRPr="00026CA8">
        <w:rPr>
          <w:b/>
          <w:bCs/>
        </w:rPr>
        <w:t>2023</w:t>
      </w:r>
      <w:r w:rsidRPr="00026CA8">
        <w:t>, https://www.vietnam-briefing.com/news/us-vietnam-trade-relations-trump-impact-tariffs-vietnamese-exports.html</w:t>
      </w:r>
    </w:p>
    <w:p w14:paraId="5F25F20D" w14:textId="77777777" w:rsidR="00026CA8" w:rsidRPr="00026CA8" w:rsidRDefault="00026CA8" w:rsidP="00026CA8">
      <w:pPr>
        <w:numPr>
          <w:ilvl w:val="0"/>
          <w:numId w:val="25"/>
        </w:numPr>
      </w:pPr>
      <w:r w:rsidRPr="00026CA8">
        <w:t xml:space="preserve">Vietnam Investment Review. Vietnam strives to alleviate US tariff plan, </w:t>
      </w:r>
      <w:r w:rsidRPr="00026CA8">
        <w:rPr>
          <w:i/>
          <w:iCs/>
        </w:rPr>
        <w:t>Vietnam Investment Review</w:t>
      </w:r>
      <w:r w:rsidRPr="00026CA8">
        <w:t xml:space="preserve">, </w:t>
      </w:r>
      <w:r w:rsidRPr="00026CA8">
        <w:rPr>
          <w:b/>
          <w:bCs/>
        </w:rPr>
        <w:t>2025</w:t>
      </w:r>
      <w:r w:rsidRPr="00026CA8">
        <w:t xml:space="preserve">, </w:t>
      </w:r>
      <w:hyperlink r:id="rId8" w:tgtFrame="_new" w:history="1">
        <w:r w:rsidRPr="00026CA8">
          <w:rPr>
            <w:rStyle w:val="Hyperlink"/>
          </w:rPr>
          <w:t>https://vir.com.vn/vietnam-strives-to-alleviate-us-tariff-plan-125970.html</w:t>
        </w:r>
      </w:hyperlink>
    </w:p>
    <w:p w14:paraId="4DC3B776" w14:textId="77777777" w:rsidR="00026CA8" w:rsidRPr="00026CA8" w:rsidRDefault="00026CA8" w:rsidP="00026CA8">
      <w:pPr>
        <w:numPr>
          <w:ilvl w:val="0"/>
          <w:numId w:val="25"/>
        </w:numPr>
      </w:pPr>
      <w:r w:rsidRPr="00026CA8">
        <w:t xml:space="preserve">WTO Center. Vietnam makes most of CPTPP to join global supply chains, </w:t>
      </w:r>
      <w:r w:rsidRPr="00026CA8">
        <w:rPr>
          <w:i/>
          <w:iCs/>
        </w:rPr>
        <w:t>WTO Center</w:t>
      </w:r>
      <w:r w:rsidRPr="00026CA8">
        <w:t xml:space="preserve">, </w:t>
      </w:r>
      <w:r w:rsidRPr="00026CA8">
        <w:rPr>
          <w:b/>
          <w:bCs/>
        </w:rPr>
        <w:t>2024</w:t>
      </w:r>
      <w:r w:rsidRPr="00026CA8">
        <w:t xml:space="preserve">, </w:t>
      </w:r>
      <w:hyperlink r:id="rId9" w:tgtFrame="_new" w:history="1">
        <w:r w:rsidRPr="00026CA8">
          <w:rPr>
            <w:rStyle w:val="Hyperlink"/>
          </w:rPr>
          <w:t>https://wtocenter.vn/chuyen-de/26484-vietnam-makes-most-of-cptpp-to-join-global-supply-chains</w:t>
        </w:r>
      </w:hyperlink>
    </w:p>
    <w:p w14:paraId="6862026E" w14:textId="77777777" w:rsidR="00026CA8" w:rsidRPr="00026CA8" w:rsidRDefault="00026CA8" w:rsidP="00026CA8">
      <w:pPr>
        <w:numPr>
          <w:ilvl w:val="0"/>
          <w:numId w:val="25"/>
        </w:numPr>
      </w:pPr>
      <w:r w:rsidRPr="00026CA8">
        <w:t xml:space="preserve">TTWTO VCCI. Protectionism still a barrier for Vietnam's export, </w:t>
      </w:r>
      <w:r w:rsidRPr="00026CA8">
        <w:rPr>
          <w:i/>
          <w:iCs/>
        </w:rPr>
        <w:t>TTWTO VCCI</w:t>
      </w:r>
      <w:r w:rsidRPr="00026CA8">
        <w:t xml:space="preserve">, </w:t>
      </w:r>
      <w:r w:rsidRPr="00026CA8">
        <w:rPr>
          <w:b/>
          <w:bCs/>
        </w:rPr>
        <w:t>2024</w:t>
      </w:r>
      <w:r w:rsidRPr="00026CA8">
        <w:t xml:space="preserve">, </w:t>
      </w:r>
      <w:hyperlink r:id="rId10" w:tgtFrame="_new" w:history="1">
        <w:r w:rsidRPr="00026CA8">
          <w:rPr>
            <w:rStyle w:val="Hyperlink"/>
          </w:rPr>
          <w:t>https://wtocenter.vn/tin-tuc/26095-protectionism-still-a-barrier-for-vietnams-export</w:t>
        </w:r>
      </w:hyperlink>
    </w:p>
    <w:p w14:paraId="13042AA1" w14:textId="77777777" w:rsidR="00026CA8" w:rsidRPr="00026CA8" w:rsidRDefault="00026CA8" w:rsidP="00026CA8">
      <w:pPr>
        <w:numPr>
          <w:ilvl w:val="0"/>
          <w:numId w:val="25"/>
        </w:numPr>
      </w:pPr>
      <w:r w:rsidRPr="00026CA8">
        <w:t xml:space="preserve">Tổng cục Thống kê. Báo cáo thương mại hàng hóa năm 2023, </w:t>
      </w:r>
      <w:r w:rsidRPr="00026CA8">
        <w:rPr>
          <w:i/>
          <w:iCs/>
        </w:rPr>
        <w:t>Tổng cục Thống kê Việt Nam</w:t>
      </w:r>
      <w:r w:rsidRPr="00026CA8">
        <w:t xml:space="preserve">, </w:t>
      </w:r>
      <w:r w:rsidRPr="00026CA8">
        <w:rPr>
          <w:b/>
          <w:bCs/>
        </w:rPr>
        <w:t>2024</w:t>
      </w:r>
      <w:r w:rsidRPr="00026CA8">
        <w:t xml:space="preserve">, </w:t>
      </w:r>
      <w:hyperlink r:id="rId11" w:tgtFrame="_new" w:history="1">
        <w:r w:rsidRPr="00026CA8">
          <w:rPr>
            <w:rStyle w:val="Hyperlink"/>
          </w:rPr>
          <w:t>https://www.gso.gov.vn/</w:t>
        </w:r>
      </w:hyperlink>
    </w:p>
    <w:p w14:paraId="21E40ED9" w14:textId="77777777" w:rsidR="00026CA8" w:rsidRPr="00026CA8" w:rsidRDefault="00026CA8" w:rsidP="00026CA8">
      <w:pPr>
        <w:numPr>
          <w:ilvl w:val="0"/>
          <w:numId w:val="25"/>
        </w:numPr>
      </w:pPr>
      <w:r w:rsidRPr="00026CA8">
        <w:t xml:space="preserve">Tổng cục Hải quan. Số liệu xuất nhập khẩu năm 2023, </w:t>
      </w:r>
      <w:r w:rsidRPr="00026CA8">
        <w:rPr>
          <w:i/>
          <w:iCs/>
        </w:rPr>
        <w:t>Tổng cục Hải quan Việt Nam</w:t>
      </w:r>
      <w:r w:rsidRPr="00026CA8">
        <w:t xml:space="preserve">, </w:t>
      </w:r>
      <w:r w:rsidRPr="00026CA8">
        <w:rPr>
          <w:b/>
          <w:bCs/>
        </w:rPr>
        <w:t>2024</w:t>
      </w:r>
      <w:r w:rsidRPr="00026CA8">
        <w:t xml:space="preserve">, </w:t>
      </w:r>
      <w:hyperlink r:id="rId12" w:tgtFrame="_new" w:history="1">
        <w:r w:rsidRPr="00026CA8">
          <w:rPr>
            <w:rStyle w:val="Hyperlink"/>
          </w:rPr>
          <w:t>https://www.customs.gov.vn/</w:t>
        </w:r>
      </w:hyperlink>
    </w:p>
    <w:p w14:paraId="451A62B0" w14:textId="77777777" w:rsidR="00026CA8" w:rsidRPr="00026CA8" w:rsidRDefault="00026CA8" w:rsidP="00026CA8">
      <w:pPr>
        <w:numPr>
          <w:ilvl w:val="0"/>
          <w:numId w:val="25"/>
        </w:numPr>
      </w:pPr>
      <w:r w:rsidRPr="00026CA8">
        <w:t xml:space="preserve">Trung tâm WTO và Hội nhập – VCCI. Utilization of tariff preferences under Vietnam's FTAs in 2022, </w:t>
      </w:r>
      <w:r w:rsidRPr="00026CA8">
        <w:rPr>
          <w:i/>
          <w:iCs/>
        </w:rPr>
        <w:t>WTO Center</w:t>
      </w:r>
      <w:r w:rsidRPr="00026CA8">
        <w:t xml:space="preserve">, </w:t>
      </w:r>
      <w:r w:rsidRPr="00026CA8">
        <w:rPr>
          <w:b/>
          <w:bCs/>
        </w:rPr>
        <w:t>2023</w:t>
      </w:r>
      <w:r w:rsidRPr="00026CA8">
        <w:t xml:space="preserve">, </w:t>
      </w:r>
      <w:hyperlink r:id="rId13" w:tgtFrame="_new" w:history="1">
        <w:r w:rsidRPr="00026CA8">
          <w:rPr>
            <w:rStyle w:val="Hyperlink"/>
          </w:rPr>
          <w:t>https://wtocenter.vn/thong-ke/21922-utilization-of-tariff-preferences-under-vietnams-ftas-in-2022</w:t>
        </w:r>
      </w:hyperlink>
    </w:p>
    <w:p w14:paraId="2048DB32" w14:textId="77777777" w:rsidR="00026CA8" w:rsidRPr="00026CA8" w:rsidRDefault="00026CA8" w:rsidP="00026CA8">
      <w:pPr>
        <w:numPr>
          <w:ilvl w:val="0"/>
          <w:numId w:val="25"/>
        </w:numPr>
      </w:pPr>
      <w:r w:rsidRPr="00026CA8">
        <w:t xml:space="preserve">Reuters. Vietnam to impose anti-dumping tariffs on Chinese hot-rolled steel, </w:t>
      </w:r>
      <w:r w:rsidRPr="00026CA8">
        <w:rPr>
          <w:i/>
          <w:iCs/>
        </w:rPr>
        <w:t>Reuters</w:t>
      </w:r>
      <w:r w:rsidRPr="00026CA8">
        <w:t xml:space="preserve">, </w:t>
      </w:r>
      <w:r w:rsidRPr="00026CA8">
        <w:rPr>
          <w:b/>
          <w:bCs/>
        </w:rPr>
        <w:t>2025</w:t>
      </w:r>
      <w:r w:rsidRPr="00026CA8">
        <w:t>, https://www.reuters.com/markets/commodities/vietnam-says-impose-temporary-anti-dumping-tariff-hot-rolled-coil-steel-china-2025-02-21/</w:t>
      </w:r>
    </w:p>
    <w:p w14:paraId="260DDE2A" w14:textId="77777777" w:rsidR="00026CA8" w:rsidRPr="00026CA8" w:rsidRDefault="00026CA8" w:rsidP="00026CA8">
      <w:pPr>
        <w:numPr>
          <w:ilvl w:val="0"/>
          <w:numId w:val="25"/>
        </w:numPr>
      </w:pPr>
      <w:r w:rsidRPr="00026CA8">
        <w:t xml:space="preserve">Vietnam Law Magazine. Vietnam posts trade surplus of USD 24.77 billion in 2024, </w:t>
      </w:r>
      <w:r w:rsidRPr="00026CA8">
        <w:rPr>
          <w:i/>
          <w:iCs/>
        </w:rPr>
        <w:t>Vietnam Law Magazine</w:t>
      </w:r>
      <w:r w:rsidRPr="00026CA8">
        <w:t xml:space="preserve">, </w:t>
      </w:r>
      <w:r w:rsidRPr="00026CA8">
        <w:rPr>
          <w:b/>
          <w:bCs/>
        </w:rPr>
        <w:t>2024</w:t>
      </w:r>
      <w:r w:rsidRPr="00026CA8">
        <w:t>, https://vietnamlawmagazine.vn/vietnam-posts-trade-surplus-of-usd-2477-billion-in-2024-73321.html</w:t>
      </w:r>
    </w:p>
    <w:p w14:paraId="7D10B24B" w14:textId="77777777" w:rsidR="00026CA8" w:rsidRPr="00026CA8" w:rsidRDefault="00026CA8" w:rsidP="00026CA8">
      <w:pPr>
        <w:numPr>
          <w:ilvl w:val="0"/>
          <w:numId w:val="25"/>
        </w:numPr>
      </w:pPr>
      <w:r w:rsidRPr="00026CA8">
        <w:t xml:space="preserve">VCCI. Vietnamese exporters need to clearly understand EU Green Deal, </w:t>
      </w:r>
      <w:r w:rsidRPr="00026CA8">
        <w:rPr>
          <w:i/>
          <w:iCs/>
        </w:rPr>
        <w:t>VCCI</w:t>
      </w:r>
      <w:r w:rsidRPr="00026CA8">
        <w:t xml:space="preserve">, </w:t>
      </w:r>
      <w:r w:rsidRPr="00026CA8">
        <w:rPr>
          <w:b/>
          <w:bCs/>
        </w:rPr>
        <w:t>2024</w:t>
      </w:r>
      <w:r w:rsidRPr="00026CA8">
        <w:t>, https://en.vcci.com.vn/vietnam-exporters-need-to-clearly-understand-eu-green-deal</w:t>
      </w:r>
    </w:p>
    <w:p w14:paraId="0494DA91" w14:textId="77777777" w:rsidR="00026CA8" w:rsidRPr="00026CA8" w:rsidRDefault="00026CA8" w:rsidP="00026CA8">
      <w:pPr>
        <w:numPr>
          <w:ilvl w:val="0"/>
          <w:numId w:val="25"/>
        </w:numPr>
      </w:pPr>
      <w:r w:rsidRPr="00026CA8">
        <w:t xml:space="preserve">Tạp chí Kinh tế Việt Nam. Vietnam-CPTPP trade volume exceeds 102 billion USD, </w:t>
      </w:r>
      <w:r w:rsidRPr="00026CA8">
        <w:rPr>
          <w:i/>
          <w:iCs/>
        </w:rPr>
        <w:t>VnEconomy</w:t>
      </w:r>
      <w:r w:rsidRPr="00026CA8">
        <w:t xml:space="preserve">, </w:t>
      </w:r>
      <w:r w:rsidRPr="00026CA8">
        <w:rPr>
          <w:b/>
          <w:bCs/>
        </w:rPr>
        <w:t>2024</w:t>
      </w:r>
      <w:r w:rsidRPr="00026CA8">
        <w:t>, https://en.vneconomy.vn/vietnam-cptpp-trade-volume-exceeds-102bln.htm</w:t>
      </w:r>
    </w:p>
    <w:p w14:paraId="5D918EC4" w14:textId="77777777" w:rsidR="00026CA8" w:rsidRPr="00026CA8" w:rsidRDefault="00026CA8" w:rsidP="00026CA8">
      <w:pPr>
        <w:numPr>
          <w:ilvl w:val="0"/>
          <w:numId w:val="25"/>
        </w:numPr>
      </w:pPr>
      <w:r w:rsidRPr="00026CA8">
        <w:lastRenderedPageBreak/>
        <w:t xml:space="preserve">UNCTAD. World Investment Report 2023: Investment in Sustainable Energy for All, </w:t>
      </w:r>
      <w:r w:rsidRPr="00026CA8">
        <w:rPr>
          <w:i/>
          <w:iCs/>
        </w:rPr>
        <w:t>UNCTAD</w:t>
      </w:r>
      <w:r w:rsidRPr="00026CA8">
        <w:t xml:space="preserve">, </w:t>
      </w:r>
      <w:r w:rsidRPr="00026CA8">
        <w:rPr>
          <w:b/>
          <w:bCs/>
        </w:rPr>
        <w:t>2023</w:t>
      </w:r>
      <w:r w:rsidRPr="00026CA8">
        <w:t>, https://unctad.org/publication/world-investment-report-2023</w:t>
      </w:r>
    </w:p>
    <w:p w14:paraId="341EE7D8" w14:textId="77777777" w:rsidR="00026CA8" w:rsidRPr="00026CA8" w:rsidRDefault="00026CA8" w:rsidP="00026CA8">
      <w:pPr>
        <w:numPr>
          <w:ilvl w:val="0"/>
          <w:numId w:val="25"/>
        </w:numPr>
      </w:pPr>
      <w:r w:rsidRPr="00026CA8">
        <w:t xml:space="preserve">OECD. Global Trade Policy Review 2022, </w:t>
      </w:r>
      <w:r w:rsidRPr="00026CA8">
        <w:rPr>
          <w:i/>
          <w:iCs/>
        </w:rPr>
        <w:t>OECD Publishing</w:t>
      </w:r>
      <w:r w:rsidRPr="00026CA8">
        <w:t xml:space="preserve">, </w:t>
      </w:r>
      <w:r w:rsidRPr="00026CA8">
        <w:rPr>
          <w:b/>
          <w:bCs/>
        </w:rPr>
        <w:t>2022</w:t>
      </w:r>
      <w:r w:rsidRPr="00026CA8">
        <w:t xml:space="preserve">, </w:t>
      </w:r>
      <w:hyperlink r:id="rId14" w:tgtFrame="_new" w:history="1">
        <w:r w:rsidRPr="00026CA8">
          <w:rPr>
            <w:rStyle w:val="Hyperlink"/>
          </w:rPr>
          <w:t>https://www.oecd.org/trade/global-trade-policy-review.htm</w:t>
        </w:r>
      </w:hyperlink>
    </w:p>
    <w:p w14:paraId="19CCD8E1" w14:textId="77777777" w:rsidR="00A803C7" w:rsidRPr="00A803C7" w:rsidRDefault="00A803C7">
      <w:pPr>
        <w:rPr>
          <w:lang w:val="vi-VN"/>
        </w:rPr>
      </w:pPr>
    </w:p>
    <w:sectPr w:rsidR="00A803C7" w:rsidRPr="00A803C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43CE" w14:textId="77777777" w:rsidR="006F314E" w:rsidRDefault="006F314E" w:rsidP="006F314E">
      <w:pPr>
        <w:spacing w:after="0" w:line="240" w:lineRule="auto"/>
      </w:pPr>
      <w:r>
        <w:separator/>
      </w:r>
    </w:p>
  </w:endnote>
  <w:endnote w:type="continuationSeparator" w:id="0">
    <w:p w14:paraId="77F2D4AF" w14:textId="77777777" w:rsidR="006F314E" w:rsidRDefault="006F314E" w:rsidP="006F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05276"/>
      <w:docPartObj>
        <w:docPartGallery w:val="Page Numbers (Bottom of Page)"/>
        <w:docPartUnique/>
      </w:docPartObj>
    </w:sdtPr>
    <w:sdtEndPr>
      <w:rPr>
        <w:noProof/>
      </w:rPr>
    </w:sdtEndPr>
    <w:sdtContent>
      <w:p w14:paraId="55BDF150" w14:textId="5EDF8968" w:rsidR="006F314E" w:rsidRDefault="006F314E">
        <w:pPr>
          <w:pStyle w:val="Footer"/>
        </w:pPr>
        <w:r>
          <w:fldChar w:fldCharType="begin"/>
        </w:r>
        <w:r>
          <w:instrText xml:space="preserve"> PAGE   \* MERGEFORMAT </w:instrText>
        </w:r>
        <w:r>
          <w:fldChar w:fldCharType="separate"/>
        </w:r>
        <w:r>
          <w:rPr>
            <w:noProof/>
          </w:rPr>
          <w:t>2</w:t>
        </w:r>
        <w:r>
          <w:rPr>
            <w:noProof/>
          </w:rPr>
          <w:fldChar w:fldCharType="end"/>
        </w:r>
      </w:p>
    </w:sdtContent>
  </w:sdt>
  <w:p w14:paraId="3F1F274A" w14:textId="77777777" w:rsidR="006F314E" w:rsidRDefault="006F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397C" w14:textId="77777777" w:rsidR="006F314E" w:rsidRDefault="006F314E" w:rsidP="006F314E">
      <w:pPr>
        <w:spacing w:after="0" w:line="240" w:lineRule="auto"/>
      </w:pPr>
      <w:r>
        <w:separator/>
      </w:r>
    </w:p>
  </w:footnote>
  <w:footnote w:type="continuationSeparator" w:id="0">
    <w:p w14:paraId="073EB574" w14:textId="77777777" w:rsidR="006F314E" w:rsidRDefault="006F314E" w:rsidP="006F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5FAF"/>
    <w:multiLevelType w:val="multilevel"/>
    <w:tmpl w:val="186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2415"/>
    <w:multiLevelType w:val="multilevel"/>
    <w:tmpl w:val="F6D6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35E7D"/>
    <w:multiLevelType w:val="multilevel"/>
    <w:tmpl w:val="7288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D6B1B"/>
    <w:multiLevelType w:val="multilevel"/>
    <w:tmpl w:val="894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B736C"/>
    <w:multiLevelType w:val="multilevel"/>
    <w:tmpl w:val="A608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3DF1"/>
    <w:multiLevelType w:val="multilevel"/>
    <w:tmpl w:val="EEE0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30C20"/>
    <w:multiLevelType w:val="multilevel"/>
    <w:tmpl w:val="9DB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70B"/>
    <w:multiLevelType w:val="multilevel"/>
    <w:tmpl w:val="78EC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0443C"/>
    <w:multiLevelType w:val="multilevel"/>
    <w:tmpl w:val="D720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F4264"/>
    <w:multiLevelType w:val="multilevel"/>
    <w:tmpl w:val="56D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46D96"/>
    <w:multiLevelType w:val="multilevel"/>
    <w:tmpl w:val="D6FE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D6D0E"/>
    <w:multiLevelType w:val="multilevel"/>
    <w:tmpl w:val="048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1315C"/>
    <w:multiLevelType w:val="multilevel"/>
    <w:tmpl w:val="AEF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568B3"/>
    <w:multiLevelType w:val="multilevel"/>
    <w:tmpl w:val="D1F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464CF"/>
    <w:multiLevelType w:val="multilevel"/>
    <w:tmpl w:val="2D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F3209"/>
    <w:multiLevelType w:val="multilevel"/>
    <w:tmpl w:val="6294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F52FCE"/>
    <w:multiLevelType w:val="multilevel"/>
    <w:tmpl w:val="68C6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05A18"/>
    <w:multiLevelType w:val="multilevel"/>
    <w:tmpl w:val="333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B734D"/>
    <w:multiLevelType w:val="multilevel"/>
    <w:tmpl w:val="500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C3833"/>
    <w:multiLevelType w:val="multilevel"/>
    <w:tmpl w:val="94F29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23715"/>
    <w:multiLevelType w:val="multilevel"/>
    <w:tmpl w:val="C0EC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5327B"/>
    <w:multiLevelType w:val="multilevel"/>
    <w:tmpl w:val="9F1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841E1"/>
    <w:multiLevelType w:val="multilevel"/>
    <w:tmpl w:val="09C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668B5"/>
    <w:multiLevelType w:val="multilevel"/>
    <w:tmpl w:val="707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01BF7"/>
    <w:multiLevelType w:val="multilevel"/>
    <w:tmpl w:val="2482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515751">
    <w:abstractNumId w:val="22"/>
  </w:num>
  <w:num w:numId="2" w16cid:durableId="69550179">
    <w:abstractNumId w:val="0"/>
  </w:num>
  <w:num w:numId="3" w16cid:durableId="17778379">
    <w:abstractNumId w:val="19"/>
  </w:num>
  <w:num w:numId="4" w16cid:durableId="1519004638">
    <w:abstractNumId w:val="6"/>
  </w:num>
  <w:num w:numId="5" w16cid:durableId="996567356">
    <w:abstractNumId w:val="2"/>
  </w:num>
  <w:num w:numId="6" w16cid:durableId="713775357">
    <w:abstractNumId w:val="16"/>
  </w:num>
  <w:num w:numId="7" w16cid:durableId="1948653044">
    <w:abstractNumId w:val="14"/>
  </w:num>
  <w:num w:numId="8" w16cid:durableId="150869758">
    <w:abstractNumId w:val="18"/>
  </w:num>
  <w:num w:numId="9" w16cid:durableId="241331714">
    <w:abstractNumId w:val="7"/>
  </w:num>
  <w:num w:numId="10" w16cid:durableId="729382074">
    <w:abstractNumId w:val="3"/>
  </w:num>
  <w:num w:numId="11" w16cid:durableId="204176809">
    <w:abstractNumId w:val="12"/>
  </w:num>
  <w:num w:numId="12" w16cid:durableId="546180260">
    <w:abstractNumId w:val="5"/>
  </w:num>
  <w:num w:numId="13" w16cid:durableId="743989301">
    <w:abstractNumId w:val="15"/>
  </w:num>
  <w:num w:numId="14" w16cid:durableId="1382824969">
    <w:abstractNumId w:val="21"/>
  </w:num>
  <w:num w:numId="15" w16cid:durableId="430590034">
    <w:abstractNumId w:val="1"/>
  </w:num>
  <w:num w:numId="16" w16cid:durableId="662662296">
    <w:abstractNumId w:val="11"/>
  </w:num>
  <w:num w:numId="17" w16cid:durableId="2041202411">
    <w:abstractNumId w:val="4"/>
  </w:num>
  <w:num w:numId="18" w16cid:durableId="1508713796">
    <w:abstractNumId w:val="23"/>
  </w:num>
  <w:num w:numId="19" w16cid:durableId="1795560605">
    <w:abstractNumId w:val="9"/>
  </w:num>
  <w:num w:numId="20" w16cid:durableId="1253316211">
    <w:abstractNumId w:val="20"/>
  </w:num>
  <w:num w:numId="21" w16cid:durableId="2034576922">
    <w:abstractNumId w:val="24"/>
  </w:num>
  <w:num w:numId="22" w16cid:durableId="1367875647">
    <w:abstractNumId w:val="17"/>
  </w:num>
  <w:num w:numId="23" w16cid:durableId="1521429941">
    <w:abstractNumId w:val="13"/>
  </w:num>
  <w:num w:numId="24" w16cid:durableId="1163937889">
    <w:abstractNumId w:val="10"/>
  </w:num>
  <w:num w:numId="25" w16cid:durableId="1019087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D0"/>
    <w:rsid w:val="00026CA8"/>
    <w:rsid w:val="000E1FCE"/>
    <w:rsid w:val="001563CE"/>
    <w:rsid w:val="001E586F"/>
    <w:rsid w:val="002E0F30"/>
    <w:rsid w:val="00331BEF"/>
    <w:rsid w:val="003372CF"/>
    <w:rsid w:val="0060226A"/>
    <w:rsid w:val="006C157C"/>
    <w:rsid w:val="006D7109"/>
    <w:rsid w:val="006F314E"/>
    <w:rsid w:val="007F6E0F"/>
    <w:rsid w:val="00815503"/>
    <w:rsid w:val="00844A64"/>
    <w:rsid w:val="00857CBA"/>
    <w:rsid w:val="00884CD0"/>
    <w:rsid w:val="009C44B3"/>
    <w:rsid w:val="009F4BDA"/>
    <w:rsid w:val="00A2074A"/>
    <w:rsid w:val="00A803C7"/>
    <w:rsid w:val="00A82DD0"/>
    <w:rsid w:val="00BD1866"/>
    <w:rsid w:val="00C445D9"/>
    <w:rsid w:val="00CD2ADC"/>
    <w:rsid w:val="00EE1157"/>
    <w:rsid w:val="00F26C56"/>
    <w:rsid w:val="00F35581"/>
    <w:rsid w:val="00F5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B8FB"/>
  <w15:chartTrackingRefBased/>
  <w15:docId w15:val="{0EC0843D-C6FF-41D7-BE4C-F85A5E71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D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D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D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D0"/>
    <w:rPr>
      <w:rFonts w:eastAsiaTheme="majorEastAsia" w:cstheme="majorBidi"/>
      <w:color w:val="272727" w:themeColor="text1" w:themeTint="D8"/>
    </w:rPr>
  </w:style>
  <w:style w:type="paragraph" w:styleId="Title">
    <w:name w:val="Title"/>
    <w:basedOn w:val="Normal"/>
    <w:next w:val="Normal"/>
    <w:link w:val="TitleChar"/>
    <w:uiPriority w:val="10"/>
    <w:qFormat/>
    <w:rsid w:val="00A8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D0"/>
    <w:pPr>
      <w:spacing w:before="160"/>
      <w:jc w:val="center"/>
    </w:pPr>
    <w:rPr>
      <w:i/>
      <w:iCs/>
      <w:color w:val="404040" w:themeColor="text1" w:themeTint="BF"/>
    </w:rPr>
  </w:style>
  <w:style w:type="character" w:customStyle="1" w:styleId="QuoteChar">
    <w:name w:val="Quote Char"/>
    <w:basedOn w:val="DefaultParagraphFont"/>
    <w:link w:val="Quote"/>
    <w:uiPriority w:val="29"/>
    <w:rsid w:val="00A82DD0"/>
    <w:rPr>
      <w:i/>
      <w:iCs/>
      <w:color w:val="404040" w:themeColor="text1" w:themeTint="BF"/>
    </w:rPr>
  </w:style>
  <w:style w:type="paragraph" w:styleId="ListParagraph">
    <w:name w:val="List Paragraph"/>
    <w:basedOn w:val="Normal"/>
    <w:uiPriority w:val="34"/>
    <w:qFormat/>
    <w:rsid w:val="00A82DD0"/>
    <w:pPr>
      <w:ind w:left="720"/>
      <w:contextualSpacing/>
    </w:pPr>
  </w:style>
  <w:style w:type="character" w:styleId="IntenseEmphasis">
    <w:name w:val="Intense Emphasis"/>
    <w:basedOn w:val="DefaultParagraphFont"/>
    <w:uiPriority w:val="21"/>
    <w:qFormat/>
    <w:rsid w:val="00A82DD0"/>
    <w:rPr>
      <w:i/>
      <w:iCs/>
      <w:color w:val="2F5496" w:themeColor="accent1" w:themeShade="BF"/>
    </w:rPr>
  </w:style>
  <w:style w:type="paragraph" w:styleId="IntenseQuote">
    <w:name w:val="Intense Quote"/>
    <w:basedOn w:val="Normal"/>
    <w:next w:val="Normal"/>
    <w:link w:val="IntenseQuoteChar"/>
    <w:uiPriority w:val="30"/>
    <w:qFormat/>
    <w:rsid w:val="00A82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DD0"/>
    <w:rPr>
      <w:i/>
      <w:iCs/>
      <w:color w:val="2F5496" w:themeColor="accent1" w:themeShade="BF"/>
    </w:rPr>
  </w:style>
  <w:style w:type="character" w:styleId="IntenseReference">
    <w:name w:val="Intense Reference"/>
    <w:basedOn w:val="DefaultParagraphFont"/>
    <w:uiPriority w:val="32"/>
    <w:qFormat/>
    <w:rsid w:val="00A82DD0"/>
    <w:rPr>
      <w:b/>
      <w:bCs/>
      <w:smallCaps/>
      <w:color w:val="2F5496" w:themeColor="accent1" w:themeShade="BF"/>
      <w:spacing w:val="5"/>
    </w:rPr>
  </w:style>
  <w:style w:type="character" w:styleId="Hyperlink">
    <w:name w:val="Hyperlink"/>
    <w:basedOn w:val="DefaultParagraphFont"/>
    <w:uiPriority w:val="99"/>
    <w:unhideWhenUsed/>
    <w:rsid w:val="00A2074A"/>
    <w:rPr>
      <w:color w:val="0563C1" w:themeColor="hyperlink"/>
      <w:u w:val="single"/>
    </w:rPr>
  </w:style>
  <w:style w:type="character" w:styleId="UnresolvedMention">
    <w:name w:val="Unresolved Mention"/>
    <w:basedOn w:val="DefaultParagraphFont"/>
    <w:uiPriority w:val="99"/>
    <w:semiHidden/>
    <w:unhideWhenUsed/>
    <w:rsid w:val="00A2074A"/>
    <w:rPr>
      <w:color w:val="605E5C"/>
      <w:shd w:val="clear" w:color="auto" w:fill="E1DFDD"/>
    </w:rPr>
  </w:style>
  <w:style w:type="paragraph" w:styleId="Header">
    <w:name w:val="header"/>
    <w:basedOn w:val="Normal"/>
    <w:link w:val="HeaderChar"/>
    <w:uiPriority w:val="99"/>
    <w:unhideWhenUsed/>
    <w:rsid w:val="006F3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14E"/>
  </w:style>
  <w:style w:type="paragraph" w:styleId="Footer">
    <w:name w:val="footer"/>
    <w:basedOn w:val="Normal"/>
    <w:link w:val="FooterChar"/>
    <w:uiPriority w:val="99"/>
    <w:unhideWhenUsed/>
    <w:rsid w:val="006F3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758">
      <w:bodyDiv w:val="1"/>
      <w:marLeft w:val="0"/>
      <w:marRight w:val="0"/>
      <w:marTop w:val="0"/>
      <w:marBottom w:val="0"/>
      <w:divBdr>
        <w:top w:val="none" w:sz="0" w:space="0" w:color="auto"/>
        <w:left w:val="none" w:sz="0" w:space="0" w:color="auto"/>
        <w:bottom w:val="none" w:sz="0" w:space="0" w:color="auto"/>
        <w:right w:val="none" w:sz="0" w:space="0" w:color="auto"/>
      </w:divBdr>
    </w:div>
    <w:div w:id="73938477">
      <w:bodyDiv w:val="1"/>
      <w:marLeft w:val="0"/>
      <w:marRight w:val="0"/>
      <w:marTop w:val="0"/>
      <w:marBottom w:val="0"/>
      <w:divBdr>
        <w:top w:val="none" w:sz="0" w:space="0" w:color="auto"/>
        <w:left w:val="none" w:sz="0" w:space="0" w:color="auto"/>
        <w:bottom w:val="none" w:sz="0" w:space="0" w:color="auto"/>
        <w:right w:val="none" w:sz="0" w:space="0" w:color="auto"/>
      </w:divBdr>
    </w:div>
    <w:div w:id="172306544">
      <w:bodyDiv w:val="1"/>
      <w:marLeft w:val="0"/>
      <w:marRight w:val="0"/>
      <w:marTop w:val="0"/>
      <w:marBottom w:val="0"/>
      <w:divBdr>
        <w:top w:val="none" w:sz="0" w:space="0" w:color="auto"/>
        <w:left w:val="none" w:sz="0" w:space="0" w:color="auto"/>
        <w:bottom w:val="none" w:sz="0" w:space="0" w:color="auto"/>
        <w:right w:val="none" w:sz="0" w:space="0" w:color="auto"/>
      </w:divBdr>
      <w:divsChild>
        <w:div w:id="19584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645">
          <w:marLeft w:val="0"/>
          <w:marRight w:val="0"/>
          <w:marTop w:val="0"/>
          <w:marBottom w:val="0"/>
          <w:divBdr>
            <w:top w:val="none" w:sz="0" w:space="0" w:color="auto"/>
            <w:left w:val="none" w:sz="0" w:space="0" w:color="auto"/>
            <w:bottom w:val="none" w:sz="0" w:space="0" w:color="auto"/>
            <w:right w:val="none" w:sz="0" w:space="0" w:color="auto"/>
          </w:divBdr>
        </w:div>
      </w:divsChild>
    </w:div>
    <w:div w:id="283200697">
      <w:bodyDiv w:val="1"/>
      <w:marLeft w:val="0"/>
      <w:marRight w:val="0"/>
      <w:marTop w:val="0"/>
      <w:marBottom w:val="0"/>
      <w:divBdr>
        <w:top w:val="none" w:sz="0" w:space="0" w:color="auto"/>
        <w:left w:val="none" w:sz="0" w:space="0" w:color="auto"/>
        <w:bottom w:val="none" w:sz="0" w:space="0" w:color="auto"/>
        <w:right w:val="none" w:sz="0" w:space="0" w:color="auto"/>
      </w:divBdr>
      <w:divsChild>
        <w:div w:id="140399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561178">
          <w:marLeft w:val="0"/>
          <w:marRight w:val="0"/>
          <w:marTop w:val="0"/>
          <w:marBottom w:val="0"/>
          <w:divBdr>
            <w:top w:val="none" w:sz="0" w:space="0" w:color="auto"/>
            <w:left w:val="none" w:sz="0" w:space="0" w:color="auto"/>
            <w:bottom w:val="none" w:sz="0" w:space="0" w:color="auto"/>
            <w:right w:val="none" w:sz="0" w:space="0" w:color="auto"/>
          </w:divBdr>
        </w:div>
        <w:div w:id="55555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54948">
      <w:bodyDiv w:val="1"/>
      <w:marLeft w:val="0"/>
      <w:marRight w:val="0"/>
      <w:marTop w:val="0"/>
      <w:marBottom w:val="0"/>
      <w:divBdr>
        <w:top w:val="none" w:sz="0" w:space="0" w:color="auto"/>
        <w:left w:val="none" w:sz="0" w:space="0" w:color="auto"/>
        <w:bottom w:val="none" w:sz="0" w:space="0" w:color="auto"/>
        <w:right w:val="none" w:sz="0" w:space="0" w:color="auto"/>
      </w:divBdr>
    </w:div>
    <w:div w:id="366880577">
      <w:bodyDiv w:val="1"/>
      <w:marLeft w:val="0"/>
      <w:marRight w:val="0"/>
      <w:marTop w:val="0"/>
      <w:marBottom w:val="0"/>
      <w:divBdr>
        <w:top w:val="none" w:sz="0" w:space="0" w:color="auto"/>
        <w:left w:val="none" w:sz="0" w:space="0" w:color="auto"/>
        <w:bottom w:val="none" w:sz="0" w:space="0" w:color="auto"/>
        <w:right w:val="none" w:sz="0" w:space="0" w:color="auto"/>
      </w:divBdr>
      <w:divsChild>
        <w:div w:id="1508986205">
          <w:marLeft w:val="0"/>
          <w:marRight w:val="0"/>
          <w:marTop w:val="0"/>
          <w:marBottom w:val="0"/>
          <w:divBdr>
            <w:top w:val="none" w:sz="0" w:space="0" w:color="auto"/>
            <w:left w:val="none" w:sz="0" w:space="0" w:color="auto"/>
            <w:bottom w:val="none" w:sz="0" w:space="0" w:color="auto"/>
            <w:right w:val="none" w:sz="0" w:space="0" w:color="auto"/>
          </w:divBdr>
          <w:divsChild>
            <w:div w:id="2080050863">
              <w:marLeft w:val="0"/>
              <w:marRight w:val="0"/>
              <w:marTop w:val="0"/>
              <w:marBottom w:val="0"/>
              <w:divBdr>
                <w:top w:val="none" w:sz="0" w:space="0" w:color="auto"/>
                <w:left w:val="none" w:sz="0" w:space="0" w:color="auto"/>
                <w:bottom w:val="none" w:sz="0" w:space="0" w:color="auto"/>
                <w:right w:val="none" w:sz="0" w:space="0" w:color="auto"/>
              </w:divBdr>
              <w:divsChild>
                <w:div w:id="1944606329">
                  <w:marLeft w:val="0"/>
                  <w:marRight w:val="0"/>
                  <w:marTop w:val="0"/>
                  <w:marBottom w:val="0"/>
                  <w:divBdr>
                    <w:top w:val="none" w:sz="0" w:space="0" w:color="auto"/>
                    <w:left w:val="none" w:sz="0" w:space="0" w:color="auto"/>
                    <w:bottom w:val="none" w:sz="0" w:space="0" w:color="auto"/>
                    <w:right w:val="none" w:sz="0" w:space="0" w:color="auto"/>
                  </w:divBdr>
                  <w:divsChild>
                    <w:div w:id="1691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4785">
      <w:bodyDiv w:val="1"/>
      <w:marLeft w:val="0"/>
      <w:marRight w:val="0"/>
      <w:marTop w:val="0"/>
      <w:marBottom w:val="0"/>
      <w:divBdr>
        <w:top w:val="none" w:sz="0" w:space="0" w:color="auto"/>
        <w:left w:val="none" w:sz="0" w:space="0" w:color="auto"/>
        <w:bottom w:val="none" w:sz="0" w:space="0" w:color="auto"/>
        <w:right w:val="none" w:sz="0" w:space="0" w:color="auto"/>
      </w:divBdr>
      <w:divsChild>
        <w:div w:id="85616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927362">
          <w:marLeft w:val="0"/>
          <w:marRight w:val="0"/>
          <w:marTop w:val="0"/>
          <w:marBottom w:val="0"/>
          <w:divBdr>
            <w:top w:val="none" w:sz="0" w:space="0" w:color="auto"/>
            <w:left w:val="none" w:sz="0" w:space="0" w:color="auto"/>
            <w:bottom w:val="none" w:sz="0" w:space="0" w:color="auto"/>
            <w:right w:val="none" w:sz="0" w:space="0" w:color="auto"/>
          </w:divBdr>
        </w:div>
        <w:div w:id="1982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600236">
      <w:bodyDiv w:val="1"/>
      <w:marLeft w:val="0"/>
      <w:marRight w:val="0"/>
      <w:marTop w:val="0"/>
      <w:marBottom w:val="0"/>
      <w:divBdr>
        <w:top w:val="none" w:sz="0" w:space="0" w:color="auto"/>
        <w:left w:val="none" w:sz="0" w:space="0" w:color="auto"/>
        <w:bottom w:val="none" w:sz="0" w:space="0" w:color="auto"/>
        <w:right w:val="none" w:sz="0" w:space="0" w:color="auto"/>
      </w:divBdr>
    </w:div>
    <w:div w:id="406540614">
      <w:bodyDiv w:val="1"/>
      <w:marLeft w:val="0"/>
      <w:marRight w:val="0"/>
      <w:marTop w:val="0"/>
      <w:marBottom w:val="0"/>
      <w:divBdr>
        <w:top w:val="none" w:sz="0" w:space="0" w:color="auto"/>
        <w:left w:val="none" w:sz="0" w:space="0" w:color="auto"/>
        <w:bottom w:val="none" w:sz="0" w:space="0" w:color="auto"/>
        <w:right w:val="none" w:sz="0" w:space="0" w:color="auto"/>
      </w:divBdr>
    </w:div>
    <w:div w:id="418254555">
      <w:bodyDiv w:val="1"/>
      <w:marLeft w:val="0"/>
      <w:marRight w:val="0"/>
      <w:marTop w:val="0"/>
      <w:marBottom w:val="0"/>
      <w:divBdr>
        <w:top w:val="none" w:sz="0" w:space="0" w:color="auto"/>
        <w:left w:val="none" w:sz="0" w:space="0" w:color="auto"/>
        <w:bottom w:val="none" w:sz="0" w:space="0" w:color="auto"/>
        <w:right w:val="none" w:sz="0" w:space="0" w:color="auto"/>
      </w:divBdr>
    </w:div>
    <w:div w:id="472019767">
      <w:bodyDiv w:val="1"/>
      <w:marLeft w:val="0"/>
      <w:marRight w:val="0"/>
      <w:marTop w:val="0"/>
      <w:marBottom w:val="0"/>
      <w:divBdr>
        <w:top w:val="none" w:sz="0" w:space="0" w:color="auto"/>
        <w:left w:val="none" w:sz="0" w:space="0" w:color="auto"/>
        <w:bottom w:val="none" w:sz="0" w:space="0" w:color="auto"/>
        <w:right w:val="none" w:sz="0" w:space="0" w:color="auto"/>
      </w:divBdr>
    </w:div>
    <w:div w:id="493685999">
      <w:bodyDiv w:val="1"/>
      <w:marLeft w:val="0"/>
      <w:marRight w:val="0"/>
      <w:marTop w:val="0"/>
      <w:marBottom w:val="0"/>
      <w:divBdr>
        <w:top w:val="none" w:sz="0" w:space="0" w:color="auto"/>
        <w:left w:val="none" w:sz="0" w:space="0" w:color="auto"/>
        <w:bottom w:val="none" w:sz="0" w:space="0" w:color="auto"/>
        <w:right w:val="none" w:sz="0" w:space="0" w:color="auto"/>
      </w:divBdr>
      <w:divsChild>
        <w:div w:id="201884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070083">
          <w:marLeft w:val="0"/>
          <w:marRight w:val="0"/>
          <w:marTop w:val="0"/>
          <w:marBottom w:val="0"/>
          <w:divBdr>
            <w:top w:val="none" w:sz="0" w:space="0" w:color="auto"/>
            <w:left w:val="none" w:sz="0" w:space="0" w:color="auto"/>
            <w:bottom w:val="none" w:sz="0" w:space="0" w:color="auto"/>
            <w:right w:val="none" w:sz="0" w:space="0" w:color="auto"/>
          </w:divBdr>
        </w:div>
      </w:divsChild>
    </w:div>
    <w:div w:id="759571564">
      <w:bodyDiv w:val="1"/>
      <w:marLeft w:val="0"/>
      <w:marRight w:val="0"/>
      <w:marTop w:val="0"/>
      <w:marBottom w:val="0"/>
      <w:divBdr>
        <w:top w:val="none" w:sz="0" w:space="0" w:color="auto"/>
        <w:left w:val="none" w:sz="0" w:space="0" w:color="auto"/>
        <w:bottom w:val="none" w:sz="0" w:space="0" w:color="auto"/>
        <w:right w:val="none" w:sz="0" w:space="0" w:color="auto"/>
      </w:divBdr>
    </w:div>
    <w:div w:id="888762274">
      <w:bodyDiv w:val="1"/>
      <w:marLeft w:val="0"/>
      <w:marRight w:val="0"/>
      <w:marTop w:val="0"/>
      <w:marBottom w:val="0"/>
      <w:divBdr>
        <w:top w:val="none" w:sz="0" w:space="0" w:color="auto"/>
        <w:left w:val="none" w:sz="0" w:space="0" w:color="auto"/>
        <w:bottom w:val="none" w:sz="0" w:space="0" w:color="auto"/>
        <w:right w:val="none" w:sz="0" w:space="0" w:color="auto"/>
      </w:divBdr>
    </w:div>
    <w:div w:id="945306342">
      <w:bodyDiv w:val="1"/>
      <w:marLeft w:val="0"/>
      <w:marRight w:val="0"/>
      <w:marTop w:val="0"/>
      <w:marBottom w:val="0"/>
      <w:divBdr>
        <w:top w:val="none" w:sz="0" w:space="0" w:color="auto"/>
        <w:left w:val="none" w:sz="0" w:space="0" w:color="auto"/>
        <w:bottom w:val="none" w:sz="0" w:space="0" w:color="auto"/>
        <w:right w:val="none" w:sz="0" w:space="0" w:color="auto"/>
      </w:divBdr>
    </w:div>
    <w:div w:id="1039475056">
      <w:bodyDiv w:val="1"/>
      <w:marLeft w:val="0"/>
      <w:marRight w:val="0"/>
      <w:marTop w:val="0"/>
      <w:marBottom w:val="0"/>
      <w:divBdr>
        <w:top w:val="none" w:sz="0" w:space="0" w:color="auto"/>
        <w:left w:val="none" w:sz="0" w:space="0" w:color="auto"/>
        <w:bottom w:val="none" w:sz="0" w:space="0" w:color="auto"/>
        <w:right w:val="none" w:sz="0" w:space="0" w:color="auto"/>
      </w:divBdr>
    </w:div>
    <w:div w:id="1294944414">
      <w:bodyDiv w:val="1"/>
      <w:marLeft w:val="0"/>
      <w:marRight w:val="0"/>
      <w:marTop w:val="0"/>
      <w:marBottom w:val="0"/>
      <w:divBdr>
        <w:top w:val="none" w:sz="0" w:space="0" w:color="auto"/>
        <w:left w:val="none" w:sz="0" w:space="0" w:color="auto"/>
        <w:bottom w:val="none" w:sz="0" w:space="0" w:color="auto"/>
        <w:right w:val="none" w:sz="0" w:space="0" w:color="auto"/>
      </w:divBdr>
    </w:div>
    <w:div w:id="1368676300">
      <w:bodyDiv w:val="1"/>
      <w:marLeft w:val="0"/>
      <w:marRight w:val="0"/>
      <w:marTop w:val="0"/>
      <w:marBottom w:val="0"/>
      <w:divBdr>
        <w:top w:val="none" w:sz="0" w:space="0" w:color="auto"/>
        <w:left w:val="none" w:sz="0" w:space="0" w:color="auto"/>
        <w:bottom w:val="none" w:sz="0" w:space="0" w:color="auto"/>
        <w:right w:val="none" w:sz="0" w:space="0" w:color="auto"/>
      </w:divBdr>
    </w:div>
    <w:div w:id="1374764800">
      <w:bodyDiv w:val="1"/>
      <w:marLeft w:val="0"/>
      <w:marRight w:val="0"/>
      <w:marTop w:val="0"/>
      <w:marBottom w:val="0"/>
      <w:divBdr>
        <w:top w:val="none" w:sz="0" w:space="0" w:color="auto"/>
        <w:left w:val="none" w:sz="0" w:space="0" w:color="auto"/>
        <w:bottom w:val="none" w:sz="0" w:space="0" w:color="auto"/>
        <w:right w:val="none" w:sz="0" w:space="0" w:color="auto"/>
      </w:divBdr>
      <w:divsChild>
        <w:div w:id="1043670678">
          <w:marLeft w:val="0"/>
          <w:marRight w:val="0"/>
          <w:marTop w:val="0"/>
          <w:marBottom w:val="0"/>
          <w:divBdr>
            <w:top w:val="none" w:sz="0" w:space="0" w:color="auto"/>
            <w:left w:val="none" w:sz="0" w:space="0" w:color="auto"/>
            <w:bottom w:val="none" w:sz="0" w:space="0" w:color="auto"/>
            <w:right w:val="none" w:sz="0" w:space="0" w:color="auto"/>
          </w:divBdr>
          <w:divsChild>
            <w:div w:id="1941446830">
              <w:marLeft w:val="0"/>
              <w:marRight w:val="0"/>
              <w:marTop w:val="0"/>
              <w:marBottom w:val="0"/>
              <w:divBdr>
                <w:top w:val="none" w:sz="0" w:space="0" w:color="auto"/>
                <w:left w:val="none" w:sz="0" w:space="0" w:color="auto"/>
                <w:bottom w:val="none" w:sz="0" w:space="0" w:color="auto"/>
                <w:right w:val="none" w:sz="0" w:space="0" w:color="auto"/>
              </w:divBdr>
              <w:divsChild>
                <w:div w:id="950866318">
                  <w:marLeft w:val="0"/>
                  <w:marRight w:val="0"/>
                  <w:marTop w:val="0"/>
                  <w:marBottom w:val="0"/>
                  <w:divBdr>
                    <w:top w:val="none" w:sz="0" w:space="0" w:color="auto"/>
                    <w:left w:val="none" w:sz="0" w:space="0" w:color="auto"/>
                    <w:bottom w:val="none" w:sz="0" w:space="0" w:color="auto"/>
                    <w:right w:val="none" w:sz="0" w:space="0" w:color="auto"/>
                  </w:divBdr>
                  <w:divsChild>
                    <w:div w:id="18961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60725">
      <w:bodyDiv w:val="1"/>
      <w:marLeft w:val="0"/>
      <w:marRight w:val="0"/>
      <w:marTop w:val="0"/>
      <w:marBottom w:val="0"/>
      <w:divBdr>
        <w:top w:val="none" w:sz="0" w:space="0" w:color="auto"/>
        <w:left w:val="none" w:sz="0" w:space="0" w:color="auto"/>
        <w:bottom w:val="none" w:sz="0" w:space="0" w:color="auto"/>
        <w:right w:val="none" w:sz="0" w:space="0" w:color="auto"/>
      </w:divBdr>
    </w:div>
    <w:div w:id="1411735762">
      <w:bodyDiv w:val="1"/>
      <w:marLeft w:val="0"/>
      <w:marRight w:val="0"/>
      <w:marTop w:val="0"/>
      <w:marBottom w:val="0"/>
      <w:divBdr>
        <w:top w:val="none" w:sz="0" w:space="0" w:color="auto"/>
        <w:left w:val="none" w:sz="0" w:space="0" w:color="auto"/>
        <w:bottom w:val="none" w:sz="0" w:space="0" w:color="auto"/>
        <w:right w:val="none" w:sz="0" w:space="0" w:color="auto"/>
      </w:divBdr>
    </w:div>
    <w:div w:id="1467696622">
      <w:bodyDiv w:val="1"/>
      <w:marLeft w:val="0"/>
      <w:marRight w:val="0"/>
      <w:marTop w:val="0"/>
      <w:marBottom w:val="0"/>
      <w:divBdr>
        <w:top w:val="none" w:sz="0" w:space="0" w:color="auto"/>
        <w:left w:val="none" w:sz="0" w:space="0" w:color="auto"/>
        <w:bottom w:val="none" w:sz="0" w:space="0" w:color="auto"/>
        <w:right w:val="none" w:sz="0" w:space="0" w:color="auto"/>
      </w:divBdr>
      <w:divsChild>
        <w:div w:id="1050619302">
          <w:marLeft w:val="0"/>
          <w:marRight w:val="0"/>
          <w:marTop w:val="0"/>
          <w:marBottom w:val="0"/>
          <w:divBdr>
            <w:top w:val="none" w:sz="0" w:space="0" w:color="auto"/>
            <w:left w:val="none" w:sz="0" w:space="0" w:color="auto"/>
            <w:bottom w:val="none" w:sz="0" w:space="0" w:color="auto"/>
            <w:right w:val="none" w:sz="0" w:space="0" w:color="auto"/>
          </w:divBdr>
          <w:divsChild>
            <w:div w:id="1621106692">
              <w:marLeft w:val="0"/>
              <w:marRight w:val="0"/>
              <w:marTop w:val="0"/>
              <w:marBottom w:val="0"/>
              <w:divBdr>
                <w:top w:val="none" w:sz="0" w:space="0" w:color="auto"/>
                <w:left w:val="none" w:sz="0" w:space="0" w:color="auto"/>
                <w:bottom w:val="none" w:sz="0" w:space="0" w:color="auto"/>
                <w:right w:val="none" w:sz="0" w:space="0" w:color="auto"/>
              </w:divBdr>
              <w:divsChild>
                <w:div w:id="237519609">
                  <w:marLeft w:val="0"/>
                  <w:marRight w:val="0"/>
                  <w:marTop w:val="0"/>
                  <w:marBottom w:val="0"/>
                  <w:divBdr>
                    <w:top w:val="none" w:sz="0" w:space="0" w:color="auto"/>
                    <w:left w:val="none" w:sz="0" w:space="0" w:color="auto"/>
                    <w:bottom w:val="none" w:sz="0" w:space="0" w:color="auto"/>
                    <w:right w:val="none" w:sz="0" w:space="0" w:color="auto"/>
                  </w:divBdr>
                  <w:divsChild>
                    <w:div w:id="1443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3723">
      <w:bodyDiv w:val="1"/>
      <w:marLeft w:val="0"/>
      <w:marRight w:val="0"/>
      <w:marTop w:val="0"/>
      <w:marBottom w:val="0"/>
      <w:divBdr>
        <w:top w:val="none" w:sz="0" w:space="0" w:color="auto"/>
        <w:left w:val="none" w:sz="0" w:space="0" w:color="auto"/>
        <w:bottom w:val="none" w:sz="0" w:space="0" w:color="auto"/>
        <w:right w:val="none" w:sz="0" w:space="0" w:color="auto"/>
      </w:divBdr>
    </w:div>
    <w:div w:id="1585457082">
      <w:bodyDiv w:val="1"/>
      <w:marLeft w:val="0"/>
      <w:marRight w:val="0"/>
      <w:marTop w:val="0"/>
      <w:marBottom w:val="0"/>
      <w:divBdr>
        <w:top w:val="none" w:sz="0" w:space="0" w:color="auto"/>
        <w:left w:val="none" w:sz="0" w:space="0" w:color="auto"/>
        <w:bottom w:val="none" w:sz="0" w:space="0" w:color="auto"/>
        <w:right w:val="none" w:sz="0" w:space="0" w:color="auto"/>
      </w:divBdr>
      <w:divsChild>
        <w:div w:id="127867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92512333">
          <w:marLeft w:val="0"/>
          <w:marRight w:val="0"/>
          <w:marTop w:val="0"/>
          <w:marBottom w:val="0"/>
          <w:divBdr>
            <w:top w:val="none" w:sz="0" w:space="0" w:color="auto"/>
            <w:left w:val="none" w:sz="0" w:space="0" w:color="auto"/>
            <w:bottom w:val="none" w:sz="0" w:space="0" w:color="auto"/>
            <w:right w:val="none" w:sz="0" w:space="0" w:color="auto"/>
          </w:divBdr>
        </w:div>
        <w:div w:id="8214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2682">
      <w:bodyDiv w:val="1"/>
      <w:marLeft w:val="0"/>
      <w:marRight w:val="0"/>
      <w:marTop w:val="0"/>
      <w:marBottom w:val="0"/>
      <w:divBdr>
        <w:top w:val="none" w:sz="0" w:space="0" w:color="auto"/>
        <w:left w:val="none" w:sz="0" w:space="0" w:color="auto"/>
        <w:bottom w:val="none" w:sz="0" w:space="0" w:color="auto"/>
        <w:right w:val="none" w:sz="0" w:space="0" w:color="auto"/>
      </w:divBdr>
      <w:divsChild>
        <w:div w:id="55693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14126">
          <w:marLeft w:val="0"/>
          <w:marRight w:val="0"/>
          <w:marTop w:val="0"/>
          <w:marBottom w:val="0"/>
          <w:divBdr>
            <w:top w:val="none" w:sz="0" w:space="0" w:color="auto"/>
            <w:left w:val="none" w:sz="0" w:space="0" w:color="auto"/>
            <w:bottom w:val="none" w:sz="0" w:space="0" w:color="auto"/>
            <w:right w:val="none" w:sz="0" w:space="0" w:color="auto"/>
          </w:divBdr>
        </w:div>
        <w:div w:id="155727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63111">
      <w:bodyDiv w:val="1"/>
      <w:marLeft w:val="0"/>
      <w:marRight w:val="0"/>
      <w:marTop w:val="0"/>
      <w:marBottom w:val="0"/>
      <w:divBdr>
        <w:top w:val="none" w:sz="0" w:space="0" w:color="auto"/>
        <w:left w:val="none" w:sz="0" w:space="0" w:color="auto"/>
        <w:bottom w:val="none" w:sz="0" w:space="0" w:color="auto"/>
        <w:right w:val="none" w:sz="0" w:space="0" w:color="auto"/>
      </w:divBdr>
    </w:div>
    <w:div w:id="1789741648">
      <w:bodyDiv w:val="1"/>
      <w:marLeft w:val="0"/>
      <w:marRight w:val="0"/>
      <w:marTop w:val="0"/>
      <w:marBottom w:val="0"/>
      <w:divBdr>
        <w:top w:val="none" w:sz="0" w:space="0" w:color="auto"/>
        <w:left w:val="none" w:sz="0" w:space="0" w:color="auto"/>
        <w:bottom w:val="none" w:sz="0" w:space="0" w:color="auto"/>
        <w:right w:val="none" w:sz="0" w:space="0" w:color="auto"/>
      </w:divBdr>
    </w:div>
    <w:div w:id="1920938820">
      <w:bodyDiv w:val="1"/>
      <w:marLeft w:val="0"/>
      <w:marRight w:val="0"/>
      <w:marTop w:val="0"/>
      <w:marBottom w:val="0"/>
      <w:divBdr>
        <w:top w:val="none" w:sz="0" w:space="0" w:color="auto"/>
        <w:left w:val="none" w:sz="0" w:space="0" w:color="auto"/>
        <w:bottom w:val="none" w:sz="0" w:space="0" w:color="auto"/>
        <w:right w:val="none" w:sz="0" w:space="0" w:color="auto"/>
      </w:divBdr>
    </w:div>
    <w:div w:id="2099591666">
      <w:bodyDiv w:val="1"/>
      <w:marLeft w:val="0"/>
      <w:marRight w:val="0"/>
      <w:marTop w:val="0"/>
      <w:marBottom w:val="0"/>
      <w:divBdr>
        <w:top w:val="none" w:sz="0" w:space="0" w:color="auto"/>
        <w:left w:val="none" w:sz="0" w:space="0" w:color="auto"/>
        <w:bottom w:val="none" w:sz="0" w:space="0" w:color="auto"/>
        <w:right w:val="none" w:sz="0" w:space="0" w:color="auto"/>
      </w:divBdr>
      <w:divsChild>
        <w:div w:id="760873514">
          <w:marLeft w:val="0"/>
          <w:marRight w:val="0"/>
          <w:marTop w:val="0"/>
          <w:marBottom w:val="0"/>
          <w:divBdr>
            <w:top w:val="none" w:sz="0" w:space="0" w:color="auto"/>
            <w:left w:val="none" w:sz="0" w:space="0" w:color="auto"/>
            <w:bottom w:val="none" w:sz="0" w:space="0" w:color="auto"/>
            <w:right w:val="none" w:sz="0" w:space="0" w:color="auto"/>
          </w:divBdr>
          <w:divsChild>
            <w:div w:id="1412190905">
              <w:marLeft w:val="0"/>
              <w:marRight w:val="0"/>
              <w:marTop w:val="0"/>
              <w:marBottom w:val="0"/>
              <w:divBdr>
                <w:top w:val="none" w:sz="0" w:space="0" w:color="auto"/>
                <w:left w:val="none" w:sz="0" w:space="0" w:color="auto"/>
                <w:bottom w:val="none" w:sz="0" w:space="0" w:color="auto"/>
                <w:right w:val="none" w:sz="0" w:space="0" w:color="auto"/>
              </w:divBdr>
              <w:divsChild>
                <w:div w:id="1609653020">
                  <w:marLeft w:val="0"/>
                  <w:marRight w:val="0"/>
                  <w:marTop w:val="0"/>
                  <w:marBottom w:val="0"/>
                  <w:divBdr>
                    <w:top w:val="none" w:sz="0" w:space="0" w:color="auto"/>
                    <w:left w:val="none" w:sz="0" w:space="0" w:color="auto"/>
                    <w:bottom w:val="none" w:sz="0" w:space="0" w:color="auto"/>
                    <w:right w:val="none" w:sz="0" w:space="0" w:color="auto"/>
                  </w:divBdr>
                  <w:divsChild>
                    <w:div w:id="1805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com.vn/vietnam-strives-to-alleviate-us-tariff-plan-125970.html" TargetMode="External"/><Relationship Id="rId13" Type="http://schemas.openxmlformats.org/officeDocument/2006/relationships/hyperlink" Target="https://wtocenter.vn/thong-ke/21922-utilization-of-tariff-preferences-under-vietnams-ftas-in-20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ustoms.gov.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so.gov.v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tocenter.vn/tin-tuc/26095-protectionism-still-a-barrier-for-vietnams-export" TargetMode="External"/><Relationship Id="rId4" Type="http://schemas.openxmlformats.org/officeDocument/2006/relationships/webSettings" Target="webSettings.xml"/><Relationship Id="rId9" Type="http://schemas.openxmlformats.org/officeDocument/2006/relationships/hyperlink" Target="https://wtocenter.vn/chuyen-de/26484-vietnam-makes-most-of-cptpp-to-join-global-supply-chains" TargetMode="External"/><Relationship Id="rId14" Type="http://schemas.openxmlformats.org/officeDocument/2006/relationships/hyperlink" Target="https://www.oecd.org/trade/global-trade-policy-re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4245</Words>
  <Characters>24197</Characters>
  <Application>Microsoft Office Word</Application>
  <DocSecurity>0</DocSecurity>
  <Lines>201</Lines>
  <Paragraphs>56</Paragraphs>
  <ScaleCrop>false</ScaleCrop>
  <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Nghiêm Xuân Khoát</dc:creator>
  <cp:keywords/>
  <dc:description/>
  <cp:lastModifiedBy>Nghiêm Xuân Khoát</cp:lastModifiedBy>
  <cp:revision>24</cp:revision>
  <dcterms:created xsi:type="dcterms:W3CDTF">2025-04-08T14:43:00Z</dcterms:created>
  <dcterms:modified xsi:type="dcterms:W3CDTF">2025-04-08T15:39:00Z</dcterms:modified>
</cp:coreProperties>
</file>