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136" w:rsidRDefault="00D71136" w:rsidP="00D71136">
      <w:pPr>
        <w:ind w:firstLine="0"/>
        <w:jc w:val="center"/>
        <w:rPr>
          <w:b/>
          <w:sz w:val="32"/>
          <w:szCs w:val="32"/>
        </w:rPr>
      </w:pPr>
    </w:p>
    <w:p w:rsidR="00D71136" w:rsidRDefault="00D71136" w:rsidP="00D71136">
      <w:pPr>
        <w:ind w:firstLine="0"/>
        <w:jc w:val="center"/>
        <w:rPr>
          <w:b/>
          <w:sz w:val="32"/>
          <w:szCs w:val="32"/>
        </w:rPr>
      </w:pPr>
    </w:p>
    <w:p w:rsidR="00D71136" w:rsidRPr="00D71136" w:rsidRDefault="00D71136" w:rsidP="00D71136">
      <w:pPr>
        <w:ind w:firstLine="0"/>
        <w:jc w:val="center"/>
        <w:rPr>
          <w:rFonts w:asciiTheme="minorHAnsi" w:hAnsiTheme="minorHAnsi" w:cstheme="minorHAnsi"/>
          <w:b/>
          <w:sz w:val="32"/>
          <w:szCs w:val="32"/>
        </w:rPr>
      </w:pPr>
      <w:r>
        <w:rPr>
          <w:rFonts w:asciiTheme="minorHAnsi" w:hAnsiTheme="minorHAnsi" w:cstheme="minorHAnsi"/>
          <w:b/>
          <w:sz w:val="32"/>
          <w:szCs w:val="32"/>
        </w:rPr>
        <w:t>K</w:t>
      </w:r>
      <w:r w:rsidRPr="00D71136">
        <w:rPr>
          <w:rFonts w:asciiTheme="minorHAnsi" w:hAnsiTheme="minorHAnsi" w:cstheme="minorHAnsi"/>
          <w:b/>
          <w:sz w:val="32"/>
          <w:szCs w:val="32"/>
        </w:rPr>
        <w:t>hảo sát khả năng hấp phụ m</w:t>
      </w:r>
      <w:r>
        <w:rPr>
          <w:rFonts w:asciiTheme="minorHAnsi" w:hAnsiTheme="minorHAnsi" w:cstheme="minorHAnsi"/>
          <w:b/>
          <w:sz w:val="32"/>
          <w:szCs w:val="32"/>
        </w:rPr>
        <w:t>alachite green của hệ vi hạt fibroin</w:t>
      </w:r>
      <w:r w:rsidRPr="00D71136">
        <w:rPr>
          <w:rFonts w:asciiTheme="minorHAnsi" w:hAnsiTheme="minorHAnsi" w:cstheme="minorHAnsi"/>
          <w:b/>
          <w:sz w:val="32"/>
          <w:szCs w:val="32"/>
        </w:rPr>
        <w:t xml:space="preserve"> tơ tằm phối trộn </w:t>
      </w:r>
      <w:r>
        <w:rPr>
          <w:rFonts w:asciiTheme="minorHAnsi" w:hAnsiTheme="minorHAnsi" w:cstheme="minorHAnsi"/>
          <w:b/>
          <w:sz w:val="32"/>
          <w:szCs w:val="32"/>
        </w:rPr>
        <w:t>poly</w:t>
      </w:r>
      <w:r w:rsidRPr="00D71136">
        <w:rPr>
          <w:rFonts w:asciiTheme="minorHAnsi" w:hAnsiTheme="minorHAnsi" w:cstheme="minorHAnsi"/>
          <w:b/>
          <w:sz w:val="32"/>
          <w:szCs w:val="32"/>
        </w:rPr>
        <w:t>(vinylpyrrolidone)</w:t>
      </w:r>
    </w:p>
    <w:p w:rsidR="00D71136" w:rsidRPr="00D71136" w:rsidRDefault="00D71136" w:rsidP="00D71136">
      <w:pPr>
        <w:ind w:firstLine="0"/>
        <w:jc w:val="center"/>
        <w:rPr>
          <w:rFonts w:asciiTheme="minorHAnsi" w:hAnsiTheme="minorHAnsi" w:cstheme="minorHAnsi"/>
          <w:b/>
          <w:sz w:val="32"/>
          <w:szCs w:val="32"/>
        </w:rPr>
      </w:pPr>
    </w:p>
    <w:p w:rsidR="00D71136" w:rsidRPr="008773FD" w:rsidRDefault="00D71136" w:rsidP="00D71136">
      <w:pPr>
        <w:ind w:firstLine="0"/>
        <w:jc w:val="center"/>
        <w:rPr>
          <w:rFonts w:asciiTheme="majorHAnsi" w:hAnsiTheme="majorHAnsi" w:cstheme="majorHAnsi"/>
          <w:b/>
          <w:sz w:val="24"/>
          <w:szCs w:val="24"/>
        </w:rPr>
      </w:pPr>
      <w:r w:rsidRPr="008773FD">
        <w:rPr>
          <w:rFonts w:asciiTheme="majorHAnsi" w:hAnsiTheme="majorHAnsi" w:cstheme="majorHAnsi"/>
          <w:b/>
          <w:sz w:val="24"/>
          <w:szCs w:val="24"/>
        </w:rPr>
        <w:t>Duy Toan Pham</w:t>
      </w:r>
      <w:r w:rsidRPr="008773FD">
        <w:rPr>
          <w:rFonts w:asciiTheme="majorHAnsi" w:hAnsiTheme="majorHAnsi" w:cstheme="majorHAnsi"/>
          <w:b/>
          <w:sz w:val="24"/>
          <w:szCs w:val="24"/>
          <w:vertAlign w:val="superscript"/>
        </w:rPr>
        <w:t>1*</w:t>
      </w:r>
      <w:r w:rsidRPr="008773FD">
        <w:rPr>
          <w:rFonts w:asciiTheme="majorHAnsi" w:hAnsiTheme="majorHAnsi" w:cstheme="majorHAnsi"/>
          <w:b/>
          <w:sz w:val="24"/>
          <w:szCs w:val="24"/>
        </w:rPr>
        <w:t xml:space="preserve">, </w:t>
      </w:r>
      <w:r w:rsidR="00685EE5" w:rsidRPr="008773FD">
        <w:rPr>
          <w:rFonts w:asciiTheme="majorHAnsi" w:hAnsiTheme="majorHAnsi" w:cstheme="majorHAnsi"/>
          <w:b/>
          <w:sz w:val="24"/>
          <w:szCs w:val="24"/>
        </w:rPr>
        <w:t>Nguyen Kieu Anh</w:t>
      </w:r>
      <w:r w:rsidR="00685EE5" w:rsidRPr="008773FD">
        <w:rPr>
          <w:rFonts w:asciiTheme="majorHAnsi" w:hAnsiTheme="majorHAnsi" w:cstheme="majorHAnsi"/>
          <w:b/>
          <w:sz w:val="24"/>
          <w:szCs w:val="24"/>
          <w:vertAlign w:val="superscript"/>
        </w:rPr>
        <w:t>1</w:t>
      </w:r>
      <w:r w:rsidR="00685EE5" w:rsidRPr="008773FD">
        <w:rPr>
          <w:rFonts w:asciiTheme="majorHAnsi" w:hAnsiTheme="majorHAnsi" w:cstheme="majorHAnsi"/>
          <w:b/>
          <w:sz w:val="24"/>
          <w:szCs w:val="24"/>
        </w:rPr>
        <w:t xml:space="preserve">, </w:t>
      </w:r>
      <w:r w:rsidRPr="008773FD">
        <w:rPr>
          <w:rFonts w:asciiTheme="majorHAnsi" w:hAnsiTheme="majorHAnsi" w:cstheme="majorHAnsi"/>
          <w:b/>
          <w:sz w:val="24"/>
          <w:szCs w:val="24"/>
        </w:rPr>
        <w:t>Ngoc Yen Nguyen</w:t>
      </w:r>
      <w:r w:rsidRPr="008773FD">
        <w:rPr>
          <w:rFonts w:asciiTheme="majorHAnsi" w:hAnsiTheme="majorHAnsi" w:cstheme="majorHAnsi"/>
          <w:b/>
          <w:sz w:val="24"/>
          <w:szCs w:val="24"/>
          <w:vertAlign w:val="superscript"/>
        </w:rPr>
        <w:t>1</w:t>
      </w:r>
      <w:r w:rsidRPr="008773FD">
        <w:rPr>
          <w:rFonts w:asciiTheme="majorHAnsi" w:hAnsiTheme="majorHAnsi" w:cstheme="majorHAnsi"/>
          <w:b/>
          <w:sz w:val="24"/>
          <w:szCs w:val="24"/>
        </w:rPr>
        <w:t>, Huynh Vu Thanh Luong</w:t>
      </w:r>
      <w:r w:rsidRPr="008773FD">
        <w:rPr>
          <w:rFonts w:asciiTheme="majorHAnsi" w:hAnsiTheme="majorHAnsi" w:cstheme="majorHAnsi"/>
          <w:b/>
          <w:sz w:val="24"/>
          <w:szCs w:val="24"/>
          <w:vertAlign w:val="superscript"/>
        </w:rPr>
        <w:t xml:space="preserve">2 </w:t>
      </w:r>
    </w:p>
    <w:p w:rsidR="00D71136" w:rsidRPr="00D71136" w:rsidRDefault="00D71136" w:rsidP="00D71136">
      <w:pPr>
        <w:ind w:firstLine="0"/>
        <w:jc w:val="center"/>
        <w:rPr>
          <w:rFonts w:asciiTheme="majorHAnsi" w:hAnsiTheme="majorHAnsi" w:cstheme="majorHAnsi"/>
          <w:b/>
          <w:sz w:val="24"/>
          <w:szCs w:val="24"/>
        </w:rPr>
      </w:pPr>
    </w:p>
    <w:p w:rsidR="00D71136" w:rsidRPr="00986494" w:rsidRDefault="00D71136" w:rsidP="00D71136">
      <w:pPr>
        <w:ind w:firstLine="0"/>
        <w:rPr>
          <w:rFonts w:asciiTheme="majorHAnsi" w:hAnsiTheme="majorHAnsi" w:cstheme="majorHAnsi"/>
          <w:i/>
          <w:szCs w:val="22"/>
          <w:lang w:val="en-US"/>
        </w:rPr>
      </w:pPr>
      <w:r>
        <w:rPr>
          <w:rFonts w:asciiTheme="majorHAnsi" w:hAnsiTheme="majorHAnsi" w:cstheme="majorHAnsi"/>
          <w:i/>
          <w:szCs w:val="22"/>
          <w:vertAlign w:val="superscript"/>
          <w:lang w:val="en-US"/>
        </w:rPr>
        <w:t>1</w:t>
      </w:r>
      <w:r w:rsidRPr="00986494">
        <w:rPr>
          <w:rFonts w:asciiTheme="majorHAnsi" w:hAnsiTheme="majorHAnsi" w:cstheme="majorHAnsi"/>
          <w:i/>
          <w:szCs w:val="22"/>
          <w:lang w:val="en-US"/>
        </w:rPr>
        <w:t>Department of Health Sciences, College of Natural Sciences, Can Tho University, Can Tho, 90</w:t>
      </w:r>
      <w:r w:rsidR="008773FD">
        <w:rPr>
          <w:rFonts w:asciiTheme="majorHAnsi" w:hAnsiTheme="majorHAnsi" w:cstheme="majorHAnsi"/>
          <w:i/>
          <w:szCs w:val="22"/>
          <w:lang w:val="en-US"/>
        </w:rPr>
        <w:t>0</w:t>
      </w:r>
      <w:r w:rsidRPr="00986494">
        <w:rPr>
          <w:rFonts w:asciiTheme="majorHAnsi" w:hAnsiTheme="majorHAnsi" w:cstheme="majorHAnsi"/>
          <w:i/>
          <w:szCs w:val="22"/>
          <w:lang w:val="en-US"/>
        </w:rPr>
        <w:t>00</w:t>
      </w:r>
      <w:r>
        <w:rPr>
          <w:rFonts w:asciiTheme="majorHAnsi" w:hAnsiTheme="majorHAnsi" w:cstheme="majorHAnsi"/>
          <w:i/>
          <w:szCs w:val="22"/>
          <w:lang w:val="en-US"/>
        </w:rPr>
        <w:t>0</w:t>
      </w:r>
      <w:r w:rsidRPr="00986494">
        <w:rPr>
          <w:rFonts w:asciiTheme="majorHAnsi" w:hAnsiTheme="majorHAnsi" w:cstheme="majorHAnsi"/>
          <w:i/>
          <w:szCs w:val="22"/>
          <w:lang w:val="en-US"/>
        </w:rPr>
        <w:t xml:space="preserve">, Viet Nam </w:t>
      </w:r>
    </w:p>
    <w:p w:rsidR="00D71136" w:rsidRDefault="00D71136" w:rsidP="00D71136">
      <w:pPr>
        <w:ind w:firstLine="0"/>
        <w:rPr>
          <w:rFonts w:asciiTheme="majorHAnsi" w:hAnsiTheme="majorHAnsi" w:cstheme="majorHAnsi"/>
          <w:i/>
          <w:szCs w:val="22"/>
          <w:lang w:val="en-US"/>
        </w:rPr>
      </w:pPr>
      <w:r w:rsidRPr="00986494">
        <w:rPr>
          <w:rFonts w:asciiTheme="majorHAnsi" w:hAnsiTheme="majorHAnsi" w:cstheme="majorHAnsi"/>
          <w:i/>
          <w:szCs w:val="22"/>
          <w:vertAlign w:val="superscript"/>
          <w:lang w:val="en-US"/>
        </w:rPr>
        <w:t>2</w:t>
      </w:r>
      <w:r>
        <w:rPr>
          <w:rFonts w:asciiTheme="majorHAnsi" w:hAnsiTheme="majorHAnsi" w:cstheme="majorHAnsi"/>
          <w:i/>
          <w:szCs w:val="22"/>
          <w:lang w:val="en-US"/>
        </w:rPr>
        <w:t>Faculty of Chemical Engineering, College</w:t>
      </w:r>
      <w:r w:rsidR="008773FD">
        <w:rPr>
          <w:rFonts w:asciiTheme="majorHAnsi" w:hAnsiTheme="majorHAnsi" w:cstheme="majorHAnsi"/>
          <w:i/>
          <w:szCs w:val="22"/>
          <w:lang w:val="en-US"/>
        </w:rPr>
        <w:t xml:space="preserve"> of</w:t>
      </w:r>
      <w:r>
        <w:rPr>
          <w:rFonts w:asciiTheme="majorHAnsi" w:hAnsiTheme="majorHAnsi" w:cstheme="majorHAnsi"/>
          <w:i/>
          <w:szCs w:val="22"/>
          <w:lang w:val="en-US"/>
        </w:rPr>
        <w:t xml:space="preserve"> Engineering, Can Tho University, Can Tho, 90</w:t>
      </w:r>
      <w:r w:rsidR="008773FD">
        <w:rPr>
          <w:rFonts w:asciiTheme="majorHAnsi" w:hAnsiTheme="majorHAnsi" w:cstheme="majorHAnsi"/>
          <w:i/>
          <w:szCs w:val="22"/>
          <w:lang w:val="en-US"/>
        </w:rPr>
        <w:t>0</w:t>
      </w:r>
      <w:r>
        <w:rPr>
          <w:rFonts w:asciiTheme="majorHAnsi" w:hAnsiTheme="majorHAnsi" w:cstheme="majorHAnsi"/>
          <w:i/>
          <w:szCs w:val="22"/>
          <w:lang w:val="en-US"/>
        </w:rPr>
        <w:t>000, Viet Nam</w:t>
      </w:r>
    </w:p>
    <w:p w:rsidR="00D71136" w:rsidRDefault="00D71136" w:rsidP="00D71136">
      <w:pPr>
        <w:ind w:firstLine="0"/>
        <w:rPr>
          <w:rFonts w:asciiTheme="majorHAnsi" w:hAnsiTheme="majorHAnsi" w:cstheme="majorHAnsi"/>
          <w:i/>
          <w:szCs w:val="22"/>
          <w:lang w:val="en-US"/>
        </w:rPr>
      </w:pPr>
    </w:p>
    <w:p w:rsidR="008773FD" w:rsidRDefault="008773FD" w:rsidP="00D71136">
      <w:pPr>
        <w:ind w:firstLine="0"/>
        <w:rPr>
          <w:rFonts w:asciiTheme="majorHAnsi" w:hAnsiTheme="majorHAnsi" w:cstheme="majorHAnsi"/>
          <w:i/>
          <w:szCs w:val="22"/>
          <w:lang w:val="en-US"/>
        </w:rPr>
      </w:pPr>
      <w:r>
        <w:rPr>
          <w:rFonts w:asciiTheme="majorHAnsi" w:hAnsiTheme="majorHAnsi" w:cstheme="majorHAnsi"/>
          <w:i/>
          <w:szCs w:val="22"/>
          <w:vertAlign w:val="superscript"/>
          <w:lang w:val="en-US"/>
        </w:rPr>
        <w:t>*</w:t>
      </w:r>
      <w:r>
        <w:rPr>
          <w:rFonts w:asciiTheme="majorHAnsi" w:hAnsiTheme="majorHAnsi" w:cstheme="majorHAnsi"/>
          <w:i/>
          <w:szCs w:val="22"/>
          <w:lang w:val="en-US"/>
        </w:rPr>
        <w:t xml:space="preserve">Corresponding author: Duy Toan Pham, email: </w:t>
      </w:r>
      <w:hyperlink r:id="rId7" w:history="1">
        <w:r w:rsidRPr="00324C1C">
          <w:rPr>
            <w:rStyle w:val="Hyperlink"/>
            <w:rFonts w:asciiTheme="majorHAnsi" w:hAnsiTheme="majorHAnsi" w:cstheme="majorHAnsi"/>
            <w:i/>
            <w:szCs w:val="22"/>
            <w:lang w:val="en-US"/>
          </w:rPr>
          <w:t>pdtoan@ctu.edu.vn</w:t>
        </w:r>
      </w:hyperlink>
      <w:r>
        <w:rPr>
          <w:rFonts w:asciiTheme="majorHAnsi" w:hAnsiTheme="majorHAnsi" w:cstheme="majorHAnsi"/>
          <w:i/>
          <w:szCs w:val="22"/>
          <w:lang w:val="en-US"/>
        </w:rPr>
        <w:t xml:space="preserve"> </w:t>
      </w:r>
    </w:p>
    <w:p w:rsidR="008773FD" w:rsidRPr="008773FD" w:rsidRDefault="008773FD" w:rsidP="00D71136">
      <w:pPr>
        <w:ind w:firstLine="0"/>
        <w:rPr>
          <w:rFonts w:asciiTheme="majorHAnsi" w:hAnsiTheme="majorHAnsi" w:cstheme="majorHAnsi"/>
          <w:i/>
          <w:szCs w:val="22"/>
          <w:lang w:val="en-US"/>
        </w:rPr>
      </w:pPr>
    </w:p>
    <w:p w:rsidR="00D71136" w:rsidRDefault="00D71136" w:rsidP="00D71136">
      <w:pPr>
        <w:ind w:right="70"/>
        <w:jc w:val="center"/>
        <w:rPr>
          <w:i/>
          <w:szCs w:val="22"/>
        </w:rPr>
      </w:pPr>
      <w:r>
        <w:rPr>
          <w:i/>
          <w:szCs w:val="22"/>
        </w:rPr>
        <w:t>Received: dd/mm/yyyy; Revised: dd/mm/yyyy;</w:t>
      </w:r>
    </w:p>
    <w:p w:rsidR="00D71136" w:rsidRDefault="00D71136" w:rsidP="00D71136">
      <w:pPr>
        <w:ind w:firstLine="0"/>
        <w:jc w:val="center"/>
        <w:rPr>
          <w:i/>
          <w:szCs w:val="22"/>
        </w:rPr>
      </w:pPr>
      <w:r>
        <w:rPr>
          <w:i/>
          <w:szCs w:val="22"/>
        </w:rPr>
        <w:t>Accepted: dd/mm/yyyy; Published: dd/mm/yyyy</w:t>
      </w:r>
    </w:p>
    <w:p w:rsidR="00D71136" w:rsidRPr="00D71136" w:rsidRDefault="00D71136" w:rsidP="00D71136">
      <w:pPr>
        <w:ind w:firstLine="0"/>
        <w:jc w:val="center"/>
        <w:rPr>
          <w:rFonts w:asciiTheme="majorHAnsi" w:hAnsiTheme="majorHAnsi" w:cstheme="majorHAnsi"/>
          <w:b/>
          <w:sz w:val="24"/>
          <w:szCs w:val="24"/>
        </w:rPr>
      </w:pPr>
    </w:p>
    <w:p w:rsidR="00D71136" w:rsidRPr="00D71136" w:rsidRDefault="00D71136" w:rsidP="00D71136">
      <w:pPr>
        <w:ind w:firstLine="0"/>
        <w:jc w:val="center"/>
        <w:rPr>
          <w:b/>
          <w:sz w:val="32"/>
          <w:szCs w:val="32"/>
          <w:lang w:val="vi"/>
        </w:rPr>
      </w:pPr>
    </w:p>
    <w:p w:rsidR="00BD0C55" w:rsidRPr="00C57487" w:rsidRDefault="00685EE5" w:rsidP="00BD0C55">
      <w:pPr>
        <w:pStyle w:val="Heading2"/>
        <w:numPr>
          <w:ilvl w:val="0"/>
          <w:numId w:val="0"/>
        </w:numPr>
        <w:ind w:left="720"/>
        <w:rPr>
          <w:lang w:val="vi"/>
        </w:rPr>
      </w:pPr>
      <w:r w:rsidRPr="00C57487">
        <w:rPr>
          <w:lang w:val="vi"/>
        </w:rPr>
        <w:t>TÓM TẮT</w:t>
      </w:r>
    </w:p>
    <w:p w:rsidR="00BD0C55" w:rsidRPr="00685EE5" w:rsidRDefault="00BD0C55" w:rsidP="00BD0C55">
      <w:pPr>
        <w:rPr>
          <w:sz w:val="20"/>
          <w:szCs w:val="20"/>
        </w:rPr>
      </w:pPr>
      <w:r w:rsidRPr="00685EE5">
        <w:rPr>
          <w:sz w:val="20"/>
          <w:szCs w:val="20"/>
        </w:rPr>
        <w:t xml:space="preserve">Nghiên cứu chế tạo các </w:t>
      </w:r>
      <w:r w:rsidRPr="00C57487">
        <w:rPr>
          <w:sz w:val="20"/>
          <w:szCs w:val="20"/>
          <w:lang w:val="vi"/>
        </w:rPr>
        <w:t xml:space="preserve">hệ vi hạt </w:t>
      </w:r>
      <w:r w:rsidRPr="00685EE5">
        <w:rPr>
          <w:sz w:val="20"/>
          <w:szCs w:val="20"/>
        </w:rPr>
        <w:t xml:space="preserve">từ fibroin tơ tằm có phối trộn </w:t>
      </w:r>
      <w:r w:rsidRPr="00685EE5">
        <w:rPr>
          <w:color w:val="000000"/>
          <w:sz w:val="20"/>
          <w:szCs w:val="20"/>
          <w:highlight w:val="white"/>
        </w:rPr>
        <w:t>poly(vinylpyrrolidone) (PVP)</w:t>
      </w:r>
      <w:r w:rsidRPr="00C57487">
        <w:rPr>
          <w:color w:val="000000"/>
          <w:sz w:val="20"/>
          <w:szCs w:val="20"/>
          <w:highlight w:val="white"/>
          <w:lang w:val="vi"/>
        </w:rPr>
        <w:t xml:space="preserve"> ứng dụng xử lí malachite green</w:t>
      </w:r>
      <w:r w:rsidRPr="00685EE5">
        <w:rPr>
          <w:color w:val="000000"/>
          <w:sz w:val="20"/>
          <w:szCs w:val="20"/>
          <w:highlight w:val="white"/>
        </w:rPr>
        <w:t xml:space="preserve">. Fibroin được chiết </w:t>
      </w:r>
      <w:r w:rsidR="00913324" w:rsidRPr="00685EE5">
        <w:rPr>
          <w:color w:val="000000"/>
          <w:sz w:val="20"/>
          <w:szCs w:val="20"/>
          <w:highlight w:val="white"/>
        </w:rPr>
        <w:t xml:space="preserve">từ kén tằm khô đạt hiệu suất </w:t>
      </w:r>
      <w:r w:rsidR="00372AAE">
        <w:rPr>
          <w:sz w:val="20"/>
          <w:szCs w:val="20"/>
          <w:lang w:eastAsia="vi-VN"/>
        </w:rPr>
        <w:t>22</w:t>
      </w:r>
      <w:r w:rsidR="00372AAE" w:rsidRPr="00372AAE">
        <w:rPr>
          <w:sz w:val="20"/>
          <w:szCs w:val="20"/>
          <w:lang w:eastAsia="vi-VN"/>
        </w:rPr>
        <w:t>,</w:t>
      </w:r>
      <w:r w:rsidR="00372AAE">
        <w:rPr>
          <w:sz w:val="20"/>
          <w:szCs w:val="20"/>
          <w:lang w:eastAsia="vi-VN"/>
        </w:rPr>
        <w:t>91±1,</w:t>
      </w:r>
      <w:r w:rsidR="00913324" w:rsidRPr="00685EE5">
        <w:rPr>
          <w:sz w:val="20"/>
          <w:szCs w:val="20"/>
          <w:lang w:eastAsia="vi-VN"/>
        </w:rPr>
        <w:t>21%</w:t>
      </w:r>
      <w:r w:rsidRPr="00685EE5">
        <w:rPr>
          <w:color w:val="000000"/>
          <w:sz w:val="20"/>
          <w:szCs w:val="20"/>
          <w:highlight w:val="white"/>
        </w:rPr>
        <w:t>. Các hệ vi hạt</w:t>
      </w:r>
      <w:r w:rsidRPr="00685EE5">
        <w:rPr>
          <w:color w:val="000000"/>
          <w:sz w:val="20"/>
          <w:szCs w:val="20"/>
        </w:rPr>
        <w:t xml:space="preserve"> FNPs và PVP-FNPs </w:t>
      </w:r>
      <w:r w:rsidRPr="00685EE5">
        <w:rPr>
          <w:color w:val="000000"/>
          <w:sz w:val="20"/>
          <w:szCs w:val="20"/>
          <w:highlight w:val="white"/>
        </w:rPr>
        <w:t xml:space="preserve">được tổng hợp bằng phương pháp đổi dung </w:t>
      </w:r>
      <w:r w:rsidR="00327075" w:rsidRPr="00685EE5">
        <w:rPr>
          <w:color w:val="000000"/>
          <w:sz w:val="20"/>
          <w:szCs w:val="20"/>
          <w:highlight w:val="white"/>
        </w:rPr>
        <w:t xml:space="preserve">môi có kích thước lần lượt là </w:t>
      </w:r>
      <w:r w:rsidR="00327075" w:rsidRPr="00685EE5">
        <w:rPr>
          <w:sz w:val="20"/>
          <w:szCs w:val="20"/>
        </w:rPr>
        <w:t>136 nm</w:t>
      </w:r>
      <w:r w:rsidR="00327075" w:rsidRPr="00685EE5">
        <w:rPr>
          <w:color w:val="000000"/>
          <w:sz w:val="20"/>
          <w:szCs w:val="20"/>
          <w:highlight w:val="white"/>
        </w:rPr>
        <w:t xml:space="preserve"> và 578</w:t>
      </w:r>
      <w:r w:rsidR="002A0ADD">
        <w:rPr>
          <w:color w:val="000000"/>
          <w:sz w:val="20"/>
          <w:szCs w:val="20"/>
          <w:highlight w:val="white"/>
        </w:rPr>
        <w:t xml:space="preserve"> nm</w:t>
      </w:r>
      <w:r w:rsidRPr="00685EE5">
        <w:rPr>
          <w:color w:val="000000"/>
          <w:sz w:val="20"/>
          <w:szCs w:val="20"/>
          <w:highlight w:val="white"/>
        </w:rPr>
        <w:t xml:space="preserve"> được ứng dụng trong v</w:t>
      </w:r>
      <w:r w:rsidR="002A0ADD">
        <w:rPr>
          <w:color w:val="000000"/>
          <w:sz w:val="20"/>
          <w:szCs w:val="20"/>
          <w:highlight w:val="white"/>
        </w:rPr>
        <w:t>iệc loại bỏ malachite green</w:t>
      </w:r>
      <w:r w:rsidRPr="00685EE5">
        <w:rPr>
          <w:color w:val="000000"/>
          <w:sz w:val="20"/>
          <w:szCs w:val="20"/>
          <w:highlight w:val="white"/>
        </w:rPr>
        <w:t xml:space="preserve"> bằng phương pháp hấp phụ.</w:t>
      </w:r>
      <w:r w:rsidRPr="00685EE5">
        <w:rPr>
          <w:color w:val="000000"/>
          <w:sz w:val="20"/>
          <w:szCs w:val="20"/>
        </w:rPr>
        <w:t xml:space="preserve"> </w:t>
      </w:r>
      <w:r w:rsidRPr="00685EE5">
        <w:rPr>
          <w:color w:val="000000"/>
          <w:sz w:val="20"/>
          <w:szCs w:val="20"/>
          <w:highlight w:val="white"/>
        </w:rPr>
        <w:t>Khả</w:t>
      </w:r>
      <w:r w:rsidRPr="00685EE5">
        <w:rPr>
          <w:color w:val="000000"/>
          <w:sz w:val="20"/>
          <w:szCs w:val="20"/>
        </w:rPr>
        <w:t xml:space="preserve"> </w:t>
      </w:r>
      <w:r w:rsidRPr="00685EE5">
        <w:rPr>
          <w:color w:val="000000"/>
          <w:sz w:val="20"/>
          <w:szCs w:val="20"/>
          <w:highlight w:val="white"/>
        </w:rPr>
        <w:t>năng</w:t>
      </w:r>
      <w:r w:rsidRPr="00685EE5">
        <w:rPr>
          <w:color w:val="000000"/>
          <w:sz w:val="20"/>
          <w:szCs w:val="20"/>
        </w:rPr>
        <w:t xml:space="preserve"> </w:t>
      </w:r>
      <w:r w:rsidRPr="00685EE5">
        <w:rPr>
          <w:color w:val="000000"/>
          <w:sz w:val="20"/>
          <w:szCs w:val="20"/>
          <w:highlight w:val="white"/>
        </w:rPr>
        <w:t>hấp</w:t>
      </w:r>
      <w:r w:rsidRPr="00685EE5">
        <w:rPr>
          <w:color w:val="000000"/>
          <w:sz w:val="20"/>
          <w:szCs w:val="20"/>
        </w:rPr>
        <w:t xml:space="preserve"> </w:t>
      </w:r>
      <w:r w:rsidRPr="00685EE5">
        <w:rPr>
          <w:color w:val="000000"/>
          <w:sz w:val="20"/>
          <w:szCs w:val="20"/>
          <w:highlight w:val="white"/>
        </w:rPr>
        <w:t>phụ</w:t>
      </w:r>
      <w:r w:rsidRPr="00685EE5">
        <w:rPr>
          <w:color w:val="000000"/>
          <w:sz w:val="20"/>
          <w:szCs w:val="20"/>
        </w:rPr>
        <w:t xml:space="preserve"> malachite green trong nước ảnh hưởng của các yếu tố: nồng độ, khối lượng, thời gian và pH. Kết quả phân tích phổ hồng ngoại biến đổi Fourier (FT-IR) của FNPs và PVP-FNPs chỉ ra các tín hi</w:t>
      </w:r>
      <w:r w:rsidR="002A0ADD">
        <w:rPr>
          <w:color w:val="000000"/>
          <w:sz w:val="20"/>
          <w:szCs w:val="20"/>
        </w:rPr>
        <w:t>ệu đặc trưng của fibroin tơ tằm và</w:t>
      </w:r>
      <w:r w:rsidRPr="00685EE5">
        <w:rPr>
          <w:color w:val="000000"/>
          <w:sz w:val="20"/>
          <w:szCs w:val="20"/>
        </w:rPr>
        <w:t xml:space="preserve"> PVP. Quá trình hấp phụ MG tối ưu khi pH</w:t>
      </w:r>
      <w:r w:rsidR="002A0ADD">
        <w:rPr>
          <w:color w:val="000000"/>
          <w:sz w:val="20"/>
          <w:szCs w:val="20"/>
          <w:lang w:val="en-US"/>
        </w:rPr>
        <w:t xml:space="preserve"> =</w:t>
      </w:r>
      <w:r w:rsidRPr="00685EE5">
        <w:rPr>
          <w:color w:val="000000"/>
          <w:sz w:val="20"/>
          <w:szCs w:val="20"/>
        </w:rPr>
        <w:t xml:space="preserve"> 8</w:t>
      </w:r>
      <w:r w:rsidR="002A0ADD">
        <w:rPr>
          <w:color w:val="000000"/>
          <w:sz w:val="20"/>
          <w:szCs w:val="20"/>
          <w:lang w:val="en-US"/>
        </w:rPr>
        <w:t>,</w:t>
      </w:r>
      <w:r w:rsidRPr="00685EE5">
        <w:rPr>
          <w:color w:val="000000"/>
          <w:sz w:val="20"/>
          <w:szCs w:val="20"/>
        </w:rPr>
        <w:t xml:space="preserve"> trong thời gian 15 phút</w:t>
      </w:r>
      <w:r w:rsidR="002A0ADD">
        <w:rPr>
          <w:color w:val="000000"/>
          <w:sz w:val="20"/>
          <w:szCs w:val="20"/>
          <w:lang w:val="en-US"/>
        </w:rPr>
        <w:t>,</w:t>
      </w:r>
      <w:r w:rsidRPr="00685EE5">
        <w:rPr>
          <w:color w:val="000000"/>
          <w:sz w:val="20"/>
          <w:szCs w:val="20"/>
        </w:rPr>
        <w:t xml:space="preserve"> ở nhiệt độ phòng (25</w:t>
      </w:r>
      <m:oMath>
        <m:r>
          <w:rPr>
            <w:rFonts w:ascii="Cambria Math" w:hAnsi="Cambria Math"/>
            <w:color w:val="000000"/>
            <w:sz w:val="20"/>
            <w:szCs w:val="20"/>
          </w:rPr>
          <m:t>±1℃</m:t>
        </m:r>
      </m:oMath>
      <w:r w:rsidRPr="00685EE5">
        <w:rPr>
          <w:color w:val="000000"/>
          <w:sz w:val="20"/>
          <w:szCs w:val="20"/>
        </w:rPr>
        <w:t>)</w:t>
      </w:r>
      <w:r w:rsidR="002A0ADD">
        <w:rPr>
          <w:color w:val="000000"/>
          <w:sz w:val="20"/>
          <w:szCs w:val="20"/>
          <w:lang w:val="en-US"/>
        </w:rPr>
        <w:t>,</w:t>
      </w:r>
      <w:r w:rsidRPr="00685EE5">
        <w:rPr>
          <w:color w:val="000000"/>
          <w:sz w:val="20"/>
          <w:szCs w:val="20"/>
        </w:rPr>
        <w:t xml:space="preserve"> với nồng độ MG ban đầu là 80 mg/L</w:t>
      </w:r>
      <w:r w:rsidR="002A0ADD">
        <w:rPr>
          <w:color w:val="000000"/>
          <w:sz w:val="20"/>
          <w:szCs w:val="20"/>
          <w:lang w:val="en-US"/>
        </w:rPr>
        <w:t>,</w:t>
      </w:r>
      <w:r w:rsidR="002A0ADD">
        <w:rPr>
          <w:color w:val="000000"/>
          <w:sz w:val="20"/>
          <w:szCs w:val="20"/>
        </w:rPr>
        <w:t xml:space="preserve"> đạt hiệu suất</w:t>
      </w:r>
      <w:r w:rsidRPr="00685EE5">
        <w:rPr>
          <w:color w:val="000000"/>
          <w:sz w:val="20"/>
          <w:szCs w:val="20"/>
        </w:rPr>
        <w:t xml:space="preserve"> 70,79</w:t>
      </w:r>
      <m:oMath>
        <m:r>
          <w:rPr>
            <w:rFonts w:ascii="Cambria Math" w:hAnsi="Cambria Math"/>
            <w:color w:val="000000"/>
            <w:sz w:val="20"/>
            <w:szCs w:val="20"/>
          </w:rPr>
          <m:t>±</m:t>
        </m:r>
      </m:oMath>
      <w:r w:rsidRPr="00685EE5">
        <w:rPr>
          <w:color w:val="000000"/>
          <w:sz w:val="20"/>
          <w:szCs w:val="20"/>
        </w:rPr>
        <w:t>1,59% đối với hệ vi hạt FNPs và đạt 74,55</w:t>
      </w:r>
      <m:oMath>
        <m:r>
          <w:rPr>
            <w:rFonts w:ascii="Cambria Math" w:hAnsi="Cambria Math"/>
            <w:color w:val="000000"/>
            <w:sz w:val="20"/>
            <w:szCs w:val="20"/>
          </w:rPr>
          <m:t>±</m:t>
        </m:r>
      </m:oMath>
      <w:r w:rsidRPr="00685EE5">
        <w:rPr>
          <w:color w:val="000000"/>
          <w:sz w:val="20"/>
          <w:szCs w:val="20"/>
        </w:rPr>
        <w:t>0,86</w:t>
      </w:r>
      <w:r w:rsidR="008773FD">
        <w:rPr>
          <w:color w:val="000000"/>
          <w:sz w:val="20"/>
          <w:szCs w:val="20"/>
          <w:lang w:val="en-US"/>
        </w:rPr>
        <w:t>%</w:t>
      </w:r>
      <w:r w:rsidRPr="00685EE5">
        <w:rPr>
          <w:color w:val="000000"/>
          <w:sz w:val="20"/>
          <w:szCs w:val="20"/>
        </w:rPr>
        <w:t xml:space="preserve"> ở hệ vi hạt 1%-PVP-FNPs. Quá trình hấp phụ của hai hệ vi hạt tuân theo mô hình đẳng nhiệt Freundlich và phương trình động học hấp phụ biểu kiến bậc 2. </w:t>
      </w:r>
    </w:p>
    <w:p w:rsidR="00BD0C55" w:rsidRPr="00685EE5" w:rsidRDefault="00BD0C55" w:rsidP="00BD0C55">
      <w:pPr>
        <w:rPr>
          <w:i/>
          <w:color w:val="000000"/>
          <w:sz w:val="20"/>
          <w:szCs w:val="20"/>
        </w:rPr>
      </w:pPr>
      <w:r w:rsidRPr="00685EE5">
        <w:rPr>
          <w:b/>
          <w:color w:val="333333"/>
          <w:sz w:val="20"/>
          <w:szCs w:val="20"/>
        </w:rPr>
        <w:t>Từ khóa</w:t>
      </w:r>
      <w:r w:rsidRPr="00685EE5">
        <w:rPr>
          <w:b/>
          <w:i/>
          <w:color w:val="333333"/>
          <w:sz w:val="20"/>
          <w:szCs w:val="20"/>
        </w:rPr>
        <w:t>:</w:t>
      </w:r>
      <w:r w:rsidRPr="00685EE5">
        <w:rPr>
          <w:i/>
          <w:sz w:val="20"/>
          <w:szCs w:val="20"/>
        </w:rPr>
        <w:t xml:space="preserve"> fibroin, hệ vi hạt, tơ tằm, malachite green, hấp phụ</w:t>
      </w:r>
    </w:p>
    <w:p w:rsidR="00BD0C55" w:rsidRDefault="00BD0C55" w:rsidP="00BD0C55">
      <w:pPr>
        <w:ind w:firstLine="0"/>
      </w:pPr>
    </w:p>
    <w:p w:rsidR="00BD0C55" w:rsidRDefault="00BD0C55" w:rsidP="00BD0C55"/>
    <w:p w:rsidR="00BD0C55" w:rsidRPr="00BD0C55" w:rsidRDefault="00BD0C55" w:rsidP="00BD0C55">
      <w:pPr>
        <w:sectPr w:rsidR="00BD0C55" w:rsidRPr="00BD0C55" w:rsidSect="00BD0C55">
          <w:pgSz w:w="11910" w:h="16850"/>
          <w:pgMar w:top="1418" w:right="1418" w:bottom="1418" w:left="1701" w:header="0" w:footer="731" w:gutter="0"/>
          <w:cols w:space="720"/>
        </w:sectPr>
      </w:pPr>
    </w:p>
    <w:p w:rsidR="004B5566" w:rsidRPr="00685EE5" w:rsidRDefault="00685EE5" w:rsidP="00685EE5">
      <w:pPr>
        <w:pStyle w:val="Heading2"/>
        <w:numPr>
          <w:ilvl w:val="0"/>
          <w:numId w:val="0"/>
        </w:numPr>
        <w:ind w:left="720" w:hanging="360"/>
      </w:pPr>
      <w:r w:rsidRPr="00685EE5">
        <w:lastRenderedPageBreak/>
        <w:t>1. GIỚI THIỆU</w:t>
      </w:r>
    </w:p>
    <w:p w:rsidR="004B5566" w:rsidRPr="004B5566" w:rsidRDefault="004B5566" w:rsidP="004B5566">
      <w:pPr>
        <w:rPr>
          <w:szCs w:val="24"/>
        </w:rPr>
      </w:pPr>
      <w:r w:rsidRPr="004B5566">
        <w:rPr>
          <w:szCs w:val="24"/>
        </w:rPr>
        <w:t>Trong những năm gần đây, sự phát triển mạnh mẽ của các ngành công nghiệp đã gây ra những tác động tiêu cực đáng kể đến môi trường, đặc biệt là tình trạng ô nhiễm nguồn nước. Một trong những nguyên nhân chủ yếu dẫn đến thực trạng này là do lượng nước thải phát sinh từ các khu công nghiệp. Các ngành công nghiệp như sản xuất giấy, bột giấy, dệt may, mỹ phẩm và thực phẩm thường sử dụng thuốc nhuộm để tạo màu cho sản phẩm, dẫn đến việc xả thải một lượng lớn hóa chất độc hại ra môi trường. Mặc dù nước thải từ ngành dệt nhuộm chứa nhiều loại chất ô nhiễm khác nhau, nhưng thuốc nhuộm tổng hợp vẫn được xem là yếu tố đáng lo ngại nhất do được sử dụng với khối lượng lớn, trong khi chỉ một phần nhỏ trong số đó bám dính vào sợi vải, phần còn lại bị thải trực tiếp ra môi trường. Việc sử dụng hóa chất và thuốc nhuộm trong ngành dệt may được coi là một trong những nguyên nhân chính gây ra ô nhiễm nước. Tuy nhiên, do khả năng phân hủy sinh học thấp, việc loại bỏ hiệu quả các loại thuốc nhuộm này vẫn là một thách thức lớn tro</w:t>
      </w:r>
      <w:r>
        <w:rPr>
          <w:szCs w:val="24"/>
        </w:rPr>
        <w:t>ng xử lý nước thải công nghiệp.</w:t>
      </w:r>
      <w:r w:rsidRPr="004B5566">
        <w:rPr>
          <w:szCs w:val="24"/>
        </w:rPr>
        <w:t xml:space="preserve"> Trong số các loại thuốc nhuộm thường được sử dụng, malachite green (MG) là một chất đặc biệt cần quan tâm. </w:t>
      </w:r>
      <w:bookmarkStart w:id="0" w:name="_GoBack"/>
      <w:bookmarkEnd w:id="0"/>
      <w:r w:rsidRPr="004B5566">
        <w:rPr>
          <w:szCs w:val="24"/>
        </w:rPr>
        <w:t>MG đã được báo cáo là có khả năng gây ung thư, gây đột biến gen và gây quái thai, đồng thời có thể gây hại cho cả con người và động vật ngay cả ở nồng độ rất thấp</w:t>
      </w:r>
      <w:r w:rsidR="00854FCA" w:rsidRPr="00854FCA">
        <w:rPr>
          <w:szCs w:val="24"/>
        </w:rPr>
        <w:t xml:space="preserve"> [1]</w:t>
      </w:r>
      <w:r w:rsidRPr="004B5566">
        <w:rPr>
          <w:szCs w:val="24"/>
        </w:rPr>
        <w:t xml:space="preserve">. Hơn nữa, MG có thể chuyển hóa </w:t>
      </w:r>
      <w:r w:rsidR="008773FD">
        <w:rPr>
          <w:szCs w:val="24"/>
        </w:rPr>
        <w:t>thành leucomalachite green</w:t>
      </w:r>
      <w:r w:rsidRPr="004B5566">
        <w:rPr>
          <w:szCs w:val="24"/>
        </w:rPr>
        <w:t>, một dạng tồn dư có khả năng tích tụ sinh học và gây độc đối với cơ thể sinh vật</w:t>
      </w:r>
      <w:r w:rsidR="00854FCA" w:rsidRPr="00854FCA">
        <w:rPr>
          <w:szCs w:val="24"/>
        </w:rPr>
        <w:t xml:space="preserve"> [2]</w:t>
      </w:r>
      <w:r w:rsidRPr="004B5566">
        <w:rPr>
          <w:szCs w:val="24"/>
        </w:rPr>
        <w:t>. Do đó, việc xử lý nước thải chứa MG trước khi xả ra môi trường là yêu cầu bắt buộc nhằm bảo vệ sức khỏe cộng</w:t>
      </w:r>
      <w:r>
        <w:rPr>
          <w:szCs w:val="24"/>
        </w:rPr>
        <w:t xml:space="preserve"> đồng và chất lượng nguồn nước.</w:t>
      </w:r>
    </w:p>
    <w:p w:rsidR="004B5566" w:rsidRPr="004B5566" w:rsidRDefault="004B5566" w:rsidP="004B5566">
      <w:pPr>
        <w:rPr>
          <w:szCs w:val="24"/>
        </w:rPr>
      </w:pPr>
      <w:r w:rsidRPr="004B5566">
        <w:rPr>
          <w:szCs w:val="24"/>
        </w:rPr>
        <w:t>Hiện nay, nhiều phương pháp đã được nghiên cứu để loại bỏ thuốc nhuộm, bao gồm lọc màng, xử lý điện hóa, phương pháp quang hóa và hấp phụ,... Trong đó, phương pháp hấp phụ được đánh giá cao nhờ cấu trúc đơn giản, hiệu quả xử lý tốt và không tạo ra sản phẩm phụ nguy hại. Nhiều công trình nghiên cứu đã được công bố về việc xử lý MG bằng phương pháp hấp phụ, chẳng hạn như: nghiên cứu sử dụng vật liệu Cu/ZIF kết hợp hydrogen peroxide của Phạm Trần Bảo Nghi và cộng sự</w:t>
      </w:r>
      <w:r w:rsidR="00854FCA" w:rsidRPr="00854FCA">
        <w:rPr>
          <w:szCs w:val="24"/>
        </w:rPr>
        <w:t xml:space="preserve"> </w:t>
      </w:r>
      <w:r w:rsidR="00BC5D7A" w:rsidRPr="00BC5D7A">
        <w:rPr>
          <w:szCs w:val="24"/>
        </w:rPr>
        <w:t xml:space="preserve">năm 2023 </w:t>
      </w:r>
      <w:r w:rsidR="00854FCA" w:rsidRPr="00854FCA">
        <w:rPr>
          <w:szCs w:val="24"/>
        </w:rPr>
        <w:t>[3]</w:t>
      </w:r>
      <w:r w:rsidRPr="004B5566">
        <w:rPr>
          <w:szCs w:val="24"/>
        </w:rPr>
        <w:t xml:space="preserve">; nghiên cứu sử dụng calcium </w:t>
      </w:r>
      <w:r w:rsidRPr="004B5566">
        <w:rPr>
          <w:szCs w:val="24"/>
        </w:rPr>
        <w:lastRenderedPageBreak/>
        <w:t xml:space="preserve">silicate tổng hợp từ chất thải của Amira A. Hashem và </w:t>
      </w:r>
      <w:r w:rsidR="00854FCA">
        <w:rPr>
          <w:szCs w:val="24"/>
        </w:rPr>
        <w:t>cộng sự</w:t>
      </w:r>
      <w:r w:rsidR="00854FCA" w:rsidRPr="00854FCA">
        <w:rPr>
          <w:szCs w:val="24"/>
        </w:rPr>
        <w:t xml:space="preserve"> [4]</w:t>
      </w:r>
      <w:r w:rsidR="00854FCA">
        <w:rPr>
          <w:szCs w:val="24"/>
        </w:rPr>
        <w:t xml:space="preserve">; </w:t>
      </w:r>
      <w:r w:rsidRPr="004B5566">
        <w:rPr>
          <w:szCs w:val="24"/>
        </w:rPr>
        <w:t>nghiên cứu sử dụng vỏ kiwi làm vật liệu hấp phụ sinh học của Yanjun Zhao và cộng sự</w:t>
      </w:r>
      <w:r w:rsidR="00854FCA" w:rsidRPr="00854FCA">
        <w:rPr>
          <w:szCs w:val="24"/>
        </w:rPr>
        <w:t xml:space="preserve"> [5]</w:t>
      </w:r>
      <w:r w:rsidRPr="004B5566">
        <w:rPr>
          <w:szCs w:val="24"/>
        </w:rPr>
        <w:t>; cũng như nghiên cứu sử dụng kaolin nung của Yumeung Wang và nhóm nghiên cứu</w:t>
      </w:r>
      <w:r w:rsidR="00854FCA" w:rsidRPr="00854FCA">
        <w:rPr>
          <w:szCs w:val="24"/>
        </w:rPr>
        <w:t xml:space="preserve"> [6]</w:t>
      </w:r>
      <w:r w:rsidRPr="004B5566">
        <w:rPr>
          <w:szCs w:val="24"/>
        </w:rPr>
        <w:t xml:space="preserve">. Những nghiên cứu này cho thấy tính khả thi và hiệu quả của phương pháp hấp phụ trong </w:t>
      </w:r>
      <w:r>
        <w:rPr>
          <w:szCs w:val="24"/>
        </w:rPr>
        <w:t>việc loại bỏ MG khỏi nước thải.</w:t>
      </w:r>
      <w:r w:rsidRPr="004B5566">
        <w:rPr>
          <w:szCs w:val="24"/>
        </w:rPr>
        <w:t>Tuy nhiên, để nâng cao hiệu quả hấp phụ, việc nghiên cứu và phát triển các vật liệu mới hoặc cải tiến vật liệu hiện có là điều cần thiết. Trong đó, vật liệu hấp phụ dạng nano (nanoparticles) được xem là một lựa chọn tiềm năng do sở hữu nhiều đặc tính ưu việt như diện tích bề mặt lớn, độ xốp cao, năng lượng bề mặt lớn và khả năng chức năng hóa linh hoạt. Các hạt nano còn có thể tạo ra các tương tác tĩnh điện, kỵ nước và liên kết hydro với phân tử MG, từ đó nâng cao khả năng loại bỏ chất nhuộm khỏi môi trường</w:t>
      </w:r>
      <w:r w:rsidR="00AF7EE9" w:rsidRPr="00AF7EE9">
        <w:rPr>
          <w:szCs w:val="24"/>
        </w:rPr>
        <w:t xml:space="preserve"> [7]</w:t>
      </w:r>
      <w:r>
        <w:rPr>
          <w:szCs w:val="24"/>
        </w:rPr>
        <w:t>.</w:t>
      </w:r>
    </w:p>
    <w:p w:rsidR="004B5566" w:rsidRPr="004B5566" w:rsidRDefault="004B5566" w:rsidP="004B5566">
      <w:pPr>
        <w:rPr>
          <w:szCs w:val="24"/>
        </w:rPr>
      </w:pPr>
      <w:r w:rsidRPr="004B5566">
        <w:rPr>
          <w:szCs w:val="24"/>
        </w:rPr>
        <w:t xml:space="preserve">Gần đây, fibroin – một protein tự nhiên chiết xuất từ tơ tằm – đã nhận được sự quan tâm trong nghiên cứu chế tạo hệ hạt nano nhờ các đặc tính nổi bật như khả năng phân hủy sinh học, không độc hại và có tính lưỡng ưa (amphiphilic), cho phép </w:t>
      </w:r>
      <w:r w:rsidR="00AF7EE9" w:rsidRPr="00AF7EE9">
        <w:rPr>
          <w:szCs w:val="24"/>
        </w:rPr>
        <w:t xml:space="preserve">tự chuyển đổi </w:t>
      </w:r>
      <w:r w:rsidRPr="004B5566">
        <w:rPr>
          <w:szCs w:val="24"/>
        </w:rPr>
        <w:t xml:space="preserve">cấu trúc </w:t>
      </w:r>
      <w:r w:rsidR="00AF7EE9" w:rsidRPr="00AF7EE9">
        <w:rPr>
          <w:szCs w:val="24"/>
        </w:rPr>
        <w:t xml:space="preserve">thành hạt </w:t>
      </w:r>
      <w:r w:rsidRPr="004B5566">
        <w:rPr>
          <w:szCs w:val="24"/>
        </w:rPr>
        <w:t xml:space="preserve">nano mà không cần hoặc rất ít </w:t>
      </w:r>
      <w:r w:rsidR="00AF7EE9" w:rsidRPr="00AF7EE9">
        <w:rPr>
          <w:szCs w:val="24"/>
        </w:rPr>
        <w:t xml:space="preserve">dung môi </w:t>
      </w:r>
      <w:r w:rsidRPr="004B5566">
        <w:rPr>
          <w:szCs w:val="24"/>
        </w:rPr>
        <w:t>hỗ trợ</w:t>
      </w:r>
      <w:r w:rsidR="00AF7EE9" w:rsidRPr="00AF7EE9">
        <w:rPr>
          <w:szCs w:val="24"/>
        </w:rPr>
        <w:t xml:space="preserve"> [8]</w:t>
      </w:r>
      <w:r w:rsidRPr="004B5566">
        <w:rPr>
          <w:szCs w:val="24"/>
        </w:rPr>
        <w:t>. Bên cạnh đó, việc bổ sung các polymer như poly(vinylpyrrolidone) (PVP) được chứng minh là giúp điều chỉnh kích thước và hình dạng của hạt nano trong quá trình tổng hợp, mở ra tiềm năng ứng dụng rộ</w:t>
      </w:r>
      <w:r>
        <w:rPr>
          <w:szCs w:val="24"/>
        </w:rPr>
        <w:t>ng rãi hơn cho vật liệu này.</w:t>
      </w:r>
    </w:p>
    <w:p w:rsidR="00E33888" w:rsidRDefault="004B5566" w:rsidP="004B5566">
      <w:pPr>
        <w:rPr>
          <w:szCs w:val="24"/>
        </w:rPr>
      </w:pPr>
      <w:r w:rsidRPr="004B5566">
        <w:rPr>
          <w:szCs w:val="24"/>
        </w:rPr>
        <w:t>Tuy nhiên, hiện tại ở Việt Nam vẫn chưa có nghiên cứu nào công bố về sự kết hợp giữa fibroin và PVP trong việc xử lý thuốc nhuộm malachite green. Vì vậy, đề tài “Khảo sát khả năng hấp phụ malachite green của hệ nanoparticles từ fibroin tơ tằm phối trộn poly(vinylpyrrolidone)” được đề xuất với mục tiêu bước đầu tìm hiểu khả năng kết hợp giữa hai vật liệu này, làm tiền đề cho các nghiên cứu chuyên sâu trong tương lai.</w:t>
      </w:r>
    </w:p>
    <w:p w:rsidR="004B5566" w:rsidRDefault="00685EE5" w:rsidP="00685EE5">
      <w:pPr>
        <w:pStyle w:val="Heading2"/>
        <w:numPr>
          <w:ilvl w:val="0"/>
          <w:numId w:val="0"/>
        </w:numPr>
        <w:rPr>
          <w:lang w:val="en-US"/>
        </w:rPr>
      </w:pPr>
      <w:r>
        <w:rPr>
          <w:lang w:val="en-US"/>
        </w:rPr>
        <w:t xml:space="preserve">2. PHƯƠNG PHÁP NGHIÊN CỨU </w:t>
      </w:r>
    </w:p>
    <w:p w:rsidR="00DB2EC2" w:rsidRPr="00DB2EC2" w:rsidRDefault="00DB2EC2" w:rsidP="00685EE5">
      <w:pPr>
        <w:pStyle w:val="Heading2"/>
        <w:numPr>
          <w:ilvl w:val="1"/>
          <w:numId w:val="7"/>
        </w:numPr>
        <w:rPr>
          <w:lang w:val="en-US"/>
        </w:rPr>
      </w:pPr>
      <w:r>
        <w:rPr>
          <w:lang w:val="en-US"/>
        </w:rPr>
        <w:t xml:space="preserve">Hóa chất </w:t>
      </w:r>
    </w:p>
    <w:p w:rsidR="004B5566" w:rsidRDefault="00FF4D1D" w:rsidP="004B5566">
      <w:pPr>
        <w:rPr>
          <w:lang w:val="en-US"/>
        </w:rPr>
      </w:pPr>
      <w:r>
        <w:rPr>
          <w:lang w:val="en-US"/>
        </w:rPr>
        <w:t xml:space="preserve">Kén tằm khô được mua trực tiếp từ nông hộ sản xuất tại tỉnh Nam Định, Việt Nam. Các hóa chất sử dụng trong nghiên cứu bao gồm: </w:t>
      </w:r>
      <w:r w:rsidRPr="00FF4D1D">
        <w:rPr>
          <w:lang w:val="en-US"/>
        </w:rPr>
        <w:t>Poly(vinylpyrrolidone) (PVP)</w:t>
      </w:r>
      <w:r>
        <w:rPr>
          <w:lang w:val="en-US"/>
        </w:rPr>
        <w:t xml:space="preserve">, </w:t>
      </w:r>
      <w:r w:rsidRPr="00FF4D1D">
        <w:lastRenderedPageBreak/>
        <w:t>CaCl</w:t>
      </w:r>
      <w:r w:rsidRPr="00FF4D1D">
        <w:rPr>
          <w:vertAlign w:val="subscript"/>
        </w:rPr>
        <w:t>2</w:t>
      </w:r>
      <w:r w:rsidRPr="00FF4D1D">
        <w:t>, Na</w:t>
      </w:r>
      <w:r w:rsidRPr="00FF4D1D">
        <w:rPr>
          <w:vertAlign w:val="subscript"/>
        </w:rPr>
        <w:t>2</w:t>
      </w:r>
      <w:r w:rsidRPr="00FF4D1D">
        <w:t>CO</w:t>
      </w:r>
      <w:r w:rsidRPr="00FF4D1D">
        <w:rPr>
          <w:vertAlign w:val="subscript"/>
        </w:rPr>
        <w:t>3</w:t>
      </w:r>
      <w:r w:rsidRPr="00FF4D1D">
        <w:t>, Ca(NO</w:t>
      </w:r>
      <w:r w:rsidRPr="00FF4D1D">
        <w:rPr>
          <w:vertAlign w:val="subscript"/>
        </w:rPr>
        <w:t>3</w:t>
      </w:r>
      <w:r w:rsidRPr="00FF4D1D">
        <w:t>)</w:t>
      </w:r>
      <w:r w:rsidRPr="00FF4D1D">
        <w:rPr>
          <w:vertAlign w:val="subscript"/>
        </w:rPr>
        <w:t>2</w:t>
      </w:r>
      <w:r>
        <w:rPr>
          <w:lang w:val="en-US"/>
        </w:rPr>
        <w:t xml:space="preserve">, </w:t>
      </w:r>
      <w:r w:rsidRPr="00FF4D1D">
        <w:rPr>
          <w:lang w:val="en-US"/>
        </w:rPr>
        <w:t>Malachite green</w:t>
      </w:r>
      <w:r>
        <w:rPr>
          <w:lang w:val="en-US"/>
        </w:rPr>
        <w:t xml:space="preserve">, ethanol có nguồn gốc từ công ty Xilong (Trung Quốc). Nước cất sử dụng trong các thí nghiệm là nước chất hai lần. </w:t>
      </w:r>
    </w:p>
    <w:p w:rsidR="00DB2EC2" w:rsidRDefault="00685EE5" w:rsidP="00685EE5">
      <w:pPr>
        <w:pStyle w:val="Heading3"/>
        <w:numPr>
          <w:ilvl w:val="0"/>
          <w:numId w:val="0"/>
        </w:numPr>
        <w:rPr>
          <w:lang w:val="en-US"/>
        </w:rPr>
      </w:pPr>
      <w:r>
        <w:rPr>
          <w:lang w:val="en-US"/>
        </w:rPr>
        <w:t xml:space="preserve">2.2 </w:t>
      </w:r>
      <w:r w:rsidR="00DB2EC2">
        <w:rPr>
          <w:lang w:val="en-US"/>
        </w:rPr>
        <w:t xml:space="preserve">Chiết fibroin từ kén tằm </w:t>
      </w:r>
    </w:p>
    <w:p w:rsidR="00DB2EC2" w:rsidRDefault="00DB2EC2" w:rsidP="00DB2EC2">
      <w:r>
        <w:t xml:space="preserve">Quy trình chiết xuất fibroin được thực hiện </w:t>
      </w:r>
      <w:r w:rsidR="006B16AD">
        <w:rPr>
          <w:lang w:val="en-US"/>
        </w:rPr>
        <w:t xml:space="preserve">từ mười </w:t>
      </w:r>
      <w:r>
        <w:t xml:space="preserve">gram </w:t>
      </w:r>
      <w:r w:rsidR="006B16AD">
        <w:rPr>
          <w:lang w:val="en-US"/>
        </w:rPr>
        <w:t xml:space="preserve">(10 g) </w:t>
      </w:r>
      <w:r>
        <w:t>kén tằm được khử sericin bằng dung dịch Na</w:t>
      </w:r>
      <w:r>
        <w:rPr>
          <w:rFonts w:ascii="Cambria Math" w:hAnsi="Cambria Math" w:cs="Cambria Math"/>
        </w:rPr>
        <w:t>₂</w:t>
      </w:r>
      <w:r>
        <w:t>CO</w:t>
      </w:r>
      <w:r>
        <w:rPr>
          <w:rFonts w:ascii="Cambria Math" w:hAnsi="Cambria Math" w:cs="Cambria Math"/>
        </w:rPr>
        <w:t>₃</w:t>
      </w:r>
      <w:r>
        <w:t xml:space="preserve"> 0,5% ở </w:t>
      </w:r>
      <w:r w:rsidR="006B16AD">
        <w:rPr>
          <w:lang w:val="en-US"/>
        </w:rPr>
        <w:t>80</w:t>
      </w:r>
      <w:r>
        <w:rPr>
          <w:rFonts w:ascii="Cambria Math" w:hAnsi="Cambria Math" w:cs="Cambria Math"/>
        </w:rPr>
        <w:t>℃</w:t>
      </w:r>
      <w:r>
        <w:t xml:space="preserve"> trong 1 giờ, rửa sạch và phơi k</w:t>
      </w:r>
      <w:r w:rsidR="006B16AD">
        <w:t xml:space="preserve">hô. Phần tơ sau đó được hòa tan </w:t>
      </w:r>
      <w:r>
        <w:t>trong hỗn hợp CaCl</w:t>
      </w:r>
      <w:r>
        <w:rPr>
          <w:rFonts w:ascii="Cambria Math" w:hAnsi="Cambria Math" w:cs="Cambria Math"/>
        </w:rPr>
        <w:t>₂</w:t>
      </w:r>
      <w:r>
        <w:t>:H</w:t>
      </w:r>
      <w:r>
        <w:rPr>
          <w:rFonts w:ascii="Cambria Math" w:hAnsi="Cambria Math" w:cs="Cambria Math"/>
        </w:rPr>
        <w:t>₂</w:t>
      </w:r>
      <w:r>
        <w:t>O:Ca(NO</w:t>
      </w:r>
      <w:r>
        <w:rPr>
          <w:rFonts w:ascii="Cambria Math" w:hAnsi="Cambria Math" w:cs="Cambria Math"/>
        </w:rPr>
        <w:t>₃</w:t>
      </w:r>
      <w:r>
        <w:t>)</w:t>
      </w:r>
      <w:r>
        <w:rPr>
          <w:rFonts w:ascii="Cambria Math" w:hAnsi="Cambria Math" w:cs="Cambria Math"/>
        </w:rPr>
        <w:t>₂</w:t>
      </w:r>
      <w:r w:rsidR="006B16AD">
        <w:t xml:space="preserve">:EtOH </w:t>
      </w:r>
      <w:r>
        <w:t xml:space="preserve">tỷ lệ 30:45:5:20 </w:t>
      </w:r>
      <w:r w:rsidR="006B16AD" w:rsidRPr="006B16AD">
        <w:t>(</w:t>
      </w:r>
      <w:r>
        <w:t>w/w/w/w) ở 85–90</w:t>
      </w:r>
      <w:r>
        <w:rPr>
          <w:rFonts w:ascii="Cambria Math" w:hAnsi="Cambria Math" w:cs="Cambria Math"/>
        </w:rPr>
        <w:t>℃</w:t>
      </w:r>
      <w:r>
        <w:t xml:space="preserve"> dưới tác động của vi sóng (900 W, 2 phút). Dung dịch thu được được thẩm tách ở nhiệt độ phòng tro</w:t>
      </w:r>
      <w:r w:rsidR="006B16AD">
        <w:t>ng 3–5 ngày, sau đó ly tâm ở 10</w:t>
      </w:r>
      <w:r>
        <w:t xml:space="preserve">000 vòng/phút trong 30 phút để loại bỏ tạp chất. Dung dịch fibroin sau cùng được </w:t>
      </w:r>
      <w:r w:rsidRPr="00DB2EC2">
        <w:t>xác định nồng độ bằ</w:t>
      </w:r>
      <w:r w:rsidR="006B16AD">
        <w:t>ng các đo UV-</w:t>
      </w:r>
      <w:r w:rsidRPr="00DB2EC2">
        <w:t xml:space="preserve">vis ở bước sóng cực đại là 276 nm và </w:t>
      </w:r>
      <w:r>
        <w:t xml:space="preserve">bảo quản lạnh để sử dụng cho các thí nghiệm sau. </w:t>
      </w:r>
    </w:p>
    <w:p w:rsidR="00DB2EC2" w:rsidRPr="00DB2EC2" w:rsidRDefault="00685EE5" w:rsidP="00685EE5">
      <w:pPr>
        <w:pStyle w:val="Heading2"/>
        <w:numPr>
          <w:ilvl w:val="0"/>
          <w:numId w:val="0"/>
        </w:numPr>
      </w:pPr>
      <w:r w:rsidRPr="00685EE5">
        <w:t xml:space="preserve">2.3 </w:t>
      </w:r>
      <w:r w:rsidR="00DB2EC2" w:rsidRPr="00DB2EC2">
        <w:t>Tổng hợp hệ vi hạ</w:t>
      </w:r>
      <w:r w:rsidR="009F7989">
        <w:t>t fibroin chứa PVP</w:t>
      </w:r>
    </w:p>
    <w:p w:rsidR="00DB2EC2" w:rsidRDefault="0081653F" w:rsidP="00DB2EC2">
      <w:r>
        <w:t>Dung dịch p</w:t>
      </w:r>
      <w:r w:rsidR="009F7989" w:rsidRPr="009F7989">
        <w:t>oly(vinylpyrrolidone) 0%, 2%, 4%, và 6% đượ</w:t>
      </w:r>
      <w:r w:rsidR="008A3EE3">
        <w:t>c hòa tan trong dung dịch f</w:t>
      </w:r>
      <w:r w:rsidR="009F7989" w:rsidRPr="009F7989">
        <w:t>ibroin 2% (w/v) với tỉ lệ PVP:FNPs là 1:1 (v/v) để có được các dung dịch PVP-FNPs ở các nồng độ PVP được khảo sát là</w:t>
      </w:r>
      <w:r w:rsidR="008C7B9C" w:rsidRPr="008C7B9C">
        <w:t xml:space="preserve"> </w:t>
      </w:r>
      <w:r w:rsidR="009F7989" w:rsidRPr="009F7989">
        <w:t>0%, 1%, 2%, 3%. Hút chính xác 1 mL các dung dịch trên vào ống ly tâm, thêm từ từ 6 mL dung dịch ethanol (99,5%) vào làm dung dịch đông tụ. Sau khi thêm ethanol, huyền phù vẫn đục trong mờ xuất hiện và huyền phù được lắc trong 1 giờ để hình thành cấu trúc thứ cấp tấm β của fibroin tơ tằm, lúc này hệ vi hạt được tạo thành. Bảo quản qua đêm trong tủ lạnh. Sau đó, các vi hạt được thu hồi bằng cách ly tâm 6000 rpm trong 30 phút. Phần dịch nổi phía trên được loại bỏ, các vi hạt bên dưới được rửa với nước cất và bảo quản lạnh để sử dụng cho các thí nghiệm tiếp theo.</w:t>
      </w:r>
    </w:p>
    <w:p w:rsidR="009F7989" w:rsidRDefault="00DB1332" w:rsidP="00685EE5">
      <w:pPr>
        <w:pStyle w:val="Heading2"/>
        <w:numPr>
          <w:ilvl w:val="1"/>
          <w:numId w:val="9"/>
        </w:numPr>
        <w:rPr>
          <w:lang w:val="en-US"/>
        </w:rPr>
      </w:pPr>
      <w:r>
        <w:rPr>
          <w:lang w:val="en-US"/>
        </w:rPr>
        <w:t>Hấp phụ</w:t>
      </w:r>
      <w:r w:rsidR="006B16AD">
        <w:rPr>
          <w:lang w:val="en-US"/>
        </w:rPr>
        <w:t xml:space="preserve"> malachite green (MG)</w:t>
      </w:r>
    </w:p>
    <w:p w:rsidR="00335B01" w:rsidRPr="00AF7EE9" w:rsidRDefault="00335B01" w:rsidP="008C7B9C">
      <w:pPr>
        <w:pStyle w:val="onvn"/>
        <w:rPr>
          <w:sz w:val="22"/>
          <w:lang w:val="vi-VN"/>
        </w:rPr>
      </w:pPr>
      <w:r w:rsidRPr="00AF7EE9">
        <w:rPr>
          <w:sz w:val="22"/>
        </w:rPr>
        <w:t>Phân tán mẫu hạt FNPs hoặc PVP-FNPs vào các bình tam giác chứa 20 mL dung dị</w:t>
      </w:r>
      <w:r w:rsidR="0081653F" w:rsidRPr="00AF7EE9">
        <w:rPr>
          <w:sz w:val="22"/>
        </w:rPr>
        <w:t>ch MG, t</w:t>
      </w:r>
      <w:r w:rsidRPr="00AF7EE9">
        <w:rPr>
          <w:sz w:val="22"/>
        </w:rPr>
        <w:t xml:space="preserve">iến hành lắc với tốc độ 120 vòng/phút, ở nhiệt độ phòng. </w:t>
      </w:r>
      <w:r w:rsidR="0081653F" w:rsidRPr="00AF7EE9">
        <w:rPr>
          <w:sz w:val="22"/>
        </w:rPr>
        <w:t xml:space="preserve">Các yếu tố được thay đổi để đánh giá khả năng hấp phụ của vật liệu bao gồm nồng độ MG (20, 40, 60, 80, 100 mg/L), </w:t>
      </w:r>
      <w:r w:rsidR="008C7B9C" w:rsidRPr="00AF7EE9">
        <w:rPr>
          <w:sz w:val="22"/>
        </w:rPr>
        <w:t xml:space="preserve">khối lượng vật liệu </w:t>
      </w:r>
      <w:r w:rsidR="0081653F" w:rsidRPr="00AF7EE9">
        <w:rPr>
          <w:sz w:val="22"/>
        </w:rPr>
        <w:t>(</w:t>
      </w:r>
      <w:r w:rsidR="008C7B9C" w:rsidRPr="00AF7EE9">
        <w:rPr>
          <w:sz w:val="22"/>
        </w:rPr>
        <w:t xml:space="preserve">tăng khối lượng fibroin hoặc fibroin/PVP theo tỉ lệ với ethanol </w:t>
      </w:r>
      <w:r w:rsidR="008C7B9C" w:rsidRPr="00AF7EE9">
        <w:rPr>
          <w:sz w:val="22"/>
        </w:rPr>
        <w:lastRenderedPageBreak/>
        <w:t>là 0,5:3, 1:6, 2:12, 4:24, 6:36</w:t>
      </w:r>
      <w:r w:rsidR="006B16AD" w:rsidRPr="00AF7EE9">
        <w:rPr>
          <w:sz w:val="22"/>
        </w:rPr>
        <w:t xml:space="preserve"> tương ứng với kí hiệu là 0.5, 1, 2, 4, 6</w:t>
      </w:r>
      <w:r w:rsidR="008C7B9C" w:rsidRPr="00AF7EE9">
        <w:rPr>
          <w:sz w:val="22"/>
        </w:rPr>
        <w:t xml:space="preserve">), thời gian hấp phụ (1, 5, 10, 15, 30, 45, 60, 90 và 120 phút), pH của môi trường hấp phụ (2, 4, 6 và 8). Kết thúc mỗi thí nghiệm mẫu được </w:t>
      </w:r>
      <w:r w:rsidR="008C7B9C" w:rsidRPr="00AF7EE9">
        <w:rPr>
          <w:sz w:val="22"/>
          <w:lang w:val="vi-VN"/>
        </w:rPr>
        <w:t>l</w:t>
      </w:r>
      <w:r w:rsidRPr="00AF7EE9">
        <w:rPr>
          <w:sz w:val="22"/>
          <w:lang w:val="vi-VN"/>
        </w:rPr>
        <w:t xml:space="preserve">y tâm lạnh, xác định nồng độ MG còn lại trong mỗi dung dịch sau hấp phụ. </w:t>
      </w:r>
      <w:r w:rsidR="008C7B9C" w:rsidRPr="00AF7EE9">
        <w:rPr>
          <w:sz w:val="22"/>
          <w:lang w:val="vi-VN"/>
        </w:rPr>
        <w:t xml:space="preserve">Hiệu suất hấp phụ được tính toán theo công thức: </w:t>
      </w:r>
    </w:p>
    <w:p w:rsidR="008C7B9C" w:rsidRPr="00AF7EE9" w:rsidRDefault="008C7B9C" w:rsidP="004E0676">
      <w:pPr>
        <w:pStyle w:val="onvn"/>
        <w:jc w:val="center"/>
        <w:rPr>
          <w:rFonts w:eastAsiaTheme="minorEastAsia"/>
          <w:sz w:val="22"/>
          <w:lang w:val="vi-VN"/>
        </w:rPr>
      </w:pPr>
      <w:r w:rsidRPr="00AF7EE9">
        <w:rPr>
          <w:sz w:val="22"/>
          <w:lang w:val="vi-VN"/>
        </w:rPr>
        <w:t>%H</w:t>
      </w:r>
      <w:r w:rsidR="00C57487" w:rsidRPr="00AF7EE9">
        <w:rPr>
          <w:sz w:val="22"/>
          <w:lang w:val="vi-VN"/>
        </w:rPr>
        <w:t xml:space="preserve"> </w:t>
      </w:r>
      <w:r w:rsidRPr="00AF7EE9">
        <w:rPr>
          <w:sz w:val="22"/>
          <w:lang w:val="vi-VN"/>
        </w:rPr>
        <w:t>=</w:t>
      </w:r>
      <m:oMath>
        <m:r>
          <w:rPr>
            <w:rFonts w:ascii="Cambria Math" w:hAnsi="Cambria Math"/>
            <w:sz w:val="22"/>
            <w:lang w:val="vi-VN"/>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lang w:val="vi-VN"/>
                  </w:rPr>
                  <m:t>C</m:t>
                </m:r>
              </m:e>
              <m:sub>
                <m:r>
                  <w:rPr>
                    <w:rFonts w:ascii="Cambria Math" w:hAnsi="Cambria Math"/>
                    <w:sz w:val="22"/>
                    <w:lang w:val="vi-VN"/>
                  </w:rPr>
                  <m:t>0</m:t>
                </m:r>
              </m:sub>
            </m:sSub>
            <m:r>
              <w:rPr>
                <w:rFonts w:ascii="Cambria Math" w:hAnsi="Cambria Math"/>
                <w:sz w:val="22"/>
                <w:lang w:val="vi-VN"/>
              </w:rPr>
              <m:t>-C</m:t>
            </m:r>
          </m:num>
          <m:den>
            <m:sSub>
              <m:sSubPr>
                <m:ctrlPr>
                  <w:rPr>
                    <w:rFonts w:ascii="Cambria Math" w:hAnsi="Cambria Math"/>
                    <w:i/>
                    <w:sz w:val="22"/>
                  </w:rPr>
                </m:ctrlPr>
              </m:sSubPr>
              <m:e>
                <m:r>
                  <w:rPr>
                    <w:rFonts w:ascii="Cambria Math" w:hAnsi="Cambria Math"/>
                    <w:sz w:val="22"/>
                    <w:lang w:val="vi-VN"/>
                  </w:rPr>
                  <m:t>C</m:t>
                </m:r>
              </m:e>
              <m:sub>
                <m:r>
                  <w:rPr>
                    <w:rFonts w:ascii="Cambria Math" w:hAnsi="Cambria Math"/>
                    <w:sz w:val="22"/>
                    <w:lang w:val="vi-VN"/>
                  </w:rPr>
                  <m:t>0</m:t>
                </m:r>
              </m:sub>
            </m:sSub>
          </m:den>
        </m:f>
        <m:r>
          <w:rPr>
            <w:rFonts w:ascii="Cambria Math" w:eastAsiaTheme="minorEastAsia" w:hAnsi="Cambria Math"/>
            <w:sz w:val="22"/>
            <w:lang w:val="vi-VN"/>
          </w:rPr>
          <m:t>×100</m:t>
        </m:r>
      </m:oMath>
      <w:r w:rsidR="006B16AD" w:rsidRPr="00AF7EE9">
        <w:rPr>
          <w:rFonts w:eastAsiaTheme="minorEastAsia"/>
          <w:sz w:val="22"/>
          <w:lang w:val="vi-VN"/>
        </w:rPr>
        <w:t xml:space="preserve"> (1)</w:t>
      </w:r>
    </w:p>
    <w:p w:rsidR="009B267B" w:rsidRPr="00AF7EE9" w:rsidRDefault="009B267B" w:rsidP="00685EE5">
      <w:pPr>
        <w:pStyle w:val="onvn"/>
        <w:ind w:firstLine="0"/>
        <w:rPr>
          <w:rFonts w:eastAsiaTheme="minorEastAsia"/>
          <w:sz w:val="22"/>
          <w:lang w:val="vi-VN"/>
        </w:rPr>
      </w:pPr>
      <w:r w:rsidRPr="00AF7EE9">
        <w:rPr>
          <w:rFonts w:eastAsiaTheme="minorEastAsia"/>
          <w:sz w:val="22"/>
          <w:lang w:val="vi-VN"/>
        </w:rPr>
        <w:t xml:space="preserve">Trong đó: H là hiệu suất hấp phụ (%) </w:t>
      </w:r>
    </w:p>
    <w:p w:rsidR="009B267B" w:rsidRPr="00AF7EE9" w:rsidRDefault="009B267B" w:rsidP="00685EE5">
      <w:pPr>
        <w:pStyle w:val="onvn"/>
        <w:ind w:firstLine="0"/>
        <w:rPr>
          <w:rFonts w:eastAsiaTheme="minorEastAsia"/>
          <w:sz w:val="22"/>
          <w:lang w:val="vi-VN"/>
        </w:rPr>
      </w:pPr>
      <w:r w:rsidRPr="00AF7EE9">
        <w:rPr>
          <w:rFonts w:eastAsiaTheme="minorEastAsia"/>
          <w:sz w:val="22"/>
          <w:lang w:val="vi-VN"/>
        </w:rPr>
        <w:t>C</w:t>
      </w:r>
      <w:r w:rsidRPr="00AF7EE9">
        <w:rPr>
          <w:rFonts w:eastAsiaTheme="minorEastAsia"/>
          <w:sz w:val="22"/>
          <w:vertAlign w:val="subscript"/>
          <w:lang w:val="vi-VN"/>
        </w:rPr>
        <w:t>0</w:t>
      </w:r>
      <w:r w:rsidRPr="00AF7EE9">
        <w:rPr>
          <w:rFonts w:eastAsiaTheme="minorEastAsia"/>
          <w:sz w:val="22"/>
          <w:lang w:val="vi-VN"/>
        </w:rPr>
        <w:t xml:space="preserve"> nồng độ ban đầu của chất bị hấp phụ (mg/L)</w:t>
      </w:r>
    </w:p>
    <w:p w:rsidR="009B267B" w:rsidRPr="00AF7EE9" w:rsidRDefault="009B267B" w:rsidP="00685EE5">
      <w:pPr>
        <w:pStyle w:val="onvn"/>
        <w:ind w:firstLine="0"/>
        <w:rPr>
          <w:rFonts w:eastAsiaTheme="minorEastAsia"/>
          <w:sz w:val="22"/>
          <w:lang w:val="vi-VN"/>
        </w:rPr>
      </w:pPr>
      <w:r w:rsidRPr="00AF7EE9">
        <w:rPr>
          <w:rFonts w:eastAsiaTheme="minorEastAsia"/>
          <w:sz w:val="22"/>
          <w:lang w:val="vi-VN"/>
        </w:rPr>
        <w:t>C nồng độ còn lại của chất bị hấp phụ (mg/L)</w:t>
      </w:r>
    </w:p>
    <w:p w:rsidR="009B267B" w:rsidRPr="00291171" w:rsidRDefault="00685EE5" w:rsidP="00685EE5">
      <w:pPr>
        <w:pStyle w:val="Heading2"/>
        <w:numPr>
          <w:ilvl w:val="0"/>
          <w:numId w:val="0"/>
        </w:numPr>
      </w:pPr>
      <w:r w:rsidRPr="00685EE5">
        <w:t xml:space="preserve">2.5 </w:t>
      </w:r>
      <w:r w:rsidR="009B267B" w:rsidRPr="00291171">
        <w:t xml:space="preserve">Đánh giá tính chất hóa lý của vật liệu </w:t>
      </w:r>
    </w:p>
    <w:p w:rsidR="009B267B" w:rsidRPr="00291171" w:rsidRDefault="009B267B" w:rsidP="009B267B">
      <w:pPr>
        <w:rPr>
          <w:szCs w:val="24"/>
        </w:rPr>
      </w:pPr>
      <w:r w:rsidRPr="00723448">
        <w:rPr>
          <w:szCs w:val="24"/>
        </w:rPr>
        <w:t>Kích thước hạt trung bình và sự phân bố kích thước hạt (PI) được xác định bằng phương pháp tán xạ ánh sáng động (DLS) sử dụng máy tính phân tích MicroTrac S3500</w:t>
      </w:r>
      <w:r w:rsidRPr="00291171">
        <w:rPr>
          <w:szCs w:val="24"/>
        </w:rPr>
        <w:t>.</w:t>
      </w:r>
    </w:p>
    <w:p w:rsidR="009B267B" w:rsidRPr="00723448" w:rsidRDefault="009B267B" w:rsidP="009B267B">
      <w:pPr>
        <w:rPr>
          <w:szCs w:val="24"/>
        </w:rPr>
      </w:pPr>
      <w:r w:rsidRPr="00723448">
        <w:rPr>
          <w:szCs w:val="24"/>
        </w:rPr>
        <w:t>Đánh giá sự tương tác giữa fibroin và polymer dựa</w:t>
      </w:r>
      <w:r w:rsidR="00AF7EE9">
        <w:rPr>
          <w:szCs w:val="24"/>
        </w:rPr>
        <w:t xml:space="preserve"> vào phổ FT-IR của các mẫu FNPs</w:t>
      </w:r>
      <w:r w:rsidRPr="00723448">
        <w:rPr>
          <w:szCs w:val="24"/>
        </w:rPr>
        <w:t>, PVP-FNPs trước và sau khi hấp phụ. Phổ được thu bằng máy quang phổ FT/IR 6300 (Jasco-Nhật Bản, dải tần từ 400 đến 400 cm</w:t>
      </w:r>
      <w:r w:rsidRPr="00723448">
        <w:rPr>
          <w:szCs w:val="24"/>
          <w:vertAlign w:val="superscript"/>
        </w:rPr>
        <w:t>-1</w:t>
      </w:r>
      <w:r w:rsidRPr="00723448">
        <w:rPr>
          <w:szCs w:val="24"/>
        </w:rPr>
        <w:t xml:space="preserve">) với phương pháp ép viên KBr. </w:t>
      </w:r>
    </w:p>
    <w:p w:rsidR="009B267B" w:rsidRPr="00723448" w:rsidRDefault="009B267B" w:rsidP="009B267B">
      <w:pPr>
        <w:spacing w:line="288" w:lineRule="auto"/>
        <w:rPr>
          <w:color w:val="000000"/>
          <w:szCs w:val="24"/>
          <w:lang w:eastAsia="ko-KR"/>
        </w:rPr>
      </w:pPr>
      <w:r w:rsidRPr="00723448">
        <w:rPr>
          <w:szCs w:val="24"/>
        </w:rPr>
        <w:t>Đánh giá điện tích bề mặt</w:t>
      </w:r>
      <w:r w:rsidRPr="00723448">
        <w:rPr>
          <w:color w:val="000000"/>
          <w:szCs w:val="24"/>
          <w:lang w:eastAsia="ko-KR"/>
        </w:rPr>
        <w:t xml:space="preserve"> </w:t>
      </w:r>
      <w:r w:rsidR="00940684" w:rsidRPr="00723448">
        <w:rPr>
          <w:color w:val="000000"/>
          <w:szCs w:val="24"/>
          <w:lang w:eastAsia="ko-KR"/>
        </w:rPr>
        <w:t>(</w:t>
      </w:r>
      <w:r w:rsidRPr="00723448">
        <w:rPr>
          <w:color w:val="000000"/>
          <w:szCs w:val="24"/>
          <w:lang w:eastAsia="ko-KR"/>
        </w:rPr>
        <w:t>pH</w:t>
      </w:r>
      <w:r w:rsidRPr="00723448">
        <w:rPr>
          <w:color w:val="000000"/>
          <w:szCs w:val="24"/>
          <w:vertAlign w:val="subscript"/>
          <w:lang w:eastAsia="ko-KR"/>
        </w:rPr>
        <w:t>pzc</w:t>
      </w:r>
      <w:r w:rsidR="00940684" w:rsidRPr="00723448">
        <w:rPr>
          <w:color w:val="000000"/>
          <w:szCs w:val="24"/>
          <w:lang w:eastAsia="ko-KR"/>
        </w:rPr>
        <w:t>)</w:t>
      </w:r>
      <w:r w:rsidRPr="00723448">
        <w:rPr>
          <w:color w:val="000000"/>
          <w:szCs w:val="24"/>
          <w:lang w:eastAsia="ko-KR"/>
        </w:rPr>
        <w:t xml:space="preserve">: Đầu tiền, chuẩn bị 20 mL dung dịch KCl 0,1 M </w:t>
      </w:r>
      <w:r w:rsidR="008F548A" w:rsidRPr="008F548A">
        <w:rPr>
          <w:color w:val="000000"/>
          <w:szCs w:val="24"/>
          <w:lang w:eastAsia="ko-KR"/>
        </w:rPr>
        <w:t xml:space="preserve">có  </w:t>
      </w:r>
      <w:r w:rsidRPr="00723448">
        <w:rPr>
          <w:color w:val="000000"/>
          <w:szCs w:val="24"/>
          <w:lang w:eastAsia="ko-KR"/>
        </w:rPr>
        <w:t xml:space="preserve">pH dung dịch được điều chỉnh từ 2, 4, 6, 8, 10 và 12 bằng dung dịch NaOH 0,1 M hoặc HCl 0,1 M. Sau đó, cho mẫu hạt FNPs và </w:t>
      </w:r>
      <w:r w:rsidR="008F548A" w:rsidRPr="008F548A">
        <w:rPr>
          <w:color w:val="000000"/>
          <w:szCs w:val="24"/>
          <w:lang w:eastAsia="ko-KR"/>
        </w:rPr>
        <w:t>PVP-</w:t>
      </w:r>
      <w:r w:rsidRPr="00723448">
        <w:rPr>
          <w:color w:val="000000"/>
          <w:szCs w:val="24"/>
          <w:lang w:eastAsia="ko-KR"/>
        </w:rPr>
        <w:t>FNPs vào mỗi bình, tiến hành lắc với tốc độ 150 vòng/phút trong 24 giờ, sau đó xác định lại pH sau của dung dịch. Bằng đồ thị ta xác định được pH</w:t>
      </w:r>
      <w:r w:rsidRPr="00723448">
        <w:rPr>
          <w:color w:val="000000"/>
          <w:szCs w:val="24"/>
          <w:vertAlign w:val="subscript"/>
          <w:lang w:eastAsia="ko-KR"/>
        </w:rPr>
        <w:t>pzc</w:t>
      </w:r>
      <w:r w:rsidR="008F548A">
        <w:rPr>
          <w:color w:val="000000"/>
          <w:szCs w:val="24"/>
          <w:lang w:eastAsia="ko-KR"/>
        </w:rPr>
        <w:t xml:space="preserve"> của FNPs và </w:t>
      </w:r>
      <w:r w:rsidRPr="00723448">
        <w:rPr>
          <w:color w:val="000000"/>
          <w:szCs w:val="24"/>
          <w:lang w:eastAsia="ko-KR"/>
        </w:rPr>
        <w:t>PVP-FNPs cần nghiên cứu.</w:t>
      </w:r>
    </w:p>
    <w:p w:rsidR="00154861" w:rsidRDefault="008955F0" w:rsidP="00685EE5">
      <w:pPr>
        <w:pStyle w:val="Heading3"/>
        <w:numPr>
          <w:ilvl w:val="1"/>
          <w:numId w:val="9"/>
        </w:numPr>
        <w:rPr>
          <w:lang w:val="en-US" w:eastAsia="ko-KR"/>
        </w:rPr>
      </w:pPr>
      <w:r>
        <w:rPr>
          <w:lang w:val="en-US" w:eastAsia="ko-KR"/>
        </w:rPr>
        <w:t xml:space="preserve">Cân bằng hấp phụ </w:t>
      </w:r>
    </w:p>
    <w:p w:rsidR="008955F0" w:rsidRPr="00AF7EE9" w:rsidRDefault="008955F0" w:rsidP="00723448">
      <w:pPr>
        <w:pStyle w:val="onvn"/>
        <w:rPr>
          <w:sz w:val="22"/>
        </w:rPr>
      </w:pPr>
      <w:r w:rsidRPr="00AF7EE9">
        <w:rPr>
          <w:sz w:val="22"/>
          <w:lang w:val="vi-VN"/>
        </w:rPr>
        <w:t xml:space="preserve">Phương trình hấp phụ đẳng nhiệt Langmuir có dạng: </w:t>
      </w:r>
      <w:r w:rsidR="00723448" w:rsidRPr="00AF7EE9">
        <w:rPr>
          <w:sz w:val="22"/>
        </w:rPr>
        <w:t xml:space="preserve"> </w:t>
      </w:r>
      <m:oMath>
        <m:f>
          <m:fPr>
            <m:ctrlPr>
              <w:rPr>
                <w:rFonts w:ascii="Cambria Math" w:hAnsi="Cambria Math"/>
                <w:i/>
                <w:sz w:val="22"/>
                <w:lang w:val="vi-VN"/>
              </w:rPr>
            </m:ctrlPr>
          </m:fPr>
          <m:num>
            <m:sSub>
              <m:sSubPr>
                <m:ctrlPr>
                  <w:rPr>
                    <w:rFonts w:ascii="Cambria Math" w:hAnsi="Cambria Math"/>
                    <w:i/>
                    <w:sz w:val="22"/>
                    <w:lang w:val="vi-VN"/>
                  </w:rPr>
                </m:ctrlPr>
              </m:sSubPr>
              <m:e>
                <m:r>
                  <w:rPr>
                    <w:rFonts w:ascii="Cambria Math" w:hAnsi="Cambria Math"/>
                    <w:sz w:val="22"/>
                    <w:lang w:val="vi-VN"/>
                  </w:rPr>
                  <m:t>q</m:t>
                </m:r>
              </m:e>
              <m:sub>
                <m:r>
                  <w:rPr>
                    <w:rFonts w:ascii="Cambria Math" w:hAnsi="Cambria Math"/>
                    <w:sz w:val="22"/>
                    <w:lang w:val="vi-VN"/>
                  </w:rPr>
                  <m:t>e</m:t>
                </m:r>
              </m:sub>
            </m:sSub>
          </m:num>
          <m:den>
            <m:sSub>
              <m:sSubPr>
                <m:ctrlPr>
                  <w:rPr>
                    <w:rFonts w:ascii="Cambria Math" w:hAnsi="Cambria Math"/>
                    <w:i/>
                    <w:sz w:val="22"/>
                    <w:lang w:val="vi-VN"/>
                  </w:rPr>
                </m:ctrlPr>
              </m:sSubPr>
              <m:e>
                <m:r>
                  <w:rPr>
                    <w:rFonts w:ascii="Cambria Math" w:hAnsi="Cambria Math"/>
                    <w:sz w:val="22"/>
                    <w:lang w:val="vi-VN"/>
                  </w:rPr>
                  <m:t>q</m:t>
                </m:r>
              </m:e>
              <m:sub>
                <m:r>
                  <w:rPr>
                    <w:rFonts w:ascii="Cambria Math" w:hAnsi="Cambria Math"/>
                    <w:sz w:val="22"/>
                    <w:lang w:val="vi-VN"/>
                  </w:rPr>
                  <m:t>m</m:t>
                </m:r>
              </m:sub>
            </m:sSub>
          </m:den>
        </m:f>
        <m:r>
          <w:rPr>
            <w:rFonts w:ascii="Cambria Math" w:hAnsi="Cambria Math"/>
            <w:sz w:val="22"/>
            <w:lang w:val="vi-VN"/>
          </w:rPr>
          <m:t>=θ=</m:t>
        </m:r>
        <m:f>
          <m:fPr>
            <m:ctrlPr>
              <w:rPr>
                <w:rFonts w:ascii="Cambria Math" w:hAnsi="Cambria Math"/>
                <w:i/>
                <w:sz w:val="22"/>
                <w:lang w:val="vi-VN"/>
              </w:rPr>
            </m:ctrlPr>
          </m:fPr>
          <m:num>
            <m:sSub>
              <m:sSubPr>
                <m:ctrlPr>
                  <w:rPr>
                    <w:rFonts w:ascii="Cambria Math" w:hAnsi="Cambria Math"/>
                    <w:i/>
                    <w:sz w:val="22"/>
                    <w:lang w:val="vi-VN"/>
                  </w:rPr>
                </m:ctrlPr>
              </m:sSubPr>
              <m:e>
                <m:r>
                  <w:rPr>
                    <w:rFonts w:ascii="Cambria Math" w:hAnsi="Cambria Math"/>
                    <w:sz w:val="22"/>
                    <w:lang w:val="vi-VN"/>
                  </w:rPr>
                  <m:t>K</m:t>
                </m:r>
              </m:e>
              <m:sub>
                <m:r>
                  <w:rPr>
                    <w:rFonts w:ascii="Cambria Math" w:hAnsi="Cambria Math"/>
                    <w:sz w:val="22"/>
                    <w:lang w:val="vi-VN"/>
                  </w:rPr>
                  <m:t>L</m:t>
                </m:r>
              </m:sub>
            </m:sSub>
            <m:sSub>
              <m:sSubPr>
                <m:ctrlPr>
                  <w:rPr>
                    <w:rFonts w:ascii="Cambria Math" w:hAnsi="Cambria Math"/>
                    <w:i/>
                    <w:sz w:val="22"/>
                    <w:lang w:val="vi-VN"/>
                  </w:rPr>
                </m:ctrlPr>
              </m:sSubPr>
              <m:e>
                <m:r>
                  <w:rPr>
                    <w:rFonts w:ascii="Cambria Math" w:hAnsi="Cambria Math"/>
                    <w:sz w:val="22"/>
                    <w:lang w:val="vi-VN"/>
                  </w:rPr>
                  <m:t>C</m:t>
                </m:r>
              </m:e>
              <m:sub>
                <m:r>
                  <w:rPr>
                    <w:rFonts w:ascii="Cambria Math" w:hAnsi="Cambria Math"/>
                    <w:sz w:val="22"/>
                    <w:lang w:val="vi-VN"/>
                  </w:rPr>
                  <m:t>e</m:t>
                </m:r>
              </m:sub>
            </m:sSub>
          </m:num>
          <m:den>
            <m:r>
              <w:rPr>
                <w:rFonts w:ascii="Cambria Math" w:hAnsi="Cambria Math"/>
                <w:sz w:val="22"/>
                <w:lang w:val="vi-VN"/>
              </w:rPr>
              <m:t>1+</m:t>
            </m:r>
            <m:sSub>
              <m:sSubPr>
                <m:ctrlPr>
                  <w:rPr>
                    <w:rFonts w:ascii="Cambria Math" w:hAnsi="Cambria Math"/>
                    <w:i/>
                    <w:sz w:val="22"/>
                    <w:lang w:val="vi-VN"/>
                  </w:rPr>
                </m:ctrlPr>
              </m:sSubPr>
              <m:e>
                <m:r>
                  <w:rPr>
                    <w:rFonts w:ascii="Cambria Math" w:hAnsi="Cambria Math"/>
                    <w:sz w:val="22"/>
                    <w:lang w:val="vi-VN"/>
                  </w:rPr>
                  <m:t>K</m:t>
                </m:r>
              </m:e>
              <m:sub>
                <m:r>
                  <w:rPr>
                    <w:rFonts w:ascii="Cambria Math" w:hAnsi="Cambria Math"/>
                    <w:sz w:val="22"/>
                    <w:lang w:val="vi-VN"/>
                  </w:rPr>
                  <m:t>L</m:t>
                </m:r>
              </m:sub>
            </m:sSub>
            <m:sSub>
              <m:sSubPr>
                <m:ctrlPr>
                  <w:rPr>
                    <w:rFonts w:ascii="Cambria Math" w:hAnsi="Cambria Math"/>
                    <w:i/>
                    <w:sz w:val="22"/>
                    <w:lang w:val="vi-VN"/>
                  </w:rPr>
                </m:ctrlPr>
              </m:sSubPr>
              <m:e>
                <m:r>
                  <w:rPr>
                    <w:rFonts w:ascii="Cambria Math" w:hAnsi="Cambria Math"/>
                    <w:sz w:val="22"/>
                    <w:lang w:val="vi-VN"/>
                  </w:rPr>
                  <m:t>C</m:t>
                </m:r>
              </m:e>
              <m:sub>
                <m:r>
                  <w:rPr>
                    <w:rFonts w:ascii="Cambria Math" w:hAnsi="Cambria Math"/>
                    <w:sz w:val="22"/>
                    <w:lang w:val="vi-VN"/>
                  </w:rPr>
                  <m:t>e</m:t>
                </m:r>
              </m:sub>
            </m:sSub>
          </m:den>
        </m:f>
      </m:oMath>
      <w:r w:rsidRPr="00AF7EE9">
        <w:rPr>
          <w:rFonts w:eastAsiaTheme="minorEastAsia"/>
          <w:sz w:val="22"/>
          <w:lang w:val="vi-VN"/>
        </w:rPr>
        <w:tab/>
      </w:r>
      <w:r w:rsidR="006B16AD" w:rsidRPr="00AF7EE9">
        <w:rPr>
          <w:rFonts w:eastAsiaTheme="minorEastAsia"/>
          <w:sz w:val="22"/>
        </w:rPr>
        <w:t xml:space="preserve"> (2)</w:t>
      </w:r>
    </w:p>
    <w:p w:rsidR="008955F0" w:rsidRPr="00AF7EE9" w:rsidRDefault="008955F0" w:rsidP="008955F0">
      <w:pPr>
        <w:pStyle w:val="onvn"/>
        <w:rPr>
          <w:sz w:val="22"/>
          <w:lang w:val="vi-VN"/>
        </w:rPr>
      </w:pPr>
      <w:r w:rsidRPr="00AF7EE9">
        <w:rPr>
          <w:sz w:val="22"/>
          <w:lang w:val="vi-VN"/>
        </w:rPr>
        <w:t xml:space="preserve">Trong đó: </w:t>
      </w:r>
    </w:p>
    <w:p w:rsidR="008955F0" w:rsidRPr="00AF7EE9" w:rsidRDefault="008955F0" w:rsidP="00685EE5">
      <w:pPr>
        <w:pStyle w:val="onvn"/>
        <w:ind w:firstLine="0"/>
        <w:rPr>
          <w:sz w:val="22"/>
          <w:lang w:val="vi-VN"/>
        </w:rPr>
      </w:pPr>
      <w:r w:rsidRPr="00AF7EE9">
        <w:rPr>
          <w:sz w:val="22"/>
          <w:lang w:val="vi-VN"/>
        </w:rPr>
        <w:t>q</w:t>
      </w:r>
      <w:r w:rsidRPr="00AF7EE9">
        <w:rPr>
          <w:sz w:val="22"/>
          <w:vertAlign w:val="subscript"/>
          <w:lang w:val="vi-VN"/>
        </w:rPr>
        <w:t>e</w:t>
      </w:r>
      <w:r w:rsidRPr="00AF7EE9">
        <w:rPr>
          <w:sz w:val="22"/>
          <w:lang w:val="vi-VN"/>
        </w:rPr>
        <w:t xml:space="preserve">: Dung lượng hấp phụ cân bằng (mg/g) </w:t>
      </w:r>
    </w:p>
    <w:p w:rsidR="008955F0" w:rsidRPr="00AF7EE9" w:rsidRDefault="008955F0" w:rsidP="00685EE5">
      <w:pPr>
        <w:pStyle w:val="onvn"/>
        <w:ind w:firstLine="0"/>
        <w:rPr>
          <w:sz w:val="22"/>
          <w:lang w:val="vi-VN"/>
        </w:rPr>
      </w:pPr>
      <w:r w:rsidRPr="00AF7EE9">
        <w:rPr>
          <w:sz w:val="22"/>
          <w:lang w:val="vi-VN"/>
        </w:rPr>
        <w:t>q</w:t>
      </w:r>
      <w:r w:rsidRPr="00AF7EE9">
        <w:rPr>
          <w:sz w:val="22"/>
          <w:vertAlign w:val="subscript"/>
          <w:lang w:val="vi-VN"/>
        </w:rPr>
        <w:t>m</w:t>
      </w:r>
      <w:r w:rsidRPr="00AF7EE9">
        <w:rPr>
          <w:sz w:val="22"/>
          <w:lang w:val="vi-VN"/>
        </w:rPr>
        <w:t xml:space="preserve">: Dung lượng hấp phụ cực đại (mg/g) </w:t>
      </w:r>
    </w:p>
    <w:p w:rsidR="008955F0" w:rsidRPr="00AF7EE9" w:rsidRDefault="008955F0" w:rsidP="00685EE5">
      <w:pPr>
        <w:pStyle w:val="onvn"/>
        <w:ind w:firstLine="0"/>
        <w:rPr>
          <w:sz w:val="22"/>
          <w:lang w:val="vi-VN"/>
        </w:rPr>
      </w:pPr>
      <w:r w:rsidRPr="00AF7EE9">
        <w:rPr>
          <w:i/>
          <w:sz w:val="22"/>
          <w:lang w:val="vi-VN"/>
        </w:rPr>
        <w:lastRenderedPageBreak/>
        <w:t>θ</w:t>
      </w:r>
      <w:r w:rsidRPr="00AF7EE9">
        <w:rPr>
          <w:sz w:val="22"/>
          <w:lang w:val="vi-VN"/>
        </w:rPr>
        <w:t xml:space="preserve">: Độ che phủ </w:t>
      </w:r>
    </w:p>
    <w:p w:rsidR="008955F0" w:rsidRPr="00AF7EE9" w:rsidRDefault="008955F0" w:rsidP="00685EE5">
      <w:pPr>
        <w:pStyle w:val="onvn"/>
        <w:ind w:firstLine="0"/>
        <w:rPr>
          <w:sz w:val="22"/>
          <w:lang w:val="vi-VN"/>
        </w:rPr>
      </w:pPr>
      <w:r w:rsidRPr="00AF7EE9">
        <w:rPr>
          <w:sz w:val="22"/>
          <w:lang w:val="vi-VN"/>
        </w:rPr>
        <w:t>C</w:t>
      </w:r>
      <w:r w:rsidRPr="00AF7EE9">
        <w:rPr>
          <w:sz w:val="22"/>
          <w:vertAlign w:val="subscript"/>
          <w:lang w:val="vi-VN"/>
        </w:rPr>
        <w:t>e</w:t>
      </w:r>
      <w:r w:rsidRPr="00AF7EE9">
        <w:rPr>
          <w:sz w:val="22"/>
          <w:lang w:val="vi-VN"/>
        </w:rPr>
        <w:t xml:space="preserve">:  Nồng độ của chất bị hấp phụ tại thời điểm cân bằng (mg/L) </w:t>
      </w:r>
    </w:p>
    <w:p w:rsidR="00685EE5" w:rsidRPr="00AF7EE9" w:rsidRDefault="008955F0" w:rsidP="00685EE5">
      <w:pPr>
        <w:pStyle w:val="onvn"/>
        <w:ind w:firstLine="0"/>
        <w:rPr>
          <w:sz w:val="22"/>
          <w:lang w:val="vi-VN"/>
        </w:rPr>
      </w:pPr>
      <w:r w:rsidRPr="00AF7EE9">
        <w:rPr>
          <w:sz w:val="22"/>
          <w:lang w:val="vi-VN"/>
        </w:rPr>
        <w:t>K</w:t>
      </w:r>
      <w:r w:rsidRPr="00AF7EE9">
        <w:rPr>
          <w:sz w:val="22"/>
          <w:vertAlign w:val="subscript"/>
          <w:lang w:val="vi-VN"/>
        </w:rPr>
        <w:t>L</w:t>
      </w:r>
      <w:r w:rsidRPr="00AF7EE9">
        <w:rPr>
          <w:sz w:val="22"/>
          <w:lang w:val="vi-VN"/>
        </w:rPr>
        <w:t>: Hằng số Langmuir (1/mg)</w:t>
      </w:r>
    </w:p>
    <w:p w:rsidR="00723448" w:rsidRPr="00AF7EE9" w:rsidRDefault="00723448" w:rsidP="00685EE5">
      <w:pPr>
        <w:pStyle w:val="onvn"/>
        <w:ind w:firstLine="0"/>
        <w:rPr>
          <w:sz w:val="22"/>
          <w:lang w:val="vi-VN"/>
        </w:rPr>
      </w:pPr>
      <w:r w:rsidRPr="00AF7EE9">
        <w:rPr>
          <w:sz w:val="22"/>
          <w:lang w:val="vi-VN"/>
        </w:rPr>
        <w:t xml:space="preserve">Phương trình hấp phụ đẳng nhiệt Freundlich có dạng: </w:t>
      </w:r>
      <m:oMath>
        <m:sSub>
          <m:sSubPr>
            <m:ctrlPr>
              <w:rPr>
                <w:rFonts w:ascii="Cambria Math" w:hAnsi="Cambria Math"/>
                <w:i/>
                <w:sz w:val="22"/>
                <w:lang w:val="vi-VN"/>
              </w:rPr>
            </m:ctrlPr>
          </m:sSubPr>
          <m:e>
            <m:r>
              <w:rPr>
                <w:rFonts w:ascii="Cambria Math" w:hAnsi="Cambria Math"/>
                <w:sz w:val="22"/>
                <w:lang w:val="vi-VN"/>
              </w:rPr>
              <m:t>q</m:t>
            </m:r>
          </m:e>
          <m:sub>
            <m:r>
              <w:rPr>
                <w:rFonts w:ascii="Cambria Math" w:hAnsi="Cambria Math"/>
                <w:sz w:val="22"/>
                <w:lang w:val="vi-VN"/>
              </w:rPr>
              <m:t>e</m:t>
            </m:r>
          </m:sub>
        </m:sSub>
        <m:r>
          <w:rPr>
            <w:rFonts w:ascii="Cambria Math" w:hAnsi="Cambria Math"/>
            <w:sz w:val="22"/>
            <w:lang w:val="vi-VN"/>
          </w:rPr>
          <m:t>=</m:t>
        </m:r>
        <m:sSub>
          <m:sSubPr>
            <m:ctrlPr>
              <w:rPr>
                <w:rFonts w:ascii="Cambria Math" w:hAnsi="Cambria Math"/>
                <w:i/>
                <w:sz w:val="22"/>
                <w:lang w:val="vi-VN"/>
              </w:rPr>
            </m:ctrlPr>
          </m:sSubPr>
          <m:e>
            <m:r>
              <w:rPr>
                <w:rFonts w:ascii="Cambria Math" w:hAnsi="Cambria Math"/>
                <w:sz w:val="22"/>
                <w:lang w:val="vi-VN"/>
              </w:rPr>
              <m:t>K</m:t>
            </m:r>
          </m:e>
          <m:sub>
            <m:r>
              <w:rPr>
                <w:rFonts w:ascii="Cambria Math" w:hAnsi="Cambria Math"/>
                <w:sz w:val="22"/>
                <w:lang w:val="vi-VN"/>
              </w:rPr>
              <m:t>F</m:t>
            </m:r>
          </m:sub>
        </m:sSub>
        <m:r>
          <w:rPr>
            <w:rFonts w:ascii="Cambria Math" w:hAnsi="Cambria Math"/>
            <w:sz w:val="22"/>
            <w:lang w:val="vi-VN"/>
          </w:rPr>
          <m:t>.</m:t>
        </m:r>
        <m:sSubSup>
          <m:sSubSupPr>
            <m:ctrlPr>
              <w:rPr>
                <w:rFonts w:ascii="Cambria Math" w:hAnsi="Cambria Math"/>
                <w:i/>
                <w:sz w:val="22"/>
                <w:lang w:val="vi-VN"/>
              </w:rPr>
            </m:ctrlPr>
          </m:sSubSupPr>
          <m:e>
            <m:r>
              <w:rPr>
                <w:rFonts w:ascii="Cambria Math" w:hAnsi="Cambria Math"/>
                <w:sz w:val="22"/>
                <w:lang w:val="vi-VN"/>
              </w:rPr>
              <m:t>C</m:t>
            </m:r>
          </m:e>
          <m:sub>
            <m:r>
              <w:rPr>
                <w:rFonts w:ascii="Cambria Math" w:hAnsi="Cambria Math"/>
                <w:sz w:val="22"/>
                <w:lang w:val="vi-VN"/>
              </w:rPr>
              <m:t>e</m:t>
            </m:r>
          </m:sub>
          <m:sup>
            <m:r>
              <w:rPr>
                <w:rFonts w:ascii="Cambria Math" w:hAnsi="Cambria Math"/>
                <w:sz w:val="22"/>
                <w:lang w:val="vi-VN"/>
              </w:rPr>
              <m:t>1/n</m:t>
            </m:r>
          </m:sup>
        </m:sSubSup>
      </m:oMath>
      <w:r w:rsidRPr="00AF7EE9">
        <w:rPr>
          <w:sz w:val="22"/>
          <w:lang w:val="vi-VN"/>
        </w:rPr>
        <w:tab/>
      </w:r>
      <w:r w:rsidR="006B16AD" w:rsidRPr="00AF7EE9">
        <w:rPr>
          <w:sz w:val="22"/>
          <w:lang w:val="vi-VN"/>
        </w:rPr>
        <w:t>(3)</w:t>
      </w:r>
    </w:p>
    <w:p w:rsidR="00723448" w:rsidRPr="00AF7EE9" w:rsidRDefault="00723448" w:rsidP="00685EE5">
      <w:pPr>
        <w:pStyle w:val="onvn"/>
        <w:ind w:firstLine="0"/>
        <w:rPr>
          <w:sz w:val="22"/>
          <w:lang w:val="vi-VN"/>
        </w:rPr>
      </w:pPr>
      <w:r w:rsidRPr="00AF7EE9">
        <w:rPr>
          <w:sz w:val="22"/>
          <w:lang w:val="vi-VN"/>
        </w:rPr>
        <w:t xml:space="preserve">Trong đó: </w:t>
      </w:r>
    </w:p>
    <w:p w:rsidR="00723448" w:rsidRPr="00AF7EE9" w:rsidRDefault="00723448" w:rsidP="00685EE5">
      <w:pPr>
        <w:pStyle w:val="onvn"/>
        <w:ind w:firstLine="0"/>
        <w:rPr>
          <w:sz w:val="22"/>
          <w:lang w:val="vi-VN"/>
        </w:rPr>
      </w:pPr>
      <w:r w:rsidRPr="00AF7EE9">
        <w:rPr>
          <w:sz w:val="22"/>
          <w:lang w:val="vi-VN"/>
        </w:rPr>
        <w:t>q</w:t>
      </w:r>
      <w:r w:rsidRPr="00AF7EE9">
        <w:rPr>
          <w:sz w:val="22"/>
          <w:vertAlign w:val="subscript"/>
          <w:lang w:val="vi-VN"/>
        </w:rPr>
        <w:t>e</w:t>
      </w:r>
      <w:r w:rsidRPr="00AF7EE9">
        <w:rPr>
          <w:sz w:val="22"/>
          <w:lang w:val="vi-VN"/>
        </w:rPr>
        <w:t xml:space="preserve">: Dung lượng hấp phụ cân bằng (mg/g) </w:t>
      </w:r>
    </w:p>
    <w:p w:rsidR="00723448" w:rsidRPr="00AF7EE9" w:rsidRDefault="00723448" w:rsidP="00685EE5">
      <w:pPr>
        <w:pStyle w:val="onvn"/>
        <w:ind w:firstLine="0"/>
        <w:rPr>
          <w:sz w:val="22"/>
          <w:lang w:val="vi-VN"/>
        </w:rPr>
      </w:pPr>
      <w:r w:rsidRPr="00AF7EE9">
        <w:rPr>
          <w:sz w:val="22"/>
          <w:lang w:val="vi-VN"/>
        </w:rPr>
        <w:t>K</w:t>
      </w:r>
      <w:r w:rsidRPr="00AF7EE9">
        <w:rPr>
          <w:sz w:val="22"/>
          <w:vertAlign w:val="subscript"/>
          <w:lang w:val="vi-VN"/>
        </w:rPr>
        <w:t>F</w:t>
      </w:r>
      <w:r w:rsidRPr="00AF7EE9">
        <w:rPr>
          <w:sz w:val="22"/>
          <w:lang w:val="vi-VN"/>
        </w:rPr>
        <w:t xml:space="preserve">: Hằng số hấp phụ Freundlich </w:t>
      </w:r>
    </w:p>
    <w:p w:rsidR="00723448" w:rsidRPr="00AF7EE9" w:rsidRDefault="00723448" w:rsidP="00685EE5">
      <w:pPr>
        <w:pStyle w:val="onvn"/>
        <w:ind w:firstLine="0"/>
        <w:rPr>
          <w:sz w:val="22"/>
          <w:lang w:val="vi-VN"/>
        </w:rPr>
      </w:pPr>
      <w:r w:rsidRPr="00AF7EE9">
        <w:rPr>
          <w:sz w:val="22"/>
          <w:lang w:val="vi-VN"/>
        </w:rPr>
        <w:t>C</w:t>
      </w:r>
      <w:r w:rsidRPr="00AF7EE9">
        <w:rPr>
          <w:sz w:val="22"/>
          <w:vertAlign w:val="subscript"/>
          <w:lang w:val="vi-VN"/>
        </w:rPr>
        <w:t>e</w:t>
      </w:r>
      <w:r w:rsidRPr="00AF7EE9">
        <w:rPr>
          <w:sz w:val="22"/>
          <w:lang w:val="vi-VN"/>
        </w:rPr>
        <w:t xml:space="preserve">:  Nồng độ của chất bị hấp phụ tại thời điểm cân bằng (mg/L) </w:t>
      </w:r>
    </w:p>
    <w:p w:rsidR="00723448" w:rsidRPr="00AF7EE9" w:rsidRDefault="00723448" w:rsidP="00685EE5">
      <w:pPr>
        <w:pStyle w:val="onvn"/>
        <w:ind w:firstLine="0"/>
        <w:rPr>
          <w:sz w:val="22"/>
          <w:lang w:val="vi-VN"/>
        </w:rPr>
      </w:pPr>
      <w:r w:rsidRPr="00AF7EE9">
        <w:rPr>
          <w:sz w:val="22"/>
          <w:lang w:val="vi-VN"/>
        </w:rPr>
        <w:t xml:space="preserve">n: Hằng số, luôn lớn hơn 1 </w:t>
      </w:r>
    </w:p>
    <w:p w:rsidR="00723448" w:rsidRPr="00AF7EE9" w:rsidRDefault="00723448" w:rsidP="00723448">
      <w:pPr>
        <w:pStyle w:val="onvn"/>
        <w:rPr>
          <w:sz w:val="22"/>
          <w:lang w:val="vi-VN"/>
        </w:rPr>
      </w:pPr>
      <w:r w:rsidRPr="00AF7EE9">
        <w:rPr>
          <w:sz w:val="22"/>
          <w:lang w:val="vi-VN"/>
        </w:rPr>
        <w:t>Mô hình đẳng nhiệt Dubinin – Radushkevich (D-R) là mô hình thực nghiệm được dùng để xác định bản chất của quá trình hấp phụ (vật lý hoặc hóa học).</w:t>
      </w:r>
    </w:p>
    <w:p w:rsidR="00723448" w:rsidRPr="00AF7EE9" w:rsidRDefault="00723448" w:rsidP="00723448">
      <w:pPr>
        <w:pStyle w:val="onvn"/>
        <w:rPr>
          <w:sz w:val="22"/>
          <w:lang w:val="vi-VN"/>
        </w:rPr>
      </w:pPr>
      <w:r w:rsidRPr="00AF7EE9">
        <w:rPr>
          <w:sz w:val="22"/>
          <w:lang w:val="vi-VN"/>
        </w:rPr>
        <w:t>Dạng tuyến tính của mô hình D-R:</w:t>
      </w:r>
    </w:p>
    <w:p w:rsidR="00723448" w:rsidRPr="00AF7EE9" w:rsidRDefault="00723448" w:rsidP="00723448">
      <w:pPr>
        <w:pStyle w:val="onvn"/>
        <w:jc w:val="center"/>
        <w:rPr>
          <w:sz w:val="22"/>
          <w:lang w:val="vi-VN"/>
        </w:rPr>
      </w:pPr>
      <m:oMath>
        <m:r>
          <w:rPr>
            <w:rFonts w:ascii="Cambria Math" w:hAnsi="Cambria Math"/>
            <w:sz w:val="22"/>
            <w:lang w:val="vi-VN"/>
          </w:rPr>
          <m:t>ln</m:t>
        </m:r>
        <m:sSub>
          <m:sSubPr>
            <m:ctrlPr>
              <w:rPr>
                <w:rFonts w:ascii="Cambria Math" w:hAnsi="Cambria Math"/>
                <w:i/>
                <w:sz w:val="22"/>
                <w:lang w:val="vi-VN"/>
              </w:rPr>
            </m:ctrlPr>
          </m:sSubPr>
          <m:e>
            <m:r>
              <w:rPr>
                <w:rFonts w:ascii="Cambria Math" w:hAnsi="Cambria Math"/>
                <w:sz w:val="22"/>
                <w:lang w:val="vi-VN"/>
              </w:rPr>
              <m:t>q</m:t>
            </m:r>
          </m:e>
          <m:sub>
            <m:r>
              <w:rPr>
                <w:rFonts w:ascii="Cambria Math" w:hAnsi="Cambria Math"/>
                <w:sz w:val="22"/>
                <w:lang w:val="vi-VN"/>
              </w:rPr>
              <m:t>e</m:t>
            </m:r>
          </m:sub>
        </m:sSub>
        <m:r>
          <w:rPr>
            <w:rFonts w:ascii="Cambria Math" w:hAnsi="Cambria Math"/>
            <w:sz w:val="22"/>
            <w:lang w:val="vi-VN"/>
          </w:rPr>
          <m:t>=ln</m:t>
        </m:r>
        <m:sSub>
          <m:sSubPr>
            <m:ctrlPr>
              <w:rPr>
                <w:rFonts w:ascii="Cambria Math" w:hAnsi="Cambria Math"/>
                <w:i/>
                <w:sz w:val="22"/>
                <w:lang w:val="vi-VN"/>
              </w:rPr>
            </m:ctrlPr>
          </m:sSubPr>
          <m:e>
            <m:r>
              <w:rPr>
                <w:rFonts w:ascii="Cambria Math" w:hAnsi="Cambria Math"/>
                <w:sz w:val="22"/>
                <w:lang w:val="vi-VN"/>
              </w:rPr>
              <m:t>q</m:t>
            </m:r>
          </m:e>
          <m:sub>
            <m:r>
              <w:rPr>
                <w:rFonts w:ascii="Cambria Math" w:hAnsi="Cambria Math"/>
                <w:sz w:val="22"/>
                <w:lang w:val="vi-VN"/>
              </w:rPr>
              <m:t>m</m:t>
            </m:r>
          </m:sub>
        </m:sSub>
        <m:r>
          <w:rPr>
            <w:rFonts w:ascii="Cambria Math" w:hAnsi="Cambria Math"/>
            <w:sz w:val="22"/>
            <w:lang w:val="vi-VN"/>
          </w:rPr>
          <m:t>- β</m:t>
        </m:r>
        <m:sSup>
          <m:sSupPr>
            <m:ctrlPr>
              <w:rPr>
                <w:rFonts w:ascii="Cambria Math" w:hAnsi="Cambria Math"/>
                <w:i/>
                <w:sz w:val="22"/>
                <w:lang w:val="vi-VN"/>
              </w:rPr>
            </m:ctrlPr>
          </m:sSupPr>
          <m:e>
            <m:r>
              <w:rPr>
                <w:rFonts w:ascii="Cambria Math" w:hAnsi="Cambria Math"/>
                <w:sz w:val="22"/>
                <w:lang w:val="vi-VN"/>
              </w:rPr>
              <m:t>ε</m:t>
            </m:r>
          </m:e>
          <m:sup>
            <m:r>
              <w:rPr>
                <w:rFonts w:ascii="Cambria Math" w:hAnsi="Cambria Math"/>
                <w:sz w:val="22"/>
                <w:lang w:val="vi-VN"/>
              </w:rPr>
              <m:t>2</m:t>
            </m:r>
          </m:sup>
        </m:sSup>
      </m:oMath>
      <w:r w:rsidR="00685EE5" w:rsidRPr="00AF7EE9">
        <w:rPr>
          <w:sz w:val="22"/>
          <w:lang w:val="vi-VN"/>
        </w:rPr>
        <w:tab/>
      </w:r>
      <w:r w:rsidR="006B16AD" w:rsidRPr="00AF7EE9">
        <w:rPr>
          <w:sz w:val="22"/>
          <w:lang w:val="vi-VN"/>
        </w:rPr>
        <w:t>(4)</w:t>
      </w:r>
      <w:r w:rsidRPr="00AF7EE9">
        <w:rPr>
          <w:sz w:val="22"/>
          <w:lang w:val="vi-VN"/>
        </w:rPr>
        <w:tab/>
      </w:r>
    </w:p>
    <w:p w:rsidR="00723448" w:rsidRPr="00AF7EE9" w:rsidRDefault="00723448" w:rsidP="00685EE5">
      <w:pPr>
        <w:pStyle w:val="onvn"/>
        <w:ind w:firstLine="0"/>
        <w:rPr>
          <w:sz w:val="22"/>
          <w:lang w:val="vi-VN"/>
        </w:rPr>
      </w:pPr>
      <w:r w:rsidRPr="00AF7EE9">
        <w:rPr>
          <w:sz w:val="22"/>
          <w:lang w:val="vi-VN"/>
        </w:rPr>
        <w:t>Trong đó:</w:t>
      </w:r>
    </w:p>
    <w:p w:rsidR="00723448" w:rsidRPr="00AF7EE9" w:rsidRDefault="00723448" w:rsidP="00685EE5">
      <w:pPr>
        <w:pStyle w:val="onvn"/>
        <w:ind w:firstLine="0"/>
        <w:rPr>
          <w:sz w:val="22"/>
          <w:lang w:val="vi-VN"/>
        </w:rPr>
      </w:pPr>
      <w:r w:rsidRPr="00AF7EE9">
        <w:rPr>
          <w:sz w:val="22"/>
          <w:lang w:val="vi-VN"/>
        </w:rPr>
        <w:t xml:space="preserve"> q</w:t>
      </w:r>
      <w:r w:rsidRPr="00AF7EE9">
        <w:rPr>
          <w:sz w:val="22"/>
          <w:vertAlign w:val="subscript"/>
          <w:lang w:val="vi-VN"/>
        </w:rPr>
        <w:t>e</w:t>
      </w:r>
      <w:r w:rsidRPr="00AF7EE9">
        <w:rPr>
          <w:sz w:val="22"/>
          <w:lang w:val="vi-VN"/>
        </w:rPr>
        <w:t xml:space="preserve">: lượng </w:t>
      </w:r>
      <w:r w:rsidR="000D4549" w:rsidRPr="00AF7EE9">
        <w:rPr>
          <w:sz w:val="22"/>
          <w:lang w:val="vi-VN"/>
        </w:rPr>
        <w:t xml:space="preserve">chất </w:t>
      </w:r>
      <w:r w:rsidRPr="00AF7EE9">
        <w:rPr>
          <w:sz w:val="22"/>
          <w:lang w:val="vi-VN"/>
        </w:rPr>
        <w:t xml:space="preserve">bị hấp phụ trên một đơn vị khối lượng vật liệu (mg/g) </w:t>
      </w:r>
    </w:p>
    <w:p w:rsidR="00723448" w:rsidRPr="00AF7EE9" w:rsidRDefault="00723448" w:rsidP="00685EE5">
      <w:pPr>
        <w:pStyle w:val="onvn"/>
        <w:ind w:firstLine="0"/>
        <w:rPr>
          <w:sz w:val="22"/>
          <w:lang w:val="vi-VN"/>
        </w:rPr>
      </w:pPr>
      <w:r w:rsidRPr="00AF7EE9">
        <w:rPr>
          <w:sz w:val="22"/>
          <w:lang w:val="vi-VN"/>
        </w:rPr>
        <w:t>q</w:t>
      </w:r>
      <w:r w:rsidRPr="00AF7EE9">
        <w:rPr>
          <w:sz w:val="22"/>
          <w:vertAlign w:val="subscript"/>
          <w:lang w:val="vi-VN"/>
        </w:rPr>
        <w:t>m</w:t>
      </w:r>
      <w:r w:rsidRPr="00AF7EE9">
        <w:rPr>
          <w:sz w:val="22"/>
          <w:lang w:val="vi-VN"/>
        </w:rPr>
        <w:t xml:space="preserve"> (mg/g) là khả năng hấp phụ tối đa (mg/g)</w:t>
      </w:r>
    </w:p>
    <w:p w:rsidR="00723448" w:rsidRPr="00AF7EE9" w:rsidRDefault="00723448" w:rsidP="00685EE5">
      <w:pPr>
        <w:pStyle w:val="onvn"/>
        <w:ind w:firstLine="0"/>
        <w:rPr>
          <w:sz w:val="22"/>
          <w:lang w:val="vi-VN"/>
        </w:rPr>
      </w:pPr>
      <m:oMath>
        <m:r>
          <w:rPr>
            <w:rFonts w:ascii="Cambria Math" w:hAnsi="Cambria Math"/>
            <w:sz w:val="22"/>
            <w:lang w:val="vi-VN"/>
          </w:rPr>
          <m:t xml:space="preserve">β </m:t>
        </m:r>
      </m:oMath>
      <w:r w:rsidRPr="00AF7EE9">
        <w:rPr>
          <w:sz w:val="22"/>
          <w:lang w:val="vi-VN"/>
        </w:rPr>
        <w:t>là hằng số của năng lượng hấp phụ (mol</w:t>
      </w:r>
      <w:r w:rsidRPr="00AF7EE9">
        <w:rPr>
          <w:sz w:val="22"/>
          <w:vertAlign w:val="superscript"/>
          <w:lang w:val="vi-VN"/>
        </w:rPr>
        <w:t>2</w:t>
      </w:r>
      <w:r w:rsidRPr="00AF7EE9">
        <w:rPr>
          <w:sz w:val="22"/>
          <w:lang w:val="vi-VN"/>
        </w:rPr>
        <w:t>/J</w:t>
      </w:r>
      <w:r w:rsidRPr="00AF7EE9">
        <w:rPr>
          <w:sz w:val="22"/>
          <w:vertAlign w:val="superscript"/>
          <w:lang w:val="vi-VN"/>
        </w:rPr>
        <w:t>2</w:t>
      </w:r>
      <w:r w:rsidRPr="00AF7EE9">
        <w:rPr>
          <w:sz w:val="22"/>
          <w:lang w:val="vi-VN"/>
        </w:rPr>
        <w:t>),</w:t>
      </w:r>
    </w:p>
    <w:p w:rsidR="00723448" w:rsidRPr="00AF7EE9" w:rsidRDefault="00723448" w:rsidP="00685EE5">
      <w:pPr>
        <w:pStyle w:val="onvn"/>
        <w:ind w:firstLine="0"/>
        <w:rPr>
          <w:sz w:val="22"/>
          <w:lang w:val="vi-VN"/>
        </w:rPr>
      </w:pPr>
      <w:r w:rsidRPr="00AF7EE9">
        <w:rPr>
          <w:sz w:val="22"/>
          <w:lang w:val="vi-VN"/>
        </w:rPr>
        <w:t xml:space="preserve"> ε là thế Polanyi. </w:t>
      </w:r>
    </w:p>
    <w:p w:rsidR="00723448" w:rsidRPr="00B84680" w:rsidRDefault="00723448" w:rsidP="00B84680">
      <w:pPr>
        <w:pStyle w:val="onvn"/>
        <w:rPr>
          <w:sz w:val="22"/>
          <w:lang w:val="vi-VN"/>
        </w:rPr>
      </w:pPr>
      <w:r w:rsidRPr="00AF7EE9">
        <w:rPr>
          <w:sz w:val="22"/>
          <w:lang w:val="vi-VN"/>
        </w:rPr>
        <w:t xml:space="preserve">Với </w:t>
      </w:r>
      <m:oMath>
        <m:r>
          <w:rPr>
            <w:rFonts w:ascii="Cambria Math" w:hAnsi="Cambria Math"/>
            <w:sz w:val="22"/>
            <w:lang w:val="vi-VN"/>
          </w:rPr>
          <m:t xml:space="preserve">ε=RTln(1+ </m:t>
        </m:r>
        <m:f>
          <m:fPr>
            <m:ctrlPr>
              <w:rPr>
                <w:rFonts w:ascii="Cambria Math" w:hAnsi="Cambria Math"/>
                <w:i/>
                <w:sz w:val="22"/>
                <w:lang w:val="vi-VN"/>
              </w:rPr>
            </m:ctrlPr>
          </m:fPr>
          <m:num>
            <m:r>
              <w:rPr>
                <w:rFonts w:ascii="Cambria Math" w:hAnsi="Cambria Math"/>
                <w:sz w:val="22"/>
                <w:lang w:val="vi-VN"/>
              </w:rPr>
              <m:t>1</m:t>
            </m:r>
          </m:num>
          <m:den>
            <m:r>
              <w:rPr>
                <w:rFonts w:ascii="Cambria Math" w:hAnsi="Cambria Math"/>
                <w:sz w:val="22"/>
                <w:lang w:val="vi-VN"/>
              </w:rPr>
              <m:t>Ce</m:t>
            </m:r>
          </m:den>
        </m:f>
        <m:r>
          <w:rPr>
            <w:rFonts w:ascii="Cambria Math" w:hAnsi="Cambria Math"/>
            <w:sz w:val="22"/>
            <w:lang w:val="vi-VN"/>
          </w:rPr>
          <m:t>)</m:t>
        </m:r>
      </m:oMath>
      <w:r w:rsidRPr="00AF7EE9">
        <w:rPr>
          <w:sz w:val="22"/>
          <w:lang w:val="vi-VN"/>
        </w:rPr>
        <w:t xml:space="preserve"> (T là nhiệt độ dung dịch (K) và R là hằng số khí và bằng 8,314.10</w:t>
      </w:r>
      <w:r w:rsidRPr="00AF7EE9">
        <w:rPr>
          <w:sz w:val="22"/>
          <w:vertAlign w:val="superscript"/>
          <w:lang w:val="vi-VN"/>
        </w:rPr>
        <w:t>-3</w:t>
      </w:r>
      <w:r w:rsidRPr="00AF7EE9">
        <w:rPr>
          <w:sz w:val="22"/>
          <w:lang w:val="vi-VN"/>
        </w:rPr>
        <w:t xml:space="preserve"> kJ/mol.K). Giá trị của năng lượng hấp phụ trung bình, E (kJ/mol), có thể được tính toán từ D-R theo tham số </w:t>
      </w:r>
      <m:oMath>
        <m:r>
          <w:rPr>
            <w:rFonts w:ascii="Cambria Math" w:hAnsi="Cambria Math"/>
            <w:sz w:val="22"/>
            <w:lang w:val="vi-VN"/>
          </w:rPr>
          <m:t>β</m:t>
        </m:r>
      </m:oMath>
      <w:r w:rsidRPr="00AF7EE9">
        <w:rPr>
          <w:sz w:val="22"/>
          <w:lang w:val="vi-VN"/>
        </w:rPr>
        <w:t xml:space="preserve"> như sau: E = </w:t>
      </w:r>
      <m:oMath>
        <m:f>
          <m:fPr>
            <m:ctrlPr>
              <w:rPr>
                <w:rFonts w:ascii="Cambria Math" w:hAnsi="Cambria Math"/>
                <w:i/>
                <w:sz w:val="22"/>
              </w:rPr>
            </m:ctrlPr>
          </m:fPr>
          <m:num>
            <m:r>
              <w:rPr>
                <w:rFonts w:ascii="Cambria Math" w:hAnsi="Cambria Math"/>
                <w:sz w:val="22"/>
                <w:lang w:val="vi-VN"/>
              </w:rPr>
              <m:t>1</m:t>
            </m:r>
          </m:num>
          <m:den>
            <m:rad>
              <m:radPr>
                <m:degHide m:val="1"/>
                <m:ctrlPr>
                  <w:rPr>
                    <w:rFonts w:ascii="Cambria Math" w:hAnsi="Cambria Math"/>
                    <w:i/>
                    <w:sz w:val="22"/>
                  </w:rPr>
                </m:ctrlPr>
              </m:radPr>
              <m:deg/>
              <m:e>
                <m:r>
                  <w:rPr>
                    <w:rFonts w:ascii="Cambria Math" w:hAnsi="Cambria Math"/>
                    <w:sz w:val="22"/>
                    <w:lang w:val="vi-VN"/>
                  </w:rPr>
                  <m:t>2β</m:t>
                </m:r>
              </m:e>
            </m:rad>
          </m:den>
        </m:f>
      </m:oMath>
      <w:r w:rsidR="00B84680" w:rsidRPr="00B84680">
        <w:rPr>
          <w:rFonts w:eastAsiaTheme="minorEastAsia"/>
          <w:sz w:val="22"/>
          <w:lang w:val="vi-VN"/>
        </w:rPr>
        <w:t xml:space="preserve">. </w:t>
      </w:r>
      <w:r w:rsidRPr="00B84680">
        <w:rPr>
          <w:sz w:val="22"/>
          <w:lang w:val="vi-VN"/>
        </w:rPr>
        <w:t xml:space="preserve">Giá trị của năng lượng hấp phụ trung bình cho biết bản chất của quá trình hấp phụ. </w:t>
      </w:r>
      <w:r w:rsidRPr="00B84680">
        <w:rPr>
          <w:sz w:val="22"/>
        </w:rPr>
        <w:t>Khi giá trị E nhỏ hơn 8 kJ/mol thì quá trình hấp phụ là hấp phụ vật lý và 8 - 16 kJ/ mol là quá trình hấp phụ hóa học</w:t>
      </w:r>
      <w:r w:rsidR="00D36645" w:rsidRPr="00B84680">
        <w:rPr>
          <w:sz w:val="22"/>
        </w:rPr>
        <w:t>.</w:t>
      </w:r>
    </w:p>
    <w:p w:rsidR="006B16AD" w:rsidRPr="00AF7EE9" w:rsidRDefault="006B16AD" w:rsidP="006B16AD">
      <w:pPr>
        <w:pStyle w:val="onvn"/>
        <w:rPr>
          <w:sz w:val="22"/>
          <w:lang w:val="vi-VN"/>
        </w:rPr>
      </w:pPr>
      <w:r w:rsidRPr="006B16AD">
        <w:rPr>
          <w:sz w:val="22"/>
          <w:lang w:val="vi-VN"/>
        </w:rPr>
        <w:t>Đường đẳng nhiệt Temkin được biểu diễn bở</w:t>
      </w:r>
      <w:r w:rsidR="00AF7EE9">
        <w:rPr>
          <w:sz w:val="22"/>
          <w:lang w:val="vi-VN"/>
        </w:rPr>
        <w:t>i phương trình sau</w:t>
      </w:r>
      <w:r w:rsidR="00AF7EE9" w:rsidRPr="00AF7EE9">
        <w:rPr>
          <w:sz w:val="22"/>
          <w:lang w:val="vi-VN"/>
        </w:rPr>
        <w:t xml:space="preserve">: </w:t>
      </w:r>
    </w:p>
    <w:p w:rsidR="006B16AD" w:rsidRDefault="006B16AD" w:rsidP="006B16AD">
      <w:pPr>
        <w:pStyle w:val="onvn"/>
        <w:rPr>
          <w:sz w:val="22"/>
          <w:lang w:val="vi-VN"/>
        </w:rPr>
      </w:pPr>
      <w:r w:rsidRPr="006B16AD">
        <w:rPr>
          <w:rFonts w:eastAsiaTheme="minorEastAsia"/>
          <w:sz w:val="22"/>
          <w:lang w:val="vi-VN"/>
        </w:rPr>
        <w:t xml:space="preserve"> </w:t>
      </w:r>
      <m:oMath>
        <m:sSub>
          <m:sSubPr>
            <m:ctrlPr>
              <w:rPr>
                <w:rFonts w:ascii="Cambria Math" w:hAnsi="Cambria Math"/>
                <w:i/>
                <w:sz w:val="22"/>
                <w:lang w:val="vi-VN"/>
              </w:rPr>
            </m:ctrlPr>
          </m:sSubPr>
          <m:e>
            <m:r>
              <w:rPr>
                <w:rFonts w:ascii="Cambria Math" w:hAnsi="Cambria Math"/>
                <w:sz w:val="22"/>
                <w:lang w:val="vi-VN"/>
              </w:rPr>
              <m:t>q</m:t>
            </m:r>
          </m:e>
          <m:sub>
            <m:r>
              <w:rPr>
                <w:rFonts w:ascii="Cambria Math" w:hAnsi="Cambria Math"/>
                <w:sz w:val="22"/>
                <w:lang w:val="vi-VN"/>
              </w:rPr>
              <m:t>e</m:t>
            </m:r>
          </m:sub>
        </m:sSub>
        <m:r>
          <w:rPr>
            <w:rFonts w:ascii="Cambria Math" w:hAnsi="Cambria Math"/>
            <w:sz w:val="22"/>
            <w:lang w:val="vi-VN"/>
          </w:rPr>
          <m:t xml:space="preserve">= </m:t>
        </m:r>
        <m:f>
          <m:fPr>
            <m:ctrlPr>
              <w:rPr>
                <w:rFonts w:ascii="Cambria Math" w:hAnsi="Cambria Math"/>
                <w:i/>
                <w:sz w:val="22"/>
                <w:lang w:val="vi-VN"/>
              </w:rPr>
            </m:ctrlPr>
          </m:fPr>
          <m:num>
            <m:r>
              <w:rPr>
                <w:rFonts w:ascii="Cambria Math" w:hAnsi="Cambria Math"/>
                <w:sz w:val="22"/>
                <w:lang w:val="vi-VN"/>
              </w:rPr>
              <m:t>RT</m:t>
            </m:r>
          </m:num>
          <m:den>
            <m:sSub>
              <m:sSubPr>
                <m:ctrlPr>
                  <w:rPr>
                    <w:rFonts w:ascii="Cambria Math" w:hAnsi="Cambria Math"/>
                    <w:i/>
                    <w:sz w:val="22"/>
                    <w:lang w:val="vi-VN"/>
                  </w:rPr>
                </m:ctrlPr>
              </m:sSubPr>
              <m:e>
                <m:r>
                  <w:rPr>
                    <w:rFonts w:ascii="Cambria Math" w:hAnsi="Cambria Math"/>
                    <w:sz w:val="22"/>
                    <w:lang w:val="vi-VN"/>
                  </w:rPr>
                  <m:t>b</m:t>
                </m:r>
              </m:e>
              <m:sub>
                <m:r>
                  <w:rPr>
                    <w:rFonts w:ascii="Cambria Math" w:hAnsi="Cambria Math"/>
                    <w:sz w:val="22"/>
                    <w:lang w:val="vi-VN"/>
                  </w:rPr>
                  <m:t>T</m:t>
                </m:r>
              </m:sub>
            </m:sSub>
          </m:den>
        </m:f>
        <m:r>
          <w:rPr>
            <w:rFonts w:ascii="Cambria Math" w:hAnsi="Cambria Math"/>
            <w:sz w:val="22"/>
            <w:lang w:val="vi-VN"/>
          </w:rPr>
          <m:t>ln(</m:t>
        </m:r>
        <m:sSub>
          <m:sSubPr>
            <m:ctrlPr>
              <w:rPr>
                <w:rFonts w:ascii="Cambria Math" w:hAnsi="Cambria Math"/>
                <w:i/>
                <w:sz w:val="22"/>
                <w:lang w:val="vi-VN"/>
              </w:rPr>
            </m:ctrlPr>
          </m:sSubPr>
          <m:e>
            <m:r>
              <w:rPr>
                <w:rFonts w:ascii="Cambria Math" w:hAnsi="Cambria Math"/>
                <w:sz w:val="22"/>
                <w:lang w:val="vi-VN"/>
              </w:rPr>
              <m:t>K</m:t>
            </m:r>
          </m:e>
          <m:sub>
            <m:r>
              <w:rPr>
                <w:rFonts w:ascii="Cambria Math" w:hAnsi="Cambria Math"/>
                <w:sz w:val="22"/>
                <w:lang w:val="vi-VN"/>
              </w:rPr>
              <m:t>T</m:t>
            </m:r>
          </m:sub>
        </m:sSub>
        <m:sSub>
          <m:sSubPr>
            <m:ctrlPr>
              <w:rPr>
                <w:rFonts w:ascii="Cambria Math" w:hAnsi="Cambria Math"/>
                <w:i/>
                <w:sz w:val="22"/>
                <w:lang w:val="vi-VN"/>
              </w:rPr>
            </m:ctrlPr>
          </m:sSubPr>
          <m:e>
            <m:r>
              <w:rPr>
                <w:rFonts w:ascii="Cambria Math" w:hAnsi="Cambria Math"/>
                <w:sz w:val="22"/>
                <w:lang w:val="vi-VN"/>
              </w:rPr>
              <m:t>C</m:t>
            </m:r>
          </m:e>
          <m:sub>
            <m:r>
              <w:rPr>
                <w:rFonts w:ascii="Cambria Math" w:hAnsi="Cambria Math"/>
                <w:sz w:val="22"/>
                <w:lang w:val="vi-VN"/>
              </w:rPr>
              <m:t>e</m:t>
            </m:r>
          </m:sub>
        </m:sSub>
      </m:oMath>
      <w:r>
        <w:rPr>
          <w:sz w:val="22"/>
          <w:lang w:val="vi-VN"/>
        </w:rPr>
        <w:t>)  (5)</w:t>
      </w:r>
    </w:p>
    <w:p w:rsidR="006B16AD" w:rsidRPr="006B16AD" w:rsidRDefault="006B16AD" w:rsidP="006B16AD">
      <w:pPr>
        <w:pStyle w:val="onvn"/>
        <w:ind w:firstLine="0"/>
        <w:rPr>
          <w:sz w:val="22"/>
          <w:lang w:val="vi-VN"/>
        </w:rPr>
      </w:pPr>
      <w:r w:rsidRPr="006B16AD">
        <w:rPr>
          <w:sz w:val="22"/>
          <w:lang w:val="vi-VN"/>
        </w:rPr>
        <w:lastRenderedPageBreak/>
        <w:t xml:space="preserve">Trong đó </w:t>
      </w:r>
    </w:p>
    <w:p w:rsidR="006B16AD" w:rsidRPr="006B16AD" w:rsidRDefault="006B16AD" w:rsidP="006B16AD">
      <w:pPr>
        <w:pStyle w:val="onvn"/>
        <w:ind w:firstLine="0"/>
        <w:rPr>
          <w:sz w:val="22"/>
          <w:lang w:val="vi-VN"/>
        </w:rPr>
      </w:pPr>
      <w:r w:rsidRPr="006B16AD">
        <w:rPr>
          <w:sz w:val="22"/>
          <w:lang w:val="vi-VN"/>
        </w:rPr>
        <w:t>B = RT/b</w:t>
      </w:r>
      <w:r w:rsidRPr="006B16AD">
        <w:rPr>
          <w:sz w:val="22"/>
          <w:vertAlign w:val="subscript"/>
          <w:lang w:val="vi-VN"/>
        </w:rPr>
        <w:t>T</w:t>
      </w:r>
      <w:r w:rsidRPr="006B16AD">
        <w:rPr>
          <w:sz w:val="22"/>
          <w:lang w:val="vi-VN"/>
        </w:rPr>
        <w:t xml:space="preserve">, </w:t>
      </w:r>
    </w:p>
    <w:p w:rsidR="006B16AD" w:rsidRPr="006B16AD" w:rsidRDefault="006B16AD" w:rsidP="006B16AD">
      <w:pPr>
        <w:pStyle w:val="onvn"/>
        <w:ind w:firstLine="0"/>
        <w:rPr>
          <w:sz w:val="22"/>
          <w:lang w:val="vi-VN"/>
        </w:rPr>
      </w:pPr>
      <w:r w:rsidRPr="006B16AD">
        <w:rPr>
          <w:sz w:val="22"/>
          <w:lang w:val="vi-VN"/>
        </w:rPr>
        <w:t>T là nhiệt độ tuyệt đối (K)</w:t>
      </w:r>
    </w:p>
    <w:p w:rsidR="006B16AD" w:rsidRPr="006B16AD" w:rsidRDefault="006B16AD" w:rsidP="006B16AD">
      <w:pPr>
        <w:pStyle w:val="onvn"/>
        <w:ind w:firstLine="0"/>
        <w:rPr>
          <w:sz w:val="22"/>
          <w:lang w:val="vi-VN"/>
        </w:rPr>
      </w:pPr>
      <w:r w:rsidRPr="006B16AD">
        <w:rPr>
          <w:sz w:val="22"/>
          <w:lang w:val="vi-VN"/>
        </w:rPr>
        <w:t>R là hằng số khí (có giá trị bằng 8,314.10</w:t>
      </w:r>
      <w:r w:rsidRPr="006B16AD">
        <w:rPr>
          <w:sz w:val="22"/>
          <w:vertAlign w:val="superscript"/>
          <w:lang w:val="vi-VN"/>
        </w:rPr>
        <w:t>-3</w:t>
      </w:r>
      <w:r w:rsidRPr="006B16AD">
        <w:rPr>
          <w:sz w:val="22"/>
          <w:lang w:val="vi-VN"/>
        </w:rPr>
        <w:t>kJ/mol.K)</w:t>
      </w:r>
    </w:p>
    <w:p w:rsidR="006B16AD" w:rsidRPr="006B16AD" w:rsidRDefault="006B16AD" w:rsidP="006B16AD">
      <w:pPr>
        <w:pStyle w:val="onvn"/>
        <w:ind w:firstLine="0"/>
        <w:rPr>
          <w:sz w:val="22"/>
          <w:lang w:val="vi-VN"/>
        </w:rPr>
      </w:pPr>
      <w:r w:rsidRPr="006B16AD">
        <w:rPr>
          <w:sz w:val="22"/>
          <w:lang w:val="vi-VN"/>
        </w:rPr>
        <w:t>b</w:t>
      </w:r>
      <w:r w:rsidRPr="006B16AD">
        <w:rPr>
          <w:sz w:val="22"/>
          <w:vertAlign w:val="subscript"/>
          <w:lang w:val="vi-VN"/>
        </w:rPr>
        <w:t>T</w:t>
      </w:r>
      <w:r w:rsidRPr="006B16AD">
        <w:rPr>
          <w:sz w:val="22"/>
          <w:lang w:val="vi-VN"/>
        </w:rPr>
        <w:t xml:space="preserve"> là hằng số Temkin, có liên quan đến nhiệt hấp phụ (kJ/mol). </w:t>
      </w:r>
    </w:p>
    <w:p w:rsidR="00723448" w:rsidRPr="00AF7EE9" w:rsidRDefault="00723448" w:rsidP="00723448">
      <w:pPr>
        <w:pStyle w:val="onvn"/>
        <w:rPr>
          <w:sz w:val="22"/>
          <w:lang w:val="vi-VN"/>
        </w:rPr>
      </w:pPr>
      <w:r w:rsidRPr="00AF7EE9">
        <w:rPr>
          <w:sz w:val="22"/>
          <w:lang w:val="vi-VN"/>
        </w:rPr>
        <w:t>Phương trình động học biểu kiến bậc 1 dạng tuyến tính được biểu diễn như sau:</w:t>
      </w:r>
    </w:p>
    <w:p w:rsidR="00723448" w:rsidRPr="00AF7EE9" w:rsidRDefault="00723448" w:rsidP="00723448">
      <w:pPr>
        <w:pStyle w:val="onvn"/>
        <w:jc w:val="center"/>
        <w:rPr>
          <w:sz w:val="22"/>
          <w:lang w:val="vi-VN"/>
        </w:rPr>
      </w:pPr>
      <m:oMath>
        <m:r>
          <w:rPr>
            <w:rFonts w:ascii="Cambria Math" w:eastAsiaTheme="minorEastAsia" w:hAnsi="Cambria Math"/>
            <w:sz w:val="22"/>
            <w:lang w:val="vi-VN"/>
          </w:rPr>
          <m:t>ln(</m:t>
        </m:r>
        <m:sSub>
          <m:sSubPr>
            <m:ctrlPr>
              <w:rPr>
                <w:rFonts w:ascii="Cambria Math" w:eastAsiaTheme="minorEastAsia" w:hAnsi="Cambria Math"/>
                <w:i/>
                <w:sz w:val="22"/>
                <w:lang w:val="vi-VN"/>
              </w:rPr>
            </m:ctrlPr>
          </m:sSubPr>
          <m:e>
            <m:r>
              <w:rPr>
                <w:rFonts w:ascii="Cambria Math" w:eastAsiaTheme="minorEastAsia" w:hAnsi="Cambria Math"/>
                <w:sz w:val="22"/>
                <w:lang w:val="vi-VN"/>
              </w:rPr>
              <m:t>q</m:t>
            </m:r>
          </m:e>
          <m:sub>
            <m:r>
              <w:rPr>
                <w:rFonts w:ascii="Cambria Math" w:eastAsiaTheme="minorEastAsia" w:hAnsi="Cambria Math"/>
                <w:sz w:val="22"/>
                <w:lang w:val="vi-VN"/>
              </w:rPr>
              <m:t>e</m:t>
            </m:r>
          </m:sub>
        </m:sSub>
        <m:r>
          <w:rPr>
            <w:rFonts w:ascii="Cambria Math" w:eastAsiaTheme="minorEastAsia" w:hAnsi="Cambria Math"/>
            <w:sz w:val="22"/>
            <w:lang w:val="vi-VN"/>
          </w:rPr>
          <m:t xml:space="preserve"> – </m:t>
        </m:r>
        <m:sSub>
          <m:sSubPr>
            <m:ctrlPr>
              <w:rPr>
                <w:rFonts w:ascii="Cambria Math" w:eastAsiaTheme="minorEastAsia" w:hAnsi="Cambria Math"/>
                <w:i/>
                <w:sz w:val="22"/>
                <w:lang w:val="vi-VN"/>
              </w:rPr>
            </m:ctrlPr>
          </m:sSubPr>
          <m:e>
            <m:r>
              <w:rPr>
                <w:rFonts w:ascii="Cambria Math" w:eastAsiaTheme="minorEastAsia" w:hAnsi="Cambria Math"/>
                <w:sz w:val="22"/>
                <w:lang w:val="vi-VN"/>
              </w:rPr>
              <m:t>q</m:t>
            </m:r>
          </m:e>
          <m:sub>
            <m:r>
              <w:rPr>
                <w:rFonts w:ascii="Cambria Math" w:eastAsiaTheme="minorEastAsia" w:hAnsi="Cambria Math"/>
                <w:sz w:val="22"/>
                <w:lang w:val="vi-VN"/>
              </w:rPr>
              <m:t>t</m:t>
            </m:r>
          </m:sub>
        </m:sSub>
        <m:r>
          <w:rPr>
            <w:rFonts w:ascii="Cambria Math" w:eastAsiaTheme="minorEastAsia" w:hAnsi="Cambria Math"/>
            <w:sz w:val="22"/>
            <w:lang w:val="vi-VN"/>
          </w:rPr>
          <m:t>) = ln (</m:t>
        </m:r>
        <m:sSub>
          <m:sSubPr>
            <m:ctrlPr>
              <w:rPr>
                <w:rFonts w:ascii="Cambria Math" w:eastAsiaTheme="minorEastAsia" w:hAnsi="Cambria Math"/>
                <w:i/>
                <w:sz w:val="22"/>
                <w:lang w:val="vi-VN"/>
              </w:rPr>
            </m:ctrlPr>
          </m:sSubPr>
          <m:e>
            <m:r>
              <w:rPr>
                <w:rFonts w:ascii="Cambria Math" w:eastAsiaTheme="minorEastAsia" w:hAnsi="Cambria Math"/>
                <w:sz w:val="22"/>
                <w:lang w:val="vi-VN"/>
              </w:rPr>
              <m:t>q</m:t>
            </m:r>
          </m:e>
          <m:sub>
            <m:r>
              <w:rPr>
                <w:rFonts w:ascii="Cambria Math" w:eastAsiaTheme="minorEastAsia" w:hAnsi="Cambria Math"/>
                <w:sz w:val="22"/>
                <w:lang w:val="vi-VN"/>
              </w:rPr>
              <m:t>e</m:t>
            </m:r>
          </m:sub>
        </m:sSub>
        <m:r>
          <w:rPr>
            <w:rFonts w:ascii="Cambria Math" w:eastAsiaTheme="minorEastAsia" w:hAnsi="Cambria Math"/>
            <w:sz w:val="22"/>
            <w:lang w:val="vi-VN"/>
          </w:rPr>
          <m:t xml:space="preserve">) – </m:t>
        </m:r>
        <m:sSub>
          <m:sSubPr>
            <m:ctrlPr>
              <w:rPr>
                <w:rFonts w:ascii="Cambria Math" w:eastAsiaTheme="minorEastAsia" w:hAnsi="Cambria Math"/>
                <w:i/>
                <w:sz w:val="22"/>
                <w:lang w:val="vi-VN"/>
              </w:rPr>
            </m:ctrlPr>
          </m:sSubPr>
          <m:e>
            <m:r>
              <w:rPr>
                <w:rFonts w:ascii="Cambria Math" w:eastAsiaTheme="minorEastAsia" w:hAnsi="Cambria Math"/>
                <w:sz w:val="22"/>
                <w:lang w:val="vi-VN"/>
              </w:rPr>
              <m:t>k</m:t>
            </m:r>
          </m:e>
          <m:sub>
            <m:r>
              <w:rPr>
                <w:rFonts w:ascii="Cambria Math" w:eastAsiaTheme="minorEastAsia" w:hAnsi="Cambria Math"/>
                <w:sz w:val="22"/>
                <w:lang w:val="vi-VN"/>
              </w:rPr>
              <m:t>1</m:t>
            </m:r>
          </m:sub>
        </m:sSub>
        <m:r>
          <w:rPr>
            <w:rFonts w:ascii="Cambria Math" w:eastAsiaTheme="minorEastAsia" w:hAnsi="Cambria Math"/>
            <w:sz w:val="22"/>
            <w:lang w:val="vi-VN"/>
          </w:rPr>
          <m:t>t</m:t>
        </m:r>
      </m:oMath>
      <w:r w:rsidRPr="00AF7EE9">
        <w:rPr>
          <w:rFonts w:eastAsiaTheme="minorEastAsia"/>
          <w:sz w:val="22"/>
          <w:lang w:val="vi-VN"/>
        </w:rPr>
        <w:tab/>
      </w:r>
      <w:r w:rsidR="006B16AD" w:rsidRPr="00AF7EE9">
        <w:rPr>
          <w:rFonts w:eastAsiaTheme="minorEastAsia"/>
          <w:sz w:val="22"/>
          <w:lang w:val="vi-VN"/>
        </w:rPr>
        <w:t>(6)</w:t>
      </w:r>
    </w:p>
    <w:p w:rsidR="00723448" w:rsidRPr="00AF7EE9" w:rsidRDefault="00723448" w:rsidP="00723448">
      <w:pPr>
        <w:pStyle w:val="onvn"/>
        <w:rPr>
          <w:sz w:val="22"/>
          <w:lang w:val="vi-VN"/>
        </w:rPr>
      </w:pPr>
      <w:r w:rsidRPr="00AF7EE9">
        <w:rPr>
          <w:sz w:val="22"/>
          <w:lang w:val="vi-VN"/>
        </w:rPr>
        <w:t>Phương trình động học biểu kiến bậc 2 dạng tuyến tính :</w:t>
      </w:r>
    </w:p>
    <w:p w:rsidR="00723448" w:rsidRPr="00723448" w:rsidRDefault="00723448" w:rsidP="00723448">
      <w:pPr>
        <w:pStyle w:val="onvn"/>
        <w:jc w:val="center"/>
        <w:rPr>
          <w:rFonts w:eastAsiaTheme="minorEastAsia"/>
          <w:sz w:val="24"/>
          <w:szCs w:val="24"/>
          <w:lang w:val="vi-VN"/>
        </w:rPr>
      </w:pPr>
      <w:r w:rsidRPr="00723448">
        <w:rPr>
          <w:rFonts w:eastAsiaTheme="minorEastAsia"/>
          <w:sz w:val="24"/>
          <w:szCs w:val="24"/>
          <w:lang w:val="vi-VN"/>
        </w:rPr>
        <w:t xml:space="preserve">             </w:t>
      </w:r>
      <m:oMath>
        <m:f>
          <m:fPr>
            <m:ctrlPr>
              <w:rPr>
                <w:rFonts w:ascii="Cambria Math" w:hAnsi="Cambria Math"/>
                <w:i/>
                <w:sz w:val="24"/>
                <w:szCs w:val="24"/>
                <w:lang w:val="vi-VN"/>
              </w:rPr>
            </m:ctrlPr>
          </m:fPr>
          <m:num>
            <m:r>
              <w:rPr>
                <w:rFonts w:ascii="Cambria Math" w:hAnsi="Cambria Math"/>
                <w:sz w:val="24"/>
                <w:szCs w:val="24"/>
                <w:lang w:val="vi-VN"/>
              </w:rPr>
              <m:t>t</m:t>
            </m:r>
          </m:num>
          <m:den>
            <m:sSub>
              <m:sSubPr>
                <m:ctrlPr>
                  <w:rPr>
                    <w:rFonts w:ascii="Cambria Math" w:hAnsi="Cambria Math"/>
                    <w:i/>
                    <w:sz w:val="24"/>
                    <w:szCs w:val="24"/>
                    <w:lang w:val="vi-VN"/>
                  </w:rPr>
                </m:ctrlPr>
              </m:sSubPr>
              <m:e>
                <m:r>
                  <w:rPr>
                    <w:rFonts w:ascii="Cambria Math" w:hAnsi="Cambria Math"/>
                    <w:sz w:val="24"/>
                    <w:szCs w:val="24"/>
                    <w:lang w:val="vi-VN"/>
                  </w:rPr>
                  <m:t>q</m:t>
                </m:r>
              </m:e>
              <m:sub>
                <m:r>
                  <w:rPr>
                    <w:rFonts w:ascii="Cambria Math" w:hAnsi="Cambria Math"/>
                    <w:sz w:val="24"/>
                    <w:szCs w:val="24"/>
                    <w:lang w:val="vi-VN"/>
                  </w:rPr>
                  <m:t>t</m:t>
                </m:r>
              </m:sub>
            </m:sSub>
          </m:den>
        </m:f>
        <m:r>
          <w:rPr>
            <w:rFonts w:ascii="Cambria Math" w:hAnsi="Cambria Math"/>
            <w:sz w:val="24"/>
            <w:szCs w:val="24"/>
            <w:lang w:val="vi-VN"/>
          </w:rPr>
          <m:t>=</m:t>
        </m:r>
        <m:f>
          <m:fPr>
            <m:ctrlPr>
              <w:rPr>
                <w:rFonts w:ascii="Cambria Math" w:hAnsi="Cambria Math"/>
                <w:i/>
                <w:sz w:val="24"/>
                <w:szCs w:val="24"/>
                <w:lang w:val="vi-VN"/>
              </w:rPr>
            </m:ctrlPr>
          </m:fPr>
          <m:num>
            <m:r>
              <w:rPr>
                <w:rFonts w:ascii="Cambria Math" w:hAnsi="Cambria Math"/>
                <w:sz w:val="24"/>
                <w:szCs w:val="24"/>
                <w:lang w:val="vi-VN"/>
              </w:rPr>
              <m:t>1</m:t>
            </m:r>
          </m:num>
          <m:den>
            <m:sSub>
              <m:sSubPr>
                <m:ctrlPr>
                  <w:rPr>
                    <w:rFonts w:ascii="Cambria Math" w:hAnsi="Cambria Math"/>
                    <w:i/>
                    <w:sz w:val="24"/>
                    <w:szCs w:val="24"/>
                    <w:lang w:val="vi-VN"/>
                  </w:rPr>
                </m:ctrlPr>
              </m:sSubPr>
              <m:e>
                <m:r>
                  <w:rPr>
                    <w:rFonts w:ascii="Cambria Math" w:hAnsi="Cambria Math"/>
                    <w:sz w:val="24"/>
                    <w:szCs w:val="24"/>
                    <w:lang w:val="vi-VN"/>
                  </w:rPr>
                  <m:t>k</m:t>
                </m:r>
              </m:e>
              <m:sub>
                <m:r>
                  <w:rPr>
                    <w:rFonts w:ascii="Cambria Math" w:hAnsi="Cambria Math"/>
                    <w:sz w:val="24"/>
                    <w:szCs w:val="24"/>
                    <w:lang w:val="vi-VN"/>
                  </w:rPr>
                  <m:t>2</m:t>
                </m:r>
              </m:sub>
            </m:sSub>
            <m:sSubSup>
              <m:sSubSupPr>
                <m:ctrlPr>
                  <w:rPr>
                    <w:rFonts w:ascii="Cambria Math" w:hAnsi="Cambria Math"/>
                    <w:i/>
                    <w:sz w:val="24"/>
                    <w:szCs w:val="24"/>
                    <w:lang w:val="vi-VN"/>
                  </w:rPr>
                </m:ctrlPr>
              </m:sSubSupPr>
              <m:e>
                <m:r>
                  <w:rPr>
                    <w:rFonts w:ascii="Cambria Math" w:hAnsi="Cambria Math"/>
                    <w:sz w:val="24"/>
                    <w:szCs w:val="24"/>
                    <w:lang w:val="vi-VN"/>
                  </w:rPr>
                  <m:t>q</m:t>
                </m:r>
              </m:e>
              <m:sub>
                <m:r>
                  <w:rPr>
                    <w:rFonts w:ascii="Cambria Math" w:hAnsi="Cambria Math"/>
                    <w:sz w:val="24"/>
                    <w:szCs w:val="24"/>
                    <w:lang w:val="vi-VN"/>
                  </w:rPr>
                  <m:t>e</m:t>
                </m:r>
              </m:sub>
              <m:sup>
                <m:r>
                  <w:rPr>
                    <w:rFonts w:ascii="Cambria Math" w:hAnsi="Cambria Math"/>
                    <w:sz w:val="24"/>
                    <w:szCs w:val="24"/>
                    <w:lang w:val="vi-VN"/>
                  </w:rPr>
                  <m:t>2</m:t>
                </m:r>
              </m:sup>
            </m:sSubSup>
          </m:den>
        </m:f>
        <m:r>
          <w:rPr>
            <w:rFonts w:ascii="Cambria Math" w:hAnsi="Cambria Math"/>
            <w:sz w:val="24"/>
            <w:szCs w:val="24"/>
            <w:lang w:val="vi-VN"/>
          </w:rPr>
          <m:t>+</m:t>
        </m:r>
        <m:f>
          <m:fPr>
            <m:ctrlPr>
              <w:rPr>
                <w:rFonts w:ascii="Cambria Math" w:hAnsi="Cambria Math"/>
                <w:i/>
                <w:sz w:val="24"/>
                <w:szCs w:val="24"/>
                <w:lang w:val="vi-VN"/>
              </w:rPr>
            </m:ctrlPr>
          </m:fPr>
          <m:num>
            <m:r>
              <w:rPr>
                <w:rFonts w:ascii="Cambria Math" w:hAnsi="Cambria Math"/>
                <w:sz w:val="24"/>
                <w:szCs w:val="24"/>
                <w:lang w:val="vi-VN"/>
              </w:rPr>
              <m:t>t</m:t>
            </m:r>
          </m:num>
          <m:den>
            <m:sSub>
              <m:sSubPr>
                <m:ctrlPr>
                  <w:rPr>
                    <w:rFonts w:ascii="Cambria Math" w:hAnsi="Cambria Math"/>
                    <w:i/>
                    <w:sz w:val="24"/>
                    <w:szCs w:val="24"/>
                    <w:lang w:val="vi-VN"/>
                  </w:rPr>
                </m:ctrlPr>
              </m:sSubPr>
              <m:e>
                <m:r>
                  <w:rPr>
                    <w:rFonts w:ascii="Cambria Math" w:hAnsi="Cambria Math"/>
                    <w:sz w:val="24"/>
                    <w:szCs w:val="24"/>
                    <w:lang w:val="vi-VN"/>
                  </w:rPr>
                  <m:t>q</m:t>
                </m:r>
              </m:e>
              <m:sub>
                <m:r>
                  <w:rPr>
                    <w:rFonts w:ascii="Cambria Math" w:hAnsi="Cambria Math"/>
                    <w:sz w:val="24"/>
                    <w:szCs w:val="24"/>
                    <w:lang w:val="vi-VN"/>
                  </w:rPr>
                  <m:t>e</m:t>
                </m:r>
              </m:sub>
            </m:sSub>
          </m:den>
        </m:f>
      </m:oMath>
      <w:r w:rsidR="00685EE5">
        <w:rPr>
          <w:rFonts w:eastAsiaTheme="minorEastAsia"/>
          <w:sz w:val="24"/>
          <w:szCs w:val="24"/>
          <w:lang w:val="vi-VN"/>
        </w:rPr>
        <w:tab/>
      </w:r>
      <w:r w:rsidR="006B16AD">
        <w:rPr>
          <w:rFonts w:eastAsiaTheme="minorEastAsia"/>
          <w:sz w:val="24"/>
          <w:szCs w:val="24"/>
        </w:rPr>
        <w:t>(7)</w:t>
      </w:r>
      <w:r w:rsidR="00685EE5">
        <w:rPr>
          <w:rFonts w:eastAsiaTheme="minorEastAsia"/>
          <w:sz w:val="24"/>
          <w:szCs w:val="24"/>
          <w:lang w:val="vi-VN"/>
        </w:rPr>
        <w:tab/>
      </w:r>
    </w:p>
    <w:p w:rsidR="00723448" w:rsidRPr="00AF7EE9" w:rsidRDefault="00723448" w:rsidP="00723448">
      <w:pPr>
        <w:pStyle w:val="onvn"/>
        <w:rPr>
          <w:rFonts w:eastAsiaTheme="minorEastAsia"/>
          <w:sz w:val="22"/>
          <w:lang w:val="vi-VN"/>
        </w:rPr>
      </w:pPr>
      <w:r w:rsidRPr="00AF7EE9">
        <w:rPr>
          <w:rFonts w:eastAsiaTheme="minorEastAsia"/>
          <w:sz w:val="22"/>
          <w:lang w:val="vi-VN"/>
        </w:rPr>
        <w:t xml:space="preserve">Trong đó: </w:t>
      </w:r>
    </w:p>
    <w:p w:rsidR="00723448" w:rsidRPr="00AF7EE9" w:rsidRDefault="00723448" w:rsidP="00685EE5">
      <w:pPr>
        <w:pStyle w:val="onvn"/>
        <w:ind w:firstLine="0"/>
        <w:rPr>
          <w:rFonts w:eastAsiaTheme="minorEastAsia"/>
          <w:sz w:val="22"/>
          <w:lang w:val="vi-VN"/>
        </w:rPr>
      </w:pPr>
      <w:r w:rsidRPr="00AF7EE9">
        <w:rPr>
          <w:rFonts w:eastAsiaTheme="minorEastAsia"/>
          <w:sz w:val="22"/>
          <w:lang w:val="vi-VN"/>
        </w:rPr>
        <w:t>q</w:t>
      </w:r>
      <w:r w:rsidRPr="00AF7EE9">
        <w:rPr>
          <w:rFonts w:eastAsiaTheme="minorEastAsia"/>
          <w:sz w:val="22"/>
          <w:vertAlign w:val="subscript"/>
          <w:lang w:val="vi-VN"/>
        </w:rPr>
        <w:t>e</w:t>
      </w:r>
      <w:r w:rsidRPr="00AF7EE9">
        <w:rPr>
          <w:rFonts w:eastAsiaTheme="minorEastAsia"/>
          <w:sz w:val="22"/>
          <w:lang w:val="vi-VN"/>
        </w:rPr>
        <w:t> là động lực hấp phụ tại thời điểm cân bằng (mg/g)</w:t>
      </w:r>
    </w:p>
    <w:p w:rsidR="00723448" w:rsidRPr="00AF7EE9" w:rsidRDefault="00723448" w:rsidP="00685EE5">
      <w:pPr>
        <w:pStyle w:val="onvn"/>
        <w:ind w:firstLine="0"/>
        <w:rPr>
          <w:rFonts w:eastAsiaTheme="minorEastAsia"/>
          <w:sz w:val="22"/>
          <w:lang w:val="vi-VN"/>
        </w:rPr>
      </w:pPr>
      <w:r w:rsidRPr="00AF7EE9">
        <w:rPr>
          <w:rFonts w:eastAsiaTheme="minorEastAsia"/>
          <w:sz w:val="22"/>
          <w:lang w:val="vi-VN"/>
        </w:rPr>
        <w:t>q</w:t>
      </w:r>
      <w:r w:rsidRPr="00AF7EE9">
        <w:rPr>
          <w:rFonts w:eastAsiaTheme="minorEastAsia"/>
          <w:sz w:val="22"/>
          <w:vertAlign w:val="subscript"/>
          <w:lang w:val="vi-VN"/>
        </w:rPr>
        <w:t>t</w:t>
      </w:r>
      <w:r w:rsidRPr="00AF7EE9">
        <w:rPr>
          <w:rFonts w:eastAsiaTheme="minorEastAsia"/>
          <w:sz w:val="22"/>
          <w:lang w:val="vi-VN"/>
        </w:rPr>
        <w:t xml:space="preserve"> là động lực hấp phụ tại thời điểm t (mg/g)</w:t>
      </w:r>
    </w:p>
    <w:p w:rsidR="00723448" w:rsidRPr="00AF7EE9" w:rsidRDefault="00723448" w:rsidP="00685EE5">
      <w:pPr>
        <w:pStyle w:val="onvn"/>
        <w:ind w:firstLine="0"/>
        <w:rPr>
          <w:rFonts w:eastAsiaTheme="minorEastAsia"/>
          <w:sz w:val="22"/>
          <w:lang w:val="vi-VN"/>
        </w:rPr>
      </w:pPr>
      <w:r w:rsidRPr="00AF7EE9">
        <w:rPr>
          <w:rFonts w:eastAsiaTheme="minorEastAsia"/>
          <w:sz w:val="22"/>
          <w:lang w:val="vi-VN"/>
        </w:rPr>
        <w:t>k</w:t>
      </w:r>
      <w:r w:rsidRPr="00AF7EE9">
        <w:rPr>
          <w:rFonts w:eastAsiaTheme="minorEastAsia"/>
          <w:sz w:val="22"/>
          <w:vertAlign w:val="subscript"/>
          <w:lang w:val="vi-VN"/>
        </w:rPr>
        <w:t>1</w:t>
      </w:r>
      <w:r w:rsidRPr="00AF7EE9">
        <w:rPr>
          <w:rFonts w:eastAsiaTheme="minorEastAsia"/>
          <w:sz w:val="22"/>
          <w:lang w:val="vi-VN"/>
        </w:rPr>
        <w:t xml:space="preserve"> hằng số tốc độ hấp phụ biểu kiến bậc 1 (phút</w:t>
      </w:r>
      <w:r w:rsidRPr="00AF7EE9">
        <w:rPr>
          <w:rFonts w:eastAsiaTheme="minorEastAsia"/>
          <w:sz w:val="22"/>
          <w:vertAlign w:val="superscript"/>
          <w:lang w:val="vi-VN"/>
        </w:rPr>
        <w:t>-1</w:t>
      </w:r>
      <w:r w:rsidRPr="00AF7EE9">
        <w:rPr>
          <w:rFonts w:eastAsiaTheme="minorEastAsia"/>
          <w:sz w:val="22"/>
          <w:lang w:val="vi-VN"/>
        </w:rPr>
        <w:t xml:space="preserve">) </w:t>
      </w:r>
    </w:p>
    <w:p w:rsidR="00723448" w:rsidRPr="00AF7EE9" w:rsidRDefault="00723448" w:rsidP="00685EE5">
      <w:pPr>
        <w:pStyle w:val="onvn"/>
        <w:ind w:firstLine="0"/>
        <w:rPr>
          <w:rFonts w:eastAsiaTheme="minorEastAsia"/>
          <w:sz w:val="22"/>
          <w:lang w:val="vi-VN"/>
        </w:rPr>
      </w:pPr>
      <w:r w:rsidRPr="00AF7EE9">
        <w:rPr>
          <w:rFonts w:eastAsiaTheme="minorEastAsia"/>
          <w:sz w:val="22"/>
          <w:lang w:val="vi-VN"/>
        </w:rPr>
        <w:t>k</w:t>
      </w:r>
      <w:r w:rsidRPr="00AF7EE9">
        <w:rPr>
          <w:rFonts w:eastAsiaTheme="minorEastAsia"/>
          <w:sz w:val="22"/>
          <w:vertAlign w:val="subscript"/>
          <w:lang w:val="vi-VN"/>
        </w:rPr>
        <w:t>2</w:t>
      </w:r>
      <w:r w:rsidRPr="00AF7EE9">
        <w:rPr>
          <w:rFonts w:eastAsiaTheme="minorEastAsia"/>
          <w:sz w:val="22"/>
          <w:lang w:val="vi-VN"/>
        </w:rPr>
        <w:t xml:space="preserve"> hằng số tốc độ hấp phụ biểu kiến bậc 2 (g/mg.phút)</w:t>
      </w:r>
    </w:p>
    <w:p w:rsidR="009B267B" w:rsidRPr="00723448" w:rsidRDefault="00723448" w:rsidP="00723448">
      <w:r w:rsidRPr="006153B4">
        <w:t>Hồi quy tuyến tính các giá trị ln(q</w:t>
      </w:r>
      <w:r w:rsidRPr="006153B4">
        <w:rPr>
          <w:vertAlign w:val="subscript"/>
        </w:rPr>
        <w:t>e</w:t>
      </w:r>
      <w:r w:rsidRPr="006153B4">
        <w:t>-q</w:t>
      </w:r>
      <w:r w:rsidRPr="006153B4">
        <w:rPr>
          <w:vertAlign w:val="subscript"/>
        </w:rPr>
        <w:t>t</w:t>
      </w:r>
      <w:r w:rsidRPr="006153B4">
        <w:t>) vớ</w:t>
      </w:r>
      <w:r>
        <w:t>i t theo phương trình (</w:t>
      </w:r>
      <w:r w:rsidR="009B1469">
        <w:t>7</w:t>
      </w:r>
      <w:r w:rsidRPr="006153B4">
        <w:t>) đối với mô hình biểu kiến bậc 1, và các giá trị (</w:t>
      </w:r>
      <m:oMath>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q</m:t>
                </m:r>
              </m:e>
              <m:sub>
                <m:r>
                  <w:rPr>
                    <w:rFonts w:ascii="Cambria Math" w:hAnsi="Cambria Math"/>
                  </w:rPr>
                  <m:t>t</m:t>
                </m:r>
              </m:sub>
            </m:sSub>
          </m:den>
        </m:f>
        <m:r>
          <m:rPr>
            <m:sty m:val="p"/>
          </m:rPr>
          <w:rPr>
            <w:rFonts w:ascii="Cambria Math" w:hAnsi="Cambria Math"/>
          </w:rPr>
          <m:t>)</m:t>
        </m:r>
      </m:oMath>
      <w:r w:rsidRPr="006153B4">
        <w:t xml:space="preserve"> với t đối với mô hình biểu kiến bậc 2, từ đó tính được các hằng số động học k</w:t>
      </w:r>
      <w:r w:rsidRPr="006153B4">
        <w:rPr>
          <w:vertAlign w:val="subscript"/>
        </w:rPr>
        <w:t>1</w:t>
      </w:r>
      <w:r w:rsidRPr="006153B4">
        <w:t>, k</w:t>
      </w:r>
      <w:r w:rsidRPr="006153B4">
        <w:rPr>
          <w:vertAlign w:val="subscript"/>
        </w:rPr>
        <w:t>2</w:t>
      </w:r>
      <w:r w:rsidRPr="006153B4">
        <w:t>. Mức độ tuyến tính của các giá trị thực nghiệm được đánh giá bằng hệ số xác định R</w:t>
      </w:r>
      <w:r w:rsidRPr="006153B4">
        <w:rPr>
          <w:vertAlign w:val="superscript"/>
        </w:rPr>
        <w:t>2</w:t>
      </w:r>
      <w:r w:rsidRPr="00723448">
        <w:t>.</w:t>
      </w:r>
    </w:p>
    <w:p w:rsidR="00723448" w:rsidRPr="00851CB2" w:rsidRDefault="00851CB2" w:rsidP="00851CB2">
      <w:pPr>
        <w:pStyle w:val="Heading2"/>
        <w:numPr>
          <w:ilvl w:val="0"/>
          <w:numId w:val="0"/>
        </w:numPr>
      </w:pPr>
      <w:r w:rsidRPr="00851CB2">
        <w:t xml:space="preserve">3. </w:t>
      </w:r>
      <w:r w:rsidR="00723448" w:rsidRPr="00851CB2">
        <w:t>K</w:t>
      </w:r>
      <w:r>
        <w:t xml:space="preserve">ẾT QUẢ VÀ BÀN LUẬN </w:t>
      </w:r>
    </w:p>
    <w:p w:rsidR="00723448" w:rsidRPr="00EC6BAA" w:rsidRDefault="00851CB2" w:rsidP="00851CB2">
      <w:pPr>
        <w:pStyle w:val="Heading2"/>
        <w:numPr>
          <w:ilvl w:val="0"/>
          <w:numId w:val="0"/>
        </w:numPr>
      </w:pPr>
      <w:r w:rsidRPr="00EC6BAA">
        <w:t xml:space="preserve">3.1 </w:t>
      </w:r>
      <w:r w:rsidR="00424A63" w:rsidRPr="00EC6BAA">
        <w:t xml:space="preserve">Kết quả chiết fibroin </w:t>
      </w:r>
    </w:p>
    <w:p w:rsidR="00424A63" w:rsidRDefault="00424A63" w:rsidP="00424A63">
      <w:pPr>
        <w:rPr>
          <w:lang w:eastAsia="vi-VN"/>
        </w:rPr>
      </w:pPr>
      <w:r w:rsidRPr="00424A63">
        <w:rPr>
          <w:lang w:eastAsia="vi-VN"/>
        </w:rPr>
        <w:t>Kén tơ tằm (10 g) sau khi được khử sericin bằng dung dịch Na</w:t>
      </w:r>
      <w:r w:rsidRPr="00424A63">
        <w:rPr>
          <w:rFonts w:ascii="Cambria Math" w:hAnsi="Cambria Math" w:cs="Cambria Math"/>
          <w:lang w:eastAsia="vi-VN"/>
        </w:rPr>
        <w:t>₂</w:t>
      </w:r>
      <w:r w:rsidRPr="00424A63">
        <w:rPr>
          <w:lang w:eastAsia="vi-VN"/>
        </w:rPr>
        <w:t>CO</w:t>
      </w:r>
      <w:r w:rsidRPr="00424A63">
        <w:rPr>
          <w:rFonts w:ascii="Cambria Math" w:hAnsi="Cambria Math" w:cs="Cambria Math"/>
          <w:lang w:eastAsia="vi-VN"/>
        </w:rPr>
        <w:t>₃</w:t>
      </w:r>
      <w:r w:rsidRPr="00424A63">
        <w:rPr>
          <w:lang w:eastAsia="vi-VN"/>
        </w:rPr>
        <w:t xml:space="preserve"> 0,5% và sấy khô đã thu được 7,55 g tơ tằm không hòa tan. Từ 5 g tơ khô này, tiến hành xử lý với hỗn hợp muối dưới tác động của vi sóng, thu được mộ</w:t>
      </w:r>
      <w:r>
        <w:rPr>
          <w:lang w:eastAsia="vi-VN"/>
        </w:rPr>
        <w:t xml:space="preserve">t hỗn hợp keo nhớt chứa fibroin. </w:t>
      </w:r>
      <w:r w:rsidRPr="00424A63">
        <w:rPr>
          <w:lang w:eastAsia="vi-VN"/>
        </w:rPr>
        <w:t>Hỗn hợp sau đó được thẩm tách để loại bỏ muối, tiếp tục ly tâm nhằm loại bỏ tạp chất. Phần dịch fibroin thu được tiếp tục được đông khô để tiến hành xác đị</w:t>
      </w:r>
      <w:r w:rsidR="007F701F">
        <w:rPr>
          <w:lang w:eastAsia="vi-VN"/>
        </w:rPr>
        <w:t xml:space="preserve">nh </w:t>
      </w:r>
      <w:r w:rsidR="007F701F" w:rsidRPr="007F701F">
        <w:rPr>
          <w:lang w:eastAsia="vi-VN"/>
        </w:rPr>
        <w:t>k</w:t>
      </w:r>
      <w:r w:rsidR="00AF7EE9">
        <w:rPr>
          <w:lang w:eastAsia="vi-VN"/>
        </w:rPr>
        <w:t xml:space="preserve">hối lượng fibroin thu được là </w:t>
      </w:r>
      <w:r w:rsidR="00AF7EE9">
        <w:rPr>
          <w:lang w:eastAsia="vi-VN"/>
        </w:rPr>
        <w:lastRenderedPageBreak/>
        <w:t>1,</w:t>
      </w:r>
      <w:r w:rsidR="007F701F" w:rsidRPr="007F701F">
        <w:rPr>
          <w:lang w:eastAsia="vi-VN"/>
        </w:rPr>
        <w:t>145</w:t>
      </w:r>
      <w:r w:rsidR="007F701F">
        <w:rPr>
          <w:lang w:eastAsia="vi-VN"/>
        </w:rPr>
        <w:t>±</w:t>
      </w:r>
      <w:r w:rsidR="00AF7EE9">
        <w:rPr>
          <w:lang w:eastAsia="vi-VN"/>
        </w:rPr>
        <w:t>0,</w:t>
      </w:r>
      <w:r w:rsidR="007F701F" w:rsidRPr="007F701F">
        <w:rPr>
          <w:lang w:eastAsia="vi-VN"/>
        </w:rPr>
        <w:t>013 g tương</w:t>
      </w:r>
      <w:r w:rsidR="00AF7EE9">
        <w:rPr>
          <w:lang w:eastAsia="vi-VN"/>
        </w:rPr>
        <w:t xml:space="preserve"> ứng với hiệu suất chiết đạt 22,</w:t>
      </w:r>
      <w:r w:rsidR="007F701F" w:rsidRPr="007F701F">
        <w:rPr>
          <w:lang w:eastAsia="vi-VN"/>
        </w:rPr>
        <w:t>91</w:t>
      </w:r>
      <w:r w:rsidR="007F701F">
        <w:rPr>
          <w:lang w:eastAsia="vi-VN"/>
        </w:rPr>
        <w:t>±</w:t>
      </w:r>
      <w:r w:rsidR="00AF7EE9">
        <w:rPr>
          <w:lang w:eastAsia="vi-VN"/>
        </w:rPr>
        <w:t>1,</w:t>
      </w:r>
      <w:r w:rsidR="007F701F" w:rsidRPr="007F701F">
        <w:rPr>
          <w:lang w:eastAsia="vi-VN"/>
        </w:rPr>
        <w:t xml:space="preserve">21%. </w:t>
      </w:r>
    </w:p>
    <w:p w:rsidR="00685EE5" w:rsidRPr="00D17B34" w:rsidRDefault="00295BF3" w:rsidP="00D17B34">
      <w:pPr>
        <w:rPr>
          <w:lang w:val="vi" w:eastAsia="vi-VN"/>
        </w:rPr>
        <w:sectPr w:rsidR="00685EE5" w:rsidRPr="00D17B34" w:rsidSect="00685EE5">
          <w:pgSz w:w="11907" w:h="16840" w:code="9"/>
          <w:pgMar w:top="1418" w:right="1418" w:bottom="1418" w:left="1701" w:header="0" w:footer="567" w:gutter="0"/>
          <w:cols w:num="2" w:space="720"/>
        </w:sectPr>
      </w:pPr>
      <w:r w:rsidRPr="002F3AE2">
        <w:rPr>
          <w:lang w:val="vi"/>
        </w:rPr>
        <w:t>Cấu trúc của tơ và hệ vi hạt fibroin được xác định bằng các cực đại của phổ</w:t>
      </w:r>
      <w:r w:rsidRPr="002F3AE2">
        <w:rPr>
          <w:spacing w:val="-13"/>
          <w:lang w:val="vi"/>
        </w:rPr>
        <w:t xml:space="preserve"> </w:t>
      </w:r>
      <w:r w:rsidRPr="002F3AE2">
        <w:rPr>
          <w:lang w:val="vi"/>
        </w:rPr>
        <w:t>hồng</w:t>
      </w:r>
      <w:r w:rsidRPr="002F3AE2">
        <w:rPr>
          <w:spacing w:val="-13"/>
          <w:lang w:val="vi"/>
        </w:rPr>
        <w:t xml:space="preserve"> </w:t>
      </w:r>
      <w:r w:rsidRPr="002F3AE2">
        <w:rPr>
          <w:lang w:val="vi"/>
        </w:rPr>
        <w:t>ngoại</w:t>
      </w:r>
      <w:r w:rsidRPr="002F3AE2">
        <w:rPr>
          <w:spacing w:val="-13"/>
          <w:lang w:val="vi"/>
        </w:rPr>
        <w:t xml:space="preserve"> </w:t>
      </w:r>
      <w:r w:rsidRPr="002F3AE2">
        <w:rPr>
          <w:lang w:val="vi"/>
        </w:rPr>
        <w:t>FT-IR</w:t>
      </w:r>
      <w:r w:rsidRPr="002F3AE2">
        <w:rPr>
          <w:spacing w:val="-13"/>
          <w:lang w:val="vi"/>
        </w:rPr>
        <w:t xml:space="preserve"> </w:t>
      </w:r>
      <w:r w:rsidRPr="002F3AE2">
        <w:rPr>
          <w:lang w:val="vi"/>
        </w:rPr>
        <w:t>cụ</w:t>
      </w:r>
      <w:r w:rsidRPr="002F3AE2">
        <w:rPr>
          <w:spacing w:val="-13"/>
          <w:lang w:val="vi"/>
        </w:rPr>
        <w:t xml:space="preserve"> </w:t>
      </w:r>
      <w:r w:rsidRPr="002F3AE2">
        <w:rPr>
          <w:lang w:val="vi"/>
        </w:rPr>
        <w:t>thể</w:t>
      </w:r>
      <w:r w:rsidRPr="002F3AE2">
        <w:rPr>
          <w:spacing w:val="-13"/>
          <w:lang w:val="vi"/>
        </w:rPr>
        <w:t xml:space="preserve"> </w:t>
      </w:r>
      <w:r w:rsidRPr="002F3AE2">
        <w:rPr>
          <w:lang w:val="vi"/>
        </w:rPr>
        <w:t>ở</w:t>
      </w:r>
      <w:r w:rsidRPr="002F3AE2">
        <w:rPr>
          <w:spacing w:val="-14"/>
          <w:lang w:val="vi"/>
        </w:rPr>
        <w:t xml:space="preserve"> </w:t>
      </w:r>
      <w:r w:rsidRPr="002F3AE2">
        <w:rPr>
          <w:lang w:val="vi"/>
        </w:rPr>
        <w:t>1626-1620</w:t>
      </w:r>
      <w:r w:rsidRPr="002F3AE2">
        <w:rPr>
          <w:spacing w:val="-13"/>
          <w:lang w:val="vi"/>
        </w:rPr>
        <w:t xml:space="preserve"> </w:t>
      </w:r>
      <w:r w:rsidRPr="002F3AE2">
        <w:rPr>
          <w:lang w:val="vi"/>
        </w:rPr>
        <w:t>cm</w:t>
      </w:r>
      <w:r w:rsidRPr="002F3AE2">
        <w:rPr>
          <w:vertAlign w:val="superscript"/>
          <w:lang w:val="vi"/>
        </w:rPr>
        <w:t>-1</w:t>
      </w:r>
      <w:r w:rsidRPr="002F3AE2">
        <w:rPr>
          <w:spacing w:val="-12"/>
          <w:lang w:val="vi"/>
        </w:rPr>
        <w:t xml:space="preserve"> </w:t>
      </w:r>
      <w:r w:rsidRPr="002F3AE2">
        <w:rPr>
          <w:lang w:val="vi"/>
        </w:rPr>
        <w:t>chứng</w:t>
      </w:r>
      <w:r w:rsidRPr="002F3AE2">
        <w:rPr>
          <w:spacing w:val="-13"/>
          <w:lang w:val="vi"/>
        </w:rPr>
        <w:t xml:space="preserve"> </w:t>
      </w:r>
      <w:r w:rsidRPr="002F3AE2">
        <w:rPr>
          <w:lang w:val="vi"/>
        </w:rPr>
        <w:t>tỏ</w:t>
      </w:r>
      <w:r w:rsidRPr="002F3AE2">
        <w:rPr>
          <w:spacing w:val="-13"/>
          <w:lang w:val="vi"/>
        </w:rPr>
        <w:t xml:space="preserve"> </w:t>
      </w:r>
      <w:r w:rsidRPr="002F3AE2">
        <w:rPr>
          <w:lang w:val="vi"/>
        </w:rPr>
        <w:t>sự</w:t>
      </w:r>
      <w:r w:rsidRPr="002F3AE2">
        <w:rPr>
          <w:spacing w:val="-15"/>
          <w:lang w:val="vi"/>
        </w:rPr>
        <w:t xml:space="preserve"> </w:t>
      </w:r>
      <w:r w:rsidRPr="002F3AE2">
        <w:rPr>
          <w:lang w:val="vi"/>
        </w:rPr>
        <w:t>hiện</w:t>
      </w:r>
      <w:r w:rsidRPr="002F3AE2">
        <w:rPr>
          <w:spacing w:val="-13"/>
          <w:lang w:val="vi"/>
        </w:rPr>
        <w:t xml:space="preserve"> </w:t>
      </w:r>
      <w:r w:rsidRPr="002F3AE2">
        <w:rPr>
          <w:lang w:val="vi"/>
        </w:rPr>
        <w:t>diện</w:t>
      </w:r>
      <w:r w:rsidRPr="002F3AE2">
        <w:rPr>
          <w:spacing w:val="-13"/>
          <w:lang w:val="vi"/>
        </w:rPr>
        <w:t xml:space="preserve"> </w:t>
      </w:r>
      <w:r w:rsidRPr="002F3AE2">
        <w:rPr>
          <w:lang w:val="vi"/>
        </w:rPr>
        <w:t>của</w:t>
      </w:r>
      <w:r w:rsidRPr="002F3AE2">
        <w:rPr>
          <w:spacing w:val="-16"/>
          <w:lang w:val="vi"/>
        </w:rPr>
        <w:t xml:space="preserve"> </w:t>
      </w:r>
      <w:r w:rsidRPr="002F3AE2">
        <w:rPr>
          <w:lang w:val="vi"/>
        </w:rPr>
        <w:t>amide I</w:t>
      </w:r>
      <w:r w:rsidRPr="002F3AE2">
        <w:rPr>
          <w:spacing w:val="-4"/>
          <w:lang w:val="vi"/>
        </w:rPr>
        <w:t xml:space="preserve"> </w:t>
      </w:r>
      <w:r w:rsidRPr="002F3AE2">
        <w:rPr>
          <w:lang w:val="vi"/>
        </w:rPr>
        <w:t>(dao động</w:t>
      </w:r>
      <w:r w:rsidRPr="002F3AE2">
        <w:rPr>
          <w:spacing w:val="-1"/>
          <w:lang w:val="vi"/>
        </w:rPr>
        <w:t xml:space="preserve"> </w:t>
      </w:r>
      <w:r w:rsidRPr="002F3AE2">
        <w:rPr>
          <w:lang w:val="vi"/>
        </w:rPr>
        <w:t>giãn C=O),</w:t>
      </w:r>
      <w:r w:rsidRPr="002F3AE2">
        <w:rPr>
          <w:spacing w:val="-1"/>
          <w:lang w:val="vi"/>
        </w:rPr>
        <w:t xml:space="preserve"> </w:t>
      </w:r>
      <w:r w:rsidRPr="002F3AE2">
        <w:rPr>
          <w:lang w:val="vi"/>
        </w:rPr>
        <w:lastRenderedPageBreak/>
        <w:t>1525-1515</w:t>
      </w:r>
      <w:r w:rsidRPr="002F3AE2">
        <w:rPr>
          <w:spacing w:val="-1"/>
          <w:lang w:val="vi"/>
        </w:rPr>
        <w:t xml:space="preserve"> </w:t>
      </w:r>
      <w:r w:rsidRPr="002F3AE2">
        <w:rPr>
          <w:lang w:val="vi"/>
        </w:rPr>
        <w:t>cm</w:t>
      </w:r>
      <w:r w:rsidRPr="002F3AE2">
        <w:rPr>
          <w:vertAlign w:val="superscript"/>
          <w:lang w:val="vi"/>
        </w:rPr>
        <w:t>-1</w:t>
      </w:r>
      <w:r w:rsidRPr="002F3AE2">
        <w:rPr>
          <w:lang w:val="vi"/>
        </w:rPr>
        <w:t xml:space="preserve"> amide II</w:t>
      </w:r>
      <w:r w:rsidRPr="002F3AE2">
        <w:rPr>
          <w:spacing w:val="-1"/>
          <w:lang w:val="vi"/>
        </w:rPr>
        <w:t xml:space="preserve"> </w:t>
      </w:r>
      <w:r w:rsidRPr="002F3AE2">
        <w:rPr>
          <w:lang w:val="vi"/>
        </w:rPr>
        <w:t>(dao</w:t>
      </w:r>
      <w:r w:rsidRPr="002F3AE2">
        <w:rPr>
          <w:spacing w:val="-1"/>
          <w:lang w:val="vi"/>
        </w:rPr>
        <w:t xml:space="preserve"> </w:t>
      </w:r>
      <w:r w:rsidRPr="002F3AE2">
        <w:rPr>
          <w:lang w:val="vi"/>
        </w:rPr>
        <w:t>động</w:t>
      </w:r>
      <w:r w:rsidRPr="002F3AE2">
        <w:rPr>
          <w:spacing w:val="-4"/>
          <w:lang w:val="vi"/>
        </w:rPr>
        <w:t xml:space="preserve"> </w:t>
      </w:r>
      <w:r w:rsidRPr="002F3AE2">
        <w:rPr>
          <w:lang w:val="vi"/>
        </w:rPr>
        <w:t>uốn N-H)</w:t>
      </w:r>
      <w:r w:rsidRPr="002F3AE2">
        <w:rPr>
          <w:spacing w:val="-1"/>
          <w:lang w:val="vi"/>
        </w:rPr>
        <w:t xml:space="preserve"> </w:t>
      </w:r>
      <w:r w:rsidRPr="002F3AE2">
        <w:rPr>
          <w:lang w:val="vi"/>
        </w:rPr>
        <w:t>và</w:t>
      </w:r>
      <w:r w:rsidRPr="001A7345">
        <w:rPr>
          <w:lang w:val="vi"/>
        </w:rPr>
        <w:t xml:space="preserve"> </w:t>
      </w:r>
      <w:r w:rsidRPr="002F3AE2">
        <w:rPr>
          <w:lang w:val="vi"/>
        </w:rPr>
        <w:t>1240- 1234</w:t>
      </w:r>
      <w:r w:rsidRPr="002F3AE2">
        <w:rPr>
          <w:spacing w:val="-12"/>
          <w:lang w:val="vi"/>
        </w:rPr>
        <w:t xml:space="preserve"> </w:t>
      </w:r>
      <w:r w:rsidRPr="002F3AE2">
        <w:rPr>
          <w:lang w:val="vi"/>
        </w:rPr>
        <w:t>cm</w:t>
      </w:r>
      <w:r w:rsidRPr="002F3AE2">
        <w:rPr>
          <w:vertAlign w:val="superscript"/>
          <w:lang w:val="vi"/>
        </w:rPr>
        <w:t>-1</w:t>
      </w:r>
      <w:r w:rsidRPr="002F3AE2">
        <w:rPr>
          <w:spacing w:val="-8"/>
          <w:lang w:val="vi"/>
        </w:rPr>
        <w:t xml:space="preserve"> </w:t>
      </w:r>
      <w:r w:rsidRPr="002F3AE2">
        <w:rPr>
          <w:lang w:val="vi"/>
        </w:rPr>
        <w:t>amide</w:t>
      </w:r>
      <w:r w:rsidRPr="002F3AE2">
        <w:rPr>
          <w:spacing w:val="-11"/>
          <w:lang w:val="vi"/>
        </w:rPr>
        <w:t xml:space="preserve"> </w:t>
      </w:r>
      <w:r w:rsidRPr="002F3AE2">
        <w:rPr>
          <w:lang w:val="vi"/>
        </w:rPr>
        <w:t>III</w:t>
      </w:r>
      <w:r w:rsidRPr="002F3AE2">
        <w:rPr>
          <w:spacing w:val="-12"/>
          <w:lang w:val="vi"/>
        </w:rPr>
        <w:t xml:space="preserve"> </w:t>
      </w:r>
      <w:r w:rsidRPr="002F3AE2">
        <w:rPr>
          <w:lang w:val="vi"/>
        </w:rPr>
        <w:t>(các</w:t>
      </w:r>
      <w:r w:rsidRPr="002F3AE2">
        <w:rPr>
          <w:spacing w:val="-9"/>
          <w:lang w:val="vi"/>
        </w:rPr>
        <w:t xml:space="preserve"> </w:t>
      </w:r>
      <w:r w:rsidRPr="002F3AE2">
        <w:rPr>
          <w:lang w:val="vi"/>
        </w:rPr>
        <w:t>nhóm</w:t>
      </w:r>
      <w:r w:rsidRPr="002F3AE2">
        <w:rPr>
          <w:spacing w:val="-14"/>
          <w:lang w:val="vi"/>
        </w:rPr>
        <w:t xml:space="preserve"> </w:t>
      </w:r>
      <w:r w:rsidRPr="002F3AE2">
        <w:rPr>
          <w:lang w:val="vi"/>
        </w:rPr>
        <w:t>chức</w:t>
      </w:r>
      <w:r w:rsidRPr="002F3AE2">
        <w:rPr>
          <w:spacing w:val="-12"/>
          <w:lang w:val="vi"/>
        </w:rPr>
        <w:t xml:space="preserve"> </w:t>
      </w:r>
      <w:r w:rsidRPr="002F3AE2">
        <w:rPr>
          <w:lang w:val="vi"/>
        </w:rPr>
        <w:t>C-N</w:t>
      </w:r>
      <w:r w:rsidRPr="002F3AE2">
        <w:rPr>
          <w:spacing w:val="-12"/>
          <w:lang w:val="vi"/>
        </w:rPr>
        <w:t xml:space="preserve"> </w:t>
      </w:r>
      <w:r w:rsidRPr="002F3AE2">
        <w:rPr>
          <w:lang w:val="vi"/>
        </w:rPr>
        <w:t>và</w:t>
      </w:r>
      <w:r w:rsidRPr="002F3AE2">
        <w:rPr>
          <w:spacing w:val="-12"/>
          <w:lang w:val="vi"/>
        </w:rPr>
        <w:t xml:space="preserve"> </w:t>
      </w:r>
      <w:r w:rsidRPr="002F3AE2">
        <w:rPr>
          <w:lang w:val="vi"/>
        </w:rPr>
        <w:t>N-H).</w:t>
      </w:r>
      <w:r w:rsidRPr="002F3AE2">
        <w:rPr>
          <w:spacing w:val="-12"/>
          <w:lang w:val="vi"/>
        </w:rPr>
        <w:t xml:space="preserve"> </w:t>
      </w:r>
      <w:r w:rsidRPr="002F3AE2">
        <w:rPr>
          <w:lang w:val="vi"/>
        </w:rPr>
        <w:t>Đây</w:t>
      </w:r>
      <w:r w:rsidRPr="002F3AE2">
        <w:rPr>
          <w:spacing w:val="-16"/>
          <w:lang w:val="vi"/>
        </w:rPr>
        <w:t xml:space="preserve"> </w:t>
      </w:r>
      <w:r w:rsidRPr="002F3AE2">
        <w:rPr>
          <w:lang w:val="vi"/>
        </w:rPr>
        <w:t>là</w:t>
      </w:r>
      <w:r w:rsidRPr="002F3AE2">
        <w:rPr>
          <w:spacing w:val="-12"/>
          <w:lang w:val="vi"/>
        </w:rPr>
        <w:t xml:space="preserve"> </w:t>
      </w:r>
      <w:r w:rsidRPr="002F3AE2">
        <w:rPr>
          <w:lang w:val="vi"/>
        </w:rPr>
        <w:t>các</w:t>
      </w:r>
      <w:r w:rsidRPr="002F3AE2">
        <w:rPr>
          <w:spacing w:val="-12"/>
          <w:lang w:val="vi"/>
        </w:rPr>
        <w:t xml:space="preserve"> </w:t>
      </w:r>
      <w:r w:rsidRPr="002F3AE2">
        <w:rPr>
          <w:lang w:val="vi"/>
        </w:rPr>
        <w:t>tín</w:t>
      </w:r>
      <w:r w:rsidRPr="002F3AE2">
        <w:rPr>
          <w:spacing w:val="-11"/>
          <w:lang w:val="vi"/>
        </w:rPr>
        <w:t xml:space="preserve"> </w:t>
      </w:r>
      <w:r w:rsidRPr="002F3AE2">
        <w:rPr>
          <w:lang w:val="vi"/>
        </w:rPr>
        <w:t>hiệu</w:t>
      </w:r>
      <w:r w:rsidRPr="002F3AE2">
        <w:rPr>
          <w:spacing w:val="-9"/>
          <w:lang w:val="vi"/>
        </w:rPr>
        <w:t xml:space="preserve"> </w:t>
      </w:r>
      <w:r w:rsidRPr="002F3AE2">
        <w:rPr>
          <w:lang w:val="vi"/>
        </w:rPr>
        <w:t>đặc</w:t>
      </w:r>
      <w:r w:rsidRPr="002F3AE2">
        <w:rPr>
          <w:spacing w:val="-1"/>
          <w:lang w:val="vi"/>
        </w:rPr>
        <w:t xml:space="preserve"> </w:t>
      </w:r>
      <w:r w:rsidRPr="002F3AE2">
        <w:rPr>
          <w:lang w:val="vi"/>
        </w:rPr>
        <w:t>trưng của</w:t>
      </w:r>
      <w:r w:rsidRPr="002F3AE2">
        <w:rPr>
          <w:spacing w:val="-17"/>
          <w:lang w:val="vi"/>
        </w:rPr>
        <w:t xml:space="preserve"> </w:t>
      </w:r>
      <w:r w:rsidRPr="002F3AE2">
        <w:rPr>
          <w:lang w:val="vi"/>
        </w:rPr>
        <w:t>cấu</w:t>
      </w:r>
      <w:r w:rsidRPr="002F3AE2">
        <w:rPr>
          <w:spacing w:val="-16"/>
          <w:lang w:val="vi"/>
        </w:rPr>
        <w:t xml:space="preserve"> </w:t>
      </w:r>
      <w:r w:rsidRPr="002F3AE2">
        <w:rPr>
          <w:lang w:val="vi"/>
        </w:rPr>
        <w:t>trúc</w:t>
      </w:r>
      <w:r w:rsidRPr="002F3AE2">
        <w:rPr>
          <w:spacing w:val="-16"/>
          <w:lang w:val="vi"/>
        </w:rPr>
        <w:t xml:space="preserve"> </w:t>
      </w:r>
      <w:r w:rsidRPr="002F3AE2">
        <w:rPr>
          <w:lang w:val="vi"/>
        </w:rPr>
        <w:t>tơ</w:t>
      </w:r>
      <w:r w:rsidRPr="002F3AE2">
        <w:rPr>
          <w:spacing w:val="-16"/>
          <w:lang w:val="vi"/>
        </w:rPr>
        <w:t xml:space="preserve"> </w:t>
      </w:r>
      <w:r w:rsidRPr="002F3AE2">
        <w:rPr>
          <w:lang w:val="vi"/>
        </w:rPr>
        <w:t>II</w:t>
      </w:r>
      <w:r w:rsidRPr="002F3AE2">
        <w:rPr>
          <w:spacing w:val="-17"/>
          <w:lang w:val="vi"/>
        </w:rPr>
        <w:t xml:space="preserve"> </w:t>
      </w:r>
      <w:r w:rsidRPr="002F3AE2">
        <w:rPr>
          <w:lang w:val="vi"/>
        </w:rPr>
        <w:t>(cấu</w:t>
      </w:r>
      <w:r w:rsidRPr="002F3AE2">
        <w:rPr>
          <w:spacing w:val="-16"/>
          <w:lang w:val="vi"/>
        </w:rPr>
        <w:t xml:space="preserve"> </w:t>
      </w:r>
      <w:r w:rsidRPr="002F3AE2">
        <w:rPr>
          <w:lang w:val="vi"/>
        </w:rPr>
        <w:t>trúc</w:t>
      </w:r>
      <w:r w:rsidRPr="002F3AE2">
        <w:rPr>
          <w:spacing w:val="-16"/>
          <w:lang w:val="vi"/>
        </w:rPr>
        <w:t xml:space="preserve"> </w:t>
      </w:r>
      <w:r>
        <w:rPr>
          <w:i/>
        </w:rPr>
        <w:t>β</w:t>
      </w:r>
      <w:r w:rsidRPr="002F3AE2">
        <w:rPr>
          <w:lang w:val="vi"/>
        </w:rPr>
        <w:t>)</w:t>
      </w:r>
      <w:r w:rsidRPr="002F3AE2">
        <w:rPr>
          <w:spacing w:val="-16"/>
          <w:lang w:val="vi"/>
        </w:rPr>
        <w:t xml:space="preserve"> </w:t>
      </w:r>
      <w:r w:rsidRPr="002F3AE2">
        <w:rPr>
          <w:lang w:val="vi"/>
        </w:rPr>
        <w:t>không</w:t>
      </w:r>
      <w:r w:rsidRPr="002F3AE2">
        <w:rPr>
          <w:spacing w:val="-17"/>
          <w:lang w:val="vi"/>
        </w:rPr>
        <w:t xml:space="preserve"> </w:t>
      </w:r>
      <w:r w:rsidRPr="002F3AE2">
        <w:rPr>
          <w:lang w:val="vi"/>
        </w:rPr>
        <w:t>tan</w:t>
      </w:r>
      <w:r w:rsidRPr="002F3AE2">
        <w:rPr>
          <w:spacing w:val="-16"/>
          <w:lang w:val="vi"/>
        </w:rPr>
        <w:t xml:space="preserve"> </w:t>
      </w:r>
      <w:r w:rsidRPr="002F3AE2">
        <w:rPr>
          <w:lang w:val="vi"/>
        </w:rPr>
        <w:t>trong</w:t>
      </w:r>
      <w:r w:rsidRPr="002F3AE2">
        <w:rPr>
          <w:spacing w:val="-16"/>
          <w:lang w:val="vi"/>
        </w:rPr>
        <w:t xml:space="preserve"> </w:t>
      </w:r>
      <w:r w:rsidRPr="002F3AE2">
        <w:rPr>
          <w:lang w:val="vi"/>
        </w:rPr>
        <w:t>nước.</w:t>
      </w:r>
      <w:r w:rsidRPr="002F3AE2">
        <w:rPr>
          <w:spacing w:val="-16"/>
          <w:lang w:val="vi"/>
        </w:rPr>
        <w:t xml:space="preserve"> </w:t>
      </w:r>
      <w:r w:rsidRPr="002F3AE2">
        <w:rPr>
          <w:lang w:val="vi"/>
        </w:rPr>
        <w:t>Kết</w:t>
      </w:r>
      <w:r w:rsidRPr="002F3AE2">
        <w:rPr>
          <w:spacing w:val="-17"/>
          <w:lang w:val="vi"/>
        </w:rPr>
        <w:t xml:space="preserve"> </w:t>
      </w:r>
      <w:r w:rsidRPr="002F3AE2">
        <w:rPr>
          <w:lang w:val="vi"/>
        </w:rPr>
        <w:t>quả</w:t>
      </w:r>
      <w:r w:rsidRPr="002F3AE2">
        <w:rPr>
          <w:spacing w:val="-16"/>
          <w:lang w:val="vi"/>
        </w:rPr>
        <w:t xml:space="preserve"> </w:t>
      </w:r>
      <w:r w:rsidRPr="002F3AE2">
        <w:rPr>
          <w:lang w:val="vi"/>
        </w:rPr>
        <w:t>này</w:t>
      </w:r>
      <w:r w:rsidRPr="002F3AE2">
        <w:rPr>
          <w:spacing w:val="12"/>
          <w:lang w:val="vi"/>
        </w:rPr>
        <w:t xml:space="preserve"> </w:t>
      </w:r>
      <w:r w:rsidRPr="002F3AE2">
        <w:rPr>
          <w:lang w:val="vi"/>
        </w:rPr>
        <w:t>phù</w:t>
      </w:r>
      <w:r w:rsidRPr="002F3AE2">
        <w:rPr>
          <w:spacing w:val="-15"/>
          <w:lang w:val="vi"/>
        </w:rPr>
        <w:t xml:space="preserve"> </w:t>
      </w:r>
      <w:r w:rsidRPr="002F3AE2">
        <w:rPr>
          <w:lang w:val="vi"/>
        </w:rPr>
        <w:t>hợp</w:t>
      </w:r>
      <w:r w:rsidRPr="002F3AE2">
        <w:rPr>
          <w:spacing w:val="-17"/>
          <w:lang w:val="vi"/>
        </w:rPr>
        <w:t xml:space="preserve"> </w:t>
      </w:r>
      <w:r w:rsidRPr="002F3AE2">
        <w:rPr>
          <w:lang w:val="vi"/>
        </w:rPr>
        <w:t>với</w:t>
      </w:r>
      <w:r w:rsidRPr="002F3AE2">
        <w:rPr>
          <w:spacing w:val="-16"/>
          <w:lang w:val="vi"/>
        </w:rPr>
        <w:t xml:space="preserve"> </w:t>
      </w:r>
      <w:r w:rsidRPr="002F3AE2">
        <w:rPr>
          <w:lang w:val="vi"/>
        </w:rPr>
        <w:t xml:space="preserve">các nghiên cứu đã được báo cáo bởi Phạm Duy Toàn </w:t>
      </w:r>
      <w:r w:rsidRPr="002F3AE2">
        <w:rPr>
          <w:i/>
          <w:lang w:val="vi"/>
        </w:rPr>
        <w:t>và cộng sự</w:t>
      </w:r>
      <w:r w:rsidR="00D17B34" w:rsidRPr="00D17B34">
        <w:rPr>
          <w:i/>
          <w:lang w:val="vi"/>
        </w:rPr>
        <w:t xml:space="preserve"> </w:t>
      </w:r>
      <w:r w:rsidR="00D17B34">
        <w:rPr>
          <w:lang w:val="vi"/>
        </w:rPr>
        <w:t>(2018</w:t>
      </w:r>
      <w:r w:rsidR="00D17B34" w:rsidRPr="00D17B34">
        <w:rPr>
          <w:lang w:val="vi"/>
        </w:rPr>
        <w:t xml:space="preserve">) </w:t>
      </w:r>
      <w:r w:rsidR="00D17B34" w:rsidRPr="00D17B34">
        <w:rPr>
          <w:lang w:val="vi" w:eastAsia="vi-VN"/>
        </w:rPr>
        <w:t xml:space="preserve"> [9]. </w:t>
      </w:r>
    </w:p>
    <w:p w:rsidR="00685EE5" w:rsidRDefault="00025902" w:rsidP="00295BF3">
      <w:pPr>
        <w:jc w:val="center"/>
        <w:rPr>
          <w:lang w:eastAsia="vi-VN"/>
        </w:rPr>
        <w:sectPr w:rsidR="00685EE5" w:rsidSect="00685EE5">
          <w:type w:val="continuous"/>
          <w:pgSz w:w="11907" w:h="16840" w:code="9"/>
          <w:pgMar w:top="1418" w:right="1418" w:bottom="1418" w:left="1701" w:header="0" w:footer="567" w:gutter="0"/>
          <w:cols w:space="720"/>
        </w:sectPr>
      </w:pPr>
      <w:r>
        <w:rPr>
          <w:noProof/>
          <w:lang w:val="en-US"/>
        </w:rPr>
        <w:lastRenderedPageBreak/>
        <w:drawing>
          <wp:inline distT="0" distB="0" distL="0" distR="0">
            <wp:extent cx="4505325" cy="3918585"/>
            <wp:effectExtent l="0" t="0" r="952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broin.tif"/>
                    <pic:cNvPicPr/>
                  </pic:nvPicPr>
                  <pic:blipFill rotWithShape="1">
                    <a:blip r:embed="rId8" cstate="print">
                      <a:extLst>
                        <a:ext uri="{28A0092B-C50C-407E-A947-70E740481C1C}">
                          <a14:useLocalDpi xmlns:a14="http://schemas.microsoft.com/office/drawing/2010/main" val="0"/>
                        </a:ext>
                      </a:extLst>
                    </a:blip>
                    <a:srcRect l="8706" t="8252" r="10559"/>
                    <a:stretch/>
                  </pic:blipFill>
                  <pic:spPr bwMode="auto">
                    <a:xfrm>
                      <a:off x="0" y="0"/>
                      <a:ext cx="4505325" cy="3918585"/>
                    </a:xfrm>
                    <a:prstGeom prst="rect">
                      <a:avLst/>
                    </a:prstGeom>
                    <a:ln>
                      <a:noFill/>
                    </a:ln>
                    <a:extLst>
                      <a:ext uri="{53640926-AAD7-44D8-BBD7-CCE9431645EC}">
                        <a14:shadowObscured xmlns:a14="http://schemas.microsoft.com/office/drawing/2010/main"/>
                      </a:ext>
                    </a:extLst>
                  </pic:spPr>
                </pic:pic>
              </a:graphicData>
            </a:graphic>
          </wp:inline>
        </w:drawing>
      </w:r>
    </w:p>
    <w:p w:rsidR="00685EE5" w:rsidRDefault="00685EE5" w:rsidP="00EC6BAA">
      <w:pPr>
        <w:ind w:firstLine="0"/>
        <w:rPr>
          <w:lang w:val="en-US" w:eastAsia="vi-VN"/>
        </w:rPr>
        <w:sectPr w:rsidR="00685EE5" w:rsidSect="00685EE5">
          <w:type w:val="continuous"/>
          <w:pgSz w:w="11907" w:h="16840" w:code="9"/>
          <w:pgMar w:top="1418" w:right="1418" w:bottom="1418" w:left="1701" w:header="0" w:footer="567" w:gutter="0"/>
          <w:cols w:num="2" w:space="720"/>
        </w:sectPr>
      </w:pPr>
    </w:p>
    <w:p w:rsidR="00295BF3" w:rsidRPr="00C57487" w:rsidRDefault="00295BF3" w:rsidP="00C57487">
      <w:pPr>
        <w:spacing w:after="240"/>
        <w:ind w:firstLine="0"/>
        <w:jc w:val="center"/>
        <w:rPr>
          <w:sz w:val="20"/>
          <w:szCs w:val="20"/>
          <w:lang w:val="en-US" w:eastAsia="vi-VN"/>
        </w:rPr>
      </w:pPr>
      <w:r w:rsidRPr="00C57487">
        <w:rPr>
          <w:b/>
          <w:sz w:val="20"/>
          <w:szCs w:val="20"/>
          <w:lang w:val="en-US" w:eastAsia="vi-VN"/>
        </w:rPr>
        <w:lastRenderedPageBreak/>
        <w:t>Hình</w:t>
      </w:r>
      <w:r w:rsidR="006B16AD" w:rsidRPr="00C57487">
        <w:rPr>
          <w:b/>
          <w:sz w:val="20"/>
          <w:szCs w:val="20"/>
          <w:lang w:val="en-US" w:eastAsia="vi-VN"/>
        </w:rPr>
        <w:t xml:space="preserve"> 1.</w:t>
      </w:r>
      <w:r w:rsidR="006B16AD" w:rsidRPr="00C57487">
        <w:rPr>
          <w:sz w:val="20"/>
          <w:szCs w:val="20"/>
          <w:lang w:val="en-US" w:eastAsia="vi-VN"/>
        </w:rPr>
        <w:t xml:space="preserve"> Phổ FT-IR của fibroin</w:t>
      </w:r>
    </w:p>
    <w:p w:rsidR="00685EE5" w:rsidRDefault="00685EE5" w:rsidP="00685EE5">
      <w:pPr>
        <w:pStyle w:val="Heading3"/>
        <w:numPr>
          <w:ilvl w:val="2"/>
          <w:numId w:val="9"/>
        </w:numPr>
        <w:rPr>
          <w:lang w:eastAsia="vi-VN"/>
        </w:rPr>
        <w:sectPr w:rsidR="00685EE5" w:rsidSect="00685EE5">
          <w:type w:val="continuous"/>
          <w:pgSz w:w="11907" w:h="16840" w:code="9"/>
          <w:pgMar w:top="1418" w:right="1418" w:bottom="1418" w:left="1701" w:header="0" w:footer="567" w:gutter="0"/>
          <w:cols w:space="720"/>
        </w:sectPr>
      </w:pPr>
    </w:p>
    <w:p w:rsidR="007F701F" w:rsidRDefault="00EC6BAA" w:rsidP="00EC6BAA">
      <w:pPr>
        <w:pStyle w:val="Heading2"/>
        <w:numPr>
          <w:ilvl w:val="0"/>
          <w:numId w:val="0"/>
        </w:numPr>
        <w:rPr>
          <w:lang w:eastAsia="vi-VN"/>
        </w:rPr>
      </w:pPr>
      <w:r w:rsidRPr="00EC6BAA">
        <w:rPr>
          <w:lang w:eastAsia="vi-VN"/>
        </w:rPr>
        <w:lastRenderedPageBreak/>
        <w:t xml:space="preserve">3.1 </w:t>
      </w:r>
      <w:r w:rsidR="007F701F" w:rsidRPr="007F701F">
        <w:rPr>
          <w:lang w:eastAsia="vi-VN"/>
        </w:rPr>
        <w:t>Kích thước</w:t>
      </w:r>
      <w:r w:rsidR="002C5665" w:rsidRPr="002C5665">
        <w:rPr>
          <w:lang w:eastAsia="vi-VN"/>
        </w:rPr>
        <w:t xml:space="preserve"> và điện tích bề mặt</w:t>
      </w:r>
      <w:r w:rsidR="007F701F" w:rsidRPr="007F701F">
        <w:rPr>
          <w:lang w:eastAsia="vi-VN"/>
        </w:rPr>
        <w:t xml:space="preserve"> hệ vi hạt fibroin chứa PVP </w:t>
      </w:r>
    </w:p>
    <w:p w:rsidR="005B6839" w:rsidRDefault="007F701F" w:rsidP="00323B07">
      <w:pPr>
        <w:spacing w:line="288" w:lineRule="auto"/>
        <w:rPr>
          <w:sz w:val="26"/>
        </w:rPr>
      </w:pPr>
      <w:r w:rsidRPr="005B6839">
        <w:rPr>
          <w:szCs w:val="24"/>
        </w:rPr>
        <w:t>Kết quả về kích thước của hệ vi hạt được bào chế thành công từ fibroin tơ tằm (FNPs, PVP-FNPs) cho thấy hệ vi hạt phối trộn PVP (1%-PVP-FNPs, 2%-PVP-F</w:t>
      </w:r>
      <w:r w:rsidR="00327075" w:rsidRPr="00327075">
        <w:rPr>
          <w:szCs w:val="24"/>
        </w:rPr>
        <w:t xml:space="preserve">NPs, </w:t>
      </w:r>
      <w:r w:rsidRPr="005B6839">
        <w:rPr>
          <w:szCs w:val="24"/>
        </w:rPr>
        <w:t>3%-PVP-FNPs) có kích thước lần lượt là 578, 623, 724 nm lớn hơn so với hệ vi hạt fibroin không phối trộn PVP (FNPs) có kích thước 136 nm</w:t>
      </w:r>
      <w:r w:rsidR="005B6839" w:rsidRPr="005B6839">
        <w:rPr>
          <w:szCs w:val="24"/>
        </w:rPr>
        <w:t xml:space="preserve">. Bởi vì, </w:t>
      </w:r>
      <w:r w:rsidR="005B6839" w:rsidRPr="005B6839">
        <w:rPr>
          <w:color w:val="000000" w:themeColor="text1"/>
          <w:szCs w:val="24"/>
        </w:rPr>
        <w:t xml:space="preserve">PVP chứa cả nhóm ưa nước mạnh (phần pyrrolidone) và nhóm alkyl kỵ nước </w:t>
      </w:r>
      <w:r w:rsidR="005B6839" w:rsidRPr="005B6839">
        <w:rPr>
          <w:color w:val="000000" w:themeColor="text1"/>
          <w:szCs w:val="24"/>
          <w:lang w:val="en-US"/>
        </w:rPr>
        <w:fldChar w:fldCharType="begin"/>
      </w:r>
      <w:r w:rsidR="005B6839" w:rsidRPr="005B6839">
        <w:rPr>
          <w:color w:val="000000" w:themeColor="text1"/>
          <w:szCs w:val="24"/>
        </w:rPr>
        <w:instrText xml:space="preserve"> ADDIN ZOTERO_ITEM CSL_CITATION {"citationID":"1f5CME7U","properties":{"formattedCitation":"[38]","plainCitation":"[38]","noteIndex":0},"citationItems":[{"id":146,"uris":["http://zotero.org/users/14054216/items/ZFQF2VHY"],"itemData":{"id":146,"type":"article-journal","abstract":"Colloidal synthesis offers a route to nanoparticles (NPs) with controlled composition and structural features. This Perspective describes the use of polyvinylpyrrolidone (PVP) to obtain such nanostructures. PVP can serve as a surface stabilizer, growth modifier, nanoparticle dispersant, and reducing agent. As shown with examples, its role depends on the synthetic conditions. This dependence arises from the amphiphilic nature of PVP along with the molecular weight of the selected PVP. These characteristics can affect nanoparticle growth and morphology by providing solubility in diverse solvents, selective surface stabilization, and even access to kinetically controlled growth conditions. This Perspective includes discussions of the properties of PVP-capped NPs for surface enhanced Raman spectroscopy (SERS), assembly, catalysis, and more. The contribution of PVP to these properties as well as its removal is considered. Ultimately, the NPs accessed through the use of PVP in colloidal syntheses are opening new applications, and the concluding guidelines provided herein should enable new nanostructures to be accessed facilely.","container-title":"Dalton Transactions","DOI":"10.1039/C5DT02964C","ISSN":"1477-9234","issue":"41","journalAbbreviation":"Dalton Trans.","language":"en","note":"publisher: The Royal Society of Chemistry","page":"17883-17905","source":"pubs.rsc.org","title":"Polyvinylpyrrolidone (PVP) in nanoparticle synthesis","volume":"44","author":[{"family":"Koczkur","given":"Kallum M."},{"family":"Mourdikoudis","given":"Stefanos"},{"family":"Polavarapu","given":"Lakshminarayana"},{"family":"Skrabalak","given":"Sara E."}],"issued":{"date-parts":[["2015",10,13]]}}}],"schema":"https://github.com/citation-style-language/schema/raw/master/csl-citation.json"} </w:instrText>
      </w:r>
      <w:r w:rsidR="005B6839" w:rsidRPr="005B6839">
        <w:rPr>
          <w:color w:val="000000" w:themeColor="text1"/>
          <w:szCs w:val="24"/>
          <w:lang w:val="en-US"/>
        </w:rPr>
        <w:fldChar w:fldCharType="separate"/>
      </w:r>
      <w:r w:rsidR="00D17B34">
        <w:rPr>
          <w:szCs w:val="24"/>
        </w:rPr>
        <w:t>[10</w:t>
      </w:r>
      <w:r w:rsidR="005B6839" w:rsidRPr="005B6839">
        <w:rPr>
          <w:szCs w:val="24"/>
        </w:rPr>
        <w:t>]</w:t>
      </w:r>
      <w:r w:rsidR="005B6839" w:rsidRPr="005B6839">
        <w:rPr>
          <w:color w:val="000000" w:themeColor="text1"/>
          <w:szCs w:val="24"/>
          <w:lang w:val="en-US"/>
        </w:rPr>
        <w:fldChar w:fldCharType="end"/>
      </w:r>
      <w:r w:rsidR="005B6839" w:rsidRPr="005B6839">
        <w:rPr>
          <w:color w:val="000000" w:themeColor="text1"/>
          <w:szCs w:val="24"/>
        </w:rPr>
        <w:t xml:space="preserve">, </w:t>
      </w:r>
      <w:r w:rsidR="005B6839" w:rsidRPr="005B6839">
        <w:rPr>
          <w:szCs w:val="24"/>
        </w:rPr>
        <w:t xml:space="preserve">nên có thể trong quá trình tạo hạt thì PVP tương tác với protein fibroin thông qua các liên kết hydro và tương tác kỵ nước, tạo ra các phức hợp protein-PVP có kích thước </w:t>
      </w:r>
      <w:r w:rsidR="005B6839" w:rsidRPr="005B6839">
        <w:rPr>
          <w:szCs w:val="24"/>
        </w:rPr>
        <w:lastRenderedPageBreak/>
        <w:t>lớn hơn so với các phân tử fibroin tự do và dễ kết tụ tạo làm tăng kích thước của hệ vi hạt. Bên cạnh đó, khi tăng nồng độ PVP thì kích thước của hệ vi hạt tăng dần. Cụ thể là khi tăng nồng độ PVP từ 1% lên 3% thì kích thước hạt tăng từ 578 lên 724 nm. Sự tăng kích thước này là vì khi tăng nồng độ PVP mà tỷ lệ FNPs-EtOH không thay đổi nên lượng PVP còn lại trong hệ nhiều dẫn đến tương tác với protein nhiều hơn và các phân tử PVP này có thể liên kết với nhau hình thành mạng lưới xung quanh nanoparticles ngăn chặn các nanoparticles tương tác với EtOH làm kích thước của hệ vi hạt tăng lên</w:t>
      </w:r>
      <w:r w:rsidR="005B6839" w:rsidRPr="002F3AE2">
        <w:rPr>
          <w:sz w:val="26"/>
        </w:rPr>
        <w:t>.</w:t>
      </w:r>
    </w:p>
    <w:p w:rsidR="00323B07" w:rsidRPr="00C57487" w:rsidRDefault="00323B07" w:rsidP="00323B07">
      <w:pPr>
        <w:spacing w:line="288" w:lineRule="auto"/>
        <w:ind w:firstLine="0"/>
        <w:rPr>
          <w:sz w:val="20"/>
          <w:szCs w:val="20"/>
        </w:rPr>
      </w:pPr>
      <w:r w:rsidRPr="00C57487">
        <w:rPr>
          <w:b/>
          <w:sz w:val="20"/>
          <w:szCs w:val="20"/>
        </w:rPr>
        <w:lastRenderedPageBreak/>
        <w:t>Bảng</w:t>
      </w:r>
      <w:r w:rsidR="00C57487" w:rsidRPr="00372AAE">
        <w:rPr>
          <w:b/>
          <w:sz w:val="20"/>
          <w:szCs w:val="20"/>
        </w:rPr>
        <w:t xml:space="preserve"> </w:t>
      </w:r>
      <w:r w:rsidR="00C57487" w:rsidRPr="00C57487">
        <w:rPr>
          <w:b/>
          <w:sz w:val="20"/>
          <w:szCs w:val="20"/>
        </w:rPr>
        <w:t>1.</w:t>
      </w:r>
      <w:r w:rsidR="00C57487" w:rsidRPr="00C57487">
        <w:rPr>
          <w:sz w:val="20"/>
          <w:szCs w:val="20"/>
        </w:rPr>
        <w:t xml:space="preserve"> </w:t>
      </w:r>
      <w:r w:rsidRPr="00C57487">
        <w:rPr>
          <w:sz w:val="20"/>
          <w:szCs w:val="20"/>
        </w:rPr>
        <w:t xml:space="preserve"> Kích thước hệ vi hạt fibroin phối trộn PVP ở các nồng độ 1, 2, 3%</w:t>
      </w:r>
    </w:p>
    <w:tbl>
      <w:tblPr>
        <w:tblStyle w:val="TableGrid"/>
        <w:tblW w:w="0" w:type="auto"/>
        <w:jc w:val="center"/>
        <w:tblLook w:val="04A0" w:firstRow="1" w:lastRow="0" w:firstColumn="1" w:lastColumn="0" w:noHBand="0" w:noVBand="1"/>
      </w:tblPr>
      <w:tblGrid>
        <w:gridCol w:w="1634"/>
        <w:gridCol w:w="1271"/>
      </w:tblGrid>
      <w:tr w:rsidR="00323B07" w:rsidTr="00C57487">
        <w:trPr>
          <w:jc w:val="center"/>
        </w:trPr>
        <w:tc>
          <w:tcPr>
            <w:tcW w:w="0" w:type="auto"/>
            <w:vAlign w:val="center"/>
          </w:tcPr>
          <w:p w:rsidR="00323B07" w:rsidRPr="00C57487" w:rsidRDefault="00323B07" w:rsidP="00C57487">
            <w:pPr>
              <w:spacing w:line="288" w:lineRule="auto"/>
              <w:jc w:val="center"/>
              <w:rPr>
                <w:sz w:val="26"/>
                <w:lang w:val="vi-VN"/>
              </w:rPr>
            </w:pPr>
            <w:r w:rsidRPr="00C57487">
              <w:rPr>
                <w:rFonts w:asciiTheme="majorHAnsi" w:hAnsiTheme="majorHAnsi" w:cstheme="majorHAnsi"/>
                <w:b/>
                <w:szCs w:val="24"/>
                <w:lang w:val="vi-VN"/>
              </w:rPr>
              <w:t>Mẫu</w:t>
            </w:r>
          </w:p>
        </w:tc>
        <w:tc>
          <w:tcPr>
            <w:tcW w:w="0" w:type="auto"/>
          </w:tcPr>
          <w:p w:rsidR="00323B07" w:rsidRPr="00C57487" w:rsidRDefault="00323B07" w:rsidP="00323B07">
            <w:pPr>
              <w:spacing w:before="120" w:line="288" w:lineRule="auto"/>
              <w:jc w:val="both"/>
              <w:rPr>
                <w:rFonts w:asciiTheme="majorHAnsi" w:hAnsiTheme="majorHAnsi" w:cstheme="majorHAnsi"/>
                <w:b/>
                <w:szCs w:val="24"/>
                <w:lang w:val="vi-VN"/>
              </w:rPr>
            </w:pPr>
            <w:r w:rsidRPr="00C57487">
              <w:rPr>
                <w:rFonts w:asciiTheme="majorHAnsi" w:hAnsiTheme="majorHAnsi" w:cstheme="majorHAnsi"/>
                <w:b/>
                <w:szCs w:val="24"/>
                <w:lang w:val="vi-VN"/>
              </w:rPr>
              <w:t xml:space="preserve">Kích thước </w:t>
            </w:r>
          </w:p>
          <w:p w:rsidR="00323B07" w:rsidRPr="00C57487" w:rsidRDefault="00323B07" w:rsidP="00323B07">
            <w:pPr>
              <w:spacing w:line="288" w:lineRule="auto"/>
              <w:rPr>
                <w:sz w:val="26"/>
                <w:lang w:val="vi-VN"/>
              </w:rPr>
            </w:pPr>
            <w:r w:rsidRPr="00C57487">
              <w:rPr>
                <w:rFonts w:asciiTheme="majorHAnsi" w:hAnsiTheme="majorHAnsi" w:cstheme="majorHAnsi"/>
                <w:b/>
                <w:szCs w:val="24"/>
                <w:lang w:val="vi-VN"/>
              </w:rPr>
              <w:t>(nm)</w:t>
            </w:r>
          </w:p>
        </w:tc>
      </w:tr>
      <w:tr w:rsidR="00323B07" w:rsidTr="00C57487">
        <w:trPr>
          <w:jc w:val="center"/>
        </w:trPr>
        <w:tc>
          <w:tcPr>
            <w:tcW w:w="0" w:type="auto"/>
            <w:vAlign w:val="center"/>
          </w:tcPr>
          <w:p w:rsidR="00323B07" w:rsidRPr="00C57487" w:rsidRDefault="00323B07" w:rsidP="00323B07">
            <w:pPr>
              <w:spacing w:before="120" w:line="288" w:lineRule="auto"/>
              <w:jc w:val="center"/>
              <w:rPr>
                <w:rFonts w:asciiTheme="majorHAnsi" w:hAnsiTheme="majorHAnsi" w:cstheme="majorHAnsi"/>
                <w:b/>
                <w:szCs w:val="24"/>
                <w:lang w:val="vi-VN"/>
              </w:rPr>
            </w:pPr>
            <w:r w:rsidRPr="00C57487">
              <w:rPr>
                <w:rFonts w:asciiTheme="majorHAnsi" w:hAnsiTheme="majorHAnsi" w:cstheme="majorHAnsi"/>
                <w:b/>
                <w:szCs w:val="24"/>
                <w:lang w:val="vi-VN"/>
              </w:rPr>
              <w:t>FNPs</w:t>
            </w:r>
          </w:p>
        </w:tc>
        <w:tc>
          <w:tcPr>
            <w:tcW w:w="0" w:type="auto"/>
            <w:vAlign w:val="center"/>
          </w:tcPr>
          <w:p w:rsidR="00323B07" w:rsidRPr="00C57487" w:rsidRDefault="00323B07" w:rsidP="00323B07">
            <w:pPr>
              <w:spacing w:before="120" w:line="288" w:lineRule="auto"/>
              <w:jc w:val="center"/>
              <w:rPr>
                <w:rFonts w:asciiTheme="majorHAnsi" w:hAnsiTheme="majorHAnsi" w:cstheme="majorHAnsi"/>
                <w:szCs w:val="24"/>
                <w:lang w:val="vi-VN"/>
              </w:rPr>
            </w:pPr>
            <w:r w:rsidRPr="00C57487">
              <w:rPr>
                <w:rFonts w:asciiTheme="majorHAnsi" w:hAnsiTheme="majorHAnsi" w:cstheme="majorHAnsi"/>
                <w:szCs w:val="24"/>
                <w:lang w:val="vi-VN"/>
              </w:rPr>
              <w:t>136</w:t>
            </w:r>
          </w:p>
        </w:tc>
      </w:tr>
      <w:tr w:rsidR="00323B07" w:rsidTr="00C57487">
        <w:trPr>
          <w:jc w:val="center"/>
        </w:trPr>
        <w:tc>
          <w:tcPr>
            <w:tcW w:w="0" w:type="auto"/>
            <w:vAlign w:val="center"/>
          </w:tcPr>
          <w:p w:rsidR="00323B07" w:rsidRPr="00C57487" w:rsidRDefault="00323B07" w:rsidP="00323B07">
            <w:pPr>
              <w:spacing w:before="120" w:line="288" w:lineRule="auto"/>
              <w:jc w:val="center"/>
              <w:rPr>
                <w:rFonts w:asciiTheme="majorHAnsi" w:hAnsiTheme="majorHAnsi" w:cstheme="majorHAnsi"/>
                <w:b/>
                <w:szCs w:val="24"/>
                <w:lang w:val="vi-VN"/>
              </w:rPr>
            </w:pPr>
            <w:r w:rsidRPr="00C57487">
              <w:rPr>
                <w:rFonts w:asciiTheme="majorHAnsi" w:hAnsiTheme="majorHAnsi" w:cstheme="majorHAnsi"/>
                <w:b/>
                <w:szCs w:val="24"/>
                <w:lang w:val="vi-VN"/>
              </w:rPr>
              <w:t>1%-PVP-FNPs</w:t>
            </w:r>
          </w:p>
        </w:tc>
        <w:tc>
          <w:tcPr>
            <w:tcW w:w="0" w:type="auto"/>
            <w:vAlign w:val="center"/>
          </w:tcPr>
          <w:p w:rsidR="00323B07" w:rsidRPr="00C57487" w:rsidRDefault="00323B07" w:rsidP="00323B07">
            <w:pPr>
              <w:spacing w:before="120" w:line="288" w:lineRule="auto"/>
              <w:jc w:val="center"/>
              <w:rPr>
                <w:rFonts w:asciiTheme="majorHAnsi" w:hAnsiTheme="majorHAnsi" w:cstheme="majorHAnsi"/>
                <w:szCs w:val="24"/>
                <w:lang w:val="vi-VN"/>
              </w:rPr>
            </w:pPr>
            <w:r w:rsidRPr="00C57487">
              <w:rPr>
                <w:rFonts w:asciiTheme="majorHAnsi" w:hAnsiTheme="majorHAnsi" w:cstheme="majorHAnsi"/>
                <w:szCs w:val="24"/>
                <w:lang w:val="vi-VN"/>
              </w:rPr>
              <w:t>578</w:t>
            </w:r>
          </w:p>
        </w:tc>
      </w:tr>
      <w:tr w:rsidR="00323B07" w:rsidTr="00C57487">
        <w:trPr>
          <w:jc w:val="center"/>
        </w:trPr>
        <w:tc>
          <w:tcPr>
            <w:tcW w:w="0" w:type="auto"/>
            <w:vAlign w:val="center"/>
          </w:tcPr>
          <w:p w:rsidR="00323B07" w:rsidRPr="00C57487" w:rsidRDefault="00323B07" w:rsidP="00323B07">
            <w:pPr>
              <w:spacing w:before="120" w:line="288" w:lineRule="auto"/>
              <w:jc w:val="center"/>
              <w:rPr>
                <w:rFonts w:asciiTheme="majorHAnsi" w:hAnsiTheme="majorHAnsi" w:cstheme="majorHAnsi"/>
                <w:b/>
                <w:szCs w:val="24"/>
                <w:lang w:val="vi-VN"/>
              </w:rPr>
            </w:pPr>
            <w:r w:rsidRPr="00C57487">
              <w:rPr>
                <w:rFonts w:asciiTheme="majorHAnsi" w:hAnsiTheme="majorHAnsi" w:cstheme="majorHAnsi"/>
                <w:b/>
                <w:szCs w:val="24"/>
                <w:lang w:val="vi-VN"/>
              </w:rPr>
              <w:t>2%-PVP-FNPs</w:t>
            </w:r>
          </w:p>
        </w:tc>
        <w:tc>
          <w:tcPr>
            <w:tcW w:w="0" w:type="auto"/>
            <w:vAlign w:val="center"/>
          </w:tcPr>
          <w:p w:rsidR="00323B07" w:rsidRPr="00C57487" w:rsidRDefault="00323B07" w:rsidP="00323B07">
            <w:pPr>
              <w:spacing w:before="120" w:line="288" w:lineRule="auto"/>
              <w:jc w:val="center"/>
              <w:rPr>
                <w:rFonts w:asciiTheme="majorHAnsi" w:hAnsiTheme="majorHAnsi" w:cstheme="majorHAnsi"/>
                <w:szCs w:val="24"/>
                <w:lang w:val="vi-VN"/>
              </w:rPr>
            </w:pPr>
            <w:r w:rsidRPr="00C57487">
              <w:rPr>
                <w:rFonts w:asciiTheme="majorHAnsi" w:hAnsiTheme="majorHAnsi" w:cstheme="majorHAnsi"/>
                <w:szCs w:val="24"/>
                <w:lang w:val="vi-VN"/>
              </w:rPr>
              <w:t>623</w:t>
            </w:r>
          </w:p>
        </w:tc>
      </w:tr>
      <w:tr w:rsidR="00323B07" w:rsidTr="00C57487">
        <w:trPr>
          <w:jc w:val="center"/>
        </w:trPr>
        <w:tc>
          <w:tcPr>
            <w:tcW w:w="0" w:type="auto"/>
            <w:vAlign w:val="center"/>
          </w:tcPr>
          <w:p w:rsidR="00323B07" w:rsidRPr="00C57487" w:rsidRDefault="00323B07" w:rsidP="00323B07">
            <w:pPr>
              <w:spacing w:before="120" w:line="288" w:lineRule="auto"/>
              <w:jc w:val="center"/>
              <w:rPr>
                <w:rFonts w:asciiTheme="majorHAnsi" w:hAnsiTheme="majorHAnsi" w:cstheme="majorHAnsi"/>
                <w:b/>
                <w:szCs w:val="24"/>
                <w:lang w:val="vi-VN"/>
              </w:rPr>
            </w:pPr>
            <w:r w:rsidRPr="00C57487">
              <w:rPr>
                <w:rFonts w:asciiTheme="majorHAnsi" w:hAnsiTheme="majorHAnsi" w:cstheme="majorHAnsi"/>
                <w:b/>
                <w:szCs w:val="24"/>
                <w:lang w:val="vi-VN"/>
              </w:rPr>
              <w:t>3%-PVP-FNPs</w:t>
            </w:r>
          </w:p>
        </w:tc>
        <w:tc>
          <w:tcPr>
            <w:tcW w:w="0" w:type="auto"/>
            <w:vAlign w:val="center"/>
          </w:tcPr>
          <w:p w:rsidR="00323B07" w:rsidRPr="00C57487" w:rsidRDefault="00323B07" w:rsidP="00323B07">
            <w:pPr>
              <w:spacing w:before="120" w:line="288" w:lineRule="auto"/>
              <w:jc w:val="center"/>
              <w:rPr>
                <w:rFonts w:asciiTheme="majorHAnsi" w:hAnsiTheme="majorHAnsi" w:cstheme="majorHAnsi"/>
                <w:szCs w:val="24"/>
                <w:lang w:val="vi-VN"/>
              </w:rPr>
            </w:pPr>
            <w:r w:rsidRPr="00C57487">
              <w:rPr>
                <w:rFonts w:asciiTheme="majorHAnsi" w:hAnsiTheme="majorHAnsi" w:cstheme="majorHAnsi"/>
                <w:szCs w:val="24"/>
                <w:lang w:val="vi-VN"/>
              </w:rPr>
              <w:t>724</w:t>
            </w:r>
          </w:p>
        </w:tc>
      </w:tr>
    </w:tbl>
    <w:p w:rsidR="00323B07" w:rsidRDefault="00145720" w:rsidP="00323B07">
      <w:pPr>
        <w:spacing w:line="288" w:lineRule="auto"/>
        <w:rPr>
          <w:lang w:val="vi"/>
        </w:rPr>
      </w:pPr>
      <w:r w:rsidRPr="00145720">
        <w:t>Biểu đồ pH</w:t>
      </w:r>
      <w:r w:rsidRPr="009B1469">
        <w:rPr>
          <w:vertAlign w:val="subscript"/>
        </w:rPr>
        <w:t>pzc</w:t>
      </w:r>
      <w:r w:rsidRPr="00145720">
        <w:t xml:space="preserve"> cho </w:t>
      </w:r>
      <w:r w:rsidRPr="002F3AE2">
        <w:rPr>
          <w:lang w:val="vi"/>
        </w:rPr>
        <w:t>thấy rằng điểm đẳng điện của hệ vi hạt FNPs</w:t>
      </w:r>
      <w:r w:rsidRPr="00145720">
        <w:t xml:space="preserve"> </w:t>
      </w:r>
      <w:r w:rsidRPr="002F3AE2">
        <w:rPr>
          <w:lang w:val="vi"/>
        </w:rPr>
        <w:t>và 1%-PVP-FNPs</w:t>
      </w:r>
      <w:r w:rsidRPr="00145720">
        <w:t xml:space="preserve"> </w:t>
      </w:r>
      <w:r w:rsidRPr="002F3AE2">
        <w:rPr>
          <w:lang w:val="vi"/>
        </w:rPr>
        <w:t>không có sự chênh lệch nhiều. Cụ thể, hệ vi hạt FNPs</w:t>
      </w:r>
      <w:r w:rsidRPr="00145720">
        <w:rPr>
          <w:lang w:val="vi"/>
        </w:rPr>
        <w:t xml:space="preserve"> </w:t>
      </w:r>
      <w:r w:rsidRPr="002F3AE2">
        <w:rPr>
          <w:lang w:val="vi"/>
        </w:rPr>
        <w:t>có pH</w:t>
      </w:r>
      <w:r w:rsidRPr="002F3AE2">
        <w:rPr>
          <w:vertAlign w:val="subscript"/>
          <w:lang w:val="vi"/>
        </w:rPr>
        <w:t>pzc</w:t>
      </w:r>
      <w:r w:rsidRPr="002F3AE2">
        <w:rPr>
          <w:lang w:val="vi"/>
        </w:rPr>
        <w:t xml:space="preserve"> là 6,8 và hệ vi hạt 1%-PVP-FNPs</w:t>
      </w:r>
      <w:r w:rsidRPr="00145720">
        <w:rPr>
          <w:lang w:val="vi"/>
        </w:rPr>
        <w:t xml:space="preserve"> </w:t>
      </w:r>
      <w:r w:rsidRPr="002F3AE2">
        <w:rPr>
          <w:lang w:val="vi"/>
        </w:rPr>
        <w:t>là 6,9. Từ đó có thể dự đoán rằng, bề mặt hệ vi hạt FNPs-1:6 và 1%-PVP-FNPs-1:6 sẽ tích điện dương khi pH &lt; pH</w:t>
      </w:r>
      <w:r w:rsidRPr="002F3AE2">
        <w:rPr>
          <w:vertAlign w:val="subscript"/>
          <w:lang w:val="vi"/>
        </w:rPr>
        <w:t>pzc</w:t>
      </w:r>
      <w:r w:rsidRPr="002F3AE2">
        <w:rPr>
          <w:lang w:val="vi"/>
        </w:rPr>
        <w:t xml:space="preserve"> và hấp phụ tốt các anion, tích điện âm khi pH &gt; pH</w:t>
      </w:r>
      <w:r w:rsidRPr="002F3AE2">
        <w:rPr>
          <w:vertAlign w:val="subscript"/>
          <w:lang w:val="vi"/>
        </w:rPr>
        <w:t>pzc</w:t>
      </w:r>
      <w:r w:rsidRPr="002F3AE2">
        <w:rPr>
          <w:lang w:val="vi"/>
        </w:rPr>
        <w:t xml:space="preserve"> và hấp phụ tốt các cation. Như vậy cho thấy thuốc nhuộm cation MG có khả năng bị hấp phụ bởi bề mặt của hệ vi hạt khi pH &gt; pH</w:t>
      </w:r>
      <w:r w:rsidRPr="002F3AE2">
        <w:rPr>
          <w:vertAlign w:val="subscript"/>
          <w:lang w:val="vi"/>
        </w:rPr>
        <w:t>pzc</w:t>
      </w:r>
      <w:r w:rsidR="005022D6" w:rsidRPr="005022D6">
        <w:rPr>
          <w:lang w:val="vi"/>
        </w:rPr>
        <w:t xml:space="preserve"> [11]</w:t>
      </w:r>
      <w:r w:rsidRPr="002F3AE2">
        <w:rPr>
          <w:lang w:val="vi"/>
        </w:rPr>
        <w:t>.</w:t>
      </w:r>
    </w:p>
    <w:p w:rsidR="00323B07" w:rsidRDefault="00323B07" w:rsidP="00323B07">
      <w:pPr>
        <w:spacing w:line="288" w:lineRule="auto"/>
        <w:ind w:firstLine="0"/>
        <w:rPr>
          <w:sz w:val="26"/>
        </w:rPr>
      </w:pPr>
      <w:r>
        <w:rPr>
          <w:noProof/>
          <w:sz w:val="26"/>
          <w:lang w:val="en-US"/>
        </w:rPr>
        <w:drawing>
          <wp:inline distT="0" distB="0" distL="0" distR="0" wp14:anchorId="1B63DFDF" wp14:editId="61903498">
            <wp:extent cx="2561590" cy="13579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1590" cy="1357923"/>
                    </a:xfrm>
                    <a:prstGeom prst="rect">
                      <a:avLst/>
                    </a:prstGeom>
                    <a:noFill/>
                  </pic:spPr>
                </pic:pic>
              </a:graphicData>
            </a:graphic>
          </wp:inline>
        </w:drawing>
      </w:r>
    </w:p>
    <w:p w:rsidR="00323B07" w:rsidRPr="00C57487" w:rsidRDefault="00323B07" w:rsidP="00323B07">
      <w:pPr>
        <w:spacing w:before="0" w:line="288" w:lineRule="auto"/>
        <w:ind w:firstLine="0"/>
        <w:jc w:val="center"/>
        <w:rPr>
          <w:sz w:val="20"/>
          <w:szCs w:val="20"/>
        </w:rPr>
      </w:pPr>
      <w:r w:rsidRPr="00C57487">
        <w:rPr>
          <w:b/>
          <w:sz w:val="20"/>
          <w:szCs w:val="20"/>
        </w:rPr>
        <w:t>Hình 2.</w:t>
      </w:r>
      <w:r w:rsidRPr="00C57487">
        <w:rPr>
          <w:sz w:val="20"/>
          <w:szCs w:val="20"/>
        </w:rPr>
        <w:t xml:space="preserve"> Đồ thị pH</w:t>
      </w:r>
      <w:r w:rsidRPr="009B1469">
        <w:rPr>
          <w:sz w:val="20"/>
          <w:szCs w:val="20"/>
          <w:vertAlign w:val="subscript"/>
        </w:rPr>
        <w:t>pzc</w:t>
      </w:r>
      <w:r w:rsidRPr="00C57487">
        <w:rPr>
          <w:sz w:val="20"/>
          <w:szCs w:val="20"/>
        </w:rPr>
        <w:t xml:space="preserve"> của hệ vi hạt FNPs và 1%-PVP-FNPs</w:t>
      </w:r>
    </w:p>
    <w:p w:rsidR="00323B07" w:rsidRDefault="00323B07" w:rsidP="00F83A42">
      <w:pPr>
        <w:pStyle w:val="Heading2"/>
        <w:numPr>
          <w:ilvl w:val="0"/>
          <w:numId w:val="0"/>
        </w:numPr>
        <w:ind w:left="360"/>
        <w:rPr>
          <w:lang w:eastAsia="vi-VN"/>
        </w:rPr>
      </w:pPr>
      <w:r w:rsidRPr="00EC6BAA">
        <w:rPr>
          <w:lang w:eastAsia="vi-VN"/>
        </w:rPr>
        <w:t xml:space="preserve">3.2 </w:t>
      </w:r>
      <w:r w:rsidRPr="00025902">
        <w:rPr>
          <w:lang w:eastAsia="vi-VN"/>
        </w:rPr>
        <w:t xml:space="preserve">Tương tác giữa các thành phần trong hệ vi hạt </w:t>
      </w:r>
    </w:p>
    <w:p w:rsidR="00323B07" w:rsidRPr="00AF7EE9" w:rsidRDefault="00323B07" w:rsidP="00323B07">
      <w:pPr>
        <w:pStyle w:val="onvn"/>
        <w:rPr>
          <w:sz w:val="22"/>
          <w:lang w:val="vi"/>
        </w:rPr>
      </w:pPr>
      <w:r w:rsidRPr="00AF7EE9">
        <w:rPr>
          <w:sz w:val="22"/>
          <w:lang w:val="vi"/>
        </w:rPr>
        <w:t xml:space="preserve">Kết quả phân tích cấu trúc bằng phổ hồng ngoại FT-IR của hệ vi hạt được phối trộn </w:t>
      </w:r>
      <w:r w:rsidRPr="00AF7EE9">
        <w:rPr>
          <w:sz w:val="22"/>
          <w:lang w:val="vi"/>
        </w:rPr>
        <w:lastRenderedPageBreak/>
        <w:t xml:space="preserve">PVP </w:t>
      </w:r>
      <w:r w:rsidRPr="00AF7EE9">
        <w:rPr>
          <w:sz w:val="22"/>
          <w:lang w:val="vi-VN"/>
        </w:rPr>
        <w:t xml:space="preserve">(1%-PVP-FNPs) </w:t>
      </w:r>
      <w:r w:rsidRPr="00AF7EE9">
        <w:rPr>
          <w:sz w:val="22"/>
          <w:lang w:val="vi"/>
        </w:rPr>
        <w:t>không khác nhiều so với FNPs. Các đỉnh đặc trưng của PVP như 1750-1660 cm</w:t>
      </w:r>
      <w:r w:rsidRPr="00AF7EE9">
        <w:rPr>
          <w:sz w:val="22"/>
          <w:vertAlign w:val="superscript"/>
          <w:lang w:val="vi"/>
        </w:rPr>
        <w:t>-1</w:t>
      </w:r>
      <w:r w:rsidRPr="00AF7EE9">
        <w:rPr>
          <w:sz w:val="22"/>
          <w:lang w:val="vi"/>
        </w:rPr>
        <w:t xml:space="preserve"> của nhóm chức C=O, 3400-3000 cm</w:t>
      </w:r>
      <w:r w:rsidRPr="00AF7EE9">
        <w:rPr>
          <w:sz w:val="22"/>
          <w:vertAlign w:val="superscript"/>
          <w:lang w:val="vi"/>
        </w:rPr>
        <w:t>-1</w:t>
      </w:r>
      <w:r w:rsidRPr="00AF7EE9">
        <w:rPr>
          <w:sz w:val="22"/>
          <w:lang w:val="vi"/>
        </w:rPr>
        <w:t xml:space="preserve"> dao động giãn N-H, 2970-2820 cm</w:t>
      </w:r>
      <w:r w:rsidRPr="00AF7EE9">
        <w:rPr>
          <w:sz w:val="22"/>
          <w:vertAlign w:val="superscript"/>
          <w:lang w:val="vi"/>
        </w:rPr>
        <w:t>-1</w:t>
      </w:r>
      <w:r w:rsidRPr="00AF7EE9">
        <w:rPr>
          <w:sz w:val="22"/>
          <w:lang w:val="vi"/>
        </w:rPr>
        <w:t xml:space="preserve"> dao động giãn C-H, 1300-1200 cm</w:t>
      </w:r>
      <w:r w:rsidRPr="00AF7EE9">
        <w:rPr>
          <w:sz w:val="22"/>
          <w:vertAlign w:val="superscript"/>
          <w:lang w:val="vi"/>
        </w:rPr>
        <w:t>-1</w:t>
      </w:r>
      <w:r w:rsidRPr="00AF7EE9">
        <w:rPr>
          <w:sz w:val="22"/>
          <w:lang w:val="vi"/>
        </w:rPr>
        <w:t xml:space="preserve"> dao động giãn C-N và 1450-1420 cm</w:t>
      </w:r>
      <w:r w:rsidRPr="00AF7EE9">
        <w:rPr>
          <w:sz w:val="22"/>
          <w:vertAlign w:val="superscript"/>
          <w:lang w:val="vi"/>
        </w:rPr>
        <w:t>-1</w:t>
      </w:r>
      <w:r w:rsidRPr="00AF7EE9">
        <w:rPr>
          <w:sz w:val="22"/>
          <w:lang w:val="vi"/>
        </w:rPr>
        <w:t xml:space="preserve"> dao động uốn C-H</w:t>
      </w:r>
      <w:r w:rsidR="003A77BC" w:rsidRPr="003A77BC">
        <w:rPr>
          <w:sz w:val="22"/>
          <w:lang w:val="vi"/>
        </w:rPr>
        <w:t xml:space="preserve"> [12]</w:t>
      </w:r>
      <w:r w:rsidRPr="00AF7EE9">
        <w:rPr>
          <w:sz w:val="22"/>
          <w:lang w:val="vi"/>
        </w:rPr>
        <w:t>. Từ đó có thể thấy rằng có một số đỉnh bị trùng lắp với các đỉnh của amide trong cấu trúc tơ và sự thay đổi cường độ của dao động giãn C-H ở 2970-2820 cm</w:t>
      </w:r>
      <w:r w:rsidRPr="00AF7EE9">
        <w:rPr>
          <w:sz w:val="22"/>
          <w:vertAlign w:val="superscript"/>
          <w:lang w:val="vi"/>
        </w:rPr>
        <w:t>-1</w:t>
      </w:r>
      <w:r w:rsidRPr="00AF7EE9">
        <w:rPr>
          <w:sz w:val="22"/>
          <w:lang w:val="vi"/>
        </w:rPr>
        <w:t xml:space="preserve"> và dao động giãn N-H ở 3400-3000 cm</w:t>
      </w:r>
      <w:r w:rsidRPr="00AF7EE9">
        <w:rPr>
          <w:sz w:val="22"/>
          <w:vertAlign w:val="superscript"/>
          <w:lang w:val="vi"/>
        </w:rPr>
        <w:t>-1</w:t>
      </w:r>
      <w:r w:rsidRPr="00AF7EE9">
        <w:rPr>
          <w:sz w:val="22"/>
          <w:lang w:val="vi"/>
        </w:rPr>
        <w:t xml:space="preserve"> so với phổ FT-IR của FNPs có sự trùng lắp với phổ PVP, cho thấy rằng có sự hiện diện của PVP trong hệ vi hạt. Trên hệ vi hạt FNPs và 1%-PVP-FNPs sau khi hấp phụ có mũi đặc trưng của MG như ở vị trí 1160 cm</w:t>
      </w:r>
      <w:r w:rsidRPr="00AF7EE9">
        <w:rPr>
          <w:sz w:val="22"/>
          <w:vertAlign w:val="superscript"/>
          <w:lang w:val="vi"/>
        </w:rPr>
        <w:t>-1</w:t>
      </w:r>
      <w:r w:rsidRPr="00AF7EE9">
        <w:rPr>
          <w:sz w:val="22"/>
          <w:lang w:val="vi"/>
        </w:rPr>
        <w:t xml:space="preserve"> dao động giãn C-N, 1600-1500 cm</w:t>
      </w:r>
      <w:r w:rsidRPr="00AF7EE9">
        <w:rPr>
          <w:sz w:val="22"/>
          <w:vertAlign w:val="superscript"/>
          <w:lang w:val="vi"/>
        </w:rPr>
        <w:t>-1</w:t>
      </w:r>
      <w:r w:rsidRPr="00AF7EE9">
        <w:rPr>
          <w:sz w:val="22"/>
          <w:lang w:val="vi"/>
        </w:rPr>
        <w:t xml:space="preserve"> dao động C=C trong vòng thơm, 800-700 cm</w:t>
      </w:r>
      <w:r w:rsidRPr="00AF7EE9">
        <w:rPr>
          <w:sz w:val="22"/>
          <w:vertAlign w:val="superscript"/>
          <w:lang w:val="vi"/>
        </w:rPr>
        <w:t>-1</w:t>
      </w:r>
      <w:r w:rsidRPr="00AF7EE9">
        <w:rPr>
          <w:sz w:val="22"/>
          <w:lang w:val="vi"/>
        </w:rPr>
        <w:t xml:space="preserve"> dao động uốn C-H (nhóm methylene). Ngoài ra, các đỉnh đặc trưng của fibroin, PVP và MG bị trùng lặp nhau dẫn đến sự thay đổi cường độ tín hiệu của các mũi trùng lặp. Nhìn chung, phổ FT-IR đã thể hiện được sự tương tác của các thành phần trong cấu trúc hệ vi hạt trước và sau khi hấp phụ, có thể kết luận rằng PVP đã gắn thành công lên hệ vi hạt và có sự hiện diện của MG trong hệ vi hạt sau khi hấp phụ.</w:t>
      </w:r>
    </w:p>
    <w:p w:rsidR="00323B07" w:rsidRPr="00AF7EE9" w:rsidRDefault="00323B07" w:rsidP="00323B07">
      <w:pPr>
        <w:spacing w:before="0" w:line="288" w:lineRule="auto"/>
        <w:ind w:firstLine="0"/>
        <w:rPr>
          <w:szCs w:val="22"/>
          <w:lang w:val="vi"/>
        </w:rPr>
      </w:pPr>
    </w:p>
    <w:p w:rsidR="00323B07" w:rsidRDefault="00323B07" w:rsidP="00323B07">
      <w:pPr>
        <w:spacing w:before="0" w:line="288" w:lineRule="auto"/>
        <w:ind w:firstLine="0"/>
        <w:jc w:val="center"/>
        <w:rPr>
          <w:szCs w:val="22"/>
        </w:rPr>
      </w:pPr>
    </w:p>
    <w:p w:rsidR="00323B07" w:rsidRDefault="00323B07" w:rsidP="00323B07">
      <w:pPr>
        <w:spacing w:before="0" w:line="288" w:lineRule="auto"/>
        <w:ind w:firstLine="0"/>
        <w:jc w:val="center"/>
        <w:rPr>
          <w:szCs w:val="22"/>
        </w:rPr>
      </w:pPr>
    </w:p>
    <w:p w:rsidR="00323B07" w:rsidRDefault="00323B07" w:rsidP="00323B07">
      <w:pPr>
        <w:spacing w:before="0" w:line="288" w:lineRule="auto"/>
        <w:ind w:firstLine="0"/>
        <w:jc w:val="center"/>
        <w:rPr>
          <w:szCs w:val="22"/>
        </w:rPr>
      </w:pPr>
    </w:p>
    <w:p w:rsidR="00323B07" w:rsidRDefault="00323B07" w:rsidP="00323B07">
      <w:pPr>
        <w:spacing w:before="0" w:line="288" w:lineRule="auto"/>
        <w:ind w:firstLine="0"/>
        <w:jc w:val="center"/>
        <w:rPr>
          <w:szCs w:val="22"/>
        </w:rPr>
      </w:pPr>
    </w:p>
    <w:p w:rsidR="00323B07" w:rsidRDefault="00323B07" w:rsidP="00323B07">
      <w:pPr>
        <w:pStyle w:val="Heading2"/>
        <w:numPr>
          <w:ilvl w:val="0"/>
          <w:numId w:val="0"/>
        </w:numPr>
        <w:rPr>
          <w:lang w:eastAsia="vi-VN"/>
        </w:rPr>
        <w:sectPr w:rsidR="00323B07" w:rsidSect="00323B07">
          <w:type w:val="continuous"/>
          <w:pgSz w:w="11907" w:h="16840" w:code="9"/>
          <w:pgMar w:top="1418" w:right="1418" w:bottom="1418" w:left="1701" w:header="0" w:footer="567" w:gutter="0"/>
          <w:cols w:num="2" w:space="720"/>
        </w:sectPr>
      </w:pPr>
    </w:p>
    <w:p w:rsidR="00685EE5" w:rsidRDefault="00685EE5" w:rsidP="00025902">
      <w:pPr>
        <w:rPr>
          <w:lang w:eastAsia="vi-VN"/>
        </w:rPr>
        <w:sectPr w:rsidR="00685EE5" w:rsidSect="00EC6BAA">
          <w:type w:val="continuous"/>
          <w:pgSz w:w="11907" w:h="16840" w:code="9"/>
          <w:pgMar w:top="1418" w:right="1418" w:bottom="1418" w:left="1701" w:header="0" w:footer="567" w:gutter="0"/>
          <w:cols w:num="2" w:space="720"/>
        </w:sectPr>
      </w:pPr>
    </w:p>
    <w:p w:rsidR="00685EE5" w:rsidRDefault="00913324" w:rsidP="008773FD">
      <w:pPr>
        <w:jc w:val="center"/>
        <w:rPr>
          <w:lang w:eastAsia="vi-VN"/>
        </w:rPr>
        <w:sectPr w:rsidR="00685EE5" w:rsidSect="00685EE5">
          <w:type w:val="continuous"/>
          <w:pgSz w:w="11907" w:h="16840" w:code="9"/>
          <w:pgMar w:top="1418" w:right="1418" w:bottom="1418" w:left="1701" w:header="0" w:footer="567" w:gutter="0"/>
          <w:cols w:space="720"/>
        </w:sectPr>
      </w:pPr>
      <w:r>
        <w:rPr>
          <w:noProof/>
          <w:lang w:val="en-US"/>
        </w:rPr>
        <w:lastRenderedPageBreak/>
        <w:drawing>
          <wp:inline distT="0" distB="0" distL="0" distR="0">
            <wp:extent cx="5000625" cy="4019733"/>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3.tif"/>
                    <pic:cNvPicPr/>
                  </pic:nvPicPr>
                  <pic:blipFill rotWithShape="1">
                    <a:blip r:embed="rId10" cstate="print">
                      <a:extLst>
                        <a:ext uri="{28A0092B-C50C-407E-A947-70E740481C1C}">
                          <a14:useLocalDpi xmlns:a14="http://schemas.microsoft.com/office/drawing/2010/main" val="0"/>
                        </a:ext>
                      </a:extLst>
                    </a:blip>
                    <a:srcRect l="10754" t="8512" r="9365"/>
                    <a:stretch/>
                  </pic:blipFill>
                  <pic:spPr bwMode="auto">
                    <a:xfrm>
                      <a:off x="0" y="0"/>
                      <a:ext cx="5000625" cy="4019733"/>
                    </a:xfrm>
                    <a:prstGeom prst="rect">
                      <a:avLst/>
                    </a:prstGeom>
                    <a:ln>
                      <a:noFill/>
                    </a:ln>
                    <a:extLst>
                      <a:ext uri="{53640926-AAD7-44D8-BBD7-CCE9431645EC}">
                        <a14:shadowObscured xmlns:a14="http://schemas.microsoft.com/office/drawing/2010/main"/>
                      </a:ext>
                    </a:extLst>
                  </pic:spPr>
                </pic:pic>
              </a:graphicData>
            </a:graphic>
          </wp:inline>
        </w:drawing>
      </w:r>
    </w:p>
    <w:p w:rsidR="00851CB2" w:rsidRDefault="00851CB2" w:rsidP="00EE7936">
      <w:pPr>
        <w:ind w:firstLine="0"/>
        <w:jc w:val="center"/>
        <w:rPr>
          <w:lang w:eastAsia="vi-VN"/>
        </w:rPr>
        <w:sectPr w:rsidR="00851CB2" w:rsidSect="00685EE5">
          <w:type w:val="continuous"/>
          <w:pgSz w:w="11907" w:h="16840" w:code="9"/>
          <w:pgMar w:top="1418" w:right="1418" w:bottom="1418" w:left="1701" w:header="0" w:footer="567" w:gutter="0"/>
          <w:cols w:num="2" w:space="720"/>
        </w:sectPr>
      </w:pPr>
    </w:p>
    <w:p w:rsidR="00913324" w:rsidRPr="00C57487" w:rsidRDefault="00913324" w:rsidP="008773FD">
      <w:pPr>
        <w:spacing w:after="240"/>
        <w:ind w:firstLine="0"/>
        <w:jc w:val="center"/>
        <w:rPr>
          <w:sz w:val="20"/>
          <w:szCs w:val="20"/>
          <w:lang w:eastAsia="vi-VN"/>
        </w:rPr>
      </w:pPr>
      <w:r w:rsidRPr="00C57487">
        <w:rPr>
          <w:b/>
          <w:sz w:val="20"/>
          <w:szCs w:val="20"/>
          <w:lang w:eastAsia="vi-VN"/>
        </w:rPr>
        <w:lastRenderedPageBreak/>
        <w:t>Hình</w:t>
      </w:r>
      <w:r w:rsidR="00323B07" w:rsidRPr="00C57487">
        <w:rPr>
          <w:b/>
          <w:sz w:val="20"/>
          <w:szCs w:val="20"/>
          <w:lang w:eastAsia="vi-VN"/>
        </w:rPr>
        <w:t xml:space="preserve"> 3.</w:t>
      </w:r>
      <w:r w:rsidR="00323B07" w:rsidRPr="00C57487">
        <w:rPr>
          <w:sz w:val="20"/>
          <w:szCs w:val="20"/>
          <w:lang w:eastAsia="vi-VN"/>
        </w:rPr>
        <w:t xml:space="preserve"> Phổ FT-IR của hệ vi </w:t>
      </w:r>
      <w:r w:rsidR="00EE7936" w:rsidRPr="00C57487">
        <w:rPr>
          <w:sz w:val="20"/>
          <w:szCs w:val="20"/>
          <w:lang w:eastAsia="vi-VN"/>
        </w:rPr>
        <w:t>trước và sau khi hấp phụ MG</w:t>
      </w:r>
    </w:p>
    <w:p w:rsidR="00851CB2" w:rsidRDefault="00851CB2" w:rsidP="00913324">
      <w:pPr>
        <w:pStyle w:val="onvn"/>
        <w:rPr>
          <w:sz w:val="24"/>
          <w:szCs w:val="24"/>
          <w:lang w:val="vi"/>
        </w:rPr>
        <w:sectPr w:rsidR="00851CB2" w:rsidSect="00851CB2">
          <w:type w:val="continuous"/>
          <w:pgSz w:w="11907" w:h="16840" w:code="9"/>
          <w:pgMar w:top="1418" w:right="1418" w:bottom="1418" w:left="1701" w:header="0" w:footer="567" w:gutter="0"/>
          <w:cols w:space="720"/>
        </w:sectPr>
      </w:pPr>
    </w:p>
    <w:p w:rsidR="002C1B7F" w:rsidRDefault="00EC6BAA" w:rsidP="00EC6BAA">
      <w:pPr>
        <w:pStyle w:val="Heading2"/>
        <w:numPr>
          <w:ilvl w:val="0"/>
          <w:numId w:val="0"/>
        </w:numPr>
        <w:ind w:left="720" w:hanging="360"/>
        <w:rPr>
          <w:lang w:eastAsia="vi-VN"/>
        </w:rPr>
      </w:pPr>
      <w:r w:rsidRPr="00EC6BAA">
        <w:rPr>
          <w:lang w:val="vi" w:eastAsia="vi-VN"/>
        </w:rPr>
        <w:lastRenderedPageBreak/>
        <w:t xml:space="preserve">3.3 </w:t>
      </w:r>
      <w:r w:rsidR="005B6839" w:rsidRPr="005B6839">
        <w:rPr>
          <w:lang w:eastAsia="vi-VN"/>
        </w:rPr>
        <w:t>Ảnh hưởng của nồng độ đầu của MG đến quá trình hấp phụ</w:t>
      </w:r>
    </w:p>
    <w:p w:rsidR="00FB67C7" w:rsidRPr="00AF7EE9" w:rsidRDefault="002C1B7F" w:rsidP="00FB67C7">
      <w:pPr>
        <w:spacing w:line="288" w:lineRule="auto"/>
        <w:rPr>
          <w:szCs w:val="22"/>
        </w:rPr>
      </w:pPr>
      <w:r w:rsidRPr="00AF7EE9">
        <w:rPr>
          <w:szCs w:val="22"/>
        </w:rPr>
        <w:t xml:space="preserve">Khi tăng nồng độ MG ban đầu đến 80 mg/L thì hiệu suất hấp phụ tối đa của hệ vi hạt FNPs đạt được là 70,57% sau đó giảm xuống 66,30% khi </w:t>
      </w:r>
      <w:r w:rsidRPr="00AF7EE9">
        <w:rPr>
          <w:bCs/>
          <w:szCs w:val="22"/>
        </w:rPr>
        <w:t>C</w:t>
      </w:r>
      <w:r w:rsidRPr="00AF7EE9">
        <w:rPr>
          <w:bCs/>
          <w:szCs w:val="22"/>
          <w:vertAlign w:val="subscript"/>
        </w:rPr>
        <w:t xml:space="preserve">0 </w:t>
      </w:r>
      <w:r w:rsidRPr="00AF7EE9">
        <w:rPr>
          <w:bCs/>
          <w:szCs w:val="22"/>
        </w:rPr>
        <w:t xml:space="preserve">= 100 mg/L. Ở </w:t>
      </w:r>
      <w:r w:rsidRPr="00AF7EE9">
        <w:rPr>
          <w:szCs w:val="22"/>
        </w:rPr>
        <w:t xml:space="preserve">hệ vi hạt 1%-PVP-FNPs hiệu suất hấp phụ tối đa là 63,14% ở nồng độ 80 mg/L và giá trị này giảm còn 56,75% khi tăng nồng độ MG ban đầu lên 100 mg/L. </w:t>
      </w:r>
      <w:r w:rsidR="00FB67C7" w:rsidRPr="00AF7EE9">
        <w:rPr>
          <w:szCs w:val="22"/>
        </w:rPr>
        <w:t xml:space="preserve">Bên cạnh đó, dung lượng MG được hấp phụ trên một đơn vị khối lượng chất hấp phụ </w:t>
      </w:r>
      <w:r w:rsidR="00FB67C7" w:rsidRPr="00AF7EE9">
        <w:rPr>
          <w:szCs w:val="22"/>
        </w:rPr>
        <w:lastRenderedPageBreak/>
        <w:t>của hệ vi hạt FNPs tăng từ 12,09 lên 209,31 mg/g và hệ vi hạt 1%-PVP-FNPstăng từ 6,15 lên 96,92 mg/g. Dung dịch ở nồng độ thấp có lượng phân tử MG ít hơn so dung dịch có nồng độ cao, dẫn đến sự chênh lệch nồng độ giữa dung dịch và chất hấp phụ nhỏ nên làm cho việc khuếch tán các phân tử MG vào trong hạt chậm hơn so với dung dịch ở nồng độ cao. Tuy nhiên, khi nồng độ MG ban đầu đạt đến 80 mg/L, có thể các vị trí hấp phụ đã bão hòa dẫn đến hiệu suất hấp phụ giảm. Do đó, chọn nồng độ 80 mg/L để tiến hành các khảo sát tiếp theo.</w:t>
      </w:r>
    </w:p>
    <w:p w:rsidR="00851CB2" w:rsidRDefault="00851CB2" w:rsidP="005B6839">
      <w:pPr>
        <w:rPr>
          <w:lang w:eastAsia="vi-VN"/>
        </w:rPr>
        <w:sectPr w:rsidR="00851CB2" w:rsidSect="00685EE5">
          <w:type w:val="continuous"/>
          <w:pgSz w:w="11907" w:h="16840" w:code="9"/>
          <w:pgMar w:top="1418" w:right="1418" w:bottom="1418" w:left="1701" w:header="0" w:footer="567" w:gutter="0"/>
          <w:cols w:num="2" w:space="720"/>
        </w:sectPr>
      </w:pPr>
    </w:p>
    <w:p w:rsidR="00851CB2" w:rsidRDefault="002C1B7F" w:rsidP="005B6839">
      <w:pPr>
        <w:rPr>
          <w:lang w:eastAsia="vi-VN"/>
        </w:rPr>
        <w:sectPr w:rsidR="00851CB2" w:rsidSect="00851CB2">
          <w:type w:val="continuous"/>
          <w:pgSz w:w="11907" w:h="16840" w:code="9"/>
          <w:pgMar w:top="1418" w:right="1418" w:bottom="1418" w:left="1701" w:header="0" w:footer="567" w:gutter="0"/>
          <w:cols w:space="720"/>
        </w:sectPr>
      </w:pPr>
      <w:r>
        <w:rPr>
          <w:noProof/>
          <w:lang w:val="en-US"/>
        </w:rPr>
        <w:lastRenderedPageBreak/>
        <w:drawing>
          <wp:inline distT="0" distB="0" distL="0" distR="0" wp14:anchorId="6353D1C0">
            <wp:extent cx="5135516" cy="28860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8827" cy="2887936"/>
                    </a:xfrm>
                    <a:prstGeom prst="rect">
                      <a:avLst/>
                    </a:prstGeom>
                    <a:noFill/>
                  </pic:spPr>
                </pic:pic>
              </a:graphicData>
            </a:graphic>
          </wp:inline>
        </w:drawing>
      </w:r>
    </w:p>
    <w:p w:rsidR="00851CB2" w:rsidRDefault="00851CB2" w:rsidP="004A43DE">
      <w:pPr>
        <w:ind w:firstLine="0"/>
        <w:sectPr w:rsidR="00851CB2" w:rsidSect="00685EE5">
          <w:type w:val="continuous"/>
          <w:pgSz w:w="11907" w:h="16840" w:code="9"/>
          <w:pgMar w:top="1418" w:right="1418" w:bottom="1418" w:left="1701" w:header="0" w:footer="567" w:gutter="0"/>
          <w:cols w:num="2" w:space="720"/>
        </w:sectPr>
      </w:pPr>
    </w:p>
    <w:p w:rsidR="00DB1332" w:rsidRPr="00C57487" w:rsidRDefault="004A43DE" w:rsidP="008773FD">
      <w:pPr>
        <w:spacing w:after="240"/>
        <w:ind w:firstLine="0"/>
        <w:jc w:val="center"/>
        <w:rPr>
          <w:sz w:val="20"/>
          <w:szCs w:val="20"/>
        </w:rPr>
      </w:pPr>
      <w:r w:rsidRPr="00C57487">
        <w:rPr>
          <w:b/>
          <w:sz w:val="20"/>
          <w:szCs w:val="20"/>
        </w:rPr>
        <w:lastRenderedPageBreak/>
        <w:t>Hình</w:t>
      </w:r>
      <w:r w:rsidR="00EE7936" w:rsidRPr="00C57487">
        <w:rPr>
          <w:b/>
          <w:sz w:val="20"/>
          <w:szCs w:val="20"/>
        </w:rPr>
        <w:t xml:space="preserve"> 4. </w:t>
      </w:r>
      <w:r w:rsidR="00EE7936" w:rsidRPr="00C57487">
        <w:rPr>
          <w:sz w:val="20"/>
          <w:szCs w:val="20"/>
        </w:rPr>
        <w:t>Đồ thị ảnh hưởng nồng độ đến hiệu suất hấp phụ</w:t>
      </w:r>
    </w:p>
    <w:p w:rsidR="00851CB2" w:rsidRPr="00EE7936" w:rsidRDefault="00851CB2" w:rsidP="00EE7936">
      <w:pPr>
        <w:pStyle w:val="Heading3"/>
        <w:numPr>
          <w:ilvl w:val="0"/>
          <w:numId w:val="0"/>
        </w:numPr>
        <w:sectPr w:rsidR="00851CB2" w:rsidRPr="00EE7936" w:rsidSect="00851CB2">
          <w:type w:val="continuous"/>
          <w:pgSz w:w="11907" w:h="16840" w:code="9"/>
          <w:pgMar w:top="1418" w:right="1418" w:bottom="1418" w:left="1701" w:header="0" w:footer="567" w:gutter="0"/>
          <w:cols w:space="720"/>
        </w:sectPr>
      </w:pPr>
    </w:p>
    <w:p w:rsidR="004A43DE" w:rsidRDefault="00EC6BAA" w:rsidP="00EC6BAA">
      <w:pPr>
        <w:pStyle w:val="Heading2"/>
        <w:numPr>
          <w:ilvl w:val="0"/>
          <w:numId w:val="0"/>
        </w:numPr>
      </w:pPr>
      <w:r w:rsidRPr="00EC6BAA">
        <w:lastRenderedPageBreak/>
        <w:t xml:space="preserve">3.4 </w:t>
      </w:r>
      <w:r w:rsidR="004A43DE" w:rsidRPr="004A43DE">
        <w:t xml:space="preserve">Ảnh hưởng của khối lượng vật liệu đến quá trình hấp phụ </w:t>
      </w:r>
    </w:p>
    <w:p w:rsidR="00B0079B" w:rsidRPr="00AF7EE9" w:rsidRDefault="00970E58" w:rsidP="00913324">
      <w:pPr>
        <w:pStyle w:val="muc4"/>
        <w:spacing w:before="120"/>
        <w:jc w:val="both"/>
        <w:rPr>
          <w:rFonts w:cs="Times New Roman"/>
          <w:b w:val="0"/>
          <w:i w:val="0"/>
          <w:sz w:val="22"/>
          <w:lang w:val="vi"/>
        </w:rPr>
      </w:pPr>
      <w:r w:rsidRPr="00AF7EE9">
        <w:rPr>
          <w:b w:val="0"/>
          <w:i w:val="0"/>
          <w:sz w:val="22"/>
        </w:rPr>
        <w:t xml:space="preserve">Kết quả quá trình khảo sát khối lượng </w:t>
      </w:r>
      <w:r w:rsidRPr="00AF7EE9">
        <w:rPr>
          <w:rFonts w:cs="Times New Roman"/>
          <w:b w:val="0"/>
          <w:i w:val="0"/>
          <w:sz w:val="22"/>
          <w:lang w:val="vi"/>
        </w:rPr>
        <w:t>cho thấy mối quan hệ giữa khối lượng hạt và dung lượng hấp phụ là khi khối lượng hạt tăng thì dung lượng hấp phụ giảm</w:t>
      </w:r>
      <w:r w:rsidRPr="00AF7EE9">
        <w:rPr>
          <w:b w:val="0"/>
          <w:i w:val="0"/>
          <w:sz w:val="22"/>
        </w:rPr>
        <w:t>. Cụ thể,</w:t>
      </w:r>
      <w:r w:rsidRPr="00AF7EE9">
        <w:rPr>
          <w:sz w:val="22"/>
        </w:rPr>
        <w:t xml:space="preserve"> </w:t>
      </w:r>
      <w:r w:rsidR="00F45795" w:rsidRPr="00AF7EE9">
        <w:rPr>
          <w:rFonts w:cs="Times New Roman"/>
          <w:b w:val="0"/>
          <w:i w:val="0"/>
          <w:sz w:val="22"/>
          <w:lang w:val="vi"/>
        </w:rPr>
        <w:t xml:space="preserve">hệ vi hạt FNPs dung lượng hấp phụ giảm từ 179,57 </w:t>
      </w:r>
      <w:r w:rsidR="00F45795" w:rsidRPr="00AF7EE9">
        <w:rPr>
          <w:rFonts w:cs="Times New Roman"/>
          <w:b w:val="0"/>
          <w:i w:val="0"/>
          <w:sz w:val="22"/>
          <w:lang w:val="vi"/>
        </w:rPr>
        <w:lastRenderedPageBreak/>
        <w:t>mg/g còn 29,75 mg/g, với hệ vi hạt 1%-PVP-FNPs giảm từ 115,99 mg/g còn 17,46 mg/g khi tăng khối lượng hạt từ 0.</w:t>
      </w:r>
      <w:r w:rsidR="00F45795" w:rsidRPr="00AF7EE9">
        <w:rPr>
          <w:rFonts w:cs="Times New Roman"/>
          <w:b w:val="0"/>
          <w:i w:val="0"/>
          <w:sz w:val="22"/>
        </w:rPr>
        <w:t>5</w:t>
      </w:r>
      <w:r w:rsidR="00F45795" w:rsidRPr="00AF7EE9">
        <w:rPr>
          <w:rFonts w:cs="Times New Roman"/>
          <w:b w:val="0"/>
          <w:i w:val="0"/>
          <w:sz w:val="22"/>
          <w:lang w:val="vi"/>
        </w:rPr>
        <w:t xml:space="preserve"> lên 6. Điều này là do lượng chất hấp phụ tăng trong khi lượng chất bị hấp phụ không đổi dẫn đến dung lượng giảm.</w:t>
      </w:r>
    </w:p>
    <w:p w:rsidR="00851CB2" w:rsidRDefault="00851CB2" w:rsidP="004A43DE">
      <w:pPr>
        <w:sectPr w:rsidR="00851CB2" w:rsidSect="00685EE5">
          <w:type w:val="continuous"/>
          <w:pgSz w:w="11907" w:h="16840" w:code="9"/>
          <w:pgMar w:top="1418" w:right="1418" w:bottom="1418" w:left="1701" w:header="0" w:footer="567" w:gutter="0"/>
          <w:cols w:num="2" w:space="720"/>
        </w:sectPr>
      </w:pPr>
    </w:p>
    <w:p w:rsidR="00851CB2" w:rsidRDefault="00B0079B" w:rsidP="004A43DE">
      <w:pPr>
        <w:sectPr w:rsidR="00851CB2" w:rsidSect="00851CB2">
          <w:type w:val="continuous"/>
          <w:pgSz w:w="11907" w:h="16840" w:code="9"/>
          <w:pgMar w:top="1418" w:right="1418" w:bottom="1418" w:left="1701" w:header="0" w:footer="567" w:gutter="0"/>
          <w:cols w:space="720"/>
        </w:sectPr>
      </w:pPr>
      <w:r>
        <w:rPr>
          <w:noProof/>
          <w:lang w:val="en-US"/>
        </w:rPr>
        <w:lastRenderedPageBreak/>
        <w:drawing>
          <wp:inline distT="0" distB="0" distL="0" distR="0" wp14:anchorId="4D9447EE">
            <wp:extent cx="5181600" cy="27308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6301" cy="2733320"/>
                    </a:xfrm>
                    <a:prstGeom prst="rect">
                      <a:avLst/>
                    </a:prstGeom>
                    <a:noFill/>
                  </pic:spPr>
                </pic:pic>
              </a:graphicData>
            </a:graphic>
          </wp:inline>
        </w:drawing>
      </w:r>
    </w:p>
    <w:p w:rsidR="00291171" w:rsidRPr="00C57487" w:rsidRDefault="00291171" w:rsidP="008773FD">
      <w:pPr>
        <w:spacing w:after="240"/>
        <w:ind w:firstLine="0"/>
        <w:jc w:val="center"/>
        <w:rPr>
          <w:sz w:val="20"/>
          <w:szCs w:val="20"/>
        </w:rPr>
      </w:pPr>
      <w:r w:rsidRPr="00C57487">
        <w:rPr>
          <w:b/>
          <w:sz w:val="20"/>
          <w:szCs w:val="20"/>
        </w:rPr>
        <w:lastRenderedPageBreak/>
        <w:t xml:space="preserve">Hình </w:t>
      </w:r>
      <w:r w:rsidR="00EE7936" w:rsidRPr="00C57487">
        <w:rPr>
          <w:b/>
          <w:sz w:val="20"/>
          <w:szCs w:val="20"/>
        </w:rPr>
        <w:t>5.</w:t>
      </w:r>
      <w:r w:rsidR="00EE7936" w:rsidRPr="00C57487">
        <w:rPr>
          <w:sz w:val="20"/>
          <w:szCs w:val="20"/>
        </w:rPr>
        <w:t xml:space="preserve"> Đồ thị ảnh hưởng khối lượng đến khả năng hấp phụ</w:t>
      </w:r>
    </w:p>
    <w:p w:rsidR="00851CB2" w:rsidRDefault="00851CB2" w:rsidP="00EE7936">
      <w:pPr>
        <w:pStyle w:val="Heading3"/>
        <w:numPr>
          <w:ilvl w:val="0"/>
          <w:numId w:val="0"/>
        </w:numPr>
        <w:sectPr w:rsidR="00851CB2" w:rsidSect="00851CB2">
          <w:type w:val="continuous"/>
          <w:pgSz w:w="11907" w:h="16840" w:code="9"/>
          <w:pgMar w:top="1418" w:right="1418" w:bottom="1418" w:left="1701" w:header="0" w:footer="567" w:gutter="0"/>
          <w:cols w:space="720"/>
        </w:sectPr>
      </w:pPr>
    </w:p>
    <w:p w:rsidR="00291171" w:rsidRDefault="00EC6BAA" w:rsidP="00EC6BAA">
      <w:pPr>
        <w:pStyle w:val="Heading2"/>
        <w:numPr>
          <w:ilvl w:val="0"/>
          <w:numId w:val="0"/>
        </w:numPr>
      </w:pPr>
      <w:r w:rsidRPr="00EC6BAA">
        <w:lastRenderedPageBreak/>
        <w:t xml:space="preserve">3.5 </w:t>
      </w:r>
      <w:r w:rsidR="00291171" w:rsidRPr="00291171">
        <w:t>Ảnh hưởng của thời gian đến quá trình hấp phụ</w:t>
      </w:r>
    </w:p>
    <w:p w:rsidR="009C5A23" w:rsidRPr="00AF7EE9" w:rsidRDefault="009C5A23" w:rsidP="00BF4126">
      <w:pPr>
        <w:rPr>
          <w:szCs w:val="22"/>
        </w:rPr>
      </w:pPr>
      <w:r w:rsidRPr="00AF7EE9">
        <w:rPr>
          <w:szCs w:val="22"/>
        </w:rPr>
        <w:t xml:space="preserve">Khảo sát quá trình hấp phụ theo thời gian cho thấy hiệu suất hấp phụ MG tăng khi </w:t>
      </w:r>
      <w:r w:rsidRPr="00AF7EE9">
        <w:rPr>
          <w:szCs w:val="22"/>
        </w:rPr>
        <w:lastRenderedPageBreak/>
        <w:t xml:space="preserve">tăng thời gian hấp phụ từ 1 đến 120 phút. Hệ vi hạt FNPs có hiệu suất hấp phụ MG </w:t>
      </w:r>
      <w:r w:rsidR="00BF4126" w:rsidRPr="00AF7EE9">
        <w:rPr>
          <w:szCs w:val="22"/>
        </w:rPr>
        <w:t>trong 1</w:t>
      </w:r>
      <w:r w:rsidRPr="00AF7EE9">
        <w:rPr>
          <w:szCs w:val="22"/>
        </w:rPr>
        <w:t xml:space="preserve"> phút đạt được </w:t>
      </w:r>
      <w:r w:rsidR="00BF4126" w:rsidRPr="00AF7EE9">
        <w:rPr>
          <w:szCs w:val="22"/>
        </w:rPr>
        <w:t>66,67</w:t>
      </w:r>
      <w:r w:rsidRPr="00AF7EE9">
        <w:rPr>
          <w:szCs w:val="22"/>
        </w:rPr>
        <w:t>% và tăng lên 77,26% ở thời điểm</w:t>
      </w:r>
      <w:r w:rsidR="00BF4126" w:rsidRPr="00AF7EE9">
        <w:rPr>
          <w:szCs w:val="22"/>
        </w:rPr>
        <w:t xml:space="preserve"> 120 phút</w:t>
      </w:r>
      <w:r w:rsidRPr="00AF7EE9">
        <w:rPr>
          <w:szCs w:val="22"/>
        </w:rPr>
        <w:t>, với hệ vi hạt 1%-PVP-</w:t>
      </w:r>
      <w:r w:rsidRPr="00AF7EE9">
        <w:rPr>
          <w:szCs w:val="22"/>
        </w:rPr>
        <w:lastRenderedPageBreak/>
        <w:t>FNPs</w:t>
      </w:r>
      <w:r w:rsidR="00BF4126" w:rsidRPr="00AF7EE9">
        <w:rPr>
          <w:szCs w:val="22"/>
        </w:rPr>
        <w:t xml:space="preserve"> có hiệu suất hấp phụ trong 1 phút đạt 69,33% sau 120 phút tăng lên 74,83%. Bên cạnh đó,</w:t>
      </w:r>
      <w:r w:rsidRPr="00AF7EE9">
        <w:rPr>
          <w:szCs w:val="22"/>
        </w:rPr>
        <w:t xml:space="preserve"> giai đoạn sau hiệu suất hấp phụ tăng chậm và gần như không có sự thay đổi quá lớn ở giai đoạn 45 phút trở về sau.</w:t>
      </w:r>
      <w:r w:rsidRPr="00AF7EE9">
        <w:rPr>
          <w:color w:val="FF0000"/>
          <w:szCs w:val="22"/>
        </w:rPr>
        <w:t xml:space="preserve"> </w:t>
      </w:r>
      <w:r w:rsidRPr="00AF7EE9">
        <w:rPr>
          <w:szCs w:val="22"/>
        </w:rPr>
        <w:t xml:space="preserve">Điều này có thể được giải thích là các phân tử MG chiếm một </w:t>
      </w:r>
      <w:r w:rsidRPr="00AF7EE9">
        <w:rPr>
          <w:szCs w:val="22"/>
        </w:rPr>
        <w:lastRenderedPageBreak/>
        <w:t xml:space="preserve">lượng lớn các tâm hấp phụ còn trống trên bề mặt chất hấp phụ trong thời gian đầu dẫn đến tăng hiệu suất hấp phụ sau đó số tâm hấp phụ trống ít hơn nên tốc độ hấp phụ chậm và dần đến cân bằng hấp phụ.  </w:t>
      </w:r>
    </w:p>
    <w:p w:rsidR="00851CB2" w:rsidRDefault="00851CB2" w:rsidP="00BF4126">
      <w:pPr>
        <w:ind w:firstLine="0"/>
        <w:rPr>
          <w:color w:val="FF0000"/>
          <w:szCs w:val="24"/>
        </w:rPr>
        <w:sectPr w:rsidR="00851CB2" w:rsidSect="00685EE5">
          <w:type w:val="continuous"/>
          <w:pgSz w:w="11907" w:h="16840" w:code="9"/>
          <w:pgMar w:top="1418" w:right="1418" w:bottom="1418" w:left="1701" w:header="0" w:footer="567" w:gutter="0"/>
          <w:cols w:num="2" w:space="720"/>
        </w:sectPr>
      </w:pPr>
    </w:p>
    <w:p w:rsidR="00851CB2" w:rsidRDefault="00BF4126" w:rsidP="00BF4126">
      <w:pPr>
        <w:ind w:firstLine="0"/>
        <w:rPr>
          <w:color w:val="FF0000"/>
          <w:szCs w:val="24"/>
        </w:rPr>
        <w:sectPr w:rsidR="00851CB2" w:rsidSect="00851CB2">
          <w:type w:val="continuous"/>
          <w:pgSz w:w="11907" w:h="16840" w:code="9"/>
          <w:pgMar w:top="1418" w:right="1418" w:bottom="1418" w:left="1701" w:header="0" w:footer="567" w:gutter="0"/>
          <w:cols w:space="720"/>
        </w:sectPr>
      </w:pPr>
      <w:r>
        <w:rPr>
          <w:noProof/>
          <w:color w:val="FF0000"/>
          <w:szCs w:val="24"/>
          <w:lang w:val="en-US"/>
        </w:rPr>
        <w:lastRenderedPageBreak/>
        <w:drawing>
          <wp:inline distT="0" distB="0" distL="0" distR="0" wp14:anchorId="3F1080CC">
            <wp:extent cx="5591175" cy="277623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5845" cy="2778552"/>
                    </a:xfrm>
                    <a:prstGeom prst="rect">
                      <a:avLst/>
                    </a:prstGeom>
                    <a:noFill/>
                  </pic:spPr>
                </pic:pic>
              </a:graphicData>
            </a:graphic>
          </wp:inline>
        </w:drawing>
      </w:r>
    </w:p>
    <w:p w:rsidR="00BF4126" w:rsidRDefault="00BF4126" w:rsidP="00BF4126">
      <w:pPr>
        <w:ind w:firstLine="0"/>
        <w:rPr>
          <w:color w:val="FF0000"/>
          <w:szCs w:val="24"/>
        </w:rPr>
      </w:pPr>
    </w:p>
    <w:p w:rsidR="00851CB2" w:rsidRDefault="00851CB2" w:rsidP="00BF4126">
      <w:pPr>
        <w:ind w:firstLine="0"/>
        <w:rPr>
          <w:szCs w:val="24"/>
          <w:lang w:val="en-US"/>
        </w:rPr>
        <w:sectPr w:rsidR="00851CB2" w:rsidSect="00685EE5">
          <w:type w:val="continuous"/>
          <w:pgSz w:w="11907" w:h="16840" w:code="9"/>
          <w:pgMar w:top="1418" w:right="1418" w:bottom="1418" w:left="1701" w:header="0" w:footer="567" w:gutter="0"/>
          <w:cols w:num="2" w:space="720"/>
        </w:sectPr>
      </w:pPr>
    </w:p>
    <w:p w:rsidR="00851CB2" w:rsidRPr="00C57487" w:rsidRDefault="00BF4126" w:rsidP="00C57487">
      <w:pPr>
        <w:spacing w:after="240"/>
        <w:ind w:firstLine="0"/>
        <w:jc w:val="center"/>
        <w:rPr>
          <w:sz w:val="20"/>
          <w:szCs w:val="20"/>
          <w:lang w:val="en-US"/>
        </w:rPr>
        <w:sectPr w:rsidR="00851CB2" w:rsidRPr="00C57487" w:rsidSect="00851CB2">
          <w:type w:val="continuous"/>
          <w:pgSz w:w="11907" w:h="16840" w:code="9"/>
          <w:pgMar w:top="1418" w:right="1418" w:bottom="1418" w:left="1701" w:header="0" w:footer="567" w:gutter="0"/>
          <w:cols w:space="720"/>
        </w:sectPr>
      </w:pPr>
      <w:r w:rsidRPr="00C57487">
        <w:rPr>
          <w:b/>
          <w:sz w:val="20"/>
          <w:szCs w:val="20"/>
          <w:lang w:val="en-US"/>
        </w:rPr>
        <w:lastRenderedPageBreak/>
        <w:t xml:space="preserve">Hình </w:t>
      </w:r>
      <w:r w:rsidR="00EE7936" w:rsidRPr="00C57487">
        <w:rPr>
          <w:b/>
          <w:sz w:val="20"/>
          <w:szCs w:val="20"/>
          <w:lang w:val="en-US"/>
        </w:rPr>
        <w:t>6.</w:t>
      </w:r>
      <w:r w:rsidR="00EE7936" w:rsidRPr="00C57487">
        <w:rPr>
          <w:sz w:val="20"/>
          <w:szCs w:val="20"/>
          <w:lang w:val="en-US"/>
        </w:rPr>
        <w:t xml:space="preserve"> Đồ thị ảnh hưởng của thời gian đến khả năng hấp phụ </w:t>
      </w:r>
    </w:p>
    <w:p w:rsidR="00BF4126" w:rsidRDefault="00EC6BAA" w:rsidP="00EC6BAA">
      <w:pPr>
        <w:pStyle w:val="Heading2"/>
        <w:numPr>
          <w:ilvl w:val="0"/>
          <w:numId w:val="0"/>
        </w:numPr>
        <w:rPr>
          <w:lang w:val="en-US"/>
        </w:rPr>
      </w:pPr>
      <w:r>
        <w:rPr>
          <w:lang w:val="en-US"/>
        </w:rPr>
        <w:lastRenderedPageBreak/>
        <w:t xml:space="preserve">3.6 </w:t>
      </w:r>
      <w:r w:rsidR="00AD0074">
        <w:rPr>
          <w:lang w:val="en-US"/>
        </w:rPr>
        <w:t xml:space="preserve">Ảnh hưởng của pH đến quá trình hấp phụ </w:t>
      </w:r>
    </w:p>
    <w:p w:rsidR="000F2ABE" w:rsidRPr="000F2ABE" w:rsidRDefault="002C5665" w:rsidP="000F2ABE">
      <w:pPr>
        <w:rPr>
          <w:lang w:val="en-US"/>
        </w:rPr>
      </w:pPr>
      <w:r>
        <w:rPr>
          <w:lang w:val="en-US"/>
        </w:rPr>
        <w:t>Kết quả khảo sát pH cho thấy k</w:t>
      </w:r>
      <w:r w:rsidRPr="002C5665">
        <w:rPr>
          <w:lang w:val="en-US"/>
        </w:rPr>
        <w:t xml:space="preserve">hi tăng pH dung dịch từ 2 lên 8, hiệu suất và dung lượng hấp phụ </w:t>
      </w:r>
      <w:r>
        <w:rPr>
          <w:lang w:val="en-US"/>
        </w:rPr>
        <w:t>của</w:t>
      </w:r>
      <w:r w:rsidRPr="002C5665">
        <w:rPr>
          <w:lang w:val="en-US"/>
        </w:rPr>
        <w:t xml:space="preserve"> hệ vi hạt FNPs</w:t>
      </w:r>
      <w:r>
        <w:rPr>
          <w:lang w:val="en-US"/>
        </w:rPr>
        <w:t xml:space="preserve"> </w:t>
      </w:r>
      <w:r w:rsidRPr="002C5665">
        <w:rPr>
          <w:lang w:val="en-US"/>
        </w:rPr>
        <w:t xml:space="preserve">tăng từ 21,68% lên 70,79% và 57,34 mg/g lên 159,15 mg/g </w:t>
      </w:r>
      <w:r>
        <w:rPr>
          <w:lang w:val="en-US"/>
        </w:rPr>
        <w:t>và</w:t>
      </w:r>
      <w:r w:rsidRPr="002C5665">
        <w:rPr>
          <w:lang w:val="en-US"/>
        </w:rPr>
        <w:t xml:space="preserve"> hệ vi hạt 1%-PVP-FNPs tăng từ 22,39% lên 74,55% và 28,32 mg/g lên 99,43 mg/g. Điều này cho thấy sự hấp phụ bị ảnh </w:t>
      </w:r>
      <w:r w:rsidRPr="002C5665">
        <w:rPr>
          <w:lang w:val="en-US"/>
        </w:rPr>
        <w:lastRenderedPageBreak/>
        <w:t>hưởng đáng kể bởi pH dung dịch. Ở pH thấp hơn, có một số lượng lớn các vị trí bề mặt tích điện dương và số tâm hấp phụ tích điện âm ít hơn, khiến cho việc hấp phụ các phân tử MG tích điện dương không thuận lợi do lực đẩy tĩnh điện giữa vị trí hấp phụ tích điện dương và thuốc nhuộm cation. Ngược lại, bề mặt của chất hấp phụ tích điện âm nhiều hơn khi ở pH cao, điều này giúp tăng hiệu suất hấp phụ của dung dịch MG do lực hút tĩnh điện.</w:t>
      </w:r>
    </w:p>
    <w:p w:rsidR="00851CB2" w:rsidRDefault="00851CB2" w:rsidP="000F2ABE">
      <w:pPr>
        <w:ind w:firstLine="0"/>
        <w:rPr>
          <w:lang w:val="en-US"/>
        </w:rPr>
        <w:sectPr w:rsidR="00851CB2" w:rsidSect="00685EE5">
          <w:type w:val="continuous"/>
          <w:pgSz w:w="11907" w:h="16840" w:code="9"/>
          <w:pgMar w:top="1418" w:right="1418" w:bottom="1418" w:left="1701" w:header="0" w:footer="567" w:gutter="0"/>
          <w:cols w:num="2" w:space="720"/>
        </w:sectPr>
      </w:pPr>
    </w:p>
    <w:p w:rsidR="00851CB2" w:rsidRDefault="000F2ABE" w:rsidP="000F2ABE">
      <w:pPr>
        <w:ind w:firstLine="0"/>
        <w:rPr>
          <w:lang w:val="en-US"/>
        </w:rPr>
        <w:sectPr w:rsidR="00851CB2" w:rsidSect="00851CB2">
          <w:type w:val="continuous"/>
          <w:pgSz w:w="11907" w:h="16840" w:code="9"/>
          <w:pgMar w:top="1418" w:right="1418" w:bottom="1418" w:left="1701" w:header="0" w:footer="567" w:gutter="0"/>
          <w:cols w:space="720"/>
        </w:sectPr>
      </w:pPr>
      <w:r>
        <w:rPr>
          <w:noProof/>
          <w:lang w:val="en-US"/>
        </w:rPr>
        <w:lastRenderedPageBreak/>
        <w:drawing>
          <wp:inline distT="0" distB="0" distL="0" distR="0" wp14:anchorId="4E098C0B">
            <wp:extent cx="5579214" cy="26289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7641" cy="2632871"/>
                    </a:xfrm>
                    <a:prstGeom prst="rect">
                      <a:avLst/>
                    </a:prstGeom>
                    <a:noFill/>
                  </pic:spPr>
                </pic:pic>
              </a:graphicData>
            </a:graphic>
          </wp:inline>
        </w:drawing>
      </w:r>
    </w:p>
    <w:p w:rsidR="00AD0074" w:rsidRDefault="00AD0074" w:rsidP="000F2ABE">
      <w:pPr>
        <w:ind w:firstLine="0"/>
        <w:rPr>
          <w:lang w:val="en-US"/>
        </w:rPr>
      </w:pPr>
    </w:p>
    <w:p w:rsidR="00851CB2" w:rsidRDefault="00851CB2" w:rsidP="000F2ABE">
      <w:pPr>
        <w:ind w:firstLine="0"/>
        <w:rPr>
          <w:lang w:val="en-US"/>
        </w:rPr>
        <w:sectPr w:rsidR="00851CB2" w:rsidSect="00685EE5">
          <w:type w:val="continuous"/>
          <w:pgSz w:w="11907" w:h="16840" w:code="9"/>
          <w:pgMar w:top="1418" w:right="1418" w:bottom="1418" w:left="1701" w:header="0" w:footer="567" w:gutter="0"/>
          <w:cols w:num="2" w:space="720"/>
        </w:sectPr>
      </w:pPr>
    </w:p>
    <w:p w:rsidR="002C5665" w:rsidRPr="00C57487" w:rsidRDefault="002C5665" w:rsidP="00C57487">
      <w:pPr>
        <w:spacing w:after="240"/>
        <w:ind w:firstLine="0"/>
        <w:jc w:val="center"/>
        <w:rPr>
          <w:sz w:val="20"/>
          <w:szCs w:val="20"/>
          <w:lang w:val="en-US"/>
        </w:rPr>
      </w:pPr>
      <w:r w:rsidRPr="00C57487">
        <w:rPr>
          <w:b/>
          <w:sz w:val="20"/>
          <w:szCs w:val="20"/>
          <w:lang w:val="en-US"/>
        </w:rPr>
        <w:lastRenderedPageBreak/>
        <w:t>Hình</w:t>
      </w:r>
      <w:r w:rsidR="00EE7936" w:rsidRPr="00C57487">
        <w:rPr>
          <w:b/>
          <w:sz w:val="20"/>
          <w:szCs w:val="20"/>
          <w:lang w:val="en-US"/>
        </w:rPr>
        <w:t xml:space="preserve"> 7.</w:t>
      </w:r>
      <w:r w:rsidR="00EE7936" w:rsidRPr="00C57487">
        <w:rPr>
          <w:sz w:val="20"/>
          <w:szCs w:val="20"/>
          <w:lang w:val="en-US"/>
        </w:rPr>
        <w:t xml:space="preserve"> Đồ thị ảnh hưởng của pH đến khả năng hấp phụ</w:t>
      </w:r>
    </w:p>
    <w:p w:rsidR="00851CB2" w:rsidRDefault="00851CB2" w:rsidP="00EE7936">
      <w:pPr>
        <w:pStyle w:val="Heading3"/>
        <w:numPr>
          <w:ilvl w:val="0"/>
          <w:numId w:val="0"/>
        </w:numPr>
        <w:ind w:left="720"/>
        <w:rPr>
          <w:lang w:val="en-US"/>
        </w:rPr>
        <w:sectPr w:rsidR="00851CB2" w:rsidSect="00851CB2">
          <w:type w:val="continuous"/>
          <w:pgSz w:w="11907" w:h="16840" w:code="9"/>
          <w:pgMar w:top="1418" w:right="1418" w:bottom="1418" w:left="1701" w:header="0" w:footer="567" w:gutter="0"/>
          <w:cols w:space="720"/>
        </w:sectPr>
      </w:pPr>
    </w:p>
    <w:p w:rsidR="002C5665" w:rsidRDefault="00EC6BAA" w:rsidP="00EC6BAA">
      <w:pPr>
        <w:pStyle w:val="Heading2"/>
        <w:numPr>
          <w:ilvl w:val="0"/>
          <w:numId w:val="0"/>
        </w:numPr>
        <w:rPr>
          <w:lang w:val="en-US"/>
        </w:rPr>
      </w:pPr>
      <w:r>
        <w:rPr>
          <w:lang w:val="en-US"/>
        </w:rPr>
        <w:lastRenderedPageBreak/>
        <w:t xml:space="preserve">3.7 </w:t>
      </w:r>
      <w:r w:rsidR="002C5665">
        <w:rPr>
          <w:lang w:val="en-US"/>
        </w:rPr>
        <w:t xml:space="preserve">Cân bằng hấp phụ </w:t>
      </w:r>
    </w:p>
    <w:p w:rsidR="007804C2" w:rsidRPr="00AF7EE9" w:rsidRDefault="00A019E0" w:rsidP="00A80246">
      <w:pPr>
        <w:spacing w:line="288" w:lineRule="auto"/>
        <w:rPr>
          <w:bCs/>
          <w:iCs/>
          <w:color w:val="000000"/>
          <w:szCs w:val="22"/>
        </w:rPr>
      </w:pPr>
      <w:r w:rsidRPr="00AF7EE9">
        <w:rPr>
          <w:bCs/>
          <w:iCs/>
          <w:color w:val="000000"/>
          <w:szCs w:val="22"/>
          <w:lang w:val="vi"/>
        </w:rPr>
        <w:t>Một trong những thông số chủ yếu đánh giá khă năng hấp phụ của vật liệu là xác định mối quan hệ giữa dung lượng hấp phụ và nồng độ chất bị hấp phụ trong điều kiện cân bằng và ở nhiệt độ không đổi. Với kết quả thu được từ ảnh hưởng của nồng độ đầu, tiến hành nghiên cứu cân bằng hấp phụ thep mô hình đẳng nhiệt Langmuir và Freundlich.</w:t>
      </w:r>
      <w:r w:rsidRPr="00AF7EE9">
        <w:rPr>
          <w:bCs/>
          <w:iCs/>
          <w:color w:val="000000"/>
          <w:szCs w:val="22"/>
        </w:rPr>
        <w:t xml:space="preserve"> Kết quả các tham số đẳng nhiệt hấp phụ theo hai mô hình cho thấy mô hình đẳng nhiệt Frendlich có hệ số hồi quy tuyến tính cao hơn so với Langmuir. Cụ thể, hệ vi hạt FNPs và 1%-PVP-FNPs có R</w:t>
      </w:r>
      <w:r w:rsidRPr="00AF7EE9">
        <w:rPr>
          <w:bCs/>
          <w:iCs/>
          <w:color w:val="000000"/>
          <w:szCs w:val="22"/>
          <w:vertAlign w:val="superscript"/>
        </w:rPr>
        <w:t>2</w:t>
      </w:r>
      <w:r w:rsidRPr="00AF7EE9">
        <w:rPr>
          <w:bCs/>
          <w:iCs/>
          <w:color w:val="000000"/>
          <w:szCs w:val="22"/>
        </w:rPr>
        <w:t xml:space="preserve"> lần lượt là 0,814 và 0,8319. Cho thấy rằng quá trình hấp phụ MG bằng hệ vi hạt FNPs và 1%-PVP-FNPs mang tính thuận nghịch, năng lượng hấp phụ trên bề mặt là không đồng nhất, có sự tương</w:t>
      </w:r>
      <w:r w:rsidR="007804C2" w:rsidRPr="00AF7EE9">
        <w:rPr>
          <w:bCs/>
          <w:iCs/>
          <w:color w:val="000000"/>
          <w:szCs w:val="22"/>
        </w:rPr>
        <w:t xml:space="preserve"> </w:t>
      </w:r>
      <w:r w:rsidRPr="00AF7EE9">
        <w:rPr>
          <w:bCs/>
          <w:iCs/>
          <w:color w:val="000000"/>
          <w:szCs w:val="22"/>
        </w:rPr>
        <w:t>tác giữa các phân tử MG và bề mặt hệ vi hạt có thể là hấp phụ đa lớp.</w:t>
      </w:r>
    </w:p>
    <w:p w:rsidR="00A019E0" w:rsidRPr="00AF7EE9" w:rsidRDefault="00811B0A" w:rsidP="007804C2">
      <w:pPr>
        <w:spacing w:line="288" w:lineRule="auto"/>
        <w:rPr>
          <w:szCs w:val="22"/>
        </w:rPr>
      </w:pPr>
      <w:r w:rsidRPr="00AF7EE9">
        <w:rPr>
          <w:szCs w:val="22"/>
        </w:rPr>
        <w:lastRenderedPageBreak/>
        <w:t>Kết quả xây dựng mô hình đẳng nhiệt từ thực nghiệm cho thấy hằng số Temkin của hệ vi hạt FNPs và 1%-PVP-FNPs lần lượt là 0,0062 và 0,0217 kJ/mol. Với giá trị nhiệt hấp phụ nhỏ có thể chỉ ra rằng đây là quá trình hấp phụ vật lí. Bên cạnh đó sự phụ thuộc của lnq</w:t>
      </w:r>
      <w:r w:rsidRPr="00AF7EE9">
        <w:rPr>
          <w:szCs w:val="22"/>
          <w:vertAlign w:val="subscript"/>
        </w:rPr>
        <w:t>e</w:t>
      </w:r>
      <w:r w:rsidRPr="00AF7EE9">
        <w:rPr>
          <w:szCs w:val="22"/>
        </w:rPr>
        <w:t xml:space="preserve"> vào </w:t>
      </w:r>
      <m:oMath>
        <m:r>
          <w:rPr>
            <w:rFonts w:ascii="Cambria Math" w:hAnsi="Cambria Math"/>
            <w:szCs w:val="22"/>
          </w:rPr>
          <m:t>ε</m:t>
        </m:r>
      </m:oMath>
      <w:r w:rsidRPr="00AF7EE9">
        <w:rPr>
          <w:szCs w:val="22"/>
          <w:vertAlign w:val="superscript"/>
        </w:rPr>
        <w:t>2</w:t>
      </w:r>
      <w:r w:rsidRPr="00AF7EE9">
        <w:rPr>
          <w:szCs w:val="22"/>
        </w:rPr>
        <w:t xml:space="preserve"> ở D-R xác định được các hằng số đẳng nhiệt theo mô hình đẳng nhiệt D-R. Các giá trị năng lượng E cho quá trình hấp phụ MG của FNPs và 1%-PVP-FNPs được xác định lần lượt là 0,0483 và 0,1569 kJ/mol. Với E có giá trị rất thấp nhỏ hơn 8 kJ/mol, cho thấy rằng quá trình hấp phụ MG trên bề mặt FNPs 1%-PVP-FNPs là quá trình hấp phụ vật lý tương tác của chất hấp phụ và chất bị hấp phụ chủ yếu là các tương tác tĩnh điện, lực van der Waals.</w:t>
      </w:r>
    </w:p>
    <w:p w:rsidR="00851CB2" w:rsidRDefault="00851CB2" w:rsidP="00A80246">
      <w:pPr>
        <w:spacing w:line="288" w:lineRule="auto"/>
        <w:ind w:firstLine="0"/>
        <w:rPr>
          <w:szCs w:val="24"/>
        </w:rPr>
        <w:sectPr w:rsidR="00851CB2" w:rsidSect="00685EE5">
          <w:type w:val="continuous"/>
          <w:pgSz w:w="11907" w:h="16840" w:code="9"/>
          <w:pgMar w:top="1418" w:right="1418" w:bottom="1418" w:left="1701" w:header="0" w:footer="567" w:gutter="0"/>
          <w:cols w:num="2" w:space="720"/>
        </w:sectPr>
      </w:pPr>
    </w:p>
    <w:p w:rsidR="00851CB2" w:rsidRDefault="00A80246" w:rsidP="00A80246">
      <w:pPr>
        <w:spacing w:line="288" w:lineRule="auto"/>
        <w:ind w:firstLine="0"/>
        <w:rPr>
          <w:szCs w:val="24"/>
        </w:rPr>
        <w:sectPr w:rsidR="00851CB2" w:rsidSect="00851CB2">
          <w:type w:val="continuous"/>
          <w:pgSz w:w="11907" w:h="16840" w:code="9"/>
          <w:pgMar w:top="1418" w:right="1418" w:bottom="1418" w:left="1701" w:header="0" w:footer="567" w:gutter="0"/>
          <w:cols w:space="720"/>
        </w:sectPr>
      </w:pPr>
      <w:r>
        <w:rPr>
          <w:noProof/>
          <w:szCs w:val="24"/>
          <w:lang w:val="en-US"/>
        </w:rPr>
        <w:lastRenderedPageBreak/>
        <w:drawing>
          <wp:inline distT="0" distB="0" distL="0" distR="0">
            <wp:extent cx="5998210" cy="337391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an bangwf haasp phuj.tif"/>
                    <pic:cNvPicPr/>
                  </pic:nvPicPr>
                  <pic:blipFill>
                    <a:blip r:embed="rId15">
                      <a:extLst>
                        <a:ext uri="{28A0092B-C50C-407E-A947-70E740481C1C}">
                          <a14:useLocalDpi xmlns:a14="http://schemas.microsoft.com/office/drawing/2010/main" val="0"/>
                        </a:ext>
                      </a:extLst>
                    </a:blip>
                    <a:stretch>
                      <a:fillRect/>
                    </a:stretch>
                  </pic:blipFill>
                  <pic:spPr>
                    <a:xfrm>
                      <a:off x="0" y="0"/>
                      <a:ext cx="6003115" cy="3376669"/>
                    </a:xfrm>
                    <a:prstGeom prst="rect">
                      <a:avLst/>
                    </a:prstGeom>
                  </pic:spPr>
                </pic:pic>
              </a:graphicData>
            </a:graphic>
          </wp:inline>
        </w:drawing>
      </w:r>
    </w:p>
    <w:p w:rsidR="00851CB2" w:rsidRDefault="00851CB2" w:rsidP="00EC6BAA">
      <w:pPr>
        <w:spacing w:line="288" w:lineRule="auto"/>
        <w:ind w:firstLine="0"/>
        <w:rPr>
          <w:szCs w:val="24"/>
          <w:lang w:val="en-US"/>
        </w:rPr>
        <w:sectPr w:rsidR="00851CB2" w:rsidSect="00685EE5">
          <w:type w:val="continuous"/>
          <w:pgSz w:w="11907" w:h="16840" w:code="9"/>
          <w:pgMar w:top="1418" w:right="1418" w:bottom="1418" w:left="1701" w:header="0" w:footer="567" w:gutter="0"/>
          <w:cols w:num="2" w:space="720"/>
        </w:sectPr>
      </w:pPr>
    </w:p>
    <w:p w:rsidR="00851CB2" w:rsidRPr="00C57487" w:rsidRDefault="00A80246" w:rsidP="00C57487">
      <w:pPr>
        <w:spacing w:after="240" w:line="288" w:lineRule="auto"/>
        <w:ind w:firstLine="0"/>
        <w:jc w:val="center"/>
        <w:rPr>
          <w:sz w:val="20"/>
          <w:szCs w:val="20"/>
          <w:lang w:val="en-US"/>
        </w:rPr>
        <w:sectPr w:rsidR="00851CB2" w:rsidRPr="00C57487" w:rsidSect="00851CB2">
          <w:type w:val="continuous"/>
          <w:pgSz w:w="11907" w:h="16840" w:code="9"/>
          <w:pgMar w:top="1418" w:right="1418" w:bottom="1418" w:left="1701" w:header="0" w:footer="567" w:gutter="0"/>
          <w:cols w:space="720"/>
        </w:sectPr>
      </w:pPr>
      <w:r w:rsidRPr="00C57487">
        <w:rPr>
          <w:b/>
          <w:sz w:val="20"/>
          <w:szCs w:val="20"/>
          <w:lang w:val="en-US"/>
        </w:rPr>
        <w:lastRenderedPageBreak/>
        <w:t xml:space="preserve">Hình </w:t>
      </w:r>
      <w:r w:rsidR="00EE7936" w:rsidRPr="00C57487">
        <w:rPr>
          <w:b/>
          <w:sz w:val="20"/>
          <w:szCs w:val="20"/>
          <w:lang w:val="en-US"/>
        </w:rPr>
        <w:t xml:space="preserve">8. </w:t>
      </w:r>
      <w:r w:rsidR="00EE7936" w:rsidRPr="00C57487">
        <w:rPr>
          <w:sz w:val="20"/>
          <w:szCs w:val="20"/>
          <w:lang w:val="en-US"/>
        </w:rPr>
        <w:t xml:space="preserve">Mô hình đẳng nhiệt (A) Langmuir, (B) Freundlich, (C) D-R, (D) Tempkin </w:t>
      </w:r>
    </w:p>
    <w:p w:rsidR="00A3648E" w:rsidRPr="00E54816" w:rsidRDefault="00A3648E" w:rsidP="00E54816">
      <w:pPr>
        <w:spacing w:after="240" w:line="288" w:lineRule="auto"/>
        <w:rPr>
          <w:sz w:val="20"/>
          <w:szCs w:val="20"/>
        </w:rPr>
      </w:pPr>
      <w:r w:rsidRPr="00E54816">
        <w:rPr>
          <w:b/>
          <w:sz w:val="20"/>
          <w:szCs w:val="20"/>
        </w:rPr>
        <w:lastRenderedPageBreak/>
        <w:t>Bảng</w:t>
      </w:r>
      <w:r w:rsidR="00EE7936" w:rsidRPr="00E54816">
        <w:rPr>
          <w:b/>
          <w:sz w:val="20"/>
          <w:szCs w:val="20"/>
        </w:rPr>
        <w:t xml:space="preserve"> 2.</w:t>
      </w:r>
      <w:r w:rsidR="00EE7936" w:rsidRPr="00E54816">
        <w:rPr>
          <w:sz w:val="20"/>
          <w:szCs w:val="20"/>
          <w:lang w:val="en-US"/>
        </w:rPr>
        <w:t xml:space="preserve"> </w:t>
      </w:r>
      <w:r w:rsidRPr="00E54816">
        <w:rPr>
          <w:sz w:val="20"/>
          <w:szCs w:val="20"/>
        </w:rPr>
        <w:t xml:space="preserve"> Các thông số đẳng nhiệt hấp phụ Temkin và D-R của FNPsvà 1%-PVP-FNPs</w:t>
      </w:r>
    </w:p>
    <w:p w:rsidR="00851CB2" w:rsidRDefault="00851CB2" w:rsidP="00EE7936">
      <w:pPr>
        <w:rPr>
          <w:rFonts w:asciiTheme="majorHAnsi" w:hAnsiTheme="majorHAnsi" w:cstheme="majorHAnsi"/>
          <w:b/>
          <w:sz w:val="24"/>
          <w:szCs w:val="24"/>
        </w:rPr>
        <w:sectPr w:rsidR="00851CB2" w:rsidSect="00851CB2">
          <w:type w:val="continuous"/>
          <w:pgSz w:w="11907" w:h="16840" w:code="9"/>
          <w:pgMar w:top="1418" w:right="1418" w:bottom="1418" w:left="1701" w:header="0" w:footer="567" w:gutter="0"/>
          <w:cols w:space="720"/>
        </w:sectPr>
      </w:pPr>
    </w:p>
    <w:tbl>
      <w:tblPr>
        <w:tblStyle w:val="TableGrid"/>
        <w:tblW w:w="0" w:type="auto"/>
        <w:jc w:val="center"/>
        <w:tblLook w:val="04A0" w:firstRow="1" w:lastRow="0" w:firstColumn="1" w:lastColumn="0" w:noHBand="0" w:noVBand="1"/>
      </w:tblPr>
      <w:tblGrid>
        <w:gridCol w:w="1261"/>
        <w:gridCol w:w="1170"/>
        <w:gridCol w:w="1255"/>
        <w:gridCol w:w="1170"/>
        <w:gridCol w:w="1255"/>
      </w:tblGrid>
      <w:tr w:rsidR="00A80246" w:rsidRPr="00AF7EE9" w:rsidTr="00A80246">
        <w:trPr>
          <w:trHeight w:val="397"/>
          <w:jc w:val="center"/>
        </w:trPr>
        <w:tc>
          <w:tcPr>
            <w:tcW w:w="0" w:type="auto"/>
            <w:vMerge w:val="restart"/>
          </w:tcPr>
          <w:p w:rsidR="00A80246" w:rsidRPr="00AF7EE9" w:rsidRDefault="00A80246" w:rsidP="00EE7936">
            <w:pPr>
              <w:jc w:val="both"/>
              <w:rPr>
                <w:rFonts w:asciiTheme="majorHAnsi" w:hAnsiTheme="majorHAnsi" w:cstheme="majorHAnsi"/>
                <w:b/>
                <w:lang w:val="vi-VN"/>
              </w:rPr>
            </w:pPr>
          </w:p>
        </w:tc>
        <w:tc>
          <w:tcPr>
            <w:tcW w:w="0" w:type="auto"/>
            <w:gridSpan w:val="2"/>
            <w:vAlign w:val="center"/>
          </w:tcPr>
          <w:p w:rsidR="00A80246" w:rsidRPr="00AF7EE9" w:rsidRDefault="00A80246" w:rsidP="00A3648E">
            <w:pPr>
              <w:jc w:val="center"/>
              <w:rPr>
                <w:rFonts w:asciiTheme="majorHAnsi" w:hAnsiTheme="majorHAnsi" w:cstheme="majorHAnsi"/>
                <w:b/>
                <w:lang w:val="vi-VN"/>
              </w:rPr>
            </w:pPr>
            <w:r w:rsidRPr="00AF7EE9">
              <w:rPr>
                <w:rFonts w:asciiTheme="majorHAnsi" w:hAnsiTheme="majorHAnsi" w:cstheme="majorHAnsi"/>
                <w:b/>
                <w:lang w:val="vi-VN"/>
              </w:rPr>
              <w:t>FNPs</w:t>
            </w:r>
          </w:p>
        </w:tc>
        <w:tc>
          <w:tcPr>
            <w:tcW w:w="0" w:type="auto"/>
            <w:gridSpan w:val="2"/>
            <w:vAlign w:val="center"/>
          </w:tcPr>
          <w:p w:rsidR="00A80246" w:rsidRPr="00AF7EE9" w:rsidRDefault="00A80246" w:rsidP="00A3648E">
            <w:pPr>
              <w:jc w:val="center"/>
              <w:rPr>
                <w:rFonts w:asciiTheme="majorHAnsi" w:hAnsiTheme="majorHAnsi" w:cstheme="majorHAnsi"/>
                <w:b/>
                <w:lang w:val="vi-VN"/>
              </w:rPr>
            </w:pPr>
            <w:r w:rsidRPr="00AF7EE9">
              <w:rPr>
                <w:rFonts w:asciiTheme="majorHAnsi" w:hAnsiTheme="majorHAnsi" w:cstheme="majorHAnsi"/>
                <w:b/>
                <w:lang w:val="vi-VN"/>
              </w:rPr>
              <w:t>1%-PVP-FNPs</w:t>
            </w:r>
          </w:p>
        </w:tc>
      </w:tr>
      <w:tr w:rsidR="00A80246" w:rsidRPr="00AF7EE9" w:rsidTr="00A80246">
        <w:trPr>
          <w:trHeight w:val="397"/>
          <w:jc w:val="center"/>
        </w:trPr>
        <w:tc>
          <w:tcPr>
            <w:tcW w:w="0" w:type="auto"/>
            <w:vMerge/>
          </w:tcPr>
          <w:p w:rsidR="00A80246" w:rsidRPr="00AF7EE9" w:rsidRDefault="00A80246" w:rsidP="00EE7936">
            <w:pPr>
              <w:jc w:val="both"/>
              <w:rPr>
                <w:rFonts w:asciiTheme="majorHAnsi" w:hAnsiTheme="majorHAnsi" w:cstheme="majorHAnsi"/>
                <w:b/>
                <w:lang w:val="vi-VN"/>
              </w:rPr>
            </w:pPr>
          </w:p>
        </w:tc>
        <w:tc>
          <w:tcPr>
            <w:tcW w:w="0" w:type="auto"/>
            <w:vAlign w:val="center"/>
          </w:tcPr>
          <w:p w:rsidR="00A80246" w:rsidRPr="00AF7EE9" w:rsidRDefault="00A80246" w:rsidP="00EE7936">
            <w:pPr>
              <w:jc w:val="center"/>
              <w:rPr>
                <w:rFonts w:asciiTheme="majorHAnsi" w:hAnsiTheme="majorHAnsi" w:cstheme="majorHAnsi"/>
                <w:b/>
                <w:lang w:val="vi-VN"/>
              </w:rPr>
            </w:pPr>
            <w:r w:rsidRPr="00AF7EE9">
              <w:rPr>
                <w:rFonts w:asciiTheme="majorHAnsi" w:hAnsiTheme="majorHAnsi" w:cstheme="majorHAnsi"/>
                <w:b/>
                <w:lang w:val="vi-VN"/>
              </w:rPr>
              <w:t>Temkin</w:t>
            </w:r>
          </w:p>
        </w:tc>
        <w:tc>
          <w:tcPr>
            <w:tcW w:w="0" w:type="auto"/>
            <w:vAlign w:val="center"/>
          </w:tcPr>
          <w:p w:rsidR="00A80246" w:rsidRPr="00AF7EE9" w:rsidRDefault="00A80246" w:rsidP="00EE7936">
            <w:pPr>
              <w:jc w:val="center"/>
              <w:rPr>
                <w:rFonts w:asciiTheme="majorHAnsi" w:hAnsiTheme="majorHAnsi" w:cstheme="majorHAnsi"/>
                <w:b/>
                <w:lang w:val="vi-VN"/>
              </w:rPr>
            </w:pPr>
            <w:r w:rsidRPr="00AF7EE9">
              <w:rPr>
                <w:rFonts w:asciiTheme="majorHAnsi" w:hAnsiTheme="majorHAnsi" w:cstheme="majorHAnsi"/>
                <w:b/>
                <w:lang w:val="vi-VN"/>
              </w:rPr>
              <w:t>D-R</w:t>
            </w:r>
          </w:p>
        </w:tc>
        <w:tc>
          <w:tcPr>
            <w:tcW w:w="0" w:type="auto"/>
            <w:vAlign w:val="center"/>
          </w:tcPr>
          <w:p w:rsidR="00A80246" w:rsidRPr="00AF7EE9" w:rsidRDefault="00A80246" w:rsidP="00EE7936">
            <w:pPr>
              <w:jc w:val="center"/>
              <w:rPr>
                <w:rFonts w:asciiTheme="majorHAnsi" w:hAnsiTheme="majorHAnsi" w:cstheme="majorHAnsi"/>
                <w:b/>
                <w:lang w:val="vi-VN"/>
              </w:rPr>
            </w:pPr>
            <w:r w:rsidRPr="00AF7EE9">
              <w:rPr>
                <w:rFonts w:asciiTheme="majorHAnsi" w:hAnsiTheme="majorHAnsi" w:cstheme="majorHAnsi"/>
                <w:b/>
                <w:lang w:val="vi-VN"/>
              </w:rPr>
              <w:t>Temkin</w:t>
            </w:r>
          </w:p>
        </w:tc>
        <w:tc>
          <w:tcPr>
            <w:tcW w:w="0" w:type="auto"/>
            <w:vAlign w:val="center"/>
          </w:tcPr>
          <w:p w:rsidR="00A80246" w:rsidRPr="00AF7EE9" w:rsidRDefault="00A80246" w:rsidP="00EE7936">
            <w:pPr>
              <w:jc w:val="center"/>
              <w:rPr>
                <w:rFonts w:asciiTheme="majorHAnsi" w:hAnsiTheme="majorHAnsi" w:cstheme="majorHAnsi"/>
                <w:b/>
                <w:lang w:val="vi-VN"/>
              </w:rPr>
            </w:pPr>
            <w:r w:rsidRPr="00AF7EE9">
              <w:rPr>
                <w:rFonts w:asciiTheme="majorHAnsi" w:hAnsiTheme="majorHAnsi" w:cstheme="majorHAnsi"/>
                <w:b/>
                <w:lang w:val="vi-VN"/>
              </w:rPr>
              <w:t>D-R</w:t>
            </w:r>
          </w:p>
        </w:tc>
      </w:tr>
      <w:tr w:rsidR="00A80246" w:rsidRPr="00AF7EE9" w:rsidTr="00A80246">
        <w:trPr>
          <w:trHeight w:val="397"/>
          <w:jc w:val="center"/>
        </w:trPr>
        <w:tc>
          <w:tcPr>
            <w:tcW w:w="0" w:type="auto"/>
            <w:vAlign w:val="center"/>
          </w:tcPr>
          <w:p w:rsidR="00A80246" w:rsidRPr="00AF7EE9" w:rsidRDefault="00A80246" w:rsidP="00EE7936">
            <w:pPr>
              <w:jc w:val="center"/>
              <w:rPr>
                <w:rFonts w:asciiTheme="majorHAnsi" w:hAnsiTheme="majorHAnsi" w:cstheme="majorHAnsi"/>
                <w:b/>
                <w:lang w:val="vi-VN"/>
              </w:rPr>
            </w:pPr>
            <w:r w:rsidRPr="00AF7EE9">
              <w:rPr>
                <w:rFonts w:asciiTheme="majorHAnsi" w:hAnsiTheme="majorHAnsi" w:cstheme="majorHAnsi"/>
                <w:b/>
                <w:lang w:val="vi-VN"/>
              </w:rPr>
              <w:t>b</w:t>
            </w:r>
            <w:r w:rsidRPr="00AF7EE9">
              <w:rPr>
                <w:rFonts w:asciiTheme="majorHAnsi" w:hAnsiTheme="majorHAnsi" w:cstheme="majorHAnsi"/>
                <w:b/>
                <w:vertAlign w:val="subscript"/>
                <w:lang w:val="vi-VN"/>
              </w:rPr>
              <w:t>T</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0,0062</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0,0217</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w:t>
            </w:r>
          </w:p>
        </w:tc>
      </w:tr>
      <w:tr w:rsidR="00A80246" w:rsidRPr="00AF7EE9" w:rsidTr="00A80246">
        <w:trPr>
          <w:trHeight w:val="397"/>
          <w:jc w:val="center"/>
        </w:trPr>
        <w:tc>
          <w:tcPr>
            <w:tcW w:w="0" w:type="auto"/>
            <w:vAlign w:val="center"/>
          </w:tcPr>
          <w:p w:rsidR="00A80246" w:rsidRPr="00AF7EE9" w:rsidRDefault="00A80246" w:rsidP="00EE7936">
            <w:pPr>
              <w:jc w:val="center"/>
              <w:rPr>
                <w:rFonts w:asciiTheme="majorHAnsi" w:hAnsiTheme="majorHAnsi" w:cstheme="majorHAnsi"/>
                <w:b/>
                <w:lang w:val="vi-VN"/>
              </w:rPr>
            </w:pPr>
            <m:oMathPara>
              <m:oMath>
                <m:r>
                  <m:rPr>
                    <m:sty m:val="bi"/>
                  </m:rPr>
                  <w:rPr>
                    <w:rFonts w:ascii="Cambria Math" w:hAnsi="Cambria Math" w:cstheme="majorHAnsi"/>
                    <w:lang w:val="vi-VN"/>
                  </w:rPr>
                  <m:t>β</m:t>
                </m:r>
              </m:oMath>
            </m:oMathPara>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214,10</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20,301</w:t>
            </w:r>
          </w:p>
        </w:tc>
      </w:tr>
      <w:tr w:rsidR="00A80246" w:rsidRPr="00AF7EE9" w:rsidTr="00A80246">
        <w:trPr>
          <w:trHeight w:val="397"/>
          <w:jc w:val="center"/>
        </w:trPr>
        <w:tc>
          <w:tcPr>
            <w:tcW w:w="0" w:type="auto"/>
            <w:vAlign w:val="center"/>
          </w:tcPr>
          <w:p w:rsidR="00A80246" w:rsidRPr="00AF7EE9" w:rsidRDefault="00A80246" w:rsidP="00EE7936">
            <w:pPr>
              <w:jc w:val="center"/>
              <w:rPr>
                <w:rFonts w:asciiTheme="majorHAnsi" w:hAnsiTheme="majorHAnsi" w:cstheme="majorHAnsi"/>
                <w:b/>
                <w:lang w:val="vi-VN"/>
              </w:rPr>
            </w:pPr>
            <w:r w:rsidRPr="00AF7EE9">
              <w:rPr>
                <w:rFonts w:asciiTheme="majorHAnsi" w:hAnsiTheme="majorHAnsi" w:cstheme="majorHAnsi"/>
                <w:b/>
                <w:lang w:val="vi-VN"/>
              </w:rPr>
              <w:t>E</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0,0483</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0,1569</w:t>
            </w:r>
          </w:p>
        </w:tc>
      </w:tr>
      <w:tr w:rsidR="00A80246" w:rsidRPr="00AF7EE9" w:rsidTr="00A80246">
        <w:trPr>
          <w:trHeight w:val="397"/>
          <w:jc w:val="center"/>
        </w:trPr>
        <w:tc>
          <w:tcPr>
            <w:tcW w:w="0" w:type="auto"/>
            <w:vAlign w:val="center"/>
          </w:tcPr>
          <w:p w:rsidR="00A80246" w:rsidRPr="00AF7EE9" w:rsidRDefault="00A80246" w:rsidP="00EE7936">
            <w:pPr>
              <w:jc w:val="center"/>
              <w:rPr>
                <w:rFonts w:asciiTheme="majorHAnsi" w:hAnsiTheme="majorHAnsi" w:cstheme="majorHAnsi"/>
                <w:b/>
                <w:lang w:val="vi-VN"/>
              </w:rPr>
            </w:pPr>
            <w:r w:rsidRPr="00AF7EE9">
              <w:rPr>
                <w:rFonts w:asciiTheme="majorHAnsi" w:hAnsiTheme="majorHAnsi" w:cstheme="majorHAnsi"/>
                <w:b/>
                <w:lang w:val="vi-VN"/>
              </w:rPr>
              <w:t>R</w:t>
            </w:r>
            <w:r w:rsidRPr="00AF7EE9">
              <w:rPr>
                <w:rFonts w:asciiTheme="majorHAnsi" w:hAnsiTheme="majorHAnsi" w:cstheme="majorHAnsi"/>
                <w:b/>
                <w:vertAlign w:val="superscript"/>
                <w:lang w:val="vi-VN"/>
              </w:rPr>
              <w:t>2</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0,9937</w:t>
            </w:r>
          </w:p>
        </w:tc>
        <w:tc>
          <w:tcPr>
            <w:tcW w:w="0" w:type="auto"/>
            <w:vAlign w:val="center"/>
          </w:tcPr>
          <w:p w:rsidR="00A80246" w:rsidRPr="00AF7EE9" w:rsidRDefault="00A80246" w:rsidP="00EE7936">
            <w:pPr>
              <w:jc w:val="center"/>
              <w:rPr>
                <w:rFonts w:asciiTheme="majorHAnsi" w:hAnsiTheme="majorHAnsi" w:cstheme="majorHAnsi"/>
                <w:lang w:val="vi-VN"/>
              </w:rPr>
            </w:pPr>
            <w:r w:rsidRPr="00AF7EE9">
              <w:rPr>
                <w:rFonts w:asciiTheme="majorHAnsi" w:hAnsiTheme="majorHAnsi" w:cstheme="majorHAnsi"/>
                <w:lang w:val="vi-VN"/>
              </w:rPr>
              <w:t>0,9020</w:t>
            </w:r>
          </w:p>
        </w:tc>
        <w:tc>
          <w:tcPr>
            <w:tcW w:w="0" w:type="auto"/>
            <w:vAlign w:val="center"/>
          </w:tcPr>
          <w:p w:rsidR="00A80246" w:rsidRPr="00AF7EE9" w:rsidRDefault="00A80246" w:rsidP="00EE7936">
            <w:pPr>
              <w:jc w:val="center"/>
              <w:rPr>
                <w:rFonts w:asciiTheme="majorHAnsi" w:hAnsiTheme="majorHAnsi" w:cstheme="majorHAnsi"/>
              </w:rPr>
            </w:pPr>
            <w:r w:rsidRPr="00AF7EE9">
              <w:rPr>
                <w:rFonts w:asciiTheme="majorHAnsi" w:hAnsiTheme="majorHAnsi" w:cstheme="majorHAnsi"/>
              </w:rPr>
              <w:t>0,9760</w:t>
            </w:r>
          </w:p>
        </w:tc>
        <w:tc>
          <w:tcPr>
            <w:tcW w:w="0" w:type="auto"/>
            <w:vAlign w:val="center"/>
          </w:tcPr>
          <w:p w:rsidR="00A80246" w:rsidRPr="00AF7EE9" w:rsidRDefault="00A80246" w:rsidP="00EE7936">
            <w:pPr>
              <w:jc w:val="center"/>
              <w:rPr>
                <w:rFonts w:asciiTheme="majorHAnsi" w:hAnsiTheme="majorHAnsi" w:cstheme="majorHAnsi"/>
              </w:rPr>
            </w:pPr>
            <w:r w:rsidRPr="00AF7EE9">
              <w:rPr>
                <w:rFonts w:asciiTheme="majorHAnsi" w:hAnsiTheme="majorHAnsi" w:cstheme="majorHAnsi"/>
              </w:rPr>
              <w:t>0,8719</w:t>
            </w:r>
          </w:p>
        </w:tc>
      </w:tr>
      <w:tr w:rsidR="00A80246" w:rsidRPr="00AF7EE9" w:rsidTr="00A80246">
        <w:trPr>
          <w:trHeight w:val="397"/>
          <w:jc w:val="center"/>
        </w:trPr>
        <w:tc>
          <w:tcPr>
            <w:tcW w:w="0" w:type="auto"/>
            <w:vAlign w:val="center"/>
          </w:tcPr>
          <w:p w:rsidR="00A80246" w:rsidRPr="00AF7EE9" w:rsidRDefault="00A80246" w:rsidP="00A80246">
            <w:pPr>
              <w:jc w:val="center"/>
              <w:rPr>
                <w:rFonts w:asciiTheme="majorHAnsi" w:hAnsiTheme="majorHAnsi" w:cstheme="majorHAnsi"/>
                <w:b/>
              </w:rPr>
            </w:pPr>
          </w:p>
        </w:tc>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Langmuir</w:t>
            </w:r>
          </w:p>
        </w:tc>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Freundlich</w:t>
            </w:r>
          </w:p>
        </w:tc>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Langmuir</w:t>
            </w:r>
          </w:p>
        </w:tc>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Freundlich</w:t>
            </w:r>
          </w:p>
        </w:tc>
      </w:tr>
      <w:tr w:rsidR="00A80246" w:rsidRPr="00AF7EE9" w:rsidTr="00A80246">
        <w:trPr>
          <w:trHeight w:val="397"/>
          <w:jc w:val="center"/>
        </w:trPr>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q</w:t>
            </w:r>
            <w:r w:rsidRPr="00AF7EE9">
              <w:rPr>
                <w:rFonts w:asciiTheme="majorHAnsi" w:hAnsiTheme="majorHAnsi" w:cstheme="majorHAnsi"/>
                <w:b/>
                <w:vertAlign w:val="subscript"/>
              </w:rPr>
              <w:t>max</w:t>
            </w:r>
            <w:r w:rsidRPr="00AF7EE9">
              <w:rPr>
                <w:rFonts w:asciiTheme="majorHAnsi" w:hAnsiTheme="majorHAnsi" w:cstheme="majorHAnsi"/>
                <w:b/>
              </w:rPr>
              <w:t xml:space="preserve"> (mg/g)</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12,44</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14,25</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w:t>
            </w:r>
          </w:p>
        </w:tc>
      </w:tr>
      <w:tr w:rsidR="00A80246" w:rsidRPr="00AF7EE9" w:rsidTr="00A80246">
        <w:trPr>
          <w:trHeight w:val="397"/>
          <w:jc w:val="center"/>
        </w:trPr>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K</w:t>
            </w:r>
            <w:r w:rsidRPr="00AF7EE9">
              <w:rPr>
                <w:rFonts w:asciiTheme="majorHAnsi" w:hAnsiTheme="majorHAnsi" w:cstheme="majorHAnsi"/>
                <w:b/>
                <w:vertAlign w:val="subscript"/>
              </w:rPr>
              <w:t xml:space="preserve">L </w:t>
            </w:r>
            <w:r w:rsidRPr="00AF7EE9">
              <w:rPr>
                <w:rFonts w:asciiTheme="majorHAnsi" w:hAnsiTheme="majorHAnsi" w:cstheme="majorHAnsi"/>
                <w:b/>
              </w:rPr>
              <w:t>(L/mg)</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0,037</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0,023</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w:t>
            </w:r>
          </w:p>
        </w:tc>
      </w:tr>
      <w:tr w:rsidR="00A80246" w:rsidRPr="00AF7EE9" w:rsidTr="00A80246">
        <w:trPr>
          <w:trHeight w:val="397"/>
          <w:jc w:val="center"/>
        </w:trPr>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K</w:t>
            </w:r>
            <w:r w:rsidRPr="00AF7EE9">
              <w:rPr>
                <w:rFonts w:asciiTheme="majorHAnsi" w:hAnsiTheme="majorHAnsi" w:cstheme="majorHAnsi"/>
                <w:b/>
                <w:vertAlign w:val="subscript"/>
              </w:rPr>
              <w:t>F</w:t>
            </w:r>
            <w:r w:rsidRPr="00AF7EE9">
              <w:rPr>
                <w:rFonts w:asciiTheme="majorHAnsi" w:hAnsiTheme="majorHAnsi" w:cstheme="majorHAnsi"/>
                <w:b/>
              </w:rPr>
              <w:t xml:space="preserve"> (mg/g)</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0,000037</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0,0032</w:t>
            </w:r>
          </w:p>
        </w:tc>
      </w:tr>
      <w:tr w:rsidR="00A80246" w:rsidRPr="00AF7EE9" w:rsidTr="00A80246">
        <w:trPr>
          <w:trHeight w:val="397"/>
          <w:jc w:val="center"/>
        </w:trPr>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n</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0,21</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0,34</w:t>
            </w:r>
          </w:p>
        </w:tc>
      </w:tr>
      <w:tr w:rsidR="00A80246" w:rsidRPr="00AF7EE9" w:rsidTr="00A80246">
        <w:trPr>
          <w:trHeight w:val="397"/>
          <w:jc w:val="center"/>
        </w:trPr>
        <w:tc>
          <w:tcPr>
            <w:tcW w:w="0" w:type="auto"/>
            <w:vAlign w:val="center"/>
          </w:tcPr>
          <w:p w:rsidR="00A80246" w:rsidRPr="00AF7EE9" w:rsidRDefault="00A80246" w:rsidP="00A80246">
            <w:pPr>
              <w:jc w:val="center"/>
              <w:rPr>
                <w:rFonts w:asciiTheme="majorHAnsi" w:hAnsiTheme="majorHAnsi" w:cstheme="majorHAnsi"/>
                <w:b/>
              </w:rPr>
            </w:pPr>
            <w:r w:rsidRPr="00AF7EE9">
              <w:rPr>
                <w:rFonts w:asciiTheme="majorHAnsi" w:hAnsiTheme="majorHAnsi" w:cstheme="majorHAnsi"/>
                <w:b/>
              </w:rPr>
              <w:t>R</w:t>
            </w:r>
            <w:r w:rsidRPr="00AF7EE9">
              <w:rPr>
                <w:rFonts w:asciiTheme="majorHAnsi" w:hAnsiTheme="majorHAnsi" w:cstheme="majorHAnsi"/>
                <w:b/>
                <w:vertAlign w:val="superscript"/>
              </w:rPr>
              <w:t>2</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0,4937</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0,814</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0,4634</w:t>
            </w:r>
          </w:p>
        </w:tc>
        <w:tc>
          <w:tcPr>
            <w:tcW w:w="0" w:type="auto"/>
            <w:vAlign w:val="center"/>
          </w:tcPr>
          <w:p w:rsidR="00A80246" w:rsidRPr="00AF7EE9" w:rsidRDefault="00A80246" w:rsidP="00A80246">
            <w:pPr>
              <w:jc w:val="center"/>
              <w:rPr>
                <w:rFonts w:asciiTheme="majorHAnsi" w:hAnsiTheme="majorHAnsi" w:cstheme="majorHAnsi"/>
              </w:rPr>
            </w:pPr>
            <w:r w:rsidRPr="00AF7EE9">
              <w:rPr>
                <w:rFonts w:asciiTheme="majorHAnsi" w:hAnsiTheme="majorHAnsi" w:cstheme="majorHAnsi"/>
              </w:rPr>
              <w:t>0,8319</w:t>
            </w:r>
          </w:p>
        </w:tc>
      </w:tr>
    </w:tbl>
    <w:p w:rsidR="00851CB2" w:rsidRDefault="00851CB2" w:rsidP="00EC6BAA">
      <w:pPr>
        <w:pStyle w:val="Heading3"/>
        <w:numPr>
          <w:ilvl w:val="2"/>
          <w:numId w:val="10"/>
        </w:numPr>
        <w:rPr>
          <w:lang w:val="en-US"/>
        </w:rPr>
        <w:sectPr w:rsidR="00851CB2" w:rsidSect="00851CB2">
          <w:type w:val="continuous"/>
          <w:pgSz w:w="11907" w:h="16840" w:code="9"/>
          <w:pgMar w:top="1418" w:right="1418" w:bottom="1418" w:left="1701" w:header="0" w:footer="567" w:gutter="0"/>
          <w:cols w:space="720"/>
        </w:sectPr>
      </w:pPr>
    </w:p>
    <w:p w:rsidR="00A3648E" w:rsidRDefault="00EC6BAA" w:rsidP="00EC6BAA">
      <w:pPr>
        <w:pStyle w:val="Heading2"/>
        <w:numPr>
          <w:ilvl w:val="0"/>
          <w:numId w:val="0"/>
        </w:numPr>
        <w:rPr>
          <w:lang w:val="en-US"/>
        </w:rPr>
      </w:pPr>
      <w:r>
        <w:rPr>
          <w:lang w:val="en-US"/>
        </w:rPr>
        <w:lastRenderedPageBreak/>
        <w:t xml:space="preserve">3.8 </w:t>
      </w:r>
      <w:r w:rsidR="00A80246">
        <w:rPr>
          <w:lang w:val="en-US"/>
        </w:rPr>
        <w:t xml:space="preserve">Động học hấp phụ </w:t>
      </w:r>
    </w:p>
    <w:p w:rsidR="00074BAF" w:rsidRPr="00AF7EE9" w:rsidRDefault="00074BAF" w:rsidP="00074BAF">
      <w:pPr>
        <w:pStyle w:val="onvn"/>
        <w:rPr>
          <w:sz w:val="22"/>
          <w:lang w:val="vi-VN"/>
        </w:rPr>
      </w:pPr>
      <w:r w:rsidRPr="00AF7EE9">
        <w:rPr>
          <w:sz w:val="22"/>
        </w:rPr>
        <w:t>C</w:t>
      </w:r>
      <w:r w:rsidRPr="00AF7EE9">
        <w:rPr>
          <w:sz w:val="22"/>
          <w:lang w:val="vi"/>
        </w:rPr>
        <w:t>ác tham số của phương trình giả định bậc</w:t>
      </w:r>
      <w:r w:rsidRPr="00AF7EE9">
        <w:rPr>
          <w:sz w:val="22"/>
        </w:rPr>
        <w:t xml:space="preserve"> 1 và bậc</w:t>
      </w:r>
      <w:r w:rsidRPr="00AF7EE9">
        <w:rPr>
          <w:sz w:val="22"/>
          <w:lang w:val="vi"/>
        </w:rPr>
        <w:t xml:space="preserve"> 2 của quá trình hấp phụ MG bằng hệ vi hạt FNPs và 1%-PVP-FNPs cho thấy rằng hệ số hồi quy R</w:t>
      </w:r>
      <w:r w:rsidRPr="00AF7EE9">
        <w:rPr>
          <w:sz w:val="22"/>
          <w:vertAlign w:val="superscript"/>
          <w:lang w:val="vi"/>
        </w:rPr>
        <w:t>2</w:t>
      </w:r>
      <w:r w:rsidRPr="00AF7EE9">
        <w:rPr>
          <w:sz w:val="22"/>
          <w:lang w:val="vi"/>
        </w:rPr>
        <w:t xml:space="preserve"> của phương trình động </w:t>
      </w:r>
      <w:r w:rsidRPr="00AF7EE9">
        <w:rPr>
          <w:sz w:val="22"/>
          <w:lang w:val="vi"/>
        </w:rPr>
        <w:lastRenderedPageBreak/>
        <w:t xml:space="preserve">học bậc 2 rất cao, dung lượng hấp phụ tính toán theo phương trình khá phù hợp với dung lượng thực nghiệm. Từ các yếu tố trên có thể kết luận cả hai hệ vi hạt hấp phụ MG tuân theo phương trình động học bậc 2. </w:t>
      </w:r>
      <w:r w:rsidRPr="00AF7EE9">
        <w:rPr>
          <w:sz w:val="22"/>
          <w:lang w:val="vi-VN"/>
        </w:rPr>
        <w:t xml:space="preserve">Hệ số góc </w:t>
      </w:r>
      <w:r w:rsidRPr="00AF7EE9">
        <w:rPr>
          <w:sz w:val="22"/>
          <w:lang w:val="vi-VN"/>
        </w:rPr>
        <w:lastRenderedPageBreak/>
        <w:t>phương trình biểu kiến bậc 2 là tương đối nhỏ cho thấy khả năng hấp phụ của MG là khá tốt</w:t>
      </w:r>
      <w:r w:rsidRPr="00AF7EE9">
        <w:rPr>
          <w:sz w:val="22"/>
          <w:lang w:val="vi"/>
        </w:rPr>
        <w:t xml:space="preserve"> và tốc độ hấp phụ lớn</w:t>
      </w:r>
      <w:r w:rsidRPr="00AF7EE9">
        <w:rPr>
          <w:sz w:val="22"/>
          <w:lang w:val="vi-VN"/>
        </w:rPr>
        <w:t>. Với hệ số góc càng nhỏ thì khả năng hấp phụ càng nhanh. Cụ thể rằng, khi giữ t ở một thời gian nhất định thì hệ số góc càng nhỏ sẽ kéo theo tỉ lệ t/q</w:t>
      </w:r>
      <w:r w:rsidRPr="00AF7EE9">
        <w:rPr>
          <w:sz w:val="22"/>
          <w:vertAlign w:val="subscript"/>
          <w:lang w:val="vi-VN"/>
        </w:rPr>
        <w:t>t</w:t>
      </w:r>
      <w:r w:rsidRPr="00AF7EE9">
        <w:rPr>
          <w:sz w:val="22"/>
          <w:lang w:val="vi-VN"/>
        </w:rPr>
        <w:t xml:space="preserve"> càng nhỏ mà đại lượng này tỉ lệ nghịch với q</w:t>
      </w:r>
      <w:r w:rsidRPr="00AF7EE9">
        <w:rPr>
          <w:sz w:val="22"/>
          <w:vertAlign w:val="subscript"/>
          <w:lang w:val="vi-VN"/>
        </w:rPr>
        <w:t>t</w:t>
      </w:r>
      <w:r w:rsidRPr="00AF7EE9">
        <w:rPr>
          <w:sz w:val="22"/>
          <w:lang w:val="vi-VN"/>
        </w:rPr>
        <w:t xml:space="preserve"> cho nên khi hệ số góc nhỏ sẽ làm tăng dung lượng hấp phụ, tăng tốc độ hấp phụ của các vật liệu hấp phụ. </w:t>
      </w:r>
      <w:r w:rsidRPr="00AF7EE9">
        <w:rPr>
          <w:sz w:val="22"/>
          <w:lang w:val="vi-VN"/>
        </w:rPr>
        <w:lastRenderedPageBreak/>
        <w:t>Vì thế việc xác định các phương trình động học rất quan trọng trong quá trình hấp phụ. Từ đó, dự đoán khả năng hấp phụ của các vật liệu là nhanh hay chậm.</w:t>
      </w:r>
      <w:bookmarkStart w:id="1" w:name="_bookmark99"/>
      <w:bookmarkEnd w:id="1"/>
      <w:r w:rsidRPr="00AF7EE9">
        <w:rPr>
          <w:sz w:val="22"/>
          <w:lang w:val="vi-VN"/>
        </w:rPr>
        <w:t xml:space="preserve"> Đối với mô hình hấp phụ MG của hai hệ vi hạt cho thấy  tốc độ hấp phụ rất nhanh, điều này đúng với kết quả thực nghiệm thu được, trong 1 phút đầu tiên hiệu suất hấp phụ trên 60%.  </w:t>
      </w:r>
    </w:p>
    <w:p w:rsidR="00851CB2" w:rsidRDefault="00851CB2" w:rsidP="00F2326B">
      <w:pPr>
        <w:pStyle w:val="onvn"/>
        <w:ind w:firstLine="0"/>
        <w:rPr>
          <w:sz w:val="24"/>
          <w:szCs w:val="24"/>
          <w:lang w:val="vi-VN"/>
        </w:rPr>
        <w:sectPr w:rsidR="00851CB2" w:rsidSect="00685EE5">
          <w:type w:val="continuous"/>
          <w:pgSz w:w="11907" w:h="16840" w:code="9"/>
          <w:pgMar w:top="1418" w:right="1418" w:bottom="1418" w:left="1701" w:header="0" w:footer="567" w:gutter="0"/>
          <w:cols w:num="2" w:space="720"/>
        </w:sectPr>
      </w:pPr>
    </w:p>
    <w:p w:rsidR="00851CB2" w:rsidRDefault="00083627" w:rsidP="00F2326B">
      <w:pPr>
        <w:pStyle w:val="onvn"/>
        <w:ind w:firstLine="0"/>
        <w:rPr>
          <w:sz w:val="24"/>
          <w:szCs w:val="24"/>
          <w:lang w:val="vi-VN"/>
        </w:rPr>
        <w:sectPr w:rsidR="00851CB2" w:rsidSect="00851CB2">
          <w:type w:val="continuous"/>
          <w:pgSz w:w="11907" w:h="16840" w:code="9"/>
          <w:pgMar w:top="1418" w:right="1418" w:bottom="1418" w:left="1701" w:header="0" w:footer="567" w:gutter="0"/>
          <w:cols w:space="720"/>
        </w:sectPr>
      </w:pPr>
      <w:r>
        <w:rPr>
          <w:noProof/>
          <w:sz w:val="24"/>
          <w:szCs w:val="24"/>
        </w:rPr>
        <w:lastRenderedPageBreak/>
        <w:drawing>
          <wp:inline distT="0" distB="0" distL="0" distR="0">
            <wp:extent cx="5993741" cy="193357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học hấp phụ.tif"/>
                    <pic:cNvPicPr/>
                  </pic:nvPicPr>
                  <pic:blipFill rotWithShape="1">
                    <a:blip r:embed="rId16">
                      <a:extLst>
                        <a:ext uri="{28A0092B-C50C-407E-A947-70E740481C1C}">
                          <a14:useLocalDpi xmlns:a14="http://schemas.microsoft.com/office/drawing/2010/main" val="0"/>
                        </a:ext>
                      </a:extLst>
                    </a:blip>
                    <a:srcRect t="20635" b="22011"/>
                    <a:stretch/>
                  </pic:blipFill>
                  <pic:spPr bwMode="auto">
                    <a:xfrm>
                      <a:off x="0" y="0"/>
                      <a:ext cx="5996832" cy="1934572"/>
                    </a:xfrm>
                    <a:prstGeom prst="rect">
                      <a:avLst/>
                    </a:prstGeom>
                    <a:ln>
                      <a:noFill/>
                    </a:ln>
                    <a:extLst>
                      <a:ext uri="{53640926-AAD7-44D8-BBD7-CCE9431645EC}">
                        <a14:shadowObscured xmlns:a14="http://schemas.microsoft.com/office/drawing/2010/main"/>
                      </a:ext>
                    </a:extLst>
                  </pic:spPr>
                </pic:pic>
              </a:graphicData>
            </a:graphic>
          </wp:inline>
        </w:drawing>
      </w:r>
    </w:p>
    <w:p w:rsidR="00851CB2" w:rsidRDefault="00851CB2" w:rsidP="00F2326B">
      <w:pPr>
        <w:pStyle w:val="onvn"/>
        <w:ind w:firstLine="0"/>
        <w:rPr>
          <w:sz w:val="24"/>
          <w:szCs w:val="24"/>
        </w:rPr>
        <w:sectPr w:rsidR="00851CB2" w:rsidSect="00685EE5">
          <w:type w:val="continuous"/>
          <w:pgSz w:w="11907" w:h="16840" w:code="9"/>
          <w:pgMar w:top="1418" w:right="1418" w:bottom="1418" w:left="1701" w:header="0" w:footer="567" w:gutter="0"/>
          <w:cols w:num="2" w:space="720"/>
        </w:sectPr>
      </w:pPr>
    </w:p>
    <w:p w:rsidR="00083627" w:rsidRPr="00E54816" w:rsidRDefault="00083627" w:rsidP="00E54816">
      <w:pPr>
        <w:pStyle w:val="onvn"/>
        <w:spacing w:after="240"/>
        <w:ind w:firstLine="0"/>
        <w:jc w:val="center"/>
        <w:rPr>
          <w:sz w:val="20"/>
          <w:szCs w:val="20"/>
        </w:rPr>
      </w:pPr>
      <w:r w:rsidRPr="00E54816">
        <w:rPr>
          <w:b/>
          <w:sz w:val="20"/>
          <w:szCs w:val="20"/>
        </w:rPr>
        <w:lastRenderedPageBreak/>
        <w:t>Hình</w:t>
      </w:r>
      <w:r w:rsidR="00EE7936" w:rsidRPr="00E54816">
        <w:rPr>
          <w:b/>
          <w:sz w:val="20"/>
          <w:szCs w:val="20"/>
        </w:rPr>
        <w:t xml:space="preserve"> 9. </w:t>
      </w:r>
      <w:r w:rsidR="00EE7936" w:rsidRPr="00E54816">
        <w:rPr>
          <w:sz w:val="20"/>
          <w:szCs w:val="20"/>
        </w:rPr>
        <w:t>Động học hấp phụ (A) bậc 1, (B) bậc 2</w:t>
      </w:r>
    </w:p>
    <w:p w:rsidR="00851CB2" w:rsidRDefault="00851CB2" w:rsidP="00074BAF">
      <w:pPr>
        <w:pStyle w:val="onvn"/>
        <w:rPr>
          <w:sz w:val="24"/>
          <w:szCs w:val="24"/>
        </w:rPr>
        <w:sectPr w:rsidR="00851CB2" w:rsidSect="00851CB2">
          <w:type w:val="continuous"/>
          <w:pgSz w:w="11907" w:h="16840" w:code="9"/>
          <w:pgMar w:top="1418" w:right="1418" w:bottom="1418" w:left="1701" w:header="0" w:footer="567" w:gutter="0"/>
          <w:cols w:space="720"/>
        </w:sectPr>
      </w:pPr>
    </w:p>
    <w:p w:rsidR="00851CB2" w:rsidRPr="00E54816" w:rsidRDefault="00F2326B" w:rsidP="00E54816">
      <w:pPr>
        <w:pStyle w:val="onvn"/>
        <w:spacing w:after="240"/>
        <w:ind w:firstLine="0"/>
        <w:rPr>
          <w:sz w:val="20"/>
          <w:szCs w:val="20"/>
        </w:rPr>
        <w:sectPr w:rsidR="00851CB2" w:rsidRPr="00E54816" w:rsidSect="00851CB2">
          <w:type w:val="continuous"/>
          <w:pgSz w:w="11907" w:h="16840" w:code="9"/>
          <w:pgMar w:top="1418" w:right="1418" w:bottom="1418" w:left="1701" w:header="0" w:footer="567" w:gutter="0"/>
          <w:cols w:space="720"/>
        </w:sectPr>
      </w:pPr>
      <w:r w:rsidRPr="00E54816">
        <w:rPr>
          <w:b/>
          <w:sz w:val="20"/>
          <w:szCs w:val="20"/>
        </w:rPr>
        <w:lastRenderedPageBreak/>
        <w:t xml:space="preserve">Bảng </w:t>
      </w:r>
      <w:r w:rsidR="00F83A42" w:rsidRPr="00E54816">
        <w:rPr>
          <w:b/>
          <w:sz w:val="20"/>
          <w:szCs w:val="20"/>
        </w:rPr>
        <w:t>3.</w:t>
      </w:r>
      <w:r w:rsidR="00F83A42" w:rsidRPr="00E54816">
        <w:rPr>
          <w:sz w:val="20"/>
          <w:szCs w:val="20"/>
        </w:rPr>
        <w:t xml:space="preserve"> Giá trị tham số của phương trình động học bậc 1 và bậc 2</w:t>
      </w:r>
    </w:p>
    <w:tbl>
      <w:tblPr>
        <w:tblStyle w:val="TableGrid"/>
        <w:tblW w:w="8222" w:type="dxa"/>
        <w:jc w:val="center"/>
        <w:tblLayout w:type="fixed"/>
        <w:tblLook w:val="04A0" w:firstRow="1" w:lastRow="0" w:firstColumn="1" w:lastColumn="0" w:noHBand="0" w:noVBand="1"/>
      </w:tblPr>
      <w:tblGrid>
        <w:gridCol w:w="2410"/>
        <w:gridCol w:w="1134"/>
        <w:gridCol w:w="1134"/>
        <w:gridCol w:w="1134"/>
        <w:gridCol w:w="1276"/>
        <w:gridCol w:w="1134"/>
      </w:tblGrid>
      <w:tr w:rsidR="00F2326B" w:rsidRPr="00AF7EE9" w:rsidTr="00083627">
        <w:trPr>
          <w:jc w:val="center"/>
        </w:trPr>
        <w:tc>
          <w:tcPr>
            <w:tcW w:w="2410" w:type="dxa"/>
            <w:vAlign w:val="center"/>
          </w:tcPr>
          <w:p w:rsidR="00F2326B" w:rsidRPr="00AF7EE9" w:rsidRDefault="00F2326B" w:rsidP="00EE7936">
            <w:pPr>
              <w:jc w:val="center"/>
              <w:rPr>
                <w:rFonts w:asciiTheme="majorHAnsi" w:hAnsiTheme="majorHAnsi" w:cstheme="majorHAnsi"/>
                <w:b/>
              </w:rPr>
            </w:pPr>
            <w:r w:rsidRPr="00AF7EE9">
              <w:rPr>
                <w:rFonts w:asciiTheme="majorHAnsi" w:hAnsiTheme="majorHAnsi" w:cstheme="majorHAnsi"/>
                <w:b/>
              </w:rPr>
              <w:lastRenderedPageBreak/>
              <w:t>Bậc 1</w:t>
            </w:r>
          </w:p>
        </w:tc>
        <w:tc>
          <w:tcPr>
            <w:tcW w:w="1134" w:type="dxa"/>
            <w:vAlign w:val="center"/>
          </w:tcPr>
          <w:p w:rsidR="00F2326B" w:rsidRPr="00AF7EE9" w:rsidRDefault="00F2326B" w:rsidP="00EE7936">
            <w:pPr>
              <w:jc w:val="center"/>
              <w:rPr>
                <w:rFonts w:asciiTheme="majorHAnsi" w:hAnsiTheme="majorHAnsi" w:cstheme="majorHAnsi"/>
                <w:b/>
                <w:bCs/>
              </w:rPr>
            </w:pPr>
            <w:r w:rsidRPr="00AF7EE9">
              <w:rPr>
                <w:rFonts w:asciiTheme="majorHAnsi" w:hAnsiTheme="majorHAnsi" w:cstheme="majorHAnsi"/>
                <w:b/>
                <w:bCs/>
              </w:rPr>
              <w:t>a</w:t>
            </w:r>
          </w:p>
        </w:tc>
        <w:tc>
          <w:tcPr>
            <w:tcW w:w="1134" w:type="dxa"/>
            <w:vAlign w:val="center"/>
          </w:tcPr>
          <w:p w:rsidR="00F2326B" w:rsidRPr="00AF7EE9" w:rsidRDefault="00F2326B" w:rsidP="00EE7936">
            <w:pPr>
              <w:jc w:val="center"/>
              <w:rPr>
                <w:rFonts w:asciiTheme="majorHAnsi" w:hAnsiTheme="majorHAnsi" w:cstheme="majorHAnsi"/>
                <w:b/>
                <w:bCs/>
              </w:rPr>
            </w:pPr>
            <w:r w:rsidRPr="00AF7EE9">
              <w:rPr>
                <w:rFonts w:asciiTheme="majorHAnsi" w:hAnsiTheme="majorHAnsi" w:cstheme="majorHAnsi"/>
                <w:b/>
                <w:bCs/>
              </w:rPr>
              <w:t>b</w:t>
            </w:r>
          </w:p>
        </w:tc>
        <w:tc>
          <w:tcPr>
            <w:tcW w:w="1134" w:type="dxa"/>
            <w:vAlign w:val="center"/>
          </w:tcPr>
          <w:p w:rsidR="00F2326B" w:rsidRPr="00AF7EE9" w:rsidRDefault="00F2326B" w:rsidP="00EE7936">
            <w:pPr>
              <w:jc w:val="center"/>
              <w:rPr>
                <w:rFonts w:asciiTheme="majorHAnsi" w:hAnsiTheme="majorHAnsi" w:cstheme="majorHAnsi"/>
                <w:b/>
                <w:bCs/>
                <w:lang w:val="en-GB"/>
              </w:rPr>
            </w:pPr>
            <w:r w:rsidRPr="00AF7EE9">
              <w:rPr>
                <w:rFonts w:asciiTheme="majorHAnsi" w:hAnsiTheme="majorHAnsi" w:cstheme="majorHAnsi"/>
                <w:b/>
                <w:bCs/>
                <w:color w:val="000000"/>
              </w:rPr>
              <w:t>q</w:t>
            </w:r>
            <w:r w:rsidRPr="00AF7EE9">
              <w:rPr>
                <w:rFonts w:asciiTheme="majorHAnsi" w:hAnsiTheme="majorHAnsi" w:cstheme="majorHAnsi"/>
                <w:b/>
                <w:bCs/>
                <w:color w:val="000000"/>
                <w:vertAlign w:val="subscript"/>
              </w:rPr>
              <w:t>e</w:t>
            </w:r>
          </w:p>
          <w:p w:rsidR="00F2326B" w:rsidRPr="00AF7EE9" w:rsidRDefault="00F2326B" w:rsidP="00EE7936">
            <w:pPr>
              <w:jc w:val="center"/>
              <w:rPr>
                <w:rFonts w:asciiTheme="majorHAnsi" w:hAnsiTheme="majorHAnsi" w:cstheme="majorHAnsi"/>
                <w:b/>
                <w:bCs/>
              </w:rPr>
            </w:pPr>
            <w:r w:rsidRPr="00AF7EE9">
              <w:rPr>
                <w:rFonts w:asciiTheme="majorHAnsi" w:hAnsiTheme="majorHAnsi" w:cstheme="majorHAnsi"/>
                <w:b/>
                <w:bCs/>
                <w:color w:val="000000"/>
              </w:rPr>
              <w:t>(mg/g)</w:t>
            </w:r>
          </w:p>
        </w:tc>
        <w:tc>
          <w:tcPr>
            <w:tcW w:w="1276" w:type="dxa"/>
            <w:vAlign w:val="center"/>
          </w:tcPr>
          <w:p w:rsidR="00F2326B" w:rsidRPr="00AF7EE9" w:rsidRDefault="00F2326B" w:rsidP="00EE7936">
            <w:pPr>
              <w:jc w:val="center"/>
              <w:rPr>
                <w:rFonts w:asciiTheme="majorHAnsi" w:hAnsiTheme="majorHAnsi" w:cstheme="majorHAnsi"/>
                <w:b/>
                <w:bCs/>
              </w:rPr>
            </w:pPr>
            <w:r w:rsidRPr="00AF7EE9">
              <w:rPr>
                <w:rFonts w:asciiTheme="majorHAnsi" w:hAnsiTheme="majorHAnsi" w:cstheme="majorHAnsi"/>
                <w:b/>
                <w:bCs/>
                <w:color w:val="000000"/>
              </w:rPr>
              <w:t>k</w:t>
            </w:r>
            <w:r w:rsidRPr="00AF7EE9">
              <w:rPr>
                <w:rFonts w:asciiTheme="majorHAnsi" w:hAnsiTheme="majorHAnsi" w:cstheme="majorHAnsi"/>
                <w:b/>
                <w:bCs/>
                <w:color w:val="000000"/>
                <w:vertAlign w:val="subscript"/>
              </w:rPr>
              <w:t>1</w:t>
            </w:r>
          </w:p>
          <w:p w:rsidR="00F2326B" w:rsidRPr="00AF7EE9" w:rsidRDefault="00F2326B" w:rsidP="00EE7936">
            <w:pPr>
              <w:jc w:val="center"/>
              <w:rPr>
                <w:rFonts w:asciiTheme="majorHAnsi" w:hAnsiTheme="majorHAnsi" w:cstheme="majorHAnsi"/>
                <w:b/>
                <w:bCs/>
              </w:rPr>
            </w:pPr>
            <w:r w:rsidRPr="00AF7EE9">
              <w:rPr>
                <w:rFonts w:asciiTheme="majorHAnsi" w:hAnsiTheme="majorHAnsi" w:cstheme="majorHAnsi"/>
                <w:b/>
                <w:bCs/>
                <w:color w:val="000000"/>
              </w:rPr>
              <w:t>(g/mg.p)</w:t>
            </w:r>
          </w:p>
        </w:tc>
        <w:tc>
          <w:tcPr>
            <w:tcW w:w="1134" w:type="dxa"/>
            <w:vAlign w:val="center"/>
          </w:tcPr>
          <w:p w:rsidR="00F2326B" w:rsidRPr="00AF7EE9" w:rsidRDefault="00F2326B" w:rsidP="00EE7936">
            <w:pPr>
              <w:jc w:val="center"/>
              <w:rPr>
                <w:rFonts w:asciiTheme="majorHAnsi" w:hAnsiTheme="majorHAnsi" w:cstheme="majorHAnsi"/>
                <w:b/>
                <w:bCs/>
                <w:lang w:val="en-GB"/>
              </w:rPr>
            </w:pPr>
            <w:r w:rsidRPr="00AF7EE9">
              <w:rPr>
                <w:rFonts w:asciiTheme="majorHAnsi" w:hAnsiTheme="majorHAnsi" w:cstheme="majorHAnsi"/>
                <w:b/>
                <w:bCs/>
                <w:color w:val="000000"/>
              </w:rPr>
              <w:t>R</w:t>
            </w:r>
            <w:r w:rsidRPr="00AF7EE9">
              <w:rPr>
                <w:rFonts w:asciiTheme="majorHAnsi" w:hAnsiTheme="majorHAnsi" w:cstheme="majorHAnsi"/>
                <w:b/>
                <w:bCs/>
                <w:color w:val="000000"/>
                <w:vertAlign w:val="superscript"/>
              </w:rPr>
              <w:t>2</w:t>
            </w:r>
          </w:p>
        </w:tc>
      </w:tr>
      <w:tr w:rsidR="00F2326B" w:rsidRPr="00AF7EE9" w:rsidTr="00083627">
        <w:trPr>
          <w:trHeight w:val="394"/>
          <w:jc w:val="center"/>
        </w:trPr>
        <w:tc>
          <w:tcPr>
            <w:tcW w:w="2410" w:type="dxa"/>
            <w:vAlign w:val="center"/>
          </w:tcPr>
          <w:p w:rsidR="00F2326B" w:rsidRPr="00AF7EE9" w:rsidRDefault="00F2326B" w:rsidP="00F2326B">
            <w:pPr>
              <w:jc w:val="center"/>
              <w:rPr>
                <w:rFonts w:asciiTheme="majorHAnsi" w:hAnsiTheme="majorHAnsi" w:cstheme="majorHAnsi"/>
                <w:b/>
                <w:bCs/>
              </w:rPr>
            </w:pPr>
            <w:r w:rsidRPr="00AF7EE9">
              <w:rPr>
                <w:rFonts w:asciiTheme="majorHAnsi" w:hAnsiTheme="majorHAnsi" w:cstheme="majorHAnsi"/>
                <w:b/>
                <w:bCs/>
              </w:rPr>
              <w:t>FNPs</w:t>
            </w:r>
          </w:p>
        </w:tc>
        <w:tc>
          <w:tcPr>
            <w:tcW w:w="1134"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-0,0079</w:t>
            </w:r>
          </w:p>
        </w:tc>
        <w:tc>
          <w:tcPr>
            <w:tcW w:w="1134"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1,3384</w:t>
            </w:r>
          </w:p>
        </w:tc>
        <w:tc>
          <w:tcPr>
            <w:tcW w:w="1134"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3,81</w:t>
            </w:r>
          </w:p>
        </w:tc>
        <w:tc>
          <w:tcPr>
            <w:tcW w:w="1276"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-0,0079</w:t>
            </w:r>
          </w:p>
        </w:tc>
        <w:tc>
          <w:tcPr>
            <w:tcW w:w="1134"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0,5773</w:t>
            </w:r>
          </w:p>
        </w:tc>
      </w:tr>
      <w:tr w:rsidR="00F2326B" w:rsidRPr="00AF7EE9" w:rsidTr="00083627">
        <w:trPr>
          <w:trHeight w:val="394"/>
          <w:jc w:val="center"/>
        </w:trPr>
        <w:tc>
          <w:tcPr>
            <w:tcW w:w="2410" w:type="dxa"/>
            <w:vAlign w:val="center"/>
          </w:tcPr>
          <w:p w:rsidR="00F2326B" w:rsidRPr="00AF7EE9" w:rsidRDefault="00F2326B" w:rsidP="00F2326B">
            <w:pPr>
              <w:jc w:val="center"/>
              <w:rPr>
                <w:rFonts w:asciiTheme="majorHAnsi" w:hAnsiTheme="majorHAnsi" w:cstheme="majorHAnsi"/>
                <w:b/>
                <w:bCs/>
              </w:rPr>
            </w:pPr>
            <w:r w:rsidRPr="00AF7EE9">
              <w:rPr>
                <w:rFonts w:asciiTheme="majorHAnsi" w:hAnsiTheme="majorHAnsi" w:cstheme="majorHAnsi"/>
                <w:b/>
              </w:rPr>
              <w:t>1%-PVP-FNPs</w:t>
            </w:r>
          </w:p>
        </w:tc>
        <w:tc>
          <w:tcPr>
            <w:tcW w:w="1134"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-0,0037</w:t>
            </w:r>
          </w:p>
        </w:tc>
        <w:tc>
          <w:tcPr>
            <w:tcW w:w="1134"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0,7890</w:t>
            </w:r>
          </w:p>
        </w:tc>
        <w:tc>
          <w:tcPr>
            <w:tcW w:w="1134"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2,20</w:t>
            </w:r>
          </w:p>
        </w:tc>
        <w:tc>
          <w:tcPr>
            <w:tcW w:w="1276"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-0,0037</w:t>
            </w:r>
          </w:p>
        </w:tc>
        <w:tc>
          <w:tcPr>
            <w:tcW w:w="1134" w:type="dxa"/>
            <w:vAlign w:val="center"/>
          </w:tcPr>
          <w:p w:rsidR="00F2326B" w:rsidRPr="00AF7EE9" w:rsidRDefault="00F2326B" w:rsidP="00EE7936">
            <w:pPr>
              <w:jc w:val="center"/>
              <w:rPr>
                <w:rFonts w:asciiTheme="majorHAnsi" w:hAnsiTheme="majorHAnsi" w:cstheme="majorHAnsi"/>
              </w:rPr>
            </w:pPr>
            <w:r w:rsidRPr="00AF7EE9">
              <w:rPr>
                <w:rFonts w:asciiTheme="majorHAnsi" w:hAnsiTheme="majorHAnsi" w:cstheme="majorHAnsi"/>
              </w:rPr>
              <w:t>0,217</w:t>
            </w:r>
          </w:p>
        </w:tc>
      </w:tr>
      <w:tr w:rsidR="00F2326B" w:rsidRPr="00AF7EE9" w:rsidTr="00083627">
        <w:trPr>
          <w:trHeight w:val="394"/>
          <w:jc w:val="center"/>
        </w:trPr>
        <w:tc>
          <w:tcPr>
            <w:tcW w:w="2410" w:type="dxa"/>
            <w:vAlign w:val="center"/>
          </w:tcPr>
          <w:p w:rsidR="00F2326B" w:rsidRPr="00AF7EE9" w:rsidRDefault="00F2326B" w:rsidP="00F2326B">
            <w:pPr>
              <w:jc w:val="center"/>
              <w:rPr>
                <w:rFonts w:asciiTheme="majorHAnsi" w:hAnsiTheme="majorHAnsi" w:cstheme="majorHAnsi"/>
                <w:b/>
              </w:rPr>
            </w:pPr>
            <w:r w:rsidRPr="00AF7EE9">
              <w:rPr>
                <w:rFonts w:asciiTheme="majorHAnsi" w:hAnsiTheme="majorHAnsi" w:cstheme="majorHAnsi"/>
                <w:b/>
              </w:rPr>
              <w:t>Bậc 2</w:t>
            </w:r>
          </w:p>
        </w:tc>
        <w:tc>
          <w:tcPr>
            <w:tcW w:w="1134" w:type="dxa"/>
            <w:vAlign w:val="center"/>
          </w:tcPr>
          <w:p w:rsidR="00F2326B" w:rsidRPr="00AF7EE9" w:rsidRDefault="00F2326B" w:rsidP="00F2326B">
            <w:pPr>
              <w:jc w:val="center"/>
              <w:rPr>
                <w:rFonts w:asciiTheme="majorHAnsi" w:hAnsiTheme="majorHAnsi" w:cstheme="majorHAnsi"/>
                <w:b/>
                <w:bCs/>
              </w:rPr>
            </w:pPr>
            <w:r w:rsidRPr="00AF7EE9">
              <w:rPr>
                <w:rFonts w:asciiTheme="majorHAnsi" w:hAnsiTheme="majorHAnsi" w:cstheme="majorHAnsi"/>
                <w:b/>
                <w:bCs/>
              </w:rPr>
              <w:t>a</w:t>
            </w:r>
          </w:p>
        </w:tc>
        <w:tc>
          <w:tcPr>
            <w:tcW w:w="1134" w:type="dxa"/>
            <w:vAlign w:val="center"/>
          </w:tcPr>
          <w:p w:rsidR="00F2326B" w:rsidRPr="00AF7EE9" w:rsidRDefault="00F2326B" w:rsidP="00F2326B">
            <w:pPr>
              <w:jc w:val="center"/>
              <w:rPr>
                <w:rFonts w:asciiTheme="majorHAnsi" w:hAnsiTheme="majorHAnsi" w:cstheme="majorHAnsi"/>
                <w:b/>
                <w:bCs/>
              </w:rPr>
            </w:pPr>
            <w:r w:rsidRPr="00AF7EE9">
              <w:rPr>
                <w:rFonts w:asciiTheme="majorHAnsi" w:hAnsiTheme="majorHAnsi" w:cstheme="majorHAnsi"/>
                <w:b/>
                <w:bCs/>
              </w:rPr>
              <w:t>b</w:t>
            </w:r>
          </w:p>
        </w:tc>
        <w:tc>
          <w:tcPr>
            <w:tcW w:w="1134" w:type="dxa"/>
            <w:vAlign w:val="center"/>
          </w:tcPr>
          <w:p w:rsidR="00F2326B" w:rsidRPr="00AF7EE9" w:rsidRDefault="00F2326B" w:rsidP="00F2326B">
            <w:pPr>
              <w:jc w:val="center"/>
              <w:rPr>
                <w:rFonts w:asciiTheme="majorHAnsi" w:hAnsiTheme="majorHAnsi" w:cstheme="majorHAnsi"/>
                <w:b/>
                <w:bCs/>
                <w:lang w:val="en-GB"/>
              </w:rPr>
            </w:pPr>
            <w:r w:rsidRPr="00AF7EE9">
              <w:rPr>
                <w:rFonts w:asciiTheme="majorHAnsi" w:hAnsiTheme="majorHAnsi" w:cstheme="majorHAnsi"/>
                <w:b/>
                <w:bCs/>
                <w:color w:val="000000"/>
              </w:rPr>
              <w:t>q</w:t>
            </w:r>
            <w:r w:rsidRPr="00AF7EE9">
              <w:rPr>
                <w:rFonts w:asciiTheme="majorHAnsi" w:hAnsiTheme="majorHAnsi" w:cstheme="majorHAnsi"/>
                <w:b/>
                <w:bCs/>
                <w:color w:val="000000"/>
                <w:vertAlign w:val="subscript"/>
              </w:rPr>
              <w:t>e</w:t>
            </w:r>
          </w:p>
          <w:p w:rsidR="00F2326B" w:rsidRPr="00AF7EE9" w:rsidRDefault="00F2326B" w:rsidP="00F2326B">
            <w:pPr>
              <w:jc w:val="center"/>
              <w:rPr>
                <w:rFonts w:asciiTheme="majorHAnsi" w:hAnsiTheme="majorHAnsi" w:cstheme="majorHAnsi"/>
                <w:b/>
                <w:bCs/>
              </w:rPr>
            </w:pPr>
            <w:r w:rsidRPr="00AF7EE9">
              <w:rPr>
                <w:rFonts w:asciiTheme="majorHAnsi" w:hAnsiTheme="majorHAnsi" w:cstheme="majorHAnsi"/>
                <w:b/>
                <w:bCs/>
                <w:color w:val="000000"/>
              </w:rPr>
              <w:t>(mg/g)</w:t>
            </w:r>
          </w:p>
        </w:tc>
        <w:tc>
          <w:tcPr>
            <w:tcW w:w="1276" w:type="dxa"/>
            <w:vAlign w:val="center"/>
          </w:tcPr>
          <w:p w:rsidR="00F2326B" w:rsidRPr="00AF7EE9" w:rsidRDefault="00F2326B" w:rsidP="00F2326B">
            <w:pPr>
              <w:jc w:val="center"/>
              <w:rPr>
                <w:rFonts w:asciiTheme="majorHAnsi" w:hAnsiTheme="majorHAnsi" w:cstheme="majorHAnsi"/>
                <w:b/>
                <w:bCs/>
                <w:lang w:val="en-GB"/>
              </w:rPr>
            </w:pPr>
            <w:r w:rsidRPr="00AF7EE9">
              <w:rPr>
                <w:rFonts w:asciiTheme="majorHAnsi" w:hAnsiTheme="majorHAnsi" w:cstheme="majorHAnsi"/>
                <w:b/>
                <w:bCs/>
                <w:color w:val="000000"/>
              </w:rPr>
              <w:t>k</w:t>
            </w:r>
            <w:r w:rsidRPr="00AF7EE9">
              <w:rPr>
                <w:rFonts w:asciiTheme="majorHAnsi" w:hAnsiTheme="majorHAnsi" w:cstheme="majorHAnsi"/>
                <w:b/>
                <w:bCs/>
                <w:color w:val="000000"/>
                <w:vertAlign w:val="subscript"/>
              </w:rPr>
              <w:t>2</w:t>
            </w:r>
          </w:p>
          <w:p w:rsidR="00F2326B" w:rsidRPr="00AF7EE9" w:rsidRDefault="00F2326B" w:rsidP="00F2326B">
            <w:pPr>
              <w:jc w:val="center"/>
              <w:rPr>
                <w:rFonts w:asciiTheme="majorHAnsi" w:hAnsiTheme="majorHAnsi" w:cstheme="majorHAnsi"/>
                <w:b/>
                <w:bCs/>
              </w:rPr>
            </w:pPr>
            <w:r w:rsidRPr="00AF7EE9">
              <w:rPr>
                <w:rFonts w:asciiTheme="majorHAnsi" w:hAnsiTheme="majorHAnsi" w:cstheme="majorHAnsi"/>
                <w:b/>
                <w:bCs/>
                <w:color w:val="000000"/>
              </w:rPr>
              <w:t>(g/mg.p)</w:t>
            </w:r>
          </w:p>
        </w:tc>
        <w:tc>
          <w:tcPr>
            <w:tcW w:w="1134" w:type="dxa"/>
            <w:vAlign w:val="center"/>
          </w:tcPr>
          <w:p w:rsidR="00F2326B" w:rsidRPr="00AF7EE9" w:rsidRDefault="00F2326B" w:rsidP="00F2326B">
            <w:pPr>
              <w:jc w:val="center"/>
              <w:rPr>
                <w:rFonts w:asciiTheme="majorHAnsi" w:hAnsiTheme="majorHAnsi" w:cstheme="majorHAnsi"/>
                <w:b/>
                <w:bCs/>
                <w:lang w:val="en-GB"/>
              </w:rPr>
            </w:pPr>
            <w:r w:rsidRPr="00AF7EE9">
              <w:rPr>
                <w:rFonts w:asciiTheme="majorHAnsi" w:hAnsiTheme="majorHAnsi" w:cstheme="majorHAnsi"/>
                <w:b/>
                <w:bCs/>
                <w:color w:val="000000"/>
              </w:rPr>
              <w:t>R</w:t>
            </w:r>
            <w:r w:rsidRPr="00AF7EE9">
              <w:rPr>
                <w:rFonts w:asciiTheme="majorHAnsi" w:hAnsiTheme="majorHAnsi" w:cstheme="majorHAnsi"/>
                <w:b/>
                <w:bCs/>
                <w:color w:val="000000"/>
                <w:vertAlign w:val="superscript"/>
              </w:rPr>
              <w:t>2</w:t>
            </w:r>
          </w:p>
        </w:tc>
      </w:tr>
      <w:tr w:rsidR="00F2326B" w:rsidRPr="00AF7EE9" w:rsidTr="00083627">
        <w:trPr>
          <w:trHeight w:val="394"/>
          <w:jc w:val="center"/>
        </w:trPr>
        <w:tc>
          <w:tcPr>
            <w:tcW w:w="2410" w:type="dxa"/>
            <w:vAlign w:val="center"/>
          </w:tcPr>
          <w:p w:rsidR="00F2326B" w:rsidRPr="00AF7EE9" w:rsidRDefault="00F2326B" w:rsidP="00F2326B">
            <w:pPr>
              <w:jc w:val="center"/>
              <w:rPr>
                <w:rFonts w:asciiTheme="majorHAnsi" w:hAnsiTheme="majorHAnsi" w:cstheme="majorHAnsi"/>
                <w:b/>
                <w:bCs/>
              </w:rPr>
            </w:pPr>
            <w:r w:rsidRPr="00AF7EE9">
              <w:rPr>
                <w:rFonts w:asciiTheme="majorHAnsi" w:hAnsiTheme="majorHAnsi" w:cstheme="majorHAnsi"/>
                <w:b/>
                <w:bCs/>
              </w:rPr>
              <w:t>FNPs</w:t>
            </w:r>
          </w:p>
        </w:tc>
        <w:tc>
          <w:tcPr>
            <w:tcW w:w="1134"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0,0057</w:t>
            </w:r>
          </w:p>
        </w:tc>
        <w:tc>
          <w:tcPr>
            <w:tcW w:w="1134"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0,0081</w:t>
            </w:r>
          </w:p>
        </w:tc>
        <w:tc>
          <w:tcPr>
            <w:tcW w:w="1134"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175,44</w:t>
            </w:r>
          </w:p>
        </w:tc>
        <w:tc>
          <w:tcPr>
            <w:tcW w:w="1276"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0,0003</w:t>
            </w:r>
          </w:p>
        </w:tc>
        <w:tc>
          <w:tcPr>
            <w:tcW w:w="1134"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0,9978</w:t>
            </w:r>
          </w:p>
        </w:tc>
      </w:tr>
      <w:tr w:rsidR="00F2326B" w:rsidRPr="00AF7EE9" w:rsidTr="00083627">
        <w:trPr>
          <w:trHeight w:val="394"/>
          <w:jc w:val="center"/>
        </w:trPr>
        <w:tc>
          <w:tcPr>
            <w:tcW w:w="2410" w:type="dxa"/>
            <w:vAlign w:val="center"/>
          </w:tcPr>
          <w:p w:rsidR="00F2326B" w:rsidRPr="00AF7EE9" w:rsidRDefault="00F2326B" w:rsidP="00F2326B">
            <w:pPr>
              <w:jc w:val="center"/>
              <w:rPr>
                <w:rFonts w:asciiTheme="majorHAnsi" w:hAnsiTheme="majorHAnsi" w:cstheme="majorHAnsi"/>
                <w:b/>
                <w:bCs/>
              </w:rPr>
            </w:pPr>
            <w:r w:rsidRPr="00AF7EE9">
              <w:rPr>
                <w:rFonts w:asciiTheme="majorHAnsi" w:hAnsiTheme="majorHAnsi" w:cstheme="majorHAnsi"/>
                <w:b/>
              </w:rPr>
              <w:t>1%-PVP-FNPs</w:t>
            </w:r>
          </w:p>
        </w:tc>
        <w:tc>
          <w:tcPr>
            <w:tcW w:w="1134"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0,0102</w:t>
            </w:r>
          </w:p>
        </w:tc>
        <w:tc>
          <w:tcPr>
            <w:tcW w:w="1134"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0,0109</w:t>
            </w:r>
          </w:p>
        </w:tc>
        <w:tc>
          <w:tcPr>
            <w:tcW w:w="1134"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98,04</w:t>
            </w:r>
          </w:p>
        </w:tc>
        <w:tc>
          <w:tcPr>
            <w:tcW w:w="1276"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0,0010</w:t>
            </w:r>
          </w:p>
        </w:tc>
        <w:tc>
          <w:tcPr>
            <w:tcW w:w="1134" w:type="dxa"/>
            <w:vAlign w:val="center"/>
          </w:tcPr>
          <w:p w:rsidR="00F2326B" w:rsidRPr="00AF7EE9" w:rsidRDefault="00F2326B" w:rsidP="00F2326B">
            <w:pPr>
              <w:jc w:val="center"/>
              <w:rPr>
                <w:rFonts w:asciiTheme="majorHAnsi" w:hAnsiTheme="majorHAnsi" w:cstheme="majorHAnsi"/>
              </w:rPr>
            </w:pPr>
            <w:r w:rsidRPr="00AF7EE9">
              <w:rPr>
                <w:rFonts w:asciiTheme="majorHAnsi" w:hAnsiTheme="majorHAnsi" w:cstheme="majorHAnsi"/>
              </w:rPr>
              <w:t>0,9981</w:t>
            </w:r>
          </w:p>
        </w:tc>
      </w:tr>
    </w:tbl>
    <w:p w:rsidR="00851CB2" w:rsidRDefault="00851CB2" w:rsidP="004A2638">
      <w:pPr>
        <w:pStyle w:val="onvn"/>
        <w:ind w:firstLine="0"/>
        <w:rPr>
          <w:sz w:val="24"/>
          <w:szCs w:val="24"/>
          <w:lang w:val="vi-VN"/>
        </w:rPr>
        <w:sectPr w:rsidR="00851CB2" w:rsidSect="00851CB2">
          <w:type w:val="continuous"/>
          <w:pgSz w:w="11907" w:h="16840" w:code="9"/>
          <w:pgMar w:top="1418" w:right="1418" w:bottom="1418" w:left="1701" w:header="0" w:footer="567" w:gutter="0"/>
          <w:cols w:space="720"/>
        </w:sectPr>
      </w:pPr>
    </w:p>
    <w:p w:rsidR="00F83A42" w:rsidRPr="00654AE3" w:rsidRDefault="001C72FC" w:rsidP="00654AE3">
      <w:pPr>
        <w:pStyle w:val="Heading2"/>
        <w:numPr>
          <w:ilvl w:val="1"/>
          <w:numId w:val="10"/>
        </w:numPr>
        <w:rPr>
          <w:lang w:val="en-US"/>
        </w:rPr>
      </w:pPr>
      <w:r>
        <w:rPr>
          <w:lang w:val="en-US"/>
        </w:rPr>
        <w:lastRenderedPageBreak/>
        <w:t>Kết luận</w:t>
      </w:r>
    </w:p>
    <w:p w:rsidR="00654AE3" w:rsidRDefault="00F83A42" w:rsidP="00E54816">
      <w:pPr>
        <w:rPr>
          <w:lang w:val="en-US"/>
        </w:rPr>
      </w:pPr>
      <w:r>
        <w:rPr>
          <w:lang w:val="en-US"/>
        </w:rPr>
        <w:t>Nghiên cứu tổng hợp thành công hệ vi hạt fibroin phối trộn polymer PVP ứng dụng hấp</w:t>
      </w:r>
      <w:r w:rsidR="008773FD">
        <w:rPr>
          <w:lang w:val="en-US"/>
        </w:rPr>
        <w:t xml:space="preserve"> phụ thuốc nhuộm MG</w:t>
      </w:r>
      <w:r>
        <w:rPr>
          <w:lang w:val="en-US"/>
        </w:rPr>
        <w:t>. Hệ vi hạt có kích thước</w:t>
      </w:r>
      <w:r w:rsidR="00654AE3">
        <w:rPr>
          <w:lang w:val="en-US"/>
        </w:rPr>
        <w:t xml:space="preserve"> không polymer có kích thước 136</w:t>
      </w:r>
      <w:r>
        <w:rPr>
          <w:lang w:val="en-US"/>
        </w:rPr>
        <w:t xml:space="preserve"> nm, hệ vi hạt phối trộn polymer có kích thước 578 nm</w:t>
      </w:r>
      <w:r w:rsidR="00654AE3">
        <w:rPr>
          <w:lang w:val="en-US"/>
        </w:rPr>
        <w:t>.</w:t>
      </w:r>
      <w:r>
        <w:rPr>
          <w:lang w:val="en-US"/>
        </w:rPr>
        <w:t xml:space="preserve"> Quá trình hấp phụ diễn ra nhanh chóng </w:t>
      </w:r>
      <w:r w:rsidR="00654AE3">
        <w:rPr>
          <w:lang w:val="en-US"/>
        </w:rPr>
        <w:t xml:space="preserve">với hiệu suất hấp phụ trên 70% </w:t>
      </w:r>
      <w:r>
        <w:rPr>
          <w:lang w:val="en-US"/>
        </w:rPr>
        <w:t xml:space="preserve">và tuân theo mô hình động học bậc 2. </w:t>
      </w:r>
    </w:p>
    <w:p w:rsidR="008773FD" w:rsidRDefault="008773FD" w:rsidP="00654AE3">
      <w:pPr>
        <w:ind w:firstLine="0"/>
        <w:rPr>
          <w:b/>
          <w:lang w:val="en-US"/>
        </w:rPr>
      </w:pPr>
    </w:p>
    <w:p w:rsidR="00654AE3" w:rsidRDefault="00654AE3" w:rsidP="00654AE3">
      <w:pPr>
        <w:ind w:firstLine="0"/>
        <w:rPr>
          <w:b/>
          <w:lang w:val="en-US"/>
        </w:rPr>
      </w:pPr>
      <w:r w:rsidRPr="00654AE3">
        <w:rPr>
          <w:b/>
          <w:lang w:val="en-US"/>
        </w:rPr>
        <w:lastRenderedPageBreak/>
        <w:t xml:space="preserve">Tài liệu tham khảo </w:t>
      </w:r>
    </w:p>
    <w:p w:rsidR="00854FCA" w:rsidRPr="0054711E" w:rsidRDefault="00854FCA" w:rsidP="0054711E">
      <w:pPr>
        <w:pStyle w:val="ListParagraph"/>
        <w:numPr>
          <w:ilvl w:val="0"/>
          <w:numId w:val="11"/>
        </w:numPr>
        <w:rPr>
          <w:lang w:val="en-US"/>
        </w:rPr>
      </w:pPr>
      <w:r w:rsidRPr="00BF3945">
        <w:t>Y. Zhao</w:t>
      </w:r>
      <w:r w:rsidR="0038590D" w:rsidRPr="0054711E">
        <w:rPr>
          <w:iCs/>
          <w:lang w:val="fr-FR"/>
        </w:rPr>
        <w:t>, X. Liu, W. Li, S. Pei, Y. Ren, X. Li, C. Qu, C. Wu, J. Liu.</w:t>
      </w:r>
      <w:r w:rsidR="0038590D">
        <w:t xml:space="preserve"> </w:t>
      </w:r>
      <w:r w:rsidR="001D3B7D">
        <w:t>Efficient and selective adsorption of cationic dye malachite g</w:t>
      </w:r>
      <w:r w:rsidRPr="00BF3945">
        <w:t xml:space="preserve">reen </w:t>
      </w:r>
      <w:r w:rsidR="001D3B7D">
        <w:t xml:space="preserve">by Kiwi-Peel-Based biosorbents, </w:t>
      </w:r>
      <w:r w:rsidR="0038590D">
        <w:t xml:space="preserve"> </w:t>
      </w:r>
      <w:r w:rsidR="0038590D" w:rsidRPr="0054711E">
        <w:rPr>
          <w:i/>
        </w:rPr>
        <w:t>Molecules</w:t>
      </w:r>
      <w:r w:rsidR="0038590D" w:rsidRPr="0054711E">
        <w:rPr>
          <w:i/>
          <w:lang w:val="en-US"/>
        </w:rPr>
        <w:t>,</w:t>
      </w:r>
      <w:r w:rsidR="0038590D" w:rsidRPr="0054711E">
        <w:rPr>
          <w:b/>
          <w:lang w:val="en-US"/>
        </w:rPr>
        <w:t xml:space="preserve"> 2023</w:t>
      </w:r>
      <w:r w:rsidR="0038590D" w:rsidRPr="0054711E">
        <w:rPr>
          <w:lang w:val="en-US"/>
        </w:rPr>
        <w:t>, 28, 5310</w:t>
      </w:r>
    </w:p>
    <w:p w:rsidR="001D3B7D" w:rsidRDefault="00AF7EE9" w:rsidP="0054711E">
      <w:pPr>
        <w:pStyle w:val="ListParagraph"/>
        <w:numPr>
          <w:ilvl w:val="0"/>
          <w:numId w:val="11"/>
        </w:numPr>
      </w:pPr>
      <w:r>
        <w:t xml:space="preserve"> </w:t>
      </w:r>
      <w:r w:rsidR="00854FCA" w:rsidRPr="00BF3945">
        <w:t xml:space="preserve">M. Kadhom, N. Albayati, </w:t>
      </w:r>
      <w:r w:rsidR="001D3B7D">
        <w:t xml:space="preserve">H. Alalwan, M. Al-Furaiji. </w:t>
      </w:r>
      <w:r w:rsidR="00854FCA" w:rsidRPr="00BF3945">
        <w:t>Removal o</w:t>
      </w:r>
      <w:r w:rsidR="001D3B7D">
        <w:t xml:space="preserve">f dyes by agricultural waste, </w:t>
      </w:r>
      <w:r w:rsidR="00854FCA" w:rsidRPr="00BF3945">
        <w:t xml:space="preserve"> </w:t>
      </w:r>
      <w:r w:rsidR="00854FCA" w:rsidRPr="0054711E">
        <w:rPr>
          <w:i/>
          <w:iCs/>
        </w:rPr>
        <w:lastRenderedPageBreak/>
        <w:t>Sustainable Chemistry and Pharmacy</w:t>
      </w:r>
      <w:r w:rsidR="00854FCA" w:rsidRPr="00BF3945">
        <w:t xml:space="preserve">, </w:t>
      </w:r>
      <w:r w:rsidR="00854FCA" w:rsidRPr="0054711E">
        <w:rPr>
          <w:b/>
        </w:rPr>
        <w:t>2020</w:t>
      </w:r>
      <w:r w:rsidR="00854FCA" w:rsidRPr="00BF3945">
        <w:t xml:space="preserve">, </w:t>
      </w:r>
      <w:r w:rsidR="001D3B7D" w:rsidRPr="00BF3945">
        <w:t>16,</w:t>
      </w:r>
      <w:r w:rsidR="001D3B7D">
        <w:t xml:space="preserve"> 100259</w:t>
      </w:r>
    </w:p>
    <w:p w:rsidR="00EB20B5" w:rsidRDefault="00854FCA" w:rsidP="0054711E">
      <w:pPr>
        <w:pStyle w:val="ListParagraph"/>
        <w:numPr>
          <w:ilvl w:val="0"/>
          <w:numId w:val="11"/>
        </w:numPr>
      </w:pPr>
      <w:r w:rsidRPr="00BF3945">
        <w:t>P. T. B.</w:t>
      </w:r>
      <w:r w:rsidR="001D3B7D">
        <w:t xml:space="preserve"> N</w:t>
      </w:r>
      <w:r w:rsidR="001D3B7D" w:rsidRPr="001D3B7D">
        <w:t>ghi</w:t>
      </w:r>
      <w:r w:rsidRPr="00BF3945">
        <w:t>, T. B.</w:t>
      </w:r>
      <w:r w:rsidR="001D3B7D" w:rsidRPr="001D3B7D">
        <w:t xml:space="preserve"> Huy</w:t>
      </w:r>
      <w:r w:rsidRPr="00BF3945">
        <w:t>, H. N. T.</w:t>
      </w:r>
      <w:r w:rsidR="001D3B7D" w:rsidRPr="001D3B7D">
        <w:t xml:space="preserve"> </w:t>
      </w:r>
      <w:r w:rsidR="001D3B7D" w:rsidRPr="00BF3945">
        <w:t>Tân</w:t>
      </w:r>
      <w:r w:rsidRPr="00BF3945">
        <w:t>, Đ. H.</w:t>
      </w:r>
      <w:r w:rsidR="001D3B7D">
        <w:t xml:space="preserve"> G</w:t>
      </w:r>
      <w:r w:rsidR="001D3B7D" w:rsidRPr="001D3B7D">
        <w:t>iao</w:t>
      </w:r>
      <w:r w:rsidR="001D3B7D">
        <w:t xml:space="preserve">. </w:t>
      </w:r>
      <w:r w:rsidRPr="00BF3945">
        <w:t>Nghiên cứu sử dụng vật liệu Cu/ZIF làm xúc tác xử lý malachite green với s</w:t>
      </w:r>
      <w:r w:rsidR="001D3B7D">
        <w:t>ự có mặt của hydrogen peroxide,</w:t>
      </w:r>
      <w:r w:rsidRPr="00BF3945">
        <w:t xml:space="preserve"> </w:t>
      </w:r>
      <w:r w:rsidRPr="0054711E">
        <w:rPr>
          <w:i/>
          <w:iCs/>
        </w:rPr>
        <w:t>Tạp chí Khoa học Đại học cần Thơ</w:t>
      </w:r>
      <w:r w:rsidR="001D3B7D">
        <w:t xml:space="preserve">, </w:t>
      </w:r>
      <w:r w:rsidR="001D3B7D" w:rsidRPr="0054711E">
        <w:rPr>
          <w:b/>
        </w:rPr>
        <w:t>2023,</w:t>
      </w:r>
      <w:r w:rsidR="00EB20B5">
        <w:t xml:space="preserve"> 59, 81–89.</w:t>
      </w:r>
    </w:p>
    <w:p w:rsidR="001D3B7D" w:rsidRDefault="00854FCA" w:rsidP="0054711E">
      <w:pPr>
        <w:pStyle w:val="ListParagraph"/>
        <w:numPr>
          <w:ilvl w:val="0"/>
          <w:numId w:val="11"/>
        </w:numPr>
      </w:pPr>
      <w:r w:rsidRPr="00BF3945">
        <w:t>A. Hashem,</w:t>
      </w:r>
      <w:r w:rsidR="001D3B7D">
        <w:t xml:space="preserve"> S. A. Mahmoud, R. A. Geioushy, O. A. Fouad. </w:t>
      </w:r>
      <w:r w:rsidRPr="00BF3945">
        <w:t>Adsorption of malachite green dye over synthesized calcium silicate nan</w:t>
      </w:r>
      <w:r w:rsidR="001D3B7D">
        <w:t xml:space="preserve">opowders from waste materials, </w:t>
      </w:r>
      <w:r w:rsidRPr="0054711E">
        <w:rPr>
          <w:i/>
          <w:iCs/>
        </w:rPr>
        <w:t>Materials Science and Engineering: B</w:t>
      </w:r>
      <w:r w:rsidRPr="00BF3945">
        <w:t xml:space="preserve">, </w:t>
      </w:r>
      <w:r w:rsidRPr="0054711E">
        <w:rPr>
          <w:b/>
        </w:rPr>
        <w:t>2023</w:t>
      </w:r>
      <w:r w:rsidR="001D3B7D" w:rsidRPr="0054711E">
        <w:rPr>
          <w:lang w:val="en-US"/>
        </w:rPr>
        <w:t xml:space="preserve">, </w:t>
      </w:r>
      <w:r w:rsidR="001D3B7D" w:rsidRPr="00BF3945">
        <w:t xml:space="preserve">295, </w:t>
      </w:r>
      <w:r w:rsidR="00EB20B5">
        <w:t>116605</w:t>
      </w:r>
    </w:p>
    <w:p w:rsidR="00EB20B5" w:rsidRPr="0054711E" w:rsidRDefault="00EB20B5" w:rsidP="0054711E">
      <w:pPr>
        <w:pStyle w:val="ListParagraph"/>
        <w:numPr>
          <w:ilvl w:val="0"/>
          <w:numId w:val="11"/>
        </w:numPr>
        <w:rPr>
          <w:lang w:val="en-US"/>
        </w:rPr>
      </w:pPr>
      <w:r w:rsidRPr="0054711E">
        <w:rPr>
          <w:lang w:val="vi"/>
        </w:rPr>
        <w:t>Y. Wang, W. Li, H. Ma, W. Guo, and H. Jiang, “Adsorption of malachite green by calcined kaolin as adsorbent: optimization, thermodynamic and kinetics studies,” J. Phys.: Conf. Ser</w:t>
      </w:r>
      <w:r w:rsidRPr="0054711E">
        <w:rPr>
          <w:lang w:val="en-US"/>
        </w:rPr>
        <w:t xml:space="preserve">, </w:t>
      </w:r>
      <w:r w:rsidRPr="0054711E">
        <w:rPr>
          <w:b/>
          <w:lang w:val="vi"/>
        </w:rPr>
        <w:t>2022</w:t>
      </w:r>
      <w:r w:rsidRPr="0054711E">
        <w:rPr>
          <w:lang w:val="en-US"/>
        </w:rPr>
        <w:t xml:space="preserve">, </w:t>
      </w:r>
      <w:r w:rsidRPr="0054711E">
        <w:rPr>
          <w:lang w:val="vi"/>
        </w:rPr>
        <w:t>vol. 2343, no. 1, p. 012026</w:t>
      </w:r>
    </w:p>
    <w:p w:rsidR="00854FCA" w:rsidRDefault="00854FCA" w:rsidP="0054711E">
      <w:pPr>
        <w:pStyle w:val="ListParagraph"/>
        <w:numPr>
          <w:ilvl w:val="0"/>
          <w:numId w:val="11"/>
        </w:numPr>
      </w:pPr>
      <w:r w:rsidRPr="00BF3945">
        <w:t>Y. Wang, W. Li</w:t>
      </w:r>
      <w:r w:rsidR="001D3B7D">
        <w:t xml:space="preserve">, H. Ma, W. Guo, H. Jiang. </w:t>
      </w:r>
      <w:r w:rsidRPr="00BF3945">
        <w:t>Adsorption of malachite green by calcined kaolin as adsorbent: optimization, ther</w:t>
      </w:r>
      <w:r w:rsidR="001D3B7D">
        <w:t xml:space="preserve">modynamic and kinetics studies, </w:t>
      </w:r>
      <w:r w:rsidRPr="00BF3945">
        <w:t xml:space="preserve"> </w:t>
      </w:r>
      <w:r w:rsidRPr="0054711E">
        <w:rPr>
          <w:i/>
          <w:iCs/>
        </w:rPr>
        <w:t>J. Phys.: Conf. Ser</w:t>
      </w:r>
      <w:r w:rsidR="001D3B7D" w:rsidRPr="0054711E">
        <w:rPr>
          <w:i/>
          <w:iCs/>
          <w:lang w:val="en-US"/>
        </w:rPr>
        <w:t xml:space="preserve">, </w:t>
      </w:r>
      <w:r w:rsidRPr="0054711E">
        <w:rPr>
          <w:b/>
        </w:rPr>
        <w:t>2022</w:t>
      </w:r>
      <w:r w:rsidRPr="00BF3945">
        <w:t xml:space="preserve">, </w:t>
      </w:r>
      <w:r w:rsidR="001D3B7D">
        <w:t>vol. 2343, no. 1, p. 012026</w:t>
      </w:r>
    </w:p>
    <w:p w:rsidR="00AF7EE9" w:rsidRPr="0054711E" w:rsidRDefault="001D3B7D" w:rsidP="0054711E">
      <w:pPr>
        <w:pStyle w:val="ListParagraph"/>
        <w:numPr>
          <w:ilvl w:val="0"/>
          <w:numId w:val="11"/>
        </w:numPr>
        <w:rPr>
          <w:lang w:val="en-US"/>
        </w:rPr>
      </w:pPr>
      <w:r>
        <w:t>C. T. Umeh</w:t>
      </w:r>
      <w:r w:rsidRPr="001D3B7D">
        <w:t xml:space="preserve">, </w:t>
      </w:r>
      <w:r w:rsidRPr="0054711E">
        <w:rPr>
          <w:rFonts w:ascii="Arial" w:hAnsi="Arial" w:cs="Arial"/>
          <w:color w:val="1F1F1F"/>
        </w:rPr>
        <w:t> </w:t>
      </w:r>
      <w:r>
        <w:rPr>
          <w:rStyle w:val="given-name"/>
        </w:rPr>
        <w:t>A</w:t>
      </w:r>
      <w:r w:rsidRPr="001D3B7D">
        <w:rPr>
          <w:rStyle w:val="given-name"/>
        </w:rPr>
        <w:t>.</w:t>
      </w:r>
      <w:r>
        <w:rPr>
          <w:rStyle w:val="given-name"/>
        </w:rPr>
        <w:t xml:space="preserve"> B.</w:t>
      </w:r>
      <w:r w:rsidRPr="0054711E">
        <w:rPr>
          <w:rStyle w:val="react-xocs-alternative-link"/>
          <w:rFonts w:eastAsiaTheme="majorEastAsia"/>
        </w:rPr>
        <w:t> </w:t>
      </w:r>
      <w:r>
        <w:rPr>
          <w:rStyle w:val="text"/>
        </w:rPr>
        <w:t>Akinyele</w:t>
      </w:r>
      <w:r w:rsidR="00AF7EE9" w:rsidRPr="00BF3945">
        <w:t xml:space="preserve">, </w:t>
      </w:r>
      <w:r>
        <w:t>N.</w:t>
      </w:r>
      <w:r w:rsidRPr="001D3B7D">
        <w:t xml:space="preserve"> H. Okoye, </w:t>
      </w:r>
      <w:r>
        <w:t>S</w:t>
      </w:r>
      <w:r w:rsidRPr="001D3B7D">
        <w:t>.</w:t>
      </w:r>
      <w:r>
        <w:t>S. Emmanuel</w:t>
      </w:r>
      <w:r w:rsidRPr="001D3B7D">
        <w:t>, K. O. Iwuozor</w:t>
      </w:r>
      <w:r>
        <w:t xml:space="preserve">, </w:t>
      </w:r>
      <w:r w:rsidRPr="001D3B7D">
        <w:t>I. P. Oyekunle</w:t>
      </w:r>
      <w:r>
        <w:t xml:space="preserve">, </w:t>
      </w:r>
      <w:r w:rsidRPr="0054711E">
        <w:rPr>
          <w:rFonts w:ascii="Arial" w:hAnsi="Arial" w:cs="Arial"/>
          <w:color w:val="1F1F1F"/>
        </w:rPr>
        <w:t> </w:t>
      </w:r>
      <w:r>
        <w:rPr>
          <w:rStyle w:val="given-name"/>
        </w:rPr>
        <w:t>J</w:t>
      </w:r>
      <w:r w:rsidRPr="001D3B7D">
        <w:rPr>
          <w:rStyle w:val="given-name"/>
        </w:rPr>
        <w:t xml:space="preserve">. </w:t>
      </w:r>
      <w:r>
        <w:rPr>
          <w:rStyle w:val="given-name"/>
        </w:rPr>
        <w:t>O.</w:t>
      </w:r>
      <w:r w:rsidRPr="0054711E">
        <w:rPr>
          <w:rStyle w:val="react-xocs-alternative-link"/>
          <w:rFonts w:eastAsiaTheme="majorEastAsia"/>
        </w:rPr>
        <w:t> </w:t>
      </w:r>
      <w:r>
        <w:rPr>
          <w:rStyle w:val="text"/>
        </w:rPr>
        <w:t>Ocheje</w:t>
      </w:r>
      <w:r w:rsidRPr="001D3B7D">
        <w:rPr>
          <w:rStyle w:val="text"/>
        </w:rPr>
        <w:t xml:space="preserve">, J.  </w:t>
      </w:r>
      <w:r w:rsidRPr="0054711E">
        <w:rPr>
          <w:rStyle w:val="text"/>
          <w:lang w:val="en-US"/>
        </w:rPr>
        <w:t>O. Ighalo</w:t>
      </w:r>
      <w:r w:rsidRPr="0054711E">
        <w:rPr>
          <w:rStyle w:val="react-xocs-alternative-link"/>
          <w:rFonts w:eastAsiaTheme="majorEastAsia"/>
        </w:rPr>
        <w:t xml:space="preserve">. </w:t>
      </w:r>
      <w:r w:rsidR="00AF7EE9" w:rsidRPr="00BF3945">
        <w:t xml:space="preserve">Recent approach in the application of nanoadsorbents for malachite green (MG) dye uptake from contaminated water: A critical review,” </w:t>
      </w:r>
      <w:r w:rsidR="00AF7EE9" w:rsidRPr="0054711E">
        <w:rPr>
          <w:i/>
          <w:iCs/>
        </w:rPr>
        <w:lastRenderedPageBreak/>
        <w:t>Environmental Nanotechnology, Monitoring &amp; Management</w:t>
      </w:r>
      <w:r w:rsidR="00AF7EE9" w:rsidRPr="00BF3945">
        <w:t>,</w:t>
      </w:r>
      <w:r w:rsidR="00B57C15">
        <w:t xml:space="preserve">  </w:t>
      </w:r>
      <w:r w:rsidR="00B57C15" w:rsidRPr="0054711E">
        <w:rPr>
          <w:b/>
        </w:rPr>
        <w:t>2023</w:t>
      </w:r>
      <w:r w:rsidR="00B57C15" w:rsidRPr="0054711E">
        <w:rPr>
          <w:lang w:val="en-US"/>
        </w:rPr>
        <w:t xml:space="preserve">, </w:t>
      </w:r>
      <w:r w:rsidR="00B57C15">
        <w:t>vol. 20, p. 100891</w:t>
      </w:r>
    </w:p>
    <w:p w:rsidR="00AF7EE9" w:rsidRDefault="00AF7EE9" w:rsidP="0054711E">
      <w:pPr>
        <w:pStyle w:val="ListParagraph"/>
        <w:numPr>
          <w:ilvl w:val="0"/>
          <w:numId w:val="11"/>
        </w:numPr>
      </w:pPr>
      <w:r w:rsidRPr="00BF3945">
        <w:t>D. T. Pham, N</w:t>
      </w:r>
      <w:r w:rsidR="00B57C15">
        <w:t xml:space="preserve">. Saelim, and W. Tiyaboonchai. </w:t>
      </w:r>
      <w:r w:rsidRPr="00BF3945">
        <w:t>Alpha mangostin loaded crosslinked silk fibroin-based nanopar</w:t>
      </w:r>
      <w:r w:rsidR="00B57C15">
        <w:t>ticles for cancer chemotherapy,</w:t>
      </w:r>
      <w:r w:rsidRPr="00BF3945">
        <w:t xml:space="preserve"> </w:t>
      </w:r>
      <w:r w:rsidRPr="0054711E">
        <w:rPr>
          <w:i/>
          <w:iCs/>
        </w:rPr>
        <w:t>Colloids and surfaces. B, Biointerfaces</w:t>
      </w:r>
      <w:r w:rsidRPr="0054711E">
        <w:rPr>
          <w:b/>
        </w:rPr>
        <w:t>, 2019</w:t>
      </w:r>
      <w:r w:rsidRPr="00BF3945">
        <w:t xml:space="preserve">, </w:t>
      </w:r>
      <w:r w:rsidR="00B57C15" w:rsidRPr="00BF3945">
        <w:t>vol. 181, pp. 705–713</w:t>
      </w:r>
    </w:p>
    <w:p w:rsidR="00B57C15" w:rsidRPr="0054711E" w:rsidRDefault="00D17B34" w:rsidP="0054711E">
      <w:pPr>
        <w:pStyle w:val="ListParagraph"/>
        <w:numPr>
          <w:ilvl w:val="0"/>
          <w:numId w:val="11"/>
        </w:numPr>
        <w:rPr>
          <w:lang w:val="en-US"/>
        </w:rPr>
      </w:pPr>
      <w:r w:rsidRPr="00BF3945">
        <w:t>D. T. Pham, N</w:t>
      </w:r>
      <w:r w:rsidR="00B57C15">
        <w:t xml:space="preserve">. Saelim, and W. Tiyaboonchai. </w:t>
      </w:r>
      <w:r w:rsidRPr="00BF3945">
        <w:t>Crosslinked fibroin nanoparticles using EDC or PEI for drug delivery: physicochemical propertie</w:t>
      </w:r>
      <w:r w:rsidR="00B57C15">
        <w:t>s, crystallinity and structure,</w:t>
      </w:r>
      <w:r w:rsidRPr="00BF3945">
        <w:t xml:space="preserve"> </w:t>
      </w:r>
      <w:r w:rsidRPr="0054711E">
        <w:rPr>
          <w:i/>
          <w:iCs/>
        </w:rPr>
        <w:t>Journal of Materials Science</w:t>
      </w:r>
      <w:r w:rsidRPr="00BF3945">
        <w:t xml:space="preserve">, </w:t>
      </w:r>
      <w:r w:rsidRPr="0054711E">
        <w:rPr>
          <w:b/>
        </w:rPr>
        <w:t>2018</w:t>
      </w:r>
      <w:r w:rsidRPr="00BF3945">
        <w:t xml:space="preserve">, </w:t>
      </w:r>
      <w:r w:rsidR="00B57C15" w:rsidRPr="00BF3945">
        <w:t>vol. 53</w:t>
      </w:r>
      <w:r w:rsidR="00B57C15" w:rsidRPr="0054711E">
        <w:rPr>
          <w:lang w:val="en-US"/>
        </w:rPr>
        <w:t>, 14087–14103</w:t>
      </w:r>
    </w:p>
    <w:p w:rsidR="00D17B34" w:rsidRDefault="0054711E" w:rsidP="0054711E">
      <w:pPr>
        <w:pStyle w:val="ListParagraph"/>
        <w:numPr>
          <w:ilvl w:val="0"/>
          <w:numId w:val="11"/>
        </w:numPr>
      </w:pPr>
      <w:r w:rsidRPr="0054711E">
        <w:rPr>
          <w:lang w:val="fr-FR"/>
        </w:rPr>
        <w:t xml:space="preserve"> </w:t>
      </w:r>
      <w:r w:rsidR="00D17B34" w:rsidRPr="00BF3945">
        <w:t>K. M. Koczkur, S. Mourdikoudis, L. Po</w:t>
      </w:r>
      <w:r w:rsidR="00B57C15">
        <w:t>lavarapu, and S. E. Skrabalak.</w:t>
      </w:r>
      <w:r w:rsidR="00B57C15" w:rsidRPr="00EB20B5">
        <w:t xml:space="preserve"> </w:t>
      </w:r>
      <w:r w:rsidR="00D17B34" w:rsidRPr="00BF3945">
        <w:t>Polyvinylpyrrolidone (P</w:t>
      </w:r>
      <w:r w:rsidR="00B57C15">
        <w:t>VP) in nanoparticle synthesis,</w:t>
      </w:r>
      <w:r w:rsidR="00B57C15" w:rsidRPr="00EB20B5">
        <w:t xml:space="preserve"> </w:t>
      </w:r>
      <w:r w:rsidR="00D17B34" w:rsidRPr="0054711E">
        <w:rPr>
          <w:i/>
          <w:iCs/>
        </w:rPr>
        <w:t>Dalton Trans</w:t>
      </w:r>
      <w:r w:rsidR="00B57C15" w:rsidRPr="0054711E">
        <w:rPr>
          <w:b/>
          <w:i/>
          <w:iCs/>
        </w:rPr>
        <w:t xml:space="preserve">, </w:t>
      </w:r>
      <w:r w:rsidR="00D17B34" w:rsidRPr="0054711E">
        <w:rPr>
          <w:b/>
        </w:rPr>
        <w:t xml:space="preserve"> 2015</w:t>
      </w:r>
      <w:r w:rsidR="00D17B34" w:rsidRPr="00BF3945">
        <w:t xml:space="preserve">, </w:t>
      </w:r>
      <w:r w:rsidR="00B57C15" w:rsidRPr="00BF3945">
        <w:t xml:space="preserve">vol. 44, </w:t>
      </w:r>
      <w:r w:rsidR="00B57C15">
        <w:t xml:space="preserve">41, </w:t>
      </w:r>
      <w:r w:rsidR="00B57C15" w:rsidRPr="00BF3945">
        <w:t>17883–17905,</w:t>
      </w:r>
    </w:p>
    <w:p w:rsidR="005022D6" w:rsidRDefault="005022D6" w:rsidP="0054711E">
      <w:pPr>
        <w:pStyle w:val="ListParagraph"/>
        <w:numPr>
          <w:ilvl w:val="0"/>
          <w:numId w:val="11"/>
        </w:numPr>
      </w:pPr>
      <w:r>
        <w:t>Ebtehal A. Al-Maliky</w:t>
      </w:r>
      <w:r w:rsidRPr="0054711E">
        <w:rPr>
          <w:lang w:val="en-US"/>
        </w:rPr>
        <w:t xml:space="preserve">, </w:t>
      </w:r>
      <w:r>
        <w:t>Hatem A. Gzar</w:t>
      </w:r>
      <w:r w:rsidRPr="0054711E">
        <w:rPr>
          <w:lang w:val="en-US"/>
        </w:rPr>
        <w:t xml:space="preserve">, </w:t>
      </w:r>
      <w:r>
        <w:t>Mohammed G. Al-Azawy</w:t>
      </w:r>
      <w:r w:rsidRPr="0054711E">
        <w:rPr>
          <w:lang w:val="en-US"/>
        </w:rPr>
        <w:t xml:space="preserve">, </w:t>
      </w:r>
      <w:r>
        <w:t>Determination of Point of Zero Charge (PZC) of Concrete Particles Adsorbents</w:t>
      </w:r>
      <w:r w:rsidRPr="0054711E">
        <w:rPr>
          <w:lang w:val="en-US"/>
        </w:rPr>
        <w:t xml:space="preserve">, </w:t>
      </w:r>
      <w:r w:rsidRPr="0054711E">
        <w:rPr>
          <w:i/>
        </w:rPr>
        <w:t>IOP Conference Series: Materials Science and Engineering</w:t>
      </w:r>
      <w:r w:rsidRPr="0054711E">
        <w:rPr>
          <w:lang w:val="en-US"/>
        </w:rPr>
        <w:t xml:space="preserve">, </w:t>
      </w:r>
      <w:r w:rsidRPr="0054711E">
        <w:rPr>
          <w:b/>
          <w:lang w:val="en-US"/>
        </w:rPr>
        <w:t>2021</w:t>
      </w:r>
      <w:r w:rsidRPr="0054711E">
        <w:rPr>
          <w:lang w:val="en-US"/>
        </w:rPr>
        <w:t xml:space="preserve">, </w:t>
      </w:r>
      <w:r>
        <w:t>1184 012004</w:t>
      </w:r>
    </w:p>
    <w:p w:rsidR="00D36645" w:rsidRPr="008773FD" w:rsidRDefault="003A77BC" w:rsidP="008773FD">
      <w:pPr>
        <w:pStyle w:val="ListParagraph"/>
        <w:numPr>
          <w:ilvl w:val="0"/>
          <w:numId w:val="11"/>
        </w:numPr>
        <w:rPr>
          <w:lang w:val="en-US"/>
        </w:rPr>
        <w:sectPr w:rsidR="00D36645" w:rsidRPr="008773FD" w:rsidSect="00D36645">
          <w:type w:val="continuous"/>
          <w:pgSz w:w="11907" w:h="16840" w:code="9"/>
          <w:pgMar w:top="1418" w:right="1418" w:bottom="1418" w:left="1701" w:header="0" w:footer="567" w:gutter="0"/>
          <w:cols w:num="2" w:space="720"/>
        </w:sectPr>
      </w:pPr>
      <w:r w:rsidRPr="0054711E">
        <w:rPr>
          <w:lang w:val="en-US"/>
        </w:rPr>
        <w:t xml:space="preserve">A. Safo, M. Werheid, C. Dosche, M. Oezaslan, The role of polyvinylpyrrolidone (PVP) as a capping and structure-directing agent in the formation of </w:t>
      </w:r>
      <w:r w:rsidR="00EB20B5" w:rsidRPr="0054711E">
        <w:rPr>
          <w:lang w:val="en-US"/>
        </w:rPr>
        <w:t xml:space="preserve"> </w:t>
      </w:r>
      <w:r w:rsidRPr="0054711E">
        <w:rPr>
          <w:lang w:val="en-US"/>
        </w:rPr>
        <w:t xml:space="preserve">Pt nanocubes, </w:t>
      </w:r>
      <w:r w:rsidRPr="0054711E">
        <w:rPr>
          <w:i/>
          <w:lang w:val="en-US"/>
        </w:rPr>
        <w:t>Nanoscale Adv</w:t>
      </w:r>
      <w:r w:rsidRPr="0054711E">
        <w:rPr>
          <w:lang w:val="en-US"/>
        </w:rPr>
        <w:t xml:space="preserve">, </w:t>
      </w:r>
      <w:r w:rsidRPr="0054711E">
        <w:rPr>
          <w:b/>
          <w:lang w:val="en-US"/>
        </w:rPr>
        <w:t>2019</w:t>
      </w:r>
      <w:r w:rsidRPr="0054711E">
        <w:rPr>
          <w:lang w:val="en-US"/>
        </w:rPr>
        <w:t xml:space="preserve">, 1, 3095-3106 </w:t>
      </w:r>
    </w:p>
    <w:p w:rsidR="001C72FC" w:rsidRPr="00854FCA" w:rsidRDefault="001C72FC" w:rsidP="00EB20B5">
      <w:pPr>
        <w:ind w:firstLine="0"/>
        <w:sectPr w:rsidR="001C72FC" w:rsidRPr="00854FCA" w:rsidSect="00685EE5">
          <w:type w:val="continuous"/>
          <w:pgSz w:w="11907" w:h="16840" w:code="9"/>
          <w:pgMar w:top="1418" w:right="1418" w:bottom="1418" w:left="1701" w:header="0" w:footer="567" w:gutter="0"/>
          <w:cols w:space="720"/>
        </w:sectPr>
      </w:pPr>
    </w:p>
    <w:p w:rsidR="00DB2EC2" w:rsidRPr="00DB2EC2" w:rsidRDefault="00DB2EC2" w:rsidP="008773FD">
      <w:pPr>
        <w:ind w:firstLine="0"/>
      </w:pPr>
    </w:p>
    <w:sectPr w:rsidR="00DB2EC2" w:rsidRPr="00DB2E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A83" w:rsidRDefault="00A52A83" w:rsidP="00BD0C55">
      <w:pPr>
        <w:spacing w:before="0" w:after="0" w:line="240" w:lineRule="auto"/>
      </w:pPr>
      <w:r>
        <w:separator/>
      </w:r>
    </w:p>
  </w:endnote>
  <w:endnote w:type="continuationSeparator" w:id="0">
    <w:p w:rsidR="00A52A83" w:rsidRDefault="00A52A83" w:rsidP="00BD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A83" w:rsidRDefault="00A52A83" w:rsidP="00BD0C55">
      <w:pPr>
        <w:spacing w:before="0" w:after="0" w:line="240" w:lineRule="auto"/>
      </w:pPr>
      <w:r>
        <w:separator/>
      </w:r>
    </w:p>
  </w:footnote>
  <w:footnote w:type="continuationSeparator" w:id="0">
    <w:p w:rsidR="00A52A83" w:rsidRDefault="00A52A83" w:rsidP="00BD0C5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4666E"/>
    <w:multiLevelType w:val="multilevel"/>
    <w:tmpl w:val="97422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7D327D"/>
    <w:multiLevelType w:val="multilevel"/>
    <w:tmpl w:val="B2A04E22"/>
    <w:lvl w:ilvl="0">
      <w:start w:val="1"/>
      <w:numFmt w:val="decimal"/>
      <w:pStyle w:val="Heading1"/>
      <w:suff w:val="space"/>
      <w:lvlText w:val="CHƯƠNG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08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44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DD098A"/>
    <w:multiLevelType w:val="multilevel"/>
    <w:tmpl w:val="3E74729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EE6792"/>
    <w:multiLevelType w:val="multilevel"/>
    <w:tmpl w:val="2C0063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746E0B"/>
    <w:multiLevelType w:val="multilevel"/>
    <w:tmpl w:val="C2361E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8C3A4F"/>
    <w:multiLevelType w:val="hybridMultilevel"/>
    <w:tmpl w:val="7BE8EE76"/>
    <w:lvl w:ilvl="0" w:tplc="6172E28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8A968DB"/>
    <w:multiLevelType w:val="hybridMultilevel"/>
    <w:tmpl w:val="8B0CC0DE"/>
    <w:lvl w:ilvl="0" w:tplc="56B26F66">
      <w:start w:val="1"/>
      <w:numFmt w:val="decimal"/>
      <w:lvlText w:val="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1FD5824"/>
    <w:multiLevelType w:val="hybridMultilevel"/>
    <w:tmpl w:val="A8F8C4A8"/>
    <w:lvl w:ilvl="0" w:tplc="FA70572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EF603DC"/>
    <w:multiLevelType w:val="hybridMultilevel"/>
    <w:tmpl w:val="A0B841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79F50DB"/>
    <w:multiLevelType w:val="multilevel"/>
    <w:tmpl w:val="2EC218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
  </w:num>
  <w:num w:numId="3">
    <w:abstractNumId w:val="1"/>
  </w:num>
  <w:num w:numId="4">
    <w:abstractNumId w:val="1"/>
  </w:num>
  <w:num w:numId="5">
    <w:abstractNumId w:val="0"/>
  </w:num>
  <w:num w:numId="6">
    <w:abstractNumId w:val="1"/>
  </w:num>
  <w:num w:numId="7">
    <w:abstractNumId w:val="3"/>
  </w:num>
  <w:num w:numId="8">
    <w:abstractNumId w:val="4"/>
  </w:num>
  <w:num w:numId="9">
    <w:abstractNumId w:val="9"/>
  </w:num>
  <w:num w:numId="10">
    <w:abstractNumId w:val="2"/>
  </w:num>
  <w:num w:numId="11">
    <w:abstractNumId w:val="6"/>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66"/>
    <w:rsid w:val="00025902"/>
    <w:rsid w:val="0004042B"/>
    <w:rsid w:val="00074BAF"/>
    <w:rsid w:val="00083627"/>
    <w:rsid w:val="000B056A"/>
    <w:rsid w:val="000D4549"/>
    <w:rsid w:val="000F2ABE"/>
    <w:rsid w:val="00145720"/>
    <w:rsid w:val="00154861"/>
    <w:rsid w:val="00187176"/>
    <w:rsid w:val="001C72FC"/>
    <w:rsid w:val="001D3B7D"/>
    <w:rsid w:val="00200D77"/>
    <w:rsid w:val="00291171"/>
    <w:rsid w:val="00295BF3"/>
    <w:rsid w:val="002A0ADD"/>
    <w:rsid w:val="002C1B7F"/>
    <w:rsid w:val="002C5665"/>
    <w:rsid w:val="002E6BA1"/>
    <w:rsid w:val="00323B07"/>
    <w:rsid w:val="00327075"/>
    <w:rsid w:val="00335B01"/>
    <w:rsid w:val="00372AAE"/>
    <w:rsid w:val="00376A61"/>
    <w:rsid w:val="0038590D"/>
    <w:rsid w:val="003A77BC"/>
    <w:rsid w:val="00424104"/>
    <w:rsid w:val="00424A63"/>
    <w:rsid w:val="004A2638"/>
    <w:rsid w:val="004A43DE"/>
    <w:rsid w:val="004B5566"/>
    <w:rsid w:val="004E0676"/>
    <w:rsid w:val="005022D6"/>
    <w:rsid w:val="005111B0"/>
    <w:rsid w:val="0054711E"/>
    <w:rsid w:val="00567E48"/>
    <w:rsid w:val="005B6839"/>
    <w:rsid w:val="006436DE"/>
    <w:rsid w:val="00643EC7"/>
    <w:rsid w:val="00654AE3"/>
    <w:rsid w:val="00685EE5"/>
    <w:rsid w:val="006B16AD"/>
    <w:rsid w:val="006F586E"/>
    <w:rsid w:val="00704B80"/>
    <w:rsid w:val="00723448"/>
    <w:rsid w:val="007804C2"/>
    <w:rsid w:val="007D43C5"/>
    <w:rsid w:val="007F701F"/>
    <w:rsid w:val="00801E4A"/>
    <w:rsid w:val="00811B0A"/>
    <w:rsid w:val="0081653F"/>
    <w:rsid w:val="00851CB2"/>
    <w:rsid w:val="00854FCA"/>
    <w:rsid w:val="008746DB"/>
    <w:rsid w:val="008773FD"/>
    <w:rsid w:val="008955F0"/>
    <w:rsid w:val="008A3EE3"/>
    <w:rsid w:val="008C7B9C"/>
    <w:rsid w:val="008F548A"/>
    <w:rsid w:val="00913324"/>
    <w:rsid w:val="00940684"/>
    <w:rsid w:val="009554DF"/>
    <w:rsid w:val="00970E58"/>
    <w:rsid w:val="009B1469"/>
    <w:rsid w:val="009B267B"/>
    <w:rsid w:val="009C5A23"/>
    <w:rsid w:val="009F5E53"/>
    <w:rsid w:val="009F7989"/>
    <w:rsid w:val="00A019E0"/>
    <w:rsid w:val="00A32482"/>
    <w:rsid w:val="00A3648E"/>
    <w:rsid w:val="00A52A83"/>
    <w:rsid w:val="00A80246"/>
    <w:rsid w:val="00AC34C4"/>
    <w:rsid w:val="00AD0074"/>
    <w:rsid w:val="00AF7EE9"/>
    <w:rsid w:val="00B0079B"/>
    <w:rsid w:val="00B239EE"/>
    <w:rsid w:val="00B57C15"/>
    <w:rsid w:val="00B84680"/>
    <w:rsid w:val="00BA1C91"/>
    <w:rsid w:val="00BC5D7A"/>
    <w:rsid w:val="00BD0C55"/>
    <w:rsid w:val="00BD4419"/>
    <w:rsid w:val="00BE2E1E"/>
    <w:rsid w:val="00BF2C7D"/>
    <w:rsid w:val="00BF4126"/>
    <w:rsid w:val="00C41B02"/>
    <w:rsid w:val="00C4318D"/>
    <w:rsid w:val="00C57487"/>
    <w:rsid w:val="00D17B34"/>
    <w:rsid w:val="00D36645"/>
    <w:rsid w:val="00D71136"/>
    <w:rsid w:val="00D774FD"/>
    <w:rsid w:val="00DB1332"/>
    <w:rsid w:val="00DB2EC2"/>
    <w:rsid w:val="00E33888"/>
    <w:rsid w:val="00E54816"/>
    <w:rsid w:val="00EB20B5"/>
    <w:rsid w:val="00EC6BAA"/>
    <w:rsid w:val="00EE7936"/>
    <w:rsid w:val="00F2326B"/>
    <w:rsid w:val="00F45795"/>
    <w:rsid w:val="00F83A42"/>
    <w:rsid w:val="00FB67C7"/>
    <w:rsid w:val="00FD3EAC"/>
    <w:rsid w:val="00FD4FEE"/>
    <w:rsid w:val="00FF1B55"/>
    <w:rsid w:val="00FF2C0C"/>
    <w:rsid w:val="00FF4D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8CB9"/>
  <w15:chartTrackingRefBased/>
  <w15:docId w15:val="{13E3B33F-8974-4359-B6B1-3C02D5EF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vi-VN" w:eastAsia="en-US" w:bidi="ar-SA"/>
      </w:rPr>
    </w:rPrDefault>
    <w:pPrDefault>
      <w:pPr>
        <w:spacing w:before="120" w:after="120" w:line="259"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EE5"/>
    <w:rPr>
      <w:sz w:val="22"/>
    </w:rPr>
  </w:style>
  <w:style w:type="paragraph" w:styleId="Heading1">
    <w:name w:val="heading 1"/>
    <w:basedOn w:val="Normal"/>
    <w:next w:val="Normal"/>
    <w:link w:val="Heading1Char"/>
    <w:uiPriority w:val="9"/>
    <w:qFormat/>
    <w:rsid w:val="00BE2E1E"/>
    <w:pPr>
      <w:keepNext/>
      <w:keepLines/>
      <w:pageBreakBefore/>
      <w:numPr>
        <w:numId w:val="4"/>
      </w:numPr>
      <w:jc w:val="center"/>
      <w:outlineLvl w:val="0"/>
    </w:pPr>
    <w:rPr>
      <w:rFonts w:eastAsiaTheme="majorEastAsia" w:cstheme="majorBidi"/>
      <w:b/>
      <w:color w:val="000000" w:themeColor="text1"/>
      <w:sz w:val="34"/>
      <w:szCs w:val="32"/>
    </w:rPr>
  </w:style>
  <w:style w:type="paragraph" w:styleId="Heading2">
    <w:name w:val="heading 2"/>
    <w:basedOn w:val="Normal"/>
    <w:next w:val="Normal"/>
    <w:link w:val="Heading2Char"/>
    <w:uiPriority w:val="9"/>
    <w:unhideWhenUsed/>
    <w:qFormat/>
    <w:rsid w:val="00685EE5"/>
    <w:pPr>
      <w:keepNext/>
      <w:keepLines/>
      <w:numPr>
        <w:ilvl w:val="1"/>
        <w:numId w:val="6"/>
      </w:numPr>
      <w:outlineLvl w:val="1"/>
    </w:pPr>
    <w:rPr>
      <w:rFonts w:eastAsiaTheme="majorEastAsia" w:cstheme="majorBidi"/>
      <w:b/>
      <w:color w:val="000000" w:themeColor="text1"/>
      <w:szCs w:val="22"/>
    </w:rPr>
  </w:style>
  <w:style w:type="paragraph" w:styleId="Heading3">
    <w:name w:val="heading 3"/>
    <w:basedOn w:val="Normal"/>
    <w:next w:val="Normal"/>
    <w:link w:val="Heading3Char"/>
    <w:uiPriority w:val="9"/>
    <w:unhideWhenUsed/>
    <w:qFormat/>
    <w:rsid w:val="00685EE5"/>
    <w:pPr>
      <w:keepNext/>
      <w:keepLines/>
      <w:numPr>
        <w:ilvl w:val="2"/>
        <w:numId w:val="6"/>
      </w:numPr>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BD4419"/>
    <w:pPr>
      <w:keepNext/>
      <w:keepLines/>
      <w:numPr>
        <w:ilvl w:val="3"/>
        <w:numId w:val="5"/>
      </w:numPr>
      <w:ind w:left="1440" w:hanging="360"/>
      <w:jc w:val="left"/>
      <w:outlineLvl w:val="3"/>
    </w:pPr>
    <w:rPr>
      <w:rFonts w:eastAsiaTheme="majorEastAsia" w:cstheme="majorBidi"/>
      <w:b/>
      <w:i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E1E"/>
    <w:rPr>
      <w:rFonts w:eastAsiaTheme="majorEastAsia" w:cstheme="majorBidi"/>
      <w:b/>
      <w:color w:val="000000" w:themeColor="text1"/>
      <w:sz w:val="34"/>
      <w:szCs w:val="32"/>
    </w:rPr>
  </w:style>
  <w:style w:type="character" w:customStyle="1" w:styleId="Heading2Char">
    <w:name w:val="Heading 2 Char"/>
    <w:basedOn w:val="DefaultParagraphFont"/>
    <w:link w:val="Heading2"/>
    <w:uiPriority w:val="9"/>
    <w:rsid w:val="00685EE5"/>
    <w:rPr>
      <w:rFonts w:eastAsiaTheme="majorEastAsia" w:cstheme="majorBidi"/>
      <w:b/>
      <w:color w:val="000000" w:themeColor="text1"/>
      <w:sz w:val="22"/>
      <w:szCs w:val="22"/>
    </w:rPr>
  </w:style>
  <w:style w:type="character" w:customStyle="1" w:styleId="Heading3Char">
    <w:name w:val="Heading 3 Char"/>
    <w:basedOn w:val="DefaultParagraphFont"/>
    <w:link w:val="Heading3"/>
    <w:uiPriority w:val="9"/>
    <w:rsid w:val="00685EE5"/>
    <w:rPr>
      <w:rFonts w:eastAsiaTheme="majorEastAsia" w:cstheme="majorBidi"/>
      <w:b/>
      <w:color w:val="000000" w:themeColor="text1"/>
      <w:sz w:val="22"/>
      <w:szCs w:val="24"/>
    </w:rPr>
  </w:style>
  <w:style w:type="character" w:customStyle="1" w:styleId="Heading4Char">
    <w:name w:val="Heading 4 Char"/>
    <w:basedOn w:val="DefaultParagraphFont"/>
    <w:link w:val="Heading4"/>
    <w:uiPriority w:val="9"/>
    <w:rsid w:val="00BD4419"/>
    <w:rPr>
      <w:rFonts w:eastAsiaTheme="majorEastAsia" w:cstheme="majorBidi"/>
      <w:b/>
      <w:iCs/>
      <w:color w:val="000000" w:themeColor="text1"/>
      <w:sz w:val="26"/>
    </w:rPr>
  </w:style>
  <w:style w:type="paragraph" w:styleId="ListParagraph">
    <w:name w:val="List Paragraph"/>
    <w:basedOn w:val="Normal"/>
    <w:uiPriority w:val="34"/>
    <w:qFormat/>
    <w:rsid w:val="00DB2EC2"/>
    <w:pPr>
      <w:ind w:left="720"/>
      <w:contextualSpacing/>
    </w:pPr>
  </w:style>
  <w:style w:type="paragraph" w:customStyle="1" w:styleId="onvn">
    <w:name w:val="đoạn văn"/>
    <w:qFormat/>
    <w:rsid w:val="00335B01"/>
    <w:pPr>
      <w:spacing w:after="0" w:line="288" w:lineRule="auto"/>
    </w:pPr>
    <w:rPr>
      <w:rFonts w:eastAsiaTheme="minorHAnsi" w:cstheme="minorBidi"/>
      <w:szCs w:val="22"/>
      <w:lang w:val="en-US"/>
    </w:rPr>
  </w:style>
  <w:style w:type="character" w:styleId="CommentReference">
    <w:name w:val="annotation reference"/>
    <w:basedOn w:val="DefaultParagraphFont"/>
    <w:uiPriority w:val="99"/>
    <w:semiHidden/>
    <w:unhideWhenUsed/>
    <w:rsid w:val="00335B01"/>
    <w:rPr>
      <w:sz w:val="16"/>
      <w:szCs w:val="16"/>
    </w:rPr>
  </w:style>
  <w:style w:type="paragraph" w:styleId="CommentText">
    <w:name w:val="annotation text"/>
    <w:basedOn w:val="Normal"/>
    <w:link w:val="CommentTextChar"/>
    <w:uiPriority w:val="99"/>
    <w:semiHidden/>
    <w:unhideWhenUsed/>
    <w:rsid w:val="00335B01"/>
    <w:pPr>
      <w:widowControl w:val="0"/>
      <w:autoSpaceDE w:val="0"/>
      <w:autoSpaceDN w:val="0"/>
      <w:spacing w:before="0" w:after="0" w:line="240" w:lineRule="auto"/>
      <w:ind w:firstLine="0"/>
      <w:jc w:val="left"/>
    </w:pPr>
    <w:rPr>
      <w:sz w:val="20"/>
      <w:szCs w:val="20"/>
      <w:lang w:val="vi"/>
    </w:rPr>
  </w:style>
  <w:style w:type="character" w:customStyle="1" w:styleId="CommentTextChar">
    <w:name w:val="Comment Text Char"/>
    <w:basedOn w:val="DefaultParagraphFont"/>
    <w:link w:val="CommentText"/>
    <w:uiPriority w:val="99"/>
    <w:semiHidden/>
    <w:rsid w:val="00335B01"/>
    <w:rPr>
      <w:sz w:val="20"/>
      <w:szCs w:val="20"/>
      <w:lang w:val="vi"/>
    </w:rPr>
  </w:style>
  <w:style w:type="paragraph" w:styleId="BalloonText">
    <w:name w:val="Balloon Text"/>
    <w:basedOn w:val="Normal"/>
    <w:link w:val="BalloonTextChar"/>
    <w:uiPriority w:val="99"/>
    <w:semiHidden/>
    <w:unhideWhenUsed/>
    <w:rsid w:val="00335B0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B01"/>
    <w:rPr>
      <w:rFonts w:ascii="Segoe UI" w:hAnsi="Segoe UI" w:cs="Segoe UI"/>
      <w:sz w:val="18"/>
      <w:szCs w:val="18"/>
    </w:rPr>
  </w:style>
  <w:style w:type="character" w:styleId="PlaceholderText">
    <w:name w:val="Placeholder Text"/>
    <w:basedOn w:val="DefaultParagraphFont"/>
    <w:uiPriority w:val="99"/>
    <w:semiHidden/>
    <w:rsid w:val="009B267B"/>
    <w:rPr>
      <w:color w:val="808080"/>
    </w:rPr>
  </w:style>
  <w:style w:type="table" w:styleId="TableGrid">
    <w:name w:val="Table Grid"/>
    <w:basedOn w:val="TableNormal"/>
    <w:uiPriority w:val="39"/>
    <w:rsid w:val="007F701F"/>
    <w:pPr>
      <w:widowControl w:val="0"/>
      <w:autoSpaceDE w:val="0"/>
      <w:autoSpaceDN w:val="0"/>
      <w:spacing w:before="0" w:after="0" w:line="240" w:lineRule="auto"/>
      <w:ind w:firstLine="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4">
    <w:name w:val="muc 4"/>
    <w:rsid w:val="00F45795"/>
    <w:pPr>
      <w:spacing w:before="0" w:after="0" w:line="288" w:lineRule="auto"/>
      <w:jc w:val="left"/>
    </w:pPr>
    <w:rPr>
      <w:rFonts w:eastAsiaTheme="minorHAnsi" w:cstheme="minorBidi"/>
      <w:b/>
      <w:i/>
      <w:noProof/>
      <w:szCs w:val="22"/>
    </w:rPr>
  </w:style>
  <w:style w:type="paragraph" w:styleId="BodyText">
    <w:name w:val="Body Text"/>
    <w:basedOn w:val="Normal"/>
    <w:link w:val="BodyTextChar"/>
    <w:uiPriority w:val="1"/>
    <w:qFormat/>
    <w:rsid w:val="009C5A23"/>
    <w:pPr>
      <w:widowControl w:val="0"/>
      <w:autoSpaceDE w:val="0"/>
      <w:autoSpaceDN w:val="0"/>
      <w:spacing w:before="0" w:after="0" w:line="240" w:lineRule="auto"/>
      <w:ind w:firstLine="0"/>
      <w:jc w:val="left"/>
    </w:pPr>
    <w:rPr>
      <w:sz w:val="26"/>
      <w:lang w:val="vi"/>
    </w:rPr>
  </w:style>
  <w:style w:type="character" w:customStyle="1" w:styleId="BodyTextChar">
    <w:name w:val="Body Text Char"/>
    <w:basedOn w:val="DefaultParagraphFont"/>
    <w:link w:val="BodyText"/>
    <w:uiPriority w:val="1"/>
    <w:rsid w:val="009C5A23"/>
    <w:rPr>
      <w:lang w:val="vi"/>
    </w:rPr>
  </w:style>
  <w:style w:type="paragraph" w:styleId="CommentSubject">
    <w:name w:val="annotation subject"/>
    <w:basedOn w:val="CommentText"/>
    <w:next w:val="CommentText"/>
    <w:link w:val="CommentSubjectChar"/>
    <w:uiPriority w:val="99"/>
    <w:semiHidden/>
    <w:unhideWhenUsed/>
    <w:rsid w:val="00BF4126"/>
    <w:pPr>
      <w:widowControl/>
      <w:autoSpaceDE/>
      <w:autoSpaceDN/>
      <w:spacing w:before="120" w:after="120"/>
      <w:ind w:firstLine="567"/>
      <w:jc w:val="both"/>
    </w:pPr>
    <w:rPr>
      <w:b/>
      <w:bCs/>
      <w:lang w:val="vi-VN"/>
    </w:rPr>
  </w:style>
  <w:style w:type="character" w:customStyle="1" w:styleId="CommentSubjectChar">
    <w:name w:val="Comment Subject Char"/>
    <w:basedOn w:val="CommentTextChar"/>
    <w:link w:val="CommentSubject"/>
    <w:uiPriority w:val="99"/>
    <w:semiHidden/>
    <w:rsid w:val="00BF4126"/>
    <w:rPr>
      <w:b/>
      <w:bCs/>
      <w:sz w:val="20"/>
      <w:szCs w:val="20"/>
      <w:lang w:val="vi"/>
    </w:rPr>
  </w:style>
  <w:style w:type="paragraph" w:styleId="Header">
    <w:name w:val="header"/>
    <w:basedOn w:val="Normal"/>
    <w:link w:val="HeaderChar"/>
    <w:uiPriority w:val="99"/>
    <w:unhideWhenUsed/>
    <w:rsid w:val="00BD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0C55"/>
    <w:rPr>
      <w:sz w:val="24"/>
    </w:rPr>
  </w:style>
  <w:style w:type="paragraph" w:styleId="Footer">
    <w:name w:val="footer"/>
    <w:basedOn w:val="Normal"/>
    <w:link w:val="FooterChar"/>
    <w:uiPriority w:val="99"/>
    <w:unhideWhenUsed/>
    <w:rsid w:val="00BD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0C55"/>
    <w:rPr>
      <w:sz w:val="24"/>
    </w:rPr>
  </w:style>
  <w:style w:type="paragraph" w:styleId="Title">
    <w:name w:val="Title"/>
    <w:basedOn w:val="Normal"/>
    <w:link w:val="TitleChar"/>
    <w:uiPriority w:val="1"/>
    <w:qFormat/>
    <w:rsid w:val="00FF2C0C"/>
    <w:pPr>
      <w:widowControl w:val="0"/>
      <w:autoSpaceDE w:val="0"/>
      <w:autoSpaceDN w:val="0"/>
      <w:spacing w:before="0" w:after="0" w:line="240" w:lineRule="auto"/>
      <w:ind w:left="610" w:right="415" w:hanging="3"/>
      <w:jc w:val="center"/>
    </w:pPr>
    <w:rPr>
      <w:b/>
      <w:bCs/>
      <w:sz w:val="32"/>
      <w:szCs w:val="32"/>
      <w:lang w:val="vi"/>
    </w:rPr>
  </w:style>
  <w:style w:type="character" w:customStyle="1" w:styleId="TitleChar">
    <w:name w:val="Title Char"/>
    <w:basedOn w:val="DefaultParagraphFont"/>
    <w:link w:val="Title"/>
    <w:uiPriority w:val="1"/>
    <w:rsid w:val="00FF2C0C"/>
    <w:rPr>
      <w:b/>
      <w:bCs/>
      <w:sz w:val="32"/>
      <w:szCs w:val="32"/>
      <w:lang w:val="vi"/>
    </w:rPr>
  </w:style>
  <w:style w:type="paragraph" w:styleId="Bibliography">
    <w:name w:val="Bibliography"/>
    <w:basedOn w:val="Normal"/>
    <w:next w:val="Normal"/>
    <w:uiPriority w:val="37"/>
    <w:unhideWhenUsed/>
    <w:rsid w:val="00854FCA"/>
    <w:pPr>
      <w:widowControl w:val="0"/>
      <w:autoSpaceDE w:val="0"/>
      <w:autoSpaceDN w:val="0"/>
      <w:spacing w:before="0" w:after="0" w:line="240" w:lineRule="auto"/>
      <w:ind w:firstLine="0"/>
      <w:jc w:val="left"/>
    </w:pPr>
    <w:rPr>
      <w:szCs w:val="22"/>
      <w:lang w:val="vi"/>
    </w:rPr>
  </w:style>
  <w:style w:type="character" w:customStyle="1" w:styleId="react-xocs-alternative-link">
    <w:name w:val="react-xocs-alternative-link"/>
    <w:basedOn w:val="DefaultParagraphFont"/>
    <w:rsid w:val="001D3B7D"/>
  </w:style>
  <w:style w:type="character" w:customStyle="1" w:styleId="given-name">
    <w:name w:val="given-name"/>
    <w:basedOn w:val="DefaultParagraphFont"/>
    <w:rsid w:val="001D3B7D"/>
  </w:style>
  <w:style w:type="character" w:customStyle="1" w:styleId="text">
    <w:name w:val="text"/>
    <w:basedOn w:val="DefaultParagraphFont"/>
    <w:rsid w:val="001D3B7D"/>
  </w:style>
  <w:style w:type="character" w:styleId="Hyperlink">
    <w:name w:val="Hyperlink"/>
    <w:basedOn w:val="DefaultParagraphFont"/>
    <w:uiPriority w:val="99"/>
    <w:unhideWhenUsed/>
    <w:rsid w:val="008773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232532">
      <w:bodyDiv w:val="1"/>
      <w:marLeft w:val="0"/>
      <w:marRight w:val="0"/>
      <w:marTop w:val="0"/>
      <w:marBottom w:val="0"/>
      <w:divBdr>
        <w:top w:val="none" w:sz="0" w:space="0" w:color="auto"/>
        <w:left w:val="none" w:sz="0" w:space="0" w:color="auto"/>
        <w:bottom w:val="none" w:sz="0" w:space="0" w:color="auto"/>
        <w:right w:val="none" w:sz="0" w:space="0" w:color="auto"/>
      </w:divBdr>
    </w:div>
    <w:div w:id="16897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dtoan@ctu.edu.vn"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t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tif"/><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1</Pages>
  <Words>4113</Words>
  <Characters>23449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57</cp:revision>
  <dcterms:created xsi:type="dcterms:W3CDTF">2025-04-23T02:36:00Z</dcterms:created>
  <dcterms:modified xsi:type="dcterms:W3CDTF">2025-04-30T08:18:00Z</dcterms:modified>
</cp:coreProperties>
</file>