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B883" w14:textId="77777777" w:rsidR="000961A3" w:rsidRPr="001D1BBB" w:rsidRDefault="000961A3" w:rsidP="001D1BBB">
      <w:pPr>
        <w:snapToGrid w:val="0"/>
        <w:spacing w:before="120" w:after="120" w:line="240" w:lineRule="auto"/>
        <w:jc w:val="both"/>
        <w:rPr>
          <w:rFonts w:ascii="Times New Roman" w:hAnsi="Times New Roman" w:cs="Times New Roman"/>
          <w:b/>
          <w:bCs/>
          <w:i/>
          <w:iCs/>
        </w:rPr>
      </w:pPr>
      <w:r w:rsidRPr="001D1BBB">
        <w:rPr>
          <w:rFonts w:ascii="Times New Roman" w:hAnsi="Times New Roman" w:cs="Times New Roman"/>
          <w:b/>
          <w:bCs/>
          <w:i/>
          <w:iCs/>
        </w:rPr>
        <w:t>Dear Editor and Reviewers,</w:t>
      </w:r>
    </w:p>
    <w:p w14:paraId="054F7A9F" w14:textId="77777777" w:rsidR="000961A3" w:rsidRPr="001D1BBB" w:rsidRDefault="000961A3" w:rsidP="001D1BBB">
      <w:pPr>
        <w:snapToGrid w:val="0"/>
        <w:spacing w:before="120" w:after="120" w:line="240" w:lineRule="auto"/>
        <w:jc w:val="both"/>
        <w:rPr>
          <w:rFonts w:ascii="Times New Roman" w:hAnsi="Times New Roman" w:cs="Times New Roman"/>
        </w:rPr>
      </w:pPr>
      <w:r w:rsidRPr="001D1BBB">
        <w:rPr>
          <w:rFonts w:ascii="Times New Roman" w:hAnsi="Times New Roman" w:cs="Times New Roman"/>
        </w:rPr>
        <w:t xml:space="preserve">First of all, we would like to express our thanks to the </w:t>
      </w:r>
      <w:r w:rsidRPr="001D1BBB">
        <w:rPr>
          <w:rFonts w:ascii="Times New Roman" w:hAnsi="Times New Roman" w:cs="Times New Roman"/>
          <w:color w:val="222222"/>
          <w:shd w:val="clear" w:color="auto" w:fill="FFFFFF"/>
        </w:rPr>
        <w:t>Editor</w:t>
      </w:r>
      <w:r w:rsidRPr="001D1BBB">
        <w:rPr>
          <w:rFonts w:ascii="Times New Roman" w:hAnsi="Times New Roman" w:cs="Times New Roman"/>
        </w:rPr>
        <w:t xml:space="preserve"> for considering our manuscript and Reviewers for taking time and effort to review the manuscript.  </w:t>
      </w:r>
    </w:p>
    <w:p w14:paraId="7C86C93D" w14:textId="61850BC4" w:rsidR="001160E5" w:rsidRPr="001D1BBB" w:rsidRDefault="000961A3" w:rsidP="001D1BBB">
      <w:pPr>
        <w:snapToGrid w:val="0"/>
        <w:spacing w:before="120" w:after="120" w:line="240" w:lineRule="auto"/>
        <w:jc w:val="both"/>
        <w:rPr>
          <w:rFonts w:ascii="Times New Roman" w:hAnsi="Times New Roman" w:cs="Times New Roman"/>
        </w:rPr>
      </w:pPr>
      <w:r w:rsidRPr="001D1BBB">
        <w:rPr>
          <w:rFonts w:ascii="Times New Roman" w:hAnsi="Times New Roman" w:cs="Times New Roman"/>
        </w:rPr>
        <w:t>We also sincerely appreciate all your valuable and constructive comments and suggestions that are very helpful in improving the manuscript. In the following part, we give our answers and actions point by point:</w:t>
      </w:r>
    </w:p>
    <w:p w14:paraId="2948759D" w14:textId="4C597AEC" w:rsidR="00B427D1" w:rsidRPr="001D1BBB" w:rsidRDefault="00B427D1" w:rsidP="001D1BBB">
      <w:pPr>
        <w:snapToGrid w:val="0"/>
        <w:spacing w:before="120" w:after="120" w:line="240" w:lineRule="auto"/>
        <w:jc w:val="both"/>
        <w:rPr>
          <w:rFonts w:ascii="Times New Roman" w:hAnsi="Times New Roman" w:cs="Times New Roman"/>
          <w:b/>
          <w:bCs/>
          <w:i/>
          <w:iCs/>
        </w:rPr>
      </w:pPr>
      <w:r w:rsidRPr="001D1BBB">
        <w:rPr>
          <w:rFonts w:ascii="Times New Roman" w:hAnsi="Times New Roman" w:cs="Times New Roman"/>
          <w:b/>
          <w:bCs/>
          <w:i/>
          <w:iCs/>
        </w:rPr>
        <w:t>Response to Reviewer 1</w:t>
      </w:r>
    </w:p>
    <w:p w14:paraId="4D83EEED" w14:textId="77777777" w:rsidR="001160E5" w:rsidRPr="001D1BBB" w:rsidRDefault="002F7018"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rPr>
        <w:t>1.</w:t>
      </w:r>
      <w:r w:rsidRPr="001D1BBB">
        <w:rPr>
          <w:rFonts w:ascii="Times New Roman" w:hAnsi="Times New Roman" w:cs="Times New Roman"/>
        </w:rPr>
        <w:tab/>
      </w:r>
      <w:r w:rsidRPr="001D1BBB">
        <w:rPr>
          <w:rFonts w:ascii="Times New Roman" w:hAnsi="Times New Roman" w:cs="Times New Roman"/>
          <w:color w:val="FF0000"/>
        </w:rPr>
        <w:t>These following paragraphs claim lack of reference</w:t>
      </w:r>
      <w:r w:rsidR="001160E5" w:rsidRPr="001D1BBB">
        <w:rPr>
          <w:rFonts w:ascii="Times New Roman" w:hAnsi="Times New Roman" w:cs="Times New Roman"/>
          <w:color w:val="FF0000"/>
        </w:rPr>
        <w:t>:</w:t>
      </w:r>
    </w:p>
    <w:p w14:paraId="32F3C78C" w14:textId="7EF5A1F8" w:rsidR="001160E5" w:rsidRPr="001D1BBB" w:rsidRDefault="001160E5" w:rsidP="001D1BBB">
      <w:pPr>
        <w:spacing w:before="120" w:after="120" w:line="240" w:lineRule="auto"/>
        <w:jc w:val="both"/>
        <w:rPr>
          <w:rFonts w:ascii="Times New Roman" w:hAnsi="Times New Roman" w:cs="Times New Roman"/>
        </w:rPr>
      </w:pPr>
      <w:r w:rsidRPr="001D1BBB">
        <w:rPr>
          <w:rFonts w:ascii="Times New Roman" w:hAnsi="Times New Roman" w:cs="Times New Roman"/>
          <w:color w:val="FF0000"/>
        </w:rPr>
        <w:t>-</w:t>
      </w:r>
      <w:r w:rsidR="002F7018" w:rsidRPr="001D1BBB">
        <w:rPr>
          <w:rFonts w:ascii="Times New Roman" w:hAnsi="Times New Roman" w:cs="Times New Roman"/>
          <w:color w:val="FF0000"/>
        </w:rPr>
        <w:t xml:space="preserve"> </w:t>
      </w:r>
      <w:r w:rsidR="002F7018" w:rsidRPr="001D1BBB">
        <w:rPr>
          <w:rFonts w:ascii="Times New Roman" w:hAnsi="Times New Roman" w:cs="Times New Roman"/>
        </w:rPr>
        <w:t>“ Volatile organic compounds  VOCs), such as isopropanol (IPA), are widely used in</w:t>
      </w:r>
      <w:r w:rsidR="000961A3" w:rsidRPr="001D1BBB">
        <w:rPr>
          <w:rFonts w:ascii="Times New Roman" w:hAnsi="Times New Roman" w:cs="Times New Roman"/>
        </w:rPr>
        <w:t xml:space="preserve"> </w:t>
      </w:r>
      <w:r w:rsidR="002F7018" w:rsidRPr="001D1BBB">
        <w:rPr>
          <w:rFonts w:ascii="Times New Roman" w:hAnsi="Times New Roman" w:cs="Times New Roman"/>
        </w:rPr>
        <w:t>industrial,</w:t>
      </w:r>
      <w:r w:rsidR="000961A3" w:rsidRPr="001D1BBB">
        <w:rPr>
          <w:rFonts w:ascii="Times New Roman" w:hAnsi="Times New Roman" w:cs="Times New Roman"/>
        </w:rPr>
        <w:t xml:space="preserve"> </w:t>
      </w:r>
      <w:r w:rsidR="002F7018" w:rsidRPr="001D1BBB">
        <w:rPr>
          <w:rFonts w:ascii="Times New Roman" w:hAnsi="Times New Roman" w:cs="Times New Roman"/>
        </w:rPr>
        <w:t>medical, and ousehold applications”,</w:t>
      </w:r>
    </w:p>
    <w:p w14:paraId="121FD12E" w14:textId="16CC9EF9" w:rsidR="001160E5" w:rsidRPr="001D1BBB" w:rsidRDefault="000961A3"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1160E5" w:rsidRPr="001D1BBB">
        <w:rPr>
          <w:rFonts w:ascii="Times New Roman" w:hAnsi="Times New Roman" w:cs="Times New Roman"/>
          <w:i/>
          <w:iCs/>
          <w:color w:val="FF0000"/>
        </w:rPr>
        <w:t>We agree that a reference is necessary to support this general statement. We have now cited relevant literature to back up the widespread use of VOCs such as isopropanol in various fields.</w:t>
      </w:r>
      <w:r w:rsidRPr="001D1BBB">
        <w:rPr>
          <w:rFonts w:ascii="Times New Roman" w:hAnsi="Times New Roman" w:cs="Times New Roman"/>
          <w:i/>
          <w:iCs/>
          <w:color w:val="FF0000"/>
        </w:rPr>
        <w:t xml:space="preserve"> (</w:t>
      </w:r>
      <w:r w:rsidR="009D615C" w:rsidRPr="001D1BBB">
        <w:rPr>
          <w:rFonts w:ascii="Times New Roman" w:hAnsi="Times New Roman" w:cs="Times New Roman"/>
          <w:i/>
          <w:iCs/>
          <w:color w:val="FF0000"/>
        </w:rPr>
        <w:t xml:space="preserve">Montero-Montoya R , López-Vargas R ,  Arellano-Aguilar O, </w:t>
      </w:r>
      <w:r w:rsidRPr="001D1BBB">
        <w:rPr>
          <w:rFonts w:ascii="Times New Roman" w:hAnsi="Times New Roman" w:cs="Times New Roman"/>
          <w:i/>
          <w:iCs/>
        </w:rPr>
        <w:t xml:space="preserve">Volatile Organic Compounds in Air: Sources, Distribution, Exposure and Associated Illnesses in Children, </w:t>
      </w:r>
      <w:hyperlink r:id="rId5" w:history="1">
        <w:r w:rsidRPr="001D1BBB">
          <w:rPr>
            <w:rStyle w:val="Hyperlink"/>
            <w:rFonts w:ascii="Times New Roman" w:hAnsi="Times New Roman" w:cs="Times New Roman"/>
            <w:i/>
            <w:iCs/>
          </w:rPr>
          <w:t>https://doi.org/10.29024/aogh.910</w:t>
        </w:r>
      </w:hyperlink>
      <w:r w:rsidR="009D615C" w:rsidRPr="001D1BBB">
        <w:rPr>
          <w:rFonts w:ascii="Times New Roman" w:hAnsi="Times New Roman" w:cs="Times New Roman"/>
          <w:i/>
          <w:iCs/>
        </w:rPr>
        <w:t>)</w:t>
      </w:r>
    </w:p>
    <w:p w14:paraId="101C9C53" w14:textId="5C28982E" w:rsidR="001160E5" w:rsidRPr="001D1BBB" w:rsidRDefault="001160E5" w:rsidP="001D1BBB">
      <w:pPr>
        <w:spacing w:before="120" w:after="120" w:line="240" w:lineRule="auto"/>
        <w:jc w:val="both"/>
        <w:rPr>
          <w:rFonts w:ascii="Times New Roman" w:hAnsi="Times New Roman" w:cs="Times New Roman"/>
        </w:rPr>
      </w:pPr>
      <w:r w:rsidRPr="001D1BBB">
        <w:rPr>
          <w:rFonts w:ascii="Times New Roman" w:hAnsi="Times New Roman" w:cs="Times New Roman"/>
        </w:rPr>
        <w:t xml:space="preserve">- “ Zinc oxide (ZnO) is widely used in gas sensors due to its unique electronic properties and strong interaction with gas molecules”, </w:t>
      </w:r>
    </w:p>
    <w:p w14:paraId="2EFA37E3" w14:textId="181655A1" w:rsidR="001160E5" w:rsidRPr="001D1BBB" w:rsidRDefault="009D615C" w:rsidP="001D1BBB">
      <w:pPr>
        <w:spacing w:before="120" w:after="120" w:line="240" w:lineRule="auto"/>
        <w:ind w:firstLine="567"/>
        <w:jc w:val="both"/>
        <w:rPr>
          <w:rFonts w:ascii="Times New Roman" w:hAnsi="Times New Roman" w:cs="Times New Roman"/>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1160E5" w:rsidRPr="001D1BBB">
        <w:rPr>
          <w:rFonts w:ascii="Times New Roman" w:hAnsi="Times New Roman" w:cs="Times New Roman"/>
          <w:i/>
          <w:iCs/>
          <w:color w:val="FF0000"/>
        </w:rPr>
        <w:t xml:space="preserve">We acknowledge the need to support this claim with proper references. ZnO is a well-known material in gas sensing, and numerous studies have demonstrated its favorable properties. We have now added citations </w:t>
      </w:r>
      <w:r w:rsidR="001160E5" w:rsidRPr="001D1BBB">
        <w:rPr>
          <w:rFonts w:ascii="Times New Roman" w:hAnsi="Times New Roman" w:cs="Times New Roman"/>
          <w:color w:val="FF0000"/>
        </w:rPr>
        <w:t>accordingly.</w:t>
      </w:r>
      <w:r w:rsidRPr="001D1BBB">
        <w:rPr>
          <w:rFonts w:ascii="Times New Roman" w:hAnsi="Times New Roman" w:cs="Times New Roman"/>
          <w:color w:val="FF0000"/>
        </w:rPr>
        <w:t xml:space="preserve"> ( </w:t>
      </w:r>
      <w:r w:rsidR="001160E5" w:rsidRPr="001D1BBB">
        <w:rPr>
          <w:rFonts w:ascii="Times New Roman" w:hAnsi="Times New Roman" w:cs="Times New Roman"/>
          <w:color w:val="FF0000"/>
        </w:rPr>
        <w:t>C. Wang et al., "Metal oxide gas sensors: sensitivity and influencing factors", Sensors, 2010</w:t>
      </w:r>
      <w:r w:rsidRPr="001D1BBB">
        <w:rPr>
          <w:rFonts w:ascii="Times New Roman" w:hAnsi="Times New Roman" w:cs="Times New Roman"/>
          <w:color w:val="FF0000"/>
        </w:rPr>
        <w:t xml:space="preserve">, </w:t>
      </w:r>
      <w:hyperlink r:id="rId6" w:history="1">
        <w:r w:rsidRPr="001D1BBB">
          <w:rPr>
            <w:rStyle w:val="Hyperlink"/>
            <w:rFonts w:ascii="Times New Roman" w:hAnsi="Times New Roman" w:cs="Times New Roman"/>
            <w:color w:val="FF0000"/>
          </w:rPr>
          <w:t>https://doi.org/10.3390/s100302088</w:t>
        </w:r>
      </w:hyperlink>
      <w:r w:rsidRPr="001D1BBB">
        <w:rPr>
          <w:rFonts w:ascii="Times New Roman" w:hAnsi="Times New Roman" w:cs="Times New Roman"/>
          <w:color w:val="FF0000"/>
        </w:rPr>
        <w:t xml:space="preserve">; </w:t>
      </w:r>
      <w:r w:rsidR="001160E5" w:rsidRPr="001D1BBB">
        <w:rPr>
          <w:rFonts w:ascii="Times New Roman" w:hAnsi="Times New Roman" w:cs="Times New Roman"/>
          <w:color w:val="FF0000"/>
        </w:rPr>
        <w:t>N. Yamazoe and Y. Shimizu, "Basic aspects of semiconductor gas sensors", Sensors and Actuators B, 19</w:t>
      </w:r>
      <w:r w:rsidRPr="001D1BBB">
        <w:rPr>
          <w:rFonts w:ascii="Times New Roman" w:hAnsi="Times New Roman" w:cs="Times New Roman"/>
          <w:color w:val="FF0000"/>
        </w:rPr>
        <w:t xml:space="preserve">99, </w:t>
      </w:r>
      <w:hyperlink r:id="rId7" w:history="1">
        <w:r w:rsidRPr="001D1BBB">
          <w:rPr>
            <w:rStyle w:val="Hyperlink"/>
            <w:rFonts w:ascii="Times New Roman" w:hAnsi="Times New Roman" w:cs="Times New Roman"/>
            <w:color w:val="FF0000"/>
          </w:rPr>
          <w:t>https://doi.org/10.1557/S0883769400052465</w:t>
        </w:r>
      </w:hyperlink>
      <w:r w:rsidRPr="001D1BBB">
        <w:rPr>
          <w:rFonts w:ascii="Times New Roman" w:hAnsi="Times New Roman" w:cs="Times New Roman"/>
          <w:color w:val="FF0000"/>
        </w:rPr>
        <w:t>)</w:t>
      </w:r>
    </w:p>
    <w:p w14:paraId="1ACF2497" w14:textId="1D767B6E" w:rsidR="001160E5" w:rsidRPr="001D1BBB" w:rsidRDefault="001160E5" w:rsidP="001D1BBB">
      <w:pPr>
        <w:spacing w:before="120" w:after="120" w:line="240" w:lineRule="auto"/>
        <w:jc w:val="both"/>
        <w:rPr>
          <w:rFonts w:ascii="Times New Roman" w:hAnsi="Times New Roman" w:cs="Times New Roman"/>
        </w:rPr>
      </w:pPr>
      <w:r w:rsidRPr="001D1BBB">
        <w:rPr>
          <w:rFonts w:ascii="Times New Roman" w:hAnsi="Times New Roman" w:cs="Times New Roman"/>
        </w:rPr>
        <w:t>-“UV irradiation is an effective approach to lower the operating temperature of ZnO gas sensors by generating photo-generated electron-hole pairs that participate in gas sensing reactions”.</w:t>
      </w:r>
    </w:p>
    <w:p w14:paraId="29FFFDB4" w14:textId="0414752A" w:rsidR="001160E5" w:rsidRPr="001D1BBB" w:rsidRDefault="009D615C"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1160E5" w:rsidRPr="001D1BBB">
        <w:rPr>
          <w:rFonts w:ascii="Times New Roman" w:hAnsi="Times New Roman" w:cs="Times New Roman"/>
          <w:i/>
          <w:iCs/>
          <w:color w:val="FF0000"/>
        </w:rPr>
        <w:t>Thank you for pointing this out. We have now included references to prior studies that demonstrate the effect of UV activation on ZnO gas sensors and its mechanism.</w:t>
      </w:r>
      <w:r w:rsidRPr="001D1BBB">
        <w:rPr>
          <w:rFonts w:ascii="Times New Roman" w:hAnsi="Times New Roman" w:cs="Times New Roman"/>
          <w:i/>
          <w:iCs/>
          <w:color w:val="FF0000"/>
        </w:rPr>
        <w:t xml:space="preserve"> (Vijendra Singh Bhati , Mirabbos Hojamberdiev, Mahesh Kumar, Enhanced sensing performance of ZnO nanostructures-based gas sensors: A review,</w:t>
      </w:r>
      <w:r w:rsidR="00427ADF" w:rsidRPr="001D1BBB">
        <w:rPr>
          <w:rFonts w:ascii="Times New Roman" w:hAnsi="Times New Roman" w:cs="Times New Roman"/>
          <w:i/>
          <w:iCs/>
          <w:color w:val="FF0000"/>
        </w:rPr>
        <w:t xml:space="preserve"> </w:t>
      </w:r>
      <w:hyperlink r:id="rId8" w:tooltip="Go to Energy Reports on ScienceDirect" w:history="1">
        <w:r w:rsidR="00427ADF" w:rsidRPr="001D1BBB">
          <w:rPr>
            <w:rFonts w:ascii="Times New Roman" w:hAnsi="Times New Roman" w:cs="Times New Roman"/>
            <w:color w:val="FF0000"/>
          </w:rPr>
          <w:t>Energy Reports</w:t>
        </w:r>
      </w:hyperlink>
      <w:r w:rsidR="00427ADF" w:rsidRPr="001D1BBB">
        <w:rPr>
          <w:rFonts w:ascii="Times New Roman" w:hAnsi="Times New Roman" w:cs="Times New Roman"/>
          <w:i/>
          <w:iCs/>
          <w:color w:val="FF0000"/>
        </w:rPr>
        <w:t>,</w:t>
      </w:r>
      <w:r w:rsidRPr="001D1BBB">
        <w:rPr>
          <w:rFonts w:ascii="Times New Roman" w:hAnsi="Times New Roman" w:cs="Times New Roman"/>
          <w:i/>
          <w:iCs/>
          <w:color w:val="FF0000"/>
        </w:rPr>
        <w:t xml:space="preserve"> </w:t>
      </w:r>
      <w:hyperlink r:id="rId9" w:history="1">
        <w:r w:rsidR="00427ADF" w:rsidRPr="001D1BBB">
          <w:rPr>
            <w:rStyle w:val="Hyperlink"/>
            <w:rFonts w:ascii="Times New Roman" w:hAnsi="Times New Roman" w:cs="Times New Roman"/>
            <w:i/>
            <w:iCs/>
          </w:rPr>
          <w:t>https://doi.org/10.1016/j.egyr.2019.08.070</w:t>
        </w:r>
      </w:hyperlink>
      <w:r w:rsidRPr="001D1BBB">
        <w:rPr>
          <w:rFonts w:ascii="Times New Roman" w:hAnsi="Times New Roman" w:cs="Times New Roman"/>
          <w:i/>
          <w:iCs/>
          <w:color w:val="FF0000"/>
        </w:rPr>
        <w:t>)</w:t>
      </w:r>
    </w:p>
    <w:p w14:paraId="36EDA7B7"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2.</w:t>
      </w:r>
      <w:r w:rsidRPr="001D1BBB">
        <w:rPr>
          <w:rFonts w:ascii="Times New Roman" w:hAnsi="Times New Roman" w:cs="Times New Roman"/>
        </w:rPr>
        <w:tab/>
        <w:t>What is  the wavelength of CuKα of the XRD system?</w:t>
      </w:r>
    </w:p>
    <w:p w14:paraId="238081EF" w14:textId="5C7C98E1" w:rsidR="006652A8" w:rsidRPr="001D1BBB" w:rsidRDefault="00427ADF"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 xml:space="preserve">In our X-ray diffraction (XRD) measurements, we used Cu-Kα radiation with a wavelength of </w:t>
      </w:r>
      <w:bookmarkStart w:id="0" w:name="_Hlk195082963"/>
      <w:r w:rsidR="006652A8" w:rsidRPr="001D1BBB">
        <w:rPr>
          <w:rFonts w:ascii="Times New Roman" w:hAnsi="Times New Roman" w:cs="Times New Roman"/>
          <w:i/>
          <w:iCs/>
          <w:color w:val="FF0000"/>
        </w:rPr>
        <w:t>λ = 1.5406 Å</w:t>
      </w:r>
      <w:bookmarkEnd w:id="0"/>
      <w:r w:rsidR="006652A8" w:rsidRPr="001D1BBB">
        <w:rPr>
          <w:rFonts w:ascii="Times New Roman" w:hAnsi="Times New Roman" w:cs="Times New Roman"/>
          <w:i/>
          <w:iCs/>
          <w:color w:val="FF0000"/>
        </w:rPr>
        <w:t>. This is a commonly used radiation source in XRD analysis due to its suitable energy and penetration depth for a wide range of materials. The value of 1.5406 Å corresponds specifically to the Cu-Kα₁ line, which dominates the Cu-Kα doublet.</w:t>
      </w:r>
    </w:p>
    <w:p w14:paraId="5647EB2D"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3.</w:t>
      </w:r>
      <w:r w:rsidRPr="001D1BBB">
        <w:rPr>
          <w:rFonts w:ascii="Times New Roman" w:hAnsi="Times New Roman" w:cs="Times New Roman"/>
        </w:rPr>
        <w:tab/>
        <w:t>Following Fig. 6a, Why the response of ZnO 100 at 225oC under dark higher than that at the same condition under UV irradiation? It is supposed to be improved due to the support of photo-generated charge carriers from UV illumination, isn’t it?</w:t>
      </w:r>
    </w:p>
    <w:p w14:paraId="521AD2CF" w14:textId="2A200F3E" w:rsidR="006652A8" w:rsidRPr="001D1BBB" w:rsidRDefault="006652A8"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We thank the reviewer for this insightful comment. Indeed, UV illumination (365 nm) typically enhances the gas sensing performance of ZnO by generating photo-induced electron–</w:t>
      </w:r>
      <w:r w:rsidRPr="001D1BBB">
        <w:rPr>
          <w:rFonts w:ascii="Times New Roman" w:hAnsi="Times New Roman" w:cs="Times New Roman"/>
          <w:i/>
          <w:iCs/>
          <w:color w:val="FF0000"/>
        </w:rPr>
        <w:lastRenderedPageBreak/>
        <w:t>hole pairs, which facilitate surface reactions. However, in our case, the response at 225 °C under dark conditions was observed to be higher than under UV illumination.</w:t>
      </w:r>
      <w:r w:rsidR="00427ADF" w:rsidRPr="001D1BBB">
        <w:rPr>
          <w:rFonts w:ascii="Times New Roman" w:hAnsi="Times New Roman" w:cs="Times New Roman"/>
          <w:i/>
          <w:iCs/>
          <w:color w:val="FF0000"/>
        </w:rPr>
        <w:t xml:space="preserve"> </w:t>
      </w:r>
      <w:r w:rsidRPr="001D1BBB">
        <w:rPr>
          <w:rFonts w:ascii="Times New Roman" w:hAnsi="Times New Roman" w:cs="Times New Roman"/>
          <w:i/>
          <w:iCs/>
          <w:color w:val="FF0000"/>
        </w:rPr>
        <w:t>This behavior can be explained as follows:</w:t>
      </w:r>
      <w:r w:rsidR="00427ADF" w:rsidRPr="001D1BBB">
        <w:rPr>
          <w:rFonts w:ascii="Times New Roman" w:hAnsi="Times New Roman" w:cs="Times New Roman"/>
          <w:i/>
          <w:iCs/>
          <w:color w:val="FF0000"/>
        </w:rPr>
        <w:t xml:space="preserve"> (1) </w:t>
      </w:r>
      <w:r w:rsidRPr="001D1BBB">
        <w:rPr>
          <w:rFonts w:ascii="Times New Roman" w:hAnsi="Times New Roman" w:cs="Times New Roman"/>
          <w:b/>
          <w:bCs/>
          <w:i/>
          <w:iCs/>
          <w:color w:val="FF0000"/>
        </w:rPr>
        <w:t>Thermal dominance at high temperature:</w:t>
      </w:r>
      <w:r w:rsidRPr="001D1BBB">
        <w:rPr>
          <w:rFonts w:ascii="Times New Roman" w:hAnsi="Times New Roman" w:cs="Times New Roman"/>
          <w:i/>
          <w:iCs/>
          <w:color w:val="FF0000"/>
        </w:rPr>
        <w:t xml:space="preserve"> At 225 °C, thermally activated surface reactions are already highly efficient. The additional photoactivation under UV may provide minimal enhancement or may even lead to faster recombination of photo-generated carriers, thus limiting its effectiveness.</w:t>
      </w:r>
      <w:r w:rsidR="00427ADF" w:rsidRPr="001D1BBB">
        <w:rPr>
          <w:rFonts w:ascii="Times New Roman" w:hAnsi="Times New Roman" w:cs="Times New Roman"/>
          <w:i/>
          <w:iCs/>
          <w:color w:val="FF0000"/>
        </w:rPr>
        <w:t xml:space="preserve"> (2) </w:t>
      </w:r>
      <w:r w:rsidRPr="001D1BBB">
        <w:rPr>
          <w:rFonts w:ascii="Times New Roman" w:hAnsi="Times New Roman" w:cs="Times New Roman"/>
          <w:b/>
          <w:bCs/>
          <w:i/>
          <w:iCs/>
          <w:color w:val="FF0000"/>
        </w:rPr>
        <w:t>UV-induced desorption:</w:t>
      </w:r>
      <w:r w:rsidRPr="001D1BBB">
        <w:rPr>
          <w:rFonts w:ascii="Times New Roman" w:hAnsi="Times New Roman" w:cs="Times New Roman"/>
          <w:i/>
          <w:iCs/>
          <w:color w:val="FF0000"/>
        </w:rPr>
        <w:t xml:space="preserve"> UV illumination may cause desorption of adsorbed oxygen species or target gas molecules (toluene), reducing the surface density of reactive species and leading to a lower sensor response.</w:t>
      </w:r>
      <w:r w:rsidR="00427ADF" w:rsidRPr="001D1BBB">
        <w:rPr>
          <w:rFonts w:ascii="Times New Roman" w:hAnsi="Times New Roman" w:cs="Times New Roman"/>
          <w:i/>
          <w:iCs/>
          <w:color w:val="FF0000"/>
        </w:rPr>
        <w:t xml:space="preserve"> (3) </w:t>
      </w:r>
      <w:r w:rsidRPr="001D1BBB">
        <w:rPr>
          <w:rFonts w:ascii="Times New Roman" w:hAnsi="Times New Roman" w:cs="Times New Roman"/>
          <w:b/>
          <w:bCs/>
          <w:i/>
          <w:iCs/>
          <w:color w:val="FF0000"/>
        </w:rPr>
        <w:t>Modified surface reaction dynamics:</w:t>
      </w:r>
      <w:r w:rsidRPr="001D1BBB">
        <w:rPr>
          <w:rFonts w:ascii="Times New Roman" w:hAnsi="Times New Roman" w:cs="Times New Roman"/>
          <w:i/>
          <w:iCs/>
          <w:color w:val="FF0000"/>
        </w:rPr>
        <w:t xml:space="preserve"> At elevated temperatures, UV light can alter the reaction pathway of VOCs such as toluene, possibly forming intermediate species that do not contribute effectively to charge transfer and resistance change.</w:t>
      </w:r>
      <w:r w:rsidR="00427ADF" w:rsidRPr="001D1BBB">
        <w:rPr>
          <w:rFonts w:ascii="Times New Roman" w:hAnsi="Times New Roman" w:cs="Times New Roman"/>
          <w:i/>
          <w:iCs/>
          <w:color w:val="FF0000"/>
        </w:rPr>
        <w:t xml:space="preserve"> </w:t>
      </w:r>
      <w:r w:rsidRPr="001D1BBB">
        <w:rPr>
          <w:rFonts w:ascii="Times New Roman" w:hAnsi="Times New Roman" w:cs="Times New Roman"/>
          <w:i/>
          <w:iCs/>
          <w:color w:val="FF0000"/>
        </w:rPr>
        <w:t>In summary, the reduced response under UV at 225 °C can be attributed to the interplay between thermal activation and UV-induced effects, where thermal effects dominate and, in some cases, UV may even counteract the sensing response.</w:t>
      </w:r>
    </w:p>
    <w:p w14:paraId="44732392" w14:textId="474953DC" w:rsidR="006652A8" w:rsidRPr="001D1BBB" w:rsidRDefault="006652A8"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t>We have clarified this point in the revised manuscript.</w:t>
      </w:r>
    </w:p>
    <w:p w14:paraId="2015F311"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4.</w:t>
      </w:r>
      <w:r w:rsidRPr="001D1BBB">
        <w:rPr>
          <w:rFonts w:ascii="Times New Roman" w:hAnsi="Times New Roman" w:cs="Times New Roman"/>
        </w:rPr>
        <w:tab/>
        <w:t>Please provide a more detailed explanation of why “a balance is achieved between surface reaction sites and efficient charge transport” will lead to higher response? And why “increased bulk volume promotes higher charge carrier recombination”. References need to be addressed here.</w:t>
      </w:r>
    </w:p>
    <w:p w14:paraId="67B66F50" w14:textId="5671B34D" w:rsidR="006652A8" w:rsidRPr="001D1BBB" w:rsidRDefault="006652A8" w:rsidP="001D1BBB">
      <w:pPr>
        <w:spacing w:before="120" w:after="120" w:line="240" w:lineRule="auto"/>
        <w:ind w:firstLine="360"/>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We appreciate the reviewer’s valuable comment. We provide a more detailed explanation below.</w:t>
      </w:r>
    </w:p>
    <w:p w14:paraId="1D96772E" w14:textId="6F390C06" w:rsidR="001B1951" w:rsidRPr="001D1BBB" w:rsidRDefault="00427ADF"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b/>
          <w:bCs/>
          <w:i/>
          <w:iCs/>
          <w:color w:val="FF0000"/>
        </w:rPr>
        <w:t xml:space="preserve">1. </w:t>
      </w:r>
      <w:r w:rsidR="006652A8" w:rsidRPr="001D1BBB">
        <w:rPr>
          <w:rFonts w:ascii="Times New Roman" w:hAnsi="Times New Roman" w:cs="Times New Roman"/>
          <w:b/>
          <w:bCs/>
          <w:i/>
          <w:iCs/>
          <w:color w:val="FF0000"/>
        </w:rPr>
        <w:t>Balance between surface reaction sites and charge transport:</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Gas sensing in metal oxide semiconductors like ZnO relies on two key factors:</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(i) the availability of surface-active sites for gas adsorption and reaction, and</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(ii) the efficient transport of charge carriers generated by these reactions to the electrodes.</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A nanostructured sensing layer with an optimal morphology (e.g., porosity, thickness, crystallinity) can achieve a balance between these two aspects. If the layer is too thin or has insufficient surface area, gas adsorption is limited. Conversely, if the layer is too thick or highly porous, although it provides more surface area, the transport of electrons or holes across the sensing layer becomes inefficient due to increased scattering or trap states.</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 xml:space="preserve">Therefore, the best sensing response is achieved when there is </w:t>
      </w:r>
      <w:r w:rsidR="006652A8" w:rsidRPr="001D1BBB">
        <w:rPr>
          <w:rFonts w:ascii="Times New Roman" w:hAnsi="Times New Roman" w:cs="Times New Roman"/>
          <w:b/>
          <w:bCs/>
          <w:i/>
          <w:iCs/>
          <w:color w:val="FF0000"/>
        </w:rPr>
        <w:t>a sufficient number of reactive sites without compromising charge transport</w:t>
      </w:r>
      <w:r w:rsidR="006652A8" w:rsidRPr="001D1BBB">
        <w:rPr>
          <w:rFonts w:ascii="Times New Roman" w:hAnsi="Times New Roman" w:cs="Times New Roman"/>
          <w:i/>
          <w:iCs/>
          <w:color w:val="FF0000"/>
        </w:rPr>
        <w:t>, minimizing recombination losses and ensuring that charge modulation reaches the electrode interface effectively.</w:t>
      </w:r>
      <w:r w:rsidR="001B1951" w:rsidRPr="001D1BBB">
        <w:rPr>
          <w:rFonts w:ascii="Times New Roman" w:hAnsi="Times New Roman" w:cs="Times New Roman"/>
          <w:i/>
          <w:iCs/>
          <w:color w:val="FF0000"/>
        </w:rPr>
        <w:t xml:space="preserve"> </w:t>
      </w:r>
    </w:p>
    <w:p w14:paraId="2CD96E1F" w14:textId="6F64FD84" w:rsidR="006652A8" w:rsidRPr="001D1BBB" w:rsidRDefault="001B1951"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 xml:space="preserve">2. </w:t>
      </w:r>
      <w:r w:rsidR="006652A8" w:rsidRPr="001D1BBB">
        <w:rPr>
          <w:rFonts w:ascii="Times New Roman" w:hAnsi="Times New Roman" w:cs="Times New Roman"/>
          <w:b/>
          <w:bCs/>
          <w:i/>
          <w:iCs/>
          <w:color w:val="FF0000"/>
        </w:rPr>
        <w:t>Increased bulk volume and recombination:</w:t>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As the thickness or bulk volume of the sensing layer increases, photo-generated or gas-reaction-induced charge carriers must travel longer distances to reach the electrodes. In this case, there is a higher probability of bulk recombination, especially if there are numerous grain boundaries, defects, or poor crystallinity within the material. These imperfections serve as recombination centers, reducing the net signal.</w:t>
      </w:r>
    </w:p>
    <w:p w14:paraId="4FC93D88" w14:textId="77777777" w:rsidR="006652A8" w:rsidRPr="001D1BBB" w:rsidRDefault="006652A8"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t>We have revised the manuscript accordingly and included these references in the updated version</w:t>
      </w:r>
    </w:p>
    <w:p w14:paraId="051AA53A"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5.</w:t>
      </w:r>
      <w:r w:rsidRPr="001D1BBB">
        <w:rPr>
          <w:rFonts w:ascii="Times New Roman" w:hAnsi="Times New Roman" w:cs="Times New Roman"/>
        </w:rPr>
        <w:tab/>
        <w:t>Authors use the word “likely” a lot, which raises higher suspect of the reliability of the data produced.</w:t>
      </w:r>
    </w:p>
    <w:p w14:paraId="7F8FA7E8" w14:textId="4197702D" w:rsidR="006652A8" w:rsidRPr="001D1BBB" w:rsidRDefault="00D07EB1"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We thank the reviewer for pointing out this important issue. We acknowledge that the repeated use of the word “likely” may give the impression of uncertainty. Our intention was to present plausible interpretations of the observed phenomena, especially when direct evidence for some mechanisms (e.g., surface chemistry or carrier dynamics) was not explicitly measured in this study.</w:t>
      </w:r>
      <w:r w:rsidR="00380C80" w:rsidRPr="001D1BBB">
        <w:rPr>
          <w:rFonts w:ascii="Times New Roman" w:hAnsi="Times New Roman" w:cs="Times New Roman"/>
          <w:i/>
          <w:iCs/>
          <w:color w:val="FF0000"/>
        </w:rPr>
        <w:t xml:space="preserve"> </w:t>
      </w:r>
      <w:r w:rsidR="006652A8" w:rsidRPr="001D1BBB">
        <w:rPr>
          <w:rFonts w:ascii="Times New Roman" w:hAnsi="Times New Roman" w:cs="Times New Roman"/>
          <w:i/>
          <w:iCs/>
          <w:color w:val="FF0000"/>
        </w:rPr>
        <w:t>To improve clarity and scientific rigor, we have carefully revised the manuscript to:</w:t>
      </w:r>
      <w:r w:rsidR="00380C80" w:rsidRPr="001D1BBB">
        <w:rPr>
          <w:rFonts w:ascii="Times New Roman" w:hAnsi="Times New Roman" w:cs="Times New Roman"/>
          <w:i/>
          <w:iCs/>
          <w:color w:val="FF0000"/>
        </w:rPr>
        <w:t xml:space="preserve"> (1) </w:t>
      </w:r>
      <w:r w:rsidR="006652A8" w:rsidRPr="001D1BBB">
        <w:rPr>
          <w:rFonts w:ascii="Times New Roman" w:hAnsi="Times New Roman" w:cs="Times New Roman"/>
          <w:i/>
          <w:iCs/>
          <w:color w:val="FF0000"/>
        </w:rPr>
        <w:lastRenderedPageBreak/>
        <w:t>Minimize speculative language, replacing “likely” with more definitive phrasing where the explanation is supported by established theories or cited literature;</w:t>
      </w:r>
      <w:r w:rsidR="00380C80" w:rsidRPr="001D1BBB">
        <w:rPr>
          <w:rFonts w:ascii="Times New Roman" w:hAnsi="Times New Roman" w:cs="Times New Roman"/>
          <w:i/>
          <w:iCs/>
          <w:color w:val="FF0000"/>
        </w:rPr>
        <w:t xml:space="preserve"> (2) </w:t>
      </w:r>
      <w:r w:rsidR="006652A8" w:rsidRPr="001D1BBB">
        <w:rPr>
          <w:rFonts w:ascii="Times New Roman" w:hAnsi="Times New Roman" w:cs="Times New Roman"/>
          <w:i/>
          <w:iCs/>
          <w:color w:val="FF0000"/>
        </w:rPr>
        <w:t>Provide references to support mechanistic discussions;</w:t>
      </w:r>
      <w:r w:rsidR="00380C80" w:rsidRPr="001D1BBB">
        <w:rPr>
          <w:rFonts w:ascii="Times New Roman" w:hAnsi="Times New Roman" w:cs="Times New Roman"/>
          <w:i/>
          <w:iCs/>
          <w:color w:val="FF0000"/>
        </w:rPr>
        <w:t xml:space="preserve"> (3) </w:t>
      </w:r>
      <w:r w:rsidR="006652A8" w:rsidRPr="001D1BBB">
        <w:rPr>
          <w:rFonts w:ascii="Times New Roman" w:hAnsi="Times New Roman" w:cs="Times New Roman"/>
          <w:i/>
          <w:iCs/>
          <w:color w:val="FF0000"/>
        </w:rPr>
        <w:t>Clearly distinguish between experimental results and hypothesis-based interpretations.</w:t>
      </w:r>
    </w:p>
    <w:p w14:paraId="6A415193"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6.</w:t>
      </w:r>
      <w:r w:rsidRPr="001D1BBB">
        <w:rPr>
          <w:rFonts w:ascii="Times New Roman" w:hAnsi="Times New Roman" w:cs="Times New Roman"/>
        </w:rPr>
        <w:tab/>
        <w:t>200oC is not really “low operating temperature” and the applicable use of this work in real-life industry is questionable.</w:t>
      </w:r>
    </w:p>
    <w:p w14:paraId="1D4FDE3C" w14:textId="77777777" w:rsidR="00380C80" w:rsidRPr="001D1BBB" w:rsidRDefault="00380C80"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2F4804" w:rsidRPr="001D1BBB">
        <w:rPr>
          <w:rFonts w:ascii="Times New Roman" w:hAnsi="Times New Roman" w:cs="Times New Roman"/>
          <w:i/>
          <w:iCs/>
          <w:color w:val="FF0000"/>
        </w:rPr>
        <w:t>We sincerely thank the reviewer for this valuable comment. We agree that, depending on context, 200 °C may not be considered a low temperature in absolute terms. However, in the field of metal oxide semiconductor gas sensors—particularly for volatile organic compounds (VOCs)—this temperature is considered relatively low when compared to conventional operating ranges.</w:t>
      </w:r>
    </w:p>
    <w:p w14:paraId="3428F76E" w14:textId="571DA8BB" w:rsidR="00380C80" w:rsidRPr="001D1BBB" w:rsidRDefault="002F4804"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 xml:space="preserve">For instance, ZnO-based sensors often require working temperatures in the range of </w:t>
      </w:r>
      <w:r w:rsidRPr="001D1BBB">
        <w:rPr>
          <w:rFonts w:ascii="Times New Roman" w:hAnsi="Times New Roman" w:cs="Times New Roman"/>
          <w:b/>
          <w:bCs/>
          <w:i/>
          <w:iCs/>
          <w:color w:val="FF0000"/>
        </w:rPr>
        <w:t>300–450 °C</w:t>
      </w:r>
      <w:r w:rsidRPr="001D1BBB">
        <w:rPr>
          <w:rFonts w:ascii="Times New Roman" w:hAnsi="Times New Roman" w:cs="Times New Roman"/>
          <w:i/>
          <w:iCs/>
          <w:color w:val="FF0000"/>
        </w:rPr>
        <w:t xml:space="preserve"> to achieve sufficient response to VOCs due to the need for activation of surface reactions [1]. In this regard, achieving a stable and selective response to isopropanol and toluene at </w:t>
      </w:r>
      <w:r w:rsidRPr="001D1BBB">
        <w:rPr>
          <w:rFonts w:ascii="Times New Roman" w:hAnsi="Times New Roman" w:cs="Times New Roman"/>
          <w:b/>
          <w:bCs/>
          <w:i/>
          <w:iCs/>
          <w:color w:val="FF0000"/>
        </w:rPr>
        <w:t>200 °C</w:t>
      </w:r>
      <w:r w:rsidRPr="001D1BBB">
        <w:rPr>
          <w:rFonts w:ascii="Times New Roman" w:hAnsi="Times New Roman" w:cs="Times New Roman"/>
          <w:i/>
          <w:iCs/>
          <w:color w:val="FF0000"/>
        </w:rPr>
        <w:t xml:space="preserve"> represents a significant step toward reducing power consumption and enhancing sensor longevity.</w:t>
      </w:r>
    </w:p>
    <w:p w14:paraId="7FF6EAAA" w14:textId="77777777" w:rsidR="00380C80" w:rsidRPr="001D1BBB" w:rsidRDefault="002F4804"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 xml:space="preserve">Furthermore, we have demonstrated that </w:t>
      </w:r>
      <w:r w:rsidRPr="001D1BBB">
        <w:rPr>
          <w:rFonts w:ascii="Times New Roman" w:hAnsi="Times New Roman" w:cs="Times New Roman"/>
          <w:b/>
          <w:bCs/>
          <w:i/>
          <w:iCs/>
          <w:color w:val="FF0000"/>
        </w:rPr>
        <w:t>UV irradiation further improves sensing behavior</w:t>
      </w:r>
      <w:r w:rsidRPr="001D1BBB">
        <w:rPr>
          <w:rFonts w:ascii="Times New Roman" w:hAnsi="Times New Roman" w:cs="Times New Roman"/>
          <w:i/>
          <w:iCs/>
          <w:color w:val="FF0000"/>
        </w:rPr>
        <w:t xml:space="preserve">, which opens the door for potential </w:t>
      </w:r>
      <w:r w:rsidRPr="001D1BBB">
        <w:rPr>
          <w:rFonts w:ascii="Times New Roman" w:hAnsi="Times New Roman" w:cs="Times New Roman"/>
          <w:b/>
          <w:bCs/>
          <w:i/>
          <w:iCs/>
          <w:color w:val="FF0000"/>
        </w:rPr>
        <w:t>room-temperature operation in future work</w:t>
      </w:r>
      <w:r w:rsidRPr="001D1BBB">
        <w:rPr>
          <w:rFonts w:ascii="Times New Roman" w:hAnsi="Times New Roman" w:cs="Times New Roman"/>
          <w:i/>
          <w:iCs/>
          <w:color w:val="FF0000"/>
        </w:rPr>
        <w:t>, especially when combining with surface modification strategies (e.g., noble metal decoration, heterojunction formation).</w:t>
      </w:r>
    </w:p>
    <w:p w14:paraId="0A9AFB0F" w14:textId="7A7AD6BA" w:rsidR="002F4804" w:rsidRPr="001D1BBB" w:rsidRDefault="002F4804"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As for practical applications, many industrial and environmental monitoring systems (e.g., gas leak detectors, indoor air quality sensors, automotive exhaust monitors) are designed to operate at elevated temperatures. Thus, operation at 200 °C remains within the acceptable range for such use cases, especially when energy-efficient heating and sensor integration technologies are applied [</w:t>
      </w:r>
      <w:r w:rsidR="00DC7C73" w:rsidRPr="001D1BBB">
        <w:rPr>
          <w:rFonts w:ascii="Times New Roman" w:hAnsi="Times New Roman" w:cs="Times New Roman"/>
          <w:i/>
          <w:iCs/>
          <w:color w:val="FF0000"/>
        </w:rPr>
        <w:t>2</w:t>
      </w:r>
      <w:r w:rsidRPr="001D1BBB">
        <w:rPr>
          <w:rFonts w:ascii="Times New Roman" w:hAnsi="Times New Roman" w:cs="Times New Roman"/>
          <w:i/>
          <w:iCs/>
          <w:color w:val="FF0000"/>
        </w:rPr>
        <w:t>].</w:t>
      </w:r>
    </w:p>
    <w:p w14:paraId="29A288A1" w14:textId="455486A7" w:rsidR="002F4804" w:rsidRPr="001D1BBB" w:rsidRDefault="002F4804"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t>We have revised the manuscript to clarify this context and avoid ambiguity in the term “low temperature.”</w:t>
      </w:r>
    </w:p>
    <w:p w14:paraId="5B604182" w14:textId="77777777" w:rsidR="002F4804" w:rsidRPr="001D1BBB" w:rsidRDefault="002F4804"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b/>
          <w:bCs/>
          <w:i/>
          <w:iCs/>
          <w:color w:val="FF0000"/>
        </w:rPr>
        <w:t>References to be included:</w:t>
      </w:r>
    </w:p>
    <w:p w14:paraId="16BDFAD6" w14:textId="12A0FEBC" w:rsidR="002F4804" w:rsidRPr="001D1BBB" w:rsidRDefault="002F4804" w:rsidP="001D1BBB">
      <w:pPr>
        <w:numPr>
          <w:ilvl w:val="0"/>
          <w:numId w:val="12"/>
        </w:num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t xml:space="preserve">Korotcenkov, G. Metal oxides for solid-state gas sensors: What determines our choice? Materials Science and Engineering B, </w:t>
      </w:r>
      <w:r w:rsidRPr="001D1BBB">
        <w:rPr>
          <w:rFonts w:ascii="Times New Roman" w:hAnsi="Times New Roman" w:cs="Times New Roman"/>
          <w:b/>
          <w:bCs/>
          <w:i/>
          <w:iCs/>
          <w:color w:val="FF0000"/>
        </w:rPr>
        <w:t>2007</w:t>
      </w:r>
      <w:r w:rsidRPr="001D1BBB">
        <w:rPr>
          <w:rFonts w:ascii="Times New Roman" w:hAnsi="Times New Roman" w:cs="Times New Roman"/>
          <w:i/>
          <w:iCs/>
          <w:color w:val="FF0000"/>
        </w:rPr>
        <w:t xml:space="preserve">, 139(1), 1–23. </w:t>
      </w:r>
      <w:hyperlink r:id="rId10" w:history="1">
        <w:r w:rsidR="00380C80" w:rsidRPr="001D1BBB">
          <w:rPr>
            <w:rStyle w:val="Hyperlink"/>
            <w:rFonts w:ascii="Times New Roman" w:hAnsi="Times New Roman" w:cs="Times New Roman"/>
            <w:i/>
            <w:iCs/>
          </w:rPr>
          <w:t>https://doi.org/10.1016/j.mseb.2007.01.044</w:t>
        </w:r>
      </w:hyperlink>
      <w:r w:rsidR="00380C80" w:rsidRPr="001D1BBB">
        <w:rPr>
          <w:rFonts w:ascii="Times New Roman" w:hAnsi="Times New Roman" w:cs="Times New Roman"/>
          <w:i/>
          <w:iCs/>
          <w:color w:val="FF0000"/>
        </w:rPr>
        <w:t xml:space="preserve"> </w:t>
      </w:r>
    </w:p>
    <w:p w14:paraId="0306E6C9" w14:textId="78871874" w:rsidR="00590293" w:rsidRPr="001D1BBB" w:rsidRDefault="002F4804" w:rsidP="001D1BBB">
      <w:pPr>
        <w:numPr>
          <w:ilvl w:val="0"/>
          <w:numId w:val="12"/>
        </w:num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t xml:space="preserve">Lee, J.H. Gas sensors using hierarchical and hollow oxide nanostructures: Overview. Sensors and Actuators B, </w:t>
      </w:r>
      <w:r w:rsidRPr="001D1BBB">
        <w:rPr>
          <w:rFonts w:ascii="Times New Roman" w:hAnsi="Times New Roman" w:cs="Times New Roman"/>
          <w:b/>
          <w:bCs/>
          <w:i/>
          <w:iCs/>
          <w:color w:val="FF0000"/>
        </w:rPr>
        <w:t>2009</w:t>
      </w:r>
      <w:r w:rsidRPr="001D1BBB">
        <w:rPr>
          <w:rFonts w:ascii="Times New Roman" w:hAnsi="Times New Roman" w:cs="Times New Roman"/>
          <w:i/>
          <w:iCs/>
          <w:color w:val="FF0000"/>
        </w:rPr>
        <w:t xml:space="preserve">, 140(1), 319–336. </w:t>
      </w:r>
      <w:hyperlink r:id="rId11" w:tgtFrame="_blank" w:tooltip="Persistent link using digital object identifier" w:history="1">
        <w:r w:rsidR="00DC7C73" w:rsidRPr="001D1BBB">
          <w:rPr>
            <w:rStyle w:val="Hyperlink"/>
            <w:rFonts w:ascii="Times New Roman" w:hAnsi="Times New Roman" w:cs="Times New Roman"/>
            <w:i/>
            <w:iCs/>
          </w:rPr>
          <w:t>https://doi.org/10.1016/j.snb.2009.04.026</w:t>
        </w:r>
      </w:hyperlink>
    </w:p>
    <w:p w14:paraId="66E35462"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7.</w:t>
      </w:r>
      <w:r w:rsidRPr="001D1BBB">
        <w:rPr>
          <w:rFonts w:ascii="Times New Roman" w:hAnsi="Times New Roman" w:cs="Times New Roman"/>
        </w:rPr>
        <w:tab/>
        <w:t>In Fig. 8b, the repeatability behavior in the response performance of ZnO100/Au5 toward 2.9% IPA at 200oC is not uniformly linear. This raises questionable concern about the reproducibility of the samples.</w:t>
      </w:r>
    </w:p>
    <w:p w14:paraId="6A182503" w14:textId="2BB23BA4" w:rsidR="00590293" w:rsidRPr="001D1BBB" w:rsidRDefault="00DC7C73"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590293" w:rsidRPr="001D1BBB">
        <w:rPr>
          <w:rFonts w:ascii="Times New Roman" w:hAnsi="Times New Roman" w:cs="Times New Roman"/>
          <w:i/>
          <w:iCs/>
          <w:color w:val="FF0000"/>
        </w:rPr>
        <w:t>We thank the reviewer for this valuable comment.</w:t>
      </w:r>
      <w:r w:rsidRPr="001D1BBB">
        <w:rPr>
          <w:rFonts w:ascii="Times New Roman" w:hAnsi="Times New Roman" w:cs="Times New Roman"/>
          <w:i/>
          <w:iCs/>
          <w:color w:val="FF0000"/>
        </w:rPr>
        <w:t xml:space="preserve"> </w:t>
      </w:r>
      <w:r w:rsidR="00590293" w:rsidRPr="001D1BBB">
        <w:rPr>
          <w:rFonts w:ascii="Times New Roman" w:hAnsi="Times New Roman" w:cs="Times New Roman"/>
          <w:i/>
          <w:iCs/>
          <w:color w:val="FF0000"/>
        </w:rPr>
        <w:t>The apparent non-uniformity observed in the initial cycles (particularly R₁ and R₂) can be attributed to two main factors:</w:t>
      </w:r>
      <w:r w:rsidRPr="001D1BBB">
        <w:rPr>
          <w:rFonts w:ascii="Times New Roman" w:hAnsi="Times New Roman" w:cs="Times New Roman"/>
          <w:i/>
          <w:iCs/>
          <w:color w:val="FF0000"/>
        </w:rPr>
        <w:t xml:space="preserve"> (1) </w:t>
      </w:r>
      <w:r w:rsidR="00590293" w:rsidRPr="001D1BBB">
        <w:rPr>
          <w:rFonts w:ascii="Times New Roman" w:hAnsi="Times New Roman" w:cs="Times New Roman"/>
          <w:b/>
          <w:bCs/>
          <w:i/>
          <w:iCs/>
          <w:color w:val="FF0000"/>
        </w:rPr>
        <w:t>Sensor surface conditioning effect</w:t>
      </w:r>
      <w:r w:rsidR="00590293" w:rsidRPr="001D1BBB">
        <w:rPr>
          <w:rFonts w:ascii="Times New Roman" w:hAnsi="Times New Roman" w:cs="Times New Roman"/>
          <w:i/>
          <w:iCs/>
          <w:color w:val="FF0000"/>
        </w:rPr>
        <w:t>: During the first few cycles under UV illumination, desorption of residual surface species and photochemical reactivation of sensing sites may occur, which often leads to a slight drift in the baseline and enhancement of sensitivity in subsequent measurements</w:t>
      </w:r>
      <w:r w:rsidRPr="001D1BBB">
        <w:rPr>
          <w:rFonts w:ascii="Times New Roman" w:hAnsi="Times New Roman" w:cs="Times New Roman"/>
          <w:i/>
          <w:iCs/>
          <w:color w:val="FF0000"/>
        </w:rPr>
        <w:t xml:space="preserve">. (2) </w:t>
      </w:r>
      <w:r w:rsidR="00590293" w:rsidRPr="001D1BBB">
        <w:rPr>
          <w:rFonts w:ascii="Times New Roman" w:hAnsi="Times New Roman" w:cs="Times New Roman"/>
          <w:b/>
          <w:bCs/>
          <w:i/>
          <w:iCs/>
          <w:color w:val="FF0000"/>
        </w:rPr>
        <w:t>Insufficient recovery time</w:t>
      </w:r>
      <w:r w:rsidR="00590293" w:rsidRPr="001D1BBB">
        <w:rPr>
          <w:rFonts w:ascii="Times New Roman" w:hAnsi="Times New Roman" w:cs="Times New Roman"/>
          <w:i/>
          <w:iCs/>
          <w:color w:val="FF0000"/>
        </w:rPr>
        <w:t xml:space="preserve">: For the measurements shown in the later cycles, the recovery intervals between gas pulses were intentionally shortened for experimental time efficiency. As a </w:t>
      </w:r>
      <w:r w:rsidR="00590293" w:rsidRPr="001D1BBB">
        <w:rPr>
          <w:rFonts w:ascii="Times New Roman" w:hAnsi="Times New Roman" w:cs="Times New Roman"/>
          <w:i/>
          <w:iCs/>
          <w:color w:val="FF0000"/>
        </w:rPr>
        <w:lastRenderedPageBreak/>
        <w:t>result, the sensor did not always return fully to its baseline resistance before the next exposure cycle. This incomplete recovery may have led to a slight underestimation of the response amplitude in the later stages.</w:t>
      </w:r>
      <w:r w:rsidRPr="001D1BBB">
        <w:rPr>
          <w:rFonts w:ascii="Times New Roman" w:hAnsi="Times New Roman" w:cs="Times New Roman"/>
          <w:i/>
          <w:iCs/>
          <w:color w:val="FF0000"/>
        </w:rPr>
        <w:t xml:space="preserve"> </w:t>
      </w:r>
      <w:r w:rsidR="00590293" w:rsidRPr="001D1BBB">
        <w:rPr>
          <w:rFonts w:ascii="Times New Roman" w:hAnsi="Times New Roman" w:cs="Times New Roman"/>
          <w:i/>
          <w:iCs/>
          <w:color w:val="FF0000"/>
        </w:rPr>
        <w:t xml:space="preserve">Despite these factors, the sensor exhibits a clear trend of stabilization over time. Notably, after the initial phase, the response values become significantly more consistent, indicating </w:t>
      </w:r>
      <w:r w:rsidR="00590293" w:rsidRPr="001D1BBB">
        <w:rPr>
          <w:rFonts w:ascii="Times New Roman" w:hAnsi="Times New Roman" w:cs="Times New Roman"/>
          <w:b/>
          <w:bCs/>
          <w:i/>
          <w:iCs/>
          <w:color w:val="FF0000"/>
        </w:rPr>
        <w:t>good repeatability</w:t>
      </w:r>
      <w:r w:rsidR="00590293" w:rsidRPr="001D1BBB">
        <w:rPr>
          <w:rFonts w:ascii="Times New Roman" w:hAnsi="Times New Roman" w:cs="Times New Roman"/>
          <w:i/>
          <w:iCs/>
          <w:color w:val="FF0000"/>
        </w:rPr>
        <w:t xml:space="preserve"> once a steady-state surface condition is reached. </w:t>
      </w:r>
    </w:p>
    <w:p w14:paraId="3A292797"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8.</w:t>
      </w:r>
      <w:r w:rsidRPr="001D1BBB">
        <w:rPr>
          <w:rFonts w:ascii="Times New Roman" w:hAnsi="Times New Roman" w:cs="Times New Roman"/>
        </w:rPr>
        <w:tab/>
        <w:t>At Fig. 7a, the base/initial resistance of the sample ZnO100/Au10 differs during gases measurement. These are the same samples at the beginning of the sensing measurement, before the input of the target gases, it is supposed to be the same, isn’t it? Please explain.</w:t>
      </w:r>
    </w:p>
    <w:p w14:paraId="37D4A03E" w14:textId="649AAC7A" w:rsidR="00E97E50" w:rsidRPr="001D1BBB" w:rsidRDefault="00FC2549"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E97E50" w:rsidRPr="001D1BBB">
        <w:rPr>
          <w:rFonts w:ascii="Times New Roman" w:hAnsi="Times New Roman" w:cs="Times New Roman"/>
          <w:i/>
          <w:iCs/>
          <w:color w:val="FF0000"/>
        </w:rPr>
        <w:t xml:space="preserve">We appreciate the reviewer’s observation and would like to confirm that all the measurements shown in Fig. 7a were performed using the </w:t>
      </w:r>
      <w:r w:rsidR="00E97E50" w:rsidRPr="001D1BBB">
        <w:rPr>
          <w:rFonts w:ascii="Times New Roman" w:hAnsi="Times New Roman" w:cs="Times New Roman"/>
          <w:b/>
          <w:bCs/>
          <w:i/>
          <w:iCs/>
          <w:color w:val="FF0000"/>
        </w:rPr>
        <w:t>same ZnO100/Au10 sample</w:t>
      </w:r>
      <w:r w:rsidR="00E97E50" w:rsidRPr="001D1BBB">
        <w:rPr>
          <w:rFonts w:ascii="Times New Roman" w:hAnsi="Times New Roman" w:cs="Times New Roman"/>
          <w:i/>
          <w:iCs/>
          <w:color w:val="FF0000"/>
        </w:rPr>
        <w:t>. The observed variation in baseline (initial) resistance among different gas exposure cycles can be attributed to two main reasons:</w:t>
      </w:r>
      <w:r w:rsidRPr="001D1BBB">
        <w:rPr>
          <w:rFonts w:ascii="Times New Roman" w:hAnsi="Times New Roman" w:cs="Times New Roman"/>
          <w:i/>
          <w:iCs/>
          <w:color w:val="FF0000"/>
        </w:rPr>
        <w:t xml:space="preserve"> (1) </w:t>
      </w:r>
      <w:r w:rsidR="00E97E50" w:rsidRPr="001D1BBB">
        <w:rPr>
          <w:rFonts w:ascii="Times New Roman" w:hAnsi="Times New Roman" w:cs="Times New Roman"/>
          <w:b/>
          <w:bCs/>
          <w:i/>
          <w:iCs/>
          <w:color w:val="FF0000"/>
        </w:rPr>
        <w:t>Sequential gas exposure without full recovery</w:t>
      </w:r>
      <w:r w:rsidR="00E97E50" w:rsidRPr="001D1BBB">
        <w:rPr>
          <w:rFonts w:ascii="Times New Roman" w:hAnsi="Times New Roman" w:cs="Times New Roman"/>
          <w:i/>
          <w:iCs/>
          <w:color w:val="FF0000"/>
        </w:rPr>
        <w:t>: The target gases (acetone, methanol, ethanol, toluene, and isopropanol) were introduced sequentially to the same sensor with limited recovery time between each cycle. As a result, the sensor surface may not have fully returned to its original condition before the next measurement, leading to slight deviations in the initial resistance values.</w:t>
      </w:r>
      <w:r w:rsidRPr="001D1BBB">
        <w:rPr>
          <w:rFonts w:ascii="Times New Roman" w:hAnsi="Times New Roman" w:cs="Times New Roman"/>
          <w:i/>
          <w:iCs/>
          <w:color w:val="FF0000"/>
        </w:rPr>
        <w:t xml:space="preserve"> (2) </w:t>
      </w:r>
      <w:r w:rsidR="00E97E50" w:rsidRPr="001D1BBB">
        <w:rPr>
          <w:rFonts w:ascii="Times New Roman" w:hAnsi="Times New Roman" w:cs="Times New Roman"/>
          <w:b/>
          <w:bCs/>
          <w:i/>
          <w:iCs/>
          <w:color w:val="FF0000"/>
        </w:rPr>
        <w:t>Adsorption memory effect</w:t>
      </w:r>
      <w:r w:rsidR="00E97E50" w:rsidRPr="001D1BBB">
        <w:rPr>
          <w:rFonts w:ascii="Times New Roman" w:hAnsi="Times New Roman" w:cs="Times New Roman"/>
          <w:i/>
          <w:iCs/>
          <w:color w:val="FF0000"/>
        </w:rPr>
        <w:t>: Some VOC molecules, especially heavier ones like toluene and isopropanol, tend to adsorb more strongly onto the ZnO/Au surface and require longer desorption time. Residual adsorbates from the previous cycle may influence the electronic properties of the sensing layer, causing a drift or offset in the baseline resistance.</w:t>
      </w:r>
    </w:p>
    <w:p w14:paraId="2D59AE4B" w14:textId="715DA2E2" w:rsidR="00E97E50" w:rsidRPr="001D1BBB" w:rsidRDefault="00E97E50"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These baseline variations are within an acceptable range and do not affect the comparison of gas responses, since the response was calculated as the relative change in resistance during each individual cycle. We have clarified this point in the revised figure caption and discussion.</w:t>
      </w:r>
    </w:p>
    <w:p w14:paraId="57E0AC96" w14:textId="77777777"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9.</w:t>
      </w:r>
      <w:r w:rsidRPr="001D1BBB">
        <w:rPr>
          <w:rFonts w:ascii="Times New Roman" w:hAnsi="Times New Roman" w:cs="Times New Roman"/>
        </w:rPr>
        <w:tab/>
        <w:t xml:space="preserve">Please show the experimental evidences of oxidation states of gases molecules at your sensor surface to support your detailed mechanistic steps. </w:t>
      </w:r>
    </w:p>
    <w:p w14:paraId="2943452B" w14:textId="1251D29D" w:rsidR="00E97E50" w:rsidRPr="001D1BBB" w:rsidRDefault="00FC2549" w:rsidP="001D1BBB">
      <w:pPr>
        <w:spacing w:before="120" w:after="120" w:line="240" w:lineRule="auto"/>
        <w:ind w:firstLine="567"/>
        <w:jc w:val="both"/>
        <w:rPr>
          <w:rFonts w:ascii="Times New Roman" w:hAnsi="Times New Roman" w:cs="Times New Roman"/>
          <w:color w:val="FF0000"/>
        </w:rPr>
      </w:pPr>
      <w:r w:rsidRPr="001D1BBB">
        <w:rPr>
          <w:rFonts w:ascii="Times New Roman" w:hAnsi="Times New Roman" w:cs="Times New Roman"/>
          <w:color w:val="FF0000"/>
        </w:rPr>
        <w:sym w:font="Wingdings" w:char="F0E0"/>
      </w:r>
      <w:r w:rsidRPr="001D1BBB">
        <w:rPr>
          <w:rFonts w:ascii="Times New Roman" w:hAnsi="Times New Roman" w:cs="Times New Roman"/>
          <w:color w:val="FF0000"/>
        </w:rPr>
        <w:t xml:space="preserve"> </w:t>
      </w:r>
      <w:r w:rsidR="00E97E50" w:rsidRPr="001D1BBB">
        <w:rPr>
          <w:rFonts w:ascii="Times New Roman" w:hAnsi="Times New Roman" w:cs="Times New Roman"/>
          <w:color w:val="FF0000"/>
        </w:rPr>
        <w:t>We appreciate the reviewer’s insightful request regarding the mechanistic validation of gas–surface interactions. In the current study, our primary focus was on evaluating the macroscopic gas sensing performance of ZnO-based sensors under UV365 nm illumination. As such, we did not conduct surface-specific analyses (e.g., in situ XPS, DRIFTS, or FTIR spectroscopy) to directly identify the oxidation states or intermediate species of gas molecules adsorbed on the sensor surface during gas exposure.</w:t>
      </w:r>
      <w:r w:rsidR="003471BD" w:rsidRPr="001D1BBB">
        <w:rPr>
          <w:rFonts w:ascii="Times New Roman" w:hAnsi="Times New Roman" w:cs="Times New Roman"/>
          <w:color w:val="FF0000"/>
        </w:rPr>
        <w:t xml:space="preserve"> </w:t>
      </w:r>
      <w:r w:rsidR="00E97E50" w:rsidRPr="001D1BBB">
        <w:rPr>
          <w:rFonts w:ascii="Times New Roman" w:hAnsi="Times New Roman" w:cs="Times New Roman"/>
          <w:color w:val="FF0000"/>
        </w:rPr>
        <w:t>However, the proposed sensing mechanism is based on well-established literature which has extensively reported on the interaction between ZnO surfaces and volatile organic compounds (VOCs), particularly under UV activation. These studies have demonstrated that VOCs such as isopropanol are oxidized by reactive oxygen species (e.g., O⁻, O₂⁻) formed on the ZnO surface, leading to changes in charge carrier concentration and hence sensor resistance [1</w:t>
      </w:r>
      <w:r w:rsidR="003471BD" w:rsidRPr="001D1BBB">
        <w:rPr>
          <w:rFonts w:ascii="Times New Roman" w:hAnsi="Times New Roman" w:cs="Times New Roman"/>
          <w:color w:val="FF0000"/>
        </w:rPr>
        <w:t>,2</w:t>
      </w:r>
      <w:r w:rsidR="00E97E50" w:rsidRPr="001D1BBB">
        <w:rPr>
          <w:rFonts w:ascii="Times New Roman" w:hAnsi="Times New Roman" w:cs="Times New Roman"/>
          <w:color w:val="FF0000"/>
        </w:rPr>
        <w:t>]. UV light enhances this process by generating electron–hole pairs, which increase the density of reactive oxygen species available for surface reactions.</w:t>
      </w:r>
    </w:p>
    <w:p w14:paraId="14C15798" w14:textId="77777777" w:rsidR="00E97E50" w:rsidRPr="001D1BBB" w:rsidRDefault="00E97E50" w:rsidP="001D1BBB">
      <w:pPr>
        <w:spacing w:before="120" w:after="120" w:line="240" w:lineRule="auto"/>
        <w:ind w:firstLine="567"/>
        <w:jc w:val="both"/>
        <w:rPr>
          <w:rFonts w:ascii="Times New Roman" w:hAnsi="Times New Roman" w:cs="Times New Roman"/>
          <w:color w:val="FF0000"/>
        </w:rPr>
      </w:pPr>
      <w:r w:rsidRPr="001D1BBB">
        <w:rPr>
          <w:rFonts w:ascii="Times New Roman" w:hAnsi="Times New Roman" w:cs="Times New Roman"/>
          <w:color w:val="FF0000"/>
        </w:rPr>
        <w:t>While we acknowledge the importance of direct experimental evidence to confirm the oxidation states, such as through in situ spectroscopic methods, the current work provides indirect support through the electrical response behavior under controlled gas exposure and UV modulation. Incorporating such techniques is an important direction for our future research, and we will clearly note this limitation and outlook in the revised manuscript.</w:t>
      </w:r>
    </w:p>
    <w:p w14:paraId="39E1B53B" w14:textId="158C1175" w:rsidR="00E97E50" w:rsidRPr="001D1BBB" w:rsidRDefault="00E97E50"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b/>
          <w:bCs/>
          <w:color w:val="FF0000"/>
        </w:rPr>
        <w:t>References:</w:t>
      </w:r>
      <w:r w:rsidRPr="001D1BBB">
        <w:rPr>
          <w:rFonts w:ascii="Times New Roman" w:hAnsi="Times New Roman" w:cs="Times New Roman"/>
          <w:color w:val="FF0000"/>
        </w:rPr>
        <w:br/>
        <w:t xml:space="preserve">[1] Gurlo, A. (2011). </w:t>
      </w:r>
      <w:r w:rsidRPr="001D1BBB">
        <w:rPr>
          <w:rFonts w:ascii="Times New Roman" w:hAnsi="Times New Roman" w:cs="Times New Roman"/>
          <w:i/>
          <w:iCs/>
          <w:color w:val="FF0000"/>
        </w:rPr>
        <w:t xml:space="preserve">Interplay between O₂ and SnO₂: oxygen ionosorption and spectroscopic </w:t>
      </w:r>
      <w:r w:rsidRPr="001D1BBB">
        <w:rPr>
          <w:rFonts w:ascii="Times New Roman" w:hAnsi="Times New Roman" w:cs="Times New Roman"/>
          <w:i/>
          <w:iCs/>
          <w:color w:val="FF0000"/>
        </w:rPr>
        <w:lastRenderedPageBreak/>
        <w:t>evidence for adsorbed oxygen</w:t>
      </w:r>
      <w:r w:rsidRPr="001D1BBB">
        <w:rPr>
          <w:rFonts w:ascii="Times New Roman" w:hAnsi="Times New Roman" w:cs="Times New Roman"/>
          <w:color w:val="FF0000"/>
        </w:rPr>
        <w:t>. ChemPhysChem, 12(4), 777–794.</w:t>
      </w:r>
      <w:r w:rsidR="003471BD" w:rsidRPr="001D1BBB">
        <w:rPr>
          <w:rFonts w:ascii="Times New Roman" w:hAnsi="Times New Roman" w:cs="Times New Roman"/>
          <w:color w:val="FF0000"/>
        </w:rPr>
        <w:t xml:space="preserve">  </w:t>
      </w:r>
      <w:hyperlink r:id="rId12" w:history="1">
        <w:r w:rsidR="00B427D1" w:rsidRPr="001D1BBB">
          <w:rPr>
            <w:rStyle w:val="Hyperlink"/>
            <w:rFonts w:ascii="Times New Roman" w:hAnsi="Times New Roman" w:cs="Times New Roman"/>
            <w:b/>
            <w:bCs/>
          </w:rPr>
          <w:t>https://doi.org/10.1002/cphc.200600292</w:t>
        </w:r>
      </w:hyperlink>
      <w:r w:rsidRPr="001D1BBB">
        <w:rPr>
          <w:rFonts w:ascii="Times New Roman" w:hAnsi="Times New Roman" w:cs="Times New Roman"/>
          <w:color w:val="FF0000"/>
        </w:rPr>
        <w:br/>
        <w:t xml:space="preserve">[2] Wang, C., Yin, L., Zhang, L., Xiang, D., &amp; Gao, R. (2010). </w:t>
      </w:r>
      <w:r w:rsidRPr="001D1BBB">
        <w:rPr>
          <w:rFonts w:ascii="Times New Roman" w:hAnsi="Times New Roman" w:cs="Times New Roman"/>
          <w:i/>
          <w:iCs/>
          <w:color w:val="FF0000"/>
        </w:rPr>
        <w:t xml:space="preserve">Metal Oxide Gas Sensors: Sensitivity and Influencing </w:t>
      </w:r>
      <w:r w:rsidRPr="001D1BBB">
        <w:rPr>
          <w:rFonts w:ascii="Times New Roman" w:hAnsi="Times New Roman" w:cs="Times New Roman"/>
          <w:color w:val="FF0000"/>
        </w:rPr>
        <w:t>Factors. Sensors, 10(3), 2088–2106.</w:t>
      </w:r>
      <w:r w:rsidR="003471BD" w:rsidRPr="001D1BBB">
        <w:rPr>
          <w:rFonts w:ascii="Times New Roman" w:hAnsi="Times New Roman" w:cs="Times New Roman"/>
          <w:color w:val="FF0000"/>
        </w:rPr>
        <w:t xml:space="preserve"> </w:t>
      </w:r>
      <w:hyperlink r:id="rId13" w:history="1">
        <w:r w:rsidR="003471BD" w:rsidRPr="001D1BBB">
          <w:rPr>
            <w:rFonts w:ascii="Times New Roman" w:hAnsi="Times New Roman" w:cs="Times New Roman"/>
          </w:rPr>
          <w:t>https://doi.org/10.3390/s100302088</w:t>
        </w:r>
      </w:hyperlink>
      <w:r w:rsidR="00B427D1" w:rsidRPr="001D1BBB">
        <w:rPr>
          <w:rFonts w:ascii="Times New Roman" w:hAnsi="Times New Roman" w:cs="Times New Roman"/>
          <w:color w:val="FF0000"/>
        </w:rPr>
        <w:t>.</w:t>
      </w:r>
    </w:p>
    <w:p w14:paraId="77BD9117" w14:textId="4015998E" w:rsidR="00B427D1" w:rsidRPr="001D1BBB" w:rsidRDefault="00B427D1"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color w:val="FF0000"/>
        </w:rPr>
        <w:t>[3] Fang Xu and Ho-Pui HO, Light-Activated Metal Oxide Gas Sensors: A Review, Micromachines 2017, 8(11), 333; </w:t>
      </w:r>
      <w:hyperlink r:id="rId14" w:history="1">
        <w:r w:rsidRPr="001D1BBB">
          <w:rPr>
            <w:rFonts w:ascii="Times New Roman" w:hAnsi="Times New Roman" w:cs="Times New Roman"/>
            <w:color w:val="FF0000"/>
          </w:rPr>
          <w:t>https://doi.org/10.3390/mi8110333</w:t>
        </w:r>
      </w:hyperlink>
    </w:p>
    <w:p w14:paraId="459DEBB2" w14:textId="6149E370" w:rsidR="006A2760"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10. Typo errors remained, for example In page 7, " Figure 6(b) shows the response of ZnO sensors with different thicknesses (25–150 nm) to toluene at 200°C under UV365nm irradiation". "°C" should be separeted with 200 by a spacing.</w:t>
      </w:r>
    </w:p>
    <w:p w14:paraId="627398F7" w14:textId="23D0519E" w:rsidR="002F7018" w:rsidRPr="001D1BBB" w:rsidRDefault="0056025F" w:rsidP="001D1BBB">
      <w:pPr>
        <w:spacing w:before="120" w:after="120" w:line="240" w:lineRule="auto"/>
        <w:ind w:firstLine="720"/>
        <w:jc w:val="both"/>
        <w:rPr>
          <w:rFonts w:ascii="Times New Roman" w:hAnsi="Times New Roman" w:cs="Times New Roman"/>
          <w:color w:val="FF0000"/>
        </w:rPr>
      </w:pPr>
      <w:r w:rsidRPr="001D1BBB">
        <w:rPr>
          <w:rFonts w:ascii="Times New Roman" w:hAnsi="Times New Roman" w:cs="Times New Roman"/>
          <w:color w:val="FF0000"/>
        </w:rPr>
        <w:sym w:font="Wingdings" w:char="F0E0"/>
      </w:r>
      <w:r w:rsidRPr="001D1BBB">
        <w:rPr>
          <w:rFonts w:ascii="Times New Roman" w:hAnsi="Times New Roman" w:cs="Times New Roman"/>
          <w:color w:val="FF0000"/>
        </w:rPr>
        <w:t xml:space="preserve"> </w:t>
      </w:r>
      <w:r w:rsidR="00E97E50" w:rsidRPr="001D1BBB">
        <w:rPr>
          <w:rFonts w:ascii="Times New Roman" w:hAnsi="Times New Roman" w:cs="Times New Roman"/>
          <w:color w:val="FF0000"/>
        </w:rPr>
        <w:t>Thank you for pointing out the typo. We have carefully reviewed the manuscript and corrected the mentioned issue by inserting a space between the number and the unit (e.g., “200 °C” instead of “200°C”, and “UV365 nm” instead of “UV365nm”) in accordance with SI unit formatting standards. A thorough proofreading has also been conducted to eliminate similar spacing and formatting inconsistencies throughout the manuscript.</w:t>
      </w:r>
    </w:p>
    <w:p w14:paraId="34DEFB98" w14:textId="216D5DAE" w:rsidR="00B427D1" w:rsidRPr="001D1BBB" w:rsidRDefault="00B427D1" w:rsidP="001D1BBB">
      <w:pPr>
        <w:snapToGrid w:val="0"/>
        <w:spacing w:before="120" w:after="120" w:line="240" w:lineRule="auto"/>
        <w:jc w:val="both"/>
        <w:rPr>
          <w:rFonts w:ascii="Times New Roman" w:hAnsi="Times New Roman" w:cs="Times New Roman"/>
          <w:b/>
          <w:bCs/>
          <w:i/>
          <w:iCs/>
        </w:rPr>
      </w:pPr>
      <w:r w:rsidRPr="001D1BBB">
        <w:rPr>
          <w:rFonts w:ascii="Times New Roman" w:hAnsi="Times New Roman" w:cs="Times New Roman"/>
          <w:b/>
          <w:bCs/>
          <w:i/>
          <w:iCs/>
        </w:rPr>
        <w:t>Response to Reviewer 2</w:t>
      </w:r>
    </w:p>
    <w:p w14:paraId="27A6B581" w14:textId="0D4F438C" w:rsidR="002F7018" w:rsidRPr="001D1BBB" w:rsidRDefault="002F7018" w:rsidP="001D1BBB">
      <w:pPr>
        <w:spacing w:before="120" w:after="120" w:line="240" w:lineRule="auto"/>
        <w:jc w:val="both"/>
        <w:rPr>
          <w:rFonts w:ascii="Times New Roman" w:hAnsi="Times New Roman" w:cs="Times New Roman"/>
        </w:rPr>
      </w:pPr>
      <w:r w:rsidRPr="001D1BBB">
        <w:rPr>
          <w:rFonts w:ascii="Times New Roman" w:hAnsi="Times New Roman" w:cs="Times New Roman"/>
        </w:rPr>
        <w:t xml:space="preserve">Some edits must be done before accepting for publication:     </w:t>
      </w:r>
    </w:p>
    <w:p w14:paraId="418DCECF" w14:textId="0A9E0095"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rPr>
      </w:pPr>
      <w:r w:rsidRPr="001D1BBB">
        <w:rPr>
          <w:rFonts w:ascii="Times New Roman" w:hAnsi="Times New Roman" w:cs="Times New Roman"/>
        </w:rPr>
        <w:t xml:space="preserve">In this study, the authors create 1000 ppm of various target gases by using a bubble evaporator. However, the authors should clarify how the gas concentration was calculated from the vapor and dry air. </w:t>
      </w:r>
    </w:p>
    <w:p w14:paraId="183EBC6A" w14:textId="61864BF9" w:rsidR="005C494C" w:rsidRPr="001D1BBB" w:rsidRDefault="0056025F" w:rsidP="001D1BBB">
      <w:pPr>
        <w:spacing w:before="120" w:after="120" w:line="240" w:lineRule="auto"/>
        <w:ind w:firstLine="720"/>
        <w:jc w:val="both"/>
        <w:rPr>
          <w:rFonts w:ascii="Times New Roman" w:hAnsi="Times New Roman" w:cs="Times New Roman"/>
          <w:color w:val="FF0000"/>
        </w:rPr>
      </w:pPr>
      <w:r w:rsidRPr="001D1BBB">
        <w:rPr>
          <w:rFonts w:ascii="Times New Roman" w:hAnsi="Times New Roman" w:cs="Times New Roman"/>
          <w:color w:val="FF0000"/>
        </w:rPr>
        <w:sym w:font="Wingdings" w:char="F0E0"/>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We thank the reviewer for pointing out the need for clarification. In our study, the bubble evaporator was used to generate saturated vapor of each target gas, which was then mixed with a known flow of dry air. For each compound, we calculated the theoretical vapor concentration based on the physical properties (vapor pressure and density) of the liquid at room temperature. The corresponding vapor concentrations used in our measurements were approximately:</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Toluene: 0.285% (2850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Acetone: 2.37% (23,700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Ethanol: 0.583% (5830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Methanol: 1.275% (12,750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Isopropanol: 0.635% (6350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CO₂: 4% (40,000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CH₄: 4% (40,000 ppm)</w:t>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 xml:space="preserve">The sensor response was measured at these respective concentrations. Afterward, in order to enable direct comparison of sensitivity between gases, the sensor responses were </w:t>
      </w:r>
      <w:r w:rsidR="005C494C" w:rsidRPr="001D1BBB">
        <w:rPr>
          <w:rFonts w:ascii="Times New Roman" w:hAnsi="Times New Roman" w:cs="Times New Roman"/>
          <w:b/>
          <w:bCs/>
          <w:color w:val="FF0000"/>
        </w:rPr>
        <w:t>normalized</w:t>
      </w:r>
      <w:r w:rsidR="005C494C" w:rsidRPr="001D1BBB">
        <w:rPr>
          <w:rFonts w:ascii="Times New Roman" w:hAnsi="Times New Roman" w:cs="Times New Roman"/>
          <w:color w:val="FF0000"/>
        </w:rPr>
        <w:t xml:space="preserve"> to a reference concentration of 1000 ppm by using a linear approximation of the response–concentration relationship in the low-concentration regime (valid for our sensor within the range tested). This normalization is used only for </w:t>
      </w:r>
      <w:r w:rsidR="005C494C" w:rsidRPr="001D1BBB">
        <w:rPr>
          <w:rFonts w:ascii="Times New Roman" w:hAnsi="Times New Roman" w:cs="Times New Roman"/>
          <w:b/>
          <w:bCs/>
          <w:color w:val="FF0000"/>
        </w:rPr>
        <w:t>comparative analysis</w:t>
      </w:r>
      <w:r w:rsidR="005C494C" w:rsidRPr="001D1BBB">
        <w:rPr>
          <w:rFonts w:ascii="Times New Roman" w:hAnsi="Times New Roman" w:cs="Times New Roman"/>
          <w:color w:val="FF0000"/>
        </w:rPr>
        <w:t xml:space="preserve"> in the discussion, not as the actual test condition.</w:t>
      </w:r>
    </w:p>
    <w:p w14:paraId="39CEE1FC" w14:textId="77777777" w:rsidR="005C494C" w:rsidRPr="001D1BBB" w:rsidRDefault="005C494C"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color w:val="FF0000"/>
        </w:rPr>
        <w:t>We have revised the manuscript to explicitly state this procedure and added a brief explanation in the Experimental and Results sections for clarity. We hope this resolves the reviewer’s concern.</w:t>
      </w:r>
    </w:p>
    <w:p w14:paraId="7843B6D5" w14:textId="750E71AE"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rPr>
      </w:pPr>
      <w:r w:rsidRPr="001D1BBB">
        <w:rPr>
          <w:rFonts w:ascii="Times New Roman" w:hAnsi="Times New Roman" w:cs="Times New Roman"/>
        </w:rPr>
        <w:t xml:space="preserve">The photogenerated electrons and intrinsic electrons should be denoted uniformly through the manuscript. </w:t>
      </w:r>
    </w:p>
    <w:p w14:paraId="5AD8D5A8" w14:textId="4F29D700" w:rsidR="005C494C" w:rsidRPr="001D1BBB" w:rsidRDefault="003F5B20"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color w:val="FF0000"/>
        </w:rPr>
        <w:sym w:font="Wingdings" w:char="F0E0"/>
      </w:r>
      <w:r w:rsidRPr="001D1BBB">
        <w:rPr>
          <w:rFonts w:ascii="Times New Roman" w:hAnsi="Times New Roman" w:cs="Times New Roman"/>
          <w:color w:val="FF0000"/>
        </w:rPr>
        <w:t xml:space="preserve"> </w:t>
      </w:r>
      <w:r w:rsidR="005C494C" w:rsidRPr="001D1BBB">
        <w:rPr>
          <w:rFonts w:ascii="Times New Roman" w:hAnsi="Times New Roman" w:cs="Times New Roman"/>
          <w:color w:val="FF0000"/>
        </w:rPr>
        <w:t>We appreciate the reviewer’s observation. In the revised manuscript, we have carefully reviewed and standardized the terminology related to charge carriers to avoid confusion. Specifically:</w:t>
      </w:r>
      <w:r w:rsidRPr="001D1BBB">
        <w:rPr>
          <w:rFonts w:ascii="Times New Roman" w:hAnsi="Times New Roman" w:cs="Times New Roman"/>
          <w:color w:val="FF0000"/>
        </w:rPr>
        <w:t xml:space="preserve"> (1) </w:t>
      </w:r>
      <w:r w:rsidR="005C494C" w:rsidRPr="001D1BBB">
        <w:rPr>
          <w:rFonts w:ascii="Times New Roman" w:hAnsi="Times New Roman" w:cs="Times New Roman"/>
          <w:b/>
          <w:bCs/>
          <w:color w:val="FF0000"/>
        </w:rPr>
        <w:t>Photogenerated electrons</w:t>
      </w:r>
      <w:r w:rsidR="005C494C" w:rsidRPr="001D1BBB">
        <w:rPr>
          <w:rFonts w:ascii="Times New Roman" w:hAnsi="Times New Roman" w:cs="Times New Roman"/>
          <w:color w:val="FF0000"/>
        </w:rPr>
        <w:t xml:space="preserve"> are consistently referred to as </w:t>
      </w:r>
      <w:r w:rsidR="005C494C" w:rsidRPr="001D1BBB">
        <w:rPr>
          <w:rFonts w:ascii="Times New Roman" w:hAnsi="Times New Roman" w:cs="Times New Roman"/>
          <w:i/>
          <w:iCs/>
          <w:color w:val="FF0000"/>
        </w:rPr>
        <w:t>photo-induced electrons</w:t>
      </w:r>
      <w:r w:rsidR="005C494C" w:rsidRPr="001D1BBB">
        <w:rPr>
          <w:rFonts w:ascii="Times New Roman" w:hAnsi="Times New Roman" w:cs="Times New Roman"/>
          <w:color w:val="FF0000"/>
        </w:rPr>
        <w:t xml:space="preserve"> or </w:t>
      </w:r>
      <w:r w:rsidR="005C494C" w:rsidRPr="001D1BBB">
        <w:rPr>
          <w:rFonts w:ascii="Times New Roman" w:hAnsi="Times New Roman" w:cs="Times New Roman"/>
          <w:i/>
          <w:iCs/>
          <w:color w:val="FF0000"/>
        </w:rPr>
        <w:t>photogenerated carriers</w:t>
      </w:r>
      <w:r w:rsidR="005C494C" w:rsidRPr="001D1BBB">
        <w:rPr>
          <w:rFonts w:ascii="Times New Roman" w:hAnsi="Times New Roman" w:cs="Times New Roman"/>
          <w:color w:val="FF0000"/>
        </w:rPr>
        <w:t xml:space="preserve"> (when both electrons and holes are involved), particularly under UV irradiation conditions.</w:t>
      </w:r>
      <w:r w:rsidRPr="001D1BBB">
        <w:rPr>
          <w:rFonts w:ascii="Times New Roman" w:hAnsi="Times New Roman" w:cs="Times New Roman"/>
          <w:color w:val="FF0000"/>
        </w:rPr>
        <w:t xml:space="preserve"> (2) </w:t>
      </w:r>
      <w:r w:rsidR="005C494C" w:rsidRPr="001D1BBB">
        <w:rPr>
          <w:rFonts w:ascii="Times New Roman" w:hAnsi="Times New Roman" w:cs="Times New Roman"/>
          <w:b/>
          <w:bCs/>
          <w:color w:val="FF0000"/>
        </w:rPr>
        <w:t>Intrinsic electrons</w:t>
      </w:r>
      <w:r w:rsidR="005C494C" w:rsidRPr="001D1BBB">
        <w:rPr>
          <w:rFonts w:ascii="Times New Roman" w:hAnsi="Times New Roman" w:cs="Times New Roman"/>
          <w:color w:val="FF0000"/>
        </w:rPr>
        <w:t xml:space="preserve"> (those originating from the n-type nature of ZnO or </w:t>
      </w:r>
      <w:r w:rsidR="005C494C" w:rsidRPr="001D1BBB">
        <w:rPr>
          <w:rFonts w:ascii="Times New Roman" w:hAnsi="Times New Roman" w:cs="Times New Roman"/>
          <w:color w:val="FF0000"/>
        </w:rPr>
        <w:lastRenderedPageBreak/>
        <w:t xml:space="preserve">donor defects such as oxygen vacancies) are now consistently referred to as </w:t>
      </w:r>
      <w:r w:rsidR="005C494C" w:rsidRPr="001D1BBB">
        <w:rPr>
          <w:rFonts w:ascii="Times New Roman" w:hAnsi="Times New Roman" w:cs="Times New Roman"/>
          <w:i/>
          <w:iCs/>
          <w:color w:val="FF0000"/>
        </w:rPr>
        <w:t>intrinsic electrons</w:t>
      </w:r>
      <w:r w:rsidR="005C494C" w:rsidRPr="001D1BBB">
        <w:rPr>
          <w:rFonts w:ascii="Times New Roman" w:hAnsi="Times New Roman" w:cs="Times New Roman"/>
          <w:color w:val="FF0000"/>
        </w:rPr>
        <w:t xml:space="preserve"> or </w:t>
      </w:r>
      <w:r w:rsidR="005C494C" w:rsidRPr="001D1BBB">
        <w:rPr>
          <w:rFonts w:ascii="Times New Roman" w:hAnsi="Times New Roman" w:cs="Times New Roman"/>
          <w:i/>
          <w:iCs/>
          <w:color w:val="FF0000"/>
        </w:rPr>
        <w:t>native free electrons</w:t>
      </w:r>
      <w:r w:rsidR="005C494C" w:rsidRPr="001D1BBB">
        <w:rPr>
          <w:rFonts w:ascii="Times New Roman" w:hAnsi="Times New Roman" w:cs="Times New Roman"/>
          <w:color w:val="FF0000"/>
        </w:rPr>
        <w:t>.</w:t>
      </w:r>
    </w:p>
    <w:p w14:paraId="559FA8C0" w14:textId="180D65A7" w:rsidR="005C494C" w:rsidRPr="001D1BBB" w:rsidRDefault="005C494C" w:rsidP="001D1BBB">
      <w:pPr>
        <w:spacing w:before="120" w:after="120" w:line="240" w:lineRule="auto"/>
        <w:jc w:val="both"/>
        <w:rPr>
          <w:rFonts w:ascii="Times New Roman" w:hAnsi="Times New Roman" w:cs="Times New Roman"/>
          <w:color w:val="FF0000"/>
        </w:rPr>
      </w:pPr>
      <w:r w:rsidRPr="001D1BBB">
        <w:rPr>
          <w:rFonts w:ascii="Times New Roman" w:hAnsi="Times New Roman" w:cs="Times New Roman"/>
          <w:color w:val="FF0000"/>
        </w:rPr>
        <w:t>This uniformity has been implemented throughout the discussion and mechanism sections to ensure clarity in distinguishing between the two types of charge carriers involved in the sensing process.</w:t>
      </w:r>
    </w:p>
    <w:p w14:paraId="58CA0F33" w14:textId="2769A1F3"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rPr>
      </w:pPr>
      <w:r w:rsidRPr="001D1BBB">
        <w:rPr>
          <w:rFonts w:ascii="Times New Roman" w:hAnsi="Times New Roman" w:cs="Times New Roman"/>
        </w:rPr>
        <w:t xml:space="preserve">The value of XRD intensity in Figure 3 is not necessary. </w:t>
      </w:r>
    </w:p>
    <w:p w14:paraId="435F5F92" w14:textId="77777777" w:rsidR="008F1A85" w:rsidRPr="001D1BBB" w:rsidRDefault="003F5B20" w:rsidP="001D1BBB">
      <w:pPr>
        <w:spacing w:before="120" w:after="120" w:line="240" w:lineRule="auto"/>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In figure 3, that is EDS. </w:t>
      </w:r>
      <w:r w:rsidR="005C494C" w:rsidRPr="001D1BBB">
        <w:rPr>
          <w:rFonts w:ascii="Times New Roman" w:hAnsi="Times New Roman" w:cs="Times New Roman"/>
          <w:i/>
          <w:iCs/>
          <w:color w:val="FF0000"/>
        </w:rPr>
        <w:t>We appreciate the reviewer’s suggestion. We agree that displaying the absolute values of EDS intensity is not essential for elemental identification. Accordingly, we have removed the intensity values from Figure 3 in the revised manuscript. The focus is now on the peak positions and relative intensities, which are sufficient to confirm the elemental composition of the samples.</w:t>
      </w:r>
    </w:p>
    <w:p w14:paraId="5AB60140" w14:textId="67CD521E"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i/>
          <w:iCs/>
        </w:rPr>
      </w:pPr>
      <w:r w:rsidRPr="001D1BBB">
        <w:rPr>
          <w:rFonts w:ascii="Times New Roman" w:hAnsi="Times New Roman" w:cs="Times New Roman"/>
        </w:rPr>
        <w:t xml:space="preserve">To be favorable for the readers to understand the role of Au particles in the enhancing the gas-sensing properties, a schematic illustration of Au-ZnO Schottky contact should be added.  </w:t>
      </w:r>
    </w:p>
    <w:p w14:paraId="3AAFC946" w14:textId="220D8139" w:rsidR="000961A3" w:rsidRPr="001D1BBB" w:rsidRDefault="008F1A85"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sym w:font="Wingdings" w:char="F0E0"/>
      </w:r>
      <w:r w:rsidRPr="001D1BBB">
        <w:rPr>
          <w:rFonts w:ascii="Times New Roman" w:hAnsi="Times New Roman" w:cs="Times New Roman"/>
          <w:i/>
          <w:iCs/>
          <w:color w:val="FF0000"/>
        </w:rPr>
        <w:t xml:space="preserve"> </w:t>
      </w:r>
      <w:r w:rsidR="000961A3" w:rsidRPr="001D1BBB">
        <w:rPr>
          <w:rFonts w:ascii="Times New Roman" w:hAnsi="Times New Roman" w:cs="Times New Roman"/>
          <w:i/>
          <w:iCs/>
          <w:color w:val="FF0000"/>
        </w:rPr>
        <w:t xml:space="preserve">We thank the reviewer for this valuable suggestion. To provide a clearer understanding of the role of Au nanoparticles in enhancing the gas-sensing performance, we have added a </w:t>
      </w:r>
      <w:r w:rsidR="000961A3" w:rsidRPr="001D1BBB">
        <w:rPr>
          <w:rFonts w:ascii="Times New Roman" w:hAnsi="Times New Roman" w:cs="Times New Roman"/>
          <w:b/>
          <w:bCs/>
          <w:i/>
          <w:iCs/>
          <w:color w:val="FF0000"/>
        </w:rPr>
        <w:t>schematic illustration</w:t>
      </w:r>
      <w:r w:rsidR="000961A3" w:rsidRPr="001D1BBB">
        <w:rPr>
          <w:rFonts w:ascii="Times New Roman" w:hAnsi="Times New Roman" w:cs="Times New Roman"/>
          <w:i/>
          <w:iCs/>
          <w:color w:val="FF0000"/>
        </w:rPr>
        <w:t xml:space="preserve"> in the revised manuscript (now Figure </w:t>
      </w:r>
      <w:r w:rsidR="009D6EE6" w:rsidRPr="001D1BBB">
        <w:rPr>
          <w:rFonts w:ascii="Times New Roman" w:hAnsi="Times New Roman" w:cs="Times New Roman"/>
          <w:i/>
          <w:iCs/>
          <w:color w:val="FF0000"/>
        </w:rPr>
        <w:t>9</w:t>
      </w:r>
      <w:r w:rsidR="000961A3" w:rsidRPr="001D1BBB">
        <w:rPr>
          <w:rFonts w:ascii="Times New Roman" w:hAnsi="Times New Roman" w:cs="Times New Roman"/>
          <w:i/>
          <w:iCs/>
          <w:color w:val="FF0000"/>
        </w:rPr>
        <w:t xml:space="preserve">) showing the formation of the </w:t>
      </w:r>
      <w:r w:rsidR="000961A3" w:rsidRPr="001D1BBB">
        <w:rPr>
          <w:rFonts w:ascii="Times New Roman" w:hAnsi="Times New Roman" w:cs="Times New Roman"/>
          <w:b/>
          <w:bCs/>
          <w:i/>
          <w:iCs/>
          <w:color w:val="FF0000"/>
        </w:rPr>
        <w:t>Schottky barrier</w:t>
      </w:r>
      <w:r w:rsidR="000961A3" w:rsidRPr="001D1BBB">
        <w:rPr>
          <w:rFonts w:ascii="Times New Roman" w:hAnsi="Times New Roman" w:cs="Times New Roman"/>
          <w:i/>
          <w:iCs/>
          <w:color w:val="FF0000"/>
        </w:rPr>
        <w:t xml:space="preserve"> at the Au–ZnO interface. This diagram highlights:</w:t>
      </w:r>
      <w:r w:rsidRPr="001D1BBB">
        <w:rPr>
          <w:rFonts w:ascii="Times New Roman" w:hAnsi="Times New Roman" w:cs="Times New Roman"/>
          <w:i/>
          <w:iCs/>
          <w:color w:val="FF0000"/>
        </w:rPr>
        <w:t xml:space="preserve"> (1) </w:t>
      </w:r>
      <w:r w:rsidR="000961A3" w:rsidRPr="001D1BBB">
        <w:rPr>
          <w:rFonts w:ascii="Times New Roman" w:hAnsi="Times New Roman" w:cs="Times New Roman"/>
          <w:i/>
          <w:iCs/>
          <w:color w:val="FF0000"/>
        </w:rPr>
        <w:t>The energy band alignment at the Au–ZnO contact,</w:t>
      </w:r>
      <w:r w:rsidRPr="001D1BBB">
        <w:rPr>
          <w:rFonts w:ascii="Times New Roman" w:hAnsi="Times New Roman" w:cs="Times New Roman"/>
          <w:i/>
          <w:iCs/>
          <w:color w:val="FF0000"/>
        </w:rPr>
        <w:t xml:space="preserve"> (2) </w:t>
      </w:r>
      <w:r w:rsidR="000961A3" w:rsidRPr="001D1BBB">
        <w:rPr>
          <w:rFonts w:ascii="Times New Roman" w:hAnsi="Times New Roman" w:cs="Times New Roman"/>
          <w:i/>
          <w:iCs/>
          <w:color w:val="FF0000"/>
        </w:rPr>
        <w:t>The charge carrier transfer and formation of depletion region,</w:t>
      </w:r>
      <w:r w:rsidRPr="001D1BBB">
        <w:rPr>
          <w:rFonts w:ascii="Times New Roman" w:hAnsi="Times New Roman" w:cs="Times New Roman"/>
          <w:i/>
          <w:iCs/>
          <w:color w:val="FF0000"/>
        </w:rPr>
        <w:t xml:space="preserve"> (3) </w:t>
      </w:r>
      <w:r w:rsidR="000961A3" w:rsidRPr="001D1BBB">
        <w:rPr>
          <w:rFonts w:ascii="Times New Roman" w:hAnsi="Times New Roman" w:cs="Times New Roman"/>
          <w:i/>
          <w:iCs/>
          <w:color w:val="FF0000"/>
        </w:rPr>
        <w:t>The enhancement in electron–hole separation and modulation of surface reaction kinetics under gas exposure.</w:t>
      </w:r>
    </w:p>
    <w:p w14:paraId="2D27EEEF" w14:textId="6E4866EB" w:rsidR="000961A3" w:rsidRPr="001D1BBB" w:rsidRDefault="000961A3" w:rsidP="001D1BBB">
      <w:pPr>
        <w:spacing w:before="120" w:after="120" w:line="240" w:lineRule="auto"/>
        <w:ind w:firstLine="567"/>
        <w:jc w:val="both"/>
        <w:rPr>
          <w:rFonts w:ascii="Times New Roman" w:hAnsi="Times New Roman" w:cs="Times New Roman"/>
          <w:i/>
          <w:iCs/>
          <w:color w:val="FF0000"/>
        </w:rPr>
      </w:pPr>
      <w:r w:rsidRPr="001D1BBB">
        <w:rPr>
          <w:rFonts w:ascii="Times New Roman" w:hAnsi="Times New Roman" w:cs="Times New Roman"/>
          <w:i/>
          <w:iCs/>
          <w:color w:val="FF0000"/>
        </w:rPr>
        <w:t>We believe this addition will help readers better visualize the proposed mechanism and support our discussion on the sensing enhancement.</w:t>
      </w:r>
    </w:p>
    <w:p w14:paraId="135AD968" w14:textId="2E736545"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rPr>
      </w:pPr>
      <w:r w:rsidRPr="001D1BBB">
        <w:rPr>
          <w:rFonts w:ascii="Times New Roman" w:hAnsi="Times New Roman" w:cs="Times New Roman"/>
        </w:rPr>
        <w:t xml:space="preserve">The numbers on the axis of the inset in Figure 8(b) is too small.  </w:t>
      </w:r>
    </w:p>
    <w:p w14:paraId="4A03A580" w14:textId="0EEAB886" w:rsidR="000961A3" w:rsidRPr="001D1BBB" w:rsidRDefault="000961A3" w:rsidP="001D1BBB">
      <w:pPr>
        <w:pStyle w:val="ListParagraph"/>
        <w:numPr>
          <w:ilvl w:val="0"/>
          <w:numId w:val="23"/>
        </w:numPr>
        <w:spacing w:before="120" w:after="120" w:line="240" w:lineRule="auto"/>
        <w:ind w:left="0" w:firstLine="284"/>
        <w:jc w:val="both"/>
        <w:rPr>
          <w:rFonts w:ascii="Times New Roman" w:hAnsi="Times New Roman" w:cs="Times New Roman"/>
          <w:color w:val="FF0000"/>
        </w:rPr>
      </w:pPr>
      <w:r w:rsidRPr="001D1BBB">
        <w:rPr>
          <w:rFonts w:ascii="Times New Roman" w:hAnsi="Times New Roman" w:cs="Times New Roman"/>
          <w:color w:val="FF0000"/>
        </w:rPr>
        <w:t>We appreciate the reviewer’s observation. We agree that the axis labels in the inset of Figure 8(b) were too small and may affect readability. In the revised manuscript, we have enlarged the font size of the axis numbers to improve clarity and ensure the figure is more accessible to readers.</w:t>
      </w:r>
    </w:p>
    <w:p w14:paraId="7052E4D6" w14:textId="6F637F27" w:rsidR="002F7018" w:rsidRPr="001D1BBB" w:rsidRDefault="002F7018" w:rsidP="001D1BBB">
      <w:pPr>
        <w:pStyle w:val="ListParagraph"/>
        <w:numPr>
          <w:ilvl w:val="0"/>
          <w:numId w:val="22"/>
        </w:numPr>
        <w:spacing w:before="120" w:after="120" w:line="240" w:lineRule="auto"/>
        <w:jc w:val="both"/>
        <w:rPr>
          <w:rFonts w:ascii="Times New Roman" w:hAnsi="Times New Roman" w:cs="Times New Roman"/>
        </w:rPr>
      </w:pPr>
      <w:r w:rsidRPr="001D1BBB">
        <w:rPr>
          <w:rFonts w:ascii="Times New Roman" w:hAnsi="Times New Roman" w:cs="Times New Roman"/>
        </w:rPr>
        <w:t>The unit part must be separated from the corresponding number parts, such as “365nm” to “365 nm”, “200oC” to “200 oC”.</w:t>
      </w:r>
    </w:p>
    <w:p w14:paraId="16B7C748" w14:textId="58E07B67" w:rsidR="000961A3" w:rsidRPr="001D1BBB" w:rsidRDefault="000961A3" w:rsidP="001D1BBB">
      <w:pPr>
        <w:pStyle w:val="ListParagraph"/>
        <w:numPr>
          <w:ilvl w:val="0"/>
          <w:numId w:val="23"/>
        </w:numPr>
        <w:spacing w:before="120" w:after="120" w:line="240" w:lineRule="auto"/>
        <w:ind w:left="0" w:firstLine="567"/>
        <w:jc w:val="both"/>
        <w:rPr>
          <w:rFonts w:ascii="Times New Roman" w:hAnsi="Times New Roman" w:cs="Times New Roman"/>
          <w:color w:val="FF0000"/>
        </w:rPr>
      </w:pPr>
      <w:r w:rsidRPr="001D1BBB">
        <w:rPr>
          <w:rFonts w:ascii="Times New Roman" w:hAnsi="Times New Roman" w:cs="Times New Roman"/>
          <w:color w:val="FF0000"/>
        </w:rPr>
        <w:t>Thank you for pointing out this formatting issue. We have carefully revised the manuscript and corrected all occurrences where the unit was not properly separated from the number. Specifically, “365nm” has been changed to “365 nm” and “200oC” to “200 °C”, following standard scientific writing conventions. These corrections have been applied consistently throughout the manuscript.</w:t>
      </w:r>
      <w:r w:rsidR="00B427D1" w:rsidRPr="001D1BBB">
        <w:rPr>
          <w:rFonts w:ascii="Times New Roman" w:hAnsi="Times New Roman" w:cs="Times New Roman"/>
          <w:color w:val="FF0000"/>
        </w:rPr>
        <w:fldChar w:fldCharType="begin"/>
      </w:r>
      <w:r w:rsidR="00B427D1" w:rsidRPr="001D1BBB">
        <w:rPr>
          <w:rFonts w:ascii="Times New Roman" w:hAnsi="Times New Roman" w:cs="Times New Roman"/>
          <w:color w:val="FF0000"/>
        </w:rPr>
        <w:instrText xml:space="preserve"> ADDIN EN.REFLIST </w:instrText>
      </w:r>
      <w:r w:rsidR="00B427D1" w:rsidRPr="001D1BBB">
        <w:rPr>
          <w:rFonts w:ascii="Times New Roman" w:hAnsi="Times New Roman" w:cs="Times New Roman"/>
          <w:color w:val="FF0000"/>
        </w:rPr>
        <w:fldChar w:fldCharType="separate"/>
      </w:r>
      <w:r w:rsidR="00B427D1" w:rsidRPr="001D1BBB">
        <w:rPr>
          <w:rFonts w:ascii="Times New Roman" w:hAnsi="Times New Roman" w:cs="Times New Roman"/>
          <w:color w:val="FF0000"/>
        </w:rPr>
        <w:fldChar w:fldCharType="end"/>
      </w:r>
    </w:p>
    <w:sectPr w:rsidR="000961A3" w:rsidRPr="001D1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AA0"/>
    <w:multiLevelType w:val="multilevel"/>
    <w:tmpl w:val="930C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34600"/>
    <w:multiLevelType w:val="multilevel"/>
    <w:tmpl w:val="55F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5965"/>
    <w:multiLevelType w:val="multilevel"/>
    <w:tmpl w:val="8ABC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C2BCE"/>
    <w:multiLevelType w:val="multilevel"/>
    <w:tmpl w:val="6D12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F24E2"/>
    <w:multiLevelType w:val="multilevel"/>
    <w:tmpl w:val="37F0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44B88"/>
    <w:multiLevelType w:val="multilevel"/>
    <w:tmpl w:val="DDC2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D7FD0"/>
    <w:multiLevelType w:val="multilevel"/>
    <w:tmpl w:val="586C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91F8B"/>
    <w:multiLevelType w:val="multilevel"/>
    <w:tmpl w:val="9100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920B9"/>
    <w:multiLevelType w:val="multilevel"/>
    <w:tmpl w:val="179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B380C"/>
    <w:multiLevelType w:val="multilevel"/>
    <w:tmpl w:val="CE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066AE"/>
    <w:multiLevelType w:val="hybridMultilevel"/>
    <w:tmpl w:val="87ECF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E5C34"/>
    <w:multiLevelType w:val="multilevel"/>
    <w:tmpl w:val="F5D2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611F9"/>
    <w:multiLevelType w:val="multilevel"/>
    <w:tmpl w:val="505AE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87A8E"/>
    <w:multiLevelType w:val="multilevel"/>
    <w:tmpl w:val="F7C2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56541A"/>
    <w:multiLevelType w:val="multilevel"/>
    <w:tmpl w:val="5C08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57237"/>
    <w:multiLevelType w:val="multilevel"/>
    <w:tmpl w:val="075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92373"/>
    <w:multiLevelType w:val="hybridMultilevel"/>
    <w:tmpl w:val="C9068A66"/>
    <w:lvl w:ilvl="0" w:tplc="C688C750">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2C6C"/>
    <w:multiLevelType w:val="multilevel"/>
    <w:tmpl w:val="E964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A46F12"/>
    <w:multiLevelType w:val="multilevel"/>
    <w:tmpl w:val="8690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E5420"/>
    <w:multiLevelType w:val="multilevel"/>
    <w:tmpl w:val="543A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054C7"/>
    <w:multiLevelType w:val="multilevel"/>
    <w:tmpl w:val="1D26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014D6C"/>
    <w:multiLevelType w:val="multilevel"/>
    <w:tmpl w:val="D92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F622B"/>
    <w:multiLevelType w:val="multilevel"/>
    <w:tmpl w:val="ACFC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193954">
    <w:abstractNumId w:val="19"/>
  </w:num>
  <w:num w:numId="2" w16cid:durableId="1398939265">
    <w:abstractNumId w:val="3"/>
  </w:num>
  <w:num w:numId="3" w16cid:durableId="104230715">
    <w:abstractNumId w:val="15"/>
  </w:num>
  <w:num w:numId="4" w16cid:durableId="191770589">
    <w:abstractNumId w:val="11"/>
  </w:num>
  <w:num w:numId="5" w16cid:durableId="441923083">
    <w:abstractNumId w:val="6"/>
  </w:num>
  <w:num w:numId="6" w16cid:durableId="1033725723">
    <w:abstractNumId w:val="13"/>
  </w:num>
  <w:num w:numId="7" w16cid:durableId="1194346488">
    <w:abstractNumId w:val="14"/>
  </w:num>
  <w:num w:numId="8" w16cid:durableId="1885865209">
    <w:abstractNumId w:val="12"/>
  </w:num>
  <w:num w:numId="9" w16cid:durableId="1907762794">
    <w:abstractNumId w:val="21"/>
  </w:num>
  <w:num w:numId="10" w16cid:durableId="983512732">
    <w:abstractNumId w:val="17"/>
  </w:num>
  <w:num w:numId="11" w16cid:durableId="1902011971">
    <w:abstractNumId w:val="0"/>
  </w:num>
  <w:num w:numId="12" w16cid:durableId="905645352">
    <w:abstractNumId w:val="2"/>
  </w:num>
  <w:num w:numId="13" w16cid:durableId="179785234">
    <w:abstractNumId w:val="18"/>
  </w:num>
  <w:num w:numId="14" w16cid:durableId="721631790">
    <w:abstractNumId w:val="4"/>
  </w:num>
  <w:num w:numId="15" w16cid:durableId="247350288">
    <w:abstractNumId w:val="7"/>
  </w:num>
  <w:num w:numId="16" w16cid:durableId="1318614486">
    <w:abstractNumId w:val="22"/>
  </w:num>
  <w:num w:numId="17" w16cid:durableId="4210325">
    <w:abstractNumId w:val="5"/>
  </w:num>
  <w:num w:numId="18" w16cid:durableId="990258336">
    <w:abstractNumId w:val="8"/>
  </w:num>
  <w:num w:numId="19" w16cid:durableId="1314021697">
    <w:abstractNumId w:val="9"/>
  </w:num>
  <w:num w:numId="20" w16cid:durableId="1988780086">
    <w:abstractNumId w:val="1"/>
  </w:num>
  <w:num w:numId="21" w16cid:durableId="1516263065">
    <w:abstractNumId w:val="20"/>
  </w:num>
  <w:num w:numId="22" w16cid:durableId="895630521">
    <w:abstractNumId w:val="10"/>
  </w:num>
  <w:num w:numId="23" w16cid:durableId="464353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HQN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rfe5ep1rrf5qe5fpyxrezjxew9rt0adad5&quot;&gt;My EndNote Library&lt;record-ids&gt;&lt;item&gt;4527&lt;/item&gt;&lt;/record-ids&gt;&lt;/item&gt;&lt;/Libraries&gt;"/>
  </w:docVars>
  <w:rsids>
    <w:rsidRoot w:val="00676A74"/>
    <w:rsid w:val="000961A3"/>
    <w:rsid w:val="001160E5"/>
    <w:rsid w:val="001B1951"/>
    <w:rsid w:val="001C13A8"/>
    <w:rsid w:val="001D1BBB"/>
    <w:rsid w:val="00211D76"/>
    <w:rsid w:val="002D1136"/>
    <w:rsid w:val="002F3FF5"/>
    <w:rsid w:val="002F4804"/>
    <w:rsid w:val="002F7018"/>
    <w:rsid w:val="003471BD"/>
    <w:rsid w:val="00380C80"/>
    <w:rsid w:val="003F5B20"/>
    <w:rsid w:val="00427ADF"/>
    <w:rsid w:val="0056025F"/>
    <w:rsid w:val="0057202A"/>
    <w:rsid w:val="00590293"/>
    <w:rsid w:val="005C494C"/>
    <w:rsid w:val="006652A8"/>
    <w:rsid w:val="00676A74"/>
    <w:rsid w:val="006A2760"/>
    <w:rsid w:val="00747996"/>
    <w:rsid w:val="0081242C"/>
    <w:rsid w:val="008F1A85"/>
    <w:rsid w:val="00965C58"/>
    <w:rsid w:val="009D615C"/>
    <w:rsid w:val="009D6EE6"/>
    <w:rsid w:val="00A30556"/>
    <w:rsid w:val="00A516A4"/>
    <w:rsid w:val="00A7055E"/>
    <w:rsid w:val="00B14C70"/>
    <w:rsid w:val="00B405A4"/>
    <w:rsid w:val="00B427D1"/>
    <w:rsid w:val="00B85F92"/>
    <w:rsid w:val="00BB115B"/>
    <w:rsid w:val="00C02E8E"/>
    <w:rsid w:val="00D07EB1"/>
    <w:rsid w:val="00D15B67"/>
    <w:rsid w:val="00DC7C73"/>
    <w:rsid w:val="00DD6165"/>
    <w:rsid w:val="00E717B7"/>
    <w:rsid w:val="00E97989"/>
    <w:rsid w:val="00E97E50"/>
    <w:rsid w:val="00EF6DE9"/>
    <w:rsid w:val="00FC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1D92"/>
  <w15:chartTrackingRefBased/>
  <w15:docId w15:val="{0F8D0B44-0B8A-4EE6-BF26-E5408E8E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6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A74"/>
    <w:rPr>
      <w:rFonts w:eastAsiaTheme="majorEastAsia" w:cstheme="majorBidi"/>
      <w:color w:val="272727" w:themeColor="text1" w:themeTint="D8"/>
    </w:rPr>
  </w:style>
  <w:style w:type="paragraph" w:styleId="Title">
    <w:name w:val="Title"/>
    <w:basedOn w:val="Normal"/>
    <w:next w:val="Normal"/>
    <w:link w:val="TitleChar"/>
    <w:uiPriority w:val="10"/>
    <w:qFormat/>
    <w:rsid w:val="0067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A74"/>
    <w:pPr>
      <w:spacing w:before="160"/>
      <w:jc w:val="center"/>
    </w:pPr>
    <w:rPr>
      <w:i/>
      <w:iCs/>
      <w:color w:val="404040" w:themeColor="text1" w:themeTint="BF"/>
    </w:rPr>
  </w:style>
  <w:style w:type="character" w:customStyle="1" w:styleId="QuoteChar">
    <w:name w:val="Quote Char"/>
    <w:basedOn w:val="DefaultParagraphFont"/>
    <w:link w:val="Quote"/>
    <w:uiPriority w:val="29"/>
    <w:rsid w:val="00676A74"/>
    <w:rPr>
      <w:i/>
      <w:iCs/>
      <w:color w:val="404040" w:themeColor="text1" w:themeTint="BF"/>
    </w:rPr>
  </w:style>
  <w:style w:type="paragraph" w:styleId="ListParagraph">
    <w:name w:val="List Paragraph"/>
    <w:basedOn w:val="Normal"/>
    <w:uiPriority w:val="34"/>
    <w:qFormat/>
    <w:rsid w:val="00676A74"/>
    <w:pPr>
      <w:ind w:left="720"/>
      <w:contextualSpacing/>
    </w:pPr>
  </w:style>
  <w:style w:type="character" w:styleId="IntenseEmphasis">
    <w:name w:val="Intense Emphasis"/>
    <w:basedOn w:val="DefaultParagraphFont"/>
    <w:uiPriority w:val="21"/>
    <w:qFormat/>
    <w:rsid w:val="00676A74"/>
    <w:rPr>
      <w:i/>
      <w:iCs/>
      <w:color w:val="2F5496" w:themeColor="accent1" w:themeShade="BF"/>
    </w:rPr>
  </w:style>
  <w:style w:type="paragraph" w:styleId="IntenseQuote">
    <w:name w:val="Intense Quote"/>
    <w:basedOn w:val="Normal"/>
    <w:next w:val="Normal"/>
    <w:link w:val="IntenseQuoteChar"/>
    <w:uiPriority w:val="30"/>
    <w:qFormat/>
    <w:rsid w:val="00676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A74"/>
    <w:rPr>
      <w:i/>
      <w:iCs/>
      <w:color w:val="2F5496" w:themeColor="accent1" w:themeShade="BF"/>
    </w:rPr>
  </w:style>
  <w:style w:type="character" w:styleId="IntenseReference">
    <w:name w:val="Intense Reference"/>
    <w:basedOn w:val="DefaultParagraphFont"/>
    <w:uiPriority w:val="32"/>
    <w:qFormat/>
    <w:rsid w:val="00676A74"/>
    <w:rPr>
      <w:b/>
      <w:bCs/>
      <w:smallCaps/>
      <w:color w:val="2F5496" w:themeColor="accent1" w:themeShade="BF"/>
      <w:spacing w:val="5"/>
    </w:rPr>
  </w:style>
  <w:style w:type="character" w:styleId="Hyperlink">
    <w:name w:val="Hyperlink"/>
    <w:basedOn w:val="DefaultParagraphFont"/>
    <w:uiPriority w:val="99"/>
    <w:unhideWhenUsed/>
    <w:rsid w:val="001160E5"/>
    <w:rPr>
      <w:color w:val="0563C1" w:themeColor="hyperlink"/>
      <w:u w:val="single"/>
    </w:rPr>
  </w:style>
  <w:style w:type="character" w:styleId="UnresolvedMention">
    <w:name w:val="Unresolved Mention"/>
    <w:basedOn w:val="DefaultParagraphFont"/>
    <w:uiPriority w:val="99"/>
    <w:semiHidden/>
    <w:unhideWhenUsed/>
    <w:rsid w:val="001160E5"/>
    <w:rPr>
      <w:color w:val="605E5C"/>
      <w:shd w:val="clear" w:color="auto" w:fill="E1DFDD"/>
    </w:rPr>
  </w:style>
  <w:style w:type="character" w:styleId="FollowedHyperlink">
    <w:name w:val="FollowedHyperlink"/>
    <w:basedOn w:val="DefaultParagraphFont"/>
    <w:uiPriority w:val="99"/>
    <w:semiHidden/>
    <w:unhideWhenUsed/>
    <w:rsid w:val="000961A3"/>
    <w:rPr>
      <w:color w:val="954F72" w:themeColor="followedHyperlink"/>
      <w:u w:val="single"/>
    </w:rPr>
  </w:style>
  <w:style w:type="paragraph" w:customStyle="1" w:styleId="EndNoteBibliographyTitle">
    <w:name w:val="EndNote Bibliography Title"/>
    <w:basedOn w:val="Normal"/>
    <w:link w:val="EndNoteBibliographyTitleChar"/>
    <w:rsid w:val="00B427D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427D1"/>
    <w:rPr>
      <w:rFonts w:ascii="Calibri" w:hAnsi="Calibri" w:cs="Calibri"/>
      <w:noProof/>
    </w:rPr>
  </w:style>
  <w:style w:type="paragraph" w:customStyle="1" w:styleId="EndNoteBibliography">
    <w:name w:val="EndNote Bibliography"/>
    <w:basedOn w:val="Normal"/>
    <w:link w:val="EndNoteBibliographyChar"/>
    <w:rsid w:val="00B427D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427D1"/>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5276">
      <w:bodyDiv w:val="1"/>
      <w:marLeft w:val="0"/>
      <w:marRight w:val="0"/>
      <w:marTop w:val="0"/>
      <w:marBottom w:val="0"/>
      <w:divBdr>
        <w:top w:val="none" w:sz="0" w:space="0" w:color="auto"/>
        <w:left w:val="none" w:sz="0" w:space="0" w:color="auto"/>
        <w:bottom w:val="none" w:sz="0" w:space="0" w:color="auto"/>
        <w:right w:val="none" w:sz="0" w:space="0" w:color="auto"/>
      </w:divBdr>
    </w:div>
    <w:div w:id="210580475">
      <w:bodyDiv w:val="1"/>
      <w:marLeft w:val="0"/>
      <w:marRight w:val="0"/>
      <w:marTop w:val="0"/>
      <w:marBottom w:val="0"/>
      <w:divBdr>
        <w:top w:val="none" w:sz="0" w:space="0" w:color="auto"/>
        <w:left w:val="none" w:sz="0" w:space="0" w:color="auto"/>
        <w:bottom w:val="none" w:sz="0" w:space="0" w:color="auto"/>
        <w:right w:val="none" w:sz="0" w:space="0" w:color="auto"/>
      </w:divBdr>
    </w:div>
    <w:div w:id="254825929">
      <w:bodyDiv w:val="1"/>
      <w:marLeft w:val="0"/>
      <w:marRight w:val="0"/>
      <w:marTop w:val="0"/>
      <w:marBottom w:val="0"/>
      <w:divBdr>
        <w:top w:val="none" w:sz="0" w:space="0" w:color="auto"/>
        <w:left w:val="none" w:sz="0" w:space="0" w:color="auto"/>
        <w:bottom w:val="none" w:sz="0" w:space="0" w:color="auto"/>
        <w:right w:val="none" w:sz="0" w:space="0" w:color="auto"/>
      </w:divBdr>
      <w:divsChild>
        <w:div w:id="440035849">
          <w:marLeft w:val="0"/>
          <w:marRight w:val="0"/>
          <w:marTop w:val="0"/>
          <w:marBottom w:val="0"/>
          <w:divBdr>
            <w:top w:val="none" w:sz="0" w:space="0" w:color="auto"/>
            <w:left w:val="none" w:sz="0" w:space="0" w:color="auto"/>
            <w:bottom w:val="none" w:sz="0" w:space="0" w:color="auto"/>
            <w:right w:val="none" w:sz="0" w:space="0" w:color="auto"/>
          </w:divBdr>
        </w:div>
        <w:div w:id="86509952">
          <w:marLeft w:val="0"/>
          <w:marRight w:val="0"/>
          <w:marTop w:val="0"/>
          <w:marBottom w:val="0"/>
          <w:divBdr>
            <w:top w:val="none" w:sz="0" w:space="0" w:color="auto"/>
            <w:left w:val="none" w:sz="0" w:space="0" w:color="auto"/>
            <w:bottom w:val="none" w:sz="0" w:space="0" w:color="auto"/>
            <w:right w:val="none" w:sz="0" w:space="0" w:color="auto"/>
          </w:divBdr>
        </w:div>
      </w:divsChild>
    </w:div>
    <w:div w:id="288828470">
      <w:bodyDiv w:val="1"/>
      <w:marLeft w:val="0"/>
      <w:marRight w:val="0"/>
      <w:marTop w:val="0"/>
      <w:marBottom w:val="0"/>
      <w:divBdr>
        <w:top w:val="none" w:sz="0" w:space="0" w:color="auto"/>
        <w:left w:val="none" w:sz="0" w:space="0" w:color="auto"/>
        <w:bottom w:val="none" w:sz="0" w:space="0" w:color="auto"/>
        <w:right w:val="none" w:sz="0" w:space="0" w:color="auto"/>
      </w:divBdr>
    </w:div>
    <w:div w:id="289897019">
      <w:bodyDiv w:val="1"/>
      <w:marLeft w:val="0"/>
      <w:marRight w:val="0"/>
      <w:marTop w:val="0"/>
      <w:marBottom w:val="0"/>
      <w:divBdr>
        <w:top w:val="none" w:sz="0" w:space="0" w:color="auto"/>
        <w:left w:val="none" w:sz="0" w:space="0" w:color="auto"/>
        <w:bottom w:val="none" w:sz="0" w:space="0" w:color="auto"/>
        <w:right w:val="none" w:sz="0" w:space="0" w:color="auto"/>
      </w:divBdr>
      <w:divsChild>
        <w:div w:id="159464783">
          <w:marLeft w:val="0"/>
          <w:marRight w:val="0"/>
          <w:marTop w:val="0"/>
          <w:marBottom w:val="0"/>
          <w:divBdr>
            <w:top w:val="none" w:sz="0" w:space="0" w:color="auto"/>
            <w:left w:val="none" w:sz="0" w:space="0" w:color="auto"/>
            <w:bottom w:val="none" w:sz="0" w:space="0" w:color="auto"/>
            <w:right w:val="none" w:sz="0" w:space="0" w:color="auto"/>
          </w:divBdr>
        </w:div>
      </w:divsChild>
    </w:div>
    <w:div w:id="314535230">
      <w:bodyDiv w:val="1"/>
      <w:marLeft w:val="0"/>
      <w:marRight w:val="0"/>
      <w:marTop w:val="0"/>
      <w:marBottom w:val="0"/>
      <w:divBdr>
        <w:top w:val="none" w:sz="0" w:space="0" w:color="auto"/>
        <w:left w:val="none" w:sz="0" w:space="0" w:color="auto"/>
        <w:bottom w:val="none" w:sz="0" w:space="0" w:color="auto"/>
        <w:right w:val="none" w:sz="0" w:space="0" w:color="auto"/>
      </w:divBdr>
    </w:div>
    <w:div w:id="467287867">
      <w:bodyDiv w:val="1"/>
      <w:marLeft w:val="0"/>
      <w:marRight w:val="0"/>
      <w:marTop w:val="0"/>
      <w:marBottom w:val="0"/>
      <w:divBdr>
        <w:top w:val="none" w:sz="0" w:space="0" w:color="auto"/>
        <w:left w:val="none" w:sz="0" w:space="0" w:color="auto"/>
        <w:bottom w:val="none" w:sz="0" w:space="0" w:color="auto"/>
        <w:right w:val="none" w:sz="0" w:space="0" w:color="auto"/>
      </w:divBdr>
    </w:div>
    <w:div w:id="483469643">
      <w:bodyDiv w:val="1"/>
      <w:marLeft w:val="0"/>
      <w:marRight w:val="0"/>
      <w:marTop w:val="0"/>
      <w:marBottom w:val="0"/>
      <w:divBdr>
        <w:top w:val="none" w:sz="0" w:space="0" w:color="auto"/>
        <w:left w:val="none" w:sz="0" w:space="0" w:color="auto"/>
        <w:bottom w:val="none" w:sz="0" w:space="0" w:color="auto"/>
        <w:right w:val="none" w:sz="0" w:space="0" w:color="auto"/>
      </w:divBdr>
    </w:div>
    <w:div w:id="503327005">
      <w:bodyDiv w:val="1"/>
      <w:marLeft w:val="0"/>
      <w:marRight w:val="0"/>
      <w:marTop w:val="0"/>
      <w:marBottom w:val="0"/>
      <w:divBdr>
        <w:top w:val="none" w:sz="0" w:space="0" w:color="auto"/>
        <w:left w:val="none" w:sz="0" w:space="0" w:color="auto"/>
        <w:bottom w:val="none" w:sz="0" w:space="0" w:color="auto"/>
        <w:right w:val="none" w:sz="0" w:space="0" w:color="auto"/>
      </w:divBdr>
    </w:div>
    <w:div w:id="543756152">
      <w:bodyDiv w:val="1"/>
      <w:marLeft w:val="0"/>
      <w:marRight w:val="0"/>
      <w:marTop w:val="0"/>
      <w:marBottom w:val="0"/>
      <w:divBdr>
        <w:top w:val="none" w:sz="0" w:space="0" w:color="auto"/>
        <w:left w:val="none" w:sz="0" w:space="0" w:color="auto"/>
        <w:bottom w:val="none" w:sz="0" w:space="0" w:color="auto"/>
        <w:right w:val="none" w:sz="0" w:space="0" w:color="auto"/>
      </w:divBdr>
    </w:div>
    <w:div w:id="564224908">
      <w:bodyDiv w:val="1"/>
      <w:marLeft w:val="0"/>
      <w:marRight w:val="0"/>
      <w:marTop w:val="0"/>
      <w:marBottom w:val="0"/>
      <w:divBdr>
        <w:top w:val="none" w:sz="0" w:space="0" w:color="auto"/>
        <w:left w:val="none" w:sz="0" w:space="0" w:color="auto"/>
        <w:bottom w:val="none" w:sz="0" w:space="0" w:color="auto"/>
        <w:right w:val="none" w:sz="0" w:space="0" w:color="auto"/>
      </w:divBdr>
      <w:divsChild>
        <w:div w:id="503667516">
          <w:marLeft w:val="0"/>
          <w:marRight w:val="0"/>
          <w:marTop w:val="0"/>
          <w:marBottom w:val="0"/>
          <w:divBdr>
            <w:top w:val="none" w:sz="0" w:space="0" w:color="auto"/>
            <w:left w:val="none" w:sz="0" w:space="0" w:color="auto"/>
            <w:bottom w:val="none" w:sz="0" w:space="0" w:color="auto"/>
            <w:right w:val="none" w:sz="0" w:space="0" w:color="auto"/>
          </w:divBdr>
        </w:div>
        <w:div w:id="1070926005">
          <w:marLeft w:val="0"/>
          <w:marRight w:val="0"/>
          <w:marTop w:val="0"/>
          <w:marBottom w:val="0"/>
          <w:divBdr>
            <w:top w:val="none" w:sz="0" w:space="0" w:color="auto"/>
            <w:left w:val="none" w:sz="0" w:space="0" w:color="auto"/>
            <w:bottom w:val="none" w:sz="0" w:space="0" w:color="auto"/>
            <w:right w:val="none" w:sz="0" w:space="0" w:color="auto"/>
          </w:divBdr>
        </w:div>
      </w:divsChild>
    </w:div>
    <w:div w:id="567765258">
      <w:bodyDiv w:val="1"/>
      <w:marLeft w:val="0"/>
      <w:marRight w:val="0"/>
      <w:marTop w:val="0"/>
      <w:marBottom w:val="0"/>
      <w:divBdr>
        <w:top w:val="none" w:sz="0" w:space="0" w:color="auto"/>
        <w:left w:val="none" w:sz="0" w:space="0" w:color="auto"/>
        <w:bottom w:val="none" w:sz="0" w:space="0" w:color="auto"/>
        <w:right w:val="none" w:sz="0" w:space="0" w:color="auto"/>
      </w:divBdr>
    </w:div>
    <w:div w:id="583420841">
      <w:bodyDiv w:val="1"/>
      <w:marLeft w:val="0"/>
      <w:marRight w:val="0"/>
      <w:marTop w:val="0"/>
      <w:marBottom w:val="0"/>
      <w:divBdr>
        <w:top w:val="none" w:sz="0" w:space="0" w:color="auto"/>
        <w:left w:val="none" w:sz="0" w:space="0" w:color="auto"/>
        <w:bottom w:val="none" w:sz="0" w:space="0" w:color="auto"/>
        <w:right w:val="none" w:sz="0" w:space="0" w:color="auto"/>
      </w:divBdr>
    </w:div>
    <w:div w:id="584582155">
      <w:bodyDiv w:val="1"/>
      <w:marLeft w:val="0"/>
      <w:marRight w:val="0"/>
      <w:marTop w:val="0"/>
      <w:marBottom w:val="0"/>
      <w:divBdr>
        <w:top w:val="none" w:sz="0" w:space="0" w:color="auto"/>
        <w:left w:val="none" w:sz="0" w:space="0" w:color="auto"/>
        <w:bottom w:val="none" w:sz="0" w:space="0" w:color="auto"/>
        <w:right w:val="none" w:sz="0" w:space="0" w:color="auto"/>
      </w:divBdr>
      <w:divsChild>
        <w:div w:id="219171018">
          <w:marLeft w:val="0"/>
          <w:marRight w:val="0"/>
          <w:marTop w:val="0"/>
          <w:marBottom w:val="0"/>
          <w:divBdr>
            <w:top w:val="none" w:sz="0" w:space="0" w:color="auto"/>
            <w:left w:val="none" w:sz="0" w:space="0" w:color="auto"/>
            <w:bottom w:val="none" w:sz="0" w:space="0" w:color="auto"/>
            <w:right w:val="none" w:sz="0" w:space="0" w:color="auto"/>
          </w:divBdr>
        </w:div>
        <w:div w:id="199631375">
          <w:marLeft w:val="0"/>
          <w:marRight w:val="0"/>
          <w:marTop w:val="0"/>
          <w:marBottom w:val="0"/>
          <w:divBdr>
            <w:top w:val="none" w:sz="0" w:space="0" w:color="auto"/>
            <w:left w:val="none" w:sz="0" w:space="0" w:color="auto"/>
            <w:bottom w:val="none" w:sz="0" w:space="0" w:color="auto"/>
            <w:right w:val="none" w:sz="0" w:space="0" w:color="auto"/>
          </w:divBdr>
        </w:div>
      </w:divsChild>
    </w:div>
    <w:div w:id="637342508">
      <w:bodyDiv w:val="1"/>
      <w:marLeft w:val="0"/>
      <w:marRight w:val="0"/>
      <w:marTop w:val="0"/>
      <w:marBottom w:val="0"/>
      <w:divBdr>
        <w:top w:val="none" w:sz="0" w:space="0" w:color="auto"/>
        <w:left w:val="none" w:sz="0" w:space="0" w:color="auto"/>
        <w:bottom w:val="none" w:sz="0" w:space="0" w:color="auto"/>
        <w:right w:val="none" w:sz="0" w:space="0" w:color="auto"/>
      </w:divBdr>
    </w:div>
    <w:div w:id="687492148">
      <w:bodyDiv w:val="1"/>
      <w:marLeft w:val="0"/>
      <w:marRight w:val="0"/>
      <w:marTop w:val="0"/>
      <w:marBottom w:val="0"/>
      <w:divBdr>
        <w:top w:val="none" w:sz="0" w:space="0" w:color="auto"/>
        <w:left w:val="none" w:sz="0" w:space="0" w:color="auto"/>
        <w:bottom w:val="none" w:sz="0" w:space="0" w:color="auto"/>
        <w:right w:val="none" w:sz="0" w:space="0" w:color="auto"/>
      </w:divBdr>
    </w:div>
    <w:div w:id="756561336">
      <w:bodyDiv w:val="1"/>
      <w:marLeft w:val="0"/>
      <w:marRight w:val="0"/>
      <w:marTop w:val="0"/>
      <w:marBottom w:val="0"/>
      <w:divBdr>
        <w:top w:val="none" w:sz="0" w:space="0" w:color="auto"/>
        <w:left w:val="none" w:sz="0" w:space="0" w:color="auto"/>
        <w:bottom w:val="none" w:sz="0" w:space="0" w:color="auto"/>
        <w:right w:val="none" w:sz="0" w:space="0" w:color="auto"/>
      </w:divBdr>
    </w:div>
    <w:div w:id="1041899510">
      <w:bodyDiv w:val="1"/>
      <w:marLeft w:val="0"/>
      <w:marRight w:val="0"/>
      <w:marTop w:val="0"/>
      <w:marBottom w:val="0"/>
      <w:divBdr>
        <w:top w:val="none" w:sz="0" w:space="0" w:color="auto"/>
        <w:left w:val="none" w:sz="0" w:space="0" w:color="auto"/>
        <w:bottom w:val="none" w:sz="0" w:space="0" w:color="auto"/>
        <w:right w:val="none" w:sz="0" w:space="0" w:color="auto"/>
      </w:divBdr>
    </w:div>
    <w:div w:id="1057824326">
      <w:bodyDiv w:val="1"/>
      <w:marLeft w:val="0"/>
      <w:marRight w:val="0"/>
      <w:marTop w:val="0"/>
      <w:marBottom w:val="0"/>
      <w:divBdr>
        <w:top w:val="none" w:sz="0" w:space="0" w:color="auto"/>
        <w:left w:val="none" w:sz="0" w:space="0" w:color="auto"/>
        <w:bottom w:val="none" w:sz="0" w:space="0" w:color="auto"/>
        <w:right w:val="none" w:sz="0" w:space="0" w:color="auto"/>
      </w:divBdr>
    </w:div>
    <w:div w:id="1068916473">
      <w:bodyDiv w:val="1"/>
      <w:marLeft w:val="0"/>
      <w:marRight w:val="0"/>
      <w:marTop w:val="0"/>
      <w:marBottom w:val="0"/>
      <w:divBdr>
        <w:top w:val="none" w:sz="0" w:space="0" w:color="auto"/>
        <w:left w:val="none" w:sz="0" w:space="0" w:color="auto"/>
        <w:bottom w:val="none" w:sz="0" w:space="0" w:color="auto"/>
        <w:right w:val="none" w:sz="0" w:space="0" w:color="auto"/>
      </w:divBdr>
    </w:div>
    <w:div w:id="1084835680">
      <w:bodyDiv w:val="1"/>
      <w:marLeft w:val="0"/>
      <w:marRight w:val="0"/>
      <w:marTop w:val="0"/>
      <w:marBottom w:val="0"/>
      <w:divBdr>
        <w:top w:val="none" w:sz="0" w:space="0" w:color="auto"/>
        <w:left w:val="none" w:sz="0" w:space="0" w:color="auto"/>
        <w:bottom w:val="none" w:sz="0" w:space="0" w:color="auto"/>
        <w:right w:val="none" w:sz="0" w:space="0" w:color="auto"/>
      </w:divBdr>
    </w:div>
    <w:div w:id="1172185293">
      <w:bodyDiv w:val="1"/>
      <w:marLeft w:val="0"/>
      <w:marRight w:val="0"/>
      <w:marTop w:val="0"/>
      <w:marBottom w:val="0"/>
      <w:divBdr>
        <w:top w:val="none" w:sz="0" w:space="0" w:color="auto"/>
        <w:left w:val="none" w:sz="0" w:space="0" w:color="auto"/>
        <w:bottom w:val="none" w:sz="0" w:space="0" w:color="auto"/>
        <w:right w:val="none" w:sz="0" w:space="0" w:color="auto"/>
      </w:divBdr>
    </w:div>
    <w:div w:id="1179655856">
      <w:bodyDiv w:val="1"/>
      <w:marLeft w:val="0"/>
      <w:marRight w:val="0"/>
      <w:marTop w:val="0"/>
      <w:marBottom w:val="0"/>
      <w:divBdr>
        <w:top w:val="none" w:sz="0" w:space="0" w:color="auto"/>
        <w:left w:val="none" w:sz="0" w:space="0" w:color="auto"/>
        <w:bottom w:val="none" w:sz="0" w:space="0" w:color="auto"/>
        <w:right w:val="none" w:sz="0" w:space="0" w:color="auto"/>
      </w:divBdr>
    </w:div>
    <w:div w:id="1243904610">
      <w:bodyDiv w:val="1"/>
      <w:marLeft w:val="0"/>
      <w:marRight w:val="0"/>
      <w:marTop w:val="0"/>
      <w:marBottom w:val="0"/>
      <w:divBdr>
        <w:top w:val="none" w:sz="0" w:space="0" w:color="auto"/>
        <w:left w:val="none" w:sz="0" w:space="0" w:color="auto"/>
        <w:bottom w:val="none" w:sz="0" w:space="0" w:color="auto"/>
        <w:right w:val="none" w:sz="0" w:space="0" w:color="auto"/>
      </w:divBdr>
      <w:divsChild>
        <w:div w:id="1472211911">
          <w:marLeft w:val="0"/>
          <w:marRight w:val="0"/>
          <w:marTop w:val="0"/>
          <w:marBottom w:val="0"/>
          <w:divBdr>
            <w:top w:val="none" w:sz="0" w:space="0" w:color="auto"/>
            <w:left w:val="none" w:sz="0" w:space="0" w:color="auto"/>
            <w:bottom w:val="none" w:sz="0" w:space="0" w:color="auto"/>
            <w:right w:val="none" w:sz="0" w:space="0" w:color="auto"/>
          </w:divBdr>
        </w:div>
        <w:div w:id="120460827">
          <w:marLeft w:val="0"/>
          <w:marRight w:val="0"/>
          <w:marTop w:val="0"/>
          <w:marBottom w:val="0"/>
          <w:divBdr>
            <w:top w:val="none" w:sz="0" w:space="0" w:color="auto"/>
            <w:left w:val="none" w:sz="0" w:space="0" w:color="auto"/>
            <w:bottom w:val="none" w:sz="0" w:space="0" w:color="auto"/>
            <w:right w:val="none" w:sz="0" w:space="0" w:color="auto"/>
          </w:divBdr>
        </w:div>
        <w:div w:id="694503641">
          <w:marLeft w:val="0"/>
          <w:marRight w:val="0"/>
          <w:marTop w:val="0"/>
          <w:marBottom w:val="0"/>
          <w:divBdr>
            <w:top w:val="none" w:sz="0" w:space="0" w:color="auto"/>
            <w:left w:val="none" w:sz="0" w:space="0" w:color="auto"/>
            <w:bottom w:val="none" w:sz="0" w:space="0" w:color="auto"/>
            <w:right w:val="none" w:sz="0" w:space="0" w:color="auto"/>
          </w:divBdr>
        </w:div>
        <w:div w:id="1217472716">
          <w:marLeft w:val="0"/>
          <w:marRight w:val="0"/>
          <w:marTop w:val="0"/>
          <w:marBottom w:val="0"/>
          <w:divBdr>
            <w:top w:val="none" w:sz="0" w:space="0" w:color="auto"/>
            <w:left w:val="none" w:sz="0" w:space="0" w:color="auto"/>
            <w:bottom w:val="none" w:sz="0" w:space="0" w:color="auto"/>
            <w:right w:val="none" w:sz="0" w:space="0" w:color="auto"/>
          </w:divBdr>
        </w:div>
        <w:div w:id="490289148">
          <w:marLeft w:val="0"/>
          <w:marRight w:val="0"/>
          <w:marTop w:val="0"/>
          <w:marBottom w:val="0"/>
          <w:divBdr>
            <w:top w:val="none" w:sz="0" w:space="0" w:color="auto"/>
            <w:left w:val="none" w:sz="0" w:space="0" w:color="auto"/>
            <w:bottom w:val="none" w:sz="0" w:space="0" w:color="auto"/>
            <w:right w:val="none" w:sz="0" w:space="0" w:color="auto"/>
          </w:divBdr>
        </w:div>
      </w:divsChild>
    </w:div>
    <w:div w:id="1280264544">
      <w:bodyDiv w:val="1"/>
      <w:marLeft w:val="0"/>
      <w:marRight w:val="0"/>
      <w:marTop w:val="0"/>
      <w:marBottom w:val="0"/>
      <w:divBdr>
        <w:top w:val="none" w:sz="0" w:space="0" w:color="auto"/>
        <w:left w:val="none" w:sz="0" w:space="0" w:color="auto"/>
        <w:bottom w:val="none" w:sz="0" w:space="0" w:color="auto"/>
        <w:right w:val="none" w:sz="0" w:space="0" w:color="auto"/>
      </w:divBdr>
    </w:div>
    <w:div w:id="1309555126">
      <w:bodyDiv w:val="1"/>
      <w:marLeft w:val="0"/>
      <w:marRight w:val="0"/>
      <w:marTop w:val="0"/>
      <w:marBottom w:val="0"/>
      <w:divBdr>
        <w:top w:val="none" w:sz="0" w:space="0" w:color="auto"/>
        <w:left w:val="none" w:sz="0" w:space="0" w:color="auto"/>
        <w:bottom w:val="none" w:sz="0" w:space="0" w:color="auto"/>
        <w:right w:val="none" w:sz="0" w:space="0" w:color="auto"/>
      </w:divBdr>
    </w:div>
    <w:div w:id="1374500125">
      <w:bodyDiv w:val="1"/>
      <w:marLeft w:val="0"/>
      <w:marRight w:val="0"/>
      <w:marTop w:val="0"/>
      <w:marBottom w:val="0"/>
      <w:divBdr>
        <w:top w:val="none" w:sz="0" w:space="0" w:color="auto"/>
        <w:left w:val="none" w:sz="0" w:space="0" w:color="auto"/>
        <w:bottom w:val="none" w:sz="0" w:space="0" w:color="auto"/>
        <w:right w:val="none" w:sz="0" w:space="0" w:color="auto"/>
      </w:divBdr>
    </w:div>
    <w:div w:id="1395815980">
      <w:bodyDiv w:val="1"/>
      <w:marLeft w:val="0"/>
      <w:marRight w:val="0"/>
      <w:marTop w:val="0"/>
      <w:marBottom w:val="0"/>
      <w:divBdr>
        <w:top w:val="none" w:sz="0" w:space="0" w:color="auto"/>
        <w:left w:val="none" w:sz="0" w:space="0" w:color="auto"/>
        <w:bottom w:val="none" w:sz="0" w:space="0" w:color="auto"/>
        <w:right w:val="none" w:sz="0" w:space="0" w:color="auto"/>
      </w:divBdr>
      <w:divsChild>
        <w:div w:id="1915552417">
          <w:marLeft w:val="0"/>
          <w:marRight w:val="0"/>
          <w:marTop w:val="0"/>
          <w:marBottom w:val="0"/>
          <w:divBdr>
            <w:top w:val="none" w:sz="0" w:space="0" w:color="auto"/>
            <w:left w:val="none" w:sz="0" w:space="0" w:color="auto"/>
            <w:bottom w:val="none" w:sz="0" w:space="0" w:color="auto"/>
            <w:right w:val="none" w:sz="0" w:space="0" w:color="auto"/>
          </w:divBdr>
        </w:div>
        <w:div w:id="1683311521">
          <w:marLeft w:val="0"/>
          <w:marRight w:val="0"/>
          <w:marTop w:val="0"/>
          <w:marBottom w:val="0"/>
          <w:divBdr>
            <w:top w:val="none" w:sz="0" w:space="0" w:color="auto"/>
            <w:left w:val="none" w:sz="0" w:space="0" w:color="auto"/>
            <w:bottom w:val="none" w:sz="0" w:space="0" w:color="auto"/>
            <w:right w:val="none" w:sz="0" w:space="0" w:color="auto"/>
          </w:divBdr>
        </w:div>
        <w:div w:id="34547998">
          <w:marLeft w:val="0"/>
          <w:marRight w:val="0"/>
          <w:marTop w:val="0"/>
          <w:marBottom w:val="0"/>
          <w:divBdr>
            <w:top w:val="none" w:sz="0" w:space="0" w:color="auto"/>
            <w:left w:val="none" w:sz="0" w:space="0" w:color="auto"/>
            <w:bottom w:val="none" w:sz="0" w:space="0" w:color="auto"/>
            <w:right w:val="none" w:sz="0" w:space="0" w:color="auto"/>
          </w:divBdr>
        </w:div>
        <w:div w:id="1820491258">
          <w:marLeft w:val="0"/>
          <w:marRight w:val="0"/>
          <w:marTop w:val="0"/>
          <w:marBottom w:val="0"/>
          <w:divBdr>
            <w:top w:val="none" w:sz="0" w:space="0" w:color="auto"/>
            <w:left w:val="none" w:sz="0" w:space="0" w:color="auto"/>
            <w:bottom w:val="none" w:sz="0" w:space="0" w:color="auto"/>
            <w:right w:val="none" w:sz="0" w:space="0" w:color="auto"/>
          </w:divBdr>
        </w:div>
        <w:div w:id="97719720">
          <w:marLeft w:val="0"/>
          <w:marRight w:val="0"/>
          <w:marTop w:val="0"/>
          <w:marBottom w:val="0"/>
          <w:divBdr>
            <w:top w:val="none" w:sz="0" w:space="0" w:color="auto"/>
            <w:left w:val="none" w:sz="0" w:space="0" w:color="auto"/>
            <w:bottom w:val="none" w:sz="0" w:space="0" w:color="auto"/>
            <w:right w:val="none" w:sz="0" w:space="0" w:color="auto"/>
          </w:divBdr>
        </w:div>
      </w:divsChild>
    </w:div>
    <w:div w:id="1449668366">
      <w:bodyDiv w:val="1"/>
      <w:marLeft w:val="0"/>
      <w:marRight w:val="0"/>
      <w:marTop w:val="0"/>
      <w:marBottom w:val="0"/>
      <w:divBdr>
        <w:top w:val="none" w:sz="0" w:space="0" w:color="auto"/>
        <w:left w:val="none" w:sz="0" w:space="0" w:color="auto"/>
        <w:bottom w:val="none" w:sz="0" w:space="0" w:color="auto"/>
        <w:right w:val="none" w:sz="0" w:space="0" w:color="auto"/>
      </w:divBdr>
    </w:div>
    <w:div w:id="1451121844">
      <w:bodyDiv w:val="1"/>
      <w:marLeft w:val="0"/>
      <w:marRight w:val="0"/>
      <w:marTop w:val="0"/>
      <w:marBottom w:val="0"/>
      <w:divBdr>
        <w:top w:val="none" w:sz="0" w:space="0" w:color="auto"/>
        <w:left w:val="none" w:sz="0" w:space="0" w:color="auto"/>
        <w:bottom w:val="none" w:sz="0" w:space="0" w:color="auto"/>
        <w:right w:val="none" w:sz="0" w:space="0" w:color="auto"/>
      </w:divBdr>
    </w:div>
    <w:div w:id="1514496132">
      <w:bodyDiv w:val="1"/>
      <w:marLeft w:val="0"/>
      <w:marRight w:val="0"/>
      <w:marTop w:val="0"/>
      <w:marBottom w:val="0"/>
      <w:divBdr>
        <w:top w:val="none" w:sz="0" w:space="0" w:color="auto"/>
        <w:left w:val="none" w:sz="0" w:space="0" w:color="auto"/>
        <w:bottom w:val="none" w:sz="0" w:space="0" w:color="auto"/>
        <w:right w:val="none" w:sz="0" w:space="0" w:color="auto"/>
      </w:divBdr>
    </w:div>
    <w:div w:id="1518928551">
      <w:bodyDiv w:val="1"/>
      <w:marLeft w:val="0"/>
      <w:marRight w:val="0"/>
      <w:marTop w:val="0"/>
      <w:marBottom w:val="0"/>
      <w:divBdr>
        <w:top w:val="none" w:sz="0" w:space="0" w:color="auto"/>
        <w:left w:val="none" w:sz="0" w:space="0" w:color="auto"/>
        <w:bottom w:val="none" w:sz="0" w:space="0" w:color="auto"/>
        <w:right w:val="none" w:sz="0" w:space="0" w:color="auto"/>
      </w:divBdr>
    </w:div>
    <w:div w:id="1535924729">
      <w:bodyDiv w:val="1"/>
      <w:marLeft w:val="0"/>
      <w:marRight w:val="0"/>
      <w:marTop w:val="0"/>
      <w:marBottom w:val="0"/>
      <w:divBdr>
        <w:top w:val="none" w:sz="0" w:space="0" w:color="auto"/>
        <w:left w:val="none" w:sz="0" w:space="0" w:color="auto"/>
        <w:bottom w:val="none" w:sz="0" w:space="0" w:color="auto"/>
        <w:right w:val="none" w:sz="0" w:space="0" w:color="auto"/>
      </w:divBdr>
    </w:div>
    <w:div w:id="1541164170">
      <w:bodyDiv w:val="1"/>
      <w:marLeft w:val="0"/>
      <w:marRight w:val="0"/>
      <w:marTop w:val="0"/>
      <w:marBottom w:val="0"/>
      <w:divBdr>
        <w:top w:val="none" w:sz="0" w:space="0" w:color="auto"/>
        <w:left w:val="none" w:sz="0" w:space="0" w:color="auto"/>
        <w:bottom w:val="none" w:sz="0" w:space="0" w:color="auto"/>
        <w:right w:val="none" w:sz="0" w:space="0" w:color="auto"/>
      </w:divBdr>
    </w:div>
    <w:div w:id="1541552371">
      <w:bodyDiv w:val="1"/>
      <w:marLeft w:val="0"/>
      <w:marRight w:val="0"/>
      <w:marTop w:val="0"/>
      <w:marBottom w:val="0"/>
      <w:divBdr>
        <w:top w:val="none" w:sz="0" w:space="0" w:color="auto"/>
        <w:left w:val="none" w:sz="0" w:space="0" w:color="auto"/>
        <w:bottom w:val="none" w:sz="0" w:space="0" w:color="auto"/>
        <w:right w:val="none" w:sz="0" w:space="0" w:color="auto"/>
      </w:divBdr>
    </w:div>
    <w:div w:id="1554385387">
      <w:bodyDiv w:val="1"/>
      <w:marLeft w:val="0"/>
      <w:marRight w:val="0"/>
      <w:marTop w:val="0"/>
      <w:marBottom w:val="0"/>
      <w:divBdr>
        <w:top w:val="none" w:sz="0" w:space="0" w:color="auto"/>
        <w:left w:val="none" w:sz="0" w:space="0" w:color="auto"/>
        <w:bottom w:val="none" w:sz="0" w:space="0" w:color="auto"/>
        <w:right w:val="none" w:sz="0" w:space="0" w:color="auto"/>
      </w:divBdr>
    </w:div>
    <w:div w:id="1620867980">
      <w:bodyDiv w:val="1"/>
      <w:marLeft w:val="0"/>
      <w:marRight w:val="0"/>
      <w:marTop w:val="0"/>
      <w:marBottom w:val="0"/>
      <w:divBdr>
        <w:top w:val="none" w:sz="0" w:space="0" w:color="auto"/>
        <w:left w:val="none" w:sz="0" w:space="0" w:color="auto"/>
        <w:bottom w:val="none" w:sz="0" w:space="0" w:color="auto"/>
        <w:right w:val="none" w:sz="0" w:space="0" w:color="auto"/>
      </w:divBdr>
    </w:div>
    <w:div w:id="1648045407">
      <w:bodyDiv w:val="1"/>
      <w:marLeft w:val="0"/>
      <w:marRight w:val="0"/>
      <w:marTop w:val="0"/>
      <w:marBottom w:val="0"/>
      <w:divBdr>
        <w:top w:val="none" w:sz="0" w:space="0" w:color="auto"/>
        <w:left w:val="none" w:sz="0" w:space="0" w:color="auto"/>
        <w:bottom w:val="none" w:sz="0" w:space="0" w:color="auto"/>
        <w:right w:val="none" w:sz="0" w:space="0" w:color="auto"/>
      </w:divBdr>
    </w:div>
    <w:div w:id="1735078770">
      <w:bodyDiv w:val="1"/>
      <w:marLeft w:val="0"/>
      <w:marRight w:val="0"/>
      <w:marTop w:val="0"/>
      <w:marBottom w:val="0"/>
      <w:divBdr>
        <w:top w:val="none" w:sz="0" w:space="0" w:color="auto"/>
        <w:left w:val="none" w:sz="0" w:space="0" w:color="auto"/>
        <w:bottom w:val="none" w:sz="0" w:space="0" w:color="auto"/>
        <w:right w:val="none" w:sz="0" w:space="0" w:color="auto"/>
      </w:divBdr>
    </w:div>
    <w:div w:id="1773276782">
      <w:bodyDiv w:val="1"/>
      <w:marLeft w:val="0"/>
      <w:marRight w:val="0"/>
      <w:marTop w:val="0"/>
      <w:marBottom w:val="0"/>
      <w:divBdr>
        <w:top w:val="none" w:sz="0" w:space="0" w:color="auto"/>
        <w:left w:val="none" w:sz="0" w:space="0" w:color="auto"/>
        <w:bottom w:val="none" w:sz="0" w:space="0" w:color="auto"/>
        <w:right w:val="none" w:sz="0" w:space="0" w:color="auto"/>
      </w:divBdr>
      <w:divsChild>
        <w:div w:id="1529417235">
          <w:marLeft w:val="0"/>
          <w:marRight w:val="0"/>
          <w:marTop w:val="0"/>
          <w:marBottom w:val="0"/>
          <w:divBdr>
            <w:top w:val="none" w:sz="0" w:space="0" w:color="auto"/>
            <w:left w:val="none" w:sz="0" w:space="0" w:color="auto"/>
            <w:bottom w:val="none" w:sz="0" w:space="0" w:color="auto"/>
            <w:right w:val="none" w:sz="0" w:space="0" w:color="auto"/>
          </w:divBdr>
        </w:div>
      </w:divsChild>
    </w:div>
    <w:div w:id="1836607524">
      <w:bodyDiv w:val="1"/>
      <w:marLeft w:val="0"/>
      <w:marRight w:val="0"/>
      <w:marTop w:val="0"/>
      <w:marBottom w:val="0"/>
      <w:divBdr>
        <w:top w:val="none" w:sz="0" w:space="0" w:color="auto"/>
        <w:left w:val="none" w:sz="0" w:space="0" w:color="auto"/>
        <w:bottom w:val="none" w:sz="0" w:space="0" w:color="auto"/>
        <w:right w:val="none" w:sz="0" w:space="0" w:color="auto"/>
      </w:divBdr>
    </w:div>
    <w:div w:id="1838962445">
      <w:bodyDiv w:val="1"/>
      <w:marLeft w:val="0"/>
      <w:marRight w:val="0"/>
      <w:marTop w:val="0"/>
      <w:marBottom w:val="0"/>
      <w:divBdr>
        <w:top w:val="none" w:sz="0" w:space="0" w:color="auto"/>
        <w:left w:val="none" w:sz="0" w:space="0" w:color="auto"/>
        <w:bottom w:val="none" w:sz="0" w:space="0" w:color="auto"/>
        <w:right w:val="none" w:sz="0" w:space="0" w:color="auto"/>
      </w:divBdr>
    </w:div>
    <w:div w:id="1867327196">
      <w:bodyDiv w:val="1"/>
      <w:marLeft w:val="0"/>
      <w:marRight w:val="0"/>
      <w:marTop w:val="0"/>
      <w:marBottom w:val="0"/>
      <w:divBdr>
        <w:top w:val="none" w:sz="0" w:space="0" w:color="auto"/>
        <w:left w:val="none" w:sz="0" w:space="0" w:color="auto"/>
        <w:bottom w:val="none" w:sz="0" w:space="0" w:color="auto"/>
        <w:right w:val="none" w:sz="0" w:space="0" w:color="auto"/>
      </w:divBdr>
    </w:div>
    <w:div w:id="1893033127">
      <w:bodyDiv w:val="1"/>
      <w:marLeft w:val="0"/>
      <w:marRight w:val="0"/>
      <w:marTop w:val="0"/>
      <w:marBottom w:val="0"/>
      <w:divBdr>
        <w:top w:val="none" w:sz="0" w:space="0" w:color="auto"/>
        <w:left w:val="none" w:sz="0" w:space="0" w:color="auto"/>
        <w:bottom w:val="none" w:sz="0" w:space="0" w:color="auto"/>
        <w:right w:val="none" w:sz="0" w:space="0" w:color="auto"/>
      </w:divBdr>
    </w:div>
    <w:div w:id="1893301505">
      <w:bodyDiv w:val="1"/>
      <w:marLeft w:val="0"/>
      <w:marRight w:val="0"/>
      <w:marTop w:val="0"/>
      <w:marBottom w:val="0"/>
      <w:divBdr>
        <w:top w:val="none" w:sz="0" w:space="0" w:color="auto"/>
        <w:left w:val="none" w:sz="0" w:space="0" w:color="auto"/>
        <w:bottom w:val="none" w:sz="0" w:space="0" w:color="auto"/>
        <w:right w:val="none" w:sz="0" w:space="0" w:color="auto"/>
      </w:divBdr>
      <w:divsChild>
        <w:div w:id="1135218913">
          <w:marLeft w:val="0"/>
          <w:marRight w:val="0"/>
          <w:marTop w:val="0"/>
          <w:marBottom w:val="0"/>
          <w:divBdr>
            <w:top w:val="none" w:sz="0" w:space="0" w:color="auto"/>
            <w:left w:val="none" w:sz="0" w:space="0" w:color="auto"/>
            <w:bottom w:val="none" w:sz="0" w:space="0" w:color="auto"/>
            <w:right w:val="none" w:sz="0" w:space="0" w:color="auto"/>
          </w:divBdr>
        </w:div>
        <w:div w:id="639844449">
          <w:marLeft w:val="0"/>
          <w:marRight w:val="0"/>
          <w:marTop w:val="0"/>
          <w:marBottom w:val="0"/>
          <w:divBdr>
            <w:top w:val="none" w:sz="0" w:space="0" w:color="auto"/>
            <w:left w:val="none" w:sz="0" w:space="0" w:color="auto"/>
            <w:bottom w:val="none" w:sz="0" w:space="0" w:color="auto"/>
            <w:right w:val="none" w:sz="0" w:space="0" w:color="auto"/>
          </w:divBdr>
        </w:div>
      </w:divsChild>
    </w:div>
    <w:div w:id="1923097434">
      <w:bodyDiv w:val="1"/>
      <w:marLeft w:val="0"/>
      <w:marRight w:val="0"/>
      <w:marTop w:val="0"/>
      <w:marBottom w:val="0"/>
      <w:divBdr>
        <w:top w:val="none" w:sz="0" w:space="0" w:color="auto"/>
        <w:left w:val="none" w:sz="0" w:space="0" w:color="auto"/>
        <w:bottom w:val="none" w:sz="0" w:space="0" w:color="auto"/>
        <w:right w:val="none" w:sz="0" w:space="0" w:color="auto"/>
      </w:divBdr>
    </w:div>
    <w:div w:id="1971668186">
      <w:bodyDiv w:val="1"/>
      <w:marLeft w:val="0"/>
      <w:marRight w:val="0"/>
      <w:marTop w:val="0"/>
      <w:marBottom w:val="0"/>
      <w:divBdr>
        <w:top w:val="none" w:sz="0" w:space="0" w:color="auto"/>
        <w:left w:val="none" w:sz="0" w:space="0" w:color="auto"/>
        <w:bottom w:val="none" w:sz="0" w:space="0" w:color="auto"/>
        <w:right w:val="none" w:sz="0" w:space="0" w:color="auto"/>
      </w:divBdr>
    </w:div>
    <w:div w:id="2012100328">
      <w:bodyDiv w:val="1"/>
      <w:marLeft w:val="0"/>
      <w:marRight w:val="0"/>
      <w:marTop w:val="0"/>
      <w:marBottom w:val="0"/>
      <w:divBdr>
        <w:top w:val="none" w:sz="0" w:space="0" w:color="auto"/>
        <w:left w:val="none" w:sz="0" w:space="0" w:color="auto"/>
        <w:bottom w:val="none" w:sz="0" w:space="0" w:color="auto"/>
        <w:right w:val="none" w:sz="0" w:space="0" w:color="auto"/>
      </w:divBdr>
    </w:div>
    <w:div w:id="2084643080">
      <w:bodyDiv w:val="1"/>
      <w:marLeft w:val="0"/>
      <w:marRight w:val="0"/>
      <w:marTop w:val="0"/>
      <w:marBottom w:val="0"/>
      <w:divBdr>
        <w:top w:val="none" w:sz="0" w:space="0" w:color="auto"/>
        <w:left w:val="none" w:sz="0" w:space="0" w:color="auto"/>
        <w:bottom w:val="none" w:sz="0" w:space="0" w:color="auto"/>
        <w:right w:val="none" w:sz="0" w:space="0" w:color="auto"/>
      </w:divBdr>
    </w:div>
    <w:div w:id="2123718217">
      <w:bodyDiv w:val="1"/>
      <w:marLeft w:val="0"/>
      <w:marRight w:val="0"/>
      <w:marTop w:val="0"/>
      <w:marBottom w:val="0"/>
      <w:divBdr>
        <w:top w:val="none" w:sz="0" w:space="0" w:color="auto"/>
        <w:left w:val="none" w:sz="0" w:space="0" w:color="auto"/>
        <w:bottom w:val="none" w:sz="0" w:space="0" w:color="auto"/>
        <w:right w:val="none" w:sz="0" w:space="0" w:color="auto"/>
      </w:divBdr>
    </w:div>
    <w:div w:id="2137067260">
      <w:bodyDiv w:val="1"/>
      <w:marLeft w:val="0"/>
      <w:marRight w:val="0"/>
      <w:marTop w:val="0"/>
      <w:marBottom w:val="0"/>
      <w:divBdr>
        <w:top w:val="none" w:sz="0" w:space="0" w:color="auto"/>
        <w:left w:val="none" w:sz="0" w:space="0" w:color="auto"/>
        <w:bottom w:val="none" w:sz="0" w:space="0" w:color="auto"/>
        <w:right w:val="none" w:sz="0" w:space="0" w:color="auto"/>
      </w:divBdr>
    </w:div>
    <w:div w:id="21444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energy-reports" TargetMode="External"/><Relationship Id="rId13" Type="http://schemas.openxmlformats.org/officeDocument/2006/relationships/hyperlink" Target="https://doi.org/10.3390/s100302088" TargetMode="External"/><Relationship Id="rId3" Type="http://schemas.openxmlformats.org/officeDocument/2006/relationships/settings" Target="settings.xml"/><Relationship Id="rId7" Type="http://schemas.openxmlformats.org/officeDocument/2006/relationships/hyperlink" Target="https://doi.org/10.1557/S0883769400052465" TargetMode="External"/><Relationship Id="rId12" Type="http://schemas.openxmlformats.org/officeDocument/2006/relationships/hyperlink" Target="https://doi.org/10.1002/cphc.2006002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390/s100302088" TargetMode="External"/><Relationship Id="rId11" Type="http://schemas.openxmlformats.org/officeDocument/2006/relationships/hyperlink" Target="https://doi.org/10.1016/j.snb.2009.04.026" TargetMode="External"/><Relationship Id="rId5" Type="http://schemas.openxmlformats.org/officeDocument/2006/relationships/hyperlink" Target="https://doi.org/10.29024/aogh.910" TargetMode="External"/><Relationship Id="rId15" Type="http://schemas.openxmlformats.org/officeDocument/2006/relationships/fontTable" Target="fontTable.xml"/><Relationship Id="rId10" Type="http://schemas.openxmlformats.org/officeDocument/2006/relationships/hyperlink" Target="https://doi.org/10.1016/j.mseb.2007.01.044" TargetMode="External"/><Relationship Id="rId4" Type="http://schemas.openxmlformats.org/officeDocument/2006/relationships/webSettings" Target="webSettings.xml"/><Relationship Id="rId9" Type="http://schemas.openxmlformats.org/officeDocument/2006/relationships/hyperlink" Target="https://doi.org/10.1016/j.egyr.2019.08.070" TargetMode="External"/><Relationship Id="rId14" Type="http://schemas.openxmlformats.org/officeDocument/2006/relationships/hyperlink" Target="https://doi.org/10.3390/mi8110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Nguyễn</dc:creator>
  <cp:keywords/>
  <dc:description/>
  <cp:lastModifiedBy>Vương Nguyễn</cp:lastModifiedBy>
  <cp:revision>19</cp:revision>
  <dcterms:created xsi:type="dcterms:W3CDTF">2025-04-08T01:39:00Z</dcterms:created>
  <dcterms:modified xsi:type="dcterms:W3CDTF">2025-04-09T16:24:00Z</dcterms:modified>
</cp:coreProperties>
</file>