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279C" w14:textId="77777777" w:rsidR="00F85BE4" w:rsidRPr="00F85BE4" w:rsidRDefault="00F85BE4" w:rsidP="001B3FC7">
      <w:pPr>
        <w:spacing w:after="120" w:line="312" w:lineRule="auto"/>
        <w:ind w:firstLine="567"/>
        <w:jc w:val="both"/>
        <w:rPr>
          <w:rFonts w:ascii="Times New Roman" w:hAnsi="Times New Roman" w:cs="Times New Roman"/>
          <w:sz w:val="26"/>
          <w:szCs w:val="26"/>
        </w:rPr>
      </w:pPr>
      <w:r w:rsidRPr="00F85BE4">
        <w:rPr>
          <w:rFonts w:ascii="Times New Roman" w:hAnsi="Times New Roman" w:cs="Times New Roman"/>
          <w:sz w:val="26"/>
          <w:szCs w:val="26"/>
        </w:rPr>
        <w:t>Dear Reviewer 1,</w:t>
      </w:r>
    </w:p>
    <w:p w14:paraId="67834298" w14:textId="77777777" w:rsidR="00F85BE4" w:rsidRPr="00F85BE4" w:rsidRDefault="00F85BE4" w:rsidP="001B3FC7">
      <w:pPr>
        <w:spacing w:after="120" w:line="312" w:lineRule="auto"/>
        <w:ind w:firstLine="567"/>
        <w:jc w:val="both"/>
        <w:rPr>
          <w:rFonts w:ascii="Times New Roman" w:hAnsi="Times New Roman" w:cs="Times New Roman"/>
          <w:sz w:val="26"/>
          <w:szCs w:val="26"/>
        </w:rPr>
      </w:pPr>
      <w:r w:rsidRPr="00F85BE4">
        <w:rPr>
          <w:rFonts w:ascii="Times New Roman" w:hAnsi="Times New Roman" w:cs="Times New Roman"/>
          <w:sz w:val="26"/>
          <w:szCs w:val="26"/>
        </w:rPr>
        <w:t xml:space="preserve">I would like to express my sincere gratitude for your constructive and insightful feedback on our manuscript titled </w:t>
      </w:r>
      <w:r w:rsidRPr="00F85BE4">
        <w:rPr>
          <w:rFonts w:ascii="Times New Roman" w:hAnsi="Times New Roman" w:cs="Times New Roman"/>
          <w:i/>
          <w:iCs/>
          <w:sz w:val="26"/>
          <w:szCs w:val="26"/>
        </w:rPr>
        <w:t>“Determinants of Corporate Social Responsibility Disclosure in Emerging Markets: A Meta-Analytic Perspective.”</w:t>
      </w:r>
      <w:r w:rsidRPr="00F85BE4">
        <w:rPr>
          <w:rFonts w:ascii="Times New Roman" w:hAnsi="Times New Roman" w:cs="Times New Roman"/>
          <w:sz w:val="26"/>
          <w:szCs w:val="26"/>
        </w:rPr>
        <w:t xml:space="preserve"> Your thoughtful comments have been highly valuable in improving the quality, clarity, and academic contribution of this paper.</w:t>
      </w:r>
    </w:p>
    <w:p w14:paraId="319EA087" w14:textId="620E14FB" w:rsidR="00F85BE4" w:rsidRPr="00F85BE4" w:rsidRDefault="00F85BE4" w:rsidP="001B3FC7">
      <w:pPr>
        <w:spacing w:after="120" w:line="312" w:lineRule="auto"/>
        <w:ind w:firstLine="567"/>
        <w:jc w:val="both"/>
        <w:rPr>
          <w:rFonts w:ascii="Times New Roman" w:hAnsi="Times New Roman" w:cs="Times New Roman"/>
          <w:sz w:val="26"/>
          <w:szCs w:val="26"/>
        </w:rPr>
      </w:pPr>
      <w:r w:rsidRPr="00F85BE4">
        <w:rPr>
          <w:rFonts w:ascii="Times New Roman" w:hAnsi="Times New Roman" w:cs="Times New Roman"/>
          <w:sz w:val="26"/>
          <w:szCs w:val="26"/>
        </w:rPr>
        <w:t>In the revised version, I have carefully addressed all your suggestions</w:t>
      </w:r>
      <w:r w:rsidR="00FE366D">
        <w:rPr>
          <w:rFonts w:ascii="Times New Roman" w:hAnsi="Times New Roman" w:cs="Times New Roman"/>
          <w:sz w:val="26"/>
          <w:szCs w:val="26"/>
        </w:rPr>
        <w:t xml:space="preserve">. </w:t>
      </w:r>
      <w:r w:rsidR="00FE366D" w:rsidRPr="00FE366D">
        <w:rPr>
          <w:rFonts w:ascii="Times New Roman" w:hAnsi="Times New Roman" w:cs="Times New Roman"/>
          <w:sz w:val="26"/>
          <w:szCs w:val="26"/>
        </w:rPr>
        <w:t>All editorial adjustments are indicated with yellow highlighting</w:t>
      </w:r>
      <w:r w:rsidR="009A52E6">
        <w:rPr>
          <w:rFonts w:ascii="Times New Roman" w:hAnsi="Times New Roman" w:cs="Times New Roman"/>
          <w:sz w:val="26"/>
          <w:szCs w:val="26"/>
        </w:rPr>
        <w:t xml:space="preserve">. </w:t>
      </w:r>
      <w:r w:rsidR="009A52E6" w:rsidRPr="009A52E6">
        <w:rPr>
          <w:rFonts w:ascii="Times New Roman" w:hAnsi="Times New Roman" w:cs="Times New Roman"/>
          <w:sz w:val="26"/>
          <w:szCs w:val="26"/>
        </w:rPr>
        <w:t>Below, we detail our responses to your specific comments:​</w:t>
      </w:r>
    </w:p>
    <w:p w14:paraId="4AE11BAE" w14:textId="77777777" w:rsidR="00F85BE4" w:rsidRPr="00F85BE4" w:rsidRDefault="00F85BE4" w:rsidP="001B3FC7">
      <w:pPr>
        <w:spacing w:after="120" w:line="312" w:lineRule="auto"/>
        <w:ind w:firstLine="567"/>
        <w:jc w:val="both"/>
        <w:rPr>
          <w:rFonts w:ascii="Times New Roman" w:hAnsi="Times New Roman" w:cs="Times New Roman"/>
          <w:b/>
          <w:bCs/>
          <w:sz w:val="26"/>
          <w:szCs w:val="26"/>
        </w:rPr>
      </w:pPr>
      <w:r w:rsidRPr="00F85BE4">
        <w:rPr>
          <w:rFonts w:ascii="Times New Roman" w:hAnsi="Times New Roman" w:cs="Times New Roman"/>
          <w:b/>
          <w:bCs/>
          <w:sz w:val="26"/>
          <w:szCs w:val="26"/>
        </w:rPr>
        <w:t>1. Minor Language Editing</w:t>
      </w:r>
    </w:p>
    <w:p w14:paraId="2D7E5C1C" w14:textId="77777777" w:rsidR="00022F1D" w:rsidRPr="001B3FC7" w:rsidRDefault="00F85BE4" w:rsidP="001B3FC7">
      <w:pPr>
        <w:numPr>
          <w:ilvl w:val="0"/>
          <w:numId w:val="5"/>
        </w:numPr>
        <w:tabs>
          <w:tab w:val="clear" w:pos="720"/>
          <w:tab w:val="num" w:pos="284"/>
        </w:tabs>
        <w:spacing w:after="120" w:line="312" w:lineRule="auto"/>
        <w:ind w:left="0" w:firstLine="567"/>
        <w:jc w:val="both"/>
        <w:rPr>
          <w:rFonts w:ascii="Times New Roman" w:hAnsi="Times New Roman" w:cs="Times New Roman"/>
          <w:i/>
          <w:iCs/>
          <w:sz w:val="26"/>
          <w:szCs w:val="26"/>
        </w:rPr>
      </w:pPr>
      <w:r w:rsidRPr="00F85BE4">
        <w:rPr>
          <w:rFonts w:ascii="Times New Roman" w:hAnsi="Times New Roman" w:cs="Times New Roman"/>
          <w:i/>
          <w:iCs/>
          <w:sz w:val="26"/>
          <w:szCs w:val="26"/>
        </w:rPr>
        <w:t>The manuscript was thoroughly reviewed for grammar, clarity, and conciseness.</w:t>
      </w:r>
    </w:p>
    <w:p w14:paraId="2E62B659" w14:textId="77777777" w:rsidR="0065156C" w:rsidRPr="001B3FC7" w:rsidRDefault="00022F1D" w:rsidP="001B3FC7">
      <w:pPr>
        <w:tabs>
          <w:tab w:val="right" w:pos="9072"/>
        </w:tabs>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Abstract</w:t>
      </w:r>
      <w:r w:rsidRPr="001B3FC7">
        <w:rPr>
          <w:rFonts w:ascii="Times New Roman" w:hAnsi="Times New Roman" w:cs="Times New Roman"/>
          <w:b/>
          <w:bCs/>
          <w:sz w:val="26"/>
          <w:szCs w:val="26"/>
        </w:rPr>
        <w:t>:</w:t>
      </w:r>
      <w:r w:rsidRPr="001B3FC7">
        <w:rPr>
          <w:rFonts w:ascii="Times New Roman" w:hAnsi="Times New Roman" w:cs="Times New Roman"/>
          <w:sz w:val="26"/>
          <w:szCs w:val="26"/>
        </w:rPr>
        <w:t xml:space="preserve"> </w:t>
      </w:r>
      <w:bookmarkStart w:id="0" w:name="_Hlk196161465"/>
      <w:r w:rsidR="0065156C" w:rsidRPr="001B3FC7">
        <w:rPr>
          <w:rFonts w:ascii="Times New Roman" w:hAnsi="Times New Roman" w:cs="Times New Roman"/>
          <w:sz w:val="26"/>
          <w:szCs w:val="26"/>
          <w:lang w:val="vi-VN"/>
        </w:rPr>
        <w:t xml:space="preserve">This study </w:t>
      </w:r>
      <w:r w:rsidR="0065156C" w:rsidRPr="001B3FC7">
        <w:rPr>
          <w:rFonts w:ascii="Times New Roman" w:hAnsi="Times New Roman" w:cs="Times New Roman"/>
          <w:sz w:val="26"/>
          <w:szCs w:val="26"/>
        </w:rPr>
        <w:t>performs</w:t>
      </w:r>
      <w:r w:rsidR="0065156C" w:rsidRPr="001B3FC7">
        <w:rPr>
          <w:rFonts w:ascii="Times New Roman" w:hAnsi="Times New Roman" w:cs="Times New Roman"/>
          <w:sz w:val="26"/>
          <w:szCs w:val="26"/>
          <w:lang w:val="vi-VN"/>
        </w:rPr>
        <w:t xml:space="preserve"> a meta-analysis of 22 studies across emerging economies to identify key drivers of CSR disclosure. The analysis reveals that disclosure practices are significantly shaped by ownership concentration, state ownership, the board's composition, firm size, financial leverage, growth, environmental exposure, and regulatory pressures. </w:t>
      </w:r>
      <w:r w:rsidR="0065156C" w:rsidRPr="001B3FC7">
        <w:rPr>
          <w:rFonts w:ascii="Times New Roman" w:hAnsi="Times New Roman" w:cs="Times New Roman"/>
          <w:sz w:val="26"/>
          <w:szCs w:val="26"/>
          <w:highlight w:val="yellow"/>
          <w:lang w:val="vi-VN"/>
        </w:rPr>
        <w:t xml:space="preserve">Firms with higher ownership concentration and state ownership tend to disclose more CSR information. Larger board sizes, higher leverage, and </w:t>
      </w:r>
      <w:r w:rsidR="0065156C" w:rsidRPr="001B3FC7">
        <w:rPr>
          <w:rFonts w:ascii="Times New Roman" w:hAnsi="Times New Roman" w:cs="Times New Roman"/>
          <w:sz w:val="26"/>
          <w:szCs w:val="26"/>
          <w:highlight w:val="yellow"/>
        </w:rPr>
        <w:t>more robust</w:t>
      </w:r>
      <w:r w:rsidR="0065156C" w:rsidRPr="001B3FC7">
        <w:rPr>
          <w:rFonts w:ascii="Times New Roman" w:hAnsi="Times New Roman" w:cs="Times New Roman"/>
          <w:sz w:val="26"/>
          <w:szCs w:val="26"/>
          <w:highlight w:val="yellow"/>
          <w:lang w:val="vi-VN"/>
        </w:rPr>
        <w:t xml:space="preserve"> growth rates firms </w:t>
      </w:r>
      <w:r w:rsidR="0065156C" w:rsidRPr="001B3FC7">
        <w:rPr>
          <w:rFonts w:ascii="Times New Roman" w:hAnsi="Times New Roman" w:cs="Times New Roman"/>
          <w:sz w:val="26"/>
          <w:szCs w:val="26"/>
          <w:highlight w:val="yellow"/>
        </w:rPr>
        <w:t xml:space="preserve">tend to </w:t>
      </w:r>
      <w:r w:rsidR="0065156C" w:rsidRPr="001B3FC7">
        <w:rPr>
          <w:rFonts w:ascii="Times New Roman" w:hAnsi="Times New Roman" w:cs="Times New Roman"/>
          <w:sz w:val="26"/>
          <w:szCs w:val="26"/>
          <w:highlight w:val="yellow"/>
          <w:lang w:val="vi-VN"/>
        </w:rPr>
        <w:t>report greater CSR disclosure.</w:t>
      </w:r>
      <w:r w:rsidR="0065156C" w:rsidRPr="001B3FC7">
        <w:rPr>
          <w:rFonts w:ascii="Times New Roman" w:hAnsi="Times New Roman" w:cs="Times New Roman"/>
          <w:sz w:val="26"/>
          <w:szCs w:val="26"/>
          <w:lang w:val="vi-VN"/>
        </w:rPr>
        <w:t xml:space="preserve"> Additionally, firms in environment-sensitive industries and being affected by new regulations enhance disclosure levels. </w:t>
      </w:r>
      <w:r w:rsidR="0065156C" w:rsidRPr="001B3FC7">
        <w:rPr>
          <w:rFonts w:ascii="Times New Roman" w:hAnsi="Times New Roman" w:cs="Times New Roman"/>
          <w:sz w:val="26"/>
          <w:szCs w:val="26"/>
          <w:highlight w:val="yellow"/>
        </w:rPr>
        <w:t>These findings are supported by the renowned stakeholder, legitimacy, agency, and institutional theories.</w:t>
      </w:r>
      <w:r w:rsidR="0065156C" w:rsidRPr="001B3FC7">
        <w:rPr>
          <w:rFonts w:ascii="Times New Roman" w:hAnsi="Times New Roman" w:cs="Times New Roman"/>
          <w:sz w:val="26"/>
          <w:szCs w:val="26"/>
        </w:rPr>
        <w:t xml:space="preserve"> Finally, the</w:t>
      </w:r>
      <w:r w:rsidR="0065156C" w:rsidRPr="001B3FC7">
        <w:rPr>
          <w:rFonts w:ascii="Times New Roman" w:hAnsi="Times New Roman" w:cs="Times New Roman"/>
          <w:sz w:val="26"/>
          <w:szCs w:val="26"/>
          <w:lang w:val="vi-VN"/>
        </w:rPr>
        <w:t xml:space="preserve"> study provides insights for researchers, policymakers, and managers to improve CSR disclosure practices in emerging economies.</w:t>
      </w:r>
    </w:p>
    <w:bookmarkEnd w:id="0"/>
    <w:p w14:paraId="387F68DB" w14:textId="10F51371" w:rsidR="00EC2755" w:rsidRPr="001B3FC7" w:rsidRDefault="00022F1D"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Introduction</w:t>
      </w:r>
      <w:r w:rsidR="00C26EC8" w:rsidRPr="001B3FC7">
        <w:rPr>
          <w:rFonts w:ascii="Times New Roman" w:hAnsi="Times New Roman" w:cs="Times New Roman"/>
          <w:b/>
          <w:bCs/>
          <w:sz w:val="26"/>
          <w:szCs w:val="26"/>
        </w:rPr>
        <w:t>, paragraph 1</w:t>
      </w:r>
      <w:r w:rsidRPr="001B3FC7">
        <w:rPr>
          <w:rFonts w:ascii="Times New Roman" w:hAnsi="Times New Roman" w:cs="Times New Roman"/>
          <w:b/>
          <w:bCs/>
          <w:sz w:val="26"/>
          <w:szCs w:val="26"/>
        </w:rPr>
        <w:t>:</w:t>
      </w:r>
      <w:r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00C26EC8" w:rsidRPr="001B3FC7">
        <w:rPr>
          <w:rFonts w:ascii="Times New Roman" w:hAnsi="Times New Roman" w:cs="Times New Roman"/>
          <w:sz w:val="26"/>
          <w:szCs w:val="26"/>
        </w:rPr>
        <w:t>In recent years, corporate social responsibility (CSR) disclosure has become vital to most companies' corporate governance worldwide</w:t>
      </w:r>
      <w:r w:rsidR="00A60994">
        <w:rPr>
          <w:rFonts w:ascii="Times New Roman" w:hAnsi="Times New Roman" w:cs="Times New Roman"/>
          <w:sz w:val="26"/>
          <w:szCs w:val="26"/>
        </w:rPr>
        <w:t>”</w:t>
      </w:r>
      <w:r w:rsidR="00C26EC8" w:rsidRPr="001B3FC7">
        <w:rPr>
          <w:rFonts w:ascii="Times New Roman" w:hAnsi="Times New Roman" w:cs="Times New Roman"/>
          <w:sz w:val="26"/>
          <w:szCs w:val="26"/>
        </w:rPr>
        <w:sym w:font="Wingdings" w:char="F0E0"/>
      </w:r>
      <w:r w:rsidR="00C26EC8" w:rsidRPr="001B3FC7">
        <w:rPr>
          <w:rFonts w:ascii="Times New Roman" w:hAnsi="Times New Roman" w:cs="Times New Roman"/>
          <w:sz w:val="26"/>
          <w:szCs w:val="26"/>
        </w:rPr>
        <w:t xml:space="preserve"> </w:t>
      </w:r>
      <w:r w:rsidRPr="001B3FC7">
        <w:rPr>
          <w:rFonts w:ascii="Times New Roman" w:hAnsi="Times New Roman" w:cs="Times New Roman"/>
          <w:sz w:val="26"/>
          <w:szCs w:val="26"/>
          <w:highlight w:val="yellow"/>
        </w:rPr>
        <w:t>In recent years, corporate social responsibility (CSR) disclosure has become a vital component of corporate governance for companies worldwide.</w:t>
      </w:r>
    </w:p>
    <w:p w14:paraId="636EAD73" w14:textId="6379823C" w:rsidR="00EC2755" w:rsidRDefault="00A60994" w:rsidP="001B3FC7">
      <w:pPr>
        <w:spacing w:after="120" w:line="312"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1E67E9" w:rsidRPr="001B3FC7">
        <w:rPr>
          <w:rFonts w:ascii="Times New Roman" w:hAnsi="Times New Roman" w:cs="Times New Roman"/>
          <w:sz w:val="26"/>
          <w:szCs w:val="26"/>
        </w:rPr>
        <w:t>It serves as as a signal of accountability and a strategic tool for securing legitimacy and competitive advantage in the global economy</w:t>
      </w:r>
      <w:r>
        <w:rPr>
          <w:rFonts w:ascii="Times New Roman" w:hAnsi="Times New Roman" w:cs="Times New Roman"/>
          <w:sz w:val="26"/>
          <w:szCs w:val="26"/>
        </w:rPr>
        <w:t>”</w:t>
      </w:r>
      <w:r w:rsidR="001E67E9" w:rsidRPr="001B3FC7">
        <w:rPr>
          <w:rFonts w:ascii="Times New Roman" w:hAnsi="Times New Roman" w:cs="Times New Roman"/>
          <w:sz w:val="26"/>
          <w:szCs w:val="26"/>
        </w:rPr>
        <w:t xml:space="preserve"> </w:t>
      </w:r>
      <w:r w:rsidR="001E67E9" w:rsidRPr="001B3FC7">
        <w:rPr>
          <w:rFonts w:ascii="Times New Roman" w:hAnsi="Times New Roman" w:cs="Times New Roman"/>
          <w:sz w:val="26"/>
          <w:szCs w:val="26"/>
        </w:rPr>
        <w:sym w:font="Wingdings" w:char="F0E0"/>
      </w:r>
      <w:r w:rsidR="001E67E9" w:rsidRPr="001B3FC7">
        <w:rPr>
          <w:rFonts w:ascii="Times New Roman" w:hAnsi="Times New Roman" w:cs="Times New Roman"/>
          <w:sz w:val="26"/>
          <w:szCs w:val="26"/>
          <w:highlight w:val="yellow"/>
        </w:rPr>
        <w:t xml:space="preserve">  </w:t>
      </w:r>
      <w:r w:rsidR="00EC2755" w:rsidRPr="001B3FC7">
        <w:rPr>
          <w:rFonts w:ascii="Times New Roman" w:hAnsi="Times New Roman" w:cs="Times New Roman"/>
          <w:sz w:val="26"/>
          <w:szCs w:val="26"/>
          <w:highlight w:val="yellow"/>
        </w:rPr>
        <w:t>It serves as a signal of accountability and a strategic tool for securing legitimacy and competitive advantage in the global economy.</w:t>
      </w:r>
      <w:r w:rsidR="00EC2755" w:rsidRPr="001B3FC7">
        <w:rPr>
          <w:rFonts w:ascii="Times New Roman" w:hAnsi="Times New Roman" w:cs="Times New Roman"/>
          <w:sz w:val="26"/>
          <w:szCs w:val="26"/>
          <w:highlight w:val="yellow"/>
        </w:rPr>
        <w:fldChar w:fldCharType="begin"/>
      </w:r>
      <w:r w:rsidR="00EC2755" w:rsidRPr="001B3FC7">
        <w:rPr>
          <w:rFonts w:ascii="Times New Roman" w:hAnsi="Times New Roman" w:cs="Times New Roman"/>
          <w:sz w:val="26"/>
          <w:szCs w:val="26"/>
          <w:highlight w:val="yellow"/>
        </w:rPr>
        <w:instrText xml:space="preserve"> ADDIN EN.CITE &lt;EndNote&gt;&lt;Cite&gt;&lt;Author&gt;Freeman&lt;/Author&gt;&lt;Year&gt;2011&lt;/Year&gt;&lt;RecNum&gt;26&lt;/RecNum&gt;&lt;DisplayText&gt;&lt;style face="superscript"&gt;4&lt;/style&gt;&lt;/DisplayText&gt;&lt;record&gt;&lt;rec-number&gt;26&lt;/rec-number&gt;&lt;foreign-keys&gt;&lt;key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EC2755" w:rsidRPr="001B3FC7">
        <w:rPr>
          <w:rFonts w:ascii="Times New Roman" w:hAnsi="Times New Roman" w:cs="Times New Roman"/>
          <w:sz w:val="26"/>
          <w:szCs w:val="26"/>
          <w:highlight w:val="yellow"/>
        </w:rPr>
        <w:fldChar w:fldCharType="separate"/>
      </w:r>
      <w:r w:rsidR="00EC2755" w:rsidRPr="001B3FC7">
        <w:rPr>
          <w:rFonts w:ascii="Times New Roman" w:hAnsi="Times New Roman" w:cs="Times New Roman"/>
          <w:noProof/>
          <w:sz w:val="26"/>
          <w:szCs w:val="26"/>
          <w:highlight w:val="yellow"/>
          <w:vertAlign w:val="superscript"/>
        </w:rPr>
        <w:t>4</w:t>
      </w:r>
      <w:r w:rsidR="00EC2755" w:rsidRPr="001B3FC7">
        <w:rPr>
          <w:rFonts w:ascii="Times New Roman" w:hAnsi="Times New Roman" w:cs="Times New Roman"/>
          <w:sz w:val="26"/>
          <w:szCs w:val="26"/>
          <w:highlight w:val="yellow"/>
        </w:rPr>
        <w:fldChar w:fldCharType="end"/>
      </w:r>
    </w:p>
    <w:p w14:paraId="7AD611D4" w14:textId="10637F90" w:rsidR="00FF785A" w:rsidRDefault="00FF785A" w:rsidP="001B3FC7">
      <w:pPr>
        <w:spacing w:after="120" w:line="312" w:lineRule="auto"/>
        <w:ind w:firstLine="567"/>
        <w:jc w:val="both"/>
        <w:rPr>
          <w:rFonts w:ascii="Times New Roman" w:hAnsi="Times New Roman" w:cs="Times New Roman"/>
          <w:sz w:val="26"/>
          <w:szCs w:val="26"/>
        </w:rPr>
      </w:pPr>
      <w:r w:rsidRPr="00FF785A">
        <w:rPr>
          <w:rFonts w:ascii="Times New Roman" w:hAnsi="Times New Roman" w:cs="Times New Roman"/>
          <w:b/>
          <w:bCs/>
          <w:sz w:val="26"/>
          <w:szCs w:val="26"/>
        </w:rPr>
        <w:t>Section 3.1, paragraph 1:</w:t>
      </w:r>
      <w:r w:rsidRPr="00FF785A">
        <w:rPr>
          <w:rFonts w:ascii="Times New Roman" w:hAnsi="Times New Roman" w:cs="Times New Roman"/>
          <w:sz w:val="26"/>
          <w:szCs w:val="26"/>
        </w:rPr>
        <w:t xml:space="preserve"> </w:t>
      </w:r>
      <w:r w:rsidR="00A60994">
        <w:rPr>
          <w:rFonts w:ascii="Times New Roman" w:hAnsi="Times New Roman" w:cs="Times New Roman"/>
          <w:sz w:val="26"/>
          <w:szCs w:val="26"/>
        </w:rPr>
        <w:t>“</w:t>
      </w:r>
      <w:r w:rsidRPr="00FF785A">
        <w:rPr>
          <w:rFonts w:ascii="Times New Roman" w:hAnsi="Times New Roman" w:cs="Times New Roman"/>
          <w:sz w:val="26"/>
          <w:szCs w:val="26"/>
        </w:rPr>
        <w:t>Given the diversity of emerging markets and the high heterogeneity in the data, this model offers more robust and generalizable estimates than a fixed-effects approach</w:t>
      </w:r>
      <w:r w:rsidR="00A60994">
        <w:rPr>
          <w:rFonts w:ascii="Times New Roman" w:hAnsi="Times New Roman" w:cs="Times New Roman"/>
          <w:sz w:val="26"/>
          <w:szCs w:val="26"/>
        </w:rPr>
        <w:t>”</w:t>
      </w:r>
      <w:r w:rsidRPr="00FF785A">
        <w:rPr>
          <w:rFonts w:ascii="Times New Roman" w:hAnsi="Times New Roman" w:cs="Times New Roman"/>
          <w:sz w:val="26"/>
          <w:szCs w:val="26"/>
        </w:rPr>
        <w:t>.</w:t>
      </w:r>
      <w:r w:rsidRPr="00FF785A">
        <w:rPr>
          <w:rFonts w:ascii="Times New Roman" w:hAnsi="Times New Roman" w:cs="Times New Roman"/>
          <w:sz w:val="26"/>
          <w:szCs w:val="26"/>
        </w:rPr>
        <w:t xml:space="preserve"> </w:t>
      </w:r>
      <w:r w:rsidRPr="00FF785A">
        <w:rPr>
          <w:rFonts w:ascii="Times New Roman" w:hAnsi="Times New Roman" w:cs="Times New Roman"/>
          <w:sz w:val="26"/>
          <w:szCs w:val="26"/>
        </w:rPr>
        <w:sym w:font="Wingdings" w:char="F0E0"/>
      </w:r>
      <w:r w:rsidRPr="00FF785A">
        <w:rPr>
          <w:rFonts w:ascii="Times New Roman" w:hAnsi="Times New Roman" w:cs="Times New Roman"/>
          <w:sz w:val="26"/>
          <w:szCs w:val="26"/>
        </w:rPr>
        <w:t xml:space="preserve"> </w:t>
      </w:r>
      <w:r w:rsidRPr="00FF785A">
        <w:rPr>
          <w:rFonts w:ascii="Times New Roman" w:hAnsi="Times New Roman" w:cs="Times New Roman"/>
          <w:sz w:val="26"/>
          <w:szCs w:val="26"/>
        </w:rPr>
        <w:t xml:space="preserve">Given the diversity of emerging markets and the high </w:t>
      </w:r>
      <w:r w:rsidRPr="00FF785A">
        <w:rPr>
          <w:rFonts w:ascii="Times New Roman" w:hAnsi="Times New Roman" w:cs="Times New Roman"/>
          <w:sz w:val="26"/>
          <w:szCs w:val="26"/>
        </w:rPr>
        <w:lastRenderedPageBreak/>
        <w:t xml:space="preserve">heterogeneity in the data, </w:t>
      </w:r>
      <w:r w:rsidRPr="00FF785A">
        <w:rPr>
          <w:rFonts w:ascii="Times New Roman" w:hAnsi="Times New Roman" w:cs="Times New Roman"/>
          <w:sz w:val="26"/>
          <w:szCs w:val="26"/>
          <w:highlight w:val="yellow"/>
        </w:rPr>
        <w:t>the</w:t>
      </w:r>
      <w:r w:rsidRPr="00FF785A">
        <w:rPr>
          <w:rFonts w:ascii="Times New Roman" w:hAnsi="Times New Roman" w:cs="Times New Roman"/>
          <w:sz w:val="26"/>
          <w:szCs w:val="26"/>
        </w:rPr>
        <w:t xml:space="preserve"> </w:t>
      </w:r>
      <w:r w:rsidRPr="00FF785A">
        <w:rPr>
          <w:rFonts w:ascii="Times New Roman" w:hAnsi="Times New Roman" w:cs="Times New Roman"/>
          <w:sz w:val="26"/>
          <w:szCs w:val="26"/>
          <w:highlight w:val="yellow"/>
        </w:rPr>
        <w:t>random effect model</w:t>
      </w:r>
      <w:r w:rsidRPr="00FF785A">
        <w:rPr>
          <w:rFonts w:ascii="Times New Roman" w:hAnsi="Times New Roman" w:cs="Times New Roman"/>
          <w:sz w:val="26"/>
          <w:szCs w:val="26"/>
        </w:rPr>
        <w:t xml:space="preserve"> offers more robust and generalizable estimates than a fixed-effects approach.</w:t>
      </w:r>
    </w:p>
    <w:p w14:paraId="73D15829" w14:textId="665DF27F" w:rsidR="00A748F3" w:rsidRPr="00F85BE4" w:rsidRDefault="00A748F3" w:rsidP="001B3FC7">
      <w:pPr>
        <w:spacing w:after="120" w:line="312" w:lineRule="auto"/>
        <w:ind w:firstLine="567"/>
        <w:jc w:val="both"/>
        <w:rPr>
          <w:rFonts w:ascii="Times New Roman" w:hAnsi="Times New Roman" w:cs="Times New Roman"/>
          <w:sz w:val="26"/>
          <w:szCs w:val="26"/>
        </w:rPr>
      </w:pPr>
      <w:r w:rsidRPr="00A748F3">
        <w:rPr>
          <w:rFonts w:ascii="Times New Roman" w:hAnsi="Times New Roman" w:cs="Times New Roman"/>
          <w:b/>
          <w:bCs/>
          <w:sz w:val="26"/>
          <w:szCs w:val="26"/>
        </w:rPr>
        <w:t>Section 5, paragraph 3:</w:t>
      </w:r>
      <w:r w:rsidRPr="00A748F3">
        <w:rPr>
          <w:rFonts w:ascii="Times New Roman" w:hAnsi="Times New Roman" w:cs="Times New Roman"/>
          <w:sz w:val="26"/>
          <w:szCs w:val="26"/>
        </w:rPr>
        <w:t xml:space="preserve"> </w:t>
      </w:r>
      <w:r w:rsidR="00A60994">
        <w:rPr>
          <w:rFonts w:ascii="Times New Roman" w:hAnsi="Times New Roman" w:cs="Times New Roman"/>
          <w:sz w:val="26"/>
          <w:szCs w:val="26"/>
        </w:rPr>
        <w:t>“</w:t>
      </w:r>
      <w:r w:rsidRPr="00A748F3">
        <w:rPr>
          <w:rFonts w:ascii="Times New Roman" w:hAnsi="Times New Roman" w:cs="Times New Roman"/>
          <w:bCs/>
          <w:sz w:val="26"/>
          <w:szCs w:val="26"/>
        </w:rPr>
        <w:t>Third, it uses a random-effects model, which enhances the generalizability of the findings by accounting for study-level differences</w:t>
      </w:r>
      <w:r w:rsidR="00A60994">
        <w:rPr>
          <w:rFonts w:ascii="Times New Roman" w:hAnsi="Times New Roman" w:cs="Times New Roman"/>
          <w:bCs/>
          <w:sz w:val="26"/>
          <w:szCs w:val="26"/>
        </w:rPr>
        <w:t>”</w:t>
      </w:r>
      <w:r w:rsidR="00A60994" w:rsidRPr="00A60994">
        <w:rPr>
          <w:rFonts w:ascii="Times New Roman" w:hAnsi="Times New Roman" w:cs="Times New Roman"/>
          <w:bCs/>
          <w:sz w:val="26"/>
          <w:szCs w:val="26"/>
        </w:rPr>
        <w:sym w:font="Wingdings" w:char="F0E0"/>
      </w:r>
      <w:r w:rsidR="00A60994">
        <w:rPr>
          <w:rFonts w:ascii="Times New Roman" w:hAnsi="Times New Roman" w:cs="Times New Roman"/>
          <w:bCs/>
          <w:sz w:val="26"/>
          <w:szCs w:val="26"/>
        </w:rPr>
        <w:t xml:space="preserve"> </w:t>
      </w:r>
      <w:r w:rsidRPr="00A748F3">
        <w:rPr>
          <w:rFonts w:ascii="Times New Roman" w:hAnsi="Times New Roman" w:cs="Times New Roman"/>
          <w:bCs/>
          <w:sz w:val="26"/>
          <w:szCs w:val="26"/>
          <w:highlight w:val="yellow"/>
        </w:rPr>
        <w:t>Third, it uses a random-effects model which captures the inter-study variation.</w:t>
      </w:r>
    </w:p>
    <w:p w14:paraId="62EB0F6A" w14:textId="77777777" w:rsidR="00F85BE4" w:rsidRPr="001B3FC7" w:rsidRDefault="00F85BE4" w:rsidP="001B3FC7">
      <w:pPr>
        <w:numPr>
          <w:ilvl w:val="0"/>
          <w:numId w:val="5"/>
        </w:numPr>
        <w:tabs>
          <w:tab w:val="clear" w:pos="720"/>
          <w:tab w:val="num" w:pos="284"/>
        </w:tabs>
        <w:spacing w:after="120" w:line="312" w:lineRule="auto"/>
        <w:ind w:left="0" w:firstLine="567"/>
        <w:jc w:val="both"/>
        <w:rPr>
          <w:rFonts w:ascii="Times New Roman" w:hAnsi="Times New Roman" w:cs="Times New Roman"/>
          <w:i/>
          <w:iCs/>
          <w:sz w:val="26"/>
          <w:szCs w:val="26"/>
        </w:rPr>
      </w:pPr>
      <w:r w:rsidRPr="00F85BE4">
        <w:rPr>
          <w:rFonts w:ascii="Times New Roman" w:hAnsi="Times New Roman" w:cs="Times New Roman"/>
          <w:i/>
          <w:iCs/>
          <w:sz w:val="26"/>
          <w:szCs w:val="26"/>
        </w:rPr>
        <w:t>Sentences with ambiguous structure or awkward phrasing have been reworded for better readability and academic tone.</w:t>
      </w:r>
    </w:p>
    <w:p w14:paraId="37D24F95" w14:textId="7E34BDFA" w:rsidR="003F6622" w:rsidRPr="001B3FC7" w:rsidRDefault="003F6622"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Introduction, paragraph 1:</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t>“Especially, in emerging markets, weaker institutional structures and regulatory inconsistencies create additional challenges for corporate accountability”</w:t>
      </w:r>
      <w:r w:rsidR="00A60994">
        <w:rPr>
          <w:rFonts w:ascii="Times New Roman" w:hAnsi="Times New Roman" w:cs="Times New Roman"/>
          <w:sz w:val="26"/>
          <w:szCs w:val="26"/>
        </w:rPr>
        <w:t>.</w:t>
      </w:r>
      <w:r w:rsidRPr="001B3FC7">
        <w:rPr>
          <w:rFonts w:ascii="Times New Roman" w:hAnsi="Times New Roman" w:cs="Times New Roman"/>
          <w:sz w:val="26"/>
          <w:szCs w:val="26"/>
        </w:rPr>
        <w:sym w:font="Wingdings" w:char="F0E0"/>
      </w:r>
      <w:r w:rsidR="00B26CD1" w:rsidRPr="001B3FC7">
        <w:rPr>
          <w:rFonts w:ascii="Times New Roman" w:hAnsi="Times New Roman" w:cs="Times New Roman"/>
          <w:sz w:val="26"/>
          <w:szCs w:val="26"/>
        </w:rPr>
        <w:t xml:space="preserve"> </w:t>
      </w:r>
      <w:r w:rsidR="00B26CD1" w:rsidRPr="001B3FC7">
        <w:rPr>
          <w:rFonts w:ascii="Times New Roman" w:hAnsi="Times New Roman" w:cs="Times New Roman"/>
          <w:sz w:val="26"/>
          <w:szCs w:val="26"/>
          <w:highlight w:val="yellow"/>
        </w:rPr>
        <w:t>This is particularly true in emerging markets, where weak institutional structures and inconsistent regulations create further challenges for corporate accountability.</w:t>
      </w:r>
    </w:p>
    <w:p w14:paraId="3634BD22" w14:textId="012718BA" w:rsidR="003F6622" w:rsidRPr="001B3FC7" w:rsidRDefault="00B26CD1"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Introduction, paragraph 2:</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t>“Many theories have explained CSR disclosure”</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004F69E7" w:rsidRPr="001B3FC7">
        <w:rPr>
          <w:rFonts w:ascii="Times New Roman" w:hAnsi="Times New Roman" w:cs="Times New Roman"/>
          <w:sz w:val="26"/>
          <w:szCs w:val="26"/>
          <w:highlight w:val="yellow"/>
        </w:rPr>
        <w:t>Several theoretical frameworks have been proposed to explain CSR disclosure behavior.</w:t>
      </w:r>
    </w:p>
    <w:p w14:paraId="5F1749AE" w14:textId="4133C5AA" w:rsidR="004F69E7" w:rsidRPr="001B3FC7" w:rsidRDefault="004F69E7"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Introduction, paragraph 3:</w:t>
      </w:r>
      <w:r w:rsidRPr="001B3FC7">
        <w:rPr>
          <w:rFonts w:ascii="Times New Roman" w:hAnsi="Times New Roman" w:cs="Times New Roman"/>
          <w:sz w:val="26"/>
          <w:szCs w:val="26"/>
        </w:rPr>
        <w:t xml:space="preserve"> </w:t>
      </w:r>
      <w:r w:rsidR="001E67E9" w:rsidRPr="001B3FC7">
        <w:rPr>
          <w:rFonts w:ascii="Times New Roman" w:hAnsi="Times New Roman" w:cs="Times New Roman"/>
          <w:sz w:val="26"/>
          <w:szCs w:val="26"/>
        </w:rPr>
        <w:t>“</w:t>
      </w:r>
      <w:r w:rsidR="002C36A0" w:rsidRPr="001B3FC7">
        <w:rPr>
          <w:rFonts w:ascii="Times New Roman" w:hAnsi="Times New Roman" w:cs="Times New Roman"/>
          <w:sz w:val="26"/>
          <w:szCs w:val="26"/>
        </w:rPr>
        <w:t>Nevertheless, numerous studies have examined the determinants of CSR disclosure, the findings remain fragmented and inconsistent</w:t>
      </w:r>
      <w:r w:rsidR="001E67E9" w:rsidRPr="001B3FC7">
        <w:rPr>
          <w:rFonts w:ascii="Times New Roman" w:hAnsi="Times New Roman" w:cs="Times New Roman"/>
          <w:sz w:val="26"/>
          <w:szCs w:val="26"/>
        </w:rPr>
        <w:t xml:space="preserve">”. </w:t>
      </w:r>
      <w:r w:rsidR="001E67E9" w:rsidRPr="001B3FC7">
        <w:rPr>
          <w:rFonts w:ascii="Times New Roman" w:hAnsi="Times New Roman" w:cs="Times New Roman"/>
          <w:sz w:val="26"/>
          <w:szCs w:val="26"/>
        </w:rPr>
        <w:sym w:font="Wingdings" w:char="F0E0"/>
      </w:r>
      <w:r w:rsidR="001E67E9" w:rsidRPr="001B3FC7">
        <w:rPr>
          <w:rFonts w:ascii="Times New Roman" w:hAnsi="Times New Roman" w:cs="Times New Roman"/>
          <w:sz w:val="26"/>
          <w:szCs w:val="26"/>
        </w:rPr>
        <w:t xml:space="preserve"> </w:t>
      </w:r>
      <w:r w:rsidRPr="001B3FC7">
        <w:rPr>
          <w:rFonts w:ascii="Times New Roman" w:hAnsi="Times New Roman" w:cs="Times New Roman"/>
          <w:sz w:val="26"/>
          <w:szCs w:val="26"/>
          <w:highlight w:val="yellow"/>
        </w:rPr>
        <w:t>Nevertheless, many studies have investigated the determinants of CSR disclosure, their findings remain fragmented and inconsistent.</w:t>
      </w:r>
    </w:p>
    <w:p w14:paraId="57FE8FA9" w14:textId="53EC38FD" w:rsidR="003D6E1F" w:rsidRPr="001B3FC7" w:rsidRDefault="003D6E1F"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Introduction, paragraph 3:</w:t>
      </w:r>
      <w:r w:rsidRPr="001B3FC7">
        <w:rPr>
          <w:rFonts w:ascii="Times New Roman" w:hAnsi="Times New Roman" w:cs="Times New Roman"/>
          <w:sz w:val="26"/>
          <w:szCs w:val="26"/>
        </w:rPr>
        <w:t xml:space="preserve"> “Conversely, CSR practices tend to be more reactive in markets characterized by economic instability and socio-political uncertainties, often focusing on short-term social contributions rather than long-term strategic integration”</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00D02654"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Pr="001B3FC7">
        <w:rPr>
          <w:rFonts w:ascii="Times New Roman" w:hAnsi="Times New Roman" w:cs="Times New Roman"/>
          <w:sz w:val="26"/>
          <w:szCs w:val="26"/>
          <w:highlight w:val="yellow"/>
        </w:rPr>
        <w:t>In contrast, CSR practices in unstable markets often prioritize short-term social contributions over long-term strategic integration, reflecting a reactive approach to external pressures.</w:t>
      </w:r>
    </w:p>
    <w:p w14:paraId="61C18455" w14:textId="176DB11D" w:rsidR="003D6E1F" w:rsidRPr="001B3FC7" w:rsidRDefault="003D6E1F"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Introduction, paragraph 4</w:t>
      </w:r>
      <w:r w:rsidR="00D02654" w:rsidRPr="001B3FC7">
        <w:rPr>
          <w:rFonts w:ascii="Times New Roman" w:hAnsi="Times New Roman" w:cs="Times New Roman"/>
          <w:b/>
          <w:bCs/>
          <w:sz w:val="26"/>
          <w:szCs w:val="26"/>
        </w:rPr>
        <w:t>:</w:t>
      </w:r>
      <w:r w:rsidRPr="001B3FC7">
        <w:rPr>
          <w:rFonts w:ascii="Times New Roman" w:hAnsi="Times New Roman" w:cs="Times New Roman"/>
          <w:sz w:val="26"/>
          <w:szCs w:val="26"/>
        </w:rPr>
        <w:t xml:space="preserve"> “The study fills a research gap by applying statistical meta-analysis to discover more comparable, reliable, and generalizable determinants of CSR reporting practices in emerging markets”</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00D02654"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Pr="001B3FC7">
        <w:rPr>
          <w:rFonts w:ascii="Times New Roman" w:hAnsi="Times New Roman" w:cs="Times New Roman"/>
          <w:sz w:val="26"/>
          <w:szCs w:val="26"/>
          <w:highlight w:val="yellow"/>
          <w:lang w:val="vi"/>
        </w:rPr>
        <w:t>This study addresses the gap by employing statistical meta-analysis to identify more consistent and generalizable determinants of CSR reporting in emerging markets</w:t>
      </w:r>
      <w:r w:rsidRPr="001B3FC7">
        <w:rPr>
          <w:rFonts w:ascii="Times New Roman" w:hAnsi="Times New Roman" w:cs="Times New Roman"/>
          <w:sz w:val="26"/>
          <w:szCs w:val="26"/>
          <w:highlight w:val="yellow"/>
        </w:rPr>
        <w:t>.</w:t>
      </w:r>
    </w:p>
    <w:p w14:paraId="2523493B" w14:textId="6899F0D6" w:rsidR="00FC00F2" w:rsidRPr="001B3FC7" w:rsidRDefault="00FC00F2" w:rsidP="001B3FC7">
      <w:pPr>
        <w:shd w:val="clear" w:color="auto" w:fill="FFFFFF"/>
        <w:tabs>
          <w:tab w:val="left" w:pos="360"/>
          <w:tab w:val="right" w:pos="9072"/>
        </w:tabs>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Section 2.1, paragraph 1:</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t>The theory suggests that firms with stronger stakeholder engagement mechanisms are more transparent in their CSR disclosures</w:t>
      </w:r>
      <w:r w:rsidRPr="001B3FC7">
        <w:rPr>
          <w:rFonts w:ascii="Times New Roman" w:hAnsi="Times New Roman" w:cs="Times New Roman"/>
          <w:sz w:val="26"/>
          <w:szCs w:val="26"/>
        </w:rPr>
        <w:t>”</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Pr="001B3FC7">
        <w:rPr>
          <w:rFonts w:ascii="Times New Roman" w:hAnsi="Times New Roman" w:cs="Times New Roman"/>
          <w:sz w:val="26"/>
          <w:szCs w:val="26"/>
          <w:highlight w:val="yellow"/>
        </w:rPr>
        <w:t>It suggests that firms with stronger stakeholder engagement mechanisms tend to disclose CSR information more transparently.</w:t>
      </w:r>
    </w:p>
    <w:p w14:paraId="7EF57BBF" w14:textId="50ABBD70" w:rsidR="00080CDD" w:rsidRPr="001B3FC7" w:rsidRDefault="00080CDD" w:rsidP="001B3FC7">
      <w:pPr>
        <w:shd w:val="clear" w:color="auto" w:fill="FFFFFF"/>
        <w:tabs>
          <w:tab w:val="left" w:pos="360"/>
          <w:tab w:val="right" w:pos="9072"/>
        </w:tabs>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lastRenderedPageBreak/>
        <w:t>Section 2.1, paragraph 2:</w:t>
      </w:r>
      <w:r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Pr="001B3FC7">
        <w:rPr>
          <w:rFonts w:ascii="Times New Roman" w:hAnsi="Times New Roman" w:cs="Times New Roman"/>
          <w:sz w:val="26"/>
          <w:szCs w:val="26"/>
        </w:rPr>
        <w:t>CSR disclosure can mitigate agency conflicts by improving transparency and reducing managerial opportunism</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000945B0" w:rsidRPr="001B3FC7">
        <w:rPr>
          <w:rFonts w:ascii="Times New Roman" w:hAnsi="Times New Roman" w:cs="Times New Roman"/>
          <w:sz w:val="26"/>
          <w:szCs w:val="26"/>
          <w:highlight w:val="yellow"/>
        </w:rPr>
        <w:t>CSR disclosure serves to mitigate agency problems by increasing transparency and reducing managerial opportunism.</w:t>
      </w:r>
    </w:p>
    <w:p w14:paraId="0E2D2F09" w14:textId="0239CA39" w:rsidR="000945B0" w:rsidRPr="001B3FC7" w:rsidRDefault="000945B0" w:rsidP="001B3FC7">
      <w:pPr>
        <w:shd w:val="clear" w:color="auto" w:fill="FFFFFF"/>
        <w:tabs>
          <w:tab w:val="left" w:pos="360"/>
          <w:tab w:val="right" w:pos="9072"/>
        </w:tabs>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 xml:space="preserve">Section 2.1, paragraph </w:t>
      </w:r>
      <w:r w:rsidRPr="001B3FC7">
        <w:rPr>
          <w:rFonts w:ascii="Times New Roman" w:hAnsi="Times New Roman" w:cs="Times New Roman"/>
          <w:b/>
          <w:bCs/>
          <w:sz w:val="26"/>
          <w:szCs w:val="26"/>
        </w:rPr>
        <w:t>3</w:t>
      </w:r>
      <w:r w:rsidRPr="001B3FC7">
        <w:rPr>
          <w:rFonts w:ascii="Times New Roman" w:hAnsi="Times New Roman" w:cs="Times New Roman"/>
          <w:b/>
          <w:bCs/>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t>CSR disclosure is particularly relevant in industries with high social and environmental impact, such as banking, where public perception and trust are critical</w:t>
      </w:r>
      <w:r w:rsidRPr="001B3FC7">
        <w:rPr>
          <w:rFonts w:ascii="Times New Roman" w:hAnsi="Times New Roman" w:cs="Times New Roman"/>
          <w:sz w:val="26"/>
          <w:szCs w:val="26"/>
        </w:rPr>
        <w:t>”</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bookmarkStart w:id="1" w:name="_Hlk196164953"/>
      <w:r w:rsidRPr="001B3FC7">
        <w:rPr>
          <w:rFonts w:ascii="Times New Roman" w:hAnsi="Times New Roman" w:cs="Times New Roman"/>
          <w:sz w:val="26"/>
          <w:szCs w:val="26"/>
          <w:highlight w:val="yellow"/>
        </w:rPr>
        <w:t>CSR disclosure is especially important in high-impact sectors like banking, where public trust and reputation are vital.</w:t>
      </w:r>
      <w:bookmarkEnd w:id="1"/>
    </w:p>
    <w:p w14:paraId="7496AA1B" w14:textId="58E029D0" w:rsidR="000945B0" w:rsidRPr="001B3FC7" w:rsidRDefault="000945B0" w:rsidP="001B3FC7">
      <w:pPr>
        <w:shd w:val="clear" w:color="auto" w:fill="FFFFFF"/>
        <w:tabs>
          <w:tab w:val="left" w:pos="360"/>
          <w:tab w:val="right" w:pos="9072"/>
        </w:tabs>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bCs/>
          <w:sz w:val="26"/>
          <w:szCs w:val="26"/>
        </w:rPr>
        <w:t>Section 2.</w:t>
      </w:r>
      <w:r w:rsidR="009F66D5" w:rsidRPr="001B3FC7">
        <w:rPr>
          <w:rFonts w:ascii="Times New Roman" w:hAnsi="Times New Roman" w:cs="Times New Roman"/>
          <w:b/>
          <w:bCs/>
          <w:sz w:val="26"/>
          <w:szCs w:val="26"/>
        </w:rPr>
        <w:t>2</w:t>
      </w:r>
      <w:r w:rsidRPr="001B3FC7">
        <w:rPr>
          <w:rFonts w:ascii="Times New Roman" w:hAnsi="Times New Roman" w:cs="Times New Roman"/>
          <w:b/>
          <w:bCs/>
          <w:sz w:val="26"/>
          <w:szCs w:val="26"/>
        </w:rPr>
        <w:t>.</w:t>
      </w:r>
      <w:r w:rsidR="009F66D5" w:rsidRPr="001B3FC7">
        <w:rPr>
          <w:rFonts w:ascii="Times New Roman" w:hAnsi="Times New Roman" w:cs="Times New Roman"/>
          <w:b/>
          <w:bCs/>
          <w:sz w:val="26"/>
          <w:szCs w:val="26"/>
        </w:rPr>
        <w:t>1</w:t>
      </w:r>
      <w:r w:rsidRPr="001B3FC7">
        <w:rPr>
          <w:rFonts w:ascii="Times New Roman" w:hAnsi="Times New Roman" w:cs="Times New Roman"/>
          <w:b/>
          <w:bCs/>
          <w:sz w:val="26"/>
          <w:szCs w:val="26"/>
        </w:rPr>
        <w:t xml:space="preserve">, </w:t>
      </w:r>
      <w:r w:rsidR="00BF033D" w:rsidRPr="001B3FC7">
        <w:rPr>
          <w:rFonts w:ascii="Times New Roman" w:hAnsi="Times New Roman" w:cs="Times New Roman"/>
          <w:b/>
          <w:bCs/>
          <w:sz w:val="26"/>
          <w:szCs w:val="26"/>
        </w:rPr>
        <w:t>paragraph 1:</w:t>
      </w:r>
      <w:r w:rsidR="00BF033D"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00BF033D" w:rsidRPr="001B3FC7">
        <w:rPr>
          <w:rFonts w:ascii="Times New Roman" w:hAnsi="Times New Roman" w:cs="Times New Roman"/>
          <w:bCs/>
          <w:sz w:val="26"/>
          <w:szCs w:val="26"/>
        </w:rPr>
        <w:t>Ownership structure determines who controls decision-making processes and the level of accountability imposed on management, thus strongly affecting CSR disclosures</w:t>
      </w:r>
      <w:r w:rsidR="00A60994">
        <w:rPr>
          <w:rFonts w:ascii="Times New Roman" w:hAnsi="Times New Roman" w:cs="Times New Roman"/>
          <w:bCs/>
          <w:sz w:val="26"/>
          <w:szCs w:val="26"/>
        </w:rPr>
        <w:t>”</w:t>
      </w:r>
      <w:r w:rsidR="00BF033D" w:rsidRPr="001B3FC7">
        <w:rPr>
          <w:rFonts w:ascii="Times New Roman" w:hAnsi="Times New Roman" w:cs="Times New Roman"/>
          <w:bCs/>
          <w:sz w:val="26"/>
          <w:szCs w:val="26"/>
        </w:rPr>
        <w:t>.</w:t>
      </w:r>
      <w:r w:rsidR="00BF033D" w:rsidRPr="001B3FC7">
        <w:rPr>
          <w:rFonts w:ascii="Times New Roman" w:hAnsi="Times New Roman" w:cs="Times New Roman"/>
          <w:bCs/>
          <w:sz w:val="26"/>
          <w:szCs w:val="26"/>
        </w:rPr>
        <w:t xml:space="preserve"> </w:t>
      </w:r>
      <w:r w:rsidR="00BF033D" w:rsidRPr="001B3FC7">
        <w:rPr>
          <w:rFonts w:ascii="Times New Roman" w:hAnsi="Times New Roman" w:cs="Times New Roman"/>
          <w:bCs/>
          <w:sz w:val="26"/>
          <w:szCs w:val="26"/>
        </w:rPr>
        <w:sym w:font="Wingdings" w:char="F0E0"/>
      </w:r>
      <w:r w:rsidR="003D6E1F" w:rsidRPr="001B3FC7">
        <w:rPr>
          <w:rFonts w:ascii="Times New Roman" w:hAnsi="Times New Roman" w:cs="Times New Roman"/>
          <w:bCs/>
          <w:sz w:val="26"/>
          <w:szCs w:val="26"/>
          <w:highlight w:val="yellow"/>
        </w:rPr>
        <w:t xml:space="preserve"> </w:t>
      </w:r>
      <w:r w:rsidR="003D6E1F" w:rsidRPr="001B3FC7">
        <w:rPr>
          <w:rFonts w:ascii="Times New Roman" w:hAnsi="Times New Roman" w:cs="Times New Roman"/>
          <w:bCs/>
          <w:sz w:val="26"/>
          <w:szCs w:val="26"/>
          <w:highlight w:val="yellow"/>
        </w:rPr>
        <w:t>Ownership structure shapes managerial accountability and decision-making control, both of which significantly influence CSR disclosure levels.</w:t>
      </w:r>
    </w:p>
    <w:p w14:paraId="75794395" w14:textId="60FD7900" w:rsidR="00BC51B6" w:rsidRPr="001B3FC7" w:rsidRDefault="003D6E1F"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t xml:space="preserve">Section 2.2.1, paragraph </w:t>
      </w:r>
      <w:r w:rsidR="008F662B" w:rsidRPr="001B3FC7">
        <w:rPr>
          <w:rFonts w:ascii="Times New Roman" w:hAnsi="Times New Roman" w:cs="Times New Roman"/>
          <w:b/>
          <w:bCs/>
          <w:sz w:val="26"/>
          <w:szCs w:val="26"/>
        </w:rPr>
        <w:t>2</w:t>
      </w:r>
      <w:r w:rsidRPr="001B3FC7">
        <w:rPr>
          <w:rFonts w:ascii="Times New Roman" w:hAnsi="Times New Roman" w:cs="Times New Roman"/>
          <w:b/>
          <w:bCs/>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t>“Stakeholder theory suggests that boards with a higher proportion of independent directors and greater diversity are more likely to promote transparent CSR practices, as they represent a broader range of stakeholder interests”</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00E07658" w:rsidRPr="001B3FC7">
        <w:rPr>
          <w:rFonts w:ascii="Times New Roman" w:hAnsi="Times New Roman" w:cs="Times New Roman"/>
          <w:bCs/>
          <w:sz w:val="26"/>
          <w:szCs w:val="26"/>
          <w:highlight w:val="yellow"/>
        </w:rPr>
        <w:t>According to stakeholder theory, boards with more independent and diverse members are more inclined to promote transparent CSR practices, as they reflect broader stakeholder interests.</w:t>
      </w:r>
    </w:p>
    <w:p w14:paraId="093F94BB" w14:textId="78EEEB26" w:rsidR="00E07658" w:rsidRPr="001B3FC7" w:rsidRDefault="00D02654"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t>Section 2.2.1, paragraph 2:</w:t>
      </w:r>
      <w:r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00E07658" w:rsidRPr="001B3FC7">
        <w:rPr>
          <w:rFonts w:ascii="Times New Roman" w:hAnsi="Times New Roman" w:cs="Times New Roman"/>
          <w:bCs/>
          <w:sz w:val="26"/>
          <w:szCs w:val="26"/>
        </w:rPr>
        <w:t>Larger and more diverse boards are also expected to mitigate managerial entrenchment, ensuring that firms engage in long-term sustainability commitments rather than short-term financial gains</w:t>
      </w:r>
      <w:r w:rsidR="00A60994">
        <w:rPr>
          <w:rFonts w:ascii="Times New Roman" w:hAnsi="Times New Roman" w:cs="Times New Roman"/>
          <w:bCs/>
          <w:sz w:val="26"/>
          <w:szCs w:val="26"/>
        </w:rPr>
        <w:t>”</w:t>
      </w:r>
      <w:r w:rsidR="00E07658" w:rsidRPr="001B3FC7">
        <w:rPr>
          <w:rFonts w:ascii="Times New Roman" w:hAnsi="Times New Roman" w:cs="Times New Roman"/>
          <w:bCs/>
          <w:sz w:val="26"/>
          <w:szCs w:val="26"/>
        </w:rPr>
        <w:t>.</w:t>
      </w:r>
      <w:r w:rsidR="00E07658" w:rsidRPr="001B3FC7">
        <w:rPr>
          <w:rFonts w:ascii="Times New Roman" w:hAnsi="Times New Roman" w:cs="Times New Roman"/>
          <w:bCs/>
          <w:sz w:val="26"/>
          <w:szCs w:val="26"/>
        </w:rPr>
        <w:t xml:space="preserve"> </w:t>
      </w:r>
      <w:r w:rsidR="00E07658" w:rsidRPr="001B3FC7">
        <w:rPr>
          <w:rFonts w:ascii="Times New Roman" w:hAnsi="Times New Roman" w:cs="Times New Roman"/>
          <w:bCs/>
          <w:sz w:val="26"/>
          <w:szCs w:val="26"/>
        </w:rPr>
        <w:sym w:font="Wingdings" w:char="F0E0"/>
      </w:r>
      <w:r w:rsidR="00E07658" w:rsidRPr="001B3FC7">
        <w:rPr>
          <w:rFonts w:ascii="Times New Roman" w:hAnsi="Times New Roman" w:cs="Times New Roman"/>
          <w:sz w:val="26"/>
          <w:szCs w:val="26"/>
        </w:rPr>
        <w:t xml:space="preserve"> </w:t>
      </w:r>
      <w:r w:rsidR="00E07658" w:rsidRPr="001B3FC7">
        <w:rPr>
          <w:rFonts w:ascii="Times New Roman" w:hAnsi="Times New Roman" w:cs="Times New Roman"/>
          <w:bCs/>
          <w:sz w:val="26"/>
          <w:szCs w:val="26"/>
          <w:highlight w:val="yellow"/>
        </w:rPr>
        <w:t>Such boards can also reduce managerial entrenchment, encouraging long-term sustainability over short-term financial objectives</w:t>
      </w:r>
    </w:p>
    <w:p w14:paraId="2FFDC650" w14:textId="1EB9577E" w:rsidR="00202177" w:rsidRPr="001B3FC7" w:rsidRDefault="00202177"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Section 2.2.</w:t>
      </w:r>
      <w:r w:rsidR="00C319FE" w:rsidRPr="001B3FC7">
        <w:rPr>
          <w:rFonts w:ascii="Times New Roman" w:hAnsi="Times New Roman" w:cs="Times New Roman"/>
          <w:b/>
          <w:sz w:val="26"/>
          <w:szCs w:val="26"/>
        </w:rPr>
        <w:t>1</w:t>
      </w:r>
      <w:r w:rsidRPr="001B3FC7">
        <w:rPr>
          <w:rFonts w:ascii="Times New Roman" w:hAnsi="Times New Roman" w:cs="Times New Roman"/>
          <w:b/>
          <w:sz w:val="26"/>
          <w:szCs w:val="26"/>
        </w:rPr>
        <w:t>, paragraph 3</w:t>
      </w:r>
      <w:r w:rsidRPr="001B3FC7">
        <w:rPr>
          <w:rFonts w:ascii="Times New Roman" w:hAnsi="Times New Roman" w:cs="Times New Roman"/>
          <w:bCs/>
          <w:sz w:val="26"/>
          <w:szCs w:val="26"/>
        </w:rPr>
        <w:t xml:space="preserve">: </w:t>
      </w:r>
      <w:r w:rsidR="00A60994">
        <w:rPr>
          <w:rFonts w:ascii="Times New Roman" w:hAnsi="Times New Roman" w:cs="Times New Roman"/>
          <w:bCs/>
          <w:sz w:val="26"/>
          <w:szCs w:val="26"/>
        </w:rPr>
        <w:t>“</w:t>
      </w:r>
      <w:r w:rsidRPr="001B3FC7">
        <w:rPr>
          <w:rFonts w:ascii="Times New Roman" w:hAnsi="Times New Roman" w:cs="Times New Roman"/>
          <w:bCs/>
          <w:sz w:val="26"/>
          <w:szCs w:val="26"/>
        </w:rPr>
        <w:t>Empirical findings suggest that transformational leadership styles, where CEOs emphasize innovation, long-term growth, and ethical responsibility, result in greater CSR engagement and transparency</w:t>
      </w:r>
      <w:r w:rsidR="00A60994">
        <w:rPr>
          <w:rFonts w:ascii="Times New Roman" w:hAnsi="Times New Roman" w:cs="Times New Roman"/>
          <w:bCs/>
          <w:sz w:val="26"/>
          <w:szCs w:val="26"/>
        </w:rPr>
        <w:t>”.</w:t>
      </w:r>
      <w:r w:rsidRPr="001B3FC7">
        <w:rPr>
          <w:rFonts w:ascii="Times New Roman" w:hAnsi="Times New Roman" w:cs="Times New Roman"/>
          <w:bCs/>
          <w:sz w:val="26"/>
          <w:szCs w:val="26"/>
          <w:highlight w:val="yellow"/>
        </w:rPr>
        <w:sym w:font="Wingdings" w:char="F0E0"/>
      </w:r>
      <w:r w:rsidRPr="001B3FC7">
        <w:rPr>
          <w:rFonts w:ascii="Times New Roman" w:hAnsi="Times New Roman" w:cs="Times New Roman"/>
          <w:bCs/>
          <w:sz w:val="26"/>
          <w:szCs w:val="26"/>
          <w:highlight w:val="yellow"/>
        </w:rPr>
        <w:t xml:space="preserve"> </w:t>
      </w:r>
      <w:r w:rsidRPr="001B3FC7">
        <w:rPr>
          <w:rFonts w:ascii="Times New Roman" w:hAnsi="Times New Roman" w:cs="Times New Roman"/>
          <w:bCs/>
          <w:sz w:val="26"/>
          <w:szCs w:val="26"/>
          <w:highlight w:val="yellow"/>
        </w:rPr>
        <w:t>Empirical findings suggest that transformational leadership styles</w:t>
      </w:r>
      <w:r w:rsidRPr="001B3FC7">
        <w:rPr>
          <w:rFonts w:ascii="Times New Roman" w:hAnsi="Times New Roman" w:cs="Times New Roman"/>
          <w:bCs/>
          <w:sz w:val="26"/>
          <w:szCs w:val="26"/>
          <w:highlight w:val="yellow"/>
        </w:rPr>
        <w:t xml:space="preserve">, </w:t>
      </w:r>
      <w:r w:rsidR="00C319FE" w:rsidRPr="001B3FC7">
        <w:rPr>
          <w:rFonts w:ascii="Times New Roman" w:hAnsi="Times New Roman" w:cs="Times New Roman"/>
          <w:bCs/>
          <w:sz w:val="26"/>
          <w:szCs w:val="26"/>
          <w:highlight w:val="yellow"/>
        </w:rPr>
        <w:t>characterized by a focus on innovation, long-term vision, and ethical values</w:t>
      </w:r>
      <w:r w:rsidR="00C319FE" w:rsidRPr="001B3FC7">
        <w:rPr>
          <w:rFonts w:ascii="Times New Roman" w:hAnsi="Times New Roman" w:cs="Times New Roman"/>
          <w:bCs/>
          <w:sz w:val="26"/>
          <w:szCs w:val="26"/>
          <w:highlight w:val="yellow"/>
        </w:rPr>
        <w:t xml:space="preserve">, </w:t>
      </w:r>
      <w:r w:rsidR="00C319FE" w:rsidRPr="001B3FC7">
        <w:rPr>
          <w:rFonts w:ascii="Times New Roman" w:hAnsi="Times New Roman" w:cs="Times New Roman"/>
          <w:bCs/>
          <w:sz w:val="26"/>
          <w:szCs w:val="26"/>
          <w:highlight w:val="yellow"/>
        </w:rPr>
        <w:t>is associated with stronger CSR engagement and transparency.”</w:t>
      </w:r>
    </w:p>
    <w:p w14:paraId="409FDAA3" w14:textId="47A28B9E" w:rsidR="00C319FE" w:rsidRPr="001B3FC7" w:rsidRDefault="00C319FE"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 xml:space="preserve">Section 2.2.2, </w:t>
      </w:r>
      <w:r w:rsidR="003B376F" w:rsidRPr="001B3FC7">
        <w:rPr>
          <w:rFonts w:ascii="Times New Roman" w:hAnsi="Times New Roman" w:cs="Times New Roman"/>
          <w:b/>
          <w:sz w:val="26"/>
          <w:szCs w:val="26"/>
        </w:rPr>
        <w:t>paragraph 2:</w:t>
      </w:r>
      <w:r w:rsidR="003B376F" w:rsidRPr="001B3FC7">
        <w:rPr>
          <w:rFonts w:ascii="Times New Roman" w:hAnsi="Times New Roman" w:cs="Times New Roman"/>
          <w:bCs/>
          <w:sz w:val="26"/>
          <w:szCs w:val="26"/>
        </w:rPr>
        <w:t xml:space="preserve"> </w:t>
      </w:r>
      <w:r w:rsidR="00A60994">
        <w:rPr>
          <w:rFonts w:ascii="Times New Roman" w:hAnsi="Times New Roman" w:cs="Times New Roman"/>
          <w:bCs/>
          <w:sz w:val="26"/>
          <w:szCs w:val="26"/>
        </w:rPr>
        <w:t>“</w:t>
      </w:r>
      <w:r w:rsidR="003B376F" w:rsidRPr="001B3FC7">
        <w:rPr>
          <w:rFonts w:ascii="Times New Roman" w:hAnsi="Times New Roman" w:cs="Times New Roman"/>
          <w:bCs/>
          <w:sz w:val="26"/>
          <w:szCs w:val="26"/>
        </w:rPr>
        <w:t>Empirical research exposes incompatible results on the association between profitability and CSR disclosure</w:t>
      </w:r>
      <w:r w:rsidR="00A60994">
        <w:rPr>
          <w:rFonts w:ascii="Times New Roman" w:hAnsi="Times New Roman" w:cs="Times New Roman"/>
          <w:bCs/>
          <w:sz w:val="26"/>
          <w:szCs w:val="26"/>
        </w:rPr>
        <w:t>”</w:t>
      </w:r>
      <w:r w:rsidR="003B376F" w:rsidRPr="001B3FC7">
        <w:rPr>
          <w:rFonts w:ascii="Times New Roman" w:hAnsi="Times New Roman" w:cs="Times New Roman"/>
          <w:bCs/>
          <w:sz w:val="26"/>
          <w:szCs w:val="26"/>
        </w:rPr>
        <w:t>.</w:t>
      </w:r>
      <w:r w:rsidR="003B376F" w:rsidRPr="001B3FC7">
        <w:rPr>
          <w:rFonts w:ascii="Times New Roman" w:hAnsi="Times New Roman" w:cs="Times New Roman"/>
          <w:bCs/>
          <w:sz w:val="26"/>
          <w:szCs w:val="26"/>
        </w:rPr>
        <w:t xml:space="preserve"> </w:t>
      </w:r>
      <w:r w:rsidR="003B376F" w:rsidRPr="001B3FC7">
        <w:rPr>
          <w:rFonts w:ascii="Times New Roman" w:hAnsi="Times New Roman" w:cs="Times New Roman"/>
          <w:bCs/>
          <w:sz w:val="26"/>
          <w:szCs w:val="26"/>
        </w:rPr>
        <w:sym w:font="Wingdings" w:char="F0E0"/>
      </w:r>
      <w:r w:rsidR="003B376F" w:rsidRPr="001B3FC7">
        <w:rPr>
          <w:rFonts w:ascii="Times New Roman" w:hAnsi="Times New Roman" w:cs="Times New Roman"/>
          <w:bCs/>
          <w:sz w:val="26"/>
          <w:szCs w:val="26"/>
        </w:rPr>
        <w:t xml:space="preserve"> </w:t>
      </w:r>
      <w:bookmarkStart w:id="2" w:name="_Hlk196166662"/>
      <w:r w:rsidR="00155731" w:rsidRPr="001B3FC7">
        <w:rPr>
          <w:rFonts w:ascii="Times New Roman" w:hAnsi="Times New Roman" w:cs="Times New Roman"/>
          <w:bCs/>
          <w:sz w:val="26"/>
          <w:szCs w:val="26"/>
          <w:highlight w:val="yellow"/>
        </w:rPr>
        <w:t>Empirical evidence shows mixed findings regarding the link between profitability and CSR disclosure.</w:t>
      </w:r>
      <w:bookmarkEnd w:id="2"/>
    </w:p>
    <w:p w14:paraId="605E9D1E" w14:textId="544E0447" w:rsidR="00155731" w:rsidRPr="001B3FC7" w:rsidRDefault="00155731"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lastRenderedPageBreak/>
        <w:t>Section 2.2.2, Paragraph 3:</w:t>
      </w:r>
      <w:r w:rsidRPr="001B3FC7">
        <w:rPr>
          <w:rFonts w:ascii="Times New Roman" w:hAnsi="Times New Roman" w:cs="Times New Roman"/>
          <w:bCs/>
          <w:sz w:val="26"/>
          <w:szCs w:val="26"/>
        </w:rPr>
        <w:t xml:space="preserve"> </w:t>
      </w:r>
      <w:r w:rsidR="00A60994">
        <w:rPr>
          <w:rFonts w:ascii="Times New Roman" w:hAnsi="Times New Roman" w:cs="Times New Roman"/>
          <w:bCs/>
          <w:sz w:val="26"/>
          <w:szCs w:val="26"/>
        </w:rPr>
        <w:t>“</w:t>
      </w:r>
      <w:r w:rsidRPr="001B3FC7">
        <w:rPr>
          <w:rFonts w:ascii="Times New Roman" w:hAnsi="Times New Roman" w:cs="Times New Roman"/>
          <w:bCs/>
          <w:sz w:val="26"/>
          <w:szCs w:val="26"/>
        </w:rPr>
        <w:t>Larger firms generally face greater public scrutiny, regulatory oversight, and stakeholder expectations, making them more likely to disclose CSR information</w:t>
      </w:r>
      <w:r w:rsidR="00A60994">
        <w:rPr>
          <w:rFonts w:ascii="Times New Roman" w:hAnsi="Times New Roman" w:cs="Times New Roman"/>
          <w:bCs/>
          <w:sz w:val="26"/>
          <w:szCs w:val="26"/>
        </w:rPr>
        <w:t>”</w:t>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rPr>
        <w:sym w:font="Wingdings" w:char="F0E0"/>
      </w:r>
      <w:r w:rsidRPr="001B3FC7">
        <w:rPr>
          <w:rFonts w:ascii="Times New Roman" w:hAnsi="Times New Roman" w:cs="Times New Roman"/>
          <w:bCs/>
          <w:sz w:val="26"/>
          <w:szCs w:val="26"/>
        </w:rPr>
        <w:t xml:space="preserve"> </w:t>
      </w:r>
      <w:r w:rsidR="00D063D9" w:rsidRPr="001B3FC7">
        <w:rPr>
          <w:rFonts w:ascii="Times New Roman" w:hAnsi="Times New Roman" w:cs="Times New Roman"/>
          <w:bCs/>
          <w:sz w:val="26"/>
          <w:szCs w:val="26"/>
          <w:highlight w:val="yellow"/>
        </w:rPr>
        <w:t>Larger firms are more exposed to public scrutiny and regulatory demands, which increases the likelihood of CSR disclosure.</w:t>
      </w:r>
    </w:p>
    <w:p w14:paraId="37F43192" w14:textId="391B5BDE" w:rsidR="00D063D9" w:rsidRPr="001B3FC7" w:rsidRDefault="00D063D9"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Section 2.2.2, Paragraph 5:</w:t>
      </w:r>
      <w:r w:rsidRPr="001B3FC7">
        <w:rPr>
          <w:rFonts w:ascii="Times New Roman" w:hAnsi="Times New Roman" w:cs="Times New Roman"/>
          <w:bCs/>
          <w:sz w:val="26"/>
          <w:szCs w:val="26"/>
        </w:rPr>
        <w:t xml:space="preserve"> </w:t>
      </w:r>
      <w:r w:rsidR="00A60994">
        <w:rPr>
          <w:rFonts w:ascii="Times New Roman" w:hAnsi="Times New Roman" w:cs="Times New Roman"/>
          <w:bCs/>
          <w:sz w:val="26"/>
          <w:szCs w:val="26"/>
        </w:rPr>
        <w:t>“</w:t>
      </w:r>
      <w:r w:rsidR="00363A64" w:rsidRPr="001B3FC7">
        <w:rPr>
          <w:rFonts w:ascii="Times New Roman" w:hAnsi="Times New Roman" w:cs="Times New Roman"/>
          <w:bCs/>
          <w:sz w:val="26"/>
          <w:szCs w:val="26"/>
        </w:rPr>
        <w:t>Leverage, the debt-to-equity ratio, represents a firm's financial risk</w:t>
      </w:r>
      <w:r w:rsidR="00A60994">
        <w:rPr>
          <w:rFonts w:ascii="Times New Roman" w:hAnsi="Times New Roman" w:cs="Times New Roman"/>
          <w:bCs/>
          <w:sz w:val="26"/>
          <w:szCs w:val="26"/>
        </w:rPr>
        <w:t>”</w:t>
      </w:r>
      <w:r w:rsidR="00363A64" w:rsidRPr="001B3FC7">
        <w:rPr>
          <w:rFonts w:ascii="Times New Roman" w:hAnsi="Times New Roman" w:cs="Times New Roman"/>
          <w:bCs/>
          <w:sz w:val="26"/>
          <w:szCs w:val="26"/>
        </w:rPr>
        <w:t>.</w:t>
      </w:r>
      <w:r w:rsidR="00A60994" w:rsidRPr="00A60994">
        <w:rPr>
          <w:rFonts w:ascii="Times New Roman" w:hAnsi="Times New Roman" w:cs="Times New Roman"/>
          <w:bCs/>
          <w:sz w:val="26"/>
          <w:szCs w:val="26"/>
        </w:rPr>
        <w:t xml:space="preserve"> </w:t>
      </w:r>
      <w:r w:rsidR="00A60994" w:rsidRPr="001B3FC7">
        <w:rPr>
          <w:rFonts w:ascii="Times New Roman" w:hAnsi="Times New Roman" w:cs="Times New Roman"/>
          <w:bCs/>
          <w:sz w:val="26"/>
          <w:szCs w:val="26"/>
        </w:rPr>
        <w:sym w:font="Wingdings" w:char="F0E0"/>
      </w:r>
      <w:r w:rsidR="00363A64" w:rsidRPr="001B3FC7">
        <w:rPr>
          <w:rFonts w:ascii="Times New Roman" w:hAnsi="Times New Roman" w:cs="Times New Roman"/>
          <w:bCs/>
          <w:i/>
          <w:iCs/>
          <w:sz w:val="26"/>
          <w:szCs w:val="26"/>
          <w:highlight w:val="yellow"/>
        </w:rPr>
        <w:t xml:space="preserve"> </w:t>
      </w:r>
      <w:r w:rsidR="00363A64" w:rsidRPr="001B3FC7">
        <w:rPr>
          <w:rFonts w:ascii="Times New Roman" w:hAnsi="Times New Roman" w:cs="Times New Roman"/>
          <w:bCs/>
          <w:i/>
          <w:iCs/>
          <w:sz w:val="26"/>
          <w:szCs w:val="26"/>
          <w:highlight w:val="yellow"/>
        </w:rPr>
        <w:t xml:space="preserve">Leverage </w:t>
      </w:r>
      <w:r w:rsidR="00363A64" w:rsidRPr="001B3FC7">
        <w:rPr>
          <w:rFonts w:ascii="Times New Roman" w:hAnsi="Times New Roman" w:cs="Times New Roman"/>
          <w:bCs/>
          <w:sz w:val="26"/>
          <w:szCs w:val="26"/>
          <w:highlight w:val="yellow"/>
        </w:rPr>
        <w:t>(debt-to-equity ratio) reflects a firm's financial risk and pressure from creditors.</w:t>
      </w:r>
    </w:p>
    <w:p w14:paraId="614A887D" w14:textId="0C68BDB4" w:rsidR="00A12F1C" w:rsidRPr="001B3FC7" w:rsidRDefault="0000791C"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t>Section 2.2.2, paragraph 9:</w:t>
      </w:r>
      <w:r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Pr="001B3FC7">
        <w:rPr>
          <w:rFonts w:ascii="Times New Roman" w:hAnsi="Times New Roman" w:cs="Times New Roman"/>
          <w:bCs/>
          <w:i/>
          <w:iCs/>
          <w:sz w:val="26"/>
          <w:szCs w:val="26"/>
        </w:rPr>
        <w:t>Research and Development Expenditures:</w:t>
      </w:r>
      <w:r w:rsidRPr="001B3FC7">
        <w:rPr>
          <w:rFonts w:ascii="Times New Roman" w:hAnsi="Times New Roman" w:cs="Times New Roman"/>
          <w:bCs/>
          <w:sz w:val="26"/>
          <w:szCs w:val="26"/>
        </w:rPr>
        <w:t xml:space="preserve"> R&amp;D expenditures reflect a firm's investment in innovation and technological advancements</w:t>
      </w:r>
      <w:r w:rsidR="00A60994">
        <w:rPr>
          <w:rFonts w:ascii="Times New Roman" w:hAnsi="Times New Roman" w:cs="Times New Roman"/>
          <w:bCs/>
          <w:sz w:val="26"/>
          <w:szCs w:val="26"/>
        </w:rPr>
        <w:t>”</w:t>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rPr>
        <w:sym w:font="Wingdings" w:char="F0E0"/>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highlight w:val="yellow"/>
        </w:rPr>
        <w:t>R&amp;D expenditures represent a firm's commitment to innovation, which may complement or compete with CSR investment.</w:t>
      </w:r>
    </w:p>
    <w:p w14:paraId="61182B3C" w14:textId="6D25FB26" w:rsidR="0000791C" w:rsidRPr="001B3FC7" w:rsidRDefault="003742FB"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t>Section 2.2.3, parahgraph 1:</w:t>
      </w:r>
      <w:r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Pr="001B3FC7">
        <w:rPr>
          <w:rFonts w:ascii="Times New Roman" w:hAnsi="Times New Roman" w:cs="Times New Roman"/>
          <w:bCs/>
          <w:sz w:val="26"/>
          <w:szCs w:val="26"/>
        </w:rPr>
        <w:t>Export-oriented industries, particularly manufacturing, agriculture, and textiles, must comply with international CSR standards and sustainability certifications to remain competitive</w:t>
      </w:r>
      <w:r w:rsidR="00A60994">
        <w:rPr>
          <w:rFonts w:ascii="Times New Roman" w:hAnsi="Times New Roman" w:cs="Times New Roman"/>
          <w:bCs/>
          <w:sz w:val="26"/>
          <w:szCs w:val="26"/>
        </w:rPr>
        <w:t>”</w:t>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rPr>
        <w:sym w:font="Wingdings" w:char="F0E0"/>
      </w:r>
      <w:r w:rsidRPr="001B3FC7">
        <w:rPr>
          <w:rFonts w:ascii="Times New Roman" w:hAnsi="Times New Roman" w:cs="Times New Roman"/>
          <w:bCs/>
          <w:sz w:val="26"/>
          <w:szCs w:val="26"/>
        </w:rPr>
        <w:t xml:space="preserve"> </w:t>
      </w:r>
      <w:bookmarkStart w:id="3" w:name="_Hlk196167133"/>
      <w:r w:rsidRPr="001B3FC7">
        <w:rPr>
          <w:rFonts w:ascii="Times New Roman" w:hAnsi="Times New Roman" w:cs="Times New Roman"/>
          <w:bCs/>
          <w:sz w:val="26"/>
          <w:szCs w:val="26"/>
          <w:highlight w:val="yellow"/>
        </w:rPr>
        <w:t xml:space="preserve">Export-oriented industries, particularly manufacturing, agriculture, and textiles, must comply with international CSR standards and sustainability certifications to </w:t>
      </w:r>
      <w:bookmarkEnd w:id="3"/>
      <w:r w:rsidRPr="001B3FC7">
        <w:rPr>
          <w:rFonts w:ascii="Times New Roman" w:hAnsi="Times New Roman" w:cs="Times New Roman"/>
          <w:bCs/>
          <w:sz w:val="26"/>
          <w:szCs w:val="26"/>
          <w:highlight w:val="yellow"/>
        </w:rPr>
        <w:t>maintain competitiveness.</w:t>
      </w:r>
    </w:p>
    <w:p w14:paraId="7EFD45E7" w14:textId="4C6C3BAB" w:rsidR="00C07604" w:rsidRPr="001B3FC7" w:rsidRDefault="003742FB"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Section 2.2.3, paragraph 2:</w:t>
      </w:r>
      <w:r w:rsidRPr="001B3FC7">
        <w:rPr>
          <w:rFonts w:ascii="Times New Roman" w:hAnsi="Times New Roman" w:cs="Times New Roman"/>
          <w:bCs/>
          <w:sz w:val="26"/>
          <w:szCs w:val="26"/>
        </w:rPr>
        <w:t xml:space="preserve"> </w:t>
      </w:r>
      <w:r w:rsidR="00A60994">
        <w:rPr>
          <w:rFonts w:ascii="Times New Roman" w:hAnsi="Times New Roman" w:cs="Times New Roman"/>
          <w:bCs/>
          <w:sz w:val="26"/>
          <w:szCs w:val="26"/>
        </w:rPr>
        <w:t>“</w:t>
      </w:r>
      <w:r w:rsidR="00C07604" w:rsidRPr="001B3FC7">
        <w:rPr>
          <w:rFonts w:ascii="Times New Roman" w:hAnsi="Times New Roman" w:cs="Times New Roman"/>
          <w:bCs/>
          <w:sz w:val="26"/>
          <w:szCs w:val="26"/>
        </w:rPr>
        <w:t>Nevertheless, competitive pressures can limit corporate social responsibility (CSR) disclosure, primarily when firms focus on cost-cutting and short-term gains</w:t>
      </w:r>
      <w:r w:rsidR="00A60994">
        <w:rPr>
          <w:rFonts w:ascii="Times New Roman" w:hAnsi="Times New Roman" w:cs="Times New Roman"/>
          <w:bCs/>
          <w:sz w:val="26"/>
          <w:szCs w:val="26"/>
        </w:rPr>
        <w:t>”</w:t>
      </w:r>
      <w:r w:rsidR="00C07604" w:rsidRPr="001B3FC7">
        <w:rPr>
          <w:rFonts w:ascii="Times New Roman" w:hAnsi="Times New Roman" w:cs="Times New Roman"/>
          <w:bCs/>
          <w:sz w:val="26"/>
          <w:szCs w:val="26"/>
        </w:rPr>
        <w:t xml:space="preserve"> </w:t>
      </w:r>
      <w:r w:rsidR="00C07604" w:rsidRPr="001B3FC7">
        <w:rPr>
          <w:rFonts w:ascii="Times New Roman" w:hAnsi="Times New Roman" w:cs="Times New Roman"/>
          <w:bCs/>
          <w:sz w:val="26"/>
          <w:szCs w:val="26"/>
        </w:rPr>
        <w:sym w:font="Wingdings" w:char="F0E0"/>
      </w:r>
      <w:r w:rsidR="00C07604" w:rsidRPr="001B3FC7">
        <w:rPr>
          <w:rFonts w:ascii="Times New Roman" w:hAnsi="Times New Roman" w:cs="Times New Roman"/>
          <w:bCs/>
          <w:sz w:val="26"/>
          <w:szCs w:val="26"/>
        </w:rPr>
        <w:t xml:space="preserve"> </w:t>
      </w:r>
      <w:r w:rsidR="00353C98" w:rsidRPr="001B3FC7">
        <w:rPr>
          <w:rFonts w:ascii="Times New Roman" w:hAnsi="Times New Roman" w:cs="Times New Roman"/>
          <w:bCs/>
          <w:sz w:val="26"/>
          <w:szCs w:val="26"/>
          <w:highlight w:val="yellow"/>
        </w:rPr>
        <w:t>However, intense competition may discourage CSR disclosure when firms prioritize cost efficiency and short-term performance.</w:t>
      </w:r>
    </w:p>
    <w:p w14:paraId="18FFC6F8" w14:textId="34222F60" w:rsidR="00353C98" w:rsidRPr="001B3FC7" w:rsidRDefault="00353C98"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 xml:space="preserve">Section 2.2.3, paragraph </w:t>
      </w:r>
      <w:r w:rsidRPr="001B3FC7">
        <w:rPr>
          <w:rFonts w:ascii="Times New Roman" w:hAnsi="Times New Roman" w:cs="Times New Roman"/>
          <w:b/>
          <w:sz w:val="26"/>
          <w:szCs w:val="26"/>
        </w:rPr>
        <w:t>4</w:t>
      </w:r>
      <w:r w:rsidRPr="001B3FC7">
        <w:rPr>
          <w:rFonts w:ascii="Times New Roman" w:hAnsi="Times New Roman" w:cs="Times New Roman"/>
          <w:b/>
          <w:sz w:val="26"/>
          <w:szCs w:val="26"/>
        </w:rPr>
        <w:t>:</w:t>
      </w:r>
      <w:r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Pr="001B3FC7">
        <w:rPr>
          <w:rFonts w:ascii="Times New Roman" w:hAnsi="Times New Roman" w:cs="Times New Roman"/>
          <w:bCs/>
          <w:sz w:val="26"/>
          <w:szCs w:val="26"/>
        </w:rPr>
        <w:t>Firms with strong social reputations tend to disclose more CSR information to maintain public trust and competitive positioning</w:t>
      </w:r>
      <w:r w:rsidR="00A60994">
        <w:rPr>
          <w:rFonts w:ascii="Times New Roman" w:hAnsi="Times New Roman" w:cs="Times New Roman"/>
          <w:bCs/>
          <w:sz w:val="26"/>
          <w:szCs w:val="26"/>
        </w:rPr>
        <w:t>”</w:t>
      </w:r>
      <w:r w:rsidRPr="001B3FC7">
        <w:rPr>
          <w:rFonts w:ascii="Times New Roman" w:hAnsi="Times New Roman" w:cs="Times New Roman"/>
          <w:bCs/>
          <w:sz w:val="26"/>
          <w:szCs w:val="26"/>
        </w:rPr>
        <w:t>.</w:t>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rPr>
        <w:sym w:font="Wingdings" w:char="F0E0"/>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highlight w:val="yellow"/>
        </w:rPr>
        <w:t>Firms with strong reputations are more likely to disclose CSR information to reinforce stakeholder trust and safeguard their market position.</w:t>
      </w:r>
    </w:p>
    <w:p w14:paraId="4D46009D" w14:textId="4BB05FC1" w:rsidR="00C870AE" w:rsidRPr="001B3FC7" w:rsidRDefault="00C870AE"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sz w:val="26"/>
          <w:szCs w:val="26"/>
        </w:rPr>
        <w:t xml:space="preserve">Section 3.3, paragraph </w:t>
      </w:r>
      <w:r w:rsidR="003E592E" w:rsidRPr="001B3FC7">
        <w:rPr>
          <w:rFonts w:ascii="Times New Roman" w:hAnsi="Times New Roman" w:cs="Times New Roman"/>
          <w:b/>
          <w:sz w:val="26"/>
          <w:szCs w:val="26"/>
        </w:rPr>
        <w:t>4</w:t>
      </w:r>
      <w:r w:rsidRPr="001B3FC7">
        <w:rPr>
          <w:rFonts w:ascii="Times New Roman" w:hAnsi="Times New Roman" w:cs="Times New Roman"/>
          <w:b/>
          <w:sz w:val="26"/>
          <w:szCs w:val="26"/>
        </w:rPr>
        <w:t>:</w:t>
      </w:r>
      <w:r w:rsidR="003E592E" w:rsidRPr="001B3FC7">
        <w:rPr>
          <w:rFonts w:ascii="Times New Roman" w:hAnsi="Times New Roman" w:cs="Times New Roman"/>
          <w:sz w:val="26"/>
          <w:szCs w:val="26"/>
        </w:rPr>
        <w:t xml:space="preserve"> </w:t>
      </w:r>
      <w:r w:rsidR="00A60994">
        <w:rPr>
          <w:rFonts w:ascii="Times New Roman" w:hAnsi="Times New Roman" w:cs="Times New Roman"/>
          <w:sz w:val="26"/>
          <w:szCs w:val="26"/>
        </w:rPr>
        <w:t>“</w:t>
      </w:r>
      <w:r w:rsidR="003E592E" w:rsidRPr="001B3FC7">
        <w:rPr>
          <w:rFonts w:ascii="Times New Roman" w:hAnsi="Times New Roman" w:cs="Times New Roman"/>
          <w:bCs/>
          <w:sz w:val="26"/>
          <w:szCs w:val="26"/>
        </w:rPr>
        <w:t>CSR disclosure across the 22 studies employs diverse measurement methods</w:t>
      </w:r>
      <w:r w:rsidR="00A60994">
        <w:rPr>
          <w:rFonts w:ascii="Times New Roman" w:hAnsi="Times New Roman" w:cs="Times New Roman"/>
          <w:bCs/>
          <w:sz w:val="26"/>
          <w:szCs w:val="26"/>
        </w:rPr>
        <w:t>”.</w:t>
      </w:r>
      <w:r w:rsidRPr="001B3FC7">
        <w:rPr>
          <w:rFonts w:ascii="Times New Roman" w:hAnsi="Times New Roman" w:cs="Times New Roman"/>
          <w:sz w:val="26"/>
          <w:szCs w:val="26"/>
        </w:rPr>
        <w:t xml:space="preserve"> </w:t>
      </w:r>
      <w:r w:rsidRPr="001B3FC7">
        <w:rPr>
          <w:rFonts w:ascii="Times New Roman" w:hAnsi="Times New Roman" w:cs="Times New Roman"/>
          <w:sz w:val="26"/>
          <w:szCs w:val="26"/>
        </w:rPr>
        <w:sym w:font="Wingdings" w:char="F0E0"/>
      </w:r>
      <w:r w:rsidRPr="001B3FC7">
        <w:rPr>
          <w:rFonts w:ascii="Times New Roman" w:hAnsi="Times New Roman" w:cs="Times New Roman"/>
          <w:sz w:val="26"/>
          <w:szCs w:val="26"/>
        </w:rPr>
        <w:t xml:space="preserve"> </w:t>
      </w:r>
      <w:r w:rsidR="003E592E" w:rsidRPr="001B3FC7">
        <w:rPr>
          <w:rFonts w:ascii="Times New Roman" w:hAnsi="Times New Roman" w:cs="Times New Roman"/>
          <w:sz w:val="26"/>
          <w:szCs w:val="26"/>
          <w:highlight w:val="yellow"/>
        </w:rPr>
        <w:t>The 22 selected studies adopt various approaches to measuring CSR disclosure.</w:t>
      </w:r>
    </w:p>
    <w:p w14:paraId="4D484AD3" w14:textId="0511D1AD" w:rsidR="00DB40B4" w:rsidRPr="00F85BE4" w:rsidRDefault="00DB40B4"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sz w:val="26"/>
          <w:szCs w:val="26"/>
        </w:rPr>
        <w:t>Section 3.3, paragraph 4:</w:t>
      </w:r>
      <w:r w:rsidRPr="001B3FC7">
        <w:rPr>
          <w:rFonts w:ascii="Times New Roman" w:hAnsi="Times New Roman" w:cs="Times New Roman"/>
          <w:bCs/>
          <w:sz w:val="26"/>
          <w:szCs w:val="26"/>
        </w:rPr>
        <w:t xml:space="preserve"> </w:t>
      </w:r>
      <w:r w:rsidR="00A60994">
        <w:rPr>
          <w:rFonts w:ascii="Times New Roman" w:hAnsi="Times New Roman" w:cs="Times New Roman"/>
          <w:bCs/>
          <w:sz w:val="26"/>
          <w:szCs w:val="26"/>
        </w:rPr>
        <w:t>“</w:t>
      </w:r>
      <w:r w:rsidRPr="001B3FC7">
        <w:rPr>
          <w:rFonts w:ascii="Times New Roman" w:hAnsi="Times New Roman" w:cs="Times New Roman"/>
          <w:sz w:val="26"/>
          <w:szCs w:val="26"/>
        </w:rPr>
        <w:t>Binary (0/1) and index-based binary variables each account for 18.2%, offering a more categorical evaluation.</w:t>
      </w:r>
      <w:r w:rsidR="00A60994">
        <w:rPr>
          <w:rFonts w:ascii="Times New Roman" w:hAnsi="Times New Roman" w:cs="Times New Roman"/>
          <w:sz w:val="26"/>
          <w:szCs w:val="26"/>
        </w:rPr>
        <w:t>”</w:t>
      </w:r>
      <w:r w:rsidRPr="001B3FC7">
        <w:rPr>
          <w:rFonts w:ascii="Times New Roman" w:hAnsi="Times New Roman" w:cs="Times New Roman"/>
          <w:sz w:val="26"/>
          <w:szCs w:val="26"/>
        </w:rPr>
        <w:t xml:space="preserve">--&gt; </w:t>
      </w:r>
      <w:r w:rsidRPr="001B3FC7">
        <w:rPr>
          <w:rFonts w:ascii="Times New Roman" w:hAnsi="Times New Roman" w:cs="Times New Roman"/>
          <w:sz w:val="26"/>
          <w:szCs w:val="26"/>
          <w:highlight w:val="yellow"/>
        </w:rPr>
        <w:t>Binary and index-based binary measures each account for 18.2%, providing categorical assessments of CSR disclosure.</w:t>
      </w:r>
    </w:p>
    <w:p w14:paraId="4C940A2B" w14:textId="77777777" w:rsidR="00F85BE4" w:rsidRPr="00F85BE4" w:rsidRDefault="00F85BE4" w:rsidP="001B3FC7">
      <w:pPr>
        <w:spacing w:after="120" w:line="312" w:lineRule="auto"/>
        <w:ind w:firstLine="567"/>
        <w:jc w:val="both"/>
        <w:rPr>
          <w:rFonts w:ascii="Times New Roman" w:hAnsi="Times New Roman" w:cs="Times New Roman"/>
          <w:b/>
          <w:bCs/>
          <w:sz w:val="26"/>
          <w:szCs w:val="26"/>
        </w:rPr>
      </w:pPr>
      <w:r w:rsidRPr="00F85BE4">
        <w:rPr>
          <w:rFonts w:ascii="Times New Roman" w:hAnsi="Times New Roman" w:cs="Times New Roman"/>
          <w:b/>
          <w:bCs/>
          <w:sz w:val="26"/>
          <w:szCs w:val="26"/>
        </w:rPr>
        <w:t>2. Expand the Literature Review with Recent Sources</w:t>
      </w:r>
    </w:p>
    <w:p w14:paraId="6656E810" w14:textId="77777777" w:rsidR="00F85BE4" w:rsidRPr="00F85BE4" w:rsidRDefault="00F85BE4" w:rsidP="001B3FC7">
      <w:pPr>
        <w:numPr>
          <w:ilvl w:val="0"/>
          <w:numId w:val="2"/>
        </w:numPr>
        <w:tabs>
          <w:tab w:val="clear" w:pos="720"/>
          <w:tab w:val="num" w:pos="284"/>
        </w:tabs>
        <w:spacing w:after="120" w:line="312" w:lineRule="auto"/>
        <w:ind w:left="0" w:firstLine="567"/>
        <w:jc w:val="both"/>
        <w:rPr>
          <w:rFonts w:ascii="Times New Roman" w:hAnsi="Times New Roman" w:cs="Times New Roman"/>
          <w:i/>
          <w:iCs/>
          <w:sz w:val="26"/>
          <w:szCs w:val="26"/>
        </w:rPr>
      </w:pPr>
      <w:r w:rsidRPr="00F85BE4">
        <w:rPr>
          <w:rFonts w:ascii="Times New Roman" w:hAnsi="Times New Roman" w:cs="Times New Roman"/>
          <w:i/>
          <w:iCs/>
          <w:sz w:val="26"/>
          <w:szCs w:val="26"/>
        </w:rPr>
        <w:t xml:space="preserve">The literature review in Section 2.2 was significantly updated to include </w:t>
      </w:r>
      <w:r w:rsidRPr="00F85BE4">
        <w:rPr>
          <w:rFonts w:ascii="Times New Roman" w:hAnsi="Times New Roman" w:cs="Times New Roman"/>
          <w:b/>
          <w:bCs/>
          <w:i/>
          <w:iCs/>
          <w:sz w:val="26"/>
          <w:szCs w:val="26"/>
        </w:rPr>
        <w:t>recent studies from 2023–2024</w:t>
      </w:r>
      <w:r w:rsidRPr="00F85BE4">
        <w:rPr>
          <w:rFonts w:ascii="Times New Roman" w:hAnsi="Times New Roman" w:cs="Times New Roman"/>
          <w:i/>
          <w:iCs/>
          <w:sz w:val="26"/>
          <w:szCs w:val="26"/>
        </w:rPr>
        <w:t>.</w:t>
      </w:r>
    </w:p>
    <w:p w14:paraId="2B2E9042" w14:textId="4D1231C7" w:rsidR="00A96699" w:rsidRPr="001B3FC7" w:rsidRDefault="00A96699" w:rsidP="001B3FC7">
      <w:pPr>
        <w:shd w:val="clear" w:color="auto" w:fill="FFFFFF"/>
        <w:tabs>
          <w:tab w:val="left" w:pos="360"/>
          <w:tab w:val="right" w:pos="9072"/>
        </w:tabs>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lastRenderedPageBreak/>
        <w:t>Section 2.2.1:</w:t>
      </w:r>
      <w:r w:rsidRPr="001B3FC7">
        <w:rPr>
          <w:rFonts w:ascii="Times New Roman" w:hAnsi="Times New Roman" w:cs="Times New Roman"/>
          <w:sz w:val="26"/>
          <w:szCs w:val="26"/>
        </w:rPr>
        <w:t xml:space="preserve"> </w:t>
      </w:r>
      <w:r w:rsidRPr="001B3FC7">
        <w:rPr>
          <w:rFonts w:ascii="Times New Roman" w:hAnsi="Times New Roman" w:cs="Times New Roman"/>
          <w:bCs/>
          <w:sz w:val="26"/>
          <w:szCs w:val="26"/>
          <w:highlight w:val="yellow"/>
        </w:rPr>
        <w:t xml:space="preserve">A recent study by </w:t>
      </w:r>
      <w:r w:rsidRPr="001B3FC7">
        <w:rPr>
          <w:rFonts w:ascii="Times New Roman" w:hAnsi="Times New Roman" w:cs="Times New Roman"/>
          <w:bCs/>
          <w:sz w:val="26"/>
          <w:szCs w:val="26"/>
          <w:highlight w:val="yellow"/>
        </w:rPr>
        <w:fldChar w:fldCharType="begin"/>
      </w:r>
      <w:r w:rsidRPr="001B3FC7">
        <w:rPr>
          <w:rFonts w:ascii="Times New Roman" w:hAnsi="Times New Roman" w:cs="Times New Roman"/>
          <w:bCs/>
          <w:sz w:val="26"/>
          <w:szCs w:val="26"/>
          <w:highlight w:val="yellow"/>
        </w:rPr>
        <w:instrText xml:space="preserve"> ADDIN EN.CITE &lt;EndNote&gt;&lt;Cite AuthorYear="1"&gt;&lt;Author&gt;Sang&lt;/Author&gt;&lt;Year&gt;2024&lt;/Year&gt;&lt;RecNum&gt;91&lt;/RecNum&gt;&lt;DisplayText&gt;Sang, et al.&lt;style face="superscript"&gt;26&lt;/style&gt;&lt;/DisplayText&gt;&lt;record&gt;&lt;rec-number&gt;91&lt;/rec-number&gt;&lt;foreign-keys&gt;&lt;key app="EN" db-id="f22vzas5gwx5t9ep92uprt075aa5see5r9ee" timestamp="1745241130"&gt;91&lt;/key&gt;&lt;/foreign-keys&gt;&lt;ref-type name="Journal Article"&gt;17&lt;/ref-type&gt;&lt;contributors&gt;&lt;authors&gt;&lt;author&gt;Sang, Shuairan&lt;/author&gt;&lt;author&gt;Yan, Aiguo&lt;/author&gt;&lt;author&gt;Ahmad, Mahmood&lt;/author&gt;&lt;/authors&gt;&lt;/contributors&gt;&lt;titles&gt;&lt;title&gt;CEO Experience and Enterprise Environment, Social and Governance Performance: Evidence from China&lt;/title&gt;&lt;secondary-title&gt;Sustainability&lt;/secondary-title&gt;&lt;/titles&gt;&lt;periodical&gt;&lt;full-title&gt;Sustainability&lt;/full-title&gt;&lt;/periodical&gt;&lt;pages&gt;4403&lt;/pages&gt;&lt;volume&gt;16&lt;/volume&gt;&lt;number&gt;11&lt;/number&gt;&lt;dates&gt;&lt;year&gt;2024&lt;/year&gt;&lt;/dates&gt;&lt;isbn&gt;2071-1050&lt;/isbn&gt;&lt;urls&gt;&lt;/urls&gt;&lt;/record&gt;&lt;/Cite&gt;&lt;/EndNote&gt;</w:instrText>
      </w:r>
      <w:r w:rsidRPr="001B3FC7">
        <w:rPr>
          <w:rFonts w:ascii="Times New Roman" w:hAnsi="Times New Roman" w:cs="Times New Roman"/>
          <w:bCs/>
          <w:sz w:val="26"/>
          <w:szCs w:val="26"/>
          <w:highlight w:val="yellow"/>
        </w:rPr>
        <w:fldChar w:fldCharType="separate"/>
      </w:r>
      <w:r w:rsidRPr="001B3FC7">
        <w:rPr>
          <w:rFonts w:ascii="Times New Roman" w:hAnsi="Times New Roman" w:cs="Times New Roman"/>
          <w:bCs/>
          <w:noProof/>
          <w:sz w:val="26"/>
          <w:szCs w:val="26"/>
          <w:highlight w:val="yellow"/>
        </w:rPr>
        <w:t>Sang, et al.</w:t>
      </w:r>
      <w:r w:rsidRPr="001B3FC7">
        <w:rPr>
          <w:rFonts w:ascii="Times New Roman" w:hAnsi="Times New Roman" w:cs="Times New Roman"/>
          <w:bCs/>
          <w:noProof/>
          <w:sz w:val="26"/>
          <w:szCs w:val="26"/>
          <w:highlight w:val="yellow"/>
          <w:vertAlign w:val="superscript"/>
        </w:rPr>
        <w:t>26</w:t>
      </w:r>
      <w:r w:rsidRPr="001B3FC7">
        <w:rPr>
          <w:rFonts w:ascii="Times New Roman" w:hAnsi="Times New Roman" w:cs="Times New Roman"/>
          <w:bCs/>
          <w:sz w:val="26"/>
          <w:szCs w:val="26"/>
          <w:highlight w:val="yellow"/>
        </w:rPr>
        <w:fldChar w:fldCharType="end"/>
      </w:r>
      <w:r w:rsidRPr="001B3FC7">
        <w:rPr>
          <w:rFonts w:ascii="Times New Roman" w:hAnsi="Times New Roman" w:cs="Times New Roman"/>
          <w:bCs/>
          <w:sz w:val="26"/>
          <w:szCs w:val="26"/>
          <w:highlight w:val="yellow"/>
        </w:rPr>
        <w:t xml:space="preserve"> examines how CEO experience influences ESG performance. The authors find that CEOs with green, academic, and political backgrounds significantly enhance ESG outcomes, particularly in non-state-owned and high-polluting firms. This suggests that leadership experience is a critical determinant of effective ESG integration</w:t>
      </w:r>
      <w:r w:rsidRPr="001B3FC7">
        <w:rPr>
          <w:rFonts w:ascii="Times New Roman" w:hAnsi="Times New Roman" w:cs="Times New Roman"/>
          <w:bCs/>
          <w:sz w:val="26"/>
          <w:szCs w:val="26"/>
        </w:rPr>
        <w:t>.</w:t>
      </w:r>
    </w:p>
    <w:p w14:paraId="66C22C9A" w14:textId="4E0C7529" w:rsidR="00A96699" w:rsidRPr="001B3FC7" w:rsidRDefault="00A96699" w:rsidP="001B3FC7">
      <w:pPr>
        <w:shd w:val="clear" w:color="auto" w:fill="FFFFFF"/>
        <w:tabs>
          <w:tab w:val="left" w:pos="360"/>
          <w:tab w:val="right" w:pos="9072"/>
        </w:tabs>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t>Section 2.2.2:</w:t>
      </w:r>
      <w:r w:rsidRPr="001B3FC7">
        <w:rPr>
          <w:rFonts w:ascii="Times New Roman" w:hAnsi="Times New Roman" w:cs="Times New Roman"/>
          <w:sz w:val="26"/>
          <w:szCs w:val="26"/>
        </w:rPr>
        <w:t xml:space="preserve"> </w:t>
      </w:r>
      <w:r w:rsidRPr="001B3FC7">
        <w:rPr>
          <w:rFonts w:ascii="Times New Roman" w:hAnsi="Times New Roman" w:cs="Times New Roman"/>
          <w:bCs/>
          <w:sz w:val="26"/>
          <w:szCs w:val="26"/>
          <w:highlight w:val="yellow"/>
        </w:rPr>
        <w:t xml:space="preserve">Recently, </w:t>
      </w:r>
      <w:r w:rsidRPr="001B3FC7">
        <w:rPr>
          <w:rFonts w:ascii="Times New Roman" w:hAnsi="Times New Roman" w:cs="Times New Roman"/>
          <w:bCs/>
          <w:sz w:val="26"/>
          <w:szCs w:val="26"/>
          <w:highlight w:val="yellow"/>
        </w:rPr>
        <w:fldChar w:fldCharType="begin"/>
      </w:r>
      <w:r w:rsidRPr="001B3FC7">
        <w:rPr>
          <w:rFonts w:ascii="Times New Roman" w:hAnsi="Times New Roman" w:cs="Times New Roman"/>
          <w:bCs/>
          <w:sz w:val="26"/>
          <w:szCs w:val="26"/>
          <w:highlight w:val="yellow"/>
        </w:rPr>
        <w:instrText xml:space="preserve"> ADDIN EN.CITE &lt;EndNote&gt;&lt;Cite AuthorYear="1"&gt;&lt;Author&gt;Wu&lt;/Author&gt;&lt;Year&gt;2024&lt;/Year&gt;&lt;RecNum&gt;92&lt;/RecNum&gt;&lt;DisplayText&gt;Wu, et al.&lt;style face="superscript"&gt;41&lt;/style&gt;&lt;/DisplayText&gt;&lt;record&gt;&lt;rec-number&gt;92&lt;/rec-number&gt;&lt;foreign-keys&gt;&lt;key app="EN" db-id="f22vzas5gwx5t9ep92uprt075aa5see5r9ee" timestamp="1745241532"&gt;92&lt;/key&gt;&lt;/foreign-keys&gt;&lt;ref-type name="Journal Article"&gt;17&lt;/ref-type&gt;&lt;contributors&gt;&lt;authors&gt;&lt;author&gt;Wu, Wei&lt;/author&gt;&lt;author&gt;Ji, Zheng&lt;/author&gt;&lt;author&gt;Liu, Jing&lt;/author&gt;&lt;/authors&gt;&lt;/contributors&gt;&lt;titles&gt;&lt;title&gt;Impact of green financing on CSR and environmental policies and procedures&lt;/title&gt;&lt;secondary-title&gt;Heliyon&lt;/secondary-title&gt;&lt;/titles&gt;&lt;periodical&gt;&lt;full-title&gt;Heliyon&lt;/full-title&gt;&lt;/periodical&gt;&lt;volume&gt;10&lt;/volume&gt;&lt;number&gt;11&lt;/number&gt;&lt;dates&gt;&lt;year&gt;2024&lt;/year&gt;&lt;/dates&gt;&lt;isbn&gt;2405-8440&lt;/isbn&gt;&lt;urls&gt;&lt;/urls&gt;&lt;/record&gt;&lt;/Cite&gt;&lt;/EndNote&gt;</w:instrText>
      </w:r>
      <w:r w:rsidRPr="001B3FC7">
        <w:rPr>
          <w:rFonts w:ascii="Times New Roman" w:hAnsi="Times New Roman" w:cs="Times New Roman"/>
          <w:bCs/>
          <w:sz w:val="26"/>
          <w:szCs w:val="26"/>
          <w:highlight w:val="yellow"/>
        </w:rPr>
        <w:fldChar w:fldCharType="separate"/>
      </w:r>
      <w:r w:rsidRPr="001B3FC7">
        <w:rPr>
          <w:rFonts w:ascii="Times New Roman" w:hAnsi="Times New Roman" w:cs="Times New Roman"/>
          <w:bCs/>
          <w:noProof/>
          <w:sz w:val="26"/>
          <w:szCs w:val="26"/>
          <w:highlight w:val="yellow"/>
        </w:rPr>
        <w:t>Wu, et al.</w:t>
      </w:r>
      <w:r w:rsidRPr="001B3FC7">
        <w:rPr>
          <w:rFonts w:ascii="Times New Roman" w:hAnsi="Times New Roman" w:cs="Times New Roman"/>
          <w:bCs/>
          <w:noProof/>
          <w:sz w:val="26"/>
          <w:szCs w:val="26"/>
          <w:highlight w:val="yellow"/>
          <w:vertAlign w:val="superscript"/>
        </w:rPr>
        <w:t>41</w:t>
      </w:r>
      <w:r w:rsidRPr="001B3FC7">
        <w:rPr>
          <w:rFonts w:ascii="Times New Roman" w:hAnsi="Times New Roman" w:cs="Times New Roman"/>
          <w:bCs/>
          <w:sz w:val="26"/>
          <w:szCs w:val="26"/>
          <w:highlight w:val="yellow"/>
        </w:rPr>
        <w:fldChar w:fldCharType="end"/>
      </w:r>
      <w:r w:rsidRPr="001B3FC7">
        <w:rPr>
          <w:rFonts w:ascii="Times New Roman" w:hAnsi="Times New Roman" w:cs="Times New Roman"/>
          <w:bCs/>
          <w:sz w:val="26"/>
          <w:szCs w:val="26"/>
          <w:highlight w:val="yellow"/>
        </w:rPr>
        <w:t xml:space="preserve"> explore the relationship between green financing and CSR practices. Their findings indicate that access to green financing leads to significant improvements in CSR engagement and the adoption of stringent environmental policies. This underscores the financial incentives for companies to enhance transparency in their CSR reporting.​</w:t>
      </w:r>
    </w:p>
    <w:p w14:paraId="122F804F" w14:textId="08D7D65E" w:rsidR="00F85BE4" w:rsidRPr="00F85BE4" w:rsidRDefault="0056709F" w:rsidP="001B3FC7">
      <w:pPr>
        <w:shd w:val="clear" w:color="auto" w:fill="FFFFFF"/>
        <w:tabs>
          <w:tab w:val="left" w:pos="360"/>
          <w:tab w:val="right" w:pos="9072"/>
        </w:tabs>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bCs/>
          <w:sz w:val="26"/>
          <w:szCs w:val="26"/>
        </w:rPr>
        <w:t>Section 2.2.3:</w:t>
      </w:r>
      <w:r w:rsidRPr="001B3FC7">
        <w:rPr>
          <w:rFonts w:ascii="Times New Roman" w:hAnsi="Times New Roman" w:cs="Times New Roman"/>
          <w:sz w:val="26"/>
          <w:szCs w:val="26"/>
        </w:rPr>
        <w:t xml:space="preserve"> </w:t>
      </w:r>
      <w:r w:rsidRPr="001B3FC7">
        <w:rPr>
          <w:rFonts w:ascii="Times New Roman" w:hAnsi="Times New Roman" w:cs="Times New Roman"/>
          <w:bCs/>
          <w:sz w:val="26"/>
          <w:szCs w:val="26"/>
          <w:highlight w:val="yellow"/>
        </w:rPr>
        <w:t xml:space="preserve">Recent research continues to highlight evolving contextual factors shaping CSR disclosure. </w:t>
      </w:r>
      <w:r w:rsidRPr="001B3FC7">
        <w:rPr>
          <w:rFonts w:ascii="Times New Roman" w:hAnsi="Times New Roman" w:cs="Times New Roman"/>
          <w:bCs/>
          <w:sz w:val="26"/>
          <w:szCs w:val="26"/>
          <w:highlight w:val="yellow"/>
        </w:rPr>
        <w:fldChar w:fldCharType="begin"/>
      </w:r>
      <w:r w:rsidRPr="001B3FC7">
        <w:rPr>
          <w:rFonts w:ascii="Times New Roman" w:hAnsi="Times New Roman" w:cs="Times New Roman"/>
          <w:bCs/>
          <w:sz w:val="26"/>
          <w:szCs w:val="26"/>
          <w:highlight w:val="yellow"/>
        </w:rPr>
        <w:instrText xml:space="preserve"> ADDIN EN.CITE &lt;EndNote&gt;&lt;Cite AuthorYear="1"&gt;&lt;Author&gt;Su&lt;/Author&gt;&lt;Year&gt;2024&lt;/Year&gt;&lt;RecNum&gt;88&lt;/RecNum&gt;&lt;DisplayText&gt;Su, et al.&lt;style face="superscript"&gt;42&lt;/style&gt;&lt;/DisplayText&gt;&lt;record&gt;&lt;rec-number&gt;88&lt;/rec-number&gt;&lt;foreign-keys&gt;&lt;key app="EN" db-id="f22vzas5gwx5t9ep92uprt075aa5see5r9ee" timestamp="1744880947"&gt;88&lt;/key&gt;&lt;/foreign-keys&gt;&lt;ref-type name="Journal Article"&gt;17&lt;/ref-type&gt;&lt;contributors&gt;&lt;authors&gt;&lt;author&gt;Su, Enyuan&lt;/author&gt;&lt;author&gt;Mahmood, Rosli&lt;/author&gt;&lt;author&gt;Md. Som, Hishamuddin&lt;/author&gt;&lt;/authors&gt;&lt;/contributors&gt;&lt;titles&gt;&lt;title&gt;Navigating external pressures: a study on CSR disclosure practices in an emerging region&lt;/title&gt;&lt;secondary-title&gt;Cogent Business &amp;amp; Management&lt;/secondary-title&gt;&lt;/titles&gt;&lt;periodical&gt;&lt;full-title&gt;Cogent Business &amp;amp; Management&lt;/full-title&gt;&lt;/periodical&gt;&lt;pages&gt;2375408&lt;/pages&gt;&lt;volume&gt;11&lt;/volume&gt;&lt;number&gt;1&lt;/number&gt;&lt;dates&gt;&lt;year&gt;2024&lt;/year&gt;&lt;/dates&gt;&lt;isbn&gt;2331-1975&lt;/isbn&gt;&lt;urls&gt;&lt;/urls&gt;&lt;/record&gt;&lt;/Cite&gt;&lt;/EndNote&gt;</w:instrText>
      </w:r>
      <w:r w:rsidRPr="001B3FC7">
        <w:rPr>
          <w:rFonts w:ascii="Times New Roman" w:hAnsi="Times New Roman" w:cs="Times New Roman"/>
          <w:bCs/>
          <w:sz w:val="26"/>
          <w:szCs w:val="26"/>
          <w:highlight w:val="yellow"/>
        </w:rPr>
        <w:fldChar w:fldCharType="separate"/>
      </w:r>
      <w:r w:rsidRPr="001B3FC7">
        <w:rPr>
          <w:rFonts w:ascii="Times New Roman" w:hAnsi="Times New Roman" w:cs="Times New Roman"/>
          <w:bCs/>
          <w:noProof/>
          <w:sz w:val="26"/>
          <w:szCs w:val="26"/>
          <w:highlight w:val="yellow"/>
        </w:rPr>
        <w:t>Su, et al.</w:t>
      </w:r>
      <w:r w:rsidRPr="001B3FC7">
        <w:rPr>
          <w:rFonts w:ascii="Times New Roman" w:hAnsi="Times New Roman" w:cs="Times New Roman"/>
          <w:bCs/>
          <w:noProof/>
          <w:sz w:val="26"/>
          <w:szCs w:val="26"/>
          <w:highlight w:val="yellow"/>
          <w:vertAlign w:val="superscript"/>
        </w:rPr>
        <w:t>42</w:t>
      </w:r>
      <w:r w:rsidRPr="001B3FC7">
        <w:rPr>
          <w:rFonts w:ascii="Times New Roman" w:hAnsi="Times New Roman" w:cs="Times New Roman"/>
          <w:bCs/>
          <w:sz w:val="26"/>
          <w:szCs w:val="26"/>
          <w:highlight w:val="yellow"/>
        </w:rPr>
        <w:fldChar w:fldCharType="end"/>
      </w:r>
      <w:r w:rsidRPr="001B3FC7">
        <w:rPr>
          <w:rFonts w:ascii="Times New Roman" w:hAnsi="Times New Roman" w:cs="Times New Roman"/>
          <w:bCs/>
          <w:sz w:val="26"/>
          <w:szCs w:val="26"/>
          <w:highlight w:val="yellow"/>
        </w:rPr>
        <w:t xml:space="preserve"> discover that media exposure increases the extend of CSR disclosure. However, the pressure from media may lead o focus on quantity over substance. </w:t>
      </w:r>
      <w:r w:rsidRPr="001B3FC7">
        <w:rPr>
          <w:rFonts w:ascii="Times New Roman" w:hAnsi="Times New Roman" w:cs="Times New Roman"/>
          <w:bCs/>
          <w:sz w:val="26"/>
          <w:szCs w:val="26"/>
          <w:highlight w:val="yellow"/>
        </w:rPr>
        <w:fldChar w:fldCharType="begin"/>
      </w:r>
      <w:r w:rsidRPr="001B3FC7">
        <w:rPr>
          <w:rFonts w:ascii="Times New Roman" w:hAnsi="Times New Roman" w:cs="Times New Roman"/>
          <w:bCs/>
          <w:sz w:val="26"/>
          <w:szCs w:val="26"/>
          <w:highlight w:val="yellow"/>
        </w:rPr>
        <w:instrText xml:space="preserve"> ADDIN EN.CITE &lt;EndNote&gt;&lt;Cite AuthorYear="1"&gt;&lt;Author&gt;Kim&lt;/Author&gt;&lt;Year&gt;2024&lt;/Year&gt;&lt;RecNum&gt;90&lt;/RecNum&gt;&lt;DisplayText&gt;Kim and Jeong&lt;style face="superscript"&gt;43&lt;/style&gt;&lt;/DisplayText&gt;&lt;record&gt;&lt;rec-number&gt;90&lt;/rec-number&gt;&lt;foreign-keys&gt;&lt;key app="EN" db-id="f22vzas5gwx5t9ep92uprt075aa5see5r9ee" timestamp="1745144605"&gt;90&lt;/key&gt;&lt;/foreign-keys&gt;&lt;ref-type name="Journal Article"&gt;17&lt;/ref-type&gt;&lt;contributors&gt;&lt;authors&gt;&lt;author&gt;Kim, Mikyoung&lt;/author&gt;&lt;author&gt;Jeong, Hyun Ju&lt;/author&gt;&lt;/authors&gt;&lt;/contributors&gt;&lt;titles&gt;&lt;title&gt;The dynamics of social media influencer-driven CSR advertising: The role of sponsorship disclosure and perceived similarity&lt;/title&gt;&lt;secondary-title&gt;Asian Journal of Communication&lt;/secondary-title&gt;&lt;/titles&gt;&lt;periodical&gt;&lt;full-title&gt;Asian Journal of Communication&lt;/full-title&gt;&lt;/periodical&gt;&lt;pages&gt;435-456&lt;/pages&gt;&lt;volume&gt;34&lt;/volume&gt;&lt;number&gt;4&lt;/number&gt;&lt;dates&gt;&lt;year&gt;2024&lt;/year&gt;&lt;/dates&gt;&lt;isbn&gt;0129-2986&lt;/isbn&gt;&lt;urls&gt;&lt;/urls&gt;&lt;/record&gt;&lt;/Cite&gt;&lt;/EndNote&gt;</w:instrText>
      </w:r>
      <w:r w:rsidRPr="001B3FC7">
        <w:rPr>
          <w:rFonts w:ascii="Times New Roman" w:hAnsi="Times New Roman" w:cs="Times New Roman"/>
          <w:bCs/>
          <w:sz w:val="26"/>
          <w:szCs w:val="26"/>
          <w:highlight w:val="yellow"/>
        </w:rPr>
        <w:fldChar w:fldCharType="separate"/>
      </w:r>
      <w:r w:rsidRPr="001B3FC7">
        <w:rPr>
          <w:rFonts w:ascii="Times New Roman" w:hAnsi="Times New Roman" w:cs="Times New Roman"/>
          <w:bCs/>
          <w:noProof/>
          <w:sz w:val="26"/>
          <w:szCs w:val="26"/>
          <w:highlight w:val="yellow"/>
        </w:rPr>
        <w:t>Kim and Jeong</w:t>
      </w:r>
      <w:r w:rsidRPr="001B3FC7">
        <w:rPr>
          <w:rFonts w:ascii="Times New Roman" w:hAnsi="Times New Roman" w:cs="Times New Roman"/>
          <w:bCs/>
          <w:noProof/>
          <w:sz w:val="26"/>
          <w:szCs w:val="26"/>
          <w:highlight w:val="yellow"/>
          <w:vertAlign w:val="superscript"/>
        </w:rPr>
        <w:t>43</w:t>
      </w:r>
      <w:r w:rsidRPr="001B3FC7">
        <w:rPr>
          <w:rFonts w:ascii="Times New Roman" w:hAnsi="Times New Roman" w:cs="Times New Roman"/>
          <w:bCs/>
          <w:sz w:val="26"/>
          <w:szCs w:val="26"/>
          <w:highlight w:val="yellow"/>
        </w:rPr>
        <w:fldChar w:fldCharType="end"/>
      </w:r>
      <w:r w:rsidRPr="001B3FC7">
        <w:rPr>
          <w:rFonts w:ascii="Times New Roman" w:hAnsi="Times New Roman" w:cs="Times New Roman"/>
          <w:bCs/>
          <w:sz w:val="26"/>
          <w:szCs w:val="26"/>
          <w:highlight w:val="yellow"/>
        </w:rPr>
        <w:t xml:space="preserve"> prove that CSR reporting via  social media influencers (SMIs) is more effective with implicit disclosure, particularly when influencer–audience similarity is high. When similarity is low, explicit disclosure reduces skepticism. The study highlight how social context and presentation shape the credibility of CSR disclosures, underscoring the need for tailored communication strategies.</w:t>
      </w:r>
    </w:p>
    <w:p w14:paraId="792714E6" w14:textId="77777777" w:rsidR="00F85BE4" w:rsidRPr="00F85BE4" w:rsidRDefault="00F85BE4" w:rsidP="001B3FC7">
      <w:pPr>
        <w:spacing w:after="120" w:line="312" w:lineRule="auto"/>
        <w:ind w:firstLine="567"/>
        <w:jc w:val="both"/>
        <w:rPr>
          <w:rFonts w:ascii="Times New Roman" w:hAnsi="Times New Roman" w:cs="Times New Roman"/>
          <w:b/>
          <w:bCs/>
          <w:sz w:val="26"/>
          <w:szCs w:val="26"/>
        </w:rPr>
      </w:pPr>
      <w:r w:rsidRPr="00F85BE4">
        <w:rPr>
          <w:rFonts w:ascii="Times New Roman" w:hAnsi="Times New Roman" w:cs="Times New Roman"/>
          <w:b/>
          <w:bCs/>
          <w:sz w:val="26"/>
          <w:szCs w:val="26"/>
        </w:rPr>
        <w:t>3. Strengthen the Discussion and Implications</w:t>
      </w:r>
    </w:p>
    <w:p w14:paraId="714BDEDA" w14:textId="4EAEF496" w:rsidR="008069AB" w:rsidRPr="001B3FC7" w:rsidRDefault="00F85BE4" w:rsidP="001B3FC7">
      <w:pPr>
        <w:numPr>
          <w:ilvl w:val="0"/>
          <w:numId w:val="3"/>
        </w:numPr>
        <w:tabs>
          <w:tab w:val="clear" w:pos="720"/>
          <w:tab w:val="num" w:pos="284"/>
        </w:tabs>
        <w:spacing w:after="120" w:line="312" w:lineRule="auto"/>
        <w:ind w:left="0" w:firstLine="567"/>
        <w:jc w:val="both"/>
        <w:rPr>
          <w:rFonts w:ascii="Times New Roman" w:hAnsi="Times New Roman" w:cs="Times New Roman"/>
          <w:i/>
          <w:iCs/>
          <w:sz w:val="26"/>
          <w:szCs w:val="26"/>
        </w:rPr>
      </w:pPr>
      <w:r w:rsidRPr="00F85BE4">
        <w:rPr>
          <w:rFonts w:ascii="Times New Roman" w:hAnsi="Times New Roman" w:cs="Times New Roman"/>
          <w:i/>
          <w:iCs/>
          <w:sz w:val="26"/>
          <w:szCs w:val="26"/>
        </w:rPr>
        <w:t>The discussion section has been expanded and clarified</w:t>
      </w:r>
      <w:r w:rsidR="00F34723" w:rsidRPr="001B3FC7">
        <w:rPr>
          <w:rFonts w:ascii="Times New Roman" w:hAnsi="Times New Roman" w:cs="Times New Roman"/>
          <w:i/>
          <w:iCs/>
          <w:sz w:val="26"/>
          <w:szCs w:val="26"/>
        </w:rPr>
        <w:t xml:space="preserve">. </w:t>
      </w:r>
      <w:r w:rsidRPr="00F85BE4">
        <w:rPr>
          <w:rFonts w:ascii="Times New Roman" w:hAnsi="Times New Roman" w:cs="Times New Roman"/>
          <w:i/>
          <w:iCs/>
          <w:sz w:val="26"/>
          <w:szCs w:val="26"/>
        </w:rPr>
        <w:t xml:space="preserve">A new paragraph clearly outlines recommendations for corporate managers  and policymakers </w:t>
      </w:r>
    </w:p>
    <w:p w14:paraId="06B13A19" w14:textId="45A6EAA8" w:rsidR="008069AB" w:rsidRPr="001B3FC7" w:rsidRDefault="00A26665" w:rsidP="001B3FC7">
      <w:pPr>
        <w:tabs>
          <w:tab w:val="left" w:pos="142"/>
          <w:tab w:val="right" w:leader="hyphen" w:pos="9072"/>
        </w:tabs>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Section 5, paragraph 4:</w:t>
      </w:r>
      <w:r w:rsidRPr="001B3FC7">
        <w:rPr>
          <w:rFonts w:ascii="Times New Roman" w:hAnsi="Times New Roman" w:cs="Times New Roman"/>
          <w:bCs/>
          <w:sz w:val="26"/>
          <w:szCs w:val="26"/>
        </w:rPr>
        <w:t xml:space="preserve"> </w:t>
      </w:r>
      <w:r w:rsidR="008069AB" w:rsidRPr="001B3FC7">
        <w:rPr>
          <w:rFonts w:ascii="Times New Roman" w:hAnsi="Times New Roman" w:cs="Times New Roman"/>
          <w:bCs/>
          <w:sz w:val="26"/>
          <w:szCs w:val="26"/>
        </w:rPr>
        <w:t xml:space="preserve">The findings of this study have important practical implications for both corporate managers and policymakers in emerging markets. </w:t>
      </w:r>
      <w:r w:rsidR="008069AB" w:rsidRPr="001B3FC7">
        <w:rPr>
          <w:rFonts w:ascii="Times New Roman" w:hAnsi="Times New Roman" w:cs="Times New Roman"/>
          <w:bCs/>
          <w:sz w:val="26"/>
          <w:szCs w:val="26"/>
          <w:highlight w:val="yellow"/>
        </w:rPr>
        <w:t>Corporate managers can better understand the  internal drivers that support the design of more effective governance and reporting strategies.</w:t>
      </w:r>
      <w:r w:rsidR="008069AB" w:rsidRPr="001B3FC7">
        <w:rPr>
          <w:rFonts w:ascii="Times New Roman" w:hAnsi="Times New Roman" w:cs="Times New Roman"/>
          <w:bCs/>
          <w:sz w:val="26"/>
          <w:szCs w:val="26"/>
        </w:rPr>
        <w:t xml:space="preserve"> Enhancing board independence or improving stakeholder communication may support greater transparency. </w:t>
      </w:r>
      <w:bookmarkStart w:id="4" w:name="_Hlk196161893"/>
      <w:r w:rsidR="008069AB" w:rsidRPr="001B3FC7">
        <w:rPr>
          <w:rFonts w:ascii="Times New Roman" w:hAnsi="Times New Roman" w:cs="Times New Roman"/>
          <w:bCs/>
          <w:sz w:val="26"/>
          <w:szCs w:val="26"/>
          <w:highlight w:val="yellow"/>
        </w:rPr>
        <w:t>Firms, especially exporters, are encouraged to align CSR disclosures with international standards to meet global stakeholder expectations.</w:t>
      </w:r>
    </w:p>
    <w:bookmarkEnd w:id="4"/>
    <w:p w14:paraId="67102442" w14:textId="409518CC" w:rsidR="008069AB" w:rsidRPr="001B3FC7" w:rsidRDefault="00A26665" w:rsidP="001B3FC7">
      <w:pPr>
        <w:tabs>
          <w:tab w:val="left" w:pos="360"/>
          <w:tab w:val="right" w:leader="hyphen" w:pos="9072"/>
        </w:tabs>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 xml:space="preserve">Section 5, paragraph </w:t>
      </w:r>
      <w:r w:rsidRPr="001B3FC7">
        <w:rPr>
          <w:rFonts w:ascii="Times New Roman" w:hAnsi="Times New Roman" w:cs="Times New Roman"/>
          <w:b/>
          <w:sz w:val="26"/>
          <w:szCs w:val="26"/>
        </w:rPr>
        <w:t>5</w:t>
      </w:r>
      <w:r w:rsidRPr="001B3FC7">
        <w:rPr>
          <w:rFonts w:ascii="Times New Roman" w:hAnsi="Times New Roman" w:cs="Times New Roman"/>
          <w:b/>
          <w:sz w:val="26"/>
          <w:szCs w:val="26"/>
        </w:rPr>
        <w:t>:</w:t>
      </w:r>
      <w:r w:rsidRPr="001B3FC7">
        <w:rPr>
          <w:rFonts w:ascii="Times New Roman" w:hAnsi="Times New Roman" w:cs="Times New Roman"/>
          <w:bCs/>
          <w:sz w:val="26"/>
          <w:szCs w:val="26"/>
        </w:rPr>
        <w:t xml:space="preserve"> </w:t>
      </w:r>
      <w:r w:rsidR="008069AB" w:rsidRPr="001B3FC7">
        <w:rPr>
          <w:rFonts w:ascii="Times New Roman" w:hAnsi="Times New Roman" w:cs="Times New Roman"/>
          <w:bCs/>
          <w:sz w:val="26"/>
          <w:szCs w:val="26"/>
        </w:rPr>
        <w:t xml:space="preserve">For policymakers,  the results offer insights for designing tailored disclosure regulations or offering incentives for CSR adoption, especially in firms with low voluntary reporting levels. Additionally, regulators might consider offering incentives or simplified frameworks for companies that adopt robust CSR practices. </w:t>
      </w:r>
      <w:bookmarkStart w:id="5" w:name="_Hlk196161908"/>
      <w:r w:rsidR="008069AB" w:rsidRPr="001B3FC7">
        <w:rPr>
          <w:rFonts w:ascii="Times New Roman" w:hAnsi="Times New Roman" w:cs="Times New Roman"/>
          <w:bCs/>
          <w:sz w:val="26"/>
          <w:szCs w:val="26"/>
          <w:highlight w:val="yellow"/>
        </w:rPr>
        <w:t>The presence of ESG committees or sustainability officers on the board can strengthen CSR implementation and reporting quality.</w:t>
      </w:r>
      <w:bookmarkEnd w:id="5"/>
    </w:p>
    <w:p w14:paraId="0EFFFBD9" w14:textId="77777777" w:rsidR="00F85BE4" w:rsidRPr="00F85BE4" w:rsidRDefault="00F85BE4" w:rsidP="001B3FC7">
      <w:pPr>
        <w:spacing w:after="120" w:line="312" w:lineRule="auto"/>
        <w:ind w:firstLine="567"/>
        <w:jc w:val="both"/>
        <w:rPr>
          <w:rFonts w:ascii="Times New Roman" w:hAnsi="Times New Roman" w:cs="Times New Roman"/>
          <w:b/>
          <w:bCs/>
          <w:sz w:val="26"/>
          <w:szCs w:val="26"/>
        </w:rPr>
      </w:pPr>
      <w:r w:rsidRPr="00F85BE4">
        <w:rPr>
          <w:rFonts w:ascii="Times New Roman" w:hAnsi="Times New Roman" w:cs="Times New Roman"/>
          <w:b/>
          <w:bCs/>
          <w:sz w:val="26"/>
          <w:szCs w:val="26"/>
        </w:rPr>
        <w:lastRenderedPageBreak/>
        <w:t>4. Consider Broader Contexts for Future Research</w:t>
      </w:r>
    </w:p>
    <w:p w14:paraId="4A36696A" w14:textId="77777777" w:rsidR="009360C9" w:rsidRPr="001B3FC7" w:rsidRDefault="00F85BE4" w:rsidP="001B3FC7">
      <w:pPr>
        <w:numPr>
          <w:ilvl w:val="0"/>
          <w:numId w:val="4"/>
        </w:numPr>
        <w:tabs>
          <w:tab w:val="clear" w:pos="720"/>
          <w:tab w:val="num" w:pos="284"/>
        </w:tabs>
        <w:spacing w:after="120" w:line="312" w:lineRule="auto"/>
        <w:ind w:left="0" w:firstLine="567"/>
        <w:jc w:val="both"/>
        <w:rPr>
          <w:rFonts w:ascii="Times New Roman" w:hAnsi="Times New Roman" w:cs="Times New Roman"/>
          <w:bCs/>
          <w:sz w:val="26"/>
          <w:szCs w:val="26"/>
        </w:rPr>
      </w:pPr>
      <w:r w:rsidRPr="00F85BE4">
        <w:rPr>
          <w:rFonts w:ascii="Times New Roman" w:hAnsi="Times New Roman" w:cs="Times New Roman"/>
          <w:i/>
          <w:iCs/>
          <w:sz w:val="26"/>
          <w:szCs w:val="26"/>
        </w:rPr>
        <w:t>The limitations and future research section has been separated into its own paragraph</w:t>
      </w:r>
      <w:r w:rsidR="00C42842" w:rsidRPr="001B3FC7">
        <w:rPr>
          <w:rFonts w:ascii="Times New Roman" w:hAnsi="Times New Roman" w:cs="Times New Roman"/>
          <w:i/>
          <w:iCs/>
          <w:sz w:val="26"/>
          <w:szCs w:val="26"/>
        </w:rPr>
        <w:t>s</w:t>
      </w:r>
      <w:r w:rsidRPr="00F85BE4">
        <w:rPr>
          <w:rFonts w:ascii="Times New Roman" w:hAnsi="Times New Roman" w:cs="Times New Roman"/>
          <w:i/>
          <w:iCs/>
          <w:sz w:val="26"/>
          <w:szCs w:val="26"/>
        </w:rPr>
        <w:t>.</w:t>
      </w:r>
      <w:r w:rsidR="00C42842" w:rsidRPr="001B3FC7">
        <w:rPr>
          <w:rFonts w:ascii="Times New Roman" w:hAnsi="Times New Roman" w:cs="Times New Roman"/>
          <w:i/>
          <w:iCs/>
          <w:sz w:val="26"/>
          <w:szCs w:val="26"/>
        </w:rPr>
        <w:t xml:space="preserve"> </w:t>
      </w:r>
      <w:r w:rsidR="009360C9" w:rsidRPr="00F85BE4">
        <w:rPr>
          <w:rFonts w:ascii="Times New Roman" w:hAnsi="Times New Roman" w:cs="Times New Roman"/>
          <w:sz w:val="26"/>
          <w:szCs w:val="26"/>
        </w:rPr>
        <w:t>Future directions were clearly defined</w:t>
      </w:r>
      <w:r w:rsidR="009360C9" w:rsidRPr="001B3FC7">
        <w:rPr>
          <w:rFonts w:ascii="Times New Roman" w:hAnsi="Times New Roman" w:cs="Times New Roman"/>
          <w:b/>
          <w:sz w:val="26"/>
          <w:szCs w:val="26"/>
        </w:rPr>
        <w:t xml:space="preserve"> </w:t>
      </w:r>
    </w:p>
    <w:p w14:paraId="369341ED" w14:textId="10E55D3B" w:rsidR="00C42842" w:rsidRPr="001B3FC7" w:rsidRDefault="001A2FA2" w:rsidP="001B3FC7">
      <w:pPr>
        <w:spacing w:after="120" w:line="312" w:lineRule="auto"/>
        <w:ind w:firstLine="567"/>
        <w:jc w:val="both"/>
        <w:rPr>
          <w:rFonts w:ascii="Times New Roman" w:hAnsi="Times New Roman" w:cs="Times New Roman"/>
          <w:bCs/>
          <w:sz w:val="26"/>
          <w:szCs w:val="26"/>
        </w:rPr>
      </w:pPr>
      <w:r w:rsidRPr="001B3FC7">
        <w:rPr>
          <w:rFonts w:ascii="Times New Roman" w:hAnsi="Times New Roman" w:cs="Times New Roman"/>
          <w:b/>
          <w:sz w:val="26"/>
          <w:szCs w:val="26"/>
        </w:rPr>
        <w:t xml:space="preserve">Section 5, paragraph </w:t>
      </w:r>
      <w:r w:rsidRPr="001B3FC7">
        <w:rPr>
          <w:rFonts w:ascii="Times New Roman" w:hAnsi="Times New Roman" w:cs="Times New Roman"/>
          <w:b/>
          <w:sz w:val="26"/>
          <w:szCs w:val="26"/>
        </w:rPr>
        <w:t>7</w:t>
      </w:r>
      <w:r w:rsidRPr="001B3FC7">
        <w:rPr>
          <w:rFonts w:ascii="Times New Roman" w:hAnsi="Times New Roman" w:cs="Times New Roman"/>
          <w:b/>
          <w:sz w:val="26"/>
          <w:szCs w:val="26"/>
        </w:rPr>
        <w:t>:</w:t>
      </w:r>
      <w:r w:rsidRPr="001B3FC7">
        <w:rPr>
          <w:rFonts w:ascii="Times New Roman" w:hAnsi="Times New Roman" w:cs="Times New Roman"/>
          <w:bCs/>
          <w:sz w:val="26"/>
          <w:szCs w:val="26"/>
        </w:rPr>
        <w:t xml:space="preserve"> </w:t>
      </w:r>
      <w:r w:rsidR="00C42842" w:rsidRPr="001B3FC7">
        <w:rPr>
          <w:rFonts w:ascii="Times New Roman" w:hAnsi="Times New Roman" w:cs="Times New Roman"/>
          <w:bCs/>
          <w:sz w:val="26"/>
          <w:szCs w:val="26"/>
          <w:highlight w:val="yellow"/>
        </w:rPr>
        <w:t>Additionally,</w:t>
      </w:r>
      <w:r w:rsidR="00C42842" w:rsidRPr="001B3FC7">
        <w:rPr>
          <w:rFonts w:ascii="Times New Roman" w:hAnsi="Times New Roman" w:cs="Times New Roman"/>
          <w:sz w:val="26"/>
          <w:szCs w:val="26"/>
          <w:highlight w:val="yellow"/>
        </w:rPr>
        <w:t xml:space="preserve"> </w:t>
      </w:r>
      <w:r w:rsidR="00C42842" w:rsidRPr="001B3FC7">
        <w:rPr>
          <w:rFonts w:ascii="Times New Roman" w:hAnsi="Times New Roman" w:cs="Times New Roman"/>
          <w:bCs/>
          <w:sz w:val="26"/>
          <w:szCs w:val="26"/>
          <w:highlight w:val="yellow"/>
        </w:rPr>
        <w:t>the study acknowledges several limitations that open avenues for future research.</w:t>
      </w:r>
      <w:r w:rsidR="00C42842" w:rsidRPr="001B3FC7">
        <w:rPr>
          <w:rFonts w:ascii="Times New Roman" w:hAnsi="Times New Roman" w:cs="Times New Roman"/>
          <w:bCs/>
          <w:sz w:val="26"/>
          <w:szCs w:val="26"/>
        </w:rPr>
        <w:t xml:space="preserve"> The high heterogeneity makes it difficult to generalize the results. Furthermore, the limited number of studies focusing on emerging markets leaves a substantial gap in exploring the effect of some typical determinants specific to emerging countries. </w:t>
      </w:r>
    </w:p>
    <w:p w14:paraId="591DDF89" w14:textId="2F49252D" w:rsidR="00C42842" w:rsidRPr="001B3FC7" w:rsidRDefault="009360C9"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b/>
          <w:sz w:val="26"/>
          <w:szCs w:val="26"/>
        </w:rPr>
        <w:t xml:space="preserve">Section 5, paragraph </w:t>
      </w:r>
      <w:r w:rsidRPr="001B3FC7">
        <w:rPr>
          <w:rFonts w:ascii="Times New Roman" w:hAnsi="Times New Roman" w:cs="Times New Roman"/>
          <w:b/>
          <w:sz w:val="26"/>
          <w:szCs w:val="26"/>
        </w:rPr>
        <w:t>8</w:t>
      </w:r>
      <w:r w:rsidRPr="001B3FC7">
        <w:rPr>
          <w:rFonts w:ascii="Times New Roman" w:hAnsi="Times New Roman" w:cs="Times New Roman"/>
          <w:b/>
          <w:sz w:val="26"/>
          <w:szCs w:val="26"/>
        </w:rPr>
        <w:t>:</w:t>
      </w:r>
      <w:r w:rsidRPr="001B3FC7">
        <w:rPr>
          <w:rFonts w:ascii="Times New Roman" w:hAnsi="Times New Roman" w:cs="Times New Roman"/>
          <w:b/>
          <w:sz w:val="26"/>
          <w:szCs w:val="26"/>
        </w:rPr>
        <w:t xml:space="preserve"> </w:t>
      </w:r>
      <w:r w:rsidRPr="001B3FC7">
        <w:rPr>
          <w:rFonts w:ascii="Times New Roman" w:hAnsi="Times New Roman" w:cs="Times New Roman"/>
          <w:bCs/>
          <w:sz w:val="26"/>
          <w:szCs w:val="26"/>
          <w:highlight w:val="yellow"/>
        </w:rPr>
        <w:t>Future research should conduct subgroup analyses and expand the dataset to enhance the generalizability of findings.</w:t>
      </w:r>
      <w:r w:rsidRPr="001B3FC7">
        <w:rPr>
          <w:rFonts w:ascii="Times New Roman" w:hAnsi="Times New Roman" w:cs="Times New Roman"/>
          <w:bCs/>
          <w:sz w:val="26"/>
          <w:szCs w:val="26"/>
        </w:rPr>
        <w:t xml:space="preserve"> </w:t>
      </w:r>
      <w:r w:rsidRPr="001B3FC7">
        <w:rPr>
          <w:rFonts w:ascii="Times New Roman" w:hAnsi="Times New Roman" w:cs="Times New Roman"/>
          <w:bCs/>
          <w:sz w:val="26"/>
          <w:szCs w:val="26"/>
          <w:highlight w:val="yellow"/>
        </w:rPr>
        <w:t xml:space="preserve">Moreover, the study is based on firms listed in a single emerging market; future research could compare CSR disclosure across different institutional settings. </w:t>
      </w:r>
      <w:r w:rsidRPr="001B3FC7">
        <w:rPr>
          <w:rFonts w:ascii="Times New Roman" w:hAnsi="Times New Roman" w:cs="Times New Roman"/>
          <w:bCs/>
          <w:sz w:val="26"/>
          <w:szCs w:val="26"/>
          <w:highlight w:val="yellow"/>
          <w:lang w:val="vi"/>
        </w:rPr>
        <w:t>Although not directly measured, cultural values, media activism, and NGO engagement likely play a significant role in shaping CSR disclosure behavior</w:t>
      </w:r>
      <w:r w:rsidRPr="001B3FC7">
        <w:rPr>
          <w:rFonts w:ascii="Times New Roman" w:hAnsi="Times New Roman" w:cs="Times New Roman"/>
          <w:bCs/>
          <w:sz w:val="26"/>
          <w:szCs w:val="26"/>
          <w:highlight w:val="yellow"/>
        </w:rPr>
        <w:t>.</w:t>
      </w:r>
      <w:r w:rsidRPr="001B3FC7">
        <w:rPr>
          <w:rFonts w:ascii="Times New Roman" w:hAnsi="Times New Roman" w:cs="Times New Roman"/>
          <w:sz w:val="26"/>
          <w:szCs w:val="26"/>
          <w:highlight w:val="yellow"/>
        </w:rPr>
        <w:t xml:space="preserve"> </w:t>
      </w:r>
      <w:r w:rsidRPr="001B3FC7">
        <w:rPr>
          <w:rFonts w:ascii="Times New Roman" w:hAnsi="Times New Roman" w:cs="Times New Roman"/>
          <w:bCs/>
          <w:sz w:val="26"/>
          <w:szCs w:val="26"/>
          <w:highlight w:val="yellow"/>
        </w:rPr>
        <w:t>Future studies can explore the influence of digital stakeholder engagement on CSR disclosure practices.</w:t>
      </w:r>
      <w:r w:rsidRPr="001B3FC7">
        <w:rPr>
          <w:rFonts w:ascii="Times New Roman" w:hAnsi="Times New Roman" w:cs="Times New Roman"/>
          <w:sz w:val="26"/>
          <w:szCs w:val="26"/>
          <w:highlight w:val="yellow"/>
        </w:rPr>
        <w:t xml:space="preserve"> </w:t>
      </w:r>
      <w:r w:rsidRPr="001B3FC7">
        <w:rPr>
          <w:rFonts w:ascii="Times New Roman" w:hAnsi="Times New Roman" w:cs="Times New Roman"/>
          <w:bCs/>
          <w:sz w:val="26"/>
          <w:szCs w:val="26"/>
          <w:highlight w:val="yellow"/>
        </w:rPr>
        <w:t>Expanding the sample beyond listed firms or incorporating qualitative methods such as interviews and case studies may enrich the understanding of CSR motivations.</w:t>
      </w:r>
    </w:p>
    <w:p w14:paraId="37BCEE87" w14:textId="77777777" w:rsidR="00F85BE4" w:rsidRPr="001B3FC7" w:rsidRDefault="00F85BE4" w:rsidP="001B3FC7">
      <w:pPr>
        <w:spacing w:after="120" w:line="312" w:lineRule="auto"/>
        <w:ind w:firstLine="567"/>
        <w:jc w:val="both"/>
        <w:rPr>
          <w:rFonts w:ascii="Times New Roman" w:eastAsia="Times New Roman" w:hAnsi="Times New Roman" w:cs="Times New Roman"/>
          <w:kern w:val="0"/>
          <w:sz w:val="26"/>
          <w:szCs w:val="26"/>
          <w14:ligatures w14:val="none"/>
        </w:rPr>
      </w:pPr>
      <w:r w:rsidRPr="001B3FC7">
        <w:rPr>
          <w:rFonts w:ascii="Times New Roman" w:eastAsia="Times New Roman" w:hAnsi="Times New Roman" w:cs="Times New Roman"/>
          <w:kern w:val="0"/>
          <w:sz w:val="26"/>
          <w:szCs w:val="26"/>
          <w14:ligatures w14:val="none"/>
        </w:rPr>
        <w:t>Once again, thank you for your valuable time and helpful suggestions. I hope the revised version meets your expectations and contributes meaningfully to the literature on CSR disclosure in emerging markets.</w:t>
      </w:r>
    </w:p>
    <w:p w14:paraId="6617881C" w14:textId="77777777" w:rsidR="00F85BE4" w:rsidRPr="001B3FC7" w:rsidRDefault="00F85BE4" w:rsidP="001B3FC7">
      <w:pPr>
        <w:spacing w:after="120" w:line="312" w:lineRule="auto"/>
        <w:ind w:firstLine="567"/>
        <w:jc w:val="both"/>
        <w:rPr>
          <w:rFonts w:ascii="Times New Roman" w:eastAsia="Times New Roman" w:hAnsi="Times New Roman" w:cs="Times New Roman"/>
          <w:kern w:val="0"/>
          <w:sz w:val="26"/>
          <w:szCs w:val="26"/>
          <w14:ligatures w14:val="none"/>
        </w:rPr>
      </w:pPr>
      <w:r w:rsidRPr="001B3FC7">
        <w:rPr>
          <w:rFonts w:ascii="Times New Roman" w:eastAsia="Times New Roman" w:hAnsi="Times New Roman" w:cs="Times New Roman"/>
          <w:b/>
          <w:bCs/>
          <w:kern w:val="0"/>
          <w:sz w:val="26"/>
          <w:szCs w:val="26"/>
          <w14:ligatures w14:val="none"/>
        </w:rPr>
        <w:t>Sincerely,</w:t>
      </w:r>
    </w:p>
    <w:p w14:paraId="114E8269" w14:textId="77777777" w:rsidR="00AF6C3A" w:rsidRPr="001B3FC7" w:rsidRDefault="00AF6C3A" w:rsidP="001B3FC7">
      <w:pPr>
        <w:spacing w:after="120" w:line="312" w:lineRule="auto"/>
        <w:ind w:firstLine="567"/>
        <w:jc w:val="both"/>
        <w:rPr>
          <w:rFonts w:ascii="Times New Roman" w:hAnsi="Times New Roman" w:cs="Times New Roman"/>
          <w:sz w:val="26"/>
          <w:szCs w:val="26"/>
        </w:rPr>
      </w:pPr>
    </w:p>
    <w:p w14:paraId="46D895BB" w14:textId="21343DD9" w:rsidR="009360C9" w:rsidRPr="001B3FC7" w:rsidRDefault="009360C9" w:rsidP="001B3FC7">
      <w:pPr>
        <w:spacing w:after="120" w:line="312" w:lineRule="auto"/>
        <w:ind w:firstLine="567"/>
        <w:jc w:val="both"/>
        <w:rPr>
          <w:rFonts w:ascii="Times New Roman" w:hAnsi="Times New Roman" w:cs="Times New Roman"/>
          <w:sz w:val="26"/>
          <w:szCs w:val="26"/>
        </w:rPr>
      </w:pPr>
      <w:r w:rsidRPr="001B3FC7">
        <w:rPr>
          <w:rFonts w:ascii="Times New Roman" w:hAnsi="Times New Roman" w:cs="Times New Roman"/>
          <w:sz w:val="26"/>
          <w:szCs w:val="26"/>
        </w:rPr>
        <w:t>Authors</w:t>
      </w:r>
    </w:p>
    <w:sectPr w:rsidR="009360C9" w:rsidRPr="001B3FC7" w:rsidSect="00BB3F80">
      <w:pgSz w:w="11907" w:h="16840" w:code="9"/>
      <w:pgMar w:top="1134"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9C"/>
    <w:multiLevelType w:val="multilevel"/>
    <w:tmpl w:val="2C24B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26C08"/>
    <w:multiLevelType w:val="multilevel"/>
    <w:tmpl w:val="70EECE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34DE7"/>
    <w:multiLevelType w:val="multilevel"/>
    <w:tmpl w:val="9FA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C7C67"/>
    <w:multiLevelType w:val="multilevel"/>
    <w:tmpl w:val="B0309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00718"/>
    <w:multiLevelType w:val="multilevel"/>
    <w:tmpl w:val="9872E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899605">
    <w:abstractNumId w:val="0"/>
  </w:num>
  <w:num w:numId="2" w16cid:durableId="860163421">
    <w:abstractNumId w:val="3"/>
  </w:num>
  <w:num w:numId="3" w16cid:durableId="354427890">
    <w:abstractNumId w:val="4"/>
  </w:num>
  <w:num w:numId="4" w16cid:durableId="1051028962">
    <w:abstractNumId w:val="2"/>
  </w:num>
  <w:num w:numId="5" w16cid:durableId="91069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BE4"/>
    <w:rsid w:val="0000791C"/>
    <w:rsid w:val="00022F1D"/>
    <w:rsid w:val="0006139B"/>
    <w:rsid w:val="00080CDD"/>
    <w:rsid w:val="000945B0"/>
    <w:rsid w:val="000A15C5"/>
    <w:rsid w:val="00100F1C"/>
    <w:rsid w:val="00155731"/>
    <w:rsid w:val="001A2FA2"/>
    <w:rsid w:val="001B3FC7"/>
    <w:rsid w:val="001E67E9"/>
    <w:rsid w:val="00202177"/>
    <w:rsid w:val="002C36A0"/>
    <w:rsid w:val="00353C98"/>
    <w:rsid w:val="00363A64"/>
    <w:rsid w:val="003742FB"/>
    <w:rsid w:val="003B376F"/>
    <w:rsid w:val="003C17E2"/>
    <w:rsid w:val="003D6E1F"/>
    <w:rsid w:val="003E592E"/>
    <w:rsid w:val="003F6622"/>
    <w:rsid w:val="004219C6"/>
    <w:rsid w:val="004C41EF"/>
    <w:rsid w:val="004F69E7"/>
    <w:rsid w:val="0056709F"/>
    <w:rsid w:val="005C448F"/>
    <w:rsid w:val="005E4BD0"/>
    <w:rsid w:val="0065156C"/>
    <w:rsid w:val="008069AB"/>
    <w:rsid w:val="008F662B"/>
    <w:rsid w:val="009360C9"/>
    <w:rsid w:val="009A52E6"/>
    <w:rsid w:val="009F66D5"/>
    <w:rsid w:val="00A12F1C"/>
    <w:rsid w:val="00A26665"/>
    <w:rsid w:val="00A402D5"/>
    <w:rsid w:val="00A60994"/>
    <w:rsid w:val="00A65C5D"/>
    <w:rsid w:val="00A748F3"/>
    <w:rsid w:val="00A96699"/>
    <w:rsid w:val="00AF6C3A"/>
    <w:rsid w:val="00B26CD1"/>
    <w:rsid w:val="00BA45A6"/>
    <w:rsid w:val="00BB3F80"/>
    <w:rsid w:val="00BC51B6"/>
    <w:rsid w:val="00BE700F"/>
    <w:rsid w:val="00BF033D"/>
    <w:rsid w:val="00C03241"/>
    <w:rsid w:val="00C07604"/>
    <w:rsid w:val="00C26EC8"/>
    <w:rsid w:val="00C319FE"/>
    <w:rsid w:val="00C42842"/>
    <w:rsid w:val="00C870AE"/>
    <w:rsid w:val="00D02654"/>
    <w:rsid w:val="00D063D9"/>
    <w:rsid w:val="00DB40B4"/>
    <w:rsid w:val="00E07658"/>
    <w:rsid w:val="00EC2755"/>
    <w:rsid w:val="00EE3119"/>
    <w:rsid w:val="00F34723"/>
    <w:rsid w:val="00F85BE4"/>
    <w:rsid w:val="00FC00F2"/>
    <w:rsid w:val="00FD6AE2"/>
    <w:rsid w:val="00FE366D"/>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B3D2"/>
  <w15:chartTrackingRefBased/>
  <w15:docId w15:val="{FE058F12-2E95-4DFF-B3D7-E3F789D2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5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5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5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5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5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5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5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5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5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5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BE4"/>
    <w:rPr>
      <w:rFonts w:eastAsiaTheme="majorEastAsia" w:cstheme="majorBidi"/>
      <w:color w:val="272727" w:themeColor="text1" w:themeTint="D8"/>
    </w:rPr>
  </w:style>
  <w:style w:type="paragraph" w:styleId="Title">
    <w:name w:val="Title"/>
    <w:basedOn w:val="Normal"/>
    <w:next w:val="Normal"/>
    <w:link w:val="TitleChar"/>
    <w:uiPriority w:val="10"/>
    <w:qFormat/>
    <w:rsid w:val="00F85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BE4"/>
    <w:pPr>
      <w:spacing w:before="160"/>
      <w:jc w:val="center"/>
    </w:pPr>
    <w:rPr>
      <w:i/>
      <w:iCs/>
      <w:color w:val="404040" w:themeColor="text1" w:themeTint="BF"/>
    </w:rPr>
  </w:style>
  <w:style w:type="character" w:customStyle="1" w:styleId="QuoteChar">
    <w:name w:val="Quote Char"/>
    <w:basedOn w:val="DefaultParagraphFont"/>
    <w:link w:val="Quote"/>
    <w:uiPriority w:val="29"/>
    <w:rsid w:val="00F85BE4"/>
    <w:rPr>
      <w:i/>
      <w:iCs/>
      <w:color w:val="404040" w:themeColor="text1" w:themeTint="BF"/>
    </w:rPr>
  </w:style>
  <w:style w:type="paragraph" w:styleId="ListParagraph">
    <w:name w:val="List Paragraph"/>
    <w:basedOn w:val="Normal"/>
    <w:uiPriority w:val="34"/>
    <w:qFormat/>
    <w:rsid w:val="00F85BE4"/>
    <w:pPr>
      <w:ind w:left="720"/>
      <w:contextualSpacing/>
    </w:pPr>
  </w:style>
  <w:style w:type="character" w:styleId="IntenseEmphasis">
    <w:name w:val="Intense Emphasis"/>
    <w:basedOn w:val="DefaultParagraphFont"/>
    <w:uiPriority w:val="21"/>
    <w:qFormat/>
    <w:rsid w:val="00F85BE4"/>
    <w:rPr>
      <w:i/>
      <w:iCs/>
      <w:color w:val="2F5496" w:themeColor="accent1" w:themeShade="BF"/>
    </w:rPr>
  </w:style>
  <w:style w:type="paragraph" w:styleId="IntenseQuote">
    <w:name w:val="Intense Quote"/>
    <w:basedOn w:val="Normal"/>
    <w:next w:val="Normal"/>
    <w:link w:val="IntenseQuoteChar"/>
    <w:uiPriority w:val="30"/>
    <w:qFormat/>
    <w:rsid w:val="00F85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5BE4"/>
    <w:rPr>
      <w:i/>
      <w:iCs/>
      <w:color w:val="2F5496" w:themeColor="accent1" w:themeShade="BF"/>
    </w:rPr>
  </w:style>
  <w:style w:type="character" w:styleId="IntenseReference">
    <w:name w:val="Intense Reference"/>
    <w:basedOn w:val="DefaultParagraphFont"/>
    <w:uiPriority w:val="32"/>
    <w:qFormat/>
    <w:rsid w:val="00F85BE4"/>
    <w:rPr>
      <w:b/>
      <w:bCs/>
      <w:smallCaps/>
      <w:color w:val="2F5496" w:themeColor="accent1" w:themeShade="BF"/>
      <w:spacing w:val="5"/>
    </w:rPr>
  </w:style>
  <w:style w:type="character" w:styleId="Strong">
    <w:name w:val="Strong"/>
    <w:basedOn w:val="DefaultParagraphFont"/>
    <w:uiPriority w:val="22"/>
    <w:qFormat/>
    <w:rsid w:val="00F85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83">
      <w:bodyDiv w:val="1"/>
      <w:marLeft w:val="0"/>
      <w:marRight w:val="0"/>
      <w:marTop w:val="0"/>
      <w:marBottom w:val="0"/>
      <w:divBdr>
        <w:top w:val="none" w:sz="0" w:space="0" w:color="auto"/>
        <w:left w:val="none" w:sz="0" w:space="0" w:color="auto"/>
        <w:bottom w:val="none" w:sz="0" w:space="0" w:color="auto"/>
        <w:right w:val="none" w:sz="0" w:space="0" w:color="auto"/>
      </w:divBdr>
    </w:div>
    <w:div w:id="131294316">
      <w:bodyDiv w:val="1"/>
      <w:marLeft w:val="0"/>
      <w:marRight w:val="0"/>
      <w:marTop w:val="0"/>
      <w:marBottom w:val="0"/>
      <w:divBdr>
        <w:top w:val="none" w:sz="0" w:space="0" w:color="auto"/>
        <w:left w:val="none" w:sz="0" w:space="0" w:color="auto"/>
        <w:bottom w:val="none" w:sz="0" w:space="0" w:color="auto"/>
        <w:right w:val="none" w:sz="0" w:space="0" w:color="auto"/>
      </w:divBdr>
      <w:divsChild>
        <w:div w:id="114963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95909">
      <w:bodyDiv w:val="1"/>
      <w:marLeft w:val="0"/>
      <w:marRight w:val="0"/>
      <w:marTop w:val="0"/>
      <w:marBottom w:val="0"/>
      <w:divBdr>
        <w:top w:val="none" w:sz="0" w:space="0" w:color="auto"/>
        <w:left w:val="none" w:sz="0" w:space="0" w:color="auto"/>
        <w:bottom w:val="none" w:sz="0" w:space="0" w:color="auto"/>
        <w:right w:val="none" w:sz="0" w:space="0" w:color="auto"/>
      </w:divBdr>
    </w:div>
    <w:div w:id="320737883">
      <w:bodyDiv w:val="1"/>
      <w:marLeft w:val="0"/>
      <w:marRight w:val="0"/>
      <w:marTop w:val="0"/>
      <w:marBottom w:val="0"/>
      <w:divBdr>
        <w:top w:val="none" w:sz="0" w:space="0" w:color="auto"/>
        <w:left w:val="none" w:sz="0" w:space="0" w:color="auto"/>
        <w:bottom w:val="none" w:sz="0" w:space="0" w:color="auto"/>
        <w:right w:val="none" w:sz="0" w:space="0" w:color="auto"/>
      </w:divBdr>
    </w:div>
    <w:div w:id="340787271">
      <w:bodyDiv w:val="1"/>
      <w:marLeft w:val="0"/>
      <w:marRight w:val="0"/>
      <w:marTop w:val="0"/>
      <w:marBottom w:val="0"/>
      <w:divBdr>
        <w:top w:val="none" w:sz="0" w:space="0" w:color="auto"/>
        <w:left w:val="none" w:sz="0" w:space="0" w:color="auto"/>
        <w:bottom w:val="none" w:sz="0" w:space="0" w:color="auto"/>
        <w:right w:val="none" w:sz="0" w:space="0" w:color="auto"/>
      </w:divBdr>
    </w:div>
    <w:div w:id="486363259">
      <w:bodyDiv w:val="1"/>
      <w:marLeft w:val="0"/>
      <w:marRight w:val="0"/>
      <w:marTop w:val="0"/>
      <w:marBottom w:val="0"/>
      <w:divBdr>
        <w:top w:val="none" w:sz="0" w:space="0" w:color="auto"/>
        <w:left w:val="none" w:sz="0" w:space="0" w:color="auto"/>
        <w:bottom w:val="none" w:sz="0" w:space="0" w:color="auto"/>
        <w:right w:val="none" w:sz="0" w:space="0" w:color="auto"/>
      </w:divBdr>
    </w:div>
    <w:div w:id="928854518">
      <w:bodyDiv w:val="1"/>
      <w:marLeft w:val="0"/>
      <w:marRight w:val="0"/>
      <w:marTop w:val="0"/>
      <w:marBottom w:val="0"/>
      <w:divBdr>
        <w:top w:val="none" w:sz="0" w:space="0" w:color="auto"/>
        <w:left w:val="none" w:sz="0" w:space="0" w:color="auto"/>
        <w:bottom w:val="none" w:sz="0" w:space="0" w:color="auto"/>
        <w:right w:val="none" w:sz="0" w:space="0" w:color="auto"/>
      </w:divBdr>
    </w:div>
    <w:div w:id="1060058230">
      <w:bodyDiv w:val="1"/>
      <w:marLeft w:val="0"/>
      <w:marRight w:val="0"/>
      <w:marTop w:val="0"/>
      <w:marBottom w:val="0"/>
      <w:divBdr>
        <w:top w:val="none" w:sz="0" w:space="0" w:color="auto"/>
        <w:left w:val="none" w:sz="0" w:space="0" w:color="auto"/>
        <w:bottom w:val="none" w:sz="0" w:space="0" w:color="auto"/>
        <w:right w:val="none" w:sz="0" w:space="0" w:color="auto"/>
      </w:divBdr>
    </w:div>
    <w:div w:id="1068461962">
      <w:bodyDiv w:val="1"/>
      <w:marLeft w:val="0"/>
      <w:marRight w:val="0"/>
      <w:marTop w:val="0"/>
      <w:marBottom w:val="0"/>
      <w:divBdr>
        <w:top w:val="none" w:sz="0" w:space="0" w:color="auto"/>
        <w:left w:val="none" w:sz="0" w:space="0" w:color="auto"/>
        <w:bottom w:val="none" w:sz="0" w:space="0" w:color="auto"/>
        <w:right w:val="none" w:sz="0" w:space="0" w:color="auto"/>
      </w:divBdr>
    </w:div>
    <w:div w:id="1295142407">
      <w:bodyDiv w:val="1"/>
      <w:marLeft w:val="0"/>
      <w:marRight w:val="0"/>
      <w:marTop w:val="0"/>
      <w:marBottom w:val="0"/>
      <w:divBdr>
        <w:top w:val="none" w:sz="0" w:space="0" w:color="auto"/>
        <w:left w:val="none" w:sz="0" w:space="0" w:color="auto"/>
        <w:bottom w:val="none" w:sz="0" w:space="0" w:color="auto"/>
        <w:right w:val="none" w:sz="0" w:space="0" w:color="auto"/>
      </w:divBdr>
    </w:div>
    <w:div w:id="1369262182">
      <w:bodyDiv w:val="1"/>
      <w:marLeft w:val="0"/>
      <w:marRight w:val="0"/>
      <w:marTop w:val="0"/>
      <w:marBottom w:val="0"/>
      <w:divBdr>
        <w:top w:val="none" w:sz="0" w:space="0" w:color="auto"/>
        <w:left w:val="none" w:sz="0" w:space="0" w:color="auto"/>
        <w:bottom w:val="none" w:sz="0" w:space="0" w:color="auto"/>
        <w:right w:val="none" w:sz="0" w:space="0" w:color="auto"/>
      </w:divBdr>
    </w:div>
    <w:div w:id="1577934324">
      <w:bodyDiv w:val="1"/>
      <w:marLeft w:val="0"/>
      <w:marRight w:val="0"/>
      <w:marTop w:val="0"/>
      <w:marBottom w:val="0"/>
      <w:divBdr>
        <w:top w:val="none" w:sz="0" w:space="0" w:color="auto"/>
        <w:left w:val="none" w:sz="0" w:space="0" w:color="auto"/>
        <w:bottom w:val="none" w:sz="0" w:space="0" w:color="auto"/>
        <w:right w:val="none" w:sz="0" w:space="0" w:color="auto"/>
      </w:divBdr>
    </w:div>
    <w:div w:id="2048675746">
      <w:bodyDiv w:val="1"/>
      <w:marLeft w:val="0"/>
      <w:marRight w:val="0"/>
      <w:marTop w:val="0"/>
      <w:marBottom w:val="0"/>
      <w:divBdr>
        <w:top w:val="none" w:sz="0" w:space="0" w:color="auto"/>
        <w:left w:val="none" w:sz="0" w:space="0" w:color="auto"/>
        <w:bottom w:val="none" w:sz="0" w:space="0" w:color="auto"/>
        <w:right w:val="none" w:sz="0" w:space="0" w:color="auto"/>
      </w:divBdr>
      <w:divsChild>
        <w:div w:id="154493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Pham</dc:creator>
  <cp:keywords/>
  <dc:description/>
  <cp:lastModifiedBy>Hang Pham</cp:lastModifiedBy>
  <cp:revision>1</cp:revision>
  <dcterms:created xsi:type="dcterms:W3CDTF">2025-04-21T13:38:00Z</dcterms:created>
  <dcterms:modified xsi:type="dcterms:W3CDTF">2025-04-21T16:22:00Z</dcterms:modified>
</cp:coreProperties>
</file>