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5AEA" w14:textId="77777777" w:rsidR="007A072D" w:rsidRDefault="007A072D" w:rsidP="00AA628E">
      <w:pPr>
        <w:spacing w:after="0" w:line="240" w:lineRule="auto"/>
        <w:jc w:val="center"/>
        <w:rPr>
          <w:rFonts w:ascii="Arial" w:eastAsia="SimSun" w:hAnsi="Arial" w:cs="Arial"/>
          <w:b/>
          <w:sz w:val="32"/>
          <w:szCs w:val="32"/>
        </w:rPr>
      </w:pPr>
    </w:p>
    <w:p w14:paraId="709DA412" w14:textId="77777777" w:rsidR="007A072D" w:rsidRDefault="007A072D" w:rsidP="00AA628E">
      <w:pPr>
        <w:spacing w:after="0" w:line="240" w:lineRule="auto"/>
        <w:jc w:val="center"/>
        <w:rPr>
          <w:rFonts w:ascii="Arial" w:eastAsia="SimSun" w:hAnsi="Arial" w:cs="Arial"/>
          <w:b/>
          <w:sz w:val="32"/>
          <w:szCs w:val="32"/>
        </w:rPr>
      </w:pPr>
    </w:p>
    <w:p w14:paraId="41C89FC4" w14:textId="74B576DB" w:rsidR="00DA61AE" w:rsidRDefault="00DA61AE" w:rsidP="00AA628E">
      <w:pPr>
        <w:spacing w:after="0" w:line="240" w:lineRule="auto"/>
        <w:jc w:val="center"/>
        <w:rPr>
          <w:rFonts w:ascii="Arial" w:eastAsia="SimSun" w:hAnsi="Arial" w:cs="Arial"/>
          <w:b/>
          <w:sz w:val="32"/>
          <w:szCs w:val="32"/>
          <w:lang w:val="en-US"/>
        </w:rPr>
      </w:pPr>
      <w:r w:rsidRPr="001663C5">
        <w:rPr>
          <w:rFonts w:ascii="Arial" w:eastAsia="SimSun" w:hAnsi="Arial" w:cs="Arial"/>
          <w:b/>
          <w:sz w:val="32"/>
          <w:szCs w:val="32"/>
        </w:rPr>
        <w:t>Oil price risk and economic growth in ASEAN-6 countries</w:t>
      </w:r>
    </w:p>
    <w:p w14:paraId="6FCCB478" w14:textId="77777777" w:rsidR="00607314" w:rsidRDefault="00607314" w:rsidP="00AA628E">
      <w:pPr>
        <w:spacing w:after="0" w:line="240" w:lineRule="auto"/>
        <w:jc w:val="both"/>
        <w:rPr>
          <w:rFonts w:asciiTheme="majorHAnsi" w:hAnsiTheme="majorHAnsi" w:cstheme="majorHAnsi"/>
          <w:b/>
          <w:lang w:val="en-US"/>
        </w:rPr>
      </w:pPr>
    </w:p>
    <w:p w14:paraId="632DBC5A" w14:textId="020A9A72" w:rsidR="00C7730C" w:rsidRPr="00C7730C" w:rsidRDefault="00607314" w:rsidP="00AA628E">
      <w:pPr>
        <w:spacing w:after="0" w:line="240" w:lineRule="auto"/>
        <w:jc w:val="center"/>
        <w:rPr>
          <w:rFonts w:asciiTheme="majorHAnsi" w:eastAsia="Times New Roman" w:hAnsiTheme="majorHAnsi" w:cstheme="majorHAnsi"/>
          <w:b/>
          <w:sz w:val="24"/>
          <w:szCs w:val="24"/>
          <w:vertAlign w:val="superscript"/>
          <w:lang w:val="en-US"/>
        </w:rPr>
      </w:pPr>
      <w:r w:rsidRPr="002F6C22">
        <w:rPr>
          <w:rFonts w:asciiTheme="majorHAnsi" w:eastAsia="Times New Roman" w:hAnsiTheme="majorHAnsi" w:cstheme="majorHAnsi"/>
          <w:b/>
          <w:sz w:val="24"/>
          <w:szCs w:val="24"/>
        </w:rPr>
        <w:t>Ng</w:t>
      </w:r>
      <w:r w:rsidR="00A31849">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rPr>
        <w:t xml:space="preserve"> Th</w:t>
      </w:r>
      <w:r w:rsidR="00A31849">
        <w:rPr>
          <w:rFonts w:asciiTheme="majorHAnsi" w:eastAsia="Times New Roman" w:hAnsiTheme="majorHAnsi" w:cstheme="majorHAnsi"/>
          <w:b/>
          <w:sz w:val="24"/>
          <w:szCs w:val="24"/>
          <w:lang w:val="en-US"/>
        </w:rPr>
        <w:t>a</w:t>
      </w:r>
      <w:r w:rsidRPr="002F6C22">
        <w:rPr>
          <w:rFonts w:asciiTheme="majorHAnsi" w:eastAsia="Times New Roman" w:hAnsiTheme="majorHAnsi" w:cstheme="majorHAnsi"/>
          <w:b/>
          <w:sz w:val="24"/>
          <w:szCs w:val="24"/>
        </w:rPr>
        <w:t>i H</w:t>
      </w:r>
      <w:r w:rsidR="00A31849">
        <w:rPr>
          <w:rFonts w:asciiTheme="majorHAnsi" w:eastAsia="Times New Roman" w:hAnsiTheme="majorHAnsi" w:cstheme="majorHAnsi"/>
          <w:b/>
          <w:sz w:val="24"/>
          <w:szCs w:val="24"/>
          <w:lang w:val="en-US"/>
        </w:rPr>
        <w:t>u</w:t>
      </w:r>
      <w:r w:rsidRPr="002F6C22">
        <w:rPr>
          <w:rFonts w:asciiTheme="majorHAnsi" w:eastAsia="Times New Roman" w:hAnsiTheme="majorHAnsi" w:cstheme="majorHAnsi"/>
          <w:b/>
          <w:sz w:val="24"/>
          <w:szCs w:val="24"/>
        </w:rPr>
        <w:t>ng</w:t>
      </w:r>
      <w:r w:rsidR="0046773B">
        <w:rPr>
          <w:rFonts w:asciiTheme="majorHAnsi" w:eastAsia="Times New Roman" w:hAnsiTheme="majorHAnsi" w:cstheme="majorHAnsi"/>
          <w:b/>
          <w:sz w:val="24"/>
          <w:szCs w:val="24"/>
          <w:vertAlign w:val="superscript"/>
          <w:lang w:val="en-US"/>
        </w:rPr>
        <w: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w:t>
      </w:r>
      <w:r w:rsidR="00A31849">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rPr>
        <w:t xml:space="preserve"> Thanh Vy</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w:t>
      </w:r>
      <w:r w:rsidR="00A31849">
        <w:rPr>
          <w:rFonts w:asciiTheme="majorHAnsi" w:eastAsia="Times New Roman" w:hAnsiTheme="majorHAnsi" w:cstheme="majorHAnsi"/>
          <w:b/>
          <w:sz w:val="24"/>
          <w:szCs w:val="24"/>
          <w:lang w:val="en-US"/>
        </w:rPr>
        <w:t>e</w:t>
      </w:r>
      <w:r w:rsidRPr="002F6C22">
        <w:rPr>
          <w:rFonts w:asciiTheme="majorHAnsi" w:eastAsia="Times New Roman" w:hAnsiTheme="majorHAnsi" w:cstheme="majorHAnsi"/>
          <w:b/>
          <w:sz w:val="24"/>
          <w:szCs w:val="24"/>
        </w:rPr>
        <w:t>n Th</w:t>
      </w:r>
      <w:r w:rsidR="00A31849">
        <w:rPr>
          <w:rFonts w:asciiTheme="majorHAnsi" w:eastAsia="Times New Roman" w:hAnsiTheme="majorHAnsi" w:cstheme="majorHAnsi"/>
          <w:b/>
          <w:sz w:val="24"/>
          <w:szCs w:val="24"/>
          <w:lang w:val="en-US"/>
        </w:rPr>
        <w:t>u</w:t>
      </w:r>
      <w:r w:rsidRPr="002F6C22">
        <w:rPr>
          <w:rFonts w:asciiTheme="majorHAnsi" w:eastAsia="Times New Roman" w:hAnsiTheme="majorHAnsi" w:cstheme="majorHAnsi"/>
          <w:b/>
          <w:sz w:val="24"/>
          <w:szCs w:val="24"/>
        </w:rPr>
        <w:t xml:space="preserve"> K</w:t>
      </w:r>
      <w:r w:rsidR="00A31849">
        <w:rPr>
          <w:rFonts w:asciiTheme="majorHAnsi" w:eastAsia="Times New Roman" w:hAnsiTheme="majorHAnsi" w:cstheme="majorHAnsi"/>
          <w:b/>
          <w:sz w:val="24"/>
          <w:szCs w:val="24"/>
          <w:lang w:val="en-US"/>
        </w:rPr>
        <w:t>y</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w:t>
      </w:r>
      <w:r w:rsidR="00A31849">
        <w:rPr>
          <w:rFonts w:asciiTheme="majorHAnsi" w:eastAsia="Times New Roman" w:hAnsiTheme="majorHAnsi" w:cstheme="majorHAnsi"/>
          <w:b/>
          <w:sz w:val="24"/>
          <w:szCs w:val="24"/>
          <w:lang w:val="en-US"/>
        </w:rPr>
        <w:t>e</w:t>
      </w:r>
      <w:r w:rsidRPr="002F6C22">
        <w:rPr>
          <w:rFonts w:asciiTheme="majorHAnsi" w:eastAsia="Times New Roman" w:hAnsiTheme="majorHAnsi" w:cstheme="majorHAnsi"/>
          <w:b/>
          <w:sz w:val="24"/>
          <w:szCs w:val="24"/>
        </w:rPr>
        <w:t>n Tr</w:t>
      </w:r>
      <w:r w:rsidR="00A31849">
        <w:rPr>
          <w:rFonts w:asciiTheme="majorHAnsi" w:eastAsia="Times New Roman" w:hAnsiTheme="majorHAnsi" w:cstheme="majorHAnsi"/>
          <w:b/>
          <w:sz w:val="24"/>
          <w:szCs w:val="24"/>
          <w:lang w:val="en-US"/>
        </w:rPr>
        <w:t>uo</w:t>
      </w:r>
      <w:r w:rsidRPr="002F6C22">
        <w:rPr>
          <w:rFonts w:asciiTheme="majorHAnsi" w:eastAsia="Times New Roman" w:hAnsiTheme="majorHAnsi" w:cstheme="majorHAnsi"/>
          <w:b/>
          <w:sz w:val="24"/>
          <w:szCs w:val="24"/>
        </w:rPr>
        <w:t>ng Ph</w:t>
      </w:r>
      <w:r w:rsidR="00A31849">
        <w:rPr>
          <w:rFonts w:asciiTheme="majorHAnsi" w:eastAsia="Times New Roman" w:hAnsiTheme="majorHAnsi" w:cstheme="majorHAnsi"/>
          <w:b/>
          <w:sz w:val="24"/>
          <w:szCs w:val="24"/>
          <w:lang w:val="en-US"/>
        </w:rPr>
        <w:t>a</w:t>
      </w:r>
      <w:r w:rsidRPr="002F6C22">
        <w:rPr>
          <w:rFonts w:asciiTheme="majorHAnsi" w:eastAsia="Times New Roman" w:hAnsiTheme="majorHAnsi" w:cstheme="majorHAnsi"/>
          <w:b/>
          <w:sz w:val="24"/>
          <w:szCs w:val="24"/>
        </w:rPr>
        <w:t>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w:t>
      </w:r>
      <w:r w:rsidR="00A31849">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rPr>
        <w:t xml:space="preserve"> Th</w:t>
      </w:r>
      <w:r w:rsidR="00A31849">
        <w:rPr>
          <w:rFonts w:asciiTheme="majorHAnsi" w:eastAsia="Times New Roman" w:hAnsiTheme="majorHAnsi" w:cstheme="majorHAnsi"/>
          <w:b/>
          <w:sz w:val="24"/>
          <w:szCs w:val="24"/>
          <w:lang w:val="en-US"/>
        </w:rPr>
        <w:t>i</w:t>
      </w:r>
      <w:r w:rsidRPr="002F6C22">
        <w:rPr>
          <w:rFonts w:asciiTheme="majorHAnsi" w:eastAsia="Times New Roman" w:hAnsiTheme="majorHAnsi" w:cstheme="majorHAnsi"/>
          <w:b/>
          <w:sz w:val="24"/>
          <w:szCs w:val="24"/>
        </w:rPr>
        <w:t xml:space="preserve"> Anh Th</w:t>
      </w:r>
      <w:r w:rsidR="005D7048">
        <w:rPr>
          <w:rFonts w:asciiTheme="majorHAnsi" w:eastAsia="Times New Roman" w:hAnsiTheme="majorHAnsi" w:cstheme="majorHAnsi"/>
          <w:b/>
          <w:sz w:val="24"/>
          <w:szCs w:val="24"/>
          <w:lang w:val="en-US"/>
        </w:rPr>
        <w:t>o</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L</w:t>
      </w:r>
      <w:r w:rsidR="005D7048">
        <w:rPr>
          <w:rFonts w:asciiTheme="majorHAnsi" w:eastAsia="Times New Roman" w:hAnsiTheme="majorHAnsi" w:cstheme="majorHAnsi"/>
          <w:b/>
          <w:sz w:val="24"/>
          <w:szCs w:val="24"/>
          <w:lang w:val="en-US"/>
        </w:rPr>
        <w:t>e</w:t>
      </w:r>
      <w:r w:rsidRPr="002F6C22">
        <w:rPr>
          <w:rFonts w:asciiTheme="majorHAnsi" w:eastAsia="Times New Roman" w:hAnsiTheme="majorHAnsi" w:cstheme="majorHAnsi"/>
          <w:b/>
          <w:sz w:val="24"/>
          <w:szCs w:val="24"/>
        </w:rPr>
        <w:t xml:space="preserve"> Minh Th</w:t>
      </w:r>
      <w:r w:rsidR="005D7048">
        <w:rPr>
          <w:rFonts w:asciiTheme="majorHAnsi" w:eastAsia="Times New Roman" w:hAnsiTheme="majorHAnsi" w:cstheme="majorHAnsi"/>
          <w:b/>
          <w:sz w:val="24"/>
          <w:szCs w:val="24"/>
          <w:lang w:val="en-US"/>
        </w:rPr>
        <w:t>u</w:t>
      </w:r>
    </w:p>
    <w:p w14:paraId="5E324ABF" w14:textId="61D61F8B" w:rsidR="00C93CED" w:rsidRPr="002F127D" w:rsidRDefault="00C93CED" w:rsidP="00AA628E">
      <w:pPr>
        <w:spacing w:after="0" w:line="240" w:lineRule="auto"/>
        <w:jc w:val="both"/>
        <w:rPr>
          <w:rFonts w:asciiTheme="majorHAnsi" w:hAnsiTheme="majorHAnsi" w:cstheme="majorHAnsi"/>
          <w:b/>
          <w:i/>
          <w:iCs/>
          <w:lang w:val="en-US"/>
        </w:rPr>
      </w:pPr>
    </w:p>
    <w:p w14:paraId="21F1DB03" w14:textId="014F9999" w:rsidR="001374F3" w:rsidRPr="00D3399A" w:rsidRDefault="002F127D" w:rsidP="00AA628E">
      <w:pPr>
        <w:spacing w:after="0" w:line="240" w:lineRule="auto"/>
        <w:jc w:val="center"/>
        <w:rPr>
          <w:rFonts w:asciiTheme="majorHAnsi" w:eastAsia="Times New Roman" w:hAnsiTheme="majorHAnsi" w:cstheme="majorHAnsi"/>
          <w:b/>
          <w:i/>
          <w:iCs/>
          <w:lang w:val="en-US"/>
        </w:rPr>
      </w:pPr>
      <w:r w:rsidRPr="00D3399A">
        <w:rPr>
          <w:rFonts w:asciiTheme="majorHAnsi" w:eastAsia="Times New Roman" w:hAnsiTheme="majorHAnsi" w:cstheme="majorHAnsi"/>
          <w:i/>
          <w:iCs/>
          <w:lang w:val="en-US"/>
        </w:rPr>
        <w:t xml:space="preserve">University of </w:t>
      </w:r>
      <w:r w:rsidR="003D5B1A" w:rsidRPr="00D3399A">
        <w:rPr>
          <w:rFonts w:asciiTheme="majorHAnsi" w:eastAsia="Times New Roman" w:hAnsiTheme="majorHAnsi" w:cstheme="majorHAnsi"/>
          <w:i/>
          <w:iCs/>
          <w:lang w:val="en-US"/>
        </w:rPr>
        <w:t>Finance</w:t>
      </w:r>
      <w:r w:rsidR="00A4444A">
        <w:rPr>
          <w:rFonts w:asciiTheme="majorHAnsi" w:eastAsia="Times New Roman" w:hAnsiTheme="majorHAnsi" w:cstheme="majorHAnsi"/>
          <w:i/>
          <w:iCs/>
          <w:lang w:val="en-US"/>
        </w:rPr>
        <w:t xml:space="preserve"> </w:t>
      </w:r>
      <w:r w:rsidR="003D5B1A" w:rsidRPr="00D3399A">
        <w:rPr>
          <w:rFonts w:asciiTheme="majorHAnsi" w:hAnsiTheme="majorHAnsi" w:cstheme="majorHAnsi"/>
          <w:i/>
          <w:iCs/>
        </w:rPr>
        <w:t>–</w:t>
      </w:r>
      <w:r w:rsidR="00A4444A">
        <w:rPr>
          <w:rFonts w:asciiTheme="majorHAnsi" w:hAnsiTheme="majorHAnsi" w:cstheme="majorHAnsi"/>
          <w:i/>
          <w:iCs/>
          <w:lang w:val="en-US"/>
        </w:rPr>
        <w:t xml:space="preserve"> </w:t>
      </w:r>
      <w:r w:rsidR="003D5B1A" w:rsidRPr="00D3399A">
        <w:rPr>
          <w:rFonts w:asciiTheme="majorHAnsi" w:hAnsiTheme="majorHAnsi" w:cstheme="majorHAnsi"/>
          <w:i/>
          <w:iCs/>
          <w:lang w:val="en-US"/>
        </w:rPr>
        <w:t>Marketing</w:t>
      </w:r>
      <w:r w:rsidRPr="00D3399A">
        <w:rPr>
          <w:rFonts w:asciiTheme="majorHAnsi" w:hAnsiTheme="majorHAnsi" w:cstheme="majorHAnsi"/>
          <w:i/>
          <w:iCs/>
          <w:lang w:val="en-US"/>
        </w:rPr>
        <w:t>, Vietnam</w:t>
      </w:r>
    </w:p>
    <w:p w14:paraId="028DAEE3" w14:textId="77777777" w:rsidR="001374F3" w:rsidRDefault="001374F3" w:rsidP="00AA628E">
      <w:pPr>
        <w:spacing w:after="0" w:line="240" w:lineRule="auto"/>
        <w:jc w:val="both"/>
        <w:rPr>
          <w:rFonts w:asciiTheme="majorHAnsi" w:hAnsiTheme="majorHAnsi" w:cstheme="majorHAnsi"/>
          <w:b/>
          <w:lang w:val="en-US"/>
        </w:rPr>
      </w:pPr>
    </w:p>
    <w:p w14:paraId="40D9EBDE" w14:textId="3FEC7973" w:rsidR="002A4711" w:rsidRDefault="0039393C" w:rsidP="00AA628E">
      <w:pPr>
        <w:spacing w:after="0" w:line="240" w:lineRule="auto"/>
        <w:jc w:val="center"/>
        <w:rPr>
          <w:rFonts w:asciiTheme="majorHAnsi" w:hAnsiTheme="majorHAnsi" w:cstheme="majorHAnsi"/>
          <w:bCs/>
          <w:i/>
          <w:iCs/>
          <w:lang w:val="en-US"/>
        </w:rPr>
      </w:pPr>
      <w:r w:rsidRPr="00332DF0">
        <w:rPr>
          <w:rFonts w:asciiTheme="majorHAnsi" w:hAnsiTheme="majorHAnsi" w:cstheme="majorHAnsi"/>
          <w:bCs/>
          <w:i/>
          <w:iCs/>
          <w:lang w:val="en-US"/>
        </w:rPr>
        <w:t>*</w:t>
      </w:r>
      <w:r w:rsidR="00AC0646" w:rsidRPr="00332DF0">
        <w:rPr>
          <w:rFonts w:asciiTheme="majorHAnsi" w:hAnsiTheme="majorHAnsi" w:cstheme="majorHAnsi"/>
          <w:bCs/>
          <w:i/>
          <w:iCs/>
          <w:lang w:val="en-US"/>
        </w:rPr>
        <w:t>Corres</w:t>
      </w:r>
      <w:r w:rsidR="002B224B" w:rsidRPr="00332DF0">
        <w:rPr>
          <w:rFonts w:asciiTheme="majorHAnsi" w:hAnsiTheme="majorHAnsi" w:cstheme="majorHAnsi"/>
          <w:bCs/>
          <w:i/>
          <w:iCs/>
          <w:lang w:val="en-US"/>
        </w:rPr>
        <w:t>ponding</w:t>
      </w:r>
      <w:r w:rsidR="00EC6C41" w:rsidRPr="00332DF0">
        <w:rPr>
          <w:rFonts w:asciiTheme="majorHAnsi" w:hAnsiTheme="majorHAnsi" w:cstheme="majorHAnsi"/>
          <w:bCs/>
          <w:i/>
          <w:iCs/>
          <w:lang w:val="en-US"/>
        </w:rPr>
        <w:t xml:space="preserve"> author. Email:</w:t>
      </w:r>
      <w:r w:rsidR="00332DF0">
        <w:rPr>
          <w:rFonts w:asciiTheme="majorHAnsi" w:hAnsiTheme="majorHAnsi" w:cstheme="majorHAnsi"/>
          <w:bCs/>
          <w:i/>
          <w:iCs/>
          <w:lang w:val="en-US"/>
        </w:rPr>
        <w:t xml:space="preserve"> hung.nt@ufm.edu.vn</w:t>
      </w:r>
    </w:p>
    <w:p w14:paraId="7AF08CE4" w14:textId="77777777" w:rsidR="00332DF0" w:rsidRPr="00332DF0" w:rsidRDefault="00332DF0" w:rsidP="00AA628E">
      <w:pPr>
        <w:spacing w:after="0" w:line="240" w:lineRule="auto"/>
        <w:jc w:val="center"/>
        <w:rPr>
          <w:rFonts w:asciiTheme="majorHAnsi" w:eastAsia="Times New Roman" w:hAnsiTheme="majorHAnsi" w:cstheme="majorHAnsi"/>
          <w:bCs/>
          <w:i/>
          <w:iCs/>
          <w:lang w:val="en-US"/>
        </w:rPr>
      </w:pPr>
    </w:p>
    <w:p w14:paraId="0E59A0D1" w14:textId="77777777" w:rsidR="007343BC" w:rsidRPr="007343BC" w:rsidRDefault="007343BC" w:rsidP="007343BC">
      <w:pPr>
        <w:spacing w:after="0" w:line="240" w:lineRule="auto"/>
        <w:jc w:val="center"/>
        <w:rPr>
          <w:rFonts w:asciiTheme="majorHAnsi" w:hAnsiTheme="majorHAnsi" w:cstheme="majorHAnsi"/>
          <w:bCs/>
          <w:i/>
          <w:iCs/>
          <w:lang w:val="en-US"/>
        </w:rPr>
      </w:pPr>
      <w:r w:rsidRPr="007343BC">
        <w:rPr>
          <w:rFonts w:asciiTheme="majorHAnsi" w:hAnsiTheme="majorHAnsi" w:cstheme="majorHAnsi"/>
          <w:bCs/>
          <w:i/>
          <w:iCs/>
          <w:lang w:val="en-US"/>
        </w:rPr>
        <w:t>Received: dd/mm/yyyy; Revised: dd/mm/</w:t>
      </w:r>
      <w:proofErr w:type="gramStart"/>
      <w:r w:rsidRPr="007343BC">
        <w:rPr>
          <w:rFonts w:asciiTheme="majorHAnsi" w:hAnsiTheme="majorHAnsi" w:cstheme="majorHAnsi"/>
          <w:bCs/>
          <w:i/>
          <w:iCs/>
          <w:lang w:val="en-US"/>
        </w:rPr>
        <w:t>yyyy;</w:t>
      </w:r>
      <w:proofErr w:type="gramEnd"/>
    </w:p>
    <w:p w14:paraId="2D6158BF" w14:textId="1F7B3331" w:rsidR="00914C09" w:rsidRDefault="007343BC" w:rsidP="007343BC">
      <w:pPr>
        <w:spacing w:after="0" w:line="240" w:lineRule="auto"/>
        <w:jc w:val="center"/>
        <w:rPr>
          <w:rFonts w:asciiTheme="majorHAnsi" w:hAnsiTheme="majorHAnsi" w:cstheme="majorHAnsi"/>
          <w:bCs/>
          <w:i/>
          <w:iCs/>
          <w:lang w:val="en-US"/>
        </w:rPr>
      </w:pPr>
      <w:r w:rsidRPr="007343BC">
        <w:rPr>
          <w:rFonts w:asciiTheme="majorHAnsi" w:hAnsiTheme="majorHAnsi" w:cstheme="majorHAnsi"/>
          <w:bCs/>
          <w:i/>
          <w:iCs/>
          <w:lang w:val="en-US"/>
        </w:rPr>
        <w:t>Accepted: dd/mm/yyyy; Published: dd/mm/yyyy</w:t>
      </w:r>
    </w:p>
    <w:p w14:paraId="49E8C673" w14:textId="77777777" w:rsidR="00975C39" w:rsidRDefault="00975C39" w:rsidP="00AA628E">
      <w:pPr>
        <w:spacing w:after="0" w:line="240" w:lineRule="auto"/>
        <w:jc w:val="center"/>
        <w:rPr>
          <w:rFonts w:asciiTheme="majorHAnsi" w:hAnsiTheme="majorHAnsi" w:cstheme="majorHAnsi"/>
          <w:bCs/>
          <w:i/>
          <w:iCs/>
          <w:lang w:val="en-US"/>
        </w:rPr>
      </w:pPr>
    </w:p>
    <w:p w14:paraId="6C82DBD3" w14:textId="77777777" w:rsidR="007105F4" w:rsidRPr="006E51E5" w:rsidRDefault="007105F4" w:rsidP="00AA628E">
      <w:pPr>
        <w:spacing w:after="0" w:line="240" w:lineRule="auto"/>
        <w:jc w:val="center"/>
        <w:rPr>
          <w:rFonts w:asciiTheme="majorHAnsi" w:hAnsiTheme="majorHAnsi" w:cstheme="majorHAnsi"/>
          <w:bCs/>
          <w:i/>
          <w:iCs/>
          <w:lang w:val="en-US"/>
        </w:rPr>
      </w:pPr>
    </w:p>
    <w:p w14:paraId="48A5FAEB" w14:textId="7338120E" w:rsidR="00DA61AE" w:rsidRPr="002F6C22" w:rsidRDefault="00DA61AE" w:rsidP="00DA61AE">
      <w:pPr>
        <w:spacing w:before="120" w:after="120" w:line="240" w:lineRule="auto"/>
        <w:jc w:val="both"/>
        <w:rPr>
          <w:rFonts w:asciiTheme="majorHAnsi" w:hAnsiTheme="majorHAnsi" w:cstheme="majorHAnsi"/>
          <w:b/>
          <w:lang w:val="en-US"/>
        </w:rPr>
      </w:pPr>
      <w:r w:rsidRPr="002F6C22">
        <w:rPr>
          <w:rFonts w:asciiTheme="majorHAnsi" w:hAnsiTheme="majorHAnsi" w:cstheme="majorHAnsi"/>
          <w:b/>
          <w:lang w:val="en-US"/>
        </w:rPr>
        <w:t>ABSTRACT</w:t>
      </w:r>
    </w:p>
    <w:p w14:paraId="2297E59C" w14:textId="77777777" w:rsidR="00DA61AE" w:rsidRPr="003E1C9F" w:rsidRDefault="00DA61AE" w:rsidP="00356C30">
      <w:pPr>
        <w:spacing w:before="120" w:after="120" w:line="240" w:lineRule="auto"/>
        <w:ind w:firstLine="562"/>
        <w:jc w:val="both"/>
        <w:rPr>
          <w:rFonts w:asciiTheme="majorHAnsi" w:hAnsiTheme="majorHAnsi" w:cstheme="majorHAnsi"/>
          <w:sz w:val="20"/>
          <w:szCs w:val="20"/>
          <w:lang w:val="en-US"/>
        </w:rPr>
      </w:pPr>
      <w:r w:rsidRPr="003E1C9F">
        <w:rPr>
          <w:rFonts w:asciiTheme="majorHAnsi" w:hAnsiTheme="majorHAnsi" w:cstheme="majorHAnsi"/>
          <w:sz w:val="20"/>
          <w:szCs w:val="20"/>
        </w:rPr>
        <w:t>This study aims to assess the impact of oil prices and the Industrial Production Index (IPI) on economic growth in the ASEAN–6 countries (Vietnam, Thailand, Singapore, the Philippines, Malaysia, and Indonesia), using monthly time</w:t>
      </w:r>
      <w:r>
        <w:rPr>
          <w:rFonts w:asciiTheme="majorHAnsi" w:hAnsiTheme="majorHAnsi" w:cstheme="majorHAnsi"/>
          <w:sz w:val="20"/>
          <w:szCs w:val="20"/>
          <w:lang w:val="en-US"/>
        </w:rPr>
        <w:t>-</w:t>
      </w:r>
      <w:r w:rsidRPr="003E1C9F">
        <w:rPr>
          <w:rFonts w:asciiTheme="majorHAnsi" w:hAnsiTheme="majorHAnsi" w:cstheme="majorHAnsi"/>
          <w:sz w:val="20"/>
          <w:szCs w:val="20"/>
        </w:rPr>
        <w:t>series data spanning 22 years (2002–2023). The authors employ the Time–Varying Granger Causality method developed by Shi et al. (2018) to analyze in-depth the effects of oil prices and IPI on Gross Domestic Product (GDP) during key economic periods, including the global financial crisis (2008), the oil price shock (2014–2016), the COVID–19 pandemic (2020–2021), and the Russia – Ukraine war (2022). The results of the analysis indicate a significant impact of oil prices and IPI on economic growth in the ASEAN–6 region at different time intervals. Therefore, the study suggests that the economic growth of the countries under study is highly sensitive to fluctuations in oil prices. Based on the findings, several policy implications are proposed to maintain stability and promote economic growth amid growing economic uncertainties.</w:t>
      </w:r>
    </w:p>
    <w:p w14:paraId="38505C27" w14:textId="6599914B" w:rsidR="00DA61AE" w:rsidRPr="001E5652" w:rsidRDefault="00DA61AE" w:rsidP="00DA61AE">
      <w:pPr>
        <w:spacing w:before="120" w:after="120" w:line="240" w:lineRule="auto"/>
        <w:rPr>
          <w:rFonts w:asciiTheme="majorHAnsi" w:hAnsiTheme="majorHAnsi" w:cstheme="majorHAnsi"/>
          <w:b/>
          <w:bCs/>
          <w:lang w:val="en-US"/>
        </w:rPr>
      </w:pPr>
      <w:r w:rsidRPr="005F1E9B">
        <w:rPr>
          <w:rFonts w:asciiTheme="majorHAnsi" w:eastAsia="SimSun" w:hAnsiTheme="majorHAnsi" w:cstheme="majorHAnsi"/>
          <w:b/>
          <w:iCs/>
          <w:sz w:val="20"/>
          <w:szCs w:val="20"/>
        </w:rPr>
        <w:t>Keywords:</w:t>
      </w:r>
      <w:r w:rsidRPr="003E1C9F">
        <w:rPr>
          <w:rFonts w:asciiTheme="majorHAnsi" w:eastAsia="SimSun" w:hAnsiTheme="majorHAnsi" w:cstheme="majorHAnsi"/>
          <w:i/>
          <w:sz w:val="20"/>
          <w:szCs w:val="20"/>
        </w:rPr>
        <w:t xml:space="preserve"> </w:t>
      </w:r>
      <w:r w:rsidR="002D149E">
        <w:rPr>
          <w:rFonts w:asciiTheme="majorHAnsi" w:eastAsia="SimSun" w:hAnsiTheme="majorHAnsi" w:cstheme="majorHAnsi"/>
          <w:i/>
          <w:sz w:val="20"/>
          <w:szCs w:val="20"/>
          <w:lang w:val="en-US"/>
        </w:rPr>
        <w:t>O</w:t>
      </w:r>
      <w:r w:rsidRPr="003E1C9F">
        <w:rPr>
          <w:rFonts w:asciiTheme="majorHAnsi" w:eastAsia="SimSun" w:hAnsiTheme="majorHAnsi" w:cstheme="majorHAnsi"/>
          <w:i/>
          <w:sz w:val="20"/>
          <w:szCs w:val="20"/>
        </w:rPr>
        <w:t>il prices, IPI, GDP, economic growth, Time</w:t>
      </w:r>
      <w:r w:rsidRPr="003E1C9F">
        <w:rPr>
          <w:rFonts w:asciiTheme="majorHAnsi" w:hAnsiTheme="majorHAnsi" w:cstheme="majorHAnsi"/>
          <w:sz w:val="20"/>
          <w:szCs w:val="20"/>
        </w:rPr>
        <w:t>–</w:t>
      </w:r>
      <w:r w:rsidRPr="003E1C9F">
        <w:rPr>
          <w:rFonts w:asciiTheme="majorHAnsi" w:eastAsia="SimSun" w:hAnsiTheme="majorHAnsi" w:cstheme="majorHAnsi"/>
          <w:i/>
          <w:sz w:val="20"/>
          <w:szCs w:val="20"/>
        </w:rPr>
        <w:t>Varying Granger Causality</w:t>
      </w:r>
      <w:r>
        <w:rPr>
          <w:rFonts w:asciiTheme="majorHAnsi" w:eastAsia="SimSun" w:hAnsiTheme="majorHAnsi" w:cstheme="majorHAnsi"/>
          <w:i/>
          <w:sz w:val="20"/>
          <w:szCs w:val="20"/>
          <w:lang w:val="en-US"/>
        </w:rPr>
        <w:t>.</w:t>
      </w:r>
    </w:p>
    <w:p w14:paraId="61457C91" w14:textId="77777777" w:rsidR="00DA61AE" w:rsidRDefault="00DA61AE" w:rsidP="00166A58">
      <w:pPr>
        <w:spacing w:before="120" w:after="120" w:line="240" w:lineRule="auto"/>
        <w:jc w:val="both"/>
        <w:rPr>
          <w:rFonts w:ascii="Arial" w:hAnsi="Arial" w:cs="Arial"/>
          <w:b/>
          <w:sz w:val="32"/>
          <w:szCs w:val="32"/>
          <w:lang w:val="en-US"/>
        </w:rPr>
      </w:pPr>
    </w:p>
    <w:p w14:paraId="10669B60" w14:textId="77777777" w:rsidR="00DA61AE" w:rsidRDefault="00DA61AE" w:rsidP="00166A58">
      <w:pPr>
        <w:spacing w:before="120" w:after="120" w:line="240" w:lineRule="auto"/>
        <w:jc w:val="both"/>
        <w:rPr>
          <w:rFonts w:ascii="Arial" w:hAnsi="Arial" w:cs="Arial"/>
          <w:b/>
          <w:sz w:val="32"/>
          <w:szCs w:val="32"/>
          <w:lang w:val="en-US"/>
        </w:rPr>
      </w:pPr>
      <w:r>
        <w:rPr>
          <w:rFonts w:ascii="Arial" w:hAnsi="Arial" w:cs="Arial"/>
          <w:b/>
          <w:sz w:val="32"/>
          <w:szCs w:val="32"/>
          <w:lang w:val="en-US"/>
        </w:rPr>
        <w:br w:type="page"/>
      </w:r>
    </w:p>
    <w:p w14:paraId="3BFA1A60" w14:textId="77777777" w:rsidR="00EC5F93" w:rsidRDefault="00EC5F93" w:rsidP="00880542">
      <w:pPr>
        <w:spacing w:after="0" w:line="240" w:lineRule="auto"/>
        <w:jc w:val="both"/>
        <w:rPr>
          <w:rFonts w:ascii="Arial" w:hAnsi="Arial" w:cs="Arial"/>
          <w:b/>
          <w:sz w:val="32"/>
          <w:szCs w:val="32"/>
        </w:rPr>
      </w:pPr>
    </w:p>
    <w:p w14:paraId="229F277B" w14:textId="77777777" w:rsidR="00EC5F93" w:rsidRDefault="00EC5F93" w:rsidP="00880542">
      <w:pPr>
        <w:spacing w:after="0" w:line="240" w:lineRule="auto"/>
        <w:jc w:val="both"/>
        <w:rPr>
          <w:rFonts w:ascii="Arial" w:hAnsi="Arial" w:cs="Arial"/>
          <w:b/>
          <w:sz w:val="32"/>
          <w:szCs w:val="32"/>
        </w:rPr>
      </w:pPr>
    </w:p>
    <w:p w14:paraId="13524230" w14:textId="04D2B610" w:rsidR="00166A58" w:rsidRPr="003E1C9F" w:rsidRDefault="00166A58" w:rsidP="00880542">
      <w:pPr>
        <w:spacing w:after="0" w:line="240" w:lineRule="auto"/>
        <w:jc w:val="both"/>
        <w:rPr>
          <w:rFonts w:ascii="Arial" w:hAnsi="Arial" w:cs="Arial"/>
          <w:b/>
          <w:sz w:val="32"/>
          <w:szCs w:val="32"/>
          <w:lang w:val="en-US"/>
        </w:rPr>
      </w:pPr>
      <w:r w:rsidRPr="003E1C9F">
        <w:rPr>
          <w:rFonts w:ascii="Arial" w:hAnsi="Arial" w:cs="Arial"/>
          <w:b/>
          <w:sz w:val="32"/>
          <w:szCs w:val="32"/>
          <w:lang w:val="en-US"/>
        </w:rPr>
        <w:t xml:space="preserve">Rủi ro giá dầu và tăng trưởng kinh tế ở các quốc gia </w:t>
      </w:r>
      <w:r w:rsidR="001663C5">
        <w:rPr>
          <w:rFonts w:ascii="Arial" w:hAnsi="Arial" w:cs="Arial"/>
          <w:b/>
          <w:sz w:val="32"/>
          <w:szCs w:val="32"/>
          <w:lang w:val="en-US"/>
        </w:rPr>
        <w:t>A</w:t>
      </w:r>
      <w:r w:rsidRPr="003E1C9F">
        <w:rPr>
          <w:rFonts w:ascii="Arial" w:hAnsi="Arial" w:cs="Arial"/>
          <w:b/>
          <w:sz w:val="32"/>
          <w:szCs w:val="32"/>
          <w:lang w:val="en-US"/>
        </w:rPr>
        <w:t>sean-6</w:t>
      </w:r>
    </w:p>
    <w:p w14:paraId="13A687CC" w14:textId="77777777" w:rsidR="006522FA" w:rsidRDefault="006522FA" w:rsidP="00880542">
      <w:pPr>
        <w:spacing w:after="0" w:line="240" w:lineRule="auto"/>
        <w:jc w:val="center"/>
        <w:rPr>
          <w:rFonts w:asciiTheme="majorHAnsi" w:eastAsia="Times New Roman" w:hAnsiTheme="majorHAnsi" w:cstheme="majorHAnsi"/>
          <w:b/>
          <w:sz w:val="24"/>
          <w:szCs w:val="24"/>
          <w:lang w:val="en-US"/>
        </w:rPr>
      </w:pPr>
    </w:p>
    <w:p w14:paraId="55C1ECB4" w14:textId="7544F212" w:rsidR="00166A58" w:rsidRDefault="00166A58" w:rsidP="00880542">
      <w:pPr>
        <w:spacing w:after="0" w:line="240" w:lineRule="auto"/>
        <w:jc w:val="center"/>
        <w:rPr>
          <w:rFonts w:asciiTheme="majorHAnsi" w:eastAsia="Times New Roman" w:hAnsiTheme="majorHAnsi" w:cstheme="majorHAnsi"/>
          <w:b/>
          <w:sz w:val="24"/>
          <w:szCs w:val="24"/>
          <w:lang w:val="en-US"/>
        </w:rPr>
      </w:pPr>
      <w:r w:rsidRPr="002F6C22">
        <w:rPr>
          <w:rFonts w:asciiTheme="majorHAnsi" w:eastAsia="Times New Roman" w:hAnsiTheme="majorHAnsi" w:cstheme="majorHAnsi"/>
          <w:b/>
          <w:sz w:val="24"/>
          <w:szCs w:val="24"/>
        </w:rPr>
        <w:t>Ngô Thái Hưng</w:t>
      </w:r>
      <w:r>
        <w:rPr>
          <w:rFonts w:asciiTheme="majorHAnsi" w:eastAsia="Times New Roman" w:hAnsiTheme="majorHAnsi" w:cstheme="majorHAnsi"/>
          <w:b/>
          <w:sz w:val="24"/>
          <w:szCs w:val="24"/>
          <w:vertAlign w:val="superscript"/>
          <w:lang w:val="en-US"/>
        </w:rPr>
        <w: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Võ Thanh Vy</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Nguyễn Thư Kỳ</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Nguyễn Trường Phát</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Võ Thị Anh Thơ</w:t>
      </w:r>
      <w:r w:rsidRPr="002F6C22">
        <w:rPr>
          <w:rFonts w:asciiTheme="majorHAnsi" w:eastAsia="Times New Roman" w:hAnsiTheme="majorHAnsi" w:cstheme="majorHAnsi"/>
          <w:b/>
          <w:sz w:val="24"/>
          <w:szCs w:val="24"/>
          <w:lang w:val="en-US"/>
        </w:rPr>
        <w:t>,</w:t>
      </w:r>
      <w:r w:rsidRPr="002F6C22">
        <w:rPr>
          <w:rFonts w:asciiTheme="majorHAnsi" w:eastAsia="Times New Roman" w:hAnsiTheme="majorHAnsi" w:cstheme="majorHAnsi"/>
          <w:b/>
          <w:sz w:val="24"/>
          <w:szCs w:val="24"/>
        </w:rPr>
        <w:t xml:space="preserve"> Lê Minh Thư</w:t>
      </w:r>
    </w:p>
    <w:p w14:paraId="20A14D9E" w14:textId="77777777" w:rsidR="008419B2" w:rsidRPr="008419B2" w:rsidRDefault="008419B2" w:rsidP="00880542">
      <w:pPr>
        <w:spacing w:after="0" w:line="240" w:lineRule="auto"/>
        <w:jc w:val="center"/>
        <w:rPr>
          <w:rFonts w:asciiTheme="majorHAnsi" w:eastAsia="Times New Roman" w:hAnsiTheme="majorHAnsi" w:cstheme="majorHAnsi"/>
          <w:b/>
          <w:sz w:val="24"/>
          <w:szCs w:val="24"/>
          <w:lang w:val="en-US"/>
        </w:rPr>
      </w:pPr>
    </w:p>
    <w:p w14:paraId="0BA287E4" w14:textId="16B8FC86" w:rsidR="00166A58" w:rsidRPr="00C12697" w:rsidRDefault="00166A58" w:rsidP="00880542">
      <w:pPr>
        <w:spacing w:after="0" w:line="240" w:lineRule="auto"/>
        <w:jc w:val="center"/>
        <w:rPr>
          <w:rFonts w:asciiTheme="majorHAnsi" w:eastAsia="Times New Roman" w:hAnsiTheme="majorHAnsi" w:cstheme="majorHAnsi"/>
          <w:i/>
          <w:lang w:val="en-US"/>
        </w:rPr>
      </w:pPr>
      <w:r w:rsidRPr="00C12697">
        <w:rPr>
          <w:rFonts w:asciiTheme="majorHAnsi" w:eastAsia="Times New Roman" w:hAnsiTheme="majorHAnsi" w:cstheme="majorHAnsi"/>
          <w:i/>
        </w:rPr>
        <w:t>Trường Đại học Tài chính</w:t>
      </w:r>
      <w:r w:rsidR="002A0712" w:rsidRPr="00C12697">
        <w:rPr>
          <w:rFonts w:asciiTheme="majorHAnsi" w:eastAsia="Times New Roman" w:hAnsiTheme="majorHAnsi" w:cstheme="majorHAnsi"/>
          <w:i/>
          <w:lang w:val="en-US"/>
        </w:rPr>
        <w:t xml:space="preserve"> </w:t>
      </w:r>
      <w:r w:rsidR="002A0712" w:rsidRPr="00C12697">
        <w:rPr>
          <w:rFonts w:asciiTheme="majorHAnsi" w:hAnsiTheme="majorHAnsi" w:cstheme="majorHAnsi"/>
          <w:i/>
        </w:rPr>
        <w:t>–</w:t>
      </w:r>
      <w:r w:rsidR="002A0712" w:rsidRPr="00C12697">
        <w:rPr>
          <w:rFonts w:asciiTheme="majorHAnsi" w:hAnsiTheme="majorHAnsi" w:cstheme="majorHAnsi"/>
          <w:i/>
          <w:lang w:val="en-US"/>
        </w:rPr>
        <w:t xml:space="preserve"> </w:t>
      </w:r>
      <w:r w:rsidRPr="00C12697">
        <w:rPr>
          <w:rFonts w:asciiTheme="majorHAnsi" w:eastAsia="Times New Roman" w:hAnsiTheme="majorHAnsi" w:cstheme="majorHAnsi"/>
          <w:i/>
        </w:rPr>
        <w:t>Marketing</w:t>
      </w:r>
      <w:r w:rsidR="008419B2" w:rsidRPr="00C12697">
        <w:rPr>
          <w:rFonts w:asciiTheme="majorHAnsi" w:eastAsia="Times New Roman" w:hAnsiTheme="majorHAnsi" w:cstheme="majorHAnsi"/>
          <w:i/>
          <w:lang w:val="en-US"/>
        </w:rPr>
        <w:t>, Việt Nam</w:t>
      </w:r>
    </w:p>
    <w:p w14:paraId="0322DFDB" w14:textId="77777777" w:rsidR="002A0712" w:rsidRPr="00C12697" w:rsidRDefault="002A0712" w:rsidP="00880542">
      <w:pPr>
        <w:spacing w:after="0" w:line="240" w:lineRule="auto"/>
        <w:jc w:val="center"/>
        <w:rPr>
          <w:rFonts w:asciiTheme="majorHAnsi" w:eastAsia="Times New Roman" w:hAnsiTheme="majorHAnsi" w:cstheme="majorHAnsi"/>
          <w:i/>
          <w:lang w:val="en-US"/>
        </w:rPr>
      </w:pPr>
    </w:p>
    <w:p w14:paraId="14C5835D" w14:textId="4C1980FF" w:rsidR="00546C3C" w:rsidRPr="00C12697" w:rsidRDefault="00546C3C" w:rsidP="00880542">
      <w:pPr>
        <w:spacing w:after="0" w:line="240" w:lineRule="auto"/>
        <w:jc w:val="center"/>
        <w:rPr>
          <w:rFonts w:asciiTheme="majorHAnsi" w:hAnsiTheme="majorHAnsi" w:cstheme="majorHAnsi"/>
          <w:i/>
          <w:lang w:val="en-US"/>
        </w:rPr>
      </w:pPr>
      <w:r w:rsidRPr="00C12697">
        <w:rPr>
          <w:rFonts w:asciiTheme="majorHAnsi" w:eastAsia="Times New Roman" w:hAnsiTheme="majorHAnsi" w:cstheme="majorHAnsi"/>
          <w:i/>
          <w:lang w:val="en-US"/>
        </w:rPr>
        <w:t xml:space="preserve">*Tác giả liên hệ chính. Email: </w:t>
      </w:r>
      <w:r w:rsidRPr="00C12697">
        <w:rPr>
          <w:rFonts w:asciiTheme="majorHAnsi" w:hAnsiTheme="majorHAnsi" w:cstheme="majorHAnsi"/>
          <w:i/>
          <w:lang w:val="en-US"/>
        </w:rPr>
        <w:t>hung.nt@ufm.edu.vn</w:t>
      </w:r>
    </w:p>
    <w:p w14:paraId="51739D4A" w14:textId="784D487F" w:rsidR="002A0712" w:rsidRPr="00C12697" w:rsidRDefault="002A0712" w:rsidP="00880542">
      <w:pPr>
        <w:spacing w:after="0" w:line="240" w:lineRule="auto"/>
        <w:jc w:val="center"/>
        <w:rPr>
          <w:rFonts w:asciiTheme="majorHAnsi" w:eastAsia="Times New Roman" w:hAnsiTheme="majorHAnsi" w:cstheme="majorHAnsi"/>
          <w:i/>
          <w:lang w:val="en-US"/>
        </w:rPr>
      </w:pPr>
    </w:p>
    <w:p w14:paraId="751CCD0A" w14:textId="7139CF8E" w:rsidR="00F1562C" w:rsidRPr="00F1562C" w:rsidRDefault="00F1562C" w:rsidP="00F1562C">
      <w:pPr>
        <w:spacing w:after="0" w:line="240" w:lineRule="auto"/>
        <w:jc w:val="center"/>
        <w:rPr>
          <w:rFonts w:asciiTheme="majorHAnsi" w:eastAsia="Times New Roman" w:hAnsiTheme="majorHAnsi" w:cstheme="majorHAnsi"/>
          <w:i/>
        </w:rPr>
      </w:pPr>
      <w:r w:rsidRPr="00F1562C">
        <w:rPr>
          <w:rFonts w:asciiTheme="majorHAnsi" w:eastAsia="Times New Roman" w:hAnsiTheme="majorHAnsi" w:cstheme="majorHAnsi"/>
          <w:i/>
          <w:lang w:val="en-US"/>
        </w:rPr>
        <w:t>Ngày nhận bài: dd/mm/yyyy; Ngày sửa bài: dd/mm/</w:t>
      </w:r>
      <w:proofErr w:type="gramStart"/>
      <w:r>
        <w:rPr>
          <w:rFonts w:asciiTheme="majorHAnsi" w:eastAsia="Times New Roman" w:hAnsiTheme="majorHAnsi" w:cstheme="majorHAnsi"/>
          <w:i/>
          <w:lang w:val="en-US"/>
        </w:rPr>
        <w:t>yyyy</w:t>
      </w:r>
      <w:r>
        <w:rPr>
          <w:rFonts w:asciiTheme="majorHAnsi" w:eastAsia="Times New Roman" w:hAnsiTheme="majorHAnsi" w:cstheme="majorHAnsi"/>
          <w:i/>
        </w:rPr>
        <w:t>;</w:t>
      </w:r>
      <w:proofErr w:type="gramEnd"/>
    </w:p>
    <w:p w14:paraId="3BDAF52B" w14:textId="6CF2DE29" w:rsidR="00177B55" w:rsidRDefault="00F1562C" w:rsidP="00F1562C">
      <w:pPr>
        <w:spacing w:after="0" w:line="240" w:lineRule="auto"/>
        <w:jc w:val="center"/>
        <w:rPr>
          <w:rFonts w:asciiTheme="majorHAnsi" w:eastAsia="Times New Roman" w:hAnsiTheme="majorHAnsi" w:cstheme="majorHAnsi"/>
          <w:i/>
          <w:lang w:val="en-US"/>
        </w:rPr>
      </w:pPr>
      <w:r w:rsidRPr="00F1562C">
        <w:rPr>
          <w:rFonts w:asciiTheme="majorHAnsi" w:eastAsia="Times New Roman" w:hAnsiTheme="majorHAnsi" w:cstheme="majorHAnsi"/>
          <w:i/>
          <w:lang w:val="en-US"/>
        </w:rPr>
        <w:t>Ngày nhận đăng: dd/mm/yyyy; Ngày xuất bản: dd/mm/yyyy</w:t>
      </w:r>
    </w:p>
    <w:p w14:paraId="364C5F94" w14:textId="77777777" w:rsidR="00880542" w:rsidRDefault="00880542" w:rsidP="00880542">
      <w:pPr>
        <w:spacing w:after="0" w:line="240" w:lineRule="auto"/>
        <w:jc w:val="center"/>
        <w:rPr>
          <w:rFonts w:asciiTheme="majorHAnsi" w:eastAsia="Times New Roman" w:hAnsiTheme="majorHAnsi" w:cstheme="majorHAnsi"/>
          <w:i/>
          <w:lang w:val="en-US"/>
        </w:rPr>
      </w:pPr>
    </w:p>
    <w:p w14:paraId="10431F80" w14:textId="77777777" w:rsidR="00880542" w:rsidRPr="00C12697" w:rsidRDefault="00880542" w:rsidP="00880542">
      <w:pPr>
        <w:spacing w:after="0" w:line="240" w:lineRule="auto"/>
        <w:jc w:val="center"/>
        <w:rPr>
          <w:rFonts w:asciiTheme="majorHAnsi" w:eastAsia="Times New Roman" w:hAnsiTheme="majorHAnsi" w:cstheme="majorHAnsi"/>
          <w:i/>
          <w:lang w:val="en-US"/>
        </w:rPr>
      </w:pPr>
    </w:p>
    <w:p w14:paraId="7543E8C7" w14:textId="77777777" w:rsidR="00166A58" w:rsidRPr="002F6C22" w:rsidRDefault="00166A58" w:rsidP="00166A58">
      <w:pPr>
        <w:spacing w:before="120" w:after="120" w:line="240" w:lineRule="auto"/>
        <w:rPr>
          <w:rFonts w:asciiTheme="majorHAnsi" w:hAnsiTheme="majorHAnsi" w:cstheme="majorHAnsi"/>
          <w:b/>
        </w:rPr>
      </w:pPr>
      <w:r w:rsidRPr="002F6C22">
        <w:rPr>
          <w:rFonts w:asciiTheme="majorHAnsi" w:hAnsiTheme="majorHAnsi" w:cstheme="majorHAnsi"/>
          <w:b/>
        </w:rPr>
        <w:t>TÓM TẮT</w:t>
      </w:r>
    </w:p>
    <w:p w14:paraId="494607EA" w14:textId="6ACAEF52" w:rsidR="00166A58" w:rsidRPr="003E1C9F" w:rsidRDefault="00166A58" w:rsidP="008422F5">
      <w:pPr>
        <w:spacing w:before="120" w:after="120" w:line="240" w:lineRule="auto"/>
        <w:ind w:firstLine="567"/>
        <w:jc w:val="both"/>
        <w:rPr>
          <w:rFonts w:asciiTheme="majorHAnsi" w:hAnsiTheme="majorHAnsi" w:cstheme="majorHAnsi"/>
          <w:sz w:val="20"/>
          <w:szCs w:val="20"/>
        </w:rPr>
      </w:pPr>
      <w:r w:rsidRPr="003E1C9F">
        <w:rPr>
          <w:rFonts w:asciiTheme="majorHAnsi" w:hAnsiTheme="majorHAnsi" w:cstheme="majorHAnsi"/>
          <w:sz w:val="20"/>
          <w:szCs w:val="20"/>
        </w:rPr>
        <w:t>Nghiên cứu này nhằm đánh giá tác động của giá dầu và chỉ số sản xuất công nghiệp (IPI) đến tăng trưởng kinh tế ở các quốc gia ASEAN</w:t>
      </w:r>
      <w:r w:rsidR="000B6231" w:rsidRPr="003E1C9F">
        <w:rPr>
          <w:rFonts w:asciiTheme="majorHAnsi" w:hAnsiTheme="majorHAnsi" w:cstheme="majorHAnsi"/>
          <w:sz w:val="20"/>
          <w:szCs w:val="20"/>
        </w:rPr>
        <w:t>–</w:t>
      </w:r>
      <w:r w:rsidRPr="003E1C9F">
        <w:rPr>
          <w:rFonts w:asciiTheme="majorHAnsi" w:hAnsiTheme="majorHAnsi" w:cstheme="majorHAnsi"/>
          <w:sz w:val="20"/>
          <w:szCs w:val="20"/>
        </w:rPr>
        <w:t>6 gồm Việt Nam, Thái Lan, Singapore, Philippines, Malaysia và Indonesia với dữ liệu chuỗi thời gian theo tháng trong 22 năm (2002–2023). Nhóm tác giả sử dụng phương pháp Time</w:t>
      </w:r>
      <w:r w:rsidR="00642D29">
        <w:rPr>
          <w:rFonts w:asciiTheme="majorHAnsi" w:hAnsiTheme="majorHAnsi" w:cstheme="majorHAnsi"/>
          <w:sz w:val="20"/>
          <w:szCs w:val="20"/>
        </w:rPr>
        <w:t xml:space="preserve"> </w:t>
      </w:r>
      <w:r w:rsidR="00182FB0" w:rsidRPr="003E1C9F">
        <w:rPr>
          <w:rFonts w:asciiTheme="majorHAnsi" w:hAnsiTheme="majorHAnsi" w:cstheme="majorHAnsi"/>
          <w:sz w:val="20"/>
          <w:szCs w:val="20"/>
        </w:rPr>
        <w:t>–</w:t>
      </w:r>
      <w:r w:rsidR="00642D29">
        <w:rPr>
          <w:rFonts w:asciiTheme="majorHAnsi" w:hAnsiTheme="majorHAnsi" w:cstheme="majorHAnsi"/>
          <w:sz w:val="20"/>
          <w:szCs w:val="20"/>
        </w:rPr>
        <w:t xml:space="preserve"> </w:t>
      </w:r>
      <w:r w:rsidRPr="003E1C9F">
        <w:rPr>
          <w:rFonts w:asciiTheme="majorHAnsi" w:hAnsiTheme="majorHAnsi" w:cstheme="majorHAnsi"/>
          <w:sz w:val="20"/>
          <w:szCs w:val="20"/>
        </w:rPr>
        <w:t>Varying Granger Causality được phát triển bởi Shi và cộng sự (2018) nhằm phân tích sâu hơn về các tác động của giá dầu và IPI lên tổng sản phẩm quốc nội (GDP) ở các giai đoạn kinh tế quan trọng, bao gồm khủng hoảng tài chính toàn cầu (2008), cú sốc giá dầu (2014–2016), đại dịch COVID–19 (2020–2021) và chiến tranh Nga – Ukraine (2022). Kết quả cho thấy có tồn tại sự tác động từ giá dầu và IPI đến tăng trưởng kinh tế ở khu vực ASEAN–6 tại các khoảng thời gian khác nhau. Qua đó, nghiên cứu cho rằng tăng trưởng kinh tế của các quốc gia trong phạm vi nghiên cứu rất nhạy cảm với sự thay đổi của giá dầu. Từ kết quả nghiên cứu, một số hàm ý chính sách kinh tế được đưa ra nhằm duy trì sự ổn định và thúc đẩy tăng trưởng kinh tế trong điều kiện bất ổn kinh tế ngày càng gia tăng.</w:t>
      </w:r>
    </w:p>
    <w:p w14:paraId="408063DA" w14:textId="51C61508" w:rsidR="001E5652" w:rsidRPr="001E5652" w:rsidRDefault="00166A58" w:rsidP="001E5652">
      <w:pPr>
        <w:spacing w:before="120" w:after="120" w:line="240" w:lineRule="auto"/>
        <w:rPr>
          <w:rFonts w:asciiTheme="majorHAnsi" w:hAnsiTheme="majorHAnsi" w:cstheme="majorHAnsi"/>
          <w:b/>
          <w:bCs/>
          <w:lang w:val="en-US"/>
        </w:rPr>
      </w:pPr>
      <w:r w:rsidRPr="00FA5945">
        <w:rPr>
          <w:rFonts w:asciiTheme="majorHAnsi" w:hAnsiTheme="majorHAnsi" w:cstheme="majorHAnsi"/>
          <w:b/>
          <w:bCs/>
          <w:iCs/>
          <w:sz w:val="20"/>
          <w:szCs w:val="20"/>
          <w:lang w:val="en-US"/>
        </w:rPr>
        <w:t>Từ khóa:</w:t>
      </w:r>
      <w:r w:rsidRPr="003E1C9F">
        <w:rPr>
          <w:rFonts w:asciiTheme="majorHAnsi" w:hAnsiTheme="majorHAnsi" w:cstheme="majorHAnsi"/>
          <w:bCs/>
          <w:sz w:val="20"/>
          <w:szCs w:val="20"/>
          <w:lang w:val="en-US"/>
        </w:rPr>
        <w:t xml:space="preserve"> </w:t>
      </w:r>
      <w:r w:rsidR="003B5253">
        <w:rPr>
          <w:rFonts w:asciiTheme="majorHAnsi" w:eastAsia="SimSun" w:hAnsiTheme="majorHAnsi" w:cstheme="majorHAnsi"/>
          <w:i/>
          <w:sz w:val="20"/>
          <w:szCs w:val="20"/>
          <w:lang w:val="en-US"/>
        </w:rPr>
        <w:t>Giá dầu</w:t>
      </w:r>
      <w:r w:rsidR="001E5652" w:rsidRPr="003E1C9F">
        <w:rPr>
          <w:rFonts w:asciiTheme="majorHAnsi" w:eastAsia="SimSun" w:hAnsiTheme="majorHAnsi" w:cstheme="majorHAnsi"/>
          <w:i/>
          <w:sz w:val="20"/>
          <w:szCs w:val="20"/>
        </w:rPr>
        <w:t xml:space="preserve">, IPI, GDP, </w:t>
      </w:r>
      <w:r w:rsidR="003B5253">
        <w:rPr>
          <w:rFonts w:asciiTheme="majorHAnsi" w:eastAsia="SimSun" w:hAnsiTheme="majorHAnsi" w:cstheme="majorHAnsi"/>
          <w:i/>
          <w:sz w:val="20"/>
          <w:szCs w:val="20"/>
          <w:lang w:val="en-US"/>
        </w:rPr>
        <w:t>tăng trưởng kinh tế</w:t>
      </w:r>
      <w:r w:rsidR="001E5652" w:rsidRPr="003E1C9F">
        <w:rPr>
          <w:rFonts w:asciiTheme="majorHAnsi" w:eastAsia="SimSun" w:hAnsiTheme="majorHAnsi" w:cstheme="majorHAnsi"/>
          <w:i/>
          <w:sz w:val="20"/>
          <w:szCs w:val="20"/>
        </w:rPr>
        <w:t>, Time</w:t>
      </w:r>
      <w:r w:rsidR="001E5652" w:rsidRPr="003E1C9F">
        <w:rPr>
          <w:rFonts w:asciiTheme="majorHAnsi" w:hAnsiTheme="majorHAnsi" w:cstheme="majorHAnsi"/>
          <w:sz w:val="20"/>
          <w:szCs w:val="20"/>
        </w:rPr>
        <w:t>–</w:t>
      </w:r>
      <w:r w:rsidR="001E5652" w:rsidRPr="003E1C9F">
        <w:rPr>
          <w:rFonts w:asciiTheme="majorHAnsi" w:eastAsia="SimSun" w:hAnsiTheme="majorHAnsi" w:cstheme="majorHAnsi"/>
          <w:i/>
          <w:sz w:val="20"/>
          <w:szCs w:val="20"/>
        </w:rPr>
        <w:t>Varying Granger Causality</w:t>
      </w:r>
      <w:r w:rsidR="001E5652">
        <w:rPr>
          <w:rFonts w:asciiTheme="majorHAnsi" w:eastAsia="SimSun" w:hAnsiTheme="majorHAnsi" w:cstheme="majorHAnsi"/>
          <w:i/>
          <w:sz w:val="20"/>
          <w:szCs w:val="20"/>
          <w:lang w:val="en-US"/>
        </w:rPr>
        <w:t>.</w:t>
      </w:r>
    </w:p>
    <w:p w14:paraId="47549DB0" w14:textId="77777777" w:rsidR="00166A58" w:rsidRPr="001E5652" w:rsidRDefault="00166A58" w:rsidP="001E5652">
      <w:pPr>
        <w:spacing w:before="120" w:after="120" w:line="240" w:lineRule="auto"/>
        <w:rPr>
          <w:rFonts w:asciiTheme="majorHAnsi" w:hAnsiTheme="majorHAnsi" w:cstheme="majorHAnsi"/>
          <w:b/>
          <w:bCs/>
          <w:lang w:val="en-US"/>
        </w:rPr>
        <w:sectPr w:rsidR="00166A58" w:rsidRPr="001E5652" w:rsidSect="00617020">
          <w:footerReference w:type="default" r:id="rId11"/>
          <w:pgSz w:w="11906" w:h="16838" w:code="9"/>
          <w:pgMar w:top="1134" w:right="1134" w:bottom="1134" w:left="1418" w:header="706" w:footer="706" w:gutter="0"/>
          <w:cols w:space="708"/>
          <w:docGrid w:linePitch="360"/>
        </w:sectPr>
      </w:pPr>
    </w:p>
    <w:p w14:paraId="68ACF2FB" w14:textId="1FCB96E7" w:rsidR="008C742C" w:rsidRPr="00166A58" w:rsidRDefault="003E1C9F" w:rsidP="00E40D31">
      <w:pPr>
        <w:pStyle w:val="ListParagraph"/>
        <w:numPr>
          <w:ilvl w:val="0"/>
          <w:numId w:val="13"/>
        </w:numPr>
        <w:spacing w:before="120" w:after="120" w:line="240" w:lineRule="auto"/>
        <w:ind w:left="360"/>
        <w:rPr>
          <w:rFonts w:asciiTheme="majorHAnsi" w:hAnsiTheme="majorHAnsi" w:cstheme="majorHAnsi"/>
          <w:b/>
          <w:bCs/>
          <w:lang w:val="en-US"/>
        </w:rPr>
      </w:pPr>
      <w:r w:rsidRPr="00166A58">
        <w:rPr>
          <w:rFonts w:asciiTheme="majorHAnsi" w:hAnsiTheme="majorHAnsi" w:cstheme="majorHAnsi"/>
          <w:b/>
          <w:bCs/>
          <w:lang w:val="en-US"/>
        </w:rPr>
        <w:t>GIỚI THIỆU</w:t>
      </w:r>
    </w:p>
    <w:p w14:paraId="4A4D3781" w14:textId="2A8CAB7A" w:rsidR="0043758E" w:rsidRPr="002F6C22" w:rsidRDefault="0043758E" w:rsidP="00A76BFA">
      <w:pPr>
        <w:spacing w:before="120" w:after="120" w:line="240" w:lineRule="auto"/>
        <w:jc w:val="both"/>
        <w:rPr>
          <w:rFonts w:asciiTheme="majorHAnsi" w:hAnsiTheme="majorHAnsi" w:cstheme="majorBidi"/>
        </w:rPr>
      </w:pPr>
      <w:r w:rsidRPr="39C4ACED">
        <w:rPr>
          <w:rFonts w:asciiTheme="majorHAnsi" w:hAnsiTheme="majorHAnsi" w:cstheme="majorBidi"/>
        </w:rPr>
        <w:t>Trong những năm gần đây, thế giới phải đối mặt với nhiều thách thức lớn gây ra bất ổn nghiêm trọng cả về chính trị lẫn kinh tế như sự kiện Brexit, cuộc chiến thương mại Mỹ – Trung, đại dịch COVID</w:t>
      </w:r>
      <w:r w:rsidR="00A075AD" w:rsidRPr="39C4ACED">
        <w:rPr>
          <w:rFonts w:asciiTheme="majorHAnsi" w:hAnsiTheme="majorHAnsi" w:cstheme="majorBidi"/>
          <w:sz w:val="20"/>
          <w:szCs w:val="20"/>
        </w:rPr>
        <w:t>–</w:t>
      </w:r>
      <w:r w:rsidRPr="39C4ACED">
        <w:rPr>
          <w:rFonts w:asciiTheme="majorHAnsi" w:hAnsiTheme="majorHAnsi" w:cstheme="majorBidi"/>
        </w:rPr>
        <w:t>19 và chiến tranh Nga – Ukraine đã tác động sâu rộng đến nền kinh tế toàn cầu. Đặc biệt, đại dịch COVID–19 đã làm biến động mạnh nhu cầu tiêu thụ dầu, ảnh hưởng đến sản xuất và các chính sách kinh tế vĩ mô của nhiều quốc</w:t>
      </w:r>
      <w:r w:rsidR="002E5BDC" w:rsidRPr="39C4ACED">
        <w:rPr>
          <w:rFonts w:asciiTheme="majorHAnsi" w:hAnsiTheme="majorHAnsi" w:cstheme="majorBidi"/>
        </w:rPr>
        <w:t xml:space="preserve"> gia</w:t>
      </w:r>
      <w:r w:rsidR="06FDB7ED" w:rsidRPr="0612BC18">
        <w:rPr>
          <w:rFonts w:asciiTheme="majorHAnsi" w:hAnsiTheme="majorHAnsi" w:cstheme="majorBidi"/>
        </w:rPr>
        <w:t>.</w:t>
      </w:r>
      <w:r w:rsidR="06FDB7ED" w:rsidRPr="0612BC18">
        <w:rPr>
          <w:rFonts w:asciiTheme="majorHAnsi" w:hAnsiTheme="majorHAnsi" w:cstheme="majorBidi"/>
          <w:vertAlign w:val="superscript"/>
        </w:rPr>
        <w:t>1,2</w:t>
      </w:r>
      <w:r w:rsidR="00A94C11">
        <w:rPr>
          <w:rFonts w:asciiTheme="majorHAnsi" w:hAnsiTheme="majorHAnsi" w:cstheme="majorBidi"/>
          <w:lang w:val="en-US"/>
        </w:rPr>
        <w:t xml:space="preserve"> Đ</w:t>
      </w:r>
      <w:r w:rsidRPr="39C4ACED">
        <w:rPr>
          <w:rFonts w:asciiTheme="majorHAnsi" w:hAnsiTheme="majorHAnsi" w:cstheme="majorBidi"/>
        </w:rPr>
        <w:t>iều này cho thấy giá dầu không chỉ là yếu tố phản ánh sự thay đổi của thị trường năng lượng mà còn là tín hiệu quan trọng về nhu cầu và xu hướng tiêu dùng trong nền kinh tế toàn cầu. Hiểu rằng vấn đề này có thể góp phần quan trọng vào việc thực hiện chính sách kinh tế của các quốc gia trong ASEAN–6. Sáu quốc gia ASEAN gồm Việt Nam, Thái Lan, Singapore, Philippines, Malaysia và Indonesia giữ vai trò then chốt trong nền kinh tế Đông Nam Á</w:t>
      </w:r>
      <w:r w:rsidR="187719CB" w:rsidRPr="39C4ACED">
        <w:rPr>
          <w:rFonts w:asciiTheme="majorHAnsi" w:hAnsiTheme="majorHAnsi" w:cstheme="majorBidi"/>
        </w:rPr>
        <w:t xml:space="preserve"> </w:t>
      </w:r>
      <w:r w:rsidR="201369F6" w:rsidRPr="39C4ACED">
        <w:rPr>
          <w:rFonts w:asciiTheme="majorHAnsi" w:hAnsiTheme="majorHAnsi" w:cstheme="majorBidi"/>
        </w:rPr>
        <w:t>với tốc</w:t>
      </w:r>
      <w:r w:rsidR="002D1F6E" w:rsidRPr="39C4ACED">
        <w:rPr>
          <w:rFonts w:asciiTheme="majorHAnsi" w:hAnsiTheme="majorHAnsi" w:cstheme="majorBidi"/>
        </w:rPr>
        <w:t xml:space="preserve"> </w:t>
      </w:r>
      <w:r w:rsidR="201369F6" w:rsidRPr="39C4ACED">
        <w:rPr>
          <w:rFonts w:asciiTheme="majorHAnsi" w:hAnsiTheme="majorHAnsi" w:cstheme="majorBidi"/>
        </w:rPr>
        <w:t>độ tăng trưởng nhanh</w:t>
      </w:r>
      <w:r w:rsidR="69652371" w:rsidRPr="63233723">
        <w:rPr>
          <w:rFonts w:asciiTheme="majorHAnsi" w:hAnsiTheme="majorHAnsi" w:cstheme="majorBidi"/>
        </w:rPr>
        <w:t>.</w:t>
      </w:r>
      <w:r w:rsidR="69652371" w:rsidRPr="7BA9F0AB">
        <w:rPr>
          <w:rFonts w:asciiTheme="majorHAnsi" w:hAnsiTheme="majorHAnsi" w:cstheme="majorBidi"/>
          <w:vertAlign w:val="superscript"/>
        </w:rPr>
        <w:t>3</w:t>
      </w:r>
      <w:r w:rsidR="201369F6" w:rsidRPr="39C4ACED">
        <w:rPr>
          <w:rFonts w:asciiTheme="majorHAnsi" w:hAnsiTheme="majorHAnsi" w:cstheme="majorBidi"/>
        </w:rPr>
        <w:t xml:space="preserve"> </w:t>
      </w:r>
      <w:r w:rsidRPr="39C4ACED">
        <w:rPr>
          <w:rFonts w:asciiTheme="majorHAnsi" w:hAnsiTheme="majorHAnsi" w:cstheme="majorBidi"/>
        </w:rPr>
        <w:t xml:space="preserve">Các nghiên cứu trước đây chủ yếu phân tích ảnh </w:t>
      </w:r>
      <w:r w:rsidRPr="39C4ACED">
        <w:rPr>
          <w:rFonts w:asciiTheme="majorHAnsi" w:eastAsia="Times New Roman" w:hAnsiTheme="majorHAnsi" w:cstheme="majorBidi"/>
        </w:rPr>
        <w:t xml:space="preserve">hưởng của giá dầu đối với các nền kinh tế lớn như </w:t>
      </w:r>
      <w:r w:rsidR="5ECBCD79" w:rsidRPr="39C4ACED">
        <w:rPr>
          <w:rFonts w:asciiTheme="majorHAnsi" w:eastAsia="Times New Roman" w:hAnsiTheme="majorHAnsi" w:cstheme="majorBidi"/>
        </w:rPr>
        <w:t>Mỹ</w:t>
      </w:r>
      <w:r w:rsidRPr="39C4ACED">
        <w:rPr>
          <w:rFonts w:asciiTheme="majorHAnsi" w:eastAsia="Times New Roman" w:hAnsiTheme="majorHAnsi" w:cstheme="majorBidi"/>
        </w:rPr>
        <w:t>, Nga hay Trung Quốc</w:t>
      </w:r>
      <w:r w:rsidR="4D7E7070" w:rsidRPr="21C3C1C4">
        <w:rPr>
          <w:rFonts w:asciiTheme="majorHAnsi" w:hAnsiTheme="majorHAnsi" w:cstheme="majorBidi"/>
        </w:rPr>
        <w:t>.</w:t>
      </w:r>
      <w:r w:rsidR="4D7E7070" w:rsidRPr="236DAC38">
        <w:rPr>
          <w:rFonts w:asciiTheme="majorHAnsi" w:hAnsiTheme="majorHAnsi" w:cstheme="majorBidi"/>
          <w:vertAlign w:val="superscript"/>
        </w:rPr>
        <w:t>4</w:t>
      </w:r>
      <w:r w:rsidRPr="39C4ACED">
        <w:rPr>
          <w:rFonts w:asciiTheme="majorHAnsi" w:eastAsia="Times New Roman" w:hAnsiTheme="majorHAnsi" w:cstheme="majorBidi"/>
        </w:rPr>
        <w:t xml:space="preserve"> Tuy nhiên</w:t>
      </w:r>
      <w:r w:rsidRPr="39C4ACED">
        <w:rPr>
          <w:rFonts w:asciiTheme="majorHAnsi" w:hAnsiTheme="majorHAnsi" w:cstheme="majorBidi"/>
        </w:rPr>
        <w:t>, chưa có nhiều nghiên cứu tập trung phân tích mối quan hệ này ở khu vực ASEAN</w:t>
      </w:r>
      <w:r w:rsidR="00A075AD" w:rsidRPr="39C4ACED">
        <w:rPr>
          <w:rFonts w:asciiTheme="majorHAnsi" w:hAnsiTheme="majorHAnsi" w:cstheme="majorBidi"/>
          <w:sz w:val="20"/>
          <w:szCs w:val="20"/>
        </w:rPr>
        <w:t>–</w:t>
      </w:r>
      <w:r w:rsidRPr="39C4ACED">
        <w:rPr>
          <w:rFonts w:asciiTheme="majorHAnsi" w:hAnsiTheme="majorHAnsi" w:cstheme="majorBidi"/>
        </w:rPr>
        <w:t xml:space="preserve">6. Vì vậy, việc nghiên cứu về ảnh hưởng của giá dầu đối với tăng trưởng kinh tế ở ASEAN–6 là vấn đề thiết yếu. Đồng thời, nghiên cứu của chúng tôi mở rộng biến </w:t>
      </w:r>
      <w:r w:rsidR="00ED3D55">
        <w:rPr>
          <w:rFonts w:asciiTheme="majorHAnsi" w:hAnsiTheme="majorHAnsi" w:cstheme="majorBidi"/>
        </w:rPr>
        <w:t>chỉ số sản xuất công nghiệp</w:t>
      </w:r>
      <w:r w:rsidR="00A43FBA">
        <w:rPr>
          <w:rFonts w:asciiTheme="majorHAnsi" w:hAnsiTheme="majorHAnsi" w:cstheme="majorBidi"/>
        </w:rPr>
        <w:t xml:space="preserve"> (IPI</w:t>
      </w:r>
      <w:r w:rsidR="00ED3D55">
        <w:rPr>
          <w:rFonts w:asciiTheme="majorHAnsi" w:hAnsiTheme="majorHAnsi" w:cstheme="majorBidi"/>
        </w:rPr>
        <w:t>)</w:t>
      </w:r>
      <w:r w:rsidRPr="39C4ACED">
        <w:rPr>
          <w:rFonts w:asciiTheme="majorHAnsi" w:hAnsiTheme="majorHAnsi" w:cstheme="majorBidi"/>
        </w:rPr>
        <w:t xml:space="preserve"> giúp đánh giá toàn diện hơn vai trò của sản xuất công nghiệp đối với tăng trưởng kinh tế bởi nó là thước đo quan trọng, phản ánh vai trò của ngành công nghiệp trong tăng trưởng kinh tế tổng thể</w:t>
      </w:r>
      <w:r w:rsidR="57156C65" w:rsidRPr="3902C97B">
        <w:rPr>
          <w:rFonts w:asciiTheme="majorHAnsi" w:hAnsiTheme="majorHAnsi" w:cstheme="majorBidi"/>
        </w:rPr>
        <w:t>.</w:t>
      </w:r>
      <w:r w:rsidR="57156C65" w:rsidRPr="6E7A5F16">
        <w:rPr>
          <w:rFonts w:asciiTheme="majorHAnsi" w:hAnsiTheme="majorHAnsi" w:cstheme="majorBidi"/>
          <w:vertAlign w:val="superscript"/>
        </w:rPr>
        <w:t>5</w:t>
      </w:r>
      <w:r w:rsidRPr="39C4ACED">
        <w:rPr>
          <w:rFonts w:asciiTheme="majorHAnsi" w:hAnsiTheme="majorHAnsi" w:cstheme="majorBidi"/>
        </w:rPr>
        <w:t xml:space="preserve"> Đây là những vấn đề quan trọng ảnh hưởng đến định hướng chính sách kinh tế của các quốc gia trong khu vực. </w:t>
      </w:r>
    </w:p>
    <w:p w14:paraId="0F573073" w14:textId="099986AB" w:rsidR="0043758E" w:rsidRPr="002F6C22" w:rsidRDefault="0043758E" w:rsidP="00A76BFA">
      <w:pPr>
        <w:spacing w:before="120" w:after="120" w:line="240" w:lineRule="auto"/>
        <w:jc w:val="both"/>
        <w:rPr>
          <w:rFonts w:asciiTheme="majorHAnsi" w:hAnsiTheme="majorHAnsi" w:cstheme="majorHAnsi"/>
        </w:rPr>
      </w:pPr>
      <w:r w:rsidRPr="002F6C22">
        <w:rPr>
          <w:rFonts w:asciiTheme="majorHAnsi" w:hAnsiTheme="majorHAnsi" w:cstheme="majorHAnsi"/>
        </w:rPr>
        <w:t>Mục tiêu nghiên cứu là làm rõ tác động của rủi ro giá dầu và IPI đến tăng trưởng kinh tế ở khu vực ASEAN</w:t>
      </w:r>
      <w:r w:rsidR="00AA09EC" w:rsidRPr="003E1C9F">
        <w:rPr>
          <w:rFonts w:asciiTheme="majorHAnsi" w:hAnsiTheme="majorHAnsi" w:cstheme="majorHAnsi"/>
          <w:sz w:val="20"/>
          <w:szCs w:val="20"/>
        </w:rPr>
        <w:t>–</w:t>
      </w:r>
      <w:r w:rsidRPr="002F6C22">
        <w:rPr>
          <w:rFonts w:asciiTheme="majorHAnsi" w:hAnsiTheme="majorHAnsi" w:cstheme="majorHAnsi"/>
        </w:rPr>
        <w:t>6. Cụ thể, nhóm tác giả sử dụng dữ liệu tháng trong giai đoạn 2002–2023 và phương pháp Time</w:t>
      </w:r>
      <w:r w:rsidR="00A43FBA">
        <w:rPr>
          <w:rFonts w:asciiTheme="majorHAnsi" w:hAnsiTheme="majorHAnsi" w:cstheme="majorHAnsi"/>
        </w:rPr>
        <w:t xml:space="preserve"> </w:t>
      </w:r>
      <w:r w:rsidRPr="002F6C22">
        <w:rPr>
          <w:rFonts w:asciiTheme="majorHAnsi" w:hAnsiTheme="majorHAnsi" w:cstheme="majorHAnsi"/>
        </w:rPr>
        <w:t>–</w:t>
      </w:r>
      <w:r w:rsidR="00A43FBA">
        <w:rPr>
          <w:rFonts w:asciiTheme="majorHAnsi" w:hAnsiTheme="majorHAnsi" w:cstheme="majorHAnsi"/>
        </w:rPr>
        <w:t xml:space="preserve"> </w:t>
      </w:r>
      <w:r w:rsidRPr="002F6C22">
        <w:rPr>
          <w:rFonts w:asciiTheme="majorHAnsi" w:hAnsiTheme="majorHAnsi" w:cstheme="majorHAnsi"/>
        </w:rPr>
        <w:t xml:space="preserve">Varying Granger Causality, đặc biệt là mô hình Recursive Expanding nhằm kiểm định các mối quan hệ trên mức ý nghĩa 10% và 5%. Khác với phương pháp Granger Causality truyền thống, phương pháp Time–Varying Granger Causality có thể theo dõi sự thay đổi của mối quan hệ nhân quả theo thời gian, đồng thời xác định những giai đoạn biến động kinh tế khi mối quan hệ này gia tăng hoặc suy giảm. </w:t>
      </w:r>
    </w:p>
    <w:p w14:paraId="7D507DDB" w14:textId="26C353A7" w:rsidR="0043758E" w:rsidRDefault="0043758E" w:rsidP="00A76BFA">
      <w:pPr>
        <w:spacing w:before="120" w:after="120" w:line="240" w:lineRule="auto"/>
        <w:jc w:val="both"/>
        <w:rPr>
          <w:rFonts w:asciiTheme="majorHAnsi" w:hAnsiTheme="majorHAnsi" w:cstheme="majorHAnsi"/>
        </w:rPr>
      </w:pPr>
      <w:r w:rsidRPr="002F6C22">
        <w:rPr>
          <w:rFonts w:asciiTheme="majorHAnsi" w:hAnsiTheme="majorHAnsi" w:cstheme="majorHAnsi"/>
        </w:rPr>
        <w:t>Nghiên cứu của nhóm tác giả nhằm đóng góp vào lý thuyết hiện có ở 3 khía cạnh:</w:t>
      </w:r>
      <w:r w:rsidR="00166A58">
        <w:rPr>
          <w:rFonts w:asciiTheme="majorHAnsi" w:hAnsiTheme="majorHAnsi" w:cstheme="majorHAnsi"/>
        </w:rPr>
        <w:t xml:space="preserve"> </w:t>
      </w:r>
      <w:r w:rsidRPr="00166A58">
        <w:rPr>
          <w:rFonts w:asciiTheme="majorHAnsi" w:hAnsiTheme="majorHAnsi" w:cstheme="majorHAnsi"/>
          <w:i/>
          <w:iCs/>
        </w:rPr>
        <w:t>Thứ nhất</w:t>
      </w:r>
      <w:r w:rsidRPr="00166A58">
        <w:rPr>
          <w:rFonts w:asciiTheme="majorHAnsi" w:hAnsiTheme="majorHAnsi" w:cstheme="majorHAnsi"/>
        </w:rPr>
        <w:t xml:space="preserve">, nghiên cứu đánh giá rủi ro giá dầu đến tăng trưởng kinh tế trong phạm vi ASEAN–6. Việc phân tích này cung cấp góc nhìn tổng thể về tác động của biến động giá dầu đối với nền kinh tế các quốc gia, thể hiện qua </w:t>
      </w:r>
      <w:r w:rsidRPr="00166A58">
        <w:rPr>
          <w:rFonts w:asciiTheme="majorHAnsi" w:hAnsiTheme="majorHAnsi" w:cstheme="majorHAnsi"/>
        </w:rPr>
        <w:lastRenderedPageBreak/>
        <w:t xml:space="preserve">sự biến động của </w:t>
      </w:r>
      <w:r w:rsidR="005C054F">
        <w:rPr>
          <w:rFonts w:asciiTheme="majorHAnsi" w:hAnsiTheme="majorHAnsi" w:cstheme="majorHAnsi"/>
        </w:rPr>
        <w:t>tổng sản phẩm quốc nội</w:t>
      </w:r>
      <w:r w:rsidRPr="00166A58">
        <w:rPr>
          <w:rFonts w:asciiTheme="majorHAnsi" w:hAnsiTheme="majorHAnsi" w:cstheme="majorHAnsi"/>
        </w:rPr>
        <w:t xml:space="preserve"> </w:t>
      </w:r>
      <w:r w:rsidR="005C054F">
        <w:rPr>
          <w:rFonts w:asciiTheme="majorHAnsi" w:hAnsiTheme="majorHAnsi" w:cstheme="majorHAnsi"/>
        </w:rPr>
        <w:t>(</w:t>
      </w:r>
      <w:r w:rsidRPr="00166A58">
        <w:rPr>
          <w:rFonts w:asciiTheme="majorHAnsi" w:hAnsiTheme="majorHAnsi" w:cstheme="majorHAnsi"/>
        </w:rPr>
        <w:t>GDP</w:t>
      </w:r>
      <w:r w:rsidR="005C054F">
        <w:rPr>
          <w:rFonts w:asciiTheme="majorHAnsi" w:hAnsiTheme="majorHAnsi" w:cstheme="majorHAnsi"/>
        </w:rPr>
        <w:t>)</w:t>
      </w:r>
      <w:r w:rsidRPr="00166A58">
        <w:rPr>
          <w:rFonts w:asciiTheme="majorHAnsi" w:hAnsiTheme="majorHAnsi" w:cstheme="majorHAnsi"/>
        </w:rPr>
        <w:t xml:space="preserve">. Dựa trên cơ sở đó, nhóm tác giả sẽ đề xuất một số hàm ý chính sách phù hợp nhằm giảm thiểu tác động tiêu cực từ rủi ro giá dầu, đồng thời thúc đẩy tăng trưởng kinh tế bền vững cho khu vực. </w:t>
      </w:r>
      <w:r w:rsidRPr="00166A58">
        <w:rPr>
          <w:rFonts w:asciiTheme="majorHAnsi" w:hAnsiTheme="majorHAnsi" w:cstheme="majorHAnsi"/>
          <w:i/>
          <w:iCs/>
        </w:rPr>
        <w:t>Thứ hai</w:t>
      </w:r>
      <w:r w:rsidRPr="00166A58">
        <w:rPr>
          <w:rFonts w:asciiTheme="majorHAnsi" w:hAnsiTheme="majorHAnsi" w:cstheme="majorHAnsi"/>
        </w:rPr>
        <w:t>, nghiên cứu sử dụng mô hình Time</w:t>
      </w:r>
      <w:r w:rsidRPr="39C4ACED">
        <w:rPr>
          <w:rFonts w:asciiTheme="majorHAnsi" w:hAnsiTheme="majorHAnsi" w:cstheme="majorBidi"/>
          <w:sz w:val="20"/>
          <w:szCs w:val="20"/>
        </w:rPr>
        <w:t>–</w:t>
      </w:r>
      <w:r w:rsidR="000C08DC">
        <w:rPr>
          <w:rFonts w:asciiTheme="majorHAnsi" w:hAnsiTheme="majorHAnsi" w:cstheme="majorHAnsi"/>
        </w:rPr>
        <w:t xml:space="preserve"> </w:t>
      </w:r>
      <w:r w:rsidRPr="00166A58">
        <w:rPr>
          <w:rFonts w:asciiTheme="majorHAnsi" w:hAnsiTheme="majorHAnsi" w:cstheme="majorHAnsi"/>
        </w:rPr>
        <w:t>Varying G</w:t>
      </w:r>
      <w:r w:rsidR="00440310" w:rsidRPr="00166A58">
        <w:rPr>
          <w:rFonts w:asciiTheme="majorHAnsi" w:hAnsiTheme="majorHAnsi" w:cstheme="majorHAnsi"/>
        </w:rPr>
        <w:t>r</w:t>
      </w:r>
      <w:r w:rsidRPr="00166A58">
        <w:rPr>
          <w:rFonts w:asciiTheme="majorHAnsi" w:hAnsiTheme="majorHAnsi" w:cstheme="majorHAnsi"/>
        </w:rPr>
        <w:t>anger Causality để xác định mối quan hệ giữa biến giá dầu, IPI đối với GDP trong suốt thời gian nghiên cứu, đặc biệt ở những giai đoạn khủng hoảng kinh tế – chính trị toàn cầu. Bằng cách phân tích các dữ liệu kinh tế, nghiên cứu sẽ cung cấp cái nhìn sâu sắc về cách thức giá dầu tác động đến nền kinh tế trong khu vực, giúp các quốc gia ASEAN–6 phát triển các chính sách kinh tế hiệu quả nhằm ứng phó với biến động giá dầu.</w:t>
      </w:r>
      <w:r w:rsidR="00166A58">
        <w:rPr>
          <w:rFonts w:asciiTheme="majorHAnsi" w:hAnsiTheme="majorHAnsi" w:cstheme="majorHAnsi"/>
        </w:rPr>
        <w:t xml:space="preserve"> </w:t>
      </w:r>
      <w:r w:rsidRPr="00166A58">
        <w:rPr>
          <w:rFonts w:asciiTheme="majorHAnsi" w:hAnsiTheme="majorHAnsi" w:cstheme="majorHAnsi"/>
          <w:i/>
          <w:iCs/>
        </w:rPr>
        <w:t xml:space="preserve">Thứ ba, </w:t>
      </w:r>
      <w:r w:rsidRPr="00166A58">
        <w:rPr>
          <w:rFonts w:asciiTheme="majorHAnsi" w:hAnsiTheme="majorHAnsi" w:cstheme="majorHAnsi"/>
        </w:rPr>
        <w:t>việc mở rộng biến kinh tế IPI và</w:t>
      </w:r>
      <w:r w:rsidR="00A05C53" w:rsidRPr="00BD153A">
        <w:rPr>
          <w:rFonts w:asciiTheme="majorHAnsi" w:hAnsiTheme="majorHAnsi" w:cstheme="majorHAnsi"/>
        </w:rPr>
        <w:t xml:space="preserve"> sử dụng</w:t>
      </w:r>
      <w:r w:rsidRPr="00166A58">
        <w:rPr>
          <w:rFonts w:asciiTheme="majorHAnsi" w:hAnsiTheme="majorHAnsi" w:cstheme="majorHAnsi"/>
        </w:rPr>
        <w:t xml:space="preserve"> mô hình Recursive Expanding có thể cung cấp nhiều thông tin hữu ích và công cụ lý thuyết để đo lường tác động của biến động giá dầu và sự thay đổi của IPI lên tăng trưởng kinh tế ở các quốc gia ASEAN</w:t>
      </w:r>
      <w:r w:rsidR="00AA09EC" w:rsidRPr="003E1C9F">
        <w:rPr>
          <w:rFonts w:asciiTheme="majorHAnsi" w:hAnsiTheme="majorHAnsi" w:cstheme="majorHAnsi"/>
          <w:sz w:val="20"/>
          <w:szCs w:val="20"/>
        </w:rPr>
        <w:t>–</w:t>
      </w:r>
      <w:r w:rsidRPr="00166A58">
        <w:rPr>
          <w:rFonts w:asciiTheme="majorHAnsi" w:hAnsiTheme="majorHAnsi" w:cstheme="majorHAnsi"/>
        </w:rPr>
        <w:t xml:space="preserve">6. Kết quả từ mô hình này giúp các nhà hoạch định chính sách có thêm thông tin để xây dựng chiến lược kinh tế phù hợp. </w:t>
      </w:r>
    </w:p>
    <w:p w14:paraId="7148B36C" w14:textId="2DCDC952" w:rsidR="00BD153A" w:rsidRPr="00166A58" w:rsidRDefault="00BD153A" w:rsidP="00A76BFA">
      <w:pPr>
        <w:spacing w:before="120" w:after="120" w:line="240" w:lineRule="auto"/>
        <w:jc w:val="both"/>
        <w:rPr>
          <w:rFonts w:asciiTheme="majorHAnsi" w:hAnsiTheme="majorHAnsi" w:cstheme="majorHAnsi"/>
        </w:rPr>
      </w:pPr>
      <w:r w:rsidRPr="002F6C22">
        <w:rPr>
          <w:rFonts w:asciiTheme="majorHAnsi" w:hAnsiTheme="majorHAnsi" w:cstheme="majorHAnsi"/>
        </w:rPr>
        <w:t xml:space="preserve">Vì những lý do trên, nghiên cứu của nhóm tác giả có sự khác biệt với các nghiên cứu trước về phạm vi, thời gian và phương pháp nghiên cứu. Từ đó, chúng tôi sẽ mang đến những thông tin hữu ích làm nguồn tài liệu tham khảo uy tín cho những bài nghiên cứu tiếp theo. Để làm rõ được mục tiêu của đề tài, bài báo này sẽ thông qua 5 mục chính. Đầu tiên, </w:t>
      </w:r>
      <w:r>
        <w:rPr>
          <w:rFonts w:asciiTheme="majorHAnsi" w:hAnsiTheme="majorHAnsi" w:cstheme="majorHAnsi"/>
        </w:rPr>
        <w:t>bài nghiên cứu sẽ</w:t>
      </w:r>
      <w:r w:rsidRPr="002F6C22">
        <w:rPr>
          <w:rFonts w:asciiTheme="majorHAnsi" w:hAnsiTheme="majorHAnsi" w:cstheme="majorHAnsi"/>
        </w:rPr>
        <w:t xml:space="preserve"> </w:t>
      </w:r>
      <w:r>
        <w:rPr>
          <w:rFonts w:asciiTheme="majorHAnsi" w:hAnsiTheme="majorHAnsi" w:cstheme="majorHAnsi"/>
        </w:rPr>
        <w:t>giới thiệu</w:t>
      </w:r>
      <w:r w:rsidRPr="002F6C22">
        <w:rPr>
          <w:rFonts w:asciiTheme="majorHAnsi" w:hAnsiTheme="majorHAnsi" w:cstheme="majorHAnsi"/>
        </w:rPr>
        <w:t xml:space="preserve"> lý do chọn </w:t>
      </w:r>
      <w:r>
        <w:rPr>
          <w:rFonts w:asciiTheme="majorHAnsi" w:hAnsiTheme="majorHAnsi" w:cstheme="majorHAnsi"/>
        </w:rPr>
        <w:t>chủ đề</w:t>
      </w:r>
      <w:r w:rsidRPr="002F6C22">
        <w:rPr>
          <w:rFonts w:asciiTheme="majorHAnsi" w:hAnsiTheme="majorHAnsi" w:cstheme="majorHAnsi"/>
        </w:rPr>
        <w:t xml:space="preserve"> “Rủi ro giá dầu và tăng trưởng kinh tế ở các quốc gia ASEAN–6”.</w:t>
      </w:r>
      <w:r>
        <w:rPr>
          <w:rFonts w:asciiTheme="majorHAnsi" w:hAnsiTheme="majorHAnsi" w:cstheme="majorHAnsi"/>
        </w:rPr>
        <w:t xml:space="preserve"> Tiếp theo,</w:t>
      </w:r>
      <w:r w:rsidRPr="002F6C22">
        <w:rPr>
          <w:rFonts w:asciiTheme="majorHAnsi" w:hAnsiTheme="majorHAnsi" w:cstheme="majorHAnsi"/>
        </w:rPr>
        <w:t xml:space="preserve"> </w:t>
      </w:r>
      <w:r>
        <w:rPr>
          <w:rFonts w:asciiTheme="majorHAnsi" w:hAnsiTheme="majorHAnsi" w:cstheme="majorHAnsi"/>
        </w:rPr>
        <w:t>p</w:t>
      </w:r>
      <w:r w:rsidRPr="002F6C22">
        <w:rPr>
          <w:rFonts w:asciiTheme="majorHAnsi" w:hAnsiTheme="majorHAnsi" w:cstheme="majorHAnsi"/>
        </w:rPr>
        <w:t>hần 2</w:t>
      </w:r>
      <w:r>
        <w:rPr>
          <w:rFonts w:asciiTheme="majorHAnsi" w:hAnsiTheme="majorHAnsi" w:cstheme="majorHAnsi"/>
        </w:rPr>
        <w:t xml:space="preserve"> trình bày</w:t>
      </w:r>
      <w:r w:rsidRPr="002F6C22">
        <w:rPr>
          <w:rFonts w:asciiTheme="majorHAnsi" w:hAnsiTheme="majorHAnsi" w:cstheme="majorHAnsi"/>
        </w:rPr>
        <w:t xml:space="preserve"> lược khảo các nghiên cứu trước. Trong phần 3, chúng tôi nêu ra các dữ liệu và phương pháp nghiên cứu. Phần 4</w:t>
      </w:r>
      <w:r>
        <w:rPr>
          <w:rFonts w:asciiTheme="majorHAnsi" w:hAnsiTheme="majorHAnsi" w:cstheme="majorHAnsi"/>
        </w:rPr>
        <w:t xml:space="preserve"> </w:t>
      </w:r>
      <w:r w:rsidRPr="002F6C22">
        <w:rPr>
          <w:rFonts w:asciiTheme="majorHAnsi" w:hAnsiTheme="majorHAnsi" w:cstheme="majorHAnsi"/>
        </w:rPr>
        <w:t>phân tích kết quả từ mô</w:t>
      </w:r>
      <w:r>
        <w:rPr>
          <w:rFonts w:asciiTheme="majorHAnsi" w:hAnsiTheme="majorHAnsi" w:cstheme="majorHAnsi"/>
        </w:rPr>
        <w:t xml:space="preserve"> hình </w:t>
      </w:r>
      <w:r w:rsidRPr="002F6C22">
        <w:rPr>
          <w:rFonts w:asciiTheme="majorHAnsi" w:hAnsiTheme="majorHAnsi" w:cstheme="majorHAnsi"/>
          <w:color w:val="000000" w:themeColor="text1"/>
        </w:rPr>
        <w:t>Recursive Expanding (RE) của từng nước</w:t>
      </w:r>
      <w:r w:rsidRPr="002F6C22">
        <w:rPr>
          <w:rFonts w:asciiTheme="majorHAnsi" w:hAnsiTheme="majorHAnsi" w:cstheme="majorHAnsi"/>
        </w:rPr>
        <w:t xml:space="preserve">. Cuối cùng, phần 5 kết luận và đưa ra một số hàm ý chính sách phù </w:t>
      </w:r>
      <w:r>
        <w:rPr>
          <w:rFonts w:asciiTheme="majorHAnsi" w:hAnsiTheme="majorHAnsi" w:cstheme="majorHAnsi"/>
        </w:rPr>
        <w:t>hợp.</w:t>
      </w:r>
    </w:p>
    <w:p w14:paraId="1AAD7411" w14:textId="0269785C" w:rsidR="00D46F5E" w:rsidRPr="00BD153A" w:rsidRDefault="003E1C9F" w:rsidP="00E40D31">
      <w:pPr>
        <w:pStyle w:val="ListParagraph"/>
        <w:numPr>
          <w:ilvl w:val="0"/>
          <w:numId w:val="13"/>
        </w:numPr>
        <w:spacing w:before="120" w:after="120" w:line="240" w:lineRule="auto"/>
        <w:ind w:left="360"/>
        <w:rPr>
          <w:rFonts w:asciiTheme="majorHAnsi" w:hAnsiTheme="majorHAnsi" w:cstheme="majorHAnsi"/>
          <w:b/>
        </w:rPr>
      </w:pPr>
      <w:r w:rsidRPr="00E40D31">
        <w:rPr>
          <w:rFonts w:asciiTheme="majorHAnsi" w:hAnsiTheme="majorHAnsi" w:cstheme="majorHAnsi"/>
          <w:b/>
        </w:rPr>
        <w:t>TỔNG QUAN CÁC NGHIÊN CỨU TRƯỚC ĐÂY</w:t>
      </w:r>
    </w:p>
    <w:p w14:paraId="6B2DC31B" w14:textId="56AACEB3" w:rsidR="000C3437" w:rsidRPr="002F6C22" w:rsidRDefault="000C3437" w:rsidP="00F5698A">
      <w:pPr>
        <w:spacing w:before="120" w:after="120" w:line="240" w:lineRule="auto"/>
        <w:jc w:val="both"/>
        <w:rPr>
          <w:rFonts w:asciiTheme="majorHAnsi" w:eastAsia="Times New Roman" w:hAnsiTheme="majorHAnsi" w:cstheme="majorBidi"/>
        </w:rPr>
      </w:pPr>
      <w:r w:rsidRPr="0775F1AB">
        <w:rPr>
          <w:rFonts w:asciiTheme="majorHAnsi" w:eastAsia="Times New Roman" w:hAnsiTheme="majorHAnsi" w:cstheme="majorBidi"/>
        </w:rPr>
        <w:t xml:space="preserve">Các nghiên cứu về mối quan hệ giữa giá dầu và IPI đối với tăng trưởng kinh tế từ lâu đã nhận được sự quan tâm rộng rãi trong bối cảnh quốc tế và khu vực. Đối với tác động của giá dầu </w:t>
      </w:r>
      <w:r w:rsidR="3397F2D7" w:rsidRPr="0775F1AB">
        <w:rPr>
          <w:rFonts w:asciiTheme="majorHAnsi" w:eastAsia="Times New Roman" w:hAnsiTheme="majorHAnsi" w:cstheme="majorBidi"/>
        </w:rPr>
        <w:t>đến</w:t>
      </w:r>
      <w:r w:rsidRPr="0775F1AB">
        <w:rPr>
          <w:rFonts w:asciiTheme="majorHAnsi" w:eastAsia="Times New Roman" w:hAnsiTheme="majorHAnsi" w:cstheme="majorBidi"/>
        </w:rPr>
        <w:t xml:space="preserve"> GDP, một số nghiên cứu nhấn mạnh rằng biến động mạnh mẽ của giá dầu đã tạo ra những thách thức lớn đối với tăng trưởng kinh tế bền vững tại các quốc gia OECD</w:t>
      </w:r>
      <w:r w:rsidR="0DC8D14D" w:rsidRPr="0775F1AB">
        <w:rPr>
          <w:rFonts w:asciiTheme="majorHAnsi" w:eastAsia="Times New Roman" w:hAnsiTheme="majorHAnsi" w:cstheme="majorBidi"/>
        </w:rPr>
        <w:t xml:space="preserve">, </w:t>
      </w:r>
      <w:r w:rsidRPr="0775F1AB">
        <w:rPr>
          <w:rFonts w:asciiTheme="majorHAnsi" w:eastAsia="Times New Roman" w:hAnsiTheme="majorHAnsi" w:cstheme="majorBidi"/>
        </w:rPr>
        <w:t xml:space="preserve">OPEC </w:t>
      </w:r>
      <w:r w:rsidR="4AA15815" w:rsidRPr="0775F1AB">
        <w:rPr>
          <w:rFonts w:asciiTheme="majorHAnsi" w:eastAsia="Times New Roman" w:hAnsiTheme="majorHAnsi" w:cstheme="majorBidi"/>
        </w:rPr>
        <w:t>và các quốc gia xuất khẩu dầu</w:t>
      </w:r>
      <w:r w:rsidR="11ECA89E" w:rsidRPr="0775F1AB">
        <w:rPr>
          <w:rFonts w:asciiTheme="majorHAnsi" w:eastAsia="Times New Roman" w:hAnsiTheme="majorHAnsi" w:cstheme="majorBidi"/>
        </w:rPr>
        <w:t>.</w:t>
      </w:r>
      <w:r w:rsidR="11ECA89E" w:rsidRPr="16917DBE">
        <w:rPr>
          <w:rFonts w:asciiTheme="majorHAnsi" w:eastAsia="Times New Roman" w:hAnsiTheme="majorHAnsi" w:cstheme="majorBidi"/>
          <w:vertAlign w:val="superscript"/>
        </w:rPr>
        <w:t>6</w:t>
      </w:r>
      <w:r w:rsidR="6C44F8E5" w:rsidRPr="16917DBE">
        <w:rPr>
          <w:rFonts w:asciiTheme="majorHAnsi" w:eastAsia="Times New Roman" w:hAnsiTheme="majorHAnsi" w:cstheme="majorBidi"/>
          <w:vertAlign w:val="superscript"/>
        </w:rPr>
        <w:t>-8</w:t>
      </w:r>
      <w:r w:rsidR="6C44F8E5" w:rsidRPr="1C835C45">
        <w:rPr>
          <w:rFonts w:asciiTheme="majorHAnsi" w:eastAsia="Times New Roman" w:hAnsiTheme="majorHAnsi" w:cstheme="majorBidi"/>
        </w:rPr>
        <w:t xml:space="preserve"> </w:t>
      </w:r>
      <w:r w:rsidRPr="0775F1AB">
        <w:rPr>
          <w:rFonts w:asciiTheme="majorHAnsi" w:eastAsia="Times New Roman" w:hAnsiTheme="majorHAnsi" w:cstheme="majorBidi"/>
        </w:rPr>
        <w:t xml:space="preserve">Mặc dù, cả ba nghiên cứu khác nhau về thời gian nhưng tất cả đều chứng minh rằng giá dầu </w:t>
      </w:r>
      <w:r w:rsidR="231308DC" w:rsidRPr="0775F1AB">
        <w:rPr>
          <w:rFonts w:asciiTheme="majorHAnsi" w:eastAsia="Times New Roman" w:hAnsiTheme="majorHAnsi" w:cstheme="majorBidi"/>
        </w:rPr>
        <w:t>thô có mối tương quan chặt chẽ với GDP và</w:t>
      </w:r>
      <w:r w:rsidRPr="0775F1AB">
        <w:rPr>
          <w:rFonts w:asciiTheme="majorHAnsi" w:eastAsia="Times New Roman" w:hAnsiTheme="majorHAnsi" w:cstheme="majorBidi"/>
        </w:rPr>
        <w:t xml:space="preserve"> có ảnh hưởng lớn đến tăng trưởng kinh tế, đồng thời nhấn mạnh các quốc gia phụ thuộc vào dầu mỏ cần đẩy mạnh đa dạng hóa nền kinh tế để giảm thiểu tác động tiêu </w:t>
      </w:r>
      <w:r w:rsidRPr="0775F1AB">
        <w:rPr>
          <w:rFonts w:asciiTheme="majorHAnsi" w:eastAsia="Times New Roman" w:hAnsiTheme="majorHAnsi" w:cstheme="majorBidi"/>
        </w:rPr>
        <w:t>cực của biến động giá dầu. Ngoài ra, một số nghiên cứu về mối quan hệ này ở khu vực ASEAN cũng nhận được sự quan tâm đáng kể</w:t>
      </w:r>
      <w:r w:rsidR="1B5EF493" w:rsidRPr="7672439A">
        <w:rPr>
          <w:rFonts w:asciiTheme="majorHAnsi" w:eastAsia="Times New Roman" w:hAnsiTheme="majorHAnsi" w:cstheme="majorBidi"/>
        </w:rPr>
        <w:t>.</w:t>
      </w:r>
      <w:r w:rsidR="1B5EF493" w:rsidRPr="1B9677F3">
        <w:rPr>
          <w:rFonts w:asciiTheme="majorHAnsi" w:eastAsia="Times New Roman" w:hAnsiTheme="majorHAnsi" w:cstheme="majorBidi"/>
          <w:vertAlign w:val="superscript"/>
        </w:rPr>
        <w:t>9</w:t>
      </w:r>
      <w:r w:rsidRPr="0775F1AB">
        <w:rPr>
          <w:rFonts w:asciiTheme="majorHAnsi" w:eastAsia="Times New Roman" w:hAnsiTheme="majorHAnsi" w:cstheme="majorBidi"/>
        </w:rPr>
        <w:t xml:space="preserve"> Các nghiên cứu đều cho thấy giá dầu bị ảnh hưởng bởi các cú sốc</w:t>
      </w:r>
      <w:r w:rsidR="0035796B">
        <w:rPr>
          <w:rFonts w:asciiTheme="majorHAnsi" w:eastAsia="Times New Roman" w:hAnsiTheme="majorHAnsi" w:cstheme="majorBidi"/>
        </w:rPr>
        <w:t xml:space="preserve"> </w:t>
      </w:r>
      <w:r w:rsidRPr="0775F1AB">
        <w:rPr>
          <w:rFonts w:asciiTheme="majorHAnsi" w:eastAsia="Times New Roman" w:hAnsiTheme="majorHAnsi" w:cstheme="majorBidi"/>
        </w:rPr>
        <w:t>cầu, từ đó gây tác động tiêu cực đến tăng trưởng kinh tế.</w:t>
      </w:r>
    </w:p>
    <w:p w14:paraId="55A2DFCA" w14:textId="3172F095" w:rsidR="000C3437" w:rsidRPr="002F6C22" w:rsidRDefault="000C3437" w:rsidP="00F5698A">
      <w:pPr>
        <w:spacing w:before="120" w:after="120" w:line="240" w:lineRule="auto"/>
        <w:jc w:val="both"/>
        <w:rPr>
          <w:rFonts w:asciiTheme="majorHAnsi" w:eastAsia="Times New Roman" w:hAnsiTheme="majorHAnsi" w:cstheme="majorBidi"/>
        </w:rPr>
      </w:pPr>
      <w:r w:rsidRPr="08D2DDD7">
        <w:rPr>
          <w:rFonts w:asciiTheme="majorHAnsi" w:eastAsia="Times New Roman" w:hAnsiTheme="majorHAnsi" w:cstheme="majorBidi"/>
        </w:rPr>
        <w:t>Đối với tác động của IPI đến GDP, nhóm tác giả tìm thấy một vài nghiên cứu tập trung vào khu vực ASEAN</w:t>
      </w:r>
      <w:r w:rsidR="00867A9E" w:rsidRPr="08D2DDD7">
        <w:rPr>
          <w:rFonts w:asciiTheme="majorHAnsi" w:hAnsiTheme="majorHAnsi" w:cstheme="majorBidi"/>
          <w:sz w:val="20"/>
          <w:szCs w:val="20"/>
        </w:rPr>
        <w:t>–</w:t>
      </w:r>
      <w:r w:rsidRPr="08D2DDD7">
        <w:rPr>
          <w:rFonts w:asciiTheme="majorHAnsi" w:eastAsia="Times New Roman" w:hAnsiTheme="majorHAnsi" w:cstheme="majorBidi"/>
        </w:rPr>
        <w:t xml:space="preserve">6. </w:t>
      </w:r>
      <w:r w:rsidR="005D220D">
        <w:rPr>
          <w:rFonts w:asciiTheme="majorHAnsi" w:eastAsia="Times New Roman" w:hAnsiTheme="majorHAnsi" w:cstheme="majorBidi"/>
        </w:rPr>
        <w:t>Isnan</w:t>
      </w:r>
      <w:r w:rsidR="022E545C" w:rsidRPr="2E8CB698">
        <w:rPr>
          <w:rFonts w:asciiTheme="majorHAnsi" w:eastAsia="Times New Roman" w:hAnsiTheme="majorHAnsi" w:cstheme="majorBidi"/>
          <w:vertAlign w:val="superscript"/>
        </w:rPr>
        <w:t>10</w:t>
      </w:r>
      <w:r w:rsidRPr="08D2DDD7">
        <w:rPr>
          <w:rFonts w:asciiTheme="majorHAnsi" w:eastAsia="Times New Roman" w:hAnsiTheme="majorHAnsi" w:cstheme="majorBidi"/>
        </w:rPr>
        <w:t xml:space="preserve"> phân tích tác động của xuất khẩu ròng, tỷ giá hối đoái và IPI đến tăng trưởng kinh tế của Indonesia trong giai đoạn 2005–2015. Kết quả cho thấy IPI ảnh hưởng đến tăng trưởng kinh tế của Indonesia thông qua xuất khẩu ròng.</w:t>
      </w:r>
      <w:r w:rsidR="00135A76" w:rsidRPr="00135A76">
        <w:rPr>
          <w:rFonts w:asciiTheme="majorHAnsi" w:eastAsia="Times New Roman" w:hAnsiTheme="majorHAnsi" w:cstheme="majorBidi"/>
          <w:vertAlign w:val="superscript"/>
        </w:rPr>
        <w:t>10</w:t>
      </w:r>
      <w:r w:rsidRPr="08D2DDD7">
        <w:rPr>
          <w:rFonts w:asciiTheme="majorHAnsi" w:eastAsia="Times New Roman" w:hAnsiTheme="majorHAnsi" w:cstheme="majorBidi"/>
        </w:rPr>
        <w:t xml:space="preserve"> Thêm vào đó, </w:t>
      </w:r>
      <w:r w:rsidR="006358B7" w:rsidRPr="002F6C22">
        <w:rPr>
          <w:rFonts w:asciiTheme="majorHAnsi" w:eastAsia="Times New Roman" w:hAnsiTheme="majorHAnsi" w:cstheme="majorHAnsi"/>
        </w:rPr>
        <w:t>nghiên cứu</w:t>
      </w:r>
      <w:r w:rsidR="006358B7">
        <w:rPr>
          <w:rFonts w:asciiTheme="majorHAnsi" w:eastAsia="Times New Roman" w:hAnsiTheme="majorHAnsi" w:cstheme="majorHAnsi"/>
        </w:rPr>
        <w:t xml:space="preserve"> của</w:t>
      </w:r>
      <w:r w:rsidR="006358B7" w:rsidRPr="002F6C22">
        <w:rPr>
          <w:rFonts w:asciiTheme="majorHAnsi" w:eastAsia="Times New Roman" w:hAnsiTheme="majorHAnsi" w:cstheme="majorHAnsi"/>
        </w:rPr>
        <w:t xml:space="preserve"> Baharudin</w:t>
      </w:r>
      <w:r w:rsidR="00A94C11">
        <w:rPr>
          <w:rFonts w:asciiTheme="majorHAnsi" w:eastAsia="Times New Roman" w:hAnsiTheme="majorHAnsi" w:cstheme="majorBidi"/>
          <w:vertAlign w:val="superscript"/>
          <w:lang w:val="en-US"/>
        </w:rPr>
        <w:t>11</w:t>
      </w:r>
      <w:r w:rsidRPr="08D2DDD7">
        <w:rPr>
          <w:rFonts w:asciiTheme="majorHAnsi" w:eastAsia="Times New Roman" w:hAnsiTheme="majorHAnsi" w:cstheme="majorBidi"/>
        </w:rPr>
        <w:t xml:space="preserve"> sử dụng phương pháp BVAR để phân tích tác động của giá tiêu dùng, giá sản xuất và IPI đối với GDP ở Malaysia từ 1991 đến 2014. Kết quả nghiên cứu cho thấy cú sốc về giá tiêu dùng có tác động tiêu cực đối với GDP, trong khi cú sốc về giá sản xuất mang lại ảnh hưởng tích cực.</w:t>
      </w:r>
      <w:r w:rsidR="00AE36AF" w:rsidRPr="00AE36AF">
        <w:rPr>
          <w:rFonts w:asciiTheme="majorHAnsi" w:eastAsia="Times New Roman" w:hAnsiTheme="majorHAnsi" w:cstheme="majorBidi"/>
          <w:vertAlign w:val="superscript"/>
        </w:rPr>
        <w:t>11</w:t>
      </w:r>
      <w:r w:rsidRPr="08D2DDD7">
        <w:rPr>
          <w:rFonts w:asciiTheme="majorHAnsi" w:eastAsia="Times New Roman" w:hAnsiTheme="majorHAnsi" w:cstheme="majorBidi"/>
        </w:rPr>
        <w:t xml:space="preserve"> Cả hai loại cú sốc đều bắt nguồn từ sự biến động trong IPI, điều này phản ánh rõ mối quan hệ chặt chẽ giữa IPI và nền kinh tế Malaysia.</w:t>
      </w:r>
    </w:p>
    <w:p w14:paraId="1681D897" w14:textId="005FCFFE" w:rsidR="00A325BF" w:rsidRPr="00BD153A" w:rsidRDefault="003E1C9F" w:rsidP="00E40D31">
      <w:pPr>
        <w:pStyle w:val="ListParagraph"/>
        <w:numPr>
          <w:ilvl w:val="0"/>
          <w:numId w:val="13"/>
        </w:numPr>
        <w:spacing w:before="120" w:after="120" w:line="240" w:lineRule="auto"/>
        <w:ind w:left="360"/>
        <w:rPr>
          <w:rFonts w:asciiTheme="majorHAnsi" w:hAnsiTheme="majorHAnsi" w:cstheme="majorHAnsi"/>
          <w:b/>
        </w:rPr>
      </w:pPr>
      <w:r w:rsidRPr="00E40D31">
        <w:rPr>
          <w:rFonts w:asciiTheme="majorHAnsi" w:hAnsiTheme="majorHAnsi" w:cstheme="majorHAnsi"/>
          <w:b/>
        </w:rPr>
        <w:t>DỮ LIỆU VÀ PHƯƠNG PHÁP NGHIÊN CỨU</w:t>
      </w:r>
    </w:p>
    <w:p w14:paraId="5807C68C" w14:textId="134771ED" w:rsidR="00405E2A" w:rsidRPr="00150A58" w:rsidRDefault="00405E2A" w:rsidP="001C3AAE">
      <w:pPr>
        <w:pStyle w:val="ListParagraph"/>
        <w:numPr>
          <w:ilvl w:val="1"/>
          <w:numId w:val="13"/>
        </w:numPr>
        <w:spacing w:before="120" w:after="120" w:line="240" w:lineRule="auto"/>
        <w:rPr>
          <w:rFonts w:asciiTheme="majorHAnsi" w:hAnsiTheme="majorHAnsi" w:cstheme="majorHAnsi"/>
          <w:b/>
          <w:bCs/>
          <w:lang w:val="en-US"/>
        </w:rPr>
      </w:pPr>
      <w:r w:rsidRPr="00150A58">
        <w:rPr>
          <w:rFonts w:asciiTheme="majorHAnsi" w:hAnsiTheme="majorHAnsi" w:cstheme="majorHAnsi"/>
          <w:b/>
          <w:bCs/>
          <w:lang w:val="en-US"/>
        </w:rPr>
        <w:t>D</w:t>
      </w:r>
      <w:r w:rsidR="00BA7476" w:rsidRPr="00150A58">
        <w:rPr>
          <w:rFonts w:asciiTheme="majorHAnsi" w:hAnsiTheme="majorHAnsi" w:cstheme="majorHAnsi"/>
          <w:b/>
          <w:bCs/>
          <w:lang w:val="en-US"/>
        </w:rPr>
        <w:t>ữ liệu nghiên cứu</w:t>
      </w:r>
    </w:p>
    <w:p w14:paraId="3F89AD1C" w14:textId="20407F54" w:rsidR="0084306B" w:rsidRPr="00A94C11" w:rsidRDefault="0084306B" w:rsidP="00CC5DE5">
      <w:pPr>
        <w:spacing w:before="120" w:after="120" w:line="240" w:lineRule="auto"/>
        <w:jc w:val="both"/>
        <w:rPr>
          <w:rFonts w:asciiTheme="majorHAnsi" w:hAnsiTheme="majorHAnsi" w:cstheme="majorHAnsi"/>
          <w:vertAlign w:val="superscript"/>
          <w:lang w:val="en-US"/>
        </w:rPr>
      </w:pPr>
      <w:r w:rsidRPr="002F6C22">
        <w:rPr>
          <w:rFonts w:asciiTheme="majorHAnsi" w:eastAsia="Times New Roman" w:hAnsiTheme="majorHAnsi" w:cstheme="majorHAnsi"/>
        </w:rPr>
        <w:t xml:space="preserve">Nghiên cứu sử dụng dữ liệu chuỗi thời gian theo tháng từ 2002–2023 của các biến </w:t>
      </w:r>
      <w:r w:rsidR="00263027">
        <w:rPr>
          <w:rFonts w:asciiTheme="majorHAnsi" w:eastAsia="Times New Roman" w:hAnsiTheme="majorHAnsi" w:cstheme="majorHAnsi"/>
        </w:rPr>
        <w:t>giá dầu (</w:t>
      </w:r>
      <w:r w:rsidRPr="002F6C22">
        <w:rPr>
          <w:rFonts w:asciiTheme="majorHAnsi" w:eastAsia="Times New Roman" w:hAnsiTheme="majorHAnsi" w:cstheme="majorHAnsi"/>
        </w:rPr>
        <w:t>OIL</w:t>
      </w:r>
      <w:r w:rsidR="00263027">
        <w:rPr>
          <w:rFonts w:asciiTheme="majorHAnsi" w:eastAsia="Times New Roman" w:hAnsiTheme="majorHAnsi" w:cstheme="majorHAnsi"/>
        </w:rPr>
        <w:t>)</w:t>
      </w:r>
      <w:r w:rsidRPr="002F6C22">
        <w:rPr>
          <w:rFonts w:asciiTheme="majorHAnsi" w:eastAsia="Times New Roman" w:hAnsiTheme="majorHAnsi" w:cstheme="majorHAnsi"/>
        </w:rPr>
        <w:t>, IPI và GDP được thu thập từ CEIC</w:t>
      </w:r>
      <w:r w:rsidR="00D92026">
        <w:rPr>
          <w:rFonts w:asciiTheme="majorHAnsi" w:eastAsia="Times New Roman" w:hAnsiTheme="majorHAnsi" w:cstheme="majorHAnsi"/>
        </w:rPr>
        <w:t xml:space="preserve"> Data</w:t>
      </w:r>
      <w:r w:rsidRPr="002F6C22">
        <w:rPr>
          <w:rFonts w:asciiTheme="majorHAnsi" w:eastAsia="Times New Roman" w:hAnsiTheme="majorHAnsi" w:cstheme="majorHAnsi"/>
        </w:rPr>
        <w:t xml:space="preserve">, Investing.com và World Bank ở sáu quốc gia ASEAN: Việt Nam, Thái Lan, Singapore, Philippines, Malaysia và Indonesia (mô tả ở </w:t>
      </w:r>
      <w:r w:rsidRPr="002F6C22">
        <w:rPr>
          <w:rFonts w:asciiTheme="majorHAnsi" w:eastAsia="Times New Roman" w:hAnsiTheme="majorHAnsi" w:cstheme="majorHAnsi"/>
          <w:b/>
          <w:bCs/>
        </w:rPr>
        <w:t>Bảng 1</w:t>
      </w:r>
      <w:r w:rsidRPr="002F6C22">
        <w:rPr>
          <w:rFonts w:asciiTheme="majorHAnsi" w:eastAsia="Times New Roman" w:hAnsiTheme="majorHAnsi" w:cstheme="majorHAnsi"/>
        </w:rPr>
        <w:t>). Mục tiêu là phân tích tác động của OIL và IPI đến GDP, qua đó cung cấp thông tin hữu ích cho kinh tế Việt Nam và góp phần hiểu rõ hơn ảnh hưởng của giá dầu đến tăng trưởng kinh tế và phát triển bền vững.</w:t>
      </w:r>
      <w:r w:rsidRPr="002F6C22">
        <w:rPr>
          <w:rFonts w:asciiTheme="majorHAnsi" w:hAnsiTheme="majorHAnsi" w:cstheme="majorHAnsi"/>
          <w:color w:val="000000" w:themeColor="text1"/>
        </w:rPr>
        <w:t xml:space="preserve"> Để </w:t>
      </w:r>
      <w:r w:rsidRPr="002F6C22">
        <w:rPr>
          <w:rFonts w:asciiTheme="majorHAnsi" w:eastAsia="Segoe UI Emoji" w:hAnsiTheme="majorHAnsi" w:cstheme="majorHAnsi"/>
          <w:color w:val="000000" w:themeColor="text1"/>
        </w:rPr>
        <w:t>giúp mô hình phân tích ổn định và dễ dàng nhận diện mối quan hệ thực tế, nhóm tác giả đã</w:t>
      </w:r>
      <w:r w:rsidRPr="002F6C22">
        <w:rPr>
          <w:rFonts w:asciiTheme="majorHAnsi" w:hAnsiTheme="majorHAnsi" w:cstheme="majorHAnsi"/>
        </w:rPr>
        <w:t xml:space="preserve"> chuyển </w:t>
      </w:r>
      <w:r w:rsidRPr="002F6C22">
        <w:rPr>
          <w:rFonts w:asciiTheme="majorHAnsi" w:hAnsiTheme="majorHAnsi" w:cstheme="majorHAnsi"/>
          <w:color w:val="000000" w:themeColor="text1"/>
        </w:rPr>
        <w:t xml:space="preserve">giá trị </w:t>
      </w:r>
      <w:r w:rsidRPr="002F6C22">
        <w:rPr>
          <w:rFonts w:asciiTheme="majorHAnsi" w:hAnsiTheme="majorHAnsi" w:cstheme="majorHAnsi"/>
        </w:rPr>
        <w:t>OIL sang dạng logarit nhằm tránh sự bất ổn định của phương sai và giảm thiểu độ lệch của phân phối.</w:t>
      </w:r>
      <w:r w:rsidR="00A94C11">
        <w:rPr>
          <w:rFonts w:asciiTheme="majorHAnsi" w:hAnsiTheme="majorHAnsi" w:cstheme="majorHAnsi"/>
          <w:vertAlign w:val="superscript"/>
          <w:lang w:val="en-US"/>
        </w:rPr>
        <w:t>12</w:t>
      </w:r>
    </w:p>
    <w:p w14:paraId="1FC2EA7C" w14:textId="77777777" w:rsidR="0084306B" w:rsidRPr="002F6C22" w:rsidRDefault="0084306B" w:rsidP="00CC5DE5">
      <w:pPr>
        <w:spacing w:before="120" w:after="120" w:line="240" w:lineRule="auto"/>
        <w:jc w:val="both"/>
        <w:rPr>
          <w:rFonts w:asciiTheme="majorHAnsi" w:eastAsia="Segoe UI Emoji" w:hAnsiTheme="majorHAnsi" w:cstheme="majorHAnsi"/>
          <w:color w:val="000000" w:themeColor="text1"/>
        </w:rPr>
      </w:pPr>
      <w:r w:rsidRPr="002F6C22">
        <w:rPr>
          <w:rFonts w:asciiTheme="majorHAnsi" w:hAnsiTheme="majorHAnsi" w:cstheme="majorHAnsi"/>
          <w:color w:val="000000" w:themeColor="text1"/>
        </w:rPr>
        <w:t>Nhóm tác giả thực hiện bước chuyển đổi logarit tự nhiên lên biến OIL theo công thức</w:t>
      </w:r>
      <w:r w:rsidRPr="002F6C22">
        <w:rPr>
          <w:rFonts w:asciiTheme="majorHAnsi" w:eastAsia="Segoe UI Emoji" w:hAnsiTheme="majorHAnsi" w:cstheme="majorHAnsi"/>
          <w:color w:val="000000" w:themeColor="text1"/>
        </w:rPr>
        <w:t xml:space="preserve"> (1):</w:t>
      </w:r>
    </w:p>
    <w:p w14:paraId="13AA4C53" w14:textId="77777777" w:rsidR="0084306B" w:rsidRPr="002F6C22" w:rsidRDefault="00000000" w:rsidP="008C2B4B">
      <w:pPr>
        <w:spacing w:before="120" w:after="120" w:line="240" w:lineRule="auto"/>
        <w:ind w:firstLine="562"/>
        <w:jc w:val="center"/>
        <w:rPr>
          <w:rFonts w:asciiTheme="majorHAnsi" w:hAnsiTheme="majorHAnsi" w:cstheme="majorHAnsi"/>
          <w:color w:val="000000" w:themeColor="text1"/>
        </w:rPr>
      </w:pPr>
      <m:oMathPara>
        <m:oMath>
          <m:eqArr>
            <m:eqArrPr>
              <m:maxDist m:val="1"/>
              <m:ctrlPr>
                <w:rPr>
                  <w:rFonts w:ascii="Cambria Math" w:eastAsia="Segoe UI Emoji" w:hAnsi="Cambria Math" w:cstheme="majorHAnsi"/>
                  <w:i/>
                  <w:color w:val="000000" w:themeColor="text1"/>
                </w:rPr>
              </m:ctrlPr>
            </m:eqArrPr>
            <m:e>
              <m:func>
                <m:funcPr>
                  <m:ctrlPr>
                    <w:rPr>
                      <w:rFonts w:ascii="Cambria Math" w:eastAsia="Segoe UI Emoji" w:hAnsi="Cambria Math" w:cstheme="majorHAnsi"/>
                      <w:i/>
                      <w:color w:val="000000" w:themeColor="text1"/>
                    </w:rPr>
                  </m:ctrlPr>
                </m:funcPr>
                <m:fName>
                  <m:r>
                    <m:rPr>
                      <m:sty m:val="p"/>
                    </m:rPr>
                    <w:rPr>
                      <w:rFonts w:ascii="Cambria Math" w:eastAsia="Segoe UI Emoji" w:hAnsi="Cambria Math" w:cstheme="majorHAnsi"/>
                      <w:color w:val="000000" w:themeColor="text1"/>
                    </w:rPr>
                    <m:t>OIL=ln</m:t>
                  </m:r>
                </m:fName>
                <m:e>
                  <m:d>
                    <m:dPr>
                      <m:ctrlPr>
                        <w:rPr>
                          <w:rFonts w:ascii="Cambria Math" w:eastAsia="Segoe UI Emoji" w:hAnsi="Cambria Math" w:cstheme="majorHAnsi"/>
                          <w:i/>
                          <w:color w:val="000000" w:themeColor="text1"/>
                        </w:rPr>
                      </m:ctrlPr>
                    </m:dPr>
                    <m:e>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e>
                  </m:d>
                </m:e>
              </m:func>
              <m:r>
                <w:rPr>
                  <w:rFonts w:ascii="Cambria Math" w:eastAsia="Segoe UI Emoji" w:hAnsi="Cambria Math" w:cstheme="majorHAnsi"/>
                  <w:color w:val="000000" w:themeColor="text1"/>
                </w:rPr>
                <m:t>#</m:t>
              </m:r>
              <m:d>
                <m:dPr>
                  <m:ctrlPr>
                    <w:rPr>
                      <w:rFonts w:ascii="Cambria Math" w:eastAsia="Segoe UI Emoji" w:hAnsi="Cambria Math" w:cstheme="majorHAnsi"/>
                      <w:i/>
                      <w:color w:val="000000" w:themeColor="text1"/>
                    </w:rPr>
                  </m:ctrlPr>
                </m:dPr>
                <m:e>
                  <m:r>
                    <w:rPr>
                      <w:rFonts w:ascii="Cambria Math" w:eastAsia="Segoe UI Emoji" w:hAnsi="Cambria Math" w:cstheme="majorHAnsi"/>
                      <w:color w:val="000000" w:themeColor="text1"/>
                    </w:rPr>
                    <m:t>1</m:t>
                  </m:r>
                </m:e>
              </m:d>
            </m:e>
          </m:eqArr>
        </m:oMath>
      </m:oMathPara>
    </w:p>
    <w:p w14:paraId="3C4F0BEF" w14:textId="606F1671" w:rsidR="00D91117" w:rsidRDefault="0084306B" w:rsidP="002E5BDC">
      <w:pPr>
        <w:spacing w:before="120" w:after="120" w:line="240" w:lineRule="auto"/>
        <w:jc w:val="both"/>
        <w:rPr>
          <w:rFonts w:asciiTheme="majorHAnsi" w:eastAsia="Segoe UI Emoji" w:hAnsiTheme="majorHAnsi" w:cstheme="majorHAnsi"/>
          <w:color w:val="000000" w:themeColor="text1"/>
        </w:rPr>
      </w:pPr>
      <w:r w:rsidRPr="002F6C22">
        <w:rPr>
          <w:rFonts w:asciiTheme="majorHAnsi" w:eastAsia="Segoe UI Emoji" w:hAnsiTheme="majorHAnsi" w:cstheme="majorHAnsi"/>
          <w:color w:val="000000" w:themeColor="text1"/>
        </w:rPr>
        <w:t xml:space="preserve">Trong đó: </w:t>
      </w:r>
      <m:oMath>
        <m:sSub>
          <m:sSubPr>
            <m:ctrlPr>
              <w:rPr>
                <w:rFonts w:ascii="Cambria Math" w:eastAsia="Segoe UI Emoji" w:hAnsi="Cambria Math" w:cstheme="majorHAnsi"/>
                <w:i/>
                <w:color w:val="000000" w:themeColor="text1"/>
              </w:rPr>
            </m:ctrlPr>
          </m:sSubPr>
          <m:e>
            <m:r>
              <w:rPr>
                <w:rFonts w:ascii="Cambria Math" w:eastAsia="Segoe UI Emoji" w:hAnsi="Cambria Math" w:cstheme="majorHAnsi"/>
                <w:color w:val="000000" w:themeColor="text1"/>
              </w:rPr>
              <m:t>P</m:t>
            </m:r>
          </m:e>
          <m:sub>
            <m:r>
              <w:rPr>
                <w:rFonts w:ascii="Cambria Math" w:eastAsia="Segoe UI Emoji" w:hAnsi="Cambria Math" w:cstheme="majorHAnsi"/>
                <w:color w:val="000000" w:themeColor="text1"/>
              </w:rPr>
              <m:t>t</m:t>
            </m:r>
          </m:sub>
        </m:sSub>
      </m:oMath>
      <w:r w:rsidRPr="002F6C22">
        <w:rPr>
          <w:rFonts w:asciiTheme="majorHAnsi" w:eastAsia="Segoe UI Emoji" w:hAnsiTheme="majorHAnsi" w:cstheme="majorHAnsi"/>
          <w:color w:val="000000" w:themeColor="text1"/>
        </w:rPr>
        <w:t xml:space="preserve"> là dữ liệu giá dầu tại thời điểm t</w:t>
      </w:r>
    </w:p>
    <w:p w14:paraId="311C437B" w14:textId="13CB3E3B" w:rsidR="00166A58" w:rsidRPr="00166A58" w:rsidRDefault="00166A58" w:rsidP="00B932D1">
      <w:pPr>
        <w:spacing w:before="120" w:after="120" w:line="240" w:lineRule="auto"/>
        <w:ind w:firstLine="567"/>
        <w:jc w:val="both"/>
        <w:rPr>
          <w:rFonts w:asciiTheme="majorHAnsi" w:hAnsiTheme="majorHAnsi" w:cstheme="majorHAnsi"/>
        </w:rPr>
      </w:pPr>
      <w:r w:rsidRPr="002F6C22">
        <w:rPr>
          <w:rFonts w:asciiTheme="majorHAnsi" w:hAnsiTheme="majorHAnsi" w:cstheme="majorHAnsi"/>
          <w:b/>
          <w:bCs/>
        </w:rPr>
        <w:t>Bảng 2, 3, 4</w:t>
      </w:r>
      <w:r w:rsidRPr="002F6C22">
        <w:rPr>
          <w:rFonts w:asciiTheme="majorHAnsi" w:hAnsiTheme="majorHAnsi" w:cstheme="majorHAnsi"/>
        </w:rPr>
        <w:t xml:space="preserve"> trình bày thống kê mô tả về GDP, IPI và giá dầu Brent dựa trên dữ liệu theo tháng tại các quốc gia ASEAN</w:t>
      </w:r>
      <w:r w:rsidR="000B375F" w:rsidRPr="003E1C9F">
        <w:rPr>
          <w:rFonts w:asciiTheme="majorHAnsi" w:hAnsiTheme="majorHAnsi" w:cstheme="majorHAnsi"/>
          <w:sz w:val="20"/>
          <w:szCs w:val="20"/>
        </w:rPr>
        <w:t>–</w:t>
      </w:r>
      <w:r w:rsidRPr="002F6C22">
        <w:rPr>
          <w:rFonts w:asciiTheme="majorHAnsi" w:hAnsiTheme="majorHAnsi" w:cstheme="majorHAnsi"/>
        </w:rPr>
        <w:t xml:space="preserve">6, bao gồm Việt Nam (VNM), Thái Lan (THA), Singapore (SGP), Philippines (PHL), Malaysia (MYS) và Indonesia (IDN). Kết quả cho thấy, tăng trưởng GDP biến động vừa phải, với giá trị trung bình dao động từ 1,089 (Thái Lan) đến 1,993 (Việt Nam). Việt Nam </w:t>
      </w:r>
      <w:r w:rsidRPr="002F6C22">
        <w:rPr>
          <w:rFonts w:asciiTheme="majorHAnsi" w:hAnsiTheme="majorHAnsi" w:cstheme="majorHAnsi"/>
        </w:rPr>
        <w:lastRenderedPageBreak/>
        <w:t xml:space="preserve">ghi nhận mức độ biến động không đáng kể với độ lệch chuẩn là 0,648. Ngoài ra, giá trị độ nhọn cao, với mức cao nhất ở Việt Nam là 20,618, cho thấy GDP các nước biến động đáng kể trong giai đoạn nghiên cứu. Đối với IPI, Giá trị trung bình dao động từ 3,159 (Thái Lan) đến 10,481 (Việt Nam), phản ánh mức độ sản xuất công nghiệp khác nhau. Indonesia có độ lệch chuẩn thấp nhất </w:t>
      </w:r>
      <w:r w:rsidR="00F036F2" w:rsidRPr="00642D29">
        <w:rPr>
          <w:rFonts w:asciiTheme="majorHAnsi" w:hAnsiTheme="majorHAnsi" w:cstheme="majorHAnsi"/>
        </w:rPr>
        <w:t xml:space="preserve">là </w:t>
      </w:r>
      <w:r w:rsidRPr="002F6C22">
        <w:rPr>
          <w:rFonts w:asciiTheme="majorHAnsi" w:hAnsiTheme="majorHAnsi" w:cstheme="majorHAnsi"/>
        </w:rPr>
        <w:t xml:space="preserve">6,225, cho </w:t>
      </w:r>
      <w:r w:rsidRPr="002F6C22">
        <w:rPr>
          <w:rFonts w:asciiTheme="majorHAnsi" w:hAnsiTheme="majorHAnsi" w:cstheme="majorHAnsi"/>
        </w:rPr>
        <w:t>thấy mức biến động thấp và ổn định hơn.</w:t>
      </w:r>
      <w:r w:rsidR="00624CE4" w:rsidRPr="00BD153A">
        <w:rPr>
          <w:rFonts w:asciiTheme="majorHAnsi" w:hAnsiTheme="majorHAnsi" w:cstheme="majorHAnsi"/>
        </w:rPr>
        <w:t xml:space="preserve"> </w:t>
      </w:r>
      <w:r w:rsidRPr="002F6C22">
        <w:rPr>
          <w:rFonts w:asciiTheme="majorHAnsi" w:hAnsiTheme="majorHAnsi" w:cstheme="majorHAnsi"/>
        </w:rPr>
        <w:t>Về giá dầu Brent, nhìn chung, giá dầu tương đối ổn định, với độ lệch và giá trị độ nhọn vừa phải. Các biến động giá dầu, IPI và GDP phần lớn có thể là do các cú sốc kinh tế, biến động giá dầu, suy thoái toàn cầu, bất ổn chính trị và tác động của đại dịch COVID</w:t>
      </w:r>
      <w:r w:rsidR="006D1F10" w:rsidRPr="003E1C9F">
        <w:rPr>
          <w:rFonts w:asciiTheme="majorHAnsi" w:hAnsiTheme="majorHAnsi" w:cstheme="majorHAnsi"/>
          <w:sz w:val="20"/>
          <w:szCs w:val="20"/>
        </w:rPr>
        <w:t>–</w:t>
      </w:r>
      <w:r w:rsidRPr="002F6C22">
        <w:rPr>
          <w:rFonts w:asciiTheme="majorHAnsi" w:hAnsiTheme="majorHAnsi" w:cstheme="majorHAnsi"/>
        </w:rPr>
        <w:t>19.</w:t>
      </w:r>
    </w:p>
    <w:p w14:paraId="1432518A" w14:textId="77777777" w:rsidR="00166A58" w:rsidRDefault="00166A58" w:rsidP="00166A58">
      <w:pPr>
        <w:spacing w:before="120" w:after="120" w:line="240" w:lineRule="auto"/>
        <w:ind w:firstLine="720"/>
        <w:jc w:val="center"/>
        <w:rPr>
          <w:rFonts w:asciiTheme="majorHAnsi" w:hAnsiTheme="majorHAnsi" w:cstheme="majorHAnsi"/>
          <w:b/>
          <w:color w:val="000000" w:themeColor="text1"/>
        </w:rPr>
        <w:sectPr w:rsidR="00166A58" w:rsidSect="005F22A0">
          <w:type w:val="continuous"/>
          <w:pgSz w:w="11906" w:h="16838" w:code="9"/>
          <w:pgMar w:top="1134" w:right="1134" w:bottom="1134" w:left="1418" w:header="706" w:footer="706" w:gutter="0"/>
          <w:cols w:num="2" w:space="432"/>
          <w:docGrid w:linePitch="360"/>
        </w:sectPr>
      </w:pPr>
    </w:p>
    <w:p w14:paraId="796147A2" w14:textId="3E1E2BFE" w:rsidR="00166A58" w:rsidRPr="001768D6" w:rsidRDefault="00166A58" w:rsidP="0039314C">
      <w:pPr>
        <w:spacing w:before="240" w:after="120" w:line="240" w:lineRule="auto"/>
        <w:rPr>
          <w:rFonts w:asciiTheme="majorHAnsi" w:hAnsiTheme="majorHAnsi" w:cstheme="majorHAnsi"/>
          <w:b/>
          <w:color w:val="000000" w:themeColor="text1"/>
          <w:sz w:val="20"/>
          <w:szCs w:val="20"/>
        </w:rPr>
      </w:pPr>
      <w:r w:rsidRPr="001768D6">
        <w:rPr>
          <w:rFonts w:asciiTheme="majorHAnsi" w:hAnsiTheme="majorHAnsi" w:cstheme="majorHAnsi"/>
          <w:b/>
          <w:color w:val="000000" w:themeColor="text1"/>
          <w:sz w:val="20"/>
          <w:szCs w:val="20"/>
        </w:rPr>
        <w:t>Bảng 1</w:t>
      </w:r>
      <w:r w:rsidR="005D1E5F" w:rsidRPr="001768D6">
        <w:rPr>
          <w:rFonts w:asciiTheme="majorHAnsi" w:hAnsiTheme="majorHAnsi" w:cstheme="majorHAnsi"/>
          <w:b/>
          <w:color w:val="000000" w:themeColor="text1"/>
          <w:sz w:val="20"/>
          <w:szCs w:val="20"/>
          <w:lang w:val="en-US"/>
        </w:rPr>
        <w:t>.</w:t>
      </w:r>
      <w:r w:rsidRPr="001768D6">
        <w:rPr>
          <w:rFonts w:asciiTheme="majorHAnsi" w:hAnsiTheme="majorHAnsi" w:cstheme="majorHAnsi"/>
          <w:b/>
          <w:color w:val="000000" w:themeColor="text1"/>
          <w:sz w:val="20"/>
          <w:szCs w:val="20"/>
        </w:rPr>
        <w:t xml:space="preserve"> </w:t>
      </w:r>
      <w:r w:rsidRPr="009F2520">
        <w:rPr>
          <w:rFonts w:asciiTheme="majorHAnsi" w:hAnsiTheme="majorHAnsi" w:cstheme="majorHAnsi"/>
          <w:bCs/>
          <w:color w:val="000000" w:themeColor="text1"/>
          <w:sz w:val="20"/>
          <w:szCs w:val="20"/>
        </w:rPr>
        <w:t xml:space="preserve">Mô tả dữ </w:t>
      </w:r>
      <w:r w:rsidR="00006803">
        <w:rPr>
          <w:rFonts w:asciiTheme="majorHAnsi" w:hAnsiTheme="majorHAnsi" w:cstheme="majorHAnsi"/>
          <w:bCs/>
          <w:color w:val="000000" w:themeColor="text1"/>
          <w:sz w:val="20"/>
          <w:szCs w:val="20"/>
        </w:rPr>
        <w:t>liệu.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1078"/>
        <w:gridCol w:w="2560"/>
        <w:gridCol w:w="1577"/>
        <w:gridCol w:w="1848"/>
      </w:tblGrid>
      <w:tr w:rsidR="00166A58" w:rsidRPr="002F6C22" w14:paraId="6EACABD4" w14:textId="77777777" w:rsidTr="00F0542E">
        <w:trPr>
          <w:trHeight w:val="493"/>
          <w:jc w:val="center"/>
        </w:trPr>
        <w:tc>
          <w:tcPr>
            <w:tcW w:w="2291" w:type="dxa"/>
            <w:tcBorders>
              <w:top w:val="single" w:sz="12" w:space="0" w:color="auto"/>
              <w:bottom w:val="single" w:sz="12" w:space="0" w:color="auto"/>
            </w:tcBorders>
            <w:vAlign w:val="center"/>
          </w:tcPr>
          <w:p w14:paraId="24060159"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Tên biến</w:t>
            </w:r>
          </w:p>
        </w:tc>
        <w:tc>
          <w:tcPr>
            <w:tcW w:w="1078" w:type="dxa"/>
            <w:tcBorders>
              <w:top w:val="single" w:sz="12" w:space="0" w:color="auto"/>
              <w:bottom w:val="single" w:sz="12" w:space="0" w:color="auto"/>
            </w:tcBorders>
            <w:vAlign w:val="center"/>
          </w:tcPr>
          <w:p w14:paraId="156E719A"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Kí hiệu</w:t>
            </w:r>
          </w:p>
        </w:tc>
        <w:tc>
          <w:tcPr>
            <w:tcW w:w="2560" w:type="dxa"/>
            <w:tcBorders>
              <w:top w:val="single" w:sz="12" w:space="0" w:color="auto"/>
              <w:bottom w:val="single" w:sz="12" w:space="0" w:color="auto"/>
            </w:tcBorders>
            <w:vAlign w:val="center"/>
          </w:tcPr>
          <w:p w14:paraId="4908D23F"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Cách đo lường</w:t>
            </w:r>
          </w:p>
        </w:tc>
        <w:tc>
          <w:tcPr>
            <w:tcW w:w="1577" w:type="dxa"/>
            <w:tcBorders>
              <w:top w:val="single" w:sz="12" w:space="0" w:color="auto"/>
              <w:bottom w:val="single" w:sz="12" w:space="0" w:color="auto"/>
            </w:tcBorders>
            <w:vAlign w:val="center"/>
          </w:tcPr>
          <w:p w14:paraId="7276A8A7"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Phạm vị thu thập</w:t>
            </w:r>
          </w:p>
        </w:tc>
        <w:tc>
          <w:tcPr>
            <w:tcW w:w="1848" w:type="dxa"/>
            <w:tcBorders>
              <w:top w:val="single" w:sz="12" w:space="0" w:color="auto"/>
              <w:bottom w:val="single" w:sz="12" w:space="0" w:color="auto"/>
            </w:tcBorders>
            <w:vAlign w:val="center"/>
          </w:tcPr>
          <w:p w14:paraId="4D3112D7" w14:textId="77777777" w:rsidR="00166A58" w:rsidRPr="002F6C22" w:rsidRDefault="00166A58" w:rsidP="005D2942">
            <w:pPr>
              <w:spacing w:before="120" w:after="120"/>
              <w:jc w:val="center"/>
              <w:rPr>
                <w:rFonts w:asciiTheme="majorHAnsi" w:hAnsiTheme="majorHAnsi" w:cstheme="majorHAnsi"/>
                <w:b/>
                <w:color w:val="000000" w:themeColor="text1"/>
                <w:sz w:val="22"/>
                <w:szCs w:val="22"/>
              </w:rPr>
            </w:pPr>
            <w:r w:rsidRPr="002F6C22">
              <w:rPr>
                <w:rFonts w:asciiTheme="majorHAnsi" w:hAnsiTheme="majorHAnsi" w:cstheme="majorHAnsi"/>
                <w:b/>
                <w:color w:val="000000" w:themeColor="text1"/>
                <w:sz w:val="22"/>
                <w:szCs w:val="22"/>
              </w:rPr>
              <w:t>Nguồn</w:t>
            </w:r>
          </w:p>
        </w:tc>
      </w:tr>
      <w:tr w:rsidR="00166A58" w:rsidRPr="002F6C22" w14:paraId="13DFC262" w14:textId="77777777" w:rsidTr="00F0542E">
        <w:trPr>
          <w:trHeight w:val="493"/>
          <w:jc w:val="center"/>
        </w:trPr>
        <w:tc>
          <w:tcPr>
            <w:tcW w:w="2291" w:type="dxa"/>
            <w:tcBorders>
              <w:top w:val="single" w:sz="12" w:space="0" w:color="auto"/>
            </w:tcBorders>
            <w:vAlign w:val="center"/>
          </w:tcPr>
          <w:p w14:paraId="7148C92B" w14:textId="77777777" w:rsidR="00166A58" w:rsidRPr="002F6C22" w:rsidRDefault="00166A58" w:rsidP="005D2942">
            <w:pPr>
              <w:spacing w:before="120" w:after="120"/>
              <w:jc w:val="center"/>
              <w:rPr>
                <w:rFonts w:asciiTheme="majorHAnsi" w:hAnsiTheme="majorHAnsi" w:cstheme="majorHAnsi"/>
                <w:bCs/>
                <w:color w:val="000000" w:themeColor="text1"/>
                <w:sz w:val="22"/>
                <w:szCs w:val="22"/>
                <w:highlight w:val="yellow"/>
              </w:rPr>
            </w:pPr>
            <w:r w:rsidRPr="002F6C22">
              <w:rPr>
                <w:rFonts w:asciiTheme="majorHAnsi" w:hAnsiTheme="majorHAnsi" w:cstheme="majorHAnsi"/>
                <w:bCs/>
                <w:color w:val="000000" w:themeColor="text1"/>
                <w:sz w:val="22"/>
                <w:szCs w:val="22"/>
              </w:rPr>
              <w:t>Giá dầu</w:t>
            </w:r>
          </w:p>
        </w:tc>
        <w:tc>
          <w:tcPr>
            <w:tcW w:w="1078" w:type="dxa"/>
            <w:tcBorders>
              <w:top w:val="single" w:sz="12" w:space="0" w:color="auto"/>
            </w:tcBorders>
            <w:vAlign w:val="center"/>
          </w:tcPr>
          <w:p w14:paraId="105A58DB"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OIL</w:t>
            </w:r>
          </w:p>
        </w:tc>
        <w:tc>
          <w:tcPr>
            <w:tcW w:w="2560" w:type="dxa"/>
            <w:tcBorders>
              <w:top w:val="single" w:sz="12" w:space="0" w:color="auto"/>
            </w:tcBorders>
            <w:vAlign w:val="center"/>
          </w:tcPr>
          <w:p w14:paraId="750F8220"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sz w:val="22"/>
                <w:szCs w:val="22"/>
              </w:rPr>
              <w:t>Phân tích sự thay đổi tỷ lệ phần trăm của giá dầu qua các thời kỳ</w:t>
            </w:r>
          </w:p>
        </w:tc>
        <w:tc>
          <w:tcPr>
            <w:tcW w:w="1577" w:type="dxa"/>
            <w:tcBorders>
              <w:top w:val="single" w:sz="12" w:space="0" w:color="auto"/>
            </w:tcBorders>
            <w:vAlign w:val="center"/>
          </w:tcPr>
          <w:p w14:paraId="6F000B25"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848" w:type="dxa"/>
            <w:tcBorders>
              <w:top w:val="single" w:sz="12" w:space="0" w:color="auto"/>
            </w:tcBorders>
            <w:vAlign w:val="center"/>
          </w:tcPr>
          <w:p w14:paraId="6FB87EA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Investing.com</w:t>
            </w:r>
          </w:p>
        </w:tc>
      </w:tr>
      <w:tr w:rsidR="00166A58" w:rsidRPr="002F6C22" w14:paraId="100B7E50" w14:textId="77777777" w:rsidTr="00F0542E">
        <w:trPr>
          <w:trHeight w:val="493"/>
          <w:jc w:val="center"/>
        </w:trPr>
        <w:tc>
          <w:tcPr>
            <w:tcW w:w="2291" w:type="dxa"/>
            <w:vAlign w:val="center"/>
          </w:tcPr>
          <w:p w14:paraId="0A30EADE"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lang w:val="vi-VN"/>
              </w:rPr>
              <w:t>Tổng sản phẩm quốc nội</w:t>
            </w:r>
          </w:p>
        </w:tc>
        <w:tc>
          <w:tcPr>
            <w:tcW w:w="1078" w:type="dxa"/>
            <w:vAlign w:val="center"/>
          </w:tcPr>
          <w:p w14:paraId="11AF0225"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GDP</w:t>
            </w:r>
          </w:p>
        </w:tc>
        <w:tc>
          <w:tcPr>
            <w:tcW w:w="2560" w:type="dxa"/>
            <w:vAlign w:val="center"/>
          </w:tcPr>
          <w:p w14:paraId="01F2017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Tỷ lệ phần trăm tăng trưởng GDP (%)</w:t>
            </w:r>
          </w:p>
        </w:tc>
        <w:tc>
          <w:tcPr>
            <w:tcW w:w="1577" w:type="dxa"/>
            <w:vAlign w:val="center"/>
          </w:tcPr>
          <w:p w14:paraId="3C2ED24D"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848" w:type="dxa"/>
            <w:vAlign w:val="center"/>
          </w:tcPr>
          <w:p w14:paraId="6B46A3EC" w14:textId="3BF646A5" w:rsidR="00166A58" w:rsidRPr="00D92026"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rPr>
              <w:t>World bank, CEIC</w:t>
            </w:r>
            <w:r w:rsidR="00D92026">
              <w:rPr>
                <w:rFonts w:asciiTheme="majorHAnsi" w:hAnsiTheme="majorHAnsi" w:cstheme="majorHAnsi"/>
                <w:color w:val="000000" w:themeColor="text1"/>
                <w:sz w:val="22"/>
                <w:szCs w:val="22"/>
                <w:lang w:val="vi-VN"/>
              </w:rPr>
              <w:t xml:space="preserve"> Data</w:t>
            </w:r>
          </w:p>
        </w:tc>
      </w:tr>
      <w:tr w:rsidR="00166A58" w:rsidRPr="002F6C22" w14:paraId="5C9327F1" w14:textId="77777777" w:rsidTr="00F0542E">
        <w:trPr>
          <w:trHeight w:val="493"/>
          <w:jc w:val="center"/>
        </w:trPr>
        <w:tc>
          <w:tcPr>
            <w:tcW w:w="2291" w:type="dxa"/>
            <w:tcBorders>
              <w:bottom w:val="single" w:sz="12" w:space="0" w:color="auto"/>
            </w:tcBorders>
            <w:vAlign w:val="center"/>
          </w:tcPr>
          <w:p w14:paraId="23F973FE" w14:textId="77777777" w:rsidR="00166A58" w:rsidRPr="002F6C22"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lang w:val="vi-VN"/>
              </w:rPr>
              <w:t>Chỉ số sản xuất công nghiệp</w:t>
            </w:r>
          </w:p>
        </w:tc>
        <w:tc>
          <w:tcPr>
            <w:tcW w:w="1078" w:type="dxa"/>
            <w:tcBorders>
              <w:bottom w:val="single" w:sz="12" w:space="0" w:color="auto"/>
            </w:tcBorders>
            <w:vAlign w:val="center"/>
          </w:tcPr>
          <w:p w14:paraId="33E3A234"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IPI</w:t>
            </w:r>
          </w:p>
        </w:tc>
        <w:tc>
          <w:tcPr>
            <w:tcW w:w="2560" w:type="dxa"/>
            <w:tcBorders>
              <w:bottom w:val="single" w:sz="12" w:space="0" w:color="auto"/>
            </w:tcBorders>
            <w:vAlign w:val="center"/>
          </w:tcPr>
          <w:p w14:paraId="3ED270F1"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 xml:space="preserve">Tỷ lệ phần trăm </w:t>
            </w:r>
            <w:r w:rsidRPr="002F6C22">
              <w:rPr>
                <w:rFonts w:asciiTheme="majorHAnsi" w:hAnsiTheme="majorHAnsi" w:cstheme="majorHAnsi"/>
                <w:sz w:val="22"/>
                <w:szCs w:val="22"/>
              </w:rPr>
              <w:t>thay đổi trong IPI</w:t>
            </w:r>
            <w:r w:rsidRPr="002F6C22">
              <w:rPr>
                <w:rFonts w:asciiTheme="majorHAnsi" w:hAnsiTheme="majorHAnsi" w:cstheme="majorHAnsi"/>
                <w:color w:val="000000" w:themeColor="text1"/>
                <w:sz w:val="22"/>
                <w:szCs w:val="22"/>
              </w:rPr>
              <w:t xml:space="preserve"> (%)</w:t>
            </w:r>
          </w:p>
        </w:tc>
        <w:tc>
          <w:tcPr>
            <w:tcW w:w="1577" w:type="dxa"/>
            <w:tcBorders>
              <w:bottom w:val="single" w:sz="12" w:space="0" w:color="auto"/>
            </w:tcBorders>
            <w:vAlign w:val="center"/>
          </w:tcPr>
          <w:p w14:paraId="2A43B567" w14:textId="77777777" w:rsidR="00166A58" w:rsidRPr="002F6C22" w:rsidRDefault="00166A58" w:rsidP="005D2942">
            <w:pPr>
              <w:spacing w:before="120" w:after="120"/>
              <w:jc w:val="center"/>
              <w:rPr>
                <w:rFonts w:asciiTheme="majorHAnsi" w:hAnsiTheme="majorHAnsi" w:cstheme="majorHAnsi"/>
                <w:color w:val="000000" w:themeColor="text1"/>
                <w:sz w:val="22"/>
                <w:szCs w:val="22"/>
              </w:rPr>
            </w:pPr>
            <w:r w:rsidRPr="002F6C22">
              <w:rPr>
                <w:rFonts w:asciiTheme="majorHAnsi" w:hAnsiTheme="majorHAnsi" w:cstheme="majorHAnsi"/>
                <w:color w:val="000000" w:themeColor="text1"/>
                <w:sz w:val="22"/>
                <w:szCs w:val="22"/>
              </w:rPr>
              <w:t>2002</w:t>
            </w:r>
            <w:r w:rsidRPr="002F6C22">
              <w:rPr>
                <w:rFonts w:asciiTheme="majorHAnsi" w:hAnsiTheme="majorHAnsi" w:cstheme="majorHAnsi"/>
                <w:color w:val="000000" w:themeColor="text1"/>
                <w:sz w:val="22"/>
                <w:szCs w:val="22"/>
                <w:lang w:val="vi-VN"/>
              </w:rPr>
              <w:t>–</w:t>
            </w:r>
            <w:r w:rsidRPr="002F6C22">
              <w:rPr>
                <w:rFonts w:asciiTheme="majorHAnsi" w:hAnsiTheme="majorHAnsi" w:cstheme="majorHAnsi"/>
                <w:color w:val="000000" w:themeColor="text1"/>
                <w:sz w:val="22"/>
                <w:szCs w:val="22"/>
              </w:rPr>
              <w:t>2023</w:t>
            </w:r>
          </w:p>
        </w:tc>
        <w:tc>
          <w:tcPr>
            <w:tcW w:w="1848" w:type="dxa"/>
            <w:tcBorders>
              <w:bottom w:val="single" w:sz="12" w:space="0" w:color="auto"/>
            </w:tcBorders>
            <w:vAlign w:val="center"/>
          </w:tcPr>
          <w:p w14:paraId="029300D2" w14:textId="4A612DC6" w:rsidR="00166A58" w:rsidRPr="00D92026" w:rsidRDefault="00166A58" w:rsidP="005D2942">
            <w:pPr>
              <w:spacing w:before="120" w:after="120"/>
              <w:jc w:val="center"/>
              <w:rPr>
                <w:rFonts w:asciiTheme="majorHAnsi" w:hAnsiTheme="majorHAnsi" w:cstheme="majorHAnsi"/>
                <w:color w:val="000000" w:themeColor="text1"/>
                <w:sz w:val="22"/>
                <w:szCs w:val="22"/>
                <w:lang w:val="vi-VN"/>
              </w:rPr>
            </w:pPr>
            <w:r w:rsidRPr="002F6C22">
              <w:rPr>
                <w:rFonts w:asciiTheme="majorHAnsi" w:hAnsiTheme="majorHAnsi" w:cstheme="majorHAnsi"/>
                <w:color w:val="000000" w:themeColor="text1"/>
                <w:sz w:val="22"/>
                <w:szCs w:val="22"/>
              </w:rPr>
              <w:t>CEIC</w:t>
            </w:r>
            <w:r w:rsidR="00D92026">
              <w:rPr>
                <w:rFonts w:asciiTheme="majorHAnsi" w:hAnsiTheme="majorHAnsi" w:cstheme="majorHAnsi"/>
                <w:color w:val="000000" w:themeColor="text1"/>
                <w:sz w:val="22"/>
                <w:szCs w:val="22"/>
                <w:lang w:val="vi-VN"/>
              </w:rPr>
              <w:t xml:space="preserve"> Data</w:t>
            </w:r>
          </w:p>
        </w:tc>
      </w:tr>
    </w:tbl>
    <w:p w14:paraId="5CB5A857" w14:textId="41E0F74E" w:rsidR="0054218B" w:rsidRPr="00006803" w:rsidRDefault="00166A58" w:rsidP="00006803">
      <w:pPr>
        <w:spacing w:before="120" w:after="120" w:line="240" w:lineRule="auto"/>
        <w:jc w:val="center"/>
        <w:rPr>
          <w:rFonts w:asciiTheme="majorHAnsi" w:hAnsiTheme="majorHAnsi" w:cstheme="majorHAnsi"/>
          <w:sz w:val="20"/>
          <w:szCs w:val="20"/>
        </w:rPr>
      </w:pPr>
      <w:r w:rsidRPr="00123072">
        <w:rPr>
          <w:rFonts w:asciiTheme="majorHAnsi" w:hAnsiTheme="majorHAnsi" w:cstheme="majorHAnsi"/>
          <w:sz w:val="20"/>
          <w:szCs w:val="20"/>
        </w:rPr>
        <w:t>Nguồn: Nhóm tác giả</w:t>
      </w:r>
    </w:p>
    <w:p w14:paraId="0027BA23" w14:textId="29503E89" w:rsidR="00280999" w:rsidRPr="00123072" w:rsidRDefault="00280999" w:rsidP="00006803">
      <w:pPr>
        <w:pStyle w:val="bang"/>
        <w:spacing w:before="240" w:after="120"/>
        <w:jc w:val="left"/>
        <w:rPr>
          <w:rFonts w:asciiTheme="majorHAnsi" w:hAnsiTheme="majorHAnsi" w:cstheme="majorHAnsi"/>
          <w:sz w:val="20"/>
          <w:szCs w:val="20"/>
          <w:lang w:val="en-US"/>
        </w:rPr>
      </w:pPr>
      <w:r w:rsidRPr="00123072">
        <w:rPr>
          <w:rFonts w:asciiTheme="majorHAnsi" w:hAnsiTheme="majorHAnsi" w:cstheme="majorHAnsi"/>
          <w:sz w:val="20"/>
          <w:szCs w:val="20"/>
        </w:rPr>
        <w:t xml:space="preserve">Bảng </w:t>
      </w:r>
      <w:r w:rsidRPr="00123072">
        <w:rPr>
          <w:rFonts w:asciiTheme="majorHAnsi" w:hAnsiTheme="majorHAnsi" w:cstheme="majorHAnsi"/>
          <w:sz w:val="20"/>
          <w:szCs w:val="20"/>
          <w:lang w:val="en-US"/>
        </w:rPr>
        <w:t>2</w:t>
      </w:r>
      <w:r w:rsidR="005D1E5F" w:rsidRPr="00123072">
        <w:rPr>
          <w:rFonts w:asciiTheme="majorHAnsi" w:hAnsiTheme="majorHAnsi" w:cstheme="majorHAnsi"/>
          <w:sz w:val="20"/>
          <w:szCs w:val="20"/>
          <w:lang w:val="en-US"/>
        </w:rPr>
        <w:t>.</w:t>
      </w:r>
      <w:r w:rsidRPr="00123072">
        <w:rPr>
          <w:rFonts w:asciiTheme="majorHAnsi" w:hAnsiTheme="majorHAnsi" w:cstheme="majorHAnsi"/>
          <w:sz w:val="20"/>
          <w:szCs w:val="20"/>
        </w:rPr>
        <w:t xml:space="preserve"> </w:t>
      </w:r>
      <w:r w:rsidRPr="00123072">
        <w:rPr>
          <w:rFonts w:asciiTheme="majorHAnsi" w:hAnsiTheme="majorHAnsi" w:cstheme="majorHAnsi"/>
          <w:b w:val="0"/>
          <w:bCs/>
          <w:sz w:val="20"/>
          <w:szCs w:val="20"/>
        </w:rPr>
        <w:t>Thống kê mô tả GDP tại ASEAN–6 trong giai đoạn 2002–</w:t>
      </w:r>
      <w:r w:rsidR="000A0D62">
        <w:rPr>
          <w:rFonts w:asciiTheme="majorHAnsi" w:hAnsiTheme="majorHAnsi" w:cstheme="majorHAnsi"/>
          <w:b w:val="0"/>
          <w:bCs/>
          <w:sz w:val="20"/>
          <w:szCs w:val="20"/>
        </w:rPr>
        <w:t>2023.</w:t>
      </w:r>
    </w:p>
    <w:tbl>
      <w:tblPr>
        <w:tblStyle w:val="TableGrid"/>
        <w:tblW w:w="9360" w:type="dxa"/>
        <w:jc w:val="center"/>
        <w:tblLayout w:type="fixed"/>
        <w:tblLook w:val="04A0" w:firstRow="1" w:lastRow="0" w:firstColumn="1" w:lastColumn="0" w:noHBand="0" w:noVBand="1"/>
      </w:tblPr>
      <w:tblGrid>
        <w:gridCol w:w="1314"/>
        <w:gridCol w:w="1474"/>
        <w:gridCol w:w="1304"/>
        <w:gridCol w:w="1305"/>
        <w:gridCol w:w="1305"/>
        <w:gridCol w:w="1305"/>
        <w:gridCol w:w="1353"/>
      </w:tblGrid>
      <w:tr w:rsidR="00280999" w:rsidRPr="002F6C22" w14:paraId="6067F1BB" w14:textId="77777777" w:rsidTr="00123072">
        <w:trPr>
          <w:trHeight w:val="20"/>
          <w:jc w:val="center"/>
        </w:trPr>
        <w:tc>
          <w:tcPr>
            <w:tcW w:w="1314" w:type="dxa"/>
            <w:tcBorders>
              <w:top w:val="single" w:sz="12" w:space="0" w:color="auto"/>
              <w:left w:val="nil"/>
              <w:bottom w:val="single" w:sz="12" w:space="0" w:color="auto"/>
              <w:right w:val="nil"/>
            </w:tcBorders>
          </w:tcPr>
          <w:p w14:paraId="0F1C7253" w14:textId="77777777" w:rsidR="00280999" w:rsidRPr="002F6C22" w:rsidRDefault="00280999" w:rsidP="005D2942">
            <w:pPr>
              <w:spacing w:before="120" w:after="120"/>
              <w:jc w:val="center"/>
              <w:rPr>
                <w:rFonts w:asciiTheme="majorHAnsi" w:hAnsiTheme="majorHAnsi" w:cstheme="majorHAnsi"/>
                <w:sz w:val="22"/>
                <w:szCs w:val="22"/>
              </w:rPr>
            </w:pPr>
          </w:p>
        </w:tc>
        <w:tc>
          <w:tcPr>
            <w:tcW w:w="1474" w:type="dxa"/>
            <w:tcBorders>
              <w:top w:val="single" w:sz="12" w:space="0" w:color="auto"/>
              <w:left w:val="nil"/>
              <w:bottom w:val="single" w:sz="12" w:space="0" w:color="auto"/>
              <w:right w:val="nil"/>
            </w:tcBorders>
            <w:hideMark/>
          </w:tcPr>
          <w:p w14:paraId="515A8C51"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19C5EBCB"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58F38F61"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12D064C4"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 chuẩn</w:t>
            </w:r>
          </w:p>
        </w:tc>
        <w:tc>
          <w:tcPr>
            <w:tcW w:w="1305" w:type="dxa"/>
            <w:tcBorders>
              <w:top w:val="single" w:sz="12" w:space="0" w:color="auto"/>
              <w:left w:val="nil"/>
              <w:bottom w:val="single" w:sz="12" w:space="0" w:color="auto"/>
              <w:right w:val="nil"/>
            </w:tcBorders>
            <w:hideMark/>
          </w:tcPr>
          <w:p w14:paraId="5FB67597"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353" w:type="dxa"/>
            <w:tcBorders>
              <w:top w:val="single" w:sz="12" w:space="0" w:color="auto"/>
              <w:left w:val="nil"/>
              <w:bottom w:val="single" w:sz="12" w:space="0" w:color="auto"/>
              <w:right w:val="nil"/>
            </w:tcBorders>
            <w:hideMark/>
          </w:tcPr>
          <w:p w14:paraId="75C9F925"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280999" w:rsidRPr="002F6C22" w14:paraId="1424C26E" w14:textId="77777777" w:rsidTr="00123072">
        <w:trPr>
          <w:trHeight w:val="20"/>
          <w:jc w:val="center"/>
        </w:trPr>
        <w:tc>
          <w:tcPr>
            <w:tcW w:w="1314" w:type="dxa"/>
            <w:tcBorders>
              <w:top w:val="single" w:sz="12" w:space="0" w:color="auto"/>
              <w:left w:val="nil"/>
              <w:bottom w:val="nil"/>
              <w:right w:val="nil"/>
            </w:tcBorders>
            <w:hideMark/>
          </w:tcPr>
          <w:p w14:paraId="0EB1855A" w14:textId="77777777" w:rsidR="00280999" w:rsidRPr="002F6C22" w:rsidRDefault="00280999"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VNM</w:t>
            </w:r>
          </w:p>
        </w:tc>
        <w:tc>
          <w:tcPr>
            <w:tcW w:w="1474" w:type="dxa"/>
            <w:tcBorders>
              <w:top w:val="single" w:sz="12" w:space="0" w:color="auto"/>
              <w:left w:val="nil"/>
              <w:bottom w:val="nil"/>
              <w:right w:val="nil"/>
            </w:tcBorders>
            <w:hideMark/>
          </w:tcPr>
          <w:p w14:paraId="4B558F2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1,993</w:t>
            </w:r>
          </w:p>
        </w:tc>
        <w:tc>
          <w:tcPr>
            <w:tcW w:w="1304" w:type="dxa"/>
            <w:tcBorders>
              <w:top w:val="single" w:sz="12" w:space="0" w:color="auto"/>
              <w:left w:val="nil"/>
              <w:bottom w:val="nil"/>
              <w:right w:val="nil"/>
            </w:tcBorders>
            <w:hideMark/>
          </w:tcPr>
          <w:p w14:paraId="2C62CE7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-2,010</w:t>
            </w:r>
          </w:p>
        </w:tc>
        <w:tc>
          <w:tcPr>
            <w:tcW w:w="1305" w:type="dxa"/>
            <w:tcBorders>
              <w:top w:val="single" w:sz="12" w:space="0" w:color="auto"/>
              <w:left w:val="nil"/>
              <w:bottom w:val="nil"/>
              <w:right w:val="nil"/>
            </w:tcBorders>
            <w:hideMark/>
          </w:tcPr>
          <w:p w14:paraId="6597CDF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4,57</w:t>
            </w:r>
          </w:p>
        </w:tc>
        <w:tc>
          <w:tcPr>
            <w:tcW w:w="1305" w:type="dxa"/>
            <w:tcBorders>
              <w:top w:val="single" w:sz="12" w:space="0" w:color="auto"/>
              <w:left w:val="nil"/>
              <w:bottom w:val="nil"/>
              <w:right w:val="nil"/>
            </w:tcBorders>
            <w:hideMark/>
          </w:tcPr>
          <w:p w14:paraId="0BC5B76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0,648</w:t>
            </w:r>
          </w:p>
        </w:tc>
        <w:tc>
          <w:tcPr>
            <w:tcW w:w="1305" w:type="dxa"/>
            <w:tcBorders>
              <w:top w:val="single" w:sz="12" w:space="0" w:color="auto"/>
              <w:left w:val="nil"/>
              <w:bottom w:val="nil"/>
              <w:right w:val="nil"/>
            </w:tcBorders>
            <w:hideMark/>
          </w:tcPr>
          <w:p w14:paraId="3B18C99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-2,279</w:t>
            </w:r>
          </w:p>
        </w:tc>
        <w:tc>
          <w:tcPr>
            <w:tcW w:w="1353" w:type="dxa"/>
            <w:tcBorders>
              <w:top w:val="single" w:sz="12" w:space="0" w:color="auto"/>
              <w:left w:val="nil"/>
              <w:bottom w:val="nil"/>
              <w:right w:val="nil"/>
            </w:tcBorders>
            <w:hideMark/>
          </w:tcPr>
          <w:p w14:paraId="40FBBA3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20,618</w:t>
            </w:r>
          </w:p>
        </w:tc>
      </w:tr>
      <w:tr w:rsidR="00280999" w:rsidRPr="002F6C22" w14:paraId="156249BC" w14:textId="77777777" w:rsidTr="00123072">
        <w:trPr>
          <w:trHeight w:val="20"/>
          <w:jc w:val="center"/>
        </w:trPr>
        <w:tc>
          <w:tcPr>
            <w:tcW w:w="1314" w:type="dxa"/>
            <w:tcBorders>
              <w:top w:val="nil"/>
              <w:left w:val="nil"/>
              <w:bottom w:val="nil"/>
              <w:right w:val="nil"/>
            </w:tcBorders>
            <w:hideMark/>
          </w:tcPr>
          <w:p w14:paraId="6143AAA2"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THA</w:t>
            </w:r>
          </w:p>
        </w:tc>
        <w:tc>
          <w:tcPr>
            <w:tcW w:w="1474" w:type="dxa"/>
            <w:tcBorders>
              <w:top w:val="nil"/>
              <w:left w:val="nil"/>
              <w:bottom w:val="nil"/>
              <w:right w:val="nil"/>
            </w:tcBorders>
            <w:hideMark/>
          </w:tcPr>
          <w:p w14:paraId="7BF5FD4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1,089</w:t>
            </w:r>
          </w:p>
        </w:tc>
        <w:tc>
          <w:tcPr>
            <w:tcW w:w="1304" w:type="dxa"/>
            <w:tcBorders>
              <w:top w:val="nil"/>
              <w:left w:val="nil"/>
              <w:bottom w:val="nil"/>
              <w:right w:val="nil"/>
            </w:tcBorders>
            <w:hideMark/>
          </w:tcPr>
          <w:p w14:paraId="2702E41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-4,059</w:t>
            </w:r>
          </w:p>
        </w:tc>
        <w:tc>
          <w:tcPr>
            <w:tcW w:w="1305" w:type="dxa"/>
            <w:tcBorders>
              <w:top w:val="nil"/>
              <w:left w:val="nil"/>
              <w:bottom w:val="nil"/>
              <w:right w:val="nil"/>
            </w:tcBorders>
            <w:hideMark/>
          </w:tcPr>
          <w:p w14:paraId="34F40E1C"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5,156</w:t>
            </w:r>
          </w:p>
        </w:tc>
        <w:tc>
          <w:tcPr>
            <w:tcW w:w="1305" w:type="dxa"/>
            <w:tcBorders>
              <w:top w:val="nil"/>
              <w:left w:val="nil"/>
              <w:bottom w:val="nil"/>
              <w:right w:val="nil"/>
            </w:tcBorders>
            <w:hideMark/>
          </w:tcPr>
          <w:p w14:paraId="11CE08EA"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1,234</w:t>
            </w:r>
          </w:p>
        </w:tc>
        <w:tc>
          <w:tcPr>
            <w:tcW w:w="1305" w:type="dxa"/>
            <w:tcBorders>
              <w:top w:val="nil"/>
              <w:left w:val="nil"/>
              <w:bottom w:val="nil"/>
              <w:right w:val="nil"/>
            </w:tcBorders>
            <w:hideMark/>
          </w:tcPr>
          <w:p w14:paraId="2838AA16"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-0,743</w:t>
            </w:r>
          </w:p>
        </w:tc>
        <w:tc>
          <w:tcPr>
            <w:tcW w:w="1353" w:type="dxa"/>
            <w:tcBorders>
              <w:top w:val="nil"/>
              <w:left w:val="nil"/>
              <w:bottom w:val="nil"/>
              <w:right w:val="nil"/>
            </w:tcBorders>
            <w:hideMark/>
          </w:tcPr>
          <w:p w14:paraId="20E1E6DC"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6,7886</w:t>
            </w:r>
          </w:p>
        </w:tc>
      </w:tr>
      <w:tr w:rsidR="00280999" w:rsidRPr="002F6C22" w14:paraId="1736E07C" w14:textId="77777777" w:rsidTr="00123072">
        <w:trPr>
          <w:trHeight w:val="20"/>
          <w:jc w:val="center"/>
        </w:trPr>
        <w:tc>
          <w:tcPr>
            <w:tcW w:w="1314" w:type="dxa"/>
            <w:tcBorders>
              <w:top w:val="nil"/>
              <w:left w:val="nil"/>
              <w:bottom w:val="nil"/>
              <w:right w:val="nil"/>
            </w:tcBorders>
            <w:hideMark/>
          </w:tcPr>
          <w:p w14:paraId="76B37388"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SGP</w:t>
            </w:r>
          </w:p>
        </w:tc>
        <w:tc>
          <w:tcPr>
            <w:tcW w:w="1474" w:type="dxa"/>
            <w:tcBorders>
              <w:top w:val="nil"/>
              <w:left w:val="nil"/>
              <w:bottom w:val="nil"/>
              <w:right w:val="nil"/>
            </w:tcBorders>
            <w:hideMark/>
          </w:tcPr>
          <w:p w14:paraId="5D64181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1,623</w:t>
            </w:r>
          </w:p>
        </w:tc>
        <w:tc>
          <w:tcPr>
            <w:tcW w:w="1304" w:type="dxa"/>
            <w:tcBorders>
              <w:top w:val="nil"/>
              <w:left w:val="nil"/>
              <w:bottom w:val="nil"/>
              <w:right w:val="nil"/>
            </w:tcBorders>
            <w:hideMark/>
          </w:tcPr>
          <w:p w14:paraId="63FE56D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-3,949</w:t>
            </w:r>
          </w:p>
        </w:tc>
        <w:tc>
          <w:tcPr>
            <w:tcW w:w="1305" w:type="dxa"/>
            <w:tcBorders>
              <w:top w:val="nil"/>
              <w:left w:val="nil"/>
              <w:bottom w:val="nil"/>
              <w:right w:val="nil"/>
            </w:tcBorders>
            <w:hideMark/>
          </w:tcPr>
          <w:p w14:paraId="2F577B49"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6,207</w:t>
            </w:r>
          </w:p>
        </w:tc>
        <w:tc>
          <w:tcPr>
            <w:tcW w:w="1305" w:type="dxa"/>
            <w:tcBorders>
              <w:top w:val="nil"/>
              <w:left w:val="nil"/>
              <w:bottom w:val="nil"/>
              <w:right w:val="nil"/>
            </w:tcBorders>
            <w:hideMark/>
          </w:tcPr>
          <w:p w14:paraId="4A2163EE"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1,566</w:t>
            </w:r>
          </w:p>
        </w:tc>
        <w:tc>
          <w:tcPr>
            <w:tcW w:w="1305" w:type="dxa"/>
            <w:tcBorders>
              <w:top w:val="nil"/>
              <w:left w:val="nil"/>
              <w:bottom w:val="nil"/>
              <w:right w:val="nil"/>
            </w:tcBorders>
            <w:hideMark/>
          </w:tcPr>
          <w:p w14:paraId="7E037514"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-0,032</w:t>
            </w:r>
          </w:p>
        </w:tc>
        <w:tc>
          <w:tcPr>
            <w:tcW w:w="1353" w:type="dxa"/>
            <w:tcBorders>
              <w:top w:val="nil"/>
              <w:left w:val="nil"/>
              <w:bottom w:val="nil"/>
              <w:right w:val="nil"/>
            </w:tcBorders>
            <w:hideMark/>
          </w:tcPr>
          <w:p w14:paraId="65AF756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5,212</w:t>
            </w:r>
          </w:p>
        </w:tc>
      </w:tr>
      <w:tr w:rsidR="00280999" w:rsidRPr="002F6C22" w14:paraId="00D64EEA" w14:textId="77777777" w:rsidTr="00123072">
        <w:trPr>
          <w:trHeight w:val="20"/>
          <w:jc w:val="center"/>
        </w:trPr>
        <w:tc>
          <w:tcPr>
            <w:tcW w:w="1314" w:type="dxa"/>
            <w:tcBorders>
              <w:top w:val="nil"/>
              <w:left w:val="nil"/>
              <w:bottom w:val="nil"/>
              <w:right w:val="nil"/>
            </w:tcBorders>
            <w:hideMark/>
          </w:tcPr>
          <w:p w14:paraId="2F4EAB25"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PHL</w:t>
            </w:r>
          </w:p>
        </w:tc>
        <w:tc>
          <w:tcPr>
            <w:tcW w:w="1474" w:type="dxa"/>
            <w:tcBorders>
              <w:top w:val="nil"/>
              <w:left w:val="nil"/>
              <w:bottom w:val="nil"/>
              <w:right w:val="nil"/>
            </w:tcBorders>
            <w:hideMark/>
          </w:tcPr>
          <w:p w14:paraId="780889D2"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1,691</w:t>
            </w:r>
          </w:p>
        </w:tc>
        <w:tc>
          <w:tcPr>
            <w:tcW w:w="1304" w:type="dxa"/>
            <w:tcBorders>
              <w:top w:val="nil"/>
              <w:left w:val="nil"/>
              <w:bottom w:val="nil"/>
              <w:right w:val="nil"/>
            </w:tcBorders>
            <w:hideMark/>
          </w:tcPr>
          <w:p w14:paraId="7A9C464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-5,636</w:t>
            </w:r>
          </w:p>
        </w:tc>
        <w:tc>
          <w:tcPr>
            <w:tcW w:w="1305" w:type="dxa"/>
            <w:tcBorders>
              <w:top w:val="nil"/>
              <w:left w:val="nil"/>
              <w:bottom w:val="nil"/>
              <w:right w:val="nil"/>
            </w:tcBorders>
            <w:hideMark/>
          </w:tcPr>
          <w:p w14:paraId="58402D50"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4,014</w:t>
            </w:r>
          </w:p>
        </w:tc>
        <w:tc>
          <w:tcPr>
            <w:tcW w:w="1305" w:type="dxa"/>
            <w:tcBorders>
              <w:top w:val="nil"/>
              <w:left w:val="nil"/>
              <w:bottom w:val="nil"/>
              <w:right w:val="nil"/>
            </w:tcBorders>
            <w:hideMark/>
          </w:tcPr>
          <w:p w14:paraId="31174016"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1,308</w:t>
            </w:r>
          </w:p>
        </w:tc>
        <w:tc>
          <w:tcPr>
            <w:tcW w:w="1305" w:type="dxa"/>
            <w:tcBorders>
              <w:top w:val="nil"/>
              <w:left w:val="nil"/>
              <w:bottom w:val="nil"/>
              <w:right w:val="nil"/>
            </w:tcBorders>
            <w:hideMark/>
          </w:tcPr>
          <w:p w14:paraId="640266A7"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-3,399</w:t>
            </w:r>
          </w:p>
        </w:tc>
        <w:tc>
          <w:tcPr>
            <w:tcW w:w="1353" w:type="dxa"/>
            <w:tcBorders>
              <w:top w:val="nil"/>
              <w:left w:val="nil"/>
              <w:bottom w:val="nil"/>
              <w:right w:val="nil"/>
            </w:tcBorders>
            <w:hideMark/>
          </w:tcPr>
          <w:p w14:paraId="4B290CA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17,021</w:t>
            </w:r>
          </w:p>
        </w:tc>
      </w:tr>
      <w:tr w:rsidR="00280999" w:rsidRPr="002F6C22" w14:paraId="5615EDD3" w14:textId="77777777" w:rsidTr="00123072">
        <w:trPr>
          <w:trHeight w:val="20"/>
          <w:jc w:val="center"/>
        </w:trPr>
        <w:tc>
          <w:tcPr>
            <w:tcW w:w="1314" w:type="dxa"/>
            <w:tcBorders>
              <w:top w:val="nil"/>
              <w:left w:val="nil"/>
              <w:bottom w:val="nil"/>
              <w:right w:val="nil"/>
            </w:tcBorders>
            <w:hideMark/>
          </w:tcPr>
          <w:p w14:paraId="389E12FE"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MYS</w:t>
            </w:r>
          </w:p>
        </w:tc>
        <w:tc>
          <w:tcPr>
            <w:tcW w:w="1474" w:type="dxa"/>
            <w:tcBorders>
              <w:top w:val="nil"/>
              <w:left w:val="nil"/>
              <w:bottom w:val="nil"/>
              <w:right w:val="nil"/>
            </w:tcBorders>
            <w:hideMark/>
          </w:tcPr>
          <w:p w14:paraId="234B65A8"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1,556</w:t>
            </w:r>
          </w:p>
        </w:tc>
        <w:tc>
          <w:tcPr>
            <w:tcW w:w="1304" w:type="dxa"/>
            <w:tcBorders>
              <w:top w:val="nil"/>
              <w:left w:val="nil"/>
              <w:bottom w:val="nil"/>
              <w:right w:val="nil"/>
            </w:tcBorders>
            <w:hideMark/>
          </w:tcPr>
          <w:p w14:paraId="1E8792A2"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-5,641</w:t>
            </w:r>
          </w:p>
        </w:tc>
        <w:tc>
          <w:tcPr>
            <w:tcW w:w="1305" w:type="dxa"/>
            <w:tcBorders>
              <w:top w:val="nil"/>
              <w:left w:val="nil"/>
              <w:bottom w:val="nil"/>
              <w:right w:val="nil"/>
            </w:tcBorders>
            <w:hideMark/>
          </w:tcPr>
          <w:p w14:paraId="521117F5"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5,444</w:t>
            </w:r>
          </w:p>
        </w:tc>
        <w:tc>
          <w:tcPr>
            <w:tcW w:w="1305" w:type="dxa"/>
            <w:tcBorders>
              <w:top w:val="nil"/>
              <w:left w:val="nil"/>
              <w:bottom w:val="nil"/>
              <w:right w:val="nil"/>
            </w:tcBorders>
            <w:hideMark/>
          </w:tcPr>
          <w:p w14:paraId="74D0FA4D"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1,308</w:t>
            </w:r>
          </w:p>
        </w:tc>
        <w:tc>
          <w:tcPr>
            <w:tcW w:w="1305" w:type="dxa"/>
            <w:tcBorders>
              <w:top w:val="nil"/>
              <w:left w:val="nil"/>
              <w:bottom w:val="nil"/>
              <w:right w:val="nil"/>
            </w:tcBorders>
            <w:hideMark/>
          </w:tcPr>
          <w:p w14:paraId="101F562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-2,029</w:t>
            </w:r>
          </w:p>
        </w:tc>
        <w:tc>
          <w:tcPr>
            <w:tcW w:w="1353" w:type="dxa"/>
            <w:tcBorders>
              <w:top w:val="nil"/>
              <w:left w:val="nil"/>
              <w:bottom w:val="nil"/>
              <w:right w:val="nil"/>
            </w:tcBorders>
            <w:hideMark/>
          </w:tcPr>
          <w:p w14:paraId="1D3A067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13,427</w:t>
            </w:r>
          </w:p>
        </w:tc>
      </w:tr>
      <w:tr w:rsidR="00280999" w:rsidRPr="002F6C22" w14:paraId="0786CC48" w14:textId="77777777" w:rsidTr="00123072">
        <w:trPr>
          <w:trHeight w:val="249"/>
          <w:jc w:val="center"/>
        </w:trPr>
        <w:tc>
          <w:tcPr>
            <w:tcW w:w="1314" w:type="dxa"/>
            <w:tcBorders>
              <w:top w:val="nil"/>
              <w:left w:val="nil"/>
              <w:bottom w:val="single" w:sz="12" w:space="0" w:color="auto"/>
              <w:right w:val="nil"/>
            </w:tcBorders>
            <w:hideMark/>
          </w:tcPr>
          <w:p w14:paraId="22518A27" w14:textId="77777777" w:rsidR="00280999" w:rsidRPr="002F6C22" w:rsidRDefault="00280999"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IDN</w:t>
            </w:r>
          </w:p>
        </w:tc>
        <w:tc>
          <w:tcPr>
            <w:tcW w:w="1474" w:type="dxa"/>
            <w:tcBorders>
              <w:top w:val="nil"/>
              <w:left w:val="nil"/>
              <w:bottom w:val="single" w:sz="12" w:space="0" w:color="auto"/>
              <w:right w:val="nil"/>
            </w:tcBorders>
            <w:hideMark/>
          </w:tcPr>
          <w:p w14:paraId="2D2DAD1F"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1,672</w:t>
            </w:r>
          </w:p>
        </w:tc>
        <w:tc>
          <w:tcPr>
            <w:tcW w:w="1304" w:type="dxa"/>
            <w:tcBorders>
              <w:top w:val="nil"/>
              <w:left w:val="nil"/>
              <w:bottom w:val="single" w:sz="12" w:space="0" w:color="auto"/>
              <w:right w:val="nil"/>
            </w:tcBorders>
            <w:hideMark/>
          </w:tcPr>
          <w:p w14:paraId="4C574585"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-1,774</w:t>
            </w:r>
          </w:p>
        </w:tc>
        <w:tc>
          <w:tcPr>
            <w:tcW w:w="1305" w:type="dxa"/>
            <w:tcBorders>
              <w:top w:val="nil"/>
              <w:left w:val="nil"/>
              <w:bottom w:val="single" w:sz="12" w:space="0" w:color="auto"/>
              <w:right w:val="nil"/>
            </w:tcBorders>
            <w:hideMark/>
          </w:tcPr>
          <w:p w14:paraId="4B12CF31"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2,823</w:t>
            </w:r>
          </w:p>
        </w:tc>
        <w:tc>
          <w:tcPr>
            <w:tcW w:w="1305" w:type="dxa"/>
            <w:tcBorders>
              <w:top w:val="nil"/>
              <w:left w:val="nil"/>
              <w:bottom w:val="single" w:sz="12" w:space="0" w:color="auto"/>
              <w:right w:val="nil"/>
            </w:tcBorders>
            <w:hideMark/>
          </w:tcPr>
          <w:p w14:paraId="2BA35668"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0,659</w:t>
            </w:r>
          </w:p>
        </w:tc>
        <w:tc>
          <w:tcPr>
            <w:tcW w:w="1305" w:type="dxa"/>
            <w:tcBorders>
              <w:top w:val="nil"/>
              <w:left w:val="nil"/>
              <w:bottom w:val="single" w:sz="12" w:space="0" w:color="auto"/>
              <w:right w:val="nil"/>
            </w:tcBorders>
            <w:hideMark/>
          </w:tcPr>
          <w:p w14:paraId="343691D3"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-3,195</w:t>
            </w:r>
          </w:p>
        </w:tc>
        <w:tc>
          <w:tcPr>
            <w:tcW w:w="1353" w:type="dxa"/>
            <w:tcBorders>
              <w:top w:val="nil"/>
              <w:left w:val="nil"/>
              <w:bottom w:val="single" w:sz="12" w:space="0" w:color="auto"/>
              <w:right w:val="nil"/>
            </w:tcBorders>
            <w:hideMark/>
          </w:tcPr>
          <w:p w14:paraId="2C850E6A" w14:textId="77777777" w:rsidR="00280999" w:rsidRPr="002F6C22" w:rsidRDefault="00280999"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15,516</w:t>
            </w:r>
          </w:p>
        </w:tc>
      </w:tr>
    </w:tbl>
    <w:p w14:paraId="47C010F1" w14:textId="0CC3BE0F" w:rsidR="00D91117" w:rsidRPr="00123072" w:rsidRDefault="00280999" w:rsidP="00166A58">
      <w:pPr>
        <w:pStyle w:val="ListParagraph"/>
        <w:spacing w:before="120" w:after="120" w:line="240" w:lineRule="auto"/>
        <w:ind w:left="0" w:firstLine="567"/>
        <w:jc w:val="center"/>
        <w:rPr>
          <w:rFonts w:asciiTheme="majorHAnsi" w:hAnsiTheme="majorHAnsi" w:cstheme="majorHAnsi"/>
          <w:sz w:val="20"/>
          <w:szCs w:val="20"/>
        </w:rPr>
      </w:pPr>
      <w:r w:rsidRPr="00123072">
        <w:rPr>
          <w:rFonts w:asciiTheme="majorHAnsi" w:hAnsiTheme="majorHAnsi" w:cstheme="majorHAnsi"/>
          <w:sz w:val="20"/>
          <w:szCs w:val="20"/>
        </w:rPr>
        <w:t>Nguồn: Nhóm tác giả</w:t>
      </w:r>
    </w:p>
    <w:p w14:paraId="27DF8B99" w14:textId="77777777" w:rsidR="005D2942" w:rsidRPr="002F6C22" w:rsidRDefault="005D2942" w:rsidP="00166A58">
      <w:pPr>
        <w:pStyle w:val="ListParagraph"/>
        <w:spacing w:before="120" w:after="120" w:line="240" w:lineRule="auto"/>
        <w:ind w:left="0" w:firstLine="567"/>
        <w:jc w:val="center"/>
        <w:rPr>
          <w:rFonts w:asciiTheme="majorHAnsi" w:hAnsiTheme="majorHAnsi" w:cstheme="majorHAnsi"/>
          <w:i/>
        </w:rPr>
      </w:pPr>
    </w:p>
    <w:p w14:paraId="365BCB88" w14:textId="77777777" w:rsidR="0054218B" w:rsidRDefault="0054218B">
      <w:pPr>
        <w:rPr>
          <w:rFonts w:asciiTheme="majorHAnsi" w:hAnsiTheme="majorHAnsi" w:cstheme="majorHAnsi"/>
          <w:b/>
        </w:rPr>
      </w:pPr>
      <w:r>
        <w:rPr>
          <w:rFonts w:asciiTheme="majorHAnsi" w:hAnsiTheme="majorHAnsi" w:cstheme="majorHAnsi"/>
        </w:rPr>
        <w:br w:type="page"/>
      </w:r>
    </w:p>
    <w:p w14:paraId="747A6FE8" w14:textId="65097DC9" w:rsidR="00A129B2" w:rsidRPr="00D906E4" w:rsidRDefault="00A129B2" w:rsidP="000A0D62">
      <w:pPr>
        <w:pStyle w:val="bang"/>
        <w:spacing w:before="240" w:after="120"/>
        <w:jc w:val="left"/>
        <w:rPr>
          <w:rFonts w:asciiTheme="majorHAnsi" w:hAnsiTheme="majorHAnsi" w:cstheme="majorHAnsi"/>
          <w:b w:val="0"/>
          <w:bCs/>
          <w:sz w:val="20"/>
          <w:szCs w:val="20"/>
        </w:rPr>
      </w:pPr>
      <w:r w:rsidRPr="00D906E4">
        <w:rPr>
          <w:rFonts w:asciiTheme="majorHAnsi" w:hAnsiTheme="majorHAnsi" w:cstheme="majorHAnsi"/>
          <w:sz w:val="20"/>
          <w:szCs w:val="20"/>
        </w:rPr>
        <w:lastRenderedPageBreak/>
        <w:t>Bảng 3</w:t>
      </w:r>
      <w:r w:rsidR="005D1E5F" w:rsidRPr="00642D29">
        <w:rPr>
          <w:rFonts w:asciiTheme="majorHAnsi" w:hAnsiTheme="majorHAnsi" w:cstheme="majorHAnsi"/>
          <w:sz w:val="20"/>
          <w:szCs w:val="20"/>
        </w:rPr>
        <w:t>.</w:t>
      </w:r>
      <w:r w:rsidRPr="00D906E4">
        <w:rPr>
          <w:rFonts w:asciiTheme="majorHAnsi" w:hAnsiTheme="majorHAnsi" w:cstheme="majorHAnsi"/>
          <w:sz w:val="20"/>
          <w:szCs w:val="20"/>
        </w:rPr>
        <w:t xml:space="preserve"> </w:t>
      </w:r>
      <w:r w:rsidRPr="00D906E4">
        <w:rPr>
          <w:rFonts w:asciiTheme="majorHAnsi" w:hAnsiTheme="majorHAnsi" w:cstheme="majorHAnsi"/>
          <w:b w:val="0"/>
          <w:bCs/>
          <w:sz w:val="20"/>
          <w:szCs w:val="20"/>
        </w:rPr>
        <w:t>Thống kê mô tả về IPI ở ASEAN–6 trong giai đoạn 2002–</w:t>
      </w:r>
      <w:r w:rsidR="000A0D62">
        <w:rPr>
          <w:rFonts w:asciiTheme="majorHAnsi" w:hAnsiTheme="majorHAnsi" w:cstheme="majorHAnsi"/>
          <w:b w:val="0"/>
          <w:bCs/>
          <w:sz w:val="20"/>
          <w:szCs w:val="20"/>
        </w:rPr>
        <w:t>2023.</w:t>
      </w:r>
    </w:p>
    <w:tbl>
      <w:tblPr>
        <w:tblStyle w:val="TableGrid"/>
        <w:tblW w:w="9450" w:type="dxa"/>
        <w:jc w:val="center"/>
        <w:tblLayout w:type="fixed"/>
        <w:tblLook w:val="04A0" w:firstRow="1" w:lastRow="0" w:firstColumn="1" w:lastColumn="0" w:noHBand="0" w:noVBand="1"/>
      </w:tblPr>
      <w:tblGrid>
        <w:gridCol w:w="180"/>
        <w:gridCol w:w="1134"/>
        <w:gridCol w:w="1474"/>
        <w:gridCol w:w="1304"/>
        <w:gridCol w:w="1305"/>
        <w:gridCol w:w="1305"/>
        <w:gridCol w:w="1305"/>
        <w:gridCol w:w="1443"/>
      </w:tblGrid>
      <w:tr w:rsidR="00A129B2" w:rsidRPr="002F6C22" w14:paraId="497808B8" w14:textId="77777777" w:rsidTr="00D906E4">
        <w:trPr>
          <w:trHeight w:val="20"/>
          <w:jc w:val="center"/>
        </w:trPr>
        <w:tc>
          <w:tcPr>
            <w:tcW w:w="1314" w:type="dxa"/>
            <w:gridSpan w:val="2"/>
            <w:tcBorders>
              <w:top w:val="single" w:sz="12" w:space="0" w:color="auto"/>
              <w:left w:val="nil"/>
              <w:bottom w:val="single" w:sz="12" w:space="0" w:color="auto"/>
              <w:right w:val="nil"/>
            </w:tcBorders>
          </w:tcPr>
          <w:p w14:paraId="1823FA6A" w14:textId="77777777" w:rsidR="00A129B2" w:rsidRPr="002F6C22" w:rsidRDefault="00A129B2" w:rsidP="005D2942">
            <w:pPr>
              <w:spacing w:before="120" w:after="120"/>
              <w:jc w:val="center"/>
              <w:rPr>
                <w:rFonts w:asciiTheme="majorHAnsi" w:hAnsiTheme="majorHAnsi" w:cstheme="majorHAnsi"/>
                <w:sz w:val="22"/>
                <w:szCs w:val="22"/>
                <w:lang w:val="vi-VN"/>
              </w:rPr>
            </w:pPr>
          </w:p>
        </w:tc>
        <w:tc>
          <w:tcPr>
            <w:tcW w:w="1474" w:type="dxa"/>
            <w:tcBorders>
              <w:top w:val="single" w:sz="12" w:space="0" w:color="auto"/>
              <w:left w:val="nil"/>
              <w:bottom w:val="single" w:sz="12" w:space="0" w:color="auto"/>
              <w:right w:val="nil"/>
            </w:tcBorders>
            <w:hideMark/>
          </w:tcPr>
          <w:p w14:paraId="374A73F9"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3E4FEB87"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1B0B6C3E"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204443F8"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 chuẩn</w:t>
            </w:r>
          </w:p>
        </w:tc>
        <w:tc>
          <w:tcPr>
            <w:tcW w:w="1305" w:type="dxa"/>
            <w:tcBorders>
              <w:top w:val="single" w:sz="12" w:space="0" w:color="auto"/>
              <w:left w:val="nil"/>
              <w:bottom w:val="single" w:sz="12" w:space="0" w:color="auto"/>
              <w:right w:val="nil"/>
            </w:tcBorders>
            <w:hideMark/>
          </w:tcPr>
          <w:p w14:paraId="75F03278"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443" w:type="dxa"/>
            <w:tcBorders>
              <w:top w:val="single" w:sz="12" w:space="0" w:color="auto"/>
              <w:left w:val="nil"/>
              <w:bottom w:val="single" w:sz="12" w:space="0" w:color="auto"/>
              <w:right w:val="nil"/>
            </w:tcBorders>
            <w:hideMark/>
          </w:tcPr>
          <w:p w14:paraId="1ACD1A56"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A129B2" w:rsidRPr="002F6C22" w14:paraId="39DB8025" w14:textId="77777777" w:rsidTr="00D906E4">
        <w:trPr>
          <w:gridBefore w:val="1"/>
          <w:wBefore w:w="180" w:type="dxa"/>
          <w:trHeight w:val="20"/>
          <w:jc w:val="center"/>
        </w:trPr>
        <w:tc>
          <w:tcPr>
            <w:tcW w:w="1134" w:type="dxa"/>
            <w:tcBorders>
              <w:top w:val="single" w:sz="12" w:space="0" w:color="auto"/>
              <w:left w:val="nil"/>
              <w:bottom w:val="nil"/>
              <w:right w:val="nil"/>
            </w:tcBorders>
            <w:hideMark/>
          </w:tcPr>
          <w:p w14:paraId="1CF34C8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VNM</w:t>
            </w:r>
          </w:p>
        </w:tc>
        <w:tc>
          <w:tcPr>
            <w:tcW w:w="1474" w:type="dxa"/>
            <w:tcBorders>
              <w:top w:val="single" w:sz="12" w:space="0" w:color="auto"/>
              <w:left w:val="nil"/>
              <w:bottom w:val="nil"/>
              <w:right w:val="nil"/>
            </w:tcBorders>
            <w:hideMark/>
          </w:tcPr>
          <w:p w14:paraId="3CCB3D5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10,481</w:t>
            </w:r>
          </w:p>
        </w:tc>
        <w:tc>
          <w:tcPr>
            <w:tcW w:w="1304" w:type="dxa"/>
            <w:tcBorders>
              <w:top w:val="single" w:sz="12" w:space="0" w:color="auto"/>
              <w:left w:val="nil"/>
              <w:bottom w:val="nil"/>
              <w:right w:val="nil"/>
            </w:tcBorders>
            <w:hideMark/>
          </w:tcPr>
          <w:p w14:paraId="5BFD273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-14,9</w:t>
            </w:r>
          </w:p>
        </w:tc>
        <w:tc>
          <w:tcPr>
            <w:tcW w:w="1305" w:type="dxa"/>
            <w:tcBorders>
              <w:top w:val="single" w:sz="12" w:space="0" w:color="auto"/>
              <w:left w:val="nil"/>
              <w:bottom w:val="nil"/>
              <w:right w:val="nil"/>
            </w:tcBorders>
            <w:hideMark/>
          </w:tcPr>
          <w:p w14:paraId="19D574E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67,718</w:t>
            </w:r>
          </w:p>
        </w:tc>
        <w:tc>
          <w:tcPr>
            <w:tcW w:w="1305" w:type="dxa"/>
            <w:tcBorders>
              <w:top w:val="single" w:sz="12" w:space="0" w:color="auto"/>
              <w:left w:val="nil"/>
              <w:bottom w:val="nil"/>
              <w:right w:val="nil"/>
            </w:tcBorders>
            <w:hideMark/>
          </w:tcPr>
          <w:p w14:paraId="2CF3275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8,547</w:t>
            </w:r>
          </w:p>
        </w:tc>
        <w:tc>
          <w:tcPr>
            <w:tcW w:w="1305" w:type="dxa"/>
            <w:tcBorders>
              <w:top w:val="single" w:sz="12" w:space="0" w:color="auto"/>
              <w:left w:val="nil"/>
              <w:bottom w:val="nil"/>
              <w:right w:val="nil"/>
            </w:tcBorders>
            <w:hideMark/>
          </w:tcPr>
          <w:p w14:paraId="0739623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1,566</w:t>
            </w:r>
          </w:p>
        </w:tc>
        <w:tc>
          <w:tcPr>
            <w:tcW w:w="1443" w:type="dxa"/>
            <w:tcBorders>
              <w:top w:val="single" w:sz="12" w:space="0" w:color="auto"/>
              <w:left w:val="nil"/>
              <w:bottom w:val="nil"/>
              <w:right w:val="nil"/>
            </w:tcBorders>
            <w:hideMark/>
          </w:tcPr>
          <w:p w14:paraId="3F79AC8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10,921</w:t>
            </w:r>
          </w:p>
        </w:tc>
      </w:tr>
      <w:tr w:rsidR="00A129B2" w:rsidRPr="002F6C22" w14:paraId="3FAF2276" w14:textId="77777777" w:rsidTr="00D906E4">
        <w:trPr>
          <w:gridBefore w:val="1"/>
          <w:wBefore w:w="180" w:type="dxa"/>
          <w:trHeight w:val="20"/>
          <w:jc w:val="center"/>
        </w:trPr>
        <w:tc>
          <w:tcPr>
            <w:tcW w:w="1134" w:type="dxa"/>
            <w:tcBorders>
              <w:top w:val="nil"/>
              <w:left w:val="nil"/>
              <w:bottom w:val="nil"/>
              <w:right w:val="nil"/>
            </w:tcBorders>
            <w:hideMark/>
          </w:tcPr>
          <w:p w14:paraId="34CFD68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THA</w:t>
            </w:r>
          </w:p>
        </w:tc>
        <w:tc>
          <w:tcPr>
            <w:tcW w:w="1474" w:type="dxa"/>
            <w:tcBorders>
              <w:top w:val="nil"/>
              <w:left w:val="nil"/>
              <w:bottom w:val="nil"/>
              <w:right w:val="nil"/>
            </w:tcBorders>
            <w:hideMark/>
          </w:tcPr>
          <w:p w14:paraId="2465864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3,159</w:t>
            </w:r>
          </w:p>
        </w:tc>
        <w:tc>
          <w:tcPr>
            <w:tcW w:w="1304" w:type="dxa"/>
            <w:tcBorders>
              <w:top w:val="nil"/>
              <w:left w:val="nil"/>
              <w:bottom w:val="nil"/>
              <w:right w:val="nil"/>
            </w:tcBorders>
            <w:hideMark/>
          </w:tcPr>
          <w:p w14:paraId="65DE3DF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-34,577</w:t>
            </w:r>
          </w:p>
        </w:tc>
        <w:tc>
          <w:tcPr>
            <w:tcW w:w="1305" w:type="dxa"/>
            <w:tcBorders>
              <w:top w:val="nil"/>
              <w:left w:val="nil"/>
              <w:bottom w:val="nil"/>
              <w:right w:val="nil"/>
            </w:tcBorders>
            <w:hideMark/>
          </w:tcPr>
          <w:p w14:paraId="19FB3E1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59,55</w:t>
            </w:r>
          </w:p>
        </w:tc>
        <w:tc>
          <w:tcPr>
            <w:tcW w:w="1305" w:type="dxa"/>
            <w:tcBorders>
              <w:top w:val="nil"/>
              <w:left w:val="nil"/>
              <w:bottom w:val="nil"/>
              <w:right w:val="nil"/>
            </w:tcBorders>
            <w:hideMark/>
          </w:tcPr>
          <w:p w14:paraId="5688BAC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10,577</w:t>
            </w:r>
          </w:p>
        </w:tc>
        <w:tc>
          <w:tcPr>
            <w:tcW w:w="1305" w:type="dxa"/>
            <w:tcBorders>
              <w:top w:val="nil"/>
              <w:left w:val="nil"/>
              <w:bottom w:val="nil"/>
              <w:right w:val="nil"/>
            </w:tcBorders>
            <w:hideMark/>
          </w:tcPr>
          <w:p w14:paraId="56729C17"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0,614</w:t>
            </w:r>
          </w:p>
        </w:tc>
        <w:tc>
          <w:tcPr>
            <w:tcW w:w="1443" w:type="dxa"/>
            <w:tcBorders>
              <w:top w:val="nil"/>
              <w:left w:val="nil"/>
              <w:bottom w:val="nil"/>
              <w:right w:val="nil"/>
            </w:tcBorders>
            <w:hideMark/>
          </w:tcPr>
          <w:p w14:paraId="05DB0DD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7,523</w:t>
            </w:r>
          </w:p>
        </w:tc>
      </w:tr>
      <w:tr w:rsidR="00A129B2" w:rsidRPr="002F6C22" w14:paraId="7A2F0A7B" w14:textId="77777777" w:rsidTr="00D906E4">
        <w:trPr>
          <w:gridBefore w:val="1"/>
          <w:wBefore w:w="180" w:type="dxa"/>
          <w:trHeight w:val="20"/>
          <w:jc w:val="center"/>
        </w:trPr>
        <w:tc>
          <w:tcPr>
            <w:tcW w:w="1134" w:type="dxa"/>
            <w:tcBorders>
              <w:top w:val="nil"/>
              <w:left w:val="nil"/>
              <w:bottom w:val="nil"/>
              <w:right w:val="nil"/>
            </w:tcBorders>
            <w:hideMark/>
          </w:tcPr>
          <w:p w14:paraId="3CC9E089"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SGP</w:t>
            </w:r>
          </w:p>
        </w:tc>
        <w:tc>
          <w:tcPr>
            <w:tcW w:w="1474" w:type="dxa"/>
            <w:tcBorders>
              <w:top w:val="nil"/>
              <w:left w:val="nil"/>
              <w:bottom w:val="nil"/>
              <w:right w:val="nil"/>
            </w:tcBorders>
            <w:hideMark/>
          </w:tcPr>
          <w:p w14:paraId="27B7AF2E"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5,872</w:t>
            </w:r>
          </w:p>
        </w:tc>
        <w:tc>
          <w:tcPr>
            <w:tcW w:w="1304" w:type="dxa"/>
            <w:tcBorders>
              <w:top w:val="nil"/>
              <w:left w:val="nil"/>
              <w:bottom w:val="nil"/>
              <w:right w:val="nil"/>
            </w:tcBorders>
            <w:hideMark/>
          </w:tcPr>
          <w:p w14:paraId="4CC82F2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-32,247</w:t>
            </w:r>
          </w:p>
        </w:tc>
        <w:tc>
          <w:tcPr>
            <w:tcW w:w="1305" w:type="dxa"/>
            <w:tcBorders>
              <w:top w:val="nil"/>
              <w:left w:val="nil"/>
              <w:bottom w:val="nil"/>
              <w:right w:val="nil"/>
            </w:tcBorders>
            <w:hideMark/>
          </w:tcPr>
          <w:p w14:paraId="36C5FB42"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58,639</w:t>
            </w:r>
          </w:p>
        </w:tc>
        <w:tc>
          <w:tcPr>
            <w:tcW w:w="1305" w:type="dxa"/>
            <w:tcBorders>
              <w:top w:val="nil"/>
              <w:left w:val="nil"/>
              <w:bottom w:val="nil"/>
              <w:right w:val="nil"/>
            </w:tcBorders>
            <w:hideMark/>
          </w:tcPr>
          <w:p w14:paraId="6444D1C4"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12,218</w:t>
            </w:r>
          </w:p>
        </w:tc>
        <w:tc>
          <w:tcPr>
            <w:tcW w:w="1305" w:type="dxa"/>
            <w:tcBorders>
              <w:top w:val="nil"/>
              <w:left w:val="nil"/>
              <w:bottom w:val="nil"/>
              <w:right w:val="nil"/>
            </w:tcBorders>
            <w:hideMark/>
          </w:tcPr>
          <w:p w14:paraId="3F302E4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0,784</w:t>
            </w:r>
          </w:p>
        </w:tc>
        <w:tc>
          <w:tcPr>
            <w:tcW w:w="1443" w:type="dxa"/>
            <w:tcBorders>
              <w:top w:val="nil"/>
              <w:left w:val="nil"/>
              <w:bottom w:val="nil"/>
              <w:right w:val="nil"/>
            </w:tcBorders>
            <w:hideMark/>
          </w:tcPr>
          <w:p w14:paraId="366C7771"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5,145</w:t>
            </w:r>
          </w:p>
        </w:tc>
      </w:tr>
      <w:tr w:rsidR="00A129B2" w:rsidRPr="002F6C22" w14:paraId="0C3FF8A6" w14:textId="77777777" w:rsidTr="00D906E4">
        <w:trPr>
          <w:gridBefore w:val="1"/>
          <w:wBefore w:w="180" w:type="dxa"/>
          <w:trHeight w:val="20"/>
          <w:jc w:val="center"/>
        </w:trPr>
        <w:tc>
          <w:tcPr>
            <w:tcW w:w="1134" w:type="dxa"/>
            <w:tcBorders>
              <w:top w:val="nil"/>
              <w:left w:val="nil"/>
              <w:bottom w:val="nil"/>
              <w:right w:val="nil"/>
            </w:tcBorders>
            <w:hideMark/>
          </w:tcPr>
          <w:p w14:paraId="79B2081E"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PHL</w:t>
            </w:r>
          </w:p>
        </w:tc>
        <w:tc>
          <w:tcPr>
            <w:tcW w:w="1474" w:type="dxa"/>
            <w:tcBorders>
              <w:top w:val="nil"/>
              <w:left w:val="nil"/>
              <w:bottom w:val="nil"/>
              <w:right w:val="nil"/>
            </w:tcBorders>
            <w:hideMark/>
          </w:tcPr>
          <w:p w14:paraId="3DEE556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9,578</w:t>
            </w:r>
          </w:p>
        </w:tc>
        <w:tc>
          <w:tcPr>
            <w:tcW w:w="1304" w:type="dxa"/>
            <w:tcBorders>
              <w:top w:val="nil"/>
              <w:left w:val="nil"/>
              <w:bottom w:val="nil"/>
              <w:right w:val="nil"/>
            </w:tcBorders>
            <w:hideMark/>
          </w:tcPr>
          <w:p w14:paraId="7B4FC0B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-82,170</w:t>
            </w:r>
          </w:p>
        </w:tc>
        <w:tc>
          <w:tcPr>
            <w:tcW w:w="1305" w:type="dxa"/>
            <w:tcBorders>
              <w:top w:val="nil"/>
              <w:left w:val="nil"/>
              <w:bottom w:val="nil"/>
              <w:right w:val="nil"/>
            </w:tcBorders>
            <w:hideMark/>
          </w:tcPr>
          <w:p w14:paraId="3DA0F3F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534,393</w:t>
            </w:r>
          </w:p>
        </w:tc>
        <w:tc>
          <w:tcPr>
            <w:tcW w:w="1305" w:type="dxa"/>
            <w:tcBorders>
              <w:top w:val="nil"/>
              <w:left w:val="nil"/>
              <w:bottom w:val="nil"/>
              <w:right w:val="nil"/>
            </w:tcBorders>
            <w:hideMark/>
          </w:tcPr>
          <w:p w14:paraId="62BC094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63,238</w:t>
            </w:r>
          </w:p>
        </w:tc>
        <w:tc>
          <w:tcPr>
            <w:tcW w:w="1305" w:type="dxa"/>
            <w:tcBorders>
              <w:top w:val="nil"/>
              <w:left w:val="nil"/>
              <w:bottom w:val="nil"/>
              <w:right w:val="nil"/>
            </w:tcBorders>
            <w:hideMark/>
          </w:tcPr>
          <w:p w14:paraId="62BD75C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6,451</w:t>
            </w:r>
          </w:p>
        </w:tc>
        <w:tc>
          <w:tcPr>
            <w:tcW w:w="1443" w:type="dxa"/>
            <w:tcBorders>
              <w:top w:val="nil"/>
              <w:left w:val="nil"/>
              <w:bottom w:val="nil"/>
              <w:right w:val="nil"/>
            </w:tcBorders>
            <w:hideMark/>
          </w:tcPr>
          <w:p w14:paraId="195C7D4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49,307</w:t>
            </w:r>
          </w:p>
        </w:tc>
      </w:tr>
      <w:tr w:rsidR="00A129B2" w:rsidRPr="002F6C22" w14:paraId="0E340A57" w14:textId="77777777" w:rsidTr="00D906E4">
        <w:trPr>
          <w:gridBefore w:val="1"/>
          <w:wBefore w:w="180" w:type="dxa"/>
          <w:trHeight w:val="20"/>
          <w:jc w:val="center"/>
        </w:trPr>
        <w:tc>
          <w:tcPr>
            <w:tcW w:w="1134" w:type="dxa"/>
            <w:tcBorders>
              <w:top w:val="nil"/>
              <w:left w:val="nil"/>
              <w:bottom w:val="nil"/>
              <w:right w:val="nil"/>
            </w:tcBorders>
            <w:hideMark/>
          </w:tcPr>
          <w:p w14:paraId="0D32AD95"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MYS</w:t>
            </w:r>
          </w:p>
        </w:tc>
        <w:tc>
          <w:tcPr>
            <w:tcW w:w="1474" w:type="dxa"/>
            <w:tcBorders>
              <w:top w:val="nil"/>
              <w:left w:val="nil"/>
              <w:bottom w:val="nil"/>
              <w:right w:val="nil"/>
            </w:tcBorders>
            <w:hideMark/>
          </w:tcPr>
          <w:p w14:paraId="6C39E63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3,607</w:t>
            </w:r>
          </w:p>
        </w:tc>
        <w:tc>
          <w:tcPr>
            <w:tcW w:w="1304" w:type="dxa"/>
            <w:tcBorders>
              <w:top w:val="nil"/>
              <w:left w:val="nil"/>
              <w:bottom w:val="nil"/>
              <w:right w:val="nil"/>
            </w:tcBorders>
            <w:hideMark/>
          </w:tcPr>
          <w:p w14:paraId="04420249"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-31,613</w:t>
            </w:r>
          </w:p>
        </w:tc>
        <w:tc>
          <w:tcPr>
            <w:tcW w:w="1305" w:type="dxa"/>
            <w:tcBorders>
              <w:top w:val="nil"/>
              <w:left w:val="nil"/>
              <w:bottom w:val="nil"/>
              <w:right w:val="nil"/>
            </w:tcBorders>
            <w:hideMark/>
          </w:tcPr>
          <w:p w14:paraId="735E5B72"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49,600</w:t>
            </w:r>
          </w:p>
        </w:tc>
        <w:tc>
          <w:tcPr>
            <w:tcW w:w="1305" w:type="dxa"/>
            <w:tcBorders>
              <w:top w:val="nil"/>
              <w:left w:val="nil"/>
              <w:bottom w:val="nil"/>
              <w:right w:val="nil"/>
            </w:tcBorders>
            <w:hideMark/>
          </w:tcPr>
          <w:p w14:paraId="05E715B6"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6,435</w:t>
            </w:r>
          </w:p>
        </w:tc>
        <w:tc>
          <w:tcPr>
            <w:tcW w:w="1305" w:type="dxa"/>
            <w:tcBorders>
              <w:top w:val="nil"/>
              <w:left w:val="nil"/>
              <w:bottom w:val="nil"/>
              <w:right w:val="nil"/>
            </w:tcBorders>
            <w:hideMark/>
          </w:tcPr>
          <w:p w14:paraId="0D388CC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0,372</w:t>
            </w:r>
          </w:p>
        </w:tc>
        <w:tc>
          <w:tcPr>
            <w:tcW w:w="1443" w:type="dxa"/>
            <w:tcBorders>
              <w:top w:val="nil"/>
              <w:left w:val="nil"/>
              <w:bottom w:val="nil"/>
              <w:right w:val="nil"/>
            </w:tcBorders>
            <w:hideMark/>
          </w:tcPr>
          <w:p w14:paraId="4D7EA2B0"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16,959</w:t>
            </w:r>
          </w:p>
        </w:tc>
      </w:tr>
      <w:tr w:rsidR="00A129B2" w:rsidRPr="002F6C22" w14:paraId="7F9DAED8" w14:textId="77777777" w:rsidTr="00D906E4">
        <w:trPr>
          <w:trHeight w:val="20"/>
          <w:jc w:val="center"/>
        </w:trPr>
        <w:tc>
          <w:tcPr>
            <w:tcW w:w="1314" w:type="dxa"/>
            <w:gridSpan w:val="2"/>
            <w:tcBorders>
              <w:top w:val="nil"/>
              <w:left w:val="nil"/>
              <w:bottom w:val="single" w:sz="12" w:space="0" w:color="auto"/>
              <w:right w:val="nil"/>
            </w:tcBorders>
            <w:hideMark/>
          </w:tcPr>
          <w:p w14:paraId="7D7D5B42" w14:textId="77777777" w:rsidR="00A129B2" w:rsidRPr="002F6C22" w:rsidRDefault="00A129B2"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IDN</w:t>
            </w:r>
          </w:p>
        </w:tc>
        <w:tc>
          <w:tcPr>
            <w:tcW w:w="1474" w:type="dxa"/>
            <w:tcBorders>
              <w:top w:val="nil"/>
              <w:left w:val="nil"/>
              <w:bottom w:val="single" w:sz="12" w:space="0" w:color="auto"/>
              <w:right w:val="nil"/>
            </w:tcBorders>
            <w:hideMark/>
          </w:tcPr>
          <w:p w14:paraId="4D22E0E5"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3,370</w:t>
            </w:r>
          </w:p>
        </w:tc>
        <w:tc>
          <w:tcPr>
            <w:tcW w:w="1304" w:type="dxa"/>
            <w:tcBorders>
              <w:top w:val="nil"/>
              <w:left w:val="nil"/>
              <w:bottom w:val="single" w:sz="12" w:space="0" w:color="auto"/>
              <w:right w:val="nil"/>
            </w:tcBorders>
            <w:hideMark/>
          </w:tcPr>
          <w:p w14:paraId="4E1A9D03"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-32,468</w:t>
            </w:r>
          </w:p>
        </w:tc>
        <w:tc>
          <w:tcPr>
            <w:tcW w:w="1305" w:type="dxa"/>
            <w:tcBorders>
              <w:top w:val="nil"/>
              <w:left w:val="nil"/>
              <w:bottom w:val="single" w:sz="12" w:space="0" w:color="auto"/>
              <w:right w:val="nil"/>
            </w:tcBorders>
            <w:hideMark/>
          </w:tcPr>
          <w:p w14:paraId="6E06648A"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33,745</w:t>
            </w:r>
          </w:p>
        </w:tc>
        <w:tc>
          <w:tcPr>
            <w:tcW w:w="1305" w:type="dxa"/>
            <w:tcBorders>
              <w:top w:val="nil"/>
              <w:left w:val="nil"/>
              <w:bottom w:val="single" w:sz="12" w:space="0" w:color="auto"/>
              <w:right w:val="nil"/>
            </w:tcBorders>
            <w:hideMark/>
          </w:tcPr>
          <w:p w14:paraId="064BE3EB"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6,225</w:t>
            </w:r>
          </w:p>
        </w:tc>
        <w:tc>
          <w:tcPr>
            <w:tcW w:w="1305" w:type="dxa"/>
            <w:tcBorders>
              <w:top w:val="nil"/>
              <w:left w:val="nil"/>
              <w:bottom w:val="single" w:sz="12" w:space="0" w:color="auto"/>
              <w:right w:val="nil"/>
            </w:tcBorders>
            <w:hideMark/>
          </w:tcPr>
          <w:p w14:paraId="2873637F"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-0,551</w:t>
            </w:r>
          </w:p>
        </w:tc>
        <w:tc>
          <w:tcPr>
            <w:tcW w:w="1443" w:type="dxa"/>
            <w:tcBorders>
              <w:top w:val="nil"/>
              <w:left w:val="nil"/>
              <w:bottom w:val="single" w:sz="12" w:space="0" w:color="auto"/>
              <w:right w:val="nil"/>
            </w:tcBorders>
            <w:hideMark/>
          </w:tcPr>
          <w:p w14:paraId="6DBCD0A8" w14:textId="77777777" w:rsidR="00A129B2" w:rsidRPr="002F6C22" w:rsidRDefault="00A129B2"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10,020</w:t>
            </w:r>
          </w:p>
        </w:tc>
      </w:tr>
    </w:tbl>
    <w:p w14:paraId="171F874C" w14:textId="5D1A7F60" w:rsidR="0054218B" w:rsidRPr="000A0D62" w:rsidRDefault="00A129B2" w:rsidP="000A0D62">
      <w:pPr>
        <w:spacing w:before="120" w:after="120" w:line="240" w:lineRule="auto"/>
        <w:ind w:firstLine="567"/>
        <w:jc w:val="center"/>
        <w:rPr>
          <w:rFonts w:asciiTheme="majorHAnsi" w:hAnsiTheme="majorHAnsi" w:cstheme="majorHAnsi"/>
          <w:sz w:val="20"/>
          <w:szCs w:val="20"/>
        </w:rPr>
      </w:pPr>
      <w:r w:rsidRPr="00D906E4">
        <w:rPr>
          <w:rFonts w:asciiTheme="majorHAnsi" w:hAnsiTheme="majorHAnsi" w:cstheme="majorHAnsi"/>
          <w:sz w:val="20"/>
          <w:szCs w:val="20"/>
        </w:rPr>
        <w:t>Nguồn: Nhóm tác giả</w:t>
      </w:r>
    </w:p>
    <w:p w14:paraId="36E3EF70" w14:textId="33C6BE9A" w:rsidR="009003E8" w:rsidRPr="00D906E4" w:rsidRDefault="009003E8" w:rsidP="000A0D62">
      <w:pPr>
        <w:pStyle w:val="bang"/>
        <w:spacing w:before="240" w:after="120"/>
        <w:jc w:val="left"/>
        <w:rPr>
          <w:rFonts w:asciiTheme="majorHAnsi" w:hAnsiTheme="majorHAnsi" w:cstheme="majorHAnsi"/>
          <w:b w:val="0"/>
          <w:bCs/>
          <w:sz w:val="20"/>
          <w:szCs w:val="20"/>
        </w:rPr>
      </w:pPr>
      <w:r w:rsidRPr="00D906E4">
        <w:rPr>
          <w:rFonts w:asciiTheme="majorHAnsi" w:hAnsiTheme="majorHAnsi" w:cstheme="majorHAnsi"/>
          <w:bCs/>
          <w:sz w:val="20"/>
          <w:szCs w:val="20"/>
        </w:rPr>
        <w:t xml:space="preserve">Bảng </w:t>
      </w:r>
      <w:r w:rsidR="00D906E4">
        <w:rPr>
          <w:rFonts w:asciiTheme="majorHAnsi" w:hAnsiTheme="majorHAnsi" w:cstheme="majorHAnsi"/>
          <w:sz w:val="20"/>
          <w:szCs w:val="20"/>
          <w:lang w:val="en-US"/>
        </w:rPr>
        <w:t>4.</w:t>
      </w:r>
      <w:r w:rsidRPr="00D906E4">
        <w:rPr>
          <w:rFonts w:asciiTheme="majorHAnsi" w:hAnsiTheme="majorHAnsi" w:cstheme="majorHAnsi"/>
          <w:bCs/>
          <w:sz w:val="20"/>
          <w:szCs w:val="20"/>
        </w:rPr>
        <w:t xml:space="preserve"> </w:t>
      </w:r>
      <w:r w:rsidRPr="00D906E4">
        <w:rPr>
          <w:rFonts w:asciiTheme="majorHAnsi" w:hAnsiTheme="majorHAnsi" w:cstheme="majorHAnsi"/>
          <w:b w:val="0"/>
          <w:bCs/>
          <w:sz w:val="20"/>
          <w:szCs w:val="20"/>
        </w:rPr>
        <w:t xml:space="preserve">Thống kê mô tả dầu Brent từ năm 2002 đến năm </w:t>
      </w:r>
      <w:r w:rsidR="000A0D62">
        <w:rPr>
          <w:rFonts w:asciiTheme="majorHAnsi" w:hAnsiTheme="majorHAnsi" w:cstheme="majorHAnsi"/>
          <w:b w:val="0"/>
          <w:bCs/>
          <w:sz w:val="20"/>
          <w:szCs w:val="20"/>
        </w:rPr>
        <w:t>2023.</w:t>
      </w:r>
    </w:p>
    <w:tbl>
      <w:tblPr>
        <w:tblStyle w:val="TableGrid"/>
        <w:tblW w:w="9450" w:type="dxa"/>
        <w:jc w:val="center"/>
        <w:tblLayout w:type="fixed"/>
        <w:tblLook w:val="04A0" w:firstRow="1" w:lastRow="0" w:firstColumn="1" w:lastColumn="0" w:noHBand="0" w:noVBand="1"/>
      </w:tblPr>
      <w:tblGrid>
        <w:gridCol w:w="1314"/>
        <w:gridCol w:w="1474"/>
        <w:gridCol w:w="1304"/>
        <w:gridCol w:w="1305"/>
        <w:gridCol w:w="1305"/>
        <w:gridCol w:w="1305"/>
        <w:gridCol w:w="1443"/>
      </w:tblGrid>
      <w:tr w:rsidR="009003E8" w:rsidRPr="002F6C22" w14:paraId="334E16D6" w14:textId="77777777" w:rsidTr="00D906E4">
        <w:trPr>
          <w:trHeight w:val="20"/>
          <w:jc w:val="center"/>
        </w:trPr>
        <w:tc>
          <w:tcPr>
            <w:tcW w:w="1314" w:type="dxa"/>
            <w:tcBorders>
              <w:top w:val="single" w:sz="12" w:space="0" w:color="auto"/>
              <w:left w:val="nil"/>
              <w:bottom w:val="single" w:sz="12" w:space="0" w:color="auto"/>
              <w:right w:val="nil"/>
            </w:tcBorders>
            <w:hideMark/>
          </w:tcPr>
          <w:p w14:paraId="61657CDE" w14:textId="77777777" w:rsidR="009003E8" w:rsidRPr="002F6C22" w:rsidRDefault="009003E8"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Quan</w:t>
            </w:r>
            <w:r w:rsidRPr="002F6C22">
              <w:rPr>
                <w:rFonts w:asciiTheme="majorHAnsi" w:hAnsiTheme="majorHAnsi" w:cstheme="majorHAnsi"/>
                <w:b/>
                <w:bCs/>
                <w:sz w:val="22"/>
                <w:szCs w:val="22"/>
                <w:lang w:val="vi-VN"/>
              </w:rPr>
              <w:t xml:space="preserve"> sát</w:t>
            </w:r>
          </w:p>
        </w:tc>
        <w:tc>
          <w:tcPr>
            <w:tcW w:w="1474" w:type="dxa"/>
            <w:tcBorders>
              <w:top w:val="single" w:sz="12" w:space="0" w:color="auto"/>
              <w:left w:val="nil"/>
              <w:bottom w:val="single" w:sz="12" w:space="0" w:color="auto"/>
              <w:right w:val="nil"/>
            </w:tcBorders>
            <w:hideMark/>
          </w:tcPr>
          <w:p w14:paraId="0D74410B"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trị trung bình</w:t>
            </w:r>
          </w:p>
        </w:tc>
        <w:tc>
          <w:tcPr>
            <w:tcW w:w="1304" w:type="dxa"/>
            <w:tcBorders>
              <w:top w:val="single" w:sz="12" w:space="0" w:color="auto"/>
              <w:left w:val="nil"/>
              <w:bottom w:val="single" w:sz="12" w:space="0" w:color="auto"/>
              <w:right w:val="nil"/>
            </w:tcBorders>
            <w:hideMark/>
          </w:tcPr>
          <w:p w14:paraId="3FF00828"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nhỏ nhất</w:t>
            </w:r>
          </w:p>
        </w:tc>
        <w:tc>
          <w:tcPr>
            <w:tcW w:w="1305" w:type="dxa"/>
            <w:tcBorders>
              <w:top w:val="single" w:sz="12" w:space="0" w:color="auto"/>
              <w:left w:val="nil"/>
              <w:bottom w:val="single" w:sz="12" w:space="0" w:color="auto"/>
              <w:right w:val="nil"/>
            </w:tcBorders>
            <w:hideMark/>
          </w:tcPr>
          <w:p w14:paraId="7675B31B"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Giá trị lớn nhất</w:t>
            </w:r>
          </w:p>
        </w:tc>
        <w:tc>
          <w:tcPr>
            <w:tcW w:w="1305" w:type="dxa"/>
            <w:tcBorders>
              <w:top w:val="single" w:sz="12" w:space="0" w:color="auto"/>
              <w:left w:val="nil"/>
              <w:bottom w:val="single" w:sz="12" w:space="0" w:color="auto"/>
              <w:right w:val="nil"/>
            </w:tcBorders>
            <w:hideMark/>
          </w:tcPr>
          <w:p w14:paraId="1C650514" w14:textId="38DD9EF0" w:rsidR="009003E8" w:rsidRPr="005D2942" w:rsidRDefault="009003E8" w:rsidP="005D2942">
            <w:pPr>
              <w:spacing w:before="120" w:after="120"/>
              <w:jc w:val="center"/>
              <w:rPr>
                <w:rFonts w:asciiTheme="majorHAnsi" w:hAnsiTheme="majorHAnsi" w:cstheme="majorHAnsi"/>
                <w:b/>
                <w:bCs/>
                <w:sz w:val="22"/>
                <w:szCs w:val="22"/>
                <w:lang w:val="vi-VN"/>
              </w:rPr>
            </w:pPr>
            <w:r w:rsidRPr="002F6C22">
              <w:rPr>
                <w:rFonts w:asciiTheme="majorHAnsi" w:hAnsiTheme="majorHAnsi" w:cstheme="majorHAnsi"/>
                <w:b/>
                <w:bCs/>
                <w:sz w:val="22"/>
                <w:szCs w:val="22"/>
              </w:rPr>
              <w:t xml:space="preserve">Độ lệch </w:t>
            </w:r>
            <w:r w:rsidR="005D2942">
              <w:rPr>
                <w:rFonts w:asciiTheme="majorHAnsi" w:hAnsiTheme="majorHAnsi" w:cstheme="majorHAnsi"/>
                <w:b/>
                <w:bCs/>
                <w:sz w:val="22"/>
                <w:szCs w:val="22"/>
              </w:rPr>
              <w:t>chuẩn</w:t>
            </w:r>
            <w:r w:rsidR="005D2942">
              <w:rPr>
                <w:rFonts w:asciiTheme="majorHAnsi" w:hAnsiTheme="majorHAnsi" w:cstheme="majorHAnsi"/>
                <w:b/>
                <w:bCs/>
                <w:sz w:val="22"/>
                <w:szCs w:val="22"/>
                <w:lang w:val="vi-VN"/>
              </w:rPr>
              <w:t xml:space="preserve"> </w:t>
            </w:r>
          </w:p>
        </w:tc>
        <w:tc>
          <w:tcPr>
            <w:tcW w:w="1305" w:type="dxa"/>
            <w:tcBorders>
              <w:top w:val="single" w:sz="12" w:space="0" w:color="auto"/>
              <w:left w:val="nil"/>
              <w:bottom w:val="single" w:sz="12" w:space="0" w:color="auto"/>
              <w:right w:val="nil"/>
            </w:tcBorders>
            <w:hideMark/>
          </w:tcPr>
          <w:p w14:paraId="6A8083E4"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lệch</w:t>
            </w:r>
          </w:p>
        </w:tc>
        <w:tc>
          <w:tcPr>
            <w:tcW w:w="1443" w:type="dxa"/>
            <w:tcBorders>
              <w:top w:val="single" w:sz="12" w:space="0" w:color="auto"/>
              <w:left w:val="nil"/>
              <w:bottom w:val="single" w:sz="12" w:space="0" w:color="auto"/>
              <w:right w:val="nil"/>
            </w:tcBorders>
            <w:hideMark/>
          </w:tcPr>
          <w:p w14:paraId="5F50A16F" w14:textId="77777777" w:rsidR="009003E8" w:rsidRPr="002F6C22" w:rsidRDefault="009003E8" w:rsidP="005D2942">
            <w:pPr>
              <w:spacing w:before="120" w:after="120"/>
              <w:jc w:val="center"/>
              <w:rPr>
                <w:rFonts w:asciiTheme="majorHAnsi" w:hAnsiTheme="majorHAnsi" w:cstheme="majorHAnsi"/>
                <w:b/>
                <w:bCs/>
                <w:sz w:val="22"/>
                <w:szCs w:val="22"/>
              </w:rPr>
            </w:pPr>
            <w:r w:rsidRPr="002F6C22">
              <w:rPr>
                <w:rFonts w:asciiTheme="majorHAnsi" w:hAnsiTheme="majorHAnsi" w:cstheme="majorHAnsi"/>
                <w:b/>
                <w:bCs/>
                <w:sz w:val="22"/>
                <w:szCs w:val="22"/>
              </w:rPr>
              <w:t>Độ nhọn</w:t>
            </w:r>
          </w:p>
        </w:tc>
      </w:tr>
      <w:tr w:rsidR="009003E8" w:rsidRPr="002F6C22" w14:paraId="619D5FC7" w14:textId="77777777" w:rsidTr="00D906E4">
        <w:trPr>
          <w:trHeight w:val="20"/>
          <w:jc w:val="center"/>
        </w:trPr>
        <w:tc>
          <w:tcPr>
            <w:tcW w:w="1314" w:type="dxa"/>
            <w:tcBorders>
              <w:top w:val="single" w:sz="12" w:space="0" w:color="auto"/>
              <w:left w:val="nil"/>
              <w:bottom w:val="single" w:sz="12" w:space="0" w:color="auto"/>
              <w:right w:val="nil"/>
            </w:tcBorders>
            <w:vAlign w:val="center"/>
            <w:hideMark/>
          </w:tcPr>
          <w:p w14:paraId="55CEDEB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264</w:t>
            </w:r>
          </w:p>
        </w:tc>
        <w:tc>
          <w:tcPr>
            <w:tcW w:w="1474" w:type="dxa"/>
            <w:tcBorders>
              <w:top w:val="single" w:sz="12" w:space="0" w:color="auto"/>
              <w:left w:val="nil"/>
              <w:bottom w:val="single" w:sz="12" w:space="0" w:color="auto"/>
              <w:right w:val="nil"/>
            </w:tcBorders>
            <w:vAlign w:val="center"/>
            <w:hideMark/>
          </w:tcPr>
          <w:p w14:paraId="7C42FD8D"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4,167</w:t>
            </w:r>
          </w:p>
        </w:tc>
        <w:tc>
          <w:tcPr>
            <w:tcW w:w="1304" w:type="dxa"/>
            <w:tcBorders>
              <w:top w:val="single" w:sz="12" w:space="0" w:color="auto"/>
              <w:left w:val="nil"/>
              <w:bottom w:val="single" w:sz="12" w:space="0" w:color="auto"/>
              <w:right w:val="nil"/>
            </w:tcBorders>
            <w:vAlign w:val="center"/>
            <w:hideMark/>
          </w:tcPr>
          <w:p w14:paraId="3105F9B8"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2,954</w:t>
            </w:r>
          </w:p>
        </w:tc>
        <w:tc>
          <w:tcPr>
            <w:tcW w:w="1305" w:type="dxa"/>
            <w:tcBorders>
              <w:top w:val="single" w:sz="12" w:space="0" w:color="auto"/>
              <w:left w:val="nil"/>
              <w:bottom w:val="single" w:sz="12" w:space="0" w:color="auto"/>
              <w:right w:val="nil"/>
            </w:tcBorders>
            <w:vAlign w:val="center"/>
            <w:hideMark/>
          </w:tcPr>
          <w:p w14:paraId="4D49C61C"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4,940</w:t>
            </w:r>
          </w:p>
        </w:tc>
        <w:tc>
          <w:tcPr>
            <w:tcW w:w="1305" w:type="dxa"/>
            <w:tcBorders>
              <w:top w:val="single" w:sz="12" w:space="0" w:color="auto"/>
              <w:left w:val="nil"/>
              <w:bottom w:val="single" w:sz="12" w:space="0" w:color="auto"/>
              <w:right w:val="nil"/>
            </w:tcBorders>
            <w:vAlign w:val="center"/>
            <w:hideMark/>
          </w:tcPr>
          <w:p w14:paraId="2241F7D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0,439</w:t>
            </w:r>
          </w:p>
        </w:tc>
        <w:tc>
          <w:tcPr>
            <w:tcW w:w="1305" w:type="dxa"/>
            <w:tcBorders>
              <w:top w:val="single" w:sz="12" w:space="0" w:color="auto"/>
              <w:left w:val="nil"/>
              <w:bottom w:val="single" w:sz="12" w:space="0" w:color="auto"/>
              <w:right w:val="nil"/>
            </w:tcBorders>
            <w:vAlign w:val="center"/>
            <w:hideMark/>
          </w:tcPr>
          <w:p w14:paraId="57CDBA83"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-0,594</w:t>
            </w:r>
          </w:p>
        </w:tc>
        <w:tc>
          <w:tcPr>
            <w:tcW w:w="1443" w:type="dxa"/>
            <w:tcBorders>
              <w:top w:val="single" w:sz="12" w:space="0" w:color="auto"/>
              <w:left w:val="nil"/>
              <w:bottom w:val="single" w:sz="12" w:space="0" w:color="auto"/>
              <w:right w:val="nil"/>
            </w:tcBorders>
            <w:vAlign w:val="center"/>
            <w:hideMark/>
          </w:tcPr>
          <w:p w14:paraId="0A791167" w14:textId="77777777" w:rsidR="009003E8" w:rsidRPr="002F6C22" w:rsidRDefault="009003E8" w:rsidP="005D2942">
            <w:pPr>
              <w:spacing w:before="120" w:after="120"/>
              <w:jc w:val="center"/>
              <w:rPr>
                <w:rFonts w:asciiTheme="majorHAnsi" w:hAnsiTheme="majorHAnsi" w:cstheme="majorHAnsi"/>
                <w:sz w:val="22"/>
                <w:szCs w:val="22"/>
              </w:rPr>
            </w:pPr>
            <w:r w:rsidRPr="002F6C22">
              <w:rPr>
                <w:rFonts w:asciiTheme="majorHAnsi" w:hAnsiTheme="majorHAnsi" w:cstheme="majorHAnsi"/>
                <w:sz w:val="22"/>
                <w:szCs w:val="22"/>
              </w:rPr>
              <w:t>2,686</w:t>
            </w:r>
          </w:p>
        </w:tc>
      </w:tr>
    </w:tbl>
    <w:p w14:paraId="629F47B0" w14:textId="133D46F0" w:rsidR="005A2261" w:rsidRPr="00D906E4" w:rsidRDefault="009003E8" w:rsidP="008448BD">
      <w:pPr>
        <w:spacing w:before="120" w:after="120" w:line="240" w:lineRule="auto"/>
        <w:jc w:val="center"/>
        <w:rPr>
          <w:rFonts w:asciiTheme="majorHAnsi" w:hAnsiTheme="majorHAnsi" w:cstheme="majorHAnsi"/>
          <w:sz w:val="20"/>
          <w:szCs w:val="20"/>
          <w:lang w:val="en-US"/>
        </w:rPr>
      </w:pPr>
      <w:r w:rsidRPr="00D906E4">
        <w:rPr>
          <w:rFonts w:asciiTheme="majorHAnsi" w:hAnsiTheme="majorHAnsi" w:cstheme="majorHAnsi"/>
          <w:sz w:val="20"/>
          <w:szCs w:val="20"/>
        </w:rPr>
        <w:t>Nguồn: Nhóm tác giả</w:t>
      </w:r>
    </w:p>
    <w:p w14:paraId="784FF684" w14:textId="77777777" w:rsidR="0054218B" w:rsidRPr="0054218B" w:rsidRDefault="0054218B" w:rsidP="0054218B">
      <w:pPr>
        <w:spacing w:before="120" w:after="120" w:line="240" w:lineRule="auto"/>
        <w:jc w:val="both"/>
        <w:rPr>
          <w:rFonts w:asciiTheme="majorHAnsi" w:hAnsiTheme="majorHAnsi" w:cstheme="majorHAnsi"/>
          <w:i/>
          <w:iCs/>
          <w:lang w:val="en-US"/>
        </w:rPr>
        <w:sectPr w:rsidR="0054218B" w:rsidRPr="0054218B" w:rsidSect="00166A58">
          <w:type w:val="continuous"/>
          <w:pgSz w:w="11906" w:h="16838" w:code="9"/>
          <w:pgMar w:top="1134" w:right="1134" w:bottom="1134" w:left="1418" w:header="706" w:footer="706" w:gutter="0"/>
          <w:cols w:space="708"/>
          <w:docGrid w:linePitch="360"/>
        </w:sectPr>
      </w:pPr>
    </w:p>
    <w:p w14:paraId="2DDD9547" w14:textId="197D8D2F" w:rsidR="00BA7476" w:rsidRPr="001C3AAE" w:rsidRDefault="00BA7476" w:rsidP="001C3AAE">
      <w:pPr>
        <w:pStyle w:val="ListParagraph"/>
        <w:numPr>
          <w:ilvl w:val="1"/>
          <w:numId w:val="13"/>
        </w:numPr>
        <w:spacing w:before="120" w:after="120" w:line="240" w:lineRule="auto"/>
        <w:rPr>
          <w:rFonts w:asciiTheme="majorHAnsi" w:hAnsiTheme="majorHAnsi" w:cstheme="majorHAnsi"/>
          <w:b/>
          <w:bCs/>
          <w:lang w:val="en-US"/>
        </w:rPr>
      </w:pPr>
      <w:r w:rsidRPr="001C3AAE">
        <w:rPr>
          <w:rFonts w:asciiTheme="majorHAnsi" w:hAnsiTheme="majorHAnsi" w:cstheme="majorHAnsi"/>
          <w:b/>
          <w:bCs/>
          <w:lang w:val="en-US"/>
        </w:rPr>
        <w:t>Phương pháp nghiên cứu</w:t>
      </w:r>
    </w:p>
    <w:p w14:paraId="1775CDB0" w14:textId="3FDB147A" w:rsidR="004007EA" w:rsidRPr="002F6C22" w:rsidRDefault="004007EA" w:rsidP="00CC5DE5">
      <w:pPr>
        <w:spacing w:before="120" w:after="120" w:line="240" w:lineRule="auto"/>
        <w:jc w:val="both"/>
        <w:rPr>
          <w:rFonts w:asciiTheme="majorHAnsi" w:eastAsia="Times New Roman" w:hAnsiTheme="majorHAnsi" w:cstheme="majorHAnsi"/>
          <w:lang w:val="en-US"/>
        </w:rPr>
      </w:pPr>
      <w:bookmarkStart w:id="0" w:name="_Hlk193893240"/>
      <w:r w:rsidRPr="002F6C22">
        <w:rPr>
          <w:rFonts w:asciiTheme="majorHAnsi" w:hAnsiTheme="majorHAnsi" w:cstheme="majorHAnsi"/>
          <w:color w:val="000000" w:themeColor="text1"/>
        </w:rPr>
        <w:t>Chúng tôi sử dụng phương pháp Time</w:t>
      </w:r>
      <w:r w:rsidR="008F10AA" w:rsidRPr="003E1C9F">
        <w:rPr>
          <w:rFonts w:asciiTheme="majorHAnsi" w:hAnsiTheme="majorHAnsi" w:cstheme="majorHAnsi"/>
          <w:sz w:val="20"/>
          <w:szCs w:val="20"/>
        </w:rPr>
        <w:t>–</w:t>
      </w:r>
      <w:r w:rsidRPr="002F6C22">
        <w:rPr>
          <w:rFonts w:asciiTheme="majorHAnsi" w:hAnsiTheme="majorHAnsi" w:cstheme="majorHAnsi"/>
          <w:color w:val="000000" w:themeColor="text1"/>
        </w:rPr>
        <w:t xml:space="preserve">Varying Granger Causality </w:t>
      </w:r>
      <w:r w:rsidR="003135C3">
        <w:rPr>
          <w:rFonts w:asciiTheme="majorHAnsi" w:hAnsiTheme="majorHAnsi" w:cstheme="majorHAnsi"/>
          <w:color w:val="000000" w:themeColor="text1"/>
        </w:rPr>
        <w:t xml:space="preserve">được đề xuất </w:t>
      </w:r>
      <w:r w:rsidR="00BB1F7B">
        <w:rPr>
          <w:rFonts w:asciiTheme="majorHAnsi" w:hAnsiTheme="majorHAnsi" w:cstheme="majorHAnsi"/>
          <w:color w:val="000000" w:themeColor="text1"/>
        </w:rPr>
        <w:t>bởi Shi và cộng sự</w:t>
      </w:r>
      <w:r w:rsidR="003135C3" w:rsidRPr="003135C3">
        <w:rPr>
          <w:rFonts w:asciiTheme="majorHAnsi" w:hAnsiTheme="majorHAnsi" w:cstheme="majorHAnsi"/>
          <w:color w:val="000000" w:themeColor="text1"/>
          <w:vertAlign w:val="superscript"/>
        </w:rPr>
        <w:t>13,14</w:t>
      </w:r>
      <w:r w:rsidRPr="002F6C22">
        <w:rPr>
          <w:rFonts w:asciiTheme="majorHAnsi" w:hAnsiTheme="majorHAnsi" w:cstheme="majorHAnsi"/>
          <w:color w:val="000000" w:themeColor="text1"/>
        </w:rPr>
        <w:t xml:space="preserve"> để xác định mối quan hệ thay đổi theo thời gian giữa OIL, IPI và GDP. Phương pháp được áp dụng bằng cách xem xét động thái thời gian nhằm xác định các giai đoạn bất ổn trong mối quan hệ nhân quả.</w:t>
      </w:r>
      <w:r w:rsidR="00A94C11">
        <w:rPr>
          <w:rFonts w:asciiTheme="majorHAnsi" w:hAnsiTheme="majorHAnsi" w:cstheme="majorHAnsi"/>
          <w:color w:val="000000" w:themeColor="text1"/>
          <w:vertAlign w:val="superscript"/>
          <w:lang w:val="en-US"/>
        </w:rPr>
        <w:t>15</w:t>
      </w:r>
      <w:r w:rsidRPr="002F6C22">
        <w:rPr>
          <w:rFonts w:asciiTheme="majorHAnsi" w:hAnsiTheme="majorHAnsi" w:cstheme="majorHAnsi"/>
          <w:color w:val="000000" w:themeColor="text1"/>
        </w:rPr>
        <w:t xml:space="preserve"> Phương pháp </w:t>
      </w:r>
      <w:r w:rsidR="0E0F4459" w:rsidRPr="002F6C22">
        <w:rPr>
          <w:rFonts w:asciiTheme="majorHAnsi" w:hAnsiTheme="majorHAnsi" w:cstheme="majorHAnsi"/>
          <w:color w:val="000000" w:themeColor="text1"/>
        </w:rPr>
        <w:t>Time</w:t>
      </w:r>
      <w:r w:rsidR="008F10AA" w:rsidRPr="003E1C9F">
        <w:rPr>
          <w:rFonts w:asciiTheme="majorHAnsi" w:hAnsiTheme="majorHAnsi" w:cstheme="majorHAnsi"/>
          <w:sz w:val="20"/>
          <w:szCs w:val="20"/>
        </w:rPr>
        <w:t>–</w:t>
      </w:r>
      <w:r w:rsidR="0E0F4459" w:rsidRPr="002F6C22">
        <w:rPr>
          <w:rFonts w:asciiTheme="majorHAnsi" w:hAnsiTheme="majorHAnsi" w:cstheme="majorHAnsi"/>
          <w:color w:val="000000" w:themeColor="text1"/>
        </w:rPr>
        <w:t>Varying</w:t>
      </w:r>
      <w:r w:rsidRPr="002F6C22">
        <w:rPr>
          <w:rFonts w:asciiTheme="majorHAnsi" w:hAnsiTheme="majorHAnsi" w:cstheme="majorHAnsi"/>
          <w:color w:val="000000" w:themeColor="text1"/>
        </w:rPr>
        <w:t xml:space="preserve"> Granger </w:t>
      </w:r>
      <w:r w:rsidR="0E0F4459" w:rsidRPr="002F6C22">
        <w:rPr>
          <w:rFonts w:asciiTheme="majorHAnsi" w:hAnsiTheme="majorHAnsi" w:cstheme="majorHAnsi"/>
          <w:color w:val="000000" w:themeColor="text1"/>
        </w:rPr>
        <w:t xml:space="preserve">Causality </w:t>
      </w:r>
      <w:r w:rsidR="19E160F7" w:rsidRPr="002F6C22">
        <w:rPr>
          <w:rFonts w:asciiTheme="majorHAnsi" w:hAnsiTheme="majorHAnsi" w:cstheme="majorHAnsi"/>
          <w:color w:val="000000" w:themeColor="text1"/>
        </w:rPr>
        <w:t>còn được</w:t>
      </w:r>
      <w:r w:rsidRPr="002F6C22">
        <w:rPr>
          <w:rFonts w:asciiTheme="majorHAnsi" w:hAnsiTheme="majorHAnsi" w:cstheme="majorHAnsi"/>
          <w:color w:val="000000" w:themeColor="text1"/>
        </w:rPr>
        <w:t xml:space="preserve"> kết hợp ba cách tiếp cận </w:t>
      </w:r>
      <w:r w:rsidR="2C378C18" w:rsidRPr="002F6C22">
        <w:rPr>
          <w:rFonts w:asciiTheme="majorHAnsi" w:hAnsiTheme="majorHAnsi" w:cstheme="majorHAnsi"/>
          <w:color w:val="000000" w:themeColor="text1"/>
        </w:rPr>
        <w:t>nhằm</w:t>
      </w:r>
      <w:r w:rsidRPr="002F6C22">
        <w:rPr>
          <w:rFonts w:asciiTheme="majorHAnsi" w:hAnsiTheme="majorHAnsi" w:cstheme="majorHAnsi"/>
          <w:color w:val="000000" w:themeColor="text1"/>
        </w:rPr>
        <w:t xml:space="preserve"> kiểm tra tính nhân quả thay đổi theo thời gian: Forward Expanding (FE), Rolling (RO) và Recursive Expanding (RE). Mô hình LA</w:t>
      </w:r>
      <w:r w:rsidR="008F10AA" w:rsidRPr="003E1C9F">
        <w:rPr>
          <w:rFonts w:asciiTheme="majorHAnsi" w:hAnsiTheme="majorHAnsi" w:cstheme="majorHAnsi"/>
          <w:sz w:val="20"/>
          <w:szCs w:val="20"/>
        </w:rPr>
        <w:t>–</w:t>
      </w:r>
      <w:r w:rsidRPr="002F6C22">
        <w:rPr>
          <w:rFonts w:asciiTheme="majorHAnsi" w:hAnsiTheme="majorHAnsi" w:cstheme="majorHAnsi"/>
          <w:color w:val="000000" w:themeColor="text1"/>
        </w:rPr>
        <w:t xml:space="preserve">VAR như sau: </w:t>
      </w:r>
    </w:p>
    <w:p w14:paraId="1D60A97D" w14:textId="6CACC8DF" w:rsidR="004007EA" w:rsidRPr="002F6C22" w:rsidRDefault="00000000" w:rsidP="0080456D">
      <w:pPr>
        <w:spacing w:before="120" w:after="120" w:line="240" w:lineRule="auto"/>
        <w:jc w:val="both"/>
        <w:rPr>
          <w:rStyle w:val="fontstyle01"/>
          <w:rFonts w:asciiTheme="majorHAnsi" w:eastAsia="Times New Roman" w:hAnsiTheme="majorHAnsi" w:cstheme="majorHAnsi"/>
          <w:sz w:val="22"/>
          <w:szCs w:val="22"/>
        </w:rPr>
      </w:pPr>
      <m:oMathPara>
        <m:oMathParaPr>
          <m:jc m:val="left"/>
        </m:oMathParaPr>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10</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γ</m:t>
                  </m:r>
                </m:e>
                <m:sub>
                  <m:r>
                    <w:rPr>
                      <w:rFonts w:ascii="Cambria Math" w:hAnsi="Cambria Math" w:cstheme="majorHAnsi"/>
                    </w:rPr>
                    <m:t>11</m:t>
                  </m:r>
                </m:sub>
              </m:sSub>
              <m:r>
                <w:rPr>
                  <w:rFonts w:ascii="Cambria Math" w:hAnsi="Cambria Math" w:cstheme="majorHAnsi"/>
                </w:rPr>
                <m:t>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ρ</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1t-i</m:t>
                      </m:r>
                    </m:sub>
                  </m:sSub>
                </m:e>
              </m:nary>
              <m:r>
                <w:rPr>
                  <w:rFonts w:ascii="Cambria Math" w:hAnsi="Cambria Math" w:cstheme="majorHAnsi"/>
                </w:rPr>
                <m:t>+</m:t>
              </m:r>
              <m:nary>
                <m:naryPr>
                  <m:chr m:val="∑"/>
                  <m:limLoc m:val="undOvr"/>
                  <m:ctrlPr>
                    <w:rPr>
                      <w:rFonts w:ascii="Cambria Math" w:hAnsi="Cambria Math" w:cstheme="majorHAnsi"/>
                      <w:i/>
                    </w:rPr>
                  </m:ctrlPr>
                </m:naryPr>
                <m:sub>
                  <m:r>
                    <w:rPr>
                      <w:rFonts w:ascii="Cambria Math" w:hAnsi="Cambria Math" w:cstheme="majorHAnsi"/>
                    </w:rPr>
                    <m:t>i=1</m:t>
                  </m:r>
                </m:sub>
                <m:sup>
                  <m:r>
                    <w:rPr>
                      <w:rFonts w:ascii="Cambria Math" w:hAnsi="Cambria Math" w:cstheme="majorHAnsi"/>
                    </w:rPr>
                    <m:t>k+d</m:t>
                  </m:r>
                </m:sup>
                <m:e>
                  <m:sSub>
                    <m:sSubPr>
                      <m:ctrlPr>
                        <w:rPr>
                          <w:rFonts w:ascii="Cambria Math" w:hAnsi="Cambria Math" w:cstheme="majorHAnsi"/>
                          <w:i/>
                        </w:rPr>
                      </m:ctrlPr>
                    </m:sSubPr>
                    <m:e>
                      <m:r>
                        <w:rPr>
                          <w:rFonts w:ascii="Cambria Math" w:hAnsi="Cambria Math" w:cstheme="majorHAnsi"/>
                        </w:rPr>
                        <m:t>δ</m:t>
                      </m:r>
                    </m:e>
                    <m:sub>
                      <m:r>
                        <w:rPr>
                          <w:rFonts w:ascii="Cambria Math" w:hAnsi="Cambria Math" w:cstheme="majorHAnsi"/>
                        </w:rPr>
                        <m:t>1i</m:t>
                      </m:r>
                    </m:sub>
                  </m:sSub>
                  <m:sSub>
                    <m:sSubPr>
                      <m:ctrlPr>
                        <w:rPr>
                          <w:rFonts w:ascii="Cambria Math" w:hAnsi="Cambria Math" w:cstheme="majorHAnsi"/>
                          <w:i/>
                        </w:rPr>
                      </m:ctrlPr>
                    </m:sSubPr>
                    <m:e>
                      <m:r>
                        <w:rPr>
                          <w:rFonts w:ascii="Cambria Math" w:hAnsi="Cambria Math" w:cstheme="majorHAnsi"/>
                        </w:rPr>
                        <m:t>y</m:t>
                      </m:r>
                    </m:e>
                    <m:sub>
                      <m:r>
                        <w:rPr>
                          <w:rFonts w:ascii="Cambria Math" w:hAnsi="Cambria Math" w:cstheme="majorHAnsi"/>
                        </w:rPr>
                        <m:t>2t-i</m:t>
                      </m:r>
                    </m:sub>
                  </m:sSub>
                </m:e>
              </m:nary>
              <m:ctrlPr>
                <w:rPr>
                  <w:rFonts w:ascii="Cambria Math" w:eastAsia="Cambria Math" w:hAnsi="Cambria Math" w:cs="Cambria Math"/>
                  <w:i/>
                </w:rPr>
              </m:ctrlPr>
            </m:e>
            <m:e>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ε</m:t>
                  </m:r>
                </m:e>
                <m:sub>
                  <m:r>
                    <w:rPr>
                      <w:rFonts w:ascii="Cambria Math" w:hAnsi="Cambria Math" w:cstheme="majorHAnsi"/>
                    </w:rPr>
                    <m:t>1t</m:t>
                  </m:r>
                </m:sub>
              </m:sSub>
              <m:r>
                <w:rPr>
                  <w:rFonts w:ascii="Cambria Math" w:hAnsi="Cambria Math" w:cstheme="majorHAnsi"/>
                </w:rPr>
                <m:t>#</m:t>
              </m:r>
              <m:d>
                <m:dPr>
                  <m:ctrlPr>
                    <w:rPr>
                      <w:rFonts w:ascii="Cambria Math" w:hAnsi="Cambria Math" w:cstheme="majorHAnsi"/>
                      <w:i/>
                    </w:rPr>
                  </m:ctrlPr>
                </m:dPr>
                <m:e>
                  <m:r>
                    <w:rPr>
                      <w:rFonts w:ascii="Cambria Math" w:hAnsi="Cambria Math" w:cstheme="majorHAnsi"/>
                    </w:rPr>
                    <m:t>2</m:t>
                  </m:r>
                </m:e>
              </m:d>
            </m:e>
          </m:eqArr>
        </m:oMath>
      </m:oMathPara>
    </w:p>
    <w:p w14:paraId="2052DE01" w14:textId="77777777" w:rsidR="004007EA" w:rsidRPr="002F6C22" w:rsidRDefault="004007EA" w:rsidP="00CC5DE5">
      <w:pPr>
        <w:spacing w:before="120" w:after="120" w:line="240" w:lineRule="auto"/>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 xml:space="preserve">Trong đó </w:t>
      </w:r>
      <w:r w:rsidRPr="002F6C22">
        <w:rPr>
          <w:rFonts w:asciiTheme="majorHAnsi" w:hAnsiTheme="majorHAnsi" w:cstheme="majorHAnsi"/>
          <w:color w:val="000000" w:themeColor="text1"/>
        </w:rPr>
        <w:t>y</w:t>
      </w:r>
      <w:r w:rsidRPr="002F6C22">
        <w:rPr>
          <w:rFonts w:asciiTheme="majorHAnsi" w:hAnsiTheme="majorHAnsi" w:cstheme="majorHAnsi"/>
          <w:color w:val="000000" w:themeColor="text1"/>
          <w:vertAlign w:val="subscript"/>
        </w:rPr>
        <w:t xml:space="preserve">1 </w:t>
      </w:r>
      <w:r w:rsidRPr="002F6C22">
        <w:rPr>
          <w:rFonts w:asciiTheme="majorHAnsi" w:hAnsiTheme="majorHAnsi" w:cstheme="majorHAnsi"/>
          <w:color w:val="000000" w:themeColor="text1"/>
        </w:rPr>
        <w:t>là GDP, y</w:t>
      </w:r>
      <w:r w:rsidRPr="002F6C22">
        <w:rPr>
          <w:rFonts w:asciiTheme="majorHAnsi" w:hAnsiTheme="majorHAnsi" w:cstheme="majorHAnsi"/>
          <w:color w:val="000000" w:themeColor="text1"/>
          <w:vertAlign w:val="subscript"/>
        </w:rPr>
        <w:t xml:space="preserve">2 </w:t>
      </w:r>
      <w:r w:rsidRPr="002F6C22">
        <w:rPr>
          <w:rFonts w:asciiTheme="majorHAnsi" w:hAnsiTheme="majorHAnsi" w:cstheme="majorHAnsi"/>
          <w:color w:val="000000" w:themeColor="text1"/>
        </w:rPr>
        <w:t>là OIL và IPI. Ngoài ra, d là bậc tích hợp tối đa của y</w:t>
      </w:r>
      <w:r w:rsidRPr="002F6C22">
        <w:rPr>
          <w:rFonts w:asciiTheme="majorHAnsi" w:hAnsiTheme="majorHAnsi" w:cstheme="majorHAnsi"/>
          <w:color w:val="000000" w:themeColor="text1"/>
          <w:vertAlign w:val="subscript"/>
        </w:rPr>
        <w:t>t</w:t>
      </w:r>
      <w:r w:rsidRPr="002F6C22">
        <w:rPr>
          <w:rStyle w:val="fontstyle01"/>
          <w:rFonts w:asciiTheme="majorHAnsi" w:hAnsiTheme="majorHAnsi" w:cstheme="majorHAnsi"/>
          <w:color w:val="000000" w:themeColor="text1"/>
          <w:sz w:val="22"/>
          <w:szCs w:val="22"/>
        </w:rPr>
        <w:t>‘S. Giả thuyết về tính phi nhân quả của Granger</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từ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2t</m:t>
            </m:r>
          </m:sub>
        </m:sSub>
      </m:oMath>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y</m:t>
            </m:r>
          </m:e>
          <m:sub>
            <m:r>
              <w:rPr>
                <w:rFonts w:ascii="Cambria Math" w:hAnsi="Cambria Math" w:cstheme="majorHAnsi"/>
                <w:color w:val="000000" w:themeColor="text1"/>
              </w:rPr>
              <m:t>1t</m:t>
            </m:r>
          </m:sub>
        </m:sSub>
      </m:oMath>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được kiểm tra bằng cách sử dụng Kiểm định Wald như sau:</w:t>
      </w:r>
    </w:p>
    <w:p w14:paraId="261B8BAE" w14:textId="77777777" w:rsidR="004007EA" w:rsidRPr="002F6C22" w:rsidRDefault="00000000" w:rsidP="0080456D">
      <w:pPr>
        <w:tabs>
          <w:tab w:val="right" w:pos="8222"/>
        </w:tabs>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sSub>
                <m:sSubPr>
                  <m:ctrlPr>
                    <w:rPr>
                      <w:rFonts w:ascii="Cambria Math" w:hAnsi="Cambria Math" w:cstheme="majorHAnsi"/>
                      <w:i/>
                      <w:color w:val="000000" w:themeColor="text1"/>
                    </w:rPr>
                  </m:ctrlPr>
                </m:sSubPr>
                <m:e>
                  <m:r>
                    <w:rPr>
                      <w:rFonts w:ascii="Cambria Math" w:hAnsi="Cambria Math" w:cstheme="majorHAnsi"/>
                      <w:color w:val="000000" w:themeColor="text1"/>
                    </w:rPr>
                    <m:t>H</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δ</m:t>
                  </m:r>
                </m:e>
                <m:sub>
                  <m:r>
                    <w:rPr>
                      <w:rFonts w:ascii="Cambria Math" w:hAnsi="Cambria Math" w:cstheme="majorHAnsi"/>
                      <w:color w:val="000000" w:themeColor="text1"/>
                    </w:rPr>
                    <m:t>1k</m:t>
                  </m:r>
                </m:sub>
              </m:sSub>
              <m:r>
                <w:rPr>
                  <w:rFonts w:ascii="Cambria Math" w:hAnsi="Cambria Math" w:cstheme="majorHAnsi"/>
                  <w:color w:val="000000" w:themeColor="text1"/>
                </w:rPr>
                <m:t>=0#</m:t>
              </m:r>
              <m:d>
                <m:dPr>
                  <m:ctrlPr>
                    <w:rPr>
                      <w:rFonts w:ascii="Cambria Math" w:hAnsi="Cambria Math" w:cstheme="majorHAnsi"/>
                      <w:i/>
                      <w:color w:val="000000" w:themeColor="text1"/>
                    </w:rPr>
                  </m:ctrlPr>
                </m:dPr>
                <m:e>
                  <m:r>
                    <w:rPr>
                      <w:rFonts w:ascii="Cambria Math" w:hAnsi="Cambria Math" w:cstheme="majorHAnsi"/>
                      <w:color w:val="000000" w:themeColor="text1"/>
                    </w:rPr>
                    <m:t>3</m:t>
                  </m:r>
                </m:e>
              </m:d>
            </m:e>
          </m:eqArr>
        </m:oMath>
      </m:oMathPara>
    </w:p>
    <w:p w14:paraId="09CA5859" w14:textId="208F4585" w:rsidR="004007EA" w:rsidRPr="00B45C7A" w:rsidRDefault="004007EA" w:rsidP="00CC5DE5">
      <w:pPr>
        <w:spacing w:before="120" w:after="120" w:line="240" w:lineRule="auto"/>
        <w:jc w:val="both"/>
        <w:rPr>
          <w:rStyle w:val="fontstyle01"/>
          <w:rFonts w:asciiTheme="majorHAnsi" w:hAnsiTheme="majorHAnsi" w:cstheme="majorHAnsi"/>
          <w:color w:val="000000" w:themeColor="text1"/>
          <w:sz w:val="22"/>
          <w:szCs w:val="22"/>
          <w:vertAlign w:val="superscript"/>
        </w:rPr>
      </w:pPr>
      <w:r w:rsidRPr="002F6C22">
        <w:rPr>
          <w:rStyle w:val="fontstyle01"/>
          <w:rFonts w:asciiTheme="majorHAnsi" w:hAnsiTheme="majorHAnsi" w:cstheme="majorHAnsi"/>
          <w:color w:val="000000" w:themeColor="text1"/>
          <w:sz w:val="22"/>
          <w:szCs w:val="22"/>
        </w:rPr>
        <w:t>Một thử nghiệm khác được tiến hành bằng cách chia nhỏ các mẫu con của</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dữ liệu dựa trên thống kê Wald tối đa. Thống kê Wald trên </w:t>
      </w:r>
      <m:oMath>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 xml:space="preserve">, </m:t>
            </m:r>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f</m:t>
                </m:r>
              </m:e>
              <m:sub>
                <m:r>
                  <w:rPr>
                    <w:rFonts w:ascii="Cambria Math" w:hAnsi="Cambria Math" w:cstheme="majorHAnsi"/>
                    <w:color w:val="000000" w:themeColor="text1"/>
                  </w:rPr>
                  <m:t>2</m:t>
                </m:r>
              </m:sub>
            </m:sSub>
          </m:e>
        </m:d>
        <m:r>
          <w:rPr>
            <w:rFonts w:ascii="Cambria Math" w:hAnsi="Cambria Math" w:cstheme="majorHAnsi"/>
            <w:color w:val="000000" w:themeColor="text1"/>
          </w:rPr>
          <m:t xml:space="preserve"> </m:t>
        </m:r>
      </m:oMath>
      <w:r w:rsidRPr="002F6C22">
        <w:rPr>
          <w:rStyle w:val="fontstyle01"/>
          <w:rFonts w:asciiTheme="majorHAnsi" w:hAnsiTheme="majorHAnsi" w:cstheme="majorHAnsi"/>
          <w:color w:val="000000" w:themeColor="text1"/>
          <w:sz w:val="22"/>
          <w:szCs w:val="22"/>
        </w:rPr>
        <w:t xml:space="preserve">đó là điểm bắt đầu và kết thúc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oMath>
      <w:r w:rsidRPr="002F6C22">
        <w:rPr>
          <w:rStyle w:val="fontstyle21"/>
          <w:rFonts w:asciiTheme="majorHAnsi" w:hAnsiTheme="majorHAnsi" w:cstheme="majorHAnsi"/>
          <w:color w:val="000000" w:themeColor="text1"/>
          <w:sz w:val="22"/>
          <w:szCs w:val="22"/>
        </w:rPr>
        <w:t xml:space="preserve"> </w:t>
      </w:r>
      <w:r w:rsidRPr="002F6C22">
        <w:rPr>
          <w:rStyle w:val="fontstyle01"/>
          <w:rFonts w:asciiTheme="majorHAnsi" w:hAnsiTheme="majorHAnsi" w:cstheme="majorHAnsi"/>
          <w:color w:val="000000" w:themeColor="text1"/>
          <w:sz w:val="22"/>
          <w:szCs w:val="22"/>
        </w:rPr>
        <w:t>và</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oMath>
      <w:r w:rsidRPr="002F6C22">
        <w:rPr>
          <w:rStyle w:val="fontstyle01"/>
          <w:rFonts w:asciiTheme="majorHAnsi" w:hAnsiTheme="majorHAnsi" w:cstheme="majorHAnsi"/>
          <w:color w:val="000000" w:themeColor="text1"/>
          <w:sz w:val="22"/>
          <w:szCs w:val="22"/>
        </w:rPr>
        <w:t>, với một phần mẫu là</w:t>
      </w:r>
      <m:oMath>
        <m:r>
          <w:rPr>
            <w:rStyle w:val="fontstyle01"/>
            <w:rFonts w:ascii="Cambria Math" w:hAnsi="Cambria Math" w:cstheme="majorHAnsi"/>
            <w:color w:val="000000" w:themeColor="text1"/>
            <w:sz w:val="22"/>
            <w:szCs w:val="22"/>
          </w:rPr>
          <m:t xml:space="preserve"> </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w</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2</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r>
          <w:rPr>
            <w:rStyle w:val="fontstyle01"/>
            <w:rFonts w:ascii="Cambria Math" w:hAnsi="Cambria Math" w:cstheme="majorHAnsi"/>
            <w:color w:val="000000" w:themeColor="text1"/>
            <w:sz w:val="22"/>
            <w:szCs w:val="22"/>
          </w:rPr>
          <m:t>≥</m:t>
        </m:r>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2F6C22">
        <w:rPr>
          <w:rStyle w:val="fontstyle21"/>
          <w:rFonts w:asciiTheme="majorHAnsi" w:hAnsiTheme="majorHAnsi" w:cstheme="majorHAnsi"/>
          <w:color w:val="000000" w:themeColor="text1"/>
          <w:sz w:val="22"/>
          <w:szCs w:val="22"/>
        </w:rPr>
        <w:t xml:space="preserve"> </w:t>
      </w:r>
      <w:r w:rsidRPr="002F6C22">
        <w:rPr>
          <w:rStyle w:val="fontstyle01"/>
          <w:rFonts w:asciiTheme="majorHAnsi" w:hAnsiTheme="majorHAnsi" w:cstheme="majorHAnsi"/>
          <w:color w:val="000000" w:themeColor="text1"/>
          <w:sz w:val="22"/>
          <w:szCs w:val="22"/>
        </w:rPr>
        <w:t xml:space="preserve">được chỉ định bởi </w:t>
      </w:r>
      <m:oMath>
        <m:sSubSup>
          <m:sSubSupPr>
            <m:ctrlPr>
              <w:rPr>
                <w:rStyle w:val="fontstyle01"/>
                <w:rFonts w:ascii="Cambria Math" w:hAnsi="Cambria Math" w:cstheme="majorHAnsi"/>
                <w:i/>
                <w:color w:val="000000" w:themeColor="text1"/>
                <w:sz w:val="22"/>
                <w:szCs w:val="22"/>
              </w:rPr>
            </m:ctrlPr>
          </m:sSubSupPr>
          <m:e>
            <m:r>
              <w:rPr>
                <w:rStyle w:val="fontstyle01"/>
                <w:rFonts w:ascii="Cambria Math" w:hAnsi="Cambria Math" w:cstheme="majorHAnsi"/>
                <w:color w:val="000000" w:themeColor="text1"/>
                <w:sz w:val="22"/>
                <w:szCs w:val="22"/>
              </w:rPr>
              <m:t>W</m:t>
            </m:r>
          </m:e>
          <m:sub>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1</m:t>
                </m:r>
              </m:sub>
            </m:sSub>
          </m:sub>
          <m:sup>
            <m:r>
              <w:rPr>
                <w:rStyle w:val="fontstyle01"/>
                <w:rFonts w:ascii="Cambria Math" w:hAnsi="Cambria Math" w:cstheme="majorHAnsi"/>
                <w:color w:val="000000" w:themeColor="text1"/>
                <w:sz w:val="22"/>
                <w:szCs w:val="22"/>
              </w:rPr>
              <m:t>f2</m:t>
            </m:r>
          </m:sup>
        </m:sSubSup>
      </m:oMath>
      <w:r w:rsidRPr="002F6C22">
        <w:rPr>
          <w:rStyle w:val="fontstyle01"/>
          <w:rFonts w:asciiTheme="majorHAnsi" w:hAnsiTheme="majorHAnsi" w:cstheme="majorHAnsi"/>
          <w:color w:val="000000" w:themeColor="text1"/>
          <w:sz w:val="22"/>
          <w:szCs w:val="22"/>
        </w:rPr>
        <w:t xml:space="preserve">, trong </w:t>
      </w:r>
      <w:r w:rsidRPr="002F6C22">
        <w:rPr>
          <w:rStyle w:val="fontstyle01"/>
          <w:rFonts w:asciiTheme="majorHAnsi" w:hAnsiTheme="majorHAnsi" w:cstheme="majorHAnsi"/>
          <w:color w:val="000000" w:themeColor="text1"/>
          <w:sz w:val="22"/>
          <w:szCs w:val="22"/>
        </w:rPr>
        <w:t xml:space="preserve">đó </w:t>
      </w:r>
      <w:r w:rsidRPr="002F6C22">
        <w:rPr>
          <w:rStyle w:val="fontstyle21"/>
          <w:rFonts w:asciiTheme="majorHAnsi" w:hAnsiTheme="majorHAnsi" w:cstheme="majorHAnsi"/>
          <w:color w:val="000000" w:themeColor="text1"/>
          <w:sz w:val="22"/>
          <w:szCs w:val="22"/>
        </w:rPr>
        <w:t xml:space="preserve">T </w:t>
      </w:r>
      <w:r w:rsidRPr="002F6C22">
        <w:rPr>
          <w:rStyle w:val="fontstyle01"/>
          <w:rFonts w:asciiTheme="majorHAnsi" w:hAnsiTheme="majorHAnsi" w:cstheme="majorHAnsi"/>
          <w:color w:val="000000" w:themeColor="text1"/>
          <w:sz w:val="22"/>
          <w:szCs w:val="22"/>
        </w:rPr>
        <w:t>là tổng số</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quan sát và </w:t>
      </w:r>
      <m:oMath>
        <m:sSub>
          <m:sSubPr>
            <m:ctrlPr>
              <w:rPr>
                <w:rStyle w:val="fontstyle01"/>
                <w:rFonts w:ascii="Cambria Math" w:hAnsi="Cambria Math" w:cstheme="majorHAnsi"/>
                <w:i/>
                <w:color w:val="000000" w:themeColor="text1"/>
                <w:sz w:val="22"/>
                <w:szCs w:val="22"/>
              </w:rPr>
            </m:ctrlPr>
          </m:sSubPr>
          <m:e>
            <m:r>
              <w:rPr>
                <w:rStyle w:val="fontstyle01"/>
                <w:rFonts w:ascii="Cambria Math" w:hAnsi="Cambria Math" w:cstheme="majorHAnsi"/>
                <w:color w:val="000000" w:themeColor="text1"/>
                <w:sz w:val="22"/>
                <w:szCs w:val="22"/>
              </w:rPr>
              <m:t>f</m:t>
            </m:r>
          </m:e>
          <m:sub>
            <m:r>
              <w:rPr>
                <w:rStyle w:val="fontstyle01"/>
                <w:rFonts w:ascii="Cambria Math" w:hAnsi="Cambria Math" w:cstheme="majorHAnsi"/>
                <w:color w:val="000000" w:themeColor="text1"/>
                <w:sz w:val="22"/>
                <w:szCs w:val="22"/>
              </w:rPr>
              <m:t>0</m:t>
            </m:r>
          </m:sub>
        </m:sSub>
      </m:oMath>
      <w:r w:rsidRPr="002F6C22">
        <w:rPr>
          <w:rStyle w:val="fontstyle01"/>
          <w:rFonts w:asciiTheme="majorHAnsi" w:hAnsiTheme="majorHAnsi" w:cstheme="majorHAnsi"/>
          <w:color w:val="000000" w:themeColor="text1"/>
          <w:sz w:val="22"/>
          <w:szCs w:val="22"/>
        </w:rPr>
        <w:t>(T) là số lượng quan sát tối thiểu để ước tính hệ thống VAR. Giá trị tối đa của thống kê Wald đưa ra</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 xml:space="preserve">đối với suy luận phi nhân quả </w:t>
      </w:r>
      <w:r w:rsidR="00B45C7A">
        <w:rPr>
          <w:rStyle w:val="fontstyle01"/>
          <w:rFonts w:asciiTheme="majorHAnsi" w:hAnsiTheme="majorHAnsi" w:cstheme="majorHAnsi"/>
          <w:color w:val="000000" w:themeColor="text1"/>
          <w:sz w:val="22"/>
          <w:szCs w:val="22"/>
        </w:rPr>
        <w:t>Granger</w:t>
      </w:r>
      <w:r w:rsidR="00B45C7A" w:rsidRPr="00B45C7A">
        <w:rPr>
          <w:rStyle w:val="fontstyle01"/>
          <w:rFonts w:asciiTheme="majorHAnsi" w:hAnsiTheme="majorHAnsi" w:cstheme="majorHAnsi"/>
          <w:color w:val="000000" w:themeColor="text1"/>
          <w:sz w:val="22"/>
          <w:szCs w:val="22"/>
          <w:vertAlign w:val="superscript"/>
        </w:rPr>
        <w:t>14</w:t>
      </w:r>
      <w:r w:rsidR="00B45C7A">
        <w:rPr>
          <w:rStyle w:val="fontstyle01"/>
          <w:rFonts w:asciiTheme="majorHAnsi" w:hAnsiTheme="majorHAnsi" w:cstheme="majorHAnsi"/>
          <w:color w:val="000000" w:themeColor="text1"/>
          <w:sz w:val="22"/>
          <w:szCs w:val="22"/>
        </w:rPr>
        <w:t>:</w:t>
      </w:r>
    </w:p>
    <w:p w14:paraId="32AC0269" w14:textId="77777777" w:rsidR="004007EA" w:rsidRPr="002F6C22" w:rsidRDefault="00000000" w:rsidP="0080456D">
      <w:pPr>
        <w:spacing w:before="120" w:after="120" w:line="240" w:lineRule="auto"/>
        <w:jc w:val="both"/>
        <w:rPr>
          <w:rFonts w:asciiTheme="majorHAnsi" w:hAnsiTheme="majorHAnsi" w:cstheme="majorHAnsi"/>
        </w:rPr>
      </w:pPr>
      <m:oMathPara>
        <m:oMath>
          <m:eqArr>
            <m:eqArrPr>
              <m:maxDist m:val="1"/>
              <m:ctrlPr>
                <w:rPr>
                  <w:rFonts w:ascii="Cambria Math" w:hAnsi="Cambria Math" w:cstheme="majorHAnsi"/>
                  <w:i/>
                </w:rPr>
              </m:ctrlPr>
            </m:eqArrPr>
            <m:e>
              <m:sSub>
                <m:sSubPr>
                  <m:ctrlPr>
                    <w:rPr>
                      <w:rFonts w:ascii="Cambria Math" w:hAnsi="Cambria Math" w:cstheme="majorHAnsi"/>
                      <w:i/>
                    </w:rPr>
                  </m:ctrlPr>
                </m:sSubPr>
                <m:e>
                  <m:r>
                    <w:rPr>
                      <w:rFonts w:ascii="Cambria Math" w:hAnsi="Cambria Math" w:cstheme="majorHAnsi"/>
                    </w:rPr>
                    <m:t>SW</m:t>
                  </m:r>
                </m:e>
                <m:sub>
                  <m:r>
                    <w:rPr>
                      <w:rFonts w:ascii="Cambria Math" w:hAnsi="Cambria Math" w:cstheme="majorHAnsi"/>
                    </w:rPr>
                    <m:t>f</m:t>
                  </m:r>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0</m:t>
                      </m:r>
                    </m:sub>
                  </m:sSub>
                </m:e>
              </m:d>
              <m:r>
                <w:rPr>
                  <w:rFonts w:ascii="Cambria Math" w:hAnsi="Cambria Math" w:cstheme="majorHAnsi"/>
                </w:rPr>
                <m:t>=</m:t>
              </m:r>
              <m:f>
                <m:fPr>
                  <m:ctrlPr>
                    <w:rPr>
                      <w:rFonts w:ascii="Cambria Math" w:hAnsi="Cambria Math" w:cstheme="majorHAnsi"/>
                      <w:i/>
                    </w:rPr>
                  </m:ctrlPr>
                </m:fPr>
                <m:num>
                  <m:r>
                    <w:rPr>
                      <w:rFonts w:ascii="Cambria Math" w:hAnsi="Cambria Math" w:cstheme="majorHAnsi"/>
                    </w:rPr>
                    <m:t>sup</m:t>
                  </m:r>
                </m:num>
                <m:den>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e>
                  </m:d>
                  <m:r>
                    <w:rPr>
                      <w:rFonts w:ascii="Cambria Math" w:hAnsi="Cambria Math" w:cstheme="majorHAnsi"/>
                    </w:rPr>
                    <m:t xml:space="preserve">  ∈  </m:t>
                  </m:r>
                  <m:acc>
                    <m:accPr>
                      <m:ctrlPr>
                        <w:rPr>
                          <w:rFonts w:ascii="Cambria Math" w:hAnsi="Cambria Math" w:cstheme="majorHAnsi"/>
                          <w:i/>
                        </w:rPr>
                      </m:ctrlPr>
                    </m:accPr>
                    <m:e>
                      <m:r>
                        <w:rPr>
                          <w:rFonts w:ascii="Cambria Math" w:hAnsi="Cambria Math" w:cstheme="majorHAnsi"/>
                        </w:rPr>
                        <m:t>0</m:t>
                      </m:r>
                    </m:e>
                  </m:acc>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r>
                    <w:rPr>
                      <w:rFonts w:ascii="Cambria Math" w:hAnsi="Cambria Math" w:cstheme="majorHAnsi"/>
                    </w:rPr>
                    <m:t>=f</m:t>
                  </m:r>
                </m:den>
              </m:f>
              <m:r>
                <w:rPr>
                  <w:rFonts w:ascii="Cambria Math" w:hAnsi="Cambria Math" w:cstheme="majorHAnsi"/>
                </w:rPr>
                <m:t xml:space="preserve"> </m:t>
              </m:r>
              <m:d>
                <m:dPr>
                  <m:begChr m:val="{"/>
                  <m:endChr m:val="}"/>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W</m:t>
                      </m:r>
                    </m:e>
                    <m:sub>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2</m:t>
                          </m:r>
                        </m:sub>
                      </m:sSub>
                    </m:sub>
                  </m:sSub>
                  <m:d>
                    <m:dPr>
                      <m:ctrlPr>
                        <w:rPr>
                          <w:rFonts w:ascii="Cambria Math" w:hAnsi="Cambria Math" w:cstheme="majorHAnsi"/>
                          <w:i/>
                        </w:rPr>
                      </m:ctrlPr>
                    </m:dPr>
                    <m:e>
                      <m:sSub>
                        <m:sSubPr>
                          <m:ctrlPr>
                            <w:rPr>
                              <w:rFonts w:ascii="Cambria Math" w:hAnsi="Cambria Math" w:cstheme="majorHAnsi"/>
                              <w:i/>
                            </w:rPr>
                          </m:ctrlPr>
                        </m:sSubPr>
                        <m:e>
                          <m:r>
                            <w:rPr>
                              <w:rFonts w:ascii="Cambria Math" w:hAnsi="Cambria Math" w:cstheme="majorHAnsi"/>
                            </w:rPr>
                            <m:t>f</m:t>
                          </m:r>
                        </m:e>
                        <m:sub>
                          <m:r>
                            <w:rPr>
                              <w:rFonts w:ascii="Cambria Math" w:hAnsi="Cambria Math" w:cstheme="majorHAnsi"/>
                            </w:rPr>
                            <m:t>1</m:t>
                          </m:r>
                        </m:sub>
                      </m:sSub>
                    </m:e>
                  </m:d>
                </m:e>
              </m:d>
              <m:r>
                <w:rPr>
                  <w:rFonts w:ascii="Cambria Math" w:hAnsi="Cambria Math" w:cstheme="majorHAnsi"/>
                </w:rPr>
                <m:t>#</m:t>
              </m:r>
              <m:d>
                <m:dPr>
                  <m:ctrlPr>
                    <w:rPr>
                      <w:rFonts w:ascii="Cambria Math" w:hAnsi="Cambria Math" w:cstheme="majorHAnsi"/>
                      <w:i/>
                    </w:rPr>
                  </m:ctrlPr>
                </m:dPr>
                <m:e>
                  <m:r>
                    <w:rPr>
                      <w:rFonts w:ascii="Cambria Math" w:hAnsi="Cambria Math" w:cstheme="majorHAnsi"/>
                    </w:rPr>
                    <m:t>4</m:t>
                  </m:r>
                </m:e>
              </m:d>
            </m:e>
          </m:eqArr>
        </m:oMath>
      </m:oMathPara>
    </w:p>
    <w:p w14:paraId="0BE532D7" w14:textId="23B3652A" w:rsidR="004007EA" w:rsidRPr="001520AE" w:rsidRDefault="004007EA" w:rsidP="0080456D">
      <w:pPr>
        <w:spacing w:before="120" w:after="120" w:line="240" w:lineRule="auto"/>
        <w:jc w:val="both"/>
        <w:rPr>
          <w:rFonts w:asciiTheme="majorHAnsi" w:hAnsiTheme="majorHAnsi" w:cstheme="majorHAnsi"/>
          <w:color w:val="000000" w:themeColor="text1"/>
        </w:rPr>
      </w:pPr>
      <m:oMathPara>
        <m:oMathParaPr>
          <m:jc m:val="left"/>
        </m:oMathParaPr>
        <m:oMath>
          <m:r>
            <w:rPr>
              <w:rFonts w:ascii="Cambria Math" w:hAnsi="Cambria Math" w:cstheme="majorHAnsi"/>
              <w:color w:val="000000" w:themeColor="text1"/>
            </w:rPr>
            <m:t xml:space="preserve">với  </m:t>
          </m:r>
          <m:acc>
            <m:accPr>
              <m:ctrlPr>
                <w:rPr>
                  <w:rFonts w:ascii="Cambria Math" w:hAnsi="Cambria Math" w:cstheme="majorHAnsi"/>
                  <w:i/>
                  <w:color w:val="000000" w:themeColor="text1"/>
                </w:rPr>
              </m:ctrlPr>
            </m:accPr>
            <m:e>
              <m:r>
                <w:rPr>
                  <w:rFonts w:ascii="Cambria Math" w:hAnsi="Cambria Math" w:cstheme="majorHAnsi"/>
                  <w:color w:val="000000" w:themeColor="text1"/>
                </w:rPr>
                <m:t>0</m:t>
              </m:r>
            </m:e>
          </m:acc>
          <m:r>
            <w:rPr>
              <w:rFonts w:ascii="Cambria Math" w:hAnsi="Cambria Math" w:cstheme="majorHAnsi"/>
              <w:color w:val="000000" w:themeColor="text1"/>
            </w:rPr>
            <m:t>=</m:t>
          </m:r>
          <m:d>
            <m:dPr>
              <m:begChr m:val="{"/>
              <m:endChr m:val="}"/>
              <m:ctrlPr>
                <w:rPr>
                  <w:rFonts w:ascii="Cambria Math" w:hAnsi="Cambria Math" w:cstheme="majorHAnsi"/>
                  <w:i/>
                  <w:color w:val="000000" w:themeColor="text1"/>
                </w:rPr>
              </m:ctrlPr>
            </m:dPr>
            <m:e>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e>
              </m:d>
              <m:r>
                <w:rPr>
                  <w:rFonts w:ascii="Cambria Math" w:hAnsi="Cambria Math" w:cstheme="majorHAnsi"/>
                  <w:color w:val="000000" w:themeColor="text1"/>
                </w:rPr>
                <m:t>:0&lt;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2</m:t>
                  </m:r>
                </m:sub>
              </m:sSub>
              <m:r>
                <w:rPr>
                  <w:rFonts w:ascii="Cambria Math" w:hAnsi="Cambria Math" w:cstheme="majorHAnsi"/>
                  <w:color w:val="000000" w:themeColor="text1"/>
                </w:rPr>
                <m:t xml:space="preserve"> ≤1 và 0≤</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1</m:t>
                  </m:r>
                </m:sub>
              </m:sSub>
              <m:r>
                <w:rPr>
                  <w:rFonts w:ascii="Cambria Math" w:hAnsi="Cambria Math" w:cstheme="majorHAnsi"/>
                  <w:color w:val="000000" w:themeColor="text1"/>
                </w:rPr>
                <m:t>≤1-</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oMath>
      </m:oMathPara>
    </w:p>
    <w:p w14:paraId="506747E5" w14:textId="451078D7" w:rsidR="00BD153A" w:rsidRDefault="00BD153A" w:rsidP="00CC5DE5">
      <w:pPr>
        <w:spacing w:before="120" w:after="120" w:line="240" w:lineRule="auto"/>
        <w:jc w:val="both"/>
        <w:rPr>
          <w:rStyle w:val="fontstyle01"/>
          <w:rFonts w:asciiTheme="majorHAnsi" w:hAnsiTheme="majorHAnsi" w:cstheme="majorHAnsi"/>
          <w:color w:val="000000" w:themeColor="text1"/>
          <w:sz w:val="22"/>
          <w:szCs w:val="22"/>
        </w:rPr>
      </w:pPr>
      <w:r>
        <w:rPr>
          <w:rStyle w:val="fontstyle01"/>
          <w:rFonts w:asciiTheme="majorHAnsi" w:hAnsiTheme="majorHAnsi" w:cstheme="majorHAnsi"/>
          <w:color w:val="000000" w:themeColor="text1"/>
          <w:sz w:val="22"/>
          <w:szCs w:val="22"/>
        </w:rPr>
        <w:t xml:space="preserve">Phương pháp của bài nghiên cứu sử dụng ba mô hình RE, RO, FE. Tuy nhiên, theo </w:t>
      </w:r>
      <w:r w:rsidRPr="002F6C22">
        <w:rPr>
          <w:rStyle w:val="fontstyle01"/>
          <w:rFonts w:asciiTheme="majorHAnsi" w:hAnsiTheme="majorHAnsi" w:cstheme="majorHAnsi"/>
          <w:color w:val="000000" w:themeColor="text1"/>
          <w:sz w:val="22"/>
          <w:szCs w:val="22"/>
        </w:rPr>
        <w:t>Shi và cộng sự</w:t>
      </w:r>
      <w:r w:rsidR="00A94C11">
        <w:rPr>
          <w:rStyle w:val="fontstyle01"/>
          <w:rFonts w:asciiTheme="majorHAnsi" w:hAnsiTheme="majorHAnsi" w:cstheme="majorHAnsi"/>
          <w:color w:val="000000" w:themeColor="text1"/>
          <w:sz w:val="22"/>
          <w:szCs w:val="22"/>
          <w:vertAlign w:val="superscript"/>
          <w:lang w:val="en-US"/>
        </w:rPr>
        <w:t>14</w:t>
      </w:r>
      <w:r w:rsidRPr="002F6C22">
        <w:rPr>
          <w:rStyle w:val="fontstyle01"/>
          <w:rFonts w:asciiTheme="majorHAnsi" w:hAnsiTheme="majorHAnsi" w:cstheme="majorHAnsi"/>
          <w:color w:val="000000" w:themeColor="text1"/>
          <w:sz w:val="22"/>
          <w:szCs w:val="22"/>
        </w:rPr>
        <w:t xml:space="preserve"> đề xuất rằng quy trình RE</w:t>
      </w:r>
      <w:r w:rsidR="00A94C11">
        <w:rPr>
          <w:rStyle w:val="fontstyle01"/>
          <w:rFonts w:asciiTheme="majorHAnsi" w:hAnsiTheme="majorHAnsi" w:cstheme="majorHAnsi"/>
          <w:color w:val="000000" w:themeColor="text1"/>
          <w:sz w:val="22"/>
          <w:szCs w:val="22"/>
          <w:vertAlign w:val="superscript"/>
          <w:lang w:val="en-US"/>
        </w:rPr>
        <w:t>16,17</w:t>
      </w:r>
      <w:r w:rsidRPr="002F6C22">
        <w:rPr>
          <w:rStyle w:val="fontstyle01"/>
          <w:rFonts w:asciiTheme="majorHAnsi" w:hAnsiTheme="majorHAnsi" w:cstheme="majorHAnsi"/>
          <w:color w:val="000000" w:themeColor="text1"/>
          <w:sz w:val="22"/>
          <w:szCs w:val="22"/>
        </w:rPr>
        <w:t xml:space="preserve"> hoạt động tốt hơn so với quy trình FE</w:t>
      </w:r>
      <w:r w:rsidR="00A94C11">
        <w:rPr>
          <w:rStyle w:val="fontstyle01"/>
          <w:rFonts w:asciiTheme="majorHAnsi" w:hAnsiTheme="majorHAnsi" w:cstheme="majorHAnsi"/>
          <w:color w:val="000000" w:themeColor="text1"/>
          <w:sz w:val="22"/>
          <w:szCs w:val="22"/>
          <w:vertAlign w:val="superscript"/>
          <w:lang w:val="en-US"/>
        </w:rPr>
        <w:t>18</w:t>
      </w:r>
      <w:r w:rsidRPr="002F6C22">
        <w:rPr>
          <w:rStyle w:val="fontstyle01"/>
          <w:rFonts w:asciiTheme="majorHAnsi" w:hAnsiTheme="majorHAnsi" w:cstheme="majorHAnsi"/>
          <w:color w:val="000000" w:themeColor="text1"/>
          <w:sz w:val="22"/>
          <w:szCs w:val="22"/>
        </w:rPr>
        <w:t xml:space="preserve"> và</w:t>
      </w:r>
      <w:r w:rsidRPr="002F6C22">
        <w:rPr>
          <w:rFonts w:asciiTheme="majorHAnsi" w:hAnsiTheme="majorHAnsi" w:cstheme="majorHAnsi"/>
          <w:color w:val="000000" w:themeColor="text1"/>
        </w:rPr>
        <w:t xml:space="preserve"> </w:t>
      </w:r>
      <w:r w:rsidRPr="002F6C22">
        <w:rPr>
          <w:rStyle w:val="fontstyle01"/>
          <w:rFonts w:asciiTheme="majorHAnsi" w:hAnsiTheme="majorHAnsi" w:cstheme="majorHAnsi"/>
          <w:color w:val="000000" w:themeColor="text1"/>
          <w:sz w:val="22"/>
          <w:szCs w:val="22"/>
        </w:rPr>
        <w:t>quy trình RO</w:t>
      </w:r>
      <w:r w:rsidR="00A94C11">
        <w:rPr>
          <w:rStyle w:val="fontstyle01"/>
          <w:rFonts w:asciiTheme="majorHAnsi" w:hAnsiTheme="majorHAnsi" w:cstheme="majorHAnsi"/>
          <w:color w:val="000000" w:themeColor="text1"/>
          <w:sz w:val="22"/>
          <w:szCs w:val="22"/>
          <w:vertAlign w:val="superscript"/>
          <w:lang w:val="en-US"/>
        </w:rPr>
        <w:t>19</w:t>
      </w:r>
      <w:r>
        <w:rPr>
          <w:rStyle w:val="fontstyle01"/>
          <w:rFonts w:asciiTheme="majorHAnsi" w:hAnsiTheme="majorHAnsi" w:cstheme="majorHAnsi"/>
          <w:color w:val="000000" w:themeColor="text1"/>
          <w:sz w:val="22"/>
          <w:szCs w:val="22"/>
        </w:rPr>
        <w:t>. Vì vậy, trong phần tiếp theo chúng tôi sẽ làm rõ mối quan hệ</w:t>
      </w:r>
      <w:r w:rsidR="000C76DF" w:rsidRPr="00642D29">
        <w:rPr>
          <w:rStyle w:val="fontstyle01"/>
          <w:rFonts w:asciiTheme="majorHAnsi" w:hAnsiTheme="majorHAnsi" w:cstheme="majorHAnsi"/>
          <w:color w:val="000000" w:themeColor="text1"/>
          <w:sz w:val="22"/>
          <w:szCs w:val="22"/>
        </w:rPr>
        <w:t xml:space="preserve"> giữa</w:t>
      </w:r>
      <w:r>
        <w:rPr>
          <w:rStyle w:val="fontstyle01"/>
          <w:rFonts w:asciiTheme="majorHAnsi" w:hAnsiTheme="majorHAnsi" w:cstheme="majorHAnsi"/>
          <w:color w:val="000000" w:themeColor="text1"/>
          <w:sz w:val="22"/>
          <w:szCs w:val="22"/>
        </w:rPr>
        <w:t xml:space="preserve"> giá dầu và IPI đến GDP qua mô hình RE.</w:t>
      </w:r>
    </w:p>
    <w:p w14:paraId="00F27E45" w14:textId="02534AC0" w:rsidR="004007EA" w:rsidRPr="002F6C22" w:rsidRDefault="004007EA" w:rsidP="00CC5DE5">
      <w:pPr>
        <w:spacing w:before="120" w:after="120" w:line="240" w:lineRule="auto"/>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FE được sử dụng trong Phương trình (5):</w:t>
      </w:r>
    </w:p>
    <w:p w14:paraId="71E2CCA5" w14:textId="378900F4"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&gt;cv</m:t>
                  </m:r>
                </m:e>
              </m:d>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 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0</m:t>
                      </m:r>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5</m:t>
                  </m:r>
                </m:e>
              </m:d>
            </m:e>
          </m:eqArr>
        </m:oMath>
      </m:oMathPara>
    </w:p>
    <w:p w14:paraId="24D1BCE5" w14:textId="77777777" w:rsidR="004007EA" w:rsidRPr="002F6C22" w:rsidRDefault="004007EA" w:rsidP="00CC5DE5">
      <w:pPr>
        <w:spacing w:before="120" w:after="120" w:line="240" w:lineRule="auto"/>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RO được sử dụng trong Phương trình (6):</w:t>
      </w:r>
    </w:p>
    <w:p w14:paraId="1D48723D" w14:textId="1FA4F78D"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&gt;cv</m:t>
                  </m:r>
                </m:e>
              </m:d>
              <m:r>
                <w:rPr>
                  <w:rFonts w:ascii="Cambria Math" w:hAnsi="Cambria Math" w:cstheme="majorHAnsi"/>
                  <w:color w:val="000000" w:themeColor="text1"/>
                </w:rPr>
                <m:t xml:space="preserve"> </m:t>
              </m:r>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6</m:t>
                  </m:r>
                </m:e>
              </m:d>
            </m:e>
          </m:eqArr>
        </m:oMath>
      </m:oMathPara>
    </w:p>
    <w:p w14:paraId="7F5347DA" w14:textId="77777777" w:rsidR="004007EA" w:rsidRPr="002F6C22" w:rsidRDefault="004007EA" w:rsidP="00C233D8">
      <w:pPr>
        <w:spacing w:before="120" w:after="120" w:line="240" w:lineRule="auto"/>
        <w:jc w:val="both"/>
        <w:rPr>
          <w:rFonts w:asciiTheme="majorHAnsi" w:hAnsiTheme="majorHAnsi" w:cstheme="majorHAnsi"/>
          <w:color w:val="000000" w:themeColor="text1"/>
        </w:rPr>
      </w:pPr>
      <w:r w:rsidRPr="002F6C22">
        <w:rPr>
          <w:rStyle w:val="fontstyle01"/>
          <w:rFonts w:asciiTheme="majorHAnsi" w:hAnsiTheme="majorHAnsi" w:cstheme="majorHAnsi"/>
          <w:color w:val="000000" w:themeColor="text1"/>
          <w:sz w:val="22"/>
          <w:szCs w:val="22"/>
        </w:rPr>
        <w:t>Thống kê thử nghiệm cho quy trình RE được sử dụng trong Phương trình (7):</w:t>
      </w:r>
    </w:p>
    <w:p w14:paraId="38F87127" w14:textId="5195791E" w:rsidR="004007EA" w:rsidRPr="002F6C22" w:rsidRDefault="00000000" w:rsidP="0080456D">
      <w:pPr>
        <w:spacing w:before="120" w:after="120" w:line="240" w:lineRule="auto"/>
        <w:jc w:val="both"/>
        <w:rPr>
          <w:rFonts w:asciiTheme="majorHAnsi" w:hAnsiTheme="majorHAnsi" w:cstheme="majorHAnsi"/>
          <w:color w:val="000000" w:themeColor="text1"/>
        </w:rPr>
      </w:pPr>
      <m:oMathPara>
        <m:oMath>
          <m:eqArr>
            <m:eqArrPr>
              <m:maxDist m:val="1"/>
              <m:ctrlPr>
                <w:rPr>
                  <w:rFonts w:ascii="Cambria Math" w:hAnsi="Cambria Math" w:cstheme="majorHAnsi"/>
                  <w:i/>
                  <w:color w:val="000000" w:themeColor="text1"/>
                </w:rPr>
              </m:ctrlPr>
            </m:eqArr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f:</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&gt;scv</m:t>
                  </m:r>
                </m:e>
              </m:d>
              <m:r>
                <w:rPr>
                  <w:rFonts w:ascii="Cambria Math" w:hAnsi="Cambria Math" w:cstheme="majorHAnsi"/>
                  <w:color w:val="000000" w:themeColor="text1"/>
                </w:rPr>
                <m:t xml:space="preserve"> </m:t>
              </m:r>
              <m:ctrlPr>
                <w:rPr>
                  <w:rFonts w:ascii="Cambria Math" w:eastAsia="Cambria Math" w:hAnsi="Cambria Math" w:cs="Cambria Math"/>
                  <w:i/>
                  <w:color w:val="000000" w:themeColor="text1"/>
                </w:rPr>
              </m:ctrlPr>
            </m:e>
            <m:e>
              <m:r>
                <w:rPr>
                  <w:rFonts w:ascii="Cambria Math" w:hAnsi="Cambria Math" w:cstheme="majorHAnsi"/>
                  <w:color w:val="000000" w:themeColor="text1"/>
                </w:rPr>
                <m:t xml:space="preserve">và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e>
              </m:acc>
              <m:r>
                <w:rPr>
                  <w:rFonts w:ascii="Cambria Math" w:hAnsi="Cambria Math" w:cstheme="majorHAnsi"/>
                  <w:color w:val="000000" w:themeColor="text1"/>
                </w:rPr>
                <m:t>=</m:t>
              </m:r>
              <m:f>
                <m:fPr>
                  <m:ctrlPr>
                    <w:rPr>
                      <w:rFonts w:ascii="Cambria Math" w:hAnsi="Cambria Math" w:cstheme="majorHAnsi"/>
                      <w:i/>
                      <w:color w:val="000000" w:themeColor="text1"/>
                    </w:rPr>
                  </m:ctrlPr>
                </m:fPr>
                <m:num>
                  <m:r>
                    <w:rPr>
                      <w:rFonts w:ascii="Cambria Math" w:hAnsi="Cambria Math" w:cstheme="majorHAnsi"/>
                      <w:color w:val="000000" w:themeColor="text1"/>
                    </w:rPr>
                    <m:t>inf</m:t>
                  </m:r>
                </m:num>
                <m:den>
                  <m:r>
                    <w:rPr>
                      <w:rFonts w:ascii="Cambria Math" w:hAnsi="Cambria Math" w:cstheme="majorHAnsi"/>
                      <w:color w:val="000000" w:themeColor="text1"/>
                    </w:rPr>
                    <m:t xml:space="preserve">f∈ </m:t>
                  </m:r>
                  <m:d>
                    <m:dPr>
                      <m:begChr m:val="["/>
                      <m:endChr m:val="]"/>
                      <m:ctrlPr>
                        <w:rPr>
                          <w:rFonts w:ascii="Cambria Math" w:hAnsi="Cambria Math" w:cstheme="majorHAnsi"/>
                          <w:i/>
                          <w:color w:val="000000" w:themeColor="text1"/>
                        </w:rPr>
                      </m:ctrlPr>
                    </m:dPr>
                    <m:e>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e>
                      </m:acc>
                      <m:r>
                        <w:rPr>
                          <w:rFonts w:ascii="Cambria Math" w:hAnsi="Cambria Math" w:cstheme="majorHAnsi"/>
                          <w:color w:val="000000" w:themeColor="text1"/>
                        </w:rPr>
                        <m:t>,1</m:t>
                      </m:r>
                    </m:e>
                  </m:d>
                </m:den>
              </m:f>
              <m:d>
                <m:dPr>
                  <m:begChr m:val="{"/>
                  <m:endChr m:val="}"/>
                  <m:ctrlPr>
                    <w:rPr>
                      <w:rFonts w:ascii="Cambria Math" w:hAnsi="Cambria Math" w:cstheme="majorHAnsi"/>
                      <w:i/>
                      <w:color w:val="000000" w:themeColor="text1"/>
                    </w:rPr>
                  </m:ctrlPr>
                </m:dPr>
                <m:e>
                  <m:r>
                    <w:rPr>
                      <w:rFonts w:ascii="Cambria Math" w:hAnsi="Cambria Math" w:cstheme="majorHAnsi"/>
                      <w:color w:val="000000" w:themeColor="text1"/>
                    </w:rPr>
                    <m:t xml:space="preserve">f: </m:t>
                  </m:r>
                  <m:sSub>
                    <m:sSubPr>
                      <m:ctrlPr>
                        <w:rPr>
                          <w:rFonts w:ascii="Cambria Math" w:hAnsi="Cambria Math" w:cstheme="majorHAnsi"/>
                          <w:i/>
                          <w:color w:val="000000" w:themeColor="text1"/>
                        </w:rPr>
                      </m:ctrlPr>
                    </m:sSubPr>
                    <m:e>
                      <m:r>
                        <w:rPr>
                          <w:rFonts w:ascii="Cambria Math" w:hAnsi="Cambria Math" w:cstheme="majorHAnsi"/>
                          <w:color w:val="000000" w:themeColor="text1"/>
                        </w:rPr>
                        <m:t>SW</m:t>
                      </m:r>
                    </m:e>
                    <m:sub>
                      <m:r>
                        <w:rPr>
                          <w:rFonts w:ascii="Cambria Math" w:hAnsi="Cambria Math" w:cstheme="majorHAnsi"/>
                          <w:color w:val="000000" w:themeColor="text1"/>
                        </w:rPr>
                        <m:t>f</m:t>
                      </m:r>
                    </m:sub>
                  </m:sSub>
                  <m:d>
                    <m:dPr>
                      <m:ctrlPr>
                        <w:rPr>
                          <w:rFonts w:ascii="Cambria Math" w:hAnsi="Cambria Math" w:cstheme="majorHAnsi"/>
                          <w:i/>
                          <w:color w:val="000000" w:themeColor="text1"/>
                        </w:rPr>
                      </m:ctrlPr>
                    </m:d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0</m:t>
                          </m:r>
                        </m:sub>
                      </m:sSub>
                    </m:e>
                  </m:d>
                  <m:r>
                    <w:rPr>
                      <w:rFonts w:ascii="Cambria Math" w:hAnsi="Cambria Math" w:cstheme="majorHAnsi"/>
                      <w:color w:val="000000" w:themeColor="text1"/>
                    </w:rPr>
                    <m:t>&lt;scv</m:t>
                  </m:r>
                </m:e>
              </m:d>
              <m:r>
                <w:rPr>
                  <w:rFonts w:ascii="Cambria Math" w:hAnsi="Cambria Math" w:cstheme="majorHAnsi"/>
                  <w:color w:val="000000" w:themeColor="text1"/>
                </w:rPr>
                <m:t>#</m:t>
              </m:r>
              <m:d>
                <m:dPr>
                  <m:ctrlPr>
                    <w:rPr>
                      <w:rFonts w:ascii="Cambria Math" w:hAnsi="Cambria Math" w:cstheme="majorHAnsi"/>
                      <w:i/>
                      <w:color w:val="000000" w:themeColor="text1"/>
                    </w:rPr>
                  </m:ctrlPr>
                </m:dPr>
                <m:e>
                  <m:r>
                    <w:rPr>
                      <w:rFonts w:ascii="Cambria Math" w:hAnsi="Cambria Math" w:cstheme="majorHAnsi"/>
                      <w:color w:val="000000" w:themeColor="text1"/>
                    </w:rPr>
                    <m:t>7</m:t>
                  </m:r>
                </m:e>
              </m:d>
            </m:e>
          </m:eqArr>
        </m:oMath>
      </m:oMathPara>
    </w:p>
    <w:p w14:paraId="478F3D1F" w14:textId="61F866A6" w:rsidR="00044C34" w:rsidRPr="0061649F" w:rsidRDefault="004007EA" w:rsidP="00C233D8">
      <w:pPr>
        <w:spacing w:before="120" w:after="120" w:line="240" w:lineRule="auto"/>
        <w:jc w:val="both"/>
        <w:rPr>
          <w:rFonts w:asciiTheme="majorHAnsi" w:hAnsiTheme="majorHAnsi" w:cstheme="majorHAnsi"/>
          <w:color w:val="000000" w:themeColor="text1"/>
          <w:vertAlign w:val="superscript"/>
          <w:lang w:val="en-US"/>
        </w:rPr>
      </w:pPr>
      <w:r w:rsidRPr="002F6C22">
        <w:rPr>
          <w:rFonts w:asciiTheme="majorHAnsi" w:hAnsiTheme="majorHAnsi" w:cstheme="majorHAnsi"/>
          <w:color w:val="000000" w:themeColor="text1"/>
        </w:rPr>
        <w:t xml:space="preserve">Trong đó, </w:t>
      </w:r>
      <m:oMath>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e</m:t>
                </m:r>
              </m:sub>
            </m:sSub>
            <m:r>
              <w:rPr>
                <w:rFonts w:ascii="Cambria Math" w:hAnsi="Cambria Math" w:cstheme="majorHAnsi"/>
                <w:color w:val="000000" w:themeColor="text1"/>
              </w:rPr>
              <m:t xml:space="preserve"> </m:t>
            </m:r>
          </m:e>
        </m:acc>
      </m:oMath>
      <w:r w:rsidRPr="002F6C22">
        <w:rPr>
          <w:rFonts w:asciiTheme="majorHAnsi" w:hAnsiTheme="majorHAnsi" w:cstheme="majorHAnsi"/>
          <w:color w:val="000000" w:themeColor="text1"/>
        </w:rPr>
        <w:t>và</w:t>
      </w:r>
      <m:oMath>
        <m:r>
          <w:rPr>
            <w:rFonts w:ascii="Cambria Math" w:hAnsi="Cambria Math" w:cstheme="majorHAnsi"/>
            <w:color w:val="000000" w:themeColor="text1"/>
          </w:rPr>
          <m:t xml:space="preserve"> </m:t>
        </m:r>
        <m:acc>
          <m:accPr>
            <m:ctrlPr>
              <w:rPr>
                <w:rFonts w:ascii="Cambria Math" w:hAnsi="Cambria Math" w:cstheme="majorHAnsi"/>
                <w:i/>
                <w:color w:val="000000" w:themeColor="text1"/>
              </w:rPr>
            </m:ctrlPr>
          </m:accPr>
          <m:e>
            <m:sSub>
              <m:sSubPr>
                <m:ctrlPr>
                  <w:rPr>
                    <w:rFonts w:ascii="Cambria Math" w:hAnsi="Cambria Math" w:cstheme="majorHAnsi"/>
                    <w:i/>
                    <w:color w:val="000000" w:themeColor="text1"/>
                  </w:rPr>
                </m:ctrlPr>
              </m:sSubPr>
              <m:e>
                <m:r>
                  <w:rPr>
                    <w:rFonts w:ascii="Cambria Math" w:hAnsi="Cambria Math" w:cstheme="majorHAnsi"/>
                    <w:color w:val="000000" w:themeColor="text1"/>
                  </w:rPr>
                  <m:t>f</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e>
        </m:acc>
      </m:oMath>
      <w:r w:rsidRPr="002F6C22">
        <w:rPr>
          <w:rFonts w:asciiTheme="majorHAnsi" w:hAnsiTheme="majorHAnsi" w:cstheme="majorHAnsi"/>
          <w:color w:val="000000" w:themeColor="text1"/>
        </w:rPr>
        <w:t xml:space="preserve"> là các quan sát tại điểm bắt đầu và điểm kết thúc của mối quan hệ nhân quả. Ngoài ra, </w:t>
      </w:r>
      <w:r w:rsidRPr="002F6C22">
        <w:rPr>
          <w:rFonts w:asciiTheme="majorHAnsi" w:hAnsiTheme="majorHAnsi" w:cstheme="majorHAnsi"/>
          <w:i/>
          <w:color w:val="000000" w:themeColor="text1"/>
        </w:rPr>
        <w:t xml:space="preserve">cv </w:t>
      </w:r>
      <w:r w:rsidRPr="002F6C22">
        <w:rPr>
          <w:rFonts w:asciiTheme="majorHAnsi" w:hAnsiTheme="majorHAnsi" w:cstheme="majorHAnsi"/>
          <w:color w:val="000000" w:themeColor="text1"/>
        </w:rPr>
        <w:t xml:space="preserve">và </w:t>
      </w:r>
      <w:r w:rsidRPr="002F6C22">
        <w:rPr>
          <w:rFonts w:asciiTheme="majorHAnsi" w:hAnsiTheme="majorHAnsi" w:cstheme="majorHAnsi"/>
          <w:i/>
          <w:color w:val="000000" w:themeColor="text1"/>
        </w:rPr>
        <w:t xml:space="preserve">scv </w:t>
      </w:r>
      <w:r w:rsidRPr="002F6C22">
        <w:rPr>
          <w:rFonts w:asciiTheme="majorHAnsi" w:hAnsiTheme="majorHAnsi" w:cstheme="majorHAnsi"/>
          <w:color w:val="000000" w:themeColor="text1"/>
        </w:rPr>
        <w:t xml:space="preserve">là các giá trị quan trọng liên quan đến </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W</m:t>
            </m:r>
          </m:e>
          <m:sub>
            <m:r>
              <w:rPr>
                <w:rFonts w:ascii="Cambria Math" w:hAnsi="Cambria Math" w:cstheme="majorHAnsi"/>
                <w:color w:val="000000" w:themeColor="text1"/>
              </w:rPr>
              <m:t>f</m:t>
            </m:r>
          </m:sub>
        </m:sSub>
        <m:r>
          <w:rPr>
            <w:rFonts w:ascii="Cambria Math" w:hAnsi="Cambria Math" w:cstheme="majorHAnsi"/>
            <w:color w:val="000000" w:themeColor="text1"/>
          </w:rPr>
          <m:t xml:space="preserve"> </m:t>
        </m:r>
      </m:oMath>
      <w:r w:rsidRPr="002F6C22">
        <w:rPr>
          <w:rFonts w:asciiTheme="majorHAnsi" w:hAnsiTheme="majorHAnsi" w:cstheme="majorHAnsi"/>
          <w:color w:val="000000" w:themeColor="text1"/>
        </w:rPr>
        <w:t>và</w:t>
      </w:r>
      <m:oMath>
        <m:sSub>
          <m:sSubPr>
            <m:ctrlPr>
              <w:rPr>
                <w:rFonts w:ascii="Cambria Math" w:hAnsi="Cambria Math" w:cstheme="majorHAnsi"/>
                <w:i/>
                <w:color w:val="000000" w:themeColor="text1"/>
              </w:rPr>
            </m:ctrlPr>
          </m:sSubPr>
          <m:e>
            <m:r>
              <w:rPr>
                <w:rFonts w:ascii="Cambria Math" w:hAnsi="Cambria Math" w:cstheme="majorHAnsi"/>
                <w:color w:val="000000" w:themeColor="text1"/>
              </w:rPr>
              <m:t xml:space="preserve"> SW</m:t>
            </m:r>
          </m:e>
          <m:sub>
            <m:r>
              <w:rPr>
                <w:rFonts w:ascii="Cambria Math" w:hAnsi="Cambria Math" w:cstheme="majorHAnsi"/>
                <w:color w:val="000000" w:themeColor="text1"/>
              </w:rPr>
              <m:t>f</m:t>
            </m:r>
          </m:sub>
        </m:sSub>
      </m:oMath>
      <w:r w:rsidRPr="002F6C22">
        <w:rPr>
          <w:rFonts w:asciiTheme="majorHAnsi" w:hAnsiTheme="majorHAnsi" w:cstheme="majorHAnsi"/>
          <w:i/>
          <w:color w:val="000000" w:themeColor="text1"/>
        </w:rPr>
        <w:t xml:space="preserve"> </w:t>
      </w:r>
      <w:r w:rsidRPr="002F6C22">
        <w:rPr>
          <w:rFonts w:asciiTheme="majorHAnsi" w:hAnsiTheme="majorHAnsi" w:cstheme="majorHAnsi"/>
          <w:color w:val="000000" w:themeColor="text1"/>
        </w:rPr>
        <w:t>thống kê.</w:t>
      </w:r>
      <w:bookmarkEnd w:id="0"/>
      <w:r w:rsidR="0061649F">
        <w:rPr>
          <w:rFonts w:asciiTheme="majorHAnsi" w:hAnsiTheme="majorHAnsi" w:cstheme="majorHAnsi"/>
          <w:color w:val="000000" w:themeColor="text1"/>
          <w:vertAlign w:val="superscript"/>
          <w:lang w:val="en-US"/>
        </w:rPr>
        <w:t>13</w:t>
      </w:r>
    </w:p>
    <w:p w14:paraId="2C94B2E7" w14:textId="3CAB1C9F" w:rsidR="00B14355" w:rsidRPr="002F6C22" w:rsidRDefault="003E1C9F" w:rsidP="005663C5">
      <w:pPr>
        <w:pStyle w:val="ListParagraph"/>
        <w:numPr>
          <w:ilvl w:val="0"/>
          <w:numId w:val="13"/>
        </w:numPr>
        <w:spacing w:before="120" w:after="120" w:line="240" w:lineRule="auto"/>
        <w:ind w:left="360"/>
        <w:rPr>
          <w:rFonts w:asciiTheme="majorHAnsi" w:hAnsiTheme="majorHAnsi" w:cstheme="majorHAnsi"/>
          <w:b/>
          <w:bCs/>
          <w:lang w:val="en-US"/>
        </w:rPr>
      </w:pPr>
      <w:r w:rsidRPr="002F6C22">
        <w:rPr>
          <w:rFonts w:asciiTheme="majorHAnsi" w:hAnsiTheme="majorHAnsi" w:cstheme="majorHAnsi"/>
          <w:b/>
          <w:bCs/>
          <w:lang w:val="en-US"/>
        </w:rPr>
        <w:t>KẾT QUẢ NGHIÊN CỨU</w:t>
      </w:r>
    </w:p>
    <w:p w14:paraId="45F16338" w14:textId="77777777" w:rsidR="004B0388" w:rsidRPr="004B0388" w:rsidRDefault="004B0388" w:rsidP="004B0388">
      <w:pPr>
        <w:spacing w:before="120" w:after="120" w:line="240" w:lineRule="auto"/>
        <w:jc w:val="center"/>
        <w:rPr>
          <w:rFonts w:asciiTheme="majorHAnsi" w:hAnsiTheme="majorHAnsi" w:cstheme="majorHAnsi"/>
          <w:lang w:val="en-US"/>
        </w:rPr>
      </w:pPr>
      <w:r w:rsidRPr="002F6C22">
        <w:rPr>
          <w:noProof/>
          <w:lang w:val="en-US"/>
        </w:rPr>
        <w:drawing>
          <wp:inline distT="0" distB="0" distL="0" distR="0" wp14:anchorId="2A9D054A" wp14:editId="7D407BA4">
            <wp:extent cx="2743200" cy="1763501"/>
            <wp:effectExtent l="19050" t="19050" r="19050" b="27305"/>
            <wp:docPr id="1913221704" name="Picture 3" descr="A graph of a number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21704" name="Picture 3" descr="A graph of a number of people&#10;&#10;Description automatically generated"/>
                    <pic:cNvPicPr/>
                  </pic:nvPicPr>
                  <pic:blipFill rotWithShape="1">
                    <a:blip r:embed="rId12" cstate="print">
                      <a:extLst>
                        <a:ext uri="{28A0092B-C50C-407E-A947-70E740481C1C}">
                          <a14:useLocalDpi xmlns:a14="http://schemas.microsoft.com/office/drawing/2010/main" val="0"/>
                        </a:ext>
                      </a:extLst>
                    </a:blip>
                    <a:srcRect t="11606"/>
                    <a:stretch/>
                  </pic:blipFill>
                  <pic:spPr bwMode="auto">
                    <a:xfrm>
                      <a:off x="0" y="0"/>
                      <a:ext cx="2743200" cy="1763501"/>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E2BEB5F" w14:textId="4E0D58CA" w:rsidR="004B0388" w:rsidRPr="00642D29" w:rsidRDefault="004B0388" w:rsidP="00BF2240">
      <w:pPr>
        <w:spacing w:before="120" w:after="240" w:line="240" w:lineRule="auto"/>
        <w:rPr>
          <w:rFonts w:asciiTheme="majorHAnsi" w:hAnsiTheme="majorHAnsi" w:cstheme="majorHAnsi"/>
          <w:i/>
          <w:sz w:val="20"/>
          <w:szCs w:val="20"/>
        </w:rPr>
      </w:pPr>
      <w:r w:rsidRPr="00D23CE6">
        <w:rPr>
          <w:rFonts w:asciiTheme="majorHAnsi" w:hAnsiTheme="majorHAnsi" w:cstheme="majorHAnsi"/>
          <w:b/>
          <w:sz w:val="20"/>
          <w:szCs w:val="20"/>
        </w:rPr>
        <w:t>Hình 1</w:t>
      </w:r>
      <w:r w:rsidR="005A6BD3" w:rsidRPr="00D23CE6">
        <w:rPr>
          <w:rFonts w:asciiTheme="majorHAnsi" w:hAnsiTheme="majorHAnsi" w:cstheme="majorHAnsi"/>
          <w:b/>
          <w:sz w:val="20"/>
          <w:szCs w:val="20"/>
          <w:lang w:val="en-US"/>
        </w:rPr>
        <w:t>.</w:t>
      </w:r>
      <w:r w:rsidRPr="00D23CE6">
        <w:rPr>
          <w:rFonts w:asciiTheme="majorHAnsi" w:hAnsiTheme="majorHAnsi" w:cstheme="majorHAnsi"/>
          <w:sz w:val="20"/>
          <w:szCs w:val="20"/>
        </w:rPr>
        <w:t xml:space="preserve"> </w:t>
      </w:r>
      <w:r w:rsidR="00E350C3" w:rsidRPr="00642D29">
        <w:rPr>
          <w:rFonts w:asciiTheme="majorHAnsi" w:hAnsiTheme="majorHAnsi" w:cstheme="majorHAnsi"/>
          <w:sz w:val="20"/>
          <w:szCs w:val="20"/>
        </w:rPr>
        <w:t>Đ</w:t>
      </w:r>
      <w:r w:rsidRPr="00D23CE6">
        <w:rPr>
          <w:rFonts w:asciiTheme="majorHAnsi" w:hAnsiTheme="majorHAnsi" w:cstheme="majorHAnsi"/>
          <w:sz w:val="20"/>
          <w:szCs w:val="20"/>
        </w:rPr>
        <w:t>ồ thị</w:t>
      </w:r>
      <w:r w:rsidR="00F50972" w:rsidRPr="00642D29">
        <w:rPr>
          <w:rFonts w:asciiTheme="majorHAnsi" w:hAnsiTheme="majorHAnsi" w:cstheme="majorHAnsi"/>
          <w:sz w:val="20"/>
          <w:szCs w:val="20"/>
        </w:rPr>
        <w:t xml:space="preserve"> mô tả</w:t>
      </w:r>
      <w:r w:rsidRPr="00D23CE6">
        <w:rPr>
          <w:rFonts w:asciiTheme="majorHAnsi" w:hAnsiTheme="majorHAnsi" w:cstheme="majorHAnsi"/>
          <w:sz w:val="20"/>
          <w:szCs w:val="20"/>
        </w:rPr>
        <w:t xml:space="preserve"> sự tác động thay đổi theo thời gian từ giá dầu đến GDP của Việt Nam trong giai đoạn 2002–2023</w:t>
      </w:r>
      <w:r w:rsidR="00E978B6">
        <w:rPr>
          <w:rFonts w:asciiTheme="majorHAnsi" w:hAnsiTheme="majorHAnsi" w:cstheme="majorHAnsi"/>
          <w:sz w:val="20"/>
          <w:szCs w:val="20"/>
        </w:rPr>
        <w:t xml:space="preserve"> </w:t>
      </w:r>
      <w:r w:rsidR="008A15AE">
        <w:rPr>
          <w:rFonts w:asciiTheme="majorHAnsi" w:hAnsiTheme="majorHAnsi" w:cstheme="majorHAnsi"/>
          <w:sz w:val="20"/>
          <w:szCs w:val="20"/>
        </w:rPr>
        <w:t>bằng kiểm định Wald RE</w:t>
      </w:r>
      <w:r w:rsidRPr="00D23CE6">
        <w:rPr>
          <w:rFonts w:asciiTheme="majorHAnsi" w:hAnsiTheme="majorHAnsi" w:cstheme="majorHAnsi"/>
          <w:sz w:val="20"/>
          <w:szCs w:val="20"/>
        </w:rPr>
        <w:t>. (–) và (..) lần lượt mô tả mức ý nghĩa 10% và 5% của số liệu thống kê kiểm định.</w:t>
      </w:r>
    </w:p>
    <w:p w14:paraId="51BC586E" w14:textId="472D88F2" w:rsidR="00044C34" w:rsidRPr="00642D29" w:rsidRDefault="00044C34"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 1</w:t>
      </w:r>
      <w:r w:rsidRPr="002F6C22">
        <w:rPr>
          <w:rFonts w:asciiTheme="majorHAnsi" w:hAnsiTheme="majorHAnsi" w:cstheme="majorHAnsi"/>
        </w:rPr>
        <w:t xml:space="preserve"> cho thấy mối quan hệ giữa giá dầu và GDP Việt Nam thay đổi theo thời gian. Từ khoảng cuối năm 2015 đến 2017, khi giá dầu thô giảm mạnh, mô hình kiểm định có sự gia tăng đột biến phản ánh tác động đáng kể của giá dầu đến GDP Việt Nam trong giai đoạn này. </w:t>
      </w:r>
      <w:r w:rsidR="00041D9D" w:rsidRPr="002F6C22">
        <w:rPr>
          <w:rFonts w:asciiTheme="majorHAnsi" w:hAnsiTheme="majorHAnsi" w:cstheme="majorHAnsi"/>
        </w:rPr>
        <w:t>Nguyên nhân do</w:t>
      </w:r>
      <w:r w:rsidRPr="002F6C22">
        <w:rPr>
          <w:rFonts w:asciiTheme="majorHAnsi" w:hAnsiTheme="majorHAnsi" w:cstheme="majorHAnsi"/>
        </w:rPr>
        <w:t xml:space="preserve"> quyết định của OPEC về việc không cắt giảm sản lượng, bất chấp tình trạng dư cung, nhằm duy trì thị phần khiến giá dầu lao dốc sâu hơn, gây chấn động thị trường.</w:t>
      </w:r>
      <w:r w:rsidR="00A94C11">
        <w:rPr>
          <w:rFonts w:asciiTheme="majorHAnsi" w:hAnsiTheme="majorHAnsi" w:cstheme="majorHAnsi"/>
          <w:vertAlign w:val="superscript"/>
          <w:lang w:val="en-US"/>
        </w:rPr>
        <w:t>20</w:t>
      </w:r>
      <w:r w:rsidRPr="002F6C22">
        <w:rPr>
          <w:rFonts w:asciiTheme="majorHAnsi" w:hAnsiTheme="majorHAnsi" w:cstheme="majorHAnsi"/>
        </w:rPr>
        <w:t xml:space="preserve"> Sau đỉnh điểm này, đường cong Granger giảm mạnh nhưng vẫn có ý nghĩa thống kê</w:t>
      </w:r>
      <w:r w:rsidR="00A66C69" w:rsidRPr="00642D29">
        <w:rPr>
          <w:rFonts w:asciiTheme="majorHAnsi" w:hAnsiTheme="majorHAnsi" w:cstheme="majorHAnsi"/>
        </w:rPr>
        <w:t>. T</w:t>
      </w:r>
      <w:r w:rsidRPr="002F6C22">
        <w:rPr>
          <w:rFonts w:asciiTheme="majorHAnsi" w:hAnsiTheme="majorHAnsi" w:cstheme="majorHAnsi"/>
        </w:rPr>
        <w:t>ừ khoảng cuối năm 2017 trở đi, cho thấy mối quan hệ giữa giá dầu và GDP vẫn là một trong những yếu tố quan trọng của hoạt động kinh tế Việt Nam.</w:t>
      </w:r>
    </w:p>
    <w:p w14:paraId="4874648A"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0DE21F4C" wp14:editId="2FB1BAA6">
            <wp:extent cx="2743200" cy="1754242"/>
            <wp:effectExtent l="19050" t="19050" r="19050" b="17780"/>
            <wp:docPr id="695172920" name="Picture 4"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72920" name="Picture 4" descr="A graph of a number of peopl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9973260" w14:textId="0EB8A6E3" w:rsidR="004B0388" w:rsidRPr="00642D29" w:rsidRDefault="004B0388" w:rsidP="00BF2240">
      <w:pPr>
        <w:spacing w:before="120" w:after="240" w:line="240" w:lineRule="auto"/>
        <w:rPr>
          <w:rFonts w:asciiTheme="majorHAnsi" w:hAnsiTheme="majorHAnsi" w:cstheme="majorHAnsi"/>
          <w:i/>
          <w:sz w:val="20"/>
          <w:szCs w:val="20"/>
        </w:rPr>
      </w:pPr>
      <w:r w:rsidRPr="008245E6">
        <w:rPr>
          <w:rFonts w:asciiTheme="majorHAnsi" w:hAnsiTheme="majorHAnsi" w:cstheme="majorHAnsi"/>
          <w:b/>
          <w:bCs/>
          <w:sz w:val="20"/>
          <w:szCs w:val="20"/>
        </w:rPr>
        <w:t>Hình 2</w:t>
      </w:r>
      <w:r w:rsidR="008245E6" w:rsidRPr="008245E6">
        <w:rPr>
          <w:rFonts w:asciiTheme="majorHAnsi" w:hAnsiTheme="majorHAnsi" w:cstheme="majorHAnsi"/>
          <w:b/>
          <w:bCs/>
          <w:sz w:val="20"/>
          <w:szCs w:val="20"/>
          <w:lang w:val="en-US"/>
        </w:rPr>
        <w:t>.</w:t>
      </w:r>
      <w:r w:rsidR="002D536F" w:rsidRPr="008245E6">
        <w:rPr>
          <w:rFonts w:asciiTheme="majorHAnsi" w:hAnsiTheme="majorHAnsi" w:cstheme="majorHAnsi"/>
          <w:sz w:val="20"/>
          <w:szCs w:val="20"/>
          <w:lang w:val="en-US"/>
        </w:rPr>
        <w:t xml:space="preserve"> Đ</w:t>
      </w:r>
      <w:r w:rsidRPr="008245E6">
        <w:rPr>
          <w:rFonts w:asciiTheme="majorHAnsi" w:hAnsiTheme="majorHAnsi" w:cstheme="majorHAnsi"/>
          <w:sz w:val="20"/>
          <w:szCs w:val="20"/>
        </w:rPr>
        <w:t>ồ thị</w:t>
      </w:r>
      <w:r w:rsidR="002D536F" w:rsidRPr="008245E6">
        <w:rPr>
          <w:rFonts w:asciiTheme="majorHAnsi" w:hAnsiTheme="majorHAnsi" w:cstheme="majorHAnsi"/>
          <w:sz w:val="20"/>
          <w:szCs w:val="20"/>
          <w:lang w:val="en-US"/>
        </w:rPr>
        <w:t xml:space="preserve"> mô tả</w:t>
      </w:r>
      <w:r w:rsidRPr="008245E6">
        <w:rPr>
          <w:rFonts w:asciiTheme="majorHAnsi" w:hAnsiTheme="majorHAnsi" w:cstheme="majorHAnsi"/>
          <w:sz w:val="20"/>
          <w:szCs w:val="20"/>
        </w:rPr>
        <w:t xml:space="preserve"> sự tác động thay đổi theo thời gian từ IPI đến GDP của Việt Nam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31C02731" w14:textId="5D19CA20" w:rsidR="007C08CC" w:rsidRPr="00642D29" w:rsidRDefault="005D2942"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 2</w:t>
      </w:r>
      <w:r w:rsidRPr="002F6C22">
        <w:rPr>
          <w:rFonts w:asciiTheme="majorHAnsi" w:hAnsiTheme="majorHAnsi" w:cstheme="majorHAnsi"/>
          <w:b/>
          <w:bCs/>
        </w:rPr>
        <w:t xml:space="preserve"> </w:t>
      </w:r>
      <w:r w:rsidRPr="002F6C22">
        <w:rPr>
          <w:rFonts w:asciiTheme="majorHAnsi" w:hAnsiTheme="majorHAnsi" w:cstheme="majorHAnsi"/>
        </w:rPr>
        <w:t>cho thấy mối quan hệ giữa IPI và GDP của Việt Nam thay đổi theo thời gian. Mô hình kiểm định ghi nhận sự gia tăng đột biến trong giai đoạn 2011–2017, đặc biệt là 2016 phản ánh mức độ tác động mạnh mẽ của IPI lên GDP. Theo báo cáo về tình hình xuất khẩu hàng năm của Tổng cục Hải quan, ngành công nghiệp chế biến chế tạo ở Việt Nam có sự đóng góp rất lớn tới tăng trưởng xuất khẩu quốc gia.</w:t>
      </w:r>
      <w:r w:rsidR="00A94C11">
        <w:rPr>
          <w:rFonts w:asciiTheme="majorHAnsi" w:hAnsiTheme="majorHAnsi" w:cstheme="majorHAnsi"/>
          <w:vertAlign w:val="superscript"/>
          <w:lang w:val="en-US"/>
        </w:rPr>
        <w:t>21</w:t>
      </w:r>
      <w:r w:rsidRPr="002F6C22">
        <w:rPr>
          <w:rFonts w:asciiTheme="majorHAnsi" w:hAnsiTheme="majorHAnsi" w:cstheme="majorHAnsi"/>
        </w:rPr>
        <w:t xml:space="preserve"> Sau 2017, vai trò của ngành công nghiệp tại Việt Nam giảm do nhiều yếu tố như sự thay đổi cơ cấu kinh tế, chính sách kinh tế vĩ mô, các cú sốc từ bên ngoài và đại dịch COVID</w:t>
      </w:r>
      <w:r w:rsidR="008A3C28" w:rsidRPr="003E1C9F">
        <w:rPr>
          <w:rFonts w:asciiTheme="majorHAnsi" w:hAnsiTheme="majorHAnsi" w:cstheme="majorHAnsi"/>
          <w:sz w:val="20"/>
          <w:szCs w:val="20"/>
        </w:rPr>
        <w:t>–</w:t>
      </w:r>
      <w:r w:rsidRPr="002F6C22">
        <w:rPr>
          <w:rFonts w:asciiTheme="majorHAnsi" w:hAnsiTheme="majorHAnsi" w:cstheme="majorHAnsi"/>
        </w:rPr>
        <w:t>19 đã gây ra gián đoạn chuỗi cung ứng làm ảnh hưởng đến sản xuất công nghiệp.</w:t>
      </w:r>
    </w:p>
    <w:p w14:paraId="64199296"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7510DE95" wp14:editId="444B46DB">
            <wp:extent cx="2743200" cy="1734117"/>
            <wp:effectExtent l="19050" t="19050" r="19050" b="19050"/>
            <wp:docPr id="57694112" name="Picture 4"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94112" name="Picture 4" descr="A graph of a graph showing the growth of oil&#10;&#10;AI-generated content may be incorrect."/>
                    <pic:cNvPicPr/>
                  </pic:nvPicPr>
                  <pic:blipFill rotWithShape="1">
                    <a:blip r:embed="rId14" cstate="print">
                      <a:extLst>
                        <a:ext uri="{28A0092B-C50C-407E-A947-70E740481C1C}">
                          <a14:useLocalDpi xmlns:a14="http://schemas.microsoft.com/office/drawing/2010/main" val="0"/>
                        </a:ext>
                      </a:extLst>
                    </a:blip>
                    <a:srcRect l="2826" t="11885" b="3651"/>
                    <a:stretch/>
                  </pic:blipFill>
                  <pic:spPr bwMode="auto">
                    <a:xfrm>
                      <a:off x="0" y="0"/>
                      <a:ext cx="2743200" cy="1734117"/>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669CE3B" w14:textId="5B726158" w:rsidR="004B0388" w:rsidRPr="00642D29" w:rsidRDefault="004B0388" w:rsidP="005F627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3</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Thái Lan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786D544C" w14:textId="0DFEBDA4" w:rsidR="00AB2A5D" w:rsidRPr="00642D29" w:rsidRDefault="00AB2A5D"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bCs/>
        </w:rPr>
        <w:t>Hình 3</w:t>
      </w:r>
      <w:r w:rsidRPr="002F6C22">
        <w:rPr>
          <w:rFonts w:asciiTheme="majorHAnsi" w:hAnsiTheme="majorHAnsi" w:cstheme="majorHAnsi"/>
        </w:rPr>
        <w:t xml:space="preserve"> cho thấy mối quan hệ giữa giá dầu và GDP của Thái Lan thay đổi theo thời gian. Trong giai đoạn 2014–2017, giá dầu giảm mạnh, đường cong Granger tăng vượt mức ý nghĩa 10% và 5% chứng tỏ giá dầu tác động mạnh mẽ đến GDP. Theo Taufani và cộng </w:t>
      </w:r>
      <w:r w:rsidR="00A93377">
        <w:rPr>
          <w:rFonts w:asciiTheme="majorHAnsi" w:hAnsiTheme="majorHAnsi" w:cstheme="majorHAnsi"/>
        </w:rPr>
        <w:t>sự</w:t>
      </w:r>
      <w:r w:rsidR="00A93377" w:rsidRPr="00A93377">
        <w:rPr>
          <w:rFonts w:asciiTheme="majorHAnsi" w:hAnsiTheme="majorHAnsi" w:cstheme="majorHAnsi"/>
          <w:vertAlign w:val="superscript"/>
        </w:rPr>
        <w:t>9</w:t>
      </w:r>
      <w:r w:rsidRPr="002F6C22">
        <w:rPr>
          <w:rFonts w:asciiTheme="majorHAnsi" w:hAnsiTheme="majorHAnsi" w:cstheme="majorHAnsi"/>
        </w:rPr>
        <w:t xml:space="preserve"> việc giá dầu giảm giúp giảm chi phí sản xuất, khuyến khích hoạt động sản xuất gia tăng, từ đó thúc đẩy tăng trưởng kinh tế ở Thái </w:t>
      </w:r>
      <w:r w:rsidRPr="002F6C22">
        <w:rPr>
          <w:rFonts w:asciiTheme="majorHAnsi" w:hAnsiTheme="majorHAnsi" w:cstheme="majorHAnsi"/>
        </w:rPr>
        <w:lastRenderedPageBreak/>
        <w:t>Lan. Sau năm 2017, giá trị Wald dần ổn định cho thấy ảnh hưởng của giá dầu đối với GDP Thái Lan vẫn duy trì ở một mức độ vừa phải, không còn biến động mạnh mẽ như giai đoạn trước.</w:t>
      </w:r>
    </w:p>
    <w:p w14:paraId="6F22EC6D" w14:textId="77777777" w:rsidR="004B0388" w:rsidRPr="009D5214"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1A474077" wp14:editId="75B90481">
            <wp:extent cx="2743200" cy="1652283"/>
            <wp:effectExtent l="19050" t="19050" r="19050" b="24130"/>
            <wp:docPr id="1983910332" name="Picture 4"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10332" name="Picture 4" descr="A graph of a number of people&#10;&#10;AI-generated content may be incorrect."/>
                    <pic:cNvPicPr/>
                  </pic:nvPicPr>
                  <pic:blipFill rotWithShape="1">
                    <a:blip r:embed="rId15" cstate="print">
                      <a:extLst>
                        <a:ext uri="{28A0092B-C50C-407E-A947-70E740481C1C}">
                          <a14:useLocalDpi xmlns:a14="http://schemas.microsoft.com/office/drawing/2010/main" val="0"/>
                        </a:ext>
                      </a:extLst>
                    </a:blip>
                    <a:srcRect l="3367" t="12535" r="-3367" b="4646"/>
                    <a:stretch/>
                  </pic:blipFill>
                  <pic:spPr bwMode="auto">
                    <a:xfrm>
                      <a:off x="0" y="0"/>
                      <a:ext cx="2743200" cy="165228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CD4EA07" w14:textId="25435228" w:rsidR="004B0388" w:rsidRPr="00642D29" w:rsidRDefault="004B0388" w:rsidP="005F627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4</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IPI đến GDP của Thái Lan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51BE6B90" w14:textId="0F007C64" w:rsidR="00AB2A5D" w:rsidRPr="00642D29" w:rsidRDefault="00AB2A5D"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bCs/>
        </w:rPr>
        <w:t>Hình 4</w:t>
      </w:r>
      <w:r w:rsidRPr="002F6C22">
        <w:rPr>
          <w:rFonts w:asciiTheme="majorHAnsi" w:hAnsiTheme="majorHAnsi" w:cstheme="majorHAnsi"/>
        </w:rPr>
        <w:t xml:space="preserve"> cho thấy mối quan hệ giữa IPI và GDP của Thái Lan thay đổi theo thời gian. Giai đoạn 2006–2016 ghi nhận sự gia tăng rõ rệt của đường cong Granger, cho thấy tác động mạnh mẽ của IPI lên GDP. Đáng chú ý, năm 2014 mô hình kiểm định đạt đỉnh, phản ánh mức độ ảnh hưởng vượt trội của IPI đến GDP trong năm này. Theo nghiên cứu của Intarakumnerd và cộng sự</w:t>
      </w:r>
      <w:r w:rsidR="00A94C11">
        <w:rPr>
          <w:rFonts w:asciiTheme="majorHAnsi" w:hAnsiTheme="majorHAnsi" w:cstheme="majorHAnsi"/>
          <w:vertAlign w:val="superscript"/>
          <w:lang w:val="en-US"/>
        </w:rPr>
        <w:t>22</w:t>
      </w:r>
      <w:r w:rsidRPr="002F6C22">
        <w:rPr>
          <w:rFonts w:asciiTheme="majorHAnsi" w:hAnsiTheme="majorHAnsi" w:cstheme="majorHAnsi"/>
        </w:rPr>
        <w:t>, nền kinh tế Thái Lan đang chuyển dịch theo hướng phụ thuộc nhiều vào sản xuất và xuất khẩu các sản phẩm công nghiệp. Việc tập trung vào phát triển công nghiệp đã tạo ra sự gia tăng đáng kể trong sản xuất công nghiệp, góp phần quan trọng vào tăng trưởng GDP ở giai đoạn 2006–2016. Từ sau 2016, giá trị kiểm định giảm dần nhưng vẫn có ý nghĩa thống kê.</w:t>
      </w:r>
    </w:p>
    <w:p w14:paraId="200850EB"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21BCF3F3" wp14:editId="15F268D8">
            <wp:extent cx="2743200" cy="1720353"/>
            <wp:effectExtent l="19050" t="19050" r="19050" b="13335"/>
            <wp:docPr id="593863741" name="Hình ảnh 1" descr="A graph showing the growth of the oil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63741" name="Hình ảnh 1" descr="A graph showing the growth of the oil price&#10;&#10;AI-generated content may be incorrect."/>
                    <pic:cNvPicPr/>
                  </pic:nvPicPr>
                  <pic:blipFill rotWithShape="1">
                    <a:blip r:embed="rId16" cstate="print">
                      <a:extLst>
                        <a:ext uri="{28A0092B-C50C-407E-A947-70E740481C1C}">
                          <a14:useLocalDpi xmlns:a14="http://schemas.microsoft.com/office/drawing/2010/main" val="0"/>
                        </a:ext>
                      </a:extLst>
                    </a:blip>
                    <a:srcRect l="3039" t="12535" b="3855"/>
                    <a:stretch/>
                  </pic:blipFill>
                  <pic:spPr bwMode="auto">
                    <a:xfrm>
                      <a:off x="0" y="0"/>
                      <a:ext cx="2743200" cy="172035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58BD21C" w14:textId="22B38141"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5</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Singapore trong giai đoạn 2002–2023</w:t>
      </w:r>
      <w:r w:rsidR="003029AB">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5589C3E2" w14:textId="4C88BD92" w:rsidR="009D5214" w:rsidRPr="00642D29" w:rsidRDefault="007C1842"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5 </w:t>
      </w:r>
      <w:r w:rsidRPr="002F6C22">
        <w:rPr>
          <w:rFonts w:asciiTheme="majorHAnsi" w:hAnsiTheme="majorHAnsi" w:cstheme="majorHAnsi"/>
        </w:rPr>
        <w:t xml:space="preserve">cho thấy mối quan hệ giữa giá dầu và GDP của Singapore thay đổi theo thời gian, bị </w:t>
      </w:r>
      <w:r w:rsidRPr="002F6C22">
        <w:rPr>
          <w:rFonts w:asciiTheme="majorHAnsi" w:hAnsiTheme="majorHAnsi" w:cstheme="majorHAnsi"/>
        </w:rPr>
        <w:t>ảnh hưởng bởi các yếu tố chính trị, kinh tế vĩ mô và cú sốc kinh tế thế giới. Từ năm 2016 trở đi, giá trị kiểm định tăng vượt mức ý nghĩa 5% và cao nhất vào năm 2017. Mối quan hệ này phản ứng mạnh mẽ do tác động của cuộc chiến tranh thương mại Mỹ – Trung, tạo ra những bất ổn cho nền kinh tế phụ thuộc vào xuất khẩu như Singapore.</w:t>
      </w:r>
      <w:r w:rsidR="00A94C11">
        <w:rPr>
          <w:rFonts w:asciiTheme="majorHAnsi" w:hAnsiTheme="majorHAnsi" w:cstheme="majorHAnsi"/>
          <w:vertAlign w:val="superscript"/>
          <w:lang w:val="en-US"/>
        </w:rPr>
        <w:t>23</w:t>
      </w:r>
      <w:r w:rsidRPr="002F6C22">
        <w:rPr>
          <w:rFonts w:asciiTheme="majorHAnsi" w:hAnsiTheme="majorHAnsi" w:cstheme="majorHAnsi"/>
        </w:rPr>
        <w:t xml:space="preserve"> Sau đại dịch COVID-19, đường cong Granger giảm nhưng vẫn có ý nghĩa thống kê</w:t>
      </w:r>
      <w:r w:rsidR="009D5214" w:rsidRPr="00BD153A">
        <w:rPr>
          <w:rFonts w:asciiTheme="majorHAnsi" w:hAnsiTheme="majorHAnsi" w:cstheme="majorHAnsi"/>
        </w:rPr>
        <w:t>.</w:t>
      </w:r>
    </w:p>
    <w:p w14:paraId="4B59D1DF"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4085633" wp14:editId="6B884B0A">
            <wp:extent cx="2743200" cy="1717935"/>
            <wp:effectExtent l="19050" t="19050" r="19050" b="15875"/>
            <wp:docPr id="116997636" name="Hình ảnh 1" descr="A graph of 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7636" name="Hình ảnh 1" descr="A graph of a graph showing the growth of the stock market&#10;&#10;AI-generated content may be incorrect."/>
                    <pic:cNvPicPr/>
                  </pic:nvPicPr>
                  <pic:blipFill rotWithShape="1">
                    <a:blip r:embed="rId17" cstate="print">
                      <a:extLst>
                        <a:ext uri="{28A0092B-C50C-407E-A947-70E740481C1C}">
                          <a14:useLocalDpi xmlns:a14="http://schemas.microsoft.com/office/drawing/2010/main" val="0"/>
                        </a:ext>
                      </a:extLst>
                    </a:blip>
                    <a:srcRect l="2364" t="11606" b="4320"/>
                    <a:stretch/>
                  </pic:blipFill>
                  <pic:spPr bwMode="auto">
                    <a:xfrm>
                      <a:off x="0" y="0"/>
                      <a:ext cx="2743200" cy="171793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62E6CD2B" w14:textId="6632CD6D"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6</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 xml:space="preserve">ồ thị </w:t>
      </w:r>
      <w:r w:rsidR="008245E6" w:rsidRPr="00642D29">
        <w:rPr>
          <w:rFonts w:asciiTheme="majorHAnsi" w:hAnsiTheme="majorHAnsi" w:cstheme="majorHAnsi"/>
          <w:sz w:val="20"/>
          <w:szCs w:val="20"/>
        </w:rPr>
        <w:t xml:space="preserve">mô tả </w:t>
      </w:r>
      <w:r w:rsidRPr="008245E6">
        <w:rPr>
          <w:rFonts w:asciiTheme="majorHAnsi" w:hAnsiTheme="majorHAnsi" w:cstheme="majorHAnsi"/>
          <w:sz w:val="20"/>
          <w:szCs w:val="20"/>
        </w:rPr>
        <w:t>sự tác động thay đổi theo thời gian từ IPI đến GDP của Singapore trong giai đoạn 2002–2023</w:t>
      </w:r>
      <w:r w:rsidR="00C54345">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12EB240E" w14:textId="1ADE9FBD" w:rsidR="004B0388" w:rsidRPr="00642D29" w:rsidRDefault="001E0BF3" w:rsidP="005F7139">
      <w:pPr>
        <w:keepNext/>
        <w:spacing w:before="120" w:after="120" w:line="240" w:lineRule="auto"/>
        <w:ind w:firstLine="567"/>
        <w:jc w:val="both"/>
        <w:rPr>
          <w:rFonts w:asciiTheme="majorHAnsi" w:hAnsiTheme="majorHAnsi" w:cstheme="majorHAnsi"/>
        </w:rPr>
      </w:pPr>
      <w:r w:rsidRPr="003144F3">
        <w:rPr>
          <w:rFonts w:asciiTheme="majorHAnsi" w:eastAsia="Times New Roman" w:hAnsiTheme="majorHAnsi" w:cstheme="majorHAnsi"/>
          <w:b/>
        </w:rPr>
        <w:t xml:space="preserve">Hình 6 </w:t>
      </w:r>
      <w:r w:rsidRPr="003144F3">
        <w:rPr>
          <w:rFonts w:asciiTheme="majorHAnsi" w:eastAsia="Times New Roman" w:hAnsiTheme="majorHAnsi" w:cstheme="majorHAnsi"/>
        </w:rPr>
        <w:t>đồ thị mối quan hệ giữa IPI và GDP của Singapore thay đổi theo thời gian. Giai đoạn 2011–2012, mô hình kiểm định ghi nhận mối quan hệ này có ý nghĩa thống kê.</w:t>
      </w:r>
      <w:r w:rsidRPr="003144F3">
        <w:rPr>
          <w:rFonts w:asciiTheme="majorHAnsi" w:hAnsiTheme="majorHAnsi" w:cstheme="majorHAnsi"/>
        </w:rPr>
        <w:t xml:space="preserve"> </w:t>
      </w:r>
      <w:r w:rsidR="00924DFC" w:rsidRPr="00642D29">
        <w:rPr>
          <w:rFonts w:asciiTheme="majorHAnsi" w:hAnsiTheme="majorHAnsi" w:cstheme="majorHAnsi"/>
        </w:rPr>
        <w:t>Mặc dù, s</w:t>
      </w:r>
      <w:r w:rsidRPr="003144F3">
        <w:rPr>
          <w:rFonts w:asciiTheme="majorHAnsi" w:hAnsiTheme="majorHAnsi" w:cstheme="majorHAnsi"/>
        </w:rPr>
        <w:t>au đại dịch COVID</w:t>
      </w:r>
      <w:r w:rsidR="00A35979" w:rsidRPr="003144F3">
        <w:rPr>
          <w:rFonts w:asciiTheme="majorHAnsi" w:hAnsiTheme="majorHAnsi" w:cstheme="majorHAnsi"/>
          <w:sz w:val="20"/>
          <w:szCs w:val="20"/>
        </w:rPr>
        <w:t>–</w:t>
      </w:r>
      <w:r w:rsidRPr="003144F3">
        <w:rPr>
          <w:rFonts w:asciiTheme="majorHAnsi" w:hAnsiTheme="majorHAnsi" w:cstheme="majorHAnsi"/>
        </w:rPr>
        <w:t>19, kinh tế thế giới mở cửa tạo điều kiện cho sự phục hồi nền sản xuất công nghiệ</w:t>
      </w:r>
      <w:r w:rsidR="00A94C11">
        <w:rPr>
          <w:rFonts w:asciiTheme="majorHAnsi" w:hAnsiTheme="majorHAnsi" w:cstheme="majorHAnsi"/>
          <w:lang w:val="en-US"/>
        </w:rPr>
        <w:t>p</w:t>
      </w:r>
      <w:r w:rsidR="00924DFC" w:rsidRPr="00642D29">
        <w:rPr>
          <w:rFonts w:asciiTheme="majorHAnsi" w:hAnsiTheme="majorHAnsi" w:cstheme="majorHAnsi"/>
        </w:rPr>
        <w:t>,</w:t>
      </w:r>
      <w:r w:rsidR="00A94C11">
        <w:rPr>
          <w:rFonts w:asciiTheme="majorHAnsi" w:hAnsiTheme="majorHAnsi" w:cstheme="majorHAnsi"/>
          <w:vertAlign w:val="superscript"/>
          <w:lang w:val="en-US"/>
        </w:rPr>
        <w:t>24</w:t>
      </w:r>
      <w:r w:rsidR="00924DFC" w:rsidRPr="00642D29">
        <w:rPr>
          <w:rFonts w:asciiTheme="majorHAnsi" w:hAnsiTheme="majorHAnsi" w:cstheme="majorHAnsi"/>
        </w:rPr>
        <w:t xml:space="preserve"> nhưng </w:t>
      </w:r>
      <w:r w:rsidRPr="003144F3">
        <w:rPr>
          <w:rFonts w:asciiTheme="majorHAnsi" w:hAnsiTheme="majorHAnsi" w:cstheme="majorHAnsi"/>
        </w:rPr>
        <w:t>mô hình kiểm định cho thấy mối quan hệ giữa IPI và GDP ở Singapore</w:t>
      </w:r>
      <w:r w:rsidR="00924DFC" w:rsidRPr="00642D29">
        <w:rPr>
          <w:rFonts w:asciiTheme="majorHAnsi" w:hAnsiTheme="majorHAnsi" w:cstheme="majorHAnsi"/>
        </w:rPr>
        <w:t xml:space="preserve"> không</w:t>
      </w:r>
      <w:r w:rsidRPr="003144F3">
        <w:rPr>
          <w:rFonts w:asciiTheme="majorHAnsi" w:hAnsiTheme="majorHAnsi" w:cstheme="majorHAnsi"/>
        </w:rPr>
        <w:t xml:space="preserve"> có ý nghĩa thống kê</w:t>
      </w:r>
      <w:r w:rsidR="00924DFC" w:rsidRPr="00642D29">
        <w:rPr>
          <w:rFonts w:asciiTheme="majorHAnsi" w:hAnsiTheme="majorHAnsi" w:cstheme="majorHAnsi"/>
        </w:rPr>
        <w:t xml:space="preserve"> trong giai đoạn này.</w:t>
      </w:r>
    </w:p>
    <w:p w14:paraId="292EA4AE"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8FCB7ED" wp14:editId="5069E5AE">
            <wp:extent cx="2743200" cy="1716775"/>
            <wp:effectExtent l="19050" t="19050" r="19050" b="17145"/>
            <wp:docPr id="172622678" name="Picture 2" descr="A graph of a graph showing the growth of o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2678" name="Picture 2" descr="A graph of a graph showing the growth of oil&#10;&#10;AI-generated content may be incorrect."/>
                    <pic:cNvPicPr/>
                  </pic:nvPicPr>
                  <pic:blipFill rotWithShape="1">
                    <a:blip r:embed="rId18" cstate="print">
                      <a:extLst>
                        <a:ext uri="{28A0092B-C50C-407E-A947-70E740481C1C}">
                          <a14:useLocalDpi xmlns:a14="http://schemas.microsoft.com/office/drawing/2010/main" val="0"/>
                        </a:ext>
                      </a:extLst>
                    </a:blip>
                    <a:srcRect l="3377" t="12535" r="-1" b="4319"/>
                    <a:stretch/>
                  </pic:blipFill>
                  <pic:spPr bwMode="auto">
                    <a:xfrm>
                      <a:off x="0" y="0"/>
                      <a:ext cx="2743200" cy="17167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1D8E74F" w14:textId="4D319223" w:rsidR="004B0388" w:rsidRPr="00642D29" w:rsidRDefault="004B0388" w:rsidP="00820103">
      <w:pPr>
        <w:spacing w:before="120" w:after="240" w:line="240" w:lineRule="auto"/>
        <w:rPr>
          <w:rFonts w:asciiTheme="majorHAnsi" w:hAnsiTheme="majorHAnsi" w:cstheme="majorHAnsi"/>
          <w:b/>
          <w:sz w:val="20"/>
          <w:szCs w:val="20"/>
        </w:rPr>
      </w:pPr>
      <w:r w:rsidRPr="008245E6">
        <w:rPr>
          <w:rFonts w:asciiTheme="majorHAnsi" w:hAnsiTheme="majorHAnsi" w:cstheme="majorHAnsi"/>
          <w:b/>
          <w:bCs/>
          <w:sz w:val="20"/>
          <w:szCs w:val="20"/>
        </w:rPr>
        <w:t>Hình 7</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Philippines trong giai đoạn 2002–2023</w:t>
      </w:r>
      <w:r w:rsidR="00A37901">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r w:rsidRPr="008245E6">
        <w:rPr>
          <w:rFonts w:asciiTheme="majorHAnsi" w:hAnsiTheme="majorHAnsi" w:cstheme="majorHAnsi"/>
          <w:b/>
          <w:sz w:val="20"/>
          <w:szCs w:val="20"/>
        </w:rPr>
        <w:t>.</w:t>
      </w:r>
    </w:p>
    <w:p w14:paraId="68FDC920" w14:textId="1E982DCC"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7</w:t>
      </w:r>
      <w:r w:rsidRPr="002F6C22">
        <w:rPr>
          <w:rFonts w:asciiTheme="majorHAnsi" w:hAnsiTheme="majorHAnsi" w:cstheme="majorHAnsi"/>
        </w:rPr>
        <w:t xml:space="preserve"> cho thấy mối quan hệ vô cùng chặt chẽ giữa giá dầu và GDP ở Philippines. Mô hình kiểm định cho thấy mối quan hệ này có ý nghĩa thống kê trong cả giai đoạn nghiên cứu ngoại trừ </w:t>
      </w:r>
      <w:r w:rsidRPr="002F6C22">
        <w:rPr>
          <w:rFonts w:asciiTheme="majorHAnsi" w:hAnsiTheme="majorHAnsi" w:cstheme="majorHAnsi"/>
        </w:rPr>
        <w:lastRenderedPageBreak/>
        <w:t>cuối năm 2005. Năm 2010, mối quan hệ giữa hai yếu tố này tăng đột biến, có thể là do giá dầu giảm mạnh sau cuộc Khủng hoảng tài chính toàn cầu năm 2008–2009. Thêm vào đó, giai đoạn 2014–2017, với sự dư cung dầu từ OPEC và dầu đá cứng ở Mỹ đã tạo ra biến động làm giá dầu sụt giảm mạnh, điều này làm cho mối quan hệ giữa giá dầu và GDP ở Philippines biến động mạnh mẽ hơn bao giờ hết.</w:t>
      </w:r>
      <w:r w:rsidR="00A94C11">
        <w:rPr>
          <w:rFonts w:asciiTheme="majorHAnsi" w:hAnsiTheme="majorHAnsi" w:cstheme="majorHAnsi"/>
          <w:vertAlign w:val="superscript"/>
          <w:lang w:val="en-US"/>
        </w:rPr>
        <w:t>20</w:t>
      </w:r>
      <w:r w:rsidRPr="002F6C22">
        <w:rPr>
          <w:rFonts w:asciiTheme="majorHAnsi" w:hAnsiTheme="majorHAnsi" w:cstheme="majorHAnsi"/>
        </w:rPr>
        <w:t xml:space="preserve"> Từ năm 2018 trở đi đường cong Granger vẫn vượt mức ý nghĩa 5% nhưng không còn biến động mạnh mẽ như trước.</w:t>
      </w:r>
    </w:p>
    <w:p w14:paraId="47187B31" w14:textId="77777777" w:rsidR="004B0388" w:rsidRDefault="004B0388" w:rsidP="004B0388">
      <w:pPr>
        <w:spacing w:before="120" w:after="120" w:line="240" w:lineRule="auto"/>
        <w:jc w:val="center"/>
        <w:rPr>
          <w:rFonts w:asciiTheme="majorHAnsi" w:eastAsia="SimSun" w:hAnsiTheme="majorHAnsi" w:cstheme="majorHAnsi"/>
          <w:lang w:val="en-US"/>
        </w:rPr>
      </w:pPr>
      <w:r w:rsidRPr="002F6C22">
        <w:rPr>
          <w:rFonts w:asciiTheme="majorHAnsi" w:hAnsiTheme="majorHAnsi" w:cstheme="majorHAnsi"/>
          <w:noProof/>
          <w:lang w:val="en-US"/>
        </w:rPr>
        <w:drawing>
          <wp:inline distT="0" distB="0" distL="0" distR="0" wp14:anchorId="701D407B" wp14:editId="0FB5C4A6">
            <wp:extent cx="2743200" cy="1722794"/>
            <wp:effectExtent l="19050" t="19050" r="19050" b="10795"/>
            <wp:docPr id="684339632" name="Picture 5" descr="A graph of a graph showing the growt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9632" name="Picture 5" descr="A graph of a graph showing the growth of a number of people&#10;&#10;AI-generated content may be incorrect."/>
                    <pic:cNvPicPr/>
                  </pic:nvPicPr>
                  <pic:blipFill rotWithShape="1">
                    <a:blip r:embed="rId19" cstate="print">
                      <a:extLst>
                        <a:ext uri="{28A0092B-C50C-407E-A947-70E740481C1C}">
                          <a14:useLocalDpi xmlns:a14="http://schemas.microsoft.com/office/drawing/2010/main" val="0"/>
                        </a:ext>
                      </a:extLst>
                    </a:blip>
                    <a:srcRect l="3715" t="12071" b="4784"/>
                    <a:stretch/>
                  </pic:blipFill>
                  <pic:spPr bwMode="auto">
                    <a:xfrm>
                      <a:off x="0" y="0"/>
                      <a:ext cx="2743200" cy="1722794"/>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72F549AE" w14:textId="005D54B5"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8</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 xml:space="preserve">ồ thị </w:t>
      </w:r>
      <w:r w:rsidR="008245E6" w:rsidRPr="00642D29">
        <w:rPr>
          <w:rFonts w:asciiTheme="majorHAnsi" w:hAnsiTheme="majorHAnsi" w:cstheme="majorHAnsi"/>
          <w:sz w:val="20"/>
          <w:szCs w:val="20"/>
        </w:rPr>
        <w:t xml:space="preserve">mô tả </w:t>
      </w:r>
      <w:r w:rsidRPr="008245E6">
        <w:rPr>
          <w:rFonts w:asciiTheme="majorHAnsi" w:hAnsiTheme="majorHAnsi" w:cstheme="majorHAnsi"/>
          <w:sz w:val="20"/>
          <w:szCs w:val="20"/>
        </w:rPr>
        <w:t>sự tác động thay đổi theo thời gian từ IPI đến GDP của Philippines trong giai đoạn 2002–2023</w:t>
      </w:r>
      <w:r w:rsidR="00A37901">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43895281" w14:textId="1EFAD0DA" w:rsidR="001E0BF3" w:rsidRPr="00A94C11" w:rsidRDefault="001E0BF3" w:rsidP="005F7139">
      <w:pPr>
        <w:spacing w:before="120" w:after="120" w:line="240" w:lineRule="auto"/>
        <w:ind w:firstLine="567"/>
        <w:jc w:val="both"/>
        <w:rPr>
          <w:rFonts w:asciiTheme="majorHAnsi" w:eastAsia="SimSun" w:hAnsiTheme="majorHAnsi" w:cstheme="majorHAnsi"/>
          <w:vertAlign w:val="superscript"/>
          <w:lang w:val="en-US"/>
        </w:rPr>
      </w:pPr>
      <w:r w:rsidRPr="002F6C22">
        <w:rPr>
          <w:rFonts w:asciiTheme="majorHAnsi" w:hAnsiTheme="majorHAnsi" w:cstheme="majorHAnsi"/>
          <w:b/>
        </w:rPr>
        <w:t>Hình</w:t>
      </w:r>
      <w:r w:rsidRPr="002F6C22">
        <w:rPr>
          <w:rFonts w:asciiTheme="majorHAnsi" w:hAnsiTheme="majorHAnsi" w:cstheme="majorHAnsi"/>
          <w:b/>
          <w:bCs/>
        </w:rPr>
        <w:t xml:space="preserve"> 8</w:t>
      </w:r>
      <w:r w:rsidRPr="002F6C22">
        <w:rPr>
          <w:rFonts w:asciiTheme="majorHAnsi" w:hAnsiTheme="majorHAnsi" w:cstheme="majorHAnsi"/>
        </w:rPr>
        <w:t xml:space="preserve"> cho thấy mối quan hệ giữa IPI và GDP ở Philippines thay đổi theo thời gian. Trong giai đoạn </w:t>
      </w:r>
      <w:r w:rsidRPr="002F6C22">
        <w:rPr>
          <w:rFonts w:asciiTheme="majorHAnsi" w:eastAsia="SimSun" w:hAnsiTheme="majorHAnsi" w:cstheme="majorHAnsi"/>
        </w:rPr>
        <w:t>2010</w:t>
      </w:r>
      <w:r w:rsidRPr="002F6C22">
        <w:rPr>
          <w:rFonts w:asciiTheme="majorHAnsi" w:hAnsiTheme="majorHAnsi" w:cstheme="majorHAnsi"/>
        </w:rPr>
        <w:t>–</w:t>
      </w:r>
      <w:r w:rsidRPr="002F6C22">
        <w:rPr>
          <w:rFonts w:asciiTheme="majorHAnsi" w:eastAsia="SimSun" w:hAnsiTheme="majorHAnsi" w:cstheme="majorHAnsi"/>
        </w:rPr>
        <w:t xml:space="preserve">2015, </w:t>
      </w:r>
      <w:r w:rsidRPr="002F6C22">
        <w:rPr>
          <w:rFonts w:asciiTheme="majorHAnsi" w:eastAsia="sans-serif" w:hAnsiTheme="majorHAnsi" w:cstheme="majorHAnsi"/>
          <w:shd w:val="clear" w:color="auto" w:fill="FFFFFF"/>
        </w:rPr>
        <w:t>mối quan hệ giữa IPI và GDP luôn vượt mức ý nghĩa 5%.</w:t>
      </w:r>
      <w:r w:rsidRPr="002F6C22">
        <w:rPr>
          <w:rFonts w:asciiTheme="majorHAnsi" w:eastAsia="SimSun" w:hAnsiTheme="majorHAnsi" w:cstheme="majorHAnsi"/>
        </w:rPr>
        <w:t xml:space="preserve"> Từ năm 2016 đến hết giai đoạn nghiên cứu, mối quan hệ giữa IPI và GDP của Philippines không còn ý nghĩa thống kê. Nguyên nhân là do các cú sốc kinh tế như lạm phát và đại dịch COVID</w:t>
      </w:r>
      <w:r w:rsidR="002B5A57" w:rsidRPr="003E1C9F">
        <w:rPr>
          <w:rFonts w:asciiTheme="majorHAnsi" w:hAnsiTheme="majorHAnsi" w:cstheme="majorHAnsi"/>
          <w:sz w:val="20"/>
          <w:szCs w:val="20"/>
        </w:rPr>
        <w:t>–</w:t>
      </w:r>
      <w:r w:rsidRPr="002F6C22">
        <w:rPr>
          <w:rFonts w:asciiTheme="majorHAnsi" w:eastAsia="SimSun" w:hAnsiTheme="majorHAnsi" w:cstheme="majorHAnsi"/>
        </w:rPr>
        <w:t>19 vào năm 2020, khiến sản xuất công nghiệp chậm lại, dẫn đến tốc độ tăng trưởng GDP giảm mạnh.</w:t>
      </w:r>
      <w:r w:rsidR="00A94C11">
        <w:rPr>
          <w:rFonts w:asciiTheme="majorHAnsi" w:eastAsia="SimSun" w:hAnsiTheme="majorHAnsi" w:cstheme="majorHAnsi"/>
          <w:vertAlign w:val="superscript"/>
          <w:lang w:val="en-US"/>
        </w:rPr>
        <w:t>25</w:t>
      </w:r>
    </w:p>
    <w:p w14:paraId="1C579D1C" w14:textId="77777777" w:rsidR="004B0388" w:rsidRDefault="004B0388" w:rsidP="004B0388">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1D57D71C" wp14:editId="70098AA6">
            <wp:extent cx="2743200" cy="1763503"/>
            <wp:effectExtent l="19050" t="19050" r="19050" b="27305"/>
            <wp:docPr id="2133585597" name="Picture 4"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85597" name="Picture 4" descr="A graph of a graph showing the growth of oil prices&#10;&#10;AI-generated content may be incorrect."/>
                    <pic:cNvPicPr/>
                  </pic:nvPicPr>
                  <pic:blipFill rotWithShape="1">
                    <a:blip r:embed="rId20"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22E09241" w14:textId="06BC91B1" w:rsidR="004B0388" w:rsidRPr="00642D29" w:rsidRDefault="004B0388" w:rsidP="00820103">
      <w:pPr>
        <w:spacing w:before="120" w:after="240" w:line="240" w:lineRule="auto"/>
        <w:rPr>
          <w:rFonts w:asciiTheme="majorHAnsi" w:hAnsiTheme="majorHAnsi" w:cstheme="majorHAnsi"/>
          <w:sz w:val="20"/>
          <w:szCs w:val="20"/>
        </w:rPr>
      </w:pPr>
      <w:r w:rsidRPr="008245E6">
        <w:rPr>
          <w:rFonts w:asciiTheme="majorHAnsi" w:hAnsiTheme="majorHAnsi" w:cstheme="majorHAnsi"/>
          <w:b/>
          <w:bCs/>
          <w:sz w:val="20"/>
          <w:szCs w:val="20"/>
        </w:rPr>
        <w:t>Hình 9</w:t>
      </w:r>
      <w:r w:rsidR="008245E6" w:rsidRPr="008245E6">
        <w:rPr>
          <w:rFonts w:asciiTheme="majorHAnsi" w:hAnsiTheme="majorHAnsi" w:cstheme="majorHAnsi"/>
          <w:b/>
          <w:bCs/>
          <w:sz w:val="20"/>
          <w:szCs w:val="20"/>
          <w:lang w:val="en-US"/>
        </w:rPr>
        <w:t>.</w:t>
      </w:r>
      <w:r w:rsidRPr="008245E6">
        <w:rPr>
          <w:rFonts w:asciiTheme="majorHAnsi" w:hAnsiTheme="majorHAnsi" w:cstheme="majorHAnsi"/>
          <w:sz w:val="20"/>
          <w:szCs w:val="20"/>
        </w:rPr>
        <w:t xml:space="preserve"> </w:t>
      </w:r>
      <w:r w:rsidR="008245E6" w:rsidRPr="00642D29">
        <w:rPr>
          <w:rFonts w:asciiTheme="majorHAnsi" w:hAnsiTheme="majorHAnsi" w:cstheme="majorHAnsi"/>
          <w:sz w:val="20"/>
          <w:szCs w:val="20"/>
        </w:rPr>
        <w:t>Đ</w:t>
      </w:r>
      <w:r w:rsidRPr="008245E6">
        <w:rPr>
          <w:rFonts w:asciiTheme="majorHAnsi" w:hAnsiTheme="majorHAnsi" w:cstheme="majorHAnsi"/>
          <w:sz w:val="20"/>
          <w:szCs w:val="20"/>
        </w:rPr>
        <w:t>ồ thị</w:t>
      </w:r>
      <w:r w:rsidR="008245E6" w:rsidRPr="00642D29">
        <w:rPr>
          <w:rFonts w:asciiTheme="majorHAnsi" w:hAnsiTheme="majorHAnsi" w:cstheme="majorHAnsi"/>
          <w:sz w:val="20"/>
          <w:szCs w:val="20"/>
        </w:rPr>
        <w:t xml:space="preserve"> mô tả</w:t>
      </w:r>
      <w:r w:rsidRPr="008245E6">
        <w:rPr>
          <w:rFonts w:asciiTheme="majorHAnsi" w:hAnsiTheme="majorHAnsi" w:cstheme="majorHAnsi"/>
          <w:sz w:val="20"/>
          <w:szCs w:val="20"/>
        </w:rPr>
        <w:t xml:space="preserve"> sự tác động thay đổi theo thời gian từ giá dầu đến GDP của Malaysia trong giai đoạn 2002–2023</w:t>
      </w:r>
      <w:r w:rsidR="00A37901">
        <w:rPr>
          <w:rFonts w:asciiTheme="majorHAnsi" w:hAnsiTheme="majorHAnsi" w:cstheme="majorHAnsi"/>
          <w:sz w:val="20"/>
          <w:szCs w:val="20"/>
        </w:rPr>
        <w:t xml:space="preserve"> bằng kiểm định Wald RE</w:t>
      </w:r>
      <w:r w:rsidRPr="008245E6">
        <w:rPr>
          <w:rFonts w:asciiTheme="majorHAnsi" w:hAnsiTheme="majorHAnsi" w:cstheme="majorHAnsi"/>
          <w:sz w:val="20"/>
          <w:szCs w:val="20"/>
        </w:rPr>
        <w:t>. (–) và (..) lần lượt mô tả mức ý nghĩa 10% và 5% của số liệu thống kê kiểm định.</w:t>
      </w:r>
    </w:p>
    <w:p w14:paraId="6C01BC04" w14:textId="13307C78"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9</w:t>
      </w:r>
      <w:r w:rsidRPr="002F6C22">
        <w:rPr>
          <w:rFonts w:asciiTheme="majorHAnsi" w:hAnsiTheme="majorHAnsi" w:cstheme="majorHAnsi"/>
        </w:rPr>
        <w:t xml:space="preserve"> cho thấy mối quan hệ biến động mạnh mẽ giữa giá dầu và GDP của Malaysia thay đổi theo thời gian. Từ 2016 đến 2019, thống kê Wald vượt mức ý nghĩa 5%, chỉ ra rằng giá dầu có tác động mạnh mẽ đến nền kinh tế Malaysia. Nghiên cứu của Arezki và Blanchard</w:t>
      </w:r>
      <w:r w:rsidR="00A94C11">
        <w:rPr>
          <w:rFonts w:asciiTheme="majorHAnsi" w:hAnsiTheme="majorHAnsi" w:cstheme="majorHAnsi"/>
          <w:vertAlign w:val="superscript"/>
          <w:lang w:val="en-US"/>
        </w:rPr>
        <w:t>26</w:t>
      </w:r>
      <w:r w:rsidRPr="002F6C22">
        <w:rPr>
          <w:rFonts w:asciiTheme="majorHAnsi" w:hAnsiTheme="majorHAnsi" w:cstheme="majorHAnsi"/>
        </w:rPr>
        <w:t xml:space="preserve"> cho thấy sự thay đổi trong giá dầu có thể ảnh hưởng lớn đến nền kinh tế các nước phụ thuộc vào dầu mỏ như Malaysia. Mô hình kiểm định tăng cao trong giai đoạn 2017–2018, khi OPEC thay đổi chính sách và có bất ổn chính trị, sự biến động giá dầu làm GDP của Malaysia thay đổi rõ rệt.</w:t>
      </w:r>
      <w:r w:rsidR="00A94C11">
        <w:rPr>
          <w:rFonts w:asciiTheme="majorHAnsi" w:hAnsiTheme="majorHAnsi" w:cstheme="majorHAnsi"/>
          <w:vertAlign w:val="superscript"/>
          <w:lang w:val="en-US"/>
        </w:rPr>
        <w:t>26</w:t>
      </w:r>
      <w:r w:rsidRPr="002F6C22">
        <w:rPr>
          <w:rFonts w:asciiTheme="majorHAnsi" w:hAnsiTheme="majorHAnsi" w:cstheme="majorHAnsi"/>
        </w:rPr>
        <w:t xml:space="preserve"> Mặc dù, COVID</w:t>
      </w:r>
      <w:r w:rsidR="002B7297" w:rsidRPr="003E1C9F">
        <w:rPr>
          <w:rFonts w:asciiTheme="majorHAnsi" w:hAnsiTheme="majorHAnsi" w:cstheme="majorHAnsi"/>
          <w:sz w:val="20"/>
          <w:szCs w:val="20"/>
        </w:rPr>
        <w:t>–</w:t>
      </w:r>
      <w:r w:rsidRPr="002F6C22">
        <w:rPr>
          <w:rFonts w:asciiTheme="majorHAnsi" w:hAnsiTheme="majorHAnsi" w:cstheme="majorHAnsi"/>
        </w:rPr>
        <w:t>19 gây ra sự biến động giá dầu, nhưng</w:t>
      </w:r>
      <w:r w:rsidR="000C07C7" w:rsidRPr="00BD153A">
        <w:rPr>
          <w:rFonts w:asciiTheme="majorHAnsi" w:hAnsiTheme="majorHAnsi" w:cstheme="majorHAnsi"/>
        </w:rPr>
        <w:t xml:space="preserve"> </w:t>
      </w:r>
      <w:r w:rsidR="002E1203" w:rsidRPr="00BD153A">
        <w:rPr>
          <w:rFonts w:asciiTheme="majorHAnsi" w:hAnsiTheme="majorHAnsi" w:cstheme="majorHAnsi"/>
        </w:rPr>
        <w:t>đường cong Granger vẫn trên mức ý nghĩa 5%. Điều này cho thấy sự ảnh hưởng mạnh mẽ của giá dầu lên GDP ở Malaysia.</w:t>
      </w:r>
    </w:p>
    <w:p w14:paraId="68A6A523"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3DEFA478" wp14:editId="2F7BFFF6">
            <wp:extent cx="2743200" cy="1754240"/>
            <wp:effectExtent l="19050" t="19050" r="19050" b="17780"/>
            <wp:docPr id="68029290" name="Picture 7"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9290" name="Picture 7" descr="A graph of a number of people&#10;&#10;AI-generated content may be incorrect."/>
                    <pic:cNvPicPr/>
                  </pic:nvPicPr>
                  <pic:blipFill rotWithShape="1">
                    <a:blip r:embed="rId21" cstate="print">
                      <a:extLst>
                        <a:ext uri="{28A0092B-C50C-407E-A947-70E740481C1C}">
                          <a14:useLocalDpi xmlns:a14="http://schemas.microsoft.com/office/drawing/2010/main" val="0"/>
                        </a:ext>
                      </a:extLst>
                    </a:blip>
                    <a:srcRect t="12071"/>
                    <a:stretch/>
                  </pic:blipFill>
                  <pic:spPr bwMode="auto">
                    <a:xfrm>
                      <a:off x="0" y="0"/>
                      <a:ext cx="2743200" cy="175424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1DA54722" w14:textId="4B8F0350" w:rsidR="00503042" w:rsidRPr="00642D29" w:rsidRDefault="00503042" w:rsidP="00820103">
      <w:pPr>
        <w:spacing w:before="120" w:after="240" w:line="240" w:lineRule="auto"/>
        <w:rPr>
          <w:rFonts w:asciiTheme="majorHAnsi" w:hAnsiTheme="majorHAnsi" w:cstheme="majorHAnsi"/>
          <w:sz w:val="20"/>
          <w:szCs w:val="20"/>
        </w:rPr>
      </w:pPr>
      <w:r w:rsidRPr="0002259D">
        <w:rPr>
          <w:rFonts w:asciiTheme="majorHAnsi" w:hAnsiTheme="majorHAnsi" w:cstheme="majorHAnsi"/>
          <w:b/>
          <w:bCs/>
          <w:sz w:val="20"/>
          <w:szCs w:val="20"/>
        </w:rPr>
        <w:t>Hình 10</w:t>
      </w:r>
      <w:r w:rsidR="0002259D" w:rsidRPr="0002259D">
        <w:rPr>
          <w:rFonts w:asciiTheme="majorHAnsi" w:hAnsiTheme="majorHAnsi" w:cstheme="majorHAnsi"/>
          <w:b/>
          <w:bCs/>
          <w:sz w:val="20"/>
          <w:szCs w:val="20"/>
          <w:lang w:val="en-US"/>
        </w:rPr>
        <w:t>.</w:t>
      </w:r>
      <w:r w:rsidRPr="0002259D">
        <w:rPr>
          <w:rFonts w:asciiTheme="majorHAnsi" w:hAnsiTheme="majorHAnsi" w:cstheme="majorHAnsi"/>
          <w:sz w:val="20"/>
          <w:szCs w:val="20"/>
        </w:rPr>
        <w:t xml:space="preserve"> </w:t>
      </w:r>
      <w:r w:rsidR="0002259D" w:rsidRPr="00642D29">
        <w:rPr>
          <w:rFonts w:asciiTheme="majorHAnsi" w:hAnsiTheme="majorHAnsi" w:cstheme="majorHAnsi"/>
          <w:sz w:val="20"/>
          <w:szCs w:val="20"/>
        </w:rPr>
        <w:t>Đ</w:t>
      </w:r>
      <w:r w:rsidRPr="0002259D">
        <w:rPr>
          <w:rFonts w:asciiTheme="majorHAnsi" w:hAnsiTheme="majorHAnsi" w:cstheme="majorHAnsi"/>
          <w:sz w:val="20"/>
          <w:szCs w:val="20"/>
        </w:rPr>
        <w:t xml:space="preserve">ồ thị </w:t>
      </w:r>
      <w:r w:rsidR="0002259D" w:rsidRPr="00642D29">
        <w:rPr>
          <w:rFonts w:asciiTheme="majorHAnsi" w:hAnsiTheme="majorHAnsi" w:cstheme="majorHAnsi"/>
          <w:sz w:val="20"/>
          <w:szCs w:val="20"/>
        </w:rPr>
        <w:t xml:space="preserve">mô tả </w:t>
      </w:r>
      <w:r w:rsidRPr="0002259D">
        <w:rPr>
          <w:rFonts w:asciiTheme="majorHAnsi" w:hAnsiTheme="majorHAnsi" w:cstheme="majorHAnsi"/>
          <w:sz w:val="20"/>
          <w:szCs w:val="20"/>
        </w:rPr>
        <w:t>sự tác động thay đổi theo thời gian từ IPI đến GDP của Malaysia trong giai đoạn 2002–2023</w:t>
      </w:r>
      <w:r w:rsidR="00A37901">
        <w:rPr>
          <w:rFonts w:asciiTheme="majorHAnsi" w:hAnsiTheme="majorHAnsi" w:cstheme="majorHAnsi"/>
          <w:sz w:val="20"/>
          <w:szCs w:val="20"/>
        </w:rPr>
        <w:t xml:space="preserve"> bằng kiểm định Wald RE</w:t>
      </w:r>
      <w:r w:rsidRPr="0002259D">
        <w:rPr>
          <w:rFonts w:asciiTheme="majorHAnsi" w:hAnsiTheme="majorHAnsi" w:cstheme="majorHAnsi"/>
          <w:sz w:val="20"/>
          <w:szCs w:val="20"/>
        </w:rPr>
        <w:t>. (–) và (..) lần lượt mô tả mức ý nghĩa 10% và 5% của số liệu thống kê kiểm định.</w:t>
      </w:r>
    </w:p>
    <w:p w14:paraId="53F57A11" w14:textId="62DF6436"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rPr>
        <w:t>Hình</w:t>
      </w:r>
      <w:r w:rsidRPr="002F6C22">
        <w:rPr>
          <w:rFonts w:asciiTheme="majorHAnsi" w:hAnsiTheme="majorHAnsi" w:cstheme="majorHAnsi"/>
          <w:b/>
          <w:bCs/>
        </w:rPr>
        <w:t xml:space="preserve"> 10 </w:t>
      </w:r>
      <w:r w:rsidRPr="002F6C22">
        <w:rPr>
          <w:rFonts w:asciiTheme="majorHAnsi" w:hAnsiTheme="majorHAnsi" w:cstheme="majorHAnsi"/>
        </w:rPr>
        <w:t>cho thấy mối quan hệ giữa IPI và GDP ở Malaysia từ năm 2006 trở đi đều có ý nghĩa thống kê. Đặc biệt là sự biến động mạnh mẽ của mô hình kiểm định từ sau 2017. Giai đoạn 2017–2018, IPI tăng mạnh, GDP của Malaysia cũng tăng trưởng đáng kể. Điều này cho thấy sự tăng trưởng của IPI có thể trực tiếp thúc đẩy nền kinh tế, đặc biệt trong các lĩnh vực như sản xuất và chế biến.</w:t>
      </w:r>
      <w:r w:rsidR="00A94C11">
        <w:rPr>
          <w:rFonts w:asciiTheme="majorHAnsi" w:hAnsiTheme="majorHAnsi" w:cstheme="majorHAnsi"/>
          <w:vertAlign w:val="superscript"/>
          <w:lang w:val="en-US"/>
        </w:rPr>
        <w:t>27</w:t>
      </w:r>
      <w:r w:rsidRPr="002F6C22">
        <w:rPr>
          <w:rFonts w:asciiTheme="majorHAnsi" w:hAnsiTheme="majorHAnsi" w:cstheme="majorHAnsi"/>
        </w:rPr>
        <w:t xml:space="preserve"> Tuy nhiên, từ 2020, sự tác động của COVID</w:t>
      </w:r>
      <w:r w:rsidR="002B7297" w:rsidRPr="003E1C9F">
        <w:rPr>
          <w:rFonts w:asciiTheme="majorHAnsi" w:hAnsiTheme="majorHAnsi" w:cstheme="majorHAnsi"/>
          <w:sz w:val="20"/>
          <w:szCs w:val="20"/>
        </w:rPr>
        <w:t>–</w:t>
      </w:r>
      <w:r w:rsidRPr="002F6C22">
        <w:rPr>
          <w:rFonts w:asciiTheme="majorHAnsi" w:hAnsiTheme="majorHAnsi" w:cstheme="majorHAnsi"/>
        </w:rPr>
        <w:t>19 làm thay đổi hoàn toàn bối cảnh kinh tế toàn cầu và ảnh hưởng mạnh đến IPI. Dù có giảm sút trong sản xuất công nghiệp, Malaysia vẫn duy trì được sự ổn định của nền kinh tế</w:t>
      </w:r>
      <w:r w:rsidR="00F71615" w:rsidRPr="00BD153A">
        <w:rPr>
          <w:rFonts w:asciiTheme="majorHAnsi" w:hAnsiTheme="majorHAnsi" w:cstheme="majorHAnsi"/>
        </w:rPr>
        <w:t xml:space="preserve">. </w:t>
      </w:r>
      <w:r w:rsidRPr="002F6C22">
        <w:rPr>
          <w:rFonts w:asciiTheme="majorHAnsi" w:hAnsiTheme="majorHAnsi" w:cstheme="majorHAnsi"/>
        </w:rPr>
        <w:t>Nhìn chung, nền kinh tế Malaysia có mối liên hệ khá chặt chẽ với chỉ số IPI trong toàn bộ giai đoạn nghiên cứu.</w:t>
      </w:r>
    </w:p>
    <w:p w14:paraId="16398381"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lastRenderedPageBreak/>
        <w:drawing>
          <wp:inline distT="0" distB="0" distL="0" distR="0" wp14:anchorId="5E9F9A8B" wp14:editId="3DAF15B6">
            <wp:extent cx="2743200" cy="1754242"/>
            <wp:effectExtent l="19050" t="19050" r="19050" b="17780"/>
            <wp:docPr id="244780080" name="Picture 1" descr="A graph of a graph showing the growth of oil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80080" name="Picture 1" descr="A graph of a graph showing the growth of oil prices&#10;&#10;AI-generated content may be incorrect."/>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2071"/>
                    <a:stretch/>
                  </pic:blipFill>
                  <pic:spPr bwMode="auto">
                    <a:xfrm>
                      <a:off x="0" y="0"/>
                      <a:ext cx="2743200" cy="175424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B45F7A1" w14:textId="54899105" w:rsidR="00503042" w:rsidRPr="00642D29" w:rsidRDefault="00503042" w:rsidP="00820103">
      <w:pPr>
        <w:spacing w:before="120" w:after="240" w:line="240" w:lineRule="auto"/>
        <w:rPr>
          <w:rFonts w:asciiTheme="majorHAnsi" w:hAnsiTheme="majorHAnsi" w:cstheme="majorHAnsi"/>
          <w:sz w:val="20"/>
          <w:szCs w:val="20"/>
        </w:rPr>
      </w:pPr>
      <w:r w:rsidRPr="0002259D">
        <w:rPr>
          <w:rFonts w:asciiTheme="majorHAnsi" w:hAnsiTheme="majorHAnsi" w:cstheme="majorHAnsi"/>
          <w:b/>
          <w:bCs/>
          <w:sz w:val="20"/>
          <w:szCs w:val="20"/>
        </w:rPr>
        <w:t>Hình 11</w:t>
      </w:r>
      <w:r w:rsidR="0002259D" w:rsidRPr="0002259D">
        <w:rPr>
          <w:rFonts w:asciiTheme="majorHAnsi" w:hAnsiTheme="majorHAnsi" w:cstheme="majorHAnsi"/>
          <w:b/>
          <w:bCs/>
          <w:sz w:val="20"/>
          <w:szCs w:val="20"/>
          <w:lang w:val="en-US"/>
        </w:rPr>
        <w:t>.</w:t>
      </w:r>
      <w:r w:rsidRPr="0002259D">
        <w:rPr>
          <w:rFonts w:asciiTheme="majorHAnsi" w:hAnsiTheme="majorHAnsi" w:cstheme="majorHAnsi"/>
          <w:sz w:val="20"/>
          <w:szCs w:val="20"/>
        </w:rPr>
        <w:t xml:space="preserve"> </w:t>
      </w:r>
      <w:r w:rsidR="0002259D" w:rsidRPr="00642D29">
        <w:rPr>
          <w:rFonts w:asciiTheme="majorHAnsi" w:hAnsiTheme="majorHAnsi" w:cstheme="majorHAnsi"/>
          <w:sz w:val="20"/>
          <w:szCs w:val="20"/>
        </w:rPr>
        <w:t>Đ</w:t>
      </w:r>
      <w:r w:rsidRPr="0002259D">
        <w:rPr>
          <w:rFonts w:asciiTheme="majorHAnsi" w:hAnsiTheme="majorHAnsi" w:cstheme="majorHAnsi"/>
          <w:sz w:val="20"/>
          <w:szCs w:val="20"/>
        </w:rPr>
        <w:t xml:space="preserve">ồ thị </w:t>
      </w:r>
      <w:r w:rsidR="0002259D" w:rsidRPr="00642D29">
        <w:rPr>
          <w:rFonts w:asciiTheme="majorHAnsi" w:hAnsiTheme="majorHAnsi" w:cstheme="majorHAnsi"/>
          <w:sz w:val="20"/>
          <w:szCs w:val="20"/>
        </w:rPr>
        <w:t xml:space="preserve">mô tả </w:t>
      </w:r>
      <w:r w:rsidRPr="0002259D">
        <w:rPr>
          <w:rFonts w:asciiTheme="majorHAnsi" w:hAnsiTheme="majorHAnsi" w:cstheme="majorHAnsi"/>
          <w:sz w:val="20"/>
          <w:szCs w:val="20"/>
        </w:rPr>
        <w:t>sự tác động thay đổi theo thời gian từ giá dầu đến GDP của Indonesia trong giai đoạn 2002–2023</w:t>
      </w:r>
      <w:r w:rsidR="00A37901">
        <w:rPr>
          <w:rFonts w:asciiTheme="majorHAnsi" w:hAnsiTheme="majorHAnsi" w:cstheme="majorHAnsi"/>
          <w:sz w:val="20"/>
          <w:szCs w:val="20"/>
        </w:rPr>
        <w:t xml:space="preserve"> bằng kiểm định Wald RE</w:t>
      </w:r>
      <w:r w:rsidRPr="0002259D">
        <w:rPr>
          <w:rFonts w:asciiTheme="majorHAnsi" w:hAnsiTheme="majorHAnsi" w:cstheme="majorHAnsi"/>
          <w:sz w:val="20"/>
          <w:szCs w:val="20"/>
        </w:rPr>
        <w:t>. (–) và (..) lần lượt mô tả mức ý nghĩa 10% và 5% của số liệu thống kê kiểm định.</w:t>
      </w:r>
    </w:p>
    <w:p w14:paraId="16F0F144" w14:textId="08A791C3" w:rsidR="001E0BF3" w:rsidRPr="00642D29" w:rsidRDefault="001E0BF3" w:rsidP="005F7139">
      <w:pPr>
        <w:spacing w:before="120" w:after="120" w:line="240" w:lineRule="auto"/>
        <w:ind w:firstLine="567"/>
        <w:jc w:val="both"/>
        <w:rPr>
          <w:rFonts w:asciiTheme="majorHAnsi" w:hAnsiTheme="majorHAnsi" w:cstheme="majorHAnsi"/>
        </w:rPr>
      </w:pPr>
      <w:r w:rsidRPr="002F6C22">
        <w:rPr>
          <w:rFonts w:asciiTheme="majorHAnsi" w:hAnsiTheme="majorHAnsi" w:cstheme="majorHAnsi"/>
          <w:b/>
          <w:bCs/>
        </w:rPr>
        <w:t>Hình 11</w:t>
      </w:r>
      <w:r w:rsidRPr="002F6C22">
        <w:rPr>
          <w:rFonts w:asciiTheme="majorHAnsi" w:hAnsiTheme="majorHAnsi" w:cstheme="majorHAnsi"/>
        </w:rPr>
        <w:t xml:space="preserve"> cho thấy mối quan hệ giữa giá dầu và GDP của Indonesia không vượt ngưỡng 5% trong cả giai đoạn nghiên cứu. Vào năm 2016 và 2017, mô hình kiểm định ghi nhận sự ảnh hưởng mạnh của giá dầu lên GDP. Nguyên nhân do sự biến động giá dầu toàn cầu vì quyết định của OPEC.</w:t>
      </w:r>
      <w:r w:rsidR="00A94C11">
        <w:rPr>
          <w:rFonts w:asciiTheme="majorHAnsi" w:hAnsiTheme="majorHAnsi" w:cstheme="majorHAnsi"/>
          <w:vertAlign w:val="superscript"/>
          <w:lang w:val="en-US"/>
        </w:rPr>
        <w:t>20</w:t>
      </w:r>
      <w:r w:rsidRPr="002F6C22">
        <w:rPr>
          <w:rFonts w:asciiTheme="majorHAnsi" w:hAnsiTheme="majorHAnsi" w:cstheme="majorHAnsi"/>
        </w:rPr>
        <w:t xml:space="preserve"> Sau đỉnh điểm này, mối quan hệ giữa giá dầu và GDP ở Indonesia trong những năm gần đây không còn tồn tại.</w:t>
      </w:r>
    </w:p>
    <w:p w14:paraId="0DDB8471" w14:textId="77777777" w:rsidR="00503042" w:rsidRDefault="00503042" w:rsidP="00503042">
      <w:pPr>
        <w:spacing w:before="120" w:after="120" w:line="240" w:lineRule="auto"/>
        <w:jc w:val="center"/>
        <w:rPr>
          <w:rFonts w:asciiTheme="majorHAnsi" w:hAnsiTheme="majorHAnsi" w:cstheme="majorHAnsi"/>
          <w:lang w:val="en-US"/>
        </w:rPr>
      </w:pPr>
      <w:r w:rsidRPr="002F6C22">
        <w:rPr>
          <w:rFonts w:asciiTheme="majorHAnsi" w:hAnsiTheme="majorHAnsi" w:cstheme="majorHAnsi"/>
          <w:noProof/>
          <w:lang w:val="en-US"/>
        </w:rPr>
        <w:drawing>
          <wp:inline distT="0" distB="0" distL="0" distR="0" wp14:anchorId="22482459" wp14:editId="2982AB06">
            <wp:extent cx="2743200" cy="1763503"/>
            <wp:effectExtent l="19050" t="19050" r="19050" b="27305"/>
            <wp:docPr id="2" name="Picture 1" descr="A graph of a number of people&#10;&#10;AI-generated content may be incorrect.">
              <a:extLst xmlns:a="http://schemas.openxmlformats.org/drawingml/2006/main">
                <a:ext uri="{FF2B5EF4-FFF2-40B4-BE49-F238E27FC236}">
                  <a16:creationId xmlns:a16="http://schemas.microsoft.com/office/drawing/2014/main" id="{6EE43C97-1F8C-48CD-BDF9-5FA200D71F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23" cstate="print">
                      <a:extLst>
                        <a:ext uri="{28A0092B-C50C-407E-A947-70E740481C1C}">
                          <a14:useLocalDpi xmlns:a14="http://schemas.microsoft.com/office/drawing/2010/main" val="0"/>
                        </a:ext>
                      </a:extLst>
                    </a:blip>
                    <a:srcRect t="11606"/>
                    <a:stretch/>
                  </pic:blipFill>
                  <pic:spPr bwMode="auto">
                    <a:xfrm>
                      <a:off x="0" y="0"/>
                      <a:ext cx="2743200" cy="1763503"/>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4EA793BC" w14:textId="59A7525B" w:rsidR="00503042" w:rsidRPr="00642D29" w:rsidRDefault="00503042" w:rsidP="00820103">
      <w:pPr>
        <w:spacing w:before="120" w:after="240"/>
        <w:rPr>
          <w:rFonts w:asciiTheme="majorHAnsi" w:hAnsiTheme="majorHAnsi" w:cstheme="majorHAnsi"/>
          <w:sz w:val="20"/>
          <w:szCs w:val="20"/>
        </w:rPr>
      </w:pPr>
      <w:r w:rsidRPr="0002259D">
        <w:rPr>
          <w:rFonts w:asciiTheme="majorHAnsi" w:hAnsiTheme="majorHAnsi" w:cstheme="majorHAnsi"/>
          <w:b/>
          <w:bCs/>
          <w:sz w:val="20"/>
          <w:szCs w:val="20"/>
        </w:rPr>
        <w:t>Hình 12</w:t>
      </w:r>
      <w:r w:rsidR="0002259D" w:rsidRPr="0002259D">
        <w:rPr>
          <w:rFonts w:asciiTheme="majorHAnsi" w:hAnsiTheme="majorHAnsi" w:cstheme="majorHAnsi"/>
          <w:b/>
          <w:bCs/>
          <w:sz w:val="20"/>
          <w:szCs w:val="20"/>
          <w:lang w:val="en-US"/>
        </w:rPr>
        <w:t>.</w:t>
      </w:r>
      <w:r w:rsidRPr="0002259D">
        <w:rPr>
          <w:rFonts w:asciiTheme="majorHAnsi" w:hAnsiTheme="majorHAnsi" w:cstheme="majorHAnsi"/>
          <w:sz w:val="20"/>
          <w:szCs w:val="20"/>
        </w:rPr>
        <w:t xml:space="preserve"> </w:t>
      </w:r>
      <w:r w:rsidR="0002259D" w:rsidRPr="00642D29">
        <w:rPr>
          <w:rFonts w:asciiTheme="majorHAnsi" w:hAnsiTheme="majorHAnsi" w:cstheme="majorHAnsi"/>
          <w:sz w:val="20"/>
          <w:szCs w:val="20"/>
        </w:rPr>
        <w:t>Đ</w:t>
      </w:r>
      <w:r w:rsidRPr="0002259D">
        <w:rPr>
          <w:rFonts w:asciiTheme="majorHAnsi" w:hAnsiTheme="majorHAnsi" w:cstheme="majorHAnsi"/>
          <w:sz w:val="20"/>
          <w:szCs w:val="20"/>
        </w:rPr>
        <w:t>ồ thị</w:t>
      </w:r>
      <w:r w:rsidR="0002259D" w:rsidRPr="00642D29">
        <w:rPr>
          <w:rFonts w:asciiTheme="majorHAnsi" w:hAnsiTheme="majorHAnsi" w:cstheme="majorHAnsi"/>
          <w:sz w:val="20"/>
          <w:szCs w:val="20"/>
        </w:rPr>
        <w:t xml:space="preserve"> mô tả</w:t>
      </w:r>
      <w:r w:rsidRPr="0002259D">
        <w:rPr>
          <w:rFonts w:asciiTheme="majorHAnsi" w:hAnsiTheme="majorHAnsi" w:cstheme="majorHAnsi"/>
          <w:sz w:val="20"/>
          <w:szCs w:val="20"/>
        </w:rPr>
        <w:t xml:space="preserve"> sự tác động thay đổi theo thời gian từ IPI đến GDP của Indonesia trong giai đoạn 2002–2023</w:t>
      </w:r>
      <w:r w:rsidR="00A37901">
        <w:rPr>
          <w:rFonts w:asciiTheme="majorHAnsi" w:hAnsiTheme="majorHAnsi" w:cstheme="majorHAnsi"/>
          <w:sz w:val="20"/>
          <w:szCs w:val="20"/>
        </w:rPr>
        <w:t xml:space="preserve"> bằng kiểm định Wald RE</w:t>
      </w:r>
      <w:r w:rsidRPr="0002259D">
        <w:rPr>
          <w:rFonts w:asciiTheme="majorHAnsi" w:hAnsiTheme="majorHAnsi" w:cstheme="majorHAnsi"/>
          <w:sz w:val="20"/>
          <w:szCs w:val="20"/>
        </w:rPr>
        <w:t>. (–) và (..) lần lượt mô tả mức ý nghĩa 10% và 5% của số liệu thống kê kiểm định.</w:t>
      </w:r>
    </w:p>
    <w:p w14:paraId="776713C8" w14:textId="5D5319C9" w:rsidR="001E0BF3" w:rsidRPr="00A94C11" w:rsidRDefault="001E0BF3" w:rsidP="005F7139">
      <w:pPr>
        <w:spacing w:before="120" w:after="120" w:line="240" w:lineRule="auto"/>
        <w:ind w:firstLine="567"/>
        <w:jc w:val="both"/>
        <w:rPr>
          <w:rFonts w:asciiTheme="majorHAnsi" w:hAnsiTheme="majorHAnsi" w:cstheme="majorHAnsi"/>
          <w:vertAlign w:val="superscript"/>
          <w:lang w:val="en-US"/>
        </w:rPr>
      </w:pPr>
      <w:r w:rsidRPr="00653016">
        <w:rPr>
          <w:rFonts w:asciiTheme="majorHAnsi" w:hAnsiTheme="majorHAnsi" w:cstheme="majorHAnsi"/>
          <w:b/>
        </w:rPr>
        <w:t>Hình</w:t>
      </w:r>
      <w:r w:rsidRPr="00653016">
        <w:rPr>
          <w:rFonts w:asciiTheme="majorHAnsi" w:hAnsiTheme="majorHAnsi" w:cstheme="majorHAnsi"/>
          <w:b/>
          <w:bCs/>
        </w:rPr>
        <w:t xml:space="preserve"> 12</w:t>
      </w:r>
      <w:r w:rsidRPr="00653016">
        <w:rPr>
          <w:rFonts w:asciiTheme="majorHAnsi" w:hAnsiTheme="majorHAnsi" w:cstheme="majorHAnsi"/>
        </w:rPr>
        <w:t xml:space="preserve"> cho thấy mối quan hệ giữa IPI và GDP ở Indonesia đạt mức ý nghĩa 10% trong một số năm nhất định. Trong năm 2015 và 2016, Indonesia ghi nhận có sự tác động của IPI lên GDP. Nguyên nhân là do sự mở rộng công nghiệp của Indonesia và biến động giá dầu toàn cầu.</w:t>
      </w:r>
      <w:r w:rsidR="00A94C11">
        <w:rPr>
          <w:rFonts w:asciiTheme="majorHAnsi" w:hAnsiTheme="majorHAnsi" w:cstheme="majorHAnsi"/>
          <w:vertAlign w:val="superscript"/>
          <w:lang w:val="en-US"/>
        </w:rPr>
        <w:t>28</w:t>
      </w:r>
      <w:r w:rsidRPr="00653016">
        <w:rPr>
          <w:rFonts w:asciiTheme="majorHAnsi" w:hAnsiTheme="majorHAnsi" w:cstheme="majorHAnsi"/>
        </w:rPr>
        <w:t xml:space="preserve"> Ngoài ra, mô hình có ý nghĩa thống kê trong năm 2018, ngành sản xuất đóng góp chính vào cơ cấu GDP ở Indonesia vào năm 2018.</w:t>
      </w:r>
      <w:r w:rsidR="00A94C11">
        <w:rPr>
          <w:rFonts w:asciiTheme="majorHAnsi" w:hAnsiTheme="majorHAnsi" w:cstheme="majorHAnsi"/>
          <w:vertAlign w:val="superscript"/>
          <w:lang w:val="en-US"/>
        </w:rPr>
        <w:t>29</w:t>
      </w:r>
    </w:p>
    <w:p w14:paraId="3F909700" w14:textId="77777777" w:rsidR="001E0BF3" w:rsidRDefault="001E0BF3" w:rsidP="001E0BF3">
      <w:pPr>
        <w:pStyle w:val="ListParagraph"/>
        <w:numPr>
          <w:ilvl w:val="0"/>
          <w:numId w:val="13"/>
        </w:numPr>
        <w:spacing w:before="120" w:after="120" w:line="240" w:lineRule="auto"/>
        <w:ind w:left="360"/>
        <w:rPr>
          <w:rFonts w:asciiTheme="majorHAnsi" w:hAnsiTheme="majorHAnsi" w:cstheme="majorHAnsi"/>
          <w:b/>
          <w:bCs/>
          <w:lang w:val="en-US"/>
        </w:rPr>
      </w:pPr>
      <w:r w:rsidRPr="00BE03BA">
        <w:rPr>
          <w:rFonts w:asciiTheme="majorHAnsi" w:hAnsiTheme="majorHAnsi" w:cstheme="majorHAnsi"/>
          <w:b/>
          <w:bCs/>
          <w:lang w:val="en-US"/>
        </w:rPr>
        <w:t>KẾT LUẬN</w:t>
      </w:r>
    </w:p>
    <w:p w14:paraId="28FDB06C" w14:textId="0811D5B1" w:rsidR="001E0BF3" w:rsidRPr="00BD153A" w:rsidRDefault="001E0BF3" w:rsidP="00C233D8">
      <w:pPr>
        <w:spacing w:before="120" w:after="120" w:line="240" w:lineRule="auto"/>
        <w:jc w:val="both"/>
        <w:rPr>
          <w:rFonts w:asciiTheme="majorHAnsi" w:hAnsiTheme="majorHAnsi" w:cstheme="majorHAnsi"/>
          <w:b/>
          <w:bCs/>
        </w:rPr>
      </w:pPr>
      <w:r w:rsidRPr="00F67581">
        <w:rPr>
          <w:rFonts w:asciiTheme="majorHAnsi" w:hAnsiTheme="majorHAnsi" w:cstheme="majorHAnsi"/>
        </w:rPr>
        <w:t xml:space="preserve">Bài nghiên cứu này sử dụng phương pháp Time–Varying Granger nhằm mục đích đánh giá sự tác </w:t>
      </w:r>
      <w:r w:rsidRPr="00F67581">
        <w:rPr>
          <w:rFonts w:asciiTheme="majorHAnsi" w:hAnsiTheme="majorHAnsi" w:cstheme="majorHAnsi"/>
        </w:rPr>
        <w:t>động của cú sốc giá dầu và IPI đối với GDP trong phạm vi các quốc gia ASEAN</w:t>
      </w:r>
      <w:r w:rsidR="00D342CE" w:rsidRPr="003E1C9F">
        <w:rPr>
          <w:rFonts w:asciiTheme="majorHAnsi" w:hAnsiTheme="majorHAnsi" w:cstheme="majorHAnsi"/>
          <w:sz w:val="20"/>
          <w:szCs w:val="20"/>
        </w:rPr>
        <w:t>–</w:t>
      </w:r>
      <w:r w:rsidRPr="00F67581">
        <w:rPr>
          <w:rFonts w:asciiTheme="majorHAnsi" w:hAnsiTheme="majorHAnsi" w:cstheme="majorHAnsi"/>
        </w:rPr>
        <w:t xml:space="preserve">6. Nhìn chung, rủi ro giá dầu có ảnh hưởng nhất định đến GDP trong giai đoạn 2002 đến 2023. </w:t>
      </w:r>
    </w:p>
    <w:p w14:paraId="2765D569" w14:textId="3616167C" w:rsidR="001E0BF3" w:rsidRPr="00BD153A" w:rsidRDefault="001E0BF3" w:rsidP="00C233D8">
      <w:pPr>
        <w:spacing w:before="120" w:after="120" w:line="240" w:lineRule="auto"/>
        <w:jc w:val="both"/>
        <w:rPr>
          <w:rFonts w:asciiTheme="majorHAnsi" w:hAnsiTheme="majorHAnsi" w:cstheme="majorHAnsi"/>
        </w:rPr>
      </w:pPr>
      <w:r w:rsidRPr="00F67581">
        <w:rPr>
          <w:rFonts w:asciiTheme="majorHAnsi" w:hAnsiTheme="majorHAnsi" w:cstheme="majorHAnsi"/>
        </w:rPr>
        <w:t>Kết quả từ mô hình nghiên cứu cho thấy mối quan hệ giữa các biến thay đổi theo thời gian và có sự khác biệt giữa các quốc gia. Giá dầu tác động mạnh đến GDP trong các giai đoạn biến động lớn như khủng hoảng tài chính toàn cầu (2008–2009), cú sốc giá dầu (2016–2017) và đại dịch COVID</w:t>
      </w:r>
      <w:r w:rsidR="00D342CE" w:rsidRPr="003E1C9F">
        <w:rPr>
          <w:rFonts w:asciiTheme="majorHAnsi" w:hAnsiTheme="majorHAnsi" w:cstheme="majorHAnsi"/>
          <w:sz w:val="20"/>
          <w:szCs w:val="20"/>
        </w:rPr>
        <w:t>–</w:t>
      </w:r>
      <w:r w:rsidRPr="00F67581">
        <w:rPr>
          <w:rFonts w:asciiTheme="majorHAnsi" w:hAnsiTheme="majorHAnsi" w:cstheme="majorHAnsi"/>
        </w:rPr>
        <w:t xml:space="preserve">19 (2020). Bên cạnh đó, IPI có ảnh hưởng đáng kể đến GDP, nhất là giai đoạn phục hồi sau khủng hoảng (2010–2016). Ngược lại, ở một số giai đoạn khác, mối quan hệ này không có ý nghĩa thống kê, phản ánh sự tác động không đáng kể của giá dầu và IPI lên GDP. </w:t>
      </w:r>
    </w:p>
    <w:p w14:paraId="08B8DD23" w14:textId="77777777" w:rsidR="001E0BF3" w:rsidRPr="00F67581" w:rsidRDefault="001E0BF3" w:rsidP="00C233D8">
      <w:pPr>
        <w:spacing w:before="120" w:after="120" w:line="240" w:lineRule="auto"/>
        <w:jc w:val="both"/>
        <w:rPr>
          <w:rFonts w:asciiTheme="majorHAnsi" w:hAnsiTheme="majorHAnsi" w:cstheme="majorHAnsi"/>
        </w:rPr>
      </w:pPr>
      <w:r w:rsidRPr="00F67581">
        <w:rPr>
          <w:rFonts w:asciiTheme="majorHAnsi" w:hAnsiTheme="majorHAnsi" w:cstheme="majorHAnsi"/>
        </w:rPr>
        <w:t xml:space="preserve">Việc xác định sự thay đổi của các mối quan hệ giữa giá dầu, IPI và GDP giúp cung cấp bằng chứng thực nghiệm quan trọng, góp phần hỗ trợ quá trình hoạch định chính sách kinh tế phù hợp với từng giai đoạn và bối cảnh cụ thể. Kết quả nghiên cứu cũng giúp các nhà hoạch định chính sách nhận diện rõ hơn những rủi ro từ biến động giá dầu và IPI đối với tăng trưởng kinh tế. </w:t>
      </w:r>
      <w:r w:rsidRPr="00F67581">
        <w:rPr>
          <w:rFonts w:asciiTheme="majorHAnsi" w:eastAsia="Aptos" w:hAnsiTheme="majorHAnsi" w:cstheme="majorHAnsi"/>
          <w14:ligatures w14:val="none"/>
        </w:rPr>
        <w:t xml:space="preserve">Từ đó, đề xuất một số hàm ý quan trọng sau: </w:t>
      </w:r>
    </w:p>
    <w:p w14:paraId="37083FD6" w14:textId="77777777" w:rsidR="001E0BF3" w:rsidRPr="00BD153A" w:rsidRDefault="001E0BF3" w:rsidP="00C233D8">
      <w:pPr>
        <w:spacing w:before="120" w:after="120" w:line="240" w:lineRule="auto"/>
        <w:jc w:val="both"/>
        <w:rPr>
          <w:rFonts w:asciiTheme="majorHAnsi" w:eastAsia="Aptos" w:hAnsiTheme="majorHAnsi" w:cstheme="majorHAnsi"/>
          <w14:ligatures w14:val="none"/>
        </w:rPr>
      </w:pPr>
      <w:r w:rsidRPr="00BD153A">
        <w:rPr>
          <w:rFonts w:asciiTheme="majorHAnsi" w:eastAsia="Aptos" w:hAnsiTheme="majorHAnsi" w:cstheme="majorHAnsi"/>
          <w14:ligatures w14:val="none"/>
        </w:rPr>
        <w:t xml:space="preserve">- </w:t>
      </w:r>
      <w:r w:rsidRPr="00F67581">
        <w:rPr>
          <w:rFonts w:asciiTheme="majorHAnsi" w:eastAsia="Aptos" w:hAnsiTheme="majorHAnsi" w:cstheme="majorHAnsi"/>
          <w14:ligatures w14:val="none"/>
        </w:rPr>
        <w:t>Thứ nhất, để giảm thiểu tác động tiêu cực từ bất ổn giá dầu trong dài hạn, Chính phủ cần thực hiện cải cách cơ cấu kinh tế phù hợp, bao gồm: giảm thuế, khuyến khích doanh nghiệp sử dụng năng lượng tái tạo nhằm giảm phụ thuộc vào dầu mỏ; đồng thời đẩy mạnh nghiên cứu và ứng dụng công nghệ mới.</w:t>
      </w:r>
    </w:p>
    <w:p w14:paraId="5285D074" w14:textId="77777777" w:rsidR="001E0BF3" w:rsidRPr="00BD153A" w:rsidRDefault="001E0BF3" w:rsidP="00C233D8">
      <w:pPr>
        <w:spacing w:before="120" w:after="120" w:line="240" w:lineRule="auto"/>
        <w:jc w:val="both"/>
        <w:rPr>
          <w:rFonts w:asciiTheme="majorHAnsi" w:eastAsia="Aptos" w:hAnsiTheme="majorHAnsi" w:cstheme="majorHAnsi"/>
          <w14:ligatures w14:val="none"/>
        </w:rPr>
      </w:pPr>
      <w:r w:rsidRPr="00BD153A">
        <w:rPr>
          <w:rFonts w:asciiTheme="majorHAnsi" w:eastAsia="Aptos" w:hAnsiTheme="majorHAnsi" w:cstheme="majorHAnsi"/>
          <w14:ligatures w14:val="none"/>
        </w:rPr>
        <w:t xml:space="preserve">- </w:t>
      </w:r>
      <w:r w:rsidRPr="00F67581">
        <w:rPr>
          <w:rFonts w:asciiTheme="majorHAnsi" w:eastAsia="Aptos" w:hAnsiTheme="majorHAnsi" w:cstheme="majorHAnsi"/>
          <w14:ligatures w14:val="none"/>
        </w:rPr>
        <w:t>Thứ hai, đầu tư vào giáo dục và đào tạo nhằm nâng cao trình độ chuyên môn, qua đó tăng năng suất lao động và thu hút vốn đầu tư nước ngoài. Các biện pháp tài khóa cũng đóng vai trò quan trọng trong việc kiểm soát giá dầu, giúp giảm thiểu tác động tiêu cực của sự bất ổn này.</w:t>
      </w:r>
    </w:p>
    <w:p w14:paraId="729AD891" w14:textId="77777777" w:rsidR="001E0BF3" w:rsidRPr="00BD153A" w:rsidRDefault="001E0BF3" w:rsidP="00C233D8">
      <w:pPr>
        <w:spacing w:before="120" w:after="120" w:line="240" w:lineRule="auto"/>
        <w:jc w:val="both"/>
        <w:rPr>
          <w:rFonts w:asciiTheme="majorHAnsi" w:eastAsia="Aptos" w:hAnsiTheme="majorHAnsi" w:cstheme="majorHAnsi"/>
          <w14:ligatures w14:val="none"/>
        </w:rPr>
      </w:pPr>
      <w:r w:rsidRPr="00BD153A">
        <w:rPr>
          <w:rFonts w:asciiTheme="majorHAnsi" w:eastAsia="Aptos" w:hAnsiTheme="majorHAnsi" w:cstheme="majorHAnsi"/>
          <w14:ligatures w14:val="none"/>
        </w:rPr>
        <w:t xml:space="preserve">- </w:t>
      </w:r>
      <w:r w:rsidRPr="00F67581">
        <w:rPr>
          <w:rFonts w:asciiTheme="majorHAnsi" w:eastAsia="Aptos" w:hAnsiTheme="majorHAnsi" w:cstheme="majorHAnsi"/>
          <w14:ligatures w14:val="none"/>
        </w:rPr>
        <w:t>Cuối cùng, việc kiểm soát chi tiêu công hợp lý sẽ góp phần ổn định và thúc đẩy tăng trưởng kinh tế cả trong ngắn hạn lẫn dài hạn.</w:t>
      </w:r>
    </w:p>
    <w:p w14:paraId="723A67BE" w14:textId="77777777" w:rsidR="001E0BF3" w:rsidRPr="00642D29" w:rsidRDefault="001E0BF3" w:rsidP="00C233D8">
      <w:pPr>
        <w:spacing w:before="120" w:after="120" w:line="240" w:lineRule="auto"/>
        <w:jc w:val="both"/>
        <w:rPr>
          <w:rFonts w:asciiTheme="majorHAnsi" w:eastAsia="Times New Roman" w:hAnsiTheme="majorHAnsi" w:cstheme="majorHAnsi"/>
        </w:rPr>
      </w:pPr>
      <w:r w:rsidRPr="00F67581">
        <w:rPr>
          <w:rFonts w:asciiTheme="majorHAnsi" w:eastAsia="Times New Roman" w:hAnsiTheme="majorHAnsi" w:cstheme="majorHAnsi"/>
        </w:rPr>
        <w:t>Nghiên cứu của chúng tôi thừa nhận một số hạn chế, từ đó mở ra hướng phát triển mới cho những nghiên cứu tiếp theo. Nhóm tác giả đề xuất bổ sung các yếu tố kinh tế vĩ mô như lãi suất, tỷ giá hay chỉ số thương mại giúp phân tích toàn diện hơn về tăng trưởng kinh tế tại các quốc gia ASEAN</w:t>
      </w:r>
      <w:r w:rsidR="00277900" w:rsidRPr="003E1C9F">
        <w:rPr>
          <w:rFonts w:asciiTheme="majorHAnsi" w:hAnsiTheme="majorHAnsi" w:cstheme="majorHAnsi"/>
          <w:sz w:val="20"/>
          <w:szCs w:val="20"/>
        </w:rPr>
        <w:t>–</w:t>
      </w:r>
      <w:r w:rsidRPr="00F67581">
        <w:rPr>
          <w:rFonts w:asciiTheme="majorHAnsi" w:eastAsia="Times New Roman" w:hAnsiTheme="majorHAnsi" w:cstheme="majorHAnsi"/>
        </w:rPr>
        <w:t>6. Đồng thời, bài nghiên cứu giới hạn phạm vi ở ASEAN</w:t>
      </w:r>
      <w:r w:rsidR="00277900" w:rsidRPr="003E1C9F">
        <w:rPr>
          <w:rFonts w:asciiTheme="majorHAnsi" w:hAnsiTheme="majorHAnsi" w:cstheme="majorHAnsi"/>
          <w:sz w:val="20"/>
          <w:szCs w:val="20"/>
        </w:rPr>
        <w:t>–</w:t>
      </w:r>
      <w:r w:rsidRPr="00F67581">
        <w:rPr>
          <w:rFonts w:asciiTheme="majorHAnsi" w:eastAsia="Times New Roman" w:hAnsiTheme="majorHAnsi" w:cstheme="majorHAnsi"/>
        </w:rPr>
        <w:t>6 và giai đoạn 2002–2023, chưa phản ánh rõ nét bối cảnh kinh tế trong khu vực và quốc tế. Ngoài ra, những biến động kinh tế toàn cầu sau năm 2023 vẫn chưa được nghiên cứu</w:t>
      </w:r>
      <w:r w:rsidR="00D405C6" w:rsidRPr="00642D29">
        <w:rPr>
          <w:rFonts w:asciiTheme="majorHAnsi" w:eastAsia="Times New Roman" w:hAnsiTheme="majorHAnsi" w:cstheme="majorHAnsi"/>
        </w:rPr>
        <w:t>.</w:t>
      </w:r>
    </w:p>
    <w:p w14:paraId="0F7181BC" w14:textId="7A65A8F9" w:rsidR="00D405C6" w:rsidRPr="00642D29" w:rsidRDefault="00D405C6" w:rsidP="00D405C6">
      <w:pPr>
        <w:spacing w:before="120" w:after="120" w:line="240" w:lineRule="auto"/>
        <w:ind w:firstLine="562"/>
        <w:jc w:val="both"/>
        <w:rPr>
          <w:rFonts w:asciiTheme="majorHAnsi" w:eastAsia="Times New Roman" w:hAnsiTheme="majorHAnsi" w:cstheme="majorHAnsi"/>
        </w:rPr>
        <w:sectPr w:rsidR="00D405C6" w:rsidRPr="00642D29" w:rsidSect="009D5214">
          <w:type w:val="continuous"/>
          <w:pgSz w:w="11906" w:h="16838"/>
          <w:pgMar w:top="1134" w:right="1134" w:bottom="1134" w:left="1418" w:header="708" w:footer="708" w:gutter="0"/>
          <w:cols w:num="2" w:space="432"/>
          <w:docGrid w:linePitch="360"/>
        </w:sectPr>
      </w:pPr>
    </w:p>
    <w:p w14:paraId="33C0FD64" w14:textId="78A58B97" w:rsidR="00A020DF" w:rsidRPr="00A020DF" w:rsidRDefault="001E0BF3" w:rsidP="00E832DF">
      <w:pPr>
        <w:spacing w:before="120" w:after="120" w:line="240" w:lineRule="auto"/>
        <w:rPr>
          <w:rFonts w:asciiTheme="majorHAnsi" w:hAnsiTheme="majorHAnsi" w:cstheme="majorBidi"/>
          <w:b/>
          <w:lang w:val="en-US"/>
        </w:rPr>
        <w:sectPr w:rsidR="00A020DF" w:rsidRPr="00A020DF" w:rsidSect="00E832DF">
          <w:type w:val="continuous"/>
          <w:pgSz w:w="11906" w:h="16838"/>
          <w:pgMar w:top="1134" w:right="1134" w:bottom="1134" w:left="1418" w:header="708" w:footer="708" w:gutter="0"/>
          <w:cols w:num="2" w:space="708"/>
          <w:docGrid w:linePitch="360"/>
        </w:sectPr>
      </w:pPr>
      <w:r w:rsidRPr="38C13CFD">
        <w:rPr>
          <w:rFonts w:asciiTheme="majorHAnsi" w:hAnsiTheme="majorHAnsi" w:cstheme="majorBidi"/>
          <w:b/>
        </w:rPr>
        <w:lastRenderedPageBreak/>
        <w:t>TÀI LIỆU THAM KHẢO</w:t>
      </w:r>
    </w:p>
    <w:p w14:paraId="44F4358D" w14:textId="4D6A0C4B" w:rsid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bookmarkStart w:id="1" w:name="_Hlk196859653"/>
      <w:r w:rsidRPr="00C1625E">
        <w:rPr>
          <w:rFonts w:asciiTheme="majorHAnsi" w:eastAsia="Aptos" w:hAnsiTheme="majorHAnsi" w:cstheme="majorHAnsi"/>
          <w:sz w:val="20"/>
          <w:szCs w:val="20"/>
          <w:lang w:val="vi-VN"/>
        </w:rPr>
        <w:t xml:space="preserve">Bắc, T. N. H. Cạnh tranh kinh tế Mỹ – Trung trong năm đầu đại dịch COVID-19 (2020) và hàm ý chính sách cho Việt Nam. </w:t>
      </w:r>
      <w:r w:rsidRPr="00C1625E">
        <w:rPr>
          <w:rFonts w:asciiTheme="majorHAnsi" w:eastAsia="Aptos" w:hAnsiTheme="majorHAnsi" w:cstheme="majorHAnsi"/>
          <w:i/>
          <w:iCs/>
          <w:sz w:val="20"/>
          <w:szCs w:val="20"/>
          <w:lang w:val="vi-VN"/>
        </w:rPr>
        <w:t>Kinh tế Việt Nam năm 2020 và triển vọng năm 2021:</w:t>
      </w:r>
      <w:r w:rsidRPr="00C1625E">
        <w:rPr>
          <w:rFonts w:asciiTheme="majorHAnsi" w:eastAsia="Aptos" w:hAnsiTheme="majorHAnsi" w:cstheme="majorHAnsi"/>
          <w:sz w:val="20"/>
          <w:szCs w:val="20"/>
          <w:lang w:val="vi-VN"/>
        </w:rPr>
        <w:t xml:space="preserve"> </w:t>
      </w:r>
      <w:r w:rsidRPr="00C1625E">
        <w:rPr>
          <w:rFonts w:asciiTheme="majorHAnsi" w:eastAsia="Aptos" w:hAnsiTheme="majorHAnsi" w:cstheme="majorHAnsi"/>
          <w:i/>
          <w:iCs/>
          <w:sz w:val="20"/>
          <w:szCs w:val="20"/>
          <w:lang w:val="vi-VN"/>
        </w:rPr>
        <w:t>Ứng phó và vượt qua đại dịch COVID-19, hướng tới phục hồi và phát triển</w:t>
      </w:r>
      <w:r w:rsidRPr="00C1625E">
        <w:rPr>
          <w:rFonts w:asciiTheme="majorHAnsi" w:eastAsia="Aptos" w:hAnsiTheme="majorHAnsi" w:cstheme="majorHAnsi"/>
          <w:sz w:val="20"/>
          <w:szCs w:val="20"/>
          <w:lang w:val="vi-VN"/>
        </w:rPr>
        <w:t>, Nhà xuất bản Đại học Kinh tế Quốc dân, Hà Nội, 2021.</w:t>
      </w:r>
    </w:p>
    <w:p w14:paraId="7C77F7B2" w14:textId="43116D2D" w:rsidR="000E27EF" w:rsidRDefault="00397C4D"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0E27EF">
        <w:rPr>
          <w:rFonts w:asciiTheme="majorHAnsi" w:eastAsia="Aptos" w:hAnsiTheme="majorHAnsi" w:cstheme="majorHAnsi"/>
          <w:sz w:val="20"/>
          <w:szCs w:val="20"/>
          <w:lang w:val="vi-VN"/>
        </w:rPr>
        <w:t>Hùng, P. M. Nhìn lại những tác động của chiến tranh Nga-Ukraine tới kinh tế thế giới năm 2022</w:t>
      </w:r>
      <w:r w:rsidR="000E27EF">
        <w:rPr>
          <w:rFonts w:asciiTheme="majorHAnsi" w:eastAsia="Aptos" w:hAnsiTheme="majorHAnsi" w:cstheme="majorHAnsi"/>
          <w:sz w:val="20"/>
          <w:szCs w:val="20"/>
        </w:rPr>
        <w:t xml:space="preserve">. </w:t>
      </w:r>
      <w:r w:rsidR="000E27EF" w:rsidRPr="000E27EF">
        <w:rPr>
          <w:rFonts w:asciiTheme="majorHAnsi" w:eastAsia="Aptos" w:hAnsiTheme="majorHAnsi" w:cstheme="majorHAnsi"/>
          <w:i/>
          <w:iCs/>
          <w:sz w:val="20"/>
          <w:szCs w:val="20"/>
        </w:rPr>
        <w:t>Tạp chí Khoa học &amp; Đào tạo Ngân hàng</w:t>
      </w:r>
      <w:r w:rsidR="000E27EF">
        <w:rPr>
          <w:rFonts w:asciiTheme="majorHAnsi" w:eastAsia="Aptos" w:hAnsiTheme="majorHAnsi" w:cstheme="majorHAnsi"/>
          <w:sz w:val="20"/>
          <w:szCs w:val="20"/>
        </w:rPr>
        <w:t xml:space="preserve">, </w:t>
      </w:r>
      <w:r w:rsidR="000E27EF" w:rsidRPr="000E27EF">
        <w:rPr>
          <w:rFonts w:asciiTheme="majorHAnsi" w:eastAsia="Aptos" w:hAnsiTheme="majorHAnsi" w:cstheme="majorHAnsi"/>
          <w:b/>
          <w:bCs/>
          <w:sz w:val="20"/>
          <w:szCs w:val="20"/>
        </w:rPr>
        <w:t>2023</w:t>
      </w:r>
      <w:r w:rsidR="000E27EF">
        <w:rPr>
          <w:rFonts w:asciiTheme="majorHAnsi" w:eastAsia="Aptos" w:hAnsiTheme="majorHAnsi" w:cstheme="majorHAnsi"/>
          <w:sz w:val="20"/>
          <w:szCs w:val="20"/>
        </w:rPr>
        <w:t xml:space="preserve">, </w:t>
      </w:r>
      <w:r w:rsidR="000E27EF" w:rsidRPr="000E27EF">
        <w:rPr>
          <w:rFonts w:asciiTheme="majorHAnsi" w:eastAsia="Aptos" w:hAnsiTheme="majorHAnsi" w:cstheme="majorHAnsi"/>
          <w:i/>
          <w:iCs/>
          <w:sz w:val="20"/>
          <w:szCs w:val="20"/>
        </w:rPr>
        <w:t>248+249</w:t>
      </w:r>
      <w:r w:rsidR="000E27EF">
        <w:rPr>
          <w:rFonts w:asciiTheme="majorHAnsi" w:eastAsia="Aptos" w:hAnsiTheme="majorHAnsi" w:cstheme="majorHAnsi"/>
          <w:sz w:val="20"/>
          <w:szCs w:val="20"/>
        </w:rPr>
        <w:t>, Tháng 1&amp;2.</w:t>
      </w:r>
    </w:p>
    <w:p w14:paraId="40B883ED" w14:textId="028589BF" w:rsid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eastAsia="Aptos" w:hAnsiTheme="majorHAnsi" w:cstheme="majorHAnsi"/>
          <w:sz w:val="20"/>
          <w:szCs w:val="20"/>
          <w:lang w:val="vi-VN"/>
        </w:rPr>
        <w:t xml:space="preserve">Kim, T. N. H. Tăng trưởng kinh tế, quản trị quốc gia và bất bình đẳng thu nhập: So sánh trường hợp ASEAN–6 và Việt Nam. Tạp Chí Khoa học Trường Đại học Quốc tế Hồng Bàng, </w:t>
      </w:r>
      <w:r w:rsidRPr="00C1625E">
        <w:rPr>
          <w:rFonts w:asciiTheme="majorHAnsi" w:eastAsia="Aptos" w:hAnsiTheme="majorHAnsi" w:cstheme="majorHAnsi"/>
          <w:b/>
          <w:bCs/>
          <w:sz w:val="20"/>
          <w:szCs w:val="20"/>
          <w:lang w:val="vi-VN"/>
        </w:rPr>
        <w:t>2024</w:t>
      </w:r>
      <w:r w:rsidRPr="00C1625E">
        <w:rPr>
          <w:rFonts w:asciiTheme="majorHAnsi" w:eastAsia="Aptos" w:hAnsiTheme="majorHAnsi" w:cstheme="majorHAnsi"/>
          <w:sz w:val="20"/>
          <w:szCs w:val="20"/>
          <w:lang w:val="vi-VN"/>
        </w:rPr>
        <w:t>, 28, 87-96.</w:t>
      </w:r>
    </w:p>
    <w:p w14:paraId="3DCDEA81" w14:textId="3F75FA92"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Hoàng, X. B. </w:t>
      </w:r>
      <w:r w:rsidRPr="00C1625E">
        <w:rPr>
          <w:rFonts w:asciiTheme="majorHAnsi" w:hAnsiTheme="majorHAnsi" w:cstheme="majorHAnsi"/>
          <w:i/>
          <w:iCs/>
          <w:sz w:val="20"/>
          <w:szCs w:val="20"/>
          <w:lang w:val="vi-VN"/>
        </w:rPr>
        <w:t>Giá dầu suy giảm: Nguyên nhân và tác động với nền kinh tế thế giới và Việt Nam.</w:t>
      </w:r>
      <w:r w:rsidRPr="00C1625E">
        <w:rPr>
          <w:rFonts w:asciiTheme="majorHAnsi" w:hAnsiTheme="majorHAnsi" w:cstheme="majorHAnsi"/>
          <w:sz w:val="20"/>
          <w:szCs w:val="20"/>
          <w:lang w:val="vi-VN"/>
        </w:rPr>
        <w:t xml:space="preserve"> Nhà xuất bản Đại học Kinh tế Quốc dân, Hà nội, 2015.</w:t>
      </w:r>
    </w:p>
    <w:p w14:paraId="47A51E53" w14:textId="5602C2D0"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Ariyani, D., Ummah, I. L., &amp; Nuraini, D. F.  Macroeconomic determinants of Indonesia’s economic growth: Integrating industrial production index, inflation, and foreign direct investment within an Islamic welfare. </w:t>
      </w:r>
      <w:r w:rsidRPr="00C1625E">
        <w:rPr>
          <w:rFonts w:asciiTheme="majorHAnsi" w:hAnsiTheme="majorHAnsi" w:cstheme="majorHAnsi"/>
          <w:i/>
          <w:iCs/>
          <w:sz w:val="20"/>
          <w:szCs w:val="20"/>
          <w:lang w:val="vi-VN"/>
        </w:rPr>
        <w:t>Journal of Islamic Economics Management and Business (JIEMB)</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2024</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6</w:t>
      </w:r>
      <w:r w:rsidRPr="00C1625E">
        <w:rPr>
          <w:rFonts w:asciiTheme="majorHAnsi" w:hAnsiTheme="majorHAnsi" w:cstheme="majorHAnsi"/>
          <w:sz w:val="20"/>
          <w:szCs w:val="20"/>
          <w:lang w:val="vi-VN"/>
        </w:rPr>
        <w:t>(1), 87–104.</w:t>
      </w:r>
    </w:p>
    <w:p w14:paraId="12F7984E" w14:textId="0B46178C"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Katircioglu, S. T., Sertoglu, K., Candemir, M., &amp; Mercan, M. Oil price movements and macroeconomic performance: Evidence from twenty-six OECD countries. </w:t>
      </w:r>
      <w:r w:rsidRPr="00C1625E">
        <w:rPr>
          <w:rFonts w:asciiTheme="majorHAnsi" w:hAnsiTheme="majorHAnsi" w:cstheme="majorHAnsi"/>
          <w:i/>
          <w:iCs/>
          <w:sz w:val="20"/>
          <w:szCs w:val="20"/>
          <w:lang w:val="vi-VN"/>
        </w:rPr>
        <w:t>Renewable and Sustainable Energy Reviews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2015</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44</w:t>
      </w:r>
      <w:r w:rsidRPr="00C1625E">
        <w:rPr>
          <w:rFonts w:asciiTheme="majorHAnsi" w:hAnsiTheme="majorHAnsi" w:cstheme="majorHAnsi"/>
          <w:sz w:val="20"/>
          <w:szCs w:val="20"/>
          <w:lang w:val="vi-VN"/>
        </w:rPr>
        <w:t>, 257-270.</w:t>
      </w:r>
    </w:p>
    <w:p w14:paraId="0230F267" w14:textId="172297F5"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Ftiti, Z., Guesmi, K., Teulon, F., &amp; Chouachi, S. Relationship between crude oil prices and economic growth in selected OPEC countries. </w:t>
      </w:r>
      <w:r w:rsidRPr="00C1625E">
        <w:rPr>
          <w:rFonts w:asciiTheme="majorHAnsi" w:hAnsiTheme="majorHAnsi" w:cstheme="majorHAnsi"/>
          <w:i/>
          <w:iCs/>
          <w:sz w:val="20"/>
          <w:szCs w:val="20"/>
          <w:lang w:val="vi-VN"/>
        </w:rPr>
        <w:t>Journal of Applied Business Research</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2016</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32</w:t>
      </w:r>
      <w:r w:rsidRPr="00C1625E">
        <w:rPr>
          <w:rFonts w:asciiTheme="majorHAnsi" w:hAnsiTheme="majorHAnsi" w:cstheme="majorHAnsi"/>
          <w:sz w:val="20"/>
          <w:szCs w:val="20"/>
          <w:lang w:val="vi-VN"/>
        </w:rPr>
        <w:t>(1), 11.</w:t>
      </w:r>
    </w:p>
    <w:p w14:paraId="3DACA5C7" w14:textId="55227974"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Charfeddine, L., &amp; Barkat, K. Short-and long-run asymmetric effect of oil prices and oil and gas revenues on the real GDP and economic diversification in an oil-dependent economy. </w:t>
      </w:r>
      <w:r w:rsidRPr="00C1625E">
        <w:rPr>
          <w:rFonts w:asciiTheme="majorHAnsi" w:hAnsiTheme="majorHAnsi" w:cstheme="majorHAnsi"/>
          <w:i/>
          <w:iCs/>
          <w:sz w:val="20"/>
          <w:szCs w:val="20"/>
          <w:lang w:val="vi-VN"/>
        </w:rPr>
        <w:t>Energy Economics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2020</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86</w:t>
      </w:r>
      <w:r w:rsidRPr="00C1625E">
        <w:rPr>
          <w:rFonts w:asciiTheme="majorHAnsi" w:hAnsiTheme="majorHAnsi" w:cstheme="majorHAnsi"/>
          <w:sz w:val="20"/>
          <w:szCs w:val="20"/>
          <w:lang w:val="vi-VN"/>
        </w:rPr>
        <w:t>, 104680.</w:t>
      </w:r>
    </w:p>
    <w:p w14:paraId="62BDAA0A" w14:textId="62464CA8"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Taufani, A., Hakim, D. B., &amp; Widyastutik, W. The impact of oil price shocks on macroeconomic indicators: Evidence from four ASEAN countries. </w:t>
      </w:r>
      <w:r w:rsidRPr="00C1625E">
        <w:rPr>
          <w:rFonts w:asciiTheme="majorHAnsi" w:hAnsiTheme="majorHAnsi" w:cstheme="majorHAnsi"/>
          <w:i/>
          <w:iCs/>
          <w:sz w:val="20"/>
          <w:szCs w:val="20"/>
          <w:lang w:val="vi-VN"/>
        </w:rPr>
        <w:t>Economic Journal of Emerging Markets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2022</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14</w:t>
      </w:r>
      <w:r w:rsidRPr="00C1625E">
        <w:rPr>
          <w:rFonts w:asciiTheme="majorHAnsi" w:hAnsiTheme="majorHAnsi" w:cstheme="majorHAnsi"/>
          <w:sz w:val="20"/>
          <w:szCs w:val="20"/>
          <w:lang w:val="vi-VN"/>
        </w:rPr>
        <w:t>(2), 271-286.</w:t>
      </w:r>
    </w:p>
    <w:p w14:paraId="6FBF067D" w14:textId="0C9A1C59"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Isnan, A. </w:t>
      </w:r>
      <w:r w:rsidRPr="00C1625E">
        <w:rPr>
          <w:rFonts w:asciiTheme="majorHAnsi" w:hAnsiTheme="majorHAnsi" w:cstheme="majorHAnsi"/>
          <w:i/>
          <w:iCs/>
          <w:sz w:val="20"/>
          <w:szCs w:val="20"/>
          <w:lang w:val="vi-VN"/>
        </w:rPr>
        <w:t>Analisis Pengaruh Ekspor Netto, Kurs, Dan Indeks Produksi Industri Terhadap Pertumbuhan Ekonomi Indonesia Tahun 2005–2015</w:t>
      </w:r>
      <w:r w:rsidRPr="00C1625E">
        <w:rPr>
          <w:rFonts w:asciiTheme="majorHAnsi" w:hAnsiTheme="majorHAnsi" w:cstheme="majorHAnsi"/>
          <w:sz w:val="20"/>
          <w:szCs w:val="20"/>
          <w:lang w:val="vi-VN"/>
        </w:rPr>
        <w:t>, Bachelor's thesis, Fakultas Ekonomi Dan Bisnis, UIN Syarif Hidayatullah, 2017.</w:t>
      </w:r>
    </w:p>
    <w:p w14:paraId="782D3A89" w14:textId="74464DC5"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Baharudin, A. H. A Bayesian Vector Autoregressive analysis of price and industrial shocks on the Malaysian economy. </w:t>
      </w:r>
      <w:r w:rsidRPr="00C1625E">
        <w:rPr>
          <w:rFonts w:asciiTheme="majorHAnsi" w:hAnsiTheme="majorHAnsi" w:cstheme="majorHAnsi"/>
          <w:i/>
          <w:iCs/>
          <w:sz w:val="20"/>
          <w:szCs w:val="20"/>
          <w:lang w:val="vi-VN"/>
        </w:rPr>
        <w:t>Jurnal Ekonomi Malaysia</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52</w:t>
      </w:r>
      <w:r w:rsidRPr="00C1625E">
        <w:rPr>
          <w:rFonts w:asciiTheme="majorHAnsi" w:hAnsiTheme="majorHAnsi" w:cstheme="majorHAnsi"/>
          <w:sz w:val="20"/>
          <w:szCs w:val="20"/>
          <w:lang w:val="vi-VN"/>
        </w:rPr>
        <w:t>(3), 191-204.</w:t>
      </w:r>
    </w:p>
    <w:p w14:paraId="79111B50" w14:textId="20F5149A"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Shahbaz, M., Zakaria, M., Shahzad, S. J. H., &amp; Mahalik, M. K. The energy consumption and economic growth nexus in top ten energy-consuming countries: Fresh evidence from using </w:t>
      </w:r>
      <w:r w:rsidRPr="00C1625E">
        <w:rPr>
          <w:rFonts w:asciiTheme="majorHAnsi" w:hAnsiTheme="majorHAnsi" w:cstheme="majorHAnsi"/>
          <w:sz w:val="20"/>
          <w:szCs w:val="20"/>
          <w:lang w:val="vi-VN"/>
        </w:rPr>
        <w:t xml:space="preserve">the quantile-on-quantile approach. </w:t>
      </w:r>
      <w:r w:rsidRPr="00C1625E">
        <w:rPr>
          <w:rFonts w:asciiTheme="majorHAnsi" w:hAnsiTheme="majorHAnsi" w:cstheme="majorHAnsi"/>
          <w:i/>
          <w:iCs/>
          <w:sz w:val="20"/>
          <w:szCs w:val="20"/>
          <w:lang w:val="vi-VN"/>
        </w:rPr>
        <w:t>Energy Economics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71</w:t>
      </w:r>
      <w:r w:rsidRPr="00C1625E">
        <w:rPr>
          <w:rFonts w:asciiTheme="majorHAnsi" w:hAnsiTheme="majorHAnsi" w:cstheme="majorHAnsi"/>
          <w:sz w:val="20"/>
          <w:szCs w:val="20"/>
          <w:lang w:val="vi-VN"/>
        </w:rPr>
        <w:t>, 282-301.</w:t>
      </w:r>
    </w:p>
    <w:p w14:paraId="0BBF0C36" w14:textId="691C51D2"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 xml:space="preserve">Shi, S., Phillips, P. C., Hurn, S. Change detection and the causal impact of the yield curve. </w:t>
      </w:r>
      <w:r w:rsidRPr="00C1625E">
        <w:rPr>
          <w:rFonts w:asciiTheme="majorHAnsi" w:hAnsiTheme="majorHAnsi" w:cstheme="majorHAnsi"/>
          <w:i/>
          <w:iCs/>
          <w:sz w:val="20"/>
          <w:szCs w:val="20"/>
          <w:lang w:val="vi-VN"/>
        </w:rPr>
        <w:t>Journal of Time Series Analysis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39</w:t>
      </w:r>
      <w:r w:rsidRPr="00C1625E">
        <w:rPr>
          <w:rFonts w:asciiTheme="majorHAnsi" w:hAnsiTheme="majorHAnsi" w:cstheme="majorHAnsi"/>
          <w:sz w:val="20"/>
          <w:szCs w:val="20"/>
          <w:lang w:val="vi-VN"/>
        </w:rPr>
        <w:t>(6), 966-987.</w:t>
      </w:r>
    </w:p>
    <w:p w14:paraId="1B3C1EA3" w14:textId="4BF9EA57"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Shi, S., Hurn, S., &amp; Phillips, P. C. Causal change detection in possibly integrated systems: Revisiting the money–income relationship. </w:t>
      </w:r>
      <w:r w:rsidRPr="00C1625E">
        <w:rPr>
          <w:rFonts w:asciiTheme="majorHAnsi" w:hAnsiTheme="majorHAnsi" w:cstheme="majorHAnsi"/>
          <w:i/>
          <w:iCs/>
          <w:sz w:val="20"/>
          <w:szCs w:val="20"/>
          <w:lang w:val="vi-VN"/>
        </w:rPr>
        <w:t>Journal of Financial Econometrics</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2020</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18</w:t>
      </w:r>
      <w:r w:rsidRPr="00C1625E">
        <w:rPr>
          <w:rFonts w:asciiTheme="majorHAnsi" w:hAnsiTheme="majorHAnsi" w:cstheme="majorHAnsi"/>
          <w:sz w:val="20"/>
          <w:szCs w:val="20"/>
          <w:lang w:val="vi-VN"/>
        </w:rPr>
        <w:t>(1), 158-180.</w:t>
      </w:r>
    </w:p>
    <w:p w14:paraId="1484CB16" w14:textId="5395960E"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14:ligatures w14:val="standardContextual"/>
        </w:rPr>
        <w:t>Fromentin, V. Time-varying causality between stock prices and macroeconomic fundamentals: connection or disconnection?.  </w:t>
      </w:r>
      <w:r w:rsidRPr="00C1625E">
        <w:rPr>
          <w:rFonts w:asciiTheme="majorHAnsi" w:hAnsiTheme="majorHAnsi" w:cstheme="majorHAnsi"/>
          <w:i/>
          <w:iCs/>
          <w:sz w:val="20"/>
          <w:szCs w:val="20"/>
          <w:lang w:val="vi-VN"/>
          <w14:ligatures w14:val="standardContextual"/>
        </w:rPr>
        <w:t>Finance Research Letters</w:t>
      </w:r>
      <w:r w:rsidRPr="00C1625E">
        <w:rPr>
          <w:rFonts w:asciiTheme="majorHAnsi" w:hAnsiTheme="majorHAnsi" w:cstheme="majorHAnsi"/>
          <w:sz w:val="20"/>
          <w:szCs w:val="20"/>
          <w:lang w:val="vi-VN"/>
          <w14:ligatures w14:val="standardContextual"/>
        </w:rPr>
        <w:t xml:space="preserve">, </w:t>
      </w:r>
      <w:r w:rsidRPr="00C1625E">
        <w:rPr>
          <w:rFonts w:asciiTheme="majorHAnsi" w:hAnsiTheme="majorHAnsi" w:cstheme="majorHAnsi"/>
          <w:b/>
          <w:bCs/>
          <w:sz w:val="20"/>
          <w:szCs w:val="20"/>
          <w:lang w:val="vi-VN"/>
          <w14:ligatures w14:val="standardContextual"/>
        </w:rPr>
        <w:t>2022</w:t>
      </w:r>
      <w:r w:rsidRPr="00C1625E">
        <w:rPr>
          <w:rFonts w:asciiTheme="majorHAnsi" w:hAnsiTheme="majorHAnsi" w:cstheme="majorHAnsi"/>
          <w:sz w:val="20"/>
          <w:szCs w:val="20"/>
          <w:lang w:val="vi-VN"/>
          <w14:ligatures w14:val="standardContextual"/>
        </w:rPr>
        <w:t xml:space="preserve">, </w:t>
      </w:r>
      <w:r w:rsidRPr="00C1625E">
        <w:rPr>
          <w:rFonts w:asciiTheme="majorHAnsi" w:hAnsiTheme="majorHAnsi" w:cstheme="majorHAnsi"/>
          <w:i/>
          <w:iCs/>
          <w:sz w:val="20"/>
          <w:szCs w:val="20"/>
          <w:lang w:val="vi-VN"/>
          <w14:ligatures w14:val="standardContextual"/>
        </w:rPr>
        <w:t>49</w:t>
      </w:r>
      <w:r w:rsidRPr="00C1625E">
        <w:rPr>
          <w:rFonts w:asciiTheme="majorHAnsi" w:hAnsiTheme="majorHAnsi" w:cstheme="majorHAnsi"/>
          <w:sz w:val="20"/>
          <w:szCs w:val="20"/>
          <w:lang w:val="vi-VN"/>
          <w14:ligatures w14:val="standardContextual"/>
        </w:rPr>
        <w:t>, 103073.</w:t>
      </w:r>
    </w:p>
    <w:p w14:paraId="2AC6A30C" w14:textId="4B5CAE2F" w:rsidR="000E27EF" w:rsidRPr="000E27EF" w:rsidRDefault="00C1625E" w:rsidP="000E27EF">
      <w:pPr>
        <w:pStyle w:val="oancuaDanhsach1"/>
        <w:numPr>
          <w:ilvl w:val="0"/>
          <w:numId w:val="15"/>
        </w:numPr>
        <w:spacing w:before="120" w:beforeAutospacing="0" w:after="120" w:line="240" w:lineRule="auto"/>
        <w:ind w:left="360" w:hanging="216"/>
        <w:jc w:val="both"/>
        <w:rPr>
          <w:rFonts w:asciiTheme="majorHAnsi" w:eastAsia="Aptos" w:hAnsiTheme="majorHAnsi" w:cstheme="majorHAnsi"/>
          <w:sz w:val="20"/>
          <w:szCs w:val="20"/>
        </w:rPr>
      </w:pPr>
      <w:r w:rsidRPr="00C1625E">
        <w:rPr>
          <w:rFonts w:asciiTheme="majorHAnsi" w:hAnsiTheme="majorHAnsi" w:cstheme="majorHAnsi"/>
          <w:sz w:val="20"/>
          <w:szCs w:val="20"/>
          <w:lang w:val="vi-VN"/>
        </w:rPr>
        <w:t>Phillips, P. C., Shi, S., &amp; Yu, J. Testing for multiple bubbles: Historical episodes of exuberance and collapse in the S&amp;P 500. </w:t>
      </w:r>
      <w:r w:rsidRPr="00C1625E">
        <w:rPr>
          <w:rFonts w:asciiTheme="majorHAnsi" w:hAnsiTheme="majorHAnsi" w:cstheme="majorHAnsi"/>
          <w:i/>
          <w:iCs/>
          <w:sz w:val="20"/>
          <w:szCs w:val="20"/>
          <w:lang w:val="vi-VN"/>
        </w:rPr>
        <w:t>International economic review</w:t>
      </w:r>
      <w:r w:rsidRPr="00C1625E">
        <w:rPr>
          <w:rFonts w:asciiTheme="majorHAnsi" w:hAnsiTheme="majorHAnsi" w:cstheme="majorHAnsi"/>
          <w:sz w:val="20"/>
          <w:szCs w:val="20"/>
          <w:lang w:val="vi-VN"/>
        </w:rPr>
        <w:t>,</w:t>
      </w:r>
      <w:r w:rsidRPr="00C1625E">
        <w:rPr>
          <w:rFonts w:asciiTheme="majorHAnsi" w:hAnsiTheme="majorHAnsi" w:cstheme="majorHAnsi"/>
          <w:b/>
          <w:bCs/>
          <w:sz w:val="20"/>
          <w:szCs w:val="20"/>
          <w:lang w:val="vi-VN"/>
        </w:rPr>
        <w:t> 2015</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56</w:t>
      </w:r>
      <w:r w:rsidRPr="00C1625E">
        <w:rPr>
          <w:rFonts w:asciiTheme="majorHAnsi" w:hAnsiTheme="majorHAnsi" w:cstheme="majorHAnsi"/>
          <w:sz w:val="20"/>
          <w:szCs w:val="20"/>
          <w:lang w:val="vi-VN"/>
        </w:rPr>
        <w:t>(4), 1043-1078.</w:t>
      </w:r>
    </w:p>
    <w:p w14:paraId="563756FC" w14:textId="47D99A82" w:rsidR="000E27EF" w:rsidRDefault="00C1625E" w:rsidP="000E27EF">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14:ligatures w14:val="standardContextual"/>
        </w:rPr>
      </w:pPr>
      <w:r w:rsidRPr="00C1625E">
        <w:rPr>
          <w:rFonts w:asciiTheme="majorHAnsi" w:hAnsiTheme="majorHAnsi" w:cstheme="majorHAnsi"/>
          <w:sz w:val="20"/>
          <w:szCs w:val="20"/>
          <w:lang w:val="vi-VN"/>
          <w14:ligatures w14:val="standardContextual"/>
        </w:rPr>
        <w:t>Phillips, P. C., Shi, S., &amp; Yu, J. Testing for multiple bubbles: Limit theory of real‐time detectors. </w:t>
      </w:r>
      <w:r w:rsidRPr="00C1625E">
        <w:rPr>
          <w:rFonts w:asciiTheme="majorHAnsi" w:hAnsiTheme="majorHAnsi" w:cstheme="majorHAnsi"/>
          <w:i/>
          <w:iCs/>
          <w:sz w:val="20"/>
          <w:szCs w:val="20"/>
          <w:lang w:val="vi-VN"/>
          <w14:ligatures w14:val="standardContextual"/>
        </w:rPr>
        <w:t>International Economic Review</w:t>
      </w:r>
      <w:r w:rsidRPr="00C1625E">
        <w:rPr>
          <w:rFonts w:asciiTheme="majorHAnsi" w:hAnsiTheme="majorHAnsi" w:cstheme="majorHAnsi"/>
          <w:sz w:val="20"/>
          <w:szCs w:val="20"/>
          <w:lang w:val="vi-VN"/>
          <w14:ligatures w14:val="standardContextual"/>
        </w:rPr>
        <w:t xml:space="preserve">, </w:t>
      </w:r>
      <w:r w:rsidRPr="00C1625E">
        <w:rPr>
          <w:rFonts w:asciiTheme="majorHAnsi" w:hAnsiTheme="majorHAnsi" w:cstheme="majorHAnsi"/>
          <w:b/>
          <w:bCs/>
          <w:sz w:val="20"/>
          <w:szCs w:val="20"/>
          <w:lang w:val="vi-VN"/>
          <w14:ligatures w14:val="standardContextual"/>
        </w:rPr>
        <w:t>2015</w:t>
      </w:r>
      <w:r w:rsidRPr="00C1625E">
        <w:rPr>
          <w:rFonts w:asciiTheme="majorHAnsi" w:hAnsiTheme="majorHAnsi" w:cstheme="majorHAnsi"/>
          <w:sz w:val="20"/>
          <w:szCs w:val="20"/>
          <w:lang w:val="vi-VN"/>
          <w14:ligatures w14:val="standardContextual"/>
        </w:rPr>
        <w:t>, </w:t>
      </w:r>
      <w:r w:rsidRPr="00C1625E">
        <w:rPr>
          <w:rFonts w:asciiTheme="majorHAnsi" w:hAnsiTheme="majorHAnsi" w:cstheme="majorHAnsi"/>
          <w:i/>
          <w:iCs/>
          <w:sz w:val="20"/>
          <w:szCs w:val="20"/>
          <w:lang w:val="vi-VN"/>
          <w14:ligatures w14:val="standardContextual"/>
        </w:rPr>
        <w:t>56</w:t>
      </w:r>
      <w:r w:rsidRPr="00C1625E">
        <w:rPr>
          <w:rFonts w:asciiTheme="majorHAnsi" w:hAnsiTheme="majorHAnsi" w:cstheme="majorHAnsi"/>
          <w:sz w:val="20"/>
          <w:szCs w:val="20"/>
          <w:lang w:val="vi-VN"/>
          <w14:ligatures w14:val="standardContextual"/>
        </w:rPr>
        <w:t>(4), 1079-1134.</w:t>
      </w:r>
    </w:p>
    <w:p w14:paraId="2E40B071" w14:textId="044C5C36" w:rsidR="000E27EF" w:rsidRDefault="00C1625E" w:rsidP="000E27EF">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C1625E">
        <w:rPr>
          <w:rFonts w:asciiTheme="majorHAnsi" w:hAnsiTheme="majorHAnsi" w:cstheme="majorHAnsi"/>
          <w:sz w:val="20"/>
          <w:szCs w:val="20"/>
          <w:lang w:val="vi-VN"/>
        </w:rPr>
        <w:t>Thoma, M. A. Subsample instability and asymmetries in money-income causality. </w:t>
      </w:r>
      <w:r w:rsidRPr="00C1625E">
        <w:rPr>
          <w:rFonts w:asciiTheme="majorHAnsi" w:hAnsiTheme="majorHAnsi" w:cstheme="majorHAnsi"/>
          <w:i/>
          <w:iCs/>
          <w:sz w:val="20"/>
          <w:szCs w:val="20"/>
          <w:lang w:val="vi-VN"/>
        </w:rPr>
        <w:t>Journal of econometrics</w:t>
      </w:r>
      <w:r w:rsidRPr="00C1625E">
        <w:rPr>
          <w:rFonts w:asciiTheme="majorHAnsi" w:hAnsiTheme="majorHAnsi" w:cstheme="majorHAnsi"/>
          <w:sz w:val="20"/>
          <w:szCs w:val="20"/>
          <w:lang w:val="vi-VN"/>
        </w:rPr>
        <w:t>,</w:t>
      </w:r>
      <w:r w:rsidRPr="00C1625E">
        <w:rPr>
          <w:rFonts w:asciiTheme="majorHAnsi" w:hAnsiTheme="majorHAnsi" w:cstheme="majorHAnsi"/>
          <w:b/>
          <w:bCs/>
          <w:sz w:val="20"/>
          <w:szCs w:val="20"/>
          <w:lang w:val="vi-VN"/>
        </w:rPr>
        <w:t> 1994</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64</w:t>
      </w:r>
      <w:r w:rsidRPr="00C1625E">
        <w:rPr>
          <w:rFonts w:asciiTheme="majorHAnsi" w:hAnsiTheme="majorHAnsi" w:cstheme="majorHAnsi"/>
          <w:sz w:val="20"/>
          <w:szCs w:val="20"/>
          <w:lang w:val="vi-VN"/>
        </w:rPr>
        <w:t>(1-2), 279-306.</w:t>
      </w:r>
    </w:p>
    <w:p w14:paraId="0836EE0E" w14:textId="18557761" w:rsidR="000E27EF" w:rsidRDefault="00C1625E" w:rsidP="000E27EF">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C1625E">
        <w:rPr>
          <w:rFonts w:asciiTheme="majorHAnsi" w:hAnsiTheme="majorHAnsi" w:cstheme="majorHAnsi"/>
          <w:sz w:val="20"/>
          <w:szCs w:val="20"/>
          <w:lang w:val="vi-VN"/>
        </w:rPr>
        <w:t>Swanson, N. R. Money and output viewed through a rolling window. </w:t>
      </w:r>
      <w:r w:rsidRPr="00C1625E">
        <w:rPr>
          <w:rFonts w:asciiTheme="majorHAnsi" w:hAnsiTheme="majorHAnsi" w:cstheme="majorHAnsi"/>
          <w:i/>
          <w:iCs/>
          <w:sz w:val="20"/>
          <w:szCs w:val="20"/>
          <w:lang w:val="vi-VN"/>
        </w:rPr>
        <w:t>Journal of monetary Economics</w:t>
      </w:r>
      <w:r w:rsidRPr="00C1625E">
        <w:rPr>
          <w:rFonts w:asciiTheme="majorHAnsi" w:hAnsiTheme="majorHAnsi" w:cstheme="majorHAnsi"/>
          <w:sz w:val="20"/>
          <w:szCs w:val="20"/>
          <w:lang w:val="vi-VN"/>
        </w:rPr>
        <w:t>, </w:t>
      </w:r>
      <w:r w:rsidRPr="00C1625E">
        <w:rPr>
          <w:rFonts w:asciiTheme="majorHAnsi" w:hAnsiTheme="majorHAnsi" w:cstheme="majorHAnsi"/>
          <w:b/>
          <w:bCs/>
          <w:sz w:val="20"/>
          <w:szCs w:val="20"/>
          <w:lang w:val="vi-VN"/>
        </w:rPr>
        <w:t>1998</w:t>
      </w:r>
      <w:r w:rsidRPr="00C1625E">
        <w:rPr>
          <w:rFonts w:asciiTheme="majorHAnsi" w:hAnsiTheme="majorHAnsi" w:cstheme="majorHAnsi"/>
          <w:sz w:val="20"/>
          <w:szCs w:val="20"/>
          <w:lang w:val="vi-VN"/>
        </w:rPr>
        <w:t xml:space="preserve">, </w:t>
      </w:r>
      <w:r w:rsidRPr="00C1625E">
        <w:rPr>
          <w:rFonts w:asciiTheme="majorHAnsi" w:hAnsiTheme="majorHAnsi" w:cstheme="majorHAnsi"/>
          <w:i/>
          <w:iCs/>
          <w:sz w:val="20"/>
          <w:szCs w:val="20"/>
          <w:lang w:val="vi-VN"/>
        </w:rPr>
        <w:t>41</w:t>
      </w:r>
      <w:r w:rsidRPr="00C1625E">
        <w:rPr>
          <w:rFonts w:asciiTheme="majorHAnsi" w:hAnsiTheme="majorHAnsi" w:cstheme="majorHAnsi"/>
          <w:sz w:val="20"/>
          <w:szCs w:val="20"/>
          <w:lang w:val="vi-VN"/>
        </w:rPr>
        <w:t>(3), 455-474.</w:t>
      </w:r>
    </w:p>
    <w:p w14:paraId="39F109DB" w14:textId="4E8F2481" w:rsidR="000E27EF" w:rsidRDefault="00C1625E" w:rsidP="000E27EF">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C1625E">
        <w:rPr>
          <w:rFonts w:asciiTheme="majorHAnsi" w:hAnsiTheme="majorHAnsi" w:cstheme="majorHAnsi"/>
          <w:sz w:val="20"/>
          <w:szCs w:val="20"/>
          <w:lang w:val="vi-VN"/>
        </w:rPr>
        <w:t xml:space="preserve">Hà, M. S., &amp; Tăng, T. H. (2015). Biến động giá dầu thế giới năm 2014 dự báo năm 2015. </w:t>
      </w:r>
      <w:r w:rsidRPr="00C1625E">
        <w:rPr>
          <w:rFonts w:asciiTheme="majorHAnsi" w:hAnsiTheme="majorHAnsi" w:cstheme="majorHAnsi"/>
          <w:i/>
          <w:iCs/>
          <w:sz w:val="20"/>
          <w:szCs w:val="20"/>
          <w:lang w:val="vi-VN"/>
        </w:rPr>
        <w:t>Tạp chí Quản lý Ngân quỹ Quốc gia - Kho bạc Nhà nước Việt Nam</w:t>
      </w:r>
      <w:r w:rsidRPr="00C1625E">
        <w:rPr>
          <w:rFonts w:asciiTheme="majorHAnsi" w:hAnsiTheme="majorHAnsi" w:cstheme="majorHAnsi"/>
          <w:sz w:val="20"/>
          <w:szCs w:val="20"/>
          <w:lang w:val="vi-VN"/>
        </w:rPr>
        <w:t xml:space="preserve">, </w:t>
      </w:r>
      <w:r w:rsidRPr="00C1625E">
        <w:rPr>
          <w:rFonts w:asciiTheme="majorHAnsi" w:hAnsiTheme="majorHAnsi" w:cstheme="majorHAnsi"/>
          <w:b/>
          <w:bCs/>
          <w:sz w:val="20"/>
          <w:szCs w:val="20"/>
          <w:lang w:val="vi-VN"/>
        </w:rPr>
        <w:t>2015</w:t>
      </w:r>
      <w:r w:rsidRPr="00C1625E">
        <w:rPr>
          <w:rFonts w:asciiTheme="majorHAnsi" w:hAnsiTheme="majorHAnsi" w:cstheme="majorHAnsi"/>
          <w:sz w:val="20"/>
          <w:szCs w:val="20"/>
          <w:lang w:val="vi-VN"/>
        </w:rPr>
        <w:t>, 153, 10-13.</w:t>
      </w:r>
    </w:p>
    <w:p w14:paraId="23834662" w14:textId="0168C162" w:rsidR="000E27EF" w:rsidRDefault="00142C26" w:rsidP="000E27EF">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Ngọc, N. B. Tác động từ FDI tới xuất khẩu ngành công nghiệp chế biến chế tạo ở Việt Nam. </w:t>
      </w:r>
      <w:r w:rsidRPr="00142C26">
        <w:rPr>
          <w:rFonts w:asciiTheme="majorHAnsi" w:hAnsiTheme="majorHAnsi" w:cstheme="majorHAnsi"/>
          <w:i/>
          <w:iCs/>
          <w:sz w:val="20"/>
          <w:szCs w:val="20"/>
          <w:lang w:val="vi-VN"/>
        </w:rPr>
        <w:t>Tạp chí Kinh tế &amp; Phát triển</w:t>
      </w:r>
      <w:r w:rsidRPr="00142C26">
        <w:rPr>
          <w:rFonts w:asciiTheme="majorHAnsi" w:hAnsiTheme="majorHAnsi" w:cstheme="majorHAnsi"/>
          <w:sz w:val="20"/>
          <w:szCs w:val="20"/>
          <w:lang w:val="vi-VN"/>
        </w:rPr>
        <w:t xml:space="preserve">, </w:t>
      </w:r>
      <w:r w:rsidRPr="00142C26">
        <w:rPr>
          <w:rFonts w:asciiTheme="majorHAnsi" w:hAnsiTheme="majorHAnsi" w:cstheme="majorHAnsi"/>
          <w:b/>
          <w:bCs/>
          <w:sz w:val="20"/>
          <w:szCs w:val="20"/>
          <w:lang w:val="vi-VN"/>
        </w:rPr>
        <w:t>2016</w:t>
      </w:r>
      <w:r w:rsidRPr="00142C26">
        <w:rPr>
          <w:rFonts w:asciiTheme="majorHAnsi" w:hAnsiTheme="majorHAnsi" w:cstheme="majorHAnsi"/>
          <w:sz w:val="20"/>
          <w:szCs w:val="20"/>
          <w:lang w:val="vi-VN"/>
        </w:rPr>
        <w:t>, Số đặc biệt tháng 10/2016, 130.</w:t>
      </w:r>
    </w:p>
    <w:p w14:paraId="4774E0D7" w14:textId="350C46D8" w:rsidR="000E27EF" w:rsidRDefault="00142C26" w:rsidP="000E27EF">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Intarakumnerd, P., Chairatana, P. A., &amp; Tangchitpiboon, T. National innovation system in less successful developing countries: the case of Thailand. </w:t>
      </w:r>
      <w:r w:rsidRPr="00142C26">
        <w:rPr>
          <w:rFonts w:asciiTheme="majorHAnsi" w:hAnsiTheme="majorHAnsi" w:cstheme="majorHAnsi"/>
          <w:i/>
          <w:iCs/>
          <w:sz w:val="20"/>
          <w:szCs w:val="20"/>
          <w:lang w:val="vi-VN"/>
        </w:rPr>
        <w:t>Research policy</w:t>
      </w:r>
      <w:r w:rsidRPr="00142C26">
        <w:rPr>
          <w:rFonts w:asciiTheme="majorHAnsi" w:hAnsiTheme="majorHAnsi" w:cstheme="majorHAnsi"/>
          <w:sz w:val="20"/>
          <w:szCs w:val="20"/>
          <w:lang w:val="vi-VN"/>
        </w:rPr>
        <w:t xml:space="preserve">, </w:t>
      </w:r>
      <w:r w:rsidRPr="00142C26">
        <w:rPr>
          <w:rFonts w:asciiTheme="majorHAnsi" w:hAnsiTheme="majorHAnsi" w:cstheme="majorHAnsi"/>
          <w:b/>
          <w:bCs/>
          <w:sz w:val="20"/>
          <w:szCs w:val="20"/>
          <w:lang w:val="vi-VN"/>
        </w:rPr>
        <w:t>2002</w:t>
      </w:r>
      <w:r w:rsidRPr="00142C26">
        <w:rPr>
          <w:rFonts w:asciiTheme="majorHAnsi" w:hAnsiTheme="majorHAnsi" w:cstheme="majorHAnsi"/>
          <w:sz w:val="20"/>
          <w:szCs w:val="20"/>
          <w:lang w:val="vi-VN"/>
        </w:rPr>
        <w:t xml:space="preserve">, </w:t>
      </w:r>
      <w:r w:rsidRPr="00142C26">
        <w:rPr>
          <w:rFonts w:asciiTheme="majorHAnsi" w:hAnsiTheme="majorHAnsi" w:cstheme="majorHAnsi"/>
          <w:i/>
          <w:iCs/>
          <w:sz w:val="20"/>
          <w:szCs w:val="20"/>
          <w:lang w:val="vi-VN"/>
        </w:rPr>
        <w:t>31</w:t>
      </w:r>
      <w:r w:rsidRPr="00142C26">
        <w:rPr>
          <w:rFonts w:asciiTheme="majorHAnsi" w:hAnsiTheme="majorHAnsi" w:cstheme="majorHAnsi"/>
          <w:sz w:val="20"/>
          <w:szCs w:val="20"/>
          <w:lang w:val="vi-VN"/>
        </w:rPr>
        <w:t>(8-9), 1445-1457.</w:t>
      </w:r>
    </w:p>
    <w:p w14:paraId="3EE43A98" w14:textId="354FE85B" w:rsidR="00063F2D" w:rsidRDefault="00142C26" w:rsidP="00063F2D">
      <w:pPr>
        <w:pStyle w:val="oancuaDanhsach1"/>
        <w:numPr>
          <w:ilvl w:val="0"/>
          <w:numId w:val="15"/>
        </w:numPr>
        <w:spacing w:before="120" w:beforeAutospacing="0" w:after="120" w:line="240" w:lineRule="auto"/>
        <w:ind w:left="360" w:hanging="216"/>
        <w:jc w:val="both"/>
        <w:rPr>
          <w:rFonts w:asciiTheme="majorHAnsi" w:hAnsiTheme="majorHAnsi" w:cstheme="majorHAnsi"/>
          <w:color w:val="222222"/>
          <w:sz w:val="20"/>
          <w:szCs w:val="20"/>
        </w:rPr>
      </w:pPr>
      <w:r w:rsidRPr="00142C26">
        <w:rPr>
          <w:rFonts w:asciiTheme="majorHAnsi" w:hAnsiTheme="majorHAnsi" w:cstheme="majorHAnsi"/>
          <w:color w:val="222222"/>
          <w:sz w:val="20"/>
          <w:szCs w:val="20"/>
          <w:lang w:val="vi-VN"/>
        </w:rPr>
        <w:t xml:space="preserve">Pornjantuek, L., Romprasert, S., &amp; Trivedi, A. Effects of China trade war on Singapore economy in 2020. </w:t>
      </w:r>
      <w:r w:rsidRPr="00142C26">
        <w:rPr>
          <w:rFonts w:asciiTheme="majorHAnsi" w:hAnsiTheme="majorHAnsi" w:cstheme="majorHAnsi"/>
          <w:i/>
          <w:iCs/>
          <w:color w:val="222222"/>
          <w:sz w:val="20"/>
          <w:szCs w:val="20"/>
          <w:lang w:val="vi-VN"/>
        </w:rPr>
        <w:t>Social Science Asia</w:t>
      </w:r>
      <w:r w:rsidRPr="00142C26">
        <w:rPr>
          <w:rFonts w:asciiTheme="majorHAnsi" w:hAnsiTheme="majorHAnsi" w:cstheme="majorHAnsi"/>
          <w:color w:val="222222"/>
          <w:sz w:val="20"/>
          <w:szCs w:val="20"/>
          <w:lang w:val="vi-VN"/>
        </w:rPr>
        <w:t xml:space="preserve">, </w:t>
      </w:r>
      <w:r w:rsidRPr="00142C26">
        <w:rPr>
          <w:rFonts w:asciiTheme="majorHAnsi" w:hAnsiTheme="majorHAnsi" w:cstheme="majorHAnsi"/>
          <w:b/>
          <w:bCs/>
          <w:color w:val="222222"/>
          <w:sz w:val="20"/>
          <w:szCs w:val="20"/>
          <w:lang w:val="vi-VN"/>
        </w:rPr>
        <w:t>2022</w:t>
      </w:r>
      <w:r w:rsidRPr="00142C26">
        <w:rPr>
          <w:rFonts w:asciiTheme="majorHAnsi" w:hAnsiTheme="majorHAnsi" w:cstheme="majorHAnsi"/>
          <w:color w:val="222222"/>
          <w:sz w:val="20"/>
          <w:szCs w:val="20"/>
          <w:lang w:val="vi-VN"/>
        </w:rPr>
        <w:t xml:space="preserve">, </w:t>
      </w:r>
      <w:r w:rsidRPr="00142C26">
        <w:rPr>
          <w:rFonts w:asciiTheme="majorHAnsi" w:hAnsiTheme="majorHAnsi" w:cstheme="majorHAnsi"/>
          <w:i/>
          <w:iCs/>
          <w:color w:val="222222"/>
          <w:sz w:val="20"/>
          <w:szCs w:val="20"/>
          <w:lang w:val="vi-VN"/>
        </w:rPr>
        <w:t>8</w:t>
      </w:r>
      <w:r w:rsidRPr="00142C26">
        <w:rPr>
          <w:rFonts w:asciiTheme="majorHAnsi" w:hAnsiTheme="majorHAnsi" w:cstheme="majorHAnsi"/>
          <w:color w:val="222222"/>
          <w:sz w:val="20"/>
          <w:szCs w:val="20"/>
          <w:lang w:val="vi-VN"/>
        </w:rPr>
        <w:t>(1), 75-88.</w:t>
      </w:r>
    </w:p>
    <w:p w14:paraId="5FE0993B" w14:textId="15D3A243" w:rsidR="000E27EF" w:rsidRPr="00142C26" w:rsidRDefault="00142C26" w:rsidP="00063F2D">
      <w:pPr>
        <w:pStyle w:val="oancuaDanhsach1"/>
        <w:numPr>
          <w:ilvl w:val="0"/>
          <w:numId w:val="15"/>
        </w:numPr>
        <w:spacing w:before="120" w:beforeAutospacing="0" w:after="120" w:line="240" w:lineRule="auto"/>
        <w:ind w:left="360" w:hanging="216"/>
        <w:jc w:val="both"/>
        <w:rPr>
          <w:rFonts w:asciiTheme="majorHAnsi" w:hAnsiTheme="majorHAnsi" w:cstheme="majorHAnsi"/>
          <w:color w:val="222222"/>
          <w:sz w:val="20"/>
          <w:szCs w:val="20"/>
        </w:rPr>
      </w:pPr>
      <w:r w:rsidRPr="00142C26">
        <w:rPr>
          <w:rFonts w:asciiTheme="majorHAnsi" w:hAnsiTheme="majorHAnsi" w:cstheme="majorHAnsi"/>
          <w:color w:val="222222"/>
          <w:sz w:val="20"/>
          <w:szCs w:val="20"/>
          <w:lang w:val="vi-VN"/>
        </w:rPr>
        <w:t xml:space="preserve">Mishra, M. K. </w:t>
      </w:r>
      <w:r w:rsidRPr="00142C26">
        <w:rPr>
          <w:rFonts w:asciiTheme="majorHAnsi" w:hAnsiTheme="majorHAnsi" w:cstheme="majorHAnsi"/>
          <w:i/>
          <w:iCs/>
          <w:color w:val="222222"/>
          <w:sz w:val="20"/>
          <w:szCs w:val="20"/>
          <w:lang w:val="vi-VN"/>
        </w:rPr>
        <w:t>The World after COVID-19 and its impact on Global Economy</w:t>
      </w:r>
      <w:r w:rsidRPr="00142C26">
        <w:rPr>
          <w:rFonts w:asciiTheme="majorHAnsi" w:hAnsiTheme="majorHAnsi" w:cstheme="majorHAnsi"/>
          <w:color w:val="222222"/>
          <w:sz w:val="20"/>
          <w:szCs w:val="20"/>
          <w:lang w:val="vi-VN"/>
        </w:rPr>
        <w:t>, Working Paper, ZBW – Leibniz Information Centre for Economics, Kiel, Hamburg, 2020.</w:t>
      </w:r>
    </w:p>
    <w:p w14:paraId="21177EEB" w14:textId="7389F66B" w:rsidR="00063F2D" w:rsidRDefault="00142C26" w:rsidP="00063F2D">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Lumabao, M. K., &amp; Rosales, J. F. Determinants of GDP Growth in the Philippines: 1970-2020. </w:t>
      </w:r>
      <w:r w:rsidRPr="00142C26">
        <w:rPr>
          <w:rFonts w:asciiTheme="majorHAnsi" w:hAnsiTheme="majorHAnsi" w:cstheme="majorHAnsi"/>
          <w:i/>
          <w:iCs/>
          <w:sz w:val="20"/>
          <w:szCs w:val="20"/>
          <w:lang w:val="vi-VN"/>
        </w:rPr>
        <w:t>Journal of Economics, Finance and Accounting Studie</w:t>
      </w:r>
      <w:r w:rsidRPr="00142C26">
        <w:rPr>
          <w:rFonts w:asciiTheme="majorHAnsi" w:hAnsiTheme="majorHAnsi" w:cstheme="majorHAnsi"/>
          <w:sz w:val="20"/>
          <w:szCs w:val="20"/>
          <w:lang w:val="vi-VN"/>
        </w:rPr>
        <w:t xml:space="preserve">s, </w:t>
      </w:r>
      <w:r w:rsidRPr="00142C26">
        <w:rPr>
          <w:rFonts w:asciiTheme="majorHAnsi" w:hAnsiTheme="majorHAnsi" w:cstheme="majorHAnsi"/>
          <w:b/>
          <w:bCs/>
          <w:sz w:val="20"/>
          <w:szCs w:val="20"/>
          <w:lang w:val="vi-VN"/>
        </w:rPr>
        <w:t>2023</w:t>
      </w:r>
      <w:r w:rsidRPr="00142C26">
        <w:rPr>
          <w:rFonts w:asciiTheme="majorHAnsi" w:hAnsiTheme="majorHAnsi" w:cstheme="majorHAnsi"/>
          <w:sz w:val="20"/>
          <w:szCs w:val="20"/>
          <w:lang w:val="vi-VN"/>
        </w:rPr>
        <w:t xml:space="preserve">, </w:t>
      </w:r>
      <w:r w:rsidRPr="00142C26">
        <w:rPr>
          <w:rFonts w:asciiTheme="majorHAnsi" w:hAnsiTheme="majorHAnsi" w:cstheme="majorHAnsi"/>
          <w:i/>
          <w:iCs/>
          <w:sz w:val="20"/>
          <w:szCs w:val="20"/>
          <w:lang w:val="vi-VN"/>
        </w:rPr>
        <w:t>5</w:t>
      </w:r>
      <w:r w:rsidRPr="00142C26">
        <w:rPr>
          <w:rFonts w:asciiTheme="majorHAnsi" w:hAnsiTheme="majorHAnsi" w:cstheme="majorHAnsi"/>
          <w:sz w:val="20"/>
          <w:szCs w:val="20"/>
          <w:lang w:val="vi-VN"/>
        </w:rPr>
        <w:t>(1), 73-97.</w:t>
      </w:r>
    </w:p>
    <w:p w14:paraId="04FEFE14" w14:textId="2F04A47C" w:rsidR="000E27EF" w:rsidRPr="00063F2D" w:rsidRDefault="000E27EF" w:rsidP="00063F2D">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4A702F">
        <w:rPr>
          <w:rFonts w:asciiTheme="majorHAnsi" w:hAnsiTheme="majorHAnsi" w:cstheme="majorHAnsi"/>
          <w:sz w:val="20"/>
          <w:szCs w:val="20"/>
        </w:rPr>
        <w:t>Arezki, R</w:t>
      </w:r>
      <w:r w:rsidRPr="00063F2D">
        <w:rPr>
          <w:rFonts w:asciiTheme="majorHAnsi" w:hAnsiTheme="majorHAnsi" w:cstheme="majorHAnsi"/>
          <w:sz w:val="20"/>
          <w:szCs w:val="20"/>
        </w:rPr>
        <w:t xml:space="preserve">., &amp; Blanchard, O. </w:t>
      </w:r>
      <w:r w:rsidR="004A702F" w:rsidRPr="004A702F">
        <w:rPr>
          <w:rFonts w:asciiTheme="majorHAnsi" w:hAnsiTheme="majorHAnsi" w:cstheme="majorHAnsi"/>
          <w:i/>
          <w:iCs/>
          <w:sz w:val="20"/>
          <w:szCs w:val="20"/>
          <w:lang w:val="vi-VN"/>
        </w:rPr>
        <w:t>Sept questions sur la chute récente des cours du pétrole</w:t>
      </w:r>
      <w:r w:rsidR="004A702F" w:rsidRPr="004A702F">
        <w:rPr>
          <w:rFonts w:asciiTheme="majorHAnsi" w:hAnsiTheme="majorHAnsi" w:cstheme="majorHAnsi"/>
          <w:sz w:val="20"/>
          <w:szCs w:val="20"/>
          <w:lang w:val="vi-VN"/>
        </w:rPr>
        <w:t>, IMF, 2014.</w:t>
      </w:r>
    </w:p>
    <w:p w14:paraId="049931A6" w14:textId="2FD107B6" w:rsidR="000E27EF" w:rsidRDefault="00142C26" w:rsidP="000E27EF">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Ghosh, S. Oil Price Shocks, Financial Crisis, and Economic Performance in Malaysia: Evidence from the Post-2008 Period. </w:t>
      </w:r>
      <w:r w:rsidRPr="00142C26">
        <w:rPr>
          <w:rFonts w:asciiTheme="majorHAnsi" w:hAnsiTheme="majorHAnsi" w:cstheme="majorHAnsi"/>
          <w:i/>
          <w:iCs/>
          <w:sz w:val="20"/>
          <w:szCs w:val="20"/>
          <w:lang w:val="vi-VN"/>
        </w:rPr>
        <w:t>Energy Economics</w:t>
      </w:r>
      <w:r w:rsidRPr="00142C26">
        <w:rPr>
          <w:rFonts w:asciiTheme="majorHAnsi" w:hAnsiTheme="majorHAnsi" w:cstheme="majorHAnsi"/>
          <w:sz w:val="20"/>
          <w:szCs w:val="20"/>
          <w:lang w:val="vi-VN"/>
        </w:rPr>
        <w:t>,</w:t>
      </w:r>
      <w:r w:rsidRPr="00142C26">
        <w:rPr>
          <w:rFonts w:asciiTheme="majorHAnsi" w:hAnsiTheme="majorHAnsi" w:cstheme="majorHAnsi"/>
          <w:i/>
          <w:iCs/>
          <w:sz w:val="20"/>
          <w:szCs w:val="20"/>
          <w:lang w:val="vi-VN"/>
        </w:rPr>
        <w:t xml:space="preserve"> </w:t>
      </w:r>
      <w:r w:rsidRPr="00142C26">
        <w:rPr>
          <w:rFonts w:asciiTheme="majorHAnsi" w:hAnsiTheme="majorHAnsi" w:cstheme="majorHAnsi"/>
          <w:b/>
          <w:bCs/>
          <w:sz w:val="20"/>
          <w:szCs w:val="20"/>
          <w:lang w:val="vi-VN"/>
        </w:rPr>
        <w:t>2017</w:t>
      </w:r>
      <w:r w:rsidRPr="00142C26">
        <w:rPr>
          <w:rFonts w:asciiTheme="majorHAnsi" w:hAnsiTheme="majorHAnsi" w:cstheme="majorHAnsi"/>
          <w:i/>
          <w:iCs/>
          <w:sz w:val="20"/>
          <w:szCs w:val="20"/>
          <w:lang w:val="vi-VN"/>
        </w:rPr>
        <w:t>, 65</w:t>
      </w:r>
      <w:r w:rsidRPr="00142C26">
        <w:rPr>
          <w:rFonts w:asciiTheme="majorHAnsi" w:hAnsiTheme="majorHAnsi" w:cstheme="majorHAnsi"/>
          <w:sz w:val="20"/>
          <w:szCs w:val="20"/>
          <w:lang w:val="vi-VN"/>
        </w:rPr>
        <w:t>, 1-10.</w:t>
      </w:r>
    </w:p>
    <w:p w14:paraId="4D3FCEB6" w14:textId="662EBBD7" w:rsidR="00E25806" w:rsidRDefault="00142C26" w:rsidP="00E25806">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lastRenderedPageBreak/>
        <w:t xml:space="preserve">Puspitawati, E. </w:t>
      </w:r>
      <w:r w:rsidRPr="00142C26">
        <w:rPr>
          <w:rFonts w:asciiTheme="majorHAnsi" w:hAnsiTheme="majorHAnsi" w:cstheme="majorHAnsi"/>
          <w:i/>
          <w:iCs/>
          <w:sz w:val="20"/>
          <w:szCs w:val="20"/>
          <w:lang w:val="vi-VN"/>
        </w:rPr>
        <w:t>Indonesian industrialization and industrial policy: peer learning from China’s experiences</w:t>
      </w:r>
      <w:r w:rsidRPr="00142C26">
        <w:rPr>
          <w:rFonts w:asciiTheme="majorHAnsi" w:hAnsiTheme="majorHAnsi" w:cstheme="majorHAnsi"/>
          <w:sz w:val="20"/>
          <w:szCs w:val="20"/>
          <w:lang w:val="vi-VN"/>
        </w:rPr>
        <w:t>, ECIDC Project Paper, United</w:t>
      </w:r>
      <w:r>
        <w:rPr>
          <w:rFonts w:asciiTheme="majorHAnsi" w:hAnsiTheme="majorHAnsi" w:cstheme="majorHAnsi"/>
          <w:sz w:val="20"/>
          <w:szCs w:val="20"/>
          <w:lang w:val="vi-VN"/>
        </w:rPr>
        <w:t xml:space="preserve"> </w:t>
      </w:r>
      <w:r w:rsidRPr="00142C26">
        <w:rPr>
          <w:rFonts w:asciiTheme="majorHAnsi" w:hAnsiTheme="majorHAnsi" w:cstheme="majorHAnsi"/>
          <w:sz w:val="20"/>
          <w:szCs w:val="20"/>
          <w:lang w:val="vi-VN"/>
        </w:rPr>
        <w:t>Nations Conference on Trade and Development, Vol. 7, April 2021.</w:t>
      </w:r>
    </w:p>
    <w:p w14:paraId="645FC7AA" w14:textId="2CCFD56C" w:rsidR="000E27EF" w:rsidRPr="00E25806" w:rsidRDefault="00142C26" w:rsidP="00E25806">
      <w:pPr>
        <w:pStyle w:val="oancuaDanhsach1"/>
        <w:numPr>
          <w:ilvl w:val="0"/>
          <w:numId w:val="15"/>
        </w:numPr>
        <w:spacing w:before="120" w:beforeAutospacing="0" w:after="120" w:line="240" w:lineRule="auto"/>
        <w:ind w:left="360" w:hanging="216"/>
        <w:jc w:val="both"/>
        <w:rPr>
          <w:rFonts w:asciiTheme="majorHAnsi" w:hAnsiTheme="majorHAnsi" w:cstheme="majorHAnsi"/>
          <w:sz w:val="20"/>
          <w:szCs w:val="20"/>
        </w:rPr>
      </w:pPr>
      <w:r w:rsidRPr="00142C26">
        <w:rPr>
          <w:rFonts w:asciiTheme="majorHAnsi" w:hAnsiTheme="majorHAnsi" w:cstheme="majorHAnsi"/>
          <w:sz w:val="20"/>
          <w:szCs w:val="20"/>
          <w:lang w:val="vi-VN"/>
        </w:rPr>
        <w:t xml:space="preserve">Basri, R. F., Karimi, S., &amp; Zulkifli, Z. Export orientation of Indonesiaâ€™ s manufacturing industry. </w:t>
      </w:r>
      <w:r w:rsidRPr="00142C26">
        <w:rPr>
          <w:rFonts w:asciiTheme="majorHAnsi" w:hAnsiTheme="majorHAnsi" w:cstheme="majorHAnsi"/>
          <w:i/>
          <w:iCs/>
          <w:sz w:val="20"/>
          <w:szCs w:val="20"/>
          <w:lang w:val="vi-VN"/>
        </w:rPr>
        <w:t>Jurnal Perspektif Pembiayaan Dan Pembangunan Daerah</w:t>
      </w:r>
      <w:r w:rsidRPr="00142C26">
        <w:rPr>
          <w:rFonts w:asciiTheme="majorHAnsi" w:hAnsiTheme="majorHAnsi" w:cstheme="majorHAnsi"/>
          <w:sz w:val="20"/>
          <w:szCs w:val="20"/>
          <w:lang w:val="vi-VN"/>
        </w:rPr>
        <w:t xml:space="preserve">, </w:t>
      </w:r>
      <w:r w:rsidRPr="00142C26">
        <w:rPr>
          <w:rFonts w:asciiTheme="majorHAnsi" w:hAnsiTheme="majorHAnsi" w:cstheme="majorHAnsi"/>
          <w:b/>
          <w:bCs/>
          <w:sz w:val="20"/>
          <w:szCs w:val="20"/>
          <w:lang w:val="vi-VN"/>
        </w:rPr>
        <w:t>2020</w:t>
      </w:r>
      <w:r w:rsidRPr="00142C26">
        <w:rPr>
          <w:rFonts w:asciiTheme="majorHAnsi" w:hAnsiTheme="majorHAnsi" w:cstheme="majorHAnsi"/>
          <w:sz w:val="20"/>
          <w:szCs w:val="20"/>
          <w:lang w:val="vi-VN"/>
        </w:rPr>
        <w:t>, </w:t>
      </w:r>
      <w:r w:rsidRPr="00142C26">
        <w:rPr>
          <w:rFonts w:asciiTheme="majorHAnsi" w:hAnsiTheme="majorHAnsi" w:cstheme="majorHAnsi"/>
          <w:i/>
          <w:iCs/>
          <w:sz w:val="20"/>
          <w:szCs w:val="20"/>
          <w:lang w:val="vi-VN"/>
        </w:rPr>
        <w:t>8</w:t>
      </w:r>
      <w:r w:rsidRPr="00142C26">
        <w:rPr>
          <w:rFonts w:asciiTheme="majorHAnsi" w:hAnsiTheme="majorHAnsi" w:cstheme="majorHAnsi"/>
          <w:sz w:val="20"/>
          <w:szCs w:val="20"/>
          <w:lang w:val="vi-VN"/>
        </w:rPr>
        <w:t>(2), 111-124. </w:t>
      </w:r>
    </w:p>
    <w:bookmarkEnd w:id="1"/>
    <w:p w14:paraId="5183B49D" w14:textId="77777777" w:rsidR="000E27EF" w:rsidRDefault="000E27EF" w:rsidP="000E27EF">
      <w:pPr>
        <w:pStyle w:val="oancuaDanhsach1"/>
        <w:spacing w:before="120" w:beforeAutospacing="0" w:after="120" w:line="240" w:lineRule="auto"/>
        <w:ind w:left="0"/>
        <w:jc w:val="both"/>
        <w:rPr>
          <w:rFonts w:asciiTheme="majorHAnsi" w:hAnsiTheme="majorHAnsi" w:cstheme="majorHAnsi"/>
          <w:sz w:val="20"/>
          <w:szCs w:val="20"/>
        </w:rPr>
        <w:sectPr w:rsidR="000E27EF" w:rsidSect="000E27EF">
          <w:type w:val="continuous"/>
          <w:pgSz w:w="11906" w:h="16838"/>
          <w:pgMar w:top="1134" w:right="1134" w:bottom="1134" w:left="1418" w:header="708" w:footer="708" w:gutter="0"/>
          <w:cols w:num="2" w:space="864"/>
          <w:docGrid w:linePitch="360"/>
        </w:sectPr>
      </w:pPr>
    </w:p>
    <w:p w14:paraId="1EEE6DCF" w14:textId="0E964160" w:rsidR="000E27EF" w:rsidRPr="000E27EF" w:rsidRDefault="000E27EF" w:rsidP="000E27EF">
      <w:pPr>
        <w:pStyle w:val="oancuaDanhsach1"/>
        <w:spacing w:before="120" w:beforeAutospacing="0" w:after="120" w:line="240" w:lineRule="auto"/>
        <w:ind w:left="0"/>
        <w:jc w:val="both"/>
        <w:rPr>
          <w:rFonts w:asciiTheme="majorHAnsi" w:hAnsiTheme="majorHAnsi" w:cstheme="majorHAnsi"/>
          <w:sz w:val="20"/>
          <w:szCs w:val="20"/>
        </w:rPr>
        <w:sectPr w:rsidR="000E27EF" w:rsidRPr="000E27EF" w:rsidSect="00397C4D">
          <w:type w:val="continuous"/>
          <w:pgSz w:w="11906" w:h="16838"/>
          <w:pgMar w:top="1134" w:right="1134" w:bottom="1134" w:left="1418" w:header="708" w:footer="708" w:gutter="0"/>
          <w:cols w:space="864"/>
          <w:docGrid w:linePitch="360"/>
        </w:sectPr>
      </w:pPr>
    </w:p>
    <w:p w14:paraId="74006B7F" w14:textId="55B30341" w:rsidR="509C5738" w:rsidRPr="00397C4D" w:rsidRDefault="509C5738" w:rsidP="000E27EF">
      <w:pPr>
        <w:pStyle w:val="oancuaDanhsach1"/>
        <w:spacing w:before="120" w:beforeAutospacing="0" w:after="120" w:line="240" w:lineRule="auto"/>
        <w:ind w:left="0"/>
        <w:jc w:val="both"/>
        <w:rPr>
          <w:rFonts w:asciiTheme="majorHAnsi" w:hAnsiTheme="majorHAnsi" w:cstheme="majorHAnsi"/>
          <w:sz w:val="20"/>
          <w:szCs w:val="20"/>
        </w:rPr>
      </w:pPr>
    </w:p>
    <w:sectPr w:rsidR="509C5738" w:rsidRPr="00397C4D" w:rsidSect="00397C4D">
      <w:type w:val="continuous"/>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B8C8" w14:textId="77777777" w:rsidR="00FF2AB1" w:rsidRDefault="00FF2AB1" w:rsidP="009D5ACB">
      <w:pPr>
        <w:spacing w:after="0" w:line="240" w:lineRule="auto"/>
      </w:pPr>
      <w:r>
        <w:separator/>
      </w:r>
    </w:p>
  </w:endnote>
  <w:endnote w:type="continuationSeparator" w:id="0">
    <w:p w14:paraId="2FDCAE52" w14:textId="77777777" w:rsidR="00FF2AB1" w:rsidRDefault="00FF2AB1" w:rsidP="009D5ACB">
      <w:pPr>
        <w:spacing w:after="0" w:line="240" w:lineRule="auto"/>
      </w:pPr>
      <w:r>
        <w:continuationSeparator/>
      </w:r>
    </w:p>
  </w:endnote>
  <w:endnote w:type="continuationNotice" w:id="1">
    <w:p w14:paraId="7E75E6B6" w14:textId="77777777" w:rsidR="00FF2AB1" w:rsidRDefault="00FF2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harisSIL">
    <w:altName w:val="Times New Roman"/>
    <w:charset w:val="00"/>
    <w:family w:val="roman"/>
    <w:pitch w:val="default"/>
  </w:font>
  <w:font w:name="CharisSIL-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819192"/>
      <w:docPartObj>
        <w:docPartGallery w:val="Page Numbers (Bottom of Page)"/>
        <w:docPartUnique/>
      </w:docPartObj>
    </w:sdtPr>
    <w:sdtEndPr>
      <w:rPr>
        <w:rFonts w:asciiTheme="majorHAnsi" w:hAnsiTheme="majorHAnsi" w:cstheme="majorHAnsi"/>
        <w:noProof/>
      </w:rPr>
    </w:sdtEndPr>
    <w:sdtContent>
      <w:p w14:paraId="23409EC7" w14:textId="10FB70DE" w:rsidR="002F6C22" w:rsidRPr="00714FC4" w:rsidRDefault="002F6C22">
        <w:pPr>
          <w:pStyle w:val="Footer"/>
          <w:jc w:val="right"/>
          <w:rPr>
            <w:rFonts w:asciiTheme="majorHAnsi" w:hAnsiTheme="majorHAnsi" w:cstheme="majorHAnsi"/>
          </w:rPr>
        </w:pPr>
        <w:r w:rsidRPr="00714FC4">
          <w:rPr>
            <w:rFonts w:asciiTheme="majorHAnsi" w:hAnsiTheme="majorHAnsi" w:cstheme="majorHAnsi"/>
          </w:rPr>
          <w:fldChar w:fldCharType="begin"/>
        </w:r>
        <w:r w:rsidRPr="00714FC4">
          <w:rPr>
            <w:rFonts w:asciiTheme="majorHAnsi" w:hAnsiTheme="majorHAnsi" w:cstheme="majorHAnsi"/>
          </w:rPr>
          <w:instrText xml:space="preserve"> PAGE   \* MERGEFORMAT </w:instrText>
        </w:r>
        <w:r w:rsidRPr="00714FC4">
          <w:rPr>
            <w:rFonts w:asciiTheme="majorHAnsi" w:hAnsiTheme="majorHAnsi" w:cstheme="majorHAnsi"/>
          </w:rPr>
          <w:fldChar w:fldCharType="separate"/>
        </w:r>
        <w:r w:rsidR="003E1C9F" w:rsidRPr="00714FC4">
          <w:rPr>
            <w:rFonts w:asciiTheme="majorHAnsi" w:hAnsiTheme="majorHAnsi" w:cstheme="majorHAnsi"/>
            <w:noProof/>
          </w:rPr>
          <w:t>2</w:t>
        </w:r>
        <w:r w:rsidRPr="00714FC4">
          <w:rPr>
            <w:rFonts w:asciiTheme="majorHAnsi" w:hAnsiTheme="majorHAnsi" w:cstheme="majorHAnsi"/>
            <w:noProof/>
          </w:rPr>
          <w:fldChar w:fldCharType="end"/>
        </w:r>
      </w:p>
    </w:sdtContent>
  </w:sdt>
  <w:p w14:paraId="65871440" w14:textId="77777777" w:rsidR="002F6C22" w:rsidRDefault="002F6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7ED1" w14:textId="77777777" w:rsidR="00FF2AB1" w:rsidRDefault="00FF2AB1" w:rsidP="009D5ACB">
      <w:pPr>
        <w:spacing w:after="0" w:line="240" w:lineRule="auto"/>
      </w:pPr>
      <w:r>
        <w:separator/>
      </w:r>
    </w:p>
  </w:footnote>
  <w:footnote w:type="continuationSeparator" w:id="0">
    <w:p w14:paraId="353D142E" w14:textId="77777777" w:rsidR="00FF2AB1" w:rsidRDefault="00FF2AB1" w:rsidP="009D5ACB">
      <w:pPr>
        <w:spacing w:after="0" w:line="240" w:lineRule="auto"/>
      </w:pPr>
      <w:r>
        <w:continuationSeparator/>
      </w:r>
    </w:p>
  </w:footnote>
  <w:footnote w:type="continuationNotice" w:id="1">
    <w:p w14:paraId="304ECBFE" w14:textId="77777777" w:rsidR="00FF2AB1" w:rsidRDefault="00FF2A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F8E"/>
    <w:multiLevelType w:val="hybridMultilevel"/>
    <w:tmpl w:val="A4086E60"/>
    <w:lvl w:ilvl="0" w:tplc="F61656F4">
      <w:start w:val="1"/>
      <w:numFmt w:val="decimal"/>
      <w:lvlText w:val="[%1]."/>
      <w:lvlJc w:val="right"/>
      <w:pPr>
        <w:ind w:left="9630" w:hanging="360"/>
      </w:pPr>
      <w:rPr>
        <w:rFonts w:hint="default"/>
        <w:i w:val="0"/>
        <w:iCs w:val="0"/>
      </w:rPr>
    </w:lvl>
    <w:lvl w:ilvl="1" w:tplc="FFFFFFFF" w:tentative="1">
      <w:start w:val="1"/>
      <w:numFmt w:val="lowerLetter"/>
      <w:lvlText w:val="%2."/>
      <w:lvlJc w:val="left"/>
      <w:pPr>
        <w:ind w:left="10350" w:hanging="360"/>
      </w:pPr>
    </w:lvl>
    <w:lvl w:ilvl="2" w:tplc="FFFFFFFF" w:tentative="1">
      <w:start w:val="1"/>
      <w:numFmt w:val="lowerRoman"/>
      <w:lvlText w:val="%3."/>
      <w:lvlJc w:val="right"/>
      <w:pPr>
        <w:ind w:left="11070" w:hanging="180"/>
      </w:pPr>
    </w:lvl>
    <w:lvl w:ilvl="3" w:tplc="FFFFFFFF" w:tentative="1">
      <w:start w:val="1"/>
      <w:numFmt w:val="decimal"/>
      <w:lvlText w:val="%4."/>
      <w:lvlJc w:val="left"/>
      <w:pPr>
        <w:ind w:left="11790" w:hanging="360"/>
      </w:pPr>
    </w:lvl>
    <w:lvl w:ilvl="4" w:tplc="FFFFFFFF" w:tentative="1">
      <w:start w:val="1"/>
      <w:numFmt w:val="lowerLetter"/>
      <w:lvlText w:val="%5."/>
      <w:lvlJc w:val="left"/>
      <w:pPr>
        <w:ind w:left="12510" w:hanging="360"/>
      </w:pPr>
    </w:lvl>
    <w:lvl w:ilvl="5" w:tplc="FFFFFFFF" w:tentative="1">
      <w:start w:val="1"/>
      <w:numFmt w:val="lowerRoman"/>
      <w:lvlText w:val="%6."/>
      <w:lvlJc w:val="right"/>
      <w:pPr>
        <w:ind w:left="13230" w:hanging="180"/>
      </w:pPr>
    </w:lvl>
    <w:lvl w:ilvl="6" w:tplc="FFFFFFFF" w:tentative="1">
      <w:start w:val="1"/>
      <w:numFmt w:val="decimal"/>
      <w:lvlText w:val="%7."/>
      <w:lvlJc w:val="left"/>
      <w:pPr>
        <w:ind w:left="13950" w:hanging="360"/>
      </w:pPr>
    </w:lvl>
    <w:lvl w:ilvl="7" w:tplc="FFFFFFFF" w:tentative="1">
      <w:start w:val="1"/>
      <w:numFmt w:val="lowerLetter"/>
      <w:lvlText w:val="%8."/>
      <w:lvlJc w:val="left"/>
      <w:pPr>
        <w:ind w:left="14670" w:hanging="360"/>
      </w:pPr>
    </w:lvl>
    <w:lvl w:ilvl="8" w:tplc="FFFFFFFF" w:tentative="1">
      <w:start w:val="1"/>
      <w:numFmt w:val="lowerRoman"/>
      <w:lvlText w:val="%9."/>
      <w:lvlJc w:val="right"/>
      <w:pPr>
        <w:ind w:left="15390" w:hanging="180"/>
      </w:pPr>
    </w:lvl>
  </w:abstractNum>
  <w:abstractNum w:abstractNumId="1" w15:restartNumberingAfterBreak="0">
    <w:nsid w:val="095C46AD"/>
    <w:multiLevelType w:val="hybridMultilevel"/>
    <w:tmpl w:val="312493EE"/>
    <w:lvl w:ilvl="0" w:tplc="3D2E983E">
      <w:start w:val="1"/>
      <w:numFmt w:val="lowerLetter"/>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6A02CCF"/>
    <w:multiLevelType w:val="hybridMultilevel"/>
    <w:tmpl w:val="D5C224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9A741BB"/>
    <w:multiLevelType w:val="hybridMultilevel"/>
    <w:tmpl w:val="0A327EFE"/>
    <w:lvl w:ilvl="0" w:tplc="370AE3B4">
      <w:start w:val="1"/>
      <w:numFmt w:val="decimal"/>
      <w:lvlText w:val="[%1]."/>
      <w:lvlJc w:val="left"/>
      <w:pPr>
        <w:ind w:left="720" w:hanging="360"/>
      </w:pPr>
      <w:rPr>
        <w:rFonts w:hint="default"/>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EC623AF"/>
    <w:multiLevelType w:val="multilevel"/>
    <w:tmpl w:val="601A4D0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92CD4"/>
    <w:multiLevelType w:val="hybridMultilevel"/>
    <w:tmpl w:val="D55EF554"/>
    <w:lvl w:ilvl="0" w:tplc="B3D0D492">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42D5AE6"/>
    <w:multiLevelType w:val="hybridMultilevel"/>
    <w:tmpl w:val="2842C2A6"/>
    <w:lvl w:ilvl="0" w:tplc="2FECDE48">
      <w:numFmt w:val="bullet"/>
      <w:lvlText w:val="-"/>
      <w:lvlJc w:val="left"/>
      <w:pPr>
        <w:ind w:left="987" w:hanging="360"/>
      </w:pPr>
      <w:rPr>
        <w:rFonts w:ascii="Times New Roman" w:eastAsia="Aptos"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7" w15:restartNumberingAfterBreak="0">
    <w:nsid w:val="369648D2"/>
    <w:multiLevelType w:val="multilevel"/>
    <w:tmpl w:val="879CDB48"/>
    <w:lvl w:ilvl="0">
      <w:start w:val="1"/>
      <w:numFmt w:val="decimal"/>
      <w:lvlText w:val="%1."/>
      <w:lvlJc w:val="left"/>
      <w:pPr>
        <w:ind w:left="720" w:hanging="360"/>
      </w:pPr>
      <w:rPr>
        <w:rFonts w:hint="default"/>
      </w:rPr>
    </w:lvl>
    <w:lvl w:ilvl="1">
      <w:start w:val="1"/>
      <w:numFmt w:val="decimal"/>
      <w:isLgl/>
      <w:lvlText w:val="%1.%2"/>
      <w:lvlJc w:val="left"/>
      <w:pPr>
        <w:ind w:left="810" w:hanging="384"/>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19F214A"/>
    <w:multiLevelType w:val="multilevel"/>
    <w:tmpl w:val="666461E0"/>
    <w:lvl w:ilvl="0">
      <w:start w:val="1"/>
      <w:numFmt w:val="decimal"/>
      <w:lvlText w:val="%1."/>
      <w:lvlJc w:val="left"/>
      <w:pPr>
        <w:ind w:left="720" w:hanging="360"/>
      </w:pPr>
      <w:rPr>
        <w:rFonts w:hint="default"/>
      </w:rPr>
    </w:lvl>
    <w:lvl w:ilvl="1">
      <w:start w:val="1"/>
      <w:numFmt w:val="decimal"/>
      <w:lvlText w:val="3.%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D615809"/>
    <w:multiLevelType w:val="hybridMultilevel"/>
    <w:tmpl w:val="2E5E1D86"/>
    <w:lvl w:ilvl="0" w:tplc="DADE26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B5430"/>
    <w:multiLevelType w:val="hybridMultilevel"/>
    <w:tmpl w:val="812A8760"/>
    <w:lvl w:ilvl="0" w:tplc="03B82C3E">
      <w:start w:val="1"/>
      <w:numFmt w:val="decimal"/>
      <w:lvlText w:val="%1."/>
      <w:lvlJc w:val="right"/>
      <w:pPr>
        <w:ind w:left="720" w:hanging="360"/>
      </w:pPr>
      <w:rPr>
        <w:rFonts w:hint="default"/>
      </w:rPr>
    </w:lvl>
    <w:lvl w:ilvl="1" w:tplc="5D88C5D2">
      <w:start w:val="1"/>
      <w:numFmt w:val="lowerLetter"/>
      <w:lvlText w:val="%2."/>
      <w:lvlJc w:val="left"/>
      <w:pPr>
        <w:ind w:left="1440" w:hanging="360"/>
      </w:pPr>
    </w:lvl>
    <w:lvl w:ilvl="2" w:tplc="A75862EE">
      <w:start w:val="1"/>
      <w:numFmt w:val="lowerRoman"/>
      <w:lvlText w:val="%3."/>
      <w:lvlJc w:val="right"/>
      <w:pPr>
        <w:ind w:left="2160" w:hanging="180"/>
      </w:pPr>
    </w:lvl>
    <w:lvl w:ilvl="3" w:tplc="B822996E">
      <w:start w:val="1"/>
      <w:numFmt w:val="decimal"/>
      <w:lvlText w:val="%4."/>
      <w:lvlJc w:val="left"/>
      <w:pPr>
        <w:ind w:left="2880" w:hanging="360"/>
      </w:pPr>
    </w:lvl>
    <w:lvl w:ilvl="4" w:tplc="AD44804A">
      <w:start w:val="1"/>
      <w:numFmt w:val="lowerLetter"/>
      <w:lvlText w:val="%5."/>
      <w:lvlJc w:val="left"/>
      <w:pPr>
        <w:ind w:left="3600" w:hanging="360"/>
      </w:pPr>
    </w:lvl>
    <w:lvl w:ilvl="5" w:tplc="31FAB196">
      <w:start w:val="1"/>
      <w:numFmt w:val="lowerRoman"/>
      <w:lvlText w:val="%6."/>
      <w:lvlJc w:val="right"/>
      <w:pPr>
        <w:ind w:left="4320" w:hanging="180"/>
      </w:pPr>
    </w:lvl>
    <w:lvl w:ilvl="6" w:tplc="3A845EBE">
      <w:start w:val="1"/>
      <w:numFmt w:val="decimal"/>
      <w:lvlText w:val="%7."/>
      <w:lvlJc w:val="left"/>
      <w:pPr>
        <w:ind w:left="5040" w:hanging="360"/>
      </w:pPr>
    </w:lvl>
    <w:lvl w:ilvl="7" w:tplc="0778E378">
      <w:start w:val="1"/>
      <w:numFmt w:val="lowerLetter"/>
      <w:lvlText w:val="%8."/>
      <w:lvlJc w:val="left"/>
      <w:pPr>
        <w:ind w:left="5760" w:hanging="360"/>
      </w:pPr>
    </w:lvl>
    <w:lvl w:ilvl="8" w:tplc="0C9039B6">
      <w:start w:val="1"/>
      <w:numFmt w:val="lowerRoman"/>
      <w:lvlText w:val="%9."/>
      <w:lvlJc w:val="right"/>
      <w:pPr>
        <w:ind w:left="6480" w:hanging="180"/>
      </w:pPr>
    </w:lvl>
  </w:abstractNum>
  <w:abstractNum w:abstractNumId="11" w15:restartNumberingAfterBreak="0">
    <w:nsid w:val="650A017F"/>
    <w:multiLevelType w:val="hybridMultilevel"/>
    <w:tmpl w:val="1B54AA9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E4403ED"/>
    <w:multiLevelType w:val="hybridMultilevel"/>
    <w:tmpl w:val="8C32DFA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FB54AF7"/>
    <w:multiLevelType w:val="hybridMultilevel"/>
    <w:tmpl w:val="4D704452"/>
    <w:lvl w:ilvl="0" w:tplc="E3908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B3F9C"/>
    <w:multiLevelType w:val="hybridMultilevel"/>
    <w:tmpl w:val="A2C4BB36"/>
    <w:lvl w:ilvl="0" w:tplc="B3D0D49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653935">
    <w:abstractNumId w:val="2"/>
  </w:num>
  <w:num w:numId="2" w16cid:durableId="792599711">
    <w:abstractNumId w:val="7"/>
  </w:num>
  <w:num w:numId="3" w16cid:durableId="1745496102">
    <w:abstractNumId w:val="14"/>
  </w:num>
  <w:num w:numId="4" w16cid:durableId="1105227049">
    <w:abstractNumId w:val="1"/>
  </w:num>
  <w:num w:numId="5" w16cid:durableId="346757364">
    <w:abstractNumId w:val="6"/>
  </w:num>
  <w:num w:numId="6" w16cid:durableId="683170111">
    <w:abstractNumId w:val="3"/>
  </w:num>
  <w:num w:numId="7" w16cid:durableId="1646547720">
    <w:abstractNumId w:val="9"/>
  </w:num>
  <w:num w:numId="8" w16cid:durableId="81224433">
    <w:abstractNumId w:val="4"/>
  </w:num>
  <w:num w:numId="9" w16cid:durableId="556547132">
    <w:abstractNumId w:val="11"/>
  </w:num>
  <w:num w:numId="10" w16cid:durableId="1608586260">
    <w:abstractNumId w:val="12"/>
  </w:num>
  <w:num w:numId="11" w16cid:durableId="823354370">
    <w:abstractNumId w:val="0"/>
  </w:num>
  <w:num w:numId="12" w16cid:durableId="1950893477">
    <w:abstractNumId w:val="5"/>
  </w:num>
  <w:num w:numId="13" w16cid:durableId="532696988">
    <w:abstractNumId w:val="8"/>
  </w:num>
  <w:num w:numId="14" w16cid:durableId="1332491323">
    <w:abstractNumId w:val="10"/>
  </w:num>
  <w:num w:numId="15" w16cid:durableId="4743758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D2"/>
    <w:rsid w:val="00001D04"/>
    <w:rsid w:val="000030FE"/>
    <w:rsid w:val="00004279"/>
    <w:rsid w:val="00005998"/>
    <w:rsid w:val="00005D2C"/>
    <w:rsid w:val="0000669E"/>
    <w:rsid w:val="00006803"/>
    <w:rsid w:val="00006816"/>
    <w:rsid w:val="00006CF8"/>
    <w:rsid w:val="0001192E"/>
    <w:rsid w:val="00013D62"/>
    <w:rsid w:val="00014896"/>
    <w:rsid w:val="00015E17"/>
    <w:rsid w:val="00015EDB"/>
    <w:rsid w:val="00020745"/>
    <w:rsid w:val="00021255"/>
    <w:rsid w:val="0002259D"/>
    <w:rsid w:val="00023036"/>
    <w:rsid w:val="00026304"/>
    <w:rsid w:val="00026339"/>
    <w:rsid w:val="000277D2"/>
    <w:rsid w:val="00027991"/>
    <w:rsid w:val="0003560A"/>
    <w:rsid w:val="00037309"/>
    <w:rsid w:val="0003789E"/>
    <w:rsid w:val="00037DEB"/>
    <w:rsid w:val="00041D9D"/>
    <w:rsid w:val="00042551"/>
    <w:rsid w:val="000437AD"/>
    <w:rsid w:val="00044C34"/>
    <w:rsid w:val="00046549"/>
    <w:rsid w:val="000510D1"/>
    <w:rsid w:val="00052573"/>
    <w:rsid w:val="000531BD"/>
    <w:rsid w:val="00053ED2"/>
    <w:rsid w:val="00054665"/>
    <w:rsid w:val="00054801"/>
    <w:rsid w:val="00055433"/>
    <w:rsid w:val="00055D4D"/>
    <w:rsid w:val="00056550"/>
    <w:rsid w:val="00056B9B"/>
    <w:rsid w:val="00056FE3"/>
    <w:rsid w:val="00060409"/>
    <w:rsid w:val="00062711"/>
    <w:rsid w:val="000637D3"/>
    <w:rsid w:val="00063F2D"/>
    <w:rsid w:val="00064662"/>
    <w:rsid w:val="000657FF"/>
    <w:rsid w:val="00065F9C"/>
    <w:rsid w:val="00066F5F"/>
    <w:rsid w:val="00067A90"/>
    <w:rsid w:val="000702D7"/>
    <w:rsid w:val="00072BCE"/>
    <w:rsid w:val="000740CD"/>
    <w:rsid w:val="0007538E"/>
    <w:rsid w:val="00075C8C"/>
    <w:rsid w:val="00077903"/>
    <w:rsid w:val="000803E3"/>
    <w:rsid w:val="0008048D"/>
    <w:rsid w:val="00080D0A"/>
    <w:rsid w:val="00081A18"/>
    <w:rsid w:val="00083B95"/>
    <w:rsid w:val="00084240"/>
    <w:rsid w:val="000844D6"/>
    <w:rsid w:val="00090784"/>
    <w:rsid w:val="00091F0D"/>
    <w:rsid w:val="000926E7"/>
    <w:rsid w:val="0009276C"/>
    <w:rsid w:val="00093A62"/>
    <w:rsid w:val="00093EA6"/>
    <w:rsid w:val="00095290"/>
    <w:rsid w:val="00096260"/>
    <w:rsid w:val="000968B9"/>
    <w:rsid w:val="000A00C6"/>
    <w:rsid w:val="000A0C7B"/>
    <w:rsid w:val="000A0D62"/>
    <w:rsid w:val="000A49BB"/>
    <w:rsid w:val="000A69E8"/>
    <w:rsid w:val="000B0AD3"/>
    <w:rsid w:val="000B3019"/>
    <w:rsid w:val="000B375F"/>
    <w:rsid w:val="000B52D9"/>
    <w:rsid w:val="000B60B6"/>
    <w:rsid w:val="000B61DD"/>
    <w:rsid w:val="000B6231"/>
    <w:rsid w:val="000B6400"/>
    <w:rsid w:val="000B6567"/>
    <w:rsid w:val="000C07C7"/>
    <w:rsid w:val="000C08DC"/>
    <w:rsid w:val="000C2AAB"/>
    <w:rsid w:val="000C33C0"/>
    <w:rsid w:val="000C3437"/>
    <w:rsid w:val="000C3496"/>
    <w:rsid w:val="000C35A1"/>
    <w:rsid w:val="000C63E4"/>
    <w:rsid w:val="000C76DF"/>
    <w:rsid w:val="000D16F9"/>
    <w:rsid w:val="000D2169"/>
    <w:rsid w:val="000D2C6D"/>
    <w:rsid w:val="000D2D40"/>
    <w:rsid w:val="000D33E8"/>
    <w:rsid w:val="000D54D7"/>
    <w:rsid w:val="000D5E0B"/>
    <w:rsid w:val="000D6F7D"/>
    <w:rsid w:val="000E1336"/>
    <w:rsid w:val="000E15A3"/>
    <w:rsid w:val="000E27EF"/>
    <w:rsid w:val="000E43DC"/>
    <w:rsid w:val="000E4E63"/>
    <w:rsid w:val="000E52A8"/>
    <w:rsid w:val="000E5C07"/>
    <w:rsid w:val="000E6247"/>
    <w:rsid w:val="000E625D"/>
    <w:rsid w:val="000F5028"/>
    <w:rsid w:val="000F662F"/>
    <w:rsid w:val="00105EAD"/>
    <w:rsid w:val="00106A54"/>
    <w:rsid w:val="00110A08"/>
    <w:rsid w:val="00114BAE"/>
    <w:rsid w:val="0012048F"/>
    <w:rsid w:val="00120521"/>
    <w:rsid w:val="00121E9B"/>
    <w:rsid w:val="00122B56"/>
    <w:rsid w:val="00122EB4"/>
    <w:rsid w:val="00123072"/>
    <w:rsid w:val="0012348E"/>
    <w:rsid w:val="0012361B"/>
    <w:rsid w:val="001239BD"/>
    <w:rsid w:val="00123BDF"/>
    <w:rsid w:val="00125676"/>
    <w:rsid w:val="001260E6"/>
    <w:rsid w:val="00135A76"/>
    <w:rsid w:val="00135CA3"/>
    <w:rsid w:val="001374F3"/>
    <w:rsid w:val="00137785"/>
    <w:rsid w:val="001379EA"/>
    <w:rsid w:val="00140452"/>
    <w:rsid w:val="001419CA"/>
    <w:rsid w:val="00141FBF"/>
    <w:rsid w:val="00142ACA"/>
    <w:rsid w:val="00142C26"/>
    <w:rsid w:val="00144578"/>
    <w:rsid w:val="00146B01"/>
    <w:rsid w:val="001475B7"/>
    <w:rsid w:val="00147CF5"/>
    <w:rsid w:val="001503E5"/>
    <w:rsid w:val="00150A58"/>
    <w:rsid w:val="00151811"/>
    <w:rsid w:val="001520AE"/>
    <w:rsid w:val="001531AF"/>
    <w:rsid w:val="00154277"/>
    <w:rsid w:val="00154DA6"/>
    <w:rsid w:val="00155170"/>
    <w:rsid w:val="00157567"/>
    <w:rsid w:val="00157A72"/>
    <w:rsid w:val="001607EF"/>
    <w:rsid w:val="00161067"/>
    <w:rsid w:val="001610E6"/>
    <w:rsid w:val="00161E0D"/>
    <w:rsid w:val="00161EB7"/>
    <w:rsid w:val="0016449E"/>
    <w:rsid w:val="00164A15"/>
    <w:rsid w:val="00165056"/>
    <w:rsid w:val="001656F8"/>
    <w:rsid w:val="00166262"/>
    <w:rsid w:val="001663C5"/>
    <w:rsid w:val="00166A58"/>
    <w:rsid w:val="00171090"/>
    <w:rsid w:val="00171723"/>
    <w:rsid w:val="00172270"/>
    <w:rsid w:val="0017400E"/>
    <w:rsid w:val="0017547B"/>
    <w:rsid w:val="0017575D"/>
    <w:rsid w:val="00175F53"/>
    <w:rsid w:val="001764EB"/>
    <w:rsid w:val="001768D6"/>
    <w:rsid w:val="00176D9C"/>
    <w:rsid w:val="00177B55"/>
    <w:rsid w:val="00180CD3"/>
    <w:rsid w:val="0018285E"/>
    <w:rsid w:val="00182FB0"/>
    <w:rsid w:val="00184BE7"/>
    <w:rsid w:val="00185815"/>
    <w:rsid w:val="00186B24"/>
    <w:rsid w:val="001902D6"/>
    <w:rsid w:val="0019195F"/>
    <w:rsid w:val="00192F04"/>
    <w:rsid w:val="00193101"/>
    <w:rsid w:val="00193225"/>
    <w:rsid w:val="0019558B"/>
    <w:rsid w:val="00195FD2"/>
    <w:rsid w:val="00197090"/>
    <w:rsid w:val="001A0C1A"/>
    <w:rsid w:val="001A0CEF"/>
    <w:rsid w:val="001A0D68"/>
    <w:rsid w:val="001A1E4F"/>
    <w:rsid w:val="001A5596"/>
    <w:rsid w:val="001A5DE5"/>
    <w:rsid w:val="001A65FA"/>
    <w:rsid w:val="001A685D"/>
    <w:rsid w:val="001B2A0C"/>
    <w:rsid w:val="001B4C91"/>
    <w:rsid w:val="001B56AD"/>
    <w:rsid w:val="001C025F"/>
    <w:rsid w:val="001C0637"/>
    <w:rsid w:val="001C1A40"/>
    <w:rsid w:val="001C3AAE"/>
    <w:rsid w:val="001C3D50"/>
    <w:rsid w:val="001C46C4"/>
    <w:rsid w:val="001C567F"/>
    <w:rsid w:val="001C60AF"/>
    <w:rsid w:val="001C7795"/>
    <w:rsid w:val="001C786E"/>
    <w:rsid w:val="001D07F6"/>
    <w:rsid w:val="001D131D"/>
    <w:rsid w:val="001D22DF"/>
    <w:rsid w:val="001D29C3"/>
    <w:rsid w:val="001D6A06"/>
    <w:rsid w:val="001D6FDF"/>
    <w:rsid w:val="001E0BF3"/>
    <w:rsid w:val="001E14C1"/>
    <w:rsid w:val="001E162C"/>
    <w:rsid w:val="001E17C2"/>
    <w:rsid w:val="001E27AE"/>
    <w:rsid w:val="001E4B80"/>
    <w:rsid w:val="001E4E87"/>
    <w:rsid w:val="001E5652"/>
    <w:rsid w:val="001E592E"/>
    <w:rsid w:val="001F021F"/>
    <w:rsid w:val="001F09E3"/>
    <w:rsid w:val="001F0B47"/>
    <w:rsid w:val="001F18DB"/>
    <w:rsid w:val="001F1B38"/>
    <w:rsid w:val="001F41A5"/>
    <w:rsid w:val="001F5281"/>
    <w:rsid w:val="001F65BC"/>
    <w:rsid w:val="001F69AD"/>
    <w:rsid w:val="001F79C0"/>
    <w:rsid w:val="002004DB"/>
    <w:rsid w:val="00201876"/>
    <w:rsid w:val="002024B1"/>
    <w:rsid w:val="0020302A"/>
    <w:rsid w:val="002043BE"/>
    <w:rsid w:val="00204809"/>
    <w:rsid w:val="00204FB7"/>
    <w:rsid w:val="00205F3E"/>
    <w:rsid w:val="00206D56"/>
    <w:rsid w:val="00211428"/>
    <w:rsid w:val="00213276"/>
    <w:rsid w:val="00213E5D"/>
    <w:rsid w:val="00214FCB"/>
    <w:rsid w:val="0021541E"/>
    <w:rsid w:val="00216174"/>
    <w:rsid w:val="0021650F"/>
    <w:rsid w:val="00220878"/>
    <w:rsid w:val="0022119B"/>
    <w:rsid w:val="0022309D"/>
    <w:rsid w:val="002247E4"/>
    <w:rsid w:val="00224A48"/>
    <w:rsid w:val="00225F0D"/>
    <w:rsid w:val="00226473"/>
    <w:rsid w:val="0022677C"/>
    <w:rsid w:val="00227141"/>
    <w:rsid w:val="002305FF"/>
    <w:rsid w:val="00230E46"/>
    <w:rsid w:val="0023188A"/>
    <w:rsid w:val="00231E31"/>
    <w:rsid w:val="002327DF"/>
    <w:rsid w:val="00233443"/>
    <w:rsid w:val="002334FA"/>
    <w:rsid w:val="0023400C"/>
    <w:rsid w:val="0023416E"/>
    <w:rsid w:val="00234B0F"/>
    <w:rsid w:val="00234F01"/>
    <w:rsid w:val="0023559C"/>
    <w:rsid w:val="00236047"/>
    <w:rsid w:val="00237298"/>
    <w:rsid w:val="0023784F"/>
    <w:rsid w:val="002404B4"/>
    <w:rsid w:val="002441A0"/>
    <w:rsid w:val="00244BE2"/>
    <w:rsid w:val="0024517D"/>
    <w:rsid w:val="00247808"/>
    <w:rsid w:val="00247CA4"/>
    <w:rsid w:val="00252C7C"/>
    <w:rsid w:val="00256077"/>
    <w:rsid w:val="00256DFA"/>
    <w:rsid w:val="00257391"/>
    <w:rsid w:val="0025742F"/>
    <w:rsid w:val="00257DD0"/>
    <w:rsid w:val="002600A3"/>
    <w:rsid w:val="002607D1"/>
    <w:rsid w:val="00260DD3"/>
    <w:rsid w:val="00262F5E"/>
    <w:rsid w:val="00263027"/>
    <w:rsid w:val="00263197"/>
    <w:rsid w:val="0026718D"/>
    <w:rsid w:val="00270FB9"/>
    <w:rsid w:val="00271886"/>
    <w:rsid w:val="00273775"/>
    <w:rsid w:val="00273C44"/>
    <w:rsid w:val="00273F57"/>
    <w:rsid w:val="0027400D"/>
    <w:rsid w:val="002743E2"/>
    <w:rsid w:val="002765AF"/>
    <w:rsid w:val="00276777"/>
    <w:rsid w:val="00277900"/>
    <w:rsid w:val="002800C7"/>
    <w:rsid w:val="00280999"/>
    <w:rsid w:val="00281D64"/>
    <w:rsid w:val="00283333"/>
    <w:rsid w:val="00285664"/>
    <w:rsid w:val="0028680A"/>
    <w:rsid w:val="00290B40"/>
    <w:rsid w:val="0029139B"/>
    <w:rsid w:val="002922D1"/>
    <w:rsid w:val="0029378B"/>
    <w:rsid w:val="002948FE"/>
    <w:rsid w:val="00294B21"/>
    <w:rsid w:val="00294FDE"/>
    <w:rsid w:val="0029560F"/>
    <w:rsid w:val="002956CF"/>
    <w:rsid w:val="00296468"/>
    <w:rsid w:val="00297A0C"/>
    <w:rsid w:val="00297ABB"/>
    <w:rsid w:val="002A0712"/>
    <w:rsid w:val="002A0A9A"/>
    <w:rsid w:val="002A2A32"/>
    <w:rsid w:val="002A33A1"/>
    <w:rsid w:val="002A4711"/>
    <w:rsid w:val="002A5AA4"/>
    <w:rsid w:val="002A5F78"/>
    <w:rsid w:val="002A6239"/>
    <w:rsid w:val="002A71E2"/>
    <w:rsid w:val="002B224B"/>
    <w:rsid w:val="002B23C8"/>
    <w:rsid w:val="002B5A57"/>
    <w:rsid w:val="002B6317"/>
    <w:rsid w:val="002B6558"/>
    <w:rsid w:val="002B727E"/>
    <w:rsid w:val="002B7297"/>
    <w:rsid w:val="002C1368"/>
    <w:rsid w:val="002C2778"/>
    <w:rsid w:val="002C3079"/>
    <w:rsid w:val="002C4E66"/>
    <w:rsid w:val="002C5231"/>
    <w:rsid w:val="002C5950"/>
    <w:rsid w:val="002C729F"/>
    <w:rsid w:val="002C785F"/>
    <w:rsid w:val="002D05EF"/>
    <w:rsid w:val="002D149E"/>
    <w:rsid w:val="002D1F6E"/>
    <w:rsid w:val="002D22B1"/>
    <w:rsid w:val="002D2A68"/>
    <w:rsid w:val="002D308F"/>
    <w:rsid w:val="002D4EC5"/>
    <w:rsid w:val="002D536F"/>
    <w:rsid w:val="002D6474"/>
    <w:rsid w:val="002D795B"/>
    <w:rsid w:val="002D7F2A"/>
    <w:rsid w:val="002E1203"/>
    <w:rsid w:val="002E3E9C"/>
    <w:rsid w:val="002E5BDC"/>
    <w:rsid w:val="002F127D"/>
    <w:rsid w:val="002F1735"/>
    <w:rsid w:val="002F3F66"/>
    <w:rsid w:val="002F536D"/>
    <w:rsid w:val="002F6C22"/>
    <w:rsid w:val="003029AB"/>
    <w:rsid w:val="003031AE"/>
    <w:rsid w:val="00303CD0"/>
    <w:rsid w:val="00303DA5"/>
    <w:rsid w:val="00304FD7"/>
    <w:rsid w:val="00306525"/>
    <w:rsid w:val="003104A8"/>
    <w:rsid w:val="00310938"/>
    <w:rsid w:val="0031121B"/>
    <w:rsid w:val="003119F4"/>
    <w:rsid w:val="00311E4F"/>
    <w:rsid w:val="00311E5F"/>
    <w:rsid w:val="0031265D"/>
    <w:rsid w:val="00312C52"/>
    <w:rsid w:val="00312D05"/>
    <w:rsid w:val="003135C3"/>
    <w:rsid w:val="00313685"/>
    <w:rsid w:val="003144F3"/>
    <w:rsid w:val="00314A08"/>
    <w:rsid w:val="00315351"/>
    <w:rsid w:val="003160EE"/>
    <w:rsid w:val="00316288"/>
    <w:rsid w:val="0031660A"/>
    <w:rsid w:val="003214E1"/>
    <w:rsid w:val="003304B5"/>
    <w:rsid w:val="00331AD8"/>
    <w:rsid w:val="00332DF0"/>
    <w:rsid w:val="00333E9F"/>
    <w:rsid w:val="003348D5"/>
    <w:rsid w:val="00334EC9"/>
    <w:rsid w:val="0033675E"/>
    <w:rsid w:val="00336997"/>
    <w:rsid w:val="00336B9C"/>
    <w:rsid w:val="0034013A"/>
    <w:rsid w:val="003419F9"/>
    <w:rsid w:val="00343625"/>
    <w:rsid w:val="003436D1"/>
    <w:rsid w:val="00344E63"/>
    <w:rsid w:val="003475E0"/>
    <w:rsid w:val="003507A4"/>
    <w:rsid w:val="00352E84"/>
    <w:rsid w:val="00353F7C"/>
    <w:rsid w:val="00355FDF"/>
    <w:rsid w:val="00356C30"/>
    <w:rsid w:val="0035796B"/>
    <w:rsid w:val="0036366B"/>
    <w:rsid w:val="0036508F"/>
    <w:rsid w:val="00366210"/>
    <w:rsid w:val="00370001"/>
    <w:rsid w:val="00370F1D"/>
    <w:rsid w:val="0037284B"/>
    <w:rsid w:val="00372A90"/>
    <w:rsid w:val="00373FDF"/>
    <w:rsid w:val="00375B1F"/>
    <w:rsid w:val="00376796"/>
    <w:rsid w:val="00376F1E"/>
    <w:rsid w:val="003771DD"/>
    <w:rsid w:val="00380BDF"/>
    <w:rsid w:val="0038347B"/>
    <w:rsid w:val="00385E78"/>
    <w:rsid w:val="00387C76"/>
    <w:rsid w:val="00390DF0"/>
    <w:rsid w:val="00391274"/>
    <w:rsid w:val="0039314C"/>
    <w:rsid w:val="0039393C"/>
    <w:rsid w:val="00394060"/>
    <w:rsid w:val="00394AF0"/>
    <w:rsid w:val="003953B6"/>
    <w:rsid w:val="0039637D"/>
    <w:rsid w:val="00397C4D"/>
    <w:rsid w:val="003A1052"/>
    <w:rsid w:val="003A50FC"/>
    <w:rsid w:val="003A5522"/>
    <w:rsid w:val="003A66CF"/>
    <w:rsid w:val="003A69A3"/>
    <w:rsid w:val="003A6A15"/>
    <w:rsid w:val="003A7AE7"/>
    <w:rsid w:val="003A7FEC"/>
    <w:rsid w:val="003B2598"/>
    <w:rsid w:val="003B2835"/>
    <w:rsid w:val="003B4F9D"/>
    <w:rsid w:val="003B5203"/>
    <w:rsid w:val="003B5253"/>
    <w:rsid w:val="003B6624"/>
    <w:rsid w:val="003B7ECD"/>
    <w:rsid w:val="003B7FBB"/>
    <w:rsid w:val="003C1439"/>
    <w:rsid w:val="003C1F9C"/>
    <w:rsid w:val="003C60B5"/>
    <w:rsid w:val="003C6F55"/>
    <w:rsid w:val="003C753D"/>
    <w:rsid w:val="003D24A6"/>
    <w:rsid w:val="003D2C43"/>
    <w:rsid w:val="003D3551"/>
    <w:rsid w:val="003D5B1A"/>
    <w:rsid w:val="003D6A55"/>
    <w:rsid w:val="003D7363"/>
    <w:rsid w:val="003D7449"/>
    <w:rsid w:val="003D7DDA"/>
    <w:rsid w:val="003E0F47"/>
    <w:rsid w:val="003E0FDC"/>
    <w:rsid w:val="003E1C9F"/>
    <w:rsid w:val="003E4681"/>
    <w:rsid w:val="003E50B5"/>
    <w:rsid w:val="003F337C"/>
    <w:rsid w:val="003F3C33"/>
    <w:rsid w:val="003F5B64"/>
    <w:rsid w:val="003F5BB2"/>
    <w:rsid w:val="004007EA"/>
    <w:rsid w:val="00401651"/>
    <w:rsid w:val="0040223A"/>
    <w:rsid w:val="00402F41"/>
    <w:rsid w:val="00405E2A"/>
    <w:rsid w:val="00405ED9"/>
    <w:rsid w:val="00406AF4"/>
    <w:rsid w:val="0041126A"/>
    <w:rsid w:val="00411894"/>
    <w:rsid w:val="00411F89"/>
    <w:rsid w:val="00412612"/>
    <w:rsid w:val="00412E68"/>
    <w:rsid w:val="00413787"/>
    <w:rsid w:val="004141B6"/>
    <w:rsid w:val="00414D52"/>
    <w:rsid w:val="00417021"/>
    <w:rsid w:val="00420FA6"/>
    <w:rsid w:val="00421E87"/>
    <w:rsid w:val="004224E2"/>
    <w:rsid w:val="00423724"/>
    <w:rsid w:val="00423CFF"/>
    <w:rsid w:val="00424DCB"/>
    <w:rsid w:val="004273C4"/>
    <w:rsid w:val="0042776F"/>
    <w:rsid w:val="00427A8D"/>
    <w:rsid w:val="0043155C"/>
    <w:rsid w:val="004319E1"/>
    <w:rsid w:val="00432C56"/>
    <w:rsid w:val="00433207"/>
    <w:rsid w:val="00434052"/>
    <w:rsid w:val="004343A5"/>
    <w:rsid w:val="004352F7"/>
    <w:rsid w:val="0043546E"/>
    <w:rsid w:val="0043633D"/>
    <w:rsid w:val="0043758E"/>
    <w:rsid w:val="00440310"/>
    <w:rsid w:val="00440D22"/>
    <w:rsid w:val="004429A3"/>
    <w:rsid w:val="00444C17"/>
    <w:rsid w:val="004464C1"/>
    <w:rsid w:val="00447313"/>
    <w:rsid w:val="00447516"/>
    <w:rsid w:val="00447997"/>
    <w:rsid w:val="00450707"/>
    <w:rsid w:val="00453CCE"/>
    <w:rsid w:val="0045472B"/>
    <w:rsid w:val="00455618"/>
    <w:rsid w:val="0045572E"/>
    <w:rsid w:val="0045613C"/>
    <w:rsid w:val="00460C31"/>
    <w:rsid w:val="00462924"/>
    <w:rsid w:val="00463D06"/>
    <w:rsid w:val="00465D92"/>
    <w:rsid w:val="0046773B"/>
    <w:rsid w:val="00467909"/>
    <w:rsid w:val="0047046D"/>
    <w:rsid w:val="004705BF"/>
    <w:rsid w:val="0047179C"/>
    <w:rsid w:val="00471C4A"/>
    <w:rsid w:val="004733A4"/>
    <w:rsid w:val="0047411F"/>
    <w:rsid w:val="004768B6"/>
    <w:rsid w:val="004805C0"/>
    <w:rsid w:val="004806AE"/>
    <w:rsid w:val="00481895"/>
    <w:rsid w:val="00481B36"/>
    <w:rsid w:val="004823E7"/>
    <w:rsid w:val="0048532A"/>
    <w:rsid w:val="0048612E"/>
    <w:rsid w:val="00486926"/>
    <w:rsid w:val="00486DEA"/>
    <w:rsid w:val="00487DCE"/>
    <w:rsid w:val="00490A16"/>
    <w:rsid w:val="00491458"/>
    <w:rsid w:val="00491BAA"/>
    <w:rsid w:val="0049248C"/>
    <w:rsid w:val="004952E4"/>
    <w:rsid w:val="004964F4"/>
    <w:rsid w:val="00496FA2"/>
    <w:rsid w:val="004A03EE"/>
    <w:rsid w:val="004A20CB"/>
    <w:rsid w:val="004A515A"/>
    <w:rsid w:val="004A6334"/>
    <w:rsid w:val="004A702F"/>
    <w:rsid w:val="004A7044"/>
    <w:rsid w:val="004B0388"/>
    <w:rsid w:val="004B03FC"/>
    <w:rsid w:val="004B4540"/>
    <w:rsid w:val="004B4E5E"/>
    <w:rsid w:val="004B5844"/>
    <w:rsid w:val="004B66DA"/>
    <w:rsid w:val="004B689B"/>
    <w:rsid w:val="004B7B4D"/>
    <w:rsid w:val="004C1180"/>
    <w:rsid w:val="004C34BF"/>
    <w:rsid w:val="004C37F7"/>
    <w:rsid w:val="004C38FD"/>
    <w:rsid w:val="004C3A39"/>
    <w:rsid w:val="004C5C3D"/>
    <w:rsid w:val="004D2427"/>
    <w:rsid w:val="004D2B9F"/>
    <w:rsid w:val="004D2EEA"/>
    <w:rsid w:val="004D383F"/>
    <w:rsid w:val="004D3956"/>
    <w:rsid w:val="004D3E7E"/>
    <w:rsid w:val="004D61AF"/>
    <w:rsid w:val="004D6C6A"/>
    <w:rsid w:val="004D7754"/>
    <w:rsid w:val="004D7825"/>
    <w:rsid w:val="004E2643"/>
    <w:rsid w:val="004E4E74"/>
    <w:rsid w:val="004E6084"/>
    <w:rsid w:val="004E60A8"/>
    <w:rsid w:val="004E61AD"/>
    <w:rsid w:val="004E75A9"/>
    <w:rsid w:val="004F065B"/>
    <w:rsid w:val="004F0A47"/>
    <w:rsid w:val="004F135B"/>
    <w:rsid w:val="004F1D72"/>
    <w:rsid w:val="004F27E1"/>
    <w:rsid w:val="004F301E"/>
    <w:rsid w:val="004F3F02"/>
    <w:rsid w:val="004F46EE"/>
    <w:rsid w:val="004F49E9"/>
    <w:rsid w:val="004F4C7C"/>
    <w:rsid w:val="004F5D0F"/>
    <w:rsid w:val="004F6768"/>
    <w:rsid w:val="004F69E9"/>
    <w:rsid w:val="004F79AC"/>
    <w:rsid w:val="0050228E"/>
    <w:rsid w:val="00502FD5"/>
    <w:rsid w:val="00503042"/>
    <w:rsid w:val="005041F9"/>
    <w:rsid w:val="00506884"/>
    <w:rsid w:val="005077C7"/>
    <w:rsid w:val="00511F0F"/>
    <w:rsid w:val="0051323A"/>
    <w:rsid w:val="00513F4A"/>
    <w:rsid w:val="00514FDE"/>
    <w:rsid w:val="005151EF"/>
    <w:rsid w:val="005155AF"/>
    <w:rsid w:val="00515D38"/>
    <w:rsid w:val="00516536"/>
    <w:rsid w:val="005207CB"/>
    <w:rsid w:val="00521C45"/>
    <w:rsid w:val="00523DEF"/>
    <w:rsid w:val="005258AC"/>
    <w:rsid w:val="0052648A"/>
    <w:rsid w:val="00527AB6"/>
    <w:rsid w:val="00530480"/>
    <w:rsid w:val="005304A7"/>
    <w:rsid w:val="00530BBB"/>
    <w:rsid w:val="00531B92"/>
    <w:rsid w:val="00532D33"/>
    <w:rsid w:val="00533523"/>
    <w:rsid w:val="0053378A"/>
    <w:rsid w:val="00533947"/>
    <w:rsid w:val="005353B2"/>
    <w:rsid w:val="0053681F"/>
    <w:rsid w:val="00537F38"/>
    <w:rsid w:val="0054028D"/>
    <w:rsid w:val="005419B3"/>
    <w:rsid w:val="00541B2B"/>
    <w:rsid w:val="0054218B"/>
    <w:rsid w:val="005426A4"/>
    <w:rsid w:val="00544DDF"/>
    <w:rsid w:val="00545A36"/>
    <w:rsid w:val="00546C3C"/>
    <w:rsid w:val="00547DD3"/>
    <w:rsid w:val="00552368"/>
    <w:rsid w:val="00552C26"/>
    <w:rsid w:val="005537E0"/>
    <w:rsid w:val="00556A66"/>
    <w:rsid w:val="00557C67"/>
    <w:rsid w:val="00561AFA"/>
    <w:rsid w:val="00562FCE"/>
    <w:rsid w:val="0056351E"/>
    <w:rsid w:val="0056483C"/>
    <w:rsid w:val="0056551F"/>
    <w:rsid w:val="005663C5"/>
    <w:rsid w:val="005674EB"/>
    <w:rsid w:val="00571354"/>
    <w:rsid w:val="0057265B"/>
    <w:rsid w:val="00572ABE"/>
    <w:rsid w:val="00573C73"/>
    <w:rsid w:val="00573F3F"/>
    <w:rsid w:val="005749DD"/>
    <w:rsid w:val="00574A29"/>
    <w:rsid w:val="005752B7"/>
    <w:rsid w:val="00575AE7"/>
    <w:rsid w:val="00577DFE"/>
    <w:rsid w:val="00577FA2"/>
    <w:rsid w:val="005830BB"/>
    <w:rsid w:val="00583350"/>
    <w:rsid w:val="005865CC"/>
    <w:rsid w:val="00591700"/>
    <w:rsid w:val="0059410A"/>
    <w:rsid w:val="00595CE8"/>
    <w:rsid w:val="00596297"/>
    <w:rsid w:val="005976D8"/>
    <w:rsid w:val="005A2261"/>
    <w:rsid w:val="005A3AF3"/>
    <w:rsid w:val="005A432C"/>
    <w:rsid w:val="005A47EE"/>
    <w:rsid w:val="005A5B4C"/>
    <w:rsid w:val="005A5F45"/>
    <w:rsid w:val="005A6BD3"/>
    <w:rsid w:val="005B1800"/>
    <w:rsid w:val="005B1925"/>
    <w:rsid w:val="005B5415"/>
    <w:rsid w:val="005B644C"/>
    <w:rsid w:val="005C054F"/>
    <w:rsid w:val="005C1AFC"/>
    <w:rsid w:val="005C2FAB"/>
    <w:rsid w:val="005C43F0"/>
    <w:rsid w:val="005C7E51"/>
    <w:rsid w:val="005D004C"/>
    <w:rsid w:val="005D0050"/>
    <w:rsid w:val="005D167D"/>
    <w:rsid w:val="005D175E"/>
    <w:rsid w:val="005D1CC3"/>
    <w:rsid w:val="005D1E5F"/>
    <w:rsid w:val="005D206D"/>
    <w:rsid w:val="005D220D"/>
    <w:rsid w:val="005D2942"/>
    <w:rsid w:val="005D3D00"/>
    <w:rsid w:val="005D5D86"/>
    <w:rsid w:val="005D7048"/>
    <w:rsid w:val="005D70C9"/>
    <w:rsid w:val="005D7D04"/>
    <w:rsid w:val="005D7FEC"/>
    <w:rsid w:val="005E073E"/>
    <w:rsid w:val="005E2978"/>
    <w:rsid w:val="005E2EC9"/>
    <w:rsid w:val="005E4B1D"/>
    <w:rsid w:val="005E51C4"/>
    <w:rsid w:val="005E6954"/>
    <w:rsid w:val="005F0DA3"/>
    <w:rsid w:val="005F1E9B"/>
    <w:rsid w:val="005F2014"/>
    <w:rsid w:val="005F21B5"/>
    <w:rsid w:val="005F22A0"/>
    <w:rsid w:val="005F2812"/>
    <w:rsid w:val="005F3E6C"/>
    <w:rsid w:val="005F44C7"/>
    <w:rsid w:val="005F4981"/>
    <w:rsid w:val="005F6273"/>
    <w:rsid w:val="005F6814"/>
    <w:rsid w:val="005F7139"/>
    <w:rsid w:val="00600024"/>
    <w:rsid w:val="00600B4F"/>
    <w:rsid w:val="00601694"/>
    <w:rsid w:val="006022EA"/>
    <w:rsid w:val="00602BB0"/>
    <w:rsid w:val="00604BB4"/>
    <w:rsid w:val="00607314"/>
    <w:rsid w:val="006102FC"/>
    <w:rsid w:val="00611593"/>
    <w:rsid w:val="00612763"/>
    <w:rsid w:val="00612AC5"/>
    <w:rsid w:val="00613BC2"/>
    <w:rsid w:val="00614A4E"/>
    <w:rsid w:val="00615A70"/>
    <w:rsid w:val="00615B60"/>
    <w:rsid w:val="0061649F"/>
    <w:rsid w:val="00617020"/>
    <w:rsid w:val="00617331"/>
    <w:rsid w:val="00620776"/>
    <w:rsid w:val="00621E48"/>
    <w:rsid w:val="00622C50"/>
    <w:rsid w:val="00623329"/>
    <w:rsid w:val="0062349F"/>
    <w:rsid w:val="00624089"/>
    <w:rsid w:val="00624CE4"/>
    <w:rsid w:val="00625B05"/>
    <w:rsid w:val="00625ED8"/>
    <w:rsid w:val="00630209"/>
    <w:rsid w:val="006302BF"/>
    <w:rsid w:val="00630A39"/>
    <w:rsid w:val="00630E8C"/>
    <w:rsid w:val="00631917"/>
    <w:rsid w:val="00631ECA"/>
    <w:rsid w:val="00631ED6"/>
    <w:rsid w:val="006322D5"/>
    <w:rsid w:val="0063239D"/>
    <w:rsid w:val="00634D02"/>
    <w:rsid w:val="00634D17"/>
    <w:rsid w:val="00634EDE"/>
    <w:rsid w:val="006358B7"/>
    <w:rsid w:val="0063612E"/>
    <w:rsid w:val="00642D29"/>
    <w:rsid w:val="006433EF"/>
    <w:rsid w:val="00643410"/>
    <w:rsid w:val="00643567"/>
    <w:rsid w:val="006436D9"/>
    <w:rsid w:val="00644CDE"/>
    <w:rsid w:val="006463DB"/>
    <w:rsid w:val="00646556"/>
    <w:rsid w:val="00650C35"/>
    <w:rsid w:val="006522FA"/>
    <w:rsid w:val="00653016"/>
    <w:rsid w:val="00654D13"/>
    <w:rsid w:val="00654DE9"/>
    <w:rsid w:val="00655159"/>
    <w:rsid w:val="0065556F"/>
    <w:rsid w:val="00656E49"/>
    <w:rsid w:val="006620B0"/>
    <w:rsid w:val="006625A8"/>
    <w:rsid w:val="00662BA3"/>
    <w:rsid w:val="00664D60"/>
    <w:rsid w:val="00664EC4"/>
    <w:rsid w:val="00665F8F"/>
    <w:rsid w:val="0066632B"/>
    <w:rsid w:val="00667119"/>
    <w:rsid w:val="00667767"/>
    <w:rsid w:val="006700B4"/>
    <w:rsid w:val="00670667"/>
    <w:rsid w:val="006710ED"/>
    <w:rsid w:val="00671CCB"/>
    <w:rsid w:val="00672151"/>
    <w:rsid w:val="006726D3"/>
    <w:rsid w:val="0067302E"/>
    <w:rsid w:val="00673846"/>
    <w:rsid w:val="00682761"/>
    <w:rsid w:val="00682EC3"/>
    <w:rsid w:val="00683DE0"/>
    <w:rsid w:val="00686468"/>
    <w:rsid w:val="006868C9"/>
    <w:rsid w:val="00690373"/>
    <w:rsid w:val="00690913"/>
    <w:rsid w:val="00691C57"/>
    <w:rsid w:val="006925F8"/>
    <w:rsid w:val="0069385D"/>
    <w:rsid w:val="00693902"/>
    <w:rsid w:val="00696092"/>
    <w:rsid w:val="00696CD8"/>
    <w:rsid w:val="006971C2"/>
    <w:rsid w:val="006A034E"/>
    <w:rsid w:val="006A0652"/>
    <w:rsid w:val="006A0EE2"/>
    <w:rsid w:val="006A3333"/>
    <w:rsid w:val="006A5027"/>
    <w:rsid w:val="006A56FF"/>
    <w:rsid w:val="006A792B"/>
    <w:rsid w:val="006B099A"/>
    <w:rsid w:val="006B144A"/>
    <w:rsid w:val="006B218E"/>
    <w:rsid w:val="006B3B1E"/>
    <w:rsid w:val="006B408A"/>
    <w:rsid w:val="006B4E06"/>
    <w:rsid w:val="006B604F"/>
    <w:rsid w:val="006B706B"/>
    <w:rsid w:val="006C078D"/>
    <w:rsid w:val="006C086E"/>
    <w:rsid w:val="006C1769"/>
    <w:rsid w:val="006C1EBD"/>
    <w:rsid w:val="006C2F58"/>
    <w:rsid w:val="006C5189"/>
    <w:rsid w:val="006D057C"/>
    <w:rsid w:val="006D1F10"/>
    <w:rsid w:val="006D2B6F"/>
    <w:rsid w:val="006D30F7"/>
    <w:rsid w:val="006D5018"/>
    <w:rsid w:val="006D5169"/>
    <w:rsid w:val="006D575C"/>
    <w:rsid w:val="006D5D83"/>
    <w:rsid w:val="006D61CB"/>
    <w:rsid w:val="006D6DC4"/>
    <w:rsid w:val="006D7743"/>
    <w:rsid w:val="006E13B6"/>
    <w:rsid w:val="006E2932"/>
    <w:rsid w:val="006E3D87"/>
    <w:rsid w:val="006E51E5"/>
    <w:rsid w:val="006E5FC6"/>
    <w:rsid w:val="006E7CCF"/>
    <w:rsid w:val="006F0B04"/>
    <w:rsid w:val="006F136B"/>
    <w:rsid w:val="006F1CC9"/>
    <w:rsid w:val="006F4877"/>
    <w:rsid w:val="006F4A9D"/>
    <w:rsid w:val="006F4B1B"/>
    <w:rsid w:val="006F4B51"/>
    <w:rsid w:val="006F4F24"/>
    <w:rsid w:val="006F5B7C"/>
    <w:rsid w:val="006F66EE"/>
    <w:rsid w:val="00700047"/>
    <w:rsid w:val="00701B38"/>
    <w:rsid w:val="00703284"/>
    <w:rsid w:val="007033C5"/>
    <w:rsid w:val="00703B20"/>
    <w:rsid w:val="0070459D"/>
    <w:rsid w:val="00704831"/>
    <w:rsid w:val="00705A52"/>
    <w:rsid w:val="00706C91"/>
    <w:rsid w:val="0070748F"/>
    <w:rsid w:val="0070753E"/>
    <w:rsid w:val="007105F4"/>
    <w:rsid w:val="00710F35"/>
    <w:rsid w:val="0071167A"/>
    <w:rsid w:val="00713821"/>
    <w:rsid w:val="00714014"/>
    <w:rsid w:val="00714FC4"/>
    <w:rsid w:val="0072139B"/>
    <w:rsid w:val="00721E5F"/>
    <w:rsid w:val="0072577F"/>
    <w:rsid w:val="00726EB3"/>
    <w:rsid w:val="00727668"/>
    <w:rsid w:val="007302F2"/>
    <w:rsid w:val="0073164B"/>
    <w:rsid w:val="00731D4D"/>
    <w:rsid w:val="007336BA"/>
    <w:rsid w:val="007343BC"/>
    <w:rsid w:val="00734F2D"/>
    <w:rsid w:val="00735171"/>
    <w:rsid w:val="007351A8"/>
    <w:rsid w:val="00735B89"/>
    <w:rsid w:val="00735C0F"/>
    <w:rsid w:val="00735CC9"/>
    <w:rsid w:val="0073719C"/>
    <w:rsid w:val="00737BFE"/>
    <w:rsid w:val="0074015B"/>
    <w:rsid w:val="007409B6"/>
    <w:rsid w:val="00745E53"/>
    <w:rsid w:val="0074668A"/>
    <w:rsid w:val="00747CF9"/>
    <w:rsid w:val="00752E26"/>
    <w:rsid w:val="00753064"/>
    <w:rsid w:val="00753106"/>
    <w:rsid w:val="007534D9"/>
    <w:rsid w:val="00756291"/>
    <w:rsid w:val="00757081"/>
    <w:rsid w:val="00757186"/>
    <w:rsid w:val="0076299D"/>
    <w:rsid w:val="00762A0A"/>
    <w:rsid w:val="00767169"/>
    <w:rsid w:val="00767A29"/>
    <w:rsid w:val="007700E1"/>
    <w:rsid w:val="007702D5"/>
    <w:rsid w:val="007726E7"/>
    <w:rsid w:val="00775950"/>
    <w:rsid w:val="007763AC"/>
    <w:rsid w:val="00780840"/>
    <w:rsid w:val="00781C36"/>
    <w:rsid w:val="007827C1"/>
    <w:rsid w:val="00784820"/>
    <w:rsid w:val="007850B4"/>
    <w:rsid w:val="00786C6C"/>
    <w:rsid w:val="0078780C"/>
    <w:rsid w:val="0079048D"/>
    <w:rsid w:val="007907FD"/>
    <w:rsid w:val="00790B06"/>
    <w:rsid w:val="00790B57"/>
    <w:rsid w:val="00791CBE"/>
    <w:rsid w:val="00792D36"/>
    <w:rsid w:val="00793CD6"/>
    <w:rsid w:val="00794E03"/>
    <w:rsid w:val="00796FBD"/>
    <w:rsid w:val="007A072D"/>
    <w:rsid w:val="007A0FFB"/>
    <w:rsid w:val="007A2E86"/>
    <w:rsid w:val="007A3492"/>
    <w:rsid w:val="007A34D9"/>
    <w:rsid w:val="007A3C55"/>
    <w:rsid w:val="007A3E13"/>
    <w:rsid w:val="007A4729"/>
    <w:rsid w:val="007A4962"/>
    <w:rsid w:val="007A52E6"/>
    <w:rsid w:val="007A5CE3"/>
    <w:rsid w:val="007A613D"/>
    <w:rsid w:val="007A6703"/>
    <w:rsid w:val="007A71C7"/>
    <w:rsid w:val="007A7311"/>
    <w:rsid w:val="007A7E34"/>
    <w:rsid w:val="007B01E5"/>
    <w:rsid w:val="007B12C9"/>
    <w:rsid w:val="007B4B59"/>
    <w:rsid w:val="007B4EAB"/>
    <w:rsid w:val="007B4FF0"/>
    <w:rsid w:val="007B62EF"/>
    <w:rsid w:val="007B6C34"/>
    <w:rsid w:val="007B6EBB"/>
    <w:rsid w:val="007B7468"/>
    <w:rsid w:val="007C0364"/>
    <w:rsid w:val="007C08CC"/>
    <w:rsid w:val="007C1842"/>
    <w:rsid w:val="007C1C64"/>
    <w:rsid w:val="007C2019"/>
    <w:rsid w:val="007C44E3"/>
    <w:rsid w:val="007C5DCF"/>
    <w:rsid w:val="007C616B"/>
    <w:rsid w:val="007D0CA8"/>
    <w:rsid w:val="007D388E"/>
    <w:rsid w:val="007D3AA0"/>
    <w:rsid w:val="007D582F"/>
    <w:rsid w:val="007D5DE4"/>
    <w:rsid w:val="007D6276"/>
    <w:rsid w:val="007E2252"/>
    <w:rsid w:val="007E4489"/>
    <w:rsid w:val="007E5C4B"/>
    <w:rsid w:val="007E79CE"/>
    <w:rsid w:val="007E7B31"/>
    <w:rsid w:val="007E7C13"/>
    <w:rsid w:val="007F2596"/>
    <w:rsid w:val="007F318A"/>
    <w:rsid w:val="007F3C84"/>
    <w:rsid w:val="007F6861"/>
    <w:rsid w:val="0080171C"/>
    <w:rsid w:val="008040D0"/>
    <w:rsid w:val="0080456D"/>
    <w:rsid w:val="00804612"/>
    <w:rsid w:val="008047C7"/>
    <w:rsid w:val="008052B4"/>
    <w:rsid w:val="00806B29"/>
    <w:rsid w:val="00807E62"/>
    <w:rsid w:val="00807FD0"/>
    <w:rsid w:val="0080F572"/>
    <w:rsid w:val="008126F0"/>
    <w:rsid w:val="008127E0"/>
    <w:rsid w:val="00812BB2"/>
    <w:rsid w:val="008143E3"/>
    <w:rsid w:val="008155C3"/>
    <w:rsid w:val="008161DE"/>
    <w:rsid w:val="00816241"/>
    <w:rsid w:val="0081647F"/>
    <w:rsid w:val="00820103"/>
    <w:rsid w:val="008232F9"/>
    <w:rsid w:val="0082336D"/>
    <w:rsid w:val="00823B6F"/>
    <w:rsid w:val="008245E6"/>
    <w:rsid w:val="008246AB"/>
    <w:rsid w:val="00825B43"/>
    <w:rsid w:val="00826238"/>
    <w:rsid w:val="008264E4"/>
    <w:rsid w:val="00831C6E"/>
    <w:rsid w:val="00832D02"/>
    <w:rsid w:val="00832D6A"/>
    <w:rsid w:val="008339C2"/>
    <w:rsid w:val="00834663"/>
    <w:rsid w:val="0083551F"/>
    <w:rsid w:val="008356AA"/>
    <w:rsid w:val="00836119"/>
    <w:rsid w:val="00837634"/>
    <w:rsid w:val="00837A9B"/>
    <w:rsid w:val="0084019A"/>
    <w:rsid w:val="008413F6"/>
    <w:rsid w:val="008419B2"/>
    <w:rsid w:val="0084207B"/>
    <w:rsid w:val="008422F5"/>
    <w:rsid w:val="0084306B"/>
    <w:rsid w:val="008448BD"/>
    <w:rsid w:val="00844C9A"/>
    <w:rsid w:val="00845B34"/>
    <w:rsid w:val="0084609A"/>
    <w:rsid w:val="008473A9"/>
    <w:rsid w:val="00854467"/>
    <w:rsid w:val="008562ED"/>
    <w:rsid w:val="00856985"/>
    <w:rsid w:val="008573C9"/>
    <w:rsid w:val="00857EE5"/>
    <w:rsid w:val="0086036B"/>
    <w:rsid w:val="008615AF"/>
    <w:rsid w:val="0086163A"/>
    <w:rsid w:val="008620CE"/>
    <w:rsid w:val="00862556"/>
    <w:rsid w:val="00862963"/>
    <w:rsid w:val="00863481"/>
    <w:rsid w:val="00863AA9"/>
    <w:rsid w:val="0086404F"/>
    <w:rsid w:val="00865A6D"/>
    <w:rsid w:val="00865B07"/>
    <w:rsid w:val="00866614"/>
    <w:rsid w:val="00867A9E"/>
    <w:rsid w:val="0087390A"/>
    <w:rsid w:val="0087412C"/>
    <w:rsid w:val="00874830"/>
    <w:rsid w:val="00875A0D"/>
    <w:rsid w:val="00876CE4"/>
    <w:rsid w:val="00877A5F"/>
    <w:rsid w:val="008800B9"/>
    <w:rsid w:val="00880542"/>
    <w:rsid w:val="00881C71"/>
    <w:rsid w:val="008823F5"/>
    <w:rsid w:val="00883033"/>
    <w:rsid w:val="008830DB"/>
    <w:rsid w:val="00886998"/>
    <w:rsid w:val="00897279"/>
    <w:rsid w:val="008977D7"/>
    <w:rsid w:val="008A1573"/>
    <w:rsid w:val="008A15AE"/>
    <w:rsid w:val="008A3C28"/>
    <w:rsid w:val="008A498E"/>
    <w:rsid w:val="008A6BA1"/>
    <w:rsid w:val="008A6D76"/>
    <w:rsid w:val="008A77BD"/>
    <w:rsid w:val="008B0B99"/>
    <w:rsid w:val="008B2148"/>
    <w:rsid w:val="008B32EE"/>
    <w:rsid w:val="008B3F22"/>
    <w:rsid w:val="008B4252"/>
    <w:rsid w:val="008B4D38"/>
    <w:rsid w:val="008C1A1B"/>
    <w:rsid w:val="008C2B4B"/>
    <w:rsid w:val="008C47CF"/>
    <w:rsid w:val="008C4A20"/>
    <w:rsid w:val="008C51DC"/>
    <w:rsid w:val="008C6965"/>
    <w:rsid w:val="008C7364"/>
    <w:rsid w:val="008C742C"/>
    <w:rsid w:val="008D1182"/>
    <w:rsid w:val="008D2088"/>
    <w:rsid w:val="008D2DFB"/>
    <w:rsid w:val="008D3251"/>
    <w:rsid w:val="008D5533"/>
    <w:rsid w:val="008D6359"/>
    <w:rsid w:val="008E3128"/>
    <w:rsid w:val="008E482C"/>
    <w:rsid w:val="008E6C82"/>
    <w:rsid w:val="008E713B"/>
    <w:rsid w:val="008F10AA"/>
    <w:rsid w:val="008F3C7C"/>
    <w:rsid w:val="008F4D3D"/>
    <w:rsid w:val="008F509E"/>
    <w:rsid w:val="008F5FB6"/>
    <w:rsid w:val="008F6FF8"/>
    <w:rsid w:val="008F7238"/>
    <w:rsid w:val="009003E8"/>
    <w:rsid w:val="0090539E"/>
    <w:rsid w:val="00907FF5"/>
    <w:rsid w:val="009104BC"/>
    <w:rsid w:val="00914C09"/>
    <w:rsid w:val="00914DE7"/>
    <w:rsid w:val="0091525C"/>
    <w:rsid w:val="00915481"/>
    <w:rsid w:val="00917FF7"/>
    <w:rsid w:val="00924DFC"/>
    <w:rsid w:val="009258B3"/>
    <w:rsid w:val="00926806"/>
    <w:rsid w:val="0093077A"/>
    <w:rsid w:val="00930C62"/>
    <w:rsid w:val="009335BC"/>
    <w:rsid w:val="0093409C"/>
    <w:rsid w:val="00935FEF"/>
    <w:rsid w:val="0093603D"/>
    <w:rsid w:val="00937DCD"/>
    <w:rsid w:val="00940297"/>
    <w:rsid w:val="00940431"/>
    <w:rsid w:val="00940914"/>
    <w:rsid w:val="00942FEA"/>
    <w:rsid w:val="00943FD3"/>
    <w:rsid w:val="00947F1B"/>
    <w:rsid w:val="00951F69"/>
    <w:rsid w:val="0095311B"/>
    <w:rsid w:val="00955E8E"/>
    <w:rsid w:val="00957C38"/>
    <w:rsid w:val="00957CCB"/>
    <w:rsid w:val="00960797"/>
    <w:rsid w:val="00961294"/>
    <w:rsid w:val="00961D70"/>
    <w:rsid w:val="00962C27"/>
    <w:rsid w:val="00963ACB"/>
    <w:rsid w:val="009649A2"/>
    <w:rsid w:val="009655B9"/>
    <w:rsid w:val="009675FF"/>
    <w:rsid w:val="00967E67"/>
    <w:rsid w:val="0097085A"/>
    <w:rsid w:val="00970A37"/>
    <w:rsid w:val="009713DB"/>
    <w:rsid w:val="00971C87"/>
    <w:rsid w:val="00971D2D"/>
    <w:rsid w:val="00972D6E"/>
    <w:rsid w:val="00974082"/>
    <w:rsid w:val="00975B57"/>
    <w:rsid w:val="00975C39"/>
    <w:rsid w:val="00975CBE"/>
    <w:rsid w:val="00976279"/>
    <w:rsid w:val="0097637C"/>
    <w:rsid w:val="009773BF"/>
    <w:rsid w:val="009777A5"/>
    <w:rsid w:val="009806CD"/>
    <w:rsid w:val="00980F63"/>
    <w:rsid w:val="00981DF8"/>
    <w:rsid w:val="00981E30"/>
    <w:rsid w:val="00982161"/>
    <w:rsid w:val="0098245C"/>
    <w:rsid w:val="00984861"/>
    <w:rsid w:val="00984A9E"/>
    <w:rsid w:val="00985334"/>
    <w:rsid w:val="0098730F"/>
    <w:rsid w:val="00987E31"/>
    <w:rsid w:val="00987E4E"/>
    <w:rsid w:val="009902D6"/>
    <w:rsid w:val="00993634"/>
    <w:rsid w:val="00994459"/>
    <w:rsid w:val="0099498D"/>
    <w:rsid w:val="0099500C"/>
    <w:rsid w:val="00996006"/>
    <w:rsid w:val="009A15D9"/>
    <w:rsid w:val="009A1A22"/>
    <w:rsid w:val="009A36C3"/>
    <w:rsid w:val="009A5E7E"/>
    <w:rsid w:val="009A700A"/>
    <w:rsid w:val="009B4E99"/>
    <w:rsid w:val="009B7957"/>
    <w:rsid w:val="009C03BB"/>
    <w:rsid w:val="009C1109"/>
    <w:rsid w:val="009C172A"/>
    <w:rsid w:val="009C1C40"/>
    <w:rsid w:val="009C28A8"/>
    <w:rsid w:val="009C3C23"/>
    <w:rsid w:val="009C564F"/>
    <w:rsid w:val="009C593F"/>
    <w:rsid w:val="009C67FD"/>
    <w:rsid w:val="009C6F1D"/>
    <w:rsid w:val="009D0AA2"/>
    <w:rsid w:val="009D1041"/>
    <w:rsid w:val="009D238D"/>
    <w:rsid w:val="009D3456"/>
    <w:rsid w:val="009D35D6"/>
    <w:rsid w:val="009D3D5B"/>
    <w:rsid w:val="009D4FF6"/>
    <w:rsid w:val="009D5123"/>
    <w:rsid w:val="009D5214"/>
    <w:rsid w:val="009D573E"/>
    <w:rsid w:val="009D5ACB"/>
    <w:rsid w:val="009D6A93"/>
    <w:rsid w:val="009D78FE"/>
    <w:rsid w:val="009D7E84"/>
    <w:rsid w:val="009E2570"/>
    <w:rsid w:val="009E4659"/>
    <w:rsid w:val="009E590E"/>
    <w:rsid w:val="009E6795"/>
    <w:rsid w:val="009E7A45"/>
    <w:rsid w:val="009F0C4B"/>
    <w:rsid w:val="009F16A3"/>
    <w:rsid w:val="009F1BF3"/>
    <w:rsid w:val="009F2117"/>
    <w:rsid w:val="009F2520"/>
    <w:rsid w:val="009F32C5"/>
    <w:rsid w:val="009F371D"/>
    <w:rsid w:val="009F3D78"/>
    <w:rsid w:val="009F6CB0"/>
    <w:rsid w:val="009F6D81"/>
    <w:rsid w:val="00A004EF"/>
    <w:rsid w:val="00A00D5F"/>
    <w:rsid w:val="00A020DF"/>
    <w:rsid w:val="00A02F6A"/>
    <w:rsid w:val="00A05C53"/>
    <w:rsid w:val="00A063F4"/>
    <w:rsid w:val="00A075AD"/>
    <w:rsid w:val="00A07A04"/>
    <w:rsid w:val="00A07B0E"/>
    <w:rsid w:val="00A07E66"/>
    <w:rsid w:val="00A129B2"/>
    <w:rsid w:val="00A12BCE"/>
    <w:rsid w:val="00A13AE2"/>
    <w:rsid w:val="00A14024"/>
    <w:rsid w:val="00A14BC5"/>
    <w:rsid w:val="00A17403"/>
    <w:rsid w:val="00A17956"/>
    <w:rsid w:val="00A17A5F"/>
    <w:rsid w:val="00A225FB"/>
    <w:rsid w:val="00A2458F"/>
    <w:rsid w:val="00A252D2"/>
    <w:rsid w:val="00A263FE"/>
    <w:rsid w:val="00A267F5"/>
    <w:rsid w:val="00A26B8D"/>
    <w:rsid w:val="00A2705C"/>
    <w:rsid w:val="00A2760C"/>
    <w:rsid w:val="00A31849"/>
    <w:rsid w:val="00A325BF"/>
    <w:rsid w:val="00A32C6F"/>
    <w:rsid w:val="00A331F9"/>
    <w:rsid w:val="00A34710"/>
    <w:rsid w:val="00A3495B"/>
    <w:rsid w:val="00A35979"/>
    <w:rsid w:val="00A36A0C"/>
    <w:rsid w:val="00A37901"/>
    <w:rsid w:val="00A4241B"/>
    <w:rsid w:val="00A43131"/>
    <w:rsid w:val="00A43FBA"/>
    <w:rsid w:val="00A4411E"/>
    <w:rsid w:val="00A4444A"/>
    <w:rsid w:val="00A460C0"/>
    <w:rsid w:val="00A46B87"/>
    <w:rsid w:val="00A46FED"/>
    <w:rsid w:val="00A4737B"/>
    <w:rsid w:val="00A506D0"/>
    <w:rsid w:val="00A50D52"/>
    <w:rsid w:val="00A530EF"/>
    <w:rsid w:val="00A56ED9"/>
    <w:rsid w:val="00A57B92"/>
    <w:rsid w:val="00A63860"/>
    <w:rsid w:val="00A63ABA"/>
    <w:rsid w:val="00A64065"/>
    <w:rsid w:val="00A65403"/>
    <w:rsid w:val="00A65418"/>
    <w:rsid w:val="00A65BC9"/>
    <w:rsid w:val="00A65E2A"/>
    <w:rsid w:val="00A66C69"/>
    <w:rsid w:val="00A67C9D"/>
    <w:rsid w:val="00A70037"/>
    <w:rsid w:val="00A70917"/>
    <w:rsid w:val="00A70D8A"/>
    <w:rsid w:val="00A71AEB"/>
    <w:rsid w:val="00A71FE5"/>
    <w:rsid w:val="00A72130"/>
    <w:rsid w:val="00A7226A"/>
    <w:rsid w:val="00A732D9"/>
    <w:rsid w:val="00A75365"/>
    <w:rsid w:val="00A75D53"/>
    <w:rsid w:val="00A76BFA"/>
    <w:rsid w:val="00A7735A"/>
    <w:rsid w:val="00A77385"/>
    <w:rsid w:val="00A808A1"/>
    <w:rsid w:val="00A8188C"/>
    <w:rsid w:val="00A81AF8"/>
    <w:rsid w:val="00A82247"/>
    <w:rsid w:val="00A82B3E"/>
    <w:rsid w:val="00A84F86"/>
    <w:rsid w:val="00A8685B"/>
    <w:rsid w:val="00A86C0B"/>
    <w:rsid w:val="00A86E3B"/>
    <w:rsid w:val="00A87B62"/>
    <w:rsid w:val="00A9057C"/>
    <w:rsid w:val="00A91413"/>
    <w:rsid w:val="00A9164F"/>
    <w:rsid w:val="00A9173D"/>
    <w:rsid w:val="00A93377"/>
    <w:rsid w:val="00A943E4"/>
    <w:rsid w:val="00A94C11"/>
    <w:rsid w:val="00A94CAF"/>
    <w:rsid w:val="00A95B43"/>
    <w:rsid w:val="00A96BAE"/>
    <w:rsid w:val="00AA09EC"/>
    <w:rsid w:val="00AA1FB6"/>
    <w:rsid w:val="00AA2B79"/>
    <w:rsid w:val="00AA2F48"/>
    <w:rsid w:val="00AA466B"/>
    <w:rsid w:val="00AA4CBF"/>
    <w:rsid w:val="00AA5089"/>
    <w:rsid w:val="00AA5D71"/>
    <w:rsid w:val="00AA628E"/>
    <w:rsid w:val="00AA6CBA"/>
    <w:rsid w:val="00AA6F63"/>
    <w:rsid w:val="00AA76FB"/>
    <w:rsid w:val="00AB2A5D"/>
    <w:rsid w:val="00AB34AB"/>
    <w:rsid w:val="00AB36B9"/>
    <w:rsid w:val="00AB3930"/>
    <w:rsid w:val="00AB4B1F"/>
    <w:rsid w:val="00AB4E3F"/>
    <w:rsid w:val="00AB7957"/>
    <w:rsid w:val="00AC00AE"/>
    <w:rsid w:val="00AC0646"/>
    <w:rsid w:val="00AC2824"/>
    <w:rsid w:val="00AC2C0E"/>
    <w:rsid w:val="00AC3519"/>
    <w:rsid w:val="00AC3F6B"/>
    <w:rsid w:val="00AC4197"/>
    <w:rsid w:val="00AC43F6"/>
    <w:rsid w:val="00AC5776"/>
    <w:rsid w:val="00AC599B"/>
    <w:rsid w:val="00AC667B"/>
    <w:rsid w:val="00AC6D9F"/>
    <w:rsid w:val="00AD0527"/>
    <w:rsid w:val="00AD0A7A"/>
    <w:rsid w:val="00AD0D9C"/>
    <w:rsid w:val="00AD1B65"/>
    <w:rsid w:val="00AD2EC2"/>
    <w:rsid w:val="00AD336D"/>
    <w:rsid w:val="00AD4040"/>
    <w:rsid w:val="00AD43FE"/>
    <w:rsid w:val="00AD4795"/>
    <w:rsid w:val="00AD7EAE"/>
    <w:rsid w:val="00AE0C40"/>
    <w:rsid w:val="00AE1AE6"/>
    <w:rsid w:val="00AE2EFD"/>
    <w:rsid w:val="00AE36AF"/>
    <w:rsid w:val="00AE41E4"/>
    <w:rsid w:val="00AE4A99"/>
    <w:rsid w:val="00AE4CAB"/>
    <w:rsid w:val="00AE76E1"/>
    <w:rsid w:val="00AF1511"/>
    <w:rsid w:val="00AF28E8"/>
    <w:rsid w:val="00AF3554"/>
    <w:rsid w:val="00AF5658"/>
    <w:rsid w:val="00AF5AD5"/>
    <w:rsid w:val="00AF6084"/>
    <w:rsid w:val="00B01130"/>
    <w:rsid w:val="00B044A0"/>
    <w:rsid w:val="00B04AA6"/>
    <w:rsid w:val="00B0600D"/>
    <w:rsid w:val="00B06C83"/>
    <w:rsid w:val="00B104B0"/>
    <w:rsid w:val="00B106AD"/>
    <w:rsid w:val="00B12919"/>
    <w:rsid w:val="00B13AD8"/>
    <w:rsid w:val="00B14355"/>
    <w:rsid w:val="00B15FF2"/>
    <w:rsid w:val="00B2348F"/>
    <w:rsid w:val="00B23FE4"/>
    <w:rsid w:val="00B24846"/>
    <w:rsid w:val="00B24F3A"/>
    <w:rsid w:val="00B2535B"/>
    <w:rsid w:val="00B2601F"/>
    <w:rsid w:val="00B27A72"/>
    <w:rsid w:val="00B33D30"/>
    <w:rsid w:val="00B35F3B"/>
    <w:rsid w:val="00B36C35"/>
    <w:rsid w:val="00B36D8E"/>
    <w:rsid w:val="00B377EC"/>
    <w:rsid w:val="00B37D71"/>
    <w:rsid w:val="00B40D5D"/>
    <w:rsid w:val="00B416FE"/>
    <w:rsid w:val="00B41B31"/>
    <w:rsid w:val="00B41EA5"/>
    <w:rsid w:val="00B42500"/>
    <w:rsid w:val="00B42C80"/>
    <w:rsid w:val="00B42D7D"/>
    <w:rsid w:val="00B43B82"/>
    <w:rsid w:val="00B446D9"/>
    <w:rsid w:val="00B44849"/>
    <w:rsid w:val="00B45C7A"/>
    <w:rsid w:val="00B46F14"/>
    <w:rsid w:val="00B50BB3"/>
    <w:rsid w:val="00B515D1"/>
    <w:rsid w:val="00B52712"/>
    <w:rsid w:val="00B52F88"/>
    <w:rsid w:val="00B538B6"/>
    <w:rsid w:val="00B544E1"/>
    <w:rsid w:val="00B55F94"/>
    <w:rsid w:val="00B56192"/>
    <w:rsid w:val="00B61BDE"/>
    <w:rsid w:val="00B6213D"/>
    <w:rsid w:val="00B6262D"/>
    <w:rsid w:val="00B646A7"/>
    <w:rsid w:val="00B649EF"/>
    <w:rsid w:val="00B717CD"/>
    <w:rsid w:val="00B71EDB"/>
    <w:rsid w:val="00B72F8D"/>
    <w:rsid w:val="00B73190"/>
    <w:rsid w:val="00B732B8"/>
    <w:rsid w:val="00B74C0F"/>
    <w:rsid w:val="00B771BF"/>
    <w:rsid w:val="00B806D7"/>
    <w:rsid w:val="00B825EF"/>
    <w:rsid w:val="00B84805"/>
    <w:rsid w:val="00B85317"/>
    <w:rsid w:val="00B86624"/>
    <w:rsid w:val="00B87519"/>
    <w:rsid w:val="00B8757F"/>
    <w:rsid w:val="00B9065E"/>
    <w:rsid w:val="00B913C9"/>
    <w:rsid w:val="00B932D1"/>
    <w:rsid w:val="00B95B59"/>
    <w:rsid w:val="00B97D95"/>
    <w:rsid w:val="00BA275E"/>
    <w:rsid w:val="00BA4246"/>
    <w:rsid w:val="00BA4406"/>
    <w:rsid w:val="00BA568A"/>
    <w:rsid w:val="00BA7476"/>
    <w:rsid w:val="00BA751D"/>
    <w:rsid w:val="00BA75C4"/>
    <w:rsid w:val="00BB005A"/>
    <w:rsid w:val="00BB0267"/>
    <w:rsid w:val="00BB09A2"/>
    <w:rsid w:val="00BB1F7B"/>
    <w:rsid w:val="00BB226B"/>
    <w:rsid w:val="00BB2BE8"/>
    <w:rsid w:val="00BB2CA6"/>
    <w:rsid w:val="00BB387D"/>
    <w:rsid w:val="00BB3B1F"/>
    <w:rsid w:val="00BB7EA5"/>
    <w:rsid w:val="00BC09AA"/>
    <w:rsid w:val="00BC0AE5"/>
    <w:rsid w:val="00BC10B4"/>
    <w:rsid w:val="00BC152D"/>
    <w:rsid w:val="00BC268E"/>
    <w:rsid w:val="00BC32FC"/>
    <w:rsid w:val="00BC3BB1"/>
    <w:rsid w:val="00BC3F03"/>
    <w:rsid w:val="00BC475D"/>
    <w:rsid w:val="00BC5804"/>
    <w:rsid w:val="00BC6177"/>
    <w:rsid w:val="00BC66CB"/>
    <w:rsid w:val="00BC78EE"/>
    <w:rsid w:val="00BC7B53"/>
    <w:rsid w:val="00BD153A"/>
    <w:rsid w:val="00BD29FD"/>
    <w:rsid w:val="00BD462E"/>
    <w:rsid w:val="00BD5D94"/>
    <w:rsid w:val="00BD7756"/>
    <w:rsid w:val="00BE03BA"/>
    <w:rsid w:val="00BE1AFB"/>
    <w:rsid w:val="00BE2275"/>
    <w:rsid w:val="00BE2A74"/>
    <w:rsid w:val="00BE2CF3"/>
    <w:rsid w:val="00BE4401"/>
    <w:rsid w:val="00BE7491"/>
    <w:rsid w:val="00BE74D5"/>
    <w:rsid w:val="00BF01EA"/>
    <w:rsid w:val="00BF1229"/>
    <w:rsid w:val="00BF13F1"/>
    <w:rsid w:val="00BF2240"/>
    <w:rsid w:val="00BF2A29"/>
    <w:rsid w:val="00BF57D3"/>
    <w:rsid w:val="00BF7FE2"/>
    <w:rsid w:val="00C00474"/>
    <w:rsid w:val="00C0068E"/>
    <w:rsid w:val="00C031DC"/>
    <w:rsid w:val="00C03D60"/>
    <w:rsid w:val="00C05F61"/>
    <w:rsid w:val="00C0726F"/>
    <w:rsid w:val="00C12697"/>
    <w:rsid w:val="00C16214"/>
    <w:rsid w:val="00C1625E"/>
    <w:rsid w:val="00C170AC"/>
    <w:rsid w:val="00C17A29"/>
    <w:rsid w:val="00C17B29"/>
    <w:rsid w:val="00C22BA7"/>
    <w:rsid w:val="00C233D8"/>
    <w:rsid w:val="00C243C4"/>
    <w:rsid w:val="00C245BF"/>
    <w:rsid w:val="00C24AFB"/>
    <w:rsid w:val="00C26773"/>
    <w:rsid w:val="00C273F1"/>
    <w:rsid w:val="00C279D1"/>
    <w:rsid w:val="00C315B5"/>
    <w:rsid w:val="00C32CAD"/>
    <w:rsid w:val="00C35A84"/>
    <w:rsid w:val="00C377F0"/>
    <w:rsid w:val="00C41364"/>
    <w:rsid w:val="00C51A53"/>
    <w:rsid w:val="00C52582"/>
    <w:rsid w:val="00C52768"/>
    <w:rsid w:val="00C53260"/>
    <w:rsid w:val="00C54345"/>
    <w:rsid w:val="00C56D87"/>
    <w:rsid w:val="00C636C2"/>
    <w:rsid w:val="00C66448"/>
    <w:rsid w:val="00C6657C"/>
    <w:rsid w:val="00C669A7"/>
    <w:rsid w:val="00C7351F"/>
    <w:rsid w:val="00C74943"/>
    <w:rsid w:val="00C74C34"/>
    <w:rsid w:val="00C752C5"/>
    <w:rsid w:val="00C75C92"/>
    <w:rsid w:val="00C7730C"/>
    <w:rsid w:val="00C80CDD"/>
    <w:rsid w:val="00C811A7"/>
    <w:rsid w:val="00C812A4"/>
    <w:rsid w:val="00C8174D"/>
    <w:rsid w:val="00C82301"/>
    <w:rsid w:val="00C8301C"/>
    <w:rsid w:val="00C8360A"/>
    <w:rsid w:val="00C849E5"/>
    <w:rsid w:val="00C85EDC"/>
    <w:rsid w:val="00C86854"/>
    <w:rsid w:val="00C86955"/>
    <w:rsid w:val="00C8768F"/>
    <w:rsid w:val="00C90092"/>
    <w:rsid w:val="00C92FE5"/>
    <w:rsid w:val="00C93CED"/>
    <w:rsid w:val="00C944A0"/>
    <w:rsid w:val="00C94B3A"/>
    <w:rsid w:val="00C95160"/>
    <w:rsid w:val="00C952D5"/>
    <w:rsid w:val="00C979FE"/>
    <w:rsid w:val="00CA0BE0"/>
    <w:rsid w:val="00CA404C"/>
    <w:rsid w:val="00CA437A"/>
    <w:rsid w:val="00CA5AE7"/>
    <w:rsid w:val="00CA5B62"/>
    <w:rsid w:val="00CA60F6"/>
    <w:rsid w:val="00CB05C3"/>
    <w:rsid w:val="00CB09B6"/>
    <w:rsid w:val="00CB0B57"/>
    <w:rsid w:val="00CB12E5"/>
    <w:rsid w:val="00CB24D8"/>
    <w:rsid w:val="00CB4951"/>
    <w:rsid w:val="00CB49A4"/>
    <w:rsid w:val="00CB4B02"/>
    <w:rsid w:val="00CC017A"/>
    <w:rsid w:val="00CC1597"/>
    <w:rsid w:val="00CC1BF5"/>
    <w:rsid w:val="00CC2950"/>
    <w:rsid w:val="00CC3D2A"/>
    <w:rsid w:val="00CC4E59"/>
    <w:rsid w:val="00CC5DE5"/>
    <w:rsid w:val="00CC5E64"/>
    <w:rsid w:val="00CC6820"/>
    <w:rsid w:val="00CC7C65"/>
    <w:rsid w:val="00CD3087"/>
    <w:rsid w:val="00CD357F"/>
    <w:rsid w:val="00CD3819"/>
    <w:rsid w:val="00CD53B7"/>
    <w:rsid w:val="00CD5A19"/>
    <w:rsid w:val="00CD623E"/>
    <w:rsid w:val="00CD7DC4"/>
    <w:rsid w:val="00CE1CBD"/>
    <w:rsid w:val="00CE3E28"/>
    <w:rsid w:val="00CE57D9"/>
    <w:rsid w:val="00CE7DB0"/>
    <w:rsid w:val="00CF1D06"/>
    <w:rsid w:val="00CF3B18"/>
    <w:rsid w:val="00CF52C5"/>
    <w:rsid w:val="00D006B2"/>
    <w:rsid w:val="00D00866"/>
    <w:rsid w:val="00D01342"/>
    <w:rsid w:val="00D02AD6"/>
    <w:rsid w:val="00D0353F"/>
    <w:rsid w:val="00D0356B"/>
    <w:rsid w:val="00D055D5"/>
    <w:rsid w:val="00D10351"/>
    <w:rsid w:val="00D10E14"/>
    <w:rsid w:val="00D157F7"/>
    <w:rsid w:val="00D15C24"/>
    <w:rsid w:val="00D15D06"/>
    <w:rsid w:val="00D1D72F"/>
    <w:rsid w:val="00D20215"/>
    <w:rsid w:val="00D20B74"/>
    <w:rsid w:val="00D211F1"/>
    <w:rsid w:val="00D21D32"/>
    <w:rsid w:val="00D22E7C"/>
    <w:rsid w:val="00D22FB1"/>
    <w:rsid w:val="00D2382E"/>
    <w:rsid w:val="00D23CE6"/>
    <w:rsid w:val="00D26CC8"/>
    <w:rsid w:val="00D302C3"/>
    <w:rsid w:val="00D329F8"/>
    <w:rsid w:val="00D338A4"/>
    <w:rsid w:val="00D3399A"/>
    <w:rsid w:val="00D342CE"/>
    <w:rsid w:val="00D348F0"/>
    <w:rsid w:val="00D34C67"/>
    <w:rsid w:val="00D405C6"/>
    <w:rsid w:val="00D4293E"/>
    <w:rsid w:val="00D435EF"/>
    <w:rsid w:val="00D43F3E"/>
    <w:rsid w:val="00D44BB8"/>
    <w:rsid w:val="00D45FB9"/>
    <w:rsid w:val="00D46F5E"/>
    <w:rsid w:val="00D5000E"/>
    <w:rsid w:val="00D5014B"/>
    <w:rsid w:val="00D503C3"/>
    <w:rsid w:val="00D51521"/>
    <w:rsid w:val="00D52F8C"/>
    <w:rsid w:val="00D543C0"/>
    <w:rsid w:val="00D54A67"/>
    <w:rsid w:val="00D55ECF"/>
    <w:rsid w:val="00D5756A"/>
    <w:rsid w:val="00D578E5"/>
    <w:rsid w:val="00D60371"/>
    <w:rsid w:val="00D60A00"/>
    <w:rsid w:val="00D60D28"/>
    <w:rsid w:val="00D60D65"/>
    <w:rsid w:val="00D6300E"/>
    <w:rsid w:val="00D64A68"/>
    <w:rsid w:val="00D71C88"/>
    <w:rsid w:val="00D71EF4"/>
    <w:rsid w:val="00D7256F"/>
    <w:rsid w:val="00D72E0B"/>
    <w:rsid w:val="00D7383F"/>
    <w:rsid w:val="00D73984"/>
    <w:rsid w:val="00D73B0B"/>
    <w:rsid w:val="00D7403B"/>
    <w:rsid w:val="00D74112"/>
    <w:rsid w:val="00D747D1"/>
    <w:rsid w:val="00D753DD"/>
    <w:rsid w:val="00D84917"/>
    <w:rsid w:val="00D851B7"/>
    <w:rsid w:val="00D85D20"/>
    <w:rsid w:val="00D906E4"/>
    <w:rsid w:val="00D91117"/>
    <w:rsid w:val="00D91B0A"/>
    <w:rsid w:val="00D92026"/>
    <w:rsid w:val="00D933BB"/>
    <w:rsid w:val="00D94B1B"/>
    <w:rsid w:val="00DA11F3"/>
    <w:rsid w:val="00DA1817"/>
    <w:rsid w:val="00DA1922"/>
    <w:rsid w:val="00DA29BC"/>
    <w:rsid w:val="00DA3B7E"/>
    <w:rsid w:val="00DA4245"/>
    <w:rsid w:val="00DA437C"/>
    <w:rsid w:val="00DA4CF7"/>
    <w:rsid w:val="00DA61AE"/>
    <w:rsid w:val="00DA65FC"/>
    <w:rsid w:val="00DA69C3"/>
    <w:rsid w:val="00DA6D00"/>
    <w:rsid w:val="00DB102D"/>
    <w:rsid w:val="00DB253D"/>
    <w:rsid w:val="00DB498B"/>
    <w:rsid w:val="00DB51C1"/>
    <w:rsid w:val="00DB53D4"/>
    <w:rsid w:val="00DB5A28"/>
    <w:rsid w:val="00DC06FA"/>
    <w:rsid w:val="00DC561A"/>
    <w:rsid w:val="00DD0278"/>
    <w:rsid w:val="00DD0988"/>
    <w:rsid w:val="00DD10F3"/>
    <w:rsid w:val="00DD216A"/>
    <w:rsid w:val="00DD3064"/>
    <w:rsid w:val="00DD4087"/>
    <w:rsid w:val="00DD4A3E"/>
    <w:rsid w:val="00DD50B6"/>
    <w:rsid w:val="00DD53E3"/>
    <w:rsid w:val="00DD54B2"/>
    <w:rsid w:val="00DD6214"/>
    <w:rsid w:val="00DD68DF"/>
    <w:rsid w:val="00DD6A28"/>
    <w:rsid w:val="00DE08F1"/>
    <w:rsid w:val="00DE3A5A"/>
    <w:rsid w:val="00DE3E60"/>
    <w:rsid w:val="00DE3EA3"/>
    <w:rsid w:val="00DE4741"/>
    <w:rsid w:val="00DE4A4C"/>
    <w:rsid w:val="00DE4FA2"/>
    <w:rsid w:val="00DE5639"/>
    <w:rsid w:val="00DE7029"/>
    <w:rsid w:val="00DF1929"/>
    <w:rsid w:val="00DF1937"/>
    <w:rsid w:val="00DF2D00"/>
    <w:rsid w:val="00DF666B"/>
    <w:rsid w:val="00DF6B84"/>
    <w:rsid w:val="00DF6C00"/>
    <w:rsid w:val="00DF7D4F"/>
    <w:rsid w:val="00E0071E"/>
    <w:rsid w:val="00E04759"/>
    <w:rsid w:val="00E04E33"/>
    <w:rsid w:val="00E05135"/>
    <w:rsid w:val="00E05437"/>
    <w:rsid w:val="00E058BE"/>
    <w:rsid w:val="00E11530"/>
    <w:rsid w:val="00E11D8C"/>
    <w:rsid w:val="00E123DB"/>
    <w:rsid w:val="00E14120"/>
    <w:rsid w:val="00E14B25"/>
    <w:rsid w:val="00E15529"/>
    <w:rsid w:val="00E17802"/>
    <w:rsid w:val="00E21128"/>
    <w:rsid w:val="00E21A2A"/>
    <w:rsid w:val="00E25806"/>
    <w:rsid w:val="00E25FDF"/>
    <w:rsid w:val="00E26AF7"/>
    <w:rsid w:val="00E26F9F"/>
    <w:rsid w:val="00E27EC5"/>
    <w:rsid w:val="00E308B7"/>
    <w:rsid w:val="00E31FB8"/>
    <w:rsid w:val="00E33387"/>
    <w:rsid w:val="00E33AEA"/>
    <w:rsid w:val="00E34405"/>
    <w:rsid w:val="00E350C3"/>
    <w:rsid w:val="00E3536D"/>
    <w:rsid w:val="00E35E1A"/>
    <w:rsid w:val="00E362DC"/>
    <w:rsid w:val="00E3644A"/>
    <w:rsid w:val="00E40D31"/>
    <w:rsid w:val="00E4113C"/>
    <w:rsid w:val="00E4171C"/>
    <w:rsid w:val="00E41FF8"/>
    <w:rsid w:val="00E452F0"/>
    <w:rsid w:val="00E45B5C"/>
    <w:rsid w:val="00E462CA"/>
    <w:rsid w:val="00E51636"/>
    <w:rsid w:val="00E535B2"/>
    <w:rsid w:val="00E55AC0"/>
    <w:rsid w:val="00E5711F"/>
    <w:rsid w:val="00E60CA9"/>
    <w:rsid w:val="00E61C83"/>
    <w:rsid w:val="00E6274C"/>
    <w:rsid w:val="00E62E67"/>
    <w:rsid w:val="00E62EF1"/>
    <w:rsid w:val="00E64360"/>
    <w:rsid w:val="00E6612E"/>
    <w:rsid w:val="00E705F1"/>
    <w:rsid w:val="00E71904"/>
    <w:rsid w:val="00E729EC"/>
    <w:rsid w:val="00E747E3"/>
    <w:rsid w:val="00E75490"/>
    <w:rsid w:val="00E75B60"/>
    <w:rsid w:val="00E75FAC"/>
    <w:rsid w:val="00E768CC"/>
    <w:rsid w:val="00E80D3C"/>
    <w:rsid w:val="00E80E52"/>
    <w:rsid w:val="00E81718"/>
    <w:rsid w:val="00E81EF6"/>
    <w:rsid w:val="00E820D7"/>
    <w:rsid w:val="00E82AD3"/>
    <w:rsid w:val="00E832DF"/>
    <w:rsid w:val="00E83AB3"/>
    <w:rsid w:val="00E90526"/>
    <w:rsid w:val="00E906AF"/>
    <w:rsid w:val="00E909A0"/>
    <w:rsid w:val="00E90AD0"/>
    <w:rsid w:val="00E911AE"/>
    <w:rsid w:val="00E9395B"/>
    <w:rsid w:val="00E94742"/>
    <w:rsid w:val="00E96E19"/>
    <w:rsid w:val="00E9711C"/>
    <w:rsid w:val="00E978B6"/>
    <w:rsid w:val="00EA0947"/>
    <w:rsid w:val="00EA239D"/>
    <w:rsid w:val="00EA2873"/>
    <w:rsid w:val="00EA2C28"/>
    <w:rsid w:val="00EA3F36"/>
    <w:rsid w:val="00EA402E"/>
    <w:rsid w:val="00EA4D28"/>
    <w:rsid w:val="00EA5AE4"/>
    <w:rsid w:val="00EA7328"/>
    <w:rsid w:val="00EA7AE1"/>
    <w:rsid w:val="00EB0286"/>
    <w:rsid w:val="00EB122B"/>
    <w:rsid w:val="00EB3BDC"/>
    <w:rsid w:val="00EB4312"/>
    <w:rsid w:val="00EB4672"/>
    <w:rsid w:val="00EC065A"/>
    <w:rsid w:val="00EC13D0"/>
    <w:rsid w:val="00EC1580"/>
    <w:rsid w:val="00EC4574"/>
    <w:rsid w:val="00EC4660"/>
    <w:rsid w:val="00EC49F6"/>
    <w:rsid w:val="00EC5079"/>
    <w:rsid w:val="00EC5F93"/>
    <w:rsid w:val="00EC6C41"/>
    <w:rsid w:val="00EC751D"/>
    <w:rsid w:val="00EC78FA"/>
    <w:rsid w:val="00ED15BA"/>
    <w:rsid w:val="00ED3BDF"/>
    <w:rsid w:val="00ED3D55"/>
    <w:rsid w:val="00ED4D55"/>
    <w:rsid w:val="00ED5497"/>
    <w:rsid w:val="00ED57FB"/>
    <w:rsid w:val="00ED5B7B"/>
    <w:rsid w:val="00ED647B"/>
    <w:rsid w:val="00ED6CAF"/>
    <w:rsid w:val="00ED72F7"/>
    <w:rsid w:val="00EE09AC"/>
    <w:rsid w:val="00EE16DA"/>
    <w:rsid w:val="00EE3242"/>
    <w:rsid w:val="00EE381B"/>
    <w:rsid w:val="00EE4AEF"/>
    <w:rsid w:val="00EE4FCD"/>
    <w:rsid w:val="00EE53D5"/>
    <w:rsid w:val="00EE5D8F"/>
    <w:rsid w:val="00EE601C"/>
    <w:rsid w:val="00EF266B"/>
    <w:rsid w:val="00EF2E85"/>
    <w:rsid w:val="00EF42FD"/>
    <w:rsid w:val="00EF5F24"/>
    <w:rsid w:val="00EF7DF6"/>
    <w:rsid w:val="00F0001F"/>
    <w:rsid w:val="00F01DB0"/>
    <w:rsid w:val="00F021AE"/>
    <w:rsid w:val="00F036F2"/>
    <w:rsid w:val="00F0542E"/>
    <w:rsid w:val="00F06114"/>
    <w:rsid w:val="00F062CD"/>
    <w:rsid w:val="00F066CE"/>
    <w:rsid w:val="00F074EC"/>
    <w:rsid w:val="00F10169"/>
    <w:rsid w:val="00F1141A"/>
    <w:rsid w:val="00F122B5"/>
    <w:rsid w:val="00F14B30"/>
    <w:rsid w:val="00F1562C"/>
    <w:rsid w:val="00F17863"/>
    <w:rsid w:val="00F215B1"/>
    <w:rsid w:val="00F232F1"/>
    <w:rsid w:val="00F24450"/>
    <w:rsid w:val="00F24733"/>
    <w:rsid w:val="00F24AC9"/>
    <w:rsid w:val="00F2554A"/>
    <w:rsid w:val="00F257AF"/>
    <w:rsid w:val="00F2601D"/>
    <w:rsid w:val="00F305BC"/>
    <w:rsid w:val="00F30F1C"/>
    <w:rsid w:val="00F31EE5"/>
    <w:rsid w:val="00F34317"/>
    <w:rsid w:val="00F3473C"/>
    <w:rsid w:val="00F357C9"/>
    <w:rsid w:val="00F35AFB"/>
    <w:rsid w:val="00F36DD9"/>
    <w:rsid w:val="00F40290"/>
    <w:rsid w:val="00F40D7A"/>
    <w:rsid w:val="00F41A22"/>
    <w:rsid w:val="00F41A80"/>
    <w:rsid w:val="00F44C29"/>
    <w:rsid w:val="00F4517F"/>
    <w:rsid w:val="00F45BF2"/>
    <w:rsid w:val="00F473CC"/>
    <w:rsid w:val="00F50493"/>
    <w:rsid w:val="00F50972"/>
    <w:rsid w:val="00F53142"/>
    <w:rsid w:val="00F5318A"/>
    <w:rsid w:val="00F5463A"/>
    <w:rsid w:val="00F54B8D"/>
    <w:rsid w:val="00F552D5"/>
    <w:rsid w:val="00F55D1E"/>
    <w:rsid w:val="00F5698A"/>
    <w:rsid w:val="00F623C8"/>
    <w:rsid w:val="00F6281B"/>
    <w:rsid w:val="00F62957"/>
    <w:rsid w:val="00F65A5E"/>
    <w:rsid w:val="00F667E7"/>
    <w:rsid w:val="00F67581"/>
    <w:rsid w:val="00F7003F"/>
    <w:rsid w:val="00F70C38"/>
    <w:rsid w:val="00F70F99"/>
    <w:rsid w:val="00F71615"/>
    <w:rsid w:val="00F723A6"/>
    <w:rsid w:val="00F72839"/>
    <w:rsid w:val="00F736FE"/>
    <w:rsid w:val="00F74B99"/>
    <w:rsid w:val="00F759B1"/>
    <w:rsid w:val="00F75A6C"/>
    <w:rsid w:val="00F75E9F"/>
    <w:rsid w:val="00F766B6"/>
    <w:rsid w:val="00F830BC"/>
    <w:rsid w:val="00F84AD0"/>
    <w:rsid w:val="00F86847"/>
    <w:rsid w:val="00F908F5"/>
    <w:rsid w:val="00F91100"/>
    <w:rsid w:val="00F91F76"/>
    <w:rsid w:val="00F92DBA"/>
    <w:rsid w:val="00F92F7D"/>
    <w:rsid w:val="00F9311C"/>
    <w:rsid w:val="00F94B17"/>
    <w:rsid w:val="00F95368"/>
    <w:rsid w:val="00F961EE"/>
    <w:rsid w:val="00F962E4"/>
    <w:rsid w:val="00F968D9"/>
    <w:rsid w:val="00FA2A64"/>
    <w:rsid w:val="00FA3906"/>
    <w:rsid w:val="00FA3F40"/>
    <w:rsid w:val="00FA4A46"/>
    <w:rsid w:val="00FA4CED"/>
    <w:rsid w:val="00FA5945"/>
    <w:rsid w:val="00FA6084"/>
    <w:rsid w:val="00FA7490"/>
    <w:rsid w:val="00FA77A3"/>
    <w:rsid w:val="00FB449B"/>
    <w:rsid w:val="00FB561A"/>
    <w:rsid w:val="00FB62E3"/>
    <w:rsid w:val="00FC177E"/>
    <w:rsid w:val="00FC38E9"/>
    <w:rsid w:val="00FC4AB7"/>
    <w:rsid w:val="00FC543D"/>
    <w:rsid w:val="00FD0263"/>
    <w:rsid w:val="00FD0C44"/>
    <w:rsid w:val="00FD15DE"/>
    <w:rsid w:val="00FD2E2B"/>
    <w:rsid w:val="00FD653D"/>
    <w:rsid w:val="00FD6989"/>
    <w:rsid w:val="00FD6CA4"/>
    <w:rsid w:val="00FE03B4"/>
    <w:rsid w:val="00FE278F"/>
    <w:rsid w:val="00FE2E3D"/>
    <w:rsid w:val="00FE5330"/>
    <w:rsid w:val="00FE5C66"/>
    <w:rsid w:val="00FE6344"/>
    <w:rsid w:val="00FE675B"/>
    <w:rsid w:val="00FE6ACF"/>
    <w:rsid w:val="00FE759B"/>
    <w:rsid w:val="00FE7792"/>
    <w:rsid w:val="00FF09E5"/>
    <w:rsid w:val="00FF11B6"/>
    <w:rsid w:val="00FF20D1"/>
    <w:rsid w:val="00FF2AB1"/>
    <w:rsid w:val="00FF4C36"/>
    <w:rsid w:val="00FF53C4"/>
    <w:rsid w:val="00FF5B6C"/>
    <w:rsid w:val="00FF604A"/>
    <w:rsid w:val="00FF63B6"/>
    <w:rsid w:val="00FF64CB"/>
    <w:rsid w:val="00FF6DB4"/>
    <w:rsid w:val="00FF754C"/>
    <w:rsid w:val="01259126"/>
    <w:rsid w:val="01286998"/>
    <w:rsid w:val="01C64F5A"/>
    <w:rsid w:val="01CB7598"/>
    <w:rsid w:val="01D3C0F9"/>
    <w:rsid w:val="022E545C"/>
    <w:rsid w:val="02780F64"/>
    <w:rsid w:val="02E84AD6"/>
    <w:rsid w:val="0307A9F2"/>
    <w:rsid w:val="03317886"/>
    <w:rsid w:val="03679686"/>
    <w:rsid w:val="03B6980C"/>
    <w:rsid w:val="03BC2614"/>
    <w:rsid w:val="044B640D"/>
    <w:rsid w:val="046C750A"/>
    <w:rsid w:val="04DB0B38"/>
    <w:rsid w:val="052A2BB3"/>
    <w:rsid w:val="057BEB08"/>
    <w:rsid w:val="0612BC18"/>
    <w:rsid w:val="06B747F1"/>
    <w:rsid w:val="06C20DB2"/>
    <w:rsid w:val="06DAD88F"/>
    <w:rsid w:val="06FDB7ED"/>
    <w:rsid w:val="072CED2E"/>
    <w:rsid w:val="0734AD85"/>
    <w:rsid w:val="0775F1AB"/>
    <w:rsid w:val="07F9E917"/>
    <w:rsid w:val="0817B2DE"/>
    <w:rsid w:val="082E879A"/>
    <w:rsid w:val="086A8898"/>
    <w:rsid w:val="08C36E3B"/>
    <w:rsid w:val="08CA5D17"/>
    <w:rsid w:val="08D2DDD7"/>
    <w:rsid w:val="08D4D4A2"/>
    <w:rsid w:val="0968A2BF"/>
    <w:rsid w:val="09AA086B"/>
    <w:rsid w:val="09EC7D6B"/>
    <w:rsid w:val="0A91D6DE"/>
    <w:rsid w:val="0AB716A7"/>
    <w:rsid w:val="0AED8DC7"/>
    <w:rsid w:val="0B2548C9"/>
    <w:rsid w:val="0C358E0C"/>
    <w:rsid w:val="0C3AAC10"/>
    <w:rsid w:val="0D0247C2"/>
    <w:rsid w:val="0D09F060"/>
    <w:rsid w:val="0D10E6A0"/>
    <w:rsid w:val="0D317EEC"/>
    <w:rsid w:val="0D339C19"/>
    <w:rsid w:val="0DC8D14D"/>
    <w:rsid w:val="0E09A07D"/>
    <w:rsid w:val="0E0F4459"/>
    <w:rsid w:val="0E305DC1"/>
    <w:rsid w:val="0F41E1C7"/>
    <w:rsid w:val="0FB074C2"/>
    <w:rsid w:val="1000CEE3"/>
    <w:rsid w:val="100918BC"/>
    <w:rsid w:val="10199D89"/>
    <w:rsid w:val="102EEF2E"/>
    <w:rsid w:val="117A40F4"/>
    <w:rsid w:val="11ECA89E"/>
    <w:rsid w:val="120816AD"/>
    <w:rsid w:val="124FA53D"/>
    <w:rsid w:val="12B91920"/>
    <w:rsid w:val="1317ED8A"/>
    <w:rsid w:val="13422501"/>
    <w:rsid w:val="134AC98A"/>
    <w:rsid w:val="1351E7B6"/>
    <w:rsid w:val="13FC7A0F"/>
    <w:rsid w:val="145C68AB"/>
    <w:rsid w:val="1499F23F"/>
    <w:rsid w:val="149E6D1F"/>
    <w:rsid w:val="15FA1B7D"/>
    <w:rsid w:val="16084D16"/>
    <w:rsid w:val="161B3C25"/>
    <w:rsid w:val="16266892"/>
    <w:rsid w:val="16289BCD"/>
    <w:rsid w:val="1690F641"/>
    <w:rsid w:val="16917DBE"/>
    <w:rsid w:val="17036564"/>
    <w:rsid w:val="1728ADCF"/>
    <w:rsid w:val="178BFD60"/>
    <w:rsid w:val="17D7E6C0"/>
    <w:rsid w:val="17DE2A67"/>
    <w:rsid w:val="180F427C"/>
    <w:rsid w:val="18462C07"/>
    <w:rsid w:val="1855DE7B"/>
    <w:rsid w:val="186F41C9"/>
    <w:rsid w:val="187719CB"/>
    <w:rsid w:val="194E81F8"/>
    <w:rsid w:val="19681B07"/>
    <w:rsid w:val="19E160F7"/>
    <w:rsid w:val="19F97619"/>
    <w:rsid w:val="1B14C6FD"/>
    <w:rsid w:val="1B5EF493"/>
    <w:rsid w:val="1B9677F3"/>
    <w:rsid w:val="1C520747"/>
    <w:rsid w:val="1C7AC140"/>
    <w:rsid w:val="1C835C45"/>
    <w:rsid w:val="1C8472BF"/>
    <w:rsid w:val="1C9195B1"/>
    <w:rsid w:val="1D6D10C1"/>
    <w:rsid w:val="1E4A3B81"/>
    <w:rsid w:val="1E639B05"/>
    <w:rsid w:val="1E74C212"/>
    <w:rsid w:val="1EB5B5B8"/>
    <w:rsid w:val="1EE032AD"/>
    <w:rsid w:val="1EF9190F"/>
    <w:rsid w:val="1F9CF9C8"/>
    <w:rsid w:val="201369F6"/>
    <w:rsid w:val="20D62A41"/>
    <w:rsid w:val="20DCEB80"/>
    <w:rsid w:val="21512AC1"/>
    <w:rsid w:val="215B75C6"/>
    <w:rsid w:val="21C3C1C4"/>
    <w:rsid w:val="223B94E0"/>
    <w:rsid w:val="22D762B0"/>
    <w:rsid w:val="231308DC"/>
    <w:rsid w:val="234B7931"/>
    <w:rsid w:val="236DAC38"/>
    <w:rsid w:val="23746857"/>
    <w:rsid w:val="23BEF2AE"/>
    <w:rsid w:val="23EA4FAF"/>
    <w:rsid w:val="246F2C58"/>
    <w:rsid w:val="248A011D"/>
    <w:rsid w:val="248CE091"/>
    <w:rsid w:val="256AC80E"/>
    <w:rsid w:val="26B543A0"/>
    <w:rsid w:val="27BA83F4"/>
    <w:rsid w:val="281A0235"/>
    <w:rsid w:val="282EBB06"/>
    <w:rsid w:val="29031243"/>
    <w:rsid w:val="2962867E"/>
    <w:rsid w:val="2A28DF4F"/>
    <w:rsid w:val="2A3466C1"/>
    <w:rsid w:val="2A3F49B6"/>
    <w:rsid w:val="2B3B1654"/>
    <w:rsid w:val="2BE389DC"/>
    <w:rsid w:val="2C378C18"/>
    <w:rsid w:val="2C8CFF5F"/>
    <w:rsid w:val="2C9FD94C"/>
    <w:rsid w:val="2CCE9BC4"/>
    <w:rsid w:val="2D58928B"/>
    <w:rsid w:val="2E4E785C"/>
    <w:rsid w:val="2E8CB698"/>
    <w:rsid w:val="2F428555"/>
    <w:rsid w:val="2F80F41B"/>
    <w:rsid w:val="302E2420"/>
    <w:rsid w:val="3171E75F"/>
    <w:rsid w:val="31A25E77"/>
    <w:rsid w:val="31AA8997"/>
    <w:rsid w:val="328243B1"/>
    <w:rsid w:val="32F178B6"/>
    <w:rsid w:val="331BF81D"/>
    <w:rsid w:val="33237803"/>
    <w:rsid w:val="33335FEE"/>
    <w:rsid w:val="3397F2D7"/>
    <w:rsid w:val="342E5545"/>
    <w:rsid w:val="349005CC"/>
    <w:rsid w:val="349F0BEC"/>
    <w:rsid w:val="355B4E20"/>
    <w:rsid w:val="35A16282"/>
    <w:rsid w:val="362ABF8B"/>
    <w:rsid w:val="37A2AF26"/>
    <w:rsid w:val="38340BA9"/>
    <w:rsid w:val="383E7A33"/>
    <w:rsid w:val="385F4AF1"/>
    <w:rsid w:val="38B3B0FA"/>
    <w:rsid w:val="38C13CFD"/>
    <w:rsid w:val="38FFFDD7"/>
    <w:rsid w:val="3902C97B"/>
    <w:rsid w:val="391547A6"/>
    <w:rsid w:val="3942CFCA"/>
    <w:rsid w:val="39B6F3F0"/>
    <w:rsid w:val="39C4ACED"/>
    <w:rsid w:val="39E65179"/>
    <w:rsid w:val="3A130F72"/>
    <w:rsid w:val="3A529C8F"/>
    <w:rsid w:val="3B9C421D"/>
    <w:rsid w:val="3BEA79D6"/>
    <w:rsid w:val="3C364DC9"/>
    <w:rsid w:val="3C948352"/>
    <w:rsid w:val="3CFB28D8"/>
    <w:rsid w:val="3DCC10C2"/>
    <w:rsid w:val="3DD5E31E"/>
    <w:rsid w:val="3E462F99"/>
    <w:rsid w:val="3E855774"/>
    <w:rsid w:val="3EFC9EBD"/>
    <w:rsid w:val="3F02410C"/>
    <w:rsid w:val="3F25EEB9"/>
    <w:rsid w:val="3F72C413"/>
    <w:rsid w:val="3FB27888"/>
    <w:rsid w:val="40016E02"/>
    <w:rsid w:val="40C46A5F"/>
    <w:rsid w:val="41050B4F"/>
    <w:rsid w:val="4209CEA1"/>
    <w:rsid w:val="421A29F0"/>
    <w:rsid w:val="4221B751"/>
    <w:rsid w:val="4394E2FB"/>
    <w:rsid w:val="4421A914"/>
    <w:rsid w:val="45069C7F"/>
    <w:rsid w:val="45073CA3"/>
    <w:rsid w:val="450AF038"/>
    <w:rsid w:val="4520E1AD"/>
    <w:rsid w:val="453EFFA5"/>
    <w:rsid w:val="456BB1DC"/>
    <w:rsid w:val="45E7661C"/>
    <w:rsid w:val="46409F4E"/>
    <w:rsid w:val="4683ED03"/>
    <w:rsid w:val="46CC98BB"/>
    <w:rsid w:val="477817CF"/>
    <w:rsid w:val="47B4836D"/>
    <w:rsid w:val="47D647F1"/>
    <w:rsid w:val="495D20AD"/>
    <w:rsid w:val="497E4714"/>
    <w:rsid w:val="49BA8F2A"/>
    <w:rsid w:val="49C8347C"/>
    <w:rsid w:val="4A225E8B"/>
    <w:rsid w:val="4A2C1170"/>
    <w:rsid w:val="4A81273A"/>
    <w:rsid w:val="4A97E83A"/>
    <w:rsid w:val="4AA15815"/>
    <w:rsid w:val="4AD404A4"/>
    <w:rsid w:val="4AD7055D"/>
    <w:rsid w:val="4AF21DC7"/>
    <w:rsid w:val="4B064E70"/>
    <w:rsid w:val="4B24CE87"/>
    <w:rsid w:val="4B369B61"/>
    <w:rsid w:val="4B940AA1"/>
    <w:rsid w:val="4BA6217C"/>
    <w:rsid w:val="4BAC6372"/>
    <w:rsid w:val="4BF44DB3"/>
    <w:rsid w:val="4C935A9F"/>
    <w:rsid w:val="4CA64CFA"/>
    <w:rsid w:val="4CD39517"/>
    <w:rsid w:val="4D7E7070"/>
    <w:rsid w:val="4D9D001E"/>
    <w:rsid w:val="4DB0A335"/>
    <w:rsid w:val="4DB40E55"/>
    <w:rsid w:val="4DB91E2D"/>
    <w:rsid w:val="4E622E9E"/>
    <w:rsid w:val="4EB8C703"/>
    <w:rsid w:val="4F3EF8C1"/>
    <w:rsid w:val="4FA66766"/>
    <w:rsid w:val="4FD8EEF3"/>
    <w:rsid w:val="506940A3"/>
    <w:rsid w:val="509C5738"/>
    <w:rsid w:val="50F2DA4F"/>
    <w:rsid w:val="50F43D54"/>
    <w:rsid w:val="51D47BC9"/>
    <w:rsid w:val="52526BB5"/>
    <w:rsid w:val="526E21B3"/>
    <w:rsid w:val="52D3B479"/>
    <w:rsid w:val="533DB84F"/>
    <w:rsid w:val="53DD5BDD"/>
    <w:rsid w:val="53EFCA69"/>
    <w:rsid w:val="542679A7"/>
    <w:rsid w:val="54AC7619"/>
    <w:rsid w:val="55B6CBCA"/>
    <w:rsid w:val="568D4FB6"/>
    <w:rsid w:val="56A36D0D"/>
    <w:rsid w:val="56C227B3"/>
    <w:rsid w:val="57156C65"/>
    <w:rsid w:val="5750BEBA"/>
    <w:rsid w:val="57A0F83A"/>
    <w:rsid w:val="57AE1BAB"/>
    <w:rsid w:val="5832CC99"/>
    <w:rsid w:val="58676963"/>
    <w:rsid w:val="586996DA"/>
    <w:rsid w:val="58BDBAD3"/>
    <w:rsid w:val="5930F21A"/>
    <w:rsid w:val="594D3EF1"/>
    <w:rsid w:val="5986C61B"/>
    <w:rsid w:val="5A21DE5E"/>
    <w:rsid w:val="5B608956"/>
    <w:rsid w:val="5B88DEBF"/>
    <w:rsid w:val="5BBB0EDC"/>
    <w:rsid w:val="5BBE7E3A"/>
    <w:rsid w:val="5C0AB839"/>
    <w:rsid w:val="5C336CD5"/>
    <w:rsid w:val="5D11C863"/>
    <w:rsid w:val="5DD72F25"/>
    <w:rsid w:val="5E444ED2"/>
    <w:rsid w:val="5ECBCD79"/>
    <w:rsid w:val="5F3AA125"/>
    <w:rsid w:val="5FC31EDE"/>
    <w:rsid w:val="5FDF2AB8"/>
    <w:rsid w:val="607506B6"/>
    <w:rsid w:val="60A20F2A"/>
    <w:rsid w:val="60AB8C43"/>
    <w:rsid w:val="60EF34B4"/>
    <w:rsid w:val="61376D4E"/>
    <w:rsid w:val="615ACFF9"/>
    <w:rsid w:val="6202CBCF"/>
    <w:rsid w:val="622F4FDD"/>
    <w:rsid w:val="62725320"/>
    <w:rsid w:val="6311F5AF"/>
    <w:rsid w:val="63233723"/>
    <w:rsid w:val="63380AFA"/>
    <w:rsid w:val="640E0C06"/>
    <w:rsid w:val="6418A9CF"/>
    <w:rsid w:val="65183F43"/>
    <w:rsid w:val="65576792"/>
    <w:rsid w:val="65C4F45E"/>
    <w:rsid w:val="6640DA0A"/>
    <w:rsid w:val="6748F0F2"/>
    <w:rsid w:val="67C77245"/>
    <w:rsid w:val="67E9E27A"/>
    <w:rsid w:val="681A6F5B"/>
    <w:rsid w:val="68306A2A"/>
    <w:rsid w:val="68C44111"/>
    <w:rsid w:val="68EC8D7C"/>
    <w:rsid w:val="6960D42F"/>
    <w:rsid w:val="69652371"/>
    <w:rsid w:val="6A7E379B"/>
    <w:rsid w:val="6AA91261"/>
    <w:rsid w:val="6AB7B684"/>
    <w:rsid w:val="6AD34201"/>
    <w:rsid w:val="6AEC91A9"/>
    <w:rsid w:val="6B2D7BED"/>
    <w:rsid w:val="6B3B8C71"/>
    <w:rsid w:val="6BB4278D"/>
    <w:rsid w:val="6C3269E5"/>
    <w:rsid w:val="6C44F8E5"/>
    <w:rsid w:val="6C79CD90"/>
    <w:rsid w:val="6C92B279"/>
    <w:rsid w:val="6C9F2898"/>
    <w:rsid w:val="6D46D298"/>
    <w:rsid w:val="6DA348FC"/>
    <w:rsid w:val="6DCD67A4"/>
    <w:rsid w:val="6E6288A6"/>
    <w:rsid w:val="6E7A5F16"/>
    <w:rsid w:val="6EE40A09"/>
    <w:rsid w:val="6EFD01CF"/>
    <w:rsid w:val="6F0C888A"/>
    <w:rsid w:val="6FCC070A"/>
    <w:rsid w:val="6FFBA63F"/>
    <w:rsid w:val="702A693F"/>
    <w:rsid w:val="70899BDF"/>
    <w:rsid w:val="70B4FAAB"/>
    <w:rsid w:val="70F4B574"/>
    <w:rsid w:val="71E47675"/>
    <w:rsid w:val="730C2719"/>
    <w:rsid w:val="743F5D34"/>
    <w:rsid w:val="744323A7"/>
    <w:rsid w:val="74CB5AF3"/>
    <w:rsid w:val="76331825"/>
    <w:rsid w:val="764E02D6"/>
    <w:rsid w:val="7672439A"/>
    <w:rsid w:val="771EBEBB"/>
    <w:rsid w:val="77BEEE33"/>
    <w:rsid w:val="7800279D"/>
    <w:rsid w:val="7809D98A"/>
    <w:rsid w:val="78C6D8DA"/>
    <w:rsid w:val="78D182B1"/>
    <w:rsid w:val="78D216D9"/>
    <w:rsid w:val="78E04002"/>
    <w:rsid w:val="78E874FF"/>
    <w:rsid w:val="790A5833"/>
    <w:rsid w:val="790C5E84"/>
    <w:rsid w:val="7A3906FE"/>
    <w:rsid w:val="7A406755"/>
    <w:rsid w:val="7A6098DB"/>
    <w:rsid w:val="7AC03AC9"/>
    <w:rsid w:val="7B688115"/>
    <w:rsid w:val="7B9C908E"/>
    <w:rsid w:val="7BA9F0AB"/>
    <w:rsid w:val="7BE49594"/>
    <w:rsid w:val="7BE92954"/>
    <w:rsid w:val="7C746077"/>
    <w:rsid w:val="7CEC2FAB"/>
    <w:rsid w:val="7D40C868"/>
    <w:rsid w:val="7D5EAC37"/>
    <w:rsid w:val="7EB59131"/>
    <w:rsid w:val="7F52E6A9"/>
    <w:rsid w:val="7F76BEBD"/>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3C388"/>
  <w15:docId w15:val="{927C4100-3446-4F8E-B2C7-21086289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7D2"/>
    <w:rPr>
      <w:rFonts w:eastAsiaTheme="majorEastAsia" w:cstheme="majorBidi"/>
      <w:color w:val="272727" w:themeColor="text1" w:themeTint="D8"/>
    </w:rPr>
  </w:style>
  <w:style w:type="paragraph" w:styleId="Title">
    <w:name w:val="Title"/>
    <w:basedOn w:val="Normal"/>
    <w:next w:val="Normal"/>
    <w:link w:val="TitleChar"/>
    <w:uiPriority w:val="10"/>
    <w:qFormat/>
    <w:rsid w:val="00027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7D2"/>
    <w:pPr>
      <w:spacing w:before="160"/>
      <w:jc w:val="center"/>
    </w:pPr>
    <w:rPr>
      <w:i/>
      <w:iCs/>
      <w:color w:val="404040" w:themeColor="text1" w:themeTint="BF"/>
    </w:rPr>
  </w:style>
  <w:style w:type="character" w:customStyle="1" w:styleId="QuoteChar">
    <w:name w:val="Quote Char"/>
    <w:basedOn w:val="DefaultParagraphFont"/>
    <w:link w:val="Quote"/>
    <w:uiPriority w:val="29"/>
    <w:rsid w:val="000277D2"/>
    <w:rPr>
      <w:i/>
      <w:iCs/>
      <w:color w:val="404040" w:themeColor="text1" w:themeTint="BF"/>
    </w:rPr>
  </w:style>
  <w:style w:type="paragraph" w:styleId="ListParagraph">
    <w:name w:val="List Paragraph"/>
    <w:basedOn w:val="Normal"/>
    <w:uiPriority w:val="34"/>
    <w:qFormat/>
    <w:rsid w:val="000277D2"/>
    <w:pPr>
      <w:ind w:left="720"/>
      <w:contextualSpacing/>
    </w:pPr>
  </w:style>
  <w:style w:type="character" w:styleId="IntenseEmphasis">
    <w:name w:val="Intense Emphasis"/>
    <w:basedOn w:val="DefaultParagraphFont"/>
    <w:uiPriority w:val="21"/>
    <w:qFormat/>
    <w:rsid w:val="000277D2"/>
    <w:rPr>
      <w:i/>
      <w:iCs/>
      <w:color w:val="0F4761" w:themeColor="accent1" w:themeShade="BF"/>
    </w:rPr>
  </w:style>
  <w:style w:type="paragraph" w:styleId="IntenseQuote">
    <w:name w:val="Intense Quote"/>
    <w:basedOn w:val="Normal"/>
    <w:next w:val="Normal"/>
    <w:link w:val="IntenseQuoteChar"/>
    <w:uiPriority w:val="30"/>
    <w:qFormat/>
    <w:rsid w:val="00027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7D2"/>
    <w:rPr>
      <w:i/>
      <w:iCs/>
      <w:color w:val="0F4761" w:themeColor="accent1" w:themeShade="BF"/>
    </w:rPr>
  </w:style>
  <w:style w:type="character" w:styleId="IntenseReference">
    <w:name w:val="Intense Reference"/>
    <w:basedOn w:val="DefaultParagraphFont"/>
    <w:uiPriority w:val="32"/>
    <w:qFormat/>
    <w:rsid w:val="000277D2"/>
    <w:rPr>
      <w:b/>
      <w:bCs/>
      <w:smallCaps/>
      <w:color w:val="0F4761" w:themeColor="accent1" w:themeShade="BF"/>
      <w:spacing w:val="5"/>
    </w:rPr>
  </w:style>
  <w:style w:type="paragraph" w:styleId="FootnoteText">
    <w:name w:val="footnote text"/>
    <w:basedOn w:val="Normal"/>
    <w:link w:val="FootnoteTextChar"/>
    <w:uiPriority w:val="99"/>
    <w:semiHidden/>
    <w:unhideWhenUsed/>
    <w:rsid w:val="009D5A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ACB"/>
    <w:rPr>
      <w:sz w:val="20"/>
      <w:szCs w:val="20"/>
    </w:rPr>
  </w:style>
  <w:style w:type="character" w:styleId="FootnoteReference">
    <w:name w:val="footnote reference"/>
    <w:basedOn w:val="DefaultParagraphFont"/>
    <w:uiPriority w:val="99"/>
    <w:semiHidden/>
    <w:unhideWhenUsed/>
    <w:rsid w:val="009D5ACB"/>
    <w:rPr>
      <w:vertAlign w:val="superscript"/>
    </w:rPr>
  </w:style>
  <w:style w:type="paragraph" w:styleId="Header">
    <w:name w:val="header"/>
    <w:basedOn w:val="Normal"/>
    <w:link w:val="HeaderChar"/>
    <w:uiPriority w:val="99"/>
    <w:unhideWhenUsed/>
    <w:rsid w:val="00A325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5BF"/>
  </w:style>
  <w:style w:type="paragraph" w:styleId="Footer">
    <w:name w:val="footer"/>
    <w:basedOn w:val="Normal"/>
    <w:link w:val="FooterChar"/>
    <w:uiPriority w:val="99"/>
    <w:unhideWhenUsed/>
    <w:rsid w:val="00A325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5BF"/>
  </w:style>
  <w:style w:type="table" w:styleId="TableGrid">
    <w:name w:val="Table Grid"/>
    <w:basedOn w:val="TableNormal"/>
    <w:uiPriority w:val="39"/>
    <w:qFormat/>
    <w:rsid w:val="00D91117"/>
    <w:pPr>
      <w:widowControl w:val="0"/>
      <w:spacing w:after="0" w:line="240" w:lineRule="auto"/>
      <w:jc w:val="both"/>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Caption"/>
    <w:link w:val="bangChar"/>
    <w:qFormat/>
    <w:rsid w:val="00280999"/>
    <w:pPr>
      <w:keepNext/>
      <w:jc w:val="center"/>
    </w:pPr>
    <w:rPr>
      <w:rFonts w:ascii="Times New Roman" w:hAnsi="Times New Roman" w:cs="Times New Roman"/>
      <w:b/>
      <w:i w:val="0"/>
      <w:iCs w:val="0"/>
      <w:color w:val="auto"/>
      <w:sz w:val="26"/>
      <w:szCs w:val="26"/>
    </w:rPr>
  </w:style>
  <w:style w:type="character" w:customStyle="1" w:styleId="bangChar">
    <w:name w:val="bang Char"/>
    <w:basedOn w:val="DefaultParagraphFont"/>
    <w:link w:val="bang"/>
    <w:rsid w:val="00280999"/>
    <w:rPr>
      <w:rFonts w:ascii="Times New Roman" w:hAnsi="Times New Roman" w:cs="Times New Roman"/>
      <w:b/>
      <w:sz w:val="26"/>
      <w:szCs w:val="26"/>
    </w:rPr>
  </w:style>
  <w:style w:type="paragraph" w:styleId="Caption">
    <w:name w:val="caption"/>
    <w:basedOn w:val="Normal"/>
    <w:next w:val="Normal"/>
    <w:uiPriority w:val="35"/>
    <w:unhideWhenUsed/>
    <w:qFormat/>
    <w:rsid w:val="00280999"/>
    <w:pPr>
      <w:spacing w:after="200" w:line="240" w:lineRule="auto"/>
    </w:pPr>
    <w:rPr>
      <w:i/>
      <w:iCs/>
      <w:color w:val="0E2841" w:themeColor="text2"/>
      <w:sz w:val="18"/>
      <w:szCs w:val="18"/>
    </w:rPr>
  </w:style>
  <w:style w:type="character" w:customStyle="1" w:styleId="fontstyle01">
    <w:name w:val="fontstyle01"/>
    <w:basedOn w:val="DefaultParagraphFont"/>
    <w:qFormat/>
    <w:rsid w:val="004007EA"/>
    <w:rPr>
      <w:rFonts w:ascii="CharisSIL" w:hAnsi="CharisSIL" w:hint="default"/>
      <w:b w:val="0"/>
      <w:bCs w:val="0"/>
      <w:i w:val="0"/>
      <w:iCs w:val="0"/>
      <w:color w:val="000000"/>
      <w:sz w:val="16"/>
      <w:szCs w:val="16"/>
    </w:rPr>
  </w:style>
  <w:style w:type="character" w:customStyle="1" w:styleId="fontstyle21">
    <w:name w:val="fontstyle21"/>
    <w:basedOn w:val="DefaultParagraphFont"/>
    <w:qFormat/>
    <w:rsid w:val="004007EA"/>
    <w:rPr>
      <w:rFonts w:ascii="CharisSIL-Italic" w:hAnsi="CharisSIL-Italic" w:hint="default"/>
      <w:b w:val="0"/>
      <w:bCs w:val="0"/>
      <w:i/>
      <w:iCs/>
      <w:color w:val="000000"/>
      <w:sz w:val="16"/>
      <w:szCs w:val="16"/>
    </w:rPr>
  </w:style>
  <w:style w:type="paragraph" w:styleId="NormalWeb">
    <w:name w:val="Normal (Web)"/>
    <w:basedOn w:val="Normal"/>
    <w:qFormat/>
    <w:rsid w:val="004E75A9"/>
    <w:pPr>
      <w:spacing w:after="0" w:line="240" w:lineRule="auto"/>
    </w:pPr>
    <w:rPr>
      <w:rFonts w:eastAsiaTheme="minorEastAsia"/>
      <w:kern w:val="0"/>
      <w:sz w:val="24"/>
      <w:szCs w:val="24"/>
      <w:lang w:val="en-US" w:eastAsia="zh-CN"/>
      <w14:ligatures w14:val="none"/>
    </w:rPr>
  </w:style>
  <w:style w:type="paragraph" w:customStyle="1" w:styleId="oancuaDanhsach1">
    <w:name w:val="Đoạn của Danh sách1"/>
    <w:basedOn w:val="Normal"/>
    <w:rsid w:val="003C60B5"/>
    <w:pPr>
      <w:spacing w:before="100" w:beforeAutospacing="1" w:line="256" w:lineRule="auto"/>
      <w:ind w:left="720"/>
      <w:contextualSpacing/>
    </w:pPr>
    <w:rPr>
      <w:rFonts w:ascii="Aptos" w:eastAsia="Times New Roman" w:hAnsi="Aptos" w:cs="Times New Roman"/>
      <w:lang w:val="en-US"/>
      <w14:ligatures w14:val="none"/>
    </w:rPr>
  </w:style>
  <w:style w:type="paragraph" w:customStyle="1" w:styleId="NormalWeb1">
    <w:name w:val="Normal (Web)1"/>
    <w:basedOn w:val="Normal"/>
    <w:rsid w:val="00FE2E3D"/>
    <w:pPr>
      <w:spacing w:before="100" w:beforeAutospacing="1" w:after="0" w:line="240" w:lineRule="auto"/>
    </w:pPr>
    <w:rPr>
      <w:rFonts w:ascii="Aptos" w:eastAsia="DengXian" w:hAnsi="Aptos" w:cs="Times New Roman"/>
      <w:kern w:val="0"/>
      <w:sz w:val="24"/>
      <w:szCs w:val="24"/>
      <w:lang w:val="en-US"/>
      <w14:ligatures w14:val="none"/>
    </w:rPr>
  </w:style>
  <w:style w:type="character" w:styleId="Hyperlink">
    <w:name w:val="Hyperlink"/>
    <w:basedOn w:val="DefaultParagraphFont"/>
    <w:qFormat/>
    <w:rsid w:val="00620776"/>
    <w:rPr>
      <w:color w:val="0000FF"/>
      <w:u w:val="single"/>
    </w:rPr>
  </w:style>
  <w:style w:type="character" w:customStyle="1" w:styleId="cpChagiiquyt1">
    <w:name w:val="Đề cập Chưa giải quyết1"/>
    <w:basedOn w:val="DefaultParagraphFont"/>
    <w:uiPriority w:val="99"/>
    <w:semiHidden/>
    <w:unhideWhenUsed/>
    <w:rsid w:val="00A26B8D"/>
    <w:rPr>
      <w:color w:val="605E5C"/>
      <w:shd w:val="clear" w:color="auto" w:fill="E1DFDD"/>
    </w:rPr>
  </w:style>
  <w:style w:type="character" w:styleId="CommentReference">
    <w:name w:val="annotation reference"/>
    <w:basedOn w:val="DefaultParagraphFont"/>
    <w:uiPriority w:val="99"/>
    <w:semiHidden/>
    <w:unhideWhenUsed/>
    <w:rsid w:val="00DA69C3"/>
    <w:rPr>
      <w:sz w:val="16"/>
      <w:szCs w:val="16"/>
    </w:rPr>
  </w:style>
  <w:style w:type="paragraph" w:styleId="CommentText">
    <w:name w:val="annotation text"/>
    <w:basedOn w:val="Normal"/>
    <w:link w:val="CommentTextChar"/>
    <w:uiPriority w:val="99"/>
    <w:unhideWhenUsed/>
    <w:rsid w:val="00DA69C3"/>
    <w:pPr>
      <w:spacing w:line="240" w:lineRule="auto"/>
    </w:pPr>
    <w:rPr>
      <w:sz w:val="20"/>
      <w:szCs w:val="20"/>
    </w:rPr>
  </w:style>
  <w:style w:type="character" w:customStyle="1" w:styleId="CommentTextChar">
    <w:name w:val="Comment Text Char"/>
    <w:basedOn w:val="DefaultParagraphFont"/>
    <w:link w:val="CommentText"/>
    <w:uiPriority w:val="99"/>
    <w:rsid w:val="00DA69C3"/>
    <w:rPr>
      <w:sz w:val="20"/>
      <w:szCs w:val="20"/>
    </w:rPr>
  </w:style>
  <w:style w:type="paragraph" w:styleId="CommentSubject">
    <w:name w:val="annotation subject"/>
    <w:basedOn w:val="CommentText"/>
    <w:next w:val="CommentText"/>
    <w:link w:val="CommentSubjectChar"/>
    <w:uiPriority w:val="99"/>
    <w:semiHidden/>
    <w:unhideWhenUsed/>
    <w:rsid w:val="00DA69C3"/>
    <w:rPr>
      <w:b/>
      <w:bCs/>
    </w:rPr>
  </w:style>
  <w:style w:type="character" w:customStyle="1" w:styleId="CommentSubjectChar">
    <w:name w:val="Comment Subject Char"/>
    <w:basedOn w:val="CommentTextChar"/>
    <w:link w:val="CommentSubject"/>
    <w:uiPriority w:val="99"/>
    <w:semiHidden/>
    <w:rsid w:val="00DA69C3"/>
    <w:rPr>
      <w:b/>
      <w:bCs/>
      <w:sz w:val="20"/>
      <w:szCs w:val="20"/>
    </w:rPr>
  </w:style>
  <w:style w:type="character" w:styleId="FollowedHyperlink">
    <w:name w:val="FollowedHyperlink"/>
    <w:basedOn w:val="DefaultParagraphFont"/>
    <w:uiPriority w:val="99"/>
    <w:semiHidden/>
    <w:unhideWhenUsed/>
    <w:rsid w:val="00F92DBA"/>
    <w:rPr>
      <w:color w:val="96607D" w:themeColor="followedHyperlink"/>
      <w:u w:val="single"/>
    </w:rPr>
  </w:style>
  <w:style w:type="paragraph" w:styleId="BalloonText">
    <w:name w:val="Balloon Text"/>
    <w:basedOn w:val="Normal"/>
    <w:link w:val="BalloonTextChar"/>
    <w:uiPriority w:val="99"/>
    <w:semiHidden/>
    <w:unhideWhenUsed/>
    <w:rsid w:val="002F6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22"/>
    <w:rPr>
      <w:rFonts w:ascii="Tahoma" w:hAnsi="Tahoma" w:cs="Tahoma"/>
      <w:sz w:val="16"/>
      <w:szCs w:val="16"/>
    </w:rPr>
  </w:style>
  <w:style w:type="character" w:styleId="UnresolvedMention">
    <w:name w:val="Unresolved Mention"/>
    <w:basedOn w:val="DefaultParagraphFont"/>
    <w:uiPriority w:val="99"/>
    <w:semiHidden/>
    <w:unhideWhenUsed/>
    <w:rsid w:val="0033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2823">
      <w:bodyDiv w:val="1"/>
      <w:marLeft w:val="0"/>
      <w:marRight w:val="0"/>
      <w:marTop w:val="0"/>
      <w:marBottom w:val="0"/>
      <w:divBdr>
        <w:top w:val="none" w:sz="0" w:space="0" w:color="auto"/>
        <w:left w:val="none" w:sz="0" w:space="0" w:color="auto"/>
        <w:bottom w:val="none" w:sz="0" w:space="0" w:color="auto"/>
        <w:right w:val="none" w:sz="0" w:space="0" w:color="auto"/>
      </w:divBdr>
    </w:div>
    <w:div w:id="10552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7B9A0C0C519444A7220EA935947DC6" ma:contentTypeVersion="11" ma:contentTypeDescription="Create a new document." ma:contentTypeScope="" ma:versionID="014444d86dfd0e56f32cd868049a6ffb">
  <xsd:schema xmlns:xsd="http://www.w3.org/2001/XMLSchema" xmlns:xs="http://www.w3.org/2001/XMLSchema" xmlns:p="http://schemas.microsoft.com/office/2006/metadata/properties" xmlns:ns3="c6832f09-29e5-43e9-99fa-6b54e6e7632d" targetNamespace="http://schemas.microsoft.com/office/2006/metadata/properties" ma:root="true" ma:fieldsID="399ab634f66d82e1ecf3407e687c0d11" ns3:_="">
    <xsd:import namespace="c6832f09-29e5-43e9-99fa-6b54e6e763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32f09-29e5-43e9-99fa-6b54e6e76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6832f09-29e5-43e9-99fa-6b54e6e7632d" xsi:nil="true"/>
  </documentManagement>
</p:properties>
</file>

<file path=customXml/itemProps1.xml><?xml version="1.0" encoding="utf-8"?>
<ds:datastoreItem xmlns:ds="http://schemas.openxmlformats.org/officeDocument/2006/customXml" ds:itemID="{C0047623-37EC-4C68-A1FB-1BF6EAE91D23}">
  <ds:schemaRefs>
    <ds:schemaRef ds:uri="http://schemas.microsoft.com/sharepoint/v3/contenttype/forms"/>
  </ds:schemaRefs>
</ds:datastoreItem>
</file>

<file path=customXml/itemProps2.xml><?xml version="1.0" encoding="utf-8"?>
<ds:datastoreItem xmlns:ds="http://schemas.openxmlformats.org/officeDocument/2006/customXml" ds:itemID="{1BF4DF13-29B4-49BF-B805-C79FD6C2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32f09-29e5-43e9-99fa-6b54e6e76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C245F-3C86-4804-B446-21EED1C41DBB}">
  <ds:schemaRefs>
    <ds:schemaRef ds:uri="http://schemas.openxmlformats.org/officeDocument/2006/bibliography"/>
  </ds:schemaRefs>
</ds:datastoreItem>
</file>

<file path=customXml/itemProps4.xml><?xml version="1.0" encoding="utf-8"?>
<ds:datastoreItem xmlns:ds="http://schemas.openxmlformats.org/officeDocument/2006/customXml" ds:itemID="{4A7D3DCB-9045-4857-9DCC-4D572DED52CB}">
  <ds:schemaRefs>
    <ds:schemaRef ds:uri="http://schemas.microsoft.com/office/2006/metadata/properties"/>
    <ds:schemaRef ds:uri="http://schemas.microsoft.com/office/infopath/2007/PartnerControls"/>
    <ds:schemaRef ds:uri="c6832f09-29e5-43e9-99fa-6b54e6e763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4875</Words>
  <Characters>27788</Characters>
  <Application>Microsoft Office Word</Application>
  <DocSecurity>0</DocSecurity>
  <Lines>231</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32598</CharactersWithSpaces>
  <SharedDoc>false</SharedDoc>
  <HLinks>
    <vt:vector size="6" baseType="variant">
      <vt:variant>
        <vt:i4>65558</vt:i4>
      </vt:variant>
      <vt:variant>
        <vt:i4>0</vt:i4>
      </vt:variant>
      <vt:variant>
        <vt:i4>0</vt:i4>
      </vt:variant>
      <vt:variant>
        <vt:i4>5</vt:i4>
      </vt:variant>
      <vt:variant>
        <vt:lpwstr>https://www.imf.org/external/french/np/blog/2014/122214f.htm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Thư Kỳ</dc:creator>
  <cp:keywords/>
  <dc:description/>
  <cp:lastModifiedBy>MNP</cp:lastModifiedBy>
  <cp:revision>2</cp:revision>
  <cp:lastPrinted>2025-04-23T08:58:00Z</cp:lastPrinted>
  <dcterms:created xsi:type="dcterms:W3CDTF">2025-05-01T15:33:00Z</dcterms:created>
  <dcterms:modified xsi:type="dcterms:W3CDTF">2025-05-01T15:33:00Z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0x010100CA7B9A0C0C519444A7220EA935947DC6</vt:lpwstr>
  </property>
</Properties>
</file>