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0E29E" w14:textId="77777777" w:rsidR="001930CA" w:rsidRDefault="001930CA" w:rsidP="001930CA">
      <w:pPr>
        <w:spacing w:line="360" w:lineRule="auto"/>
        <w:jc w:val="center"/>
        <w:rPr>
          <w:b/>
          <w:bCs/>
          <w:sz w:val="32"/>
          <w:szCs w:val="32"/>
        </w:rPr>
      </w:pPr>
    </w:p>
    <w:p w14:paraId="1A4104F8" w14:textId="172CA7E7" w:rsidR="001930CA" w:rsidRPr="00A91310" w:rsidRDefault="001930CA" w:rsidP="00C62DA7">
      <w:pPr>
        <w:spacing w:line="360" w:lineRule="auto"/>
        <w:jc w:val="center"/>
        <w:rPr>
          <w:b/>
          <w:bCs/>
          <w:sz w:val="32"/>
          <w:szCs w:val="32"/>
        </w:rPr>
      </w:pPr>
      <w:r w:rsidRPr="00A91310">
        <w:rPr>
          <w:b/>
          <w:bCs/>
          <w:sz w:val="32"/>
          <w:szCs w:val="32"/>
        </w:rPr>
        <w:t>Giải</w:t>
      </w:r>
      <w:r>
        <w:rPr>
          <w:b/>
          <w:bCs/>
          <w:sz w:val="32"/>
          <w:szCs w:val="32"/>
        </w:rPr>
        <w:t xml:space="preserve"> </w:t>
      </w:r>
      <w:r w:rsidRPr="00A91310">
        <w:rPr>
          <w:b/>
          <w:bCs/>
          <w:sz w:val="32"/>
          <w:szCs w:val="32"/>
        </w:rPr>
        <w:t>trình</w:t>
      </w:r>
      <w:r>
        <w:rPr>
          <w:b/>
          <w:bCs/>
          <w:sz w:val="32"/>
          <w:szCs w:val="32"/>
        </w:rPr>
        <w:t xml:space="preserve"> </w:t>
      </w:r>
      <w:r w:rsidRPr="00A91310">
        <w:rPr>
          <w:b/>
          <w:bCs/>
          <w:sz w:val="32"/>
          <w:szCs w:val="32"/>
        </w:rPr>
        <w:t>phản</w:t>
      </w:r>
      <w:r>
        <w:rPr>
          <w:b/>
          <w:bCs/>
          <w:sz w:val="32"/>
          <w:szCs w:val="32"/>
        </w:rPr>
        <w:t xml:space="preserve"> </w:t>
      </w:r>
      <w:r w:rsidRPr="00A91310">
        <w:rPr>
          <w:b/>
          <w:bCs/>
          <w:sz w:val="32"/>
          <w:szCs w:val="32"/>
        </w:rPr>
        <w:t>biện</w:t>
      </w:r>
      <w:r>
        <w:rPr>
          <w:b/>
          <w:bCs/>
          <w:sz w:val="32"/>
          <w:szCs w:val="32"/>
        </w:rPr>
        <w:t xml:space="preserve"> </w:t>
      </w:r>
      <w:r w:rsidRPr="00A91310">
        <w:rPr>
          <w:b/>
          <w:bCs/>
          <w:sz w:val="32"/>
          <w:szCs w:val="32"/>
        </w:rPr>
        <w:t>bài</w:t>
      </w:r>
      <w:r>
        <w:rPr>
          <w:b/>
          <w:bCs/>
          <w:sz w:val="32"/>
          <w:szCs w:val="32"/>
        </w:rPr>
        <w:t xml:space="preserve"> </w:t>
      </w:r>
      <w:r w:rsidRPr="00A91310">
        <w:rPr>
          <w:b/>
          <w:bCs/>
          <w:sz w:val="32"/>
          <w:szCs w:val="32"/>
        </w:rPr>
        <w:t>báo</w:t>
      </w:r>
    </w:p>
    <w:p w14:paraId="18EC8E92" w14:textId="2731F4C1" w:rsidR="001930CA" w:rsidRPr="00C62DA7" w:rsidRDefault="001930CA" w:rsidP="00C62DA7">
      <w:pPr>
        <w:spacing w:before="60" w:after="60"/>
        <w:jc w:val="center"/>
        <w:rPr>
          <w:b/>
          <w:spacing w:val="-18"/>
        </w:rPr>
      </w:pPr>
      <w:r w:rsidRPr="00C62DA7">
        <w:rPr>
          <w:b/>
          <w:sz w:val="28"/>
          <w:lang w:val="vi-VN"/>
        </w:rPr>
        <w:t>Tên bài báo:</w:t>
      </w:r>
      <w:r w:rsidRPr="00C62DA7">
        <w:rPr>
          <w:b/>
          <w:sz w:val="28"/>
        </w:rPr>
        <w:t xml:space="preserve"> “</w:t>
      </w:r>
      <w:r w:rsidR="00C21AAF" w:rsidRPr="00C62DA7">
        <w:rPr>
          <w:b/>
          <w:color w:val="000000" w:themeColor="text1"/>
          <w:sz w:val="32"/>
          <w:szCs w:val="28"/>
          <w:lang w:val="en-AU"/>
        </w:rPr>
        <w:t>Nghiên cứu ảnh hưởng của bánh men thuần chủng đến chất lượng sản phẩm cơm rượu</w:t>
      </w:r>
      <w:r w:rsidR="00C21AAF" w:rsidRPr="00C62DA7">
        <w:rPr>
          <w:b/>
          <w:sz w:val="28"/>
          <w:szCs w:val="26"/>
          <w:lang w:val="en-AU"/>
        </w:rPr>
        <w:t>”</w:t>
      </w:r>
    </w:p>
    <w:tbl>
      <w:tblPr>
        <w:tblStyle w:val="TableGrid"/>
        <w:tblW w:w="9700" w:type="dxa"/>
        <w:tblLook w:val="04A0" w:firstRow="1" w:lastRow="0" w:firstColumn="1" w:lastColumn="0" w:noHBand="0" w:noVBand="1"/>
      </w:tblPr>
      <w:tblGrid>
        <w:gridCol w:w="534"/>
        <w:gridCol w:w="4706"/>
        <w:gridCol w:w="4460"/>
      </w:tblGrid>
      <w:tr w:rsidR="001930CA" w:rsidRPr="007C6048" w14:paraId="721171E4" w14:textId="77777777" w:rsidTr="007906D9">
        <w:trPr>
          <w:tblHeader/>
        </w:trPr>
        <w:tc>
          <w:tcPr>
            <w:tcW w:w="534" w:type="dxa"/>
            <w:vAlign w:val="center"/>
          </w:tcPr>
          <w:p w14:paraId="462648B6" w14:textId="77777777" w:rsidR="001930CA" w:rsidRPr="007F3E64" w:rsidRDefault="001930CA" w:rsidP="007906D9">
            <w:pPr>
              <w:spacing w:before="120" w:after="120"/>
              <w:jc w:val="center"/>
              <w:rPr>
                <w:b/>
                <w:bCs/>
                <w:lang w:val="vi-VN"/>
              </w:rPr>
            </w:pPr>
            <w:r w:rsidRPr="007F3E64">
              <w:rPr>
                <w:b/>
                <w:bCs/>
                <w:lang w:val="vi-VN"/>
              </w:rPr>
              <w:t>Stt</w:t>
            </w:r>
          </w:p>
        </w:tc>
        <w:tc>
          <w:tcPr>
            <w:tcW w:w="4706" w:type="dxa"/>
            <w:vAlign w:val="center"/>
          </w:tcPr>
          <w:p w14:paraId="45C04782" w14:textId="5405E93A" w:rsidR="001930CA" w:rsidRPr="007F3E64" w:rsidRDefault="001930CA" w:rsidP="007906D9">
            <w:pPr>
              <w:spacing w:before="120" w:after="120"/>
              <w:jc w:val="center"/>
              <w:rPr>
                <w:b/>
                <w:bCs/>
              </w:rPr>
            </w:pPr>
            <w:r w:rsidRPr="007F3E64">
              <w:rPr>
                <w:b/>
                <w:bCs/>
              </w:rPr>
              <w:t>Ý kiến</w:t>
            </w:r>
            <w:r w:rsidRPr="007F3E64">
              <w:rPr>
                <w:b/>
                <w:bCs/>
                <w:lang w:val="vi-VN"/>
              </w:rPr>
              <w:t xml:space="preserve"> phản biện</w:t>
            </w:r>
            <w:r w:rsidRPr="007F3E64">
              <w:rPr>
                <w:b/>
                <w:bCs/>
              </w:rPr>
              <w:t xml:space="preserve"> </w:t>
            </w:r>
          </w:p>
        </w:tc>
        <w:tc>
          <w:tcPr>
            <w:tcW w:w="4460" w:type="dxa"/>
            <w:vAlign w:val="center"/>
          </w:tcPr>
          <w:p w14:paraId="7C841473" w14:textId="01D126D9" w:rsidR="001930CA" w:rsidRPr="007F3E64" w:rsidRDefault="001930CA" w:rsidP="007906D9">
            <w:pPr>
              <w:spacing w:before="120" w:after="120"/>
              <w:jc w:val="center"/>
              <w:rPr>
                <w:b/>
                <w:bCs/>
              </w:rPr>
            </w:pPr>
            <w:r w:rsidRPr="007F3E64">
              <w:rPr>
                <w:b/>
                <w:bCs/>
              </w:rPr>
              <w:t>Giải</w:t>
            </w:r>
            <w:r w:rsidR="00983663" w:rsidRPr="007F3E64">
              <w:rPr>
                <w:b/>
                <w:bCs/>
              </w:rPr>
              <w:t xml:space="preserve"> </w:t>
            </w:r>
            <w:r w:rsidRPr="007F3E64">
              <w:rPr>
                <w:b/>
                <w:bCs/>
              </w:rPr>
              <w:t>trình</w:t>
            </w:r>
          </w:p>
        </w:tc>
      </w:tr>
      <w:tr w:rsidR="007C6048" w:rsidRPr="007C6048" w14:paraId="7304FF4B" w14:textId="77777777" w:rsidTr="008729A0">
        <w:tc>
          <w:tcPr>
            <w:tcW w:w="9700" w:type="dxa"/>
            <w:gridSpan w:val="3"/>
            <w:vAlign w:val="center"/>
          </w:tcPr>
          <w:p w14:paraId="3020BD25" w14:textId="2901C204" w:rsidR="007C6048" w:rsidRPr="007F3E64" w:rsidRDefault="007C6048" w:rsidP="007906D9">
            <w:pPr>
              <w:spacing w:before="120" w:after="120"/>
              <w:rPr>
                <w:b/>
                <w:bCs/>
              </w:rPr>
            </w:pPr>
            <w:r w:rsidRPr="007F3E64">
              <w:rPr>
                <w:b/>
                <w:color w:val="000000" w:themeColor="text1"/>
                <w:shd w:val="clear" w:color="auto" w:fill="FFFFFF"/>
              </w:rPr>
              <w:t>Ý kiến phản biện 1</w:t>
            </w:r>
          </w:p>
        </w:tc>
      </w:tr>
      <w:tr w:rsidR="007C6048" w:rsidRPr="007C6048" w14:paraId="7362EE93" w14:textId="77777777" w:rsidTr="007906D9">
        <w:tc>
          <w:tcPr>
            <w:tcW w:w="534" w:type="dxa"/>
            <w:vAlign w:val="center"/>
          </w:tcPr>
          <w:p w14:paraId="3F804C48" w14:textId="5A33AB29" w:rsidR="007C6048" w:rsidRPr="007F3E64" w:rsidRDefault="007C6048" w:rsidP="007906D9">
            <w:pPr>
              <w:spacing w:before="120" w:after="120"/>
              <w:jc w:val="center"/>
              <w:rPr>
                <w:bCs/>
              </w:rPr>
            </w:pPr>
          </w:p>
        </w:tc>
        <w:tc>
          <w:tcPr>
            <w:tcW w:w="4706" w:type="dxa"/>
          </w:tcPr>
          <w:p w14:paraId="37FB2A6B" w14:textId="7E91C239" w:rsidR="007C6048" w:rsidRPr="007F3E64" w:rsidRDefault="007C6048" w:rsidP="007906D9">
            <w:pPr>
              <w:spacing w:before="120" w:after="120"/>
              <w:rPr>
                <w:color w:val="000000" w:themeColor="text1"/>
                <w:shd w:val="clear" w:color="auto" w:fill="FFFFFF"/>
              </w:rPr>
            </w:pPr>
            <w:r w:rsidRPr="007F3E64">
              <w:t xml:space="preserve">Bổ sung phương pháp đánh giá cảm quan vào mục 2. MATERIALS AND METHOD </w:t>
            </w:r>
          </w:p>
        </w:tc>
        <w:tc>
          <w:tcPr>
            <w:tcW w:w="4460" w:type="dxa"/>
            <w:vAlign w:val="center"/>
          </w:tcPr>
          <w:p w14:paraId="3997108E" w14:textId="34325B0B" w:rsidR="007C6048" w:rsidRPr="007F3E64" w:rsidRDefault="007C6048" w:rsidP="007906D9">
            <w:pPr>
              <w:spacing w:before="120" w:after="120"/>
              <w:jc w:val="both"/>
              <w:rPr>
                <w:bCs/>
              </w:rPr>
            </w:pPr>
            <w:r w:rsidRPr="007F3E64">
              <w:rPr>
                <w:bCs/>
              </w:rPr>
              <w:t>Tác giả đã bổ sung</w:t>
            </w:r>
            <w:r w:rsidR="00345DBC" w:rsidRPr="007F3E64">
              <w:rPr>
                <w:bCs/>
              </w:rPr>
              <w:t xml:space="preserve"> “</w:t>
            </w:r>
            <w:r w:rsidR="00FE7823" w:rsidRPr="005C36EE">
              <w:rPr>
                <w:bCs/>
                <w:color w:val="000000" w:themeColor="text1"/>
              </w:rPr>
              <w:t>Đánh giá cảm quan</w:t>
            </w:r>
            <w:r w:rsidR="00FE7823" w:rsidRPr="007F3E64">
              <w:rPr>
                <w:color w:val="000000" w:themeColor="text1"/>
              </w:rPr>
              <w:t xml:space="preserve">: Dùng phương pháp cho điểm thang số (Numerical Rating Scale) theo tiêu chuẩn TCVN 3215-79. Mẫu cơm rượu được đánh giá bởi 10 người thử cảm quan là cán bộ và sinh viên Khoa Khoa học Thực phẩm và Sức khỏe, theo phương pháp chấm điểm thang 20 (0–20 điểm) gồm các tiêu chí: màu sắc, hương thơm, vị ngọt, vị chua nhẹ và độ mềm. Mỗi tiêu chí có trọng số bằng nhau. Kết quả là trung bình điểm của tất cả người đánh </w:t>
            </w:r>
            <w:proofErr w:type="gramStart"/>
            <w:r w:rsidR="00FE7823" w:rsidRPr="007F3E64">
              <w:rPr>
                <w:color w:val="000000" w:themeColor="text1"/>
              </w:rPr>
              <w:t xml:space="preserve">giá </w:t>
            </w:r>
            <w:r w:rsidR="00345DBC" w:rsidRPr="007F3E64">
              <w:rPr>
                <w:color w:val="000000" w:themeColor="text1"/>
              </w:rPr>
              <w:t>”</w:t>
            </w:r>
            <w:proofErr w:type="gramEnd"/>
          </w:p>
        </w:tc>
      </w:tr>
      <w:tr w:rsidR="007C6048" w:rsidRPr="007C6048" w14:paraId="6A2895AC" w14:textId="77777777" w:rsidTr="007906D9">
        <w:tc>
          <w:tcPr>
            <w:tcW w:w="534" w:type="dxa"/>
            <w:vAlign w:val="center"/>
          </w:tcPr>
          <w:p w14:paraId="2888749E" w14:textId="0B3A2767" w:rsidR="007C6048" w:rsidRPr="007F3E64" w:rsidRDefault="007C6048" w:rsidP="007906D9">
            <w:pPr>
              <w:spacing w:before="120" w:after="120"/>
              <w:jc w:val="center"/>
              <w:rPr>
                <w:bCs/>
              </w:rPr>
            </w:pPr>
          </w:p>
        </w:tc>
        <w:tc>
          <w:tcPr>
            <w:tcW w:w="4706" w:type="dxa"/>
          </w:tcPr>
          <w:p w14:paraId="15EE8B19" w14:textId="433D563A" w:rsidR="007C6048" w:rsidRPr="002B792C" w:rsidRDefault="007C6048" w:rsidP="007906D9">
            <w:pPr>
              <w:spacing w:before="120" w:after="120"/>
              <w:rPr>
                <w:color w:val="000000" w:themeColor="text1"/>
                <w:shd w:val="clear" w:color="auto" w:fill="FFFFFF"/>
              </w:rPr>
            </w:pPr>
            <w:r w:rsidRPr="002B792C">
              <w:rPr>
                <w:color w:val="000000" w:themeColor="text1"/>
              </w:rPr>
              <w:t>Bổ sung thêm thông tin về giống vi sinh vật (nấm men, nấm mốc, vi khuẩn) được sử dụng trong nghiên cứu này</w:t>
            </w:r>
          </w:p>
        </w:tc>
        <w:tc>
          <w:tcPr>
            <w:tcW w:w="4460" w:type="dxa"/>
            <w:vAlign w:val="center"/>
          </w:tcPr>
          <w:p w14:paraId="7B5AEC4F" w14:textId="593FF65E" w:rsidR="007C6048" w:rsidRPr="002B792C" w:rsidRDefault="007C6048" w:rsidP="007906D9">
            <w:pPr>
              <w:pStyle w:val="NormalWeb"/>
              <w:spacing w:before="120" w:beforeAutospacing="0" w:after="120" w:afterAutospacing="0"/>
              <w:jc w:val="both"/>
              <w:rPr>
                <w:color w:val="000000" w:themeColor="text1"/>
              </w:rPr>
            </w:pPr>
            <w:r w:rsidRPr="002B792C">
              <w:rPr>
                <w:bCs/>
                <w:color w:val="000000" w:themeColor="text1"/>
              </w:rPr>
              <w:t xml:space="preserve">Tác giả đã bổ sung </w:t>
            </w:r>
            <w:r w:rsidR="00345DBC" w:rsidRPr="002B792C">
              <w:rPr>
                <w:bCs/>
                <w:color w:val="000000" w:themeColor="text1"/>
              </w:rPr>
              <w:t>“</w:t>
            </w:r>
            <w:r w:rsidR="00345DBC" w:rsidRPr="002B792C">
              <w:rPr>
                <w:color w:val="000000" w:themeColor="text1"/>
              </w:rPr>
              <w:t xml:space="preserve">Vi sinh vật trong bánh men gồm các chủng phân lập từ bánh men truyền thống tại Gò Quao, Kiên Giang, được nhận diện bằng kỹ thuật sinh học phân tử: nấm men </w:t>
            </w:r>
            <w:r w:rsidR="00345DBC" w:rsidRPr="002B792C">
              <w:rPr>
                <w:i/>
                <w:iCs/>
                <w:color w:val="000000" w:themeColor="text1"/>
              </w:rPr>
              <w:t>Saccharomyces cerevisiae</w:t>
            </w:r>
            <w:r w:rsidR="00345DBC" w:rsidRPr="002B792C">
              <w:rPr>
                <w:color w:val="000000" w:themeColor="text1"/>
              </w:rPr>
              <w:t xml:space="preserve">, nấm mốc </w:t>
            </w:r>
            <w:r w:rsidR="00345DBC" w:rsidRPr="002B792C">
              <w:rPr>
                <w:i/>
                <w:iCs/>
                <w:color w:val="000000" w:themeColor="text1"/>
              </w:rPr>
              <w:t>Aspergillus oryzae</w:t>
            </w:r>
            <w:r w:rsidR="00345DBC" w:rsidRPr="002B792C">
              <w:rPr>
                <w:color w:val="000000" w:themeColor="text1"/>
              </w:rPr>
              <w:t xml:space="preserve">, và vi khuẩn lactic </w:t>
            </w:r>
            <w:r w:rsidR="002B792C" w:rsidRPr="002B792C">
              <w:rPr>
                <w:i/>
                <w:color w:val="000000" w:themeColor="text1"/>
              </w:rPr>
              <w:t>Lactiplantibacillus</w:t>
            </w:r>
            <w:r w:rsidR="00345DBC" w:rsidRPr="002B792C">
              <w:rPr>
                <w:i/>
                <w:iCs/>
                <w:color w:val="000000" w:themeColor="text1"/>
              </w:rPr>
              <w:t xml:space="preserve"> plantarum</w:t>
            </w:r>
            <w:r w:rsidR="00345DBC" w:rsidRPr="002B792C">
              <w:rPr>
                <w:color w:val="000000" w:themeColor="text1"/>
              </w:rPr>
              <w:t>. Các chủng này được lưu giữ và tăng sinh tại phòng thí nghiệm Vi sinh – Trường Đại học Kiên Giang”</w:t>
            </w:r>
          </w:p>
        </w:tc>
      </w:tr>
      <w:tr w:rsidR="007C6048" w:rsidRPr="007C6048" w14:paraId="66E1546A" w14:textId="77777777" w:rsidTr="007906D9">
        <w:tc>
          <w:tcPr>
            <w:tcW w:w="534" w:type="dxa"/>
            <w:vAlign w:val="center"/>
          </w:tcPr>
          <w:p w14:paraId="709C8635" w14:textId="51065649" w:rsidR="007C6048" w:rsidRPr="007F3E64" w:rsidRDefault="007C6048" w:rsidP="007906D9">
            <w:pPr>
              <w:spacing w:before="120" w:after="120"/>
              <w:jc w:val="center"/>
              <w:rPr>
                <w:bCs/>
              </w:rPr>
            </w:pPr>
          </w:p>
        </w:tc>
        <w:tc>
          <w:tcPr>
            <w:tcW w:w="4706" w:type="dxa"/>
          </w:tcPr>
          <w:p w14:paraId="3FD5975D" w14:textId="2321C158" w:rsidR="007C6048" w:rsidRPr="007F3E64" w:rsidRDefault="007C6048" w:rsidP="007906D9">
            <w:pPr>
              <w:spacing w:before="120" w:after="120"/>
              <w:rPr>
                <w:color w:val="000000" w:themeColor="text1"/>
                <w:shd w:val="clear" w:color="auto" w:fill="FFFFFF"/>
              </w:rPr>
            </w:pPr>
            <w:r w:rsidRPr="007F3E64">
              <w:t>Mối liên hệ giữa giá pH và Titratable acidity ở Bảng 1</w:t>
            </w:r>
          </w:p>
        </w:tc>
        <w:tc>
          <w:tcPr>
            <w:tcW w:w="4460" w:type="dxa"/>
            <w:vAlign w:val="center"/>
          </w:tcPr>
          <w:p w14:paraId="001CAB39" w14:textId="247DF925" w:rsidR="007C6048" w:rsidRPr="007F3E64" w:rsidRDefault="006F68BA" w:rsidP="007906D9">
            <w:pPr>
              <w:spacing w:before="120" w:after="120"/>
              <w:jc w:val="both"/>
              <w:rPr>
                <w:bCs/>
              </w:rPr>
            </w:pPr>
            <w:r w:rsidRPr="007F3E64">
              <w:rPr>
                <w:bCs/>
              </w:rPr>
              <w:t xml:space="preserve">Tác giả đã nêu mối liên hệ pH và </w:t>
            </w:r>
            <w:r w:rsidRPr="007F3E64">
              <w:t xml:space="preserve">Titratable acidity ở Bảng </w:t>
            </w:r>
            <w:r w:rsidR="00345DBC" w:rsidRPr="007F3E64">
              <w:t>1 “</w:t>
            </w:r>
            <w:r w:rsidR="00345DBC" w:rsidRPr="007F3E64">
              <w:rPr>
                <w:color w:val="000000" w:themeColor="text1"/>
              </w:rPr>
              <w:t>Giá trị pH của các mẫu cơm rượu trong nghiên cứu dao động từ 3,71 đến 3,98, phản ánh mức độ tích lũy acid hữu cơ trong quá trình lên men. Giá trị pH và hàm lượng acid lactic tỉ lệ nghịch vơi nhau: do sự tích lũy acid hữu cơ từ hoạt động của vi khuẩn lactic nên mẫu có hàm lượng acid càng cao thì pH càng thấp. Mặc dù pH chỉ dao động trong khoảng hẹp, nhưng những thay đổi nhỏ vẫn có thể ảnh hưởng đáng kể đến cảm quan và độ ổn định của sản phẩm</w:t>
            </w:r>
            <w:r w:rsidR="00345DBC" w:rsidRPr="007F3E64">
              <w:rPr>
                <w:color w:val="EE0000"/>
              </w:rPr>
              <w:t>”</w:t>
            </w:r>
          </w:p>
        </w:tc>
      </w:tr>
      <w:tr w:rsidR="007C6048" w:rsidRPr="007C6048" w14:paraId="378304A5" w14:textId="77777777" w:rsidTr="007906D9">
        <w:tc>
          <w:tcPr>
            <w:tcW w:w="534" w:type="dxa"/>
            <w:vAlign w:val="center"/>
          </w:tcPr>
          <w:p w14:paraId="67F9C99C" w14:textId="7B290D60" w:rsidR="007C6048" w:rsidRPr="007F3E64" w:rsidRDefault="007C6048" w:rsidP="007906D9">
            <w:pPr>
              <w:spacing w:before="120" w:after="120"/>
              <w:jc w:val="center"/>
              <w:rPr>
                <w:bCs/>
              </w:rPr>
            </w:pPr>
          </w:p>
        </w:tc>
        <w:tc>
          <w:tcPr>
            <w:tcW w:w="4706" w:type="dxa"/>
          </w:tcPr>
          <w:p w14:paraId="74B854DD" w14:textId="61031160" w:rsidR="007C6048" w:rsidRPr="007F3E64" w:rsidRDefault="007C6048" w:rsidP="007906D9">
            <w:pPr>
              <w:spacing w:before="120" w:after="120"/>
              <w:rPr>
                <w:bCs/>
                <w:color w:val="000000" w:themeColor="text1"/>
              </w:rPr>
            </w:pPr>
            <w:r w:rsidRPr="007F3E64">
              <w:t xml:space="preserve">Các khảo sát chưa có nghiệm thức đối chứng để đánh giá ảnh hưởng khi sử dụng nấm men </w:t>
            </w:r>
            <w:r w:rsidRPr="007F3E64">
              <w:lastRenderedPageBreak/>
              <w:t xml:space="preserve">thuần chủng và làm sáng tỏ vấn đề đặt ra ở Introduction. </w:t>
            </w:r>
          </w:p>
        </w:tc>
        <w:tc>
          <w:tcPr>
            <w:tcW w:w="4460" w:type="dxa"/>
            <w:vAlign w:val="center"/>
          </w:tcPr>
          <w:p w14:paraId="5E9C9167" w14:textId="4FA09FD2" w:rsidR="007C6048" w:rsidRPr="007F3E64" w:rsidRDefault="006F68BA" w:rsidP="007906D9">
            <w:pPr>
              <w:spacing w:before="120" w:after="120"/>
              <w:jc w:val="both"/>
            </w:pPr>
            <w:r w:rsidRPr="007F3E64">
              <w:rPr>
                <w:color w:val="081B3A"/>
                <w:spacing w:val="3"/>
                <w:shd w:val="clear" w:color="auto" w:fill="FFFFFF"/>
              </w:rPr>
              <w:lastRenderedPageBreak/>
              <w:t xml:space="preserve">Tuy nghiên cứu chưa so sánh trực tiếp với nghiệm thức sử dụng bánh men dân gian </w:t>
            </w:r>
            <w:r w:rsidRPr="007F3E64">
              <w:rPr>
                <w:color w:val="081B3A"/>
                <w:spacing w:val="3"/>
                <w:shd w:val="clear" w:color="auto" w:fill="FFFFFF"/>
              </w:rPr>
              <w:lastRenderedPageBreak/>
              <w:t>hoặc thương mại, nhưng kết quả đã khẳng định hiệu quả rõ rệt của bánh men thuần chủng khi đạt hàm lượng ethanol cao, cảm quan tốt và an toàn vi sinh. Nghiên cứu kế tiếp</w:t>
            </w:r>
            <w:r w:rsidR="009D3C21" w:rsidRPr="007F3E64">
              <w:rPr>
                <w:color w:val="081B3A"/>
                <w:spacing w:val="3"/>
                <w:shd w:val="clear" w:color="auto" w:fill="FFFFFF"/>
              </w:rPr>
              <w:t xml:space="preserve"> </w:t>
            </w:r>
            <w:r w:rsidR="00091DFE" w:rsidRPr="007F3E64">
              <w:rPr>
                <w:color w:val="081B3A"/>
                <w:spacing w:val="3"/>
                <w:shd w:val="clear" w:color="auto" w:fill="FFFFFF"/>
              </w:rPr>
              <w:t>theo, tác giả</w:t>
            </w:r>
            <w:r w:rsidRPr="007F3E64">
              <w:rPr>
                <w:color w:val="081B3A"/>
                <w:spacing w:val="3"/>
                <w:shd w:val="clear" w:color="auto" w:fill="FFFFFF"/>
              </w:rPr>
              <w:t xml:space="preserve"> sẽ tập trung so sánh giữa men thuần chủng và men truyền thống nhằm lượng hóa rõ hơn hiệu quả cải tiến</w:t>
            </w:r>
            <w:r w:rsidR="009D3C21" w:rsidRPr="007F3E64">
              <w:rPr>
                <w:color w:val="081B3A"/>
                <w:spacing w:val="3"/>
                <w:shd w:val="clear" w:color="auto" w:fill="FFFFFF"/>
              </w:rPr>
              <w:t xml:space="preserve">. </w:t>
            </w:r>
            <w:r w:rsidR="009D3C21" w:rsidRPr="007F3E64">
              <w:t>Mục tiêu của nghiên cứu này là đánh giá khả năng lên men cơm rượu của bánh men có bổ sung các chủng vi sinh vật thuần chủng (nấm mốc, nấm men, vi khuẩn lactic), từ đó xác định tiềm năng ứng dụng vào sản xuất cơm rượu có chất lượng ổn định và an toàn.</w:t>
            </w:r>
          </w:p>
        </w:tc>
      </w:tr>
      <w:tr w:rsidR="007C6048" w:rsidRPr="007C6048" w14:paraId="12E3A848" w14:textId="77777777" w:rsidTr="007906D9">
        <w:tc>
          <w:tcPr>
            <w:tcW w:w="534" w:type="dxa"/>
            <w:vAlign w:val="center"/>
          </w:tcPr>
          <w:p w14:paraId="43C8DDFB" w14:textId="42BB881B" w:rsidR="007C6048" w:rsidRPr="007F3E64" w:rsidRDefault="007C6048" w:rsidP="007906D9">
            <w:pPr>
              <w:spacing w:before="120" w:after="120"/>
              <w:rPr>
                <w:bCs/>
              </w:rPr>
            </w:pPr>
          </w:p>
        </w:tc>
        <w:tc>
          <w:tcPr>
            <w:tcW w:w="4706" w:type="dxa"/>
          </w:tcPr>
          <w:p w14:paraId="0BF8CA84" w14:textId="4DBE89DC" w:rsidR="007C6048" w:rsidRPr="007F3E64" w:rsidRDefault="007C6048" w:rsidP="007906D9">
            <w:pPr>
              <w:spacing w:before="120" w:after="120"/>
              <w:rPr>
                <w:bCs/>
                <w:color w:val="000000" w:themeColor="text1"/>
              </w:rPr>
            </w:pPr>
            <w:r w:rsidRPr="007F3E64">
              <w:t>Trong thảo luận kết quả và kết luận cần tập trung xác định giải quyết các vấn đề đặt ra ở Introduction và ngược lại</w:t>
            </w:r>
          </w:p>
        </w:tc>
        <w:tc>
          <w:tcPr>
            <w:tcW w:w="4460" w:type="dxa"/>
            <w:vAlign w:val="center"/>
          </w:tcPr>
          <w:p w14:paraId="627DE5BE" w14:textId="25885A86" w:rsidR="007C6048" w:rsidRPr="007F3E64" w:rsidRDefault="00322043" w:rsidP="007906D9">
            <w:pPr>
              <w:spacing w:before="120" w:after="120"/>
              <w:jc w:val="both"/>
              <w:rPr>
                <w:bCs/>
              </w:rPr>
            </w:pPr>
            <w:r w:rsidRPr="007F3E64">
              <w:rPr>
                <w:bCs/>
              </w:rPr>
              <w:t>Tác giả tiếp thu ý kiến của phản biện 1</w:t>
            </w:r>
            <w:r w:rsidR="00EB30BA" w:rsidRPr="007F3E64">
              <w:rPr>
                <w:bCs/>
              </w:rPr>
              <w:t>, phần kết luận tác giả đã viết lại giải quyết vấn đề đặt ra ở giới thiệu</w:t>
            </w:r>
          </w:p>
        </w:tc>
      </w:tr>
      <w:tr w:rsidR="007C6048" w:rsidRPr="007C6048" w14:paraId="5FA1CFD1" w14:textId="77777777" w:rsidTr="007906D9">
        <w:tc>
          <w:tcPr>
            <w:tcW w:w="534" w:type="dxa"/>
            <w:vAlign w:val="center"/>
          </w:tcPr>
          <w:p w14:paraId="738BB23E" w14:textId="77777777" w:rsidR="007C6048" w:rsidRPr="007F3E64" w:rsidRDefault="007C6048" w:rsidP="007906D9">
            <w:pPr>
              <w:spacing w:before="120" w:after="120"/>
              <w:jc w:val="center"/>
              <w:rPr>
                <w:bCs/>
              </w:rPr>
            </w:pPr>
          </w:p>
        </w:tc>
        <w:tc>
          <w:tcPr>
            <w:tcW w:w="4706" w:type="dxa"/>
          </w:tcPr>
          <w:p w14:paraId="5141FADE" w14:textId="21BB8BAC" w:rsidR="007C6048" w:rsidRPr="007F3E64" w:rsidRDefault="007C6048" w:rsidP="007906D9">
            <w:pPr>
              <w:spacing w:before="120" w:after="120"/>
              <w:rPr>
                <w:bCs/>
                <w:color w:val="000000" w:themeColor="text1"/>
              </w:rPr>
            </w:pPr>
            <w:r w:rsidRPr="007F3E64">
              <w:t>Phần Tóm tắt có nêu: "Nghiên cứu này tập trung sử dụng các chủng vi sinh vật thuần chủng cho vào bánh men nhằm cải tiến chất lượng sản phẩm cơm rượu tại huyện Gò Quao, tỉnh Kiên Giang", cần làm rõ mục tiêu này.</w:t>
            </w:r>
          </w:p>
        </w:tc>
        <w:tc>
          <w:tcPr>
            <w:tcW w:w="4460" w:type="dxa"/>
            <w:vAlign w:val="center"/>
          </w:tcPr>
          <w:p w14:paraId="6B420AB6" w14:textId="17B302D8" w:rsidR="007C6048" w:rsidRPr="007F3E64" w:rsidRDefault="00327B06" w:rsidP="007906D9">
            <w:pPr>
              <w:spacing w:before="120" w:after="120"/>
              <w:jc w:val="both"/>
            </w:pPr>
            <w:r w:rsidRPr="007F3E64">
              <w:rPr>
                <w:color w:val="000000" w:themeColor="text1"/>
              </w:rPr>
              <w:t xml:space="preserve">Tác giả đã viết </w:t>
            </w:r>
            <w:proofErr w:type="gramStart"/>
            <w:r w:rsidRPr="007F3E64">
              <w:rPr>
                <w:color w:val="000000" w:themeColor="text1"/>
              </w:rPr>
              <w:t>lại ”</w:t>
            </w:r>
            <w:proofErr w:type="gramEnd"/>
            <w:r w:rsidRPr="007F3E64">
              <w:rPr>
                <w:color w:val="000000" w:themeColor="text1"/>
              </w:rPr>
              <w:t xml:space="preserve"> Nghiên cứu này nhằm đánh giá ảnh hưởng của việc sử dụng các chủng vi sinh vật thuần chủng trong bánh men đến chất lượng cảm quan, hoá lý và vi sinh vật của sản phẩm cơm rượu truyền thống tại huyện Gò Quao, tỉnh Kiên Giang.”</w:t>
            </w:r>
          </w:p>
        </w:tc>
      </w:tr>
      <w:tr w:rsidR="007C6048" w:rsidRPr="007C6048" w14:paraId="46478ACD" w14:textId="77777777" w:rsidTr="007906D9">
        <w:tc>
          <w:tcPr>
            <w:tcW w:w="534" w:type="dxa"/>
            <w:vAlign w:val="center"/>
          </w:tcPr>
          <w:p w14:paraId="4DA9EE6B" w14:textId="77777777" w:rsidR="007C6048" w:rsidRPr="007F3E64" w:rsidRDefault="007C6048" w:rsidP="007906D9">
            <w:pPr>
              <w:spacing w:before="120" w:after="120"/>
              <w:jc w:val="center"/>
              <w:rPr>
                <w:bCs/>
              </w:rPr>
            </w:pPr>
          </w:p>
        </w:tc>
        <w:tc>
          <w:tcPr>
            <w:tcW w:w="4706" w:type="dxa"/>
          </w:tcPr>
          <w:p w14:paraId="0B2C5544" w14:textId="32EA1BA7" w:rsidR="007C6048" w:rsidRPr="007F3E64" w:rsidRDefault="007C6048" w:rsidP="007906D9">
            <w:pPr>
              <w:spacing w:before="120" w:after="120"/>
              <w:rPr>
                <w:bCs/>
                <w:color w:val="000000" w:themeColor="text1"/>
              </w:rPr>
            </w:pPr>
            <w:r w:rsidRPr="007F3E64">
              <w:t>Bổ sung giá trị P cho các số liệu</w:t>
            </w:r>
          </w:p>
        </w:tc>
        <w:tc>
          <w:tcPr>
            <w:tcW w:w="4460" w:type="dxa"/>
            <w:vAlign w:val="center"/>
          </w:tcPr>
          <w:p w14:paraId="3ECFD5BD" w14:textId="749DE853" w:rsidR="007C6048" w:rsidRPr="007F3E64" w:rsidRDefault="00345DBC" w:rsidP="007906D9">
            <w:pPr>
              <w:spacing w:before="120" w:after="120"/>
              <w:jc w:val="both"/>
              <w:rPr>
                <w:bCs/>
              </w:rPr>
            </w:pPr>
            <w:r w:rsidRPr="007F3E64">
              <w:rPr>
                <w:iCs/>
                <w:color w:val="000000" w:themeColor="text1"/>
              </w:rPr>
              <w:t>Tác giả bổ sung giá trị P “mức độ ý nghĩa thống kê p&lt;0.05”</w:t>
            </w:r>
          </w:p>
        </w:tc>
      </w:tr>
      <w:tr w:rsidR="00EA1366" w:rsidRPr="007C6048" w14:paraId="6A6948A0" w14:textId="77777777" w:rsidTr="007906D9">
        <w:tc>
          <w:tcPr>
            <w:tcW w:w="534" w:type="dxa"/>
            <w:vAlign w:val="center"/>
          </w:tcPr>
          <w:p w14:paraId="6BDBCA57" w14:textId="77777777" w:rsidR="00EA1366" w:rsidRPr="007F3E64" w:rsidRDefault="00EA1366" w:rsidP="007906D9">
            <w:pPr>
              <w:spacing w:before="120" w:after="120"/>
              <w:jc w:val="center"/>
              <w:rPr>
                <w:bCs/>
              </w:rPr>
            </w:pPr>
          </w:p>
        </w:tc>
        <w:tc>
          <w:tcPr>
            <w:tcW w:w="4706" w:type="dxa"/>
          </w:tcPr>
          <w:p w14:paraId="69EE6D87" w14:textId="65560154" w:rsidR="00EA1366" w:rsidRPr="007F3E64" w:rsidRDefault="00345DBC" w:rsidP="007906D9">
            <w:pPr>
              <w:spacing w:before="120" w:after="120"/>
            </w:pPr>
            <w:r w:rsidRPr="007F3E64">
              <w:t>Kiểm tra chính tả</w:t>
            </w:r>
            <w:r w:rsidR="00901DD5" w:rsidRPr="007F3E64">
              <w:t>, cách diễn đạt</w:t>
            </w:r>
          </w:p>
        </w:tc>
        <w:tc>
          <w:tcPr>
            <w:tcW w:w="4460" w:type="dxa"/>
            <w:vAlign w:val="center"/>
          </w:tcPr>
          <w:p w14:paraId="7AECD30B" w14:textId="1AF6DA0A" w:rsidR="00EA1366" w:rsidRPr="007F3E64" w:rsidRDefault="006F68BA" w:rsidP="007906D9">
            <w:pPr>
              <w:spacing w:before="120" w:after="120"/>
              <w:jc w:val="both"/>
              <w:rPr>
                <w:bCs/>
              </w:rPr>
            </w:pPr>
            <w:r w:rsidRPr="007F3E64">
              <w:rPr>
                <w:bCs/>
              </w:rPr>
              <w:t>Tác giả đã tiếp thu và hoàn thiện bản thảo</w:t>
            </w:r>
          </w:p>
        </w:tc>
      </w:tr>
      <w:tr w:rsidR="00557FDC" w:rsidRPr="007C6048" w14:paraId="08213F25" w14:textId="77777777" w:rsidTr="007906D9">
        <w:tc>
          <w:tcPr>
            <w:tcW w:w="534" w:type="dxa"/>
            <w:vAlign w:val="center"/>
          </w:tcPr>
          <w:p w14:paraId="6BE03102" w14:textId="77777777" w:rsidR="00557FDC" w:rsidRPr="007F3E64" w:rsidRDefault="00557FDC" w:rsidP="007906D9">
            <w:pPr>
              <w:spacing w:before="120" w:after="120"/>
              <w:jc w:val="center"/>
              <w:rPr>
                <w:bCs/>
              </w:rPr>
            </w:pPr>
          </w:p>
        </w:tc>
        <w:tc>
          <w:tcPr>
            <w:tcW w:w="4706" w:type="dxa"/>
          </w:tcPr>
          <w:p w14:paraId="12C5022E" w14:textId="4550D38C" w:rsidR="00557FDC" w:rsidRPr="007F3E64" w:rsidRDefault="00557FDC" w:rsidP="007906D9">
            <w:pPr>
              <w:spacing w:before="120" w:after="120"/>
            </w:pPr>
            <w:r w:rsidRPr="007F3E64">
              <w:t>Hình 1 đưa vào chưa phù hợp</w:t>
            </w:r>
          </w:p>
        </w:tc>
        <w:tc>
          <w:tcPr>
            <w:tcW w:w="4460" w:type="dxa"/>
            <w:vAlign w:val="center"/>
          </w:tcPr>
          <w:p w14:paraId="2AF15A48" w14:textId="3F1CE9A9" w:rsidR="00557FDC" w:rsidRPr="007F3E64" w:rsidRDefault="00557FDC" w:rsidP="007906D9">
            <w:pPr>
              <w:spacing w:before="120" w:after="120"/>
              <w:jc w:val="both"/>
              <w:rPr>
                <w:bCs/>
              </w:rPr>
            </w:pPr>
            <w:r w:rsidRPr="007F3E64">
              <w:rPr>
                <w:bCs/>
              </w:rPr>
              <w:t>Tác giả đã tiếp thu và không sử dụng hình 1 trong bản thảo</w:t>
            </w:r>
          </w:p>
        </w:tc>
      </w:tr>
      <w:tr w:rsidR="007C6048" w:rsidRPr="007C6048" w14:paraId="7C039D39" w14:textId="77777777" w:rsidTr="00976A18">
        <w:tc>
          <w:tcPr>
            <w:tcW w:w="9700" w:type="dxa"/>
            <w:gridSpan w:val="3"/>
            <w:vAlign w:val="center"/>
          </w:tcPr>
          <w:p w14:paraId="71C70B26" w14:textId="43DE10F7" w:rsidR="007C6048" w:rsidRPr="007F3E64" w:rsidRDefault="007C6048" w:rsidP="007906D9">
            <w:pPr>
              <w:spacing w:before="120" w:after="120"/>
              <w:jc w:val="both"/>
              <w:rPr>
                <w:b/>
                <w:bCs/>
              </w:rPr>
            </w:pPr>
            <w:r w:rsidRPr="007F3E64">
              <w:rPr>
                <w:b/>
              </w:rPr>
              <w:t>Ý kiến phản biện 2</w:t>
            </w:r>
          </w:p>
        </w:tc>
      </w:tr>
      <w:tr w:rsidR="007C6048" w:rsidRPr="007C6048" w14:paraId="2A60C90B" w14:textId="77777777" w:rsidTr="007906D9">
        <w:tc>
          <w:tcPr>
            <w:tcW w:w="534" w:type="dxa"/>
            <w:vAlign w:val="center"/>
          </w:tcPr>
          <w:p w14:paraId="4A51347A" w14:textId="77777777" w:rsidR="007C6048" w:rsidRPr="007F3E64" w:rsidRDefault="007C6048" w:rsidP="007906D9">
            <w:pPr>
              <w:spacing w:before="120" w:after="120"/>
              <w:jc w:val="center"/>
              <w:rPr>
                <w:bCs/>
              </w:rPr>
            </w:pPr>
          </w:p>
        </w:tc>
        <w:tc>
          <w:tcPr>
            <w:tcW w:w="4706" w:type="dxa"/>
          </w:tcPr>
          <w:p w14:paraId="285714C6" w14:textId="3DDA8024" w:rsidR="007C6048" w:rsidRPr="007F3E64" w:rsidRDefault="007C6048" w:rsidP="007906D9">
            <w:pPr>
              <w:spacing w:before="120" w:after="120"/>
            </w:pPr>
            <w:r w:rsidRPr="007F3E64">
              <w:t>Làm rõ nguồn nguyên liệu: Phần "Vật liệu" nên nêu rõ nguồn gốc của gạo nếp và chủng vi sinh vật ban đầu (dùng để tạo bánh men thuần chủng) có phải từ vùng Gò Quao hay không để nhấn mạnh thêm tính đặc thù của nghiên cứu.</w:t>
            </w:r>
          </w:p>
        </w:tc>
        <w:tc>
          <w:tcPr>
            <w:tcW w:w="4460" w:type="dxa"/>
            <w:vAlign w:val="center"/>
          </w:tcPr>
          <w:p w14:paraId="2FC4C25A" w14:textId="3322F1C9" w:rsidR="007C6048" w:rsidRPr="007F3E64" w:rsidRDefault="007C6048" w:rsidP="007906D9">
            <w:pPr>
              <w:spacing w:before="120" w:after="120"/>
              <w:jc w:val="both"/>
              <w:rPr>
                <w:bCs/>
              </w:rPr>
            </w:pPr>
            <w:r w:rsidRPr="007F3E64">
              <w:rPr>
                <w:bCs/>
              </w:rPr>
              <w:t>Tác giả đã bổ sung</w:t>
            </w:r>
            <w:r w:rsidR="00345DBC" w:rsidRPr="007F3E64">
              <w:rPr>
                <w:bCs/>
              </w:rPr>
              <w:t xml:space="preserve"> nguồn gốc</w:t>
            </w:r>
            <w:r w:rsidRPr="007F3E64">
              <w:rPr>
                <w:bCs/>
              </w:rPr>
              <w:t xml:space="preserve"> nếp, củng vi sinh vật đã phân lập từ bánh men thu thập tại Gò Quao, Kiên Gian</w:t>
            </w:r>
            <w:r w:rsidR="00345DBC" w:rsidRPr="007F3E64">
              <w:rPr>
                <w:bCs/>
              </w:rPr>
              <w:t>g.</w:t>
            </w:r>
          </w:p>
        </w:tc>
      </w:tr>
      <w:tr w:rsidR="007C6048" w:rsidRPr="007C6048" w14:paraId="72077769" w14:textId="77777777" w:rsidTr="007906D9">
        <w:tc>
          <w:tcPr>
            <w:tcW w:w="534" w:type="dxa"/>
            <w:vAlign w:val="center"/>
          </w:tcPr>
          <w:p w14:paraId="70CAEA7B" w14:textId="77777777" w:rsidR="007C6048" w:rsidRPr="007F3E64" w:rsidRDefault="007C6048" w:rsidP="007906D9">
            <w:pPr>
              <w:spacing w:before="120" w:after="120"/>
              <w:jc w:val="center"/>
              <w:rPr>
                <w:bCs/>
              </w:rPr>
            </w:pPr>
          </w:p>
        </w:tc>
        <w:tc>
          <w:tcPr>
            <w:tcW w:w="4706" w:type="dxa"/>
          </w:tcPr>
          <w:p w14:paraId="33927562" w14:textId="75151DE6" w:rsidR="007C6048" w:rsidRPr="007F3E64" w:rsidRDefault="007C6048" w:rsidP="007906D9">
            <w:pPr>
              <w:spacing w:before="120" w:after="120"/>
            </w:pPr>
            <w:r w:rsidRPr="007F3E64">
              <w:t>Hiệu đính Bảng 2 và Bảng 4: Cần điền kết quả cho cột Methanol và Furfurol là "Không phát hiện" (hoặc "KPH") để đồng bộ với nội dung trong bài viết.</w:t>
            </w:r>
          </w:p>
        </w:tc>
        <w:tc>
          <w:tcPr>
            <w:tcW w:w="4460" w:type="dxa"/>
            <w:vAlign w:val="center"/>
          </w:tcPr>
          <w:p w14:paraId="14ADFE74" w14:textId="44F508B9" w:rsidR="007C6048" w:rsidRPr="007F3E64" w:rsidRDefault="007C6048" w:rsidP="007906D9">
            <w:pPr>
              <w:spacing w:before="120" w:after="120"/>
              <w:jc w:val="both"/>
              <w:rPr>
                <w:bCs/>
              </w:rPr>
            </w:pPr>
            <w:r w:rsidRPr="007F3E64">
              <w:rPr>
                <w:bCs/>
              </w:rPr>
              <w:t>Tác giả đã bổ sung ND t</w:t>
            </w:r>
            <w:r w:rsidR="00810E26" w:rsidRPr="007F3E64">
              <w:rPr>
                <w:bCs/>
              </w:rPr>
              <w:t>ứ</w:t>
            </w:r>
            <w:r w:rsidRPr="007F3E64">
              <w:rPr>
                <w:bCs/>
              </w:rPr>
              <w:t>c là no detected</w:t>
            </w:r>
          </w:p>
        </w:tc>
      </w:tr>
      <w:tr w:rsidR="007C6048" w:rsidRPr="007C6048" w14:paraId="615580D2" w14:textId="77777777" w:rsidTr="007906D9">
        <w:tc>
          <w:tcPr>
            <w:tcW w:w="534" w:type="dxa"/>
            <w:vAlign w:val="center"/>
          </w:tcPr>
          <w:p w14:paraId="6816C0A1" w14:textId="77777777" w:rsidR="007C6048" w:rsidRPr="007F3E64" w:rsidRDefault="007C6048" w:rsidP="007906D9">
            <w:pPr>
              <w:spacing w:before="120" w:after="120"/>
              <w:jc w:val="center"/>
              <w:rPr>
                <w:bCs/>
              </w:rPr>
            </w:pPr>
          </w:p>
        </w:tc>
        <w:tc>
          <w:tcPr>
            <w:tcW w:w="4706" w:type="dxa"/>
          </w:tcPr>
          <w:p w14:paraId="4BE8D1A1" w14:textId="462902BC" w:rsidR="007C6048" w:rsidRPr="007F3E64" w:rsidRDefault="007C6048" w:rsidP="007906D9">
            <w:pPr>
              <w:spacing w:before="120" w:after="120"/>
            </w:pPr>
            <w:r w:rsidRPr="007F3E64">
              <w:t>Thống nhất ngôn ngữ: Tiêu đề các bảng biểu cần được thống nhất sử dụng một ngôn ngữ (tiếng Việt). Sửa "Table 4" thành "Bảng 4".</w:t>
            </w:r>
          </w:p>
        </w:tc>
        <w:tc>
          <w:tcPr>
            <w:tcW w:w="4460" w:type="dxa"/>
            <w:vAlign w:val="center"/>
          </w:tcPr>
          <w:p w14:paraId="3DBEF1F8" w14:textId="623D25C8" w:rsidR="007C6048" w:rsidRPr="007F3E64" w:rsidRDefault="007C6048" w:rsidP="007906D9">
            <w:pPr>
              <w:spacing w:before="120" w:after="120"/>
              <w:jc w:val="both"/>
              <w:rPr>
                <w:bCs/>
              </w:rPr>
            </w:pPr>
            <w:r w:rsidRPr="007F3E64">
              <w:rPr>
                <w:bCs/>
              </w:rPr>
              <w:t>Tác giả đã sửa</w:t>
            </w:r>
            <w:r w:rsidR="009F1302" w:rsidRPr="007F3E64">
              <w:rPr>
                <w:bCs/>
              </w:rPr>
              <w:t xml:space="preserve"> tên bảng 4 thành tiếng anh</w:t>
            </w:r>
          </w:p>
        </w:tc>
      </w:tr>
      <w:tr w:rsidR="007C6048" w:rsidRPr="007C6048" w14:paraId="1BAD2559" w14:textId="77777777" w:rsidTr="007906D9">
        <w:tc>
          <w:tcPr>
            <w:tcW w:w="534" w:type="dxa"/>
            <w:vAlign w:val="center"/>
          </w:tcPr>
          <w:p w14:paraId="3A8EE6CF" w14:textId="77777777" w:rsidR="007C6048" w:rsidRPr="007F3E64" w:rsidRDefault="007C6048" w:rsidP="007906D9">
            <w:pPr>
              <w:spacing w:before="120" w:after="120"/>
              <w:jc w:val="center"/>
              <w:rPr>
                <w:bCs/>
              </w:rPr>
            </w:pPr>
          </w:p>
        </w:tc>
        <w:tc>
          <w:tcPr>
            <w:tcW w:w="4706" w:type="dxa"/>
          </w:tcPr>
          <w:p w14:paraId="17396673" w14:textId="2E5AB4C0" w:rsidR="007C6048" w:rsidRPr="007F3E64" w:rsidRDefault="007C6048" w:rsidP="007906D9">
            <w:pPr>
              <w:spacing w:before="120" w:after="120"/>
            </w:pPr>
            <w:r w:rsidRPr="007F3E64">
              <w:t>Hiệu đính số liệu: Trong phần Thảo luận, câu "Các giá trị pH của các mẫu cơm rượu dao động trong khoảng hẹp từ 3,9 đến 3,9</w:t>
            </w:r>
            <w:proofErr w:type="gramStart"/>
            <w:r w:rsidRPr="007F3E64">
              <w:t>"  rõ</w:t>
            </w:r>
            <w:proofErr w:type="gramEnd"/>
            <w:r w:rsidRPr="007F3E64">
              <w:t xml:space="preserve"> ràng là một lỗi đánh máy. Dựa vào Bảng 1, khoảng dao động phải là từ 3,71 đến 3,98</w:t>
            </w:r>
          </w:p>
        </w:tc>
        <w:tc>
          <w:tcPr>
            <w:tcW w:w="4460" w:type="dxa"/>
            <w:vAlign w:val="center"/>
          </w:tcPr>
          <w:p w14:paraId="101BF5B0" w14:textId="2BD3DAA1" w:rsidR="007C6048" w:rsidRPr="007F3E64" w:rsidRDefault="00577A7A" w:rsidP="007906D9">
            <w:pPr>
              <w:spacing w:before="120" w:after="120"/>
              <w:jc w:val="both"/>
              <w:rPr>
                <w:bCs/>
              </w:rPr>
            </w:pPr>
            <w:r w:rsidRPr="007F3E64">
              <w:rPr>
                <w:bCs/>
              </w:rPr>
              <w:t>Tác giả đã hiệu đính số liệu pH của các mẫu cơm rượu</w:t>
            </w:r>
            <w:r w:rsidR="00AD21D0" w:rsidRPr="007F3E64">
              <w:rPr>
                <w:bCs/>
              </w:rPr>
              <w:t xml:space="preserve"> trong phần thảo luận</w:t>
            </w:r>
          </w:p>
        </w:tc>
      </w:tr>
    </w:tbl>
    <w:p w14:paraId="7ED64559" w14:textId="77777777" w:rsidR="001930CA" w:rsidRPr="00A91310" w:rsidRDefault="001930CA" w:rsidP="001930CA"/>
    <w:p w14:paraId="55ACF8CB" w14:textId="77777777" w:rsidR="008A34A4" w:rsidRDefault="008A34A4">
      <w:bookmarkStart w:id="0" w:name="_GoBack"/>
      <w:bookmarkEnd w:id="0"/>
    </w:p>
    <w:sectPr w:rsidR="008A34A4" w:rsidSect="00C62DA7">
      <w:pgSz w:w="12240" w:h="15840"/>
      <w:pgMar w:top="709" w:right="1134"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CA"/>
    <w:rsid w:val="00091DFE"/>
    <w:rsid w:val="000C1915"/>
    <w:rsid w:val="001930CA"/>
    <w:rsid w:val="001A637B"/>
    <w:rsid w:val="001A65F3"/>
    <w:rsid w:val="0027258F"/>
    <w:rsid w:val="002B792C"/>
    <w:rsid w:val="00322043"/>
    <w:rsid w:val="00327B06"/>
    <w:rsid w:val="00345DBC"/>
    <w:rsid w:val="003B7D97"/>
    <w:rsid w:val="003E2FAF"/>
    <w:rsid w:val="004D1BA3"/>
    <w:rsid w:val="00557FDC"/>
    <w:rsid w:val="00577A7A"/>
    <w:rsid w:val="005C36EE"/>
    <w:rsid w:val="006F68BA"/>
    <w:rsid w:val="007906D9"/>
    <w:rsid w:val="007A7233"/>
    <w:rsid w:val="007C6048"/>
    <w:rsid w:val="007E27B4"/>
    <w:rsid w:val="007F3E64"/>
    <w:rsid w:val="00810E26"/>
    <w:rsid w:val="008A34A4"/>
    <w:rsid w:val="008C1630"/>
    <w:rsid w:val="00901DD5"/>
    <w:rsid w:val="00983663"/>
    <w:rsid w:val="009D3C21"/>
    <w:rsid w:val="009F1302"/>
    <w:rsid w:val="00A42683"/>
    <w:rsid w:val="00AD21D0"/>
    <w:rsid w:val="00AD3D57"/>
    <w:rsid w:val="00AE4BDB"/>
    <w:rsid w:val="00C21AAF"/>
    <w:rsid w:val="00C62DA7"/>
    <w:rsid w:val="00C70798"/>
    <w:rsid w:val="00C85729"/>
    <w:rsid w:val="00C933AB"/>
    <w:rsid w:val="00E118A5"/>
    <w:rsid w:val="00E32EFA"/>
    <w:rsid w:val="00E80DC4"/>
    <w:rsid w:val="00E92006"/>
    <w:rsid w:val="00EA1366"/>
    <w:rsid w:val="00EB30BA"/>
    <w:rsid w:val="00F3084F"/>
    <w:rsid w:val="00FE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28EF"/>
  <w15:chartTrackingRefBased/>
  <w15:docId w15:val="{7A9DD2E7-7E82-4BA1-8EE0-96C985B3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8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37B"/>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qFormat/>
    <w:rsid w:val="00345D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9873">
      <w:bodyDiv w:val="1"/>
      <w:marLeft w:val="0"/>
      <w:marRight w:val="0"/>
      <w:marTop w:val="0"/>
      <w:marBottom w:val="0"/>
      <w:divBdr>
        <w:top w:val="none" w:sz="0" w:space="0" w:color="auto"/>
        <w:left w:val="none" w:sz="0" w:space="0" w:color="auto"/>
        <w:bottom w:val="none" w:sz="0" w:space="0" w:color="auto"/>
        <w:right w:val="none" w:sz="0" w:space="0" w:color="auto"/>
      </w:divBdr>
    </w:div>
    <w:div w:id="470441445">
      <w:bodyDiv w:val="1"/>
      <w:marLeft w:val="0"/>
      <w:marRight w:val="0"/>
      <w:marTop w:val="0"/>
      <w:marBottom w:val="0"/>
      <w:divBdr>
        <w:top w:val="none" w:sz="0" w:space="0" w:color="auto"/>
        <w:left w:val="none" w:sz="0" w:space="0" w:color="auto"/>
        <w:bottom w:val="none" w:sz="0" w:space="0" w:color="auto"/>
        <w:right w:val="none" w:sz="0" w:space="0" w:color="auto"/>
      </w:divBdr>
    </w:div>
    <w:div w:id="473791195">
      <w:bodyDiv w:val="1"/>
      <w:marLeft w:val="0"/>
      <w:marRight w:val="0"/>
      <w:marTop w:val="0"/>
      <w:marBottom w:val="0"/>
      <w:divBdr>
        <w:top w:val="none" w:sz="0" w:space="0" w:color="auto"/>
        <w:left w:val="none" w:sz="0" w:space="0" w:color="auto"/>
        <w:bottom w:val="none" w:sz="0" w:space="0" w:color="auto"/>
        <w:right w:val="none" w:sz="0" w:space="0" w:color="auto"/>
      </w:divBdr>
    </w:div>
    <w:div w:id="1035619008">
      <w:bodyDiv w:val="1"/>
      <w:marLeft w:val="0"/>
      <w:marRight w:val="0"/>
      <w:marTop w:val="0"/>
      <w:marBottom w:val="0"/>
      <w:divBdr>
        <w:top w:val="none" w:sz="0" w:space="0" w:color="auto"/>
        <w:left w:val="none" w:sz="0" w:space="0" w:color="auto"/>
        <w:bottom w:val="none" w:sz="0" w:space="0" w:color="auto"/>
        <w:right w:val="none" w:sz="0" w:space="0" w:color="auto"/>
      </w:divBdr>
    </w:div>
    <w:div w:id="15817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53</cp:revision>
  <dcterms:created xsi:type="dcterms:W3CDTF">2024-05-25T15:23:00Z</dcterms:created>
  <dcterms:modified xsi:type="dcterms:W3CDTF">2025-07-30T14:07:00Z</dcterms:modified>
</cp:coreProperties>
</file>