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98DF1" w14:textId="77777777" w:rsidR="00D55FA4" w:rsidRDefault="00D55FA4" w:rsidP="00D55FA4">
      <w:pPr>
        <w:ind w:right="70"/>
        <w:jc w:val="center"/>
        <w:rPr>
          <w:rFonts w:ascii="Arial" w:hAnsi="Arial" w:cs="Arial"/>
          <w:b/>
          <w:sz w:val="28"/>
          <w:szCs w:val="28"/>
        </w:rPr>
      </w:pPr>
    </w:p>
    <w:p w14:paraId="3C3721B5" w14:textId="77777777" w:rsidR="00D55FA4" w:rsidRPr="00AA1FB9" w:rsidRDefault="00D55FA4" w:rsidP="00D55FA4">
      <w:pPr>
        <w:ind w:right="70"/>
        <w:jc w:val="center"/>
        <w:rPr>
          <w:rFonts w:ascii="Arial" w:hAnsi="Arial" w:cs="Arial"/>
          <w:b/>
          <w:sz w:val="28"/>
          <w:szCs w:val="28"/>
        </w:rPr>
      </w:pPr>
    </w:p>
    <w:p w14:paraId="2A14E2DA" w14:textId="26CC9381" w:rsidR="00D55FA4" w:rsidRPr="00742C6C" w:rsidRDefault="00D55FA4" w:rsidP="00D55FA4">
      <w:pPr>
        <w:ind w:right="70"/>
        <w:jc w:val="center"/>
        <w:rPr>
          <w:rFonts w:ascii="Arial" w:hAnsi="Arial" w:cs="Arial"/>
          <w:b/>
          <w:sz w:val="28"/>
          <w:szCs w:val="28"/>
        </w:rPr>
      </w:pPr>
      <w:r w:rsidRPr="00F8056C">
        <w:rPr>
          <w:rFonts w:ascii="Arial" w:hAnsi="Arial" w:cs="Arial"/>
          <w:b/>
          <w:sz w:val="32"/>
          <w:szCs w:val="20"/>
        </w:rPr>
        <w:t xml:space="preserve"> </w:t>
      </w:r>
      <w:proofErr w:type="spellStart"/>
      <w:r w:rsidR="00857E22" w:rsidRPr="00857E22">
        <w:rPr>
          <w:rFonts w:ascii="Arial" w:hAnsi="Arial" w:cs="Arial"/>
          <w:b/>
          <w:color w:val="FF0000"/>
          <w:sz w:val="32"/>
          <w:szCs w:val="20"/>
        </w:rPr>
        <w:t>Quy</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mô</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hội</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đồng</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quản</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trị</w:t>
      </w:r>
      <w:proofErr w:type="spellEnd"/>
      <w:r>
        <w:rPr>
          <w:rFonts w:ascii="Arial" w:hAnsi="Arial" w:cs="Arial"/>
          <w:b/>
          <w:sz w:val="32"/>
          <w:szCs w:val="20"/>
        </w:rPr>
        <w:t xml:space="preserve"> </w:t>
      </w:r>
      <w:proofErr w:type="spellStart"/>
      <w:r>
        <w:rPr>
          <w:rFonts w:ascii="Arial" w:hAnsi="Arial" w:cs="Arial"/>
          <w:b/>
          <w:sz w:val="32"/>
          <w:szCs w:val="20"/>
        </w:rPr>
        <w:t>và</w:t>
      </w:r>
      <w:proofErr w:type="spellEnd"/>
      <w:r>
        <w:rPr>
          <w:rFonts w:ascii="Arial" w:hAnsi="Arial" w:cs="Arial"/>
          <w:b/>
          <w:sz w:val="32"/>
          <w:szCs w:val="20"/>
        </w:rPr>
        <w:t xml:space="preserve"> </w:t>
      </w:r>
      <w:proofErr w:type="spellStart"/>
      <w:r>
        <w:rPr>
          <w:rFonts w:ascii="Arial" w:hAnsi="Arial" w:cs="Arial"/>
          <w:b/>
          <w:sz w:val="32"/>
          <w:szCs w:val="20"/>
        </w:rPr>
        <w:t>thành</w:t>
      </w:r>
      <w:proofErr w:type="spellEnd"/>
      <w:r>
        <w:rPr>
          <w:rFonts w:ascii="Arial" w:hAnsi="Arial" w:cs="Arial"/>
          <w:b/>
          <w:sz w:val="32"/>
          <w:szCs w:val="20"/>
        </w:rPr>
        <w:t xml:space="preserve"> </w:t>
      </w:r>
      <w:proofErr w:type="spellStart"/>
      <w:r>
        <w:rPr>
          <w:rFonts w:ascii="Arial" w:hAnsi="Arial" w:cs="Arial"/>
          <w:b/>
          <w:sz w:val="32"/>
          <w:szCs w:val="20"/>
        </w:rPr>
        <w:t>quả</w:t>
      </w:r>
      <w:proofErr w:type="spellEnd"/>
      <w:r>
        <w:rPr>
          <w:rFonts w:ascii="Arial" w:hAnsi="Arial" w:cs="Arial"/>
          <w:b/>
          <w:sz w:val="32"/>
          <w:szCs w:val="20"/>
        </w:rPr>
        <w:t xml:space="preserve"> </w:t>
      </w:r>
      <w:proofErr w:type="spellStart"/>
      <w:r>
        <w:rPr>
          <w:rFonts w:ascii="Arial" w:hAnsi="Arial" w:cs="Arial"/>
          <w:b/>
          <w:sz w:val="32"/>
          <w:szCs w:val="20"/>
        </w:rPr>
        <w:t>hoạt</w:t>
      </w:r>
      <w:proofErr w:type="spellEnd"/>
      <w:r>
        <w:rPr>
          <w:rFonts w:ascii="Arial" w:hAnsi="Arial" w:cs="Arial"/>
          <w:b/>
          <w:sz w:val="32"/>
          <w:szCs w:val="20"/>
        </w:rPr>
        <w:t xml:space="preserve"> </w:t>
      </w:r>
      <w:proofErr w:type="spellStart"/>
      <w:r>
        <w:rPr>
          <w:rFonts w:ascii="Arial" w:hAnsi="Arial" w:cs="Arial"/>
          <w:b/>
          <w:sz w:val="32"/>
          <w:szCs w:val="20"/>
        </w:rPr>
        <w:t>động</w:t>
      </w:r>
      <w:proofErr w:type="spellEnd"/>
      <w:r>
        <w:rPr>
          <w:rFonts w:ascii="Arial" w:hAnsi="Arial" w:cs="Arial"/>
          <w:b/>
          <w:sz w:val="32"/>
          <w:szCs w:val="20"/>
        </w:rPr>
        <w:t xml:space="preserve">: </w:t>
      </w:r>
      <w:proofErr w:type="spellStart"/>
      <w:r w:rsidR="00857E22" w:rsidRPr="00857E22">
        <w:rPr>
          <w:rFonts w:ascii="Arial" w:hAnsi="Arial" w:cs="Arial"/>
          <w:b/>
          <w:color w:val="FF0000"/>
          <w:sz w:val="32"/>
          <w:szCs w:val="20"/>
        </w:rPr>
        <w:t>Vai</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trò</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trung</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gian</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của</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công</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bố</w:t>
      </w:r>
      <w:proofErr w:type="spellEnd"/>
      <w:r w:rsidR="00857E22" w:rsidRPr="00857E22">
        <w:rPr>
          <w:rFonts w:ascii="Arial" w:hAnsi="Arial" w:cs="Arial"/>
          <w:b/>
          <w:color w:val="FF0000"/>
          <w:sz w:val="32"/>
          <w:szCs w:val="20"/>
        </w:rPr>
        <w:t xml:space="preserve"> </w:t>
      </w:r>
      <w:proofErr w:type="spellStart"/>
      <w:r w:rsidR="00857E22" w:rsidRPr="00857E22">
        <w:rPr>
          <w:rFonts w:ascii="Arial" w:hAnsi="Arial" w:cs="Arial"/>
          <w:b/>
          <w:color w:val="FF0000"/>
          <w:sz w:val="32"/>
          <w:szCs w:val="20"/>
        </w:rPr>
        <w:t>thông</w:t>
      </w:r>
      <w:proofErr w:type="spellEnd"/>
      <w:r w:rsidR="00857E22" w:rsidRPr="00857E22">
        <w:rPr>
          <w:rFonts w:ascii="Arial" w:hAnsi="Arial" w:cs="Arial"/>
          <w:b/>
          <w:color w:val="FF0000"/>
          <w:sz w:val="32"/>
          <w:szCs w:val="20"/>
        </w:rPr>
        <w:t xml:space="preserve"> tin ESG</w:t>
      </w:r>
    </w:p>
    <w:p w14:paraId="7E4F8900" w14:textId="77777777" w:rsidR="00D55FA4" w:rsidRPr="00AA1FB9" w:rsidRDefault="00D55FA4" w:rsidP="00D55FA4">
      <w:pPr>
        <w:ind w:right="70"/>
        <w:jc w:val="center"/>
        <w:rPr>
          <w:rFonts w:ascii="Arial" w:hAnsi="Arial" w:cs="Arial"/>
          <w:b/>
          <w:sz w:val="28"/>
          <w:szCs w:val="28"/>
        </w:rPr>
      </w:pPr>
    </w:p>
    <w:p w14:paraId="4C47D3F6" w14:textId="16BA25F7" w:rsidR="00D55FA4" w:rsidRPr="00301698" w:rsidRDefault="00D55FA4" w:rsidP="00D55FA4">
      <w:pPr>
        <w:ind w:right="70"/>
        <w:jc w:val="center"/>
        <w:rPr>
          <w:b/>
          <w:szCs w:val="22"/>
        </w:rPr>
      </w:pPr>
      <w:proofErr w:type="spellStart"/>
      <w:r>
        <w:rPr>
          <w:b/>
          <w:szCs w:val="22"/>
        </w:rPr>
        <w:t>Lê</w:t>
      </w:r>
      <w:proofErr w:type="spellEnd"/>
      <w:r>
        <w:rPr>
          <w:b/>
          <w:szCs w:val="22"/>
        </w:rPr>
        <w:t xml:space="preserve"> </w:t>
      </w:r>
      <w:proofErr w:type="spellStart"/>
      <w:r>
        <w:rPr>
          <w:b/>
          <w:szCs w:val="22"/>
        </w:rPr>
        <w:t>Xuân</w:t>
      </w:r>
      <w:proofErr w:type="spellEnd"/>
      <w:r>
        <w:rPr>
          <w:b/>
          <w:szCs w:val="22"/>
        </w:rPr>
        <w:t xml:space="preserve"> </w:t>
      </w:r>
      <w:proofErr w:type="spellStart"/>
      <w:r>
        <w:rPr>
          <w:b/>
          <w:szCs w:val="22"/>
        </w:rPr>
        <w:t>Quỳnh</w:t>
      </w:r>
      <w:proofErr w:type="spellEnd"/>
      <w:r w:rsidRPr="00957938">
        <w:rPr>
          <w:b/>
          <w:szCs w:val="22"/>
          <w:vertAlign w:val="superscript"/>
        </w:rPr>
        <w:t>*</w:t>
      </w:r>
      <w:r w:rsidRPr="00957938">
        <w:rPr>
          <w:b/>
          <w:szCs w:val="22"/>
        </w:rPr>
        <w:t xml:space="preserve">, </w:t>
      </w:r>
      <w:proofErr w:type="spellStart"/>
      <w:r>
        <w:rPr>
          <w:b/>
          <w:szCs w:val="22"/>
        </w:rPr>
        <w:t>Đỗ</w:t>
      </w:r>
      <w:proofErr w:type="spellEnd"/>
      <w:r>
        <w:rPr>
          <w:b/>
          <w:szCs w:val="22"/>
        </w:rPr>
        <w:t xml:space="preserve"> </w:t>
      </w:r>
      <w:proofErr w:type="spellStart"/>
      <w:r>
        <w:rPr>
          <w:b/>
          <w:szCs w:val="22"/>
        </w:rPr>
        <w:t>Huyền</w:t>
      </w:r>
      <w:proofErr w:type="spellEnd"/>
      <w:r>
        <w:rPr>
          <w:b/>
          <w:szCs w:val="22"/>
        </w:rPr>
        <w:t xml:space="preserve"> </w:t>
      </w:r>
      <w:proofErr w:type="spellStart"/>
      <w:r>
        <w:rPr>
          <w:b/>
          <w:szCs w:val="22"/>
        </w:rPr>
        <w:t>Trang</w:t>
      </w:r>
      <w:proofErr w:type="spellEnd"/>
      <w:r>
        <w:rPr>
          <w:b/>
          <w:szCs w:val="22"/>
        </w:rPr>
        <w:t xml:space="preserve">, </w:t>
      </w:r>
      <w:proofErr w:type="spellStart"/>
      <w:r>
        <w:rPr>
          <w:b/>
          <w:szCs w:val="22"/>
        </w:rPr>
        <w:t>Nguyễn</w:t>
      </w:r>
      <w:proofErr w:type="spellEnd"/>
      <w:r>
        <w:rPr>
          <w:b/>
          <w:szCs w:val="22"/>
        </w:rPr>
        <w:t xml:space="preserve"> </w:t>
      </w:r>
      <w:proofErr w:type="spellStart"/>
      <w:r>
        <w:rPr>
          <w:b/>
          <w:szCs w:val="22"/>
        </w:rPr>
        <w:t>Vân</w:t>
      </w:r>
      <w:proofErr w:type="spellEnd"/>
      <w:r>
        <w:rPr>
          <w:b/>
          <w:szCs w:val="22"/>
        </w:rPr>
        <w:t xml:space="preserve"> </w:t>
      </w:r>
      <w:proofErr w:type="spellStart"/>
      <w:r>
        <w:rPr>
          <w:b/>
          <w:szCs w:val="22"/>
        </w:rPr>
        <w:t>Trâm</w:t>
      </w:r>
      <w:proofErr w:type="spellEnd"/>
      <w:r>
        <w:rPr>
          <w:b/>
          <w:szCs w:val="22"/>
        </w:rPr>
        <w:t xml:space="preserve">, </w:t>
      </w:r>
      <w:proofErr w:type="spellStart"/>
      <w:r w:rsidRPr="00957938">
        <w:rPr>
          <w:b/>
          <w:szCs w:val="22"/>
        </w:rPr>
        <w:t>Phạm</w:t>
      </w:r>
      <w:proofErr w:type="spellEnd"/>
      <w:r w:rsidRPr="00957938">
        <w:rPr>
          <w:b/>
          <w:szCs w:val="22"/>
        </w:rPr>
        <w:t xml:space="preserve"> </w:t>
      </w:r>
      <w:proofErr w:type="spellStart"/>
      <w:r w:rsidRPr="00957938">
        <w:rPr>
          <w:b/>
          <w:szCs w:val="22"/>
        </w:rPr>
        <w:t>Thị</w:t>
      </w:r>
      <w:proofErr w:type="spellEnd"/>
      <w:r w:rsidRPr="00957938">
        <w:rPr>
          <w:b/>
          <w:szCs w:val="22"/>
        </w:rPr>
        <w:t xml:space="preserve"> Lai, </w:t>
      </w:r>
      <w:proofErr w:type="spellStart"/>
      <w:r w:rsidRPr="00957938">
        <w:rPr>
          <w:b/>
          <w:szCs w:val="22"/>
        </w:rPr>
        <w:t>Lê</w:t>
      </w:r>
      <w:proofErr w:type="spellEnd"/>
      <w:r w:rsidRPr="00957938">
        <w:rPr>
          <w:b/>
          <w:szCs w:val="22"/>
        </w:rPr>
        <w:t xml:space="preserve"> </w:t>
      </w:r>
      <w:proofErr w:type="spellStart"/>
      <w:r>
        <w:rPr>
          <w:b/>
          <w:szCs w:val="22"/>
        </w:rPr>
        <w:t>Nữ</w:t>
      </w:r>
      <w:proofErr w:type="spellEnd"/>
      <w:r>
        <w:rPr>
          <w:b/>
          <w:szCs w:val="22"/>
        </w:rPr>
        <w:t xml:space="preserve"> </w:t>
      </w:r>
      <w:proofErr w:type="spellStart"/>
      <w:r>
        <w:rPr>
          <w:b/>
          <w:szCs w:val="22"/>
        </w:rPr>
        <w:t>Như</w:t>
      </w:r>
      <w:proofErr w:type="spellEnd"/>
      <w:r>
        <w:rPr>
          <w:b/>
          <w:szCs w:val="22"/>
        </w:rPr>
        <w:t xml:space="preserve"> </w:t>
      </w:r>
      <w:proofErr w:type="spellStart"/>
      <w:r>
        <w:rPr>
          <w:b/>
          <w:szCs w:val="22"/>
        </w:rPr>
        <w:t>Ngọc</w:t>
      </w:r>
      <w:proofErr w:type="spellEnd"/>
      <w:r>
        <w:rPr>
          <w:b/>
          <w:szCs w:val="22"/>
        </w:rPr>
        <w:t xml:space="preserve">, </w:t>
      </w:r>
      <w:proofErr w:type="spellStart"/>
      <w:r>
        <w:rPr>
          <w:b/>
          <w:szCs w:val="22"/>
        </w:rPr>
        <w:t>Phạm</w:t>
      </w:r>
      <w:proofErr w:type="spellEnd"/>
      <w:r>
        <w:rPr>
          <w:b/>
          <w:szCs w:val="22"/>
        </w:rPr>
        <w:t xml:space="preserve"> </w:t>
      </w:r>
      <w:proofErr w:type="spellStart"/>
      <w:r>
        <w:rPr>
          <w:b/>
          <w:szCs w:val="22"/>
        </w:rPr>
        <w:t>Hồng</w:t>
      </w:r>
      <w:proofErr w:type="spellEnd"/>
      <w:r>
        <w:rPr>
          <w:b/>
          <w:szCs w:val="22"/>
        </w:rPr>
        <w:t xml:space="preserve"> </w:t>
      </w:r>
      <w:proofErr w:type="spellStart"/>
      <w:r>
        <w:rPr>
          <w:b/>
          <w:szCs w:val="22"/>
        </w:rPr>
        <w:t>Thắm</w:t>
      </w:r>
      <w:proofErr w:type="spellEnd"/>
    </w:p>
    <w:p w14:paraId="7A9B7415" w14:textId="77777777" w:rsidR="00D55FA4" w:rsidRDefault="00D55FA4" w:rsidP="00D55FA4">
      <w:pPr>
        <w:spacing w:before="120"/>
        <w:ind w:right="68"/>
        <w:rPr>
          <w:sz w:val="18"/>
          <w:szCs w:val="18"/>
        </w:rPr>
      </w:pPr>
    </w:p>
    <w:p w14:paraId="38C1432A" w14:textId="77777777" w:rsidR="00D55FA4" w:rsidRDefault="00D55FA4" w:rsidP="00D55FA4">
      <w:pPr>
        <w:ind w:right="70"/>
        <w:jc w:val="center"/>
        <w:rPr>
          <w:i/>
          <w:sz w:val="22"/>
          <w:szCs w:val="22"/>
        </w:rPr>
      </w:pPr>
      <w:proofErr w:type="spellStart"/>
      <w:r w:rsidRPr="00F8056C">
        <w:rPr>
          <w:i/>
          <w:sz w:val="22"/>
          <w:szCs w:val="22"/>
        </w:rPr>
        <w:t>Khoa</w:t>
      </w:r>
      <w:proofErr w:type="spellEnd"/>
      <w:r w:rsidRPr="00F8056C">
        <w:rPr>
          <w:i/>
          <w:sz w:val="22"/>
          <w:szCs w:val="22"/>
        </w:rPr>
        <w:t xml:space="preserve"> </w:t>
      </w:r>
      <w:proofErr w:type="spellStart"/>
      <w:r w:rsidRPr="00F8056C">
        <w:rPr>
          <w:i/>
          <w:sz w:val="22"/>
          <w:szCs w:val="22"/>
        </w:rPr>
        <w:t>Kinh</w:t>
      </w:r>
      <w:proofErr w:type="spellEnd"/>
      <w:r w:rsidRPr="00F8056C">
        <w:rPr>
          <w:i/>
          <w:sz w:val="22"/>
          <w:szCs w:val="22"/>
        </w:rPr>
        <w:t xml:space="preserve"> </w:t>
      </w:r>
      <w:proofErr w:type="spellStart"/>
      <w:r w:rsidRPr="00F8056C">
        <w:rPr>
          <w:i/>
          <w:sz w:val="22"/>
          <w:szCs w:val="22"/>
        </w:rPr>
        <w:t>tế</w:t>
      </w:r>
      <w:proofErr w:type="spellEnd"/>
      <w:r w:rsidRPr="00F8056C">
        <w:rPr>
          <w:i/>
          <w:sz w:val="22"/>
          <w:szCs w:val="22"/>
        </w:rPr>
        <w:t xml:space="preserve"> </w:t>
      </w:r>
      <w:proofErr w:type="spellStart"/>
      <w:r>
        <w:rPr>
          <w:i/>
          <w:sz w:val="22"/>
          <w:szCs w:val="22"/>
        </w:rPr>
        <w:t>và</w:t>
      </w:r>
      <w:proofErr w:type="spellEnd"/>
      <w:r>
        <w:rPr>
          <w:i/>
          <w:sz w:val="22"/>
          <w:szCs w:val="22"/>
        </w:rPr>
        <w:t xml:space="preserve"> </w:t>
      </w:r>
      <w:proofErr w:type="spellStart"/>
      <w:r>
        <w:rPr>
          <w:i/>
          <w:sz w:val="22"/>
          <w:szCs w:val="22"/>
        </w:rPr>
        <w:t>kế</w:t>
      </w:r>
      <w:proofErr w:type="spellEnd"/>
      <w:r>
        <w:rPr>
          <w:i/>
          <w:sz w:val="22"/>
          <w:szCs w:val="22"/>
        </w:rPr>
        <w:t xml:space="preserve"> </w:t>
      </w:r>
      <w:proofErr w:type="spellStart"/>
      <w:r>
        <w:rPr>
          <w:i/>
          <w:sz w:val="22"/>
          <w:szCs w:val="22"/>
        </w:rPr>
        <w:t>toán</w:t>
      </w:r>
      <w:proofErr w:type="spellEnd"/>
      <w:r>
        <w:rPr>
          <w:i/>
          <w:sz w:val="22"/>
          <w:szCs w:val="22"/>
        </w:rPr>
        <w:t xml:space="preserve">, </w:t>
      </w:r>
      <w:proofErr w:type="spellStart"/>
      <w:r>
        <w:rPr>
          <w:i/>
          <w:sz w:val="22"/>
          <w:szCs w:val="22"/>
        </w:rPr>
        <w:t>Trường</w:t>
      </w:r>
      <w:proofErr w:type="spellEnd"/>
      <w:r>
        <w:rPr>
          <w:i/>
          <w:sz w:val="22"/>
          <w:szCs w:val="22"/>
        </w:rPr>
        <w:t xml:space="preserve"> ĐH </w:t>
      </w:r>
      <w:proofErr w:type="spellStart"/>
      <w:r>
        <w:rPr>
          <w:i/>
          <w:sz w:val="22"/>
          <w:szCs w:val="22"/>
        </w:rPr>
        <w:t>Quy</w:t>
      </w:r>
      <w:proofErr w:type="spellEnd"/>
      <w:r>
        <w:rPr>
          <w:i/>
          <w:sz w:val="22"/>
          <w:szCs w:val="22"/>
        </w:rPr>
        <w:t xml:space="preserve"> </w:t>
      </w:r>
      <w:proofErr w:type="spellStart"/>
      <w:r>
        <w:rPr>
          <w:i/>
          <w:sz w:val="22"/>
          <w:szCs w:val="22"/>
        </w:rPr>
        <w:t>Nhơn</w:t>
      </w:r>
      <w:proofErr w:type="spellEnd"/>
    </w:p>
    <w:p w14:paraId="693A6D8F" w14:textId="77777777" w:rsidR="00D55FA4" w:rsidRDefault="00D55FA4" w:rsidP="00D55FA4">
      <w:pPr>
        <w:ind w:right="70"/>
        <w:rPr>
          <w:i/>
          <w:sz w:val="22"/>
          <w:szCs w:val="22"/>
        </w:rPr>
      </w:pPr>
    </w:p>
    <w:p w14:paraId="0189F5D9" w14:textId="77777777" w:rsidR="00D55FA4" w:rsidRDefault="00D55FA4" w:rsidP="00D55FA4">
      <w:pPr>
        <w:ind w:right="70"/>
        <w:jc w:val="center"/>
        <w:rPr>
          <w:i/>
          <w:sz w:val="22"/>
          <w:szCs w:val="22"/>
        </w:rPr>
      </w:pPr>
      <w:proofErr w:type="spellStart"/>
      <w:r>
        <w:rPr>
          <w:i/>
          <w:sz w:val="22"/>
          <w:szCs w:val="22"/>
        </w:rPr>
        <w:t>Ngày</w:t>
      </w:r>
      <w:proofErr w:type="spellEnd"/>
      <w:r>
        <w:rPr>
          <w:i/>
          <w:sz w:val="22"/>
          <w:szCs w:val="22"/>
        </w:rPr>
        <w:t xml:space="preserve"> </w:t>
      </w:r>
      <w:proofErr w:type="spellStart"/>
      <w:r>
        <w:rPr>
          <w:i/>
          <w:sz w:val="22"/>
          <w:szCs w:val="22"/>
        </w:rPr>
        <w:t>nhận</w:t>
      </w:r>
      <w:proofErr w:type="spellEnd"/>
      <w:r>
        <w:rPr>
          <w:i/>
          <w:sz w:val="22"/>
          <w:szCs w:val="22"/>
        </w:rPr>
        <w:t xml:space="preserve"> </w:t>
      </w:r>
      <w:proofErr w:type="spellStart"/>
      <w:r>
        <w:rPr>
          <w:i/>
          <w:sz w:val="22"/>
          <w:szCs w:val="22"/>
        </w:rPr>
        <w:t>bài</w:t>
      </w:r>
      <w:proofErr w:type="spellEnd"/>
      <w:r>
        <w:rPr>
          <w:i/>
          <w:sz w:val="22"/>
          <w:szCs w:val="22"/>
        </w:rPr>
        <w:t xml:space="preserve">: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 xml:space="preserve">; </w:t>
      </w:r>
      <w:proofErr w:type="spellStart"/>
      <w:r>
        <w:rPr>
          <w:i/>
          <w:sz w:val="22"/>
          <w:szCs w:val="22"/>
        </w:rPr>
        <w:t>Ngày</w:t>
      </w:r>
      <w:proofErr w:type="spellEnd"/>
      <w:r>
        <w:rPr>
          <w:i/>
          <w:sz w:val="22"/>
          <w:szCs w:val="22"/>
        </w:rPr>
        <w:t xml:space="preserve"> </w:t>
      </w:r>
      <w:proofErr w:type="spellStart"/>
      <w:r>
        <w:rPr>
          <w:i/>
          <w:sz w:val="22"/>
          <w:szCs w:val="22"/>
        </w:rPr>
        <w:t>sửa</w:t>
      </w:r>
      <w:proofErr w:type="spellEnd"/>
      <w:r>
        <w:rPr>
          <w:i/>
          <w:sz w:val="22"/>
          <w:szCs w:val="22"/>
        </w:rPr>
        <w:t xml:space="preserve"> </w:t>
      </w:r>
      <w:proofErr w:type="spellStart"/>
      <w:r>
        <w:rPr>
          <w:i/>
          <w:sz w:val="22"/>
          <w:szCs w:val="22"/>
        </w:rPr>
        <w:t>bài</w:t>
      </w:r>
      <w:proofErr w:type="spellEnd"/>
      <w:r>
        <w:rPr>
          <w:i/>
          <w:sz w:val="22"/>
          <w:szCs w:val="22"/>
        </w:rPr>
        <w:t xml:space="preserve">: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w:t>
      </w:r>
    </w:p>
    <w:p w14:paraId="24A932B7" w14:textId="77777777" w:rsidR="00D55FA4" w:rsidRDefault="00D55FA4" w:rsidP="00D55FA4">
      <w:pPr>
        <w:ind w:right="70"/>
        <w:jc w:val="center"/>
        <w:rPr>
          <w:i/>
          <w:sz w:val="22"/>
          <w:szCs w:val="22"/>
        </w:rPr>
      </w:pPr>
      <w:proofErr w:type="spellStart"/>
      <w:r>
        <w:rPr>
          <w:i/>
          <w:sz w:val="22"/>
          <w:szCs w:val="22"/>
        </w:rPr>
        <w:t>Ngày</w:t>
      </w:r>
      <w:proofErr w:type="spellEnd"/>
      <w:r>
        <w:rPr>
          <w:i/>
          <w:sz w:val="22"/>
          <w:szCs w:val="22"/>
        </w:rPr>
        <w:t xml:space="preserve"> </w:t>
      </w:r>
      <w:proofErr w:type="spellStart"/>
      <w:r>
        <w:rPr>
          <w:i/>
          <w:sz w:val="22"/>
          <w:szCs w:val="22"/>
        </w:rPr>
        <w:t>nhận</w:t>
      </w:r>
      <w:proofErr w:type="spellEnd"/>
      <w:r>
        <w:rPr>
          <w:i/>
          <w:sz w:val="22"/>
          <w:szCs w:val="22"/>
        </w:rPr>
        <w:t xml:space="preserve"> </w:t>
      </w:r>
      <w:proofErr w:type="spellStart"/>
      <w:r>
        <w:rPr>
          <w:i/>
          <w:sz w:val="22"/>
          <w:szCs w:val="22"/>
        </w:rPr>
        <w:t>đăng</w:t>
      </w:r>
      <w:proofErr w:type="spellEnd"/>
      <w:r>
        <w:rPr>
          <w:i/>
          <w:sz w:val="22"/>
          <w:szCs w:val="22"/>
        </w:rPr>
        <w:t xml:space="preserve">: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 xml:space="preserve">; </w:t>
      </w:r>
      <w:proofErr w:type="spellStart"/>
      <w:r>
        <w:rPr>
          <w:i/>
          <w:sz w:val="22"/>
          <w:szCs w:val="22"/>
        </w:rPr>
        <w:t>Ngày</w:t>
      </w:r>
      <w:proofErr w:type="spellEnd"/>
      <w:r>
        <w:rPr>
          <w:i/>
          <w:sz w:val="22"/>
          <w:szCs w:val="22"/>
        </w:rPr>
        <w:t xml:space="preserve"> </w:t>
      </w:r>
      <w:proofErr w:type="spellStart"/>
      <w:r>
        <w:rPr>
          <w:i/>
          <w:sz w:val="22"/>
          <w:szCs w:val="22"/>
        </w:rPr>
        <w:t>xuất</w:t>
      </w:r>
      <w:proofErr w:type="spellEnd"/>
      <w:r>
        <w:rPr>
          <w:i/>
          <w:sz w:val="22"/>
          <w:szCs w:val="22"/>
        </w:rPr>
        <w:t xml:space="preserve"> </w:t>
      </w:r>
      <w:proofErr w:type="spellStart"/>
      <w:r>
        <w:rPr>
          <w:i/>
          <w:sz w:val="22"/>
          <w:szCs w:val="22"/>
        </w:rPr>
        <w:t>bản</w:t>
      </w:r>
      <w:proofErr w:type="spellEnd"/>
      <w:r>
        <w:rPr>
          <w:i/>
          <w:sz w:val="22"/>
          <w:szCs w:val="22"/>
        </w:rPr>
        <w:t xml:space="preserve">: </w:t>
      </w:r>
      <w:proofErr w:type="spellStart"/>
      <w:r>
        <w:rPr>
          <w:i/>
          <w:sz w:val="22"/>
          <w:szCs w:val="22"/>
        </w:rPr>
        <w:t>dd</w:t>
      </w:r>
      <w:proofErr w:type="spellEnd"/>
      <w:r>
        <w:rPr>
          <w:i/>
          <w:sz w:val="22"/>
          <w:szCs w:val="22"/>
        </w:rPr>
        <w:t>/mm/</w:t>
      </w:r>
      <w:proofErr w:type="spellStart"/>
      <w:r>
        <w:rPr>
          <w:i/>
          <w:sz w:val="22"/>
          <w:szCs w:val="22"/>
        </w:rPr>
        <w:t>yyyy</w:t>
      </w:r>
      <w:proofErr w:type="spellEnd"/>
    </w:p>
    <w:p w14:paraId="05DCAFE2" w14:textId="77777777" w:rsidR="004E3E89" w:rsidRDefault="004E3E89" w:rsidP="004E3E89">
      <w:pPr>
        <w:ind w:right="70"/>
        <w:rPr>
          <w:i/>
          <w:sz w:val="22"/>
          <w:szCs w:val="22"/>
        </w:rPr>
      </w:pPr>
    </w:p>
    <w:p w14:paraId="7E5428C5" w14:textId="77777777" w:rsidR="004E3E89" w:rsidRDefault="004E3E89" w:rsidP="004E3E89">
      <w:pPr>
        <w:ind w:right="70"/>
        <w:rPr>
          <w:i/>
          <w:sz w:val="22"/>
          <w:szCs w:val="22"/>
        </w:rPr>
      </w:pPr>
    </w:p>
    <w:p w14:paraId="515E6E8B" w14:textId="77777777" w:rsidR="004E3E89" w:rsidRDefault="004E3E89" w:rsidP="004E3E89">
      <w:pPr>
        <w:ind w:right="70"/>
        <w:rPr>
          <w:i/>
          <w:sz w:val="22"/>
          <w:szCs w:val="22"/>
        </w:rPr>
      </w:pPr>
    </w:p>
    <w:p w14:paraId="72B9B2F4" w14:textId="77777777" w:rsidR="004E3E89" w:rsidRPr="003C753C" w:rsidRDefault="004E3E89" w:rsidP="004E3E89">
      <w:pPr>
        <w:tabs>
          <w:tab w:val="left" w:pos="360"/>
          <w:tab w:val="left" w:pos="540"/>
          <w:tab w:val="right" w:leader="hyphen" w:pos="9072"/>
        </w:tabs>
        <w:jc w:val="both"/>
        <w:rPr>
          <w:b/>
          <w:sz w:val="22"/>
          <w:szCs w:val="22"/>
          <w:lang w:val="vi-VN"/>
        </w:rPr>
      </w:pPr>
      <w:r w:rsidRPr="003C753C">
        <w:rPr>
          <w:b/>
          <w:sz w:val="22"/>
          <w:szCs w:val="22"/>
          <w:lang w:val="vi-VN"/>
        </w:rPr>
        <w:t>TÓM TẮT</w:t>
      </w:r>
    </w:p>
    <w:p w14:paraId="59131DEB" w14:textId="4D91C53E" w:rsidR="004E3E89" w:rsidRPr="00CB0A39" w:rsidRDefault="004E3E89" w:rsidP="004E3E89">
      <w:pPr>
        <w:tabs>
          <w:tab w:val="right" w:leader="hyphen" w:pos="9072"/>
        </w:tabs>
        <w:spacing w:before="120" w:after="120"/>
        <w:ind w:firstLine="567"/>
        <w:jc w:val="both"/>
        <w:rPr>
          <w:sz w:val="20"/>
          <w:szCs w:val="20"/>
          <w:lang w:val="vi-VN"/>
        </w:rPr>
      </w:pPr>
      <w:r w:rsidRPr="004E3E89">
        <w:rPr>
          <w:sz w:val="20"/>
          <w:szCs w:val="20"/>
          <w:lang w:val="vi-VN"/>
        </w:rPr>
        <w:t xml:space="preserve">Nghiên cứu này xem xét tác động trung gian của việc công bố </w:t>
      </w:r>
      <w:r w:rsidR="005508A3" w:rsidRPr="00C21192">
        <w:rPr>
          <w:sz w:val="20"/>
          <w:szCs w:val="20"/>
          <w:lang w:val="vi-VN"/>
        </w:rPr>
        <w:t>thông tin môi trường, xã hội và quản trị (ESG)</w:t>
      </w:r>
      <w:r w:rsidRPr="004E3E89">
        <w:rPr>
          <w:sz w:val="20"/>
          <w:szCs w:val="20"/>
          <w:lang w:val="vi-VN"/>
        </w:rPr>
        <w:t xml:space="preserve"> lên mối quan hệ giữa quản trị </w:t>
      </w:r>
      <w:r w:rsidR="005508A3" w:rsidRPr="00C21192">
        <w:rPr>
          <w:sz w:val="20"/>
          <w:szCs w:val="20"/>
          <w:lang w:val="vi-VN"/>
        </w:rPr>
        <w:t>công ty</w:t>
      </w:r>
      <w:r w:rsidRPr="004E3E89">
        <w:rPr>
          <w:sz w:val="20"/>
          <w:szCs w:val="20"/>
          <w:lang w:val="vi-VN"/>
        </w:rPr>
        <w:t xml:space="preserve"> và </w:t>
      </w:r>
      <w:r w:rsidR="005508A3" w:rsidRPr="00C21192">
        <w:rPr>
          <w:sz w:val="20"/>
          <w:szCs w:val="20"/>
          <w:lang w:val="vi-VN"/>
        </w:rPr>
        <w:t>thành quả</w:t>
      </w:r>
      <w:r w:rsidRPr="004E3E89">
        <w:rPr>
          <w:sz w:val="20"/>
          <w:szCs w:val="20"/>
          <w:lang w:val="vi-VN"/>
        </w:rPr>
        <w:t xml:space="preserve"> hoạt động của các công ty niêm yết </w:t>
      </w:r>
      <w:r w:rsidR="005508A3" w:rsidRPr="00C21192">
        <w:rPr>
          <w:sz w:val="20"/>
          <w:szCs w:val="20"/>
          <w:lang w:val="vi-VN"/>
        </w:rPr>
        <w:t>trên</w:t>
      </w:r>
      <w:r w:rsidRPr="004E3E89">
        <w:rPr>
          <w:sz w:val="20"/>
          <w:szCs w:val="20"/>
          <w:lang w:val="vi-VN"/>
        </w:rPr>
        <w:t xml:space="preserve"> Sở Giao dịch Chứng khoán Thành phố Hồ Chí Minh (HOSE) năm 2022. Lợi nhuận trên tài sản (ROA) là biến đại diện cho </w:t>
      </w:r>
      <w:r w:rsidR="005508A3" w:rsidRPr="00C21192">
        <w:rPr>
          <w:sz w:val="20"/>
          <w:szCs w:val="20"/>
          <w:lang w:val="vi-VN"/>
        </w:rPr>
        <w:t>thành</w:t>
      </w:r>
      <w:r w:rsidRPr="004E3E89">
        <w:rPr>
          <w:sz w:val="20"/>
          <w:szCs w:val="20"/>
          <w:lang w:val="vi-VN"/>
        </w:rPr>
        <w:t xml:space="preserve"> quả hoạt động; là biến phụ thuộc và </w:t>
      </w:r>
      <w:r w:rsidRPr="00AA1564">
        <w:rPr>
          <w:color w:val="FF0000"/>
          <w:sz w:val="20"/>
          <w:szCs w:val="20"/>
          <w:lang w:val="vi-VN"/>
        </w:rPr>
        <w:t>quy mô hội đồng quản trị là là biến độc lập</w:t>
      </w:r>
      <w:r w:rsidRPr="004E3E89">
        <w:rPr>
          <w:sz w:val="20"/>
          <w:szCs w:val="20"/>
          <w:lang w:val="vi-VN"/>
        </w:rPr>
        <w:t xml:space="preserve">; công bố </w:t>
      </w:r>
      <w:r w:rsidR="005508A3" w:rsidRPr="00C21192">
        <w:rPr>
          <w:sz w:val="20"/>
          <w:szCs w:val="20"/>
          <w:lang w:val="vi-VN"/>
        </w:rPr>
        <w:t>thông tin môi trường, xã hội và quản trị (</w:t>
      </w:r>
      <w:r w:rsidRPr="004E3E89">
        <w:rPr>
          <w:sz w:val="20"/>
          <w:szCs w:val="20"/>
          <w:lang w:val="vi-VN"/>
        </w:rPr>
        <w:t>ESG</w:t>
      </w:r>
      <w:r w:rsidR="005508A3" w:rsidRPr="00C21192">
        <w:rPr>
          <w:sz w:val="20"/>
          <w:szCs w:val="20"/>
          <w:lang w:val="vi-VN"/>
        </w:rPr>
        <w:t>)</w:t>
      </w:r>
      <w:r w:rsidRPr="004E3E89">
        <w:rPr>
          <w:sz w:val="20"/>
          <w:szCs w:val="20"/>
          <w:lang w:val="vi-VN"/>
        </w:rPr>
        <w:t xml:space="preserve"> là biến trung gian. Sử dụng mô hình phương trình cấu trúc (PLS-SEM), chúng tôi thấy rằng quy mô hội đồng quản trị có liên quan tích cực đáng kể đến </w:t>
      </w:r>
      <w:r w:rsidR="005508A3" w:rsidRPr="00C21192">
        <w:rPr>
          <w:sz w:val="20"/>
          <w:szCs w:val="20"/>
          <w:lang w:val="vi-VN"/>
        </w:rPr>
        <w:t>thành</w:t>
      </w:r>
      <w:r w:rsidRPr="004E3E89">
        <w:rPr>
          <w:sz w:val="20"/>
          <w:szCs w:val="20"/>
          <w:lang w:val="vi-VN"/>
        </w:rPr>
        <w:t xml:space="preserve"> quả hoạt động</w:t>
      </w:r>
      <w:r w:rsidR="00C918A2" w:rsidRPr="00C21192">
        <w:rPr>
          <w:sz w:val="20"/>
          <w:szCs w:val="20"/>
          <w:lang w:val="vi-VN"/>
        </w:rPr>
        <w:t>. C</w:t>
      </w:r>
      <w:r w:rsidRPr="004E3E89">
        <w:rPr>
          <w:sz w:val="20"/>
          <w:szCs w:val="20"/>
          <w:lang w:val="vi-VN"/>
        </w:rPr>
        <w:t xml:space="preserve">ó tác động tích cực đáng kể giữa việc công bố </w:t>
      </w:r>
      <w:r w:rsidR="00C918A2" w:rsidRPr="00C21192">
        <w:rPr>
          <w:sz w:val="20"/>
          <w:szCs w:val="20"/>
          <w:lang w:val="vi-VN"/>
        </w:rPr>
        <w:t>thông tin môi trường, xã hội và quản trị (</w:t>
      </w:r>
      <w:r w:rsidRPr="004E3E89">
        <w:rPr>
          <w:sz w:val="20"/>
          <w:szCs w:val="20"/>
          <w:lang w:val="vi-VN"/>
        </w:rPr>
        <w:t>ESG</w:t>
      </w:r>
      <w:r w:rsidR="00C918A2" w:rsidRPr="00C21192">
        <w:rPr>
          <w:sz w:val="20"/>
          <w:szCs w:val="20"/>
          <w:lang w:val="vi-VN"/>
        </w:rPr>
        <w:t>)</w:t>
      </w:r>
      <w:r w:rsidRPr="004E3E89">
        <w:rPr>
          <w:sz w:val="20"/>
          <w:szCs w:val="20"/>
          <w:lang w:val="vi-VN"/>
        </w:rPr>
        <w:t xml:space="preserve"> và </w:t>
      </w:r>
      <w:r w:rsidR="00C918A2" w:rsidRPr="00C21192">
        <w:rPr>
          <w:sz w:val="20"/>
          <w:szCs w:val="20"/>
          <w:lang w:val="vi-VN"/>
        </w:rPr>
        <w:t>thành</w:t>
      </w:r>
      <w:r w:rsidRPr="004E3E89">
        <w:rPr>
          <w:sz w:val="20"/>
          <w:szCs w:val="20"/>
          <w:lang w:val="vi-VN"/>
        </w:rPr>
        <w:t xml:space="preserve"> quả hoạt động. Cuối cùng, </w:t>
      </w:r>
      <w:r w:rsidR="00C918A2" w:rsidRPr="00C21192">
        <w:rPr>
          <w:sz w:val="20"/>
          <w:szCs w:val="20"/>
          <w:lang w:val="vi-VN"/>
        </w:rPr>
        <w:t>công bố thông tin môi trường, xã hội và quản trị (ESG)</w:t>
      </w:r>
      <w:r w:rsidRPr="004E3E89">
        <w:rPr>
          <w:sz w:val="20"/>
          <w:szCs w:val="20"/>
          <w:lang w:val="vi-VN"/>
        </w:rPr>
        <w:t xml:space="preserve"> đóng vai trò trung gian một phần đến mối quan hệ giữa quy mô hội đồng quản trị và </w:t>
      </w:r>
      <w:r w:rsidR="00C918A2" w:rsidRPr="00C21192">
        <w:rPr>
          <w:sz w:val="20"/>
          <w:szCs w:val="20"/>
          <w:lang w:val="vi-VN"/>
        </w:rPr>
        <w:t>thành</w:t>
      </w:r>
      <w:r w:rsidRPr="004E3E89">
        <w:rPr>
          <w:sz w:val="20"/>
          <w:szCs w:val="20"/>
          <w:lang w:val="vi-VN"/>
        </w:rPr>
        <w:t xml:space="preserve"> quả hoạt động. Tóm lại, đặc điểm của quy mô hội đồng quản trị thúc đẩy các hoạt động công bố </w:t>
      </w:r>
      <w:r w:rsidR="00C918A2" w:rsidRPr="00C21192">
        <w:rPr>
          <w:sz w:val="20"/>
          <w:szCs w:val="20"/>
          <w:lang w:val="vi-VN"/>
        </w:rPr>
        <w:t>thông tin môi trường, xã hội và quản trị (</w:t>
      </w:r>
      <w:r w:rsidRPr="004E3E89">
        <w:rPr>
          <w:sz w:val="20"/>
          <w:szCs w:val="20"/>
          <w:lang w:val="vi-VN"/>
        </w:rPr>
        <w:t>ESG</w:t>
      </w:r>
      <w:r w:rsidR="00C918A2" w:rsidRPr="00C21192">
        <w:rPr>
          <w:sz w:val="20"/>
          <w:szCs w:val="20"/>
          <w:lang w:val="vi-VN"/>
        </w:rPr>
        <w:t>)</w:t>
      </w:r>
      <w:r w:rsidRPr="004E3E89">
        <w:rPr>
          <w:sz w:val="20"/>
          <w:szCs w:val="20"/>
          <w:lang w:val="vi-VN"/>
        </w:rPr>
        <w:t xml:space="preserve"> để đạt được hiệu quả hoạt động cao hơn. Những kết quả này </w:t>
      </w:r>
      <w:r w:rsidR="00545779" w:rsidRPr="00C21192">
        <w:rPr>
          <w:sz w:val="20"/>
          <w:szCs w:val="20"/>
          <w:lang w:val="vi-VN"/>
        </w:rPr>
        <w:t>nhấn mạnh tầm</w:t>
      </w:r>
      <w:r w:rsidRPr="004E3E89">
        <w:rPr>
          <w:sz w:val="20"/>
          <w:szCs w:val="20"/>
          <w:lang w:val="vi-VN"/>
        </w:rPr>
        <w:t xml:space="preserve"> quan trọng và giá trị của </w:t>
      </w:r>
      <w:r w:rsidR="00545779" w:rsidRPr="00C21192">
        <w:rPr>
          <w:sz w:val="20"/>
          <w:szCs w:val="20"/>
          <w:lang w:val="vi-VN"/>
        </w:rPr>
        <w:t xml:space="preserve">công bố thông tin môi trường, xã hội và quản trị (ESG) </w:t>
      </w:r>
      <w:r w:rsidRPr="004E3E89">
        <w:rPr>
          <w:sz w:val="20"/>
          <w:szCs w:val="20"/>
          <w:lang w:val="vi-VN"/>
        </w:rPr>
        <w:t>tại Việt Nam.</w:t>
      </w:r>
    </w:p>
    <w:p w14:paraId="4D6FB423" w14:textId="30A15497" w:rsidR="004E3E89" w:rsidRPr="00C21192" w:rsidRDefault="004E3E89" w:rsidP="005B51E1">
      <w:pPr>
        <w:ind w:right="70"/>
        <w:rPr>
          <w:rFonts w:ascii="Arial" w:hAnsi="Arial" w:cs="Arial"/>
          <w:b/>
          <w:i/>
          <w:sz w:val="32"/>
          <w:szCs w:val="32"/>
          <w:lang w:val="vi-VN"/>
        </w:rPr>
      </w:pPr>
      <w:r w:rsidRPr="00CB0A39">
        <w:rPr>
          <w:b/>
          <w:sz w:val="20"/>
          <w:szCs w:val="20"/>
          <w:lang w:val="vi-VN"/>
        </w:rPr>
        <w:t>Từ khóa:</w:t>
      </w:r>
      <w:r w:rsidRPr="00CB0A39">
        <w:rPr>
          <w:b/>
          <w:i/>
          <w:sz w:val="20"/>
          <w:szCs w:val="20"/>
          <w:lang w:val="vi-VN"/>
        </w:rPr>
        <w:t xml:space="preserve"> </w:t>
      </w:r>
      <w:r w:rsidR="005B51E1" w:rsidRPr="00C21192">
        <w:rPr>
          <w:i/>
          <w:sz w:val="20"/>
          <w:szCs w:val="20"/>
          <w:lang w:val="vi-VN"/>
        </w:rPr>
        <w:t>quy mô hội đồng quản trị</w:t>
      </w:r>
      <w:r w:rsidR="00B455B1" w:rsidRPr="00C21192">
        <w:rPr>
          <w:i/>
          <w:sz w:val="20"/>
          <w:szCs w:val="20"/>
          <w:lang w:val="vi-VN"/>
        </w:rPr>
        <w:t>,</w:t>
      </w:r>
      <w:r w:rsidRPr="00C21192">
        <w:rPr>
          <w:i/>
          <w:sz w:val="20"/>
          <w:szCs w:val="20"/>
          <w:lang w:val="vi-VN"/>
        </w:rPr>
        <w:t xml:space="preserve"> thành quả hoạt động</w:t>
      </w:r>
      <w:r w:rsidR="00B455B1" w:rsidRPr="00C21192">
        <w:rPr>
          <w:i/>
          <w:sz w:val="20"/>
          <w:szCs w:val="20"/>
          <w:lang w:val="vi-VN"/>
        </w:rPr>
        <w:t>,</w:t>
      </w:r>
      <w:r w:rsidRPr="00C21192">
        <w:rPr>
          <w:i/>
          <w:sz w:val="20"/>
          <w:szCs w:val="20"/>
          <w:lang w:val="vi-VN"/>
        </w:rPr>
        <w:t xml:space="preserve"> công bố </w:t>
      </w:r>
      <w:r w:rsidR="005B51E1" w:rsidRPr="00C21192">
        <w:rPr>
          <w:i/>
          <w:sz w:val="20"/>
          <w:szCs w:val="20"/>
          <w:lang w:val="vi-VN"/>
        </w:rPr>
        <w:t>thông tin môi trường, xã hội và quản trị (ESG)</w:t>
      </w:r>
    </w:p>
    <w:p w14:paraId="7DAD0C31" w14:textId="77777777" w:rsidR="004E3E89" w:rsidRPr="00C21192" w:rsidRDefault="004E3E89" w:rsidP="004E3E89">
      <w:pPr>
        <w:ind w:right="70"/>
        <w:rPr>
          <w:i/>
          <w:sz w:val="22"/>
          <w:szCs w:val="22"/>
          <w:lang w:val="vi-VN"/>
        </w:rPr>
      </w:pPr>
    </w:p>
    <w:p w14:paraId="0A0B68C2" w14:textId="77777777" w:rsidR="00D55FA4" w:rsidRPr="00C21192" w:rsidRDefault="00D55FA4" w:rsidP="00D55FA4">
      <w:pPr>
        <w:ind w:right="70"/>
        <w:rPr>
          <w:i/>
          <w:sz w:val="22"/>
          <w:szCs w:val="22"/>
          <w:lang w:val="vi-VN"/>
        </w:rPr>
      </w:pPr>
    </w:p>
    <w:p w14:paraId="72BE8406" w14:textId="77777777" w:rsidR="00D55FA4" w:rsidRPr="00C21192" w:rsidRDefault="00D55FA4" w:rsidP="00D55FA4">
      <w:pPr>
        <w:ind w:right="70"/>
        <w:rPr>
          <w:i/>
          <w:sz w:val="22"/>
          <w:szCs w:val="22"/>
          <w:lang w:val="vi-VN"/>
        </w:rPr>
      </w:pPr>
    </w:p>
    <w:p w14:paraId="11DBBC74" w14:textId="77777777" w:rsidR="00D55FA4" w:rsidRPr="00C21192" w:rsidRDefault="00D55FA4" w:rsidP="00D55FA4">
      <w:pPr>
        <w:tabs>
          <w:tab w:val="right" w:leader="hyphen" w:pos="9072"/>
        </w:tabs>
        <w:rPr>
          <w:b/>
          <w:sz w:val="22"/>
          <w:szCs w:val="22"/>
          <w:lang w:val="vi-VN"/>
        </w:rPr>
        <w:sectPr w:rsidR="00D55FA4" w:rsidRPr="00C21192" w:rsidSect="003A0949">
          <w:headerReference w:type="default" r:id="rId9"/>
          <w:footerReference w:type="default" r:id="rId10"/>
          <w:pgSz w:w="11907" w:h="16840" w:code="9"/>
          <w:pgMar w:top="1134" w:right="1134" w:bottom="1134" w:left="1418" w:header="720" w:footer="425" w:gutter="0"/>
          <w:cols w:space="720"/>
          <w:docGrid w:linePitch="360"/>
        </w:sectPr>
      </w:pPr>
    </w:p>
    <w:p w14:paraId="35D956FA" w14:textId="77777777" w:rsidR="00D55FA4" w:rsidRDefault="00D55FA4" w:rsidP="00D55FA4">
      <w:pPr>
        <w:tabs>
          <w:tab w:val="left" w:pos="360"/>
          <w:tab w:val="left" w:pos="540"/>
          <w:tab w:val="right" w:leader="hyphen" w:pos="9072"/>
        </w:tabs>
        <w:jc w:val="both"/>
        <w:rPr>
          <w:b/>
          <w:sz w:val="22"/>
          <w:szCs w:val="22"/>
          <w:lang w:val="vi-VN"/>
        </w:rPr>
      </w:pPr>
    </w:p>
    <w:p w14:paraId="286464A3" w14:textId="77777777" w:rsidR="00CD1D68" w:rsidRPr="00C21192" w:rsidRDefault="00CD1D68" w:rsidP="00AA1FB9">
      <w:pPr>
        <w:ind w:right="70"/>
        <w:jc w:val="center"/>
        <w:rPr>
          <w:rFonts w:ascii="Arial" w:hAnsi="Arial" w:cs="Arial"/>
          <w:b/>
          <w:sz w:val="32"/>
          <w:szCs w:val="32"/>
          <w:lang w:val="vi-VN"/>
        </w:rPr>
      </w:pPr>
    </w:p>
    <w:p w14:paraId="2E7592AA" w14:textId="3AA904B0" w:rsidR="00C17AEA" w:rsidRPr="00742C6C" w:rsidRDefault="00F8056C" w:rsidP="00C17AEA">
      <w:pPr>
        <w:tabs>
          <w:tab w:val="left" w:pos="360"/>
          <w:tab w:val="right" w:leader="hyphen" w:pos="9072"/>
        </w:tabs>
        <w:spacing w:before="120" w:after="120"/>
        <w:jc w:val="center"/>
        <w:rPr>
          <w:rFonts w:ascii="Arial" w:hAnsi="Arial" w:cs="Arial"/>
          <w:b/>
          <w:szCs w:val="20"/>
        </w:rPr>
      </w:pPr>
      <w:r w:rsidRPr="00F8056C">
        <w:rPr>
          <w:rFonts w:ascii="Arial" w:hAnsi="Arial" w:cs="Arial"/>
          <w:b/>
          <w:sz w:val="32"/>
          <w:szCs w:val="20"/>
        </w:rPr>
        <w:t xml:space="preserve">Board size and performance: </w:t>
      </w:r>
      <w:r w:rsidR="00857E22">
        <w:rPr>
          <w:rFonts w:ascii="Arial" w:hAnsi="Arial" w:cs="Arial"/>
          <w:b/>
          <w:color w:val="FF0000"/>
          <w:sz w:val="32"/>
          <w:szCs w:val="20"/>
        </w:rPr>
        <w:t>The mediating of ESG disclosure</w:t>
      </w:r>
    </w:p>
    <w:p w14:paraId="6F88483D" w14:textId="77777777" w:rsidR="00C17AEA" w:rsidRPr="00377620" w:rsidRDefault="00C17AEA" w:rsidP="00C17AEA">
      <w:pPr>
        <w:tabs>
          <w:tab w:val="left" w:pos="360"/>
          <w:tab w:val="right" w:leader="hyphen" w:pos="9072"/>
        </w:tabs>
        <w:jc w:val="center"/>
        <w:rPr>
          <w:b/>
          <w:szCs w:val="20"/>
        </w:rPr>
      </w:pPr>
    </w:p>
    <w:p w14:paraId="5A484D1C" w14:textId="507AACF0" w:rsidR="00C17AEA" w:rsidRPr="001B6C33" w:rsidRDefault="00C17AEA" w:rsidP="00C17AEA">
      <w:pPr>
        <w:ind w:right="68"/>
        <w:jc w:val="center"/>
        <w:rPr>
          <w:b/>
          <w:szCs w:val="22"/>
        </w:rPr>
      </w:pPr>
      <w:r>
        <w:rPr>
          <w:b/>
          <w:szCs w:val="22"/>
        </w:rPr>
        <w:t xml:space="preserve">Le </w:t>
      </w:r>
      <w:proofErr w:type="spellStart"/>
      <w:r>
        <w:rPr>
          <w:b/>
          <w:szCs w:val="22"/>
        </w:rPr>
        <w:t>Xuan</w:t>
      </w:r>
      <w:proofErr w:type="spellEnd"/>
      <w:r>
        <w:rPr>
          <w:b/>
          <w:szCs w:val="22"/>
        </w:rPr>
        <w:t xml:space="preserve"> </w:t>
      </w:r>
      <w:proofErr w:type="spellStart"/>
      <w:r>
        <w:rPr>
          <w:b/>
          <w:szCs w:val="22"/>
        </w:rPr>
        <w:t>Quynh</w:t>
      </w:r>
      <w:proofErr w:type="spellEnd"/>
      <w:r w:rsidRPr="007B6EFB">
        <w:rPr>
          <w:b/>
          <w:szCs w:val="22"/>
        </w:rPr>
        <w:t xml:space="preserve">*, Do </w:t>
      </w:r>
      <w:proofErr w:type="spellStart"/>
      <w:r w:rsidRPr="007B6EFB">
        <w:rPr>
          <w:b/>
          <w:szCs w:val="22"/>
        </w:rPr>
        <w:t>Huyen</w:t>
      </w:r>
      <w:proofErr w:type="spellEnd"/>
      <w:r w:rsidRPr="007B6EFB">
        <w:rPr>
          <w:b/>
          <w:szCs w:val="22"/>
        </w:rPr>
        <w:t xml:space="preserve"> </w:t>
      </w:r>
      <w:proofErr w:type="spellStart"/>
      <w:r w:rsidRPr="007B6EFB">
        <w:rPr>
          <w:b/>
          <w:szCs w:val="22"/>
        </w:rPr>
        <w:t>Trang</w:t>
      </w:r>
      <w:proofErr w:type="spellEnd"/>
      <w:r w:rsidRPr="00301698">
        <w:rPr>
          <w:b/>
          <w:szCs w:val="22"/>
          <w:vertAlign w:val="superscript"/>
        </w:rPr>
        <w:t xml:space="preserve"> </w:t>
      </w:r>
      <w:r w:rsidRPr="00301698">
        <w:rPr>
          <w:b/>
          <w:szCs w:val="22"/>
        </w:rPr>
        <w:t>, Nguyen Van Tram</w:t>
      </w:r>
      <w:r w:rsidR="001B6C33">
        <w:rPr>
          <w:b/>
          <w:szCs w:val="22"/>
          <w:vertAlign w:val="superscript"/>
        </w:rPr>
        <w:t xml:space="preserve"> </w:t>
      </w:r>
      <w:r>
        <w:rPr>
          <w:b/>
          <w:szCs w:val="22"/>
        </w:rPr>
        <w:t xml:space="preserve">, Pham </w:t>
      </w:r>
      <w:proofErr w:type="spellStart"/>
      <w:r>
        <w:rPr>
          <w:b/>
          <w:szCs w:val="22"/>
        </w:rPr>
        <w:t>Thi</w:t>
      </w:r>
      <w:proofErr w:type="spellEnd"/>
      <w:r>
        <w:rPr>
          <w:b/>
          <w:szCs w:val="22"/>
        </w:rPr>
        <w:t xml:space="preserve"> Lai</w:t>
      </w:r>
      <w:r w:rsidR="001B6C33">
        <w:rPr>
          <w:b/>
          <w:szCs w:val="22"/>
          <w:vertAlign w:val="superscript"/>
        </w:rPr>
        <w:t xml:space="preserve"> </w:t>
      </w:r>
      <w:r>
        <w:rPr>
          <w:b/>
          <w:szCs w:val="22"/>
        </w:rPr>
        <w:t xml:space="preserve">, Le Nu </w:t>
      </w:r>
      <w:proofErr w:type="spellStart"/>
      <w:r>
        <w:rPr>
          <w:b/>
          <w:szCs w:val="22"/>
        </w:rPr>
        <w:t>Nhu</w:t>
      </w:r>
      <w:proofErr w:type="spellEnd"/>
      <w:r>
        <w:rPr>
          <w:b/>
          <w:szCs w:val="22"/>
        </w:rPr>
        <w:t xml:space="preserve"> Ngoc</w:t>
      </w:r>
      <w:r w:rsidR="008C7259">
        <w:rPr>
          <w:b/>
          <w:szCs w:val="22"/>
        </w:rPr>
        <w:t>,</w:t>
      </w:r>
      <w:r w:rsidR="001B6C33">
        <w:rPr>
          <w:b/>
          <w:szCs w:val="22"/>
          <w:vertAlign w:val="superscript"/>
        </w:rPr>
        <w:t xml:space="preserve"> </w:t>
      </w:r>
      <w:r w:rsidR="001B6C33">
        <w:rPr>
          <w:b/>
          <w:szCs w:val="22"/>
        </w:rPr>
        <w:t xml:space="preserve">Pham Hong </w:t>
      </w:r>
      <w:proofErr w:type="spellStart"/>
      <w:r w:rsidR="001B6C33">
        <w:rPr>
          <w:b/>
          <w:szCs w:val="22"/>
        </w:rPr>
        <w:t>Tham</w:t>
      </w:r>
      <w:proofErr w:type="spellEnd"/>
    </w:p>
    <w:p w14:paraId="22C31C3E" w14:textId="77777777" w:rsidR="00C17AEA" w:rsidRDefault="00C17AEA" w:rsidP="00C17AEA">
      <w:pPr>
        <w:ind w:right="70"/>
        <w:rPr>
          <w:sz w:val="18"/>
          <w:szCs w:val="18"/>
        </w:rPr>
      </w:pPr>
    </w:p>
    <w:p w14:paraId="321F2DAC" w14:textId="77777777" w:rsidR="00C17AEA" w:rsidRPr="007B6EFB" w:rsidRDefault="00C17AEA" w:rsidP="00C17AEA">
      <w:pPr>
        <w:ind w:right="70"/>
        <w:jc w:val="center"/>
        <w:rPr>
          <w:i/>
          <w:sz w:val="22"/>
          <w:szCs w:val="22"/>
        </w:rPr>
      </w:pPr>
      <w:r w:rsidRPr="00011A30">
        <w:rPr>
          <w:i/>
          <w:sz w:val="22"/>
          <w:szCs w:val="22"/>
        </w:rPr>
        <w:t xml:space="preserve">Department of Economics and Accounting, </w:t>
      </w:r>
      <w:proofErr w:type="spellStart"/>
      <w:r w:rsidRPr="00011A30">
        <w:rPr>
          <w:i/>
          <w:sz w:val="22"/>
          <w:szCs w:val="22"/>
        </w:rPr>
        <w:t>Quy</w:t>
      </w:r>
      <w:proofErr w:type="spellEnd"/>
      <w:r w:rsidRPr="00011A30">
        <w:rPr>
          <w:i/>
          <w:sz w:val="22"/>
          <w:szCs w:val="22"/>
        </w:rPr>
        <w:t xml:space="preserve"> </w:t>
      </w:r>
      <w:proofErr w:type="spellStart"/>
      <w:r w:rsidRPr="00011A30">
        <w:rPr>
          <w:i/>
          <w:sz w:val="22"/>
          <w:szCs w:val="22"/>
        </w:rPr>
        <w:t>Nhon</w:t>
      </w:r>
      <w:proofErr w:type="spellEnd"/>
      <w:r w:rsidRPr="00011A30">
        <w:rPr>
          <w:i/>
          <w:sz w:val="22"/>
          <w:szCs w:val="22"/>
        </w:rPr>
        <w:t xml:space="preserve"> University</w:t>
      </w:r>
    </w:p>
    <w:p w14:paraId="7127ED55" w14:textId="77777777" w:rsidR="00C17AEA" w:rsidRDefault="00C17AEA" w:rsidP="00C17AEA">
      <w:pPr>
        <w:spacing w:after="120"/>
        <w:ind w:right="68"/>
        <w:jc w:val="center"/>
        <w:rPr>
          <w:i/>
          <w:sz w:val="22"/>
          <w:szCs w:val="22"/>
        </w:rPr>
      </w:pPr>
    </w:p>
    <w:p w14:paraId="23C8CB85" w14:textId="77777777" w:rsidR="00C17AEA" w:rsidRDefault="00C17AEA" w:rsidP="00C17AEA">
      <w:pPr>
        <w:ind w:right="70"/>
        <w:jc w:val="center"/>
        <w:rPr>
          <w:i/>
          <w:sz w:val="22"/>
          <w:szCs w:val="22"/>
        </w:rPr>
      </w:pPr>
      <w:r>
        <w:rPr>
          <w:i/>
          <w:sz w:val="22"/>
          <w:szCs w:val="22"/>
        </w:rPr>
        <w:t xml:space="preserve">Received: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 xml:space="preserve">; Revised: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w:t>
      </w:r>
    </w:p>
    <w:p w14:paraId="693467AF" w14:textId="77777777" w:rsidR="00974745" w:rsidRDefault="00C17AEA" w:rsidP="007F1E73">
      <w:pPr>
        <w:ind w:right="70"/>
        <w:jc w:val="center"/>
        <w:rPr>
          <w:i/>
          <w:sz w:val="22"/>
          <w:szCs w:val="22"/>
        </w:rPr>
      </w:pPr>
      <w:r>
        <w:rPr>
          <w:i/>
          <w:sz w:val="22"/>
          <w:szCs w:val="22"/>
        </w:rPr>
        <w:t xml:space="preserve">Accepted: </w:t>
      </w:r>
      <w:proofErr w:type="spellStart"/>
      <w:r>
        <w:rPr>
          <w:i/>
          <w:sz w:val="22"/>
          <w:szCs w:val="22"/>
        </w:rPr>
        <w:t>dd</w:t>
      </w:r>
      <w:proofErr w:type="spellEnd"/>
      <w:r>
        <w:rPr>
          <w:i/>
          <w:sz w:val="22"/>
          <w:szCs w:val="22"/>
        </w:rPr>
        <w:t>/mm/</w:t>
      </w:r>
      <w:proofErr w:type="spellStart"/>
      <w:r>
        <w:rPr>
          <w:i/>
          <w:sz w:val="22"/>
          <w:szCs w:val="22"/>
        </w:rPr>
        <w:t>yyyy</w:t>
      </w:r>
      <w:proofErr w:type="spellEnd"/>
      <w:r>
        <w:rPr>
          <w:i/>
          <w:sz w:val="22"/>
          <w:szCs w:val="22"/>
        </w:rPr>
        <w:t xml:space="preserve">; Published: </w:t>
      </w:r>
      <w:proofErr w:type="spellStart"/>
      <w:r>
        <w:rPr>
          <w:i/>
          <w:sz w:val="22"/>
          <w:szCs w:val="22"/>
        </w:rPr>
        <w:t>dd</w:t>
      </w:r>
      <w:proofErr w:type="spellEnd"/>
      <w:r>
        <w:rPr>
          <w:i/>
          <w:sz w:val="22"/>
          <w:szCs w:val="22"/>
        </w:rPr>
        <w:t>/mm/</w:t>
      </w:r>
      <w:proofErr w:type="spellStart"/>
      <w:r>
        <w:rPr>
          <w:i/>
          <w:sz w:val="22"/>
          <w:szCs w:val="22"/>
        </w:rPr>
        <w:t>yyyy</w:t>
      </w:r>
      <w:proofErr w:type="spellEnd"/>
    </w:p>
    <w:p w14:paraId="1A7A9186" w14:textId="77777777" w:rsidR="00305E33" w:rsidRDefault="00305E33" w:rsidP="00797114">
      <w:pPr>
        <w:ind w:right="70"/>
        <w:rPr>
          <w:i/>
          <w:sz w:val="22"/>
          <w:szCs w:val="22"/>
        </w:rPr>
      </w:pPr>
    </w:p>
    <w:p w14:paraId="6B2D7933" w14:textId="77777777" w:rsidR="00AC12CC" w:rsidRPr="00F37032" w:rsidRDefault="00AC12CC" w:rsidP="00AC12CC">
      <w:pPr>
        <w:tabs>
          <w:tab w:val="right" w:leader="hyphen" w:pos="9072"/>
        </w:tabs>
        <w:spacing w:before="120" w:after="120"/>
        <w:jc w:val="center"/>
        <w:rPr>
          <w:i/>
          <w:iCs/>
          <w:sz w:val="18"/>
          <w:szCs w:val="18"/>
        </w:rPr>
      </w:pPr>
      <w:r>
        <w:rPr>
          <w:i/>
          <w:iCs/>
          <w:sz w:val="20"/>
          <w:szCs w:val="20"/>
        </w:rPr>
        <w:t>*</w:t>
      </w:r>
      <w:r w:rsidRPr="00AC12CC">
        <w:rPr>
          <w:i/>
          <w:iCs/>
          <w:sz w:val="22"/>
          <w:szCs w:val="20"/>
        </w:rPr>
        <w:t>Corresponding</w:t>
      </w:r>
      <w:r>
        <w:rPr>
          <w:i/>
          <w:iCs/>
          <w:sz w:val="20"/>
          <w:szCs w:val="20"/>
        </w:rPr>
        <w:t xml:space="preserve"> author. </w:t>
      </w:r>
      <w:r w:rsidRPr="00FA03B5">
        <w:rPr>
          <w:i/>
          <w:iCs/>
          <w:sz w:val="20"/>
          <w:szCs w:val="20"/>
        </w:rPr>
        <w:t>Email: lexuanquynh@qnu.edu.vn</w:t>
      </w:r>
    </w:p>
    <w:p w14:paraId="4A8F8A38" w14:textId="77777777" w:rsidR="00B144CC" w:rsidRPr="005175B9" w:rsidRDefault="00B144CC" w:rsidP="00AA1FB9">
      <w:pPr>
        <w:tabs>
          <w:tab w:val="right" w:leader="hyphen" w:pos="9072"/>
        </w:tabs>
        <w:rPr>
          <w:b/>
          <w:sz w:val="22"/>
          <w:szCs w:val="22"/>
        </w:rPr>
        <w:sectPr w:rsidR="00B144CC" w:rsidRPr="005175B9" w:rsidSect="003A0949">
          <w:headerReference w:type="default" r:id="rId11"/>
          <w:footerReference w:type="default" r:id="rId12"/>
          <w:pgSz w:w="11907" w:h="16840" w:code="9"/>
          <w:pgMar w:top="1134" w:right="1134" w:bottom="1134" w:left="1418" w:header="720" w:footer="425" w:gutter="0"/>
          <w:cols w:space="720"/>
          <w:docGrid w:linePitch="360"/>
        </w:sectPr>
      </w:pPr>
    </w:p>
    <w:p w14:paraId="7FB6675F" w14:textId="77777777" w:rsidR="00BC3F65" w:rsidRDefault="00BC3F65" w:rsidP="001E7166">
      <w:pPr>
        <w:tabs>
          <w:tab w:val="left" w:pos="360"/>
          <w:tab w:val="left" w:pos="540"/>
          <w:tab w:val="right" w:leader="hyphen" w:pos="9072"/>
        </w:tabs>
        <w:jc w:val="both"/>
        <w:rPr>
          <w:b/>
          <w:sz w:val="22"/>
          <w:szCs w:val="22"/>
          <w:lang w:val="vi-VN"/>
        </w:rPr>
      </w:pPr>
    </w:p>
    <w:p w14:paraId="13A8B055" w14:textId="77777777" w:rsidR="007F1E73" w:rsidRPr="002610BF" w:rsidRDefault="007F1E73" w:rsidP="007F1E73">
      <w:pPr>
        <w:tabs>
          <w:tab w:val="left" w:pos="360"/>
          <w:tab w:val="right" w:leader="hyphen" w:pos="9072"/>
        </w:tabs>
        <w:spacing w:before="120" w:after="120"/>
        <w:jc w:val="both"/>
        <w:rPr>
          <w:b/>
          <w:sz w:val="22"/>
          <w:szCs w:val="20"/>
        </w:rPr>
      </w:pPr>
      <w:r w:rsidRPr="004E58D8">
        <w:rPr>
          <w:b/>
          <w:sz w:val="22"/>
          <w:szCs w:val="20"/>
        </w:rPr>
        <w:t>ABSTRACT</w:t>
      </w:r>
    </w:p>
    <w:p w14:paraId="49817A6E" w14:textId="7B8B90D9" w:rsidR="007F1E73" w:rsidRPr="002610BF" w:rsidRDefault="007F1E73" w:rsidP="007F1E73">
      <w:pPr>
        <w:tabs>
          <w:tab w:val="right" w:leader="hyphen" w:pos="9072"/>
        </w:tabs>
        <w:spacing w:before="120" w:after="120"/>
        <w:ind w:firstLine="567"/>
        <w:jc w:val="both"/>
        <w:rPr>
          <w:sz w:val="20"/>
          <w:szCs w:val="20"/>
        </w:rPr>
      </w:pPr>
      <w:r w:rsidRPr="009A4584">
        <w:rPr>
          <w:sz w:val="20"/>
          <w:szCs w:val="20"/>
        </w:rPr>
        <w:t xml:space="preserve">This study examines the mediating effect of ESG disclosure on the relationship between </w:t>
      </w:r>
      <w:r w:rsidR="00251F3D" w:rsidRPr="00251F3D">
        <w:rPr>
          <w:color w:val="FF0000"/>
          <w:sz w:val="20"/>
          <w:szCs w:val="20"/>
        </w:rPr>
        <w:t>board size</w:t>
      </w:r>
      <w:r w:rsidRPr="009A4584">
        <w:rPr>
          <w:sz w:val="20"/>
          <w:szCs w:val="20"/>
        </w:rPr>
        <w:t xml:space="preserve"> and performance of firms listed in the Ho Chi Minh City Stock Exchange (HOSE) in 2022. Return on assets (ROA) is a proxy for performance; as the dependent var</w:t>
      </w:r>
      <w:r w:rsidR="00AA1564">
        <w:rPr>
          <w:sz w:val="20"/>
          <w:szCs w:val="20"/>
        </w:rPr>
        <w:t xml:space="preserve">iable and </w:t>
      </w:r>
      <w:r w:rsidR="00AA1564" w:rsidRPr="00A74194">
        <w:rPr>
          <w:color w:val="FF0000"/>
          <w:sz w:val="20"/>
          <w:szCs w:val="20"/>
        </w:rPr>
        <w:t xml:space="preserve">board size is </w:t>
      </w:r>
      <w:r w:rsidRPr="00A74194">
        <w:rPr>
          <w:color w:val="FF0000"/>
          <w:sz w:val="20"/>
          <w:szCs w:val="20"/>
        </w:rPr>
        <w:t>the independent variable</w:t>
      </w:r>
      <w:r w:rsidRPr="009A4584">
        <w:rPr>
          <w:sz w:val="20"/>
          <w:szCs w:val="20"/>
        </w:rPr>
        <w:t xml:space="preserve">; ESG disclosure is the mediating variable. Using structural equation model (PLS-SEM), we found that board size is significantly positively related to performance. There is significant positive impact between ESG disclosure and performance. Finally, ESG </w:t>
      </w:r>
      <w:r w:rsidR="005E09B2" w:rsidRPr="009A4584">
        <w:rPr>
          <w:sz w:val="20"/>
          <w:szCs w:val="20"/>
        </w:rPr>
        <w:t xml:space="preserve">disclosure </w:t>
      </w:r>
      <w:r w:rsidRPr="009A4584">
        <w:rPr>
          <w:sz w:val="20"/>
          <w:szCs w:val="20"/>
        </w:rPr>
        <w:t xml:space="preserve">plays a partial mediating role on the relationship between board size and performance. To sum up, board size characteristics promote ESG disclosure activities to establish and reach higher performance. These results denote the importance and value of ESG </w:t>
      </w:r>
      <w:r w:rsidR="005E09B2" w:rsidRPr="009A4584">
        <w:rPr>
          <w:sz w:val="20"/>
          <w:szCs w:val="20"/>
        </w:rPr>
        <w:t xml:space="preserve">disclosure </w:t>
      </w:r>
      <w:r w:rsidRPr="009A4584">
        <w:rPr>
          <w:sz w:val="20"/>
          <w:szCs w:val="20"/>
        </w:rPr>
        <w:t>in Vietnam.</w:t>
      </w:r>
    </w:p>
    <w:p w14:paraId="23295547" w14:textId="0E1A3F7E" w:rsidR="00FC4AB0" w:rsidRDefault="007F1E73" w:rsidP="005B51E1">
      <w:pPr>
        <w:tabs>
          <w:tab w:val="right" w:leader="hyphen" w:pos="9072"/>
        </w:tabs>
        <w:spacing w:before="120" w:after="120"/>
        <w:jc w:val="both"/>
        <w:rPr>
          <w:i/>
          <w:sz w:val="22"/>
          <w:szCs w:val="22"/>
        </w:rPr>
      </w:pPr>
      <w:r w:rsidRPr="002610BF">
        <w:rPr>
          <w:b/>
          <w:sz w:val="20"/>
          <w:szCs w:val="20"/>
        </w:rPr>
        <w:t xml:space="preserve">Keywords: </w:t>
      </w:r>
      <w:r>
        <w:rPr>
          <w:i/>
          <w:sz w:val="20"/>
          <w:szCs w:val="20"/>
        </w:rPr>
        <w:t>board size</w:t>
      </w:r>
      <w:r w:rsidR="00B455B1">
        <w:rPr>
          <w:i/>
          <w:sz w:val="20"/>
          <w:szCs w:val="20"/>
        </w:rPr>
        <w:t>,</w:t>
      </w:r>
      <w:r>
        <w:rPr>
          <w:i/>
          <w:sz w:val="20"/>
          <w:szCs w:val="20"/>
        </w:rPr>
        <w:t xml:space="preserve"> performance</w:t>
      </w:r>
      <w:r w:rsidR="00B455B1">
        <w:rPr>
          <w:i/>
          <w:sz w:val="20"/>
          <w:szCs w:val="20"/>
        </w:rPr>
        <w:t>,</w:t>
      </w:r>
      <w:r>
        <w:rPr>
          <w:i/>
          <w:sz w:val="20"/>
          <w:szCs w:val="20"/>
        </w:rPr>
        <w:t xml:space="preserve"> </w:t>
      </w:r>
      <w:r w:rsidR="005B51E1" w:rsidRPr="005B51E1">
        <w:rPr>
          <w:i/>
          <w:sz w:val="22"/>
          <w:szCs w:val="22"/>
        </w:rPr>
        <w:t>ESG disclosure</w:t>
      </w:r>
    </w:p>
    <w:p w14:paraId="20028F54" w14:textId="77777777" w:rsidR="00B17ADE" w:rsidRPr="005B51E1" w:rsidRDefault="00B17ADE" w:rsidP="005B51E1">
      <w:pPr>
        <w:tabs>
          <w:tab w:val="right" w:leader="hyphen" w:pos="9072"/>
        </w:tabs>
        <w:spacing w:before="120" w:after="120"/>
        <w:jc w:val="both"/>
        <w:rPr>
          <w:b/>
          <w:i/>
          <w:sz w:val="20"/>
          <w:szCs w:val="20"/>
          <w:lang w:val="vi-VN"/>
        </w:rPr>
        <w:sectPr w:rsidR="00B17ADE" w:rsidRPr="005B51E1" w:rsidSect="003A0949">
          <w:type w:val="continuous"/>
          <w:pgSz w:w="11907" w:h="16840" w:code="9"/>
          <w:pgMar w:top="1134" w:right="1134" w:bottom="1134" w:left="1418" w:header="720" w:footer="720" w:gutter="0"/>
          <w:cols w:space="720"/>
          <w:docGrid w:linePitch="360"/>
        </w:sectPr>
      </w:pPr>
    </w:p>
    <w:p w14:paraId="03B93BF2" w14:textId="77777777" w:rsidR="00046D27" w:rsidRDefault="00046D27" w:rsidP="00046D27">
      <w:pPr>
        <w:tabs>
          <w:tab w:val="left" w:pos="567"/>
          <w:tab w:val="right" w:leader="hyphen" w:pos="9072"/>
        </w:tabs>
        <w:spacing w:before="120" w:after="120"/>
        <w:jc w:val="both"/>
        <w:rPr>
          <w:sz w:val="22"/>
          <w:szCs w:val="22"/>
        </w:rPr>
      </w:pPr>
      <w:r w:rsidRPr="00CB0A39">
        <w:rPr>
          <w:b/>
          <w:sz w:val="22"/>
          <w:szCs w:val="22"/>
          <w:lang w:val="vi-VN"/>
        </w:rPr>
        <w:lastRenderedPageBreak/>
        <w:t>1. INTRODUCTION</w:t>
      </w:r>
    </w:p>
    <w:p w14:paraId="743D5A66" w14:textId="768CEE0E" w:rsidR="00F37032" w:rsidRDefault="000C4DD4" w:rsidP="00F37032">
      <w:pPr>
        <w:spacing w:before="120" w:after="120"/>
        <w:jc w:val="both"/>
        <w:rPr>
          <w:sz w:val="22"/>
          <w:szCs w:val="22"/>
        </w:rPr>
      </w:pPr>
      <w:r w:rsidRPr="009C6860">
        <w:rPr>
          <w:sz w:val="22"/>
          <w:szCs w:val="22"/>
        </w:rPr>
        <w:t>The board of directors plays an important role in corporate governance, being the formal link between shareholders and managers.</w:t>
      </w:r>
      <w:hyperlink w:anchor="_ENREF_1" w:tooltip="Aguilera, 2015 #1319" w:history="1">
        <w:r w:rsidR="002C0B6F" w:rsidRPr="00494CA8">
          <w:rPr>
            <w:sz w:val="22"/>
            <w:szCs w:val="22"/>
          </w:rPr>
          <w:fldChar w:fldCharType="begin"/>
        </w:r>
        <w:r w:rsidR="002C0B6F" w:rsidRPr="00494CA8">
          <w:rPr>
            <w:sz w:val="22"/>
            <w:szCs w:val="22"/>
          </w:rPr>
          <w:instrText xml:space="preserve"> ADDIN EN.CITE &lt;EndNote&gt;&lt;Cite&gt;&lt;Author&gt;Aguilera&lt;/Author&gt;&lt;Year&gt;2015&lt;/Year&gt;&lt;RecNum&gt;1319&lt;/RecNum&gt;&lt;DisplayText&gt;&lt;style face="superscript"&gt;1&lt;/style&gt;&lt;/DisplayText&gt;&lt;record&gt;&lt;rec-number&gt;1319&lt;/rec-number&gt;&lt;foreign-keys&gt;&lt;key app="EN" db-id="eswfvzza29a52ye9xwqpfwwx55tazv55ppxs"&gt;1319&lt;/key&gt;&lt;/foreign-keys&gt;&lt;ref-type name="Journal Article"&gt;17&lt;/ref-type&gt;&lt;contributors&gt;&lt;authors&gt;&lt;author&gt;Aguilera, Ruth V&lt;/author&gt;&lt;author&gt;Desender, Kurt&lt;/author&gt;&lt;author&gt;Bednar, Michael K&lt;/author&gt;&lt;author&gt;Lee, Jun Ho&lt;/author&gt;&lt;/authors&gt;&lt;/contributors&gt;&lt;titles&gt;&lt;title&gt;Connecting the dots: Bringing external corporate governance into the corporate governance puzzle&lt;/title&gt;&lt;secondary-title&gt;Academy of Management Annals&lt;/secondary-title&gt;&lt;/titles&gt;&lt;periodical&gt;&lt;full-title&gt;Academy of Management Annals&lt;/full-title&gt;&lt;/periodical&gt;&lt;pages&gt;483-573&lt;/pages&gt;&lt;volume&gt;9&lt;/volume&gt;&lt;number&gt;1&lt;/number&gt;&lt;dates&gt;&lt;year&gt;2015&lt;/year&gt;&lt;/dates&gt;&lt;isbn&gt;1941-6520&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1</w:t>
        </w:r>
        <w:r w:rsidR="002C0B6F" w:rsidRPr="00494CA8">
          <w:rPr>
            <w:sz w:val="22"/>
            <w:szCs w:val="22"/>
          </w:rPr>
          <w:fldChar w:fldCharType="end"/>
        </w:r>
      </w:hyperlink>
      <w:r w:rsidRPr="009C6860">
        <w:rPr>
          <w:sz w:val="22"/>
          <w:szCs w:val="22"/>
          <w:vertAlign w:val="superscript"/>
        </w:rPr>
        <w:t>,</w:t>
      </w:r>
      <w:hyperlink w:anchor="_ENREF_2" w:tooltip="Brennan, 2006 #1318" w:history="1">
        <w:r w:rsidR="002C0B6F" w:rsidRPr="00494CA8">
          <w:rPr>
            <w:sz w:val="22"/>
            <w:szCs w:val="22"/>
          </w:rPr>
          <w:fldChar w:fldCharType="begin"/>
        </w:r>
        <w:r w:rsidR="002C0B6F" w:rsidRPr="00494CA8">
          <w:rPr>
            <w:sz w:val="22"/>
            <w:szCs w:val="22"/>
          </w:rPr>
          <w:instrText xml:space="preserve"> ADDIN EN.CITE &lt;EndNote&gt;&lt;Cite&gt;&lt;Author&gt;Brennan&lt;/Author&gt;&lt;Year&gt;2006&lt;/Year&gt;&lt;RecNum&gt;1318&lt;/RecNum&gt;&lt;DisplayText&gt;&lt;style face="superscript"&gt;2&lt;/style&gt;&lt;/DisplayText&gt;&lt;record&gt;&lt;rec-number&gt;1318&lt;/rec-number&gt;&lt;foreign-keys&gt;&lt;key app="EN" db-id="eswfvzza29a52ye9xwqpfwwx55tazv55ppxs"&gt;1318&lt;/key&gt;&lt;/foreign-keys&gt;&lt;ref-type name="Journal Article"&gt;17&lt;/ref-type&gt;&lt;contributors&gt;&lt;authors&gt;&lt;author&gt;Brennan, Niamh&lt;/author&gt;&lt;/authors&gt;&lt;/contributors&gt;&lt;titles&gt;&lt;title&gt;Boards of directors and firm performance: is there an expectations gap?&lt;/title&gt;&lt;secondary-title&gt;Corporate Governance: An International Review&lt;/secondary-title&gt;&lt;/titles&gt;&lt;periodical&gt;&lt;full-title&gt;Corporate Governance: An International Review&lt;/full-title&gt;&lt;/periodical&gt;&lt;pages&gt;577-593&lt;/pages&gt;&lt;volume&gt;14&lt;/volume&gt;&lt;number&gt;6&lt;/number&gt;&lt;dates&gt;&lt;year&gt;2006&lt;/year&gt;&lt;/dates&gt;&lt;isbn&gt;0964-8410&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2</w:t>
        </w:r>
        <w:r w:rsidR="002C0B6F" w:rsidRPr="00494CA8">
          <w:rPr>
            <w:sz w:val="22"/>
            <w:szCs w:val="22"/>
          </w:rPr>
          <w:fldChar w:fldCharType="end"/>
        </w:r>
      </w:hyperlink>
      <w:r w:rsidR="00CA289F">
        <w:rPr>
          <w:sz w:val="22"/>
          <w:szCs w:val="22"/>
          <w:vertAlign w:val="superscript"/>
        </w:rPr>
        <w:t xml:space="preserve"> </w:t>
      </w:r>
      <w:r w:rsidRPr="009C6860">
        <w:rPr>
          <w:sz w:val="22"/>
          <w:szCs w:val="22"/>
        </w:rPr>
        <w:t>Therefore, the board of directors can be described as “the pinnacle of the company's decision control system”.</w:t>
      </w:r>
      <w:hyperlink w:anchor="_ENREF_3" w:tooltip="Fama, 1983 #1311" w:history="1">
        <w:r w:rsidR="002C0B6F" w:rsidRPr="00494CA8">
          <w:rPr>
            <w:sz w:val="22"/>
            <w:szCs w:val="22"/>
          </w:rPr>
          <w:fldChar w:fldCharType="begin"/>
        </w:r>
        <w:r w:rsidR="002C0B6F" w:rsidRPr="00494CA8">
          <w:rPr>
            <w:sz w:val="22"/>
            <w:szCs w:val="22"/>
          </w:rPr>
          <w:instrText xml:space="preserve"> ADDIN EN.CITE &lt;EndNote&gt;&lt;Cite&gt;&lt;Author&gt;Fama&lt;/Author&gt;&lt;Year&gt;1983&lt;/Year&gt;&lt;RecNum&gt;1311&lt;/RecNum&gt;&lt;DisplayText&gt;&lt;style face="superscript"&gt;3&lt;/style&gt;&lt;/DisplayText&gt;&lt;record&gt;&lt;rec-number&gt;1311&lt;/rec-number&gt;&lt;foreign-keys&gt;&lt;key app="EN" db-id="eswfvzza29a52ye9xwqpfwwx55tazv55ppxs"&gt;1311&lt;/key&gt;&lt;/foreign-keys&gt;&lt;ref-type name="Journal Article"&gt;17&lt;/ref-type&gt;&lt;contributors&gt;&lt;authors&gt;&lt;author&gt;Fama, Eugene F&lt;/author&gt;&lt;author&gt;Jensen, Michael C&lt;/author&gt;&lt;/authors&gt;&lt;/contributors&gt;&lt;titles&gt;&lt;title&gt;Separation of ownership and control&lt;/title&gt;&lt;secondary-title&gt;The journal of law and Economics&lt;/secondary-title&gt;&lt;/titles&gt;&lt;periodical&gt;&lt;full-title&gt;The journal of law and Economics&lt;/full-title&gt;&lt;/periodical&gt;&lt;pages&gt;301-325&lt;/pages&gt;&lt;volume&gt;26&lt;/volume&gt;&lt;number&gt;2&lt;/number&gt;&lt;dates&gt;&lt;year&gt;1983&lt;/year&gt;&lt;/dates&gt;&lt;isbn&gt;0022-2186&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3</w:t>
        </w:r>
        <w:r w:rsidR="002C0B6F" w:rsidRPr="00494CA8">
          <w:rPr>
            <w:sz w:val="22"/>
            <w:szCs w:val="22"/>
          </w:rPr>
          <w:fldChar w:fldCharType="end"/>
        </w:r>
      </w:hyperlink>
      <w:r w:rsidR="00CA289F">
        <w:rPr>
          <w:sz w:val="22"/>
          <w:szCs w:val="22"/>
        </w:rPr>
        <w:t xml:space="preserve"> </w:t>
      </w:r>
      <w:r w:rsidRPr="009C6860">
        <w:rPr>
          <w:sz w:val="22"/>
          <w:szCs w:val="22"/>
        </w:rPr>
        <w:t>This system plays an important role in monitoring and controlling managers to ensure that managers act in the best interests of all shareholders.</w:t>
      </w:r>
      <w:hyperlink w:anchor="_ENREF_4" w:tooltip="Jensen, 1976 #3" w:history="1">
        <w:r w:rsidR="002C0B6F" w:rsidRPr="00494CA8">
          <w:rPr>
            <w:sz w:val="22"/>
            <w:szCs w:val="22"/>
          </w:rPr>
          <w:fldChar w:fldCharType="begin"/>
        </w:r>
        <w:r w:rsidR="002C0B6F" w:rsidRPr="00494CA8">
          <w:rPr>
            <w:sz w:val="22"/>
            <w:szCs w:val="22"/>
          </w:rPr>
          <w:instrText xml:space="preserve"> ADDIN EN.CITE &lt;EndNote&gt;&lt;Cite&gt;&lt;Author&gt;Jensen&lt;/Author&gt;&lt;Year&gt;1976&lt;/Year&gt;&lt;RecNum&gt;3&lt;/RecNum&gt;&lt;DisplayText&gt;&lt;style face="superscript"&gt;4&lt;/style&gt;&lt;/DisplayText&gt;&lt;record&gt;&lt;rec-number&gt;3&lt;/rec-number&gt;&lt;foreign-keys&gt;&lt;key app="EN" db-id="eswfvzza29a52ye9xwqpfwwx55tazv55ppxs"&gt;3&lt;/key&gt;&lt;/foreign-keys&gt;&lt;ref-type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www.sciencedirect.com/science/article/pii/0304405X7690026X&lt;/url&gt;&lt;/related-urls&gt;&lt;/urls&gt;&lt;electronic-resource-num&gt;https://doi.org/10.1016/0304-405X(76)90026-X&lt;/electronic-resource-num&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4</w:t>
        </w:r>
        <w:r w:rsidR="002C0B6F" w:rsidRPr="00494CA8">
          <w:rPr>
            <w:sz w:val="22"/>
            <w:szCs w:val="22"/>
          </w:rPr>
          <w:fldChar w:fldCharType="end"/>
        </w:r>
      </w:hyperlink>
      <w:r w:rsidRPr="00437F2C">
        <w:rPr>
          <w:sz w:val="22"/>
          <w:szCs w:val="22"/>
          <w:vertAlign w:val="superscript"/>
        </w:rPr>
        <w:t>,</w:t>
      </w:r>
      <w:hyperlink w:anchor="_ENREF_5" w:tooltip="Dalton, 1999 #1323" w:history="1">
        <w:r w:rsidR="002C0B6F" w:rsidRPr="00494CA8">
          <w:rPr>
            <w:sz w:val="22"/>
            <w:szCs w:val="22"/>
          </w:rPr>
          <w:fldChar w:fldCharType="begin"/>
        </w:r>
        <w:r w:rsidR="002C0B6F" w:rsidRPr="00494CA8">
          <w:rPr>
            <w:sz w:val="22"/>
            <w:szCs w:val="22"/>
          </w:rPr>
          <w:instrText xml:space="preserve"> ADDIN EN.CITE &lt;EndNote&gt;&lt;Cite&gt;&lt;Author&gt;Dalton&lt;/Author&gt;&lt;Year&gt;1999&lt;/Year&gt;&lt;RecNum&gt;1323&lt;/RecNum&gt;&lt;DisplayText&gt;&lt;style face="superscript"&gt;5&lt;/style&gt;&lt;/DisplayText&gt;&lt;record&gt;&lt;rec-number&gt;1323&lt;/rec-number&gt;&lt;foreign-keys&gt;&lt;key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5</w:t>
        </w:r>
        <w:r w:rsidR="002C0B6F" w:rsidRPr="00494CA8">
          <w:rPr>
            <w:sz w:val="22"/>
            <w:szCs w:val="22"/>
          </w:rPr>
          <w:fldChar w:fldCharType="end"/>
        </w:r>
      </w:hyperlink>
      <w:r w:rsidR="00CA289F">
        <w:rPr>
          <w:sz w:val="22"/>
          <w:szCs w:val="22"/>
          <w:vertAlign w:val="superscript"/>
        </w:rPr>
        <w:t xml:space="preserve"> </w:t>
      </w:r>
      <w:r w:rsidRPr="009C6860">
        <w:rPr>
          <w:sz w:val="22"/>
          <w:szCs w:val="22"/>
        </w:rPr>
        <w:t>A board of directors formed with an optimal number of members will effectively monitor management and promote shareholder value enhancement.</w:t>
      </w:r>
      <w:hyperlink w:anchor="_ENREF_2" w:tooltip="Brennan, 2006 #1318" w:history="1">
        <w:r w:rsidR="002C0B6F" w:rsidRPr="00494CA8">
          <w:rPr>
            <w:sz w:val="22"/>
            <w:szCs w:val="22"/>
          </w:rPr>
          <w:fldChar w:fldCharType="begin"/>
        </w:r>
        <w:r w:rsidR="002C0B6F" w:rsidRPr="00494CA8">
          <w:rPr>
            <w:sz w:val="22"/>
            <w:szCs w:val="22"/>
          </w:rPr>
          <w:instrText xml:space="preserve"> ADDIN EN.CITE &lt;EndNote&gt;&lt;Cite&gt;&lt;Author&gt;Brennan&lt;/Author&gt;&lt;Year&gt;2006&lt;/Year&gt;&lt;RecNum&gt;1318&lt;/RecNum&gt;&lt;DisplayText&gt;&lt;style face="superscript"&gt;2&lt;/style&gt;&lt;/DisplayText&gt;&lt;record&gt;&lt;rec-number&gt;1318&lt;/rec-number&gt;&lt;foreign-keys&gt;&lt;key app="EN" db-id="eswfvzza29a52ye9xwqpfwwx55tazv55ppxs"&gt;1318&lt;/key&gt;&lt;/foreign-keys&gt;&lt;ref-type name="Journal Article"&gt;17&lt;/ref-type&gt;&lt;contributors&gt;&lt;authors&gt;&lt;author&gt;Brennan, Niamh&lt;/author&gt;&lt;/authors&gt;&lt;/contributors&gt;&lt;titles&gt;&lt;title&gt;Boards of directors and firm performance: is there an expectations gap?&lt;/title&gt;&lt;secondary-title&gt;Corporate Governance: An International Review&lt;/secondary-title&gt;&lt;/titles&gt;&lt;periodical&gt;&lt;full-title&gt;Corporate Governance: An International Review&lt;/full-title&gt;&lt;/periodical&gt;&lt;pages&gt;577-593&lt;/pages&gt;&lt;volume&gt;14&lt;/volume&gt;&lt;number&gt;6&lt;/number&gt;&lt;dates&gt;&lt;year&gt;2006&lt;/year&gt;&lt;/dates&gt;&lt;isbn&gt;0964-8410&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2</w:t>
        </w:r>
        <w:r w:rsidR="002C0B6F" w:rsidRPr="00494CA8">
          <w:rPr>
            <w:sz w:val="22"/>
            <w:szCs w:val="22"/>
          </w:rPr>
          <w:fldChar w:fldCharType="end"/>
        </w:r>
      </w:hyperlink>
      <w:r w:rsidR="00CA289F">
        <w:rPr>
          <w:sz w:val="22"/>
          <w:szCs w:val="22"/>
        </w:rPr>
        <w:t xml:space="preserve"> </w:t>
      </w:r>
      <w:r w:rsidRPr="009C6860">
        <w:rPr>
          <w:sz w:val="22"/>
          <w:szCs w:val="22"/>
        </w:rPr>
        <w:t>Therefore, the size of the board of directors is a key factor affecting the performance of the company.</w:t>
      </w:r>
      <w:hyperlink w:anchor="_ENREF_6" w:tooltip="Kumar, 2013 #1320" w:history="1">
        <w:r w:rsidR="002C0B6F" w:rsidRPr="00494CA8">
          <w:rPr>
            <w:sz w:val="22"/>
            <w:szCs w:val="22"/>
          </w:rPr>
          <w:fldChar w:fldCharType="begin"/>
        </w:r>
        <w:r w:rsidR="002C0B6F" w:rsidRPr="00494CA8">
          <w:rPr>
            <w:sz w:val="22"/>
            <w:szCs w:val="22"/>
          </w:rPr>
          <w:instrText xml:space="preserve"> ADDIN EN.CITE &lt;EndNote&gt;&lt;Cite&gt;&lt;Author&gt;Kumar&lt;/Author&gt;&lt;Year&gt;2013&lt;/Year&gt;&lt;RecNum&gt;1320&lt;/RecNum&gt;&lt;DisplayText&gt;&lt;style face="superscript"&gt;6&lt;/style&gt;&lt;/DisplayText&gt;&lt;record&gt;&lt;rec-number&gt;1320&lt;/rec-number&gt;&lt;foreign-keys&gt;&lt;key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6</w:t>
        </w:r>
        <w:r w:rsidR="002C0B6F" w:rsidRPr="00494CA8">
          <w:rPr>
            <w:sz w:val="22"/>
            <w:szCs w:val="22"/>
          </w:rPr>
          <w:fldChar w:fldCharType="end"/>
        </w:r>
      </w:hyperlink>
    </w:p>
    <w:p w14:paraId="5B3B9708" w14:textId="3DE771C6" w:rsidR="00046D27" w:rsidRPr="00E529A6" w:rsidRDefault="00494CA8" w:rsidP="00E529A6">
      <w:pPr>
        <w:spacing w:before="120" w:after="120"/>
        <w:ind w:firstLine="567"/>
        <w:jc w:val="both"/>
        <w:rPr>
          <w:sz w:val="22"/>
          <w:szCs w:val="22"/>
        </w:rPr>
      </w:pPr>
      <w:r>
        <w:rPr>
          <w:sz w:val="22"/>
          <w:szCs w:val="22"/>
        </w:rPr>
        <w:t>E</w:t>
      </w:r>
      <w:r w:rsidR="00BF4D55" w:rsidRPr="00BF4D55">
        <w:rPr>
          <w:sz w:val="22"/>
          <w:szCs w:val="22"/>
        </w:rPr>
        <w:t>nvironmental, social, and governance disclosure</w:t>
      </w:r>
      <w:r w:rsidR="0076256A">
        <w:rPr>
          <w:sz w:val="22"/>
          <w:szCs w:val="22"/>
        </w:rPr>
        <w:t xml:space="preserve"> </w:t>
      </w:r>
      <w:r w:rsidR="005B51E1">
        <w:rPr>
          <w:sz w:val="22"/>
          <w:szCs w:val="22"/>
        </w:rPr>
        <w:t>(</w:t>
      </w:r>
      <w:r w:rsidR="0076256A">
        <w:rPr>
          <w:sz w:val="22"/>
          <w:szCs w:val="22"/>
        </w:rPr>
        <w:t>ESG disclosure</w:t>
      </w:r>
      <w:r w:rsidR="00952E70">
        <w:rPr>
          <w:sz w:val="22"/>
          <w:szCs w:val="22"/>
        </w:rPr>
        <w:t>)</w:t>
      </w:r>
      <w:r w:rsidR="00BF4D55">
        <w:rPr>
          <w:sz w:val="22"/>
          <w:szCs w:val="22"/>
        </w:rPr>
        <w:t xml:space="preserve"> </w:t>
      </w:r>
      <w:r w:rsidR="00F37032" w:rsidRPr="008C5393">
        <w:rPr>
          <w:sz w:val="22"/>
          <w:szCs w:val="22"/>
        </w:rPr>
        <w:t xml:space="preserve"> is an important activity that integrates environmental, social and governance considerations into business strategy.</w:t>
      </w:r>
      <w:hyperlink w:anchor="_ENREF_7" w:tooltip="Jo, 2011 #375" w:history="1">
        <w:r w:rsidR="002C0B6F" w:rsidRPr="00494CA8">
          <w:rPr>
            <w:sz w:val="22"/>
            <w:szCs w:val="22"/>
          </w:rPr>
          <w:fldChar w:fldCharType="begin"/>
        </w:r>
        <w:r w:rsidR="002C0B6F" w:rsidRPr="00494CA8">
          <w:rPr>
            <w:sz w:val="22"/>
            <w:szCs w:val="22"/>
          </w:rPr>
          <w:instrText xml:space="preserve"> ADDIN EN.CITE &lt;EndNote&gt;&lt;Cite&gt;&lt;Author&gt;Jo&lt;/Author&gt;&lt;Year&gt;2011&lt;/Year&gt;&lt;RecNum&gt;375&lt;/RecNum&gt;&lt;DisplayText&gt;&lt;style face="superscript"&gt;7&lt;/style&gt;&lt;/DisplayText&gt;&lt;record&gt;&lt;rec-number&gt;375&lt;/rec-number&gt;&lt;foreign-keys&gt;&lt;key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7</w:t>
        </w:r>
        <w:r w:rsidR="002C0B6F" w:rsidRPr="00494CA8">
          <w:rPr>
            <w:sz w:val="22"/>
            <w:szCs w:val="22"/>
          </w:rPr>
          <w:fldChar w:fldCharType="end"/>
        </w:r>
      </w:hyperlink>
      <w:r w:rsidR="00E529A6">
        <w:rPr>
          <w:sz w:val="22"/>
          <w:szCs w:val="22"/>
        </w:rPr>
        <w:t xml:space="preserve"> </w:t>
      </w:r>
      <w:r w:rsidR="00F37032" w:rsidRPr="008C5393">
        <w:rPr>
          <w:sz w:val="22"/>
          <w:szCs w:val="22"/>
        </w:rPr>
        <w:t xml:space="preserve">Companies actively disclose </w:t>
      </w:r>
      <w:r w:rsidR="00E529A6">
        <w:rPr>
          <w:sz w:val="22"/>
          <w:szCs w:val="22"/>
        </w:rPr>
        <w:t>ESG</w:t>
      </w:r>
      <w:r w:rsidR="00F37032" w:rsidRPr="008C5393">
        <w:rPr>
          <w:sz w:val="22"/>
          <w:szCs w:val="22"/>
        </w:rPr>
        <w:t xml:space="preserve"> information in the belief that </w:t>
      </w:r>
      <w:r w:rsidR="00E529A6">
        <w:rPr>
          <w:sz w:val="22"/>
          <w:szCs w:val="22"/>
        </w:rPr>
        <w:t>ESG</w:t>
      </w:r>
      <w:r w:rsidR="00F37032" w:rsidRPr="008C5393">
        <w:rPr>
          <w:sz w:val="22"/>
          <w:szCs w:val="22"/>
        </w:rPr>
        <w:t xml:space="preserve"> </w:t>
      </w:r>
      <w:bookmarkStart w:id="0" w:name="OLE_LINK18"/>
      <w:r w:rsidR="00F37032" w:rsidRPr="008C5393">
        <w:rPr>
          <w:sz w:val="22"/>
          <w:szCs w:val="22"/>
        </w:rPr>
        <w:t xml:space="preserve">disclosure </w:t>
      </w:r>
      <w:bookmarkEnd w:id="0"/>
      <w:r w:rsidR="00F37032">
        <w:rPr>
          <w:sz w:val="22"/>
          <w:szCs w:val="22"/>
        </w:rPr>
        <w:t xml:space="preserve">brings financial benefits or improves </w:t>
      </w:r>
      <w:r w:rsidR="000635B8">
        <w:rPr>
          <w:sz w:val="22"/>
          <w:szCs w:val="22"/>
        </w:rPr>
        <w:t>the company's finance</w:t>
      </w:r>
      <w:r w:rsidR="00F37032">
        <w:rPr>
          <w:sz w:val="22"/>
          <w:szCs w:val="22"/>
        </w:rPr>
        <w:t>.</w:t>
      </w:r>
      <w:hyperlink w:anchor="_ENREF_8" w:tooltip="Xu, 2022 #1363" w:history="1">
        <w:r w:rsidR="002C0B6F" w:rsidRPr="00494CA8">
          <w:rPr>
            <w:sz w:val="22"/>
            <w:szCs w:val="22"/>
          </w:rPr>
          <w:fldChar w:fldCharType="begin"/>
        </w:r>
        <w:r w:rsidR="002C0B6F" w:rsidRPr="00494CA8">
          <w:rPr>
            <w:sz w:val="22"/>
            <w:szCs w:val="22"/>
          </w:rPr>
          <w:instrText xml:space="preserve"> ADDIN EN.CITE &lt;EndNote&gt;&lt;Cite&gt;&lt;Author&gt;Xu&lt;/Author&gt;&lt;Year&gt;2022&lt;/Year&gt;&lt;RecNum&gt;1363&lt;/RecNum&gt;&lt;DisplayText&gt;&lt;style face="superscript"&gt;8&lt;/style&gt;&lt;/DisplayText&gt;&lt;record&gt;&lt;rec-number&gt;1363&lt;/rec-number&gt;&lt;foreign-keys&gt;&lt;key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8</w:t>
        </w:r>
        <w:r w:rsidR="002C0B6F" w:rsidRPr="00494CA8">
          <w:rPr>
            <w:sz w:val="22"/>
            <w:szCs w:val="22"/>
          </w:rPr>
          <w:fldChar w:fldCharType="end"/>
        </w:r>
      </w:hyperlink>
      <w:r w:rsidR="00F37032">
        <w:rPr>
          <w:sz w:val="22"/>
          <w:szCs w:val="22"/>
        </w:rPr>
        <w:t xml:space="preserve"> </w:t>
      </w:r>
      <w:hyperlink w:anchor="_ENREF_9" w:tooltip="Jo, 2012 #376" w:history="1">
        <w:r w:rsidR="002C0B6F" w:rsidRPr="00494CA8">
          <w:rPr>
            <w:sz w:val="22"/>
            <w:szCs w:val="22"/>
          </w:rPr>
          <w:fldChar w:fldCharType="begin"/>
        </w:r>
        <w:r w:rsidR="002C0B6F">
          <w:rPr>
            <w:sz w:val="22"/>
            <w:szCs w:val="22"/>
          </w:rPr>
          <w:instrText xml:space="preserve"> ADDIN EN.CITE &lt;EndNote&gt;&lt;Cite AuthorYear="1"&gt;&lt;Author&gt;Jo&lt;/Author&gt;&lt;Year&gt;2012&lt;/Year&gt;&lt;RecNum&gt;376&lt;/RecNum&gt;&lt;DisplayText&gt;Jo and Harjoto&lt;style face="superscript"&gt;[9]&lt;/style&gt;&lt;/DisplayText&gt;&lt;record&gt;&lt;rec-number&gt;376&lt;/rec-number&gt;&lt;foreign-keys&gt;&lt;key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2C0B6F" w:rsidRPr="00494CA8">
          <w:rPr>
            <w:sz w:val="22"/>
            <w:szCs w:val="22"/>
          </w:rPr>
          <w:fldChar w:fldCharType="separate"/>
        </w:r>
        <w:r w:rsidR="002C0B6F">
          <w:rPr>
            <w:noProof/>
            <w:sz w:val="22"/>
            <w:szCs w:val="22"/>
          </w:rPr>
          <w:t>Jo and Harjoto</w:t>
        </w:r>
        <w:r w:rsidR="002C0B6F" w:rsidRPr="00743BD1">
          <w:rPr>
            <w:noProof/>
            <w:sz w:val="22"/>
            <w:szCs w:val="22"/>
            <w:vertAlign w:val="superscript"/>
          </w:rPr>
          <w:t>[9]</w:t>
        </w:r>
        <w:r w:rsidR="002C0B6F" w:rsidRPr="00494CA8">
          <w:rPr>
            <w:sz w:val="22"/>
            <w:szCs w:val="22"/>
          </w:rPr>
          <w:fldChar w:fldCharType="end"/>
        </w:r>
      </w:hyperlink>
      <w:r w:rsidR="00CA289F">
        <w:rPr>
          <w:sz w:val="22"/>
          <w:szCs w:val="22"/>
        </w:rPr>
        <w:t xml:space="preserve"> </w:t>
      </w:r>
      <w:proofErr w:type="gramStart"/>
      <w:r w:rsidR="00F37032" w:rsidRPr="008C5393">
        <w:rPr>
          <w:sz w:val="22"/>
          <w:szCs w:val="22"/>
        </w:rPr>
        <w:t>argue</w:t>
      </w:r>
      <w:proofErr w:type="gramEnd"/>
      <w:r w:rsidR="00F37032" w:rsidRPr="008C5393">
        <w:rPr>
          <w:sz w:val="22"/>
          <w:szCs w:val="22"/>
        </w:rPr>
        <w:t xml:space="preserve"> that </w:t>
      </w:r>
      <w:r w:rsidR="00F37032" w:rsidRPr="008C5393">
        <w:rPr>
          <w:sz w:val="22"/>
          <w:szCs w:val="22"/>
        </w:rPr>
        <w:lastRenderedPageBreak/>
        <w:t xml:space="preserve">corporate governance directly affects performance if there is no conflict of interest between managers and shareholders. However, the current conflict of interest may require </w:t>
      </w:r>
      <w:r w:rsidR="00E529A6">
        <w:rPr>
          <w:sz w:val="22"/>
          <w:szCs w:val="22"/>
        </w:rPr>
        <w:t>ESG</w:t>
      </w:r>
      <w:r w:rsidR="00E529A6" w:rsidRPr="008C5393">
        <w:rPr>
          <w:sz w:val="22"/>
          <w:szCs w:val="22"/>
        </w:rPr>
        <w:t xml:space="preserve"> </w:t>
      </w:r>
      <w:r w:rsidR="00F37032" w:rsidRPr="008C5393">
        <w:rPr>
          <w:sz w:val="22"/>
          <w:szCs w:val="22"/>
        </w:rPr>
        <w:t>disclosure to act as a mechanism to resolve conflicts between stakeholders and shareholders.</w:t>
      </w:r>
      <w:hyperlink w:anchor="_ENREF_8" w:tooltip="Xu, 2022 #1363" w:history="1">
        <w:r w:rsidR="002C0B6F" w:rsidRPr="00494CA8">
          <w:rPr>
            <w:sz w:val="22"/>
            <w:szCs w:val="22"/>
          </w:rPr>
          <w:fldChar w:fldCharType="begin"/>
        </w:r>
        <w:r w:rsidR="002C0B6F" w:rsidRPr="00494CA8">
          <w:rPr>
            <w:sz w:val="22"/>
            <w:szCs w:val="22"/>
          </w:rPr>
          <w:instrText xml:space="preserve"> ADDIN EN.CITE &lt;EndNote&gt;&lt;Cite&gt;&lt;Author&gt;Xu&lt;/Author&gt;&lt;Year&gt;2022&lt;/Year&gt;&lt;RecNum&gt;1363&lt;/RecNum&gt;&lt;DisplayText&gt;&lt;style face="superscript"&gt;8&lt;/style&gt;&lt;/DisplayText&gt;&lt;record&gt;&lt;rec-number&gt;1363&lt;/rec-number&gt;&lt;foreign-keys&gt;&lt;key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8</w:t>
        </w:r>
        <w:r w:rsidR="002C0B6F" w:rsidRPr="00494CA8">
          <w:rPr>
            <w:sz w:val="22"/>
            <w:szCs w:val="22"/>
          </w:rPr>
          <w:fldChar w:fldCharType="end"/>
        </w:r>
      </w:hyperlink>
    </w:p>
    <w:p w14:paraId="181DFAEE" w14:textId="78D9D3E0" w:rsidR="00046D27" w:rsidRDefault="00046D27" w:rsidP="00B44DA2">
      <w:pPr>
        <w:spacing w:before="120" w:after="120"/>
        <w:ind w:firstLine="567"/>
        <w:jc w:val="both"/>
        <w:rPr>
          <w:sz w:val="22"/>
          <w:szCs w:val="22"/>
        </w:rPr>
      </w:pPr>
      <w:r w:rsidRPr="00B44DA2">
        <w:rPr>
          <w:sz w:val="22"/>
          <w:szCs w:val="22"/>
        </w:rPr>
        <w:t>While the</w:t>
      </w:r>
      <w:r w:rsidRPr="008C5393">
        <w:rPr>
          <w:sz w:val="22"/>
          <w:szCs w:val="22"/>
        </w:rPr>
        <w:t xml:space="preserve"> relationship between board size, </w:t>
      </w:r>
      <w:r w:rsidR="00E529A6">
        <w:rPr>
          <w:sz w:val="22"/>
          <w:szCs w:val="22"/>
        </w:rPr>
        <w:t>ESG</w:t>
      </w:r>
      <w:r w:rsidR="00E529A6" w:rsidRPr="008C5393">
        <w:rPr>
          <w:sz w:val="22"/>
          <w:szCs w:val="22"/>
        </w:rPr>
        <w:t xml:space="preserve"> </w:t>
      </w:r>
      <w:r w:rsidRPr="008C5393">
        <w:rPr>
          <w:sz w:val="22"/>
          <w:szCs w:val="22"/>
        </w:rPr>
        <w:t xml:space="preserve">disclosure, and performance has been a major topic since the 1960s, investigations of these relationships have largely focused on the direct relationship between two of the three constructs, namely board size, </w:t>
      </w:r>
      <w:r w:rsidR="008C7259">
        <w:rPr>
          <w:sz w:val="22"/>
          <w:szCs w:val="22"/>
        </w:rPr>
        <w:t>ESG</w:t>
      </w:r>
      <w:r w:rsidR="008C7259" w:rsidRPr="008C5393">
        <w:rPr>
          <w:sz w:val="22"/>
          <w:szCs w:val="22"/>
        </w:rPr>
        <w:t xml:space="preserve"> </w:t>
      </w:r>
      <w:r w:rsidRPr="008C5393">
        <w:rPr>
          <w:sz w:val="22"/>
          <w:szCs w:val="22"/>
        </w:rPr>
        <w:t>disclosure, or performance, respectively.</w:t>
      </w:r>
      <w:hyperlink w:anchor="_ENREF_10" w:tooltip="Zaman, 2022 #1413" w:history="1">
        <w:r w:rsidR="002C0B6F" w:rsidRPr="00494CA8">
          <w:rPr>
            <w:sz w:val="22"/>
            <w:szCs w:val="22"/>
          </w:rPr>
          <w:fldChar w:fldCharType="begin"/>
        </w:r>
        <w:r w:rsidR="002C0B6F" w:rsidRPr="00494CA8">
          <w:rPr>
            <w:sz w:val="22"/>
            <w:szCs w:val="22"/>
          </w:rPr>
          <w:instrText xml:space="preserve"> ADDIN EN.CITE &lt;EndNote&gt;&lt;Cite&gt;&lt;Author&gt;Zaman&lt;/Author&gt;&lt;Year&gt;2022&lt;/Year&gt;&lt;RecNum&gt;1413&lt;/RecNum&gt;&lt;DisplayText&gt;&lt;style face="superscript"&gt;10&lt;/style&gt;&lt;/DisplayText&gt;&lt;record&gt;&lt;rec-number&gt;1413&lt;/rec-number&gt;&lt;foreign-keys&gt;&lt;key app="EN" db-id="eswfvzza29a52ye9xwqpfwwx55tazv55ppxs"&gt;1413&lt;/key&gt;&lt;/foreign-keys&gt;&lt;ref-type name="Journal Article"&gt;17&lt;/ref-type&gt;&lt;contributors&gt;&lt;authors&gt;&lt;author&gt;Zaman, Rashid&lt;/author&gt;&lt;author&gt;Jain, Tanusree&lt;/author&gt;&lt;author&gt;Samara, Georges&lt;/author&gt;&lt;author&gt;Jamali, Dima&lt;/author&gt;&lt;/authors&gt;&lt;/contributors&gt;&lt;titles&gt;&lt;title&gt;Corporate governance meets corporate social responsibility: Mapping the interface&lt;/title&gt;&lt;secondary-title&gt;Business &amp;amp; Society&lt;/secondary-title&gt;&lt;/titles&gt;&lt;periodical&gt;&lt;full-title&gt;Business &amp;amp; Society&lt;/full-title&gt;&lt;/periodical&gt;&lt;pages&gt;690-752&lt;/pages&gt;&lt;volume&gt;61&lt;/volume&gt;&lt;number&gt;3&lt;/number&gt;&lt;dates&gt;&lt;year&gt;2022&lt;/year&gt;&lt;/dates&gt;&lt;isbn&gt;0007-6503&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10</w:t>
        </w:r>
        <w:r w:rsidR="002C0B6F" w:rsidRPr="00494CA8">
          <w:rPr>
            <w:sz w:val="22"/>
            <w:szCs w:val="22"/>
          </w:rPr>
          <w:fldChar w:fldCharType="end"/>
        </w:r>
      </w:hyperlink>
      <w:r w:rsidR="004300C7">
        <w:rPr>
          <w:sz w:val="22"/>
          <w:szCs w:val="22"/>
        </w:rPr>
        <w:t xml:space="preserve"> </w:t>
      </w:r>
      <w:r w:rsidRPr="008C5393">
        <w:rPr>
          <w:sz w:val="22"/>
          <w:szCs w:val="22"/>
        </w:rPr>
        <w:t xml:space="preserve">Recently, researchers have called for further research on the relationship between board size, </w:t>
      </w:r>
      <w:r w:rsidR="008C7259">
        <w:rPr>
          <w:sz w:val="22"/>
          <w:szCs w:val="22"/>
        </w:rPr>
        <w:t>ESG</w:t>
      </w:r>
      <w:r w:rsidR="008C7259" w:rsidRPr="008C5393">
        <w:rPr>
          <w:sz w:val="22"/>
          <w:szCs w:val="22"/>
        </w:rPr>
        <w:t xml:space="preserve"> </w:t>
      </w:r>
      <w:r w:rsidRPr="008C5393">
        <w:rPr>
          <w:sz w:val="22"/>
          <w:szCs w:val="22"/>
        </w:rPr>
        <w:t>disclosure, and performance.</w:t>
      </w:r>
      <w:hyperlink w:anchor="_ENREF_7" w:tooltip="Jo, 2011 #375" w:history="1">
        <w:r w:rsidR="002C0B6F" w:rsidRPr="00494CA8">
          <w:rPr>
            <w:sz w:val="22"/>
            <w:szCs w:val="22"/>
          </w:rPr>
          <w:fldChar w:fldCharType="begin"/>
        </w:r>
        <w:r w:rsidR="002C0B6F" w:rsidRPr="00494CA8">
          <w:rPr>
            <w:sz w:val="22"/>
            <w:szCs w:val="22"/>
          </w:rPr>
          <w:instrText xml:space="preserve"> ADDIN EN.CITE &lt;EndNote&gt;&lt;Cite&gt;&lt;Author&gt;Jo&lt;/Author&gt;&lt;Year&gt;2011&lt;/Year&gt;&lt;RecNum&gt;375&lt;/RecNum&gt;&lt;DisplayText&gt;&lt;style face="superscript"&gt;7&lt;/style&gt;&lt;/DisplayText&gt;&lt;record&gt;&lt;rec-number&gt;375&lt;/rec-number&gt;&lt;foreign-keys&gt;&lt;key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7</w:t>
        </w:r>
        <w:r w:rsidR="002C0B6F" w:rsidRPr="00494CA8">
          <w:rPr>
            <w:sz w:val="22"/>
            <w:szCs w:val="22"/>
          </w:rPr>
          <w:fldChar w:fldCharType="end"/>
        </w:r>
      </w:hyperlink>
      <w:r>
        <w:rPr>
          <w:sz w:val="22"/>
          <w:szCs w:val="22"/>
          <w:vertAlign w:val="superscript"/>
        </w:rPr>
        <w:t>,</w:t>
      </w:r>
      <w:hyperlink w:anchor="_ENREF_11" w:tooltip="Jamali, 2008 #374" w:history="1">
        <w:r w:rsidR="002C0B6F" w:rsidRPr="00494CA8">
          <w:rPr>
            <w:sz w:val="22"/>
            <w:szCs w:val="22"/>
          </w:rPr>
          <w:fldChar w:fldCharType="begin"/>
        </w:r>
        <w:r w:rsidR="002C0B6F" w:rsidRPr="00494CA8">
          <w:rPr>
            <w:sz w:val="22"/>
            <w:szCs w:val="22"/>
          </w:rPr>
          <w:instrText xml:space="preserve"> ADDIN EN.CITE &lt;EndNote&gt;&lt;Cite&gt;&lt;Author&gt;Jamali&lt;/Author&gt;&lt;Year&gt;2008&lt;/Year&gt;&lt;RecNum&gt;374&lt;/RecNum&gt;&lt;DisplayText&gt;&lt;style face="superscript"&gt;11&lt;/style&gt;&lt;/DisplayText&gt;&lt;record&gt;&lt;rec-number&gt;374&lt;/rec-number&gt;&lt;foreign-keys&gt;&lt;key app="EN" db-id="eswfvzza29a52ye9xwqpfwwx55tazv55ppxs"&gt;374&lt;/key&gt;&lt;/foreign-keys&gt;&lt;ref-type name="Journal Article"&gt;17&lt;/ref-type&gt;&lt;contributors&gt;&lt;authors&gt;&lt;author&gt;Jamali, Dima&lt;/author&gt;&lt;author&gt;Safieddine, Asem M&lt;/author&gt;&lt;author&gt;Rabbath, Myriam&lt;/author&gt;&lt;/authors&gt;&lt;/contributors&gt;&lt;titles&gt;&lt;title&gt;Corporate governance and corporate social responsibility synergies and interrelationships&lt;/title&gt;&lt;secondary-title&gt;Corporate Governance: An International Review&lt;/secondary-title&gt;&lt;/titles&gt;&lt;periodical&gt;&lt;full-title&gt;Corporate Governance: An International Review&lt;/full-title&gt;&lt;/periodical&gt;&lt;pages&gt;443-459&lt;/pages&gt;&lt;volume&gt;16&lt;/volume&gt;&lt;number&gt;5&lt;/number&gt;&lt;dates&gt;&lt;year&gt;2008&lt;/year&gt;&lt;/dates&gt;&lt;isbn&gt;0964-8410&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11</w:t>
        </w:r>
        <w:r w:rsidR="002C0B6F" w:rsidRPr="00494CA8">
          <w:rPr>
            <w:sz w:val="22"/>
            <w:szCs w:val="22"/>
          </w:rPr>
          <w:fldChar w:fldCharType="end"/>
        </w:r>
      </w:hyperlink>
      <w:r w:rsidR="004300C7">
        <w:rPr>
          <w:sz w:val="22"/>
          <w:szCs w:val="22"/>
          <w:vertAlign w:val="superscript"/>
        </w:rPr>
        <w:t xml:space="preserve"> </w:t>
      </w:r>
      <w:r w:rsidRPr="00175915">
        <w:rPr>
          <w:sz w:val="22"/>
          <w:szCs w:val="22"/>
        </w:rPr>
        <w:t xml:space="preserve">Despite its intuitive nature, research examining the mediating role of </w:t>
      </w:r>
      <w:bookmarkStart w:id="1" w:name="OLE_LINK26"/>
      <w:r w:rsidR="008C7259">
        <w:rPr>
          <w:sz w:val="22"/>
          <w:szCs w:val="22"/>
        </w:rPr>
        <w:t>ESG</w:t>
      </w:r>
      <w:r w:rsidR="008C7259" w:rsidRPr="008C5393">
        <w:rPr>
          <w:sz w:val="22"/>
          <w:szCs w:val="22"/>
        </w:rPr>
        <w:t xml:space="preserve"> </w:t>
      </w:r>
      <w:r w:rsidRPr="008C5393">
        <w:rPr>
          <w:sz w:val="22"/>
          <w:szCs w:val="22"/>
        </w:rPr>
        <w:t xml:space="preserve">disclosure </w:t>
      </w:r>
      <w:bookmarkEnd w:id="1"/>
      <w:r>
        <w:rPr>
          <w:sz w:val="22"/>
          <w:szCs w:val="22"/>
        </w:rPr>
        <w:t>on the relationship between board size and performance is still scarce.</w:t>
      </w:r>
    </w:p>
    <w:p w14:paraId="51303AF3" w14:textId="61798E3E" w:rsidR="00046D27" w:rsidRDefault="00046D27" w:rsidP="00817544">
      <w:pPr>
        <w:spacing w:before="120" w:after="120"/>
        <w:ind w:firstLine="567"/>
        <w:jc w:val="both"/>
        <w:rPr>
          <w:sz w:val="22"/>
          <w:szCs w:val="22"/>
        </w:rPr>
      </w:pPr>
      <w:r w:rsidRPr="00175915">
        <w:rPr>
          <w:sz w:val="22"/>
          <w:szCs w:val="22"/>
        </w:rPr>
        <w:t xml:space="preserve">Therefore, it is of interest to examine whether the impact of board size on performance can be explained by </w:t>
      </w:r>
      <w:r w:rsidR="008C7259">
        <w:rPr>
          <w:sz w:val="22"/>
          <w:szCs w:val="22"/>
        </w:rPr>
        <w:t>ESG</w:t>
      </w:r>
      <w:r w:rsidR="008C7259" w:rsidRPr="00175915">
        <w:rPr>
          <w:sz w:val="22"/>
          <w:szCs w:val="22"/>
        </w:rPr>
        <w:t xml:space="preserve"> </w:t>
      </w:r>
      <w:r w:rsidRPr="00175915">
        <w:rPr>
          <w:sz w:val="22"/>
          <w:szCs w:val="22"/>
        </w:rPr>
        <w:t>disclosure.</w:t>
      </w:r>
    </w:p>
    <w:p w14:paraId="69200358" w14:textId="77777777" w:rsidR="00207C06" w:rsidRPr="007B149E" w:rsidRDefault="00207C06" w:rsidP="00207C06">
      <w:pPr>
        <w:spacing w:before="120" w:after="120"/>
        <w:ind w:firstLine="567"/>
        <w:jc w:val="both"/>
        <w:rPr>
          <w:color w:val="FF0000"/>
          <w:sz w:val="22"/>
          <w:szCs w:val="22"/>
        </w:rPr>
      </w:pPr>
      <w:r w:rsidRPr="007B149E">
        <w:rPr>
          <w:color w:val="FF0000"/>
          <w:sz w:val="22"/>
          <w:szCs w:val="22"/>
        </w:rPr>
        <w:lastRenderedPageBreak/>
        <w:t>Using a sample of companies listed on the HOSE, we find that board size has a direct and positive effect on performance. Furthermore, board size contributes significantly to creating value by improving ESG disclosure. Our findings reinforce previous arguments that board size enhances performance and increases firm value.</w:t>
      </w:r>
    </w:p>
    <w:p w14:paraId="0C2D320B" w14:textId="3128A287" w:rsidR="00207C06" w:rsidRPr="007B149E" w:rsidRDefault="00207C06" w:rsidP="00207C06">
      <w:pPr>
        <w:spacing w:before="120" w:after="120"/>
        <w:ind w:firstLine="567"/>
        <w:jc w:val="both"/>
        <w:rPr>
          <w:color w:val="FF0000"/>
          <w:sz w:val="22"/>
          <w:szCs w:val="22"/>
        </w:rPr>
      </w:pPr>
      <w:r w:rsidRPr="007B149E">
        <w:rPr>
          <w:color w:val="FF0000"/>
          <w:sz w:val="22"/>
          <w:szCs w:val="22"/>
        </w:rPr>
        <w:t xml:space="preserve">Our research makes significant contributions to the literature in </w:t>
      </w:r>
      <w:r w:rsidR="00AE512C">
        <w:rPr>
          <w:color w:val="FF0000"/>
          <w:sz w:val="22"/>
          <w:szCs w:val="22"/>
        </w:rPr>
        <w:t>two</w:t>
      </w:r>
      <w:r w:rsidRPr="007B149E">
        <w:rPr>
          <w:color w:val="FF0000"/>
          <w:sz w:val="22"/>
          <w:szCs w:val="22"/>
        </w:rPr>
        <w:t xml:space="preserve"> ways. First, while previous studies have investigated whether board size has a direct effect on performance, this is one of the few studies examining both the direct effect of </w:t>
      </w:r>
      <w:bookmarkStart w:id="2" w:name="OLE_LINK6"/>
      <w:bookmarkStart w:id="3" w:name="OLE_LINK7"/>
      <w:r w:rsidRPr="007B149E">
        <w:rPr>
          <w:color w:val="FF0000"/>
          <w:sz w:val="22"/>
          <w:szCs w:val="22"/>
        </w:rPr>
        <w:t xml:space="preserve">board size on </w:t>
      </w:r>
      <w:bookmarkStart w:id="4" w:name="OLE_LINK4"/>
      <w:bookmarkStart w:id="5" w:name="OLE_LINK5"/>
      <w:r w:rsidRPr="007B149E">
        <w:rPr>
          <w:color w:val="FF0000"/>
          <w:sz w:val="22"/>
          <w:szCs w:val="22"/>
        </w:rPr>
        <w:t>performance</w:t>
      </w:r>
      <w:bookmarkEnd w:id="2"/>
      <w:bookmarkEnd w:id="3"/>
      <w:r w:rsidRPr="007B149E">
        <w:rPr>
          <w:color w:val="FF0000"/>
          <w:sz w:val="22"/>
          <w:szCs w:val="22"/>
        </w:rPr>
        <w:t xml:space="preserve"> </w:t>
      </w:r>
      <w:bookmarkEnd w:id="4"/>
      <w:bookmarkEnd w:id="5"/>
      <w:r w:rsidRPr="007B149E">
        <w:rPr>
          <w:color w:val="FF0000"/>
          <w:sz w:val="22"/>
          <w:szCs w:val="22"/>
        </w:rPr>
        <w:t>and the indirect effect of board size on performance mediated by ESG disclosure in Vietnam.</w:t>
      </w:r>
    </w:p>
    <w:p w14:paraId="4F304541" w14:textId="653D61B1" w:rsidR="00207C06" w:rsidRPr="00AE512C" w:rsidRDefault="00207C06" w:rsidP="00390B96">
      <w:pPr>
        <w:spacing w:before="120" w:after="120"/>
        <w:ind w:firstLine="567"/>
        <w:jc w:val="both"/>
        <w:rPr>
          <w:color w:val="FF0000"/>
          <w:sz w:val="22"/>
          <w:szCs w:val="22"/>
        </w:rPr>
      </w:pPr>
      <w:r w:rsidRPr="007B149E">
        <w:rPr>
          <w:color w:val="FF0000"/>
          <w:sz w:val="22"/>
          <w:szCs w:val="22"/>
        </w:rPr>
        <w:t xml:space="preserve">Second, in terms of method, an important difference compared to the previous study </w:t>
      </w:r>
      <w:r w:rsidR="007B149E">
        <w:rPr>
          <w:color w:val="FF0000"/>
          <w:sz w:val="22"/>
          <w:szCs w:val="22"/>
        </w:rPr>
        <w:t xml:space="preserve">in Vietnam </w:t>
      </w:r>
      <w:r w:rsidRPr="007B149E">
        <w:rPr>
          <w:color w:val="FF0000"/>
          <w:sz w:val="22"/>
          <w:szCs w:val="22"/>
        </w:rPr>
        <w:t xml:space="preserve">that we examine the both direct and indirect effect of </w:t>
      </w:r>
      <w:r w:rsidR="007B149E">
        <w:rPr>
          <w:color w:val="FF0000"/>
          <w:sz w:val="22"/>
          <w:szCs w:val="22"/>
        </w:rPr>
        <w:t>board size</w:t>
      </w:r>
      <w:r w:rsidRPr="007B149E">
        <w:rPr>
          <w:color w:val="FF0000"/>
          <w:sz w:val="22"/>
          <w:szCs w:val="22"/>
        </w:rPr>
        <w:t xml:space="preserve"> on </w:t>
      </w:r>
      <w:r w:rsidR="007B149E" w:rsidRPr="007B149E">
        <w:rPr>
          <w:color w:val="FF0000"/>
          <w:sz w:val="22"/>
          <w:szCs w:val="22"/>
        </w:rPr>
        <w:t>performance</w:t>
      </w:r>
      <w:r w:rsidRPr="007B149E">
        <w:rPr>
          <w:color w:val="FF0000"/>
          <w:sz w:val="22"/>
          <w:szCs w:val="22"/>
        </w:rPr>
        <w:t xml:space="preserve"> by using PLS-SEM. The strength of PLS-SEM is to eliminate bias effects caused by measurement errors and build a latent structure hierarchy.</w:t>
      </w:r>
      <w:hyperlink w:anchor="_ENREF_12" w:tooltip="Hair, 2022 #1303" w:history="1">
        <w:r w:rsidR="002C0B6F">
          <w:rPr>
            <w:color w:val="FF0000"/>
            <w:sz w:val="22"/>
            <w:szCs w:val="22"/>
          </w:rPr>
          <w:fldChar w:fldCharType="begin"/>
        </w:r>
        <w:r w:rsidR="002C0B6F">
          <w:rPr>
            <w:color w:val="FF0000"/>
            <w:sz w:val="22"/>
            <w:szCs w:val="22"/>
          </w:rPr>
          <w:instrText xml:space="preserve"> ADDIN EN.CITE &lt;EndNote&gt;&lt;Cite&gt;&lt;Author&gt;Hair&lt;/Author&gt;&lt;Year&gt;2022&lt;/Year&gt;&lt;RecNum&gt;1303&lt;/RecNum&gt;&lt;DisplayText&gt;&lt;style face="superscript"&gt;12&lt;/style&gt;&lt;/DisplayText&gt;&lt;record&gt;&lt;rec-number&gt;1303&lt;/rec-number&gt;&lt;foreign-keys&gt;&lt;key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002C0B6F">
          <w:rPr>
            <w:color w:val="FF0000"/>
            <w:sz w:val="22"/>
            <w:szCs w:val="22"/>
          </w:rPr>
          <w:fldChar w:fldCharType="separate"/>
        </w:r>
        <w:r w:rsidR="002C0B6F" w:rsidRPr="00390B96">
          <w:rPr>
            <w:noProof/>
            <w:color w:val="FF0000"/>
            <w:sz w:val="22"/>
            <w:szCs w:val="22"/>
            <w:vertAlign w:val="superscript"/>
          </w:rPr>
          <w:t>12</w:t>
        </w:r>
        <w:r w:rsidR="002C0B6F">
          <w:rPr>
            <w:color w:val="FF0000"/>
            <w:sz w:val="22"/>
            <w:szCs w:val="22"/>
          </w:rPr>
          <w:fldChar w:fldCharType="end"/>
        </w:r>
      </w:hyperlink>
      <w:r w:rsidRPr="007B149E">
        <w:rPr>
          <w:color w:val="FF0000"/>
          <w:sz w:val="22"/>
          <w:szCs w:val="22"/>
        </w:rPr>
        <w:t xml:space="preserve"> In summary, we contribute to the literature review by supplementing and extending the studies</w:t>
      </w:r>
      <w:r w:rsidR="00B462BA">
        <w:rPr>
          <w:color w:val="FF0000"/>
          <w:sz w:val="22"/>
          <w:szCs w:val="22"/>
        </w:rPr>
        <w:t xml:space="preserve"> </w:t>
      </w:r>
      <w:hyperlink w:anchor="_ENREF_13" w:tooltip="Nguyen Thi Anh Nguyet, 2025 #1620" w:history="1">
        <w:r w:rsidR="002C0B6F">
          <w:rPr>
            <w:color w:val="FF0000"/>
            <w:sz w:val="22"/>
            <w:szCs w:val="22"/>
          </w:rPr>
          <w:fldChar w:fldCharType="begin"/>
        </w:r>
        <w:r w:rsidR="002C0B6F">
          <w:rPr>
            <w:color w:val="FF0000"/>
            <w:sz w:val="22"/>
            <w:szCs w:val="22"/>
          </w:rPr>
          <w:instrText xml:space="preserve"> ADDIN EN.CITE &lt;EndNote&gt;&lt;Cite AuthorYear="1"&gt;&lt;Author&gt;Nguyen&lt;/Author&gt;&lt;Year&gt;2025&lt;/Year&gt;&lt;RecNum&gt;1620&lt;/RecNum&gt;&lt;DisplayText&gt;Nguyen Thi Anh Nguyet and Nguyen Van Chien&lt;style face="superscript"&gt;[13]&lt;/style&gt;&lt;/DisplayText&gt;&lt;record&gt;&lt;rec-number&gt;1620&lt;/rec-number&gt;&lt;foreign-keys&gt;&lt;key app="EN" db-id="eswfvzza29a52ye9xwqpfwwx55tazv55ppxs"&gt;1620&lt;/key&gt;&lt;/foreign-keys&gt;&lt;ref-type name="Journal Article"&gt;17&lt;/ref-type&gt;&lt;contributors&gt;&lt;authors&gt;&lt;author&gt;Nguyen Thi Anh Nguyet,&lt;/author&gt;&lt;author&gt;Nguyen Van Chien,&lt;/author&gt;&lt;/authors&gt;&lt;/contributors&gt;&lt;titles&gt;&lt;title&gt;Factors affecting corporate financial performance listed on Vietnam stock market&lt;/title&gt;&lt;secondary-title&gt;Cogent Business &amp;amp; Management&lt;/secondary-title&gt;&lt;/titles&gt;&lt;periodical&gt;&lt;full-title&gt;Cogent Business &amp;amp; Management&lt;/full-title&gt;&lt;/periodical&gt;&lt;pages&gt;2464937&lt;/pages&gt;&lt;volume&gt;12&lt;/volume&gt;&lt;number&gt;1&lt;/number&gt;&lt;dates&gt;&lt;year&gt;2025&lt;/year&gt;&lt;/dates&gt;&lt;urls&gt;&lt;related-urls&gt;&lt;url&gt;https://www.tandfonline.com/doi/pdf/10.1080/23311975.2025.2464937&lt;/url&gt;&lt;/related-urls&gt;&lt;/urls&gt;&lt;electronic-resource-num&gt;10.1080/23311975.2025.2464937&lt;/electronic-resource-num&gt;&lt;language&gt;ens&lt;/language&gt;&lt;/record&gt;&lt;/Cite&gt;&lt;/EndNote&gt;</w:instrText>
        </w:r>
        <w:r w:rsidR="002C0B6F">
          <w:rPr>
            <w:color w:val="FF0000"/>
            <w:sz w:val="22"/>
            <w:szCs w:val="22"/>
          </w:rPr>
          <w:fldChar w:fldCharType="separate"/>
        </w:r>
        <w:r w:rsidR="002C0B6F">
          <w:rPr>
            <w:noProof/>
            <w:color w:val="FF0000"/>
            <w:sz w:val="22"/>
            <w:szCs w:val="22"/>
          </w:rPr>
          <w:t>Nguyen Thi Anh Nguyet and Nguyen Van Chien</w:t>
        </w:r>
        <w:r w:rsidR="002C0B6F" w:rsidRPr="00B462BA">
          <w:rPr>
            <w:noProof/>
            <w:color w:val="FF0000"/>
            <w:sz w:val="22"/>
            <w:szCs w:val="22"/>
            <w:vertAlign w:val="superscript"/>
          </w:rPr>
          <w:t>[13]</w:t>
        </w:r>
        <w:r w:rsidR="002C0B6F">
          <w:rPr>
            <w:color w:val="FF0000"/>
            <w:sz w:val="22"/>
            <w:szCs w:val="22"/>
          </w:rPr>
          <w:fldChar w:fldCharType="end"/>
        </w:r>
      </w:hyperlink>
      <w:r w:rsidR="00B462BA">
        <w:rPr>
          <w:color w:val="FF0000"/>
          <w:sz w:val="22"/>
          <w:szCs w:val="22"/>
        </w:rPr>
        <w:t>,</w:t>
      </w:r>
      <w:r w:rsidR="00F169CA">
        <w:rPr>
          <w:color w:val="FF0000"/>
          <w:sz w:val="22"/>
          <w:szCs w:val="22"/>
        </w:rPr>
        <w:t xml:space="preserve"> </w:t>
      </w:r>
      <w:hyperlink w:anchor="_ENREF_14" w:tooltip="Phan Tu Anh, 2021 #1351" w:history="1">
        <w:r w:rsidR="002C0B6F" w:rsidRPr="00AE512C">
          <w:rPr>
            <w:color w:val="FF0000"/>
            <w:sz w:val="22"/>
            <w:szCs w:val="22"/>
          </w:rPr>
          <w:fldChar w:fldCharType="begin"/>
        </w:r>
        <w:r w:rsidR="002C0B6F">
          <w:rPr>
            <w:color w:val="FF0000"/>
            <w:sz w:val="22"/>
            <w:szCs w:val="22"/>
          </w:rPr>
          <w:instrText xml:space="preserve"> ADDIN EN.CITE &lt;EndNote&gt;&lt;Cite AuthorYear="1"&gt;&lt;Author&gt;Phan&lt;/Author&gt;&lt;Year&gt;2021&lt;/Year&gt;&lt;RecNum&gt;1351&lt;/RecNum&gt;&lt;DisplayText&gt;Phan Tu Anh and Duong Long Hoang&lt;style face="superscript"&gt;[14]&lt;/style&gt;&lt;/DisplayText&gt;&lt;record&gt;&lt;rec-number&gt;1351&lt;/rec-number&gt;&lt;foreign-keys&gt;&lt;key app="EN" db-id="eswfvzza29a52ye9xwqpfwwx55tazv55ppxs"&gt;1351&lt;/key&gt;&lt;/foreign-keys&gt;&lt;ref-type name="Journal Article"&gt;17&lt;/ref-type&gt;&lt;contributors&gt;&lt;authors&gt;&lt;author&gt;Phan Tu Anh,&lt;/author&gt;&lt;author&gt;Duong Long Hoang,&lt;/author&gt;&lt;/authors&gt;&lt;/contributors&gt;&lt;titles&gt;&lt;title&gt;The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002C0B6F" w:rsidRPr="00AE512C">
          <w:rPr>
            <w:color w:val="FF0000"/>
            <w:sz w:val="22"/>
            <w:szCs w:val="22"/>
          </w:rPr>
          <w:fldChar w:fldCharType="separate"/>
        </w:r>
        <w:r w:rsidR="002C0B6F">
          <w:rPr>
            <w:noProof/>
            <w:color w:val="FF0000"/>
            <w:sz w:val="22"/>
            <w:szCs w:val="22"/>
          </w:rPr>
          <w:t>Phan Tu Anh and Duong Long Hoang</w:t>
        </w:r>
        <w:r w:rsidR="002C0B6F" w:rsidRPr="00B462BA">
          <w:rPr>
            <w:noProof/>
            <w:color w:val="FF0000"/>
            <w:sz w:val="22"/>
            <w:szCs w:val="22"/>
            <w:vertAlign w:val="superscript"/>
          </w:rPr>
          <w:t>[14]</w:t>
        </w:r>
        <w:r w:rsidR="002C0B6F" w:rsidRPr="00AE512C">
          <w:rPr>
            <w:color w:val="FF0000"/>
            <w:sz w:val="22"/>
            <w:szCs w:val="22"/>
          </w:rPr>
          <w:fldChar w:fldCharType="end"/>
        </w:r>
      </w:hyperlink>
      <w:r w:rsidR="00390B96" w:rsidRPr="00AE512C">
        <w:rPr>
          <w:color w:val="FF0000"/>
          <w:sz w:val="22"/>
          <w:szCs w:val="22"/>
        </w:rPr>
        <w:t xml:space="preserve">, </w:t>
      </w:r>
      <w:hyperlink w:anchor="_ENREF_15" w:tooltip="Vo Duc, 2013 #1350" w:history="1">
        <w:r w:rsidR="002C0B6F" w:rsidRPr="00AE512C">
          <w:rPr>
            <w:color w:val="FF0000"/>
            <w:sz w:val="22"/>
            <w:szCs w:val="22"/>
          </w:rPr>
          <w:fldChar w:fldCharType="begin"/>
        </w:r>
        <w:r w:rsidR="002C0B6F">
          <w:rPr>
            <w:color w:val="FF0000"/>
            <w:sz w:val="22"/>
            <w:szCs w:val="22"/>
          </w:rPr>
          <w:instrText xml:space="preserve"> ADDIN EN.CITE &lt;EndNote&gt;&lt;Cite AuthorYear="1"&gt;&lt;Author&gt;Vo&lt;/Author&gt;&lt;Year&gt;2013&lt;/Year&gt;&lt;RecNum&gt;1350&lt;/RecNum&gt;&lt;DisplayText&gt;Vo Duc and Phan Thuy&lt;style face="superscript"&gt;[15]&lt;/style&gt;&lt;/DisplayText&gt;&lt;record&gt;&lt;rec-number&gt;1350&lt;/rec-number&gt;&lt;foreign-keys&gt;&lt;key app="EN" db-id="eswfvzza29a52ye9xwqpfwwx55tazv55ppxs"&gt;1350&lt;/key&gt;&lt;/foreign-keys&gt;&lt;ref-type name="Journal Article"&gt;17&lt;/ref-type&gt;&lt;contributors&gt;&lt;authors&gt;&lt;author&gt;Vo Duc,&lt;/author&gt;&lt;author&gt;Phan Thuy,&lt;/author&gt;&lt;/authors&gt;&lt;/contributors&gt;&lt;titles&gt;&lt;title&gt;Corporate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002C0B6F" w:rsidRPr="00AE512C">
          <w:rPr>
            <w:color w:val="FF0000"/>
            <w:sz w:val="22"/>
            <w:szCs w:val="22"/>
          </w:rPr>
          <w:fldChar w:fldCharType="separate"/>
        </w:r>
        <w:r w:rsidR="002C0B6F">
          <w:rPr>
            <w:noProof/>
            <w:color w:val="FF0000"/>
            <w:sz w:val="22"/>
            <w:szCs w:val="22"/>
          </w:rPr>
          <w:t>Vo Duc and Phan Thuy</w:t>
        </w:r>
        <w:r w:rsidR="002C0B6F" w:rsidRPr="00B462BA">
          <w:rPr>
            <w:noProof/>
            <w:color w:val="FF0000"/>
            <w:sz w:val="22"/>
            <w:szCs w:val="22"/>
            <w:vertAlign w:val="superscript"/>
          </w:rPr>
          <w:t>[15]</w:t>
        </w:r>
        <w:r w:rsidR="002C0B6F" w:rsidRPr="00AE512C">
          <w:rPr>
            <w:color w:val="FF0000"/>
            <w:sz w:val="22"/>
            <w:szCs w:val="22"/>
          </w:rPr>
          <w:fldChar w:fldCharType="end"/>
        </w:r>
      </w:hyperlink>
      <w:r w:rsidR="00390B96" w:rsidRPr="00AE512C">
        <w:rPr>
          <w:color w:val="FF0000"/>
          <w:sz w:val="22"/>
          <w:szCs w:val="22"/>
        </w:rPr>
        <w:t xml:space="preserve">, and </w:t>
      </w:r>
      <w:hyperlink w:anchor="_ENREF_16" w:tooltip="Pham Thi Kieu Trang, 2016 #1352" w:history="1">
        <w:r w:rsidR="002C0B6F" w:rsidRPr="00AE512C">
          <w:rPr>
            <w:color w:val="FF0000"/>
            <w:sz w:val="22"/>
            <w:szCs w:val="22"/>
          </w:rPr>
          <w:fldChar w:fldCharType="begin"/>
        </w:r>
        <w:r w:rsidR="002C0B6F">
          <w:rPr>
            <w:color w:val="FF0000"/>
            <w:sz w:val="22"/>
            <w:szCs w:val="22"/>
          </w:rPr>
          <w:instrText xml:space="preserve"> ADDIN EN.CITE &lt;EndNote&gt;&lt;Cite AuthorYear="1"&gt;&lt;Author&gt;Pham&lt;/Author&gt;&lt;Year&gt;2016&lt;/Year&gt;&lt;RecNum&gt;1352&lt;/RecNum&gt;&lt;DisplayText&gt;Pham Thi Kieu Trang&lt;style face="superscript"&gt;[16]&lt;/style&gt;&lt;/DisplayText&gt;&lt;record&gt;&lt;rec-number&gt;1352&lt;/rec-number&gt;&lt;foreign-keys&gt;&lt;key app="EN" db-id="eswfvzza29a52ye9xwqpfwwx55tazv55ppxs"&gt;1352&lt;/key&gt;&lt;/foreign-keys&gt;&lt;ref-type name="Journal Article"&gt;17&lt;/ref-type&gt;&lt;contributors&gt;&lt;authors&gt;&lt;author&gt;Pham Thi Kieu Trang,&lt;/author&gt;&lt;/authors&gt;&lt;/contributors&gt;&lt;titles&gt;&lt;title&gt;Research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002C0B6F" w:rsidRPr="00AE512C">
          <w:rPr>
            <w:color w:val="FF0000"/>
            <w:sz w:val="22"/>
            <w:szCs w:val="22"/>
          </w:rPr>
          <w:fldChar w:fldCharType="separate"/>
        </w:r>
        <w:r w:rsidR="002C0B6F">
          <w:rPr>
            <w:noProof/>
            <w:color w:val="FF0000"/>
            <w:sz w:val="22"/>
            <w:szCs w:val="22"/>
          </w:rPr>
          <w:t>Pham Thi Kieu Trang</w:t>
        </w:r>
        <w:r w:rsidR="002C0B6F" w:rsidRPr="00B462BA">
          <w:rPr>
            <w:noProof/>
            <w:color w:val="FF0000"/>
            <w:sz w:val="22"/>
            <w:szCs w:val="22"/>
            <w:vertAlign w:val="superscript"/>
          </w:rPr>
          <w:t>[16]</w:t>
        </w:r>
        <w:r w:rsidR="002C0B6F" w:rsidRPr="00AE512C">
          <w:rPr>
            <w:color w:val="FF0000"/>
            <w:sz w:val="22"/>
            <w:szCs w:val="22"/>
          </w:rPr>
          <w:fldChar w:fldCharType="end"/>
        </w:r>
      </w:hyperlink>
      <w:r w:rsidRPr="00AE512C">
        <w:rPr>
          <w:color w:val="FF0000"/>
          <w:sz w:val="22"/>
          <w:szCs w:val="22"/>
        </w:rPr>
        <w:t>.</w:t>
      </w:r>
    </w:p>
    <w:p w14:paraId="3B0544B7" w14:textId="5A929DA6" w:rsidR="00207C06" w:rsidRPr="00AE512C" w:rsidRDefault="00207C06" w:rsidP="00207C06">
      <w:pPr>
        <w:spacing w:before="120" w:after="120"/>
        <w:ind w:firstLine="567"/>
        <w:jc w:val="both"/>
        <w:rPr>
          <w:color w:val="FF0000"/>
          <w:sz w:val="22"/>
          <w:szCs w:val="22"/>
        </w:rPr>
      </w:pPr>
      <w:r w:rsidRPr="00AE512C">
        <w:rPr>
          <w:color w:val="FF0000"/>
          <w:sz w:val="22"/>
          <w:szCs w:val="22"/>
        </w:rPr>
        <w:t xml:space="preserve">The rest of the article is presented as follows. Part 2 is </w:t>
      </w:r>
      <w:r w:rsidR="00390B96" w:rsidRPr="00AE512C">
        <w:rPr>
          <w:color w:val="FF0000"/>
          <w:sz w:val="22"/>
          <w:szCs w:val="22"/>
        </w:rPr>
        <w:t>research overview and research hypothesis</w:t>
      </w:r>
      <w:r w:rsidRPr="00AE512C">
        <w:rPr>
          <w:color w:val="FF0000"/>
          <w:sz w:val="22"/>
          <w:szCs w:val="22"/>
        </w:rPr>
        <w:t xml:space="preserve">. Part 3 is research methods. Section 4 is research results and discussion. Section 5 is </w:t>
      </w:r>
      <w:r w:rsidR="00AE512C" w:rsidRPr="00AE512C">
        <w:rPr>
          <w:color w:val="FF0000"/>
          <w:sz w:val="22"/>
          <w:szCs w:val="22"/>
          <w:lang w:val="vi-VN"/>
        </w:rPr>
        <w:t>conclusion</w:t>
      </w:r>
      <w:r w:rsidRPr="00AE512C">
        <w:rPr>
          <w:color w:val="FF0000"/>
          <w:sz w:val="22"/>
          <w:szCs w:val="22"/>
        </w:rPr>
        <w:t>.</w:t>
      </w:r>
    </w:p>
    <w:p w14:paraId="425268D9" w14:textId="77777777" w:rsidR="00046D27" w:rsidRDefault="00046D27" w:rsidP="00046D27">
      <w:pPr>
        <w:spacing w:before="120" w:after="120"/>
        <w:jc w:val="both"/>
        <w:rPr>
          <w:b/>
          <w:sz w:val="22"/>
          <w:szCs w:val="22"/>
        </w:rPr>
      </w:pPr>
      <w:r w:rsidRPr="00CB0A39">
        <w:rPr>
          <w:b/>
          <w:sz w:val="22"/>
          <w:szCs w:val="22"/>
          <w:lang w:val="vi-VN"/>
        </w:rPr>
        <w:t xml:space="preserve">2. </w:t>
      </w:r>
      <w:r>
        <w:rPr>
          <w:b/>
          <w:sz w:val="22"/>
          <w:szCs w:val="22"/>
        </w:rPr>
        <w:t>RESEARCH OVERVIEW AND RESEARCH HYPOTHESIS</w:t>
      </w:r>
    </w:p>
    <w:p w14:paraId="6E8D2E3C" w14:textId="77777777" w:rsidR="00046D27" w:rsidRDefault="00046D27" w:rsidP="00046D27">
      <w:pPr>
        <w:tabs>
          <w:tab w:val="left" w:pos="360"/>
          <w:tab w:val="right" w:leader="hyphen" w:pos="9072"/>
        </w:tabs>
        <w:spacing w:before="120" w:after="120"/>
        <w:jc w:val="both"/>
        <w:rPr>
          <w:sz w:val="22"/>
          <w:szCs w:val="22"/>
        </w:rPr>
      </w:pPr>
      <w:r>
        <w:rPr>
          <w:b/>
          <w:sz w:val="22"/>
          <w:szCs w:val="22"/>
        </w:rPr>
        <w:t>2.1. Direct impact of board size on performance</w:t>
      </w:r>
    </w:p>
    <w:p w14:paraId="3933B918" w14:textId="77814B42" w:rsidR="00046D27" w:rsidRPr="009C6860" w:rsidRDefault="00046D27" w:rsidP="00DD0DC1">
      <w:pPr>
        <w:spacing w:before="120" w:after="120"/>
        <w:jc w:val="both"/>
        <w:rPr>
          <w:sz w:val="22"/>
          <w:szCs w:val="22"/>
        </w:rPr>
      </w:pPr>
      <w:r w:rsidRPr="009C6860">
        <w:rPr>
          <w:sz w:val="22"/>
          <w:szCs w:val="22"/>
        </w:rPr>
        <w:t xml:space="preserve">Resource dependence theory suggests that larger board size may be associated with </w:t>
      </w:r>
      <w:r w:rsidR="00C742D5">
        <w:rPr>
          <w:sz w:val="22"/>
          <w:szCs w:val="22"/>
        </w:rPr>
        <w:t>higher performance because larger board size may be better able to form resource linkages from the environment and secure important resources.</w:t>
      </w:r>
      <w:hyperlink w:anchor="_ENREF_17" w:tooltip="Pfeffer, 2015 #1328" w:history="1">
        <w:r w:rsidR="002C0B6F" w:rsidRPr="00494CA8">
          <w:rPr>
            <w:sz w:val="22"/>
            <w:szCs w:val="22"/>
          </w:rPr>
          <w:fldChar w:fldCharType="begin"/>
        </w:r>
        <w:r w:rsidR="002C0B6F">
          <w:rPr>
            <w:sz w:val="22"/>
            <w:szCs w:val="22"/>
          </w:rPr>
          <w:instrText xml:space="preserve"> ADDIN EN.CITE &lt;EndNote&gt;&lt;Cite&gt;&lt;Author&gt;Pfeffer&lt;/Author&gt;&lt;Year&gt;2015&lt;/Year&gt;&lt;RecNum&gt;1328&lt;/RecNum&gt;&lt;DisplayText&gt;&lt;style face="superscript"&gt;17&lt;/style&gt;&lt;/DisplayText&gt;&lt;record&gt;&lt;rec-number&gt;1328&lt;/rec-number&gt;&lt;foreign-keys&gt;&lt;key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17</w:t>
        </w:r>
        <w:r w:rsidR="002C0B6F" w:rsidRPr="00494CA8">
          <w:rPr>
            <w:sz w:val="22"/>
            <w:szCs w:val="22"/>
          </w:rPr>
          <w:fldChar w:fldCharType="end"/>
        </w:r>
      </w:hyperlink>
      <w:r w:rsidRPr="00437F2C">
        <w:rPr>
          <w:sz w:val="22"/>
          <w:szCs w:val="22"/>
          <w:vertAlign w:val="superscript"/>
        </w:rPr>
        <w:t xml:space="preserve">, </w:t>
      </w:r>
      <w:hyperlink w:anchor="_ENREF_18" w:tooltip="Goodstein, 1994 #1332" w:history="1">
        <w:r w:rsidR="002C0B6F" w:rsidRPr="00494CA8">
          <w:rPr>
            <w:sz w:val="22"/>
            <w:szCs w:val="22"/>
          </w:rPr>
          <w:fldChar w:fldCharType="begin"/>
        </w:r>
        <w:r w:rsidR="002C0B6F">
          <w:rPr>
            <w:sz w:val="22"/>
            <w:szCs w:val="22"/>
          </w:rPr>
          <w:instrText xml:space="preserve"> ADDIN EN.CITE &lt;EndNote&gt;&lt;Cite&gt;&lt;Author&gt;Goodstein&lt;/Author&gt;&lt;Year&gt;1994&lt;/Year&gt;&lt;RecNum&gt;1329&lt;/RecNum&gt;&lt;DisplayText&gt;&lt;style face="superscript"&gt;18&lt;/style&gt;&lt;/DisplayText&gt;&lt;record&gt;&lt;rec-number&gt;1329&lt;/rec-number&gt;&lt;foreign-keys&gt;&lt;key app="EN" db-id="eswfvzza29a52ye9xwqpfwwx55tazv55ppxs"&gt;1329&lt;/key&gt;&lt;/foreign-keys&gt;&lt;ref-type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18</w:t>
        </w:r>
        <w:r w:rsidR="002C0B6F" w:rsidRPr="00494CA8">
          <w:rPr>
            <w:sz w:val="22"/>
            <w:szCs w:val="22"/>
          </w:rPr>
          <w:fldChar w:fldCharType="end"/>
        </w:r>
      </w:hyperlink>
      <w:r w:rsidR="004300C7">
        <w:rPr>
          <w:sz w:val="22"/>
          <w:szCs w:val="22"/>
          <w:vertAlign w:val="superscript"/>
        </w:rPr>
        <w:t xml:space="preserve"> </w:t>
      </w:r>
      <w:r w:rsidRPr="009C6860">
        <w:rPr>
          <w:sz w:val="22"/>
          <w:szCs w:val="22"/>
        </w:rPr>
        <w:t xml:space="preserve"> </w:t>
      </w:r>
      <w:hyperlink w:anchor="_ENREF_17" w:tooltip="Pfeffer, 2015 #1328" w:history="1">
        <w:r w:rsidR="002C0B6F" w:rsidRPr="00494CA8">
          <w:rPr>
            <w:sz w:val="22"/>
            <w:szCs w:val="22"/>
          </w:rPr>
          <w:fldChar w:fldCharType="begin"/>
        </w:r>
        <w:r w:rsidR="002C0B6F">
          <w:rPr>
            <w:sz w:val="22"/>
            <w:szCs w:val="22"/>
          </w:rPr>
          <w:instrText xml:space="preserve"> ADDIN EN.CITE &lt;EndNote&gt;&lt;Cite AuthorYear="1"&gt;&lt;Author&gt;Pfeffer&lt;/Author&gt;&lt;Year&gt;2015&lt;/Year&gt;&lt;RecNum&gt;1328&lt;/RecNum&gt;&lt;DisplayText&gt;Pfeffer and Salancik&lt;style face="superscript"&gt;[17]&lt;/style&gt;&lt;/DisplayText&gt;&lt;record&gt;&lt;rec-number&gt;1328&lt;/rec-number&gt;&lt;foreign-keys&gt;&lt;key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2C0B6F" w:rsidRPr="00494CA8">
          <w:rPr>
            <w:sz w:val="22"/>
            <w:szCs w:val="22"/>
          </w:rPr>
          <w:fldChar w:fldCharType="separate"/>
        </w:r>
        <w:r w:rsidR="002C0B6F">
          <w:rPr>
            <w:noProof/>
            <w:sz w:val="22"/>
            <w:szCs w:val="22"/>
          </w:rPr>
          <w:t>Pfeffer and Salancik</w:t>
        </w:r>
        <w:r w:rsidR="002C0B6F" w:rsidRPr="00B462BA">
          <w:rPr>
            <w:noProof/>
            <w:sz w:val="22"/>
            <w:szCs w:val="22"/>
            <w:vertAlign w:val="superscript"/>
          </w:rPr>
          <w:t>[17]</w:t>
        </w:r>
        <w:r w:rsidR="002C0B6F" w:rsidRPr="00494CA8">
          <w:rPr>
            <w:sz w:val="22"/>
            <w:szCs w:val="22"/>
          </w:rPr>
          <w:fldChar w:fldCharType="end"/>
        </w:r>
      </w:hyperlink>
      <w:r w:rsidR="004300C7">
        <w:rPr>
          <w:sz w:val="22"/>
          <w:szCs w:val="22"/>
        </w:rPr>
        <w:t xml:space="preserve"> </w:t>
      </w:r>
      <w:r w:rsidRPr="009C6860">
        <w:rPr>
          <w:sz w:val="22"/>
          <w:szCs w:val="22"/>
        </w:rPr>
        <w:t>found that board size is associated with better responsiveness to resource dependence and regulatory pressures. The authors argued that the greater the need for effective external linkages</w:t>
      </w:r>
      <w:r w:rsidR="00370326">
        <w:rPr>
          <w:sz w:val="22"/>
          <w:szCs w:val="22"/>
        </w:rPr>
        <w:t xml:space="preserve"> is</w:t>
      </w:r>
      <w:r w:rsidRPr="009C6860">
        <w:rPr>
          <w:sz w:val="22"/>
          <w:szCs w:val="22"/>
        </w:rPr>
        <w:t>, the larger the board size</w:t>
      </w:r>
      <w:r w:rsidR="00370326">
        <w:rPr>
          <w:sz w:val="22"/>
          <w:szCs w:val="22"/>
        </w:rPr>
        <w:t xml:space="preserve"> should be</w:t>
      </w:r>
      <w:r w:rsidRPr="009C6860">
        <w:rPr>
          <w:sz w:val="22"/>
          <w:szCs w:val="22"/>
        </w:rPr>
        <w:t xml:space="preserve">. Larger board size provides increased expertise, information, and quality advice. </w:t>
      </w:r>
      <w:hyperlink w:anchor="_ENREF_19" w:tooltip="Zahra, 1989 #1309" w:history="1">
        <w:r w:rsidR="002C0B6F" w:rsidRPr="00494CA8">
          <w:rPr>
            <w:sz w:val="22"/>
            <w:szCs w:val="22"/>
          </w:rPr>
          <w:fldChar w:fldCharType="begin"/>
        </w:r>
        <w:r w:rsidR="002C0B6F">
          <w:rPr>
            <w:sz w:val="22"/>
            <w:szCs w:val="22"/>
          </w:rPr>
          <w:instrText xml:space="preserve"> ADDIN EN.CITE &lt;EndNote&gt;&lt;Cite AuthorYear="1"&gt;&lt;Author&gt;Zahra&lt;/Author&gt;&lt;Year&gt;1989&lt;/Year&gt;&lt;RecNum&gt;1309&lt;/RecNum&gt;&lt;DisplayText&gt;Zahra and Pearce&lt;style face="superscript"&gt;[19]&lt;/style&gt;&lt;/DisplayText&gt;&lt;record&gt;&lt;rec-number&gt;1309&lt;/rec-number&gt;&lt;foreign-keys&gt;&lt;key app="EN" db-id="eswfvzza29a52ye9xwqpfwwx55tazv55ppxs"&gt;1309&lt;/key&gt;&lt;/foreign-keys&gt;&lt;ref-type name="Journal Article"&gt;17&lt;/ref-type&gt;&lt;contributors&gt;&lt;authors&gt;&lt;author&gt;Zahra, Shaker A&lt;/author&gt;&lt;author&gt;Pearce, John A&lt;/author&gt;&lt;/authors&gt;&lt;/contributors&gt;&lt;titles&gt;&lt;title&gt;Boards of directors and corporate financial performance: A review and integrative model&lt;/title&gt;&lt;secondary-title&gt;Journal of management&lt;/secondary-title&gt;&lt;/titles&gt;&lt;periodical&gt;&lt;full-title&gt;Journal of Management&lt;/full-title&gt;&lt;/periodical&gt;&lt;pages&gt;291-334&lt;/pages&gt;&lt;volume&gt;15&lt;/volume&gt;&lt;number&gt;2&lt;/number&gt;&lt;dates&gt;&lt;year&gt;1989&lt;/year&gt;&lt;/dates&gt;&lt;isbn&gt;0149-2063&lt;/isbn&gt;&lt;urls&gt;&lt;/urls&gt;&lt;language&gt;ens&lt;/language&gt;&lt;/record&gt;&lt;/Cite&gt;&lt;/EndNote&gt;</w:instrText>
        </w:r>
        <w:r w:rsidR="002C0B6F" w:rsidRPr="00494CA8">
          <w:rPr>
            <w:sz w:val="22"/>
            <w:szCs w:val="22"/>
          </w:rPr>
          <w:fldChar w:fldCharType="separate"/>
        </w:r>
        <w:r w:rsidR="002C0B6F">
          <w:rPr>
            <w:noProof/>
            <w:sz w:val="22"/>
            <w:szCs w:val="22"/>
          </w:rPr>
          <w:t>Zahra and Pearce</w:t>
        </w:r>
        <w:r w:rsidR="002C0B6F" w:rsidRPr="00B462BA">
          <w:rPr>
            <w:noProof/>
            <w:sz w:val="22"/>
            <w:szCs w:val="22"/>
            <w:vertAlign w:val="superscript"/>
          </w:rPr>
          <w:t>[19]</w:t>
        </w:r>
        <w:r w:rsidR="002C0B6F" w:rsidRPr="00494CA8">
          <w:rPr>
            <w:sz w:val="22"/>
            <w:szCs w:val="22"/>
          </w:rPr>
          <w:fldChar w:fldCharType="end"/>
        </w:r>
      </w:hyperlink>
      <w:r w:rsidR="004300C7">
        <w:rPr>
          <w:sz w:val="22"/>
          <w:szCs w:val="22"/>
        </w:rPr>
        <w:t xml:space="preserve"> </w:t>
      </w:r>
      <w:proofErr w:type="gramStart"/>
      <w:r w:rsidRPr="009C6860">
        <w:rPr>
          <w:sz w:val="22"/>
          <w:szCs w:val="22"/>
        </w:rPr>
        <w:t>suggested</w:t>
      </w:r>
      <w:proofErr w:type="gramEnd"/>
      <w:r w:rsidRPr="009C6860">
        <w:rPr>
          <w:sz w:val="22"/>
          <w:szCs w:val="22"/>
        </w:rPr>
        <w:t xml:space="preserve"> that larger board size may improve performa</w:t>
      </w:r>
      <w:r w:rsidR="00370326">
        <w:rPr>
          <w:sz w:val="22"/>
          <w:szCs w:val="22"/>
        </w:rPr>
        <w:t>nce by reducing CEO dominance (</w:t>
      </w:r>
      <w:smartTag w:uri="urn:schemas-microsoft-com:office:smarttags" w:element="stockticker">
        <w:r w:rsidRPr="009C6860">
          <w:rPr>
            <w:sz w:val="22"/>
            <w:szCs w:val="22"/>
          </w:rPr>
          <w:t>CEO</w:t>
        </w:r>
      </w:smartTag>
      <w:r w:rsidRPr="009C6860">
        <w:rPr>
          <w:sz w:val="22"/>
          <w:szCs w:val="22"/>
        </w:rPr>
        <w:t xml:space="preserve">). A meta-analysis by </w:t>
      </w:r>
      <w:hyperlink w:anchor="_ENREF_20" w:tooltip="Dalton, 2003 #1310" w:history="1">
        <w:r w:rsidR="002C0B6F" w:rsidRPr="00494CA8">
          <w:rPr>
            <w:sz w:val="22"/>
            <w:szCs w:val="22"/>
          </w:rPr>
          <w:fldChar w:fldCharType="begin"/>
        </w:r>
        <w:r w:rsidR="002C0B6F">
          <w:rPr>
            <w:sz w:val="22"/>
            <w:szCs w:val="22"/>
          </w:rPr>
          <w:instrText xml:space="preserve"> ADDIN EN.CITE &lt;EndNote&gt;&lt;Cite AuthorYear="1"&gt;&lt;Author&gt;Dalton&lt;/Author&gt;&lt;Year&gt;2003&lt;/Year&gt;&lt;RecNum&gt;1310&lt;/RecNum&gt;&lt;DisplayText&gt;Dalton et al.&lt;style face="superscript"&gt;[20]&lt;/style&gt;&lt;/DisplayText&gt;&lt;record&gt;&lt;rec-number&gt;1310&lt;/rec-number&gt;&lt;foreign-keys&gt;&lt;key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2C0B6F" w:rsidRPr="00494CA8">
          <w:rPr>
            <w:sz w:val="22"/>
            <w:szCs w:val="22"/>
          </w:rPr>
          <w:fldChar w:fldCharType="separate"/>
        </w:r>
        <w:r w:rsidR="002C0B6F">
          <w:rPr>
            <w:noProof/>
            <w:sz w:val="22"/>
            <w:szCs w:val="22"/>
          </w:rPr>
          <w:t>Dalton et al.</w:t>
        </w:r>
        <w:r w:rsidR="002C0B6F" w:rsidRPr="00B462BA">
          <w:rPr>
            <w:noProof/>
            <w:sz w:val="22"/>
            <w:szCs w:val="22"/>
            <w:vertAlign w:val="superscript"/>
          </w:rPr>
          <w:t>[20]</w:t>
        </w:r>
        <w:r w:rsidR="002C0B6F" w:rsidRPr="00494CA8">
          <w:rPr>
            <w:sz w:val="22"/>
            <w:szCs w:val="22"/>
          </w:rPr>
          <w:fldChar w:fldCharType="end"/>
        </w:r>
      </w:hyperlink>
      <w:r w:rsidR="004300C7">
        <w:rPr>
          <w:sz w:val="22"/>
          <w:szCs w:val="22"/>
        </w:rPr>
        <w:t xml:space="preserve"> </w:t>
      </w:r>
      <w:r w:rsidRPr="009C6860">
        <w:rPr>
          <w:sz w:val="22"/>
          <w:szCs w:val="22"/>
        </w:rPr>
        <w:t xml:space="preserve">showed that larger board size may improve decision-making efficiency due to </w:t>
      </w:r>
      <w:r w:rsidRPr="009C6860">
        <w:rPr>
          <w:sz w:val="22"/>
          <w:szCs w:val="22"/>
        </w:rPr>
        <w:lastRenderedPageBreak/>
        <w:t>information sharing.</w:t>
      </w:r>
      <w:hyperlink w:anchor="_ENREF_21" w:tooltip="Lehn, 2009 #1321" w:history="1">
        <w:r w:rsidR="002C0B6F" w:rsidRPr="00494CA8">
          <w:rPr>
            <w:sz w:val="22"/>
            <w:szCs w:val="22"/>
          </w:rPr>
          <w:fldChar w:fldCharType="begin"/>
        </w:r>
        <w:r w:rsidR="002C0B6F">
          <w:rPr>
            <w:sz w:val="22"/>
            <w:szCs w:val="22"/>
          </w:rPr>
          <w:instrText xml:space="preserve"> ADDIN EN.CITE &lt;EndNote&gt;&lt;Cite&gt;&lt;Author&gt;Lehn&lt;/Author&gt;&lt;Year&gt;2009&lt;/Year&gt;&lt;RecNum&gt;1321&lt;/RecNum&gt;&lt;DisplayText&gt;&lt;style face="superscript"&gt;21&lt;/style&gt;&lt;/DisplayText&gt;&lt;record&gt;&lt;rec-number&gt;1321&lt;/rec-number&gt;&lt;foreign-keys&gt;&lt;key app="EN" db-id="eswfvzza29a52ye9xwqpfwwx55tazv55ppxs"&gt;1321&lt;/key&gt;&lt;/foreign-keys&gt;&lt;ref-type name="Journal Article"&gt;17&lt;/ref-type&gt;&lt;contributors&gt;&lt;authors&gt;&lt;author&gt;Lehn, Kenneth M&lt;/author&gt;&lt;author&gt;Patro, Sukesh&lt;/author&gt;&lt;author&gt;Zhao, Mengxin&lt;/author&gt;&lt;/authors&gt;&lt;/contributors&gt;&lt;titles&gt;&lt;title&gt;Determinants of the size and composition of US corporate boards: 1935</w:instrText>
        </w:r>
        <w:r w:rsidR="002C0B6F">
          <w:rPr>
            <w:rFonts w:ascii="Cambria Math" w:hAnsi="Cambria Math" w:cs="Cambria Math"/>
            <w:sz w:val="22"/>
            <w:szCs w:val="22"/>
          </w:rPr>
          <w:instrText>‐</w:instrText>
        </w:r>
        <w:r w:rsidR="002C0B6F">
          <w:rPr>
            <w:sz w:val="22"/>
            <w:szCs w:val="22"/>
          </w:rPr>
          <w:instrText>2000&lt;/title&gt;&lt;secondary-title&gt;Financial management&lt;/secondary-title&gt;&lt;/titles&gt;&lt;periodical&gt;&lt;full-title&gt;Financial Management&lt;/full-title&gt;&lt;/periodical&gt;&lt;pages&gt;747-780&lt;/pages&gt;&lt;volume&gt;38&lt;/volume&gt;&lt;number&gt;4&lt;/number&gt;&lt;dates&gt;&lt;year&gt;2009&lt;/year&gt;&lt;/dates&gt;&lt;isbn&gt;0046-3892&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21</w:t>
        </w:r>
        <w:r w:rsidR="002C0B6F" w:rsidRPr="00494CA8">
          <w:rPr>
            <w:sz w:val="22"/>
            <w:szCs w:val="22"/>
          </w:rPr>
          <w:fldChar w:fldCharType="end"/>
        </w:r>
      </w:hyperlink>
      <w:r w:rsidRPr="009C6860">
        <w:rPr>
          <w:sz w:val="22"/>
          <w:szCs w:val="22"/>
        </w:rPr>
        <w:t xml:space="preserve"> </w:t>
      </w:r>
      <w:hyperlink w:anchor="_ENREF_22" w:tooltip="Pearce, 1992 #1322" w:history="1">
        <w:r w:rsidR="002C0B6F" w:rsidRPr="00494CA8">
          <w:rPr>
            <w:sz w:val="22"/>
            <w:szCs w:val="22"/>
          </w:rPr>
          <w:fldChar w:fldCharType="begin"/>
        </w:r>
        <w:r w:rsidR="002C0B6F">
          <w:rPr>
            <w:sz w:val="22"/>
            <w:szCs w:val="22"/>
          </w:rPr>
          <w:instrText xml:space="preserve"> ADDIN EN.CITE &lt;EndNote&gt;&lt;Cite AuthorYear="1"&gt;&lt;Author&gt;Pearce&lt;/Author&gt;&lt;Year&gt;1992&lt;/Year&gt;&lt;RecNum&gt;1322&lt;/RecNum&gt;&lt;DisplayText&gt;Pearce and Zahra&lt;style face="superscript"&gt;[22]&lt;/style&gt;&lt;/DisplayText&gt;&lt;record&gt;&lt;rec-number&gt;1322&lt;/rec-number&gt;&lt;foreign-keys&gt;&lt;key app="EN" db-id="eswfvzza29a52ye9xwqpfwwx55tazv55ppxs"&gt;1322&lt;/key&gt;&lt;/foreign-keys&gt;&lt;ref-type name="Journal Article"&gt;17&lt;/ref-type&gt;&lt;contributors&gt;&lt;authors&gt;&lt;author&gt;Pearce, John A&lt;/author&gt;&lt;author&gt;Zahra, Shaker A&lt;/author&gt;&lt;/authors&gt;&lt;/contributors&gt;&lt;titles&gt;&lt;title&gt;Board composition from a strategic contingency perspective&lt;/title&gt;&lt;secondary-title&gt;Journal of management studies&lt;/secondary-title&gt;&lt;/titles&gt;&lt;periodical&gt;&lt;full-title&gt;Journal of Management Studies&lt;/full-title&gt;&lt;/periodical&gt;&lt;pages&gt;411-438&lt;/pages&gt;&lt;volume&gt;29&lt;/volume&gt;&lt;number&gt;4&lt;/number&gt;&lt;dates&gt;&lt;year&gt;1992&lt;/year&gt;&lt;/dates&gt;&lt;isbn&gt;0022-2380&lt;/isbn&gt;&lt;urls&gt;&lt;/urls&gt;&lt;language&gt;ens&lt;/language&gt;&lt;/record&gt;&lt;/Cite&gt;&lt;/EndNote&gt;</w:instrText>
        </w:r>
        <w:r w:rsidR="002C0B6F" w:rsidRPr="00494CA8">
          <w:rPr>
            <w:sz w:val="22"/>
            <w:szCs w:val="22"/>
          </w:rPr>
          <w:fldChar w:fldCharType="separate"/>
        </w:r>
        <w:r w:rsidR="002C0B6F">
          <w:rPr>
            <w:noProof/>
            <w:sz w:val="22"/>
            <w:szCs w:val="22"/>
          </w:rPr>
          <w:t>Pearce and Zahra</w:t>
        </w:r>
        <w:r w:rsidR="002C0B6F" w:rsidRPr="00B462BA">
          <w:rPr>
            <w:noProof/>
            <w:sz w:val="22"/>
            <w:szCs w:val="22"/>
            <w:vertAlign w:val="superscript"/>
          </w:rPr>
          <w:t>[22]</w:t>
        </w:r>
        <w:r w:rsidR="002C0B6F" w:rsidRPr="00494CA8">
          <w:rPr>
            <w:sz w:val="22"/>
            <w:szCs w:val="22"/>
          </w:rPr>
          <w:fldChar w:fldCharType="end"/>
        </w:r>
      </w:hyperlink>
      <w:r w:rsidR="004300C7">
        <w:rPr>
          <w:sz w:val="22"/>
          <w:szCs w:val="22"/>
        </w:rPr>
        <w:t xml:space="preserve"> </w:t>
      </w:r>
      <w:proofErr w:type="gramStart"/>
      <w:r w:rsidRPr="009C6860">
        <w:rPr>
          <w:sz w:val="22"/>
          <w:szCs w:val="22"/>
        </w:rPr>
        <w:t>concluded</w:t>
      </w:r>
      <w:proofErr w:type="gramEnd"/>
      <w:r w:rsidRPr="009C6860">
        <w:rPr>
          <w:sz w:val="22"/>
          <w:szCs w:val="22"/>
        </w:rPr>
        <w:t xml:space="preserve"> that board size was positively associated with performance in 119 </w:t>
      </w:r>
      <w:r w:rsidR="00370326">
        <w:rPr>
          <w:sz w:val="22"/>
          <w:szCs w:val="22"/>
        </w:rPr>
        <w:t xml:space="preserve">Fortune 500 </w:t>
      </w:r>
      <w:r w:rsidR="00E4086D">
        <w:rPr>
          <w:sz w:val="22"/>
          <w:szCs w:val="22"/>
        </w:rPr>
        <w:t>firm</w:t>
      </w:r>
      <w:r w:rsidRPr="009C6860">
        <w:rPr>
          <w:sz w:val="22"/>
          <w:szCs w:val="22"/>
        </w:rPr>
        <w:t xml:space="preserve">s during 1983–1989. Larger board size could potentially exploit more potential, with members appointed from different sectors, with different expertise and management skills. Similarly, </w:t>
      </w:r>
      <w:hyperlink w:anchor="_ENREF_23" w:tooltip="Ciftci, 2019 #1346" w:history="1">
        <w:r w:rsidR="002C0B6F" w:rsidRPr="00494CA8">
          <w:rPr>
            <w:sz w:val="22"/>
            <w:szCs w:val="22"/>
          </w:rPr>
          <w:fldChar w:fldCharType="begin"/>
        </w:r>
        <w:r w:rsidR="002C0B6F">
          <w:rPr>
            <w:sz w:val="22"/>
            <w:szCs w:val="22"/>
          </w:rPr>
          <w:instrText xml:space="preserve"> ADDIN EN.CITE &lt;EndNote&gt;&lt;Cite AuthorYear="1"&gt;&lt;Author&gt;Ciftci&lt;/Author&gt;&lt;Year&gt;2019&lt;/Year&gt;&lt;RecNum&gt;1346&lt;/RecNum&gt;&lt;DisplayText&gt;Ciftci et al.&lt;style face="superscript"&gt;[23]&lt;/style&gt;&lt;/DisplayText&gt;&lt;record&gt;&lt;rec-number&gt;1346&lt;/rec-number&gt;&lt;foreign-keys&gt;&lt;key app="EN" db-id="eswfvzza29a52ye9xwqpfwwx55tazv55ppxs"&gt;1346&lt;/key&gt;&lt;/foreign-keys&gt;&lt;ref-type name="Journal Article"&gt;17&lt;/ref-type&gt;&lt;contributors&gt;&lt;authors&gt;&lt;author&gt;Ciftci, Ilhan&lt;/author&gt;&lt;author&gt;Tatoglu, Ekrem&lt;/author&gt;&lt;author&gt;Wood, Geoffrey&lt;/author&gt;&lt;author&gt;Demirbag, Mehmet&lt;/author&gt;&lt;author&gt;Zaim, Selim&lt;/author&gt;&lt;/authors&gt;&lt;/contributors&gt;&lt;titles&gt;&lt;title&gt;Corporate governance and firm performance in emerging markets: Evidence from Turkey&lt;/title&gt;&lt;secondary-title&gt;International Business Review&lt;/secondary-title&gt;&lt;/titles&gt;&lt;periodical&gt;&lt;full-title&gt;International Business Review&lt;/full-title&gt;&lt;/periodical&gt;&lt;pages&gt;90-103&lt;/pages&gt;&lt;volume&gt;28&lt;/volume&gt;&lt;number&gt;1&lt;/number&gt;&lt;keywords&gt;&lt;keyword&gt;Corporate governance mechanisms&lt;/keyword&gt;&lt;keyword&gt;Institutions&lt;/keyword&gt;&lt;keyword&gt;Family capitalism&lt;/keyword&gt;&lt;keyword&gt;Firm performance&lt;/keyword&gt;&lt;keyword&gt;Emerging markets&lt;/keyword&gt;&lt;keyword&gt;Turkey&lt;/keyword&gt;&lt;/keywords&gt;&lt;dates&gt;&lt;year&gt;2019&lt;/year&gt;&lt;pub-dates&gt;&lt;date&gt;2019/02/01/&lt;/date&gt;&lt;/pub-dates&gt;&lt;/dates&gt;&lt;isbn&gt;0969-5931&lt;/isbn&gt;&lt;urls&gt;&lt;related-urls&gt;&lt;url&gt;https://www.sciencedirect.com/science/article/pii/S0969593117307230&lt;/url&gt;&lt;/related-urls&gt;&lt;/urls&gt;&lt;electronic-resource-num&gt;https://doi.org/10.1016/j.ibusrev.2018.08.004&lt;/electronic-resource-num&gt;&lt;language&gt;ens&lt;/language&gt;&lt;/record&gt;&lt;/Cite&gt;&lt;/EndNote&gt;</w:instrText>
        </w:r>
        <w:r w:rsidR="002C0B6F" w:rsidRPr="00494CA8">
          <w:rPr>
            <w:sz w:val="22"/>
            <w:szCs w:val="22"/>
          </w:rPr>
          <w:fldChar w:fldCharType="separate"/>
        </w:r>
        <w:r w:rsidR="002C0B6F">
          <w:rPr>
            <w:noProof/>
            <w:sz w:val="22"/>
            <w:szCs w:val="22"/>
          </w:rPr>
          <w:t>Ciftci et al.</w:t>
        </w:r>
        <w:r w:rsidR="002C0B6F" w:rsidRPr="00B462BA">
          <w:rPr>
            <w:noProof/>
            <w:sz w:val="22"/>
            <w:szCs w:val="22"/>
            <w:vertAlign w:val="superscript"/>
          </w:rPr>
          <w:t>[23]</w:t>
        </w:r>
        <w:r w:rsidR="002C0B6F" w:rsidRPr="00494CA8">
          <w:rPr>
            <w:sz w:val="22"/>
            <w:szCs w:val="22"/>
          </w:rPr>
          <w:fldChar w:fldCharType="end"/>
        </w:r>
      </w:hyperlink>
      <w:r w:rsidR="004300C7">
        <w:rPr>
          <w:sz w:val="22"/>
          <w:szCs w:val="22"/>
        </w:rPr>
        <w:t xml:space="preserve"> </w:t>
      </w:r>
      <w:r w:rsidRPr="009C6860">
        <w:rPr>
          <w:sz w:val="22"/>
          <w:szCs w:val="22"/>
        </w:rPr>
        <w:t xml:space="preserve">also agreed that larger board size seemed to bring more positive performance for firms in Turkey. </w:t>
      </w:r>
      <w:r w:rsidRPr="00207C06">
        <w:rPr>
          <w:sz w:val="22"/>
          <w:szCs w:val="22"/>
        </w:rPr>
        <w:t xml:space="preserve">Based on data from firms listed </w:t>
      </w:r>
      <w:r w:rsidR="002C0B6F">
        <w:rPr>
          <w:sz w:val="22"/>
          <w:szCs w:val="22"/>
        </w:rPr>
        <w:t>in Vietnam</w:t>
      </w:r>
      <w:r w:rsidRPr="00207C06">
        <w:rPr>
          <w:sz w:val="22"/>
          <w:szCs w:val="22"/>
        </w:rPr>
        <w:t>,</w:t>
      </w:r>
      <w:r w:rsidR="002C0B6F">
        <w:rPr>
          <w:sz w:val="22"/>
          <w:szCs w:val="22"/>
        </w:rPr>
        <w:t xml:space="preserve"> </w:t>
      </w:r>
      <w:hyperlink w:anchor="_ENREF_13" w:tooltip="Nguyen Thi Anh Nguyet, 2025 #1620" w:history="1">
        <w:r w:rsidR="002C0B6F">
          <w:rPr>
            <w:color w:val="FF0000"/>
            <w:sz w:val="22"/>
            <w:szCs w:val="22"/>
          </w:rPr>
          <w:fldChar w:fldCharType="begin"/>
        </w:r>
        <w:r w:rsidR="002C0B6F">
          <w:rPr>
            <w:color w:val="FF0000"/>
            <w:sz w:val="22"/>
            <w:szCs w:val="22"/>
          </w:rPr>
          <w:instrText xml:space="preserve"> ADDIN EN.CITE &lt;EndNote&gt;&lt;Cite AuthorYear="1"&gt;&lt;Author&gt;Nguyen&lt;/Author&gt;&lt;Year&gt;2025&lt;/Year&gt;&lt;RecNum&gt;1620&lt;/RecNum&gt;&lt;DisplayText&gt;Nguyen Thi Anh Nguyet and Nguyen Van Chien&lt;style face="superscript"&gt;[13]&lt;/style&gt;&lt;/DisplayText&gt;&lt;record&gt;&lt;rec-number&gt;1620&lt;/rec-number&gt;&lt;foreign-keys&gt;&lt;key app="EN" db-id="eswfvzza29a52ye9xwqpfwwx55tazv55ppxs"&gt;1620&lt;/key&gt;&lt;/foreign-keys&gt;&lt;ref-type name="Journal Article"&gt;17&lt;/ref-type&gt;&lt;contributors&gt;&lt;authors&gt;&lt;author&gt;Nguyen Thi Anh Nguyet,&lt;/author&gt;&lt;author&gt;Nguyen Van Chien,&lt;/author&gt;&lt;/authors&gt;&lt;/contributors&gt;&lt;titles&gt;&lt;title&gt;Factors affecting corporate financial performance listed on Vietnam stock market&lt;/title&gt;&lt;secondary-title&gt;Cogent Business &amp;amp; Management&lt;/secondary-title&gt;&lt;/titles&gt;&lt;periodical&gt;&lt;full-title&gt;Cogent Business &amp;amp; Management&lt;/full-title&gt;&lt;/periodical&gt;&lt;pages&gt;2464937&lt;/pages&gt;&lt;volume&gt;12&lt;/volume&gt;&lt;number&gt;1&lt;/number&gt;&lt;dates&gt;&lt;year&gt;2025&lt;/year&gt;&lt;/dates&gt;&lt;urls&gt;&lt;related-urls&gt;&lt;url&gt;https://www.tandfonline.com/doi/pdf/10.1080/23311975.2025.2464937&lt;/url&gt;&lt;/related-urls&gt;&lt;/urls&gt;&lt;electronic-resource-num&gt;10.1080/23311975.2025.2464937&lt;/electronic-resource-num&gt;&lt;language&gt;ens&lt;/language&gt;&lt;/record&gt;&lt;/Cite&gt;&lt;/EndNote&gt;</w:instrText>
        </w:r>
        <w:r w:rsidR="002C0B6F">
          <w:rPr>
            <w:color w:val="FF0000"/>
            <w:sz w:val="22"/>
            <w:szCs w:val="22"/>
          </w:rPr>
          <w:fldChar w:fldCharType="separate"/>
        </w:r>
        <w:r w:rsidR="002C0B6F">
          <w:rPr>
            <w:noProof/>
            <w:color w:val="FF0000"/>
            <w:sz w:val="22"/>
            <w:szCs w:val="22"/>
          </w:rPr>
          <w:t>Nguyen Thi Anh Nguyet and Nguyen Van Chien</w:t>
        </w:r>
        <w:r w:rsidR="002C0B6F" w:rsidRPr="00B462BA">
          <w:rPr>
            <w:noProof/>
            <w:color w:val="FF0000"/>
            <w:sz w:val="22"/>
            <w:szCs w:val="22"/>
            <w:vertAlign w:val="superscript"/>
          </w:rPr>
          <w:t>[13]</w:t>
        </w:r>
        <w:r w:rsidR="002C0B6F">
          <w:rPr>
            <w:color w:val="FF0000"/>
            <w:sz w:val="22"/>
            <w:szCs w:val="22"/>
          </w:rPr>
          <w:fldChar w:fldCharType="end"/>
        </w:r>
      </w:hyperlink>
      <w:r w:rsidR="002C0B6F">
        <w:rPr>
          <w:color w:val="FF0000"/>
          <w:sz w:val="22"/>
          <w:szCs w:val="22"/>
        </w:rPr>
        <w:t xml:space="preserve"> </w:t>
      </w:r>
      <w:r w:rsidR="002C0B6F">
        <w:rPr>
          <w:sz w:val="22"/>
          <w:szCs w:val="22"/>
        </w:rPr>
        <w:t>and</w:t>
      </w:r>
      <w:r w:rsidRPr="00207C06">
        <w:rPr>
          <w:sz w:val="22"/>
          <w:szCs w:val="22"/>
        </w:rPr>
        <w:t xml:space="preserve"> </w:t>
      </w:r>
      <w:hyperlink w:anchor="_ENREF_14" w:tooltip="Phan Tu Anh, 2021 #1351" w:history="1">
        <w:r w:rsidR="002C0B6F" w:rsidRPr="00207C06">
          <w:rPr>
            <w:sz w:val="22"/>
            <w:szCs w:val="22"/>
          </w:rPr>
          <w:fldChar w:fldCharType="begin"/>
        </w:r>
        <w:r w:rsidR="002C0B6F">
          <w:rPr>
            <w:sz w:val="22"/>
            <w:szCs w:val="22"/>
          </w:rPr>
          <w:instrText xml:space="preserve"> ADDIN EN.CITE &lt;EndNote&gt;&lt;Cite AuthorYear="1"&gt;&lt;Author&gt;Phan&lt;/Author&gt;&lt;Year&gt;2021&lt;/Year&gt;&lt;RecNum&gt;1351&lt;/RecNum&gt;&lt;DisplayText&gt;Phan Tu Anh and Duong Long Hoang&lt;style face="superscript"&gt;[14]&lt;/style&gt;&lt;/DisplayText&gt;&lt;record&gt;&lt;rec-number&gt;1351&lt;/rec-number&gt;&lt;foreign-keys&gt;&lt;key app="EN" db-id="eswfvzza29a52ye9xwqpfwwx55tazv55ppxs"&gt;1351&lt;/key&gt;&lt;/foreign-keys&gt;&lt;ref-type name="Journal Article"&gt;17&lt;/ref-type&gt;&lt;contributors&gt;&lt;authors&gt;&lt;author&gt;Phan Tu Anh,&lt;/author&gt;&lt;author&gt;Duong Long Hoang,&lt;/author&gt;&lt;/authors&gt;&lt;/contributors&gt;&lt;titles&gt;&lt;title&gt;The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002C0B6F" w:rsidRPr="00207C06">
          <w:rPr>
            <w:sz w:val="22"/>
            <w:szCs w:val="22"/>
          </w:rPr>
          <w:fldChar w:fldCharType="separate"/>
        </w:r>
        <w:r w:rsidR="002C0B6F">
          <w:rPr>
            <w:noProof/>
            <w:sz w:val="22"/>
            <w:szCs w:val="22"/>
          </w:rPr>
          <w:t>Phan Tu Anh and Duong Long Hoang</w:t>
        </w:r>
        <w:r w:rsidR="002C0B6F" w:rsidRPr="00B462BA">
          <w:rPr>
            <w:noProof/>
            <w:sz w:val="22"/>
            <w:szCs w:val="22"/>
            <w:vertAlign w:val="superscript"/>
          </w:rPr>
          <w:t>[14]</w:t>
        </w:r>
        <w:r w:rsidR="002C0B6F" w:rsidRPr="00207C06">
          <w:rPr>
            <w:sz w:val="22"/>
            <w:szCs w:val="22"/>
          </w:rPr>
          <w:fldChar w:fldCharType="end"/>
        </w:r>
      </w:hyperlink>
      <w:r w:rsidR="004300C7" w:rsidRPr="00207C06">
        <w:rPr>
          <w:sz w:val="22"/>
          <w:szCs w:val="22"/>
        </w:rPr>
        <w:t xml:space="preserve"> </w:t>
      </w:r>
      <w:r w:rsidRPr="00207C06">
        <w:rPr>
          <w:sz w:val="22"/>
          <w:szCs w:val="22"/>
        </w:rPr>
        <w:t xml:space="preserve">found that board size was positively associated with performance. </w:t>
      </w:r>
    </w:p>
    <w:p w14:paraId="1050ACF5" w14:textId="5198D963" w:rsidR="00046D27" w:rsidRPr="009C6860" w:rsidRDefault="00046D27" w:rsidP="00046D27">
      <w:pPr>
        <w:spacing w:before="120" w:after="120"/>
        <w:ind w:firstLine="720"/>
        <w:jc w:val="both"/>
        <w:rPr>
          <w:sz w:val="22"/>
          <w:szCs w:val="22"/>
        </w:rPr>
      </w:pPr>
      <w:r w:rsidRPr="009C6860">
        <w:rPr>
          <w:sz w:val="22"/>
          <w:szCs w:val="22"/>
        </w:rPr>
        <w:t xml:space="preserve">However, there are views and evidence that contradict the above argument. Proponents of agency theory (such as </w:t>
      </w:r>
      <w:hyperlink w:anchor="_ENREF_24" w:tooltip="Eisenberg, 1998 #1325" w:history="1">
        <w:r w:rsidR="002C0B6F" w:rsidRPr="00494CA8">
          <w:rPr>
            <w:sz w:val="22"/>
            <w:szCs w:val="22"/>
          </w:rPr>
          <w:fldChar w:fldCharType="begin"/>
        </w:r>
        <w:r w:rsidR="002C0B6F">
          <w:rPr>
            <w:sz w:val="22"/>
            <w:szCs w:val="22"/>
          </w:rPr>
          <w:instrText xml:space="preserve"> ADDIN EN.CITE &lt;EndNote&gt;&lt;Cite AuthorYear="1"&gt;&lt;Author&gt;Eisenberg&lt;/Author&gt;&lt;Year&gt;1998&lt;/Year&gt;&lt;RecNum&gt;1325&lt;/RecNum&gt;&lt;DisplayText&gt;Eisenberg et al.&lt;style face="superscript"&gt;[24]&lt;/style&gt;&lt;/DisplayText&gt;&lt;record&gt;&lt;rec-number&gt;1325&lt;/rec-number&gt;&lt;foreign-keys&gt;&lt;key app="EN" db-id="eswfvzza29a52ye9xwqpfwwx55tazv55ppxs"&gt;1325&lt;/key&gt;&lt;/foreign-keys&gt;&lt;ref-type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language&gt;ens&lt;/language&gt;&lt;/record&gt;&lt;/Cite&gt;&lt;/EndNote&gt;</w:instrText>
        </w:r>
        <w:r w:rsidR="002C0B6F" w:rsidRPr="00494CA8">
          <w:rPr>
            <w:sz w:val="22"/>
            <w:szCs w:val="22"/>
          </w:rPr>
          <w:fldChar w:fldCharType="separate"/>
        </w:r>
        <w:r w:rsidR="002C0B6F">
          <w:rPr>
            <w:noProof/>
            <w:sz w:val="22"/>
            <w:szCs w:val="22"/>
          </w:rPr>
          <w:t>Eisenberg et al.</w:t>
        </w:r>
        <w:r w:rsidR="002C0B6F" w:rsidRPr="00B462BA">
          <w:rPr>
            <w:noProof/>
            <w:sz w:val="22"/>
            <w:szCs w:val="22"/>
            <w:vertAlign w:val="superscript"/>
          </w:rPr>
          <w:t>[24]</w:t>
        </w:r>
        <w:r w:rsidR="002C0B6F" w:rsidRPr="00494CA8">
          <w:rPr>
            <w:sz w:val="22"/>
            <w:szCs w:val="22"/>
          </w:rPr>
          <w:fldChar w:fldCharType="end"/>
        </w:r>
      </w:hyperlink>
      <w:r w:rsidR="004300C7">
        <w:rPr>
          <w:sz w:val="22"/>
          <w:szCs w:val="22"/>
        </w:rPr>
        <w:t xml:space="preserve"> </w:t>
      </w:r>
      <w:r w:rsidRPr="009C6860">
        <w:rPr>
          <w:sz w:val="22"/>
          <w:szCs w:val="22"/>
        </w:rPr>
        <w:t xml:space="preserve">and </w:t>
      </w:r>
      <w:hyperlink w:anchor="_ENREF_25" w:tooltip="De Andres, 2005 #1326" w:history="1">
        <w:r w:rsidR="002C0B6F" w:rsidRPr="00494CA8">
          <w:rPr>
            <w:sz w:val="22"/>
            <w:szCs w:val="22"/>
          </w:rPr>
          <w:fldChar w:fldCharType="begin"/>
        </w:r>
        <w:r w:rsidR="002C0B6F">
          <w:rPr>
            <w:sz w:val="22"/>
            <w:szCs w:val="22"/>
          </w:rPr>
          <w:instrText xml:space="preserve"> ADDIN EN.CITE &lt;EndNote&gt;&lt;Cite AuthorYear="1"&gt;&lt;Author&gt;De Andres&lt;/Author&gt;&lt;Year&gt;2005&lt;/Year&gt;&lt;RecNum&gt;1326&lt;/RecNum&gt;&lt;DisplayText&gt;De Andres et al.&lt;style face="superscript"&gt;[25]&lt;/style&gt;&lt;/DisplayText&gt;&lt;record&gt;&lt;rec-number&gt;1326&lt;/rec-number&gt;&lt;foreign-keys&gt;&lt;key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2C0B6F" w:rsidRPr="00494CA8">
          <w:rPr>
            <w:sz w:val="22"/>
            <w:szCs w:val="22"/>
          </w:rPr>
          <w:fldChar w:fldCharType="separate"/>
        </w:r>
        <w:r w:rsidR="002C0B6F">
          <w:rPr>
            <w:noProof/>
            <w:sz w:val="22"/>
            <w:szCs w:val="22"/>
          </w:rPr>
          <w:t>De Andres et al.</w:t>
        </w:r>
        <w:r w:rsidR="002C0B6F" w:rsidRPr="00B462BA">
          <w:rPr>
            <w:noProof/>
            <w:sz w:val="22"/>
            <w:szCs w:val="22"/>
            <w:vertAlign w:val="superscript"/>
          </w:rPr>
          <w:t>[25]</w:t>
        </w:r>
        <w:r w:rsidR="002C0B6F" w:rsidRPr="00494CA8">
          <w:rPr>
            <w:sz w:val="22"/>
            <w:szCs w:val="22"/>
          </w:rPr>
          <w:fldChar w:fldCharType="end"/>
        </w:r>
      </w:hyperlink>
      <w:r w:rsidRPr="009C6860">
        <w:rPr>
          <w:sz w:val="22"/>
          <w:szCs w:val="22"/>
        </w:rPr>
        <w:t xml:space="preserve"> argue that larger board sizes are less effective in improving firm performance because new ideas and perspectives are less likely to be effective, less likely to be adopted by the board, and the monitoring process is likely to be less effective.</w:t>
      </w:r>
      <w:hyperlink w:anchor="_ENREF_26" w:tooltip="Jensen, 1993 #1264" w:history="1">
        <w:r w:rsidR="002C0B6F" w:rsidRPr="00494CA8">
          <w:rPr>
            <w:sz w:val="22"/>
            <w:szCs w:val="22"/>
          </w:rPr>
          <w:fldChar w:fldCharType="begin"/>
        </w:r>
        <w:r w:rsidR="002C0B6F">
          <w:rPr>
            <w:sz w:val="22"/>
            <w:szCs w:val="22"/>
          </w:rPr>
          <w:instrText xml:space="preserve"> ADDIN EN.CITE &lt;EndNote&gt;&lt;Cite&gt;&lt;Author&gt;Jensen&lt;/Author&gt;&lt;Year&gt;1993&lt;/Year&gt;&lt;RecNum&gt;1264&lt;/RecNum&gt;&lt;DisplayText&gt;&lt;style face="superscript"&gt;26&lt;/style&gt;&lt;/DisplayText&gt;&lt;record&gt;&lt;rec-number&gt;1264&lt;/rec-number&gt;&lt;foreign-keys&gt;&lt;key app="EN" db-id="eswfvzza29a52ye9xwqpfwwx55tazv55ppxs"&gt;1264&lt;/key&gt;&lt;/foreign-keys&gt;&lt;ref-type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0022-1082&lt;/isbn&gt;&lt;urls&gt;&lt;related-urls&gt;&lt;url&gt;https://onlinelibrary.wiley.com/doi/abs/10.1111/j.1540-6261.1993.tb04022.x&lt;/url&gt;&lt;/related-urls&gt;&lt;/urls&gt;&lt;electronic-resource-num&gt;https://doi.org/10.1111/j.1540-6261.1993.tb04022.x&lt;/electronic-resource-num&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26</w:t>
        </w:r>
        <w:r w:rsidR="002C0B6F" w:rsidRPr="00494CA8">
          <w:rPr>
            <w:sz w:val="22"/>
            <w:szCs w:val="22"/>
          </w:rPr>
          <w:fldChar w:fldCharType="end"/>
        </w:r>
      </w:hyperlink>
      <w:r>
        <w:rPr>
          <w:sz w:val="22"/>
          <w:szCs w:val="22"/>
          <w:vertAlign w:val="superscript"/>
        </w:rPr>
        <w:t>,</w:t>
      </w:r>
      <w:hyperlink w:anchor="_ENREF_27" w:tooltip="Ahmed, 2006 #1324" w:history="1">
        <w:r w:rsidR="002C0B6F" w:rsidRPr="00494CA8">
          <w:rPr>
            <w:sz w:val="22"/>
            <w:szCs w:val="22"/>
          </w:rPr>
          <w:fldChar w:fldCharType="begin"/>
        </w:r>
        <w:r w:rsidR="002C0B6F">
          <w:rPr>
            <w:sz w:val="22"/>
            <w:szCs w:val="22"/>
          </w:rPr>
          <w:instrText xml:space="preserve"> ADDIN EN.CITE &lt;EndNote&gt;&lt;Cite&gt;&lt;Author&gt;Ahmed&lt;/Author&gt;&lt;Year&gt;2006&lt;/Year&gt;&lt;RecNum&gt;1324&lt;/RecNum&gt;&lt;DisplayText&gt;&lt;style face="superscript"&gt;27&lt;/style&gt;&lt;/DisplayText&gt;&lt;record&gt;&lt;rec-number&gt;1324&lt;/rec-number&gt;&lt;foreign-keys&gt;&lt;key app="EN" db-id="eswfvzza29a52ye9xwqpfwwx55tazv55ppxs"&gt;1324&lt;/key&gt;&lt;/foreign-keys&gt;&lt;ref-type name="Journal Article"&gt;17&lt;/ref-type&gt;&lt;contributors&gt;&lt;authors&gt;&lt;author&gt;Ahmed, Kamran&lt;/author&gt;&lt;author&gt;Hossain, Mahmud&lt;/author&gt;&lt;author&gt;Adams, Mike B&lt;/author&gt;&lt;/authors&gt;&lt;/contributors&gt;&lt;titles&gt;&lt;title&gt;The effects of board composition and board size on the informativeness of annual accounting earnings&lt;/title&gt;&lt;secondary-title&gt;Corporate governance: an international review&lt;/secondary-title&gt;&lt;/titles&gt;&lt;periodical&gt;&lt;full-title&gt;Corporate Governance: An International Review&lt;/full-title&gt;&lt;/periodical&gt;&lt;pages&gt;418-431&lt;/pages&gt;&lt;volume&gt;14&lt;/volume&gt;&lt;number&gt;5&lt;/number&gt;&lt;dates&gt;&lt;year&gt;2006&lt;/year&gt;&lt;/dates&gt;&lt;isbn&gt;0964-8410&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27</w:t>
        </w:r>
        <w:r w:rsidR="002C0B6F" w:rsidRPr="00494CA8">
          <w:rPr>
            <w:sz w:val="22"/>
            <w:szCs w:val="22"/>
          </w:rPr>
          <w:fldChar w:fldCharType="end"/>
        </w:r>
      </w:hyperlink>
      <w:r w:rsidRPr="00CA5391">
        <w:rPr>
          <w:sz w:val="22"/>
          <w:szCs w:val="22"/>
          <w:vertAlign w:val="superscript"/>
        </w:rPr>
        <w:t>,</w:t>
      </w:r>
      <w:hyperlink w:anchor="_ENREF_5" w:tooltip="Dalton, 1999 #1323" w:history="1">
        <w:r w:rsidR="002C0B6F" w:rsidRPr="00494CA8">
          <w:rPr>
            <w:sz w:val="22"/>
            <w:szCs w:val="22"/>
          </w:rPr>
          <w:fldChar w:fldCharType="begin"/>
        </w:r>
        <w:r w:rsidR="002C0B6F" w:rsidRPr="00494CA8">
          <w:rPr>
            <w:sz w:val="22"/>
            <w:szCs w:val="22"/>
          </w:rPr>
          <w:instrText xml:space="preserve"> ADDIN EN.CITE &lt;EndNote&gt;&lt;Cite&gt;&lt;Author&gt;Dalton&lt;/Author&gt;&lt;Year&gt;1999&lt;/Year&gt;&lt;RecNum&gt;1323&lt;/RecNum&gt;&lt;DisplayText&gt;&lt;style face="superscript"&gt;5&lt;/style&gt;&lt;/DisplayText&gt;&lt;record&gt;&lt;rec-number&gt;1323&lt;/rec-number&gt;&lt;foreign-keys&gt;&lt;key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5</w:t>
        </w:r>
        <w:r w:rsidR="002C0B6F" w:rsidRPr="00494CA8">
          <w:rPr>
            <w:sz w:val="22"/>
            <w:szCs w:val="22"/>
          </w:rPr>
          <w:fldChar w:fldCharType="end"/>
        </w:r>
      </w:hyperlink>
      <w:r w:rsidR="004300C7">
        <w:rPr>
          <w:sz w:val="22"/>
          <w:szCs w:val="22"/>
          <w:vertAlign w:val="superscript"/>
        </w:rPr>
        <w:t xml:space="preserve"> </w:t>
      </w:r>
      <w:r w:rsidRPr="009C6860">
        <w:rPr>
          <w:sz w:val="22"/>
          <w:szCs w:val="22"/>
        </w:rPr>
        <w:t>Furthermore, larger board sizes may face problems of greater conflict and lower coordination among members leading to slower decision making and delays in information disclosure.</w:t>
      </w:r>
      <w:hyperlink w:anchor="_ENREF_18" w:tooltip="Goodstein, 1994 #1332" w:history="1">
        <w:r w:rsidR="002C0B6F" w:rsidRPr="00494CA8">
          <w:rPr>
            <w:sz w:val="22"/>
            <w:szCs w:val="22"/>
          </w:rPr>
          <w:fldChar w:fldCharType="begin"/>
        </w:r>
        <w:r w:rsidR="002C0B6F">
          <w:rPr>
            <w:sz w:val="22"/>
            <w:szCs w:val="22"/>
          </w:rPr>
          <w:instrText xml:space="preserve"> ADDIN EN.CITE &lt;EndNote&gt;&lt;Cite&gt;&lt;Author&gt;Goodstein&lt;/Author&gt;&lt;Year&gt;1994&lt;/Year&gt;&lt;RecNum&gt;1332&lt;/RecNum&gt;&lt;DisplayText&gt;&lt;style face="superscript"&gt;18&lt;/style&gt;&lt;/DisplayText&gt;&lt;record&gt;&lt;rec-number&gt;1332&lt;/rec-number&gt;&lt;foreign-keys&gt;&lt;key app="EN" db-id="eswfvzza29a52ye9xwqpfwwx55tazv55ppxs"&gt;1332&lt;/key&gt;&lt;/foreign-keys&gt;&lt;ref-type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18</w:t>
        </w:r>
        <w:r w:rsidR="002C0B6F" w:rsidRPr="00494CA8">
          <w:rPr>
            <w:sz w:val="22"/>
            <w:szCs w:val="22"/>
          </w:rPr>
          <w:fldChar w:fldCharType="end"/>
        </w:r>
      </w:hyperlink>
      <w:r w:rsidR="00046224" w:rsidRPr="004300C7">
        <w:rPr>
          <w:sz w:val="22"/>
          <w:szCs w:val="22"/>
          <w:vertAlign w:val="superscript"/>
        </w:rPr>
        <w:t>,</w:t>
      </w:r>
      <w:hyperlink w:anchor="_ENREF_28" w:tooltip="Evans, 1991 #1333" w:history="1">
        <w:r w:rsidR="002C0B6F" w:rsidRPr="00494CA8">
          <w:rPr>
            <w:sz w:val="22"/>
            <w:szCs w:val="22"/>
          </w:rPr>
          <w:fldChar w:fldCharType="begin"/>
        </w:r>
        <w:r w:rsidR="002C0B6F">
          <w:rPr>
            <w:sz w:val="22"/>
            <w:szCs w:val="22"/>
          </w:rPr>
          <w:instrText xml:space="preserve"> ADDIN EN.CITE &lt;EndNote&gt;&lt;Cite&gt;&lt;Author&gt;Evans&lt;/Author&gt;&lt;Year&gt;1991&lt;/Year&gt;&lt;RecNum&gt;1333&lt;/RecNum&gt;&lt;DisplayText&gt;&lt;style face="superscript"&gt;28&lt;/style&gt;&lt;/DisplayText&gt;&lt;record&gt;&lt;rec-number&gt;1333&lt;/rec-number&gt;&lt;foreign-keys&gt;&lt;key app="EN" db-id="eswfvzza29a52ye9xwqpfwwx55tazv55ppxs"&gt;1333&lt;/key&gt;&lt;/foreign-keys&gt;&lt;ref-type name="Journal Article"&gt;17&lt;/ref-type&gt;&lt;contributors&gt;&lt;authors&gt;&lt;author&gt;Evans, Charles R&lt;/author&gt;&lt;author&gt;Dion, Kenneth L&lt;/author&gt;&lt;/authors&gt;&lt;/contributors&gt;&lt;titles&gt;&lt;title&gt;Group cohesion and performance: A meta-analysis&lt;/title&gt;&lt;secondary-title&gt;Small group research&lt;/secondary-title&gt;&lt;/titles&gt;&lt;periodical&gt;&lt;full-title&gt;Small group research&lt;/full-title&gt;&lt;/periodical&gt;&lt;pages&gt;175-186&lt;/pages&gt;&lt;volume&gt;22&lt;/volume&gt;&lt;number&gt;2&lt;/number&gt;&lt;dates&gt;&lt;year&gt;1991&lt;/year&gt;&lt;/dates&gt;&lt;isbn&gt;1046-4964&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28</w:t>
        </w:r>
        <w:r w:rsidR="002C0B6F" w:rsidRPr="00494CA8">
          <w:rPr>
            <w:sz w:val="22"/>
            <w:szCs w:val="22"/>
          </w:rPr>
          <w:fldChar w:fldCharType="end"/>
        </w:r>
      </w:hyperlink>
      <w:r w:rsidRPr="009C6860">
        <w:rPr>
          <w:sz w:val="22"/>
          <w:szCs w:val="22"/>
        </w:rPr>
        <w:t xml:space="preserve"> </w:t>
      </w:r>
      <w:hyperlink w:anchor="_ENREF_3" w:tooltip="Fama, 1983 #1311" w:history="1">
        <w:r w:rsidR="002C0B6F" w:rsidRPr="00494CA8">
          <w:rPr>
            <w:sz w:val="22"/>
            <w:szCs w:val="22"/>
          </w:rPr>
          <w:fldChar w:fldCharType="begin"/>
        </w:r>
        <w:r w:rsidR="002C0B6F">
          <w:rPr>
            <w:sz w:val="22"/>
            <w:szCs w:val="22"/>
          </w:rPr>
          <w:instrText xml:space="preserve"> ADDIN EN.CITE &lt;EndNote&gt;&lt;Cite AuthorYear="1"&gt;&lt;Author&gt;Fama&lt;/Author&gt;&lt;Year&gt;1983&lt;/Year&gt;&lt;RecNum&gt;1311&lt;/RecNum&gt;&lt;DisplayText&gt;Fama and Jensen&lt;style face="superscript"&gt;[3]&lt;/style&gt;&lt;/DisplayText&gt;&lt;record&gt;&lt;rec-number&gt;1311&lt;/rec-number&gt;&lt;foreign-keys&gt;&lt;key app="EN" db-id="eswfvzza29a52ye9xwqpfwwx55tazv55ppxs"&gt;1311&lt;/key&gt;&lt;/foreign-keys&gt;&lt;ref-type name="Journal Article"&gt;17&lt;/ref-type&gt;&lt;contributors&gt;&lt;authors&gt;&lt;author&gt;Fama, Eugene F&lt;/author&gt;&lt;author&gt;Jensen, Michael C&lt;/author&gt;&lt;/authors&gt;&lt;/contributors&gt;&lt;titles&gt;&lt;title&gt;Separation of ownership and control&lt;/title&gt;&lt;secondary-title&gt;The journal of law and Economics&lt;/secondary-title&gt;&lt;/titles&gt;&lt;periodical&gt;&lt;full-title&gt;The journal of law and Economics&lt;/full-title&gt;&lt;/periodical&gt;&lt;pages&gt;301-325&lt;/pages&gt;&lt;volume&gt;26&lt;/volume&gt;&lt;number&gt;2&lt;/number&gt;&lt;dates&gt;&lt;year&gt;1983&lt;/year&gt;&lt;/dates&gt;&lt;isbn&gt;0022-2186&lt;/isbn&gt;&lt;urls&gt;&lt;/urls&gt;&lt;language&gt;ens&lt;/language&gt;&lt;/record&gt;&lt;/Cite&gt;&lt;/EndNote&gt;</w:instrText>
        </w:r>
        <w:r w:rsidR="002C0B6F" w:rsidRPr="00494CA8">
          <w:rPr>
            <w:sz w:val="22"/>
            <w:szCs w:val="22"/>
          </w:rPr>
          <w:fldChar w:fldCharType="separate"/>
        </w:r>
        <w:r w:rsidR="002C0B6F">
          <w:rPr>
            <w:noProof/>
            <w:sz w:val="22"/>
            <w:szCs w:val="22"/>
          </w:rPr>
          <w:t>Fama and Jensen</w:t>
        </w:r>
        <w:r w:rsidR="002C0B6F" w:rsidRPr="00743BD1">
          <w:rPr>
            <w:noProof/>
            <w:sz w:val="22"/>
            <w:szCs w:val="22"/>
            <w:vertAlign w:val="superscript"/>
          </w:rPr>
          <w:t>[3]</w:t>
        </w:r>
        <w:r w:rsidR="002C0B6F" w:rsidRPr="00494CA8">
          <w:rPr>
            <w:sz w:val="22"/>
            <w:szCs w:val="22"/>
          </w:rPr>
          <w:fldChar w:fldCharType="end"/>
        </w:r>
      </w:hyperlink>
      <w:r w:rsidR="004300C7">
        <w:rPr>
          <w:sz w:val="22"/>
          <w:szCs w:val="22"/>
        </w:rPr>
        <w:t xml:space="preserve"> </w:t>
      </w:r>
      <w:r w:rsidRPr="009C6860">
        <w:rPr>
          <w:sz w:val="22"/>
          <w:szCs w:val="22"/>
        </w:rPr>
        <w:t xml:space="preserve">argue that smaller boards are more effective and when boards exceed seven or eight members, they are less likely to be effective. </w:t>
      </w:r>
      <w:r w:rsidR="00046224">
        <w:rPr>
          <w:sz w:val="22"/>
          <w:szCs w:val="22"/>
        </w:rPr>
        <w:t xml:space="preserve">Based on a sample of 879 small and medium-sized companies in Finland from 1992–1994, </w:t>
      </w:r>
      <w:hyperlink w:anchor="_ENREF_24" w:tooltip="Eisenberg, 1998 #1325" w:history="1">
        <w:r w:rsidR="002C0B6F" w:rsidRPr="00494CA8">
          <w:rPr>
            <w:sz w:val="22"/>
            <w:szCs w:val="22"/>
          </w:rPr>
          <w:fldChar w:fldCharType="begin"/>
        </w:r>
        <w:r w:rsidR="002C0B6F">
          <w:rPr>
            <w:sz w:val="22"/>
            <w:szCs w:val="22"/>
          </w:rPr>
          <w:instrText xml:space="preserve"> ADDIN EN.CITE &lt;EndNote&gt;&lt;Cite AuthorYear="1"&gt;&lt;Author&gt;Eisenberg&lt;/Author&gt;&lt;Year&gt;1998&lt;/Year&gt;&lt;RecNum&gt;1325&lt;/RecNum&gt;&lt;DisplayText&gt;Eisenberg et al &lt;style face="superscript"&gt;[24]&lt;/style&gt;&lt;/DisplayText&gt;&lt;record&gt;&lt;rec-number&gt;1325&lt;/rec-number&gt;&lt;foreign-keys&gt;&lt;key app="EN" db-id="eswfvzza29a52ye9xwqpfwwx55tazv55ppxs"&gt;1325&lt;/key&gt;&lt;/foreign-keys&gt;&lt;ref-type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language&gt;ens&lt;/language&gt;&lt;/record&gt;&lt;/Cite&gt;&lt;/EndNote&gt;</w:instrText>
        </w:r>
        <w:r w:rsidR="002C0B6F" w:rsidRPr="00494CA8">
          <w:rPr>
            <w:sz w:val="22"/>
            <w:szCs w:val="22"/>
          </w:rPr>
          <w:fldChar w:fldCharType="separate"/>
        </w:r>
        <w:r w:rsidR="002C0B6F">
          <w:rPr>
            <w:noProof/>
            <w:sz w:val="22"/>
            <w:szCs w:val="22"/>
          </w:rPr>
          <w:t xml:space="preserve">Eisenberg et al </w:t>
        </w:r>
        <w:r w:rsidR="002C0B6F" w:rsidRPr="00B462BA">
          <w:rPr>
            <w:noProof/>
            <w:sz w:val="22"/>
            <w:szCs w:val="22"/>
            <w:vertAlign w:val="superscript"/>
          </w:rPr>
          <w:t>[24]</w:t>
        </w:r>
        <w:r w:rsidR="002C0B6F" w:rsidRPr="00494CA8">
          <w:rPr>
            <w:sz w:val="22"/>
            <w:szCs w:val="22"/>
          </w:rPr>
          <w:fldChar w:fldCharType="end"/>
        </w:r>
      </w:hyperlink>
      <w:r w:rsidR="004300C7">
        <w:rPr>
          <w:sz w:val="22"/>
          <w:szCs w:val="22"/>
        </w:rPr>
        <w:t xml:space="preserve"> </w:t>
      </w:r>
      <w:r w:rsidRPr="009C6860">
        <w:rPr>
          <w:sz w:val="22"/>
          <w:szCs w:val="22"/>
        </w:rPr>
        <w:t xml:space="preserve">also found a significant negative correlation between board size (ranging from two to nine, with an average of 3.7 members) and return on assets (ROA), and return on sales (ROS). According to the authors, performance declines for boards of three, four, and five members. This is lower than the optimal board size proposed in the previous hypothesis although these hypotheses tend to focus on larger companies. </w:t>
      </w:r>
      <w:r w:rsidR="00BC5F7E">
        <w:rPr>
          <w:sz w:val="22"/>
          <w:szCs w:val="22"/>
        </w:rPr>
        <w:t>It means that</w:t>
      </w:r>
      <w:r w:rsidRPr="009C6860">
        <w:rPr>
          <w:sz w:val="22"/>
          <w:szCs w:val="22"/>
        </w:rPr>
        <w:t xml:space="preserve"> this effect may exist in small firms where there is less separation between ownership and control than in large firms. This result supports the argument that small board size is more effective in improving performance. </w:t>
      </w:r>
      <w:hyperlink w:anchor="_ENREF_29" w:tooltip="Hermalin, 2001 #1312" w:history="1">
        <w:r w:rsidR="002C0B6F" w:rsidRPr="00494CA8">
          <w:rPr>
            <w:sz w:val="22"/>
            <w:szCs w:val="22"/>
          </w:rPr>
          <w:fldChar w:fldCharType="begin"/>
        </w:r>
        <w:r w:rsidR="002C0B6F">
          <w:rPr>
            <w:sz w:val="22"/>
            <w:szCs w:val="22"/>
          </w:rPr>
          <w:instrText xml:space="preserve"> ADDIN EN.CITE &lt;EndNote&gt;&lt;Cite AuthorYear="1"&gt;&lt;Author&gt;Hermalin&lt;/Author&gt;&lt;Year&gt;2001&lt;/Year&gt;&lt;RecNum&gt;1312&lt;/RecNum&gt;&lt;DisplayText&gt;Hermalin and Weisbach&lt;style face="superscript"&gt;[29]&lt;/style&gt;&lt;/DisplayText&gt;&lt;record&gt;&lt;rec-number&gt;1312&lt;/rec-number&gt;&lt;foreign-keys&gt;&lt;key app="EN" db-id="eswfvzza29a52ye9xwqpfwwx55tazv55ppxs"&gt;1312&lt;/key&gt;&lt;/foreign-keys&gt;&lt;ref-type name="Journal Article"&gt;17&lt;/ref-type&gt;&lt;contributors&gt;&lt;authors&gt;&lt;author&gt;Hermalin, Benjamin&lt;/author&gt;&lt;author&gt;Weisbach, Michael S&lt;/author&gt;&lt;/authors&gt;&lt;/contributors&gt;&lt;titles&gt;&lt;title&gt;Boards of directors as an endogenously determined institution: A survey of the economic literature&lt;/title&gt;&lt;/titles&gt;&lt;dates&gt;&lt;year&gt;2001&lt;/year&gt;&lt;/dates&gt;&lt;urls&gt;&lt;/urls&gt;&lt;language&gt;ens&lt;/language&gt;&lt;/record&gt;&lt;/Cite&gt;&lt;/EndNote&gt;</w:instrText>
        </w:r>
        <w:r w:rsidR="002C0B6F" w:rsidRPr="00494CA8">
          <w:rPr>
            <w:sz w:val="22"/>
            <w:szCs w:val="22"/>
          </w:rPr>
          <w:fldChar w:fldCharType="separate"/>
        </w:r>
        <w:r w:rsidR="002C0B6F">
          <w:rPr>
            <w:noProof/>
            <w:sz w:val="22"/>
            <w:szCs w:val="22"/>
          </w:rPr>
          <w:t>Hermalin and Weisbach</w:t>
        </w:r>
        <w:r w:rsidR="002C0B6F" w:rsidRPr="00B462BA">
          <w:rPr>
            <w:noProof/>
            <w:sz w:val="22"/>
            <w:szCs w:val="22"/>
            <w:vertAlign w:val="superscript"/>
          </w:rPr>
          <w:t>[29]</w:t>
        </w:r>
        <w:r w:rsidR="002C0B6F" w:rsidRPr="00494CA8">
          <w:rPr>
            <w:sz w:val="22"/>
            <w:szCs w:val="22"/>
          </w:rPr>
          <w:fldChar w:fldCharType="end"/>
        </w:r>
      </w:hyperlink>
      <w:r w:rsidR="004300C7">
        <w:rPr>
          <w:sz w:val="22"/>
          <w:szCs w:val="22"/>
        </w:rPr>
        <w:t xml:space="preserve"> </w:t>
      </w:r>
      <w:proofErr w:type="gramStart"/>
      <w:r w:rsidRPr="009C6860">
        <w:rPr>
          <w:sz w:val="22"/>
          <w:szCs w:val="22"/>
        </w:rPr>
        <w:t>agree</w:t>
      </w:r>
      <w:proofErr w:type="gramEnd"/>
      <w:r w:rsidRPr="009C6860">
        <w:rPr>
          <w:sz w:val="22"/>
          <w:szCs w:val="22"/>
        </w:rPr>
        <w:t xml:space="preserve"> that larger board size may make it difficult for members to apply their knowledge and skills effectively. </w:t>
      </w:r>
      <w:hyperlink w:anchor="_ENREF_25" w:tooltip="De Andres, 2005 #1326" w:history="1">
        <w:r w:rsidR="002C0B6F" w:rsidRPr="00494CA8">
          <w:rPr>
            <w:sz w:val="22"/>
            <w:szCs w:val="22"/>
          </w:rPr>
          <w:fldChar w:fldCharType="begin"/>
        </w:r>
        <w:r w:rsidR="002C0B6F">
          <w:rPr>
            <w:sz w:val="22"/>
            <w:szCs w:val="22"/>
          </w:rPr>
          <w:instrText xml:space="preserve"> ADDIN EN.CITE &lt;EndNote&gt;&lt;Cite AuthorYear="1"&gt;&lt;Author&gt;De Andres&lt;/Author&gt;&lt;Year&gt;2005&lt;/Year&gt;&lt;RecNum&gt;1326&lt;/RecNum&gt;&lt;DisplayText&gt;De Andres et al &lt;style face="superscript"&gt;[25]&lt;/style&gt;&lt;/DisplayText&gt;&lt;record&gt;&lt;rec-number&gt;1326&lt;/rec-number&gt;&lt;foreign-keys&gt;&lt;key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2C0B6F" w:rsidRPr="00494CA8">
          <w:rPr>
            <w:sz w:val="22"/>
            <w:szCs w:val="22"/>
          </w:rPr>
          <w:fldChar w:fldCharType="separate"/>
        </w:r>
        <w:r w:rsidR="002C0B6F">
          <w:rPr>
            <w:noProof/>
            <w:sz w:val="22"/>
            <w:szCs w:val="22"/>
          </w:rPr>
          <w:t xml:space="preserve">De Andres et al </w:t>
        </w:r>
        <w:r w:rsidR="002C0B6F" w:rsidRPr="00B462BA">
          <w:rPr>
            <w:noProof/>
            <w:sz w:val="22"/>
            <w:szCs w:val="22"/>
            <w:vertAlign w:val="superscript"/>
          </w:rPr>
          <w:t>[25]</w:t>
        </w:r>
        <w:r w:rsidR="002C0B6F" w:rsidRPr="00494CA8">
          <w:rPr>
            <w:sz w:val="22"/>
            <w:szCs w:val="22"/>
          </w:rPr>
          <w:fldChar w:fldCharType="end"/>
        </w:r>
      </w:hyperlink>
      <w:r w:rsidR="004300C7">
        <w:rPr>
          <w:sz w:val="22"/>
          <w:szCs w:val="22"/>
        </w:rPr>
        <w:t xml:space="preserve"> </w:t>
      </w:r>
      <w:proofErr w:type="gramStart"/>
      <w:r w:rsidRPr="009C6860">
        <w:rPr>
          <w:sz w:val="22"/>
          <w:szCs w:val="22"/>
        </w:rPr>
        <w:t>find</w:t>
      </w:r>
      <w:proofErr w:type="gramEnd"/>
      <w:r w:rsidRPr="009C6860">
        <w:rPr>
          <w:sz w:val="22"/>
          <w:szCs w:val="22"/>
        </w:rPr>
        <w:t xml:space="preserve"> a negative relationship between board size and performance in a sample of 450 firms from 10 countries in Western Europe and North America. This result supports the view that large board size reduces performance both in countries where internal governance mechanisms are dominant and in countries where external governance mechanisms </w:t>
      </w:r>
      <w:r w:rsidRPr="009C6860">
        <w:rPr>
          <w:sz w:val="22"/>
          <w:szCs w:val="22"/>
        </w:rPr>
        <w:lastRenderedPageBreak/>
        <w:t xml:space="preserve">are dominant. </w:t>
      </w:r>
      <w:hyperlink w:anchor="_ENREF_30" w:tooltip="Mak, 2005 #1334" w:history="1">
        <w:r w:rsidR="002C0B6F" w:rsidRPr="00494CA8">
          <w:rPr>
            <w:sz w:val="22"/>
            <w:szCs w:val="22"/>
          </w:rPr>
          <w:fldChar w:fldCharType="begin"/>
        </w:r>
        <w:r w:rsidR="002C0B6F">
          <w:rPr>
            <w:sz w:val="22"/>
            <w:szCs w:val="22"/>
          </w:rPr>
          <w:instrText xml:space="preserve"> ADDIN EN.CITE &lt;EndNote&gt;&lt;Cite AuthorYear="1"&gt;&lt;Author&gt;Mak&lt;/Author&gt;&lt;Year&gt;2005&lt;/Year&gt;&lt;RecNum&gt;1334&lt;/RecNum&gt;&lt;DisplayText&gt;Mak and Kusnadi&lt;style face="superscript"&gt;[30]&lt;/style&gt;&lt;/DisplayText&gt;&lt;record&gt;&lt;rec-number&gt;1334&lt;/rec-number&gt;&lt;foreign-keys&gt;&lt;key app="EN" db-id="eswfvzza29a52ye9xwqpfwwx55tazv55ppxs"&gt;1334&lt;/key&gt;&lt;/foreign-keys&gt;&lt;ref-type name="Journal Article"&gt;17&lt;/ref-type&gt;&lt;contributors&gt;&lt;authors&gt;&lt;author&gt;Mak, Yuen Teen&lt;/author&gt;&lt;author&gt;Kusnadi, Yuanto&lt;/author&gt;&lt;/authors&gt;&lt;/contributors&gt;&lt;titles&gt;&lt;title&gt;Size really matters: Further evidence on the negative relationship between board size and firm value&lt;/title&gt;&lt;secondary-title&gt;Pacific-Basin finance journal&lt;/secondary-title&gt;&lt;/titles&gt;&lt;periodical&gt;&lt;full-title&gt;Pacific-Basin Finance Journal&lt;/full-title&gt;&lt;/periodical&gt;&lt;pages&gt;301-318&lt;/pages&gt;&lt;volume&gt;13&lt;/volume&gt;&lt;number&gt;3&lt;/number&gt;&lt;dates&gt;&lt;year&gt;2005&lt;/year&gt;&lt;/dates&gt;&lt;isbn&gt;0927-538X&lt;/isbn&gt;&lt;urls&gt;&lt;/urls&gt;&lt;language&gt;ens&lt;/language&gt;&lt;/record&gt;&lt;/Cite&gt;&lt;/EndNote&gt;</w:instrText>
        </w:r>
        <w:r w:rsidR="002C0B6F" w:rsidRPr="00494CA8">
          <w:rPr>
            <w:sz w:val="22"/>
            <w:szCs w:val="22"/>
          </w:rPr>
          <w:fldChar w:fldCharType="separate"/>
        </w:r>
        <w:r w:rsidR="002C0B6F">
          <w:rPr>
            <w:noProof/>
            <w:sz w:val="22"/>
            <w:szCs w:val="22"/>
          </w:rPr>
          <w:t>Mak and Kusnadi</w:t>
        </w:r>
        <w:r w:rsidR="002C0B6F" w:rsidRPr="00B462BA">
          <w:rPr>
            <w:noProof/>
            <w:sz w:val="22"/>
            <w:szCs w:val="22"/>
            <w:vertAlign w:val="superscript"/>
          </w:rPr>
          <w:t>[30]</w:t>
        </w:r>
        <w:r w:rsidR="002C0B6F" w:rsidRPr="00494CA8">
          <w:rPr>
            <w:sz w:val="22"/>
            <w:szCs w:val="22"/>
          </w:rPr>
          <w:fldChar w:fldCharType="end"/>
        </w:r>
      </w:hyperlink>
      <w:r w:rsidR="004300C7">
        <w:rPr>
          <w:sz w:val="22"/>
          <w:szCs w:val="22"/>
        </w:rPr>
        <w:t xml:space="preserve"> </w:t>
      </w:r>
      <w:proofErr w:type="gramStart"/>
      <w:r w:rsidRPr="009C6860">
        <w:rPr>
          <w:sz w:val="22"/>
          <w:szCs w:val="22"/>
        </w:rPr>
        <w:t>provide</w:t>
      </w:r>
      <w:proofErr w:type="gramEnd"/>
      <w:r w:rsidRPr="009C6860">
        <w:rPr>
          <w:sz w:val="22"/>
          <w:szCs w:val="22"/>
        </w:rPr>
        <w:t xml:space="preserve"> additional evidence of an inverse relationship between board size and firm performance in Singapore and Malaysia. Based on a sample of 176 firms listed on the Bombay Stock Exchange (India) in 2008 and 2009, </w:t>
      </w:r>
      <w:hyperlink w:anchor="_ENREF_6" w:tooltip="Kumar, 2013 #1320" w:history="1">
        <w:r w:rsidR="002C0B6F" w:rsidRPr="00494CA8">
          <w:rPr>
            <w:sz w:val="22"/>
            <w:szCs w:val="22"/>
          </w:rPr>
          <w:fldChar w:fldCharType="begin"/>
        </w:r>
        <w:r w:rsidR="002C0B6F">
          <w:rPr>
            <w:sz w:val="22"/>
            <w:szCs w:val="22"/>
          </w:rPr>
          <w:instrText xml:space="preserve"> ADDIN EN.CITE &lt;EndNote&gt;&lt;Cite AuthorYear="1"&gt;&lt;Author&gt;Kumar&lt;/Author&gt;&lt;Year&gt;2013&lt;/Year&gt;&lt;RecNum&gt;1320&lt;/RecNum&gt;&lt;DisplayText&gt;Kumar and Singh&lt;style face="superscript"&gt;[6]&lt;/style&gt;&lt;/DisplayText&gt;&lt;record&gt;&lt;rec-number&gt;1320&lt;/rec-number&gt;&lt;foreign-keys&gt;&lt;key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2C0B6F" w:rsidRPr="00494CA8">
          <w:rPr>
            <w:sz w:val="22"/>
            <w:szCs w:val="22"/>
          </w:rPr>
          <w:fldChar w:fldCharType="separate"/>
        </w:r>
        <w:r w:rsidR="002C0B6F">
          <w:rPr>
            <w:noProof/>
            <w:sz w:val="22"/>
            <w:szCs w:val="22"/>
          </w:rPr>
          <w:t>Kumar and Singh</w:t>
        </w:r>
        <w:r w:rsidR="002C0B6F" w:rsidRPr="00743BD1">
          <w:rPr>
            <w:noProof/>
            <w:sz w:val="22"/>
            <w:szCs w:val="22"/>
            <w:vertAlign w:val="superscript"/>
          </w:rPr>
          <w:t>[6]</w:t>
        </w:r>
        <w:r w:rsidR="002C0B6F" w:rsidRPr="00494CA8">
          <w:rPr>
            <w:sz w:val="22"/>
            <w:szCs w:val="22"/>
          </w:rPr>
          <w:fldChar w:fldCharType="end"/>
        </w:r>
      </w:hyperlink>
      <w:r w:rsidR="004300C7">
        <w:rPr>
          <w:sz w:val="22"/>
          <w:szCs w:val="22"/>
        </w:rPr>
        <w:t xml:space="preserve"> </w:t>
      </w:r>
      <w:r w:rsidR="005B6CEF" w:rsidRPr="009C6860">
        <w:rPr>
          <w:sz w:val="22"/>
          <w:szCs w:val="22"/>
        </w:rPr>
        <w:t xml:space="preserve">found a significant negative relationship between board size and performance, and this effect was weaker for firms with smaller board sizes. </w:t>
      </w:r>
      <w:hyperlink w:anchor="_ENREF_15" w:tooltip="Vo Duc, 2013 #1350" w:history="1">
        <w:r w:rsidR="002C0B6F" w:rsidRPr="00494CA8">
          <w:rPr>
            <w:sz w:val="22"/>
            <w:szCs w:val="22"/>
          </w:rPr>
          <w:fldChar w:fldCharType="begin"/>
        </w:r>
        <w:r w:rsidR="002C0B6F">
          <w:rPr>
            <w:sz w:val="22"/>
            <w:szCs w:val="22"/>
          </w:rPr>
          <w:instrText xml:space="preserve"> ADDIN EN.CITE &lt;EndNote&gt;&lt;Cite AuthorYear="1"&gt;&lt;Author&gt;Vo&lt;/Author&gt;&lt;Year&gt;2013&lt;/Year&gt;&lt;RecNum&gt;1350&lt;/RecNum&gt;&lt;DisplayText&gt;Vo Duc and Phan Thuy&lt;style face="superscript"&gt;[15]&lt;/style&gt;&lt;/DisplayText&gt;&lt;record&gt;&lt;rec-number&gt;1350&lt;/rec-number&gt;&lt;foreign-keys&gt;&lt;key app="EN" db-id="eswfvzza29a52ye9xwqpfwwx55tazv55ppxs"&gt;1350&lt;/key&gt;&lt;/foreign-keys&gt;&lt;ref-type name="Journal Article"&gt;17&lt;/ref-type&gt;&lt;contributors&gt;&lt;authors&gt;&lt;author&gt;Vo Duc,&lt;/author&gt;&lt;author&gt;Phan Thuy,&lt;/author&gt;&lt;/authors&gt;&lt;/contributors&gt;&lt;titles&gt;&lt;title&gt;Corporate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002C0B6F" w:rsidRPr="00494CA8">
          <w:rPr>
            <w:sz w:val="22"/>
            <w:szCs w:val="22"/>
          </w:rPr>
          <w:fldChar w:fldCharType="separate"/>
        </w:r>
        <w:r w:rsidR="002C0B6F">
          <w:rPr>
            <w:noProof/>
            <w:sz w:val="22"/>
            <w:szCs w:val="22"/>
          </w:rPr>
          <w:t>Vo Duc and Phan Thuy</w:t>
        </w:r>
        <w:r w:rsidR="002C0B6F" w:rsidRPr="00B462BA">
          <w:rPr>
            <w:noProof/>
            <w:sz w:val="22"/>
            <w:szCs w:val="22"/>
            <w:vertAlign w:val="superscript"/>
          </w:rPr>
          <w:t>[15]</w:t>
        </w:r>
        <w:r w:rsidR="002C0B6F" w:rsidRPr="00494CA8">
          <w:rPr>
            <w:sz w:val="22"/>
            <w:szCs w:val="22"/>
          </w:rPr>
          <w:fldChar w:fldCharType="end"/>
        </w:r>
      </w:hyperlink>
      <w:r w:rsidR="004300C7">
        <w:rPr>
          <w:sz w:val="22"/>
          <w:szCs w:val="22"/>
        </w:rPr>
        <w:t xml:space="preserve"> </w:t>
      </w:r>
      <w:proofErr w:type="gramStart"/>
      <w:r w:rsidRPr="00587474">
        <w:rPr>
          <w:sz w:val="22"/>
          <w:szCs w:val="22"/>
        </w:rPr>
        <w:t>conducted</w:t>
      </w:r>
      <w:proofErr w:type="gramEnd"/>
      <w:r w:rsidRPr="00587474">
        <w:rPr>
          <w:sz w:val="22"/>
          <w:szCs w:val="22"/>
        </w:rPr>
        <w:t xml:space="preserve"> an in-depth examination of the impact of corporate governance characteristics on the performance of 77 listed firms in Vietnam from 2006 to 2011 using the </w:t>
      </w:r>
      <w:r w:rsidR="00DA5415">
        <w:rPr>
          <w:sz w:val="22"/>
          <w:szCs w:val="22"/>
        </w:rPr>
        <w:t>Feasible</w:t>
      </w:r>
      <w:r w:rsidRPr="00587474">
        <w:rPr>
          <w:sz w:val="22"/>
          <w:szCs w:val="22"/>
        </w:rPr>
        <w:t xml:space="preserve"> </w:t>
      </w:r>
      <w:r w:rsidR="00DA5415">
        <w:rPr>
          <w:sz w:val="22"/>
          <w:szCs w:val="22"/>
        </w:rPr>
        <w:t>G</w:t>
      </w:r>
      <w:r w:rsidRPr="00587474">
        <w:rPr>
          <w:sz w:val="22"/>
          <w:szCs w:val="22"/>
        </w:rPr>
        <w:t xml:space="preserve">eneralized </w:t>
      </w:r>
      <w:r w:rsidR="00DA5415">
        <w:rPr>
          <w:sz w:val="22"/>
          <w:szCs w:val="22"/>
        </w:rPr>
        <w:t>Least S</w:t>
      </w:r>
      <w:r w:rsidRPr="00587474">
        <w:rPr>
          <w:sz w:val="22"/>
          <w:szCs w:val="22"/>
        </w:rPr>
        <w:t xml:space="preserve">quares (FGLS) method. The findings of indicate that board size has a negative impact on performance. Similarly, </w:t>
      </w:r>
      <w:hyperlink w:anchor="_ENREF_16" w:tooltip="Pham Thi Kieu Trang, 2016 #1352" w:history="1">
        <w:r w:rsidR="002C0B6F" w:rsidRPr="00494CA8">
          <w:rPr>
            <w:sz w:val="22"/>
            <w:szCs w:val="22"/>
          </w:rPr>
          <w:fldChar w:fldCharType="begin"/>
        </w:r>
        <w:r w:rsidR="002C0B6F">
          <w:rPr>
            <w:sz w:val="22"/>
            <w:szCs w:val="22"/>
          </w:rPr>
          <w:instrText xml:space="preserve"> ADDIN EN.CITE &lt;EndNote&gt;&lt;Cite AuthorYear="1"&gt;&lt;Author&gt;Pham&lt;/Author&gt;&lt;Year&gt;2016&lt;/Year&gt;&lt;RecNum&gt;1352&lt;/RecNum&gt;&lt;DisplayText&gt;Pham Thi Kieu Trang&lt;style face="superscript"&gt;[16]&lt;/style&gt;&lt;/DisplayText&gt;&lt;record&gt;&lt;rec-number&gt;1352&lt;/rec-number&gt;&lt;foreign-keys&gt;&lt;key app="EN" db-id="eswfvzza29a52ye9xwqpfwwx55tazv55ppxs"&gt;1352&lt;/key&gt;&lt;/foreign-keys&gt;&lt;ref-type name="Journal Article"&gt;17&lt;/ref-type&gt;&lt;contributors&gt;&lt;authors&gt;&lt;author&gt;Pham Thi Kieu Trang,&lt;/author&gt;&lt;/authors&gt;&lt;/contributors&gt;&lt;titles&gt;&lt;title&gt;Research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002C0B6F" w:rsidRPr="00494CA8">
          <w:rPr>
            <w:sz w:val="22"/>
            <w:szCs w:val="22"/>
          </w:rPr>
          <w:fldChar w:fldCharType="separate"/>
        </w:r>
        <w:r w:rsidR="002C0B6F">
          <w:rPr>
            <w:noProof/>
            <w:sz w:val="22"/>
            <w:szCs w:val="22"/>
          </w:rPr>
          <w:t>Pham Thi Kieu Trang</w:t>
        </w:r>
        <w:r w:rsidR="002C0B6F" w:rsidRPr="00B462BA">
          <w:rPr>
            <w:noProof/>
            <w:sz w:val="22"/>
            <w:szCs w:val="22"/>
            <w:vertAlign w:val="superscript"/>
          </w:rPr>
          <w:t>[16]</w:t>
        </w:r>
        <w:r w:rsidR="002C0B6F" w:rsidRPr="00494CA8">
          <w:rPr>
            <w:sz w:val="22"/>
            <w:szCs w:val="22"/>
          </w:rPr>
          <w:fldChar w:fldCharType="end"/>
        </w:r>
      </w:hyperlink>
      <w:r w:rsidR="004300C7">
        <w:rPr>
          <w:sz w:val="22"/>
          <w:szCs w:val="22"/>
        </w:rPr>
        <w:t xml:space="preserve"> </w:t>
      </w:r>
      <w:r w:rsidRPr="00587474">
        <w:rPr>
          <w:sz w:val="22"/>
          <w:szCs w:val="22"/>
        </w:rPr>
        <w:t xml:space="preserve">also found evidence that board size has a negative impact on return on assets (ROA) and Tobin's Q of 189 listed companies during the period </w:t>
      </w:r>
      <w:r w:rsidR="00187B1F">
        <w:rPr>
          <w:sz w:val="22"/>
          <w:szCs w:val="22"/>
        </w:rPr>
        <w:t>from 2011 to</w:t>
      </w:r>
      <w:r w:rsidRPr="00587474">
        <w:rPr>
          <w:sz w:val="22"/>
          <w:szCs w:val="22"/>
        </w:rPr>
        <w:t xml:space="preserve"> 2014.</w:t>
      </w:r>
    </w:p>
    <w:p w14:paraId="0207E150" w14:textId="5A6E5336" w:rsidR="00046D27" w:rsidRDefault="00046D27" w:rsidP="00187B1F">
      <w:pPr>
        <w:spacing w:before="120" w:after="120"/>
        <w:ind w:firstLine="567"/>
        <w:jc w:val="both"/>
        <w:rPr>
          <w:sz w:val="22"/>
          <w:szCs w:val="22"/>
        </w:rPr>
      </w:pPr>
      <w:r w:rsidRPr="009C6860">
        <w:rPr>
          <w:sz w:val="22"/>
          <w:szCs w:val="22"/>
        </w:rPr>
        <w:t xml:space="preserve">After controlling for the determinants of board characteristics, </w:t>
      </w:r>
      <w:hyperlink w:anchor="_ENREF_21" w:tooltip="Lehn, 2009 #1321" w:history="1">
        <w:r w:rsidR="002C0B6F" w:rsidRPr="00494CA8">
          <w:rPr>
            <w:sz w:val="22"/>
            <w:szCs w:val="22"/>
          </w:rPr>
          <w:fldChar w:fldCharType="begin"/>
        </w:r>
        <w:r w:rsidR="002C0B6F">
          <w:rPr>
            <w:sz w:val="22"/>
            <w:szCs w:val="22"/>
          </w:rPr>
          <w:instrText xml:space="preserve"> ADDIN EN.CITE &lt;EndNote&gt;&lt;Cite AuthorYear="1"&gt;&lt;Author&gt;Lehn&lt;/Author&gt;&lt;Year&gt;2009&lt;/Year&gt;&lt;RecNum&gt;1321&lt;/RecNum&gt;&lt;DisplayText&gt;Lehn et al &lt;style face="superscript"&gt;[21]&lt;/style&gt;&lt;/DisplayText&gt;&lt;record&gt;&lt;rec-number&gt;1321&lt;/rec-number&gt;&lt;foreign-keys&gt;&lt;key app="EN" db-id="eswfvzza29a52ye9xwqpfwwx55tazv55ppxs"&gt;1321&lt;/key&gt;&lt;/foreign-keys&gt;&lt;ref-type name="Journal Article"&gt;17&lt;/ref-type&gt;&lt;contributors&gt;&lt;authors&gt;&lt;author&gt;Lehn, Kenneth M&lt;/author&gt;&lt;author&gt;Patro, Sukesh&lt;/author&gt;&lt;author&gt;Zhao, Mengxin&lt;/author&gt;&lt;/authors&gt;&lt;/contributors&gt;&lt;titles&gt;&lt;title&gt;Determinants of the size and composition of US corporate boards: 1935</w:instrText>
        </w:r>
        <w:r w:rsidR="002C0B6F">
          <w:rPr>
            <w:rFonts w:ascii="Cambria Math" w:hAnsi="Cambria Math" w:cs="Cambria Math"/>
            <w:sz w:val="22"/>
            <w:szCs w:val="22"/>
          </w:rPr>
          <w:instrText>‐</w:instrText>
        </w:r>
        <w:r w:rsidR="002C0B6F">
          <w:rPr>
            <w:sz w:val="22"/>
            <w:szCs w:val="22"/>
          </w:rPr>
          <w:instrText>2000&lt;/title&gt;&lt;secondary-title&gt;Financial management&lt;/secondary-title&gt;&lt;/titles&gt;&lt;periodical&gt;&lt;full-title&gt;Financial Management&lt;/full-title&gt;&lt;/periodical&gt;&lt;pages&gt;747-780&lt;/pages&gt;&lt;volume&gt;38&lt;/volume&gt;&lt;number&gt;4&lt;/number&gt;&lt;dates&gt;&lt;year&gt;2009&lt;/year&gt;&lt;/dates&gt;&lt;isbn&gt;0046-3892&lt;/isbn&gt;&lt;urls&gt;&lt;/urls&gt;&lt;language&gt;ens&lt;/language&gt;&lt;/record&gt;&lt;/Cite&gt;&lt;/EndNote&gt;</w:instrText>
        </w:r>
        <w:r w:rsidR="002C0B6F" w:rsidRPr="00494CA8">
          <w:rPr>
            <w:sz w:val="22"/>
            <w:szCs w:val="22"/>
          </w:rPr>
          <w:fldChar w:fldCharType="separate"/>
        </w:r>
        <w:r w:rsidR="002C0B6F">
          <w:rPr>
            <w:noProof/>
            <w:sz w:val="22"/>
            <w:szCs w:val="22"/>
          </w:rPr>
          <w:t xml:space="preserve">Lehn et al </w:t>
        </w:r>
        <w:r w:rsidR="002C0B6F" w:rsidRPr="00B462BA">
          <w:rPr>
            <w:noProof/>
            <w:sz w:val="22"/>
            <w:szCs w:val="22"/>
            <w:vertAlign w:val="superscript"/>
          </w:rPr>
          <w:t>[21]</w:t>
        </w:r>
        <w:r w:rsidR="002C0B6F" w:rsidRPr="00494CA8">
          <w:rPr>
            <w:sz w:val="22"/>
            <w:szCs w:val="22"/>
          </w:rPr>
          <w:fldChar w:fldCharType="end"/>
        </w:r>
      </w:hyperlink>
      <w:r w:rsidR="004300C7">
        <w:rPr>
          <w:sz w:val="22"/>
          <w:szCs w:val="22"/>
        </w:rPr>
        <w:t xml:space="preserve"> </w:t>
      </w:r>
      <w:r>
        <w:rPr>
          <w:sz w:val="22"/>
          <w:szCs w:val="22"/>
        </w:rPr>
        <w:t xml:space="preserve">found no evidence of a strong relationship between board size and performance for 82 US firms over the period </w:t>
      </w:r>
      <w:r w:rsidR="00187B1F">
        <w:rPr>
          <w:sz w:val="22"/>
          <w:szCs w:val="22"/>
        </w:rPr>
        <w:t xml:space="preserve">from 1935 to </w:t>
      </w:r>
      <w:r>
        <w:rPr>
          <w:sz w:val="22"/>
          <w:szCs w:val="22"/>
        </w:rPr>
        <w:t xml:space="preserve">2000. </w:t>
      </w:r>
      <w:proofErr w:type="spellStart"/>
      <w:r>
        <w:rPr>
          <w:sz w:val="22"/>
          <w:szCs w:val="22"/>
        </w:rPr>
        <w:t>Aljifri</w:t>
      </w:r>
      <w:proofErr w:type="spellEnd"/>
      <w:r>
        <w:rPr>
          <w:sz w:val="22"/>
          <w:szCs w:val="22"/>
        </w:rPr>
        <w:t xml:space="preserve"> and </w:t>
      </w:r>
      <w:proofErr w:type="spellStart"/>
      <w:r>
        <w:rPr>
          <w:sz w:val="22"/>
          <w:szCs w:val="22"/>
        </w:rPr>
        <w:t>Moustafa</w:t>
      </w:r>
      <w:proofErr w:type="spellEnd"/>
      <w:r>
        <w:rPr>
          <w:sz w:val="22"/>
          <w:szCs w:val="22"/>
        </w:rPr>
        <w:t xml:space="preserve"> </w:t>
      </w:r>
      <w:r w:rsidRPr="003D6B5A">
        <w:rPr>
          <w:sz w:val="22"/>
          <w:szCs w:val="22"/>
          <w:vertAlign w:val="superscript"/>
        </w:rPr>
        <w:t>[29]</w:t>
      </w:r>
      <w:r>
        <w:rPr>
          <w:sz w:val="22"/>
          <w:szCs w:val="22"/>
        </w:rPr>
        <w:t xml:space="preserve"> also found no significant impact of board size on Tobin's Q for a sample of 51 firms listed on the Abu Dubai Stock Exchange in 2004. This suggests that, in general, UAE firms </w:t>
      </w:r>
      <w:r w:rsidRPr="009C6860">
        <w:rPr>
          <w:sz w:val="22"/>
          <w:szCs w:val="22"/>
        </w:rPr>
        <w:t xml:space="preserve">do </w:t>
      </w:r>
      <w:hyperlink w:anchor="_ENREF_31" w:tooltip="Aljifri, 2007 #1336" w:history="1">
        <w:r w:rsidR="002C0B6F" w:rsidRPr="00494CA8">
          <w:rPr>
            <w:sz w:val="22"/>
            <w:szCs w:val="22"/>
          </w:rPr>
          <w:fldChar w:fldCharType="begin"/>
        </w:r>
        <w:r w:rsidR="002C0B6F">
          <w:rPr>
            <w:sz w:val="22"/>
            <w:szCs w:val="22"/>
          </w:rPr>
          <w:instrText xml:space="preserve"> ADDIN EN.CITE &lt;EndNote&gt;&lt;Cite AuthorYear="1"&gt;&lt;Author&gt;Aljifri&lt;/Author&gt;&lt;Year&gt;2007&lt;/Year&gt;&lt;RecNum&gt;1336&lt;/RecNum&gt;&lt;DisplayText&gt;Aljifri and Moustafa&lt;style face="superscript"&gt;[31]&lt;/style&gt;&lt;/DisplayText&gt;&lt;record&gt;&lt;rec-number&gt;1336&lt;/rec-number&gt;&lt;foreign-keys&gt;&lt;key app="EN" db-id="eswfvzza29a52ye9xwqpfwwx55tazv55ppxs"&gt;1336&lt;/key&gt;&lt;/foreign-keys&gt;&lt;ref-type name="Journal Article"&gt;17&lt;/ref-type&gt;&lt;contributors&gt;&lt;authors&gt;&lt;author&gt;Aljifri, Khaled&lt;/author&gt;&lt;author&gt;Moustafa, Mohamed&lt;/author&gt;&lt;/authors&gt;&lt;/contributors&gt;&lt;titles&gt;&lt;title&gt;The impact of corporate governance mechanisms on the performance of UAE firms: an empirical analysis&lt;/title&gt;&lt;secondary-title&gt;Journal of Economic and administrative sciences&lt;/secondary-title&gt;&lt;/titles&gt;&lt;periodical&gt;&lt;full-title&gt;Journal of Economic and administrative sciences&lt;/full-title&gt;&lt;/periodical&gt;&lt;pages&gt;71-93&lt;/pages&gt;&lt;volume&gt;23&lt;/volume&gt;&lt;number&gt;2&lt;/number&gt;&lt;dates&gt;&lt;year&gt;2007&lt;/year&gt;&lt;/dates&gt;&lt;isbn&gt;1026-4116&lt;/isbn&gt;&lt;urls&gt;&lt;/urls&gt;&lt;language&gt;ens&lt;/language&gt;&lt;/record&gt;&lt;/Cite&gt;&lt;/EndNote&gt;</w:instrText>
        </w:r>
        <w:r w:rsidR="002C0B6F" w:rsidRPr="00494CA8">
          <w:rPr>
            <w:sz w:val="22"/>
            <w:szCs w:val="22"/>
          </w:rPr>
          <w:fldChar w:fldCharType="separate"/>
        </w:r>
        <w:r w:rsidR="002C0B6F">
          <w:rPr>
            <w:noProof/>
            <w:sz w:val="22"/>
            <w:szCs w:val="22"/>
          </w:rPr>
          <w:t>Aljifri and Moustafa</w:t>
        </w:r>
        <w:r w:rsidR="002C0B6F" w:rsidRPr="00B462BA">
          <w:rPr>
            <w:noProof/>
            <w:sz w:val="22"/>
            <w:szCs w:val="22"/>
            <w:vertAlign w:val="superscript"/>
          </w:rPr>
          <w:t>[31]</w:t>
        </w:r>
        <w:r w:rsidR="002C0B6F" w:rsidRPr="00494CA8">
          <w:rPr>
            <w:sz w:val="22"/>
            <w:szCs w:val="22"/>
          </w:rPr>
          <w:fldChar w:fldCharType="end"/>
        </w:r>
      </w:hyperlink>
      <w:r w:rsidR="004300C7">
        <w:rPr>
          <w:sz w:val="22"/>
          <w:szCs w:val="22"/>
        </w:rPr>
        <w:t xml:space="preserve"> </w:t>
      </w:r>
      <w:r w:rsidRPr="009C6860">
        <w:rPr>
          <w:sz w:val="22"/>
          <w:szCs w:val="22"/>
        </w:rPr>
        <w:t xml:space="preserve">board members optimally, which may lead to a lack of coordination, communication, and influence on decision making. </w:t>
      </w:r>
      <w:hyperlink w:anchor="_ENREF_32" w:tooltip="Al-ahdal, 2020 #1317" w:history="1">
        <w:r w:rsidR="002C0B6F" w:rsidRPr="00494CA8">
          <w:rPr>
            <w:sz w:val="22"/>
            <w:szCs w:val="22"/>
          </w:rPr>
          <w:fldChar w:fldCharType="begin"/>
        </w:r>
        <w:r w:rsidR="002C0B6F">
          <w:rPr>
            <w:sz w:val="22"/>
            <w:szCs w:val="22"/>
          </w:rPr>
          <w:instrText xml:space="preserve"> ADDIN EN.CITE &lt;EndNote&gt;&lt;Cite AuthorYear="1"&gt;&lt;Author&gt;Al-ahdal&lt;/Author&gt;&lt;Year&gt;2020&lt;/Year&gt;&lt;RecNum&gt;1317&lt;/RecNum&gt;&lt;DisplayText&gt;Al-ahdal et al.&lt;style face="superscript"&gt;[32]&lt;/style&gt;&lt;/DisplayText&gt;&lt;record&gt;&lt;rec-number&gt;1317&lt;/rec-number&gt;&lt;foreign-keys&gt;&lt;key app="EN" db-id="eswfvzza29a52ye9xwqpfwwx55tazv55ppxs"&gt;1317&lt;/key&gt;&lt;/foreign-keys&gt;&lt;ref-type name="Journal Article"&gt;17&lt;/ref-type&gt;&lt;contributors&gt;&lt;authors&gt;&lt;author&gt;Al-ahdal, Waleed M.&lt;/author&gt;&lt;author&gt;Alsamhi, Mohammed H.&lt;/author&gt;&lt;author&gt;Tabash, Mosab I.&lt;/author&gt;&lt;author&gt;Farhan, Najib H. S.&lt;/author&gt;&lt;/authors&gt;&lt;/contributors&gt;&lt;titles&gt;&lt;title&gt;The impact of corporate governance on financial performance of Indian and GCC listed firms: An empirical investigation&lt;/title&gt;&lt;secondary-title&gt;Research in International Business and Finance&lt;/secondary-title&gt;&lt;/titles&gt;&lt;periodical&gt;&lt;full-title&gt;Research in International Business and Finance&lt;/full-title&gt;&lt;/periodical&gt;&lt;pages&gt;101083&lt;/pages&gt;&lt;volume&gt;51&lt;/volume&gt;&lt;keywords&gt;&lt;keyword&gt;Corporate governance&lt;/keyword&gt;&lt;keyword&gt;Financial performance&lt;/keyword&gt;&lt;keyword&gt;India&lt;/keyword&gt;&lt;keyword&gt;GCC&lt;/keyword&gt;&lt;/keywords&gt;&lt;dates&gt;&lt;year&gt;2020&lt;/year&gt;&lt;pub-dates&gt;&lt;date&gt;2020/01/01/&lt;/date&gt;&lt;/pub-dates&gt;&lt;/dates&gt;&lt;isbn&gt;0275-5319&lt;/isbn&gt;&lt;urls&gt;&lt;related-urls&gt;&lt;url&gt;https://www.sciencedirect.com/science/article/pii/S0275531918308183&lt;/url&gt;&lt;/related-urls&gt;&lt;/urls&gt;&lt;electronic-resource-num&gt;https://doi.org/10.1016/j.ribaf.2019.101083&lt;/electronic-resource-num&gt;&lt;language&gt;ens&lt;/language&gt;&lt;/record&gt;&lt;/Cite&gt;&lt;/EndNote&gt;</w:instrText>
        </w:r>
        <w:r w:rsidR="002C0B6F" w:rsidRPr="00494CA8">
          <w:rPr>
            <w:sz w:val="22"/>
            <w:szCs w:val="22"/>
          </w:rPr>
          <w:fldChar w:fldCharType="separate"/>
        </w:r>
        <w:r w:rsidR="002C0B6F">
          <w:rPr>
            <w:noProof/>
            <w:sz w:val="22"/>
            <w:szCs w:val="22"/>
          </w:rPr>
          <w:t>Al-ahdal et al.</w:t>
        </w:r>
        <w:r w:rsidR="002C0B6F" w:rsidRPr="00B462BA">
          <w:rPr>
            <w:noProof/>
            <w:sz w:val="22"/>
            <w:szCs w:val="22"/>
            <w:vertAlign w:val="superscript"/>
          </w:rPr>
          <w:t>[32]</w:t>
        </w:r>
        <w:r w:rsidR="002C0B6F" w:rsidRPr="00494CA8">
          <w:rPr>
            <w:sz w:val="22"/>
            <w:szCs w:val="22"/>
          </w:rPr>
          <w:fldChar w:fldCharType="end"/>
        </w:r>
      </w:hyperlink>
      <w:r w:rsidR="004300C7">
        <w:rPr>
          <w:sz w:val="22"/>
          <w:szCs w:val="22"/>
        </w:rPr>
        <w:t xml:space="preserve"> </w:t>
      </w:r>
      <w:proofErr w:type="gramStart"/>
      <w:r w:rsidRPr="009C6860">
        <w:rPr>
          <w:sz w:val="22"/>
          <w:szCs w:val="22"/>
        </w:rPr>
        <w:t>used</w:t>
      </w:r>
      <w:proofErr w:type="gramEnd"/>
      <w:r w:rsidRPr="009C6860">
        <w:rPr>
          <w:sz w:val="22"/>
          <w:szCs w:val="22"/>
        </w:rPr>
        <w:t xml:space="preserve"> a sample of 53 listed companies in India and 53 listed companies in the Gulf Cooperation Council (GCC) countries for the period </w:t>
      </w:r>
      <w:r w:rsidR="00FF7601">
        <w:rPr>
          <w:sz w:val="22"/>
          <w:szCs w:val="22"/>
        </w:rPr>
        <w:t xml:space="preserve">from 2009 to </w:t>
      </w:r>
      <w:r w:rsidRPr="009C6860">
        <w:rPr>
          <w:sz w:val="22"/>
          <w:szCs w:val="22"/>
        </w:rPr>
        <w:t xml:space="preserve">2016. </w:t>
      </w:r>
      <w:r w:rsidRPr="00A5114F">
        <w:rPr>
          <w:sz w:val="22"/>
          <w:szCs w:val="22"/>
        </w:rPr>
        <w:t xml:space="preserve">The results showed that board size has an insignificant impact on </w:t>
      </w:r>
      <w:r w:rsidR="00D96BAE" w:rsidRPr="00A5114F">
        <w:rPr>
          <w:sz w:val="22"/>
          <w:szCs w:val="22"/>
        </w:rPr>
        <w:t>R</w:t>
      </w:r>
      <w:r w:rsidRPr="00A5114F">
        <w:rPr>
          <w:sz w:val="22"/>
          <w:szCs w:val="22"/>
        </w:rPr>
        <w:t>eturn</w:t>
      </w:r>
      <w:r w:rsidR="00D96BAE" w:rsidRPr="00A5114F">
        <w:rPr>
          <w:sz w:val="22"/>
          <w:szCs w:val="22"/>
        </w:rPr>
        <w:t xml:space="preserve"> on E</w:t>
      </w:r>
      <w:r w:rsidRPr="00A5114F">
        <w:rPr>
          <w:sz w:val="22"/>
          <w:szCs w:val="22"/>
        </w:rPr>
        <w:t>quity</w:t>
      </w:r>
      <w:r w:rsidRPr="009C6860">
        <w:rPr>
          <w:sz w:val="22"/>
          <w:szCs w:val="22"/>
        </w:rPr>
        <w:t xml:space="preserve"> (ROE) and Tobin's Q. Furthermore, the country dummy results showed that Indian companies are performing better than companies in the Gulf countries in terms of corporate governance practices and performance.</w:t>
      </w:r>
    </w:p>
    <w:p w14:paraId="035B7748" w14:textId="4C3748B7" w:rsidR="00046D27" w:rsidRDefault="00046D27" w:rsidP="00A5114F">
      <w:pPr>
        <w:spacing w:before="120" w:after="120"/>
        <w:ind w:firstLine="567"/>
        <w:jc w:val="both"/>
        <w:rPr>
          <w:sz w:val="22"/>
          <w:szCs w:val="22"/>
        </w:rPr>
      </w:pPr>
      <w:r w:rsidRPr="001A4653">
        <w:rPr>
          <w:sz w:val="22"/>
          <w:szCs w:val="22"/>
        </w:rPr>
        <w:t xml:space="preserve">In summary, the empirical evidence suggests that board size can be positively or negatively related or </w:t>
      </w:r>
      <w:r w:rsidR="00A5114F" w:rsidRPr="001A4653">
        <w:rPr>
          <w:sz w:val="22"/>
          <w:szCs w:val="22"/>
        </w:rPr>
        <w:t>has</w:t>
      </w:r>
      <w:r w:rsidRPr="001A4653">
        <w:rPr>
          <w:sz w:val="22"/>
          <w:szCs w:val="22"/>
        </w:rPr>
        <w:t xml:space="preserve"> no effect on performance. Most argue that larger boards are effective in promoting performance because larger board sizes allow for specialized leadership, which can lead to higher performance.</w:t>
      </w:r>
      <w:hyperlink w:anchor="_ENREF_20" w:tooltip="Dalton, 2003 #1310" w:history="1">
        <w:r w:rsidR="002C0B6F" w:rsidRPr="00494CA8">
          <w:rPr>
            <w:sz w:val="22"/>
            <w:szCs w:val="22"/>
            <w:vertAlign w:val="superscript"/>
          </w:rPr>
          <w:fldChar w:fldCharType="begin"/>
        </w:r>
        <w:r w:rsidR="002C0B6F">
          <w:rPr>
            <w:sz w:val="22"/>
            <w:szCs w:val="22"/>
            <w:vertAlign w:val="superscript"/>
          </w:rPr>
          <w:instrText xml:space="preserve"> ADDIN EN.CITE &lt;EndNote&gt;&lt;Cite&gt;&lt;Author&gt;Dalton&lt;/Author&gt;&lt;Year&gt;2003&lt;/Year&gt;&lt;RecNum&gt;1310&lt;/RecNum&gt;&lt;DisplayText&gt;&lt;style face="superscript"&gt;20&lt;/style&gt;&lt;/DisplayText&gt;&lt;record&gt;&lt;rec-number&gt;1310&lt;/rec-number&gt;&lt;foreign-keys&gt;&lt;key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2C0B6F" w:rsidRPr="00494CA8">
          <w:rPr>
            <w:sz w:val="22"/>
            <w:szCs w:val="22"/>
            <w:vertAlign w:val="superscript"/>
          </w:rPr>
          <w:fldChar w:fldCharType="separate"/>
        </w:r>
        <w:r w:rsidR="002C0B6F">
          <w:rPr>
            <w:noProof/>
            <w:sz w:val="22"/>
            <w:szCs w:val="22"/>
            <w:vertAlign w:val="superscript"/>
          </w:rPr>
          <w:t>20</w:t>
        </w:r>
        <w:r w:rsidR="002C0B6F" w:rsidRPr="00494CA8">
          <w:rPr>
            <w:sz w:val="22"/>
            <w:szCs w:val="22"/>
            <w:vertAlign w:val="superscript"/>
          </w:rPr>
          <w:fldChar w:fldCharType="end"/>
        </w:r>
      </w:hyperlink>
      <w:r w:rsidR="00DB449F">
        <w:rPr>
          <w:sz w:val="22"/>
          <w:szCs w:val="22"/>
          <w:vertAlign w:val="superscript"/>
        </w:rPr>
        <w:t>,</w:t>
      </w:r>
      <w:hyperlink w:anchor="_ENREF_19" w:tooltip="Zahra, 1989 #1309" w:history="1">
        <w:r w:rsidR="002C0B6F" w:rsidRPr="00494CA8">
          <w:fldChar w:fldCharType="begin"/>
        </w:r>
        <w:r w:rsidR="002C0B6F">
          <w:instrText xml:space="preserve"> ADDIN EN.CITE &lt;EndNote&gt;&lt;Cite&gt;&lt;Author&gt;Zahra&lt;/Author&gt;&lt;Year&gt;1989&lt;/Year&gt;&lt;RecNum&gt;1309&lt;/RecNum&gt;&lt;DisplayText&gt;&lt;style face="superscript"&gt;19&lt;/style&gt;&lt;/DisplayText&gt;&lt;record&gt;&lt;rec-number&gt;1309&lt;/rec-number&gt;&lt;foreign-keys&gt;&lt;key app="EN" db-id="eswfvzza29a52ye9xwqpfwwx55tazv55ppxs"&gt;1309&lt;/key&gt;&lt;/foreign-keys&gt;&lt;ref-type name="Journal Article"&gt;17&lt;/ref-type&gt;&lt;contributors&gt;&lt;authors&gt;&lt;author&gt;Zahra, Shaker A&lt;/author&gt;&lt;author&gt;Pearce, John A&lt;/author&gt;&lt;/authors&gt;&lt;/contributors&gt;&lt;titles&gt;&lt;title&gt;Boards of directors and corporate financial performance: A review and integrative model&lt;/title&gt;&lt;secondary-title&gt;Journal of management&lt;/secondary-title&gt;&lt;/titles&gt;&lt;periodical&gt;&lt;full-title&gt;Journal of Management&lt;/full-title&gt;&lt;/periodical&gt;&lt;pages&gt;291-334&lt;/pages&gt;&lt;volume&gt;15&lt;/volume&gt;&lt;number&gt;2&lt;/number&gt;&lt;dates&gt;&lt;year&gt;1989&lt;/year&gt;&lt;/dates&gt;&lt;isbn&gt;0149-2063&lt;/isbn&gt;&lt;urls&gt;&lt;/urls&gt;&lt;language&gt;ens&lt;/language&gt;&lt;/record&gt;&lt;/Cite&gt;&lt;/EndNote&gt;</w:instrText>
        </w:r>
        <w:r w:rsidR="002C0B6F" w:rsidRPr="00494CA8">
          <w:fldChar w:fldCharType="separate"/>
        </w:r>
        <w:r w:rsidR="002C0B6F" w:rsidRPr="00B462BA">
          <w:rPr>
            <w:noProof/>
            <w:vertAlign w:val="superscript"/>
          </w:rPr>
          <w:t>19</w:t>
        </w:r>
        <w:r w:rsidR="002C0B6F" w:rsidRPr="00494CA8">
          <w:fldChar w:fldCharType="end"/>
        </w:r>
      </w:hyperlink>
      <w:r w:rsidR="00DB449F">
        <w:rPr>
          <w:sz w:val="22"/>
          <w:szCs w:val="22"/>
          <w:vertAlign w:val="superscript"/>
        </w:rPr>
        <w:t xml:space="preserve"> </w:t>
      </w:r>
      <w:r w:rsidR="00DB449F">
        <w:rPr>
          <w:sz w:val="22"/>
          <w:szCs w:val="22"/>
        </w:rPr>
        <w:t>B</w:t>
      </w:r>
      <w:r w:rsidRPr="003A294F">
        <w:rPr>
          <w:sz w:val="22"/>
          <w:szCs w:val="22"/>
        </w:rPr>
        <w:t>oards are composed of people from different fields. The knowledge and wisdom of these board members can be used to make some strategic decisions, and this can boost the performance of the firm. La</w:t>
      </w:r>
      <w:r w:rsidRPr="009C6860">
        <w:rPr>
          <w:sz w:val="22"/>
          <w:szCs w:val="22"/>
        </w:rPr>
        <w:t xml:space="preserve">rger board size also </w:t>
      </w:r>
      <w:r w:rsidRPr="009C6860">
        <w:rPr>
          <w:sz w:val="22"/>
          <w:szCs w:val="22"/>
        </w:rPr>
        <w:lastRenderedPageBreak/>
        <w:t>provides greater monitoring capabilities and also enhances the firm’s ability to form larger external linkages.</w:t>
      </w:r>
      <w:hyperlink w:anchor="_ENREF_18" w:tooltip="Goodstein, 1994 #1332" w:history="1">
        <w:r w:rsidR="002C0B6F" w:rsidRPr="00494CA8">
          <w:rPr>
            <w:sz w:val="22"/>
            <w:szCs w:val="22"/>
          </w:rPr>
          <w:fldChar w:fldCharType="begin"/>
        </w:r>
        <w:r w:rsidR="002C0B6F">
          <w:rPr>
            <w:sz w:val="22"/>
            <w:szCs w:val="22"/>
          </w:rPr>
          <w:instrText xml:space="preserve"> ADDIN EN.CITE &lt;EndNote&gt;&lt;Cite&gt;&lt;Author&gt;Goodstein&lt;/Author&gt;&lt;Year&gt;1994&lt;/Year&gt;&lt;RecNum&gt;1332&lt;/RecNum&gt;&lt;DisplayText&gt;&lt;style face="superscript"&gt;18&lt;/style&gt;&lt;/DisplayText&gt;&lt;record&gt;&lt;rec-number&gt;1332&lt;/rec-number&gt;&lt;foreign-keys&gt;&lt;key app="EN" db-id="eswfvzza29a52ye9xwqpfwwx55tazv55ppxs"&gt;1332&lt;/key&gt;&lt;/foreign-keys&gt;&lt;ref-type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18</w:t>
        </w:r>
        <w:r w:rsidR="002C0B6F" w:rsidRPr="00494CA8">
          <w:rPr>
            <w:sz w:val="22"/>
            <w:szCs w:val="22"/>
          </w:rPr>
          <w:fldChar w:fldCharType="end"/>
        </w:r>
      </w:hyperlink>
      <w:r w:rsidR="00DB449F">
        <w:rPr>
          <w:sz w:val="22"/>
          <w:szCs w:val="22"/>
        </w:rPr>
        <w:t xml:space="preserve"> </w:t>
      </w:r>
      <w:r w:rsidRPr="009C6860">
        <w:rPr>
          <w:sz w:val="22"/>
          <w:szCs w:val="22"/>
        </w:rPr>
        <w:t>Based on all the above arguments, we propose the following hypothesis:</w:t>
      </w:r>
    </w:p>
    <w:p w14:paraId="66FBC7FE" w14:textId="77777777" w:rsidR="00046D27" w:rsidRPr="009C6860" w:rsidRDefault="00622221" w:rsidP="00046D27">
      <w:pPr>
        <w:spacing w:before="120" w:after="120"/>
        <w:ind w:firstLine="720"/>
        <w:jc w:val="both"/>
        <w:rPr>
          <w:sz w:val="22"/>
          <w:szCs w:val="22"/>
        </w:rPr>
      </w:pPr>
      <w:proofErr w:type="gramStart"/>
      <w:r>
        <w:rPr>
          <w:sz w:val="22"/>
          <w:szCs w:val="22"/>
        </w:rPr>
        <w:t>H</w:t>
      </w:r>
      <w:r w:rsidRPr="00622221">
        <w:rPr>
          <w:sz w:val="22"/>
          <w:szCs w:val="22"/>
          <w:vertAlign w:val="subscript"/>
        </w:rPr>
        <w:t xml:space="preserve">1 </w:t>
      </w:r>
      <w:r>
        <w:rPr>
          <w:sz w:val="22"/>
          <w:szCs w:val="22"/>
        </w:rPr>
        <w:t>:</w:t>
      </w:r>
      <w:proofErr w:type="gramEnd"/>
      <w:r>
        <w:rPr>
          <w:sz w:val="22"/>
          <w:szCs w:val="22"/>
        </w:rPr>
        <w:t xml:space="preserve"> Board size has a direct and positive impact on performance.</w:t>
      </w:r>
    </w:p>
    <w:p w14:paraId="64344D01" w14:textId="77777777" w:rsidR="00046D27" w:rsidRDefault="00046D27" w:rsidP="00046D27">
      <w:pPr>
        <w:tabs>
          <w:tab w:val="left" w:pos="360"/>
          <w:tab w:val="right" w:leader="hyphen" w:pos="9072"/>
        </w:tabs>
        <w:spacing w:before="120" w:after="120"/>
        <w:jc w:val="both"/>
        <w:rPr>
          <w:b/>
          <w:sz w:val="22"/>
          <w:szCs w:val="22"/>
        </w:rPr>
      </w:pPr>
      <w:r>
        <w:rPr>
          <w:b/>
          <w:sz w:val="22"/>
          <w:szCs w:val="22"/>
        </w:rPr>
        <w:t>2.2. Indirect impact of board size on performance</w:t>
      </w:r>
    </w:p>
    <w:p w14:paraId="457B05F1" w14:textId="0CD4BF94" w:rsidR="00EE337A" w:rsidRDefault="00EE337A" w:rsidP="00376EFF">
      <w:pPr>
        <w:spacing w:before="120" w:after="120"/>
        <w:jc w:val="both"/>
        <w:rPr>
          <w:sz w:val="22"/>
          <w:szCs w:val="22"/>
        </w:rPr>
      </w:pPr>
      <w:r>
        <w:rPr>
          <w:sz w:val="22"/>
          <w:szCs w:val="22"/>
        </w:rPr>
        <w:t>Agency theory and stakeholder theory are two dominant perspectives used to explain the relationship between corporate governance and performance.</w:t>
      </w:r>
      <w:hyperlink w:anchor="_ENREF_33" w:tooltip="Aras, 2008 #1477" w:history="1">
        <w:r w:rsidR="002C0B6F" w:rsidRPr="00494CA8">
          <w:rPr>
            <w:sz w:val="22"/>
            <w:szCs w:val="22"/>
          </w:rPr>
          <w:fldChar w:fldCharType="begin"/>
        </w:r>
        <w:r w:rsidR="002C0B6F">
          <w:rPr>
            <w:sz w:val="22"/>
            <w:szCs w:val="22"/>
          </w:rPr>
          <w:instrText xml:space="preserve"> ADDIN EN.CITE &lt;EndNote&gt;&lt;Cite&gt;&lt;Author&gt;Aras&lt;/Author&gt;&lt;Year&gt;2008&lt;/Year&gt;&lt;RecNum&gt;1477&lt;/RecNum&gt;&lt;DisplayText&gt;&lt;style face="superscript"&gt;33&lt;/style&gt;&lt;/DisplayText&gt;&lt;record&gt;&lt;rec-number&gt;1477&lt;/rec-number&gt;&lt;foreign-keys&gt;&lt;key app="EN" db-id="eswfvzza29a52ye9xwqpfwwx55tazv55ppxs"&gt;1477&lt;/key&gt;&lt;/foreign-keys&gt;&lt;ref-type name="Journal Article"&gt;17&lt;/ref-type&gt;&lt;contributors&gt;&lt;authors&gt;&lt;author&gt;Aras, Güler&lt;/author&gt;&lt;author&gt;Crowther, David&lt;/author&gt;&lt;/authors&gt;&lt;/contributors&gt;&lt;titles&gt;&lt;title&gt;Governance and sustainability: An investigation into the relationship between corporate governance and corporate sustainability&lt;/title&gt;&lt;secondary-title&gt;Management Decision&lt;/secondary-title&gt;&lt;/titles&gt;&lt;periodical&gt;&lt;full-title&gt;Management Decision&lt;/full-title&gt;&lt;/periodical&gt;&lt;pages&gt;433-448&lt;/pages&gt;&lt;volume&gt;46&lt;/volume&gt;&lt;number&gt;3&lt;/number&gt;&lt;dates&gt;&lt;year&gt;2008&lt;/year&gt;&lt;/dates&gt;&lt;isbn&gt;0025-1747&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33</w:t>
        </w:r>
        <w:r w:rsidR="002C0B6F" w:rsidRPr="00494CA8">
          <w:rPr>
            <w:sz w:val="22"/>
            <w:szCs w:val="22"/>
          </w:rPr>
          <w:fldChar w:fldCharType="end"/>
        </w:r>
      </w:hyperlink>
      <w:r w:rsidR="00376EFF" w:rsidRPr="00376EFF">
        <w:rPr>
          <w:sz w:val="22"/>
          <w:szCs w:val="22"/>
        </w:rPr>
        <w:t xml:space="preserve"> </w:t>
      </w:r>
      <w:hyperlink w:anchor="_ENREF_34" w:tooltip="Haniffa, 2002 #323" w:history="1">
        <w:r w:rsidR="002C0B6F" w:rsidRPr="00494CA8">
          <w:rPr>
            <w:sz w:val="22"/>
            <w:szCs w:val="22"/>
          </w:rPr>
          <w:fldChar w:fldCharType="begin"/>
        </w:r>
        <w:r w:rsidR="002C0B6F">
          <w:rPr>
            <w:sz w:val="22"/>
            <w:szCs w:val="22"/>
          </w:rPr>
          <w:instrText xml:space="preserve"> ADDIN EN.CITE &lt;EndNote&gt;&lt;Cite AuthorYear="1"&gt;&lt;Author&gt;Haniffa&lt;/Author&gt;&lt;Year&gt;2002&lt;/Year&gt;&lt;RecNum&gt;323&lt;/RecNum&gt;&lt;DisplayText&gt;Haniffa and Cooke&lt;style face="superscript"&gt;[34]&lt;/style&gt;&lt;/DisplayText&gt;&lt;record&gt;&lt;rec-number&gt;323&lt;/rec-number&gt;&lt;foreign-keys&gt;&lt;key app="EN" db-id="eswfvzza29a52ye9xwqpfwwx55tazv55ppxs"&gt;323&lt;/key&gt;&lt;/foreign-keys&gt;&lt;ref-type name="Journal Article"&gt;17&lt;/ref-type&gt;&lt;contributors&gt;&lt;authors&gt;&lt;author&gt;Haniffa, R.M.&lt;/author&gt;&lt;author&gt;Cooke, T.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urls&gt;&lt;related-urls&gt;&lt;url&gt;https://onlinelibrary.wiley.com/doi/abs/10.1111/1467-6281.00112&lt;/url&gt;&lt;/related-urls&gt;&lt;/urls&gt;&lt;electronic-resource-num&gt;doi:10.1111/1467-6281.00112&lt;/electronic-resource-num&gt;&lt;language&gt;ens&lt;/language&gt;&lt;/record&gt;&lt;/Cite&gt;&lt;/EndNote&gt;</w:instrText>
        </w:r>
        <w:r w:rsidR="002C0B6F" w:rsidRPr="00494CA8">
          <w:rPr>
            <w:sz w:val="22"/>
            <w:szCs w:val="22"/>
          </w:rPr>
          <w:fldChar w:fldCharType="separate"/>
        </w:r>
        <w:r w:rsidR="002C0B6F">
          <w:rPr>
            <w:noProof/>
            <w:sz w:val="22"/>
            <w:szCs w:val="22"/>
          </w:rPr>
          <w:t>Haniffa and Cooke</w:t>
        </w:r>
        <w:r w:rsidR="002C0B6F" w:rsidRPr="00B462BA">
          <w:rPr>
            <w:noProof/>
            <w:sz w:val="22"/>
            <w:szCs w:val="22"/>
            <w:vertAlign w:val="superscript"/>
          </w:rPr>
          <w:t>[34]</w:t>
        </w:r>
        <w:r w:rsidR="002C0B6F" w:rsidRPr="00494CA8">
          <w:rPr>
            <w:sz w:val="22"/>
            <w:szCs w:val="22"/>
          </w:rPr>
          <w:fldChar w:fldCharType="end"/>
        </w:r>
      </w:hyperlink>
      <w:r w:rsidR="00DB449F">
        <w:rPr>
          <w:sz w:val="22"/>
          <w:szCs w:val="22"/>
        </w:rPr>
        <w:t xml:space="preserve"> </w:t>
      </w:r>
      <w:proofErr w:type="gramStart"/>
      <w:r w:rsidR="00376EFF" w:rsidRPr="00376EFF">
        <w:rPr>
          <w:sz w:val="22"/>
          <w:szCs w:val="22"/>
        </w:rPr>
        <w:t>explain</w:t>
      </w:r>
      <w:proofErr w:type="gramEnd"/>
      <w:r w:rsidR="00376EFF" w:rsidRPr="00376EFF">
        <w:rPr>
          <w:sz w:val="22"/>
          <w:szCs w:val="22"/>
        </w:rPr>
        <w:t xml:space="preserve"> that agency theory suggests that effective corporate governance will improve a firm's ability to address emerging challenges and reduce agency conflicts. In this way, effective corporate governance will enhance legitimacy and improve performance.</w:t>
      </w:r>
      <w:hyperlink w:anchor="_ENREF_9" w:tooltip="Jo, 2012 #376" w:history="1">
        <w:r w:rsidR="002C0B6F" w:rsidRPr="00494CA8">
          <w:rPr>
            <w:sz w:val="22"/>
            <w:szCs w:val="22"/>
          </w:rPr>
          <w:fldChar w:fldCharType="begin"/>
        </w:r>
        <w:r w:rsidR="002C0B6F" w:rsidRPr="00494CA8">
          <w:rPr>
            <w:sz w:val="22"/>
            <w:szCs w:val="22"/>
          </w:rPr>
          <w:instrText xml:space="preserve"> ADDIN EN.CITE &lt;EndNote&gt;&lt;Cite&gt;&lt;Author&gt;Jo&lt;/Author&gt;&lt;Year&gt;2012&lt;/Year&gt;&lt;RecNum&gt;376&lt;/RecNum&gt;&lt;DisplayText&gt;&lt;style face="superscript"&gt;9&lt;/style&gt;&lt;/DisplayText&gt;&lt;record&gt;&lt;rec-number&gt;376&lt;/rec-number&gt;&lt;foreign-keys&gt;&lt;key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9</w:t>
        </w:r>
        <w:r w:rsidR="002C0B6F" w:rsidRPr="00494CA8">
          <w:rPr>
            <w:sz w:val="22"/>
            <w:szCs w:val="22"/>
          </w:rPr>
          <w:fldChar w:fldCharType="end"/>
        </w:r>
      </w:hyperlink>
    </w:p>
    <w:p w14:paraId="1B9FBB94" w14:textId="339AA2A0" w:rsidR="00376EFF" w:rsidRDefault="00376EFF" w:rsidP="00633160">
      <w:pPr>
        <w:spacing w:before="120" w:after="120"/>
        <w:ind w:firstLine="567"/>
        <w:jc w:val="both"/>
        <w:rPr>
          <w:sz w:val="22"/>
          <w:szCs w:val="22"/>
        </w:rPr>
      </w:pPr>
      <w:r w:rsidRPr="00376EFF">
        <w:rPr>
          <w:sz w:val="22"/>
          <w:szCs w:val="22"/>
        </w:rPr>
        <w:t xml:space="preserve">Drawing on stakeholder theory, </w:t>
      </w:r>
      <w:hyperlink w:anchor="_ENREF_35" w:tooltip="Michelon, 2012 #1478" w:history="1">
        <w:r w:rsidR="002C0B6F" w:rsidRPr="00494CA8">
          <w:rPr>
            <w:sz w:val="22"/>
            <w:szCs w:val="22"/>
          </w:rPr>
          <w:fldChar w:fldCharType="begin"/>
        </w:r>
        <w:r w:rsidR="002C0B6F">
          <w:rPr>
            <w:sz w:val="22"/>
            <w:szCs w:val="22"/>
          </w:rPr>
          <w:instrText xml:space="preserve"> ADDIN EN.CITE &lt;EndNote&gt;&lt;Cite AuthorYear="1"&gt;&lt;Author&gt;Michelon&lt;/Author&gt;&lt;Year&gt;2012&lt;/Year&gt;&lt;RecNum&gt;1478&lt;/RecNum&gt;&lt;DisplayText&gt;Michelon and Parbonetti&lt;style face="superscript"&gt;[35]&lt;/style&gt;&lt;/DisplayText&gt;&lt;record&gt;&lt;rec-number&gt;1478&lt;/rec-number&gt;&lt;foreign-keys&gt;&lt;key app="EN" db-id="eswfvzza29a52ye9xwqpfwwx55tazv55ppxs"&gt;1478&lt;/key&gt;&lt;/foreign-keys&gt;&lt;ref-type name="Journal Article"&gt;17&lt;/ref-type&gt;&lt;contributors&gt;&lt;authors&gt;&lt;author&gt;Michelon, Giovanna&lt;/author&gt;&lt;author&gt;Parbonetti, Antonio&lt;/author&gt;&lt;/authors&gt;&lt;/contributors&gt;&lt;titles&gt;&lt;title&gt;The effect of corporate governance on sustainability disclosure&lt;/title&gt;&lt;secondary-title&gt;Journal of management &amp;amp; governance&lt;/secondary-title&gt;&lt;/titles&gt;&lt;periodical&gt;&lt;full-title&gt;Journal of Management &amp;amp; Governance&lt;/full-title&gt;&lt;/periodical&gt;&lt;pages&gt;477-509&lt;/pages&gt;&lt;volume&gt;16&lt;/volume&gt;&lt;dates&gt;&lt;year&gt;2012&lt;/year&gt;&lt;/dates&gt;&lt;isbn&gt;1385-3457&lt;/isbn&gt;&lt;urls&gt;&lt;/urls&gt;&lt;language&gt;ens&lt;/language&gt;&lt;/record&gt;&lt;/Cite&gt;&lt;/EndNote&gt;</w:instrText>
        </w:r>
        <w:r w:rsidR="002C0B6F" w:rsidRPr="00494CA8">
          <w:rPr>
            <w:sz w:val="22"/>
            <w:szCs w:val="22"/>
          </w:rPr>
          <w:fldChar w:fldCharType="separate"/>
        </w:r>
        <w:r w:rsidR="002C0B6F">
          <w:rPr>
            <w:noProof/>
            <w:sz w:val="22"/>
            <w:szCs w:val="22"/>
          </w:rPr>
          <w:t>Michelon and Parbonetti</w:t>
        </w:r>
        <w:r w:rsidR="002C0B6F" w:rsidRPr="00B462BA">
          <w:rPr>
            <w:noProof/>
            <w:sz w:val="22"/>
            <w:szCs w:val="22"/>
            <w:vertAlign w:val="superscript"/>
          </w:rPr>
          <w:t>[35]</w:t>
        </w:r>
        <w:r w:rsidR="002C0B6F" w:rsidRPr="00494CA8">
          <w:rPr>
            <w:sz w:val="22"/>
            <w:szCs w:val="22"/>
          </w:rPr>
          <w:fldChar w:fldCharType="end"/>
        </w:r>
      </w:hyperlink>
      <w:r w:rsidR="00DB449F">
        <w:rPr>
          <w:sz w:val="22"/>
          <w:szCs w:val="22"/>
        </w:rPr>
        <w:t xml:space="preserve"> e</w:t>
      </w:r>
      <w:r w:rsidRPr="00376EFF">
        <w:rPr>
          <w:sz w:val="22"/>
          <w:szCs w:val="22"/>
        </w:rPr>
        <w:t xml:space="preserve">xamined the relationship between board structure, leadership, and board composition on sustainability. The authors argue that good governance and sustainability are complementary mechanisms for better stakeholder management. The authors further note that stakeholder theory provides a link between governance mechanisms and sustainability initiatives to align stakeholders' long-term management goals. Similarly, </w:t>
      </w:r>
      <w:hyperlink w:anchor="_ENREF_36" w:tooltip="Gul, 2004 #1479" w:history="1">
        <w:r w:rsidR="002C0B6F" w:rsidRPr="00494CA8">
          <w:rPr>
            <w:sz w:val="22"/>
            <w:szCs w:val="22"/>
          </w:rPr>
          <w:fldChar w:fldCharType="begin"/>
        </w:r>
        <w:r w:rsidR="002C0B6F">
          <w:rPr>
            <w:sz w:val="22"/>
            <w:szCs w:val="22"/>
          </w:rPr>
          <w:instrText xml:space="preserve"> ADDIN EN.CITE &lt;EndNote&gt;&lt;Cite AuthorYear="1"&gt;&lt;Author&gt;Gul&lt;/Author&gt;&lt;Year&gt;2004&lt;/Year&gt;&lt;RecNum&gt;1479&lt;/RecNum&gt;&lt;DisplayText&gt;Gul and Leung&lt;style face="superscript"&gt;[36]&lt;/style&gt;&lt;/DisplayText&gt;&lt;record&gt;&lt;rec-number&gt;1479&lt;/rec-number&gt;&lt;foreign-keys&gt;&lt;key app="EN" db-id="eswfvzza29a52ye9xwqpfwwx55tazv55ppxs"&gt;1479&lt;/key&gt;&lt;/foreign-keys&gt;&lt;ref-type name="Journal Article"&gt;17&lt;/ref-type&gt;&lt;contributors&gt;&lt;authors&gt;&lt;author&gt;Gul, Ferdinand A&lt;/author&gt;&lt;author&gt;Leung, Sidney&lt;/author&gt;&lt;/authors&gt;&lt;/contributors&gt;&lt;titles&gt;&lt;title&gt;Board leadership, outside directors’ expertise and voluntary corporate disclosures&lt;/title&gt;&lt;secondary-title&gt;Journal of Accounting and public Policy&lt;/secondary-title&gt;&lt;/titles&gt;&lt;periodical&gt;&lt;full-title&gt;Journal of Accounting and Public Policy&lt;/full-title&gt;&lt;/periodical&gt;&lt;pages&gt;351-379&lt;/pages&gt;&lt;volume&gt;23&lt;/volume&gt;&lt;number&gt;5&lt;/number&gt;&lt;dates&gt;&lt;year&gt;2004&lt;/year&gt;&lt;/dates&gt;&lt;isbn&gt;0278-4254&lt;/isbn&gt;&lt;urls&gt;&lt;/urls&gt;&lt;language&gt;ens&lt;/language&gt;&lt;/record&gt;&lt;/Cite&gt;&lt;/EndNote&gt;</w:instrText>
        </w:r>
        <w:r w:rsidR="002C0B6F" w:rsidRPr="00494CA8">
          <w:rPr>
            <w:sz w:val="22"/>
            <w:szCs w:val="22"/>
          </w:rPr>
          <w:fldChar w:fldCharType="separate"/>
        </w:r>
        <w:r w:rsidR="002C0B6F">
          <w:rPr>
            <w:noProof/>
            <w:sz w:val="22"/>
            <w:szCs w:val="22"/>
          </w:rPr>
          <w:t>Gul and Leung</w:t>
        </w:r>
        <w:r w:rsidR="002C0B6F" w:rsidRPr="00B462BA">
          <w:rPr>
            <w:noProof/>
            <w:sz w:val="22"/>
            <w:szCs w:val="22"/>
            <w:vertAlign w:val="superscript"/>
          </w:rPr>
          <w:t>[36]</w:t>
        </w:r>
        <w:r w:rsidR="002C0B6F" w:rsidRPr="00494CA8">
          <w:rPr>
            <w:sz w:val="22"/>
            <w:szCs w:val="22"/>
          </w:rPr>
          <w:fldChar w:fldCharType="end"/>
        </w:r>
      </w:hyperlink>
      <w:r w:rsidR="00DB449F">
        <w:rPr>
          <w:sz w:val="22"/>
          <w:szCs w:val="22"/>
        </w:rPr>
        <w:t xml:space="preserve"> </w:t>
      </w:r>
      <w:r w:rsidRPr="00376EFF">
        <w:rPr>
          <w:sz w:val="22"/>
          <w:szCs w:val="22"/>
        </w:rPr>
        <w:t>argue that agency theory better explains the role of corporate governance in stakeholder management. Agency theory and stakeholder theory complement each other by advocating the alignment of shareholder, stakeholder, and management goals.</w:t>
      </w:r>
      <w:hyperlink w:anchor="_ENREF_37" w:tooltip="Hussain, 2018 #1480" w:history="1">
        <w:r w:rsidR="002C0B6F" w:rsidRPr="00494CA8">
          <w:rPr>
            <w:sz w:val="22"/>
            <w:szCs w:val="22"/>
          </w:rPr>
          <w:fldChar w:fldCharType="begin"/>
        </w:r>
        <w:r w:rsidR="002C0B6F">
          <w:rPr>
            <w:sz w:val="22"/>
            <w:szCs w:val="22"/>
          </w:rPr>
          <w:instrText xml:space="preserve"> ADDIN EN.CITE &lt;EndNote&gt;&lt;Cite&gt;&lt;Author&gt;Hussain&lt;/Author&gt;&lt;Year&gt;2018&lt;/Year&gt;&lt;RecNum&gt;1480&lt;/RecNum&gt;&lt;DisplayText&gt;&lt;style face="superscript"&gt;37&lt;/style&gt;&lt;/DisplayText&gt;&lt;record&gt;&lt;rec-number&gt;1480&lt;/rec-number&gt;&lt;foreign-keys&gt;&lt;key app="EN" db-id="eswfvzza29a52ye9xwqpfwwx55tazv55ppxs"&gt;1480&lt;/key&gt;&lt;/foreign-keys&gt;&lt;ref-type name="Journal Article"&gt;17&lt;/ref-type&gt;&lt;contributors&gt;&lt;authors&gt;&lt;author&gt;Hussain, Nazim&lt;/author&gt;&lt;author&gt;Rigoni, Ugo&lt;/author&gt;&lt;author&gt;Orij, René P&lt;/author&gt;&lt;/authors&gt;&lt;/contributors&gt;&lt;titles&gt;&lt;title&gt;Corporate governance and sustainability performance: Analysis of triple bottom line performance&lt;/title&gt;&lt;secondary-title&gt;Journal of business ethics&lt;/secondary-title&gt;&lt;/titles&gt;&lt;periodical&gt;&lt;full-title&gt;Journal of Business Ethics&lt;/full-title&gt;&lt;/periodical&gt;&lt;pages&gt;411-432&lt;/pages&gt;&lt;volume&gt;149&lt;/volume&gt;&lt;dates&gt;&lt;year&gt;2018&lt;/year&gt;&lt;/dates&gt;&lt;isbn&gt;0167-4544&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37</w:t>
        </w:r>
        <w:r w:rsidR="002C0B6F" w:rsidRPr="00494CA8">
          <w:rPr>
            <w:sz w:val="22"/>
            <w:szCs w:val="22"/>
          </w:rPr>
          <w:fldChar w:fldCharType="end"/>
        </w:r>
      </w:hyperlink>
    </w:p>
    <w:p w14:paraId="59EBEC1D" w14:textId="7073333F" w:rsidR="00046D27" w:rsidRPr="00A01001" w:rsidRDefault="00622221" w:rsidP="00633160">
      <w:pPr>
        <w:spacing w:before="120" w:after="120"/>
        <w:ind w:firstLine="567"/>
        <w:jc w:val="both"/>
        <w:rPr>
          <w:sz w:val="22"/>
          <w:szCs w:val="22"/>
        </w:rPr>
      </w:pPr>
      <w:r>
        <w:rPr>
          <w:sz w:val="22"/>
          <w:szCs w:val="22"/>
        </w:rPr>
        <w:t xml:space="preserve">Using structural analysis method, </w:t>
      </w:r>
      <w:hyperlink w:anchor="_ENREF_38" w:tooltip="Maali, 2021 #1364" w:history="1">
        <w:r w:rsidR="002C0B6F" w:rsidRPr="00494CA8">
          <w:rPr>
            <w:sz w:val="22"/>
            <w:szCs w:val="22"/>
          </w:rPr>
          <w:fldChar w:fldCharType="begin"/>
        </w:r>
        <w:r w:rsidR="002C0B6F">
          <w:rPr>
            <w:sz w:val="22"/>
            <w:szCs w:val="22"/>
          </w:rPr>
          <w:instrText xml:space="preserve"> ADDIN EN.CITE &lt;EndNote&gt;&lt;Cite AuthorYear="1"&gt;&lt;Author&gt;Maali&lt;/Author&gt;&lt;Year&gt;2021&lt;/Year&gt;&lt;RecNum&gt;1364&lt;/RecNum&gt;&lt;DisplayText&gt;Maali et al.&lt;style face="superscript"&gt;[38]&lt;/style&gt;&lt;/DisplayText&gt;&lt;record&gt;&lt;rec-number&gt;1364&lt;/rec-number&gt;&lt;foreign-keys&gt;&lt;key app="EN" db-id="eswfvzza29a52ye9xwqpfwwx55tazv55ppxs"&gt;1364&lt;/key&gt;&lt;/foreign-keys&gt;&lt;ref-type name="Journal Article"&gt;17&lt;/ref-type&gt;&lt;contributors&gt;&lt;authors&gt;&lt;author&gt;Maali, Kachouri&lt;/author&gt;&lt;author&gt;Rakia, Riguen&lt;/author&gt;&lt;author&gt;Khaireddine, Mouakhar&lt;/author&gt;&lt;/authors&gt;&lt;/contributors&gt;&lt;titles&gt;&lt;title&gt;How corporate social responsibility mediates the relationship between corporate governance and sustainability performance in UK: a multiple mediator analysis&lt;/title&gt;&lt;secondary-title&gt;Society and Business Review&lt;/secondary-title&gt;&lt;/titles&gt;&lt;periodical&gt;&lt;full-title&gt;Society and Business Review&lt;/full-title&gt;&lt;/periodical&gt;&lt;pages&gt;201-217&lt;/pages&gt;&lt;volume&gt;16&lt;/volume&gt;&lt;number&gt;2&lt;/number&gt;&lt;dates&gt;&lt;year&gt;2021&lt;/year&gt;&lt;/dates&gt;&lt;isbn&gt;1746-5680&lt;/isbn&gt;&lt;urls&gt;&lt;/urls&gt;&lt;language&gt;ens&lt;/language&gt;&lt;/record&gt;&lt;/Cite&gt;&lt;/EndNote&gt;</w:instrText>
        </w:r>
        <w:r w:rsidR="002C0B6F" w:rsidRPr="00494CA8">
          <w:rPr>
            <w:sz w:val="22"/>
            <w:szCs w:val="22"/>
          </w:rPr>
          <w:fldChar w:fldCharType="separate"/>
        </w:r>
        <w:r w:rsidR="002C0B6F">
          <w:rPr>
            <w:noProof/>
            <w:sz w:val="22"/>
            <w:szCs w:val="22"/>
          </w:rPr>
          <w:t>Maali et al.</w:t>
        </w:r>
        <w:r w:rsidR="002C0B6F" w:rsidRPr="00B462BA">
          <w:rPr>
            <w:noProof/>
            <w:sz w:val="22"/>
            <w:szCs w:val="22"/>
            <w:vertAlign w:val="superscript"/>
          </w:rPr>
          <w:t>[38]</w:t>
        </w:r>
        <w:r w:rsidR="002C0B6F" w:rsidRPr="00494CA8">
          <w:rPr>
            <w:sz w:val="22"/>
            <w:szCs w:val="22"/>
          </w:rPr>
          <w:fldChar w:fldCharType="end"/>
        </w:r>
      </w:hyperlink>
      <w:r w:rsidR="00046D27" w:rsidRPr="00A01001">
        <w:rPr>
          <w:sz w:val="22"/>
          <w:szCs w:val="22"/>
        </w:rPr>
        <w:t xml:space="preserve"> </w:t>
      </w:r>
      <w:bookmarkStart w:id="6" w:name="OLE_LINK40"/>
      <w:bookmarkStart w:id="7" w:name="OLE_LINK41"/>
      <w:r w:rsidR="00046D27" w:rsidRPr="00A01001">
        <w:rPr>
          <w:sz w:val="22"/>
          <w:szCs w:val="22"/>
        </w:rPr>
        <w:t xml:space="preserve">investigated the direct and indirect effects between corporate governance, sustainability performance, and </w:t>
      </w:r>
      <w:r w:rsidR="00D27276">
        <w:rPr>
          <w:sz w:val="22"/>
          <w:szCs w:val="22"/>
        </w:rPr>
        <w:t>ESG</w:t>
      </w:r>
      <w:r w:rsidR="00D27276" w:rsidRPr="00A01001">
        <w:rPr>
          <w:sz w:val="22"/>
          <w:szCs w:val="22"/>
        </w:rPr>
        <w:t xml:space="preserve"> </w:t>
      </w:r>
      <w:r w:rsidR="00046D27" w:rsidRPr="00A01001">
        <w:rPr>
          <w:sz w:val="22"/>
          <w:szCs w:val="22"/>
        </w:rPr>
        <w:t xml:space="preserve">disclosure using a sample of </w:t>
      </w:r>
      <w:bookmarkEnd w:id="6"/>
      <w:bookmarkEnd w:id="7"/>
      <w:r w:rsidR="00046D27" w:rsidRPr="00A01001">
        <w:rPr>
          <w:sz w:val="22"/>
          <w:szCs w:val="22"/>
        </w:rPr>
        <w:t xml:space="preserve">300 UK companies over the period 2005–2017. The authors found that corporate governance has a positive impact on sustainability performance. In addition, the results showed that </w:t>
      </w:r>
      <w:r w:rsidR="00D27276">
        <w:rPr>
          <w:sz w:val="22"/>
          <w:szCs w:val="22"/>
        </w:rPr>
        <w:t>ESG</w:t>
      </w:r>
      <w:r w:rsidR="00D27276" w:rsidRPr="00A01001">
        <w:rPr>
          <w:sz w:val="22"/>
          <w:szCs w:val="22"/>
        </w:rPr>
        <w:t xml:space="preserve"> </w:t>
      </w:r>
      <w:r w:rsidR="00046D27" w:rsidRPr="00A01001">
        <w:rPr>
          <w:sz w:val="22"/>
          <w:szCs w:val="22"/>
        </w:rPr>
        <w:t xml:space="preserve">disclosure fully mediates the relationship between corporate governance and sustainability performance. Greater engagement in sustainability and </w:t>
      </w:r>
      <w:r w:rsidR="00D27276">
        <w:rPr>
          <w:sz w:val="22"/>
          <w:szCs w:val="22"/>
        </w:rPr>
        <w:t xml:space="preserve">ESG </w:t>
      </w:r>
      <w:r w:rsidR="00171A06">
        <w:rPr>
          <w:sz w:val="22"/>
          <w:szCs w:val="22"/>
        </w:rPr>
        <w:t xml:space="preserve">disclosure will reduce manager and </w:t>
      </w:r>
      <w:r w:rsidR="00046D27" w:rsidRPr="00A01001">
        <w:rPr>
          <w:sz w:val="22"/>
          <w:szCs w:val="22"/>
        </w:rPr>
        <w:t>shareholder conflict.</w:t>
      </w:r>
    </w:p>
    <w:p w14:paraId="4ACDFC16" w14:textId="435A4360" w:rsidR="00046D27" w:rsidRPr="00A01001" w:rsidRDefault="00046D27" w:rsidP="00171A06">
      <w:pPr>
        <w:spacing w:before="120" w:after="120"/>
        <w:ind w:firstLine="567"/>
        <w:jc w:val="both"/>
        <w:rPr>
          <w:sz w:val="22"/>
          <w:szCs w:val="22"/>
        </w:rPr>
      </w:pPr>
      <w:r w:rsidRPr="00A01001">
        <w:rPr>
          <w:sz w:val="22"/>
          <w:szCs w:val="22"/>
        </w:rPr>
        <w:t xml:space="preserve">Based on data from </w:t>
      </w:r>
      <w:bookmarkStart w:id="8" w:name="OLE_LINK10"/>
      <w:bookmarkStart w:id="9" w:name="OLE_LINK11"/>
      <w:r w:rsidRPr="00A01001">
        <w:rPr>
          <w:sz w:val="22"/>
          <w:szCs w:val="22"/>
        </w:rPr>
        <w:t>the 500 largest family-owned businesses in the US from 2009 to 2018,</w:t>
      </w:r>
      <w:bookmarkEnd w:id="8"/>
      <w:bookmarkEnd w:id="9"/>
      <w:r w:rsidRPr="00A01001">
        <w:rPr>
          <w:sz w:val="22"/>
          <w:szCs w:val="22"/>
        </w:rPr>
        <w:t xml:space="preserve"> </w:t>
      </w:r>
      <w:hyperlink w:anchor="_ENREF_8" w:tooltip="Xu, 2022 #1363" w:history="1">
        <w:r w:rsidR="002C0B6F" w:rsidRPr="00494CA8">
          <w:rPr>
            <w:sz w:val="22"/>
            <w:szCs w:val="22"/>
          </w:rPr>
          <w:fldChar w:fldCharType="begin"/>
        </w:r>
        <w:r w:rsidR="002C0B6F">
          <w:rPr>
            <w:sz w:val="22"/>
            <w:szCs w:val="22"/>
          </w:rPr>
          <w:instrText xml:space="preserve"> ADDIN EN.CITE &lt;EndNote&gt;&lt;Cite AuthorYear="1"&gt;&lt;Author&gt;Xu&lt;/Author&gt;&lt;Year&gt;2022&lt;/Year&gt;&lt;RecNum&gt;1363&lt;/RecNum&gt;&lt;DisplayText&gt;Xu et al &lt;style face="superscript"&gt;[8]&lt;/style&gt;&lt;/DisplayText&gt;&lt;record&gt;&lt;rec-number&gt;1363&lt;/rec-number&gt;&lt;foreign-keys&gt;&lt;key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2C0B6F" w:rsidRPr="00494CA8">
          <w:rPr>
            <w:sz w:val="22"/>
            <w:szCs w:val="22"/>
          </w:rPr>
          <w:fldChar w:fldCharType="separate"/>
        </w:r>
        <w:r w:rsidR="002C0B6F">
          <w:rPr>
            <w:noProof/>
            <w:sz w:val="22"/>
            <w:szCs w:val="22"/>
          </w:rPr>
          <w:t xml:space="preserve">Xu et al </w:t>
        </w:r>
        <w:r w:rsidR="002C0B6F" w:rsidRPr="00743BD1">
          <w:rPr>
            <w:noProof/>
            <w:sz w:val="22"/>
            <w:szCs w:val="22"/>
            <w:vertAlign w:val="superscript"/>
          </w:rPr>
          <w:t>[8]</w:t>
        </w:r>
        <w:r w:rsidR="002C0B6F" w:rsidRPr="00494CA8">
          <w:rPr>
            <w:sz w:val="22"/>
            <w:szCs w:val="22"/>
          </w:rPr>
          <w:fldChar w:fldCharType="end"/>
        </w:r>
      </w:hyperlink>
      <w:r w:rsidR="00DB449F">
        <w:rPr>
          <w:sz w:val="22"/>
          <w:szCs w:val="22"/>
        </w:rPr>
        <w:t xml:space="preserve"> </w:t>
      </w:r>
      <w:r w:rsidRPr="00A01001">
        <w:rPr>
          <w:sz w:val="22"/>
          <w:szCs w:val="22"/>
        </w:rPr>
        <w:t>f</w:t>
      </w:r>
      <w:r w:rsidR="00171A06">
        <w:rPr>
          <w:sz w:val="22"/>
          <w:szCs w:val="22"/>
        </w:rPr>
        <w:t>ind</w:t>
      </w:r>
      <w:r w:rsidRPr="00A01001">
        <w:rPr>
          <w:sz w:val="22"/>
          <w:szCs w:val="22"/>
        </w:rPr>
        <w:t xml:space="preserve"> that </w:t>
      </w:r>
      <w:r w:rsidR="00D27276">
        <w:rPr>
          <w:sz w:val="22"/>
          <w:szCs w:val="22"/>
        </w:rPr>
        <w:t>ESG</w:t>
      </w:r>
      <w:r w:rsidR="00D27276" w:rsidRPr="00A01001">
        <w:rPr>
          <w:sz w:val="22"/>
          <w:szCs w:val="22"/>
        </w:rPr>
        <w:t xml:space="preserve"> </w:t>
      </w:r>
      <w:r w:rsidRPr="00A01001">
        <w:rPr>
          <w:sz w:val="22"/>
          <w:szCs w:val="22"/>
        </w:rPr>
        <w:t xml:space="preserve">disclosure plays a mediating role in the relationship between corporate governance and performance. </w:t>
      </w:r>
      <w:r w:rsidRPr="00A01001">
        <w:rPr>
          <w:sz w:val="22"/>
          <w:szCs w:val="22"/>
        </w:rPr>
        <w:lastRenderedPageBreak/>
        <w:t xml:space="preserve">Furthermore, the mediating role of </w:t>
      </w:r>
      <w:r w:rsidR="00D27276">
        <w:rPr>
          <w:sz w:val="22"/>
          <w:szCs w:val="22"/>
        </w:rPr>
        <w:t>ESG</w:t>
      </w:r>
      <w:r w:rsidR="00D27276" w:rsidRPr="00A01001">
        <w:rPr>
          <w:sz w:val="22"/>
          <w:szCs w:val="22"/>
        </w:rPr>
        <w:t xml:space="preserve"> </w:t>
      </w:r>
      <w:r w:rsidRPr="00A01001">
        <w:rPr>
          <w:sz w:val="22"/>
          <w:szCs w:val="22"/>
        </w:rPr>
        <w:t>disclosure on this relationship is stronger in family-owned firms than in non-</w:t>
      </w:r>
      <w:bookmarkStart w:id="10" w:name="OLE_LINK16"/>
      <w:bookmarkStart w:id="11" w:name="OLE_LINK17"/>
      <w:r w:rsidR="00171A06">
        <w:rPr>
          <w:sz w:val="22"/>
          <w:szCs w:val="22"/>
        </w:rPr>
        <w:t>family-owned firms</w:t>
      </w:r>
      <w:r w:rsidRPr="00A01001">
        <w:rPr>
          <w:sz w:val="22"/>
          <w:szCs w:val="22"/>
        </w:rPr>
        <w:t xml:space="preserve">. </w:t>
      </w:r>
      <w:bookmarkEnd w:id="10"/>
      <w:bookmarkEnd w:id="11"/>
      <w:r w:rsidRPr="00A01001">
        <w:rPr>
          <w:sz w:val="22"/>
          <w:szCs w:val="22"/>
        </w:rPr>
        <w:t xml:space="preserve">This supports the hypothesis that by performing well in </w:t>
      </w:r>
      <w:r w:rsidR="00D27276">
        <w:rPr>
          <w:sz w:val="22"/>
          <w:szCs w:val="22"/>
        </w:rPr>
        <w:t>ESG disclosure</w:t>
      </w:r>
      <w:r w:rsidRPr="00A01001">
        <w:rPr>
          <w:sz w:val="22"/>
          <w:szCs w:val="22"/>
        </w:rPr>
        <w:t xml:space="preserve">, family firms are more likely to conduct corporate governance to ensure </w:t>
      </w:r>
      <w:r w:rsidR="00D27276">
        <w:rPr>
          <w:sz w:val="22"/>
          <w:szCs w:val="22"/>
        </w:rPr>
        <w:t>ESG</w:t>
      </w:r>
      <w:r w:rsidR="00D27276" w:rsidRPr="00A01001">
        <w:rPr>
          <w:sz w:val="22"/>
          <w:szCs w:val="22"/>
        </w:rPr>
        <w:t xml:space="preserve"> </w:t>
      </w:r>
      <w:r w:rsidRPr="00A01001">
        <w:rPr>
          <w:sz w:val="22"/>
          <w:szCs w:val="22"/>
        </w:rPr>
        <w:t>disclosure, thereby improving their future performance. These findings provide insights for all stakeholders, from managers to regulators and policy makers, to improve and sustain performance.</w:t>
      </w:r>
    </w:p>
    <w:p w14:paraId="5B4CB2E1" w14:textId="2E0871B9" w:rsidR="00046D27" w:rsidRDefault="00046D27" w:rsidP="00BB2019">
      <w:pPr>
        <w:spacing w:before="120" w:after="120"/>
        <w:ind w:firstLine="720"/>
        <w:jc w:val="both"/>
        <w:rPr>
          <w:sz w:val="22"/>
          <w:szCs w:val="22"/>
        </w:rPr>
      </w:pPr>
      <w:r>
        <w:rPr>
          <w:sz w:val="22"/>
          <w:szCs w:val="22"/>
        </w:rPr>
        <w:t xml:space="preserve">Thus, managers should combine corporate governance mechanisms with </w:t>
      </w:r>
      <w:r w:rsidR="00D27276">
        <w:rPr>
          <w:sz w:val="22"/>
          <w:szCs w:val="22"/>
        </w:rPr>
        <w:t xml:space="preserve">ESG </w:t>
      </w:r>
      <w:r>
        <w:rPr>
          <w:sz w:val="22"/>
          <w:szCs w:val="22"/>
        </w:rPr>
        <w:t xml:space="preserve">disclosure to resolve conflicts of interest among </w:t>
      </w:r>
      <w:r w:rsidRPr="00A01001">
        <w:rPr>
          <w:sz w:val="22"/>
          <w:szCs w:val="22"/>
        </w:rPr>
        <w:t xml:space="preserve">stakeholders </w:t>
      </w:r>
      <w:r>
        <w:rPr>
          <w:sz w:val="22"/>
          <w:szCs w:val="22"/>
        </w:rPr>
        <w:t>and bring higher performance to the company.</w:t>
      </w:r>
      <w:hyperlink w:anchor="_ENREF_7" w:tooltip="Jo, 2011 #375" w:history="1">
        <w:r w:rsidR="002C0B6F" w:rsidRPr="00494CA8">
          <w:rPr>
            <w:sz w:val="22"/>
            <w:szCs w:val="22"/>
            <w:vertAlign w:val="superscript"/>
          </w:rPr>
          <w:fldChar w:fldCharType="begin"/>
        </w:r>
        <w:r w:rsidR="002C0B6F" w:rsidRPr="00494CA8">
          <w:rPr>
            <w:sz w:val="22"/>
            <w:szCs w:val="22"/>
            <w:vertAlign w:val="superscript"/>
          </w:rPr>
          <w:instrText xml:space="preserve"> ADDIN EN.CITE &lt;EndNote&gt;&lt;Cite&gt;&lt;Author&gt;Jo&lt;/Author&gt;&lt;Year&gt;2011&lt;/Year&gt;&lt;RecNum&gt;375&lt;/RecNum&gt;&lt;DisplayText&gt;&lt;style face="superscript"&gt;7&lt;/style&gt;&lt;/DisplayText&gt;&lt;record&gt;&lt;rec-number&gt;375&lt;/rec-number&gt;&lt;foreign-keys&gt;&lt;key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2C0B6F" w:rsidRPr="00494CA8">
          <w:rPr>
            <w:sz w:val="22"/>
            <w:szCs w:val="22"/>
            <w:vertAlign w:val="superscript"/>
          </w:rPr>
          <w:fldChar w:fldCharType="separate"/>
        </w:r>
        <w:r w:rsidR="002C0B6F" w:rsidRPr="00494CA8">
          <w:rPr>
            <w:noProof/>
            <w:sz w:val="22"/>
            <w:szCs w:val="22"/>
            <w:vertAlign w:val="superscript"/>
          </w:rPr>
          <w:t>7</w:t>
        </w:r>
        <w:r w:rsidR="002C0B6F" w:rsidRPr="00494CA8">
          <w:rPr>
            <w:sz w:val="22"/>
            <w:szCs w:val="22"/>
            <w:vertAlign w:val="superscript"/>
          </w:rPr>
          <w:fldChar w:fldCharType="end"/>
        </w:r>
      </w:hyperlink>
      <w:r w:rsidR="00171A06" w:rsidRPr="00DB449F">
        <w:rPr>
          <w:rStyle w:val="Hyperlink"/>
          <w:sz w:val="22"/>
          <w:szCs w:val="22"/>
          <w:vertAlign w:val="superscript"/>
        </w:rPr>
        <w:t xml:space="preserve"> </w:t>
      </w:r>
      <w:r w:rsidRPr="00A01001">
        <w:rPr>
          <w:sz w:val="22"/>
          <w:szCs w:val="22"/>
        </w:rPr>
        <w:t xml:space="preserve">Therefore, </w:t>
      </w:r>
      <w:r w:rsidR="00D27276">
        <w:rPr>
          <w:sz w:val="22"/>
          <w:szCs w:val="22"/>
        </w:rPr>
        <w:t>ESG</w:t>
      </w:r>
      <w:r w:rsidR="00D27276" w:rsidRPr="00A01001">
        <w:rPr>
          <w:sz w:val="22"/>
          <w:szCs w:val="22"/>
        </w:rPr>
        <w:t xml:space="preserve"> </w:t>
      </w:r>
      <w:r w:rsidRPr="00A01001">
        <w:rPr>
          <w:sz w:val="22"/>
          <w:szCs w:val="22"/>
        </w:rPr>
        <w:t>disclosure can play an intermediary role in facilitating the relationship between corporate governance and performance.</w:t>
      </w:r>
      <w:hyperlink w:anchor="_ENREF_39" w:tooltip="Fassin, 2009 #1358" w:history="1">
        <w:r w:rsidR="002C0B6F" w:rsidRPr="00494CA8">
          <w:rPr>
            <w:sz w:val="22"/>
            <w:szCs w:val="22"/>
          </w:rPr>
          <w:fldChar w:fldCharType="begin"/>
        </w:r>
        <w:r w:rsidR="002C0B6F">
          <w:rPr>
            <w:sz w:val="22"/>
            <w:szCs w:val="22"/>
          </w:rPr>
          <w:instrText xml:space="preserve"> ADDIN EN.CITE &lt;EndNote&gt;&lt;Cite&gt;&lt;Author&gt;Fassin&lt;/Author&gt;&lt;Year&gt;2009&lt;/Year&gt;&lt;RecNum&gt;1358&lt;/RecNum&gt;&lt;DisplayText&gt;&lt;style face="superscript"&gt;39&lt;/style&gt;&lt;/DisplayText&gt;&lt;record&gt;&lt;rec-number&gt;1358&lt;/rec-number&gt;&lt;foreign-keys&gt;&lt;key app="EN" db-id="eswfvzza29a52ye9xwqpfwwx55tazv55ppxs"&gt;1358&lt;/key&gt;&lt;/foreign-keys&gt;&lt;ref-type name="Journal Article"&gt;17&lt;/ref-type&gt;&lt;contributors&gt;&lt;authors&gt;&lt;author&gt;Fassin, Yves&lt;/author&gt;&lt;author&gt;Van Rossem, Annick&lt;/author&gt;&lt;/authors&gt;&lt;/contributors&gt;&lt;titles&gt;&lt;title&gt;Corporate governance in the debate on CSR and ethics: Sensemaking of social issues in management by authorities and CEOs&lt;/title&gt;&lt;secondary-title&gt;Corporate Governance: An International Review&lt;/secondary-title&gt;&lt;/titles&gt;&lt;periodical&gt;&lt;full-title&gt;Corporate Governance: An International Review&lt;/full-title&gt;&lt;/periodical&gt;&lt;pages&gt;573-593&lt;/pages&gt;&lt;volume&gt;17&lt;/volume&gt;&lt;number&gt;5&lt;/number&gt;&lt;dates&gt;&lt;year&gt;2009&lt;/year&gt;&lt;/dates&gt;&lt;isbn&gt;0964-8410&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39</w:t>
        </w:r>
        <w:r w:rsidR="002C0B6F" w:rsidRPr="00494CA8">
          <w:rPr>
            <w:sz w:val="22"/>
            <w:szCs w:val="22"/>
          </w:rPr>
          <w:fldChar w:fldCharType="end"/>
        </w:r>
      </w:hyperlink>
    </w:p>
    <w:p w14:paraId="2877483E" w14:textId="77777777" w:rsidR="00046D27" w:rsidRDefault="00046D27" w:rsidP="00171A06">
      <w:pPr>
        <w:spacing w:before="120" w:after="120"/>
        <w:ind w:firstLine="567"/>
        <w:jc w:val="both"/>
        <w:rPr>
          <w:sz w:val="22"/>
          <w:szCs w:val="22"/>
        </w:rPr>
      </w:pPr>
      <w:r>
        <w:rPr>
          <w:sz w:val="22"/>
          <w:szCs w:val="22"/>
        </w:rPr>
        <w:t>Based on all the above arguments, we propose the hypothesis:</w:t>
      </w:r>
    </w:p>
    <w:p w14:paraId="031B3896" w14:textId="197E10D9" w:rsidR="00046D27" w:rsidRPr="00AA6C47" w:rsidRDefault="006870E9" w:rsidP="00171A06">
      <w:pPr>
        <w:spacing w:before="120" w:after="120"/>
        <w:ind w:firstLine="567"/>
        <w:jc w:val="both"/>
        <w:rPr>
          <w:sz w:val="22"/>
          <w:szCs w:val="22"/>
        </w:rPr>
      </w:pPr>
      <w:r>
        <w:rPr>
          <w:sz w:val="22"/>
          <w:szCs w:val="22"/>
        </w:rPr>
        <w:t>H</w:t>
      </w:r>
      <w:r w:rsidRPr="006870E9">
        <w:rPr>
          <w:sz w:val="22"/>
          <w:szCs w:val="22"/>
          <w:vertAlign w:val="subscript"/>
        </w:rPr>
        <w:t>2</w:t>
      </w:r>
      <w:r>
        <w:rPr>
          <w:sz w:val="22"/>
          <w:szCs w:val="22"/>
        </w:rPr>
        <w:t xml:space="preserve">: Board size has an indirect and positive effect on performance through the mediating variable of </w:t>
      </w:r>
      <w:r w:rsidR="00D27276">
        <w:rPr>
          <w:sz w:val="22"/>
          <w:szCs w:val="22"/>
        </w:rPr>
        <w:t xml:space="preserve">ESG </w:t>
      </w:r>
      <w:r>
        <w:rPr>
          <w:sz w:val="22"/>
          <w:szCs w:val="22"/>
        </w:rPr>
        <w:t>disclosure.</w:t>
      </w:r>
    </w:p>
    <w:p w14:paraId="46567F99" w14:textId="77777777" w:rsidR="00046D27" w:rsidRPr="00F61F7B" w:rsidRDefault="00046D27" w:rsidP="00046D27">
      <w:pPr>
        <w:tabs>
          <w:tab w:val="right" w:leader="hyphen" w:pos="9072"/>
        </w:tabs>
        <w:spacing w:before="120" w:after="120"/>
        <w:jc w:val="both"/>
        <w:rPr>
          <w:b/>
          <w:sz w:val="22"/>
          <w:szCs w:val="22"/>
        </w:rPr>
      </w:pPr>
      <w:r>
        <w:rPr>
          <w:b/>
          <w:sz w:val="22"/>
          <w:szCs w:val="22"/>
        </w:rPr>
        <w:t xml:space="preserve">3. </w:t>
      </w:r>
      <w:bookmarkStart w:id="12" w:name="OLE_LINK8"/>
      <w:bookmarkStart w:id="13" w:name="OLE_LINK9"/>
      <w:r>
        <w:rPr>
          <w:b/>
          <w:sz w:val="22"/>
          <w:szCs w:val="22"/>
        </w:rPr>
        <w:t>RESEARCH METHODS</w:t>
      </w:r>
      <w:bookmarkEnd w:id="12"/>
      <w:bookmarkEnd w:id="13"/>
    </w:p>
    <w:p w14:paraId="7F69F7C2" w14:textId="77777777" w:rsidR="00046D27" w:rsidRPr="00BB2EED" w:rsidRDefault="00046D27" w:rsidP="00046D27">
      <w:pPr>
        <w:tabs>
          <w:tab w:val="left" w:pos="360"/>
          <w:tab w:val="right" w:leader="hyphen" w:pos="9072"/>
        </w:tabs>
        <w:spacing w:before="120" w:after="120"/>
        <w:jc w:val="both"/>
        <w:rPr>
          <w:b/>
          <w:sz w:val="22"/>
          <w:szCs w:val="22"/>
        </w:rPr>
      </w:pPr>
      <w:r w:rsidRPr="00BB2EED">
        <w:rPr>
          <w:b/>
          <w:sz w:val="22"/>
          <w:szCs w:val="22"/>
        </w:rPr>
        <w:t>3.1. Research sample</w:t>
      </w:r>
    </w:p>
    <w:p w14:paraId="1F52C2E4" w14:textId="77777777" w:rsidR="00046D27" w:rsidRPr="00BB2EED" w:rsidRDefault="00046D27" w:rsidP="00046D27">
      <w:pPr>
        <w:tabs>
          <w:tab w:val="left" w:pos="360"/>
          <w:tab w:val="right" w:leader="hyphen" w:pos="9072"/>
        </w:tabs>
        <w:spacing w:before="120" w:after="120"/>
        <w:jc w:val="both"/>
        <w:rPr>
          <w:sz w:val="22"/>
          <w:szCs w:val="22"/>
        </w:rPr>
      </w:pPr>
      <w:r>
        <w:rPr>
          <w:sz w:val="22"/>
          <w:szCs w:val="22"/>
        </w:rPr>
        <w:t xml:space="preserve">The initial sample was all companies listed on the Ho Chi Minh City Stock Exchange (HOSE) in 2022. We then excluded companies in the finance, banking, </w:t>
      </w:r>
      <w:r w:rsidR="00E15AAD">
        <w:rPr>
          <w:sz w:val="22"/>
          <w:szCs w:val="22"/>
        </w:rPr>
        <w:t xml:space="preserve">stock, </w:t>
      </w:r>
      <w:r>
        <w:rPr>
          <w:sz w:val="22"/>
          <w:szCs w:val="22"/>
        </w:rPr>
        <w:t>insurance sectors and companies with incomplete data. Therefore, the final research sample was 290 companies.</w:t>
      </w:r>
    </w:p>
    <w:p w14:paraId="450B7095" w14:textId="77777777" w:rsidR="00046D27" w:rsidRPr="00BD2E4C" w:rsidRDefault="00046D27" w:rsidP="00046D27">
      <w:pPr>
        <w:tabs>
          <w:tab w:val="left" w:pos="360"/>
          <w:tab w:val="right" w:leader="hyphen" w:pos="9072"/>
        </w:tabs>
        <w:spacing w:before="120" w:after="120"/>
        <w:jc w:val="both"/>
        <w:rPr>
          <w:b/>
          <w:sz w:val="22"/>
          <w:szCs w:val="22"/>
        </w:rPr>
      </w:pPr>
      <w:r w:rsidRPr="00BD2E4C">
        <w:rPr>
          <w:b/>
          <w:sz w:val="22"/>
          <w:szCs w:val="22"/>
        </w:rPr>
        <w:t>3.2. Variable measurement</w:t>
      </w:r>
    </w:p>
    <w:p w14:paraId="62EAD01B" w14:textId="0FED87C1" w:rsidR="00046D27" w:rsidRPr="00BB2EED" w:rsidRDefault="00046D27" w:rsidP="00046D27">
      <w:pPr>
        <w:tabs>
          <w:tab w:val="left" w:pos="360"/>
          <w:tab w:val="right" w:leader="hyphen" w:pos="9072"/>
        </w:tabs>
        <w:spacing w:before="120" w:after="120"/>
        <w:jc w:val="both"/>
        <w:rPr>
          <w:sz w:val="22"/>
          <w:szCs w:val="22"/>
        </w:rPr>
      </w:pPr>
      <w:r w:rsidRPr="00BD2E4C">
        <w:rPr>
          <w:i/>
          <w:sz w:val="22"/>
          <w:szCs w:val="22"/>
        </w:rPr>
        <w:t>Performance</w:t>
      </w:r>
      <w:r w:rsidRPr="00BB2EED">
        <w:rPr>
          <w:sz w:val="22"/>
          <w:szCs w:val="22"/>
        </w:rPr>
        <w:t xml:space="preserve">: </w:t>
      </w:r>
      <w:r w:rsidR="00B954B2" w:rsidRPr="00B954B2">
        <w:rPr>
          <w:color w:val="FF0000"/>
          <w:sz w:val="22"/>
          <w:szCs w:val="22"/>
        </w:rPr>
        <w:t xml:space="preserve">We prefer to use accounting metrics rather than market-based ones because they more accurately reflect a company's internal operational </w:t>
      </w:r>
      <w:r w:rsidR="00D5558F">
        <w:rPr>
          <w:color w:val="FF0000"/>
          <w:sz w:val="22"/>
          <w:szCs w:val="22"/>
        </w:rPr>
        <w:t>performance</w:t>
      </w:r>
      <w:r w:rsidR="003E5C62">
        <w:rPr>
          <w:color w:val="FF0000"/>
          <w:sz w:val="22"/>
          <w:szCs w:val="22"/>
        </w:rPr>
        <w:t>.</w:t>
      </w:r>
      <w:hyperlink w:anchor="_ENREF_40" w:tooltip="Liu, 2015 #1619" w:history="1">
        <w:r w:rsidR="002C0B6F">
          <w:rPr>
            <w:color w:val="FF0000"/>
            <w:sz w:val="22"/>
            <w:szCs w:val="22"/>
          </w:rPr>
          <w:fldChar w:fldCharType="begin"/>
        </w:r>
        <w:r w:rsidR="002C0B6F">
          <w:rPr>
            <w:color w:val="FF0000"/>
            <w:sz w:val="22"/>
            <w:szCs w:val="22"/>
          </w:rPr>
          <w:instrText xml:space="preserve"> ADDIN EN.CITE &lt;EndNote&gt;&lt;Cite&gt;&lt;Author&gt;Liu&lt;/Author&gt;&lt;Year&gt;2015&lt;/Year&gt;&lt;RecNum&gt;1619&lt;/RecNum&gt;&lt;DisplayText&gt;&lt;style face="superscript"&gt;40&lt;/style&gt;&lt;/DisplayText&gt;&lt;record&gt;&lt;rec-number&gt;1619&lt;/rec-number&gt;&lt;foreign-keys&gt;&lt;key app="EN" db-id="eswfvzza29a52ye9xwqpfwwx55tazv55ppxs"&gt;1619&lt;/key&gt;&lt;/foreign-keys&gt;&lt;ref-type name="Journal Article"&gt;17&lt;/ref-type&gt;&lt;contributors&gt;&lt;authors&gt;&lt;author&gt;Liu, Y.&lt;/author&gt;&lt;author&gt;Miletkov, M.K.&lt;/author&gt;&lt;author&gt;Wei, Z.&lt;/author&gt;&lt;author&gt;Yang, T.&lt;/author&gt;&lt;/authors&gt;&lt;/contributors&gt;&lt;titles&gt;&lt;title&gt;Board independence and firm performance in China&lt;/title&gt;&lt;secondary-title&gt;Journal of Corporate Finance&lt;/secondary-title&gt;&lt;/titles&gt;&lt;periodical&gt;&lt;full-title&gt;Journal of Corporate Finance&lt;/full-title&gt;&lt;/periodical&gt;&lt;pages&gt;223–244&lt;/pages&gt;&lt;volume&gt;30&lt;/volume&gt;&lt;dates&gt;&lt;year&gt;2015&lt;/year&gt;&lt;/dates&gt;&lt;urls&gt;&lt;related-urls&gt;&lt;url&gt;https://www.sciencedirect.com/science/article/pii/S0929119914001564&lt;/url&gt;&lt;/related-urls&gt;&lt;/urls&gt;&lt;language&gt;ens&lt;/language&gt;&lt;/record&gt;&lt;/Cite&gt;&lt;/EndNote&gt;</w:instrText>
        </w:r>
        <w:r w:rsidR="002C0B6F">
          <w:rPr>
            <w:color w:val="FF0000"/>
            <w:sz w:val="22"/>
            <w:szCs w:val="22"/>
          </w:rPr>
          <w:fldChar w:fldCharType="separate"/>
        </w:r>
        <w:r w:rsidR="002C0B6F" w:rsidRPr="00B462BA">
          <w:rPr>
            <w:noProof/>
            <w:color w:val="FF0000"/>
            <w:sz w:val="22"/>
            <w:szCs w:val="22"/>
            <w:vertAlign w:val="superscript"/>
          </w:rPr>
          <w:t>40</w:t>
        </w:r>
        <w:r w:rsidR="002C0B6F">
          <w:rPr>
            <w:color w:val="FF0000"/>
            <w:sz w:val="22"/>
            <w:szCs w:val="22"/>
          </w:rPr>
          <w:fldChar w:fldCharType="end"/>
        </w:r>
      </w:hyperlink>
      <w:r w:rsidR="00B954B2" w:rsidRPr="00B954B2">
        <w:rPr>
          <w:color w:val="FF0000"/>
          <w:sz w:val="22"/>
          <w:szCs w:val="22"/>
        </w:rPr>
        <w:t xml:space="preserve"> </w:t>
      </w:r>
      <w:r w:rsidRPr="00BB2EED">
        <w:rPr>
          <w:sz w:val="22"/>
          <w:szCs w:val="22"/>
        </w:rPr>
        <w:t>Return on assets (ROA) is widely used as a proxy for performance.</w:t>
      </w:r>
      <w:hyperlink w:anchor="_ENREF_41" w:tooltip="Rose, 2006 #1337" w:history="1">
        <w:r w:rsidR="002C0B6F" w:rsidRPr="00494CA8">
          <w:rPr>
            <w:sz w:val="22"/>
            <w:szCs w:val="22"/>
          </w:rPr>
          <w:fldChar w:fldCharType="begin"/>
        </w:r>
        <w:r w:rsidR="002C0B6F">
          <w:rPr>
            <w:sz w:val="22"/>
            <w:szCs w:val="22"/>
          </w:rPr>
          <w:instrText xml:space="preserve"> ADDIN EN.CITE &lt;EndNote&gt;&lt;Cite&gt;&lt;Author&gt;Rose&lt;/Author&gt;&lt;Year&gt;2006&lt;/Year&gt;&lt;RecNum&gt;1337&lt;/RecNum&gt;&lt;DisplayText&gt;&lt;style face="superscript"&gt;41&lt;/style&gt;&lt;/DisplayText&gt;&lt;record&gt;&lt;rec-number&gt;1337&lt;/rec-number&gt;&lt;foreign-keys&gt;&lt;key app="EN" db-id="eswfvzza29a52ye9xwqpfwwx55tazv55ppxs"&gt;1337&lt;/key&gt;&lt;/foreign-keys&gt;&lt;ref-type name="Journal Article"&gt;17&lt;/ref-type&gt;&lt;contributors&gt;&lt;authors&gt;&lt;author&gt;Rose, Paul&lt;/author&gt;&lt;/authors&gt;&lt;/contributors&gt;&lt;titles&gt;&lt;title&gt;The corporate governance industry&lt;/title&gt;&lt;secondary-title&gt;J. Corp. L.&lt;/secondary-title&gt;&lt;/titles&gt;&lt;periodical&gt;&lt;full-title&gt;J. Corp. L.&lt;/full-title&gt;&lt;/periodical&gt;&lt;pages&gt;887&lt;/pages&gt;&lt;volume&gt;32&lt;/volume&gt;&lt;dates&gt;&lt;year&gt;2006&lt;/year&gt;&lt;/dates&gt;&lt;urls&gt;&lt;/urls&gt;&lt;language&gt;ens&lt;/language&gt;&lt;/record&gt;&lt;/Cite&gt;&lt;/EndNote&gt;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41</w:t>
        </w:r>
        <w:r w:rsidR="002C0B6F" w:rsidRPr="00494CA8">
          <w:rPr>
            <w:sz w:val="22"/>
            <w:szCs w:val="22"/>
          </w:rPr>
          <w:fldChar w:fldCharType="end"/>
        </w:r>
      </w:hyperlink>
      <w:r w:rsidR="00DB449F">
        <w:rPr>
          <w:sz w:val="22"/>
          <w:szCs w:val="22"/>
        </w:rPr>
        <w:t xml:space="preserve"> </w:t>
      </w:r>
      <w:r w:rsidR="004556B7">
        <w:rPr>
          <w:sz w:val="22"/>
          <w:szCs w:val="22"/>
        </w:rPr>
        <w:t>ROA</w:t>
      </w:r>
      <w:r w:rsidRPr="00BB2EED">
        <w:rPr>
          <w:sz w:val="22"/>
          <w:szCs w:val="22"/>
        </w:rPr>
        <w:t xml:space="preserve"> is defined as the total pre-tax accounting profit over total assets.</w:t>
      </w:r>
      <w:hyperlink w:anchor="_ENREF_42" w:tooltip="Core, 2006 #1426" w:history="1">
        <w:r w:rsidR="002C0B6F" w:rsidRPr="00494CA8">
          <w:rPr>
            <w:sz w:val="22"/>
            <w:szCs w:val="22"/>
          </w:rPr>
          <w:fldChar w:fldCharType="begin"/>
        </w:r>
        <w:r w:rsidR="002C0B6F">
          <w:rPr>
            <w:sz w:val="22"/>
            <w:szCs w:val="22"/>
          </w:rPr>
          <w:instrText xml:space="preserve"> ADDIN EN.CITE &lt;EndNote&gt;&lt;Cite&gt;&lt;Author&gt;Core&lt;/Author&gt;&lt;Year&gt;2006&lt;/Year&gt;&lt;RecNum&gt;1426&lt;/RecNum&gt;&lt;DisplayText&gt;&lt;style face="superscript"&gt;42&lt;/style&gt;&lt;/DisplayText&gt;&lt;record&gt;&lt;rec-number&gt;1426&lt;/rec-number&gt;&lt;foreign-keys&gt;&lt;key app="EN" db-id="eswfvzza29a52ye9xwqpfwwx55tazv55ppxs"&gt;1426&lt;/key&gt;&lt;/foreign-keys&gt;&lt;ref-type name="Journal Article"&gt;17&lt;/ref-type&gt;&lt;contributors&gt;&lt;authors&gt;&lt;author&gt;Core, John E&lt;/author&gt;&lt;author&gt;Guay, Wayne R&lt;/author&gt;&lt;author&gt;Rusticus, Tjomme O&lt;/author&gt;&lt;/authors&gt;&lt;/contributors&gt;&lt;titles&gt;&lt;title&gt;Does weak governance cause weak stock returns? An examination of firm operating performance and investors&amp;apos; expectations&lt;/title&gt;&lt;secondary-title&gt;the Journal of Finance&lt;/secondary-title&gt;&lt;/titles&gt;&lt;periodical&gt;&lt;full-title&gt;The Journal of Finance&lt;/full-title&gt;&lt;/periodical&gt;&lt;pages&gt;655-687&lt;/pages&gt;&lt;volume&gt;61&lt;/volume&gt;&lt;number&gt;2&lt;/number&gt;&lt;dates&gt;&lt;year&gt;2006&lt;/year&gt;&lt;/dates&gt;&lt;isbn&gt;0022-1082&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42</w:t>
        </w:r>
        <w:r w:rsidR="002C0B6F" w:rsidRPr="00494CA8">
          <w:rPr>
            <w:sz w:val="22"/>
            <w:szCs w:val="22"/>
          </w:rPr>
          <w:fldChar w:fldCharType="end"/>
        </w:r>
      </w:hyperlink>
    </w:p>
    <w:p w14:paraId="653E7CB0" w14:textId="057C19C1" w:rsidR="00046D27" w:rsidRDefault="00046D27" w:rsidP="00E43220">
      <w:pPr>
        <w:tabs>
          <w:tab w:val="left" w:pos="567"/>
          <w:tab w:val="right" w:leader="hyphen" w:pos="9072"/>
        </w:tabs>
        <w:spacing w:before="120" w:after="120"/>
        <w:jc w:val="both"/>
        <w:rPr>
          <w:sz w:val="22"/>
          <w:szCs w:val="22"/>
        </w:rPr>
      </w:pPr>
      <w:r>
        <w:rPr>
          <w:sz w:val="22"/>
          <w:szCs w:val="22"/>
        </w:rPr>
        <w:tab/>
      </w:r>
      <w:r w:rsidRPr="00BD2376">
        <w:rPr>
          <w:i/>
          <w:sz w:val="22"/>
          <w:szCs w:val="22"/>
        </w:rPr>
        <w:t>Board Size (BSIZE)</w:t>
      </w:r>
      <w:r>
        <w:rPr>
          <w:sz w:val="22"/>
          <w:szCs w:val="22"/>
        </w:rPr>
        <w:t>: Board size is determined by the number of board members.</w:t>
      </w:r>
      <w:hyperlink w:anchor="_ENREF_42" w:tooltip="Core, 2006 #1426" w:history="1">
        <w:r w:rsidR="002C0B6F" w:rsidRPr="00494CA8">
          <w:rPr>
            <w:sz w:val="22"/>
            <w:szCs w:val="22"/>
          </w:rPr>
          <w:fldChar w:fldCharType="begin"/>
        </w:r>
        <w:r w:rsidR="002C0B6F">
          <w:rPr>
            <w:sz w:val="22"/>
            <w:szCs w:val="22"/>
          </w:rPr>
          <w:instrText xml:space="preserve"> ADDIN EN.CITE &lt;EndNote&gt;&lt;Cite&gt;&lt;Author&gt;Core&lt;/Author&gt;&lt;Year&gt;2006&lt;/Year&gt;&lt;RecNum&gt;1426&lt;/RecNum&gt;&lt;DisplayText&gt;&lt;style face="superscript"&gt;42&lt;/style&gt;&lt;/DisplayText&gt;&lt;record&gt;&lt;rec-number&gt;1426&lt;/rec-number&gt;&lt;foreign-keys&gt;&lt;key app="EN" db-id="eswfvzza29a52ye9xwqpfwwx55tazv55ppxs"&gt;1426&lt;/key&gt;&lt;/foreign-keys&gt;&lt;ref-type name="Journal Article"&gt;17&lt;/ref-type&gt;&lt;contributors&gt;&lt;authors&gt;&lt;author&gt;Core, John E&lt;/author&gt;&lt;author&gt;Guay, Wayne R&lt;/author&gt;&lt;author&gt;Rusticus, Tjomme O&lt;/author&gt;&lt;/authors&gt;&lt;/contributors&gt;&lt;titles&gt;&lt;title&gt;Does weak governance cause weak stock returns? An examination of firm operating performance and investors&amp;apos; expectations&lt;/title&gt;&lt;secondary-title&gt;the Journal of Finance&lt;/secondary-title&gt;&lt;/titles&gt;&lt;periodical&gt;&lt;full-title&gt;The Journal of Finance&lt;/full-title&gt;&lt;/periodical&gt;&lt;pages&gt;655-687&lt;/pages&gt;&lt;volume&gt;61&lt;/volume&gt;&lt;number&gt;2&lt;/number&gt;&lt;dates&gt;&lt;year&gt;2006&lt;/year&gt;&lt;/dates&gt;&lt;isbn&gt;0022-1082&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42</w:t>
        </w:r>
        <w:r w:rsidR="002C0B6F" w:rsidRPr="00494CA8">
          <w:rPr>
            <w:sz w:val="22"/>
            <w:szCs w:val="22"/>
          </w:rPr>
          <w:fldChar w:fldCharType="end"/>
        </w:r>
      </w:hyperlink>
      <w:r>
        <w:rPr>
          <w:sz w:val="22"/>
          <w:szCs w:val="22"/>
        </w:rPr>
        <w:t xml:space="preserve"> </w:t>
      </w:r>
    </w:p>
    <w:p w14:paraId="294266D2" w14:textId="2C39E4A0" w:rsidR="00BB2019" w:rsidRPr="00EB46F5" w:rsidRDefault="00046D27" w:rsidP="00E43220">
      <w:pPr>
        <w:tabs>
          <w:tab w:val="left" w:pos="567"/>
          <w:tab w:val="right" w:leader="hyphen" w:pos="9072"/>
        </w:tabs>
        <w:spacing w:before="120" w:after="120"/>
        <w:jc w:val="both"/>
        <w:rPr>
          <w:sz w:val="22"/>
          <w:szCs w:val="22"/>
        </w:rPr>
      </w:pPr>
      <w:r>
        <w:rPr>
          <w:sz w:val="22"/>
          <w:szCs w:val="22"/>
        </w:rPr>
        <w:tab/>
      </w:r>
      <w:r w:rsidR="00494CA8">
        <w:rPr>
          <w:sz w:val="22"/>
          <w:szCs w:val="22"/>
        </w:rPr>
        <w:t>E</w:t>
      </w:r>
      <w:r w:rsidR="00494CA8" w:rsidRPr="00BF4D55">
        <w:rPr>
          <w:sz w:val="22"/>
          <w:szCs w:val="22"/>
        </w:rPr>
        <w:t>nvironmental, social, and governance disclosure</w:t>
      </w:r>
      <w:r w:rsidR="005809E9" w:rsidRPr="005809E9">
        <w:rPr>
          <w:i/>
          <w:color w:val="FF0000"/>
          <w:sz w:val="22"/>
          <w:szCs w:val="22"/>
        </w:rPr>
        <w:t xml:space="preserve"> </w:t>
      </w:r>
      <w:r w:rsidRPr="00507C30">
        <w:rPr>
          <w:i/>
          <w:sz w:val="22"/>
          <w:szCs w:val="22"/>
        </w:rPr>
        <w:t>(ESG</w:t>
      </w:r>
      <w:r w:rsidR="008C4141" w:rsidRPr="00507C30">
        <w:rPr>
          <w:i/>
          <w:sz w:val="22"/>
          <w:szCs w:val="22"/>
        </w:rPr>
        <w:t xml:space="preserve"> disclosure</w:t>
      </w:r>
      <w:r w:rsidRPr="00507C30">
        <w:rPr>
          <w:i/>
          <w:sz w:val="22"/>
          <w:szCs w:val="22"/>
        </w:rPr>
        <w:t>)</w:t>
      </w:r>
      <w:r w:rsidRPr="00507C30">
        <w:rPr>
          <w:sz w:val="22"/>
          <w:szCs w:val="22"/>
        </w:rPr>
        <w:t xml:space="preserve">: </w:t>
      </w:r>
      <w:r w:rsidRPr="00BB2EED">
        <w:rPr>
          <w:sz w:val="22"/>
          <w:szCs w:val="22"/>
        </w:rPr>
        <w:t xml:space="preserve">The </w:t>
      </w:r>
      <w:r w:rsidR="008C4141">
        <w:rPr>
          <w:sz w:val="22"/>
          <w:szCs w:val="22"/>
        </w:rPr>
        <w:t>ESG</w:t>
      </w:r>
      <w:r w:rsidRPr="00BB2EED">
        <w:rPr>
          <w:sz w:val="22"/>
          <w:szCs w:val="22"/>
        </w:rPr>
        <w:t xml:space="preserve"> disclosure index is determined by content analysis method based on GRI guidelines and </w:t>
      </w:r>
      <w:bookmarkStart w:id="14" w:name="_GoBack"/>
      <w:r w:rsidRPr="00157C54">
        <w:rPr>
          <w:color w:val="FF0000"/>
          <w:sz w:val="22"/>
          <w:szCs w:val="22"/>
        </w:rPr>
        <w:t>Circular No. 96 (2020)</w:t>
      </w:r>
      <w:bookmarkEnd w:id="14"/>
      <w:r w:rsidRPr="00BB2EED">
        <w:rPr>
          <w:sz w:val="22"/>
          <w:szCs w:val="22"/>
        </w:rPr>
        <w:t xml:space="preserve">. The </w:t>
      </w:r>
      <w:r w:rsidR="008C4141">
        <w:rPr>
          <w:sz w:val="22"/>
          <w:szCs w:val="22"/>
        </w:rPr>
        <w:t>ESG</w:t>
      </w:r>
      <w:r w:rsidR="008C4141" w:rsidRPr="008C5393">
        <w:rPr>
          <w:sz w:val="22"/>
          <w:szCs w:val="22"/>
        </w:rPr>
        <w:t xml:space="preserve"> </w:t>
      </w:r>
      <w:r w:rsidRPr="00BB2EED">
        <w:rPr>
          <w:sz w:val="22"/>
          <w:szCs w:val="22"/>
        </w:rPr>
        <w:t xml:space="preserve">disclosure index is collected by extracting information related to environmental (10 items), social (6 items) and governance (3 items) categories from annual reports and/or sustainability reports (See Appendix). The </w:t>
      </w:r>
      <w:r w:rsidRPr="00BB2EED">
        <w:rPr>
          <w:sz w:val="22"/>
          <w:szCs w:val="22"/>
        </w:rPr>
        <w:lastRenderedPageBreak/>
        <w:t xml:space="preserve">average </w:t>
      </w:r>
      <w:bookmarkStart w:id="15" w:name="OLE_LINK186"/>
      <w:bookmarkStart w:id="16" w:name="OLE_LINK185"/>
      <w:r w:rsidR="0008169C">
        <w:rPr>
          <w:sz w:val="22"/>
          <w:szCs w:val="22"/>
        </w:rPr>
        <w:t>ESG</w:t>
      </w:r>
      <w:r w:rsidR="00DA2883" w:rsidRPr="00DA2883">
        <w:rPr>
          <w:sz w:val="22"/>
          <w:szCs w:val="22"/>
          <w:lang w:val="vi-VN"/>
        </w:rPr>
        <w:t xml:space="preserve"> disclosure score </w:t>
      </w:r>
      <w:bookmarkEnd w:id="15"/>
      <w:bookmarkEnd w:id="16"/>
      <w:r w:rsidR="00DA2883" w:rsidRPr="00DA2883">
        <w:rPr>
          <w:sz w:val="22"/>
          <w:szCs w:val="22"/>
        </w:rPr>
        <w:t>is determined by the following formula</w:t>
      </w:r>
      <w:r w:rsidR="00DB449F">
        <w:rPr>
          <w:sz w:val="22"/>
          <w:szCs w:val="22"/>
        </w:rPr>
        <w:t>.</w:t>
      </w:r>
      <w:hyperlink w:anchor="_ENREF_34" w:tooltip="Haniffa, 2002 #323" w:history="1">
        <w:r w:rsidR="002C0B6F" w:rsidRPr="00494CA8">
          <w:rPr>
            <w:sz w:val="22"/>
            <w:szCs w:val="22"/>
          </w:rPr>
          <w:fldChar w:fldCharType="begin"/>
        </w:r>
        <w:r w:rsidR="002C0B6F">
          <w:rPr>
            <w:sz w:val="22"/>
            <w:szCs w:val="22"/>
          </w:rPr>
          <w:instrText xml:space="preserve"> ADDIN EN.CITE &lt;EndNote&gt;&lt;Cite&gt;&lt;Author&gt;Haniffa&lt;/Author&gt;&lt;Year&gt;2002&lt;/Year&gt;&lt;RecNum&gt;323&lt;/RecNum&gt;&lt;DisplayText&gt;&lt;style face="superscript"&gt;34&lt;/style&gt;&lt;/DisplayText&gt;&lt;record&gt;&lt;rec-number&gt;323&lt;/rec-number&gt;&lt;foreign-keys&gt;&lt;key app="EN" db-id="eswfvzza29a52ye9xwqpfwwx55tazv55ppxs"&gt;323&lt;/key&gt;&lt;/foreign-keys&gt;&lt;ref-type name="Journal Article"&gt;17&lt;/ref-type&gt;&lt;contributors&gt;&lt;authors&gt;&lt;author&gt;Haniffa, R.M.&lt;/author&gt;&lt;author&gt;Cooke, T.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urls&gt;&lt;related-urls&gt;&lt;url&gt;https://onlinelibrary.wiley.com/doi/abs/10.1111/1467-6281.00112&lt;/url&gt;&lt;/related-urls&gt;&lt;/urls&gt;&lt;electronic-resource-num&gt;doi:10.1111/1467-6281.00112&lt;/electronic-resource-num&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34</w:t>
        </w:r>
        <w:r w:rsidR="002C0B6F" w:rsidRPr="00494CA8">
          <w:rPr>
            <w:sz w:val="22"/>
            <w:szCs w:val="22"/>
          </w:rPr>
          <w:fldChar w:fldCharType="end"/>
        </w:r>
      </w:hyperlink>
    </w:p>
    <w:tbl>
      <w:tblPr>
        <w:tblW w:w="0" w:type="auto"/>
        <w:jc w:val="center"/>
        <w:tblBorders>
          <w:insideH w:val="single" w:sz="4" w:space="0" w:color="auto"/>
        </w:tblBorders>
        <w:tblLook w:val="04A0" w:firstRow="1" w:lastRow="0" w:firstColumn="1" w:lastColumn="0" w:noHBand="0" w:noVBand="1"/>
      </w:tblPr>
      <w:tblGrid>
        <w:gridCol w:w="1440"/>
        <w:gridCol w:w="360"/>
        <w:gridCol w:w="990"/>
      </w:tblGrid>
      <w:tr w:rsidR="00BB2019" w:rsidRPr="00A31735" w14:paraId="28FB18A2" w14:textId="77777777" w:rsidTr="00A31735">
        <w:trPr>
          <w:jc w:val="center"/>
        </w:trPr>
        <w:tc>
          <w:tcPr>
            <w:tcW w:w="1440" w:type="dxa"/>
            <w:vMerge w:val="restart"/>
            <w:shd w:val="clear" w:color="auto" w:fill="auto"/>
            <w:vAlign w:val="center"/>
          </w:tcPr>
          <w:p w14:paraId="736F5BEE" w14:textId="39B8D980" w:rsidR="00BB2019" w:rsidRPr="00A31735" w:rsidRDefault="00BB2019" w:rsidP="00A31735">
            <w:pPr>
              <w:spacing w:before="120" w:after="120"/>
              <w:jc w:val="center"/>
              <w:rPr>
                <w:b/>
                <w:sz w:val="22"/>
                <w:szCs w:val="22"/>
              </w:rPr>
            </w:pPr>
            <w:r w:rsidRPr="00A31735">
              <w:rPr>
                <w:b/>
                <w:sz w:val="22"/>
                <w:szCs w:val="22"/>
              </w:rPr>
              <w:t xml:space="preserve">ESG </w:t>
            </w:r>
            <w:proofErr w:type="spellStart"/>
            <w:r w:rsidRPr="00A31735">
              <w:rPr>
                <w:b/>
                <w:sz w:val="22"/>
                <w:szCs w:val="22"/>
              </w:rPr>
              <w:t>Index</w:t>
            </w:r>
            <w:r w:rsidRPr="00A31735">
              <w:rPr>
                <w:b/>
                <w:sz w:val="22"/>
                <w:szCs w:val="22"/>
                <w:vertAlign w:val="subscript"/>
              </w:rPr>
              <w:t>j</w:t>
            </w:r>
            <w:proofErr w:type="spellEnd"/>
          </w:p>
        </w:tc>
        <w:tc>
          <w:tcPr>
            <w:tcW w:w="360" w:type="dxa"/>
            <w:vMerge w:val="restart"/>
            <w:shd w:val="clear" w:color="auto" w:fill="auto"/>
            <w:vAlign w:val="center"/>
          </w:tcPr>
          <w:p w14:paraId="1226AAE8" w14:textId="77777777" w:rsidR="00BB2019" w:rsidRPr="00A31735" w:rsidRDefault="00BB2019" w:rsidP="00A31735">
            <w:pPr>
              <w:spacing w:before="120" w:after="120"/>
              <w:jc w:val="center"/>
              <w:rPr>
                <w:b/>
                <w:sz w:val="22"/>
                <w:szCs w:val="22"/>
              </w:rPr>
            </w:pPr>
            <w:r w:rsidRPr="00A31735">
              <w:rPr>
                <w:b/>
                <w:sz w:val="22"/>
                <w:szCs w:val="22"/>
              </w:rPr>
              <w:t>=</w:t>
            </w:r>
          </w:p>
        </w:tc>
        <w:tc>
          <w:tcPr>
            <w:tcW w:w="990" w:type="dxa"/>
            <w:shd w:val="clear" w:color="auto" w:fill="auto"/>
            <w:vAlign w:val="center"/>
          </w:tcPr>
          <w:p w14:paraId="70773A0E" w14:textId="037CE702" w:rsidR="00BB2019" w:rsidRPr="00A31735" w:rsidRDefault="00BB2019" w:rsidP="00A31735">
            <w:pPr>
              <w:spacing w:before="120" w:after="120"/>
              <w:jc w:val="center"/>
              <w:rPr>
                <w:b/>
                <w:sz w:val="22"/>
                <w:szCs w:val="22"/>
              </w:rPr>
            </w:pPr>
            <w:r w:rsidRPr="00A31735">
              <w:rPr>
                <w:b/>
                <w:sz w:val="22"/>
                <w:szCs w:val="22"/>
              </w:rPr>
              <w:t>∑</w:t>
            </w:r>
            <w:proofErr w:type="spellStart"/>
            <w:r w:rsidRPr="00A31735">
              <w:rPr>
                <w:b/>
                <w:sz w:val="22"/>
                <w:szCs w:val="22"/>
              </w:rPr>
              <w:t>X</w:t>
            </w:r>
            <w:r w:rsidRPr="00A31735">
              <w:rPr>
                <w:b/>
                <w:sz w:val="22"/>
                <w:szCs w:val="22"/>
                <w:vertAlign w:val="subscript"/>
              </w:rPr>
              <w:t>ij</w:t>
            </w:r>
            <w:proofErr w:type="spellEnd"/>
          </w:p>
        </w:tc>
      </w:tr>
      <w:tr w:rsidR="00BB2019" w:rsidRPr="00A31735" w14:paraId="363491B7" w14:textId="77777777" w:rsidTr="00A31735">
        <w:trPr>
          <w:jc w:val="center"/>
        </w:trPr>
        <w:tc>
          <w:tcPr>
            <w:tcW w:w="1440" w:type="dxa"/>
            <w:vMerge/>
            <w:shd w:val="clear" w:color="auto" w:fill="auto"/>
            <w:vAlign w:val="center"/>
          </w:tcPr>
          <w:p w14:paraId="43ECC7E8" w14:textId="77777777" w:rsidR="00BB2019" w:rsidRPr="00A31735" w:rsidRDefault="00BB2019" w:rsidP="00A31735">
            <w:pPr>
              <w:spacing w:before="120" w:after="120"/>
              <w:jc w:val="center"/>
              <w:rPr>
                <w:b/>
                <w:sz w:val="22"/>
                <w:szCs w:val="22"/>
              </w:rPr>
            </w:pPr>
          </w:p>
        </w:tc>
        <w:tc>
          <w:tcPr>
            <w:tcW w:w="360" w:type="dxa"/>
            <w:vMerge/>
            <w:shd w:val="clear" w:color="auto" w:fill="auto"/>
            <w:vAlign w:val="center"/>
          </w:tcPr>
          <w:p w14:paraId="6DBDECF0" w14:textId="77777777" w:rsidR="00BB2019" w:rsidRPr="00A31735" w:rsidRDefault="00BB2019" w:rsidP="00A31735">
            <w:pPr>
              <w:spacing w:before="120" w:after="120"/>
              <w:jc w:val="center"/>
              <w:rPr>
                <w:b/>
                <w:sz w:val="22"/>
                <w:szCs w:val="22"/>
              </w:rPr>
            </w:pPr>
          </w:p>
        </w:tc>
        <w:tc>
          <w:tcPr>
            <w:tcW w:w="990" w:type="dxa"/>
            <w:shd w:val="clear" w:color="auto" w:fill="auto"/>
            <w:vAlign w:val="center"/>
          </w:tcPr>
          <w:p w14:paraId="2A37B557" w14:textId="69B6F398" w:rsidR="00BB2019" w:rsidRPr="00A31735" w:rsidRDefault="00BB2019" w:rsidP="00A31735">
            <w:pPr>
              <w:spacing w:before="120" w:after="120"/>
              <w:jc w:val="center"/>
              <w:rPr>
                <w:b/>
                <w:sz w:val="22"/>
                <w:szCs w:val="22"/>
              </w:rPr>
            </w:pPr>
            <w:proofErr w:type="spellStart"/>
            <w:r w:rsidRPr="00A31735">
              <w:rPr>
                <w:b/>
                <w:sz w:val="22"/>
                <w:szCs w:val="22"/>
              </w:rPr>
              <w:t>n</w:t>
            </w:r>
            <w:r w:rsidRPr="00A31735">
              <w:rPr>
                <w:b/>
                <w:sz w:val="22"/>
                <w:szCs w:val="22"/>
                <w:vertAlign w:val="subscript"/>
              </w:rPr>
              <w:t>j</w:t>
            </w:r>
            <w:proofErr w:type="spellEnd"/>
          </w:p>
        </w:tc>
      </w:tr>
    </w:tbl>
    <w:p w14:paraId="19C6DB6C" w14:textId="7AEC025F" w:rsidR="00DA2883" w:rsidRPr="00DA2883" w:rsidRDefault="00DA2883" w:rsidP="0008169C">
      <w:pPr>
        <w:spacing w:before="120" w:after="120"/>
        <w:ind w:firstLine="540"/>
        <w:jc w:val="both"/>
        <w:rPr>
          <w:sz w:val="22"/>
          <w:szCs w:val="22"/>
        </w:rPr>
      </w:pPr>
      <w:r w:rsidRPr="00DA2883">
        <w:rPr>
          <w:sz w:val="22"/>
          <w:szCs w:val="22"/>
        </w:rPr>
        <w:t>In there:</w:t>
      </w:r>
    </w:p>
    <w:p w14:paraId="7CDC6BB6" w14:textId="05D78FEB" w:rsidR="00DA2883" w:rsidRPr="00DA2883" w:rsidRDefault="00DA2883" w:rsidP="0008169C">
      <w:pPr>
        <w:spacing w:before="120" w:after="120"/>
        <w:ind w:firstLine="540"/>
        <w:jc w:val="both"/>
        <w:rPr>
          <w:sz w:val="22"/>
          <w:szCs w:val="22"/>
        </w:rPr>
      </w:pPr>
      <w:proofErr w:type="spellStart"/>
      <w:proofErr w:type="gramStart"/>
      <w:r w:rsidRPr="00DA2883">
        <w:rPr>
          <w:sz w:val="22"/>
          <w:szCs w:val="22"/>
        </w:rPr>
        <w:t>ESG</w:t>
      </w:r>
      <w:r w:rsidRPr="00DA2883">
        <w:rPr>
          <w:sz w:val="22"/>
          <w:szCs w:val="22"/>
          <w:vertAlign w:val="subscript"/>
        </w:rPr>
        <w:t>j</w:t>
      </w:r>
      <w:proofErr w:type="spellEnd"/>
      <w:r w:rsidRPr="00DA2883">
        <w:rPr>
          <w:sz w:val="22"/>
          <w:szCs w:val="22"/>
          <w:vertAlign w:val="subscript"/>
        </w:rPr>
        <w:t xml:space="preserve"> :</w:t>
      </w:r>
      <w:proofErr w:type="gramEnd"/>
      <w:r w:rsidRPr="00DA2883">
        <w:rPr>
          <w:sz w:val="22"/>
          <w:szCs w:val="22"/>
          <w:vertAlign w:val="subscript"/>
        </w:rPr>
        <w:t xml:space="preserve"> </w:t>
      </w:r>
      <w:r w:rsidR="0008169C">
        <w:rPr>
          <w:sz w:val="22"/>
          <w:szCs w:val="22"/>
        </w:rPr>
        <w:t>ESG</w:t>
      </w:r>
      <w:r w:rsidRPr="00DA2883">
        <w:rPr>
          <w:sz w:val="22"/>
          <w:szCs w:val="22"/>
          <w:lang w:val="vi-VN"/>
        </w:rPr>
        <w:t xml:space="preserve"> disclosure </w:t>
      </w:r>
      <w:r w:rsidRPr="00DA2883">
        <w:rPr>
          <w:sz w:val="22"/>
          <w:szCs w:val="22"/>
        </w:rPr>
        <w:t>index of company j;</w:t>
      </w:r>
    </w:p>
    <w:p w14:paraId="7C0AC3F6" w14:textId="2C1236FC" w:rsidR="00507C30" w:rsidRDefault="00DA2883" w:rsidP="00507C30">
      <w:pPr>
        <w:spacing w:before="120" w:after="120"/>
        <w:ind w:firstLine="567"/>
        <w:jc w:val="both"/>
        <w:rPr>
          <w:sz w:val="22"/>
          <w:szCs w:val="22"/>
        </w:rPr>
      </w:pPr>
      <w:proofErr w:type="spellStart"/>
      <w:proofErr w:type="gramStart"/>
      <w:r w:rsidRPr="00DA2883">
        <w:rPr>
          <w:sz w:val="22"/>
          <w:szCs w:val="22"/>
        </w:rPr>
        <w:t>X</w:t>
      </w:r>
      <w:r w:rsidRPr="00DA2883">
        <w:rPr>
          <w:sz w:val="22"/>
          <w:szCs w:val="22"/>
          <w:vertAlign w:val="subscript"/>
        </w:rPr>
        <w:t>ij</w:t>
      </w:r>
      <w:proofErr w:type="spellEnd"/>
      <w:r w:rsidRPr="00DA2883">
        <w:rPr>
          <w:sz w:val="22"/>
          <w:szCs w:val="22"/>
          <w:vertAlign w:val="subscript"/>
        </w:rPr>
        <w:t xml:space="preserve"> </w:t>
      </w:r>
      <w:r w:rsidRPr="00DA2883">
        <w:rPr>
          <w:sz w:val="22"/>
          <w:szCs w:val="22"/>
        </w:rPr>
        <w:t>:</w:t>
      </w:r>
      <w:proofErr w:type="gramEnd"/>
      <w:r w:rsidRPr="00DA2883">
        <w:rPr>
          <w:sz w:val="22"/>
          <w:szCs w:val="22"/>
        </w:rPr>
        <w:t xml:space="preserve"> If company j </w:t>
      </w:r>
      <w:r w:rsidRPr="00DA2883">
        <w:rPr>
          <w:sz w:val="22"/>
          <w:szCs w:val="22"/>
          <w:lang w:val="vi-VN"/>
        </w:rPr>
        <w:t xml:space="preserve">discloses the i-th </w:t>
      </w:r>
      <w:r w:rsidR="00FB1C58" w:rsidRPr="00BF4D55">
        <w:rPr>
          <w:sz w:val="22"/>
          <w:szCs w:val="22"/>
        </w:rPr>
        <w:t xml:space="preserve">environmental, social, and governance </w:t>
      </w:r>
      <w:proofErr w:type="spellStart"/>
      <w:r w:rsidR="00FB1C58">
        <w:rPr>
          <w:sz w:val="22"/>
          <w:szCs w:val="22"/>
        </w:rPr>
        <w:t>aspest</w:t>
      </w:r>
      <w:r w:rsidR="00FC1096">
        <w:rPr>
          <w:sz w:val="22"/>
          <w:szCs w:val="22"/>
        </w:rPr>
        <w:t>s</w:t>
      </w:r>
      <w:proofErr w:type="spellEnd"/>
      <w:r w:rsidRPr="00DA2883">
        <w:rPr>
          <w:sz w:val="22"/>
          <w:szCs w:val="22"/>
        </w:rPr>
        <w:t>. Each information index is determined by assigning a range of 0 – 2.</w:t>
      </w:r>
      <w:hyperlink w:anchor="_ENREF_43" w:tooltip="Cormier, 2007 #327" w:history="1">
        <w:r w:rsidR="002C0B6F" w:rsidRPr="00494CA8">
          <w:rPr>
            <w:sz w:val="22"/>
            <w:szCs w:val="22"/>
          </w:rPr>
          <w:fldChar w:fldCharType="begin"/>
        </w:r>
        <w:r w:rsidR="002C0B6F">
          <w:rPr>
            <w:sz w:val="22"/>
            <w:szCs w:val="22"/>
          </w:rPr>
          <w:instrText xml:space="preserve"> ADDIN EN.CITE &lt;EndNote&gt;&lt;Cite&gt;&lt;Author&gt;Cormier&lt;/Author&gt;&lt;Year&gt;2007&lt;/Year&gt;&lt;RecNum&gt;327&lt;/RecNum&gt;&lt;DisplayText&gt;&lt;style face="superscript"&gt;43&lt;/style&gt;&lt;/DisplayText&gt;&lt;record&gt;&lt;rec-number&gt;327&lt;/rec-number&gt;&lt;foreign-keys&gt;&lt;key app="EN" db-id="eswfvzza29a52ye9xwqpfwwx55tazv55ppxs"&gt;327&lt;/key&gt;&lt;/foreign-keys&gt;&lt;ref-type name="Journal Article"&gt;17&lt;/ref-type&gt;&lt;contributors&gt;&lt;authors&gt;&lt;author&gt;Cormier, Denis&lt;/author&gt;&lt;author&gt;Magnan, Michel&lt;/author&gt;&lt;/authors&gt;&lt;/contributors&gt;&lt;titles&gt;&lt;title&gt;The revisited contribution of environmental reporting to investors&amp;apos; valuation of a firm&amp;apos;s earnings: An international perspective&lt;/title&gt;&lt;secondary-title&gt;Ecological Economics&lt;/secondary-title&gt;&lt;/titles&gt;&lt;periodical&gt;&lt;full-title&gt;Ecological Economics&lt;/full-title&gt;&lt;/periodical&gt;&lt;pages&gt;613-626&lt;/pages&gt;&lt;volume&gt;62&lt;/volume&gt;&lt;number&gt;3&lt;/number&gt;&lt;keywords&gt;&lt;keyword&gt;Environmental reporting&lt;/keyword&gt;&lt;keyword&gt;Non-financial information&lt;/keyword&gt;&lt;keyword&gt;Stock market value&lt;/keyword&gt;&lt;keyword&gt;Financial reporting&lt;/keyword&gt;&lt;/keywords&gt;&lt;dates&gt;&lt;year&gt;2007&lt;/year&gt;&lt;pub-dates&gt;&lt;date&gt;2007/05/15/&lt;/date&gt;&lt;/pub-dates&gt;&lt;/dates&gt;&lt;isbn&gt;0921-8009&lt;/isbn&gt;&lt;urls&gt;&lt;related-urls&gt;&lt;url&gt;http://www.sciencedirect.com/science/article/pii/S0921800906003818&lt;/url&gt;&lt;/related-urls&gt;&lt;/urls&gt;&lt;electronic-resource-num&gt;https://doi.org/10.1016/j.ecolecon.2006.07.030&lt;/electronic-resource-num&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43</w:t>
        </w:r>
        <w:r w:rsidR="002C0B6F" w:rsidRPr="00494CA8">
          <w:rPr>
            <w:sz w:val="22"/>
            <w:szCs w:val="22"/>
          </w:rPr>
          <w:fldChar w:fldCharType="end"/>
        </w:r>
      </w:hyperlink>
      <w:r w:rsidR="00507C30">
        <w:rPr>
          <w:sz w:val="22"/>
          <w:szCs w:val="22"/>
        </w:rPr>
        <w:t xml:space="preserve"> </w:t>
      </w:r>
      <w:r w:rsidR="00642875">
        <w:rPr>
          <w:sz w:val="22"/>
          <w:szCs w:val="22"/>
        </w:rPr>
        <w:t xml:space="preserve">2: </w:t>
      </w:r>
      <w:r w:rsidR="001C040A" w:rsidRPr="00BB2EED">
        <w:rPr>
          <w:sz w:val="22"/>
          <w:szCs w:val="22"/>
        </w:rPr>
        <w:t>If the company discloses quantitative or monetary information;</w:t>
      </w:r>
      <w:r w:rsidR="00507C30">
        <w:rPr>
          <w:sz w:val="22"/>
          <w:szCs w:val="22"/>
        </w:rPr>
        <w:t xml:space="preserve"> </w:t>
      </w:r>
      <w:r w:rsidR="00642875">
        <w:rPr>
          <w:sz w:val="22"/>
          <w:szCs w:val="22"/>
        </w:rPr>
        <w:t xml:space="preserve">1: </w:t>
      </w:r>
      <w:r w:rsidR="001C040A" w:rsidRPr="00BB2EED">
        <w:rPr>
          <w:sz w:val="22"/>
          <w:szCs w:val="22"/>
        </w:rPr>
        <w:t>If the company discloses qualitative information;</w:t>
      </w:r>
      <w:r w:rsidR="00507C30">
        <w:rPr>
          <w:sz w:val="22"/>
          <w:szCs w:val="22"/>
        </w:rPr>
        <w:t xml:space="preserve"> </w:t>
      </w:r>
      <w:r w:rsidR="001C040A" w:rsidRPr="00BB2EED">
        <w:rPr>
          <w:sz w:val="22"/>
          <w:szCs w:val="22"/>
        </w:rPr>
        <w:t>0: If the company does not disclose any information.</w:t>
      </w:r>
    </w:p>
    <w:p w14:paraId="3F4A9A63" w14:textId="440CA92E" w:rsidR="00DA2883" w:rsidRDefault="00DA2883" w:rsidP="00507C30">
      <w:pPr>
        <w:spacing w:before="120" w:after="120"/>
        <w:ind w:firstLine="567"/>
        <w:jc w:val="both"/>
        <w:rPr>
          <w:sz w:val="22"/>
          <w:szCs w:val="22"/>
        </w:rPr>
      </w:pPr>
      <w:proofErr w:type="spellStart"/>
      <w:proofErr w:type="gramStart"/>
      <w:r w:rsidRPr="00DA2883">
        <w:rPr>
          <w:sz w:val="22"/>
          <w:szCs w:val="22"/>
        </w:rPr>
        <w:t>n</w:t>
      </w:r>
      <w:r w:rsidRPr="00DA2883">
        <w:rPr>
          <w:sz w:val="22"/>
          <w:szCs w:val="22"/>
          <w:vertAlign w:val="subscript"/>
        </w:rPr>
        <w:t>j</w:t>
      </w:r>
      <w:proofErr w:type="spellEnd"/>
      <w:r w:rsidRPr="00DA2883">
        <w:rPr>
          <w:sz w:val="22"/>
          <w:szCs w:val="22"/>
          <w:vertAlign w:val="subscript"/>
        </w:rPr>
        <w:t xml:space="preserve"> </w:t>
      </w:r>
      <w:r w:rsidRPr="00DA2883">
        <w:rPr>
          <w:sz w:val="22"/>
          <w:szCs w:val="22"/>
        </w:rPr>
        <w:t>:</w:t>
      </w:r>
      <w:proofErr w:type="gramEnd"/>
      <w:r w:rsidRPr="00DA2883">
        <w:rPr>
          <w:sz w:val="22"/>
          <w:szCs w:val="22"/>
        </w:rPr>
        <w:t xml:space="preserve"> Number of information indexes for the </w:t>
      </w:r>
      <w:proofErr w:type="spellStart"/>
      <w:r w:rsidRPr="00DA2883">
        <w:rPr>
          <w:sz w:val="22"/>
          <w:szCs w:val="22"/>
        </w:rPr>
        <w:t>jth</w:t>
      </w:r>
      <w:proofErr w:type="spellEnd"/>
      <w:r w:rsidRPr="00DA2883">
        <w:rPr>
          <w:sz w:val="22"/>
          <w:szCs w:val="22"/>
        </w:rPr>
        <w:t xml:space="preserve"> company;</w:t>
      </w:r>
    </w:p>
    <w:p w14:paraId="392A8DBB" w14:textId="6F919FB1" w:rsidR="005E1F26" w:rsidRPr="005E1F26" w:rsidRDefault="00CA4C22" w:rsidP="00CA4C22">
      <w:pPr>
        <w:spacing w:before="120" w:after="120"/>
        <w:jc w:val="both"/>
        <w:rPr>
          <w:color w:val="EE0000"/>
          <w:sz w:val="20"/>
          <w:szCs w:val="20"/>
        </w:rPr>
      </w:pPr>
      <w:r>
        <w:rPr>
          <w:noProof/>
        </w:rPr>
        <w:drawing>
          <wp:inline distT="0" distB="0" distL="0" distR="0" wp14:anchorId="40A84814" wp14:editId="6AA07779">
            <wp:extent cx="2790190" cy="772160"/>
            <wp:effectExtent l="0" t="0" r="0" b="8890"/>
            <wp:docPr id="159920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05972" name=""/>
                    <pic:cNvPicPr/>
                  </pic:nvPicPr>
                  <pic:blipFill>
                    <a:blip r:embed="rId13"/>
                    <a:stretch>
                      <a:fillRect/>
                    </a:stretch>
                  </pic:blipFill>
                  <pic:spPr>
                    <a:xfrm>
                      <a:off x="0" y="0"/>
                      <a:ext cx="2790190" cy="772160"/>
                    </a:xfrm>
                    <a:prstGeom prst="rect">
                      <a:avLst/>
                    </a:prstGeom>
                  </pic:spPr>
                </pic:pic>
              </a:graphicData>
            </a:graphic>
          </wp:inline>
        </w:drawing>
      </w:r>
      <w:r w:rsidRPr="005E1F26">
        <w:rPr>
          <w:b/>
          <w:color w:val="EE0000"/>
          <w:sz w:val="20"/>
          <w:szCs w:val="20"/>
        </w:rPr>
        <w:t xml:space="preserve"> </w:t>
      </w:r>
      <w:proofErr w:type="gramStart"/>
      <w:r w:rsidR="005E1F26" w:rsidRPr="005E1F26">
        <w:rPr>
          <w:b/>
          <w:color w:val="EE0000"/>
          <w:sz w:val="20"/>
          <w:szCs w:val="20"/>
        </w:rPr>
        <w:t>Figure 1.</w:t>
      </w:r>
      <w:proofErr w:type="gramEnd"/>
      <w:r w:rsidR="005E1F26" w:rsidRPr="005E1F26">
        <w:rPr>
          <w:b/>
          <w:color w:val="EE0000"/>
          <w:sz w:val="20"/>
          <w:szCs w:val="20"/>
        </w:rPr>
        <w:t xml:space="preserve"> </w:t>
      </w:r>
      <w:r w:rsidR="005E1F26" w:rsidRPr="005E1F26">
        <w:rPr>
          <w:color w:val="EE0000"/>
          <w:sz w:val="20"/>
          <w:szCs w:val="20"/>
        </w:rPr>
        <w:t xml:space="preserve">Research model </w:t>
      </w:r>
    </w:p>
    <w:p w14:paraId="62CF4C3A" w14:textId="747149D6" w:rsidR="005E1F26" w:rsidRPr="005E1F26" w:rsidRDefault="005E1F26" w:rsidP="00507C30">
      <w:pPr>
        <w:spacing w:before="120" w:after="120"/>
        <w:ind w:firstLine="567"/>
        <w:jc w:val="both"/>
        <w:rPr>
          <w:color w:val="EE0000"/>
          <w:sz w:val="20"/>
          <w:szCs w:val="20"/>
        </w:rPr>
      </w:pPr>
      <w:r w:rsidRPr="005E1F26">
        <w:rPr>
          <w:color w:val="EE0000"/>
          <w:sz w:val="20"/>
          <w:szCs w:val="20"/>
        </w:rPr>
        <w:t xml:space="preserve">Source: Analysis results from </w:t>
      </w:r>
      <w:proofErr w:type="spellStart"/>
      <w:r w:rsidRPr="005E1F26">
        <w:rPr>
          <w:color w:val="EE0000"/>
          <w:sz w:val="20"/>
          <w:szCs w:val="20"/>
        </w:rPr>
        <w:t>Stata</w:t>
      </w:r>
      <w:proofErr w:type="spellEnd"/>
      <w:r w:rsidRPr="005E1F26">
        <w:rPr>
          <w:color w:val="EE0000"/>
          <w:sz w:val="20"/>
          <w:szCs w:val="20"/>
        </w:rPr>
        <w:t xml:space="preserve"> 14</w:t>
      </w:r>
    </w:p>
    <w:p w14:paraId="514A307D" w14:textId="5D4D5E0A" w:rsidR="00D3127F" w:rsidRPr="005E1F26" w:rsidRDefault="005E1F26" w:rsidP="00507C30">
      <w:pPr>
        <w:spacing w:before="120" w:after="120"/>
        <w:ind w:firstLine="567"/>
        <w:jc w:val="both"/>
        <w:rPr>
          <w:color w:val="EE0000"/>
          <w:sz w:val="22"/>
          <w:szCs w:val="22"/>
        </w:rPr>
      </w:pPr>
      <w:proofErr w:type="spellStart"/>
      <w:r w:rsidRPr="005E1F26">
        <w:rPr>
          <w:color w:val="EE0000"/>
          <w:sz w:val="22"/>
          <w:szCs w:val="22"/>
        </w:rPr>
        <w:t>Cronbach’s</w:t>
      </w:r>
      <w:proofErr w:type="spellEnd"/>
      <w:r w:rsidRPr="005E1F26">
        <w:rPr>
          <w:color w:val="EE0000"/>
          <w:sz w:val="22"/>
          <w:szCs w:val="22"/>
        </w:rPr>
        <w:t xml:space="preserve"> alpha test was used to check the reliability of the collected data. The results showed that the </w:t>
      </w:r>
      <w:proofErr w:type="spellStart"/>
      <w:r w:rsidRPr="005E1F26">
        <w:rPr>
          <w:color w:val="EE0000"/>
          <w:sz w:val="22"/>
          <w:szCs w:val="22"/>
        </w:rPr>
        <w:t>Cronbach’s</w:t>
      </w:r>
      <w:proofErr w:type="spellEnd"/>
      <w:r w:rsidRPr="005E1F26">
        <w:rPr>
          <w:color w:val="EE0000"/>
          <w:sz w:val="22"/>
          <w:szCs w:val="22"/>
        </w:rPr>
        <w:t xml:space="preserve"> alpha coefficient was 0.</w:t>
      </w:r>
      <w:r w:rsidR="00CA4C22">
        <w:rPr>
          <w:color w:val="EE0000"/>
          <w:sz w:val="22"/>
          <w:szCs w:val="22"/>
        </w:rPr>
        <w:t>7399</w:t>
      </w:r>
      <w:r w:rsidRPr="005E1F26">
        <w:rPr>
          <w:color w:val="EE0000"/>
          <w:sz w:val="22"/>
          <w:szCs w:val="22"/>
        </w:rPr>
        <w:t xml:space="preserve"> (greater than 0.6), proving that the data was reliable.</w:t>
      </w:r>
    </w:p>
    <w:p w14:paraId="2C11A567" w14:textId="536D9B19" w:rsidR="00046D27" w:rsidRPr="00BB2EED" w:rsidRDefault="00046D27" w:rsidP="00126867">
      <w:pPr>
        <w:tabs>
          <w:tab w:val="left" w:pos="567"/>
          <w:tab w:val="right" w:leader="hyphen" w:pos="9072"/>
        </w:tabs>
        <w:spacing w:before="120" w:after="120"/>
        <w:jc w:val="both"/>
        <w:rPr>
          <w:sz w:val="22"/>
          <w:szCs w:val="22"/>
        </w:rPr>
      </w:pPr>
      <w:r>
        <w:rPr>
          <w:sz w:val="22"/>
          <w:szCs w:val="22"/>
        </w:rPr>
        <w:tab/>
      </w:r>
      <w:r w:rsidRPr="00554A0B">
        <w:rPr>
          <w:i/>
          <w:sz w:val="22"/>
          <w:szCs w:val="22"/>
        </w:rPr>
        <w:t>Control variables</w:t>
      </w:r>
      <w:r w:rsidRPr="00BB2EED">
        <w:rPr>
          <w:sz w:val="22"/>
          <w:szCs w:val="22"/>
        </w:rPr>
        <w:t>: To control for differences in performance that may influence this relationship, the study uses the variables firm size (SIZE) and financial leverage (LEV) as control groups. Firm size (SIZE) is defined as the logarithm of total assets.</w:t>
      </w:r>
      <w:bookmarkStart w:id="17" w:name="OLE_LINK42"/>
      <w:r w:rsidR="002C0B6F">
        <w:rPr>
          <w:sz w:val="22"/>
          <w:szCs w:val="22"/>
        </w:rPr>
        <w:fldChar w:fldCharType="begin"/>
      </w:r>
      <w:r w:rsidR="002C0B6F">
        <w:rPr>
          <w:sz w:val="22"/>
          <w:szCs w:val="22"/>
        </w:rPr>
        <w:instrText xml:space="preserve"> HYPERLINK \l "_ENREF_44" \o "Ameer, 2010 #1404" </w:instrText>
      </w:r>
      <w:r w:rsidR="002C0B6F">
        <w:rPr>
          <w:sz w:val="22"/>
          <w:szCs w:val="22"/>
        </w:rPr>
      </w:r>
      <w:r w:rsidR="002C0B6F">
        <w:rPr>
          <w:sz w:val="22"/>
          <w:szCs w:val="22"/>
        </w:rPr>
        <w:fldChar w:fldCharType="separate"/>
      </w:r>
      <w:r w:rsidR="002C0B6F" w:rsidRPr="00494CA8">
        <w:fldChar w:fldCharType="begin"/>
      </w:r>
      <w:r w:rsidR="002C0B6F">
        <w:instrText xml:space="preserve"> ADDIN EN.CITE &lt;EndNote&gt;&lt;Cite&gt;&lt;Author&gt;Ameer&lt;/Author&gt;&lt;Year&gt;2010&lt;/Year&gt;&lt;RecNum&gt;1404&lt;/RecNum&gt;&lt;DisplayText&gt;&lt;style face="superscript"&gt;44&lt;/style&gt;&lt;/DisplayText&gt;&lt;record&gt;&lt;rec-number&gt;1404&lt;/rec-number&gt;&lt;foreign-keys&gt;&lt;key app="EN" db-id="eswfvzza29a52ye9xwqpfwwx55tazv55ppxs"&gt;1404&lt;/key&gt;&lt;/foreign-keys&gt;&lt;ref-type name="Journal Article"&gt;17&lt;/ref-type&gt;&lt;contributors&gt;&lt;authors&gt;&lt;author&gt;Ameer, Rashid&lt;/author&gt;&lt;author&gt;Ramli, Fairuz&lt;/author&gt;&lt;author&gt;Zakaria, Husein&lt;/author&gt;&lt;/authors&gt;&lt;/contributors&gt;&lt;titles&gt;&lt;title&gt;A new perspective on board composition and firm performance in an emerging market&lt;/title&gt;&lt;secondary-title&gt;Corporate Governance: The international journal of business in society&lt;/secondary-title&gt;&lt;/titles&gt;&lt;periodical&gt;&lt;full-title&gt;Corporate Governance: The international journal of business in society&lt;/full-title&gt;&lt;/periodical&gt;&lt;pages&gt;647-661&lt;/pages&gt;&lt;volume&gt;10&lt;/volume&gt;&lt;number&gt;5&lt;/number&gt;&lt;dates&gt;&lt;year&gt;2010&lt;/year&gt;&lt;/dates&gt;&lt;publisher&gt;Emerald Group Publishing Limited&lt;/publisher&gt;&lt;isbn&gt;1472-0701&lt;/isbn&gt;&lt;urls&gt;&lt;related-urls&gt;&lt;url&gt;https://doi.org/10.1108/14720701011085607&lt;/url&gt;&lt;/related-urls&gt;&lt;/urls&gt;&lt;electronic-resource-num&gt;10.1108/14720701011085607&lt;/electronic-resource-num&gt;&lt;language&gt;ens&lt;/language&gt;&lt;access-date&gt;2024/04/21&lt;/access-date&gt;&lt;/record&gt;&lt;/Cite&gt;&lt;/EndNote&gt;</w:instrText>
      </w:r>
      <w:r w:rsidR="002C0B6F" w:rsidRPr="00494CA8">
        <w:fldChar w:fldCharType="separate"/>
      </w:r>
      <w:r w:rsidR="002C0B6F" w:rsidRPr="00B462BA">
        <w:rPr>
          <w:noProof/>
          <w:vertAlign w:val="superscript"/>
        </w:rPr>
        <w:t>44</w:t>
      </w:r>
      <w:r w:rsidR="002C0B6F" w:rsidRPr="00494CA8">
        <w:fldChar w:fldCharType="end"/>
      </w:r>
      <w:r w:rsidR="002C0B6F">
        <w:rPr>
          <w:sz w:val="22"/>
          <w:szCs w:val="22"/>
        </w:rPr>
        <w:fldChar w:fldCharType="end"/>
      </w:r>
      <w:bookmarkEnd w:id="17"/>
      <w:r w:rsidR="00DB449F">
        <w:t xml:space="preserve"> </w:t>
      </w:r>
      <w:r w:rsidRPr="00BB2EED">
        <w:rPr>
          <w:sz w:val="22"/>
          <w:szCs w:val="22"/>
        </w:rPr>
        <w:t>Financial leverage (LEV) is defined as the ratio of liabilities to total assets.</w:t>
      </w:r>
      <w:hyperlink w:anchor="_ENREF_44" w:tooltip="Ameer, 2010 #1404" w:history="1">
        <w:r w:rsidR="002C0B6F" w:rsidRPr="00494CA8">
          <w:fldChar w:fldCharType="begin"/>
        </w:r>
        <w:r w:rsidR="002C0B6F">
          <w:instrText xml:space="preserve"> ADDIN EN.CITE &lt;EndNote&gt;&lt;Cite&gt;&lt;Author&gt;Ameer&lt;/Author&gt;&lt;Year&gt;2010&lt;/Year&gt;&lt;RecNum&gt;1404&lt;/RecNum&gt;&lt;DisplayText&gt;&lt;style face="superscript"&gt;44&lt;/style&gt;&lt;/DisplayText&gt;&lt;record&gt;&lt;rec-number&gt;1404&lt;/rec-number&gt;&lt;foreign-keys&gt;&lt;key app="EN" db-id="eswfvzza29a52ye9xwqpfwwx55tazv55ppxs"&gt;1404&lt;/key&gt;&lt;/foreign-keys&gt;&lt;ref-type name="Journal Article"&gt;17&lt;/ref-type&gt;&lt;contributors&gt;&lt;authors&gt;&lt;author&gt;Ameer, Rashid&lt;/author&gt;&lt;author&gt;Ramli, Fairuz&lt;/author&gt;&lt;author&gt;Zakaria, Husein&lt;/author&gt;&lt;/authors&gt;&lt;/contributors&gt;&lt;titles&gt;&lt;title&gt;A new perspective on board composition and firm performance in an emerging market&lt;/title&gt;&lt;secondary-title&gt;Corporate Governance: The international journal of business in society&lt;/secondary-title&gt;&lt;/titles&gt;&lt;periodical&gt;&lt;full-title&gt;Corporate Governance: The international journal of business in society&lt;/full-title&gt;&lt;/periodical&gt;&lt;pages&gt;647-661&lt;/pages&gt;&lt;volume&gt;10&lt;/volume&gt;&lt;number&gt;5&lt;/number&gt;&lt;dates&gt;&lt;year&gt;2010&lt;/year&gt;&lt;/dates&gt;&lt;publisher&gt;Emerald Group Publishing Limited&lt;/publisher&gt;&lt;isbn&gt;1472-0701&lt;/isbn&gt;&lt;urls&gt;&lt;related-urls&gt;&lt;url&gt;https://doi.org/10.1108/14720701011085607&lt;/url&gt;&lt;/related-urls&gt;&lt;/urls&gt;&lt;electronic-resource-num&gt;10.1108/14720701011085607&lt;/electronic-resource-num&gt;&lt;language&gt;ens&lt;/language&gt;&lt;access-date&gt;2024/04/21&lt;/access-date&gt;&lt;/record&gt;&lt;/Cite&gt;&lt;/EndNote&gt;</w:instrText>
        </w:r>
        <w:r w:rsidR="002C0B6F" w:rsidRPr="00494CA8">
          <w:fldChar w:fldCharType="separate"/>
        </w:r>
        <w:r w:rsidR="002C0B6F" w:rsidRPr="00B462BA">
          <w:rPr>
            <w:noProof/>
            <w:vertAlign w:val="superscript"/>
          </w:rPr>
          <w:t>44</w:t>
        </w:r>
        <w:r w:rsidR="002C0B6F" w:rsidRPr="00494CA8">
          <w:fldChar w:fldCharType="end"/>
        </w:r>
      </w:hyperlink>
      <w:r w:rsidRPr="00BB2EED">
        <w:rPr>
          <w:sz w:val="22"/>
          <w:szCs w:val="22"/>
        </w:rPr>
        <w:t xml:space="preserve"> </w:t>
      </w:r>
    </w:p>
    <w:p w14:paraId="3C03274D" w14:textId="77777777" w:rsidR="00046D27" w:rsidRPr="00EE61CE" w:rsidRDefault="00046D27" w:rsidP="00046D27">
      <w:pPr>
        <w:tabs>
          <w:tab w:val="left" w:pos="360"/>
          <w:tab w:val="right" w:leader="hyphen" w:pos="9072"/>
        </w:tabs>
        <w:spacing w:before="120" w:after="120"/>
        <w:jc w:val="both"/>
        <w:rPr>
          <w:b/>
          <w:sz w:val="22"/>
          <w:szCs w:val="22"/>
        </w:rPr>
      </w:pPr>
      <w:r w:rsidRPr="00EE61CE">
        <w:rPr>
          <w:b/>
          <w:sz w:val="22"/>
          <w:szCs w:val="22"/>
        </w:rPr>
        <w:t>3.3. Research model</w:t>
      </w:r>
    </w:p>
    <w:p w14:paraId="61BBAB96" w14:textId="5A506CDE" w:rsidR="004A2885" w:rsidRDefault="00F422E4" w:rsidP="00046D27">
      <w:pPr>
        <w:tabs>
          <w:tab w:val="left" w:pos="360"/>
          <w:tab w:val="right" w:leader="hyphen" w:pos="9072"/>
        </w:tabs>
        <w:spacing w:before="120" w:after="120"/>
        <w:jc w:val="both"/>
        <w:rPr>
          <w:sz w:val="22"/>
          <w:szCs w:val="22"/>
        </w:rPr>
      </w:pPr>
      <w:r>
        <w:rPr>
          <w:noProof/>
          <w:sz w:val="22"/>
          <w:szCs w:val="22"/>
        </w:rPr>
        <mc:AlternateContent>
          <mc:Choice Requires="wpg">
            <w:drawing>
              <wp:anchor distT="0" distB="0" distL="114300" distR="114300" simplePos="0" relativeHeight="251659264" behindDoc="0" locked="0" layoutInCell="1" allowOverlap="1" wp14:anchorId="36E402E1" wp14:editId="43B4F15A">
                <wp:simplePos x="0" y="0"/>
                <wp:positionH relativeFrom="column">
                  <wp:posOffset>53975</wp:posOffset>
                </wp:positionH>
                <wp:positionV relativeFrom="paragraph">
                  <wp:posOffset>4445</wp:posOffset>
                </wp:positionV>
                <wp:extent cx="2866390" cy="2677160"/>
                <wp:effectExtent l="19050" t="0" r="10160" b="889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6390" cy="2677160"/>
                          <a:chOff x="612251" y="16263"/>
                          <a:chExt cx="5499892" cy="4562464"/>
                        </a:xfrm>
                      </wpg:grpSpPr>
                      <wpg:grpSp>
                        <wpg:cNvPr id="92" name="Group 92"/>
                        <wpg:cNvGrpSpPr/>
                        <wpg:grpSpPr>
                          <a:xfrm>
                            <a:off x="612251" y="33736"/>
                            <a:ext cx="5499892" cy="4544991"/>
                            <a:chOff x="899365" y="33742"/>
                            <a:chExt cx="5500443" cy="4545788"/>
                          </a:xfrm>
                        </wpg:grpSpPr>
                        <wpg:grpSp>
                          <wpg:cNvPr id="70" name="Group 70"/>
                          <wpg:cNvGrpSpPr/>
                          <wpg:grpSpPr>
                            <a:xfrm>
                              <a:off x="899365" y="33742"/>
                              <a:ext cx="5500443" cy="4545788"/>
                              <a:chOff x="187844" y="169183"/>
                              <a:chExt cx="6857972" cy="4827495"/>
                            </a:xfrm>
                          </wpg:grpSpPr>
                          <wps:wsp>
                            <wps:cNvPr id="72" name="Rectangle 71"/>
                            <wps:cNvSpPr>
                              <a:spLocks noChangeArrowheads="1"/>
                            </wps:cNvSpPr>
                            <wps:spPr bwMode="auto">
                              <a:xfrm>
                                <a:off x="239412" y="4507315"/>
                                <a:ext cx="6693475" cy="489363"/>
                              </a:xfrm>
                              <a:prstGeom prst="rect">
                                <a:avLst/>
                              </a:prstGeom>
                              <a:solidFill>
                                <a:srgbClr val="FFFFFF"/>
                              </a:solidFill>
                              <a:ln>
                                <a:noFill/>
                              </a:ln>
                            </wps:spPr>
                            <wps:txbx>
                              <w:txbxContent>
                                <w:p w14:paraId="3FF336F6" w14:textId="77777777" w:rsidR="002C0B6F" w:rsidRPr="00126867" w:rsidRDefault="002C0B6F" w:rsidP="00507C30">
                                  <w:pPr>
                                    <w:spacing w:after="120"/>
                                    <w:rPr>
                                      <w:sz w:val="20"/>
                                      <w:szCs w:val="20"/>
                                    </w:rPr>
                                  </w:pPr>
                                  <w:r w:rsidRPr="000E24FB">
                                    <w:rPr>
                                      <w:sz w:val="20"/>
                                      <w:szCs w:val="20"/>
                                    </w:rPr>
                                    <w:t>Source: Suggested by the authors</w:t>
                                  </w:r>
                                </w:p>
                              </w:txbxContent>
                            </wps:txbx>
                            <wps:bodyPr rot="0" vert="horz" wrap="square" lIns="91440" tIns="45720" rIns="91440" bIns="45720" anchor="b" anchorCtr="0" upright="1">
                              <a:noAutofit/>
                            </wps:bodyPr>
                          </wps:wsp>
                          <wpg:grpSp>
                            <wpg:cNvPr id="73" name="Group 73"/>
                            <wpg:cNvGrpSpPr/>
                            <wpg:grpSpPr>
                              <a:xfrm>
                                <a:off x="187844" y="169183"/>
                                <a:ext cx="6857972" cy="3744105"/>
                                <a:chOff x="700681" y="169183"/>
                                <a:chExt cx="6857972" cy="3744105"/>
                              </a:xfrm>
                            </wpg:grpSpPr>
                            <wps:wsp>
                              <wps:cNvPr id="74" name="Straight Arrow Connector 63"/>
                              <wps:cNvCnPr>
                                <a:cxnSpLocks noChangeShapeType="1"/>
                                <a:endCxn id="76" idx="1"/>
                              </wps:cNvCnPr>
                              <wps:spPr bwMode="auto">
                                <a:xfrm>
                                  <a:off x="4306047" y="579638"/>
                                  <a:ext cx="1382042" cy="1468852"/>
                                </a:xfrm>
                                <a:prstGeom prst="straightConnector1">
                                  <a:avLst/>
                                </a:prstGeom>
                                <a:noFill/>
                                <a:ln w="9525" cap="flat" cmpd="sng" algn="ctr">
                                  <a:solidFill>
                                    <a:srgbClr val="000000"/>
                                  </a:solidFill>
                                  <a:prstDash val="solid"/>
                                  <a:round/>
                                  <a:headEnd type="none" w="med" len="med"/>
                                  <a:tailEnd type="triangle" w="med" len="med"/>
                                </a:ln>
                              </wps:spPr>
                              <wps:bodyPr/>
                            </wps:wsp>
                            <wps:wsp>
                              <wps:cNvPr id="76" name="Oval 54"/>
                              <wps:cNvSpPr>
                                <a:spLocks noChangeArrowheads="1"/>
                              </wps:cNvSpPr>
                              <wps:spPr bwMode="auto">
                                <a:xfrm>
                                  <a:off x="5688090" y="1504082"/>
                                  <a:ext cx="1395943" cy="1088814"/>
                                </a:xfrm>
                                <a:prstGeom prst="roundRect">
                                  <a:avLst>
                                    <a:gd name="adj" fmla="val 16667"/>
                                  </a:avLst>
                                </a:prstGeom>
                                <a:solidFill>
                                  <a:sysClr val="window" lastClr="FFFFFF">
                                    <a:lumMod val="100000"/>
                                    <a:lumOff val="0"/>
                                  </a:sysClr>
                                </a:solidFill>
                                <a:ln w="31750" cap="flat" cmpd="sng" algn="ctr">
                                  <a:solidFill>
                                    <a:srgbClr val="4F81BD">
                                      <a:lumMod val="100000"/>
                                      <a:lumOff val="0"/>
                                    </a:srgbClr>
                                  </a:solidFill>
                                  <a:prstDash val="solid"/>
                                  <a:round/>
                                  <a:headEnd type="none" w="med" len="med"/>
                                  <a:tailEnd type="none" w="med" len="med"/>
                                </a:ln>
                                <a:effectLst/>
                              </wps:spPr>
                              <wps:txbx>
                                <w:txbxContent>
                                  <w:p w14:paraId="7090622B" w14:textId="2D98B872" w:rsidR="002C0B6F" w:rsidRPr="00E575A2" w:rsidRDefault="002C0B6F" w:rsidP="00F422E4">
                                    <w:pPr>
                                      <w:spacing w:before="240" w:after="120"/>
                                      <w:jc w:val="center"/>
                                      <w:rPr>
                                        <w:b/>
                                        <w:sz w:val="20"/>
                                        <w:szCs w:val="20"/>
                                      </w:rPr>
                                    </w:pPr>
                                    <w:r>
                                      <w:rPr>
                                        <w:b/>
                                        <w:sz w:val="20"/>
                                        <w:szCs w:val="20"/>
                                      </w:rPr>
                                      <w:t>FP</w:t>
                                    </w:r>
                                  </w:p>
                                </w:txbxContent>
                              </wps:txbx>
                              <wps:bodyPr rot="0" vert="horz" wrap="square" lIns="91440" tIns="45720" rIns="91440" bIns="45720" anchor="ctr" anchorCtr="0" upright="1">
                                <a:noAutofit/>
                              </wps:bodyPr>
                            </wps:wsp>
                            <wps:wsp>
                              <wps:cNvPr id="77" name="AutoShape 51"/>
                              <wps:cNvSpPr>
                                <a:spLocks noChangeArrowheads="1"/>
                              </wps:cNvSpPr>
                              <wps:spPr bwMode="auto">
                                <a:xfrm>
                                  <a:off x="700681" y="1518043"/>
                                  <a:ext cx="1417560" cy="1057768"/>
                                </a:xfrm>
                                <a:prstGeom prst="roundRect">
                                  <a:avLst>
                                    <a:gd name="adj" fmla="val 16667"/>
                                  </a:avLst>
                                </a:prstGeom>
                                <a:solidFill>
                                  <a:sysClr val="window" lastClr="FFFFFF"/>
                                </a:solidFill>
                                <a:ln w="28575" cap="flat" cmpd="sng" algn="ctr">
                                  <a:solidFill>
                                    <a:srgbClr val="4F81BD"/>
                                  </a:solidFill>
                                  <a:prstDash val="solid"/>
                                </a:ln>
                                <a:effectLst/>
                              </wps:spPr>
                              <wps:txbx>
                                <w:txbxContent>
                                  <w:p w14:paraId="6E12ED8D" w14:textId="77777777" w:rsidR="002C0B6F" w:rsidRPr="00DB449F" w:rsidRDefault="002C0B6F" w:rsidP="00507C30">
                                    <w:pPr>
                                      <w:spacing w:before="240" w:after="120" w:line="312" w:lineRule="auto"/>
                                      <w:rPr>
                                        <w:b/>
                                        <w:sz w:val="16"/>
                                        <w:szCs w:val="16"/>
                                      </w:rPr>
                                    </w:pPr>
                                    <w:r>
                                      <w:rPr>
                                        <w:b/>
                                        <w:sz w:val="16"/>
                                        <w:szCs w:val="16"/>
                                      </w:rPr>
                                      <w:t>BSIZE</w:t>
                                    </w:r>
                                  </w:p>
                                </w:txbxContent>
                              </wps:txbx>
                              <wps:bodyPr rot="0" vert="horz" wrap="square" lIns="91440" tIns="45720" rIns="91440" bIns="45720" anchor="t" anchorCtr="0" upright="1">
                                <a:noAutofit/>
                              </wps:bodyPr>
                            </wps:wsp>
                            <wps:wsp>
                              <wps:cNvPr id="78" name="AutoShape 53"/>
                              <wps:cNvSpPr>
                                <a:spLocks noChangeArrowheads="1"/>
                              </wps:cNvSpPr>
                              <wps:spPr bwMode="auto">
                                <a:xfrm>
                                  <a:off x="2933699" y="169183"/>
                                  <a:ext cx="1378853" cy="1020654"/>
                                </a:xfrm>
                                <a:prstGeom prst="roundRect">
                                  <a:avLst>
                                    <a:gd name="adj" fmla="val 16667"/>
                                  </a:avLst>
                                </a:prstGeom>
                                <a:solidFill>
                                  <a:sysClr val="window" lastClr="FFFFFF">
                                    <a:lumMod val="100000"/>
                                    <a:lumOff val="0"/>
                                  </a:sysClr>
                                </a:solidFill>
                                <a:ln w="31750" cmpd="sng">
                                  <a:solidFill>
                                    <a:srgbClr val="4F81BD">
                                      <a:lumMod val="100000"/>
                                      <a:lumOff val="0"/>
                                    </a:srgbClr>
                                  </a:solidFill>
                                  <a:prstDash val="solid"/>
                                  <a:round/>
                                </a:ln>
                                <a:effectLst/>
                              </wps:spPr>
                              <wps:txbx>
                                <w:txbxContent>
                                  <w:p w14:paraId="673023A5" w14:textId="77777777" w:rsidR="002C0B6F" w:rsidRPr="00B3719F" w:rsidRDefault="002C0B6F" w:rsidP="00507C30">
                                    <w:pPr>
                                      <w:spacing w:before="120" w:after="120" w:line="312" w:lineRule="auto"/>
                                      <w:rPr>
                                        <w:b/>
                                      </w:rPr>
                                    </w:pPr>
                                    <w:r w:rsidRPr="00B3719F">
                                      <w:rPr>
                                        <w:b/>
                                      </w:rPr>
                                      <w:t>ESG</w:t>
                                    </w:r>
                                  </w:p>
                                </w:txbxContent>
                              </wps:txbx>
                              <wps:bodyPr rot="0" vert="horz" wrap="square" lIns="91440" tIns="45720" rIns="91440" bIns="45720" anchor="t" anchorCtr="0" upright="1">
                                <a:noAutofit/>
                              </wps:bodyPr>
                            </wps:wsp>
                            <wps:wsp>
                              <wps:cNvPr id="79" name="Rounded Rectangle 79"/>
                              <wps:cNvSpPr/>
                              <wps:spPr>
                                <a:xfrm>
                                  <a:off x="5351047" y="2971898"/>
                                  <a:ext cx="2207606" cy="941390"/>
                                </a:xfrm>
                                <a:prstGeom prst="roundRect">
                                  <a:avLst/>
                                </a:prstGeom>
                                <a:solidFill>
                                  <a:sysClr val="window" lastClr="FFFFFF"/>
                                </a:solidFill>
                                <a:ln w="3175" cap="flat" cmpd="sng" algn="ctr">
                                  <a:solidFill>
                                    <a:sysClr val="windowText" lastClr="000000"/>
                                  </a:solidFill>
                                  <a:prstDash val="solid"/>
                                </a:ln>
                                <a:effectLst/>
                              </wps:spPr>
                              <wps:txbx>
                                <w:txbxContent>
                                  <w:p w14:paraId="3A8D0691" w14:textId="213E1085" w:rsidR="002C0B6F" w:rsidRPr="00B3719F" w:rsidRDefault="002C0B6F" w:rsidP="004444DA">
                                    <w:pPr>
                                      <w:spacing w:line="312" w:lineRule="auto"/>
                                      <w:jc w:val="center"/>
                                    </w:pPr>
                                    <w:r w:rsidRPr="004444DA">
                                      <w:rPr>
                                        <w:sz w:val="20"/>
                                        <w:szCs w:val="20"/>
                                      </w:rPr>
                                      <w:t>Control variables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Straight Arrow Connector 80"/>
                              <wps:cNvCnPr>
                                <a:stCxn id="77" idx="3"/>
                                <a:endCxn id="76" idx="1"/>
                              </wps:cNvCnPr>
                              <wps:spPr>
                                <a:xfrm>
                                  <a:off x="2118241" y="2046852"/>
                                  <a:ext cx="3569849" cy="1637"/>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1" name="Straight Arrow Connector 81"/>
                              <wps:cNvCnPr>
                                <a:stCxn id="77" idx="3"/>
                                <a:endCxn id="78" idx="1"/>
                              </wps:cNvCnPr>
                              <wps:spPr>
                                <a:xfrm flipV="1">
                                  <a:off x="2118241" y="679510"/>
                                  <a:ext cx="815458" cy="1367342"/>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2" name="Straight Connector 82"/>
                              <wps:cNvCnPr/>
                              <wps:spPr>
                                <a:xfrm flipV="1">
                                  <a:off x="1238083" y="342898"/>
                                  <a:ext cx="0" cy="1181086"/>
                                </a:xfrm>
                                <a:prstGeom prst="line">
                                  <a:avLst/>
                                </a:prstGeom>
                                <a:noFill/>
                                <a:ln w="9525" cap="flat" cmpd="sng" algn="ctr">
                                  <a:solidFill>
                                    <a:sysClr val="windowText" lastClr="000000">
                                      <a:shade val="95000"/>
                                      <a:satMod val="105000"/>
                                    </a:sysClr>
                                  </a:solidFill>
                                  <a:prstDash val="solid"/>
                                </a:ln>
                                <a:effectLst/>
                              </wps:spPr>
                              <wps:bodyPr/>
                            </wps:wsp>
                            <wps:wsp>
                              <wps:cNvPr id="83" name="Straight Connector 83"/>
                              <wps:cNvCnPr/>
                              <wps:spPr>
                                <a:xfrm>
                                  <a:off x="4304824" y="342893"/>
                                  <a:ext cx="2104544" cy="0"/>
                                </a:xfrm>
                                <a:prstGeom prst="line">
                                  <a:avLst/>
                                </a:prstGeom>
                                <a:noFill/>
                                <a:ln w="9525" cap="flat" cmpd="sng" algn="ctr">
                                  <a:solidFill>
                                    <a:sysClr val="windowText" lastClr="000000">
                                      <a:shade val="95000"/>
                                      <a:satMod val="105000"/>
                                    </a:sysClr>
                                  </a:solidFill>
                                  <a:prstDash val="solid"/>
                                </a:ln>
                                <a:effectLst/>
                              </wps:spPr>
                              <wps:bodyPr/>
                            </wps:wsp>
                            <wps:wsp>
                              <wps:cNvPr id="84" name="Straight Arrow Connector 84"/>
                              <wps:cNvCnPr/>
                              <wps:spPr>
                                <a:xfrm>
                                  <a:off x="6410056" y="342900"/>
                                  <a:ext cx="0" cy="118110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5" name="Straight Connector 85"/>
                              <wps:cNvCnPr/>
                              <wps:spPr>
                                <a:xfrm>
                                  <a:off x="1238250" y="342900"/>
                                  <a:ext cx="1714500" cy="0"/>
                                </a:xfrm>
                                <a:prstGeom prst="line">
                                  <a:avLst/>
                                </a:prstGeom>
                                <a:noFill/>
                                <a:ln w="9525" cap="flat" cmpd="sng" algn="ctr">
                                  <a:solidFill>
                                    <a:sysClr val="windowText" lastClr="000000">
                                      <a:shade val="95000"/>
                                      <a:satMod val="105000"/>
                                    </a:sysClr>
                                  </a:solidFill>
                                  <a:prstDash val="solid"/>
                                </a:ln>
                                <a:effectLst/>
                              </wps:spPr>
                              <wps:bodyPr/>
                            </wps:wsp>
                            <wps:wsp>
                              <wps:cNvPr id="86" name="Straight Arrow Connector 86"/>
                              <wps:cNvCnPr/>
                              <wps:spPr>
                                <a:xfrm flipV="1">
                                  <a:off x="6437705" y="2590647"/>
                                  <a:ext cx="0" cy="38204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g:grpSp>
                        </wpg:grpSp>
                        <wps:wsp>
                          <wps:cNvPr id="91" name="Text Box 91"/>
                          <wps:cNvSpPr txBox="1"/>
                          <wps:spPr>
                            <a:xfrm>
                              <a:off x="1414709" y="3499866"/>
                              <a:ext cx="3043344" cy="481724"/>
                            </a:xfrm>
                            <a:prstGeom prst="rect">
                              <a:avLst/>
                            </a:prstGeom>
                            <a:solidFill>
                              <a:prstClr val="white"/>
                            </a:solidFill>
                            <a:ln>
                              <a:noFill/>
                            </a:ln>
                            <a:effectLst/>
                          </wps:spPr>
                          <wps:txbx>
                            <w:txbxContent>
                              <w:p w14:paraId="4F41B3FA" w14:textId="0C53EDB2" w:rsidR="002C0B6F" w:rsidRPr="00126867" w:rsidRDefault="002C0B6F" w:rsidP="00507C30">
                                <w:pPr>
                                  <w:pStyle w:val="Caption"/>
                                  <w:spacing w:before="240" w:after="120"/>
                                  <w:jc w:val="center"/>
                                  <w:rPr>
                                    <w:rFonts w:eastAsia="Times New Roman"/>
                                    <w:noProof/>
                                    <w:color w:val="000000"/>
                                    <w:sz w:val="24"/>
                                    <w:szCs w:val="24"/>
                                  </w:rPr>
                                </w:pPr>
                                <w:r w:rsidRPr="00FC1096">
                                  <w:rPr>
                                    <w:b/>
                                    <w:sz w:val="20"/>
                                    <w:szCs w:val="20"/>
                                  </w:rPr>
                                  <w:t xml:space="preserve">Figure </w:t>
                                </w:r>
                                <w:r>
                                  <w:rPr>
                                    <w:b/>
                                    <w:sz w:val="20"/>
                                    <w:szCs w:val="20"/>
                                  </w:rPr>
                                  <w:t>2</w:t>
                                </w:r>
                                <w:r w:rsidRPr="00FC1096">
                                  <w:rPr>
                                    <w:b/>
                                    <w:sz w:val="20"/>
                                    <w:szCs w:val="20"/>
                                  </w:rPr>
                                  <w:t xml:space="preserve">. </w:t>
                                </w:r>
                                <w:r w:rsidRPr="00FC1096">
                                  <w:rPr>
                                    <w:sz w:val="20"/>
                                    <w:szCs w:val="20"/>
                                  </w:rPr>
                                  <w:t>Research model</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3" name="Text Box 2"/>
                        <wps:cNvSpPr txBox="1"/>
                        <wps:spPr>
                          <a:xfrm>
                            <a:off x="2794960" y="1602302"/>
                            <a:ext cx="741261" cy="505709"/>
                          </a:xfrm>
                          <a:prstGeom prst="rect">
                            <a:avLst/>
                          </a:prstGeom>
                          <a:solidFill>
                            <a:sysClr val="window" lastClr="FFFFFF"/>
                          </a:solidFill>
                          <a:ln w="6350">
                            <a:solidFill>
                              <a:prstClr val="black"/>
                            </a:solidFill>
                          </a:ln>
                          <a:effectLst/>
                        </wps:spPr>
                        <wps:txbx>
                          <w:txbxContent>
                            <w:p w14:paraId="26A26CB7" w14:textId="77777777" w:rsidR="002C0B6F" w:rsidRPr="00771DEC" w:rsidRDefault="002C0B6F" w:rsidP="00507C30">
                              <w:pPr>
                                <w:jc w:val="center"/>
                                <w:rPr>
                                  <w:sz w:val="22"/>
                                </w:rPr>
                              </w:pPr>
                              <w:r w:rsidRPr="00771DEC">
                                <w:rPr>
                                  <w:sz w:val="20"/>
                                </w:rPr>
                                <w:t>H</w:t>
                              </w:r>
                              <w:r w:rsidRPr="00771DEC">
                                <w:rPr>
                                  <w:sz w:val="22"/>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3"/>
                        <wps:cNvSpPr txBox="1"/>
                        <wps:spPr>
                          <a:xfrm>
                            <a:off x="3881655" y="16263"/>
                            <a:ext cx="730121" cy="497863"/>
                          </a:xfrm>
                          <a:prstGeom prst="rect">
                            <a:avLst/>
                          </a:prstGeom>
                          <a:solidFill>
                            <a:sysClr val="window" lastClr="FFFFFF"/>
                          </a:solidFill>
                          <a:ln w="6350">
                            <a:solidFill>
                              <a:prstClr val="black"/>
                            </a:solidFill>
                          </a:ln>
                          <a:effectLst/>
                        </wps:spPr>
                        <wps:txbx>
                          <w:txbxContent>
                            <w:p w14:paraId="40317BBA" w14:textId="77777777" w:rsidR="002C0B6F" w:rsidRPr="00B3719F" w:rsidRDefault="002C0B6F" w:rsidP="00507C30">
                              <w:pPr>
                                <w:jc w:val="center"/>
                              </w:pPr>
                              <w:r w:rsidRPr="00771DEC">
                                <w:rPr>
                                  <w:sz w:val="20"/>
                                  <w:szCs w:val="20"/>
                                </w:rPr>
                                <w:t>H</w:t>
                              </w:r>
                              <w:r w:rsidRPr="00B3719F">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 o:spid="_x0000_s1026" style="position:absolute;left:0;text-align:left;margin-left:4.25pt;margin-top:.35pt;width:225.7pt;height:210.8pt;z-index:251659264;mso-width-relative:margin;mso-height-relative:margin" coordorigin="6122,162" coordsize="54998,4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">
                <v:group id="Group 92" o:spid="_x0000_s1027" style="position:absolute;left:6122;top:337;width:54999;height:45450" coordorigin="8993,337" coordsize="55004,45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70" o:spid="_x0000_s1028" style="position:absolute;left:8993;top:337;width:55005;height:45458" coordorigin="1878,1691" coordsize="68579,48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71" o:spid="_x0000_s1029" style="position:absolute;left:2394;top:45073;width:66934;height:489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tBQsQA&#10;AADbAAAADwAAAGRycy9kb3ducmV2LnhtbESPQWvCQBSE70L/w/IK3nRTsVqiq7QVJRdB01avz+wz&#10;CWbfhuyq8d93BcHjMDPfMNN5aypxocaVlhW89SMQxJnVJecKfn+WvQ8QziNrrCyTghs5mM9eOlOM&#10;tb3yli6pz0WAsItRQeF9HUvpsoIMur6tiYN3tI1BH2STS93gNcBNJQdRNJIGSw4LBdb0XVB2Ss9G&#10;weFWrXTytfkbv/vdfqF5uF+fEqW6r+3nBISn1j/Dj3aiFYwHcP8Sf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QULEAAAA2wAAAA8AAAAAAAAAAAAAAAAAmAIAAGRycy9k&#10;b3ducmV2LnhtbFBLBQYAAAAABAAEAPUAAACJAwAAAAA=&#10;" stroked="f">
                      <v:textbox>
                        <w:txbxContent>
                          <w:p w14:paraId="3FF336F6" w14:textId="77777777" w:rsidR="002C0B6F" w:rsidRPr="00126867" w:rsidRDefault="002C0B6F" w:rsidP="00507C30">
                            <w:pPr>
                              <w:spacing w:after="120"/>
                              <w:rPr>
                                <w:sz w:val="20"/>
                                <w:szCs w:val="20"/>
                              </w:rPr>
                            </w:pPr>
                            <w:r w:rsidRPr="000E24FB">
                              <w:rPr>
                                <w:sz w:val="20"/>
                                <w:szCs w:val="20"/>
                              </w:rPr>
                              <w:t>Source: Suggested by the authors</w:t>
                            </w:r>
                          </w:p>
                        </w:txbxContent>
                      </v:textbox>
                    </v:rect>
                    <v:group id="Group 73" o:spid="_x0000_s1030" style="position:absolute;left:1878;top:1691;width:68580;height:37441" coordorigin="7006,1691" coordsize="68579,37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63" o:spid="_x0000_s1031" type="#_x0000_t32" style="position:absolute;left:43060;top:5796;width:13820;height:14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roundrect id="Oval 54" o:spid="_x0000_s1032" style="position:absolute;left:56880;top:15040;width:13960;height:108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aaMQA&#10;AADbAAAADwAAAGRycy9kb3ducmV2LnhtbESPQWvCQBSE7wX/w/KE3upGKalEVwmCoJQejKIeH9ln&#10;Esy+jdk1pv++KxQ8DjPzDTNf9qYWHbWusqxgPIpAEOdWV1woOOzXH1MQziNrrC2Tgl9ysFwM3uaY&#10;aPvgHXWZL0SAsEtQQel9k0jp8pIMupFtiIN3sa1BH2RbSN3iI8BNLSdRFEuDFYeFEhtalZRfs7tR&#10;0J2z7+0q/TxeNrf+mE5/TvF1z0q9D/t0BsJT71/h//ZGK/iK4fk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dWmjEAAAA2wAAAA8AAAAAAAAAAAAAAAAAmAIAAGRycy9k&#10;b3ducmV2LnhtbFBLBQYAAAAABAAEAPUAAACJAwAAAAA=&#10;" strokecolor="#4f81bd" strokeweight="2.5pt">
                        <v:textbox>
                          <w:txbxContent>
                            <w:p w14:paraId="7090622B" w14:textId="2D98B872" w:rsidR="002C0B6F" w:rsidRPr="00E575A2" w:rsidRDefault="002C0B6F" w:rsidP="00F422E4">
                              <w:pPr>
                                <w:spacing w:before="240" w:after="120"/>
                                <w:jc w:val="center"/>
                                <w:rPr>
                                  <w:b/>
                                  <w:sz w:val="20"/>
                                  <w:szCs w:val="20"/>
                                </w:rPr>
                              </w:pPr>
                              <w:r>
                                <w:rPr>
                                  <w:b/>
                                  <w:sz w:val="20"/>
                                  <w:szCs w:val="20"/>
                                </w:rPr>
                                <w:t>FP</w:t>
                              </w:r>
                            </w:p>
                          </w:txbxContent>
                        </v:textbox>
                      </v:roundrect>
                      <v:roundrect id="AutoShape 51" o:spid="_x0000_s1033" style="position:absolute;left:7006;top:15180;width:14176;height:10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rBMEA&#10;AADbAAAADwAAAGRycy9kb3ducmV2LnhtbESPQWsCMRSE7wX/Q3iCt5rVw1pWo4ggiAeh24IeH8lz&#10;s7h5WZKo679vCoUeh5n5hlltBteJB4XYelYwmxYgiLU3LTcKvr/27x8gYkI22HkmBS+KsFmP3lZY&#10;Gf/kT3rUqREZwrFCBTalvpIyaksO49T3xNm7+uAwZRkaaQI+M9x1cl4UpXTYcl6w2NPOkr7Vd6fg&#10;ZLU5X3QZTtHWF4kBh/mxVGoyHrZLEImG9B/+ax+MgsUCfr/kHy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awTBAAAA2wAAAA8AAAAAAAAAAAAAAAAAmAIAAGRycy9kb3du&#10;cmV2LnhtbFBLBQYAAAAABAAEAPUAAACGAwAAAAA=&#10;" fillcolor="window" strokecolor="#4f81bd" strokeweight="2.25pt">
                        <v:textbox>
                          <w:txbxContent>
                            <w:p w14:paraId="6E12ED8D" w14:textId="77777777" w:rsidR="002C0B6F" w:rsidRPr="00DB449F" w:rsidRDefault="002C0B6F" w:rsidP="00507C30">
                              <w:pPr>
                                <w:spacing w:before="240" w:after="120" w:line="312" w:lineRule="auto"/>
                                <w:rPr>
                                  <w:b/>
                                  <w:sz w:val="16"/>
                                  <w:szCs w:val="16"/>
                                </w:rPr>
                              </w:pPr>
                              <w:r>
                                <w:rPr>
                                  <w:b/>
                                  <w:sz w:val="16"/>
                                  <w:szCs w:val="16"/>
                                </w:rPr>
                                <w:t>BSIZE</w:t>
                              </w:r>
                            </w:p>
                          </w:txbxContent>
                        </v:textbox>
                      </v:roundrect>
                      <v:roundrect id="AutoShape 53" o:spid="_x0000_s1034" style="position:absolute;left:29336;top:1691;width:13789;height:102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4KcMA&#10;AADbAAAADwAAAGRycy9kb3ducmV2LnhtbERPS2vCQBC+F/wPywi9FN20h7ZGV5G+KBQPiYJ4G7Nj&#10;EszOhuw2pv31nYPQ48f3XqwG16ieulB7NnA/TUARF97WXBrYbd8nz6BCRLbYeCYDPxRgtRzdLDC1&#10;/sIZ9XkslYRwSNFAFWObah2KihyGqW+JhTv5zmEU2JXadniRcNfohyR51A5rloYKW3qpqDjn387A&#10;k15nh4/XYr/Js+Pbxn71v7M7bczteFjPQUUa4r/46v604pOx8kV+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d4KcMAAADbAAAADwAAAAAAAAAAAAAAAACYAgAAZHJzL2Rv&#10;d25yZXYueG1sUEsFBgAAAAAEAAQA9QAAAIgDAAAAAA==&#10;" strokecolor="#4f81bd" strokeweight="2.5pt">
                        <v:textbox>
                          <w:txbxContent>
                            <w:p w14:paraId="673023A5" w14:textId="77777777" w:rsidR="002C0B6F" w:rsidRPr="00B3719F" w:rsidRDefault="002C0B6F" w:rsidP="00507C30">
                              <w:pPr>
                                <w:spacing w:before="120" w:after="120" w:line="312" w:lineRule="auto"/>
                                <w:rPr>
                                  <w:b/>
                                </w:rPr>
                              </w:pPr>
                              <w:r w:rsidRPr="00B3719F">
                                <w:rPr>
                                  <w:b/>
                                </w:rPr>
                                <w:t>ESG</w:t>
                              </w:r>
                            </w:p>
                          </w:txbxContent>
                        </v:textbox>
                      </v:roundrect>
                      <v:roundrect id="Rounded Rectangle 79" o:spid="_x0000_s1035" style="position:absolute;left:53510;top:29718;width:22076;height:94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0ibsMA&#10;AADbAAAADwAAAGRycy9kb3ducmV2LnhtbESPS2vDMBCE74H+B7GF3mK5D5LGiRJKocXXvGh7W6SN&#10;ZWKtjKXGzr+PAoEch5n5hlmsBteIE3Wh9qzgOctBEGtvaq4U7LZf43cQISIbbDyTgjMFWC0fRgss&#10;jO95TadNrESCcChQgY2xLaQM2pLDkPmWOHkH3zmMSXaVNB32Ce4a+ZLnE+mw5rRgsaVPS/q4+XcK&#10;Zq0t9f7v5/vgzy68Rf3bv5pSqafH4WMOItIQ7+FbuzQKpjO4fkk/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0ibsMAAADbAAAADwAAAAAAAAAAAAAAAACYAgAAZHJzL2Rv&#10;d25yZXYueG1sUEsFBgAAAAAEAAQA9QAAAIgDAAAAAA==&#10;" fillcolor="window" strokecolor="windowText" strokeweight=".25pt">
                        <v:textbox>
                          <w:txbxContent>
                            <w:p w14:paraId="3A8D0691" w14:textId="213E1085" w:rsidR="002C0B6F" w:rsidRPr="00B3719F" w:rsidRDefault="002C0B6F" w:rsidP="004444DA">
                              <w:pPr>
                                <w:spacing w:line="312" w:lineRule="auto"/>
                                <w:jc w:val="center"/>
                              </w:pPr>
                              <w:r w:rsidRPr="004444DA">
                                <w:rPr>
                                  <w:sz w:val="20"/>
                                  <w:szCs w:val="20"/>
                                </w:rPr>
                                <w:t>Control variables</w:t>
                              </w:r>
                            </w:p>
                          </w:txbxContent>
                        </v:textbox>
                      </v:roundrect>
                      <v:shape id="Straight Arrow Connector 80" o:spid="_x0000_s1036" type="#_x0000_t32" style="position:absolute;left:21182;top:20468;width:3569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Straight Arrow Connector 81" o:spid="_x0000_s1037" type="#_x0000_t32" style="position:absolute;left:21182;top:6795;width:8154;height:13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line id="Straight Connector 82" o:spid="_x0000_s1038" style="position:absolute;flip:y;visibility:visible;mso-wrap-style:square" from="12380,3428" to="12380,15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Straight Connector 83" o:spid="_x0000_s1039" style="position:absolute;visibility:visible;mso-wrap-style:square" from="43048,3428" to="64093,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shape id="Straight Arrow Connector 84" o:spid="_x0000_s1040" type="#_x0000_t32" style="position:absolute;left:64100;top:3429;width:0;height:1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B7/cQAAADbAAAADwAAAGRycy9kb3ducmV2LnhtbESPQWvCQBSE7wX/w/KE3urGU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MHv9xAAAANsAAAAPAAAAAAAAAAAA&#10;AAAAAKECAABkcnMvZG93bnJldi54bWxQSwUGAAAAAAQABAD5AAAAkgMAAAAA&#10;">
                        <v:stroke endarrow="block"/>
                      </v:shape>
                      <v:line id="Straight Connector 85" o:spid="_x0000_s1041" style="position:absolute;visibility:visible;mso-wrap-style:square" from="12382,3429" to="2952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shape id="Straight Arrow Connector 86" o:spid="_x0000_s1042" type="#_x0000_t32" style="position:absolute;left:64377;top:25906;width:0;height:38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group>
                  </v:group>
                  <v:shapetype id="_x0000_t202" coordsize="21600,21600" o:spt="202" path="m,l,21600r21600,l21600,xe">
                    <v:stroke joinstyle="miter"/>
                    <v:path gradientshapeok="t" o:connecttype="rect"/>
                  </v:shapetype>
                  <v:shape id="Text Box 91" o:spid="_x0000_s1043" type="#_x0000_t202" style="position:absolute;left:14147;top:34998;width:30433;height:4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yn8QA&#10;AADbAAAADwAAAGRycy9kb3ducmV2LnhtbESPT2sCMRTE74V+h/AKXkrNugfRrVGsVuihHrTi+bF5&#10;3V3cvCxJ9t+3bwqCx2FmfsOsNoOpRUfOV5YVzKYJCOLc6ooLBZefw9sChA/IGmvLpGAkD5v189MK&#10;M217PlF3DoWIEPYZKihDaDIpfV6SQT+1DXH0fq0zGKJ0hdQO+wg3tUyTZC4NVhwXSmxoV1J+O7dG&#10;wXzv2v7Eu9f95fMbj02RXj/Gq1KTl2H7DiLQEB7he/tLK1jO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9cp/EAAAA2wAAAA8AAAAAAAAAAAAAAAAAmAIAAGRycy9k&#10;b3ducmV2LnhtbFBLBQYAAAAABAAEAPUAAACJAwAAAAA=&#10;" stroked="f">
                    <v:textbox inset="0,0,0,0">
                      <w:txbxContent>
                        <w:p w14:paraId="4F41B3FA" w14:textId="0C53EDB2" w:rsidR="002C0B6F" w:rsidRPr="00126867" w:rsidRDefault="002C0B6F" w:rsidP="00507C30">
                          <w:pPr>
                            <w:pStyle w:val="Caption"/>
                            <w:spacing w:before="240" w:after="120"/>
                            <w:jc w:val="center"/>
                            <w:rPr>
                              <w:rFonts w:eastAsia="Times New Roman"/>
                              <w:noProof/>
                              <w:color w:val="000000"/>
                              <w:sz w:val="24"/>
                              <w:szCs w:val="24"/>
                            </w:rPr>
                          </w:pPr>
                          <w:r w:rsidRPr="00FC1096">
                            <w:rPr>
                              <w:b/>
                              <w:sz w:val="20"/>
                              <w:szCs w:val="20"/>
                            </w:rPr>
                            <w:t xml:space="preserve">Figure </w:t>
                          </w:r>
                          <w:r>
                            <w:rPr>
                              <w:b/>
                              <w:sz w:val="20"/>
                              <w:szCs w:val="20"/>
                            </w:rPr>
                            <w:t>2</w:t>
                          </w:r>
                          <w:r w:rsidRPr="00FC1096">
                            <w:rPr>
                              <w:b/>
                              <w:sz w:val="20"/>
                              <w:szCs w:val="20"/>
                            </w:rPr>
                            <w:t xml:space="preserve">. </w:t>
                          </w:r>
                          <w:r w:rsidRPr="00FC1096">
                            <w:rPr>
                              <w:sz w:val="20"/>
                              <w:szCs w:val="20"/>
                            </w:rPr>
                            <w:t>Research model</w:t>
                          </w:r>
                        </w:p>
                      </w:txbxContent>
                    </v:textbox>
                  </v:shape>
                </v:group>
                <v:shape id="Text Box 2" o:spid="_x0000_s1044" type="#_x0000_t202" style="position:absolute;left:27949;top:16023;width:7413;height:5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14:paraId="26A26CB7" w14:textId="77777777" w:rsidR="002C0B6F" w:rsidRPr="00771DEC" w:rsidRDefault="002C0B6F" w:rsidP="00507C30">
                        <w:pPr>
                          <w:jc w:val="center"/>
                          <w:rPr>
                            <w:sz w:val="22"/>
                          </w:rPr>
                        </w:pPr>
                        <w:r w:rsidRPr="00771DEC">
                          <w:rPr>
                            <w:sz w:val="20"/>
                          </w:rPr>
                          <w:t>H</w:t>
                        </w:r>
                        <w:r w:rsidRPr="00771DEC">
                          <w:rPr>
                            <w:sz w:val="22"/>
                            <w:vertAlign w:val="subscript"/>
                          </w:rPr>
                          <w:t>1</w:t>
                        </w:r>
                      </w:p>
                    </w:txbxContent>
                  </v:textbox>
                </v:shape>
                <v:shape id="Text Box 3" o:spid="_x0000_s1045" type="#_x0000_t202" style="position:absolute;left:38816;top:162;width:7301;height: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14:paraId="40317BBA" w14:textId="77777777" w:rsidR="002C0B6F" w:rsidRPr="00B3719F" w:rsidRDefault="002C0B6F" w:rsidP="00507C30">
                        <w:pPr>
                          <w:jc w:val="center"/>
                        </w:pPr>
                        <w:r w:rsidRPr="00771DEC">
                          <w:rPr>
                            <w:sz w:val="20"/>
                            <w:szCs w:val="20"/>
                          </w:rPr>
                          <w:t>H</w:t>
                        </w:r>
                        <w:r w:rsidRPr="00B3719F">
                          <w:rPr>
                            <w:vertAlign w:val="subscript"/>
                          </w:rPr>
                          <w:t>2</w:t>
                        </w:r>
                      </w:p>
                    </w:txbxContent>
                  </v:textbox>
                </v:shape>
              </v:group>
            </w:pict>
          </mc:Fallback>
        </mc:AlternateContent>
      </w:r>
    </w:p>
    <w:p w14:paraId="77B29439" w14:textId="77AB4811" w:rsidR="004A2885" w:rsidRDefault="004A2885" w:rsidP="00046D27">
      <w:pPr>
        <w:tabs>
          <w:tab w:val="left" w:pos="360"/>
          <w:tab w:val="right" w:leader="hyphen" w:pos="9072"/>
        </w:tabs>
        <w:spacing w:before="120" w:after="120"/>
        <w:jc w:val="both"/>
        <w:rPr>
          <w:sz w:val="22"/>
          <w:szCs w:val="22"/>
        </w:rPr>
      </w:pPr>
    </w:p>
    <w:p w14:paraId="18ED3CC8" w14:textId="77777777" w:rsidR="004A2885" w:rsidRDefault="004A2885" w:rsidP="00046D27">
      <w:pPr>
        <w:tabs>
          <w:tab w:val="left" w:pos="360"/>
          <w:tab w:val="right" w:leader="hyphen" w:pos="9072"/>
        </w:tabs>
        <w:spacing w:before="120" w:after="120"/>
        <w:jc w:val="both"/>
        <w:rPr>
          <w:sz w:val="22"/>
          <w:szCs w:val="22"/>
        </w:rPr>
      </w:pPr>
    </w:p>
    <w:p w14:paraId="604171B0" w14:textId="55708FFB" w:rsidR="004A2885" w:rsidRDefault="004A2885" w:rsidP="00046D27">
      <w:pPr>
        <w:tabs>
          <w:tab w:val="left" w:pos="360"/>
          <w:tab w:val="right" w:leader="hyphen" w:pos="9072"/>
        </w:tabs>
        <w:spacing w:before="120" w:after="120"/>
        <w:jc w:val="both"/>
        <w:rPr>
          <w:sz w:val="22"/>
          <w:szCs w:val="22"/>
        </w:rPr>
      </w:pPr>
    </w:p>
    <w:p w14:paraId="49B34D25" w14:textId="77777777" w:rsidR="004A2885" w:rsidRDefault="004A2885" w:rsidP="00046D27">
      <w:pPr>
        <w:tabs>
          <w:tab w:val="left" w:pos="360"/>
          <w:tab w:val="right" w:leader="hyphen" w:pos="9072"/>
        </w:tabs>
        <w:spacing w:before="120" w:after="120"/>
        <w:jc w:val="both"/>
        <w:rPr>
          <w:sz w:val="22"/>
          <w:szCs w:val="22"/>
        </w:rPr>
      </w:pPr>
    </w:p>
    <w:p w14:paraId="707B892B" w14:textId="77777777" w:rsidR="00507C30" w:rsidRDefault="00507C30" w:rsidP="00046D27">
      <w:pPr>
        <w:tabs>
          <w:tab w:val="left" w:pos="360"/>
          <w:tab w:val="right" w:leader="hyphen" w:pos="9072"/>
        </w:tabs>
        <w:spacing w:before="120" w:after="120"/>
        <w:jc w:val="both"/>
        <w:rPr>
          <w:sz w:val="22"/>
          <w:szCs w:val="22"/>
        </w:rPr>
      </w:pPr>
    </w:p>
    <w:p w14:paraId="4E4A1DCC" w14:textId="77777777" w:rsidR="00507C30" w:rsidRDefault="00507C30" w:rsidP="00046D27">
      <w:pPr>
        <w:tabs>
          <w:tab w:val="left" w:pos="360"/>
          <w:tab w:val="right" w:leader="hyphen" w:pos="9072"/>
        </w:tabs>
        <w:spacing w:before="120" w:after="120"/>
        <w:jc w:val="both"/>
        <w:rPr>
          <w:sz w:val="22"/>
          <w:szCs w:val="22"/>
        </w:rPr>
      </w:pPr>
    </w:p>
    <w:p w14:paraId="0C65F999" w14:textId="77777777" w:rsidR="00507C30" w:rsidRDefault="00507C30" w:rsidP="00046D27">
      <w:pPr>
        <w:tabs>
          <w:tab w:val="left" w:pos="360"/>
          <w:tab w:val="right" w:leader="hyphen" w:pos="9072"/>
        </w:tabs>
        <w:spacing w:before="120" w:after="120"/>
        <w:jc w:val="both"/>
        <w:rPr>
          <w:sz w:val="22"/>
          <w:szCs w:val="22"/>
        </w:rPr>
      </w:pPr>
    </w:p>
    <w:p w14:paraId="7E80FE7D" w14:textId="10F91AA5" w:rsidR="002C0B6F" w:rsidRDefault="002C0B6F" w:rsidP="002C0B6F">
      <w:pPr>
        <w:tabs>
          <w:tab w:val="left" w:pos="360"/>
          <w:tab w:val="right" w:leader="hyphen" w:pos="9072"/>
        </w:tabs>
        <w:spacing w:before="120" w:after="120"/>
        <w:jc w:val="both"/>
        <w:rPr>
          <w:color w:val="EE0000"/>
          <w:sz w:val="22"/>
          <w:szCs w:val="22"/>
        </w:rPr>
      </w:pPr>
      <w:r>
        <w:rPr>
          <w:color w:val="EE0000"/>
          <w:sz w:val="22"/>
          <w:szCs w:val="22"/>
        </w:rPr>
        <w:lastRenderedPageBreak/>
        <w:t xml:space="preserve">The each </w:t>
      </w:r>
      <w:proofErr w:type="gramStart"/>
      <w:r>
        <w:rPr>
          <w:color w:val="EE0000"/>
          <w:sz w:val="22"/>
          <w:szCs w:val="22"/>
        </w:rPr>
        <w:t>indicators</w:t>
      </w:r>
      <w:proofErr w:type="gramEnd"/>
      <w:r>
        <w:rPr>
          <w:color w:val="EE0000"/>
          <w:sz w:val="22"/>
          <w:szCs w:val="22"/>
        </w:rPr>
        <w:t xml:space="preserve"> (E, S, G) for a formative construct captures a specific aspect of the construct’s domain (ESG). Thus, this </w:t>
      </w:r>
      <w:r w:rsidR="00AF3926">
        <w:rPr>
          <w:color w:val="EE0000"/>
          <w:sz w:val="22"/>
          <w:szCs w:val="22"/>
        </w:rPr>
        <w:t>is f</w:t>
      </w:r>
      <w:r w:rsidR="00AF3926" w:rsidRPr="00F422E4">
        <w:rPr>
          <w:color w:val="EE0000"/>
          <w:sz w:val="22"/>
          <w:szCs w:val="22"/>
        </w:rPr>
        <w:t>ormative model</w:t>
      </w:r>
      <w:r w:rsidR="00AF3926">
        <w:rPr>
          <w:color w:val="EE0000"/>
          <w:sz w:val="22"/>
          <w:szCs w:val="22"/>
        </w:rPr>
        <w:t>.</w:t>
      </w:r>
    </w:p>
    <w:p w14:paraId="7EA366F8" w14:textId="3F7FD4C7" w:rsidR="004A2885" w:rsidRDefault="002C0B6F" w:rsidP="00AF3926">
      <w:pPr>
        <w:tabs>
          <w:tab w:val="left" w:pos="360"/>
          <w:tab w:val="right" w:leader="hyphen" w:pos="9072"/>
        </w:tabs>
        <w:spacing w:before="120" w:after="120"/>
        <w:ind w:firstLine="720"/>
        <w:jc w:val="both"/>
        <w:rPr>
          <w:sz w:val="22"/>
          <w:szCs w:val="22"/>
        </w:rPr>
      </w:pPr>
      <w:r w:rsidRPr="00BB2EED">
        <w:rPr>
          <w:sz w:val="22"/>
          <w:szCs w:val="22"/>
        </w:rPr>
        <w:t xml:space="preserve">The research model is shown in Figure </w:t>
      </w:r>
      <w:r>
        <w:rPr>
          <w:sz w:val="22"/>
          <w:szCs w:val="22"/>
        </w:rPr>
        <w:t>2</w:t>
      </w:r>
      <w:r w:rsidRPr="00BB2EED">
        <w:rPr>
          <w:sz w:val="22"/>
          <w:szCs w:val="22"/>
        </w:rPr>
        <w:t xml:space="preserve">. The first model examines the direct effect of </w:t>
      </w:r>
      <w:r>
        <w:rPr>
          <w:sz w:val="22"/>
          <w:szCs w:val="22"/>
        </w:rPr>
        <w:t xml:space="preserve">board size </w:t>
      </w:r>
      <w:r w:rsidRPr="00BB2EED">
        <w:rPr>
          <w:sz w:val="22"/>
          <w:szCs w:val="22"/>
        </w:rPr>
        <w:t xml:space="preserve">on performance. The second model examines the indirect effect of </w:t>
      </w:r>
      <w:r>
        <w:rPr>
          <w:sz w:val="22"/>
          <w:szCs w:val="22"/>
        </w:rPr>
        <w:t xml:space="preserve">board size </w:t>
      </w:r>
      <w:r w:rsidRPr="00BB2EED">
        <w:rPr>
          <w:sz w:val="22"/>
          <w:szCs w:val="22"/>
        </w:rPr>
        <w:t xml:space="preserve">on performance through the mediation of </w:t>
      </w:r>
      <w:r>
        <w:rPr>
          <w:sz w:val="22"/>
          <w:szCs w:val="22"/>
        </w:rPr>
        <w:t>ESG</w:t>
      </w:r>
      <w:r w:rsidRPr="00BB2EED">
        <w:rPr>
          <w:sz w:val="22"/>
          <w:szCs w:val="22"/>
        </w:rPr>
        <w:t xml:space="preserve"> disclosure.</w:t>
      </w:r>
    </w:p>
    <w:p w14:paraId="699F70B6" w14:textId="581A1DA5" w:rsidR="00046D27" w:rsidRDefault="00E575A2" w:rsidP="00046D27">
      <w:pPr>
        <w:tabs>
          <w:tab w:val="left" w:pos="360"/>
          <w:tab w:val="right" w:leader="hyphen" w:pos="9072"/>
        </w:tabs>
        <w:spacing w:before="120" w:after="120"/>
        <w:jc w:val="both"/>
        <w:rPr>
          <w:b/>
          <w:sz w:val="22"/>
          <w:szCs w:val="22"/>
        </w:rPr>
      </w:pPr>
      <w:r>
        <w:rPr>
          <w:b/>
          <w:sz w:val="22"/>
          <w:szCs w:val="22"/>
        </w:rPr>
        <w:t xml:space="preserve">4. </w:t>
      </w:r>
      <w:r w:rsidR="00E22260">
        <w:rPr>
          <w:b/>
          <w:sz w:val="22"/>
          <w:szCs w:val="22"/>
        </w:rPr>
        <w:t>RESULTS AND DISCUSSION</w:t>
      </w:r>
    </w:p>
    <w:p w14:paraId="24B3DE92" w14:textId="77777777" w:rsidR="00046D27" w:rsidRPr="00BA7662" w:rsidRDefault="00046D27" w:rsidP="00046D27">
      <w:pPr>
        <w:tabs>
          <w:tab w:val="left" w:pos="567"/>
          <w:tab w:val="right" w:leader="hyphen" w:pos="9072"/>
        </w:tabs>
        <w:spacing w:before="120" w:after="120"/>
        <w:jc w:val="both"/>
        <w:rPr>
          <w:b/>
          <w:sz w:val="22"/>
          <w:szCs w:val="22"/>
        </w:rPr>
      </w:pPr>
      <w:r w:rsidRPr="00BA7662">
        <w:rPr>
          <w:b/>
          <w:sz w:val="22"/>
          <w:szCs w:val="22"/>
        </w:rPr>
        <w:t>4.1. Descriptive statistics</w:t>
      </w:r>
    </w:p>
    <w:p w14:paraId="236E4276" w14:textId="5A93DEFE" w:rsidR="00C67BFC" w:rsidRPr="00126867" w:rsidRDefault="00C67BFC" w:rsidP="008A3AAE">
      <w:pPr>
        <w:pStyle w:val="Caption"/>
        <w:keepNext/>
        <w:spacing w:before="240" w:after="120"/>
        <w:rPr>
          <w:sz w:val="20"/>
          <w:szCs w:val="20"/>
        </w:rPr>
      </w:pPr>
      <w:proofErr w:type="gramStart"/>
      <w:r w:rsidRPr="008A3AAE">
        <w:rPr>
          <w:b/>
          <w:sz w:val="20"/>
          <w:szCs w:val="20"/>
        </w:rPr>
        <w:t xml:space="preserve">Table </w:t>
      </w:r>
      <w:r w:rsidRPr="008A3AAE">
        <w:rPr>
          <w:b/>
          <w:sz w:val="20"/>
          <w:szCs w:val="20"/>
        </w:rPr>
        <w:fldChar w:fldCharType="begin"/>
      </w:r>
      <w:r w:rsidRPr="008A3AAE">
        <w:rPr>
          <w:b/>
          <w:sz w:val="20"/>
          <w:szCs w:val="20"/>
        </w:rPr>
        <w:instrText xml:space="preserve"> SEQ Bảng_ \* ARABIC </w:instrText>
      </w:r>
      <w:r w:rsidRPr="008A3AAE">
        <w:rPr>
          <w:b/>
          <w:sz w:val="20"/>
          <w:szCs w:val="20"/>
        </w:rPr>
        <w:fldChar w:fldCharType="separate"/>
      </w:r>
      <w:r w:rsidR="00574AD0">
        <w:rPr>
          <w:b/>
          <w:noProof/>
          <w:sz w:val="20"/>
          <w:szCs w:val="20"/>
        </w:rPr>
        <w:t>1</w:t>
      </w:r>
      <w:r w:rsidR="00126867">
        <w:rPr>
          <w:b/>
          <w:noProof/>
          <w:sz w:val="20"/>
          <w:szCs w:val="20"/>
        </w:rPr>
        <w:t>.</w:t>
      </w:r>
      <w:proofErr w:type="gramEnd"/>
      <w:r w:rsidR="00574AD0">
        <w:rPr>
          <w:b/>
          <w:noProof/>
          <w:sz w:val="20"/>
          <w:szCs w:val="20"/>
        </w:rPr>
        <w:t xml:space="preserve"> </w:t>
      </w:r>
      <w:r w:rsidRPr="008A3AAE">
        <w:rPr>
          <w:b/>
          <w:sz w:val="20"/>
          <w:szCs w:val="20"/>
        </w:rPr>
        <w:fldChar w:fldCharType="end"/>
      </w:r>
      <w:r w:rsidRPr="008A3AAE">
        <w:rPr>
          <w:b/>
          <w:sz w:val="20"/>
          <w:szCs w:val="20"/>
        </w:rPr>
        <w:t xml:space="preserve"> </w:t>
      </w:r>
      <w:r w:rsidRPr="00126867">
        <w:rPr>
          <w:sz w:val="20"/>
          <w:szCs w:val="20"/>
        </w:rPr>
        <w:t>Descriptive statistics</w:t>
      </w:r>
    </w:p>
    <w:tbl>
      <w:tblPr>
        <w:tblW w:w="4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979"/>
        <w:gridCol w:w="951"/>
        <w:gridCol w:w="827"/>
        <w:gridCol w:w="904"/>
      </w:tblGrid>
      <w:tr w:rsidR="00D62345" w:rsidRPr="003B6D56" w14:paraId="1ADD432A" w14:textId="77777777" w:rsidTr="00D62345">
        <w:trPr>
          <w:trHeight w:val="300"/>
        </w:trPr>
        <w:tc>
          <w:tcPr>
            <w:tcW w:w="828" w:type="dxa"/>
            <w:shd w:val="clear" w:color="auto" w:fill="auto"/>
            <w:noWrap/>
            <w:vAlign w:val="center"/>
            <w:hideMark/>
          </w:tcPr>
          <w:p w14:paraId="57F85DEA"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Variable</w:t>
            </w:r>
          </w:p>
        </w:tc>
        <w:tc>
          <w:tcPr>
            <w:tcW w:w="897" w:type="dxa"/>
            <w:shd w:val="clear" w:color="auto" w:fill="auto"/>
            <w:noWrap/>
            <w:vAlign w:val="center"/>
            <w:hideMark/>
          </w:tcPr>
          <w:p w14:paraId="6E37CAEC"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Maximum value</w:t>
            </w:r>
          </w:p>
        </w:tc>
        <w:tc>
          <w:tcPr>
            <w:tcW w:w="897" w:type="dxa"/>
            <w:shd w:val="clear" w:color="auto" w:fill="auto"/>
            <w:noWrap/>
            <w:vAlign w:val="center"/>
            <w:hideMark/>
          </w:tcPr>
          <w:p w14:paraId="6D70B5AB"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Minimum value</w:t>
            </w:r>
          </w:p>
        </w:tc>
        <w:tc>
          <w:tcPr>
            <w:tcW w:w="903" w:type="dxa"/>
            <w:shd w:val="clear" w:color="auto" w:fill="auto"/>
            <w:noWrap/>
            <w:vAlign w:val="center"/>
            <w:hideMark/>
          </w:tcPr>
          <w:p w14:paraId="17F65DBB"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Average value</w:t>
            </w:r>
          </w:p>
        </w:tc>
        <w:tc>
          <w:tcPr>
            <w:tcW w:w="900" w:type="dxa"/>
            <w:shd w:val="clear" w:color="auto" w:fill="auto"/>
            <w:noWrap/>
            <w:vAlign w:val="center"/>
            <w:hideMark/>
          </w:tcPr>
          <w:p w14:paraId="6176851B" w14:textId="77777777" w:rsidR="00D62345" w:rsidRPr="003B6D56" w:rsidRDefault="00D62345" w:rsidP="007762D4">
            <w:pPr>
              <w:spacing w:before="120" w:after="120"/>
              <w:jc w:val="center"/>
              <w:rPr>
                <w:b/>
                <w:bCs/>
                <w:color w:val="000000"/>
                <w:sz w:val="20"/>
                <w:szCs w:val="20"/>
              </w:rPr>
            </w:pPr>
            <w:r w:rsidRPr="003B6D56">
              <w:rPr>
                <w:b/>
                <w:bCs/>
                <w:color w:val="000000"/>
                <w:sz w:val="20"/>
                <w:szCs w:val="20"/>
              </w:rPr>
              <w:t>Standard deviation</w:t>
            </w:r>
          </w:p>
        </w:tc>
      </w:tr>
      <w:tr w:rsidR="00D62345" w:rsidRPr="003B6D56" w14:paraId="7E9B983F" w14:textId="77777777" w:rsidTr="00D62345">
        <w:trPr>
          <w:trHeight w:val="300"/>
        </w:trPr>
        <w:tc>
          <w:tcPr>
            <w:tcW w:w="828" w:type="dxa"/>
            <w:shd w:val="clear" w:color="auto" w:fill="auto"/>
            <w:noWrap/>
            <w:vAlign w:val="bottom"/>
            <w:hideMark/>
          </w:tcPr>
          <w:p w14:paraId="35665A61" w14:textId="77777777" w:rsidR="00D62345" w:rsidRPr="003B6D56" w:rsidRDefault="00D62345" w:rsidP="007762D4">
            <w:pPr>
              <w:spacing w:before="120" w:after="120"/>
              <w:rPr>
                <w:color w:val="000000"/>
                <w:sz w:val="20"/>
                <w:szCs w:val="20"/>
              </w:rPr>
            </w:pPr>
            <w:r w:rsidRPr="003B6D56">
              <w:rPr>
                <w:color w:val="000000"/>
                <w:sz w:val="20"/>
                <w:szCs w:val="20"/>
              </w:rPr>
              <w:t>ROA</w:t>
            </w:r>
          </w:p>
        </w:tc>
        <w:tc>
          <w:tcPr>
            <w:tcW w:w="897" w:type="dxa"/>
            <w:shd w:val="clear" w:color="auto" w:fill="auto"/>
            <w:noWrap/>
            <w:vAlign w:val="bottom"/>
            <w:hideMark/>
          </w:tcPr>
          <w:p w14:paraId="32A616F4" w14:textId="77777777" w:rsidR="00D62345" w:rsidRPr="003B6D56" w:rsidRDefault="00D62345" w:rsidP="007762D4">
            <w:pPr>
              <w:spacing w:before="120" w:after="120"/>
              <w:jc w:val="right"/>
              <w:rPr>
                <w:color w:val="000000"/>
                <w:sz w:val="20"/>
                <w:szCs w:val="20"/>
              </w:rPr>
            </w:pPr>
            <w:r w:rsidRPr="003B6D56">
              <w:rPr>
                <w:color w:val="000000"/>
                <w:sz w:val="20"/>
                <w:szCs w:val="20"/>
              </w:rPr>
              <w:t>0.536</w:t>
            </w:r>
          </w:p>
        </w:tc>
        <w:tc>
          <w:tcPr>
            <w:tcW w:w="897" w:type="dxa"/>
            <w:shd w:val="clear" w:color="auto" w:fill="auto"/>
            <w:noWrap/>
            <w:vAlign w:val="bottom"/>
            <w:hideMark/>
          </w:tcPr>
          <w:p w14:paraId="28CB4EB5" w14:textId="77777777" w:rsidR="00D62345" w:rsidRPr="003B6D56" w:rsidRDefault="00D62345" w:rsidP="007762D4">
            <w:pPr>
              <w:spacing w:before="120" w:after="120"/>
              <w:jc w:val="right"/>
              <w:rPr>
                <w:color w:val="000000"/>
                <w:sz w:val="20"/>
                <w:szCs w:val="20"/>
              </w:rPr>
            </w:pPr>
            <w:r w:rsidRPr="003B6D56">
              <w:rPr>
                <w:color w:val="000000"/>
                <w:sz w:val="20"/>
                <w:szCs w:val="20"/>
              </w:rPr>
              <w:t>0.001</w:t>
            </w:r>
          </w:p>
        </w:tc>
        <w:tc>
          <w:tcPr>
            <w:tcW w:w="903" w:type="dxa"/>
            <w:shd w:val="clear" w:color="auto" w:fill="auto"/>
            <w:noWrap/>
            <w:vAlign w:val="bottom"/>
            <w:hideMark/>
          </w:tcPr>
          <w:p w14:paraId="1A9734D9" w14:textId="77777777" w:rsidR="00D62345" w:rsidRPr="003B6D56" w:rsidRDefault="00D62345" w:rsidP="007762D4">
            <w:pPr>
              <w:spacing w:before="120" w:after="120"/>
              <w:jc w:val="right"/>
              <w:rPr>
                <w:color w:val="000000"/>
                <w:sz w:val="20"/>
                <w:szCs w:val="20"/>
              </w:rPr>
            </w:pPr>
            <w:r w:rsidRPr="003B6D56">
              <w:rPr>
                <w:color w:val="000000"/>
                <w:sz w:val="20"/>
                <w:szCs w:val="20"/>
              </w:rPr>
              <w:t>0.080</w:t>
            </w:r>
          </w:p>
        </w:tc>
        <w:tc>
          <w:tcPr>
            <w:tcW w:w="900" w:type="dxa"/>
            <w:shd w:val="clear" w:color="auto" w:fill="auto"/>
            <w:noWrap/>
            <w:vAlign w:val="bottom"/>
            <w:hideMark/>
          </w:tcPr>
          <w:p w14:paraId="35D31A10" w14:textId="77777777" w:rsidR="00D62345" w:rsidRPr="003B6D56" w:rsidRDefault="00D62345" w:rsidP="007762D4">
            <w:pPr>
              <w:spacing w:before="120" w:after="120"/>
              <w:jc w:val="right"/>
              <w:rPr>
                <w:color w:val="000000"/>
                <w:sz w:val="20"/>
                <w:szCs w:val="20"/>
              </w:rPr>
            </w:pPr>
            <w:r w:rsidRPr="003B6D56">
              <w:rPr>
                <w:color w:val="000000"/>
                <w:sz w:val="20"/>
                <w:szCs w:val="20"/>
              </w:rPr>
              <w:t>0.091</w:t>
            </w:r>
          </w:p>
        </w:tc>
      </w:tr>
      <w:tr w:rsidR="00C347F2" w:rsidRPr="003B6D56" w14:paraId="4FD5487E" w14:textId="77777777" w:rsidTr="008B0933">
        <w:trPr>
          <w:trHeight w:val="300"/>
        </w:trPr>
        <w:tc>
          <w:tcPr>
            <w:tcW w:w="828" w:type="dxa"/>
            <w:shd w:val="clear" w:color="auto" w:fill="auto"/>
            <w:noWrap/>
            <w:vAlign w:val="bottom"/>
            <w:hideMark/>
          </w:tcPr>
          <w:p w14:paraId="322CB12F" w14:textId="77777777" w:rsidR="00C347F2" w:rsidRPr="003B6D56" w:rsidRDefault="00C347F2" w:rsidP="008B0933">
            <w:pPr>
              <w:spacing w:before="120" w:after="120"/>
              <w:rPr>
                <w:color w:val="000000"/>
                <w:sz w:val="20"/>
                <w:szCs w:val="20"/>
              </w:rPr>
            </w:pPr>
            <w:r w:rsidRPr="003B6D56">
              <w:rPr>
                <w:color w:val="000000"/>
                <w:sz w:val="20"/>
                <w:szCs w:val="20"/>
              </w:rPr>
              <w:t>BSIZE</w:t>
            </w:r>
          </w:p>
        </w:tc>
        <w:tc>
          <w:tcPr>
            <w:tcW w:w="897" w:type="dxa"/>
            <w:shd w:val="clear" w:color="auto" w:fill="auto"/>
            <w:noWrap/>
            <w:vAlign w:val="bottom"/>
            <w:hideMark/>
          </w:tcPr>
          <w:p w14:paraId="77961B22" w14:textId="27B96C3A" w:rsidR="00C347F2" w:rsidRPr="003B6D56" w:rsidRDefault="00C347F2" w:rsidP="003C62FF">
            <w:pPr>
              <w:spacing w:before="120" w:after="120"/>
              <w:jc w:val="right"/>
              <w:rPr>
                <w:color w:val="000000"/>
                <w:sz w:val="20"/>
                <w:szCs w:val="20"/>
              </w:rPr>
            </w:pPr>
            <w:r w:rsidRPr="003B6D56">
              <w:rPr>
                <w:color w:val="000000"/>
                <w:sz w:val="20"/>
                <w:szCs w:val="20"/>
              </w:rPr>
              <w:t>11</w:t>
            </w:r>
            <w:r w:rsidR="003C62FF">
              <w:rPr>
                <w:color w:val="000000"/>
                <w:sz w:val="20"/>
                <w:szCs w:val="20"/>
              </w:rPr>
              <w:t>.</w:t>
            </w:r>
            <w:r w:rsidRPr="003B6D56">
              <w:rPr>
                <w:color w:val="000000"/>
                <w:sz w:val="20"/>
                <w:szCs w:val="20"/>
              </w:rPr>
              <w:t>000</w:t>
            </w:r>
          </w:p>
        </w:tc>
        <w:tc>
          <w:tcPr>
            <w:tcW w:w="897" w:type="dxa"/>
            <w:shd w:val="clear" w:color="auto" w:fill="auto"/>
            <w:noWrap/>
            <w:vAlign w:val="bottom"/>
            <w:hideMark/>
          </w:tcPr>
          <w:p w14:paraId="549BD6FE" w14:textId="4A137562" w:rsidR="00C347F2" w:rsidRPr="003B6D56" w:rsidRDefault="00C347F2" w:rsidP="003C62FF">
            <w:pPr>
              <w:spacing w:before="120" w:after="120"/>
              <w:jc w:val="right"/>
              <w:rPr>
                <w:color w:val="000000"/>
                <w:sz w:val="20"/>
                <w:szCs w:val="20"/>
              </w:rPr>
            </w:pPr>
            <w:r w:rsidRPr="003B6D56">
              <w:rPr>
                <w:color w:val="000000"/>
                <w:sz w:val="20"/>
                <w:szCs w:val="20"/>
              </w:rPr>
              <w:t>3</w:t>
            </w:r>
            <w:r w:rsidR="003C62FF">
              <w:rPr>
                <w:color w:val="000000"/>
                <w:sz w:val="20"/>
                <w:szCs w:val="20"/>
              </w:rPr>
              <w:t>.</w:t>
            </w:r>
            <w:r w:rsidRPr="003B6D56">
              <w:rPr>
                <w:color w:val="000000"/>
                <w:sz w:val="20"/>
                <w:szCs w:val="20"/>
              </w:rPr>
              <w:t>000</w:t>
            </w:r>
          </w:p>
        </w:tc>
        <w:tc>
          <w:tcPr>
            <w:tcW w:w="903" w:type="dxa"/>
            <w:shd w:val="clear" w:color="auto" w:fill="auto"/>
            <w:noWrap/>
            <w:vAlign w:val="bottom"/>
            <w:hideMark/>
          </w:tcPr>
          <w:p w14:paraId="7993C0FC" w14:textId="5ABAD2A1" w:rsidR="00C347F2" w:rsidRPr="003B6D56" w:rsidRDefault="00C347F2" w:rsidP="003C62FF">
            <w:pPr>
              <w:spacing w:before="120" w:after="120"/>
              <w:jc w:val="right"/>
              <w:rPr>
                <w:color w:val="000000"/>
                <w:sz w:val="20"/>
                <w:szCs w:val="20"/>
              </w:rPr>
            </w:pPr>
            <w:r w:rsidRPr="003B6D56">
              <w:rPr>
                <w:color w:val="000000"/>
                <w:sz w:val="20"/>
                <w:szCs w:val="20"/>
              </w:rPr>
              <w:t>5</w:t>
            </w:r>
            <w:r w:rsidR="003C62FF">
              <w:rPr>
                <w:color w:val="000000"/>
                <w:sz w:val="20"/>
                <w:szCs w:val="20"/>
              </w:rPr>
              <w:t>.</w:t>
            </w:r>
            <w:r w:rsidRPr="003B6D56">
              <w:rPr>
                <w:color w:val="000000"/>
                <w:sz w:val="20"/>
                <w:szCs w:val="20"/>
              </w:rPr>
              <w:t>786</w:t>
            </w:r>
          </w:p>
        </w:tc>
        <w:tc>
          <w:tcPr>
            <w:tcW w:w="900" w:type="dxa"/>
            <w:shd w:val="clear" w:color="auto" w:fill="auto"/>
            <w:noWrap/>
            <w:vAlign w:val="bottom"/>
            <w:hideMark/>
          </w:tcPr>
          <w:p w14:paraId="345F8746" w14:textId="4D852EDE" w:rsidR="00C347F2" w:rsidRPr="003B6D56" w:rsidRDefault="00C347F2" w:rsidP="003C62FF">
            <w:pPr>
              <w:spacing w:before="120" w:after="120"/>
              <w:jc w:val="right"/>
              <w:rPr>
                <w:color w:val="000000"/>
                <w:sz w:val="20"/>
                <w:szCs w:val="20"/>
              </w:rPr>
            </w:pPr>
            <w:r w:rsidRPr="003B6D56">
              <w:rPr>
                <w:color w:val="000000"/>
                <w:sz w:val="20"/>
                <w:szCs w:val="20"/>
              </w:rPr>
              <w:t>1</w:t>
            </w:r>
            <w:r w:rsidR="003C62FF">
              <w:rPr>
                <w:color w:val="000000"/>
                <w:sz w:val="20"/>
                <w:szCs w:val="20"/>
              </w:rPr>
              <w:t>.</w:t>
            </w:r>
            <w:r w:rsidRPr="003B6D56">
              <w:rPr>
                <w:color w:val="000000"/>
                <w:sz w:val="20"/>
                <w:szCs w:val="20"/>
              </w:rPr>
              <w:t>418</w:t>
            </w:r>
          </w:p>
        </w:tc>
      </w:tr>
      <w:tr w:rsidR="00FD65A0" w:rsidRPr="003B6D56" w14:paraId="7D787BD9" w14:textId="77777777" w:rsidTr="00465AE7">
        <w:trPr>
          <w:trHeight w:val="300"/>
        </w:trPr>
        <w:tc>
          <w:tcPr>
            <w:tcW w:w="828" w:type="dxa"/>
            <w:shd w:val="clear" w:color="auto" w:fill="auto"/>
            <w:noWrap/>
            <w:vAlign w:val="bottom"/>
            <w:hideMark/>
          </w:tcPr>
          <w:p w14:paraId="444AEF3A" w14:textId="77777777" w:rsidR="00FD65A0" w:rsidRPr="003B6D56" w:rsidRDefault="00FD65A0" w:rsidP="00465AE7">
            <w:pPr>
              <w:spacing w:before="120" w:after="120"/>
              <w:rPr>
                <w:color w:val="000000"/>
                <w:sz w:val="20"/>
                <w:szCs w:val="20"/>
              </w:rPr>
            </w:pPr>
            <w:r w:rsidRPr="003B6D56">
              <w:rPr>
                <w:color w:val="000000"/>
                <w:sz w:val="20"/>
                <w:szCs w:val="20"/>
              </w:rPr>
              <w:t>E</w:t>
            </w:r>
          </w:p>
        </w:tc>
        <w:tc>
          <w:tcPr>
            <w:tcW w:w="897" w:type="dxa"/>
            <w:shd w:val="clear" w:color="auto" w:fill="auto"/>
            <w:noWrap/>
            <w:vAlign w:val="bottom"/>
            <w:hideMark/>
          </w:tcPr>
          <w:p w14:paraId="09C85BAA" w14:textId="556B7620" w:rsidR="00FD65A0" w:rsidRPr="003B6D56" w:rsidRDefault="00FD65A0" w:rsidP="003C62FF">
            <w:pPr>
              <w:spacing w:before="120" w:after="120"/>
              <w:jc w:val="right"/>
              <w:rPr>
                <w:color w:val="000000"/>
                <w:sz w:val="20"/>
                <w:szCs w:val="20"/>
              </w:rPr>
            </w:pPr>
            <w:r w:rsidRPr="003B6D56">
              <w:rPr>
                <w:color w:val="000000"/>
                <w:sz w:val="20"/>
                <w:szCs w:val="20"/>
              </w:rPr>
              <w:t>1</w:t>
            </w:r>
            <w:r w:rsidR="003C62FF">
              <w:rPr>
                <w:color w:val="000000"/>
                <w:sz w:val="20"/>
                <w:szCs w:val="20"/>
              </w:rPr>
              <w:t>.</w:t>
            </w:r>
            <w:r w:rsidRPr="003B6D56">
              <w:rPr>
                <w:color w:val="000000"/>
                <w:sz w:val="20"/>
                <w:szCs w:val="20"/>
              </w:rPr>
              <w:t>909</w:t>
            </w:r>
          </w:p>
        </w:tc>
        <w:tc>
          <w:tcPr>
            <w:tcW w:w="897" w:type="dxa"/>
            <w:shd w:val="clear" w:color="auto" w:fill="auto"/>
            <w:noWrap/>
            <w:vAlign w:val="bottom"/>
            <w:hideMark/>
          </w:tcPr>
          <w:p w14:paraId="66714932" w14:textId="77777777" w:rsidR="00FD65A0" w:rsidRPr="003B6D56" w:rsidRDefault="00FD65A0" w:rsidP="00465AE7">
            <w:pPr>
              <w:spacing w:before="120" w:after="120"/>
              <w:jc w:val="right"/>
              <w:rPr>
                <w:color w:val="000000"/>
                <w:sz w:val="20"/>
                <w:szCs w:val="20"/>
              </w:rPr>
            </w:pPr>
            <w:r w:rsidRPr="003B6D56">
              <w:rPr>
                <w:color w:val="000000"/>
                <w:sz w:val="20"/>
                <w:szCs w:val="20"/>
              </w:rPr>
              <w:t>0.000</w:t>
            </w:r>
          </w:p>
        </w:tc>
        <w:tc>
          <w:tcPr>
            <w:tcW w:w="903" w:type="dxa"/>
            <w:shd w:val="clear" w:color="auto" w:fill="auto"/>
            <w:noWrap/>
            <w:vAlign w:val="bottom"/>
            <w:hideMark/>
          </w:tcPr>
          <w:p w14:paraId="2311E519" w14:textId="77777777" w:rsidR="00FD65A0" w:rsidRPr="003B6D56" w:rsidRDefault="00FD65A0" w:rsidP="00465AE7">
            <w:pPr>
              <w:spacing w:before="120" w:after="120"/>
              <w:jc w:val="right"/>
              <w:rPr>
                <w:color w:val="000000"/>
                <w:sz w:val="20"/>
                <w:szCs w:val="20"/>
              </w:rPr>
            </w:pPr>
            <w:r w:rsidRPr="003B6D56">
              <w:rPr>
                <w:color w:val="000000"/>
                <w:sz w:val="20"/>
                <w:szCs w:val="20"/>
              </w:rPr>
              <w:t>0.440</w:t>
            </w:r>
          </w:p>
        </w:tc>
        <w:tc>
          <w:tcPr>
            <w:tcW w:w="900" w:type="dxa"/>
            <w:shd w:val="clear" w:color="auto" w:fill="auto"/>
            <w:noWrap/>
            <w:vAlign w:val="bottom"/>
            <w:hideMark/>
          </w:tcPr>
          <w:p w14:paraId="008EB312" w14:textId="77777777" w:rsidR="00FD65A0" w:rsidRPr="003B6D56" w:rsidRDefault="00FD65A0" w:rsidP="00465AE7">
            <w:pPr>
              <w:spacing w:before="120" w:after="120"/>
              <w:jc w:val="right"/>
              <w:rPr>
                <w:color w:val="000000"/>
                <w:sz w:val="20"/>
                <w:szCs w:val="20"/>
              </w:rPr>
            </w:pPr>
            <w:r w:rsidRPr="003B6D56">
              <w:rPr>
                <w:color w:val="000000"/>
                <w:sz w:val="20"/>
                <w:szCs w:val="20"/>
              </w:rPr>
              <w:t>0.438</w:t>
            </w:r>
          </w:p>
        </w:tc>
      </w:tr>
      <w:tr w:rsidR="00FD65A0" w:rsidRPr="003B6D56" w14:paraId="470DFAFD" w14:textId="77777777" w:rsidTr="00465AE7">
        <w:trPr>
          <w:trHeight w:val="300"/>
        </w:trPr>
        <w:tc>
          <w:tcPr>
            <w:tcW w:w="828" w:type="dxa"/>
            <w:shd w:val="clear" w:color="auto" w:fill="auto"/>
            <w:noWrap/>
            <w:vAlign w:val="bottom"/>
            <w:hideMark/>
          </w:tcPr>
          <w:p w14:paraId="12342A86" w14:textId="77777777" w:rsidR="00FD65A0" w:rsidRPr="003B6D56" w:rsidRDefault="00FD65A0" w:rsidP="00465AE7">
            <w:pPr>
              <w:spacing w:before="120" w:after="120"/>
              <w:rPr>
                <w:color w:val="000000"/>
                <w:sz w:val="20"/>
                <w:szCs w:val="20"/>
              </w:rPr>
            </w:pPr>
            <w:r w:rsidRPr="003B6D56">
              <w:rPr>
                <w:color w:val="000000"/>
                <w:sz w:val="20"/>
                <w:szCs w:val="20"/>
              </w:rPr>
              <w:t>S</w:t>
            </w:r>
          </w:p>
        </w:tc>
        <w:tc>
          <w:tcPr>
            <w:tcW w:w="897" w:type="dxa"/>
            <w:shd w:val="clear" w:color="auto" w:fill="auto"/>
            <w:noWrap/>
            <w:vAlign w:val="bottom"/>
            <w:hideMark/>
          </w:tcPr>
          <w:p w14:paraId="76500AE7" w14:textId="0188D223" w:rsidR="00FD65A0" w:rsidRPr="003B6D56" w:rsidRDefault="00FD65A0" w:rsidP="003C62FF">
            <w:pPr>
              <w:spacing w:before="120" w:after="120"/>
              <w:jc w:val="right"/>
              <w:rPr>
                <w:color w:val="000000"/>
                <w:sz w:val="20"/>
                <w:szCs w:val="20"/>
              </w:rPr>
            </w:pPr>
            <w:r w:rsidRPr="003B6D56">
              <w:rPr>
                <w:color w:val="000000"/>
                <w:sz w:val="20"/>
                <w:szCs w:val="20"/>
              </w:rPr>
              <w:t>2</w:t>
            </w:r>
            <w:r w:rsidR="003C62FF">
              <w:rPr>
                <w:color w:val="000000"/>
                <w:sz w:val="20"/>
                <w:szCs w:val="20"/>
              </w:rPr>
              <w:t>.</w:t>
            </w:r>
            <w:r w:rsidRPr="003B6D56">
              <w:rPr>
                <w:color w:val="000000"/>
                <w:sz w:val="20"/>
                <w:szCs w:val="20"/>
              </w:rPr>
              <w:t>000</w:t>
            </w:r>
          </w:p>
        </w:tc>
        <w:tc>
          <w:tcPr>
            <w:tcW w:w="897" w:type="dxa"/>
            <w:shd w:val="clear" w:color="auto" w:fill="auto"/>
            <w:noWrap/>
            <w:vAlign w:val="bottom"/>
            <w:hideMark/>
          </w:tcPr>
          <w:p w14:paraId="77BF30E8" w14:textId="77777777" w:rsidR="00FD65A0" w:rsidRPr="003B6D56" w:rsidRDefault="00FD65A0" w:rsidP="00465AE7">
            <w:pPr>
              <w:spacing w:before="120" w:after="120"/>
              <w:jc w:val="right"/>
              <w:rPr>
                <w:color w:val="000000"/>
                <w:sz w:val="20"/>
                <w:szCs w:val="20"/>
              </w:rPr>
            </w:pPr>
            <w:r w:rsidRPr="003B6D56">
              <w:rPr>
                <w:color w:val="000000"/>
                <w:sz w:val="20"/>
                <w:szCs w:val="20"/>
              </w:rPr>
              <w:t>0.000</w:t>
            </w:r>
          </w:p>
        </w:tc>
        <w:tc>
          <w:tcPr>
            <w:tcW w:w="903" w:type="dxa"/>
            <w:shd w:val="clear" w:color="auto" w:fill="auto"/>
            <w:noWrap/>
            <w:vAlign w:val="bottom"/>
            <w:hideMark/>
          </w:tcPr>
          <w:p w14:paraId="7CC4312F" w14:textId="01354762" w:rsidR="00FD65A0" w:rsidRPr="003B6D56" w:rsidRDefault="00FD65A0" w:rsidP="003C62FF">
            <w:pPr>
              <w:spacing w:before="120" w:after="120"/>
              <w:jc w:val="right"/>
              <w:rPr>
                <w:color w:val="000000"/>
                <w:sz w:val="20"/>
                <w:szCs w:val="20"/>
              </w:rPr>
            </w:pPr>
            <w:r w:rsidRPr="003B6D56">
              <w:rPr>
                <w:color w:val="000000"/>
                <w:sz w:val="20"/>
                <w:szCs w:val="20"/>
              </w:rPr>
              <w:t>1</w:t>
            </w:r>
            <w:r w:rsidR="003C62FF">
              <w:rPr>
                <w:color w:val="000000"/>
                <w:sz w:val="20"/>
                <w:szCs w:val="20"/>
              </w:rPr>
              <w:t>.</w:t>
            </w:r>
            <w:r w:rsidRPr="003B6D56">
              <w:rPr>
                <w:color w:val="000000"/>
                <w:sz w:val="20"/>
                <w:szCs w:val="20"/>
              </w:rPr>
              <w:t>016</w:t>
            </w:r>
          </w:p>
        </w:tc>
        <w:tc>
          <w:tcPr>
            <w:tcW w:w="900" w:type="dxa"/>
            <w:shd w:val="clear" w:color="auto" w:fill="auto"/>
            <w:noWrap/>
            <w:vAlign w:val="bottom"/>
            <w:hideMark/>
          </w:tcPr>
          <w:p w14:paraId="0D9FD07D" w14:textId="77777777" w:rsidR="00FD65A0" w:rsidRPr="003B6D56" w:rsidRDefault="00FD65A0" w:rsidP="00465AE7">
            <w:pPr>
              <w:spacing w:before="120" w:after="120"/>
              <w:jc w:val="right"/>
              <w:rPr>
                <w:color w:val="000000"/>
                <w:sz w:val="20"/>
                <w:szCs w:val="20"/>
              </w:rPr>
            </w:pPr>
            <w:r w:rsidRPr="003B6D56">
              <w:rPr>
                <w:color w:val="000000"/>
                <w:sz w:val="20"/>
                <w:szCs w:val="20"/>
              </w:rPr>
              <w:t>0.509</w:t>
            </w:r>
          </w:p>
        </w:tc>
      </w:tr>
      <w:tr w:rsidR="00FD65A0" w:rsidRPr="003B6D56" w14:paraId="4E4DA496" w14:textId="77777777" w:rsidTr="00465AE7">
        <w:trPr>
          <w:trHeight w:val="300"/>
        </w:trPr>
        <w:tc>
          <w:tcPr>
            <w:tcW w:w="828" w:type="dxa"/>
            <w:shd w:val="clear" w:color="auto" w:fill="auto"/>
            <w:noWrap/>
            <w:vAlign w:val="bottom"/>
            <w:hideMark/>
          </w:tcPr>
          <w:p w14:paraId="7E62A2DC" w14:textId="77777777" w:rsidR="00FD65A0" w:rsidRPr="003B6D56" w:rsidRDefault="00FD65A0" w:rsidP="00465AE7">
            <w:pPr>
              <w:spacing w:before="120" w:after="120"/>
              <w:rPr>
                <w:color w:val="000000"/>
                <w:sz w:val="20"/>
                <w:szCs w:val="20"/>
              </w:rPr>
            </w:pPr>
            <w:r w:rsidRPr="003B6D56">
              <w:rPr>
                <w:color w:val="000000"/>
                <w:sz w:val="20"/>
                <w:szCs w:val="20"/>
              </w:rPr>
              <w:t>G</w:t>
            </w:r>
          </w:p>
        </w:tc>
        <w:tc>
          <w:tcPr>
            <w:tcW w:w="897" w:type="dxa"/>
            <w:shd w:val="clear" w:color="auto" w:fill="auto"/>
            <w:noWrap/>
            <w:vAlign w:val="bottom"/>
            <w:hideMark/>
          </w:tcPr>
          <w:p w14:paraId="290EC1CB" w14:textId="4387A2E0" w:rsidR="00FD65A0" w:rsidRPr="003B6D56" w:rsidRDefault="00FD65A0" w:rsidP="003C62FF">
            <w:pPr>
              <w:spacing w:before="120" w:after="120"/>
              <w:jc w:val="right"/>
              <w:rPr>
                <w:color w:val="000000"/>
                <w:sz w:val="20"/>
                <w:szCs w:val="20"/>
              </w:rPr>
            </w:pPr>
            <w:r w:rsidRPr="003B6D56">
              <w:rPr>
                <w:color w:val="000000"/>
                <w:sz w:val="20"/>
                <w:szCs w:val="20"/>
              </w:rPr>
              <w:t>1</w:t>
            </w:r>
            <w:r w:rsidR="003C62FF">
              <w:rPr>
                <w:color w:val="000000"/>
                <w:sz w:val="20"/>
                <w:szCs w:val="20"/>
              </w:rPr>
              <w:t>.</w:t>
            </w:r>
            <w:r w:rsidRPr="003B6D56">
              <w:rPr>
                <w:color w:val="000000"/>
                <w:sz w:val="20"/>
                <w:szCs w:val="20"/>
              </w:rPr>
              <w:t>333</w:t>
            </w:r>
          </w:p>
        </w:tc>
        <w:tc>
          <w:tcPr>
            <w:tcW w:w="897" w:type="dxa"/>
            <w:shd w:val="clear" w:color="auto" w:fill="auto"/>
            <w:noWrap/>
            <w:vAlign w:val="bottom"/>
            <w:hideMark/>
          </w:tcPr>
          <w:p w14:paraId="362D4391" w14:textId="77777777" w:rsidR="00FD65A0" w:rsidRPr="003B6D56" w:rsidRDefault="00FD65A0" w:rsidP="00465AE7">
            <w:pPr>
              <w:spacing w:before="120" w:after="120"/>
              <w:jc w:val="right"/>
              <w:rPr>
                <w:color w:val="000000"/>
                <w:sz w:val="20"/>
                <w:szCs w:val="20"/>
              </w:rPr>
            </w:pPr>
            <w:r w:rsidRPr="003B6D56">
              <w:rPr>
                <w:color w:val="000000"/>
                <w:sz w:val="20"/>
                <w:szCs w:val="20"/>
              </w:rPr>
              <w:t>0.000</w:t>
            </w:r>
          </w:p>
        </w:tc>
        <w:tc>
          <w:tcPr>
            <w:tcW w:w="903" w:type="dxa"/>
            <w:shd w:val="clear" w:color="auto" w:fill="auto"/>
            <w:noWrap/>
            <w:vAlign w:val="bottom"/>
            <w:hideMark/>
          </w:tcPr>
          <w:p w14:paraId="0185DBB6" w14:textId="77777777" w:rsidR="00FD65A0" w:rsidRPr="003B6D56" w:rsidRDefault="00FD65A0" w:rsidP="00465AE7">
            <w:pPr>
              <w:spacing w:before="120" w:after="120"/>
              <w:jc w:val="right"/>
              <w:rPr>
                <w:color w:val="000000"/>
                <w:sz w:val="20"/>
                <w:szCs w:val="20"/>
              </w:rPr>
            </w:pPr>
            <w:r w:rsidRPr="003B6D56">
              <w:rPr>
                <w:color w:val="000000"/>
                <w:sz w:val="20"/>
                <w:szCs w:val="20"/>
              </w:rPr>
              <w:t>0.191</w:t>
            </w:r>
          </w:p>
        </w:tc>
        <w:tc>
          <w:tcPr>
            <w:tcW w:w="900" w:type="dxa"/>
            <w:shd w:val="clear" w:color="auto" w:fill="auto"/>
            <w:noWrap/>
            <w:vAlign w:val="bottom"/>
            <w:hideMark/>
          </w:tcPr>
          <w:p w14:paraId="074A73EB" w14:textId="77777777" w:rsidR="00FD65A0" w:rsidRPr="003B6D56" w:rsidRDefault="00FD65A0" w:rsidP="00465AE7">
            <w:pPr>
              <w:spacing w:before="120" w:after="120"/>
              <w:jc w:val="right"/>
              <w:rPr>
                <w:color w:val="000000"/>
                <w:sz w:val="20"/>
                <w:szCs w:val="20"/>
              </w:rPr>
            </w:pPr>
            <w:r w:rsidRPr="003B6D56">
              <w:rPr>
                <w:color w:val="000000"/>
                <w:sz w:val="20"/>
                <w:szCs w:val="20"/>
              </w:rPr>
              <w:t>0.349</w:t>
            </w:r>
          </w:p>
        </w:tc>
      </w:tr>
      <w:tr w:rsidR="00FD65A0" w:rsidRPr="003B6D56" w14:paraId="16EF64ED" w14:textId="77777777" w:rsidTr="00465AE7">
        <w:trPr>
          <w:trHeight w:val="300"/>
        </w:trPr>
        <w:tc>
          <w:tcPr>
            <w:tcW w:w="828" w:type="dxa"/>
            <w:shd w:val="clear" w:color="auto" w:fill="auto"/>
            <w:noWrap/>
            <w:vAlign w:val="bottom"/>
            <w:hideMark/>
          </w:tcPr>
          <w:p w14:paraId="13AFE5E6" w14:textId="77777777" w:rsidR="00FD65A0" w:rsidRPr="003B6D56" w:rsidRDefault="00FD65A0" w:rsidP="00465AE7">
            <w:pPr>
              <w:spacing w:before="120" w:after="120"/>
              <w:rPr>
                <w:color w:val="000000"/>
                <w:sz w:val="20"/>
                <w:szCs w:val="20"/>
              </w:rPr>
            </w:pPr>
            <w:r w:rsidRPr="003B6D56">
              <w:rPr>
                <w:color w:val="000000"/>
                <w:sz w:val="20"/>
                <w:szCs w:val="20"/>
              </w:rPr>
              <w:t>SIZE</w:t>
            </w:r>
          </w:p>
        </w:tc>
        <w:tc>
          <w:tcPr>
            <w:tcW w:w="897" w:type="dxa"/>
            <w:shd w:val="clear" w:color="auto" w:fill="auto"/>
            <w:noWrap/>
            <w:vAlign w:val="bottom"/>
            <w:hideMark/>
          </w:tcPr>
          <w:p w14:paraId="5E136ACA" w14:textId="6200C246" w:rsidR="00FD65A0" w:rsidRPr="003B6D56" w:rsidRDefault="00FD65A0" w:rsidP="003C62FF">
            <w:pPr>
              <w:spacing w:before="120" w:after="120"/>
              <w:jc w:val="right"/>
              <w:rPr>
                <w:color w:val="000000"/>
                <w:sz w:val="20"/>
                <w:szCs w:val="20"/>
              </w:rPr>
            </w:pPr>
            <w:r w:rsidRPr="003B6D56">
              <w:rPr>
                <w:color w:val="000000"/>
                <w:sz w:val="20"/>
                <w:szCs w:val="20"/>
              </w:rPr>
              <w:t>14</w:t>
            </w:r>
            <w:r w:rsidR="003C62FF">
              <w:rPr>
                <w:color w:val="000000"/>
                <w:sz w:val="20"/>
                <w:szCs w:val="20"/>
              </w:rPr>
              <w:t>.</w:t>
            </w:r>
            <w:r w:rsidRPr="003B6D56">
              <w:rPr>
                <w:color w:val="000000"/>
                <w:sz w:val="20"/>
                <w:szCs w:val="20"/>
              </w:rPr>
              <w:t>701</w:t>
            </w:r>
          </w:p>
        </w:tc>
        <w:tc>
          <w:tcPr>
            <w:tcW w:w="897" w:type="dxa"/>
            <w:shd w:val="clear" w:color="auto" w:fill="auto"/>
            <w:noWrap/>
            <w:vAlign w:val="bottom"/>
            <w:hideMark/>
          </w:tcPr>
          <w:p w14:paraId="29F4B71A" w14:textId="2E9518F5" w:rsidR="00FD65A0" w:rsidRPr="003B6D56" w:rsidRDefault="00FD65A0" w:rsidP="003C62FF">
            <w:pPr>
              <w:spacing w:before="120" w:after="120"/>
              <w:jc w:val="right"/>
              <w:rPr>
                <w:color w:val="000000"/>
                <w:sz w:val="20"/>
                <w:szCs w:val="20"/>
              </w:rPr>
            </w:pPr>
            <w:r w:rsidRPr="003B6D56">
              <w:rPr>
                <w:color w:val="000000"/>
                <w:sz w:val="20"/>
                <w:szCs w:val="20"/>
              </w:rPr>
              <w:t>11</w:t>
            </w:r>
            <w:r w:rsidR="003C62FF">
              <w:rPr>
                <w:color w:val="000000"/>
                <w:sz w:val="20"/>
                <w:szCs w:val="20"/>
              </w:rPr>
              <w:t>.</w:t>
            </w:r>
            <w:r w:rsidRPr="003B6D56">
              <w:rPr>
                <w:color w:val="000000"/>
                <w:sz w:val="20"/>
                <w:szCs w:val="20"/>
              </w:rPr>
              <w:t>125</w:t>
            </w:r>
          </w:p>
        </w:tc>
        <w:tc>
          <w:tcPr>
            <w:tcW w:w="903" w:type="dxa"/>
            <w:shd w:val="clear" w:color="auto" w:fill="auto"/>
            <w:noWrap/>
            <w:vAlign w:val="bottom"/>
            <w:hideMark/>
          </w:tcPr>
          <w:p w14:paraId="2C21339E" w14:textId="6276793F" w:rsidR="00FD65A0" w:rsidRPr="003B6D56" w:rsidRDefault="00FD65A0" w:rsidP="003C62FF">
            <w:pPr>
              <w:spacing w:before="120" w:after="120"/>
              <w:jc w:val="right"/>
              <w:rPr>
                <w:color w:val="000000"/>
                <w:sz w:val="20"/>
                <w:szCs w:val="20"/>
              </w:rPr>
            </w:pPr>
            <w:r w:rsidRPr="003B6D56">
              <w:rPr>
                <w:color w:val="000000"/>
                <w:sz w:val="20"/>
                <w:szCs w:val="20"/>
              </w:rPr>
              <w:t>12</w:t>
            </w:r>
            <w:r w:rsidR="003C62FF">
              <w:rPr>
                <w:color w:val="000000"/>
                <w:sz w:val="20"/>
                <w:szCs w:val="20"/>
              </w:rPr>
              <w:t>.</w:t>
            </w:r>
            <w:r w:rsidRPr="003B6D56">
              <w:rPr>
                <w:color w:val="000000"/>
                <w:sz w:val="20"/>
                <w:szCs w:val="20"/>
              </w:rPr>
              <w:t>384</w:t>
            </w:r>
          </w:p>
        </w:tc>
        <w:tc>
          <w:tcPr>
            <w:tcW w:w="900" w:type="dxa"/>
            <w:shd w:val="clear" w:color="auto" w:fill="auto"/>
            <w:noWrap/>
            <w:vAlign w:val="bottom"/>
            <w:hideMark/>
          </w:tcPr>
          <w:p w14:paraId="10C5FFB4" w14:textId="77777777" w:rsidR="00FD65A0" w:rsidRPr="003B6D56" w:rsidRDefault="00FD65A0" w:rsidP="00465AE7">
            <w:pPr>
              <w:spacing w:before="120" w:after="120"/>
              <w:jc w:val="right"/>
              <w:rPr>
                <w:color w:val="000000"/>
                <w:sz w:val="20"/>
                <w:szCs w:val="20"/>
              </w:rPr>
            </w:pPr>
            <w:r w:rsidRPr="003B6D56">
              <w:rPr>
                <w:color w:val="000000"/>
                <w:sz w:val="20"/>
                <w:szCs w:val="20"/>
              </w:rPr>
              <w:t>0.634</w:t>
            </w:r>
          </w:p>
        </w:tc>
      </w:tr>
      <w:tr w:rsidR="00FD65A0" w:rsidRPr="003B6D56" w14:paraId="4F122AA0" w14:textId="77777777" w:rsidTr="00465AE7">
        <w:trPr>
          <w:trHeight w:val="300"/>
        </w:trPr>
        <w:tc>
          <w:tcPr>
            <w:tcW w:w="828" w:type="dxa"/>
            <w:shd w:val="clear" w:color="auto" w:fill="auto"/>
            <w:noWrap/>
            <w:vAlign w:val="bottom"/>
            <w:hideMark/>
          </w:tcPr>
          <w:p w14:paraId="78FF84FA" w14:textId="77777777" w:rsidR="00FD65A0" w:rsidRPr="003B6D56" w:rsidRDefault="00FD65A0" w:rsidP="00465AE7">
            <w:pPr>
              <w:spacing w:before="120" w:after="120"/>
              <w:rPr>
                <w:color w:val="000000"/>
                <w:sz w:val="20"/>
                <w:szCs w:val="20"/>
              </w:rPr>
            </w:pPr>
            <w:r w:rsidRPr="003B6D56">
              <w:rPr>
                <w:color w:val="000000"/>
                <w:sz w:val="20"/>
                <w:szCs w:val="20"/>
              </w:rPr>
              <w:t>LEV</w:t>
            </w:r>
          </w:p>
        </w:tc>
        <w:tc>
          <w:tcPr>
            <w:tcW w:w="897" w:type="dxa"/>
            <w:shd w:val="clear" w:color="auto" w:fill="auto"/>
            <w:noWrap/>
            <w:vAlign w:val="bottom"/>
            <w:hideMark/>
          </w:tcPr>
          <w:p w14:paraId="7D9D6374" w14:textId="77777777" w:rsidR="00FD65A0" w:rsidRPr="003B6D56" w:rsidRDefault="00FD65A0" w:rsidP="00465AE7">
            <w:pPr>
              <w:spacing w:before="120" w:after="120"/>
              <w:jc w:val="right"/>
              <w:rPr>
                <w:color w:val="000000"/>
                <w:sz w:val="20"/>
                <w:szCs w:val="20"/>
              </w:rPr>
            </w:pPr>
            <w:r w:rsidRPr="003B6D56">
              <w:rPr>
                <w:color w:val="000000"/>
                <w:sz w:val="20"/>
                <w:szCs w:val="20"/>
              </w:rPr>
              <w:t>0.905</w:t>
            </w:r>
          </w:p>
        </w:tc>
        <w:tc>
          <w:tcPr>
            <w:tcW w:w="897" w:type="dxa"/>
            <w:shd w:val="clear" w:color="auto" w:fill="auto"/>
            <w:noWrap/>
            <w:vAlign w:val="bottom"/>
            <w:hideMark/>
          </w:tcPr>
          <w:p w14:paraId="19FD4411" w14:textId="77777777" w:rsidR="00FD65A0" w:rsidRPr="003B6D56" w:rsidRDefault="00FD65A0" w:rsidP="00465AE7">
            <w:pPr>
              <w:spacing w:before="120" w:after="120"/>
              <w:jc w:val="right"/>
              <w:rPr>
                <w:color w:val="000000"/>
                <w:sz w:val="20"/>
                <w:szCs w:val="20"/>
              </w:rPr>
            </w:pPr>
            <w:r w:rsidRPr="003B6D56">
              <w:rPr>
                <w:color w:val="000000"/>
                <w:sz w:val="20"/>
                <w:szCs w:val="20"/>
              </w:rPr>
              <w:t>0.007</w:t>
            </w:r>
          </w:p>
        </w:tc>
        <w:tc>
          <w:tcPr>
            <w:tcW w:w="903" w:type="dxa"/>
            <w:shd w:val="clear" w:color="auto" w:fill="auto"/>
            <w:noWrap/>
            <w:vAlign w:val="bottom"/>
            <w:hideMark/>
          </w:tcPr>
          <w:p w14:paraId="2428FB72" w14:textId="77777777" w:rsidR="00FD65A0" w:rsidRPr="003B6D56" w:rsidRDefault="00FD65A0" w:rsidP="00465AE7">
            <w:pPr>
              <w:spacing w:before="120" w:after="120"/>
              <w:jc w:val="right"/>
              <w:rPr>
                <w:color w:val="000000"/>
                <w:sz w:val="20"/>
                <w:szCs w:val="20"/>
              </w:rPr>
            </w:pPr>
            <w:r w:rsidRPr="003B6D56">
              <w:rPr>
                <w:color w:val="000000"/>
                <w:sz w:val="20"/>
                <w:szCs w:val="20"/>
              </w:rPr>
              <w:t>0.452</w:t>
            </w:r>
          </w:p>
        </w:tc>
        <w:tc>
          <w:tcPr>
            <w:tcW w:w="900" w:type="dxa"/>
            <w:shd w:val="clear" w:color="auto" w:fill="auto"/>
            <w:noWrap/>
            <w:vAlign w:val="bottom"/>
            <w:hideMark/>
          </w:tcPr>
          <w:p w14:paraId="534311E4" w14:textId="77777777" w:rsidR="00FD65A0" w:rsidRPr="003B6D56" w:rsidRDefault="00FD65A0" w:rsidP="00465AE7">
            <w:pPr>
              <w:spacing w:before="120" w:after="120"/>
              <w:jc w:val="right"/>
              <w:rPr>
                <w:color w:val="000000"/>
                <w:sz w:val="20"/>
                <w:szCs w:val="20"/>
              </w:rPr>
            </w:pPr>
            <w:r w:rsidRPr="003B6D56">
              <w:rPr>
                <w:color w:val="000000"/>
                <w:sz w:val="20"/>
                <w:szCs w:val="20"/>
              </w:rPr>
              <w:t>0.205</w:t>
            </w:r>
          </w:p>
        </w:tc>
      </w:tr>
    </w:tbl>
    <w:p w14:paraId="06FA0AF4" w14:textId="77777777" w:rsidR="007762D4" w:rsidRPr="007762D4" w:rsidRDefault="007762D4" w:rsidP="007762D4">
      <w:pPr>
        <w:tabs>
          <w:tab w:val="right" w:leader="hyphen" w:pos="9072"/>
        </w:tabs>
        <w:spacing w:before="120" w:after="120"/>
        <w:jc w:val="both"/>
        <w:rPr>
          <w:sz w:val="20"/>
          <w:szCs w:val="20"/>
        </w:rPr>
      </w:pPr>
      <w:r w:rsidRPr="007762D4">
        <w:rPr>
          <w:color w:val="000000"/>
          <w:sz w:val="20"/>
          <w:szCs w:val="20"/>
        </w:rPr>
        <w:t>Source: Analysis results from Smart PLS</w:t>
      </w:r>
    </w:p>
    <w:p w14:paraId="4182E96A" w14:textId="2EA4F5D1" w:rsidR="0036741D" w:rsidRPr="0036741D" w:rsidRDefault="00C22F44" w:rsidP="00046D27">
      <w:pPr>
        <w:tabs>
          <w:tab w:val="right" w:leader="hyphen" w:pos="9072"/>
        </w:tabs>
        <w:spacing w:before="120" w:after="120"/>
        <w:ind w:firstLine="567"/>
        <w:jc w:val="both"/>
        <w:rPr>
          <w:sz w:val="22"/>
          <w:szCs w:val="22"/>
        </w:rPr>
      </w:pPr>
      <w:r w:rsidRPr="00C22F44">
        <w:rPr>
          <w:sz w:val="22"/>
          <w:szCs w:val="22"/>
        </w:rPr>
        <w:t xml:space="preserve">Accordingly, the average return on assets (ROA) of the companies in the sample is 0.080, ranging from a minimum of 0.011 to a maximum of 0.536. On average, companies listed on the Vietnamese stock market have 5.786 board members, </w:t>
      </w:r>
      <w:r w:rsidR="008759D1" w:rsidRPr="008759D1">
        <w:rPr>
          <w:color w:val="FF0000"/>
          <w:sz w:val="22"/>
          <w:szCs w:val="22"/>
        </w:rPr>
        <w:t>lower than the maximum of 11 members prescribed by law</w:t>
      </w:r>
      <w:r w:rsidRPr="00C22F44">
        <w:rPr>
          <w:sz w:val="22"/>
          <w:szCs w:val="22"/>
        </w:rPr>
        <w:t xml:space="preserve">. </w:t>
      </w:r>
      <w:r w:rsidR="00B508A6" w:rsidRPr="00B508A6">
        <w:rPr>
          <w:color w:val="FF0000"/>
          <w:sz w:val="22"/>
          <w:szCs w:val="22"/>
        </w:rPr>
        <w:t xml:space="preserve">This corresponds to the characteristics of Vietnamese listed companies, which are generally small in scale, with a charter capital of merely VND 30 billion (around USD 1.2 million). </w:t>
      </w:r>
      <w:r w:rsidRPr="00C22F44">
        <w:rPr>
          <w:sz w:val="22"/>
          <w:szCs w:val="22"/>
        </w:rPr>
        <w:t xml:space="preserve">The level of </w:t>
      </w:r>
      <w:r w:rsidR="0008169C">
        <w:rPr>
          <w:sz w:val="22"/>
          <w:szCs w:val="22"/>
        </w:rPr>
        <w:t xml:space="preserve">ESG </w:t>
      </w:r>
      <w:r w:rsidRPr="00C22F44">
        <w:rPr>
          <w:sz w:val="22"/>
          <w:szCs w:val="22"/>
        </w:rPr>
        <w:t>disclosure is highest in the social aspect (S) (average 1.016), followed by the environmental aspect (E) 0.440 and the governance aspect (S) 0.191.</w:t>
      </w:r>
    </w:p>
    <w:p w14:paraId="564158E1" w14:textId="77777777" w:rsidR="00046D27" w:rsidRPr="00BA7662" w:rsidRDefault="00046D27" w:rsidP="00046D27">
      <w:pPr>
        <w:tabs>
          <w:tab w:val="left" w:pos="567"/>
          <w:tab w:val="right" w:leader="hyphen" w:pos="9072"/>
        </w:tabs>
        <w:spacing w:before="120" w:after="120"/>
        <w:jc w:val="both"/>
        <w:rPr>
          <w:b/>
          <w:sz w:val="22"/>
          <w:szCs w:val="22"/>
        </w:rPr>
      </w:pPr>
      <w:r w:rsidRPr="00BA7662">
        <w:rPr>
          <w:b/>
          <w:sz w:val="22"/>
          <w:szCs w:val="22"/>
          <w:lang w:val="vi-VN"/>
        </w:rPr>
        <w:t xml:space="preserve">4.2. </w:t>
      </w:r>
      <w:r w:rsidR="00BA7662">
        <w:rPr>
          <w:b/>
          <w:sz w:val="22"/>
          <w:szCs w:val="22"/>
        </w:rPr>
        <w:t>Evaluation of measurement model</w:t>
      </w:r>
    </w:p>
    <w:p w14:paraId="23FB939F" w14:textId="4D07F2C0" w:rsidR="0036741D" w:rsidRDefault="00F422E4" w:rsidP="00046D27">
      <w:pPr>
        <w:tabs>
          <w:tab w:val="right" w:leader="hyphen" w:pos="9072"/>
        </w:tabs>
        <w:spacing w:before="120" w:after="120"/>
        <w:jc w:val="both"/>
        <w:rPr>
          <w:sz w:val="22"/>
          <w:szCs w:val="22"/>
        </w:rPr>
      </w:pPr>
      <w:bookmarkStart w:id="18" w:name="OLE_LINK14"/>
      <w:bookmarkStart w:id="19" w:name="OLE_LINK15"/>
      <w:r w:rsidRPr="00F422E4">
        <w:rPr>
          <w:color w:val="EE0000"/>
          <w:sz w:val="22"/>
          <w:szCs w:val="22"/>
        </w:rPr>
        <w:t>Formative measurement model</w:t>
      </w:r>
      <w:bookmarkEnd w:id="18"/>
      <w:bookmarkEnd w:id="19"/>
      <w:r w:rsidRPr="00F422E4">
        <w:rPr>
          <w:color w:val="EE0000"/>
          <w:sz w:val="22"/>
          <w:szCs w:val="22"/>
        </w:rPr>
        <w:t xml:space="preserve"> is evaluated by convergent validity, </w:t>
      </w:r>
      <w:proofErr w:type="spellStart"/>
      <w:r w:rsidRPr="00F422E4">
        <w:rPr>
          <w:color w:val="EE0000"/>
          <w:sz w:val="22"/>
          <w:szCs w:val="22"/>
        </w:rPr>
        <w:t>collinearity</w:t>
      </w:r>
      <w:proofErr w:type="spellEnd"/>
      <w:r w:rsidRPr="00F422E4">
        <w:rPr>
          <w:color w:val="EE0000"/>
          <w:sz w:val="22"/>
          <w:szCs w:val="22"/>
        </w:rPr>
        <w:t xml:space="preserve"> between indicators, </w:t>
      </w:r>
      <w:proofErr w:type="spellStart"/>
      <w:r w:rsidRPr="00F422E4">
        <w:rPr>
          <w:color w:val="EE0000"/>
          <w:sz w:val="22"/>
          <w:szCs w:val="22"/>
        </w:rPr>
        <w:t>significane</w:t>
      </w:r>
      <w:proofErr w:type="spellEnd"/>
      <w:r w:rsidRPr="00F422E4">
        <w:rPr>
          <w:color w:val="EE0000"/>
          <w:sz w:val="22"/>
          <w:szCs w:val="22"/>
        </w:rPr>
        <w:t xml:space="preserve"> and relevance or outer weights</w:t>
      </w:r>
      <w:r>
        <w:rPr>
          <w:color w:val="EE0000"/>
          <w:sz w:val="22"/>
          <w:szCs w:val="22"/>
        </w:rPr>
        <w:t xml:space="preserve">. Because BSIZE, FP indicators are the single variables, </w:t>
      </w:r>
      <w:r w:rsidR="00B54232">
        <w:rPr>
          <w:color w:val="EE0000"/>
          <w:sz w:val="22"/>
          <w:szCs w:val="22"/>
        </w:rPr>
        <w:t xml:space="preserve">we measure </w:t>
      </w:r>
      <w:proofErr w:type="spellStart"/>
      <w:r w:rsidR="00B54232" w:rsidRPr="00F422E4">
        <w:rPr>
          <w:color w:val="EE0000"/>
          <w:sz w:val="22"/>
          <w:szCs w:val="22"/>
        </w:rPr>
        <w:t>significane</w:t>
      </w:r>
      <w:proofErr w:type="spellEnd"/>
      <w:r w:rsidR="00B54232" w:rsidRPr="00F422E4">
        <w:rPr>
          <w:color w:val="EE0000"/>
          <w:sz w:val="22"/>
          <w:szCs w:val="22"/>
        </w:rPr>
        <w:t xml:space="preserve"> and </w:t>
      </w:r>
      <w:r w:rsidR="00B54232" w:rsidRPr="00F422E4">
        <w:rPr>
          <w:color w:val="EE0000"/>
          <w:sz w:val="22"/>
          <w:szCs w:val="22"/>
        </w:rPr>
        <w:lastRenderedPageBreak/>
        <w:t>relevance o</w:t>
      </w:r>
      <w:r w:rsidR="00B54232">
        <w:rPr>
          <w:color w:val="EE0000"/>
          <w:sz w:val="22"/>
          <w:szCs w:val="22"/>
        </w:rPr>
        <w:t xml:space="preserve">f </w:t>
      </w:r>
      <w:r w:rsidR="00B54232" w:rsidRPr="00F422E4">
        <w:rPr>
          <w:color w:val="EE0000"/>
          <w:sz w:val="22"/>
          <w:szCs w:val="22"/>
        </w:rPr>
        <w:t>outer weights</w:t>
      </w:r>
      <w:r w:rsidR="00B54232">
        <w:rPr>
          <w:color w:val="EE0000"/>
          <w:sz w:val="22"/>
          <w:szCs w:val="22"/>
        </w:rPr>
        <w:t>.</w:t>
      </w:r>
      <w:r w:rsidRPr="00F422E4">
        <w:rPr>
          <w:color w:val="EE0000"/>
          <w:sz w:val="22"/>
          <w:szCs w:val="22"/>
        </w:rPr>
        <w:t xml:space="preserve"> </w:t>
      </w:r>
      <w:r w:rsidR="00C22F44" w:rsidRPr="00C22F44">
        <w:rPr>
          <w:sz w:val="22"/>
          <w:szCs w:val="22"/>
        </w:rPr>
        <w:t xml:space="preserve">According to Table 2, the </w:t>
      </w:r>
      <w:r w:rsidR="00B54232" w:rsidRPr="00B54232">
        <w:rPr>
          <w:color w:val="000000" w:themeColor="text1"/>
          <w:sz w:val="22"/>
          <w:szCs w:val="22"/>
        </w:rPr>
        <w:t xml:space="preserve">outer weights </w:t>
      </w:r>
      <w:r w:rsidR="00B54232">
        <w:rPr>
          <w:sz w:val="22"/>
          <w:szCs w:val="22"/>
        </w:rPr>
        <w:t xml:space="preserve">loading </w:t>
      </w:r>
      <w:r w:rsidR="00C22F44" w:rsidRPr="00C22F44">
        <w:rPr>
          <w:sz w:val="22"/>
          <w:szCs w:val="22"/>
        </w:rPr>
        <w:t>of variables E, S, G are 0.570, 0.849 and 0.623 respectively. In addition, the bootstrapping results show that these variables are all statistically significant at the 1% level, demonstrating good variable quality.</w:t>
      </w:r>
    </w:p>
    <w:p w14:paraId="055AF31D" w14:textId="64C2A3D8" w:rsidR="0036741D" w:rsidRPr="00B54232" w:rsidRDefault="0036741D" w:rsidP="0038003B">
      <w:pPr>
        <w:pStyle w:val="Caption"/>
        <w:keepNext/>
        <w:spacing w:before="240" w:after="120"/>
        <w:rPr>
          <w:color w:val="EE0000"/>
          <w:sz w:val="20"/>
          <w:szCs w:val="20"/>
        </w:rPr>
      </w:pPr>
      <w:proofErr w:type="gramStart"/>
      <w:r w:rsidRPr="003B6D56">
        <w:rPr>
          <w:b/>
          <w:sz w:val="20"/>
          <w:szCs w:val="20"/>
        </w:rPr>
        <w:t xml:space="preserve">Table </w:t>
      </w:r>
      <w:r w:rsidRPr="003B6D56">
        <w:rPr>
          <w:b/>
          <w:sz w:val="20"/>
          <w:szCs w:val="20"/>
        </w:rPr>
        <w:fldChar w:fldCharType="begin"/>
      </w:r>
      <w:r w:rsidRPr="003B6D56">
        <w:rPr>
          <w:b/>
          <w:sz w:val="20"/>
          <w:szCs w:val="20"/>
        </w:rPr>
        <w:instrText xml:space="preserve"> SEQ Bảng_ \* ARABIC </w:instrText>
      </w:r>
      <w:r w:rsidRPr="003B6D56">
        <w:rPr>
          <w:b/>
          <w:sz w:val="20"/>
          <w:szCs w:val="20"/>
        </w:rPr>
        <w:fldChar w:fldCharType="separate"/>
      </w:r>
      <w:r w:rsidR="00574AD0">
        <w:rPr>
          <w:b/>
          <w:noProof/>
          <w:sz w:val="20"/>
          <w:szCs w:val="20"/>
        </w:rPr>
        <w:t>2</w:t>
      </w:r>
      <w:r w:rsidR="007051BC">
        <w:rPr>
          <w:b/>
          <w:noProof/>
          <w:sz w:val="20"/>
          <w:szCs w:val="20"/>
        </w:rPr>
        <w:t>.</w:t>
      </w:r>
      <w:proofErr w:type="gramEnd"/>
      <w:r w:rsidR="00574AD0">
        <w:rPr>
          <w:b/>
          <w:noProof/>
          <w:sz w:val="20"/>
          <w:szCs w:val="20"/>
        </w:rPr>
        <w:t xml:space="preserve"> </w:t>
      </w:r>
      <w:r w:rsidRPr="003B6D56">
        <w:rPr>
          <w:b/>
          <w:sz w:val="20"/>
          <w:szCs w:val="20"/>
        </w:rPr>
        <w:fldChar w:fldCharType="end"/>
      </w:r>
      <w:r w:rsidRPr="003B6D56">
        <w:rPr>
          <w:b/>
          <w:sz w:val="20"/>
          <w:szCs w:val="20"/>
        </w:rPr>
        <w:t xml:space="preserve"> </w:t>
      </w:r>
      <w:proofErr w:type="gramStart"/>
      <w:r w:rsidR="00B54232" w:rsidRPr="00B54232">
        <w:rPr>
          <w:color w:val="EE0000"/>
          <w:sz w:val="20"/>
          <w:szCs w:val="20"/>
        </w:rPr>
        <w:t>Significance and relevance of outer weights</w:t>
      </w:r>
      <w:r w:rsidR="007051BC" w:rsidRPr="00B54232">
        <w:rPr>
          <w:color w:val="EE0000"/>
          <w:sz w:val="20"/>
          <w:szCs w:val="20"/>
        </w:rPr>
        <w:t>.</w:t>
      </w:r>
      <w:proofErr w:type="gramEnd"/>
    </w:p>
    <w:tbl>
      <w:tblPr>
        <w:tblW w:w="4612" w:type="dxa"/>
        <w:tblInd w:w="93" w:type="dxa"/>
        <w:tblLook w:val="04A0" w:firstRow="1" w:lastRow="0" w:firstColumn="1" w:lastColumn="0" w:noHBand="0" w:noVBand="1"/>
      </w:tblPr>
      <w:tblGrid>
        <w:gridCol w:w="865"/>
        <w:gridCol w:w="865"/>
        <w:gridCol w:w="921"/>
        <w:gridCol w:w="574"/>
        <w:gridCol w:w="669"/>
        <w:gridCol w:w="718"/>
      </w:tblGrid>
      <w:tr w:rsidR="005265AE" w:rsidRPr="003B6D56" w14:paraId="4C657369" w14:textId="77777777" w:rsidTr="005265AE">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436E" w14:textId="77777777" w:rsidR="00BA7662" w:rsidRPr="003B6D56" w:rsidRDefault="00BA7662" w:rsidP="00433F65">
            <w:pPr>
              <w:spacing w:before="120" w:after="120"/>
              <w:rPr>
                <w:b/>
                <w:bCs/>
                <w:color w:val="000000"/>
                <w:sz w:val="20"/>
                <w:szCs w:val="20"/>
              </w:rPr>
            </w:pPr>
            <w:r w:rsidRPr="003B6D56">
              <w:rPr>
                <w:b/>
                <w:bCs/>
                <w:color w:val="000000"/>
                <w:sz w:val="20"/>
                <w:szCs w:val="20"/>
              </w:rPr>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C8086AA"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BSIZE</w:t>
            </w:r>
          </w:p>
        </w:tc>
        <w:tc>
          <w:tcPr>
            <w:tcW w:w="921" w:type="dxa"/>
            <w:tcBorders>
              <w:top w:val="single" w:sz="4" w:space="0" w:color="auto"/>
              <w:left w:val="nil"/>
              <w:bottom w:val="single" w:sz="4" w:space="0" w:color="auto"/>
              <w:right w:val="single" w:sz="4" w:space="0" w:color="auto"/>
            </w:tcBorders>
            <w:shd w:val="clear" w:color="auto" w:fill="auto"/>
            <w:noWrap/>
            <w:vAlign w:val="bottom"/>
            <w:hideMark/>
          </w:tcPr>
          <w:p w14:paraId="09BAE7FA"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ESG</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14:paraId="6262087B"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65EC4C65"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353BA63E" w14:textId="77777777" w:rsidR="00BA7662" w:rsidRPr="003B6D56" w:rsidRDefault="00BA7662" w:rsidP="00F2528F">
            <w:pPr>
              <w:spacing w:before="120" w:after="120"/>
              <w:jc w:val="center"/>
              <w:rPr>
                <w:b/>
                <w:bCs/>
                <w:color w:val="000000"/>
                <w:sz w:val="20"/>
                <w:szCs w:val="20"/>
              </w:rPr>
            </w:pPr>
            <w:r w:rsidRPr="003B6D56">
              <w:rPr>
                <w:b/>
                <w:bCs/>
                <w:color w:val="000000"/>
                <w:sz w:val="20"/>
                <w:szCs w:val="20"/>
              </w:rPr>
              <w:t>SIZE</w:t>
            </w:r>
          </w:p>
        </w:tc>
      </w:tr>
      <w:tr w:rsidR="005265AE" w:rsidRPr="003B6D56" w14:paraId="21898E54"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B0969A5" w14:textId="77777777" w:rsidR="00BA7662" w:rsidRPr="003B6D56" w:rsidRDefault="00BA7662" w:rsidP="00433F65">
            <w:pPr>
              <w:spacing w:before="120" w:after="120"/>
              <w:rPr>
                <w:b/>
                <w:bCs/>
                <w:color w:val="000000"/>
                <w:sz w:val="20"/>
                <w:szCs w:val="20"/>
              </w:rPr>
            </w:pPr>
            <w:r w:rsidRPr="003B6D56">
              <w:rPr>
                <w:b/>
                <w:bCs/>
                <w:color w:val="000000"/>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6326CB5C" w14:textId="77777777" w:rsidR="00BA7662" w:rsidRPr="003B6D56" w:rsidRDefault="00BA7662" w:rsidP="00033672">
            <w:pPr>
              <w:spacing w:before="120" w:after="120"/>
              <w:jc w:val="right"/>
              <w:rPr>
                <w:color w:val="000000"/>
                <w:sz w:val="20"/>
                <w:szCs w:val="20"/>
              </w:rPr>
            </w:pPr>
            <w:r w:rsidRPr="003B6D56">
              <w:rPr>
                <w:color w:val="000000"/>
                <w:sz w:val="20"/>
                <w:szCs w:val="20"/>
              </w:rPr>
              <w:t>1</w:t>
            </w:r>
          </w:p>
        </w:tc>
        <w:tc>
          <w:tcPr>
            <w:tcW w:w="921" w:type="dxa"/>
            <w:tcBorders>
              <w:top w:val="nil"/>
              <w:left w:val="nil"/>
              <w:bottom w:val="single" w:sz="4" w:space="0" w:color="auto"/>
              <w:right w:val="single" w:sz="4" w:space="0" w:color="auto"/>
            </w:tcBorders>
            <w:shd w:val="clear" w:color="auto" w:fill="auto"/>
            <w:noWrap/>
            <w:vAlign w:val="bottom"/>
            <w:hideMark/>
          </w:tcPr>
          <w:p w14:paraId="62548254"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574" w:type="dxa"/>
            <w:tcBorders>
              <w:top w:val="nil"/>
              <w:left w:val="nil"/>
              <w:bottom w:val="single" w:sz="4" w:space="0" w:color="auto"/>
              <w:right w:val="single" w:sz="4" w:space="0" w:color="auto"/>
            </w:tcBorders>
            <w:shd w:val="clear" w:color="auto" w:fill="auto"/>
            <w:noWrap/>
            <w:vAlign w:val="bottom"/>
            <w:hideMark/>
          </w:tcPr>
          <w:p w14:paraId="5F18BEA9"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535733AF"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536695B1"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r>
      <w:tr w:rsidR="005265AE" w:rsidRPr="003B6D56" w14:paraId="79DE8390"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525FCFD" w14:textId="77777777" w:rsidR="00BA7662" w:rsidRPr="003B6D56" w:rsidRDefault="00BA7662" w:rsidP="00433F65">
            <w:pPr>
              <w:spacing w:before="120" w:after="120"/>
              <w:rPr>
                <w:b/>
                <w:bCs/>
                <w:color w:val="000000"/>
                <w:sz w:val="20"/>
                <w:szCs w:val="20"/>
              </w:rPr>
            </w:pPr>
            <w:r w:rsidRPr="003B6D56">
              <w:rPr>
                <w:b/>
                <w:bCs/>
                <w:color w:val="000000"/>
                <w:sz w:val="20"/>
                <w:szCs w:val="20"/>
              </w:rPr>
              <w:t>E</w:t>
            </w:r>
          </w:p>
        </w:tc>
        <w:tc>
          <w:tcPr>
            <w:tcW w:w="865" w:type="dxa"/>
            <w:tcBorders>
              <w:top w:val="nil"/>
              <w:left w:val="nil"/>
              <w:bottom w:val="single" w:sz="4" w:space="0" w:color="auto"/>
              <w:right w:val="single" w:sz="4" w:space="0" w:color="auto"/>
            </w:tcBorders>
            <w:shd w:val="clear" w:color="auto" w:fill="auto"/>
            <w:noWrap/>
            <w:vAlign w:val="bottom"/>
            <w:hideMark/>
          </w:tcPr>
          <w:p w14:paraId="0D6752E6"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4FE404FD" w14:textId="77777777" w:rsidR="00BA7662" w:rsidRPr="003B6D56" w:rsidRDefault="00BA7662" w:rsidP="00033672">
            <w:pPr>
              <w:spacing w:before="120" w:after="120"/>
              <w:jc w:val="right"/>
              <w:rPr>
                <w:color w:val="000000"/>
                <w:sz w:val="20"/>
                <w:szCs w:val="20"/>
              </w:rPr>
            </w:pPr>
            <w:r w:rsidRPr="003B6D56">
              <w:rPr>
                <w:color w:val="000000"/>
                <w:sz w:val="20"/>
                <w:szCs w:val="20"/>
              </w:rPr>
              <w:t xml:space="preserve">0.570 </w:t>
            </w:r>
            <w:r w:rsidRPr="003B6D56">
              <w:rPr>
                <w:color w:val="000000"/>
                <w:sz w:val="20"/>
                <w:szCs w:val="20"/>
                <w:vertAlign w:val="super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79A04A07"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1544F2DF"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1260019"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r>
      <w:tr w:rsidR="005265AE" w:rsidRPr="003B6D56" w14:paraId="045C0C68"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86A2C43" w14:textId="77777777" w:rsidR="005265AE" w:rsidRPr="003B6D56" w:rsidRDefault="005265AE" w:rsidP="00433F65">
            <w:pPr>
              <w:spacing w:before="120" w:after="120"/>
              <w:rPr>
                <w:b/>
                <w:bCs/>
                <w:color w:val="000000"/>
                <w:sz w:val="20"/>
                <w:szCs w:val="20"/>
              </w:rPr>
            </w:pPr>
            <w:r w:rsidRPr="003B6D56">
              <w:rPr>
                <w:b/>
                <w:bCs/>
                <w:color w:val="000000"/>
                <w:sz w:val="20"/>
                <w:szCs w:val="20"/>
              </w:rPr>
              <w:t>S</w:t>
            </w:r>
          </w:p>
        </w:tc>
        <w:tc>
          <w:tcPr>
            <w:tcW w:w="865" w:type="dxa"/>
            <w:tcBorders>
              <w:top w:val="nil"/>
              <w:left w:val="nil"/>
              <w:bottom w:val="single" w:sz="4" w:space="0" w:color="auto"/>
              <w:right w:val="single" w:sz="4" w:space="0" w:color="auto"/>
            </w:tcBorders>
            <w:shd w:val="clear" w:color="auto" w:fill="auto"/>
            <w:noWrap/>
            <w:vAlign w:val="bottom"/>
            <w:hideMark/>
          </w:tcPr>
          <w:p w14:paraId="4C30F768" w14:textId="77777777" w:rsidR="005265AE" w:rsidRPr="003B6D56" w:rsidRDefault="005265AE" w:rsidP="00033672">
            <w:pPr>
              <w:spacing w:before="120" w:after="120"/>
              <w:jc w:val="right"/>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0D902E4C" w14:textId="77777777" w:rsidR="005265AE" w:rsidRPr="003B6D56" w:rsidRDefault="005265AE" w:rsidP="00033672">
            <w:pPr>
              <w:spacing w:before="120" w:after="120"/>
              <w:jc w:val="right"/>
              <w:rPr>
                <w:color w:val="000000"/>
                <w:sz w:val="20"/>
                <w:szCs w:val="20"/>
              </w:rPr>
            </w:pPr>
            <w:r w:rsidRPr="003B6D56">
              <w:rPr>
                <w:color w:val="000000"/>
                <w:sz w:val="20"/>
                <w:szCs w:val="20"/>
              </w:rPr>
              <w:t xml:space="preserve">0.849 </w:t>
            </w:r>
            <w:r w:rsidRPr="003B6D56">
              <w:rPr>
                <w:color w:val="000000"/>
                <w:sz w:val="20"/>
                <w:szCs w:val="20"/>
                <w:vertAlign w:val="sub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6F4CC118" w14:textId="77777777" w:rsidR="005265AE" w:rsidRPr="003B6D56" w:rsidRDefault="005265AE" w:rsidP="00033672">
            <w:pPr>
              <w:spacing w:before="120" w:after="120"/>
              <w:jc w:val="right"/>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6E98AB5B" w14:textId="77777777" w:rsidR="005265AE" w:rsidRPr="003B6D56" w:rsidRDefault="005265AE"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1F2A2CA" w14:textId="77777777" w:rsidR="005265AE" w:rsidRPr="003B6D56" w:rsidRDefault="005265AE" w:rsidP="00033672">
            <w:pPr>
              <w:spacing w:before="120" w:after="120"/>
              <w:jc w:val="right"/>
              <w:rPr>
                <w:color w:val="000000"/>
                <w:sz w:val="20"/>
                <w:szCs w:val="20"/>
              </w:rPr>
            </w:pPr>
            <w:r w:rsidRPr="003B6D56">
              <w:rPr>
                <w:color w:val="000000"/>
                <w:sz w:val="20"/>
                <w:szCs w:val="20"/>
              </w:rPr>
              <w:t> </w:t>
            </w:r>
          </w:p>
        </w:tc>
      </w:tr>
      <w:tr w:rsidR="005265AE" w:rsidRPr="003B6D56" w14:paraId="62F232C0"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A54B058" w14:textId="77777777" w:rsidR="00BA7662" w:rsidRPr="003B6D56" w:rsidRDefault="00BA7662" w:rsidP="00433F65">
            <w:pPr>
              <w:spacing w:before="120" w:after="120"/>
              <w:rPr>
                <w:b/>
                <w:bCs/>
                <w:color w:val="000000"/>
                <w:sz w:val="20"/>
                <w:szCs w:val="20"/>
              </w:rPr>
            </w:pPr>
            <w:r w:rsidRPr="003B6D56">
              <w:rPr>
                <w:b/>
                <w:bCs/>
                <w:color w:val="000000"/>
                <w:sz w:val="20"/>
                <w:szCs w:val="20"/>
              </w:rPr>
              <w:t>G</w:t>
            </w:r>
          </w:p>
        </w:tc>
        <w:tc>
          <w:tcPr>
            <w:tcW w:w="865" w:type="dxa"/>
            <w:tcBorders>
              <w:top w:val="nil"/>
              <w:left w:val="nil"/>
              <w:bottom w:val="single" w:sz="4" w:space="0" w:color="auto"/>
              <w:right w:val="single" w:sz="4" w:space="0" w:color="auto"/>
            </w:tcBorders>
            <w:shd w:val="clear" w:color="auto" w:fill="auto"/>
            <w:noWrap/>
            <w:vAlign w:val="bottom"/>
            <w:hideMark/>
          </w:tcPr>
          <w:p w14:paraId="7DFE1381"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173F3F84" w14:textId="77777777" w:rsidR="00BA7662" w:rsidRPr="003B6D56" w:rsidRDefault="00BA7662" w:rsidP="00033672">
            <w:pPr>
              <w:spacing w:before="120" w:after="120"/>
              <w:jc w:val="right"/>
              <w:rPr>
                <w:color w:val="000000"/>
                <w:sz w:val="20"/>
                <w:szCs w:val="20"/>
              </w:rPr>
            </w:pPr>
            <w:r w:rsidRPr="003B6D56">
              <w:rPr>
                <w:color w:val="000000"/>
                <w:sz w:val="20"/>
                <w:szCs w:val="20"/>
              </w:rPr>
              <w:t xml:space="preserve">0.623 </w:t>
            </w:r>
            <w:r w:rsidRPr="003B6D56">
              <w:rPr>
                <w:color w:val="000000"/>
                <w:sz w:val="20"/>
                <w:szCs w:val="20"/>
                <w:vertAlign w:val="super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707463F9"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3C2C2A10"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05568327"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r>
      <w:tr w:rsidR="005265AE" w:rsidRPr="003B6D56" w14:paraId="67A323BA"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091E9D0" w14:textId="77777777" w:rsidR="00BA7662" w:rsidRPr="003B6D56" w:rsidRDefault="00BA7662" w:rsidP="00433F65">
            <w:pPr>
              <w:spacing w:before="120" w:after="120"/>
              <w:rPr>
                <w:b/>
                <w:bCs/>
                <w:color w:val="000000"/>
                <w:sz w:val="20"/>
                <w:szCs w:val="20"/>
              </w:rPr>
            </w:pPr>
            <w:r w:rsidRPr="003B6D56">
              <w:rPr>
                <w:b/>
                <w:bCs/>
                <w:color w:val="000000"/>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78C37FEA"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7F0F2C6A" w14:textId="77777777" w:rsidR="00BA7662" w:rsidRPr="003B6D56" w:rsidRDefault="00BA7662" w:rsidP="00033672">
            <w:pPr>
              <w:spacing w:before="120" w:after="120"/>
              <w:jc w:val="right"/>
              <w:rPr>
                <w:color w:val="000000"/>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0427E65B"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09BCF0AD" w14:textId="77777777" w:rsidR="00BA7662" w:rsidRPr="003B6D56" w:rsidRDefault="00BA7662" w:rsidP="00033672">
            <w:pPr>
              <w:spacing w:before="120" w:after="120"/>
              <w:jc w:val="right"/>
              <w:rPr>
                <w:color w:val="000000"/>
                <w:sz w:val="20"/>
                <w:szCs w:val="20"/>
              </w:rPr>
            </w:pPr>
            <w:r w:rsidRPr="003B6D56">
              <w:rPr>
                <w:color w:val="000000"/>
                <w:sz w:val="20"/>
                <w:szCs w:val="20"/>
              </w:rPr>
              <w:t>1</w:t>
            </w:r>
          </w:p>
        </w:tc>
        <w:tc>
          <w:tcPr>
            <w:tcW w:w="718" w:type="dxa"/>
            <w:tcBorders>
              <w:top w:val="nil"/>
              <w:left w:val="nil"/>
              <w:bottom w:val="single" w:sz="4" w:space="0" w:color="auto"/>
              <w:right w:val="single" w:sz="4" w:space="0" w:color="auto"/>
            </w:tcBorders>
            <w:shd w:val="clear" w:color="auto" w:fill="auto"/>
            <w:noWrap/>
            <w:vAlign w:val="bottom"/>
            <w:hideMark/>
          </w:tcPr>
          <w:p w14:paraId="3069D87E"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r>
      <w:tr w:rsidR="005265AE" w:rsidRPr="003B6D56" w14:paraId="0BB2D02A"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89E7B1F" w14:textId="77777777" w:rsidR="00BA7662" w:rsidRPr="003B6D56" w:rsidRDefault="00BA7662" w:rsidP="00433F65">
            <w:pPr>
              <w:spacing w:before="120" w:after="120"/>
              <w:rPr>
                <w:b/>
                <w:bCs/>
                <w:color w:val="000000"/>
                <w:sz w:val="20"/>
                <w:szCs w:val="20"/>
              </w:rPr>
            </w:pPr>
            <w:r w:rsidRPr="003B6D56">
              <w:rPr>
                <w:b/>
                <w:bCs/>
                <w:color w:val="000000"/>
                <w:sz w:val="20"/>
                <w:szCs w:val="20"/>
              </w:rPr>
              <w:t>ROA</w:t>
            </w:r>
          </w:p>
        </w:tc>
        <w:tc>
          <w:tcPr>
            <w:tcW w:w="865" w:type="dxa"/>
            <w:tcBorders>
              <w:top w:val="nil"/>
              <w:left w:val="nil"/>
              <w:bottom w:val="single" w:sz="4" w:space="0" w:color="auto"/>
              <w:right w:val="single" w:sz="4" w:space="0" w:color="auto"/>
            </w:tcBorders>
            <w:shd w:val="clear" w:color="auto" w:fill="auto"/>
            <w:noWrap/>
            <w:vAlign w:val="bottom"/>
            <w:hideMark/>
          </w:tcPr>
          <w:p w14:paraId="72E64B52"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07E47AC2" w14:textId="77777777" w:rsidR="00BA7662" w:rsidRPr="003B6D56" w:rsidRDefault="00BA7662" w:rsidP="00033672">
            <w:pPr>
              <w:spacing w:before="120" w:after="120"/>
              <w:jc w:val="right"/>
              <w:rPr>
                <w:color w:val="000000"/>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63462297" w14:textId="77777777" w:rsidR="00BA7662" w:rsidRPr="003B6D56" w:rsidRDefault="00BA7662" w:rsidP="00033672">
            <w:pPr>
              <w:spacing w:before="120" w:after="120"/>
              <w:jc w:val="right"/>
              <w:rPr>
                <w:color w:val="000000"/>
                <w:sz w:val="20"/>
                <w:szCs w:val="20"/>
              </w:rPr>
            </w:pPr>
            <w:r w:rsidRPr="003B6D56">
              <w:rPr>
                <w:color w:val="000000"/>
                <w:sz w:val="20"/>
                <w:szCs w:val="20"/>
              </w:rPr>
              <w:t>1</w:t>
            </w:r>
          </w:p>
        </w:tc>
        <w:tc>
          <w:tcPr>
            <w:tcW w:w="669" w:type="dxa"/>
            <w:tcBorders>
              <w:top w:val="nil"/>
              <w:left w:val="nil"/>
              <w:bottom w:val="single" w:sz="4" w:space="0" w:color="auto"/>
              <w:right w:val="single" w:sz="4" w:space="0" w:color="auto"/>
            </w:tcBorders>
            <w:shd w:val="clear" w:color="auto" w:fill="auto"/>
            <w:noWrap/>
            <w:vAlign w:val="bottom"/>
            <w:hideMark/>
          </w:tcPr>
          <w:p w14:paraId="14A9EAF3"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55A73BED"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r>
      <w:tr w:rsidR="005265AE" w:rsidRPr="003B6D56" w14:paraId="5D07EC91"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5E87F4C" w14:textId="77777777" w:rsidR="00BA7662" w:rsidRPr="003B6D56" w:rsidRDefault="00BA7662" w:rsidP="00433F65">
            <w:pPr>
              <w:spacing w:before="120" w:after="120"/>
              <w:rPr>
                <w:b/>
                <w:bCs/>
                <w:color w:val="000000"/>
                <w:sz w:val="20"/>
                <w:szCs w:val="20"/>
              </w:rPr>
            </w:pPr>
            <w:r w:rsidRPr="003B6D56">
              <w:rPr>
                <w:b/>
                <w:bCs/>
                <w:color w:val="000000"/>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23686E9D"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78683501" w14:textId="77777777" w:rsidR="00BA7662" w:rsidRPr="003B6D56" w:rsidRDefault="00BA7662" w:rsidP="00033672">
            <w:pPr>
              <w:spacing w:before="120" w:after="120"/>
              <w:jc w:val="right"/>
              <w:rPr>
                <w:color w:val="000000"/>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50C65B80"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64B12C51" w14:textId="77777777" w:rsidR="00BA7662" w:rsidRPr="003B6D56" w:rsidRDefault="00BA7662"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BFE1210" w14:textId="77777777" w:rsidR="00BA7662" w:rsidRPr="003B6D56" w:rsidRDefault="00BA7662" w:rsidP="00033672">
            <w:pPr>
              <w:keepNext/>
              <w:spacing w:before="120" w:after="120"/>
              <w:jc w:val="right"/>
              <w:rPr>
                <w:color w:val="000000"/>
                <w:sz w:val="20"/>
                <w:szCs w:val="20"/>
              </w:rPr>
            </w:pPr>
            <w:r w:rsidRPr="003B6D56">
              <w:rPr>
                <w:color w:val="000000"/>
                <w:sz w:val="20"/>
                <w:szCs w:val="20"/>
              </w:rPr>
              <w:t>1</w:t>
            </w:r>
          </w:p>
        </w:tc>
      </w:tr>
    </w:tbl>
    <w:p w14:paraId="140B6127" w14:textId="77777777" w:rsidR="008777BE" w:rsidRPr="007762D4" w:rsidRDefault="008777BE" w:rsidP="008777BE">
      <w:pPr>
        <w:tabs>
          <w:tab w:val="right" w:leader="hyphen" w:pos="9072"/>
        </w:tabs>
        <w:spacing w:before="120" w:after="120"/>
        <w:jc w:val="both"/>
        <w:rPr>
          <w:sz w:val="20"/>
          <w:szCs w:val="20"/>
        </w:rPr>
      </w:pPr>
      <w:r w:rsidRPr="007762D4">
        <w:rPr>
          <w:color w:val="000000"/>
          <w:sz w:val="20"/>
          <w:szCs w:val="20"/>
        </w:rPr>
        <w:t>Source: Analysis results from Smart PLS</w:t>
      </w:r>
    </w:p>
    <w:p w14:paraId="139ACCEB" w14:textId="77777777" w:rsidR="0036741D" w:rsidRPr="00BA7662" w:rsidRDefault="0036741D" w:rsidP="0036741D">
      <w:pPr>
        <w:tabs>
          <w:tab w:val="left" w:pos="567"/>
          <w:tab w:val="right" w:leader="hyphen" w:pos="9072"/>
        </w:tabs>
        <w:spacing w:before="120" w:after="120"/>
        <w:jc w:val="both"/>
        <w:rPr>
          <w:b/>
          <w:sz w:val="22"/>
          <w:szCs w:val="22"/>
        </w:rPr>
      </w:pPr>
      <w:r w:rsidRPr="00BA7662">
        <w:rPr>
          <w:b/>
          <w:sz w:val="22"/>
          <w:szCs w:val="22"/>
          <w:lang w:val="vi-VN"/>
        </w:rPr>
        <w:t xml:space="preserve">4. </w:t>
      </w:r>
      <w:r w:rsidR="009C0D97">
        <w:rPr>
          <w:b/>
          <w:sz w:val="22"/>
          <w:szCs w:val="22"/>
        </w:rPr>
        <w:t xml:space="preserve">3. </w:t>
      </w:r>
      <w:r>
        <w:rPr>
          <w:b/>
          <w:sz w:val="22"/>
          <w:szCs w:val="22"/>
        </w:rPr>
        <w:t xml:space="preserve">Structural model </w:t>
      </w:r>
      <w:r w:rsidRPr="00BA7662">
        <w:rPr>
          <w:b/>
          <w:sz w:val="22"/>
          <w:szCs w:val="22"/>
          <w:lang w:val="vi-VN"/>
        </w:rPr>
        <w:t>evaluation</w:t>
      </w:r>
    </w:p>
    <w:p w14:paraId="34B40C3E" w14:textId="77777777" w:rsidR="009C0D97" w:rsidRPr="00FD5BE2" w:rsidRDefault="009C0D97" w:rsidP="009C0D97">
      <w:pPr>
        <w:tabs>
          <w:tab w:val="right" w:leader="hyphen" w:pos="9072"/>
        </w:tabs>
        <w:spacing w:before="120" w:after="120"/>
        <w:jc w:val="both"/>
        <w:rPr>
          <w:i/>
          <w:sz w:val="22"/>
          <w:szCs w:val="22"/>
        </w:rPr>
      </w:pPr>
      <w:r w:rsidRPr="00FD5BE2">
        <w:rPr>
          <w:i/>
          <w:sz w:val="22"/>
          <w:szCs w:val="22"/>
        </w:rPr>
        <w:t xml:space="preserve">4.3.1. </w:t>
      </w:r>
      <w:proofErr w:type="spellStart"/>
      <w:r w:rsidRPr="00FD5BE2">
        <w:rPr>
          <w:i/>
          <w:sz w:val="22"/>
          <w:szCs w:val="22"/>
        </w:rPr>
        <w:t>Multicollinearity</w:t>
      </w:r>
      <w:proofErr w:type="spellEnd"/>
    </w:p>
    <w:p w14:paraId="7A467B30" w14:textId="5814FFB6" w:rsidR="00EB0CEF" w:rsidRDefault="009C0D97" w:rsidP="009C0D97">
      <w:pPr>
        <w:tabs>
          <w:tab w:val="right" w:leader="hyphen" w:pos="9072"/>
        </w:tabs>
        <w:spacing w:before="120" w:after="120"/>
        <w:jc w:val="both"/>
        <w:rPr>
          <w:sz w:val="22"/>
          <w:szCs w:val="22"/>
        </w:rPr>
      </w:pPr>
      <w:r w:rsidRPr="009C0D97">
        <w:rPr>
          <w:sz w:val="22"/>
          <w:szCs w:val="22"/>
        </w:rPr>
        <w:t xml:space="preserve">The results of the </w:t>
      </w:r>
      <w:proofErr w:type="spellStart"/>
      <w:r w:rsidRPr="009C0D97">
        <w:rPr>
          <w:sz w:val="22"/>
          <w:szCs w:val="22"/>
        </w:rPr>
        <w:t>multicollinearity</w:t>
      </w:r>
      <w:proofErr w:type="spellEnd"/>
      <w:r w:rsidRPr="009C0D97">
        <w:rPr>
          <w:sz w:val="22"/>
          <w:szCs w:val="22"/>
        </w:rPr>
        <w:t xml:space="preserve"> test (Table 3) show that the VIF coefficients of the research variabl</w:t>
      </w:r>
      <w:r w:rsidR="007051BC">
        <w:rPr>
          <w:sz w:val="22"/>
          <w:szCs w:val="22"/>
        </w:rPr>
        <w:t>es range from 1.000 to 1.375 (all &lt; 3). Therefore</w:t>
      </w:r>
      <w:r w:rsidRPr="009C0D97">
        <w:rPr>
          <w:sz w:val="22"/>
          <w:szCs w:val="22"/>
        </w:rPr>
        <w:t xml:space="preserve">, the research model does not suffer from </w:t>
      </w:r>
      <w:proofErr w:type="spellStart"/>
      <w:r w:rsidRPr="009C0D97">
        <w:rPr>
          <w:sz w:val="22"/>
          <w:szCs w:val="22"/>
        </w:rPr>
        <w:t>multicollinearity</w:t>
      </w:r>
      <w:proofErr w:type="spellEnd"/>
      <w:r w:rsidRPr="009C0D97">
        <w:rPr>
          <w:sz w:val="22"/>
          <w:szCs w:val="22"/>
        </w:rPr>
        <w:t>.</w:t>
      </w:r>
    </w:p>
    <w:p w14:paraId="7CF0EA61" w14:textId="2CEC5FD3" w:rsidR="00EB0CEF" w:rsidRPr="003B6D56" w:rsidRDefault="00EB0CEF" w:rsidP="00EB0CEF">
      <w:pPr>
        <w:pStyle w:val="Caption"/>
        <w:keepNext/>
        <w:spacing w:before="240" w:after="120"/>
        <w:rPr>
          <w:b/>
          <w:sz w:val="20"/>
          <w:szCs w:val="20"/>
        </w:rPr>
      </w:pPr>
      <w:proofErr w:type="gramStart"/>
      <w:r w:rsidRPr="003B6D56">
        <w:rPr>
          <w:b/>
          <w:sz w:val="20"/>
          <w:szCs w:val="20"/>
        </w:rPr>
        <w:t xml:space="preserve">Table </w:t>
      </w:r>
      <w:r w:rsidRPr="003B6D56">
        <w:rPr>
          <w:b/>
          <w:sz w:val="20"/>
          <w:szCs w:val="20"/>
        </w:rPr>
        <w:fldChar w:fldCharType="begin"/>
      </w:r>
      <w:r w:rsidRPr="003B6D56">
        <w:rPr>
          <w:b/>
          <w:sz w:val="20"/>
          <w:szCs w:val="20"/>
        </w:rPr>
        <w:instrText xml:space="preserve"> SEQ Bảng_ \* ARABIC </w:instrText>
      </w:r>
      <w:r w:rsidRPr="003B6D56">
        <w:rPr>
          <w:b/>
          <w:sz w:val="20"/>
          <w:szCs w:val="20"/>
        </w:rPr>
        <w:fldChar w:fldCharType="separate"/>
      </w:r>
      <w:r w:rsidR="00574AD0">
        <w:rPr>
          <w:b/>
          <w:noProof/>
          <w:sz w:val="20"/>
          <w:szCs w:val="20"/>
        </w:rPr>
        <w:t>3</w:t>
      </w:r>
      <w:r w:rsidRPr="003B6D56">
        <w:rPr>
          <w:b/>
          <w:sz w:val="20"/>
          <w:szCs w:val="20"/>
        </w:rPr>
        <w:fldChar w:fldCharType="end"/>
      </w:r>
      <w:r w:rsidR="007051BC">
        <w:rPr>
          <w:b/>
          <w:sz w:val="20"/>
          <w:szCs w:val="20"/>
        </w:rPr>
        <w:t>.</w:t>
      </w:r>
      <w:proofErr w:type="gramEnd"/>
      <w:r w:rsidRPr="003B6D56">
        <w:rPr>
          <w:b/>
          <w:sz w:val="20"/>
          <w:szCs w:val="20"/>
        </w:rPr>
        <w:t xml:space="preserve"> </w:t>
      </w:r>
      <w:proofErr w:type="gramStart"/>
      <w:r w:rsidRPr="007051BC">
        <w:rPr>
          <w:sz w:val="20"/>
          <w:szCs w:val="20"/>
        </w:rPr>
        <w:t>VIF coefficient</w:t>
      </w:r>
      <w:r w:rsidR="007051BC">
        <w:rPr>
          <w:sz w:val="20"/>
          <w:szCs w:val="20"/>
        </w:rPr>
        <w:t>.</w:t>
      </w:r>
      <w:proofErr w:type="gramEnd"/>
    </w:p>
    <w:tbl>
      <w:tblPr>
        <w:tblW w:w="4485" w:type="dxa"/>
        <w:tblInd w:w="93" w:type="dxa"/>
        <w:tblLook w:val="04A0" w:firstRow="1" w:lastRow="0" w:firstColumn="1" w:lastColumn="0" w:noHBand="0" w:noVBand="1"/>
      </w:tblPr>
      <w:tblGrid>
        <w:gridCol w:w="865"/>
        <w:gridCol w:w="865"/>
        <w:gridCol w:w="657"/>
        <w:gridCol w:w="711"/>
        <w:gridCol w:w="669"/>
        <w:gridCol w:w="718"/>
      </w:tblGrid>
      <w:tr w:rsidR="00C2771C" w:rsidRPr="003B6D56" w14:paraId="667609EC" w14:textId="77777777" w:rsidTr="00C2771C">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C7483" w14:textId="77777777" w:rsidR="00C2771C" w:rsidRPr="003B6D56" w:rsidRDefault="00C2771C" w:rsidP="008B0933">
            <w:pPr>
              <w:spacing w:before="120" w:after="120"/>
              <w:rPr>
                <w:b/>
                <w:color w:val="000000"/>
                <w:sz w:val="20"/>
                <w:szCs w:val="20"/>
              </w:rPr>
            </w:pPr>
            <w:r w:rsidRPr="003B6D56">
              <w:rPr>
                <w:b/>
                <w:color w:val="000000"/>
                <w:sz w:val="20"/>
                <w:szCs w:val="20"/>
              </w:rPr>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2EEA760" w14:textId="77777777" w:rsidR="00C2771C" w:rsidRPr="003B6D56" w:rsidRDefault="00C2771C" w:rsidP="00F2528F">
            <w:pPr>
              <w:spacing w:before="120" w:after="120"/>
              <w:jc w:val="center"/>
              <w:rPr>
                <w:b/>
                <w:color w:val="000000"/>
                <w:sz w:val="20"/>
                <w:szCs w:val="20"/>
              </w:rPr>
            </w:pPr>
            <w:r w:rsidRPr="003B6D56">
              <w:rPr>
                <w:b/>
                <w:color w:val="000000"/>
                <w:sz w:val="20"/>
                <w:szCs w:val="20"/>
              </w:rPr>
              <w:t>BSIZE</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6897C2EC" w14:textId="77777777" w:rsidR="00C2771C" w:rsidRPr="003B6D56" w:rsidRDefault="00C2771C" w:rsidP="00F2528F">
            <w:pPr>
              <w:spacing w:before="120" w:after="120"/>
              <w:jc w:val="center"/>
              <w:rPr>
                <w:b/>
                <w:color w:val="000000"/>
                <w:sz w:val="20"/>
                <w:szCs w:val="20"/>
              </w:rPr>
            </w:pPr>
            <w:r w:rsidRPr="003B6D56">
              <w:rPr>
                <w:b/>
                <w:color w:val="000000"/>
                <w:sz w:val="20"/>
                <w:szCs w:val="20"/>
              </w:rPr>
              <w:t>ESG</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211DC8A7" w14:textId="77777777" w:rsidR="00C2771C" w:rsidRPr="003B6D56" w:rsidRDefault="00C2771C" w:rsidP="00F2528F">
            <w:pPr>
              <w:spacing w:before="120" w:after="120"/>
              <w:jc w:val="center"/>
              <w:rPr>
                <w:b/>
                <w:color w:val="000000"/>
                <w:sz w:val="20"/>
                <w:szCs w:val="20"/>
              </w:rPr>
            </w:pPr>
            <w:r w:rsidRPr="003B6D56">
              <w:rPr>
                <w:b/>
                <w:color w:val="000000"/>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0EA77E3F" w14:textId="77777777" w:rsidR="00C2771C" w:rsidRPr="003B6D56" w:rsidRDefault="00C2771C" w:rsidP="00F2528F">
            <w:pPr>
              <w:spacing w:before="120" w:after="120"/>
              <w:jc w:val="center"/>
              <w:rPr>
                <w:b/>
                <w:color w:val="000000"/>
                <w:sz w:val="20"/>
                <w:szCs w:val="20"/>
              </w:rPr>
            </w:pPr>
            <w:r w:rsidRPr="003B6D56">
              <w:rPr>
                <w:b/>
                <w:color w:val="000000"/>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4AA2E69E" w14:textId="77777777" w:rsidR="00C2771C" w:rsidRPr="003B6D56" w:rsidRDefault="00C2771C" w:rsidP="00F2528F">
            <w:pPr>
              <w:spacing w:before="120" w:after="120"/>
              <w:jc w:val="center"/>
              <w:rPr>
                <w:b/>
                <w:color w:val="000000"/>
                <w:sz w:val="20"/>
                <w:szCs w:val="20"/>
              </w:rPr>
            </w:pPr>
            <w:r w:rsidRPr="003B6D56">
              <w:rPr>
                <w:b/>
                <w:color w:val="000000"/>
                <w:sz w:val="20"/>
                <w:szCs w:val="20"/>
              </w:rPr>
              <w:t>SIZE</w:t>
            </w:r>
          </w:p>
        </w:tc>
      </w:tr>
      <w:tr w:rsidR="00C2771C" w:rsidRPr="003B6D56" w14:paraId="562D8785"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9678A5C" w14:textId="77777777" w:rsidR="00C2771C" w:rsidRPr="003B6D56" w:rsidRDefault="00C2771C" w:rsidP="008B0933">
            <w:pPr>
              <w:spacing w:before="120" w:after="120"/>
              <w:rPr>
                <w:b/>
                <w:color w:val="000000"/>
                <w:sz w:val="20"/>
                <w:szCs w:val="20"/>
              </w:rPr>
            </w:pPr>
            <w:r w:rsidRPr="003B6D56">
              <w:rPr>
                <w:b/>
                <w:color w:val="000000"/>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7433CD46"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0256FF2E" w14:textId="77777777" w:rsidR="00C2771C" w:rsidRPr="003B6D56" w:rsidRDefault="00C2771C" w:rsidP="00033672">
            <w:pPr>
              <w:spacing w:before="120" w:after="120"/>
              <w:jc w:val="right"/>
              <w:rPr>
                <w:color w:val="000000"/>
                <w:sz w:val="20"/>
                <w:szCs w:val="20"/>
              </w:rPr>
            </w:pPr>
            <w:r w:rsidRPr="003B6D56">
              <w:rPr>
                <w:color w:val="000000"/>
                <w:sz w:val="20"/>
                <w:szCs w:val="20"/>
              </w:rPr>
              <w:t>1</w:t>
            </w:r>
          </w:p>
        </w:tc>
        <w:tc>
          <w:tcPr>
            <w:tcW w:w="711" w:type="dxa"/>
            <w:tcBorders>
              <w:top w:val="nil"/>
              <w:left w:val="nil"/>
              <w:bottom w:val="single" w:sz="4" w:space="0" w:color="auto"/>
              <w:right w:val="single" w:sz="4" w:space="0" w:color="auto"/>
            </w:tcBorders>
            <w:shd w:val="clear" w:color="auto" w:fill="auto"/>
            <w:noWrap/>
            <w:vAlign w:val="bottom"/>
            <w:hideMark/>
          </w:tcPr>
          <w:p w14:paraId="5E8827DB" w14:textId="5A6DFD10" w:rsidR="00C2771C" w:rsidRPr="003B6D56" w:rsidRDefault="00C2771C" w:rsidP="00033672">
            <w:pPr>
              <w:spacing w:before="120" w:after="120"/>
              <w:jc w:val="right"/>
              <w:rPr>
                <w:color w:val="000000"/>
                <w:sz w:val="20"/>
                <w:szCs w:val="20"/>
              </w:rPr>
            </w:pPr>
            <w:r w:rsidRPr="003B6D56">
              <w:rPr>
                <w:color w:val="000000"/>
                <w:sz w:val="20"/>
                <w:szCs w:val="20"/>
              </w:rPr>
              <w:t>1</w:t>
            </w:r>
            <w:r w:rsidR="00DC5F33">
              <w:rPr>
                <w:color w:val="000000"/>
                <w:sz w:val="20"/>
                <w:szCs w:val="20"/>
              </w:rPr>
              <w:t>.</w:t>
            </w:r>
            <w:r w:rsidRPr="003B6D56">
              <w:rPr>
                <w:color w:val="000000"/>
                <w:sz w:val="20"/>
                <w:szCs w:val="20"/>
              </w:rPr>
              <w:t>205</w:t>
            </w:r>
          </w:p>
        </w:tc>
        <w:tc>
          <w:tcPr>
            <w:tcW w:w="669" w:type="dxa"/>
            <w:tcBorders>
              <w:top w:val="nil"/>
              <w:left w:val="nil"/>
              <w:bottom w:val="single" w:sz="4" w:space="0" w:color="auto"/>
              <w:right w:val="single" w:sz="4" w:space="0" w:color="auto"/>
            </w:tcBorders>
            <w:shd w:val="clear" w:color="auto" w:fill="auto"/>
            <w:noWrap/>
            <w:vAlign w:val="bottom"/>
            <w:hideMark/>
          </w:tcPr>
          <w:p w14:paraId="286DD37B"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856D4C7"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r>
      <w:tr w:rsidR="00C2771C" w:rsidRPr="003B6D56" w14:paraId="0B206BC4"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BB4E01F" w14:textId="77777777" w:rsidR="00C2771C" w:rsidRPr="003B6D56" w:rsidRDefault="00C2771C" w:rsidP="008B0933">
            <w:pPr>
              <w:spacing w:before="120" w:after="120"/>
              <w:rPr>
                <w:b/>
                <w:color w:val="000000"/>
                <w:sz w:val="20"/>
                <w:szCs w:val="20"/>
              </w:rPr>
            </w:pPr>
            <w:r w:rsidRPr="003B6D56">
              <w:rPr>
                <w:b/>
                <w:color w:val="000000"/>
                <w:sz w:val="20"/>
                <w:szCs w:val="20"/>
              </w:rPr>
              <w:t>ESG</w:t>
            </w:r>
          </w:p>
        </w:tc>
        <w:tc>
          <w:tcPr>
            <w:tcW w:w="865" w:type="dxa"/>
            <w:tcBorders>
              <w:top w:val="nil"/>
              <w:left w:val="nil"/>
              <w:bottom w:val="single" w:sz="4" w:space="0" w:color="auto"/>
              <w:right w:val="single" w:sz="4" w:space="0" w:color="auto"/>
            </w:tcBorders>
            <w:shd w:val="clear" w:color="auto" w:fill="auto"/>
            <w:noWrap/>
            <w:vAlign w:val="bottom"/>
            <w:hideMark/>
          </w:tcPr>
          <w:p w14:paraId="5506C0D4"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7F206E5C"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1A36CE76" w14:textId="2E83EE6C" w:rsidR="00C2771C" w:rsidRPr="003B6D56" w:rsidRDefault="00C2771C" w:rsidP="00033672">
            <w:pPr>
              <w:spacing w:before="120" w:after="120"/>
              <w:jc w:val="right"/>
              <w:rPr>
                <w:color w:val="000000"/>
                <w:sz w:val="20"/>
                <w:szCs w:val="20"/>
              </w:rPr>
            </w:pPr>
            <w:r w:rsidRPr="003B6D56">
              <w:rPr>
                <w:color w:val="000000"/>
                <w:sz w:val="20"/>
                <w:szCs w:val="20"/>
              </w:rPr>
              <w:t>1</w:t>
            </w:r>
            <w:r w:rsidR="00DC5F33">
              <w:rPr>
                <w:color w:val="000000"/>
                <w:sz w:val="20"/>
                <w:szCs w:val="20"/>
              </w:rPr>
              <w:t>.</w:t>
            </w:r>
            <w:r w:rsidRPr="003B6D56">
              <w:rPr>
                <w:color w:val="000000"/>
                <w:sz w:val="20"/>
                <w:szCs w:val="20"/>
              </w:rPr>
              <w:t>044</w:t>
            </w:r>
          </w:p>
        </w:tc>
        <w:tc>
          <w:tcPr>
            <w:tcW w:w="669" w:type="dxa"/>
            <w:tcBorders>
              <w:top w:val="nil"/>
              <w:left w:val="nil"/>
              <w:bottom w:val="single" w:sz="4" w:space="0" w:color="auto"/>
              <w:right w:val="single" w:sz="4" w:space="0" w:color="auto"/>
            </w:tcBorders>
            <w:shd w:val="clear" w:color="auto" w:fill="auto"/>
            <w:noWrap/>
            <w:vAlign w:val="bottom"/>
            <w:hideMark/>
          </w:tcPr>
          <w:p w14:paraId="439B5544"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3922E7B9"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r>
      <w:tr w:rsidR="00C2771C" w:rsidRPr="003B6D56" w14:paraId="38303E86"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5D30395" w14:textId="77777777" w:rsidR="00C2771C" w:rsidRPr="003B6D56" w:rsidRDefault="00C2771C" w:rsidP="008B0933">
            <w:pPr>
              <w:spacing w:before="120" w:after="120"/>
              <w:rPr>
                <w:b/>
                <w:color w:val="000000"/>
                <w:sz w:val="20"/>
                <w:szCs w:val="20"/>
              </w:rPr>
            </w:pPr>
            <w:r w:rsidRPr="003B6D56">
              <w:rPr>
                <w:b/>
                <w:color w:val="000000"/>
                <w:sz w:val="20"/>
                <w:szCs w:val="20"/>
              </w:rPr>
              <w:t>FP</w:t>
            </w:r>
          </w:p>
        </w:tc>
        <w:tc>
          <w:tcPr>
            <w:tcW w:w="865" w:type="dxa"/>
            <w:tcBorders>
              <w:top w:val="nil"/>
              <w:left w:val="nil"/>
              <w:bottom w:val="single" w:sz="4" w:space="0" w:color="auto"/>
              <w:right w:val="single" w:sz="4" w:space="0" w:color="auto"/>
            </w:tcBorders>
            <w:shd w:val="clear" w:color="auto" w:fill="auto"/>
            <w:noWrap/>
            <w:vAlign w:val="bottom"/>
            <w:hideMark/>
          </w:tcPr>
          <w:p w14:paraId="3B3D72F9"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3F70A06F"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5EC7A454"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2BF81AD6"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682A41EE"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r>
      <w:tr w:rsidR="00C2771C" w:rsidRPr="003B6D56" w14:paraId="258B1BBC"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DDB6635" w14:textId="77777777" w:rsidR="00C2771C" w:rsidRPr="003B6D56" w:rsidRDefault="00C2771C" w:rsidP="008B0933">
            <w:pPr>
              <w:spacing w:before="120" w:after="120"/>
              <w:rPr>
                <w:b/>
                <w:color w:val="000000"/>
                <w:sz w:val="20"/>
                <w:szCs w:val="20"/>
              </w:rPr>
            </w:pPr>
            <w:r w:rsidRPr="003B6D56">
              <w:rPr>
                <w:b/>
                <w:color w:val="000000"/>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54ECDCB0"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1DDB392F"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7E2D9377" w14:textId="3F806D21" w:rsidR="00C2771C" w:rsidRPr="003B6D56" w:rsidRDefault="00C2771C" w:rsidP="00033672">
            <w:pPr>
              <w:spacing w:before="120" w:after="120"/>
              <w:jc w:val="right"/>
              <w:rPr>
                <w:color w:val="000000"/>
                <w:sz w:val="20"/>
                <w:szCs w:val="20"/>
              </w:rPr>
            </w:pPr>
            <w:r w:rsidRPr="003B6D56">
              <w:rPr>
                <w:color w:val="000000"/>
                <w:sz w:val="20"/>
                <w:szCs w:val="20"/>
              </w:rPr>
              <w:t>1</w:t>
            </w:r>
            <w:r w:rsidR="00DC5F33">
              <w:rPr>
                <w:color w:val="000000"/>
                <w:sz w:val="20"/>
                <w:szCs w:val="20"/>
              </w:rPr>
              <w:t>.</w:t>
            </w:r>
            <w:r w:rsidRPr="003B6D56">
              <w:rPr>
                <w:color w:val="000000"/>
                <w:sz w:val="20"/>
                <w:szCs w:val="20"/>
              </w:rPr>
              <w:t>190</w:t>
            </w:r>
          </w:p>
        </w:tc>
        <w:tc>
          <w:tcPr>
            <w:tcW w:w="669" w:type="dxa"/>
            <w:tcBorders>
              <w:top w:val="nil"/>
              <w:left w:val="nil"/>
              <w:bottom w:val="single" w:sz="4" w:space="0" w:color="auto"/>
              <w:right w:val="single" w:sz="4" w:space="0" w:color="auto"/>
            </w:tcBorders>
            <w:shd w:val="clear" w:color="auto" w:fill="auto"/>
            <w:noWrap/>
            <w:vAlign w:val="bottom"/>
            <w:hideMark/>
          </w:tcPr>
          <w:p w14:paraId="357F42CD"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6E329500"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r>
      <w:tr w:rsidR="00C2771C" w:rsidRPr="003B6D56" w14:paraId="5A4A23BE"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4B3C327" w14:textId="77777777" w:rsidR="00C2771C" w:rsidRPr="003B6D56" w:rsidRDefault="00C2771C" w:rsidP="008B0933">
            <w:pPr>
              <w:spacing w:before="120" w:after="120"/>
              <w:rPr>
                <w:b/>
                <w:color w:val="000000"/>
                <w:sz w:val="20"/>
                <w:szCs w:val="20"/>
              </w:rPr>
            </w:pPr>
            <w:r w:rsidRPr="003B6D56">
              <w:rPr>
                <w:b/>
                <w:color w:val="000000"/>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5F52906C"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7D7B7697"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04818CA0" w14:textId="15391D80" w:rsidR="00C2771C" w:rsidRPr="003B6D56" w:rsidRDefault="00C2771C" w:rsidP="00033672">
            <w:pPr>
              <w:spacing w:before="120" w:after="120"/>
              <w:jc w:val="right"/>
              <w:rPr>
                <w:color w:val="000000"/>
                <w:sz w:val="20"/>
                <w:szCs w:val="20"/>
              </w:rPr>
            </w:pPr>
            <w:r w:rsidRPr="003B6D56">
              <w:rPr>
                <w:color w:val="000000"/>
                <w:sz w:val="20"/>
                <w:szCs w:val="20"/>
              </w:rPr>
              <w:t>1</w:t>
            </w:r>
            <w:r w:rsidR="00DC5F33">
              <w:rPr>
                <w:color w:val="000000"/>
                <w:sz w:val="20"/>
                <w:szCs w:val="20"/>
              </w:rPr>
              <w:t>.</w:t>
            </w:r>
            <w:r w:rsidRPr="003B6D56">
              <w:rPr>
                <w:color w:val="000000"/>
                <w:sz w:val="20"/>
                <w:szCs w:val="20"/>
              </w:rPr>
              <w:t>375</w:t>
            </w:r>
          </w:p>
        </w:tc>
        <w:tc>
          <w:tcPr>
            <w:tcW w:w="669" w:type="dxa"/>
            <w:tcBorders>
              <w:top w:val="nil"/>
              <w:left w:val="nil"/>
              <w:bottom w:val="single" w:sz="4" w:space="0" w:color="auto"/>
              <w:right w:val="single" w:sz="4" w:space="0" w:color="auto"/>
            </w:tcBorders>
            <w:shd w:val="clear" w:color="auto" w:fill="auto"/>
            <w:noWrap/>
            <w:vAlign w:val="bottom"/>
            <w:hideMark/>
          </w:tcPr>
          <w:p w14:paraId="78FC7CB6"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094940DD" w14:textId="77777777" w:rsidR="00C2771C" w:rsidRPr="003B6D56" w:rsidRDefault="00C2771C" w:rsidP="00033672">
            <w:pPr>
              <w:spacing w:before="120" w:after="120"/>
              <w:jc w:val="right"/>
              <w:rPr>
                <w:color w:val="000000"/>
                <w:sz w:val="20"/>
                <w:szCs w:val="20"/>
              </w:rPr>
            </w:pPr>
            <w:r w:rsidRPr="003B6D56">
              <w:rPr>
                <w:color w:val="000000"/>
                <w:sz w:val="20"/>
                <w:szCs w:val="20"/>
              </w:rPr>
              <w:t> </w:t>
            </w:r>
          </w:p>
        </w:tc>
      </w:tr>
    </w:tbl>
    <w:p w14:paraId="694A1879" w14:textId="77777777" w:rsidR="00C2771C" w:rsidRDefault="00C2771C" w:rsidP="009C0D97">
      <w:pPr>
        <w:tabs>
          <w:tab w:val="right" w:leader="hyphen" w:pos="9072"/>
        </w:tabs>
        <w:spacing w:before="120" w:after="120"/>
        <w:jc w:val="both"/>
        <w:rPr>
          <w:sz w:val="22"/>
          <w:szCs w:val="22"/>
        </w:rPr>
      </w:pPr>
      <w:r w:rsidRPr="007762D4">
        <w:rPr>
          <w:color w:val="000000"/>
          <w:sz w:val="20"/>
          <w:szCs w:val="20"/>
        </w:rPr>
        <w:t>Source: Analysis results from Smart PLS</w:t>
      </w:r>
    </w:p>
    <w:p w14:paraId="5A99BBBD" w14:textId="77777777" w:rsidR="00FD5BE2" w:rsidRPr="00FD5BE2" w:rsidRDefault="00FD5BE2" w:rsidP="00FD5BE2">
      <w:pPr>
        <w:tabs>
          <w:tab w:val="right" w:leader="hyphen" w:pos="9072"/>
        </w:tabs>
        <w:spacing w:before="120" w:after="120"/>
        <w:jc w:val="both"/>
        <w:rPr>
          <w:i/>
          <w:sz w:val="22"/>
          <w:szCs w:val="22"/>
        </w:rPr>
      </w:pPr>
      <w:r w:rsidRPr="00FD5BE2">
        <w:rPr>
          <w:i/>
          <w:sz w:val="22"/>
          <w:szCs w:val="22"/>
        </w:rPr>
        <w:t xml:space="preserve">4.3.2. Coefficient of determination R </w:t>
      </w:r>
      <w:r w:rsidRPr="00FD5BE2">
        <w:rPr>
          <w:i/>
          <w:sz w:val="22"/>
          <w:szCs w:val="22"/>
          <w:vertAlign w:val="superscript"/>
        </w:rPr>
        <w:t>2</w:t>
      </w:r>
    </w:p>
    <w:p w14:paraId="56C41D12" w14:textId="6E006598" w:rsidR="00FD5BE2" w:rsidRDefault="00433F65" w:rsidP="009C0D97">
      <w:pPr>
        <w:tabs>
          <w:tab w:val="right" w:leader="hyphen" w:pos="9072"/>
        </w:tabs>
        <w:spacing w:before="120" w:after="120"/>
        <w:jc w:val="both"/>
        <w:rPr>
          <w:sz w:val="22"/>
          <w:szCs w:val="22"/>
        </w:rPr>
      </w:pPr>
      <w:r w:rsidRPr="00433F65">
        <w:rPr>
          <w:sz w:val="22"/>
          <w:szCs w:val="22"/>
        </w:rPr>
        <w:t>The results of the model's predictive ability assessment (Table 4) show that the adjusted R</w:t>
      </w:r>
      <w:r w:rsidRPr="00F2528F">
        <w:rPr>
          <w:sz w:val="22"/>
          <w:szCs w:val="22"/>
          <w:vertAlign w:val="superscript"/>
        </w:rPr>
        <w:t xml:space="preserve">2 </w:t>
      </w:r>
      <w:r w:rsidRPr="00433F65">
        <w:rPr>
          <w:sz w:val="22"/>
          <w:szCs w:val="22"/>
        </w:rPr>
        <w:t>of the direct effect model is 20.3% and that of the indirect effect model is 3.1%.</w:t>
      </w:r>
    </w:p>
    <w:p w14:paraId="3C9C2C75" w14:textId="1438A0F6" w:rsidR="00433F65" w:rsidRPr="00DE2E8B" w:rsidRDefault="00433F65" w:rsidP="0078044B">
      <w:pPr>
        <w:pStyle w:val="Caption"/>
        <w:keepNext/>
        <w:spacing w:before="120" w:after="120"/>
        <w:rPr>
          <w:sz w:val="20"/>
          <w:szCs w:val="20"/>
        </w:rPr>
      </w:pPr>
      <w:proofErr w:type="gramStart"/>
      <w:r w:rsidRPr="006B3C6B">
        <w:rPr>
          <w:b/>
          <w:sz w:val="20"/>
          <w:szCs w:val="20"/>
        </w:rPr>
        <w:lastRenderedPageBreak/>
        <w:t xml:space="preserve">Table </w:t>
      </w:r>
      <w:r w:rsidRPr="006B3C6B">
        <w:rPr>
          <w:b/>
          <w:sz w:val="20"/>
          <w:szCs w:val="20"/>
        </w:rPr>
        <w:fldChar w:fldCharType="begin"/>
      </w:r>
      <w:r w:rsidRPr="006B3C6B">
        <w:rPr>
          <w:b/>
          <w:sz w:val="20"/>
          <w:szCs w:val="20"/>
        </w:rPr>
        <w:instrText xml:space="preserve"> SEQ Bảng_ \* ARABIC </w:instrText>
      </w:r>
      <w:r w:rsidRPr="006B3C6B">
        <w:rPr>
          <w:b/>
          <w:sz w:val="20"/>
          <w:szCs w:val="20"/>
        </w:rPr>
        <w:fldChar w:fldCharType="separate"/>
      </w:r>
      <w:r w:rsidR="00574AD0">
        <w:rPr>
          <w:b/>
          <w:noProof/>
          <w:sz w:val="20"/>
          <w:szCs w:val="20"/>
        </w:rPr>
        <w:t>4</w:t>
      </w:r>
      <w:r w:rsidR="00DE2E8B">
        <w:rPr>
          <w:b/>
          <w:noProof/>
          <w:sz w:val="20"/>
          <w:szCs w:val="20"/>
        </w:rPr>
        <w:t>.</w:t>
      </w:r>
      <w:proofErr w:type="gramEnd"/>
      <w:r w:rsidR="00574AD0">
        <w:rPr>
          <w:b/>
          <w:noProof/>
          <w:sz w:val="20"/>
          <w:szCs w:val="20"/>
        </w:rPr>
        <w:t xml:space="preserve"> </w:t>
      </w:r>
      <w:r w:rsidRPr="006B3C6B">
        <w:rPr>
          <w:b/>
          <w:sz w:val="20"/>
          <w:szCs w:val="20"/>
        </w:rPr>
        <w:fldChar w:fldCharType="end"/>
      </w:r>
      <w:proofErr w:type="gramStart"/>
      <w:r w:rsidRPr="00DE2E8B">
        <w:rPr>
          <w:sz w:val="20"/>
          <w:szCs w:val="20"/>
        </w:rPr>
        <w:t>R</w:t>
      </w:r>
      <w:r w:rsidRPr="00DE2E8B">
        <w:rPr>
          <w:sz w:val="20"/>
          <w:szCs w:val="20"/>
          <w:vertAlign w:val="superscript"/>
        </w:rPr>
        <w:t xml:space="preserve">2 </w:t>
      </w:r>
      <w:r w:rsidRPr="00DE2E8B">
        <w:rPr>
          <w:sz w:val="20"/>
          <w:szCs w:val="20"/>
        </w:rPr>
        <w:t>coefficient</w:t>
      </w:r>
      <w:r w:rsidR="00DE2E8B">
        <w:rPr>
          <w:sz w:val="20"/>
          <w:szCs w:val="20"/>
        </w:rPr>
        <w:t>.</w:t>
      </w:r>
      <w:proofErr w:type="gramEnd"/>
    </w:p>
    <w:tbl>
      <w:tblPr>
        <w:tblW w:w="4330" w:type="dxa"/>
        <w:tblInd w:w="93" w:type="dxa"/>
        <w:tblLook w:val="04A0" w:firstRow="1" w:lastRow="0" w:firstColumn="1" w:lastColumn="0" w:noHBand="0" w:noVBand="1"/>
      </w:tblPr>
      <w:tblGrid>
        <w:gridCol w:w="1080"/>
        <w:gridCol w:w="1455"/>
        <w:gridCol w:w="1795"/>
      </w:tblGrid>
      <w:tr w:rsidR="00433F65" w:rsidRPr="006B3C6B" w14:paraId="567EE78A" w14:textId="77777777" w:rsidTr="006B3C6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5414" w14:textId="77777777" w:rsidR="00433F65" w:rsidRPr="006B3C6B" w:rsidRDefault="00433F65" w:rsidP="00F2528F">
            <w:pPr>
              <w:spacing w:before="120" w:after="120"/>
              <w:jc w:val="center"/>
              <w:rPr>
                <w:color w:val="000000"/>
                <w:sz w:val="20"/>
                <w:szCs w:val="20"/>
              </w:rPr>
            </w:pP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2D40595C" w14:textId="77777777" w:rsidR="00433F65" w:rsidRPr="006B3C6B" w:rsidRDefault="00433F65" w:rsidP="00F2528F">
            <w:pPr>
              <w:spacing w:before="120" w:after="120"/>
              <w:jc w:val="center"/>
              <w:rPr>
                <w:b/>
                <w:color w:val="000000"/>
                <w:sz w:val="20"/>
                <w:szCs w:val="20"/>
              </w:rPr>
            </w:pPr>
            <w:r w:rsidRPr="006B3C6B">
              <w:rPr>
                <w:b/>
                <w:color w:val="000000"/>
                <w:sz w:val="20"/>
                <w:szCs w:val="20"/>
              </w:rPr>
              <w:t>R-square</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18B0ECF3" w14:textId="77777777" w:rsidR="00433F65" w:rsidRPr="006B3C6B" w:rsidRDefault="00433F65" w:rsidP="00F2528F">
            <w:pPr>
              <w:spacing w:before="120" w:after="120"/>
              <w:jc w:val="center"/>
              <w:rPr>
                <w:b/>
                <w:color w:val="000000"/>
                <w:sz w:val="20"/>
                <w:szCs w:val="20"/>
              </w:rPr>
            </w:pPr>
            <w:r w:rsidRPr="006B3C6B">
              <w:rPr>
                <w:b/>
                <w:color w:val="000000"/>
                <w:sz w:val="20"/>
                <w:szCs w:val="20"/>
              </w:rPr>
              <w:t>R-square adjusted</w:t>
            </w:r>
          </w:p>
        </w:tc>
      </w:tr>
      <w:tr w:rsidR="00433F65" w:rsidRPr="006B3C6B" w14:paraId="3BBB8829" w14:textId="77777777" w:rsidTr="006B3C6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D857AFD" w14:textId="77777777" w:rsidR="00433F65" w:rsidRPr="006B3C6B" w:rsidRDefault="00433F65" w:rsidP="00433F65">
            <w:pPr>
              <w:spacing w:before="120" w:after="120"/>
              <w:rPr>
                <w:b/>
                <w:color w:val="000000"/>
                <w:sz w:val="20"/>
                <w:szCs w:val="20"/>
              </w:rPr>
            </w:pPr>
            <w:r w:rsidRPr="006B3C6B">
              <w:rPr>
                <w:b/>
                <w:color w:val="000000"/>
                <w:sz w:val="20"/>
                <w:szCs w:val="20"/>
              </w:rPr>
              <w:t>ESG</w:t>
            </w:r>
          </w:p>
        </w:tc>
        <w:tc>
          <w:tcPr>
            <w:tcW w:w="1455" w:type="dxa"/>
            <w:tcBorders>
              <w:top w:val="nil"/>
              <w:left w:val="nil"/>
              <w:bottom w:val="single" w:sz="4" w:space="0" w:color="auto"/>
              <w:right w:val="single" w:sz="4" w:space="0" w:color="auto"/>
            </w:tcBorders>
            <w:shd w:val="clear" w:color="auto" w:fill="auto"/>
            <w:noWrap/>
            <w:vAlign w:val="bottom"/>
            <w:hideMark/>
          </w:tcPr>
          <w:p w14:paraId="64CC1E4A" w14:textId="77777777" w:rsidR="00433F65" w:rsidRPr="006B3C6B" w:rsidRDefault="00433F65" w:rsidP="00433F65">
            <w:pPr>
              <w:spacing w:before="120" w:after="120"/>
              <w:jc w:val="right"/>
              <w:rPr>
                <w:color w:val="000000"/>
                <w:sz w:val="20"/>
                <w:szCs w:val="20"/>
              </w:rPr>
            </w:pPr>
            <w:r w:rsidRPr="006B3C6B">
              <w:rPr>
                <w:color w:val="000000"/>
                <w:sz w:val="20"/>
                <w:szCs w:val="20"/>
              </w:rPr>
              <w:t>0.034</w:t>
            </w:r>
          </w:p>
        </w:tc>
        <w:tc>
          <w:tcPr>
            <w:tcW w:w="1795" w:type="dxa"/>
            <w:tcBorders>
              <w:top w:val="nil"/>
              <w:left w:val="nil"/>
              <w:bottom w:val="single" w:sz="4" w:space="0" w:color="auto"/>
              <w:right w:val="single" w:sz="4" w:space="0" w:color="auto"/>
            </w:tcBorders>
            <w:shd w:val="clear" w:color="auto" w:fill="auto"/>
            <w:noWrap/>
            <w:vAlign w:val="bottom"/>
            <w:hideMark/>
          </w:tcPr>
          <w:p w14:paraId="05B2E9AF" w14:textId="77777777" w:rsidR="00433F65" w:rsidRPr="006B3C6B" w:rsidRDefault="00433F65" w:rsidP="00433F65">
            <w:pPr>
              <w:spacing w:before="120" w:after="120"/>
              <w:jc w:val="right"/>
              <w:rPr>
                <w:color w:val="000000"/>
                <w:sz w:val="20"/>
                <w:szCs w:val="20"/>
              </w:rPr>
            </w:pPr>
            <w:r w:rsidRPr="006B3C6B">
              <w:rPr>
                <w:color w:val="000000"/>
                <w:sz w:val="20"/>
                <w:szCs w:val="20"/>
              </w:rPr>
              <w:t>0.031</w:t>
            </w:r>
          </w:p>
        </w:tc>
      </w:tr>
      <w:tr w:rsidR="00433F65" w:rsidRPr="006B3C6B" w14:paraId="716AB99A" w14:textId="77777777" w:rsidTr="006B3C6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4635F78" w14:textId="77777777" w:rsidR="00433F65" w:rsidRPr="006B3C6B" w:rsidRDefault="00433F65" w:rsidP="00433F65">
            <w:pPr>
              <w:spacing w:before="120" w:after="120"/>
              <w:rPr>
                <w:b/>
                <w:color w:val="000000"/>
                <w:sz w:val="20"/>
                <w:szCs w:val="20"/>
              </w:rPr>
            </w:pPr>
            <w:r w:rsidRPr="006B3C6B">
              <w:rPr>
                <w:b/>
                <w:color w:val="000000"/>
                <w:sz w:val="20"/>
                <w:szCs w:val="20"/>
              </w:rPr>
              <w:t>FP</w:t>
            </w:r>
          </w:p>
        </w:tc>
        <w:tc>
          <w:tcPr>
            <w:tcW w:w="1455" w:type="dxa"/>
            <w:tcBorders>
              <w:top w:val="nil"/>
              <w:left w:val="nil"/>
              <w:bottom w:val="single" w:sz="4" w:space="0" w:color="auto"/>
              <w:right w:val="single" w:sz="4" w:space="0" w:color="auto"/>
            </w:tcBorders>
            <w:shd w:val="clear" w:color="auto" w:fill="auto"/>
            <w:noWrap/>
            <w:vAlign w:val="bottom"/>
            <w:hideMark/>
          </w:tcPr>
          <w:p w14:paraId="13523884" w14:textId="77777777" w:rsidR="00433F65" w:rsidRPr="006B3C6B" w:rsidRDefault="00433F65" w:rsidP="00433F65">
            <w:pPr>
              <w:spacing w:before="120" w:after="120"/>
              <w:jc w:val="right"/>
              <w:rPr>
                <w:color w:val="000000"/>
                <w:sz w:val="20"/>
                <w:szCs w:val="20"/>
              </w:rPr>
            </w:pPr>
            <w:r w:rsidRPr="006B3C6B">
              <w:rPr>
                <w:color w:val="000000"/>
                <w:sz w:val="20"/>
                <w:szCs w:val="20"/>
              </w:rPr>
              <w:t>0.214</w:t>
            </w:r>
          </w:p>
        </w:tc>
        <w:tc>
          <w:tcPr>
            <w:tcW w:w="1795" w:type="dxa"/>
            <w:tcBorders>
              <w:top w:val="nil"/>
              <w:left w:val="nil"/>
              <w:bottom w:val="single" w:sz="4" w:space="0" w:color="auto"/>
              <w:right w:val="single" w:sz="4" w:space="0" w:color="auto"/>
            </w:tcBorders>
            <w:shd w:val="clear" w:color="auto" w:fill="auto"/>
            <w:noWrap/>
            <w:vAlign w:val="bottom"/>
            <w:hideMark/>
          </w:tcPr>
          <w:p w14:paraId="544EE317" w14:textId="77777777" w:rsidR="00433F65" w:rsidRPr="006B3C6B" w:rsidRDefault="00433F65" w:rsidP="00433F65">
            <w:pPr>
              <w:spacing w:before="120" w:after="120"/>
              <w:jc w:val="right"/>
              <w:rPr>
                <w:color w:val="000000"/>
                <w:sz w:val="20"/>
                <w:szCs w:val="20"/>
              </w:rPr>
            </w:pPr>
            <w:r w:rsidRPr="006B3C6B">
              <w:rPr>
                <w:color w:val="000000"/>
                <w:sz w:val="20"/>
                <w:szCs w:val="20"/>
              </w:rPr>
              <w:t>0.203</w:t>
            </w:r>
          </w:p>
        </w:tc>
      </w:tr>
    </w:tbl>
    <w:p w14:paraId="265F3764" w14:textId="77777777" w:rsidR="00433F65" w:rsidRPr="00433F65" w:rsidRDefault="00433F65" w:rsidP="009C0D97">
      <w:pPr>
        <w:tabs>
          <w:tab w:val="right" w:leader="hyphen" w:pos="9072"/>
        </w:tabs>
        <w:spacing w:before="120" w:after="120"/>
        <w:jc w:val="both"/>
        <w:rPr>
          <w:sz w:val="20"/>
          <w:szCs w:val="20"/>
        </w:rPr>
      </w:pPr>
      <w:r w:rsidRPr="007762D4">
        <w:rPr>
          <w:color w:val="000000"/>
          <w:sz w:val="20"/>
          <w:szCs w:val="20"/>
        </w:rPr>
        <w:t>Source: Analysis results from Smart PLS</w:t>
      </w:r>
    </w:p>
    <w:p w14:paraId="2DDCC747" w14:textId="77777777" w:rsidR="00562CEA" w:rsidRPr="00FD5BE2" w:rsidRDefault="00562CEA" w:rsidP="00562CEA">
      <w:pPr>
        <w:tabs>
          <w:tab w:val="right" w:leader="hyphen" w:pos="9072"/>
        </w:tabs>
        <w:spacing w:before="120" w:after="120"/>
        <w:jc w:val="both"/>
        <w:rPr>
          <w:i/>
          <w:sz w:val="22"/>
          <w:szCs w:val="22"/>
        </w:rPr>
      </w:pPr>
      <w:r w:rsidRPr="00FD5BE2">
        <w:rPr>
          <w:i/>
          <w:sz w:val="22"/>
          <w:szCs w:val="22"/>
        </w:rPr>
        <w:t xml:space="preserve">4.3.3. Coefficient of determination f </w:t>
      </w:r>
      <w:r w:rsidRPr="00562CEA">
        <w:rPr>
          <w:i/>
          <w:sz w:val="22"/>
          <w:szCs w:val="22"/>
          <w:vertAlign w:val="superscript"/>
        </w:rPr>
        <w:t>2</w:t>
      </w:r>
    </w:p>
    <w:p w14:paraId="09D5C15E" w14:textId="32239802" w:rsidR="00C2771C" w:rsidRDefault="00562CEA" w:rsidP="00562CEA">
      <w:pPr>
        <w:tabs>
          <w:tab w:val="right" w:leader="hyphen" w:pos="9072"/>
        </w:tabs>
        <w:spacing w:before="120" w:after="120"/>
        <w:jc w:val="both"/>
        <w:rPr>
          <w:sz w:val="22"/>
          <w:szCs w:val="22"/>
        </w:rPr>
      </w:pPr>
      <w:r w:rsidRPr="00562CEA">
        <w:rPr>
          <w:sz w:val="22"/>
          <w:szCs w:val="22"/>
        </w:rPr>
        <w:t>The results of the impact coefficient f</w:t>
      </w:r>
      <w:r w:rsidRPr="00C03D8B">
        <w:rPr>
          <w:sz w:val="22"/>
          <w:szCs w:val="22"/>
          <w:vertAlign w:val="superscript"/>
        </w:rPr>
        <w:t xml:space="preserve">2 </w:t>
      </w:r>
      <w:r w:rsidRPr="00A356C2">
        <w:rPr>
          <w:sz w:val="22"/>
          <w:szCs w:val="22"/>
        </w:rPr>
        <w:t xml:space="preserve">assessment </w:t>
      </w:r>
      <w:r w:rsidRPr="00562CEA">
        <w:rPr>
          <w:sz w:val="22"/>
          <w:szCs w:val="22"/>
        </w:rPr>
        <w:t xml:space="preserve">(Table 5) show that the size of the board </w:t>
      </w:r>
      <w:r w:rsidR="005C3309">
        <w:rPr>
          <w:sz w:val="22"/>
          <w:szCs w:val="22"/>
        </w:rPr>
        <w:t>size</w:t>
      </w:r>
      <w:r w:rsidRPr="00562CEA">
        <w:rPr>
          <w:sz w:val="22"/>
          <w:szCs w:val="22"/>
        </w:rPr>
        <w:t xml:space="preserve"> has a weak impact on performance and </w:t>
      </w:r>
      <w:r w:rsidR="005C3309">
        <w:rPr>
          <w:sz w:val="22"/>
          <w:szCs w:val="22"/>
        </w:rPr>
        <w:t>ESG</w:t>
      </w:r>
      <w:r w:rsidRPr="00562CEA">
        <w:rPr>
          <w:sz w:val="22"/>
          <w:szCs w:val="22"/>
        </w:rPr>
        <w:t xml:space="preserve"> disclosure (f </w:t>
      </w:r>
      <w:r w:rsidRPr="00C03D8B">
        <w:rPr>
          <w:sz w:val="22"/>
          <w:szCs w:val="22"/>
          <w:vertAlign w:val="superscript"/>
        </w:rPr>
        <w:t xml:space="preserve">2 </w:t>
      </w:r>
      <w:r w:rsidR="00C03D8B">
        <w:rPr>
          <w:sz w:val="22"/>
          <w:szCs w:val="22"/>
        </w:rPr>
        <w:t>is 0.024 and 0.087, respectively).</w:t>
      </w:r>
    </w:p>
    <w:p w14:paraId="6867ED11" w14:textId="047E762E" w:rsidR="0038003B" w:rsidRPr="00A356C2" w:rsidRDefault="0038003B" w:rsidP="007A4846">
      <w:pPr>
        <w:pStyle w:val="Caption"/>
        <w:keepNext/>
        <w:spacing w:before="240" w:after="120"/>
        <w:rPr>
          <w:sz w:val="20"/>
          <w:szCs w:val="20"/>
        </w:rPr>
      </w:pPr>
      <w:proofErr w:type="gramStart"/>
      <w:r w:rsidRPr="006B3C6B">
        <w:rPr>
          <w:b/>
          <w:sz w:val="20"/>
          <w:szCs w:val="20"/>
        </w:rPr>
        <w:t xml:space="preserve">Table </w:t>
      </w:r>
      <w:r w:rsidRPr="006B3C6B">
        <w:rPr>
          <w:b/>
          <w:sz w:val="20"/>
          <w:szCs w:val="20"/>
        </w:rPr>
        <w:fldChar w:fldCharType="begin"/>
      </w:r>
      <w:r w:rsidRPr="006B3C6B">
        <w:rPr>
          <w:b/>
          <w:sz w:val="20"/>
          <w:szCs w:val="20"/>
        </w:rPr>
        <w:instrText xml:space="preserve"> SEQ Bảng_ \* ARABIC </w:instrText>
      </w:r>
      <w:r w:rsidRPr="006B3C6B">
        <w:rPr>
          <w:b/>
          <w:sz w:val="20"/>
          <w:szCs w:val="20"/>
        </w:rPr>
        <w:fldChar w:fldCharType="separate"/>
      </w:r>
      <w:r w:rsidR="00574AD0">
        <w:rPr>
          <w:b/>
          <w:noProof/>
          <w:sz w:val="20"/>
          <w:szCs w:val="20"/>
        </w:rPr>
        <w:t>5</w:t>
      </w:r>
      <w:r w:rsidR="00A356C2">
        <w:rPr>
          <w:b/>
          <w:noProof/>
          <w:sz w:val="20"/>
          <w:szCs w:val="20"/>
        </w:rPr>
        <w:t>.</w:t>
      </w:r>
      <w:proofErr w:type="gramEnd"/>
      <w:r w:rsidR="00574AD0">
        <w:rPr>
          <w:b/>
          <w:noProof/>
          <w:sz w:val="20"/>
          <w:szCs w:val="20"/>
        </w:rPr>
        <w:t xml:space="preserve"> </w:t>
      </w:r>
      <w:r w:rsidRPr="006B3C6B">
        <w:rPr>
          <w:b/>
          <w:sz w:val="20"/>
          <w:szCs w:val="20"/>
        </w:rPr>
        <w:fldChar w:fldCharType="end"/>
      </w:r>
      <w:proofErr w:type="gramStart"/>
      <w:r w:rsidRPr="00A356C2">
        <w:rPr>
          <w:sz w:val="20"/>
          <w:szCs w:val="20"/>
        </w:rPr>
        <w:t>Coefficient of determination f</w:t>
      </w:r>
      <w:r w:rsidRPr="00C21192">
        <w:rPr>
          <w:sz w:val="20"/>
          <w:szCs w:val="20"/>
          <w:vertAlign w:val="superscript"/>
        </w:rPr>
        <w:t>2</w:t>
      </w:r>
      <w:r w:rsidR="00A356C2">
        <w:rPr>
          <w:sz w:val="20"/>
          <w:szCs w:val="20"/>
        </w:rPr>
        <w:t>.</w:t>
      </w:r>
      <w:proofErr w:type="gramEnd"/>
    </w:p>
    <w:tbl>
      <w:tblPr>
        <w:tblW w:w="4552" w:type="dxa"/>
        <w:tblInd w:w="93" w:type="dxa"/>
        <w:tblLook w:val="04A0" w:firstRow="1" w:lastRow="0" w:firstColumn="1" w:lastColumn="0" w:noHBand="0" w:noVBand="1"/>
      </w:tblPr>
      <w:tblGrid>
        <w:gridCol w:w="865"/>
        <w:gridCol w:w="865"/>
        <w:gridCol w:w="715"/>
        <w:gridCol w:w="720"/>
        <w:gridCol w:w="669"/>
        <w:gridCol w:w="718"/>
      </w:tblGrid>
      <w:tr w:rsidR="007A4846" w:rsidRPr="006B3C6B" w14:paraId="2886674A" w14:textId="77777777" w:rsidTr="00D963ED">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8EAC" w14:textId="77777777" w:rsidR="002C37C8" w:rsidRPr="006B3C6B" w:rsidRDefault="002C37C8" w:rsidP="00F2528F">
            <w:pPr>
              <w:spacing w:before="120" w:after="120"/>
              <w:jc w:val="center"/>
              <w:rPr>
                <w:b/>
                <w:color w:val="000000"/>
                <w:sz w:val="20"/>
                <w:szCs w:val="20"/>
              </w:rPr>
            </w:pP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41B45319" w14:textId="77777777" w:rsidR="002C37C8" w:rsidRPr="006B3C6B" w:rsidRDefault="002C37C8" w:rsidP="00F2528F">
            <w:pPr>
              <w:spacing w:before="120" w:after="120"/>
              <w:jc w:val="center"/>
              <w:rPr>
                <w:b/>
                <w:color w:val="000000"/>
                <w:sz w:val="20"/>
                <w:szCs w:val="20"/>
              </w:rPr>
            </w:pPr>
            <w:r w:rsidRPr="006B3C6B">
              <w:rPr>
                <w:b/>
                <w:color w:val="000000"/>
                <w:sz w:val="20"/>
                <w:szCs w:val="20"/>
              </w:rPr>
              <w:t>BSIZE</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14:paraId="3DE4AE3D" w14:textId="77777777" w:rsidR="002C37C8" w:rsidRPr="006B3C6B" w:rsidRDefault="002C37C8" w:rsidP="00F2528F">
            <w:pPr>
              <w:spacing w:before="120" w:after="120"/>
              <w:jc w:val="center"/>
              <w:rPr>
                <w:b/>
                <w:color w:val="000000"/>
                <w:sz w:val="20"/>
                <w:szCs w:val="20"/>
              </w:rPr>
            </w:pPr>
            <w:r w:rsidRPr="006B3C6B">
              <w:rPr>
                <w:b/>
                <w:color w:val="000000"/>
                <w:sz w:val="20"/>
                <w:szCs w:val="20"/>
              </w:rPr>
              <w:t>ESG</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8FD30EE" w14:textId="77777777" w:rsidR="002C37C8" w:rsidRPr="006B3C6B" w:rsidRDefault="002C37C8" w:rsidP="00F2528F">
            <w:pPr>
              <w:spacing w:before="120" w:after="120"/>
              <w:jc w:val="center"/>
              <w:rPr>
                <w:b/>
                <w:color w:val="000000"/>
                <w:sz w:val="20"/>
                <w:szCs w:val="20"/>
              </w:rPr>
            </w:pPr>
            <w:r w:rsidRPr="006B3C6B">
              <w:rPr>
                <w:b/>
                <w:color w:val="000000"/>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744ADAF9" w14:textId="77777777" w:rsidR="002C37C8" w:rsidRPr="006B3C6B" w:rsidRDefault="002C37C8" w:rsidP="00F2528F">
            <w:pPr>
              <w:spacing w:before="120" w:after="120"/>
              <w:jc w:val="center"/>
              <w:rPr>
                <w:b/>
                <w:color w:val="000000"/>
                <w:sz w:val="20"/>
                <w:szCs w:val="20"/>
              </w:rPr>
            </w:pPr>
            <w:r w:rsidRPr="006B3C6B">
              <w:rPr>
                <w:b/>
                <w:color w:val="000000"/>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76BF6B5B" w14:textId="77777777" w:rsidR="002C37C8" w:rsidRPr="006B3C6B" w:rsidRDefault="002C37C8" w:rsidP="00F2528F">
            <w:pPr>
              <w:spacing w:before="120" w:after="120"/>
              <w:jc w:val="center"/>
              <w:rPr>
                <w:b/>
                <w:color w:val="000000"/>
                <w:sz w:val="20"/>
                <w:szCs w:val="20"/>
              </w:rPr>
            </w:pPr>
            <w:r w:rsidRPr="006B3C6B">
              <w:rPr>
                <w:b/>
                <w:color w:val="000000"/>
                <w:sz w:val="20"/>
                <w:szCs w:val="20"/>
              </w:rPr>
              <w:t>SIZE</w:t>
            </w:r>
          </w:p>
        </w:tc>
      </w:tr>
      <w:tr w:rsidR="007A4846" w:rsidRPr="006B3C6B" w14:paraId="7C27961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73544A5" w14:textId="77777777" w:rsidR="002C37C8" w:rsidRPr="006B3C6B" w:rsidRDefault="002C37C8" w:rsidP="002C37C8">
            <w:pPr>
              <w:spacing w:before="120" w:after="120"/>
              <w:rPr>
                <w:b/>
                <w:color w:val="000000"/>
                <w:sz w:val="20"/>
                <w:szCs w:val="20"/>
              </w:rPr>
            </w:pPr>
            <w:r w:rsidRPr="006B3C6B">
              <w:rPr>
                <w:b/>
                <w:color w:val="000000"/>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619741B6"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02C0BFCF" w14:textId="77777777" w:rsidR="002C37C8" w:rsidRPr="006B3C6B" w:rsidRDefault="002C37C8" w:rsidP="002C37C8">
            <w:pPr>
              <w:spacing w:before="120" w:after="120"/>
              <w:jc w:val="right"/>
              <w:rPr>
                <w:color w:val="000000"/>
                <w:sz w:val="20"/>
                <w:szCs w:val="20"/>
              </w:rPr>
            </w:pPr>
            <w:r w:rsidRPr="006B3C6B">
              <w:rPr>
                <w:color w:val="000000"/>
                <w:sz w:val="20"/>
                <w:szCs w:val="20"/>
              </w:rPr>
              <w:t>0.036</w:t>
            </w:r>
          </w:p>
        </w:tc>
        <w:tc>
          <w:tcPr>
            <w:tcW w:w="720" w:type="dxa"/>
            <w:tcBorders>
              <w:top w:val="nil"/>
              <w:left w:val="nil"/>
              <w:bottom w:val="single" w:sz="4" w:space="0" w:color="auto"/>
              <w:right w:val="single" w:sz="4" w:space="0" w:color="auto"/>
            </w:tcBorders>
            <w:shd w:val="clear" w:color="auto" w:fill="auto"/>
            <w:noWrap/>
            <w:vAlign w:val="bottom"/>
            <w:hideMark/>
          </w:tcPr>
          <w:p w14:paraId="378B0FC3" w14:textId="77777777" w:rsidR="002C37C8" w:rsidRPr="006B3C6B" w:rsidRDefault="002C37C8" w:rsidP="002C37C8">
            <w:pPr>
              <w:spacing w:before="120" w:after="120"/>
              <w:jc w:val="right"/>
              <w:rPr>
                <w:color w:val="000000"/>
                <w:sz w:val="20"/>
                <w:szCs w:val="20"/>
              </w:rPr>
            </w:pPr>
            <w:r w:rsidRPr="006B3C6B">
              <w:rPr>
                <w:color w:val="000000"/>
                <w:sz w:val="20"/>
                <w:szCs w:val="20"/>
              </w:rPr>
              <w:t>0.024</w:t>
            </w:r>
          </w:p>
        </w:tc>
        <w:tc>
          <w:tcPr>
            <w:tcW w:w="669" w:type="dxa"/>
            <w:tcBorders>
              <w:top w:val="nil"/>
              <w:left w:val="nil"/>
              <w:bottom w:val="single" w:sz="4" w:space="0" w:color="auto"/>
              <w:right w:val="single" w:sz="4" w:space="0" w:color="auto"/>
            </w:tcBorders>
            <w:shd w:val="clear" w:color="auto" w:fill="auto"/>
            <w:noWrap/>
            <w:vAlign w:val="bottom"/>
            <w:hideMark/>
          </w:tcPr>
          <w:p w14:paraId="6CE88215"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2ED35318" w14:textId="77777777" w:rsidR="002C37C8" w:rsidRPr="006B3C6B" w:rsidRDefault="002C37C8" w:rsidP="002C37C8">
            <w:pPr>
              <w:spacing w:before="120" w:after="120"/>
              <w:rPr>
                <w:color w:val="000000"/>
                <w:sz w:val="20"/>
                <w:szCs w:val="20"/>
              </w:rPr>
            </w:pPr>
            <w:r w:rsidRPr="006B3C6B">
              <w:rPr>
                <w:color w:val="000000"/>
                <w:sz w:val="20"/>
                <w:szCs w:val="20"/>
              </w:rPr>
              <w:t> </w:t>
            </w:r>
          </w:p>
        </w:tc>
      </w:tr>
      <w:tr w:rsidR="007A4846" w:rsidRPr="006B3C6B" w14:paraId="7341D4A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B69A93" w14:textId="77777777" w:rsidR="002C37C8" w:rsidRPr="006B3C6B" w:rsidRDefault="002C37C8" w:rsidP="002C37C8">
            <w:pPr>
              <w:spacing w:before="120" w:after="120"/>
              <w:rPr>
                <w:b/>
                <w:color w:val="000000"/>
                <w:sz w:val="20"/>
                <w:szCs w:val="20"/>
              </w:rPr>
            </w:pPr>
            <w:r w:rsidRPr="006B3C6B">
              <w:rPr>
                <w:b/>
                <w:color w:val="000000"/>
                <w:sz w:val="20"/>
                <w:szCs w:val="20"/>
              </w:rPr>
              <w:t>ESG</w:t>
            </w:r>
          </w:p>
        </w:tc>
        <w:tc>
          <w:tcPr>
            <w:tcW w:w="865" w:type="dxa"/>
            <w:tcBorders>
              <w:top w:val="nil"/>
              <w:left w:val="nil"/>
              <w:bottom w:val="single" w:sz="4" w:space="0" w:color="auto"/>
              <w:right w:val="single" w:sz="4" w:space="0" w:color="auto"/>
            </w:tcBorders>
            <w:shd w:val="clear" w:color="auto" w:fill="auto"/>
            <w:noWrap/>
            <w:vAlign w:val="bottom"/>
            <w:hideMark/>
          </w:tcPr>
          <w:p w14:paraId="1954AA2F"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60118A10"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BEA8279" w14:textId="77777777" w:rsidR="002C37C8" w:rsidRPr="006B3C6B" w:rsidRDefault="002C37C8" w:rsidP="002C37C8">
            <w:pPr>
              <w:spacing w:before="120" w:after="120"/>
              <w:jc w:val="right"/>
              <w:rPr>
                <w:color w:val="000000"/>
                <w:sz w:val="20"/>
                <w:szCs w:val="20"/>
              </w:rPr>
            </w:pPr>
            <w:r w:rsidRPr="006B3C6B">
              <w:rPr>
                <w:color w:val="000000"/>
                <w:sz w:val="20"/>
                <w:szCs w:val="20"/>
              </w:rPr>
              <w:t>0.087</w:t>
            </w:r>
          </w:p>
        </w:tc>
        <w:tc>
          <w:tcPr>
            <w:tcW w:w="669" w:type="dxa"/>
            <w:tcBorders>
              <w:top w:val="nil"/>
              <w:left w:val="nil"/>
              <w:bottom w:val="single" w:sz="4" w:space="0" w:color="auto"/>
              <w:right w:val="single" w:sz="4" w:space="0" w:color="auto"/>
            </w:tcBorders>
            <w:shd w:val="clear" w:color="auto" w:fill="auto"/>
            <w:noWrap/>
            <w:vAlign w:val="bottom"/>
            <w:hideMark/>
          </w:tcPr>
          <w:p w14:paraId="0E9C1CB3"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605B01C" w14:textId="77777777" w:rsidR="002C37C8" w:rsidRPr="006B3C6B" w:rsidRDefault="002C37C8" w:rsidP="002C37C8">
            <w:pPr>
              <w:spacing w:before="120" w:after="120"/>
              <w:rPr>
                <w:color w:val="000000"/>
                <w:sz w:val="20"/>
                <w:szCs w:val="20"/>
              </w:rPr>
            </w:pPr>
            <w:r w:rsidRPr="006B3C6B">
              <w:rPr>
                <w:color w:val="000000"/>
                <w:sz w:val="20"/>
                <w:szCs w:val="20"/>
              </w:rPr>
              <w:t> </w:t>
            </w:r>
          </w:p>
        </w:tc>
      </w:tr>
      <w:tr w:rsidR="007A4846" w:rsidRPr="006B3C6B" w14:paraId="00DF68EF"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F88B4A8" w14:textId="77777777" w:rsidR="002C37C8" w:rsidRPr="006B3C6B" w:rsidRDefault="002C37C8" w:rsidP="002C37C8">
            <w:pPr>
              <w:spacing w:before="120" w:after="120"/>
              <w:rPr>
                <w:b/>
                <w:color w:val="000000"/>
                <w:sz w:val="20"/>
                <w:szCs w:val="20"/>
              </w:rPr>
            </w:pPr>
            <w:r w:rsidRPr="006B3C6B">
              <w:rPr>
                <w:b/>
                <w:color w:val="000000"/>
                <w:sz w:val="20"/>
                <w:szCs w:val="20"/>
              </w:rPr>
              <w:t>FP</w:t>
            </w:r>
          </w:p>
        </w:tc>
        <w:tc>
          <w:tcPr>
            <w:tcW w:w="865" w:type="dxa"/>
            <w:tcBorders>
              <w:top w:val="nil"/>
              <w:left w:val="nil"/>
              <w:bottom w:val="single" w:sz="4" w:space="0" w:color="auto"/>
              <w:right w:val="single" w:sz="4" w:space="0" w:color="auto"/>
            </w:tcBorders>
            <w:shd w:val="clear" w:color="auto" w:fill="auto"/>
            <w:noWrap/>
            <w:vAlign w:val="bottom"/>
            <w:hideMark/>
          </w:tcPr>
          <w:p w14:paraId="7A8779B4"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3A54E514"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5E4FF50"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1D23921B"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8A8DAD0" w14:textId="77777777" w:rsidR="002C37C8" w:rsidRPr="006B3C6B" w:rsidRDefault="002C37C8" w:rsidP="002C37C8">
            <w:pPr>
              <w:spacing w:before="120" w:after="120"/>
              <w:rPr>
                <w:color w:val="000000"/>
                <w:sz w:val="20"/>
                <w:szCs w:val="20"/>
              </w:rPr>
            </w:pPr>
            <w:r w:rsidRPr="006B3C6B">
              <w:rPr>
                <w:color w:val="000000"/>
                <w:sz w:val="20"/>
                <w:szCs w:val="20"/>
              </w:rPr>
              <w:t> </w:t>
            </w:r>
          </w:p>
        </w:tc>
      </w:tr>
      <w:tr w:rsidR="007A4846" w:rsidRPr="006B3C6B" w14:paraId="0B694B6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C9469C" w14:textId="77777777" w:rsidR="002C37C8" w:rsidRPr="006B3C6B" w:rsidRDefault="002C37C8" w:rsidP="002C37C8">
            <w:pPr>
              <w:spacing w:before="120" w:after="120"/>
              <w:rPr>
                <w:b/>
                <w:color w:val="000000"/>
                <w:sz w:val="20"/>
                <w:szCs w:val="20"/>
              </w:rPr>
            </w:pPr>
            <w:r w:rsidRPr="006B3C6B">
              <w:rPr>
                <w:b/>
                <w:color w:val="000000"/>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65A68179"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3FC1EA24"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D404DE2" w14:textId="77777777" w:rsidR="002C37C8" w:rsidRPr="006B3C6B" w:rsidRDefault="002C37C8" w:rsidP="002C37C8">
            <w:pPr>
              <w:spacing w:before="120" w:after="120"/>
              <w:jc w:val="right"/>
              <w:rPr>
                <w:color w:val="000000"/>
                <w:sz w:val="20"/>
                <w:szCs w:val="20"/>
              </w:rPr>
            </w:pPr>
            <w:r w:rsidRPr="006B3C6B">
              <w:rPr>
                <w:color w:val="000000"/>
                <w:sz w:val="20"/>
                <w:szCs w:val="20"/>
              </w:rPr>
              <w:t>0.111</w:t>
            </w:r>
          </w:p>
        </w:tc>
        <w:tc>
          <w:tcPr>
            <w:tcW w:w="669" w:type="dxa"/>
            <w:tcBorders>
              <w:top w:val="nil"/>
              <w:left w:val="nil"/>
              <w:bottom w:val="single" w:sz="4" w:space="0" w:color="auto"/>
              <w:right w:val="single" w:sz="4" w:space="0" w:color="auto"/>
            </w:tcBorders>
            <w:shd w:val="clear" w:color="auto" w:fill="auto"/>
            <w:noWrap/>
            <w:vAlign w:val="bottom"/>
            <w:hideMark/>
          </w:tcPr>
          <w:p w14:paraId="76F892AB"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391F9379" w14:textId="77777777" w:rsidR="002C37C8" w:rsidRPr="006B3C6B" w:rsidRDefault="002C37C8" w:rsidP="002C37C8">
            <w:pPr>
              <w:spacing w:before="120" w:after="120"/>
              <w:rPr>
                <w:color w:val="000000"/>
                <w:sz w:val="20"/>
                <w:szCs w:val="20"/>
              </w:rPr>
            </w:pPr>
            <w:r w:rsidRPr="006B3C6B">
              <w:rPr>
                <w:color w:val="000000"/>
                <w:sz w:val="20"/>
                <w:szCs w:val="20"/>
              </w:rPr>
              <w:t> </w:t>
            </w:r>
          </w:p>
        </w:tc>
      </w:tr>
      <w:tr w:rsidR="007A4846" w:rsidRPr="006B3C6B" w14:paraId="65F77C21"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17F2621" w14:textId="77777777" w:rsidR="002C37C8" w:rsidRPr="006B3C6B" w:rsidRDefault="002C37C8" w:rsidP="002C37C8">
            <w:pPr>
              <w:spacing w:before="120" w:after="120"/>
              <w:rPr>
                <w:b/>
                <w:color w:val="000000"/>
                <w:sz w:val="20"/>
                <w:szCs w:val="20"/>
              </w:rPr>
            </w:pPr>
            <w:r w:rsidRPr="006B3C6B">
              <w:rPr>
                <w:b/>
                <w:color w:val="000000"/>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65E6AD28"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5D8DCA52"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397901F" w14:textId="77777777" w:rsidR="002C37C8" w:rsidRPr="006B3C6B" w:rsidRDefault="002C37C8" w:rsidP="002C37C8">
            <w:pPr>
              <w:spacing w:before="120" w:after="120"/>
              <w:jc w:val="right"/>
              <w:rPr>
                <w:color w:val="000000"/>
                <w:sz w:val="20"/>
                <w:szCs w:val="20"/>
              </w:rPr>
            </w:pPr>
            <w:r w:rsidRPr="006B3C6B">
              <w:rPr>
                <w:color w:val="000000"/>
                <w:sz w:val="20"/>
                <w:szCs w:val="20"/>
              </w:rPr>
              <w:t>0.008</w:t>
            </w:r>
          </w:p>
        </w:tc>
        <w:tc>
          <w:tcPr>
            <w:tcW w:w="669" w:type="dxa"/>
            <w:tcBorders>
              <w:top w:val="nil"/>
              <w:left w:val="nil"/>
              <w:bottom w:val="single" w:sz="4" w:space="0" w:color="auto"/>
              <w:right w:val="single" w:sz="4" w:space="0" w:color="auto"/>
            </w:tcBorders>
            <w:shd w:val="clear" w:color="auto" w:fill="auto"/>
            <w:noWrap/>
            <w:vAlign w:val="bottom"/>
            <w:hideMark/>
          </w:tcPr>
          <w:p w14:paraId="0880B10F" w14:textId="77777777" w:rsidR="002C37C8" w:rsidRPr="006B3C6B" w:rsidRDefault="002C37C8" w:rsidP="002C37C8">
            <w:pPr>
              <w:spacing w:before="120" w:after="120"/>
              <w:rPr>
                <w:color w:val="000000"/>
                <w:sz w:val="20"/>
                <w:szCs w:val="20"/>
              </w:rPr>
            </w:pPr>
            <w:r w:rsidRPr="006B3C6B">
              <w:rPr>
                <w:color w:val="000000"/>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4C153DFA" w14:textId="77777777" w:rsidR="002C37C8" w:rsidRPr="006B3C6B" w:rsidRDefault="002C37C8" w:rsidP="002C37C8">
            <w:pPr>
              <w:spacing w:before="120" w:after="120"/>
              <w:rPr>
                <w:color w:val="000000"/>
                <w:sz w:val="20"/>
                <w:szCs w:val="20"/>
              </w:rPr>
            </w:pPr>
            <w:r w:rsidRPr="006B3C6B">
              <w:rPr>
                <w:color w:val="000000"/>
                <w:sz w:val="20"/>
                <w:szCs w:val="20"/>
              </w:rPr>
              <w:t> </w:t>
            </w:r>
          </w:p>
        </w:tc>
      </w:tr>
    </w:tbl>
    <w:p w14:paraId="6261F5CC" w14:textId="77777777" w:rsidR="002C37C8" w:rsidRDefault="00D963ED" w:rsidP="00562CEA">
      <w:pPr>
        <w:tabs>
          <w:tab w:val="right" w:leader="hyphen" w:pos="9072"/>
        </w:tabs>
        <w:spacing w:before="120" w:after="120"/>
        <w:jc w:val="both"/>
        <w:rPr>
          <w:color w:val="000000"/>
          <w:sz w:val="20"/>
          <w:szCs w:val="20"/>
        </w:rPr>
      </w:pPr>
      <w:r w:rsidRPr="007762D4">
        <w:rPr>
          <w:color w:val="000000"/>
          <w:sz w:val="20"/>
          <w:szCs w:val="20"/>
        </w:rPr>
        <w:t>Source: Analysis results from Smart PLS</w:t>
      </w:r>
    </w:p>
    <w:p w14:paraId="631F7DF5" w14:textId="77777777" w:rsidR="00D963ED" w:rsidRPr="00D963ED" w:rsidRDefault="00D963ED" w:rsidP="00D963ED">
      <w:pPr>
        <w:tabs>
          <w:tab w:val="right" w:leader="hyphen" w:pos="9072"/>
        </w:tabs>
        <w:spacing w:before="120" w:after="120"/>
        <w:jc w:val="both"/>
        <w:rPr>
          <w:b/>
          <w:sz w:val="22"/>
          <w:szCs w:val="22"/>
        </w:rPr>
      </w:pPr>
      <w:r w:rsidRPr="00D963ED">
        <w:rPr>
          <w:b/>
          <w:sz w:val="22"/>
          <w:szCs w:val="22"/>
        </w:rPr>
        <w:t>4.4. Testing research hypothesis</w:t>
      </w:r>
    </w:p>
    <w:p w14:paraId="4A2FFA98" w14:textId="1E4C00AD" w:rsidR="00BA7662" w:rsidRPr="00BA7662" w:rsidRDefault="001D3909" w:rsidP="00046D27">
      <w:pPr>
        <w:tabs>
          <w:tab w:val="right" w:leader="hyphen" w:pos="9072"/>
        </w:tabs>
        <w:spacing w:before="120" w:after="120"/>
        <w:jc w:val="both"/>
        <w:rPr>
          <w:sz w:val="22"/>
          <w:szCs w:val="22"/>
        </w:rPr>
      </w:pPr>
      <w:proofErr w:type="gramStart"/>
      <w:r w:rsidRPr="001D3909">
        <w:rPr>
          <w:sz w:val="22"/>
          <w:szCs w:val="22"/>
        </w:rPr>
        <w:t>Figures 2 and 3 show the results of the structural model estimation.</w:t>
      </w:r>
      <w:proofErr w:type="gramEnd"/>
      <w:r w:rsidRPr="001D3909">
        <w:rPr>
          <w:sz w:val="22"/>
          <w:szCs w:val="22"/>
        </w:rPr>
        <w:t xml:space="preserve"> </w:t>
      </w:r>
      <w:r w:rsidR="00EC256E">
        <w:rPr>
          <w:sz w:val="22"/>
          <w:szCs w:val="22"/>
        </w:rPr>
        <w:t>T</w:t>
      </w:r>
      <w:r w:rsidRPr="001D3909">
        <w:rPr>
          <w:sz w:val="22"/>
          <w:szCs w:val="22"/>
        </w:rPr>
        <w:t xml:space="preserve">he values on the path of the research variable are the </w:t>
      </w:r>
      <w:r w:rsidR="005C3309">
        <w:rPr>
          <w:sz w:val="22"/>
          <w:szCs w:val="22"/>
        </w:rPr>
        <w:t>outer</w:t>
      </w:r>
      <w:r w:rsidRPr="001D3909">
        <w:rPr>
          <w:sz w:val="22"/>
          <w:szCs w:val="22"/>
        </w:rPr>
        <w:t xml:space="preserve"> loadings and the </w:t>
      </w:r>
      <w:r w:rsidR="00043F4B">
        <w:rPr>
          <w:sz w:val="22"/>
          <w:szCs w:val="22"/>
        </w:rPr>
        <w:t>outer</w:t>
      </w:r>
      <w:r w:rsidRPr="001D3909">
        <w:rPr>
          <w:sz w:val="22"/>
          <w:szCs w:val="22"/>
        </w:rPr>
        <w:t xml:space="preserve"> weights. The values in the research variable are </w:t>
      </w:r>
      <w:proofErr w:type="gramStart"/>
      <w:r w:rsidRPr="001D3909">
        <w:rPr>
          <w:sz w:val="22"/>
          <w:szCs w:val="22"/>
        </w:rPr>
        <w:t>R</w:t>
      </w:r>
      <w:r w:rsidRPr="00C03D8B">
        <w:rPr>
          <w:sz w:val="22"/>
          <w:szCs w:val="22"/>
          <w:vertAlign w:val="superscript"/>
        </w:rPr>
        <w:t xml:space="preserve">2 </w:t>
      </w:r>
      <w:r w:rsidRPr="001D3909">
        <w:rPr>
          <w:sz w:val="22"/>
          <w:szCs w:val="22"/>
        </w:rPr>
        <w:t>.</w:t>
      </w:r>
      <w:proofErr w:type="gramEnd"/>
    </w:p>
    <w:p w14:paraId="2DAD63D9" w14:textId="77777777" w:rsidR="00852C82" w:rsidRDefault="004438C8" w:rsidP="00472017">
      <w:pPr>
        <w:tabs>
          <w:tab w:val="right" w:leader="hyphen" w:pos="9072"/>
        </w:tabs>
        <w:spacing w:before="120" w:after="120"/>
        <w:jc w:val="both"/>
        <w:rPr>
          <w:sz w:val="22"/>
          <w:szCs w:val="22"/>
        </w:rPr>
      </w:pPr>
      <w:r w:rsidRPr="00852C82">
        <w:rPr>
          <w:noProof/>
          <w:sz w:val="22"/>
          <w:szCs w:val="22"/>
        </w:rPr>
        <w:drawing>
          <wp:inline distT="0" distB="0" distL="0" distR="0" wp14:anchorId="45A404B7" wp14:editId="4055BF57">
            <wp:extent cx="2714625" cy="1495425"/>
            <wp:effectExtent l="0" t="0" r="0" b="0"/>
            <wp:docPr id="1" name="Picture 1" descr="5d760aedf0df4d8114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d760aedf0df4d8114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625" cy="1495425"/>
                    </a:xfrm>
                    <a:prstGeom prst="rect">
                      <a:avLst/>
                    </a:prstGeom>
                    <a:noFill/>
                    <a:ln>
                      <a:noFill/>
                    </a:ln>
                  </pic:spPr>
                </pic:pic>
              </a:graphicData>
            </a:graphic>
          </wp:inline>
        </w:drawing>
      </w:r>
    </w:p>
    <w:p w14:paraId="6FDC525F" w14:textId="5ECD3421" w:rsidR="00D31288" w:rsidRPr="00EC256E" w:rsidRDefault="00EC256E" w:rsidP="00D31288">
      <w:pPr>
        <w:tabs>
          <w:tab w:val="right" w:leader="hyphen" w:pos="9072"/>
        </w:tabs>
        <w:spacing w:before="240" w:after="120"/>
        <w:jc w:val="both"/>
        <w:rPr>
          <w:sz w:val="20"/>
          <w:szCs w:val="20"/>
        </w:rPr>
      </w:pPr>
      <w:proofErr w:type="gramStart"/>
      <w:r>
        <w:rPr>
          <w:b/>
          <w:sz w:val="20"/>
          <w:szCs w:val="20"/>
        </w:rPr>
        <w:t>Figure 2.</w:t>
      </w:r>
      <w:proofErr w:type="gramEnd"/>
      <w:r w:rsidR="00D31288" w:rsidRPr="006B3C6B">
        <w:rPr>
          <w:b/>
          <w:sz w:val="20"/>
          <w:szCs w:val="20"/>
        </w:rPr>
        <w:t xml:space="preserve"> </w:t>
      </w:r>
      <w:r w:rsidR="00D31288" w:rsidRPr="00EC256E">
        <w:rPr>
          <w:sz w:val="20"/>
          <w:szCs w:val="20"/>
        </w:rPr>
        <w:t xml:space="preserve">PLS-SEM Algorithm </w:t>
      </w:r>
      <w:r>
        <w:rPr>
          <w:sz w:val="20"/>
          <w:szCs w:val="20"/>
        </w:rPr>
        <w:t>r</w:t>
      </w:r>
      <w:r w:rsidR="00D31288" w:rsidRPr="00EC256E">
        <w:rPr>
          <w:sz w:val="20"/>
          <w:szCs w:val="20"/>
        </w:rPr>
        <w:t>esults</w:t>
      </w:r>
    </w:p>
    <w:p w14:paraId="7250FED8" w14:textId="77777777" w:rsidR="00852C82" w:rsidRPr="00D31288" w:rsidRDefault="00D31288" w:rsidP="00D31288">
      <w:pPr>
        <w:tabs>
          <w:tab w:val="right" w:leader="hyphen" w:pos="9072"/>
        </w:tabs>
        <w:spacing w:before="120" w:after="120"/>
        <w:jc w:val="both"/>
        <w:rPr>
          <w:sz w:val="20"/>
          <w:szCs w:val="20"/>
        </w:rPr>
      </w:pPr>
      <w:r w:rsidRPr="00D31288">
        <w:rPr>
          <w:sz w:val="20"/>
          <w:szCs w:val="20"/>
        </w:rPr>
        <w:t>Source: Analysis results from Smart PLS 4</w:t>
      </w:r>
    </w:p>
    <w:p w14:paraId="284D99E2" w14:textId="77777777" w:rsidR="00852C82" w:rsidRDefault="004438C8" w:rsidP="00046D27">
      <w:pPr>
        <w:tabs>
          <w:tab w:val="right" w:leader="hyphen" w:pos="9072"/>
        </w:tabs>
        <w:spacing w:before="120" w:after="120"/>
        <w:jc w:val="both"/>
        <w:rPr>
          <w:sz w:val="22"/>
          <w:szCs w:val="22"/>
        </w:rPr>
      </w:pPr>
      <w:r w:rsidRPr="00852C82">
        <w:rPr>
          <w:noProof/>
          <w:sz w:val="22"/>
          <w:szCs w:val="22"/>
        </w:rPr>
        <w:lastRenderedPageBreak/>
        <w:drawing>
          <wp:inline distT="0" distB="0" distL="0" distR="0" wp14:anchorId="349A44CC" wp14:editId="1D4E17EF">
            <wp:extent cx="2714625" cy="1514475"/>
            <wp:effectExtent l="0" t="0" r="0" b="0"/>
            <wp:docPr id="2" name="Picture 2" descr="055b6a018d33306d6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5b6a018d33306d69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4625" cy="1514475"/>
                    </a:xfrm>
                    <a:prstGeom prst="rect">
                      <a:avLst/>
                    </a:prstGeom>
                    <a:noFill/>
                    <a:ln>
                      <a:noFill/>
                    </a:ln>
                  </pic:spPr>
                </pic:pic>
              </a:graphicData>
            </a:graphic>
          </wp:inline>
        </w:drawing>
      </w:r>
    </w:p>
    <w:p w14:paraId="44153EDB" w14:textId="36C654FA" w:rsidR="00200A5D" w:rsidRPr="003B6D56" w:rsidRDefault="00200A5D" w:rsidP="00200A5D">
      <w:pPr>
        <w:tabs>
          <w:tab w:val="right" w:leader="hyphen" w:pos="9072"/>
        </w:tabs>
        <w:spacing w:before="240" w:after="120"/>
        <w:jc w:val="both"/>
        <w:rPr>
          <w:b/>
          <w:sz w:val="20"/>
          <w:szCs w:val="20"/>
        </w:rPr>
      </w:pPr>
      <w:proofErr w:type="gramStart"/>
      <w:r w:rsidRPr="003B6D56">
        <w:rPr>
          <w:b/>
          <w:sz w:val="20"/>
          <w:szCs w:val="20"/>
        </w:rPr>
        <w:t>Figure 3</w:t>
      </w:r>
      <w:r w:rsidR="00EC256E">
        <w:rPr>
          <w:b/>
          <w:sz w:val="20"/>
          <w:szCs w:val="20"/>
        </w:rPr>
        <w:t>.</w:t>
      </w:r>
      <w:proofErr w:type="gramEnd"/>
      <w:r w:rsidRPr="003B6D56">
        <w:rPr>
          <w:b/>
          <w:sz w:val="20"/>
          <w:szCs w:val="20"/>
        </w:rPr>
        <w:t xml:space="preserve"> </w:t>
      </w:r>
      <w:r w:rsidRPr="00EC256E">
        <w:rPr>
          <w:sz w:val="20"/>
          <w:szCs w:val="20"/>
        </w:rPr>
        <w:t>Bootstrap 5,000 results</w:t>
      </w:r>
      <w:r w:rsidR="00EC256E">
        <w:rPr>
          <w:sz w:val="20"/>
          <w:szCs w:val="20"/>
        </w:rPr>
        <w:t>.</w:t>
      </w:r>
    </w:p>
    <w:p w14:paraId="7E192388" w14:textId="77777777" w:rsidR="00852C82" w:rsidRDefault="00200A5D" w:rsidP="00200A5D">
      <w:pPr>
        <w:tabs>
          <w:tab w:val="right" w:leader="hyphen" w:pos="9072"/>
        </w:tabs>
        <w:spacing w:before="120" w:after="120"/>
        <w:jc w:val="both"/>
        <w:rPr>
          <w:sz w:val="20"/>
          <w:szCs w:val="20"/>
        </w:rPr>
      </w:pPr>
      <w:r w:rsidRPr="00200A5D">
        <w:rPr>
          <w:sz w:val="20"/>
          <w:szCs w:val="20"/>
        </w:rPr>
        <w:t>Source: Analysis results from Smart PLS 4</w:t>
      </w:r>
    </w:p>
    <w:p w14:paraId="25751FA7" w14:textId="77777777" w:rsidR="00833AEE" w:rsidRPr="003B6D56" w:rsidRDefault="00833AEE" w:rsidP="003B6D56">
      <w:pPr>
        <w:tabs>
          <w:tab w:val="right" w:leader="hyphen" w:pos="9072"/>
        </w:tabs>
        <w:spacing w:before="120" w:after="120"/>
        <w:jc w:val="both"/>
        <w:rPr>
          <w:sz w:val="20"/>
          <w:szCs w:val="20"/>
        </w:rPr>
      </w:pPr>
      <w:r w:rsidRPr="003B6D56">
        <w:rPr>
          <w:sz w:val="20"/>
          <w:szCs w:val="20"/>
        </w:rPr>
        <w:t>Table 6 presents the results of Bootstrap 5,000 testing of the research model.</w:t>
      </w:r>
    </w:p>
    <w:p w14:paraId="194C1E44" w14:textId="36B56D4F" w:rsidR="00574AD0" w:rsidRPr="001350AB" w:rsidRDefault="00574AD0" w:rsidP="00574AD0">
      <w:pPr>
        <w:pStyle w:val="Caption"/>
        <w:keepNext/>
        <w:spacing w:before="240" w:after="120"/>
        <w:rPr>
          <w:sz w:val="20"/>
          <w:szCs w:val="20"/>
        </w:rPr>
      </w:pPr>
      <w:proofErr w:type="gramStart"/>
      <w:r w:rsidRPr="00574AD0">
        <w:rPr>
          <w:b/>
          <w:sz w:val="20"/>
          <w:szCs w:val="20"/>
        </w:rPr>
        <w:t xml:space="preserve">Table </w:t>
      </w:r>
      <w:r w:rsidRPr="00574AD0">
        <w:rPr>
          <w:b/>
          <w:sz w:val="20"/>
          <w:szCs w:val="20"/>
        </w:rPr>
        <w:fldChar w:fldCharType="begin"/>
      </w:r>
      <w:r w:rsidRPr="00574AD0">
        <w:rPr>
          <w:b/>
          <w:sz w:val="20"/>
          <w:szCs w:val="20"/>
        </w:rPr>
        <w:instrText xml:space="preserve"> SEQ Bảng_ \* ARABIC </w:instrText>
      </w:r>
      <w:r w:rsidRPr="00574AD0">
        <w:rPr>
          <w:b/>
          <w:sz w:val="20"/>
          <w:szCs w:val="20"/>
        </w:rPr>
        <w:fldChar w:fldCharType="separate"/>
      </w:r>
      <w:r w:rsidRPr="00574AD0">
        <w:rPr>
          <w:b/>
          <w:noProof/>
          <w:sz w:val="20"/>
          <w:szCs w:val="20"/>
        </w:rPr>
        <w:t>6</w:t>
      </w:r>
      <w:r w:rsidR="001350AB">
        <w:rPr>
          <w:b/>
          <w:noProof/>
          <w:sz w:val="20"/>
          <w:szCs w:val="20"/>
        </w:rPr>
        <w:t>.</w:t>
      </w:r>
      <w:proofErr w:type="gramEnd"/>
      <w:r w:rsidRPr="00574AD0">
        <w:rPr>
          <w:b/>
          <w:noProof/>
          <w:sz w:val="20"/>
          <w:szCs w:val="20"/>
        </w:rPr>
        <w:t xml:space="preserve"> </w:t>
      </w:r>
      <w:r w:rsidRPr="00574AD0">
        <w:rPr>
          <w:b/>
          <w:sz w:val="20"/>
          <w:szCs w:val="20"/>
        </w:rPr>
        <w:fldChar w:fldCharType="end"/>
      </w:r>
      <w:r w:rsidRPr="00574AD0">
        <w:rPr>
          <w:b/>
          <w:sz w:val="20"/>
          <w:szCs w:val="20"/>
        </w:rPr>
        <w:t xml:space="preserve"> </w:t>
      </w:r>
      <w:r w:rsidRPr="001350AB">
        <w:rPr>
          <w:sz w:val="20"/>
          <w:szCs w:val="20"/>
        </w:rPr>
        <w:t>Test results</w:t>
      </w:r>
      <w:r w:rsidR="001350AB">
        <w:rPr>
          <w:sz w:val="20"/>
          <w:szCs w:val="20"/>
        </w:rPr>
        <w:t>.</w:t>
      </w:r>
    </w:p>
    <w:tbl>
      <w:tblPr>
        <w:tblW w:w="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75"/>
        <w:gridCol w:w="802"/>
        <w:gridCol w:w="953"/>
        <w:gridCol w:w="666"/>
        <w:gridCol w:w="700"/>
      </w:tblGrid>
      <w:tr w:rsidR="005C3309" w14:paraId="26503D77" w14:textId="77777777" w:rsidTr="005C3309">
        <w:trPr>
          <w:trHeight w:val="330"/>
        </w:trPr>
        <w:tc>
          <w:tcPr>
            <w:tcW w:w="721" w:type="dxa"/>
            <w:shd w:val="clear" w:color="auto" w:fill="auto"/>
            <w:noWrap/>
            <w:vAlign w:val="center"/>
            <w:hideMark/>
          </w:tcPr>
          <w:p w14:paraId="025EA179" w14:textId="77777777" w:rsidR="00381021" w:rsidRDefault="00381021" w:rsidP="00B17ADE">
            <w:pPr>
              <w:rPr>
                <w:rFonts w:ascii="Calibri" w:hAnsi="Calibri" w:cs="Calibri"/>
                <w:color w:val="000000"/>
              </w:rPr>
            </w:pPr>
            <w:r>
              <w:rPr>
                <w:rFonts w:ascii="Calibri" w:hAnsi="Calibri" w:cs="Calibri"/>
                <w:color w:val="000000"/>
              </w:rPr>
              <w:t> </w:t>
            </w:r>
          </w:p>
        </w:tc>
        <w:tc>
          <w:tcPr>
            <w:tcW w:w="846" w:type="dxa"/>
            <w:shd w:val="clear" w:color="auto" w:fill="auto"/>
            <w:noWrap/>
            <w:vAlign w:val="center"/>
            <w:hideMark/>
          </w:tcPr>
          <w:p w14:paraId="03655163" w14:textId="77777777" w:rsidR="00381021" w:rsidRPr="00033672" w:rsidRDefault="00381021" w:rsidP="00B17ADE">
            <w:pPr>
              <w:jc w:val="center"/>
              <w:rPr>
                <w:rFonts w:ascii="Times New Roman Bold" w:hAnsi="Times New Roman Bold"/>
                <w:b/>
                <w:bCs/>
                <w:color w:val="000000"/>
                <w:spacing w:val="-8"/>
                <w:sz w:val="20"/>
                <w:szCs w:val="20"/>
              </w:rPr>
            </w:pPr>
            <w:r w:rsidRPr="00033672">
              <w:rPr>
                <w:rFonts w:ascii="Times New Roman Bold" w:hAnsi="Times New Roman Bold"/>
                <w:b/>
                <w:bCs/>
                <w:color w:val="000000"/>
                <w:spacing w:val="-8"/>
                <w:sz w:val="20"/>
                <w:szCs w:val="20"/>
              </w:rPr>
              <w:t>Original sample</w:t>
            </w:r>
          </w:p>
        </w:tc>
        <w:tc>
          <w:tcPr>
            <w:tcW w:w="776" w:type="dxa"/>
            <w:shd w:val="clear" w:color="auto" w:fill="auto"/>
            <w:noWrap/>
            <w:vAlign w:val="center"/>
            <w:hideMark/>
          </w:tcPr>
          <w:p w14:paraId="60EFFFCF" w14:textId="77777777" w:rsidR="00381021" w:rsidRPr="00033672" w:rsidRDefault="00381021" w:rsidP="00B17ADE">
            <w:pPr>
              <w:jc w:val="center"/>
              <w:rPr>
                <w:rFonts w:ascii="Times New Roman Bold" w:hAnsi="Times New Roman Bold"/>
                <w:b/>
                <w:bCs/>
                <w:color w:val="000000"/>
                <w:spacing w:val="-8"/>
                <w:sz w:val="20"/>
                <w:szCs w:val="20"/>
              </w:rPr>
            </w:pPr>
            <w:r w:rsidRPr="00033672">
              <w:rPr>
                <w:rFonts w:ascii="Times New Roman Bold" w:hAnsi="Times New Roman Bold"/>
                <w:b/>
                <w:bCs/>
                <w:color w:val="000000"/>
                <w:spacing w:val="-8"/>
                <w:sz w:val="20"/>
                <w:szCs w:val="20"/>
              </w:rPr>
              <w:t>Sample mean</w:t>
            </w:r>
          </w:p>
        </w:tc>
        <w:tc>
          <w:tcPr>
            <w:tcW w:w="921" w:type="dxa"/>
            <w:shd w:val="clear" w:color="auto" w:fill="auto"/>
            <w:noWrap/>
            <w:vAlign w:val="center"/>
            <w:hideMark/>
          </w:tcPr>
          <w:p w14:paraId="7235858C" w14:textId="77777777" w:rsidR="00381021" w:rsidRPr="00033672" w:rsidRDefault="00381021" w:rsidP="00B17ADE">
            <w:pPr>
              <w:jc w:val="center"/>
              <w:rPr>
                <w:rFonts w:ascii="Times New Roman Bold" w:hAnsi="Times New Roman Bold"/>
                <w:b/>
                <w:bCs/>
                <w:color w:val="000000"/>
                <w:spacing w:val="-8"/>
                <w:sz w:val="20"/>
                <w:szCs w:val="20"/>
              </w:rPr>
            </w:pPr>
            <w:r w:rsidRPr="00033672">
              <w:rPr>
                <w:rFonts w:ascii="Times New Roman Bold" w:hAnsi="Times New Roman Bold"/>
                <w:b/>
                <w:bCs/>
                <w:color w:val="000000"/>
                <w:spacing w:val="-8"/>
                <w:sz w:val="20"/>
                <w:szCs w:val="20"/>
              </w:rPr>
              <w:t>Standard deviation</w:t>
            </w:r>
          </w:p>
        </w:tc>
        <w:tc>
          <w:tcPr>
            <w:tcW w:w="646" w:type="dxa"/>
            <w:shd w:val="clear" w:color="auto" w:fill="auto"/>
            <w:noWrap/>
            <w:vAlign w:val="center"/>
            <w:hideMark/>
          </w:tcPr>
          <w:p w14:paraId="0A514938" w14:textId="77777777" w:rsidR="00381021" w:rsidRPr="00033672" w:rsidRDefault="00381021" w:rsidP="00B17ADE">
            <w:pPr>
              <w:jc w:val="center"/>
              <w:rPr>
                <w:rFonts w:ascii="Times New Roman Bold" w:hAnsi="Times New Roman Bold"/>
                <w:b/>
                <w:bCs/>
                <w:color w:val="000000"/>
                <w:spacing w:val="-8"/>
                <w:sz w:val="20"/>
                <w:szCs w:val="20"/>
              </w:rPr>
            </w:pPr>
            <w:r w:rsidRPr="00033672">
              <w:rPr>
                <w:rFonts w:ascii="Times New Roman Bold" w:hAnsi="Times New Roman Bold"/>
                <w:b/>
                <w:bCs/>
                <w:color w:val="000000"/>
                <w:spacing w:val="-8"/>
                <w:sz w:val="20"/>
                <w:szCs w:val="20"/>
              </w:rPr>
              <w:t>t-value</w:t>
            </w:r>
          </w:p>
        </w:tc>
        <w:tc>
          <w:tcPr>
            <w:tcW w:w="700" w:type="dxa"/>
            <w:shd w:val="clear" w:color="auto" w:fill="auto"/>
            <w:noWrap/>
            <w:vAlign w:val="center"/>
            <w:hideMark/>
          </w:tcPr>
          <w:p w14:paraId="6B729879" w14:textId="77777777" w:rsidR="00381021" w:rsidRPr="00033672" w:rsidRDefault="00381021" w:rsidP="00B17ADE">
            <w:pPr>
              <w:jc w:val="center"/>
              <w:rPr>
                <w:rFonts w:ascii="Times New Roman Bold" w:hAnsi="Times New Roman Bold"/>
                <w:b/>
                <w:bCs/>
                <w:color w:val="000000"/>
                <w:spacing w:val="-8"/>
                <w:sz w:val="20"/>
                <w:szCs w:val="20"/>
              </w:rPr>
            </w:pPr>
            <w:r w:rsidRPr="00033672">
              <w:rPr>
                <w:rFonts w:ascii="Times New Roman Bold" w:hAnsi="Times New Roman Bold"/>
                <w:b/>
                <w:bCs/>
                <w:color w:val="000000"/>
                <w:spacing w:val="-8"/>
                <w:sz w:val="20"/>
                <w:szCs w:val="20"/>
              </w:rPr>
              <w:t>p-value</w:t>
            </w:r>
          </w:p>
        </w:tc>
      </w:tr>
      <w:tr w:rsidR="00381021" w14:paraId="53BA2FF1" w14:textId="77777777" w:rsidTr="005C3309">
        <w:trPr>
          <w:trHeight w:val="315"/>
        </w:trPr>
        <w:tc>
          <w:tcPr>
            <w:tcW w:w="4611" w:type="dxa"/>
            <w:gridSpan w:val="6"/>
            <w:shd w:val="clear" w:color="auto" w:fill="auto"/>
            <w:noWrap/>
            <w:vAlign w:val="center"/>
            <w:hideMark/>
          </w:tcPr>
          <w:p w14:paraId="6F52BA18" w14:textId="77777777" w:rsidR="00381021" w:rsidRDefault="00381021" w:rsidP="00B17ADE">
            <w:pPr>
              <w:jc w:val="center"/>
              <w:rPr>
                <w:b/>
                <w:bCs/>
                <w:color w:val="000000"/>
                <w:sz w:val="20"/>
                <w:szCs w:val="20"/>
              </w:rPr>
            </w:pPr>
            <w:r>
              <w:rPr>
                <w:b/>
                <w:bCs/>
                <w:color w:val="000000"/>
                <w:sz w:val="20"/>
                <w:szCs w:val="20"/>
              </w:rPr>
              <w:t>Direct relationship</w:t>
            </w:r>
          </w:p>
        </w:tc>
      </w:tr>
      <w:tr w:rsidR="005C3309" w14:paraId="4729455B" w14:textId="77777777" w:rsidTr="005C3309">
        <w:trPr>
          <w:trHeight w:val="315"/>
        </w:trPr>
        <w:tc>
          <w:tcPr>
            <w:tcW w:w="721" w:type="dxa"/>
            <w:shd w:val="clear" w:color="auto" w:fill="auto"/>
            <w:noWrap/>
            <w:vAlign w:val="center"/>
            <w:hideMark/>
          </w:tcPr>
          <w:p w14:paraId="28CE08E5" w14:textId="77777777" w:rsidR="00381021" w:rsidRPr="00BC3CD4" w:rsidRDefault="00381021" w:rsidP="00B17ADE">
            <w:pPr>
              <w:rPr>
                <w:color w:val="000000"/>
                <w:spacing w:val="-6"/>
                <w:sz w:val="20"/>
                <w:szCs w:val="20"/>
              </w:rPr>
            </w:pPr>
            <w:r w:rsidRPr="00BC3CD4">
              <w:rPr>
                <w:color w:val="000000"/>
                <w:spacing w:val="-6"/>
                <w:sz w:val="20"/>
                <w:szCs w:val="20"/>
              </w:rPr>
              <w:t>BSIZE -&gt; FP</w:t>
            </w:r>
          </w:p>
        </w:tc>
        <w:tc>
          <w:tcPr>
            <w:tcW w:w="846" w:type="dxa"/>
            <w:shd w:val="clear" w:color="auto" w:fill="auto"/>
            <w:noWrap/>
            <w:vAlign w:val="center"/>
            <w:hideMark/>
          </w:tcPr>
          <w:p w14:paraId="0337F297" w14:textId="77777777" w:rsidR="00381021" w:rsidRDefault="00381021" w:rsidP="00B17ADE">
            <w:pPr>
              <w:jc w:val="right"/>
              <w:rPr>
                <w:color w:val="000000"/>
                <w:sz w:val="20"/>
                <w:szCs w:val="20"/>
              </w:rPr>
            </w:pPr>
            <w:r>
              <w:rPr>
                <w:color w:val="000000"/>
                <w:sz w:val="20"/>
                <w:szCs w:val="20"/>
              </w:rPr>
              <w:t>0.150</w:t>
            </w:r>
          </w:p>
        </w:tc>
        <w:tc>
          <w:tcPr>
            <w:tcW w:w="776" w:type="dxa"/>
            <w:shd w:val="clear" w:color="auto" w:fill="auto"/>
            <w:noWrap/>
            <w:vAlign w:val="center"/>
            <w:hideMark/>
          </w:tcPr>
          <w:p w14:paraId="14624394" w14:textId="77777777" w:rsidR="00381021" w:rsidRDefault="00381021" w:rsidP="00B17ADE">
            <w:pPr>
              <w:jc w:val="right"/>
              <w:rPr>
                <w:color w:val="000000"/>
                <w:sz w:val="20"/>
                <w:szCs w:val="20"/>
              </w:rPr>
            </w:pPr>
            <w:r>
              <w:rPr>
                <w:color w:val="000000"/>
                <w:sz w:val="20"/>
                <w:szCs w:val="20"/>
              </w:rPr>
              <w:t>0.145</w:t>
            </w:r>
          </w:p>
        </w:tc>
        <w:tc>
          <w:tcPr>
            <w:tcW w:w="921" w:type="dxa"/>
            <w:shd w:val="clear" w:color="auto" w:fill="auto"/>
            <w:noWrap/>
            <w:vAlign w:val="center"/>
            <w:hideMark/>
          </w:tcPr>
          <w:p w14:paraId="18C74B81" w14:textId="77777777" w:rsidR="00381021" w:rsidRDefault="00381021" w:rsidP="00B17ADE">
            <w:pPr>
              <w:jc w:val="right"/>
              <w:rPr>
                <w:color w:val="000000"/>
                <w:sz w:val="20"/>
                <w:szCs w:val="20"/>
              </w:rPr>
            </w:pPr>
            <w:r>
              <w:rPr>
                <w:color w:val="000000"/>
                <w:sz w:val="20"/>
                <w:szCs w:val="20"/>
              </w:rPr>
              <w:t>0.053</w:t>
            </w:r>
          </w:p>
        </w:tc>
        <w:tc>
          <w:tcPr>
            <w:tcW w:w="646" w:type="dxa"/>
            <w:shd w:val="clear" w:color="auto" w:fill="auto"/>
            <w:noWrap/>
            <w:vAlign w:val="center"/>
            <w:hideMark/>
          </w:tcPr>
          <w:p w14:paraId="30A849F6" w14:textId="77777777" w:rsidR="00381021" w:rsidRDefault="00381021" w:rsidP="00B17ADE">
            <w:pPr>
              <w:jc w:val="right"/>
              <w:rPr>
                <w:color w:val="000000"/>
                <w:sz w:val="20"/>
                <w:szCs w:val="20"/>
              </w:rPr>
            </w:pPr>
            <w:r>
              <w:rPr>
                <w:color w:val="000000"/>
                <w:sz w:val="20"/>
                <w:szCs w:val="20"/>
              </w:rPr>
              <w:t>2.810</w:t>
            </w:r>
          </w:p>
        </w:tc>
        <w:tc>
          <w:tcPr>
            <w:tcW w:w="700" w:type="dxa"/>
            <w:shd w:val="clear" w:color="auto" w:fill="auto"/>
            <w:noWrap/>
            <w:vAlign w:val="center"/>
            <w:hideMark/>
          </w:tcPr>
          <w:p w14:paraId="432A41C0" w14:textId="77777777" w:rsidR="00381021" w:rsidRDefault="00381021" w:rsidP="00B17ADE">
            <w:pPr>
              <w:jc w:val="right"/>
              <w:rPr>
                <w:color w:val="000000"/>
                <w:sz w:val="20"/>
                <w:szCs w:val="20"/>
              </w:rPr>
            </w:pPr>
            <w:r>
              <w:rPr>
                <w:color w:val="000000"/>
                <w:sz w:val="20"/>
                <w:szCs w:val="20"/>
              </w:rPr>
              <w:t>0.005</w:t>
            </w:r>
          </w:p>
        </w:tc>
      </w:tr>
      <w:tr w:rsidR="005C3309" w14:paraId="32AEC6CC" w14:textId="77777777" w:rsidTr="005C3309">
        <w:trPr>
          <w:trHeight w:val="315"/>
        </w:trPr>
        <w:tc>
          <w:tcPr>
            <w:tcW w:w="721" w:type="dxa"/>
            <w:shd w:val="clear" w:color="auto" w:fill="auto"/>
            <w:noWrap/>
            <w:vAlign w:val="center"/>
            <w:hideMark/>
          </w:tcPr>
          <w:p w14:paraId="15568F66" w14:textId="6AFA331B" w:rsidR="00381021" w:rsidRPr="005C3309" w:rsidRDefault="00381021" w:rsidP="00B17ADE">
            <w:pPr>
              <w:rPr>
                <w:color w:val="000000"/>
                <w:spacing w:val="-8"/>
                <w:sz w:val="20"/>
                <w:szCs w:val="20"/>
              </w:rPr>
            </w:pPr>
            <w:r w:rsidRPr="005C3309">
              <w:rPr>
                <w:color w:val="000000"/>
                <w:spacing w:val="-8"/>
                <w:sz w:val="20"/>
                <w:szCs w:val="20"/>
              </w:rPr>
              <w:t>BSIZE -&gt;</w:t>
            </w:r>
            <w:r w:rsidR="005C3309" w:rsidRPr="005C3309">
              <w:rPr>
                <w:color w:val="000000"/>
                <w:spacing w:val="-8"/>
                <w:sz w:val="20"/>
                <w:szCs w:val="20"/>
              </w:rPr>
              <w:t xml:space="preserve"> </w:t>
            </w:r>
            <w:r w:rsidRPr="005C3309">
              <w:rPr>
                <w:color w:val="000000"/>
                <w:spacing w:val="-8"/>
                <w:sz w:val="20"/>
                <w:szCs w:val="20"/>
              </w:rPr>
              <w:t>ESG</w:t>
            </w:r>
          </w:p>
        </w:tc>
        <w:tc>
          <w:tcPr>
            <w:tcW w:w="846" w:type="dxa"/>
            <w:shd w:val="clear" w:color="auto" w:fill="auto"/>
            <w:noWrap/>
            <w:vAlign w:val="center"/>
            <w:hideMark/>
          </w:tcPr>
          <w:p w14:paraId="34C7FFA4" w14:textId="77777777" w:rsidR="00381021" w:rsidRDefault="00381021" w:rsidP="00B17ADE">
            <w:pPr>
              <w:jc w:val="right"/>
              <w:rPr>
                <w:color w:val="000000"/>
                <w:sz w:val="20"/>
                <w:szCs w:val="20"/>
              </w:rPr>
            </w:pPr>
            <w:r>
              <w:rPr>
                <w:color w:val="000000"/>
                <w:sz w:val="20"/>
                <w:szCs w:val="20"/>
              </w:rPr>
              <w:t>0.185</w:t>
            </w:r>
          </w:p>
        </w:tc>
        <w:tc>
          <w:tcPr>
            <w:tcW w:w="776" w:type="dxa"/>
            <w:shd w:val="clear" w:color="auto" w:fill="auto"/>
            <w:noWrap/>
            <w:vAlign w:val="center"/>
            <w:hideMark/>
          </w:tcPr>
          <w:p w14:paraId="77A70A45" w14:textId="77777777" w:rsidR="00381021" w:rsidRDefault="00381021" w:rsidP="00B17ADE">
            <w:pPr>
              <w:jc w:val="right"/>
              <w:rPr>
                <w:color w:val="000000"/>
                <w:sz w:val="20"/>
                <w:szCs w:val="20"/>
              </w:rPr>
            </w:pPr>
            <w:r>
              <w:rPr>
                <w:color w:val="000000"/>
                <w:sz w:val="20"/>
                <w:szCs w:val="20"/>
              </w:rPr>
              <w:t>0.190</w:t>
            </w:r>
          </w:p>
        </w:tc>
        <w:tc>
          <w:tcPr>
            <w:tcW w:w="921" w:type="dxa"/>
            <w:shd w:val="clear" w:color="auto" w:fill="auto"/>
            <w:noWrap/>
            <w:vAlign w:val="center"/>
            <w:hideMark/>
          </w:tcPr>
          <w:p w14:paraId="5E41F525" w14:textId="77777777" w:rsidR="00381021" w:rsidRDefault="00381021" w:rsidP="00B17ADE">
            <w:pPr>
              <w:jc w:val="right"/>
              <w:rPr>
                <w:color w:val="000000"/>
                <w:sz w:val="20"/>
                <w:szCs w:val="20"/>
              </w:rPr>
            </w:pPr>
            <w:r>
              <w:rPr>
                <w:color w:val="000000"/>
                <w:sz w:val="20"/>
                <w:szCs w:val="20"/>
              </w:rPr>
              <w:t>0.075</w:t>
            </w:r>
          </w:p>
        </w:tc>
        <w:tc>
          <w:tcPr>
            <w:tcW w:w="646" w:type="dxa"/>
            <w:shd w:val="clear" w:color="auto" w:fill="auto"/>
            <w:noWrap/>
            <w:vAlign w:val="center"/>
            <w:hideMark/>
          </w:tcPr>
          <w:p w14:paraId="236684DA" w14:textId="77777777" w:rsidR="00381021" w:rsidRDefault="00381021" w:rsidP="00B17ADE">
            <w:pPr>
              <w:jc w:val="right"/>
              <w:rPr>
                <w:color w:val="000000"/>
                <w:sz w:val="20"/>
                <w:szCs w:val="20"/>
              </w:rPr>
            </w:pPr>
            <w:r>
              <w:rPr>
                <w:color w:val="000000"/>
                <w:sz w:val="20"/>
                <w:szCs w:val="20"/>
              </w:rPr>
              <w:t>2.466</w:t>
            </w:r>
          </w:p>
        </w:tc>
        <w:tc>
          <w:tcPr>
            <w:tcW w:w="700" w:type="dxa"/>
            <w:shd w:val="clear" w:color="auto" w:fill="auto"/>
            <w:noWrap/>
            <w:vAlign w:val="center"/>
            <w:hideMark/>
          </w:tcPr>
          <w:p w14:paraId="2F037511" w14:textId="77777777" w:rsidR="00381021" w:rsidRDefault="00381021" w:rsidP="00B17ADE">
            <w:pPr>
              <w:jc w:val="right"/>
              <w:rPr>
                <w:color w:val="000000"/>
                <w:sz w:val="20"/>
                <w:szCs w:val="20"/>
              </w:rPr>
            </w:pPr>
            <w:r>
              <w:rPr>
                <w:color w:val="000000"/>
                <w:sz w:val="20"/>
                <w:szCs w:val="20"/>
              </w:rPr>
              <w:t>0.014</w:t>
            </w:r>
          </w:p>
        </w:tc>
      </w:tr>
      <w:tr w:rsidR="005C3309" w14:paraId="172C1AE0" w14:textId="77777777" w:rsidTr="005C3309">
        <w:trPr>
          <w:trHeight w:val="315"/>
        </w:trPr>
        <w:tc>
          <w:tcPr>
            <w:tcW w:w="721" w:type="dxa"/>
            <w:shd w:val="clear" w:color="auto" w:fill="auto"/>
            <w:noWrap/>
            <w:vAlign w:val="center"/>
            <w:hideMark/>
          </w:tcPr>
          <w:p w14:paraId="629389B6" w14:textId="77777777" w:rsidR="005C3309" w:rsidRDefault="00381021" w:rsidP="00B17ADE">
            <w:pPr>
              <w:rPr>
                <w:color w:val="000000"/>
                <w:spacing w:val="-6"/>
                <w:sz w:val="20"/>
                <w:szCs w:val="20"/>
              </w:rPr>
            </w:pPr>
            <w:r w:rsidRPr="00BC3CD4">
              <w:rPr>
                <w:color w:val="000000"/>
                <w:spacing w:val="-6"/>
                <w:sz w:val="20"/>
                <w:szCs w:val="20"/>
              </w:rPr>
              <w:t xml:space="preserve">ESG </w:t>
            </w:r>
          </w:p>
          <w:p w14:paraId="760D4DBB" w14:textId="4363B13F" w:rsidR="00381021" w:rsidRPr="00BC3CD4" w:rsidRDefault="00381021" w:rsidP="00B17ADE">
            <w:pPr>
              <w:rPr>
                <w:color w:val="000000"/>
                <w:spacing w:val="-6"/>
                <w:sz w:val="20"/>
                <w:szCs w:val="20"/>
              </w:rPr>
            </w:pPr>
            <w:r w:rsidRPr="00BC3CD4">
              <w:rPr>
                <w:color w:val="000000"/>
                <w:spacing w:val="-6"/>
                <w:sz w:val="20"/>
                <w:szCs w:val="20"/>
              </w:rPr>
              <w:t>-&gt; FP</w:t>
            </w:r>
          </w:p>
        </w:tc>
        <w:tc>
          <w:tcPr>
            <w:tcW w:w="846" w:type="dxa"/>
            <w:shd w:val="clear" w:color="auto" w:fill="auto"/>
            <w:noWrap/>
            <w:vAlign w:val="center"/>
            <w:hideMark/>
          </w:tcPr>
          <w:p w14:paraId="776C0607" w14:textId="77777777" w:rsidR="00381021" w:rsidRDefault="00381021" w:rsidP="00B17ADE">
            <w:pPr>
              <w:jc w:val="right"/>
              <w:rPr>
                <w:color w:val="000000"/>
                <w:sz w:val="20"/>
                <w:szCs w:val="20"/>
              </w:rPr>
            </w:pPr>
            <w:r>
              <w:rPr>
                <w:color w:val="000000"/>
                <w:sz w:val="20"/>
                <w:szCs w:val="20"/>
              </w:rPr>
              <w:t>0.267</w:t>
            </w:r>
          </w:p>
        </w:tc>
        <w:tc>
          <w:tcPr>
            <w:tcW w:w="776" w:type="dxa"/>
            <w:shd w:val="clear" w:color="auto" w:fill="auto"/>
            <w:noWrap/>
            <w:vAlign w:val="center"/>
            <w:hideMark/>
          </w:tcPr>
          <w:p w14:paraId="06302791" w14:textId="77777777" w:rsidR="00381021" w:rsidRDefault="00381021" w:rsidP="00B17ADE">
            <w:pPr>
              <w:jc w:val="right"/>
              <w:rPr>
                <w:color w:val="000000"/>
                <w:sz w:val="20"/>
                <w:szCs w:val="20"/>
              </w:rPr>
            </w:pPr>
            <w:r>
              <w:rPr>
                <w:color w:val="000000"/>
                <w:sz w:val="20"/>
                <w:szCs w:val="20"/>
              </w:rPr>
              <w:t>0.274</w:t>
            </w:r>
          </w:p>
        </w:tc>
        <w:tc>
          <w:tcPr>
            <w:tcW w:w="921" w:type="dxa"/>
            <w:shd w:val="clear" w:color="auto" w:fill="auto"/>
            <w:noWrap/>
            <w:vAlign w:val="center"/>
            <w:hideMark/>
          </w:tcPr>
          <w:p w14:paraId="006AA43F" w14:textId="77777777" w:rsidR="00381021" w:rsidRDefault="00381021" w:rsidP="00B17ADE">
            <w:pPr>
              <w:jc w:val="right"/>
              <w:rPr>
                <w:color w:val="000000"/>
                <w:sz w:val="20"/>
                <w:szCs w:val="20"/>
              </w:rPr>
            </w:pPr>
            <w:r>
              <w:rPr>
                <w:color w:val="000000"/>
                <w:sz w:val="20"/>
                <w:szCs w:val="20"/>
              </w:rPr>
              <w:t>0.060</w:t>
            </w:r>
          </w:p>
        </w:tc>
        <w:tc>
          <w:tcPr>
            <w:tcW w:w="646" w:type="dxa"/>
            <w:shd w:val="clear" w:color="auto" w:fill="auto"/>
            <w:noWrap/>
            <w:vAlign w:val="center"/>
            <w:hideMark/>
          </w:tcPr>
          <w:p w14:paraId="162BABB4" w14:textId="77777777" w:rsidR="00381021" w:rsidRDefault="00381021" w:rsidP="00B17ADE">
            <w:pPr>
              <w:jc w:val="right"/>
              <w:rPr>
                <w:color w:val="000000"/>
                <w:sz w:val="20"/>
                <w:szCs w:val="20"/>
              </w:rPr>
            </w:pPr>
            <w:r>
              <w:rPr>
                <w:color w:val="000000"/>
                <w:sz w:val="20"/>
                <w:szCs w:val="20"/>
              </w:rPr>
              <w:t>4.488</w:t>
            </w:r>
          </w:p>
        </w:tc>
        <w:tc>
          <w:tcPr>
            <w:tcW w:w="700" w:type="dxa"/>
            <w:shd w:val="clear" w:color="auto" w:fill="auto"/>
            <w:noWrap/>
            <w:vAlign w:val="center"/>
            <w:hideMark/>
          </w:tcPr>
          <w:p w14:paraId="2466CF51" w14:textId="77777777" w:rsidR="00381021" w:rsidRDefault="00381021" w:rsidP="00B17ADE">
            <w:pPr>
              <w:jc w:val="right"/>
              <w:rPr>
                <w:color w:val="000000"/>
                <w:sz w:val="20"/>
                <w:szCs w:val="20"/>
              </w:rPr>
            </w:pPr>
            <w:r>
              <w:rPr>
                <w:color w:val="000000"/>
                <w:sz w:val="20"/>
                <w:szCs w:val="20"/>
              </w:rPr>
              <w:t>0.000</w:t>
            </w:r>
          </w:p>
        </w:tc>
      </w:tr>
      <w:tr w:rsidR="005C3309" w14:paraId="7ACA6CCB" w14:textId="77777777" w:rsidTr="005C3309">
        <w:trPr>
          <w:trHeight w:val="315"/>
        </w:trPr>
        <w:tc>
          <w:tcPr>
            <w:tcW w:w="721" w:type="dxa"/>
            <w:shd w:val="clear" w:color="auto" w:fill="auto"/>
            <w:noWrap/>
            <w:vAlign w:val="center"/>
            <w:hideMark/>
          </w:tcPr>
          <w:p w14:paraId="69A1B19F" w14:textId="77777777" w:rsidR="005C3309" w:rsidRDefault="00381021" w:rsidP="00B17ADE">
            <w:pPr>
              <w:rPr>
                <w:color w:val="000000"/>
                <w:spacing w:val="-6"/>
                <w:sz w:val="20"/>
                <w:szCs w:val="20"/>
              </w:rPr>
            </w:pPr>
            <w:r w:rsidRPr="00BC3CD4">
              <w:rPr>
                <w:color w:val="000000"/>
                <w:spacing w:val="-6"/>
                <w:sz w:val="20"/>
                <w:szCs w:val="20"/>
              </w:rPr>
              <w:t xml:space="preserve">LEV </w:t>
            </w:r>
          </w:p>
          <w:p w14:paraId="120FC74D" w14:textId="6F27EC50" w:rsidR="00381021" w:rsidRPr="00BC3CD4" w:rsidRDefault="00381021" w:rsidP="00B17ADE">
            <w:pPr>
              <w:rPr>
                <w:color w:val="000000"/>
                <w:spacing w:val="-6"/>
                <w:sz w:val="20"/>
                <w:szCs w:val="20"/>
              </w:rPr>
            </w:pPr>
            <w:r w:rsidRPr="00BC3CD4">
              <w:rPr>
                <w:color w:val="000000"/>
                <w:spacing w:val="-6"/>
                <w:sz w:val="20"/>
                <w:szCs w:val="20"/>
              </w:rPr>
              <w:t>-&gt; FP</w:t>
            </w:r>
          </w:p>
        </w:tc>
        <w:tc>
          <w:tcPr>
            <w:tcW w:w="846" w:type="dxa"/>
            <w:shd w:val="clear" w:color="auto" w:fill="auto"/>
            <w:noWrap/>
            <w:vAlign w:val="center"/>
            <w:hideMark/>
          </w:tcPr>
          <w:p w14:paraId="025D8E7C" w14:textId="77777777" w:rsidR="00381021" w:rsidRDefault="00381021" w:rsidP="00B17ADE">
            <w:pPr>
              <w:jc w:val="right"/>
              <w:rPr>
                <w:color w:val="000000"/>
                <w:sz w:val="20"/>
                <w:szCs w:val="20"/>
              </w:rPr>
            </w:pPr>
            <w:r>
              <w:rPr>
                <w:color w:val="000000"/>
                <w:sz w:val="20"/>
                <w:szCs w:val="20"/>
              </w:rPr>
              <w:t>-0.322</w:t>
            </w:r>
          </w:p>
        </w:tc>
        <w:tc>
          <w:tcPr>
            <w:tcW w:w="776" w:type="dxa"/>
            <w:shd w:val="clear" w:color="auto" w:fill="auto"/>
            <w:noWrap/>
            <w:vAlign w:val="center"/>
            <w:hideMark/>
          </w:tcPr>
          <w:p w14:paraId="5A2FDB0A" w14:textId="77777777" w:rsidR="00381021" w:rsidRDefault="00381021" w:rsidP="00B17ADE">
            <w:pPr>
              <w:jc w:val="right"/>
              <w:rPr>
                <w:color w:val="000000"/>
                <w:sz w:val="20"/>
                <w:szCs w:val="20"/>
              </w:rPr>
            </w:pPr>
            <w:r>
              <w:rPr>
                <w:color w:val="000000"/>
                <w:sz w:val="20"/>
                <w:szCs w:val="20"/>
              </w:rPr>
              <w:t>-0.325</w:t>
            </w:r>
          </w:p>
        </w:tc>
        <w:tc>
          <w:tcPr>
            <w:tcW w:w="921" w:type="dxa"/>
            <w:shd w:val="clear" w:color="auto" w:fill="auto"/>
            <w:noWrap/>
            <w:vAlign w:val="center"/>
            <w:hideMark/>
          </w:tcPr>
          <w:p w14:paraId="78F2E25D" w14:textId="77777777" w:rsidR="00381021" w:rsidRDefault="00381021" w:rsidP="00B17ADE">
            <w:pPr>
              <w:jc w:val="right"/>
              <w:rPr>
                <w:color w:val="000000"/>
                <w:sz w:val="20"/>
                <w:szCs w:val="20"/>
              </w:rPr>
            </w:pPr>
            <w:r>
              <w:rPr>
                <w:color w:val="000000"/>
                <w:sz w:val="20"/>
                <w:szCs w:val="20"/>
              </w:rPr>
              <w:t>0.056</w:t>
            </w:r>
          </w:p>
        </w:tc>
        <w:tc>
          <w:tcPr>
            <w:tcW w:w="646" w:type="dxa"/>
            <w:shd w:val="clear" w:color="auto" w:fill="auto"/>
            <w:noWrap/>
            <w:vAlign w:val="center"/>
            <w:hideMark/>
          </w:tcPr>
          <w:p w14:paraId="18E30D23" w14:textId="77777777" w:rsidR="00381021" w:rsidRDefault="00381021" w:rsidP="00B17ADE">
            <w:pPr>
              <w:jc w:val="right"/>
              <w:rPr>
                <w:color w:val="000000"/>
                <w:sz w:val="20"/>
                <w:szCs w:val="20"/>
              </w:rPr>
            </w:pPr>
            <w:r>
              <w:rPr>
                <w:color w:val="000000"/>
                <w:sz w:val="20"/>
                <w:szCs w:val="20"/>
              </w:rPr>
              <w:t>5.703</w:t>
            </w:r>
          </w:p>
        </w:tc>
        <w:tc>
          <w:tcPr>
            <w:tcW w:w="700" w:type="dxa"/>
            <w:shd w:val="clear" w:color="auto" w:fill="auto"/>
            <w:noWrap/>
            <w:vAlign w:val="center"/>
            <w:hideMark/>
          </w:tcPr>
          <w:p w14:paraId="597BBB39" w14:textId="77777777" w:rsidR="00381021" w:rsidRDefault="00381021" w:rsidP="00B17ADE">
            <w:pPr>
              <w:jc w:val="right"/>
              <w:rPr>
                <w:color w:val="000000"/>
                <w:sz w:val="20"/>
                <w:szCs w:val="20"/>
              </w:rPr>
            </w:pPr>
            <w:r>
              <w:rPr>
                <w:color w:val="000000"/>
                <w:sz w:val="20"/>
                <w:szCs w:val="20"/>
              </w:rPr>
              <w:t>0.000</w:t>
            </w:r>
          </w:p>
        </w:tc>
      </w:tr>
      <w:tr w:rsidR="005C3309" w14:paraId="265A21E2" w14:textId="77777777" w:rsidTr="005C3309">
        <w:trPr>
          <w:trHeight w:val="315"/>
        </w:trPr>
        <w:tc>
          <w:tcPr>
            <w:tcW w:w="721" w:type="dxa"/>
            <w:shd w:val="clear" w:color="auto" w:fill="auto"/>
            <w:noWrap/>
            <w:vAlign w:val="center"/>
            <w:hideMark/>
          </w:tcPr>
          <w:p w14:paraId="7B11A65B" w14:textId="77777777" w:rsidR="005C3309" w:rsidRDefault="00381021" w:rsidP="00B17ADE">
            <w:pPr>
              <w:rPr>
                <w:color w:val="000000"/>
                <w:spacing w:val="-6"/>
                <w:sz w:val="20"/>
                <w:szCs w:val="20"/>
              </w:rPr>
            </w:pPr>
            <w:r w:rsidRPr="00BC3CD4">
              <w:rPr>
                <w:color w:val="000000"/>
                <w:spacing w:val="-6"/>
                <w:sz w:val="20"/>
                <w:szCs w:val="20"/>
              </w:rPr>
              <w:t xml:space="preserve">SIZE </w:t>
            </w:r>
          </w:p>
          <w:p w14:paraId="42BCA7F3" w14:textId="5117046D" w:rsidR="00381021" w:rsidRPr="00BC3CD4" w:rsidRDefault="00381021" w:rsidP="00B17ADE">
            <w:pPr>
              <w:rPr>
                <w:color w:val="000000"/>
                <w:spacing w:val="-6"/>
                <w:sz w:val="20"/>
                <w:szCs w:val="20"/>
              </w:rPr>
            </w:pPr>
            <w:r w:rsidRPr="00BC3CD4">
              <w:rPr>
                <w:color w:val="000000"/>
                <w:spacing w:val="-6"/>
                <w:sz w:val="20"/>
                <w:szCs w:val="20"/>
              </w:rPr>
              <w:t>-&gt; FP</w:t>
            </w:r>
          </w:p>
        </w:tc>
        <w:tc>
          <w:tcPr>
            <w:tcW w:w="846" w:type="dxa"/>
            <w:shd w:val="clear" w:color="auto" w:fill="auto"/>
            <w:noWrap/>
            <w:vAlign w:val="center"/>
            <w:hideMark/>
          </w:tcPr>
          <w:p w14:paraId="5A83E706" w14:textId="77777777" w:rsidR="00381021" w:rsidRDefault="00381021" w:rsidP="00B17ADE">
            <w:pPr>
              <w:jc w:val="right"/>
              <w:rPr>
                <w:color w:val="000000"/>
                <w:sz w:val="20"/>
                <w:szCs w:val="20"/>
              </w:rPr>
            </w:pPr>
            <w:r>
              <w:rPr>
                <w:color w:val="000000"/>
                <w:sz w:val="20"/>
                <w:szCs w:val="20"/>
              </w:rPr>
              <w:t>0.093</w:t>
            </w:r>
          </w:p>
        </w:tc>
        <w:tc>
          <w:tcPr>
            <w:tcW w:w="776" w:type="dxa"/>
            <w:shd w:val="clear" w:color="auto" w:fill="auto"/>
            <w:noWrap/>
            <w:vAlign w:val="center"/>
            <w:hideMark/>
          </w:tcPr>
          <w:p w14:paraId="1142B18A" w14:textId="77777777" w:rsidR="00381021" w:rsidRDefault="00381021" w:rsidP="00B17ADE">
            <w:pPr>
              <w:jc w:val="right"/>
              <w:rPr>
                <w:color w:val="000000"/>
                <w:sz w:val="20"/>
                <w:szCs w:val="20"/>
              </w:rPr>
            </w:pPr>
            <w:r>
              <w:rPr>
                <w:color w:val="000000"/>
                <w:sz w:val="20"/>
                <w:szCs w:val="20"/>
              </w:rPr>
              <w:t>0.094</w:t>
            </w:r>
          </w:p>
        </w:tc>
        <w:tc>
          <w:tcPr>
            <w:tcW w:w="921" w:type="dxa"/>
            <w:shd w:val="clear" w:color="auto" w:fill="auto"/>
            <w:noWrap/>
            <w:vAlign w:val="center"/>
            <w:hideMark/>
          </w:tcPr>
          <w:p w14:paraId="46A1C53D" w14:textId="77777777" w:rsidR="00381021" w:rsidRDefault="00381021" w:rsidP="00B17ADE">
            <w:pPr>
              <w:jc w:val="right"/>
              <w:rPr>
                <w:color w:val="000000"/>
                <w:sz w:val="20"/>
                <w:szCs w:val="20"/>
              </w:rPr>
            </w:pPr>
            <w:r>
              <w:rPr>
                <w:color w:val="000000"/>
                <w:sz w:val="20"/>
                <w:szCs w:val="20"/>
              </w:rPr>
              <w:t>0.069</w:t>
            </w:r>
          </w:p>
        </w:tc>
        <w:tc>
          <w:tcPr>
            <w:tcW w:w="646" w:type="dxa"/>
            <w:shd w:val="clear" w:color="auto" w:fill="auto"/>
            <w:noWrap/>
            <w:vAlign w:val="center"/>
            <w:hideMark/>
          </w:tcPr>
          <w:p w14:paraId="4718814A" w14:textId="77777777" w:rsidR="00381021" w:rsidRDefault="00381021" w:rsidP="00B17ADE">
            <w:pPr>
              <w:jc w:val="right"/>
              <w:rPr>
                <w:color w:val="000000"/>
                <w:sz w:val="20"/>
                <w:szCs w:val="20"/>
              </w:rPr>
            </w:pPr>
            <w:r>
              <w:rPr>
                <w:color w:val="000000"/>
                <w:sz w:val="20"/>
                <w:szCs w:val="20"/>
              </w:rPr>
              <w:t>1.346</w:t>
            </w:r>
          </w:p>
        </w:tc>
        <w:tc>
          <w:tcPr>
            <w:tcW w:w="700" w:type="dxa"/>
            <w:shd w:val="clear" w:color="auto" w:fill="auto"/>
            <w:noWrap/>
            <w:vAlign w:val="center"/>
            <w:hideMark/>
          </w:tcPr>
          <w:p w14:paraId="1224BC57" w14:textId="77777777" w:rsidR="00381021" w:rsidRDefault="00381021" w:rsidP="00B17ADE">
            <w:pPr>
              <w:jc w:val="right"/>
              <w:rPr>
                <w:color w:val="000000"/>
                <w:sz w:val="20"/>
                <w:szCs w:val="20"/>
              </w:rPr>
            </w:pPr>
            <w:r>
              <w:rPr>
                <w:color w:val="000000"/>
                <w:sz w:val="20"/>
                <w:szCs w:val="20"/>
              </w:rPr>
              <w:t>0.178</w:t>
            </w:r>
          </w:p>
        </w:tc>
      </w:tr>
      <w:tr w:rsidR="00381021" w14:paraId="2FF0192C" w14:textId="77777777" w:rsidTr="005C3309">
        <w:trPr>
          <w:trHeight w:val="315"/>
        </w:trPr>
        <w:tc>
          <w:tcPr>
            <w:tcW w:w="4611" w:type="dxa"/>
            <w:gridSpan w:val="6"/>
            <w:shd w:val="clear" w:color="auto" w:fill="auto"/>
            <w:noWrap/>
            <w:vAlign w:val="center"/>
            <w:hideMark/>
          </w:tcPr>
          <w:p w14:paraId="6AD2B17E" w14:textId="77777777" w:rsidR="00381021" w:rsidRDefault="00381021" w:rsidP="00B17ADE">
            <w:pPr>
              <w:jc w:val="center"/>
              <w:rPr>
                <w:b/>
                <w:bCs/>
                <w:color w:val="000000"/>
                <w:sz w:val="20"/>
                <w:szCs w:val="20"/>
              </w:rPr>
            </w:pPr>
            <w:r>
              <w:rPr>
                <w:b/>
                <w:bCs/>
                <w:color w:val="000000"/>
                <w:sz w:val="20"/>
                <w:szCs w:val="20"/>
              </w:rPr>
              <w:t>Indirect relationship</w:t>
            </w:r>
          </w:p>
        </w:tc>
      </w:tr>
      <w:tr w:rsidR="005C3309" w14:paraId="1B519D4B" w14:textId="77777777" w:rsidTr="005C3309">
        <w:trPr>
          <w:trHeight w:val="315"/>
        </w:trPr>
        <w:tc>
          <w:tcPr>
            <w:tcW w:w="721" w:type="dxa"/>
            <w:shd w:val="clear" w:color="auto" w:fill="auto"/>
            <w:noWrap/>
            <w:vAlign w:val="center"/>
            <w:hideMark/>
          </w:tcPr>
          <w:p w14:paraId="29028421" w14:textId="77777777" w:rsidR="00381021" w:rsidRPr="00BC3CD4" w:rsidRDefault="00381021" w:rsidP="00B17ADE">
            <w:pPr>
              <w:rPr>
                <w:color w:val="000000"/>
                <w:spacing w:val="-6"/>
                <w:sz w:val="20"/>
                <w:szCs w:val="20"/>
              </w:rPr>
            </w:pPr>
            <w:r w:rsidRPr="00BC3CD4">
              <w:rPr>
                <w:color w:val="000000"/>
                <w:spacing w:val="-6"/>
                <w:sz w:val="20"/>
                <w:szCs w:val="20"/>
              </w:rPr>
              <w:t>BSIZE -&gt; FP</w:t>
            </w:r>
          </w:p>
        </w:tc>
        <w:tc>
          <w:tcPr>
            <w:tcW w:w="846" w:type="dxa"/>
            <w:shd w:val="clear" w:color="auto" w:fill="auto"/>
            <w:noWrap/>
            <w:vAlign w:val="center"/>
            <w:hideMark/>
          </w:tcPr>
          <w:p w14:paraId="6093A2FA" w14:textId="77777777" w:rsidR="00381021" w:rsidRDefault="00381021" w:rsidP="00B17ADE">
            <w:pPr>
              <w:jc w:val="right"/>
              <w:rPr>
                <w:color w:val="000000"/>
                <w:sz w:val="20"/>
                <w:szCs w:val="20"/>
              </w:rPr>
            </w:pPr>
            <w:r>
              <w:rPr>
                <w:color w:val="000000"/>
                <w:sz w:val="20"/>
                <w:szCs w:val="20"/>
              </w:rPr>
              <w:t>0.050</w:t>
            </w:r>
          </w:p>
        </w:tc>
        <w:tc>
          <w:tcPr>
            <w:tcW w:w="776" w:type="dxa"/>
            <w:shd w:val="clear" w:color="auto" w:fill="auto"/>
            <w:noWrap/>
            <w:vAlign w:val="center"/>
            <w:hideMark/>
          </w:tcPr>
          <w:p w14:paraId="1AE04B7B" w14:textId="77777777" w:rsidR="00381021" w:rsidRDefault="00381021" w:rsidP="00B17ADE">
            <w:pPr>
              <w:jc w:val="right"/>
              <w:rPr>
                <w:color w:val="000000"/>
                <w:sz w:val="20"/>
                <w:szCs w:val="20"/>
              </w:rPr>
            </w:pPr>
            <w:r>
              <w:rPr>
                <w:color w:val="000000"/>
                <w:sz w:val="20"/>
                <w:szCs w:val="20"/>
              </w:rPr>
              <w:t>0.052</w:t>
            </w:r>
          </w:p>
        </w:tc>
        <w:tc>
          <w:tcPr>
            <w:tcW w:w="921" w:type="dxa"/>
            <w:shd w:val="clear" w:color="auto" w:fill="auto"/>
            <w:noWrap/>
            <w:vAlign w:val="center"/>
            <w:hideMark/>
          </w:tcPr>
          <w:p w14:paraId="29BC6E6C" w14:textId="77777777" w:rsidR="00381021" w:rsidRDefault="00381021" w:rsidP="00B17ADE">
            <w:pPr>
              <w:jc w:val="right"/>
              <w:rPr>
                <w:color w:val="000000"/>
                <w:sz w:val="20"/>
                <w:szCs w:val="20"/>
              </w:rPr>
            </w:pPr>
            <w:r>
              <w:rPr>
                <w:color w:val="000000"/>
                <w:sz w:val="20"/>
                <w:szCs w:val="20"/>
              </w:rPr>
              <w:t>0.024</w:t>
            </w:r>
          </w:p>
        </w:tc>
        <w:tc>
          <w:tcPr>
            <w:tcW w:w="646" w:type="dxa"/>
            <w:shd w:val="clear" w:color="auto" w:fill="auto"/>
            <w:noWrap/>
            <w:vAlign w:val="center"/>
            <w:hideMark/>
          </w:tcPr>
          <w:p w14:paraId="3CE4FCAD" w14:textId="77777777" w:rsidR="00381021" w:rsidRDefault="00381021" w:rsidP="00B17ADE">
            <w:pPr>
              <w:jc w:val="right"/>
              <w:rPr>
                <w:color w:val="000000"/>
                <w:sz w:val="20"/>
                <w:szCs w:val="20"/>
              </w:rPr>
            </w:pPr>
            <w:r>
              <w:rPr>
                <w:color w:val="000000"/>
                <w:sz w:val="20"/>
                <w:szCs w:val="20"/>
              </w:rPr>
              <w:t>2.035</w:t>
            </w:r>
          </w:p>
        </w:tc>
        <w:tc>
          <w:tcPr>
            <w:tcW w:w="700" w:type="dxa"/>
            <w:shd w:val="clear" w:color="auto" w:fill="auto"/>
            <w:noWrap/>
            <w:vAlign w:val="center"/>
            <w:hideMark/>
          </w:tcPr>
          <w:p w14:paraId="37BE51B7" w14:textId="77777777" w:rsidR="00381021" w:rsidRDefault="00381021" w:rsidP="00B17ADE">
            <w:pPr>
              <w:jc w:val="right"/>
              <w:rPr>
                <w:color w:val="000000"/>
                <w:sz w:val="20"/>
                <w:szCs w:val="20"/>
              </w:rPr>
            </w:pPr>
            <w:r>
              <w:rPr>
                <w:color w:val="000000"/>
                <w:sz w:val="20"/>
                <w:szCs w:val="20"/>
              </w:rPr>
              <w:t>0.042</w:t>
            </w:r>
          </w:p>
        </w:tc>
      </w:tr>
    </w:tbl>
    <w:p w14:paraId="47348D87" w14:textId="77777777" w:rsidR="00647093" w:rsidRDefault="00647093" w:rsidP="00647093">
      <w:pPr>
        <w:tabs>
          <w:tab w:val="right" w:leader="hyphen" w:pos="9072"/>
        </w:tabs>
        <w:spacing w:before="120" w:after="120"/>
        <w:jc w:val="both"/>
        <w:rPr>
          <w:sz w:val="20"/>
          <w:szCs w:val="20"/>
        </w:rPr>
      </w:pPr>
      <w:r w:rsidRPr="00200A5D">
        <w:rPr>
          <w:sz w:val="20"/>
          <w:szCs w:val="20"/>
        </w:rPr>
        <w:t>Source: Analysis results from Smart PLS 4</w:t>
      </w:r>
    </w:p>
    <w:p w14:paraId="462646B0" w14:textId="04074E2E" w:rsidR="005602EB" w:rsidRDefault="00160AC2" w:rsidP="001A21E5">
      <w:pPr>
        <w:spacing w:before="120" w:after="120"/>
        <w:ind w:firstLine="720"/>
        <w:jc w:val="both"/>
        <w:rPr>
          <w:sz w:val="22"/>
          <w:szCs w:val="22"/>
        </w:rPr>
      </w:pPr>
      <w:r w:rsidRPr="0076404A">
        <w:rPr>
          <w:sz w:val="22"/>
          <w:szCs w:val="22"/>
        </w:rPr>
        <w:t xml:space="preserve">Accordingly, </w:t>
      </w:r>
      <w:bookmarkStart w:id="20" w:name="OLE_LINK1"/>
      <w:r w:rsidR="005B79E9">
        <w:rPr>
          <w:sz w:val="22"/>
          <w:szCs w:val="22"/>
        </w:rPr>
        <w:t xml:space="preserve">board size </w:t>
      </w:r>
      <w:bookmarkEnd w:id="20"/>
      <w:r w:rsidRPr="0076404A">
        <w:rPr>
          <w:sz w:val="22"/>
          <w:szCs w:val="22"/>
        </w:rPr>
        <w:t>directly and positively affects performance at the 1% significance level (</w:t>
      </w:r>
      <w:r w:rsidR="003C7ED4">
        <w:rPr>
          <w:sz w:val="22"/>
          <w:szCs w:val="22"/>
        </w:rPr>
        <w:t xml:space="preserve">β = 0.150, p &lt; 0.01, t = 2.810) </w:t>
      </w:r>
      <w:r w:rsidR="003C7ED4" w:rsidRPr="003C7ED4">
        <w:rPr>
          <w:color w:val="FF0000"/>
          <w:sz w:val="22"/>
          <w:szCs w:val="22"/>
        </w:rPr>
        <w:t xml:space="preserve">which may indicate the preference of listed </w:t>
      </w:r>
      <w:r w:rsidR="003C7ED4">
        <w:rPr>
          <w:color w:val="FF0000"/>
          <w:sz w:val="22"/>
          <w:szCs w:val="22"/>
        </w:rPr>
        <w:t>companies</w:t>
      </w:r>
      <w:r w:rsidR="003C7ED4" w:rsidRPr="003C7ED4">
        <w:rPr>
          <w:color w:val="FF0000"/>
          <w:sz w:val="22"/>
          <w:szCs w:val="22"/>
        </w:rPr>
        <w:t xml:space="preserve"> in HOSE for large-sized boards that are proportional to performance.</w:t>
      </w:r>
      <w:r w:rsidRPr="0076404A">
        <w:rPr>
          <w:sz w:val="22"/>
          <w:szCs w:val="22"/>
        </w:rPr>
        <w:t xml:space="preserve"> </w:t>
      </w:r>
      <w:r w:rsidR="003C7ED4">
        <w:rPr>
          <w:sz w:val="22"/>
          <w:szCs w:val="22"/>
        </w:rPr>
        <w:t>Thus,</w:t>
      </w:r>
      <w:r w:rsidRPr="0076404A">
        <w:rPr>
          <w:sz w:val="22"/>
          <w:szCs w:val="22"/>
        </w:rPr>
        <w:t xml:space="preserve"> hypothesis H</w:t>
      </w:r>
      <w:r w:rsidRPr="0076404A">
        <w:rPr>
          <w:sz w:val="22"/>
          <w:szCs w:val="22"/>
          <w:vertAlign w:val="subscript"/>
        </w:rPr>
        <w:t xml:space="preserve">1 </w:t>
      </w:r>
      <w:r w:rsidRPr="0076404A">
        <w:rPr>
          <w:sz w:val="22"/>
          <w:szCs w:val="22"/>
        </w:rPr>
        <w:t xml:space="preserve">is accepted. Similar to previous studies such as </w:t>
      </w:r>
      <w:hyperlink w:anchor="_ENREF_2" w:tooltip="Brennan, 2006 #1318" w:history="1">
        <w:r w:rsidR="002C0B6F" w:rsidRPr="00494CA8">
          <w:rPr>
            <w:sz w:val="22"/>
            <w:szCs w:val="22"/>
          </w:rPr>
          <w:fldChar w:fldCharType="begin"/>
        </w:r>
        <w:r w:rsidR="002C0B6F">
          <w:rPr>
            <w:sz w:val="22"/>
            <w:szCs w:val="22"/>
          </w:rPr>
          <w:instrText xml:space="preserve"> ADDIN EN.CITE &lt;EndNote&gt;&lt;Cite AuthorYear="1"&gt;&lt;Author&gt;Brennan&lt;/Author&gt;&lt;Year&gt;2006&lt;/Year&gt;&lt;RecNum&gt;1318&lt;/RecNum&gt;&lt;DisplayText&gt;Brennan&lt;style face="superscript"&gt;[2]&lt;/style&gt;&lt;/DisplayText&gt;&lt;record&gt;&lt;rec-number&gt;1318&lt;/rec-number&gt;&lt;foreign-keys&gt;&lt;key app="EN" db-id="eswfvzza29a52ye9xwqpfwwx55tazv55ppxs"&gt;1318&lt;/key&gt;&lt;/foreign-keys&gt;&lt;ref-type name="Journal Article"&gt;17&lt;/ref-type&gt;&lt;contributors&gt;&lt;authors&gt;&lt;author&gt;Brennan, Niamh&lt;/author&gt;&lt;/authors&gt;&lt;/contributors&gt;&lt;titles&gt;&lt;title&gt;Boards of directors and firm performance: is there an expectations gap?&lt;/title&gt;&lt;secondary-title&gt;Corporate Governance: An International Review&lt;/secondary-title&gt;&lt;/titles&gt;&lt;periodical&gt;&lt;full-title&gt;Corporate Governance: An International Review&lt;/full-title&gt;&lt;/periodical&gt;&lt;pages&gt;577-593&lt;/pages&gt;&lt;volume&gt;14&lt;/volume&gt;&lt;number&gt;6&lt;/number&gt;&lt;dates&gt;&lt;year&gt;2006&lt;/year&gt;&lt;/dates&gt;&lt;isbn&gt;0964-8410&lt;/isbn&gt;&lt;urls&gt;&lt;/urls&gt;&lt;language&gt;ens&lt;/language&gt;&lt;/record&gt;&lt;/Cite&gt;&lt;/EndNote&gt;</w:instrText>
        </w:r>
        <w:r w:rsidR="002C0B6F" w:rsidRPr="00494CA8">
          <w:rPr>
            <w:sz w:val="22"/>
            <w:szCs w:val="22"/>
          </w:rPr>
          <w:fldChar w:fldCharType="separate"/>
        </w:r>
        <w:r w:rsidR="002C0B6F">
          <w:rPr>
            <w:noProof/>
            <w:sz w:val="22"/>
            <w:szCs w:val="22"/>
          </w:rPr>
          <w:t>Brennan</w:t>
        </w:r>
        <w:r w:rsidR="002C0B6F" w:rsidRPr="00743BD1">
          <w:rPr>
            <w:noProof/>
            <w:sz w:val="22"/>
            <w:szCs w:val="22"/>
            <w:vertAlign w:val="superscript"/>
          </w:rPr>
          <w:t>[2]</w:t>
        </w:r>
        <w:r w:rsidR="002C0B6F" w:rsidRPr="00494CA8">
          <w:rPr>
            <w:sz w:val="22"/>
            <w:szCs w:val="22"/>
          </w:rPr>
          <w:fldChar w:fldCharType="end"/>
        </w:r>
      </w:hyperlink>
      <w:r w:rsidR="008B0933" w:rsidRPr="008B0933">
        <w:rPr>
          <w:sz w:val="22"/>
          <w:szCs w:val="22"/>
        </w:rPr>
        <w:t xml:space="preserve">, </w:t>
      </w:r>
      <w:hyperlink w:anchor="_ENREF_17" w:tooltip="Pfeffer, 2015 #1328" w:history="1">
        <w:r w:rsidR="002C0B6F" w:rsidRPr="00494CA8">
          <w:rPr>
            <w:sz w:val="22"/>
            <w:szCs w:val="22"/>
          </w:rPr>
          <w:fldChar w:fldCharType="begin"/>
        </w:r>
        <w:r w:rsidR="002C0B6F">
          <w:rPr>
            <w:sz w:val="22"/>
            <w:szCs w:val="22"/>
          </w:rPr>
          <w:instrText xml:space="preserve"> ADDIN EN.CITE &lt;EndNote&gt;&lt;Cite AuthorYear="1"&gt;&lt;Author&gt;Pfeffer&lt;/Author&gt;&lt;Year&gt;2015&lt;/Year&gt;&lt;RecNum&gt;1328&lt;/RecNum&gt;&lt;DisplayText&gt;Pfeffer and Salancik&lt;style face="superscript"&gt;[17]&lt;/style&gt;&lt;/DisplayText&gt;&lt;record&gt;&lt;rec-number&gt;1328&lt;/rec-number&gt;&lt;foreign-keys&gt;&lt;key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2C0B6F" w:rsidRPr="00494CA8">
          <w:rPr>
            <w:sz w:val="22"/>
            <w:szCs w:val="22"/>
          </w:rPr>
          <w:fldChar w:fldCharType="separate"/>
        </w:r>
        <w:r w:rsidR="002C0B6F">
          <w:rPr>
            <w:noProof/>
            <w:sz w:val="22"/>
            <w:szCs w:val="22"/>
          </w:rPr>
          <w:t>Pfeffer and Salancik</w:t>
        </w:r>
        <w:r w:rsidR="002C0B6F" w:rsidRPr="00B462BA">
          <w:rPr>
            <w:noProof/>
            <w:sz w:val="22"/>
            <w:szCs w:val="22"/>
            <w:vertAlign w:val="superscript"/>
          </w:rPr>
          <w:t>[17]</w:t>
        </w:r>
        <w:r w:rsidR="002C0B6F" w:rsidRPr="00494CA8">
          <w:rPr>
            <w:sz w:val="22"/>
            <w:szCs w:val="22"/>
          </w:rPr>
          <w:fldChar w:fldCharType="end"/>
        </w:r>
      </w:hyperlink>
      <w:r w:rsidR="00451685">
        <w:rPr>
          <w:sz w:val="22"/>
          <w:szCs w:val="22"/>
        </w:rPr>
        <w:t xml:space="preserve">, </w:t>
      </w:r>
      <w:hyperlink w:anchor="_ENREF_20" w:tooltip="Dalton, 2003 #1310" w:history="1">
        <w:r w:rsidR="002C0B6F" w:rsidRPr="00494CA8">
          <w:rPr>
            <w:sz w:val="22"/>
            <w:szCs w:val="22"/>
          </w:rPr>
          <w:fldChar w:fldCharType="begin"/>
        </w:r>
        <w:r w:rsidR="002C0B6F">
          <w:rPr>
            <w:sz w:val="22"/>
            <w:szCs w:val="22"/>
          </w:rPr>
          <w:instrText xml:space="preserve"> ADDIN EN.CITE &lt;EndNote&gt;&lt;Cite AuthorYear="1"&gt;&lt;Author&gt;Dalton&lt;/Author&gt;&lt;Year&gt;2003&lt;/Year&gt;&lt;RecNum&gt;1310&lt;/RecNum&gt;&lt;DisplayText&gt;Dalton et al &lt;style face="superscript"&gt;[20]&lt;/style&gt;&lt;/DisplayText&gt;&lt;record&gt;&lt;rec-number&gt;1310&lt;/rec-number&gt;&lt;foreign-keys&gt;&lt;key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2C0B6F" w:rsidRPr="00494CA8">
          <w:rPr>
            <w:sz w:val="22"/>
            <w:szCs w:val="22"/>
          </w:rPr>
          <w:fldChar w:fldCharType="separate"/>
        </w:r>
        <w:r w:rsidR="002C0B6F">
          <w:rPr>
            <w:noProof/>
            <w:sz w:val="22"/>
            <w:szCs w:val="22"/>
          </w:rPr>
          <w:t xml:space="preserve">Dalton et al </w:t>
        </w:r>
        <w:r w:rsidR="002C0B6F" w:rsidRPr="00B462BA">
          <w:rPr>
            <w:noProof/>
            <w:sz w:val="22"/>
            <w:szCs w:val="22"/>
            <w:vertAlign w:val="superscript"/>
          </w:rPr>
          <w:t>[20]</w:t>
        </w:r>
        <w:r w:rsidR="002C0B6F" w:rsidRPr="00494CA8">
          <w:rPr>
            <w:sz w:val="22"/>
            <w:szCs w:val="22"/>
          </w:rPr>
          <w:fldChar w:fldCharType="end"/>
        </w:r>
      </w:hyperlink>
      <w:r w:rsidR="00451685">
        <w:rPr>
          <w:sz w:val="22"/>
          <w:szCs w:val="22"/>
        </w:rPr>
        <w:t xml:space="preserve">, </w:t>
      </w:r>
      <w:hyperlink w:anchor="_ENREF_6" w:tooltip="Kumar, 2013 #1320" w:history="1">
        <w:r w:rsidR="002C0B6F" w:rsidRPr="00494CA8">
          <w:rPr>
            <w:sz w:val="22"/>
            <w:szCs w:val="22"/>
          </w:rPr>
          <w:fldChar w:fldCharType="begin"/>
        </w:r>
        <w:r w:rsidR="002C0B6F">
          <w:rPr>
            <w:sz w:val="22"/>
            <w:szCs w:val="22"/>
          </w:rPr>
          <w:instrText xml:space="preserve"> ADDIN EN.CITE &lt;EndNote&gt;&lt;Cite AuthorYear="1"&gt;&lt;Author&gt;Kumar&lt;/Author&gt;&lt;Year&gt;2013&lt;/Year&gt;&lt;RecNum&gt;1320&lt;/RecNum&gt;&lt;DisplayText&gt;Kumar and Singh&lt;style face="superscript"&gt;[6]&lt;/style&gt;&lt;/DisplayText&gt;&lt;record&gt;&lt;rec-number&gt;1320&lt;/rec-number&gt;&lt;foreign-keys&gt;&lt;key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2C0B6F" w:rsidRPr="00494CA8">
          <w:rPr>
            <w:sz w:val="22"/>
            <w:szCs w:val="22"/>
          </w:rPr>
          <w:fldChar w:fldCharType="separate"/>
        </w:r>
        <w:r w:rsidR="002C0B6F">
          <w:rPr>
            <w:noProof/>
            <w:sz w:val="22"/>
            <w:szCs w:val="22"/>
          </w:rPr>
          <w:t>Kumar and Singh</w:t>
        </w:r>
        <w:r w:rsidR="002C0B6F" w:rsidRPr="00743BD1">
          <w:rPr>
            <w:noProof/>
            <w:sz w:val="22"/>
            <w:szCs w:val="22"/>
            <w:vertAlign w:val="superscript"/>
          </w:rPr>
          <w:t>[6]</w:t>
        </w:r>
        <w:r w:rsidR="002C0B6F" w:rsidRPr="00494CA8">
          <w:rPr>
            <w:sz w:val="22"/>
            <w:szCs w:val="22"/>
          </w:rPr>
          <w:fldChar w:fldCharType="end"/>
        </w:r>
      </w:hyperlink>
      <w:r w:rsidR="001350AB">
        <w:rPr>
          <w:sz w:val="22"/>
          <w:szCs w:val="22"/>
        </w:rPr>
        <w:t xml:space="preserve">, </w:t>
      </w:r>
      <w:r w:rsidR="001350AB" w:rsidRPr="00D3127F">
        <w:rPr>
          <w:color w:val="EE0000"/>
          <w:sz w:val="22"/>
          <w:szCs w:val="22"/>
        </w:rPr>
        <w:t>t</w:t>
      </w:r>
      <w:r w:rsidRPr="00D3127F">
        <w:rPr>
          <w:color w:val="EE0000"/>
          <w:sz w:val="22"/>
          <w:szCs w:val="22"/>
        </w:rPr>
        <w:t>his result reaffirms the role of the board of directors in monitoring and controlling managers to ensure that managers act in the interests of all shareholders.</w:t>
      </w:r>
      <w:hyperlink w:anchor="_ENREF_4" w:tooltip="Jensen, 1976 #3" w:history="1">
        <w:r w:rsidR="002C0B6F" w:rsidRPr="00494CA8">
          <w:rPr>
            <w:sz w:val="22"/>
            <w:szCs w:val="22"/>
          </w:rPr>
          <w:fldChar w:fldCharType="begin"/>
        </w:r>
        <w:r w:rsidR="002C0B6F" w:rsidRPr="00494CA8">
          <w:rPr>
            <w:sz w:val="22"/>
            <w:szCs w:val="22"/>
          </w:rPr>
          <w:instrText xml:space="preserve"> ADDIN EN.CITE &lt;EndNote&gt;&lt;Cite&gt;&lt;Author&gt;Jensen&lt;/Author&gt;&lt;Year&gt;1976&lt;/Year&gt;&lt;RecNum&gt;3&lt;/RecNum&gt;&lt;DisplayText&gt;&lt;style face="superscript"&gt;4&lt;/style&gt;&lt;/DisplayText&gt;&lt;record&gt;&lt;rec-number&gt;3&lt;/rec-number&gt;&lt;foreign-keys&gt;&lt;key app="EN" db-id="eswfvzza29a52ye9xwqpfwwx55tazv55ppxs"&gt;3&lt;/key&gt;&lt;/foreign-keys&gt;&lt;ref-type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www.sciencedirect.com/science/article/pii/0304405X7690026X&lt;/url&gt;&lt;/related-urls&gt;&lt;/urls&gt;&lt;electronic-resource-num&gt;https://doi.org/10.1016/0304-405X(76)90026-X&lt;/electronic-resource-num&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4</w:t>
        </w:r>
        <w:r w:rsidR="002C0B6F" w:rsidRPr="00494CA8">
          <w:rPr>
            <w:sz w:val="22"/>
            <w:szCs w:val="22"/>
          </w:rPr>
          <w:fldChar w:fldCharType="end"/>
        </w:r>
      </w:hyperlink>
      <w:r w:rsidR="008B0933">
        <w:rPr>
          <w:sz w:val="22"/>
          <w:szCs w:val="22"/>
          <w:vertAlign w:val="superscript"/>
        </w:rPr>
        <w:t>,</w:t>
      </w:r>
      <w:hyperlink w:anchor="_ENREF_5" w:tooltip="Dalton, 1999 #1323" w:history="1">
        <w:r w:rsidR="002C0B6F" w:rsidRPr="00494CA8">
          <w:rPr>
            <w:sz w:val="22"/>
            <w:szCs w:val="22"/>
          </w:rPr>
          <w:fldChar w:fldCharType="begin"/>
        </w:r>
        <w:r w:rsidR="002C0B6F" w:rsidRPr="00494CA8">
          <w:rPr>
            <w:sz w:val="22"/>
            <w:szCs w:val="22"/>
          </w:rPr>
          <w:instrText xml:space="preserve"> ADDIN EN.CITE &lt;EndNote&gt;&lt;Cite&gt;&lt;Author&gt;Dalton&lt;/Author&gt;&lt;Year&gt;1999&lt;/Year&gt;&lt;RecNum&gt;1323&lt;/RecNum&gt;&lt;DisplayText&gt;&lt;style face="superscript"&gt;5&lt;/style&gt;&lt;/DisplayText&gt;&lt;record&gt;&lt;rec-number&gt;1323&lt;/rec-number&gt;&lt;foreign-keys&gt;&lt;key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5</w:t>
        </w:r>
        <w:r w:rsidR="002C0B6F" w:rsidRPr="00494CA8">
          <w:rPr>
            <w:sz w:val="22"/>
            <w:szCs w:val="22"/>
          </w:rPr>
          <w:fldChar w:fldCharType="end"/>
        </w:r>
      </w:hyperlink>
      <w:r w:rsidR="00DC5F33">
        <w:rPr>
          <w:sz w:val="22"/>
          <w:szCs w:val="22"/>
        </w:rPr>
        <w:t xml:space="preserve"> </w:t>
      </w:r>
      <w:r w:rsidR="008B0933" w:rsidRPr="00175915">
        <w:rPr>
          <w:sz w:val="22"/>
          <w:szCs w:val="22"/>
        </w:rPr>
        <w:t xml:space="preserve">Consistent with </w:t>
      </w:r>
      <w:bookmarkStart w:id="21" w:name="OLE_LINK2"/>
      <w:bookmarkStart w:id="22" w:name="OLE_LINK3"/>
      <w:r w:rsidRPr="00A17E13">
        <w:rPr>
          <w:sz w:val="22"/>
          <w:szCs w:val="22"/>
        </w:rPr>
        <w:t>resource dependence theory</w:t>
      </w:r>
      <w:bookmarkEnd w:id="21"/>
      <w:bookmarkEnd w:id="22"/>
      <w:r w:rsidR="00F04BD0">
        <w:rPr>
          <w:sz w:val="22"/>
          <w:szCs w:val="22"/>
        </w:rPr>
        <w:t>, larger board size can improve the efficiency of the decision-making process due to the sharing of knowledge, skills, and experience.</w:t>
      </w:r>
      <w:hyperlink w:anchor="_ENREF_21" w:tooltip="Lehn, 2009 #1321" w:history="1">
        <w:r w:rsidR="002C0B6F" w:rsidRPr="00494CA8">
          <w:rPr>
            <w:sz w:val="22"/>
            <w:szCs w:val="22"/>
          </w:rPr>
          <w:fldChar w:fldCharType="begin"/>
        </w:r>
        <w:r w:rsidR="002C0B6F">
          <w:rPr>
            <w:sz w:val="22"/>
            <w:szCs w:val="22"/>
          </w:rPr>
          <w:instrText xml:space="preserve"> ADDIN EN.CITE &lt;EndNote&gt;&lt;Cite&gt;&lt;Author&gt;Lehn&lt;/Author&gt;&lt;Year&gt;2009&lt;/Year&gt;&lt;RecNum&gt;1321&lt;/RecNum&gt;&lt;DisplayText&gt;&lt;style face="superscript"&gt;21&lt;/style&gt;&lt;/DisplayText&gt;&lt;record&gt;&lt;rec-number&gt;1321&lt;/rec-number&gt;&lt;foreign-keys&gt;&lt;key app="EN" db-id="eswfvzza29a52ye9xwqpfwwx55tazv55ppxs"&gt;1321&lt;/key&gt;&lt;/foreign-keys&gt;&lt;ref-type name="Journal Article"&gt;17&lt;/ref-type&gt;&lt;contributors&gt;&lt;authors&gt;&lt;author&gt;Lehn, Kenneth M&lt;/author&gt;&lt;author&gt;Patro, Sukesh&lt;/author&gt;&lt;author&gt;Zhao, Mengxin&lt;/author&gt;&lt;/authors&gt;&lt;/contributors&gt;&lt;titles&gt;&lt;title&gt;Determinants of the size and composition of US corporate boards: 1935</w:instrText>
        </w:r>
        <w:r w:rsidR="002C0B6F">
          <w:rPr>
            <w:rFonts w:ascii="Cambria Math" w:hAnsi="Cambria Math" w:cs="Cambria Math"/>
            <w:sz w:val="22"/>
            <w:szCs w:val="22"/>
          </w:rPr>
          <w:instrText>‐</w:instrText>
        </w:r>
        <w:r w:rsidR="002C0B6F">
          <w:rPr>
            <w:sz w:val="22"/>
            <w:szCs w:val="22"/>
          </w:rPr>
          <w:instrText>2000&lt;/title&gt;&lt;secondary-title&gt;Financial management&lt;/secondary-title&gt;&lt;/titles&gt;&lt;periodical&gt;&lt;full-title&gt;Financial Management&lt;/full-title&gt;&lt;/periodical&gt;&lt;pages&gt;747-780&lt;/pages&gt;&lt;volume&gt;38&lt;/volume&gt;&lt;number&gt;4&lt;/number&gt;&lt;dates&gt;&lt;year&gt;2009&lt;/year&gt;&lt;/dates&gt;&lt;isbn&gt;0046-3892&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21</w:t>
        </w:r>
        <w:r w:rsidR="002C0B6F" w:rsidRPr="00494CA8">
          <w:rPr>
            <w:sz w:val="22"/>
            <w:szCs w:val="22"/>
          </w:rPr>
          <w:fldChar w:fldCharType="end"/>
        </w:r>
      </w:hyperlink>
      <w:r w:rsidR="00FC2966" w:rsidRPr="00961A14">
        <w:rPr>
          <w:sz w:val="22"/>
          <w:szCs w:val="22"/>
          <w:vertAlign w:val="superscript"/>
        </w:rPr>
        <w:t>,</w:t>
      </w:r>
      <w:hyperlink w:anchor="_ENREF_45" w:tooltip="Hillman, 2009 #1492" w:history="1">
        <w:r w:rsidR="002C0B6F" w:rsidRPr="00494CA8">
          <w:rPr>
            <w:sz w:val="22"/>
            <w:szCs w:val="22"/>
          </w:rPr>
          <w:fldChar w:fldCharType="begin"/>
        </w:r>
        <w:r w:rsidR="002C0B6F">
          <w:rPr>
            <w:sz w:val="22"/>
            <w:szCs w:val="22"/>
          </w:rPr>
          <w:instrText xml:space="preserve"> ADDIN EN.CITE &lt;EndNote&gt;&lt;Cite&gt;&lt;Author&gt;Hillman&lt;/Author&gt;&lt;Year&gt;2009&lt;/Year&gt;&lt;RecNum&gt;1492&lt;/RecNum&gt;&lt;DisplayText&gt;&lt;style face="superscript"&gt;45&lt;/style&gt;&lt;/DisplayText&gt;&lt;record&gt;&lt;rec-number&gt;1492&lt;/rec-number&gt;&lt;foreign-keys&gt;&lt;key app="EN" db-id="eswfvzza29a52ye9xwqpfwwx55tazv55ppxs"&gt;1492&lt;/key&gt;&lt;/foreign-keys&gt;&lt;ref-type name="Journal Article"&gt;17&lt;/ref-type&gt;&lt;contributors&gt;&lt;authors&gt;&lt;author&gt;Hillman, Amy J&lt;/author&gt;&lt;author&gt;Withers, Michael C&lt;/author&gt;&lt;author&gt;Collins, Brian J&lt;/author&gt;&lt;/authors&gt;&lt;/contributors&gt;&lt;titles&gt;&lt;title&gt;Resource dependence theory: A review&lt;/title&gt;&lt;secondary-title&gt;Journal of management&lt;/secondary-title&gt;&lt;/titles&gt;&lt;periodical&gt;&lt;full-title&gt;Journal of Management&lt;/full-title&gt;&lt;/periodical&gt;&lt;pages&gt;1404-1427&lt;/pages&gt;&lt;volume&gt;35&lt;/volume&gt;&lt;number&gt;6&lt;/number&gt;&lt;dates&gt;&lt;year&gt;2009&lt;/year&gt;&lt;/dates&gt;&lt;isbn&gt;0149-2063&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45</w:t>
        </w:r>
        <w:r w:rsidR="002C0B6F" w:rsidRPr="00494CA8">
          <w:rPr>
            <w:sz w:val="22"/>
            <w:szCs w:val="22"/>
          </w:rPr>
          <w:fldChar w:fldCharType="end"/>
        </w:r>
      </w:hyperlink>
      <w:r w:rsidR="00961A14">
        <w:rPr>
          <w:sz w:val="22"/>
          <w:szCs w:val="22"/>
          <w:vertAlign w:val="superscript"/>
        </w:rPr>
        <w:t>,</w:t>
      </w:r>
      <w:hyperlink w:anchor="_ENREF_17" w:tooltip="Pfeffer, 2015 #1328" w:history="1">
        <w:r w:rsidR="002C0B6F" w:rsidRPr="00494CA8">
          <w:rPr>
            <w:sz w:val="22"/>
            <w:szCs w:val="22"/>
          </w:rPr>
          <w:fldChar w:fldCharType="begin"/>
        </w:r>
        <w:r w:rsidR="002C0B6F">
          <w:rPr>
            <w:sz w:val="22"/>
            <w:szCs w:val="22"/>
          </w:rPr>
          <w:instrText xml:space="preserve"> ADDIN EN.CITE &lt;EndNote&gt;&lt;Cite&gt;&lt;Author&gt;Pfeffer&lt;/Author&gt;&lt;Year&gt;2015&lt;/Year&gt;&lt;RecNum&gt;1328&lt;/RecNum&gt;&lt;DisplayText&gt;&lt;style face="superscript"&gt;17&lt;/style&gt;&lt;/DisplayText&gt;&lt;record&gt;&lt;rec-number&gt;1328&lt;/rec-number&gt;&lt;foreign-keys&gt;&lt;key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17</w:t>
        </w:r>
        <w:r w:rsidR="002C0B6F" w:rsidRPr="00494CA8">
          <w:rPr>
            <w:sz w:val="22"/>
            <w:szCs w:val="22"/>
          </w:rPr>
          <w:fldChar w:fldCharType="end"/>
        </w:r>
      </w:hyperlink>
      <w:r w:rsidR="004350FE" w:rsidRPr="00437F2C">
        <w:rPr>
          <w:sz w:val="22"/>
          <w:szCs w:val="22"/>
          <w:vertAlign w:val="superscript"/>
        </w:rPr>
        <w:t>,</w:t>
      </w:r>
      <w:hyperlink w:anchor="_ENREF_18" w:tooltip="Goodstein, 1994 #1332" w:history="1">
        <w:r w:rsidR="002C0B6F" w:rsidRPr="00494CA8">
          <w:rPr>
            <w:sz w:val="22"/>
            <w:szCs w:val="22"/>
          </w:rPr>
          <w:fldChar w:fldCharType="begin"/>
        </w:r>
        <w:r w:rsidR="002C0B6F">
          <w:rPr>
            <w:sz w:val="22"/>
            <w:szCs w:val="22"/>
          </w:rPr>
          <w:instrText xml:space="preserve"> ADDIN EN.CITE &lt;EndNote&gt;&lt;Cite&gt;&lt;Author&gt;Goodstein&lt;/Author&gt;&lt;Year&gt;1994&lt;/Year&gt;&lt;RecNum&gt;1329&lt;/RecNum&gt;&lt;DisplayText&gt;&lt;style face="superscript"&gt;18&lt;/style&gt;&lt;/DisplayText&gt;&lt;record&gt;&lt;rec-number&gt;1329&lt;/rec-number&gt;&lt;foreign-keys&gt;&lt;key app="EN" db-id="eswfvzza29a52ye9xwqpfwwx55tazv55ppxs"&gt;1329&lt;/key&gt;&lt;/foreign-keys&gt;&lt;ref-type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18</w:t>
        </w:r>
        <w:r w:rsidR="002C0B6F" w:rsidRPr="00494CA8">
          <w:rPr>
            <w:sz w:val="22"/>
            <w:szCs w:val="22"/>
          </w:rPr>
          <w:fldChar w:fldCharType="end"/>
        </w:r>
      </w:hyperlink>
      <w:r w:rsidR="00DC5F33">
        <w:rPr>
          <w:sz w:val="22"/>
          <w:szCs w:val="22"/>
        </w:rPr>
        <w:t xml:space="preserve"> </w:t>
      </w:r>
      <w:r w:rsidR="00877622">
        <w:rPr>
          <w:sz w:val="22"/>
          <w:szCs w:val="22"/>
        </w:rPr>
        <w:t>Therefore, the performance will be improved significantly.</w:t>
      </w:r>
    </w:p>
    <w:p w14:paraId="4572B530" w14:textId="5FB8D0B3" w:rsidR="005602EB" w:rsidRDefault="00FD65A0" w:rsidP="001350AB">
      <w:pPr>
        <w:spacing w:before="120" w:after="120"/>
        <w:ind w:firstLine="567"/>
        <w:jc w:val="both"/>
        <w:rPr>
          <w:sz w:val="22"/>
          <w:szCs w:val="22"/>
        </w:rPr>
      </w:pPr>
      <w:r>
        <w:rPr>
          <w:sz w:val="22"/>
          <w:szCs w:val="22"/>
        </w:rPr>
        <w:t xml:space="preserve">Board size directly and positively affects </w:t>
      </w:r>
      <w:r w:rsidR="0008169C">
        <w:rPr>
          <w:sz w:val="22"/>
          <w:szCs w:val="22"/>
        </w:rPr>
        <w:t>ESG</w:t>
      </w:r>
      <w:r>
        <w:rPr>
          <w:sz w:val="22"/>
          <w:szCs w:val="22"/>
        </w:rPr>
        <w:t xml:space="preserve"> disclosure at 5% significance level (β = 0.185, p &lt; 0.05, t = 2.466), similar to </w:t>
      </w:r>
      <w:hyperlink w:anchor="_ENREF_46" w:tooltip="Treepongkaruna, 2024 #1496" w:history="1">
        <w:r w:rsidR="002C0B6F" w:rsidRPr="00494CA8">
          <w:rPr>
            <w:sz w:val="22"/>
            <w:szCs w:val="22"/>
          </w:rPr>
          <w:fldChar w:fldCharType="begin"/>
        </w:r>
        <w:r w:rsidR="002C0B6F">
          <w:rPr>
            <w:sz w:val="22"/>
            <w:szCs w:val="22"/>
          </w:rPr>
          <w:instrText xml:space="preserve"> ADDIN EN.CITE &lt;EndNote&gt;&lt;Cite AuthorYear="1"&gt;&lt;Author&gt;Treepongkaruna&lt;/Author&gt;&lt;Year&gt;2024&lt;/Year&gt;&lt;RecNum&gt;1496&lt;/RecNum&gt;&lt;DisplayText&gt;Treepongkaruna et al.&lt;style face="superscript"&gt;[46]&lt;/style&gt;&lt;/DisplayText&gt;&lt;record&gt;&lt;rec-number&gt;1496&lt;/rec-number&gt;&lt;foreign-keys&gt;&lt;key app="EN" db-id="eswfvzza29a52ye9xwqpfwwx55tazv55ppxs"&gt;1496&lt;/key&gt;&lt;/foreign-keys&gt;&lt;ref-type name="Journal Article"&gt;17&lt;/ref-type&gt;&lt;contributors&gt;&lt;authors&gt;&lt;author&gt;Treepongkaruna, Sirimon&lt;/author&gt;&lt;author&gt;Kyaw, Khine&lt;/author&gt;&lt;author&gt;Jiraporn, Pornsit&lt;/author&gt;&lt;/authors&gt;&lt;/contributors&gt;&lt;titles&gt;&lt;title&gt;ESG controversies and corporate governance: Evidence from board size&lt;/title&gt;&lt;secondary-title&gt;Business Strategy and the Environment&lt;/secondary-title&gt;&lt;/titles&gt;&lt;periodical&gt;&lt;full-title&gt;Business Strategy and the Environment&lt;/full-title&gt;&lt;/periodical&gt;&lt;pages&gt;4218-4232&lt;/pages&gt;&lt;volume&gt;33&lt;/volume&gt;&lt;number&gt;5&lt;/number&gt;&lt;dates&gt;&lt;year&gt;2024&lt;/year&gt;&lt;/dates&gt;&lt;isbn&gt;0964-4733&lt;/isbn&gt;&lt;urls&gt;&lt;/urls&gt;&lt;language&gt;ens&lt;/language&gt;&lt;/record&gt;&lt;/Cite&gt;&lt;/EndNote&gt;</w:instrText>
        </w:r>
        <w:r w:rsidR="002C0B6F" w:rsidRPr="00494CA8">
          <w:rPr>
            <w:sz w:val="22"/>
            <w:szCs w:val="22"/>
          </w:rPr>
          <w:fldChar w:fldCharType="separate"/>
        </w:r>
        <w:r w:rsidR="002C0B6F">
          <w:rPr>
            <w:noProof/>
            <w:sz w:val="22"/>
            <w:szCs w:val="22"/>
          </w:rPr>
          <w:t>Treepongkaruna et al.</w:t>
        </w:r>
        <w:r w:rsidR="002C0B6F" w:rsidRPr="00B462BA">
          <w:rPr>
            <w:noProof/>
            <w:sz w:val="22"/>
            <w:szCs w:val="22"/>
            <w:vertAlign w:val="superscript"/>
          </w:rPr>
          <w:t>[46]</w:t>
        </w:r>
        <w:r w:rsidR="002C0B6F" w:rsidRPr="00494CA8">
          <w:rPr>
            <w:sz w:val="22"/>
            <w:szCs w:val="22"/>
          </w:rPr>
          <w:fldChar w:fldCharType="end"/>
        </w:r>
      </w:hyperlink>
      <w:r w:rsidR="00CB2DCC">
        <w:rPr>
          <w:sz w:val="22"/>
          <w:szCs w:val="22"/>
        </w:rPr>
        <w:t xml:space="preserve">, </w:t>
      </w:r>
      <w:hyperlink w:anchor="_ENREF_47" w:tooltip="Beji, 2021 #1494" w:history="1">
        <w:r w:rsidR="002C0B6F" w:rsidRPr="00494CA8">
          <w:rPr>
            <w:sz w:val="22"/>
            <w:szCs w:val="22"/>
          </w:rPr>
          <w:fldChar w:fldCharType="begin"/>
        </w:r>
        <w:r w:rsidR="002C0B6F">
          <w:rPr>
            <w:sz w:val="22"/>
            <w:szCs w:val="22"/>
          </w:rPr>
          <w:instrText xml:space="preserve"> ADDIN EN.CITE &lt;EndNote&gt;&lt;Cite AuthorYear="1"&gt;&lt;Author&gt;Beji&lt;/Author&gt;&lt;Year&gt;2021&lt;/Year&gt;&lt;RecNum&gt;1494&lt;/RecNum&gt;&lt;DisplayText&gt;Beji et al.&lt;style face="superscript"&gt;[47]&lt;/style&gt;&lt;/DisplayText&gt;&lt;record&gt;&lt;rec-number&gt;1494&lt;/rec-number&gt;&lt;foreign-keys&gt;&lt;key app="EN" db-id="eswfvzza29a52ye9xwqpfwwx55tazv55ppxs"&gt;1494&lt;/key&gt;&lt;/foreign-keys&gt;&lt;ref-type name="Journal Article"&gt;17&lt;/ref-type&gt;&lt;contributors&gt;&lt;authors&gt;&lt;author&gt;Beji, Rania&lt;/author&gt;&lt;author&gt;Yousfi, Ouidad&lt;/author&gt;&lt;author&gt;Loukil, Nadia&lt;/author&gt;&lt;author&gt;Omri, Abdelwahed&lt;/author&gt;&lt;/authors&gt;&lt;/contributors&gt;&lt;titles&gt;&lt;title&gt;Board diversity and corporate social responsibility: Empirical evidence from France&lt;/title&gt;&lt;secondary-title&gt;Journal of Business Ethics&lt;/secondary-title&gt;&lt;/titles&gt;&lt;periodical&gt;&lt;full-title&gt;Journal of Business Ethics&lt;/full-title&gt;&lt;/periodical&gt;&lt;pages&gt;133-155&lt;/pages&gt;&lt;volume&gt;173&lt;/volume&gt;&lt;dates&gt;&lt;year&gt;2021&lt;/year&gt;&lt;/dates&gt;&lt;isbn&gt;0167-4544&lt;/isbn&gt;&lt;urls&gt;&lt;/urls&gt;&lt;language&gt;ens&lt;/language&gt;&lt;/record&gt;&lt;/Cite&gt;&lt;/EndNote&gt;</w:instrText>
        </w:r>
        <w:r w:rsidR="002C0B6F" w:rsidRPr="00494CA8">
          <w:rPr>
            <w:sz w:val="22"/>
            <w:szCs w:val="22"/>
          </w:rPr>
          <w:fldChar w:fldCharType="separate"/>
        </w:r>
        <w:r w:rsidR="002C0B6F">
          <w:rPr>
            <w:noProof/>
            <w:sz w:val="22"/>
            <w:szCs w:val="22"/>
          </w:rPr>
          <w:t>Beji et al.</w:t>
        </w:r>
        <w:r w:rsidR="002C0B6F" w:rsidRPr="00B462BA">
          <w:rPr>
            <w:noProof/>
            <w:sz w:val="22"/>
            <w:szCs w:val="22"/>
            <w:vertAlign w:val="superscript"/>
          </w:rPr>
          <w:t>[47]</w:t>
        </w:r>
        <w:r w:rsidR="002C0B6F" w:rsidRPr="00494CA8">
          <w:rPr>
            <w:sz w:val="22"/>
            <w:szCs w:val="22"/>
          </w:rPr>
          <w:fldChar w:fldCharType="end"/>
        </w:r>
      </w:hyperlink>
      <w:r w:rsidR="0094454D" w:rsidRPr="00DC3FEE">
        <w:rPr>
          <w:sz w:val="22"/>
          <w:szCs w:val="22"/>
        </w:rPr>
        <w:t>,</w:t>
      </w:r>
      <w:r w:rsidR="00DC3FEE">
        <w:rPr>
          <w:sz w:val="22"/>
          <w:szCs w:val="22"/>
          <w:vertAlign w:val="superscript"/>
        </w:rPr>
        <w:t xml:space="preserve"> </w:t>
      </w:r>
      <w:hyperlink w:anchor="_ENREF_48" w:tooltip="De Villiers, 2011 #1493" w:history="1">
        <w:r w:rsidR="002C0B6F" w:rsidRPr="00494CA8">
          <w:rPr>
            <w:sz w:val="22"/>
            <w:szCs w:val="22"/>
          </w:rPr>
          <w:fldChar w:fldCharType="begin"/>
        </w:r>
        <w:r w:rsidR="002C0B6F">
          <w:rPr>
            <w:sz w:val="22"/>
            <w:szCs w:val="22"/>
          </w:rPr>
          <w:instrText xml:space="preserve"> ADDIN EN.CITE &lt;EndNote&gt;&lt;Cite AuthorYear="1"&gt;&lt;Author&gt;De Villiers&lt;/Author&gt;&lt;Year&gt;2011&lt;/Year&gt;&lt;RecNum&gt;1493&lt;/RecNum&gt;&lt;DisplayText&gt;De Villiers et al.&lt;style face="superscript"&gt;[48]&lt;/style&gt;&lt;/DisplayText&gt;&lt;record&gt;&lt;rec-number&gt;1493&lt;/rec-number&gt;&lt;foreign-keys&gt;&lt;key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2C0B6F" w:rsidRPr="00494CA8">
          <w:rPr>
            <w:sz w:val="22"/>
            <w:szCs w:val="22"/>
          </w:rPr>
          <w:fldChar w:fldCharType="separate"/>
        </w:r>
        <w:r w:rsidR="002C0B6F">
          <w:rPr>
            <w:noProof/>
            <w:sz w:val="22"/>
            <w:szCs w:val="22"/>
          </w:rPr>
          <w:t>De Villiers et al.</w:t>
        </w:r>
        <w:r w:rsidR="002C0B6F" w:rsidRPr="00B462BA">
          <w:rPr>
            <w:noProof/>
            <w:sz w:val="22"/>
            <w:szCs w:val="22"/>
            <w:vertAlign w:val="superscript"/>
          </w:rPr>
          <w:t>[48]</w:t>
        </w:r>
        <w:r w:rsidR="002C0B6F" w:rsidRPr="00494CA8">
          <w:rPr>
            <w:sz w:val="22"/>
            <w:szCs w:val="22"/>
          </w:rPr>
          <w:fldChar w:fldCharType="end"/>
        </w:r>
      </w:hyperlink>
      <w:r w:rsidR="005F02FB">
        <w:rPr>
          <w:sz w:val="22"/>
          <w:szCs w:val="22"/>
        </w:rPr>
        <w:t xml:space="preserve">, </w:t>
      </w:r>
      <w:hyperlink w:anchor="_ENREF_49" w:tooltip="Endrikat, 2021 #1495" w:history="1">
        <w:r w:rsidR="002C0B6F" w:rsidRPr="00494CA8">
          <w:rPr>
            <w:sz w:val="22"/>
            <w:szCs w:val="22"/>
          </w:rPr>
          <w:fldChar w:fldCharType="begin"/>
        </w:r>
        <w:r w:rsidR="002C0B6F">
          <w:rPr>
            <w:sz w:val="22"/>
            <w:szCs w:val="22"/>
          </w:rPr>
          <w:instrText xml:space="preserve"> ADDIN EN.CITE &lt;EndNote&gt;&lt;Cite AuthorYear="1"&gt;&lt;Author&gt;Endrikat&lt;/Author&gt;&lt;Year&gt;2021&lt;/Year&gt;&lt;RecNum&gt;1495&lt;/RecNum&gt;&lt;DisplayText&gt;Endrikat et al.&lt;style face="superscript"&gt;[49]&lt;/style&gt;&lt;/DisplayText&gt;&lt;record&gt;&lt;rec-number&gt;1495&lt;/rec-number&gt;&lt;foreign-keys&gt;&lt;key app="EN" db-id="eswfvzza29a52ye9xwqpfwwx55tazv55ppxs"&gt;1495&lt;/key&gt;&lt;/foreign-keys&gt;&lt;ref-type name="Journal Article"&gt;17&lt;/ref-type&gt;&lt;contributors&gt;&lt;authors&gt;&lt;author&gt;Endrikat, Jan&lt;/author&gt;&lt;author&gt;De Villiers, Charl&lt;/author&gt;&lt;author&gt;Guenther, Thomas W&lt;/author&gt;&lt;author&gt;Guenther, Edeltraud M&lt;/author&gt;&lt;/authors&gt;&lt;/contributors&gt;&lt;titles&gt;&lt;title&gt;Board characteristics and corporate social responsibility: A meta-analytic investigation&lt;/title&gt;&lt;secondary-title&gt;Business &amp;amp; Society&lt;/secondary-title&gt;&lt;/titles&gt;&lt;periodical&gt;&lt;full-title&gt;Business &amp;amp; Society&lt;/full-title&gt;&lt;/periodical&gt;&lt;pages&gt;2099-2135&lt;/pages&gt;&lt;volume&gt;60&lt;/volume&gt;&lt;number&gt;8&lt;/number&gt;&lt;dates&gt;&lt;year&gt;2021&lt;/year&gt;&lt;/dates&gt;&lt;isbn&gt;0007-6503&lt;/isbn&gt;&lt;urls&gt;&lt;/urls&gt;&lt;language&gt;ens&lt;/language&gt;&lt;/record&gt;&lt;/Cite&gt;&lt;/EndNote&gt;</w:instrText>
        </w:r>
        <w:r w:rsidR="002C0B6F" w:rsidRPr="00494CA8">
          <w:rPr>
            <w:sz w:val="22"/>
            <w:szCs w:val="22"/>
          </w:rPr>
          <w:fldChar w:fldCharType="separate"/>
        </w:r>
        <w:r w:rsidR="002C0B6F">
          <w:rPr>
            <w:noProof/>
            <w:sz w:val="22"/>
            <w:szCs w:val="22"/>
          </w:rPr>
          <w:t>Endrikat et al.</w:t>
        </w:r>
        <w:r w:rsidR="002C0B6F" w:rsidRPr="00B462BA">
          <w:rPr>
            <w:noProof/>
            <w:sz w:val="22"/>
            <w:szCs w:val="22"/>
            <w:vertAlign w:val="superscript"/>
          </w:rPr>
          <w:t>[49]</w:t>
        </w:r>
        <w:r w:rsidR="002C0B6F" w:rsidRPr="00494CA8">
          <w:rPr>
            <w:sz w:val="22"/>
            <w:szCs w:val="22"/>
          </w:rPr>
          <w:fldChar w:fldCharType="end"/>
        </w:r>
      </w:hyperlink>
      <w:r w:rsidR="00DC3FEE">
        <w:rPr>
          <w:sz w:val="22"/>
          <w:szCs w:val="22"/>
        </w:rPr>
        <w:t xml:space="preserve">. According to resource dependence theory, firms </w:t>
      </w:r>
      <w:r w:rsidR="001350AB">
        <w:rPr>
          <w:sz w:val="22"/>
          <w:szCs w:val="22"/>
        </w:rPr>
        <w:t>will benefit from larger boards. A</w:t>
      </w:r>
      <w:r w:rsidR="00DC3FEE">
        <w:rPr>
          <w:sz w:val="22"/>
          <w:szCs w:val="22"/>
        </w:rPr>
        <w:t>s more directors, each of whom can provide ESG</w:t>
      </w:r>
      <w:r w:rsidR="00EE589A">
        <w:rPr>
          <w:sz w:val="22"/>
          <w:szCs w:val="22"/>
        </w:rPr>
        <w:t xml:space="preserve"> disclosure</w:t>
      </w:r>
      <w:r w:rsidR="00DC3FEE">
        <w:rPr>
          <w:sz w:val="22"/>
          <w:szCs w:val="22"/>
        </w:rPr>
        <w:t xml:space="preserve">-related skills, knowledge, and experience, motivate firms to </w:t>
      </w:r>
      <w:r w:rsidR="00D3127F">
        <w:rPr>
          <w:sz w:val="22"/>
          <w:szCs w:val="22"/>
        </w:rPr>
        <w:t>improve</w:t>
      </w:r>
      <w:r w:rsidR="00DC3FEE">
        <w:rPr>
          <w:sz w:val="22"/>
          <w:szCs w:val="22"/>
        </w:rPr>
        <w:t xml:space="preserve"> their levels of ESG disclosure.</w:t>
      </w:r>
      <w:hyperlink w:anchor="_ENREF_45" w:tooltip="Hillman, 2009 #1492" w:history="1">
        <w:r w:rsidR="002C0B6F" w:rsidRPr="00494CA8">
          <w:rPr>
            <w:sz w:val="22"/>
            <w:szCs w:val="22"/>
          </w:rPr>
          <w:fldChar w:fldCharType="begin"/>
        </w:r>
        <w:r w:rsidR="002C0B6F">
          <w:rPr>
            <w:sz w:val="22"/>
            <w:szCs w:val="22"/>
          </w:rPr>
          <w:instrText xml:space="preserve"> ADDIN EN.CITE &lt;EndNote&gt;&lt;Cite&gt;&lt;Author&gt;Hillman&lt;/Author&gt;&lt;Year&gt;2009&lt;/Year&gt;&lt;RecNum&gt;1492&lt;/RecNum&gt;&lt;DisplayText&gt;&lt;style face="superscript"&gt;45&lt;/style&gt;&lt;/DisplayText&gt;&lt;record&gt;&lt;rec-number&gt;1492&lt;/rec-number&gt;&lt;foreign-keys&gt;&lt;key app="EN" db-id="eswfvzza29a52ye9xwqpfwwx55tazv55ppxs"&gt;1492&lt;/key&gt;&lt;/foreign-keys&gt;&lt;ref-type name="Journal Article"&gt;17&lt;/ref-type&gt;&lt;contributors&gt;&lt;authors&gt;&lt;author&gt;Hillman, Amy J&lt;/author&gt;&lt;author&gt;Withers, Michael C&lt;/author&gt;&lt;author&gt;Collins, Brian J&lt;/author&gt;&lt;/authors&gt;&lt;/contributors&gt;&lt;titles&gt;&lt;title&gt;Resource dependence theory: A review&lt;/title&gt;&lt;secondary-title&gt;Journal of management&lt;/secondary-title&gt;&lt;/titles&gt;&lt;periodical&gt;&lt;full-title&gt;Journal of Management&lt;/full-title&gt;&lt;/periodical&gt;&lt;pages&gt;1404-1427&lt;/pages&gt;&lt;volume&gt;35&lt;/volume&gt;&lt;number&gt;6&lt;/number&gt;&lt;dates&gt;&lt;year&gt;2009&lt;/year&gt;&lt;/dates&gt;&lt;isbn&gt;0149-2063&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45</w:t>
        </w:r>
        <w:r w:rsidR="002C0B6F" w:rsidRPr="00494CA8">
          <w:rPr>
            <w:sz w:val="22"/>
            <w:szCs w:val="22"/>
          </w:rPr>
          <w:fldChar w:fldCharType="end"/>
        </w:r>
      </w:hyperlink>
      <w:r w:rsidR="002309B8" w:rsidRPr="002309B8">
        <w:rPr>
          <w:sz w:val="22"/>
          <w:szCs w:val="22"/>
          <w:vertAlign w:val="superscript"/>
        </w:rPr>
        <w:t>,</w:t>
      </w:r>
      <w:hyperlink w:anchor="_ENREF_48" w:tooltip="De Villiers, 2011 #1493" w:history="1">
        <w:r w:rsidR="002C0B6F" w:rsidRPr="00494CA8">
          <w:rPr>
            <w:sz w:val="22"/>
            <w:szCs w:val="22"/>
          </w:rPr>
          <w:fldChar w:fldCharType="begin"/>
        </w:r>
        <w:r w:rsidR="002C0B6F">
          <w:rPr>
            <w:sz w:val="22"/>
            <w:szCs w:val="22"/>
          </w:rPr>
          <w:instrText xml:space="preserve"> ADDIN EN.CITE &lt;EndNote&gt;&lt;Cite&gt;&lt;Author&gt;De Villiers&lt;/Author&gt;&lt;Year&gt;2011&lt;/Year&gt;&lt;RecNum&gt;1493&lt;/RecNum&gt;&lt;DisplayText&gt;&lt;style face="superscript"&gt;48&lt;/style&gt;&lt;/DisplayText&gt;&lt;record&gt;&lt;rec-number&gt;1493&lt;/rec-number&gt;&lt;foreign-keys&gt;&lt;key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48</w:t>
        </w:r>
        <w:r w:rsidR="002C0B6F" w:rsidRPr="00494CA8">
          <w:rPr>
            <w:sz w:val="22"/>
            <w:szCs w:val="22"/>
          </w:rPr>
          <w:fldChar w:fldCharType="end"/>
        </w:r>
      </w:hyperlink>
      <w:r w:rsidR="00DC5F33">
        <w:rPr>
          <w:sz w:val="22"/>
          <w:szCs w:val="22"/>
        </w:rPr>
        <w:t xml:space="preserve"> </w:t>
      </w:r>
      <w:r w:rsidR="004D61E0">
        <w:rPr>
          <w:sz w:val="22"/>
          <w:szCs w:val="22"/>
        </w:rPr>
        <w:t>According to stakeholder theory, a larger and more diverse board creates more opportunities to develop stakeholder connections by incorporating social, environmental, and governance goals beyond purely financial goals.</w:t>
      </w:r>
      <w:hyperlink w:anchor="_ENREF_50" w:tooltip="Hillman, 2001 #48" w:history="1">
        <w:r w:rsidR="002C0B6F" w:rsidRPr="00494CA8">
          <w:rPr>
            <w:sz w:val="22"/>
            <w:szCs w:val="22"/>
          </w:rPr>
          <w:fldChar w:fldCharType="begin"/>
        </w:r>
        <w:r w:rsidR="002C0B6F">
          <w:rPr>
            <w:sz w:val="22"/>
            <w:szCs w:val="22"/>
          </w:rPr>
          <w:instrText xml:space="preserve"> ADDIN EN.CITE &lt;EndNote&gt;&lt;Cite&gt;&lt;Author&gt;Hillman&lt;/Author&gt;&lt;Year&gt;2001&lt;/Year&gt;&lt;RecNum&gt;48&lt;/RecNum&gt;&lt;DisplayText&gt;&lt;style face="superscript"&gt;50&lt;/style&gt;&lt;/DisplayText&gt;&lt;record&gt;&lt;rec-number&gt;48&lt;/rec-number&gt;&lt;foreign-keys&gt;&lt;key app="EN" db-id="eswfvzza29a52ye9xwqpfwwx55tazv55ppxs"&gt;48&lt;/key&gt;&lt;/foreign-keys&gt;&lt;ref-type name="Journal Article"&gt;17&lt;/ref-type&gt;&lt;contributors&gt;&lt;authors&gt;&lt;author&gt;Hillman, Amy&lt;/author&gt;&lt;author&gt;Keim, Gerald D.&lt;/author&gt;&lt;/authors&gt;&lt;/contributors&gt;&lt;titles&gt;&lt;title&gt;Shareholder value, stakeholder management, and social issues: what&amp;apos;s the bottom line?&lt;/title&gt;&lt;secondary-title&gt;Strategic Management Journal&lt;/secondary-title&gt;&lt;/titles&gt;&lt;periodical&gt;&lt;full-title&gt;Strategic Management Journal&lt;/full-title&gt;&lt;/periodical&gt;&lt;pages&gt;125-139&lt;/pages&gt;&lt;volume&gt;22&lt;/volume&gt;&lt;dates&gt;&lt;year&gt;2001&lt;/year&gt;&lt;/dates&gt;&lt;urls&gt;&lt;related-urls&gt;&lt;url&gt;https://doi.org/10.1002/1097-0266(200101)22:2&amp;lt;125::AID-SMJ150&amp;gt;3.0.CO;2-H&lt;/url&gt;&lt;/related-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50</w:t>
        </w:r>
        <w:r w:rsidR="002C0B6F" w:rsidRPr="00494CA8">
          <w:rPr>
            <w:sz w:val="22"/>
            <w:szCs w:val="22"/>
          </w:rPr>
          <w:fldChar w:fldCharType="end"/>
        </w:r>
      </w:hyperlink>
      <w:r w:rsidR="004D61E0" w:rsidRPr="004D61E0">
        <w:rPr>
          <w:sz w:val="22"/>
          <w:szCs w:val="22"/>
        </w:rPr>
        <w:t xml:space="preserve"> </w:t>
      </w:r>
    </w:p>
    <w:p w14:paraId="5C9DD7D0" w14:textId="79663323" w:rsidR="005602EB" w:rsidRDefault="00EE589A" w:rsidP="001350AB">
      <w:pPr>
        <w:spacing w:before="120" w:after="120"/>
        <w:ind w:firstLine="567"/>
        <w:jc w:val="both"/>
        <w:rPr>
          <w:sz w:val="22"/>
          <w:szCs w:val="22"/>
        </w:rPr>
      </w:pPr>
      <w:r>
        <w:rPr>
          <w:sz w:val="22"/>
          <w:szCs w:val="22"/>
        </w:rPr>
        <w:t>ESG</w:t>
      </w:r>
      <w:r w:rsidR="00160AC2" w:rsidRPr="0076404A">
        <w:rPr>
          <w:sz w:val="22"/>
          <w:szCs w:val="22"/>
        </w:rPr>
        <w:t xml:space="preserve"> disclosure has a direct and positive impact on performance at the 1% significance level (β = 0.267, p &lt; 0.01, t = 4.488), similar to </w:t>
      </w:r>
      <w:hyperlink w:anchor="_ENREF_51" w:tooltip="Loh, 2017 #203" w:history="1">
        <w:r w:rsidR="002C0B6F" w:rsidRPr="00494CA8">
          <w:rPr>
            <w:sz w:val="22"/>
            <w:szCs w:val="22"/>
          </w:rPr>
          <w:fldChar w:fldCharType="begin"/>
        </w:r>
        <w:r w:rsidR="002C0B6F">
          <w:rPr>
            <w:sz w:val="22"/>
            <w:szCs w:val="22"/>
          </w:rPr>
          <w:instrText xml:space="preserve"> ADDIN EN.CITE &lt;EndNote&gt;&lt;Cite AuthorYear="1"&gt;&lt;Author&gt;Loh&lt;/Author&gt;&lt;Year&gt;2017&lt;/Year&gt;&lt;RecNum&gt;203&lt;/RecNum&gt;&lt;DisplayText&gt;Loh et al.&lt;style face="superscript"&gt;[51]&lt;/style&gt;&lt;/DisplayText&gt;&lt;record&gt;&lt;rec-number&gt;203&lt;/rec-number&gt;&lt;foreign-keys&gt;&lt;key app="EN" db-id="eswfvzza29a52ye9xwqpfwwx55tazv55ppxs"&gt;203&lt;/key&gt;&lt;/foreign-keys&gt;&lt;ref-type name="Journal Article"&gt;17&lt;/ref-type&gt;&lt;contributors&gt;&lt;authors&gt;&lt;author&gt;Loh, Lawrence&lt;/author&gt;&lt;author&gt;Thomas, Thomas&lt;/author&gt;&lt;author&gt;Wang, Yu&lt;/author&gt;&lt;/authors&gt;&lt;/contributors&gt;&lt;titles&gt;&lt;title&gt;Sustainability Reporting and Firm Value: Evidence from Singapore-Listed Companies&lt;/title&gt;&lt;secondary-title&gt;Sustainability&lt;/secondary-title&gt;&lt;/titles&gt;&lt;periodical&gt;&lt;full-title&gt;Sustainability&lt;/full-title&gt;&lt;/periodical&gt;&lt;pages&gt;2112&lt;/pages&gt;&lt;volume&gt;9&lt;/volume&gt;&lt;number&gt;11&lt;/number&gt;&lt;dates&gt;&lt;year&gt;2017&lt;/year&gt;&lt;/dates&gt;&lt;isbn&gt;2071-1050&lt;/isbn&gt;&lt;urls&gt;&lt;/urls&gt;&lt;electronic-resource-num&gt;10.3390/su9112112&lt;/electronic-resource-num&gt;&lt;language&gt;ens&lt;/language&gt;&lt;/record&gt;&lt;/Cite&gt;&lt;/EndNote&gt;</w:instrText>
        </w:r>
        <w:r w:rsidR="002C0B6F" w:rsidRPr="00494CA8">
          <w:rPr>
            <w:sz w:val="22"/>
            <w:szCs w:val="22"/>
          </w:rPr>
          <w:fldChar w:fldCharType="separate"/>
        </w:r>
        <w:r w:rsidR="002C0B6F">
          <w:rPr>
            <w:noProof/>
            <w:sz w:val="22"/>
            <w:szCs w:val="22"/>
          </w:rPr>
          <w:t>Loh et al.</w:t>
        </w:r>
        <w:r w:rsidR="002C0B6F" w:rsidRPr="00B462BA">
          <w:rPr>
            <w:noProof/>
            <w:sz w:val="22"/>
            <w:szCs w:val="22"/>
            <w:vertAlign w:val="superscript"/>
          </w:rPr>
          <w:t>[51]</w:t>
        </w:r>
        <w:r w:rsidR="002C0B6F" w:rsidRPr="00494CA8">
          <w:rPr>
            <w:sz w:val="22"/>
            <w:szCs w:val="22"/>
          </w:rPr>
          <w:fldChar w:fldCharType="end"/>
        </w:r>
      </w:hyperlink>
      <w:r w:rsidR="00081237">
        <w:rPr>
          <w:sz w:val="22"/>
          <w:szCs w:val="22"/>
        </w:rPr>
        <w:t xml:space="preserve">, </w:t>
      </w:r>
      <w:hyperlink w:anchor="_ENREF_52" w:tooltip="Maji, 2023 #1446" w:history="1">
        <w:r w:rsidR="002C0B6F" w:rsidRPr="00494CA8">
          <w:rPr>
            <w:sz w:val="22"/>
            <w:szCs w:val="22"/>
          </w:rPr>
          <w:fldChar w:fldCharType="begin"/>
        </w:r>
        <w:r w:rsidR="002C0B6F">
          <w:rPr>
            <w:sz w:val="22"/>
            <w:szCs w:val="22"/>
          </w:rPr>
          <w:instrText xml:space="preserve"> ADDIN EN.CITE &lt;EndNote&gt;&lt;Cite AuthorYear="1"&gt;&lt;Author&gt;Maji&lt;/Author&gt;&lt;Year&gt;2023&lt;/Year&gt;&lt;RecNum&gt;1446&lt;/RecNum&gt;&lt;DisplayText&gt;Maji and Lohia&lt;style face="superscript"&gt;[52]&lt;/style&gt;&lt;/DisplayText&gt;&lt;record&gt;&lt;rec-number&gt;1446&lt;/rec-number&gt;&lt;foreign-keys&gt;&lt;key app="EN" db-id="eswfvzza29a52ye9xwqpfwwx55tazv55ppxs"&gt;1446&lt;/key&gt;&lt;/foreign-keys&gt;&lt;ref-type name="Journal Article"&gt;17&lt;/ref-type&gt;&lt;contributors&gt;&lt;authors&gt;&lt;author&gt;Maji, Santi Gopal&lt;/author&gt;&lt;author&gt;Lohia, Prachi&lt;/author&gt;&lt;/authors&gt;&lt;/contributors&gt;&lt;titles&gt;&lt;title&gt;Environmental, social and governance (ESG) performance and firm performance in India&lt;/title&gt;&lt;secondary-title&gt;Society and Business Review&lt;/secondary-title&gt;&lt;/titles&gt;&lt;periodical&gt;&lt;full-title&gt;Society and Business Review&lt;/full-title&gt;&lt;/periodical&gt;&lt;pages&gt;175-194&lt;/pages&gt;&lt;volume&gt;18&lt;/volume&gt;&lt;number&gt;1&lt;/number&gt;&lt;dates&gt;&lt;year&gt;2023&lt;/year&gt;&lt;/dates&gt;&lt;publisher&gt;Emerald Publishing Limited&lt;/publisher&gt;&lt;isbn&gt;1746-5680&lt;/isbn&gt;&lt;urls&gt;&lt;related-urls&gt;&lt;url&gt;https://doi.org/10.1108/SBR-06-2022-0162&lt;/url&gt;&lt;/related-urls&gt;&lt;/urls&gt;&lt;electronic-resource-num&gt;10.1108/SBR-06-2022-0162&lt;/electronic-resource-num&gt;&lt;language&gt;ens&lt;/language&gt;&lt;access-date&gt;2024/05/08&lt;/access-date&gt;&lt;/record&gt;&lt;/Cite&gt;&lt;/EndNote&gt;</w:instrText>
        </w:r>
        <w:r w:rsidR="002C0B6F" w:rsidRPr="00494CA8">
          <w:rPr>
            <w:sz w:val="22"/>
            <w:szCs w:val="22"/>
          </w:rPr>
          <w:fldChar w:fldCharType="separate"/>
        </w:r>
        <w:r w:rsidR="002C0B6F">
          <w:rPr>
            <w:noProof/>
            <w:sz w:val="22"/>
            <w:szCs w:val="22"/>
          </w:rPr>
          <w:t>Maji and Lohia</w:t>
        </w:r>
        <w:r w:rsidR="002C0B6F" w:rsidRPr="00B462BA">
          <w:rPr>
            <w:noProof/>
            <w:sz w:val="22"/>
            <w:szCs w:val="22"/>
            <w:vertAlign w:val="superscript"/>
          </w:rPr>
          <w:t>[52]</w:t>
        </w:r>
        <w:r w:rsidR="002C0B6F" w:rsidRPr="00494CA8">
          <w:rPr>
            <w:sz w:val="22"/>
            <w:szCs w:val="22"/>
          </w:rPr>
          <w:fldChar w:fldCharType="end"/>
        </w:r>
      </w:hyperlink>
      <w:r w:rsidR="0094454D">
        <w:rPr>
          <w:sz w:val="22"/>
          <w:szCs w:val="22"/>
        </w:rPr>
        <w:t xml:space="preserve">, </w:t>
      </w:r>
      <w:hyperlink w:anchor="_ENREF_53" w:tooltip="Nguyen Thi Ngoc Bich, 2015 #177" w:history="1">
        <w:r w:rsidR="002C0B6F" w:rsidRPr="00494CA8">
          <w:rPr>
            <w:sz w:val="22"/>
            <w:szCs w:val="22"/>
          </w:rPr>
          <w:fldChar w:fldCharType="begin"/>
        </w:r>
        <w:r w:rsidR="002C0B6F">
          <w:rPr>
            <w:sz w:val="22"/>
            <w:szCs w:val="22"/>
          </w:rPr>
          <w:instrText xml:space="preserve"> ADDIN EN.CITE &lt;EndNote&gt;&lt;Cite AuthorYear="1"&gt;&lt;Author&gt;Nguyen Thi Ngoc Bich&lt;/Author&gt;&lt;Year&gt;2015&lt;/Year&gt;&lt;RecNum&gt;177&lt;/RecNum&gt;&lt;DisplayText&gt;Nguyen Thi Ngoc Bich et al.&lt;style face="superscript"&gt;[53]&lt;/style&gt;&lt;/DisplayText&gt;&lt;record&gt;&lt;rec-number&gt;177&lt;/rec-number&gt;&lt;foreign-keys&gt;&lt;key app="EN" db-id="eswfvzza29a52ye9xwqpfwwx55tazv55ppxs"&gt;177&lt;/key&gt;&lt;/foreign-keys&gt;&lt;ref-type name="Journal Article"&gt;17&lt;/ref-type&gt;&lt;contributors&gt;&lt;authors&gt;&lt;author&gt;Nguyen Thi Ngoc Bich,&lt;/author&gt;&lt;author&gt;Tran Thi Thanh Hai, &lt;/author&gt;&lt;author&gt;Le Hoang Oanh, &lt;/author&gt;&lt;author&gt;Nguyen Thi Phuoc,&lt;/author&gt;&lt;author&gt;Trinh Hiep Thien,&lt;/author&gt;&lt;author&gt;Le Viet,&lt;/author&gt;&lt;/authors&gt;&lt;/contributors&gt;&lt;titles&gt;&lt;title&gt;Association between Corporate Social Responsibility Disclosures and Firm Value – Empirical Evidence from Vietnam&lt;/title&gt;&lt;secondary-title&gt;International Journal of Accounting and Financial Reporting&lt;/secondary-title&gt;&lt;/titles&gt;&lt;periodical&gt;&lt;full-title&gt;International Journal of Accounting and Financial Reporting&lt;/full-title&gt;&lt;/periodical&gt;&lt;pages&gt;212-228&lt;/pages&gt;&lt;volume&gt;5&lt;/volume&gt;&lt;number&gt;1&lt;/number&gt;&lt;dates&gt;&lt;year&gt;2015&lt;/year&gt;&lt;/dates&gt;&lt;urls&gt;&lt;related-urls&gt;&lt;url&gt;http://dx.doi.org/10.5296/ ijafr.v5i1.7394&lt;/url&gt;&lt;/related-urls&gt;&lt;/urls&gt;&lt;electronic-resource-num&gt;10.5296/&lt;/electronic-resource-num&gt;&lt;language&gt;ens&lt;/language&gt;&lt;/record&gt;&lt;/Cite&gt;&lt;/EndNote&gt;</w:instrText>
        </w:r>
        <w:r w:rsidR="002C0B6F" w:rsidRPr="00494CA8">
          <w:rPr>
            <w:sz w:val="22"/>
            <w:szCs w:val="22"/>
          </w:rPr>
          <w:fldChar w:fldCharType="separate"/>
        </w:r>
        <w:r w:rsidR="002C0B6F">
          <w:rPr>
            <w:noProof/>
            <w:sz w:val="22"/>
            <w:szCs w:val="22"/>
          </w:rPr>
          <w:t>Nguyen Thi Ngoc Bich et al.</w:t>
        </w:r>
        <w:r w:rsidR="002C0B6F" w:rsidRPr="00B462BA">
          <w:rPr>
            <w:noProof/>
            <w:sz w:val="22"/>
            <w:szCs w:val="22"/>
            <w:vertAlign w:val="superscript"/>
          </w:rPr>
          <w:t>[53]</w:t>
        </w:r>
        <w:r w:rsidR="002C0B6F" w:rsidRPr="00494CA8">
          <w:rPr>
            <w:sz w:val="22"/>
            <w:szCs w:val="22"/>
          </w:rPr>
          <w:fldChar w:fldCharType="end"/>
        </w:r>
      </w:hyperlink>
      <w:r w:rsidR="001350AB">
        <w:rPr>
          <w:rStyle w:val="Hyperlink"/>
          <w:sz w:val="22"/>
          <w:szCs w:val="22"/>
        </w:rPr>
        <w:t>.</w:t>
      </w:r>
      <w:r w:rsidR="00A17E13" w:rsidRPr="00A17E13">
        <w:t xml:space="preserve"> </w:t>
      </w:r>
      <w:r w:rsidR="00C274F3">
        <w:rPr>
          <w:sz w:val="22"/>
          <w:szCs w:val="22"/>
        </w:rPr>
        <w:t xml:space="preserve">From the perspective of stakeholder theory, </w:t>
      </w:r>
      <w:r>
        <w:rPr>
          <w:sz w:val="22"/>
          <w:szCs w:val="22"/>
        </w:rPr>
        <w:t xml:space="preserve">ESG </w:t>
      </w:r>
      <w:r w:rsidR="00C274F3">
        <w:rPr>
          <w:sz w:val="22"/>
          <w:szCs w:val="22"/>
        </w:rPr>
        <w:t>disclosure provides complete and clear information, reduces information asymmetry, and reduces agency costs leading to increased performance.</w:t>
      </w:r>
    </w:p>
    <w:p w14:paraId="2E6D3D8D" w14:textId="49824F4A" w:rsidR="003B6D56" w:rsidRPr="0076404A" w:rsidRDefault="00E71F07" w:rsidP="00CC0A90">
      <w:pPr>
        <w:spacing w:before="120" w:after="120"/>
        <w:ind w:firstLine="720"/>
        <w:jc w:val="both"/>
        <w:rPr>
          <w:sz w:val="22"/>
          <w:szCs w:val="22"/>
        </w:rPr>
      </w:pPr>
      <w:r>
        <w:rPr>
          <w:sz w:val="22"/>
          <w:szCs w:val="22"/>
        </w:rPr>
        <w:t xml:space="preserve">Board size indirectly and positively affects performance through the mediator variable of </w:t>
      </w:r>
      <w:r w:rsidR="00875775">
        <w:rPr>
          <w:sz w:val="22"/>
          <w:szCs w:val="22"/>
        </w:rPr>
        <w:t>ESG</w:t>
      </w:r>
      <w:r>
        <w:rPr>
          <w:sz w:val="22"/>
          <w:szCs w:val="22"/>
        </w:rPr>
        <w:t xml:space="preserve"> disclosure at the 5% significance level (β = 0.050, p &lt; 0.05, t = 2.035), thus, hypothesis H</w:t>
      </w:r>
      <w:r w:rsidR="00160AC2" w:rsidRPr="0010597F">
        <w:rPr>
          <w:sz w:val="22"/>
          <w:szCs w:val="22"/>
          <w:vertAlign w:val="subscript"/>
        </w:rPr>
        <w:t xml:space="preserve">2 </w:t>
      </w:r>
      <w:r w:rsidR="00160AC2" w:rsidRPr="0076404A">
        <w:rPr>
          <w:sz w:val="22"/>
          <w:szCs w:val="22"/>
        </w:rPr>
        <w:t xml:space="preserve">is accepted. An effective board size will facilitate </w:t>
      </w:r>
      <w:r w:rsidR="00EE589A">
        <w:rPr>
          <w:sz w:val="22"/>
          <w:szCs w:val="22"/>
        </w:rPr>
        <w:t>ESG</w:t>
      </w:r>
      <w:r w:rsidR="00160AC2" w:rsidRPr="0076404A">
        <w:rPr>
          <w:sz w:val="22"/>
          <w:szCs w:val="22"/>
        </w:rPr>
        <w:t xml:space="preserve"> disclosure to maintain and increase performance, ensuring that companies become more socially responsible.</w:t>
      </w:r>
      <w:hyperlink w:anchor="_ENREF_9" w:tooltip="Jo, 2012 #376" w:history="1">
        <w:r w:rsidR="002C0B6F" w:rsidRPr="00494CA8">
          <w:rPr>
            <w:sz w:val="22"/>
            <w:szCs w:val="22"/>
          </w:rPr>
          <w:fldChar w:fldCharType="begin"/>
        </w:r>
        <w:r w:rsidR="002C0B6F" w:rsidRPr="00494CA8">
          <w:rPr>
            <w:sz w:val="22"/>
            <w:szCs w:val="22"/>
          </w:rPr>
          <w:instrText xml:space="preserve"> ADDIN EN.CITE &lt;EndNote&gt;&lt;Cite&gt;&lt;Author&gt;Jo&lt;/Author&gt;&lt;Year&gt;2012&lt;/Year&gt;&lt;RecNum&gt;376&lt;/RecNum&gt;&lt;DisplayText&gt;&lt;style face="superscript"&gt;9&lt;/style&gt;&lt;/DisplayText&gt;&lt;record&gt;&lt;rec-number&gt;376&lt;/rec-number&gt;&lt;foreign-keys&gt;&lt;key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9</w:t>
        </w:r>
        <w:r w:rsidR="002C0B6F" w:rsidRPr="00494CA8">
          <w:rPr>
            <w:sz w:val="22"/>
            <w:szCs w:val="22"/>
          </w:rPr>
          <w:fldChar w:fldCharType="end"/>
        </w:r>
      </w:hyperlink>
      <w:r w:rsidR="00DC5F33">
        <w:rPr>
          <w:sz w:val="22"/>
          <w:szCs w:val="22"/>
        </w:rPr>
        <w:t xml:space="preserve"> </w:t>
      </w:r>
      <w:r w:rsidR="00101C05">
        <w:rPr>
          <w:sz w:val="22"/>
          <w:szCs w:val="22"/>
        </w:rPr>
        <w:t xml:space="preserve">This suggests that stronger performance can be achieved through higher levels of </w:t>
      </w:r>
      <w:r w:rsidR="00101C05" w:rsidRPr="00EE589A">
        <w:rPr>
          <w:sz w:val="22"/>
          <w:szCs w:val="22"/>
        </w:rPr>
        <w:t>ESG disclosure, with ESG</w:t>
      </w:r>
      <w:r w:rsidR="00101C05" w:rsidRPr="00EB5716">
        <w:rPr>
          <w:sz w:val="22"/>
          <w:szCs w:val="22"/>
        </w:rPr>
        <w:t xml:space="preserve"> </w:t>
      </w:r>
      <w:r w:rsidR="00101C05">
        <w:rPr>
          <w:sz w:val="22"/>
          <w:szCs w:val="22"/>
        </w:rPr>
        <w:t xml:space="preserve">acting as a mediator between board size </w:t>
      </w:r>
      <w:r w:rsidR="00306DD3">
        <w:rPr>
          <w:sz w:val="22"/>
          <w:szCs w:val="22"/>
        </w:rPr>
        <w:t xml:space="preserve">and </w:t>
      </w:r>
      <w:r w:rsidR="007A6BDC">
        <w:rPr>
          <w:sz w:val="22"/>
          <w:szCs w:val="22"/>
        </w:rPr>
        <w:t xml:space="preserve">performance. This can be interpreted as companies with larger board sizes may lead to better </w:t>
      </w:r>
      <w:r w:rsidR="007A6BDC" w:rsidRPr="00EE589A">
        <w:rPr>
          <w:sz w:val="22"/>
          <w:szCs w:val="22"/>
        </w:rPr>
        <w:t xml:space="preserve">ESG disclosure </w:t>
      </w:r>
      <w:r w:rsidR="007A6BDC">
        <w:rPr>
          <w:sz w:val="22"/>
          <w:szCs w:val="22"/>
        </w:rPr>
        <w:t>and monitoring practices to ensure that corporate promises to external stakeholders are fulfilled, supporting claims of corporate legitimacy and improving ESG</w:t>
      </w:r>
      <w:r w:rsidR="00EE589A">
        <w:rPr>
          <w:sz w:val="22"/>
          <w:szCs w:val="22"/>
        </w:rPr>
        <w:t xml:space="preserve"> disclosure</w:t>
      </w:r>
      <w:r w:rsidR="007A6BDC">
        <w:rPr>
          <w:sz w:val="22"/>
          <w:szCs w:val="22"/>
        </w:rPr>
        <w:t>. Improved levels of ESG disclosure will generate positive signals about corporate reputation, creating a trustworthy atmosphere for business development and thus improving performance.</w:t>
      </w:r>
      <w:hyperlink w:anchor="_ENREF_7" w:tooltip="Jo, 2011 #375" w:history="1">
        <w:r w:rsidR="002C0B6F" w:rsidRPr="00494CA8">
          <w:rPr>
            <w:sz w:val="22"/>
            <w:szCs w:val="22"/>
          </w:rPr>
          <w:fldChar w:fldCharType="begin"/>
        </w:r>
        <w:r w:rsidR="002C0B6F" w:rsidRPr="00494CA8">
          <w:rPr>
            <w:sz w:val="22"/>
            <w:szCs w:val="22"/>
          </w:rPr>
          <w:instrText xml:space="preserve"> ADDIN EN.CITE &lt;EndNote&gt;&lt;Cite&gt;&lt;Author&gt;Jo&lt;/Author&gt;&lt;Year&gt;2011&lt;/Year&gt;&lt;RecNum&gt;375&lt;/RecNum&gt;&lt;DisplayText&gt;&lt;style face="superscript"&gt;7&lt;/style&gt;&lt;/DisplayText&gt;&lt;record&gt;&lt;rec-number&gt;375&lt;/rec-number&gt;&lt;foreign-keys&gt;&lt;key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2C0B6F" w:rsidRPr="00494CA8">
          <w:rPr>
            <w:sz w:val="22"/>
            <w:szCs w:val="22"/>
          </w:rPr>
          <w:fldChar w:fldCharType="separate"/>
        </w:r>
        <w:r w:rsidR="002C0B6F" w:rsidRPr="00494CA8">
          <w:rPr>
            <w:noProof/>
            <w:sz w:val="22"/>
            <w:szCs w:val="22"/>
            <w:vertAlign w:val="superscript"/>
          </w:rPr>
          <w:t>7</w:t>
        </w:r>
        <w:r w:rsidR="002C0B6F" w:rsidRPr="00494CA8">
          <w:rPr>
            <w:sz w:val="22"/>
            <w:szCs w:val="22"/>
          </w:rPr>
          <w:fldChar w:fldCharType="end"/>
        </w:r>
      </w:hyperlink>
      <w:r w:rsidR="00CC0A90" w:rsidRPr="00CC0A90">
        <w:rPr>
          <w:sz w:val="22"/>
          <w:szCs w:val="22"/>
          <w:vertAlign w:val="superscript"/>
        </w:rPr>
        <w:t xml:space="preserve">, </w:t>
      </w:r>
      <w:hyperlink w:anchor="_ENREF_39" w:tooltip="Fassin, 2009 #1358" w:history="1">
        <w:r w:rsidR="002C0B6F" w:rsidRPr="00494CA8">
          <w:rPr>
            <w:sz w:val="22"/>
            <w:szCs w:val="22"/>
          </w:rPr>
          <w:fldChar w:fldCharType="begin"/>
        </w:r>
        <w:r w:rsidR="002C0B6F">
          <w:rPr>
            <w:sz w:val="22"/>
            <w:szCs w:val="22"/>
          </w:rPr>
          <w:instrText xml:space="preserve"> ADDIN EN.CITE &lt;EndNote&gt;&lt;Cite&gt;&lt;Author&gt;Fassin&lt;/Author&gt;&lt;Year&gt;2009&lt;/Year&gt;&lt;RecNum&gt;1358&lt;/RecNum&gt;&lt;DisplayText&gt;&lt;style face="superscript"&gt;39&lt;/style&gt;&lt;/DisplayText&gt;&lt;record&gt;&lt;rec-number&gt;1358&lt;/rec-number&gt;&lt;foreign-keys&gt;&lt;key app="EN" db-id="eswfvzza29a52ye9xwqpfwwx55tazv55ppxs"&gt;1358&lt;/key&gt;&lt;/foreign-keys&gt;&lt;ref-type name="Journal Article"&gt;17&lt;/ref-type&gt;&lt;contributors&gt;&lt;authors&gt;&lt;author&gt;Fassin, Yves&lt;/author&gt;&lt;author&gt;Van Rossem, Annick&lt;/author&gt;&lt;/authors&gt;&lt;/contributors&gt;&lt;titles&gt;&lt;title&gt;Corporate governance in the debate on CSR and ethics: Sensemaking of social issues in management by authorities and CEOs&lt;/title&gt;&lt;secondary-title&gt;Corporate Governance: An International Review&lt;/secondary-title&gt;&lt;/titles&gt;&lt;periodical&gt;&lt;full-title&gt;Corporate Governance: An International Review&lt;/full-title&gt;&lt;/periodical&gt;&lt;pages&gt;573-593&lt;/pages&gt;&lt;volume&gt;17&lt;/volume&gt;&lt;number&gt;5&lt;/number&gt;&lt;dates&gt;&lt;year&gt;2009&lt;/year&gt;&lt;/dates&gt;&lt;isbn&gt;0964-8410&lt;/isbn&gt;&lt;urls&gt;&lt;/urls&gt;&lt;language&gt;ens&lt;/language&gt;&lt;/record&gt;&lt;/Cite&gt;&lt;/EndNote&gt;</w:instrText>
        </w:r>
        <w:r w:rsidR="002C0B6F" w:rsidRPr="00494CA8">
          <w:rPr>
            <w:sz w:val="22"/>
            <w:szCs w:val="22"/>
          </w:rPr>
          <w:fldChar w:fldCharType="separate"/>
        </w:r>
        <w:r w:rsidR="002C0B6F" w:rsidRPr="00B462BA">
          <w:rPr>
            <w:noProof/>
            <w:sz w:val="22"/>
            <w:szCs w:val="22"/>
            <w:vertAlign w:val="superscript"/>
          </w:rPr>
          <w:t>39</w:t>
        </w:r>
        <w:r w:rsidR="002C0B6F" w:rsidRPr="00494CA8">
          <w:rPr>
            <w:sz w:val="22"/>
            <w:szCs w:val="22"/>
          </w:rPr>
          <w:fldChar w:fldCharType="end"/>
        </w:r>
      </w:hyperlink>
    </w:p>
    <w:p w14:paraId="2FDF0EC9" w14:textId="77777777" w:rsidR="00046D27" w:rsidRPr="007E1E9A" w:rsidRDefault="00160AC2" w:rsidP="00046D27">
      <w:pPr>
        <w:tabs>
          <w:tab w:val="left" w:pos="360"/>
          <w:tab w:val="right" w:leader="hyphen" w:pos="9072"/>
        </w:tabs>
        <w:spacing w:before="120" w:after="120"/>
        <w:jc w:val="both"/>
        <w:rPr>
          <w:b/>
          <w:sz w:val="22"/>
          <w:szCs w:val="22"/>
          <w:lang w:val="vi-VN"/>
        </w:rPr>
      </w:pPr>
      <w:r>
        <w:rPr>
          <w:b/>
          <w:sz w:val="22"/>
          <w:szCs w:val="22"/>
        </w:rPr>
        <w:t xml:space="preserve">5. </w:t>
      </w:r>
      <w:bookmarkStart w:id="23" w:name="OLE_LINK12"/>
      <w:bookmarkStart w:id="24" w:name="OLE_LINK13"/>
      <w:r w:rsidR="00046D27" w:rsidRPr="00FA6BB2">
        <w:rPr>
          <w:b/>
          <w:sz w:val="22"/>
          <w:szCs w:val="22"/>
          <w:lang w:val="vi-VN"/>
        </w:rPr>
        <w:t>CONCLUSION</w:t>
      </w:r>
      <w:bookmarkEnd w:id="23"/>
      <w:bookmarkEnd w:id="24"/>
    </w:p>
    <w:p w14:paraId="1B46F037" w14:textId="5A84722F" w:rsidR="005B6255" w:rsidRPr="007E1E9A" w:rsidRDefault="009A4071" w:rsidP="00DD0DC1">
      <w:pPr>
        <w:tabs>
          <w:tab w:val="right" w:leader="hyphen" w:pos="9072"/>
        </w:tabs>
        <w:spacing w:before="120" w:after="120"/>
        <w:jc w:val="both"/>
        <w:rPr>
          <w:sz w:val="22"/>
          <w:szCs w:val="22"/>
        </w:rPr>
      </w:pPr>
      <w:r w:rsidRPr="007E1E9A">
        <w:rPr>
          <w:sz w:val="22"/>
          <w:szCs w:val="22"/>
        </w:rPr>
        <w:t xml:space="preserve">This study examines the mediating effect of ESG </w:t>
      </w:r>
      <w:r w:rsidR="00EE589A" w:rsidRPr="007E1E9A">
        <w:rPr>
          <w:sz w:val="22"/>
          <w:szCs w:val="22"/>
        </w:rPr>
        <w:t xml:space="preserve">disclosure </w:t>
      </w:r>
      <w:r w:rsidRPr="007E1E9A">
        <w:rPr>
          <w:sz w:val="22"/>
          <w:szCs w:val="22"/>
        </w:rPr>
        <w:t>on the relationship between board size, ESG</w:t>
      </w:r>
      <w:r w:rsidR="007E1E9A" w:rsidRPr="007E1E9A">
        <w:rPr>
          <w:sz w:val="22"/>
          <w:szCs w:val="22"/>
        </w:rPr>
        <w:t xml:space="preserve"> disclosure</w:t>
      </w:r>
      <w:r w:rsidRPr="007E1E9A">
        <w:rPr>
          <w:sz w:val="22"/>
          <w:szCs w:val="22"/>
        </w:rPr>
        <w:t xml:space="preserve">, and performance. The empirical results show that ESG </w:t>
      </w:r>
      <w:r w:rsidR="007E1E9A" w:rsidRPr="007E1E9A">
        <w:rPr>
          <w:sz w:val="22"/>
          <w:szCs w:val="22"/>
        </w:rPr>
        <w:t xml:space="preserve">disclosure </w:t>
      </w:r>
      <w:r w:rsidRPr="007E1E9A">
        <w:rPr>
          <w:sz w:val="22"/>
          <w:szCs w:val="22"/>
        </w:rPr>
        <w:t>plays a partial mediating role in the relationship between board size and performance.</w:t>
      </w:r>
    </w:p>
    <w:p w14:paraId="0B7A347E" w14:textId="2A557903" w:rsidR="00A273AF" w:rsidRDefault="009A4071" w:rsidP="00A273AF">
      <w:pPr>
        <w:tabs>
          <w:tab w:val="right" w:leader="hyphen" w:pos="9072"/>
        </w:tabs>
        <w:spacing w:before="120" w:after="120"/>
        <w:ind w:firstLine="720"/>
        <w:jc w:val="both"/>
        <w:rPr>
          <w:sz w:val="22"/>
          <w:szCs w:val="22"/>
        </w:rPr>
      </w:pPr>
      <w:r w:rsidRPr="007E1E9A">
        <w:rPr>
          <w:sz w:val="22"/>
          <w:szCs w:val="22"/>
        </w:rPr>
        <w:t>Our study extends the existing literature on the relationships between board size and performance, ESG</w:t>
      </w:r>
      <w:r w:rsidR="007E1E9A" w:rsidRPr="007E1E9A">
        <w:rPr>
          <w:sz w:val="22"/>
          <w:szCs w:val="22"/>
        </w:rPr>
        <w:t xml:space="preserve"> disclosure</w:t>
      </w:r>
      <w:r w:rsidRPr="007E1E9A">
        <w:rPr>
          <w:sz w:val="22"/>
          <w:szCs w:val="22"/>
        </w:rPr>
        <w:t xml:space="preserve"> and performance, and board size and ESG</w:t>
      </w:r>
      <w:r w:rsidR="007E1E9A" w:rsidRPr="007E1E9A">
        <w:rPr>
          <w:sz w:val="22"/>
          <w:szCs w:val="22"/>
        </w:rPr>
        <w:t xml:space="preserve"> </w:t>
      </w:r>
      <w:r w:rsidR="007E1E9A">
        <w:rPr>
          <w:sz w:val="22"/>
          <w:szCs w:val="22"/>
        </w:rPr>
        <w:t>disclosure</w:t>
      </w:r>
      <w:r w:rsidRPr="009A4071">
        <w:rPr>
          <w:sz w:val="22"/>
          <w:szCs w:val="22"/>
        </w:rPr>
        <w:t xml:space="preserve"> by investigating the three-way relationships among </w:t>
      </w:r>
      <w:r w:rsidRPr="009A4071">
        <w:rPr>
          <w:sz w:val="22"/>
          <w:szCs w:val="22"/>
        </w:rPr>
        <w:lastRenderedPageBreak/>
        <w:t xml:space="preserve">all three and identifying the mediating role of ESG </w:t>
      </w:r>
      <w:r w:rsidR="007E1E9A">
        <w:rPr>
          <w:sz w:val="22"/>
          <w:szCs w:val="22"/>
        </w:rPr>
        <w:t>disclosure</w:t>
      </w:r>
      <w:r w:rsidR="007E1E9A" w:rsidRPr="009A4071">
        <w:rPr>
          <w:sz w:val="22"/>
          <w:szCs w:val="22"/>
        </w:rPr>
        <w:t xml:space="preserve"> </w:t>
      </w:r>
      <w:r w:rsidRPr="009A4071">
        <w:rPr>
          <w:sz w:val="22"/>
          <w:szCs w:val="22"/>
        </w:rPr>
        <w:t>between board size and performance.</w:t>
      </w:r>
    </w:p>
    <w:p w14:paraId="401AEC27" w14:textId="77777777" w:rsidR="007E1E9A" w:rsidRDefault="009A4071" w:rsidP="007E1E9A">
      <w:pPr>
        <w:tabs>
          <w:tab w:val="right" w:leader="hyphen" w:pos="9072"/>
        </w:tabs>
        <w:spacing w:before="120" w:after="120"/>
        <w:ind w:firstLine="720"/>
        <w:jc w:val="both"/>
        <w:rPr>
          <w:sz w:val="22"/>
          <w:szCs w:val="22"/>
        </w:rPr>
      </w:pPr>
      <w:r w:rsidRPr="009A4071">
        <w:rPr>
          <w:sz w:val="22"/>
          <w:szCs w:val="22"/>
        </w:rPr>
        <w:t xml:space="preserve">This study provides practical implications for managers, investors, policymakers, and regulators. For business owners, this study demonstrates the importance of board size in enhancing ESG </w:t>
      </w:r>
      <w:r w:rsidR="007E1E9A">
        <w:rPr>
          <w:sz w:val="22"/>
          <w:szCs w:val="22"/>
        </w:rPr>
        <w:t>disclosure</w:t>
      </w:r>
      <w:r w:rsidR="007E1E9A" w:rsidRPr="009A4071">
        <w:rPr>
          <w:sz w:val="22"/>
          <w:szCs w:val="22"/>
        </w:rPr>
        <w:t xml:space="preserve"> </w:t>
      </w:r>
      <w:r w:rsidRPr="009A4071">
        <w:rPr>
          <w:sz w:val="22"/>
          <w:szCs w:val="22"/>
        </w:rPr>
        <w:t>to improve long-term performance. For investors, the study provides valuable insights into how to increase investment efficiency and avoid over- or under-investment by highlighting the mediating effects of ESG</w:t>
      </w:r>
      <w:r w:rsidR="007E1E9A">
        <w:rPr>
          <w:sz w:val="22"/>
          <w:szCs w:val="22"/>
        </w:rPr>
        <w:t xml:space="preserve"> disclosure</w:t>
      </w:r>
      <w:r w:rsidRPr="009A4071">
        <w:rPr>
          <w:sz w:val="22"/>
          <w:szCs w:val="22"/>
        </w:rPr>
        <w:t xml:space="preserve">. For policymakers and regulators, the study suggests that companies with higher ESG </w:t>
      </w:r>
      <w:r w:rsidR="007E1E9A">
        <w:rPr>
          <w:sz w:val="22"/>
          <w:szCs w:val="22"/>
        </w:rPr>
        <w:t>disclosure</w:t>
      </w:r>
      <w:r w:rsidR="007E1E9A" w:rsidRPr="009A4071">
        <w:rPr>
          <w:sz w:val="22"/>
          <w:szCs w:val="22"/>
        </w:rPr>
        <w:t xml:space="preserve"> </w:t>
      </w:r>
      <w:r w:rsidRPr="009A4071">
        <w:rPr>
          <w:sz w:val="22"/>
          <w:szCs w:val="22"/>
        </w:rPr>
        <w:t>levels may have better performance. Therefore, there is a need for viable ESG</w:t>
      </w:r>
      <w:r w:rsidR="007E1E9A">
        <w:rPr>
          <w:sz w:val="22"/>
          <w:szCs w:val="22"/>
        </w:rPr>
        <w:t xml:space="preserve"> disclosure</w:t>
      </w:r>
      <w:r w:rsidRPr="009A4071">
        <w:rPr>
          <w:sz w:val="22"/>
          <w:szCs w:val="22"/>
        </w:rPr>
        <w:t xml:space="preserve"> policies and regulations to assess actual </w:t>
      </w:r>
      <w:r w:rsidRPr="007E1E9A">
        <w:rPr>
          <w:sz w:val="22"/>
          <w:szCs w:val="22"/>
        </w:rPr>
        <w:t>ESG</w:t>
      </w:r>
      <w:r w:rsidR="007E1E9A">
        <w:rPr>
          <w:color w:val="FF0000"/>
          <w:sz w:val="22"/>
          <w:szCs w:val="22"/>
        </w:rPr>
        <w:t xml:space="preserve"> </w:t>
      </w:r>
      <w:r w:rsidR="007E1E9A">
        <w:rPr>
          <w:sz w:val="22"/>
          <w:szCs w:val="22"/>
        </w:rPr>
        <w:t>disclosure</w:t>
      </w:r>
      <w:r w:rsidRPr="009A4071">
        <w:rPr>
          <w:sz w:val="22"/>
          <w:szCs w:val="22"/>
        </w:rPr>
        <w:t xml:space="preserve"> to close the legitimacy gap.</w:t>
      </w:r>
    </w:p>
    <w:p w14:paraId="2C9442F8" w14:textId="7F757E40" w:rsidR="00160AC2" w:rsidRPr="00160AC2" w:rsidRDefault="009A4071" w:rsidP="007E1E9A">
      <w:pPr>
        <w:tabs>
          <w:tab w:val="right" w:leader="hyphen" w:pos="9072"/>
        </w:tabs>
        <w:spacing w:before="120" w:after="120"/>
        <w:ind w:firstLine="720"/>
        <w:jc w:val="both"/>
        <w:rPr>
          <w:sz w:val="22"/>
          <w:szCs w:val="22"/>
        </w:rPr>
      </w:pPr>
      <w:r w:rsidRPr="009A4071">
        <w:rPr>
          <w:sz w:val="22"/>
          <w:szCs w:val="22"/>
        </w:rPr>
        <w:t xml:space="preserve">This study has some limitations. First, the results of this study are based on companies listed on HOSE. Second, we did not consider all the characteristics of corporate governance and performance was not considered according to market measures. Finally, we studied for a short period of time, so we </w:t>
      </w:r>
      <w:r w:rsidR="00EB5716">
        <w:rPr>
          <w:sz w:val="22"/>
          <w:szCs w:val="22"/>
        </w:rPr>
        <w:t>did</w:t>
      </w:r>
      <w:r w:rsidRPr="009A4071">
        <w:rPr>
          <w:sz w:val="22"/>
          <w:szCs w:val="22"/>
        </w:rPr>
        <w:t xml:space="preserve"> not have a basis to assess the direction of the impact</w:t>
      </w:r>
      <w:r w:rsidR="00875775" w:rsidRPr="00875775">
        <w:rPr>
          <w:color w:val="EE0000"/>
          <w:sz w:val="22"/>
          <w:szCs w:val="22"/>
        </w:rPr>
        <w:t xml:space="preserve"> over time. </w:t>
      </w:r>
      <w:r w:rsidRPr="009A4071">
        <w:rPr>
          <w:sz w:val="22"/>
          <w:szCs w:val="22"/>
        </w:rPr>
        <w:t xml:space="preserve">All these limitations can be the subject of future studies on the role of </w:t>
      </w:r>
      <w:r w:rsidR="00CE2E77" w:rsidRPr="009A4071">
        <w:rPr>
          <w:sz w:val="22"/>
          <w:szCs w:val="22"/>
        </w:rPr>
        <w:t xml:space="preserve">corporate governance </w:t>
      </w:r>
      <w:r w:rsidRPr="009A4071">
        <w:rPr>
          <w:sz w:val="22"/>
          <w:szCs w:val="22"/>
        </w:rPr>
        <w:t>in emerging markets.</w:t>
      </w:r>
    </w:p>
    <w:p w14:paraId="4ED9DE63" w14:textId="702AE0D2" w:rsidR="00046D27" w:rsidRPr="00EB5716" w:rsidRDefault="00EB5716" w:rsidP="00046D27">
      <w:pPr>
        <w:tabs>
          <w:tab w:val="left" w:pos="360"/>
          <w:tab w:val="right" w:leader="hyphen" w:pos="9072"/>
        </w:tabs>
        <w:spacing w:before="120" w:after="120"/>
        <w:jc w:val="both"/>
        <w:rPr>
          <w:b/>
          <w:i/>
          <w:sz w:val="22"/>
          <w:szCs w:val="22"/>
        </w:rPr>
      </w:pPr>
      <w:r>
        <w:rPr>
          <w:b/>
          <w:sz w:val="22"/>
          <w:szCs w:val="22"/>
        </w:rPr>
        <w:t>Acknowledgement</w:t>
      </w:r>
    </w:p>
    <w:p w14:paraId="173561F2" w14:textId="02E3326B" w:rsidR="00046D27" w:rsidRPr="001C63D2" w:rsidRDefault="00D460AA" w:rsidP="00046D27">
      <w:pPr>
        <w:tabs>
          <w:tab w:val="right" w:leader="hyphen" w:pos="9072"/>
        </w:tabs>
        <w:spacing w:before="120" w:after="120"/>
        <w:ind w:firstLine="567"/>
        <w:jc w:val="both"/>
        <w:rPr>
          <w:i/>
          <w:sz w:val="22"/>
          <w:szCs w:val="22"/>
          <w:lang w:val="vi-VN"/>
        </w:rPr>
      </w:pPr>
      <w:r w:rsidRPr="00092D99">
        <w:rPr>
          <w:i/>
          <w:sz w:val="22"/>
        </w:rPr>
        <w:t xml:space="preserve">This research is conducted within the framework of science and technology projects at institutional level of </w:t>
      </w:r>
      <w:proofErr w:type="spellStart"/>
      <w:r w:rsidRPr="00092D99">
        <w:rPr>
          <w:i/>
          <w:sz w:val="22"/>
        </w:rPr>
        <w:t>Quy</w:t>
      </w:r>
      <w:proofErr w:type="spellEnd"/>
      <w:r w:rsidRPr="00092D99">
        <w:rPr>
          <w:i/>
          <w:sz w:val="22"/>
        </w:rPr>
        <w:t xml:space="preserve"> </w:t>
      </w:r>
      <w:proofErr w:type="spellStart"/>
      <w:r w:rsidRPr="00092D99">
        <w:rPr>
          <w:i/>
          <w:sz w:val="22"/>
        </w:rPr>
        <w:t>Nhon</w:t>
      </w:r>
      <w:proofErr w:type="spellEnd"/>
      <w:r w:rsidRPr="00092D99">
        <w:rPr>
          <w:i/>
          <w:sz w:val="22"/>
        </w:rPr>
        <w:t xml:space="preserve"> University under the project code</w:t>
      </w:r>
      <w:r w:rsidR="008C1470">
        <w:rPr>
          <w:i/>
          <w:sz w:val="22"/>
        </w:rPr>
        <w:t xml:space="preserve"> </w:t>
      </w:r>
      <w:r w:rsidR="0087379C">
        <w:rPr>
          <w:i/>
          <w:sz w:val="22"/>
        </w:rPr>
        <w:t>T2024.873.44</w:t>
      </w:r>
      <w:r w:rsidR="008C1470">
        <w:rPr>
          <w:i/>
          <w:sz w:val="22"/>
        </w:rPr>
        <w:t>.</w:t>
      </w:r>
    </w:p>
    <w:p w14:paraId="75FB3C8E" w14:textId="77777777" w:rsidR="00046D27" w:rsidRDefault="00046D27" w:rsidP="00046D27">
      <w:pPr>
        <w:tabs>
          <w:tab w:val="left" w:pos="360"/>
          <w:tab w:val="right" w:leader="hyphen" w:pos="9072"/>
        </w:tabs>
        <w:spacing w:before="120" w:after="120"/>
        <w:jc w:val="both"/>
        <w:rPr>
          <w:b/>
          <w:sz w:val="22"/>
          <w:szCs w:val="22"/>
          <w:lang w:val="vi-VN"/>
        </w:rPr>
      </w:pPr>
    </w:p>
    <w:p w14:paraId="424F03E7" w14:textId="77777777" w:rsidR="00B84BDC" w:rsidRPr="00C21192" w:rsidRDefault="00046D27" w:rsidP="00EC05AE">
      <w:pPr>
        <w:tabs>
          <w:tab w:val="left" w:pos="360"/>
          <w:tab w:val="right" w:leader="hyphen" w:pos="9072"/>
        </w:tabs>
        <w:spacing w:before="120" w:after="120"/>
        <w:jc w:val="both"/>
        <w:rPr>
          <w:b/>
          <w:sz w:val="22"/>
          <w:szCs w:val="22"/>
          <w:lang w:val="pt-BR"/>
        </w:rPr>
      </w:pPr>
      <w:r w:rsidRPr="00CB0A39">
        <w:rPr>
          <w:b/>
          <w:sz w:val="22"/>
          <w:szCs w:val="22"/>
          <w:lang w:val="vi-VN"/>
        </w:rPr>
        <w:t>REFERENCES</w:t>
      </w:r>
    </w:p>
    <w:p w14:paraId="15610C62" w14:textId="43041EDB" w:rsidR="0043477F" w:rsidRPr="00C21192" w:rsidRDefault="0043477F" w:rsidP="0043477F">
      <w:pPr>
        <w:pStyle w:val="EndNoteBibliography"/>
        <w:rPr>
          <w:lang w:val="pt-BR"/>
        </w:rPr>
      </w:pPr>
    </w:p>
    <w:p w14:paraId="2C62F02F" w14:textId="706AE0E4" w:rsidR="00AF3926" w:rsidRPr="00207FE4" w:rsidRDefault="00207FE4" w:rsidP="00AF3926">
      <w:pPr>
        <w:pStyle w:val="EndNoteBibliography"/>
        <w:ind w:left="720" w:hanging="720"/>
        <w:rPr>
          <w:szCs w:val="20"/>
        </w:rPr>
      </w:pPr>
      <w:r w:rsidRPr="00207FE4">
        <w:rPr>
          <w:szCs w:val="20"/>
        </w:rPr>
        <w:t xml:space="preserve"> </w:t>
      </w:r>
      <w:r w:rsidR="00AF3926" w:rsidRPr="00207FE4">
        <w:rPr>
          <w:szCs w:val="20"/>
        </w:rPr>
        <w:t xml:space="preserve">[1] Aguilera, R. V., Desender, K., Bednar, M. K., &amp; Lee, J. H. Connecting the dots: Bringing external corporate governance into the corporate governance puzzle, </w:t>
      </w:r>
      <w:r w:rsidR="00AF3926" w:rsidRPr="00207FE4">
        <w:rPr>
          <w:i/>
          <w:szCs w:val="20"/>
        </w:rPr>
        <w:t>Academy of Management Annals</w:t>
      </w:r>
      <w:r w:rsidR="00AF3926" w:rsidRPr="00207FE4">
        <w:rPr>
          <w:szCs w:val="20"/>
        </w:rPr>
        <w:t xml:space="preserve">, </w:t>
      </w:r>
      <w:r w:rsidR="00AF3926" w:rsidRPr="00207FE4">
        <w:rPr>
          <w:b/>
          <w:szCs w:val="20"/>
        </w:rPr>
        <w:t>(2015)</w:t>
      </w:r>
      <w:r w:rsidR="00AF3926" w:rsidRPr="00207FE4">
        <w:rPr>
          <w:szCs w:val="20"/>
        </w:rPr>
        <w:t xml:space="preserve">, </w:t>
      </w:r>
      <w:r w:rsidR="00AF3926" w:rsidRPr="00207FE4">
        <w:rPr>
          <w:i/>
          <w:szCs w:val="20"/>
        </w:rPr>
        <w:t>9(1)</w:t>
      </w:r>
      <w:r w:rsidR="00AF3926" w:rsidRPr="00207FE4">
        <w:rPr>
          <w:szCs w:val="20"/>
        </w:rPr>
        <w:t>, pp. 483-573.</w:t>
      </w:r>
    </w:p>
    <w:p w14:paraId="6AA51489" w14:textId="77777777" w:rsidR="00AF3926" w:rsidRPr="00207FE4" w:rsidRDefault="00AF3926" w:rsidP="00AF3926">
      <w:pPr>
        <w:pStyle w:val="EndNoteBibliography"/>
        <w:ind w:left="720" w:hanging="720"/>
        <w:rPr>
          <w:szCs w:val="20"/>
        </w:rPr>
      </w:pPr>
      <w:r w:rsidRPr="00207FE4">
        <w:rPr>
          <w:szCs w:val="20"/>
        </w:rPr>
        <w:t xml:space="preserve">[2] Brennan, N. Boards of directors and firm performance: is there an expectations gap?, </w:t>
      </w:r>
      <w:r w:rsidRPr="00207FE4">
        <w:rPr>
          <w:i/>
          <w:szCs w:val="20"/>
        </w:rPr>
        <w:t>Corporate Governance: An International Review</w:t>
      </w:r>
      <w:r w:rsidRPr="00207FE4">
        <w:rPr>
          <w:szCs w:val="20"/>
        </w:rPr>
        <w:t xml:space="preserve">, </w:t>
      </w:r>
      <w:r w:rsidRPr="00207FE4">
        <w:rPr>
          <w:b/>
          <w:szCs w:val="20"/>
        </w:rPr>
        <w:t>(2006)</w:t>
      </w:r>
      <w:r w:rsidRPr="00207FE4">
        <w:rPr>
          <w:szCs w:val="20"/>
        </w:rPr>
        <w:t xml:space="preserve">, </w:t>
      </w:r>
      <w:r w:rsidRPr="00207FE4">
        <w:rPr>
          <w:i/>
          <w:szCs w:val="20"/>
        </w:rPr>
        <w:t>14(6)</w:t>
      </w:r>
      <w:r w:rsidRPr="00207FE4">
        <w:rPr>
          <w:szCs w:val="20"/>
        </w:rPr>
        <w:t>, pp. 577-593.</w:t>
      </w:r>
    </w:p>
    <w:p w14:paraId="5A11C753" w14:textId="77777777" w:rsidR="00AF3926" w:rsidRPr="00207FE4" w:rsidRDefault="00AF3926" w:rsidP="00AF3926">
      <w:pPr>
        <w:pStyle w:val="EndNoteBibliography"/>
        <w:ind w:left="720" w:hanging="720"/>
        <w:rPr>
          <w:szCs w:val="20"/>
        </w:rPr>
      </w:pPr>
      <w:r w:rsidRPr="00207FE4">
        <w:rPr>
          <w:szCs w:val="20"/>
        </w:rPr>
        <w:t xml:space="preserve">[3] Fama, E. F., &amp; Jensen, M. C. Separation of ownership and control, </w:t>
      </w:r>
      <w:r w:rsidRPr="00207FE4">
        <w:rPr>
          <w:i/>
          <w:szCs w:val="20"/>
        </w:rPr>
        <w:t>The journal of law and Economics</w:t>
      </w:r>
      <w:r w:rsidRPr="00207FE4">
        <w:rPr>
          <w:szCs w:val="20"/>
        </w:rPr>
        <w:t xml:space="preserve">, </w:t>
      </w:r>
      <w:r w:rsidRPr="00207FE4">
        <w:rPr>
          <w:b/>
          <w:szCs w:val="20"/>
        </w:rPr>
        <w:t>(1983)</w:t>
      </w:r>
      <w:r w:rsidRPr="00207FE4">
        <w:rPr>
          <w:szCs w:val="20"/>
        </w:rPr>
        <w:t xml:space="preserve">, </w:t>
      </w:r>
      <w:r w:rsidRPr="00207FE4">
        <w:rPr>
          <w:i/>
          <w:szCs w:val="20"/>
        </w:rPr>
        <w:t>26(2)</w:t>
      </w:r>
      <w:r w:rsidRPr="00207FE4">
        <w:rPr>
          <w:szCs w:val="20"/>
        </w:rPr>
        <w:t>, pp. 301-325.</w:t>
      </w:r>
    </w:p>
    <w:p w14:paraId="7718A925" w14:textId="77777777" w:rsidR="00AF3926" w:rsidRPr="00207FE4" w:rsidRDefault="00AF3926" w:rsidP="00AF3926">
      <w:pPr>
        <w:pStyle w:val="EndNoteBibliography"/>
        <w:ind w:left="720" w:hanging="720"/>
        <w:rPr>
          <w:szCs w:val="20"/>
        </w:rPr>
      </w:pPr>
      <w:r w:rsidRPr="00207FE4">
        <w:rPr>
          <w:szCs w:val="20"/>
        </w:rPr>
        <w:t xml:space="preserve">[4] Jensen, M. C., &amp; Meckling, W. H. Theory of the firm: Managerial behavior, agency costs and ownership structure, </w:t>
      </w:r>
      <w:r w:rsidRPr="00207FE4">
        <w:rPr>
          <w:i/>
          <w:szCs w:val="20"/>
        </w:rPr>
        <w:t>Journal of Financial Economics</w:t>
      </w:r>
      <w:r w:rsidRPr="00207FE4">
        <w:rPr>
          <w:szCs w:val="20"/>
        </w:rPr>
        <w:t xml:space="preserve">, </w:t>
      </w:r>
      <w:r w:rsidRPr="00207FE4">
        <w:rPr>
          <w:b/>
          <w:szCs w:val="20"/>
        </w:rPr>
        <w:t>(1976)</w:t>
      </w:r>
      <w:r w:rsidRPr="00207FE4">
        <w:rPr>
          <w:szCs w:val="20"/>
        </w:rPr>
        <w:t xml:space="preserve">, </w:t>
      </w:r>
      <w:r w:rsidRPr="00207FE4">
        <w:rPr>
          <w:i/>
          <w:szCs w:val="20"/>
        </w:rPr>
        <w:t>3(4)</w:t>
      </w:r>
      <w:r w:rsidRPr="00207FE4">
        <w:rPr>
          <w:szCs w:val="20"/>
        </w:rPr>
        <w:t>, pp. 305-360.</w:t>
      </w:r>
    </w:p>
    <w:p w14:paraId="081DE329" w14:textId="77777777" w:rsidR="00AF3926" w:rsidRPr="00207FE4" w:rsidRDefault="00AF3926" w:rsidP="00AF3926">
      <w:pPr>
        <w:pStyle w:val="EndNoteBibliography"/>
        <w:ind w:left="720" w:hanging="720"/>
        <w:rPr>
          <w:szCs w:val="20"/>
        </w:rPr>
      </w:pPr>
      <w:r w:rsidRPr="00207FE4">
        <w:rPr>
          <w:szCs w:val="20"/>
        </w:rPr>
        <w:lastRenderedPageBreak/>
        <w:t xml:space="preserve">[5] Dalton, D. R., Daily, C. M., Johnson, J. L., &amp; Ellstrand, A. E. Number of directors and financial performance: A meta-analysis, </w:t>
      </w:r>
      <w:r w:rsidRPr="00207FE4">
        <w:rPr>
          <w:i/>
          <w:szCs w:val="20"/>
        </w:rPr>
        <w:t>Academy of Management Journal</w:t>
      </w:r>
      <w:r w:rsidRPr="00207FE4">
        <w:rPr>
          <w:szCs w:val="20"/>
        </w:rPr>
        <w:t xml:space="preserve">, </w:t>
      </w:r>
      <w:r w:rsidRPr="00207FE4">
        <w:rPr>
          <w:b/>
          <w:szCs w:val="20"/>
        </w:rPr>
        <w:t>(1999)</w:t>
      </w:r>
      <w:r w:rsidRPr="00207FE4">
        <w:rPr>
          <w:szCs w:val="20"/>
        </w:rPr>
        <w:t xml:space="preserve">, </w:t>
      </w:r>
      <w:r w:rsidRPr="00207FE4">
        <w:rPr>
          <w:i/>
          <w:szCs w:val="20"/>
        </w:rPr>
        <w:t>42(6)</w:t>
      </w:r>
      <w:r w:rsidRPr="00207FE4">
        <w:rPr>
          <w:szCs w:val="20"/>
        </w:rPr>
        <w:t>, pp. 674-686.</w:t>
      </w:r>
    </w:p>
    <w:p w14:paraId="7DA052F7" w14:textId="77777777" w:rsidR="00AF3926" w:rsidRPr="00207FE4" w:rsidRDefault="00AF3926" w:rsidP="00AF3926">
      <w:pPr>
        <w:pStyle w:val="EndNoteBibliography"/>
        <w:ind w:left="720" w:hanging="720"/>
        <w:rPr>
          <w:szCs w:val="20"/>
        </w:rPr>
      </w:pPr>
      <w:r w:rsidRPr="00207FE4">
        <w:rPr>
          <w:szCs w:val="20"/>
        </w:rPr>
        <w:t xml:space="preserve">[6] Kumar, N., &amp; Singh, J. P. Effect of board size and promoter ownership on firm value: some empirical findings from India, </w:t>
      </w:r>
      <w:r w:rsidRPr="00207FE4">
        <w:rPr>
          <w:i/>
          <w:szCs w:val="20"/>
        </w:rPr>
        <w:t>Corporate Governance: The international journal of business in society</w:t>
      </w:r>
      <w:r w:rsidRPr="00207FE4">
        <w:rPr>
          <w:szCs w:val="20"/>
        </w:rPr>
        <w:t xml:space="preserve">, </w:t>
      </w:r>
      <w:r w:rsidRPr="00207FE4">
        <w:rPr>
          <w:b/>
          <w:szCs w:val="20"/>
        </w:rPr>
        <w:t>(2013)</w:t>
      </w:r>
      <w:r w:rsidRPr="00207FE4">
        <w:rPr>
          <w:szCs w:val="20"/>
        </w:rPr>
        <w:t xml:space="preserve">, </w:t>
      </w:r>
      <w:r w:rsidRPr="00207FE4">
        <w:rPr>
          <w:i/>
          <w:szCs w:val="20"/>
        </w:rPr>
        <w:t>13(1)</w:t>
      </w:r>
      <w:r w:rsidRPr="00207FE4">
        <w:rPr>
          <w:szCs w:val="20"/>
        </w:rPr>
        <w:t>, pp. 88-98.</w:t>
      </w:r>
    </w:p>
    <w:p w14:paraId="0A9BBAFB" w14:textId="77777777" w:rsidR="00AF3926" w:rsidRPr="00207FE4" w:rsidRDefault="00AF3926" w:rsidP="00AF3926">
      <w:pPr>
        <w:pStyle w:val="EndNoteBibliography"/>
        <w:ind w:left="720" w:hanging="720"/>
        <w:rPr>
          <w:szCs w:val="20"/>
        </w:rPr>
      </w:pPr>
      <w:r w:rsidRPr="00207FE4">
        <w:rPr>
          <w:szCs w:val="20"/>
        </w:rPr>
        <w:t xml:space="preserve">[7] Jo, H., &amp; Harjoto, M. A. Corporate governance and firm value: The impact of corporate social responsibility, </w:t>
      </w:r>
      <w:r w:rsidRPr="00207FE4">
        <w:rPr>
          <w:i/>
          <w:szCs w:val="20"/>
        </w:rPr>
        <w:t>Journal of Business Ethics</w:t>
      </w:r>
      <w:r w:rsidRPr="00207FE4">
        <w:rPr>
          <w:szCs w:val="20"/>
        </w:rPr>
        <w:t xml:space="preserve">, </w:t>
      </w:r>
      <w:r w:rsidRPr="00207FE4">
        <w:rPr>
          <w:b/>
          <w:szCs w:val="20"/>
        </w:rPr>
        <w:t>(2011)</w:t>
      </w:r>
      <w:r w:rsidRPr="00207FE4">
        <w:rPr>
          <w:szCs w:val="20"/>
        </w:rPr>
        <w:t xml:space="preserve">, </w:t>
      </w:r>
      <w:r w:rsidRPr="00207FE4">
        <w:rPr>
          <w:i/>
          <w:szCs w:val="20"/>
        </w:rPr>
        <w:t>103(3)</w:t>
      </w:r>
      <w:r w:rsidRPr="00207FE4">
        <w:rPr>
          <w:szCs w:val="20"/>
        </w:rPr>
        <w:t>, pp. 351-383.</w:t>
      </w:r>
    </w:p>
    <w:p w14:paraId="1360DC38" w14:textId="77777777" w:rsidR="00AF3926" w:rsidRPr="00207FE4" w:rsidRDefault="00AF3926" w:rsidP="00AF3926">
      <w:pPr>
        <w:pStyle w:val="EndNoteBibliography"/>
        <w:ind w:left="720" w:hanging="720"/>
        <w:rPr>
          <w:szCs w:val="20"/>
        </w:rPr>
      </w:pPr>
      <w:r w:rsidRPr="00207FE4">
        <w:rPr>
          <w:szCs w:val="20"/>
        </w:rPr>
        <w:t xml:space="preserve">[8] Xu, E. G., Graves, C., Shan, Y. G., &amp; Yang, J. W. The mediating role of corporate social responsibility in corporate governance and firm performance, </w:t>
      </w:r>
      <w:r w:rsidRPr="00207FE4">
        <w:rPr>
          <w:i/>
          <w:szCs w:val="20"/>
        </w:rPr>
        <w:t>Journal of Cleaner Production</w:t>
      </w:r>
      <w:r w:rsidRPr="00207FE4">
        <w:rPr>
          <w:szCs w:val="20"/>
        </w:rPr>
        <w:t xml:space="preserve">, </w:t>
      </w:r>
      <w:r w:rsidRPr="00207FE4">
        <w:rPr>
          <w:b/>
          <w:szCs w:val="20"/>
        </w:rPr>
        <w:t>(2022)</w:t>
      </w:r>
      <w:r w:rsidRPr="00207FE4">
        <w:rPr>
          <w:szCs w:val="20"/>
        </w:rPr>
        <w:t xml:space="preserve">, </w:t>
      </w:r>
      <w:r w:rsidRPr="00207FE4">
        <w:rPr>
          <w:i/>
          <w:szCs w:val="20"/>
        </w:rPr>
        <w:t>375</w:t>
      </w:r>
      <w:r w:rsidRPr="00207FE4">
        <w:rPr>
          <w:szCs w:val="20"/>
        </w:rPr>
        <w:t>, pp. 134165.</w:t>
      </w:r>
    </w:p>
    <w:p w14:paraId="05ED0A31" w14:textId="77777777" w:rsidR="00AF3926" w:rsidRPr="00207FE4" w:rsidRDefault="00AF3926" w:rsidP="00AF3926">
      <w:pPr>
        <w:pStyle w:val="EndNoteBibliography"/>
        <w:ind w:left="720" w:hanging="720"/>
        <w:rPr>
          <w:szCs w:val="20"/>
        </w:rPr>
      </w:pPr>
      <w:r w:rsidRPr="00207FE4">
        <w:rPr>
          <w:szCs w:val="20"/>
        </w:rPr>
        <w:t xml:space="preserve">[9] Jo, H., &amp; Harjoto, M. A. The causal effect of corporate governance on corporate social responsibility, </w:t>
      </w:r>
      <w:r w:rsidRPr="00207FE4">
        <w:rPr>
          <w:i/>
          <w:szCs w:val="20"/>
        </w:rPr>
        <w:t>Journal of Business Ethics</w:t>
      </w:r>
      <w:r w:rsidRPr="00207FE4">
        <w:rPr>
          <w:szCs w:val="20"/>
        </w:rPr>
        <w:t xml:space="preserve">, </w:t>
      </w:r>
      <w:r w:rsidRPr="00207FE4">
        <w:rPr>
          <w:b/>
          <w:szCs w:val="20"/>
        </w:rPr>
        <w:t>(2012)</w:t>
      </w:r>
      <w:r w:rsidRPr="00207FE4">
        <w:rPr>
          <w:szCs w:val="20"/>
        </w:rPr>
        <w:t xml:space="preserve">, </w:t>
      </w:r>
      <w:r w:rsidRPr="00207FE4">
        <w:rPr>
          <w:i/>
          <w:szCs w:val="20"/>
        </w:rPr>
        <w:t>106(1)</w:t>
      </w:r>
      <w:r w:rsidRPr="00207FE4">
        <w:rPr>
          <w:szCs w:val="20"/>
        </w:rPr>
        <w:t>, pp. 53-72.</w:t>
      </w:r>
    </w:p>
    <w:p w14:paraId="71ACB5F7" w14:textId="77777777" w:rsidR="00AF3926" w:rsidRPr="00207FE4" w:rsidRDefault="00AF3926" w:rsidP="00AF3926">
      <w:pPr>
        <w:pStyle w:val="EndNoteBibliography"/>
        <w:ind w:left="720" w:hanging="720"/>
        <w:rPr>
          <w:szCs w:val="20"/>
        </w:rPr>
      </w:pPr>
      <w:r w:rsidRPr="00207FE4">
        <w:rPr>
          <w:szCs w:val="20"/>
        </w:rPr>
        <w:t xml:space="preserve">[10] Zaman, R., Jain, T., Samara, G., &amp; Jamali, D. Corporate governance meets corporate social responsibility: Mapping the interface, </w:t>
      </w:r>
      <w:r w:rsidRPr="00207FE4">
        <w:rPr>
          <w:i/>
          <w:szCs w:val="20"/>
        </w:rPr>
        <w:t>Business &amp; Society</w:t>
      </w:r>
      <w:r w:rsidRPr="00207FE4">
        <w:rPr>
          <w:szCs w:val="20"/>
        </w:rPr>
        <w:t xml:space="preserve">, </w:t>
      </w:r>
      <w:r w:rsidRPr="00207FE4">
        <w:rPr>
          <w:b/>
          <w:szCs w:val="20"/>
        </w:rPr>
        <w:t>(2022)</w:t>
      </w:r>
      <w:r w:rsidRPr="00207FE4">
        <w:rPr>
          <w:szCs w:val="20"/>
        </w:rPr>
        <w:t xml:space="preserve">, </w:t>
      </w:r>
      <w:r w:rsidRPr="00207FE4">
        <w:rPr>
          <w:i/>
          <w:szCs w:val="20"/>
        </w:rPr>
        <w:t>61(3)</w:t>
      </w:r>
      <w:r w:rsidRPr="00207FE4">
        <w:rPr>
          <w:szCs w:val="20"/>
        </w:rPr>
        <w:t>, pp. 690-752.</w:t>
      </w:r>
    </w:p>
    <w:p w14:paraId="09CDBF77" w14:textId="77777777" w:rsidR="00AF3926" w:rsidRPr="00207FE4" w:rsidRDefault="00AF3926" w:rsidP="00AF3926">
      <w:pPr>
        <w:pStyle w:val="EndNoteBibliography"/>
        <w:ind w:left="720" w:hanging="720"/>
        <w:rPr>
          <w:szCs w:val="20"/>
        </w:rPr>
      </w:pPr>
      <w:r w:rsidRPr="00207FE4">
        <w:rPr>
          <w:szCs w:val="20"/>
        </w:rPr>
        <w:t xml:space="preserve">[11] Jamali, D., Safieddine, A. M., &amp; Rabbath, M. Corporate governance and corporate social responsibility synergies and interrelationships, </w:t>
      </w:r>
      <w:r w:rsidRPr="00207FE4">
        <w:rPr>
          <w:i/>
          <w:szCs w:val="20"/>
        </w:rPr>
        <w:t>Corporate Governance: An International Review</w:t>
      </w:r>
      <w:r w:rsidRPr="00207FE4">
        <w:rPr>
          <w:szCs w:val="20"/>
        </w:rPr>
        <w:t xml:space="preserve">, </w:t>
      </w:r>
      <w:r w:rsidRPr="00207FE4">
        <w:rPr>
          <w:b/>
          <w:szCs w:val="20"/>
        </w:rPr>
        <w:t>(2008)</w:t>
      </w:r>
      <w:r w:rsidRPr="00207FE4">
        <w:rPr>
          <w:szCs w:val="20"/>
        </w:rPr>
        <w:t xml:space="preserve">, </w:t>
      </w:r>
      <w:r w:rsidRPr="00207FE4">
        <w:rPr>
          <w:i/>
          <w:szCs w:val="20"/>
        </w:rPr>
        <w:t>16(5)</w:t>
      </w:r>
      <w:r w:rsidRPr="00207FE4">
        <w:rPr>
          <w:szCs w:val="20"/>
        </w:rPr>
        <w:t>, pp. 443-459.</w:t>
      </w:r>
    </w:p>
    <w:p w14:paraId="3536FFF0" w14:textId="77777777" w:rsidR="00AF3926" w:rsidRPr="00207FE4" w:rsidRDefault="00AF3926" w:rsidP="00AF3926">
      <w:pPr>
        <w:pStyle w:val="EndNoteBibliography"/>
        <w:ind w:left="720" w:hanging="720"/>
        <w:rPr>
          <w:szCs w:val="20"/>
        </w:rPr>
      </w:pPr>
      <w:r w:rsidRPr="00207FE4">
        <w:rPr>
          <w:szCs w:val="20"/>
        </w:rPr>
        <w:t xml:space="preserve">[12] Hair, J. F., Hult, G. T. M., Ringle, C. M., &amp; Sarstedt, M., A Primer on Partial Least Squares Structural Equation Modeling (PLS-SEM) (Third ed.), </w:t>
      </w:r>
      <w:r w:rsidRPr="00207FE4">
        <w:rPr>
          <w:i/>
          <w:szCs w:val="20"/>
        </w:rPr>
        <w:t>USA: SAGE Publications</w:t>
      </w:r>
      <w:r w:rsidRPr="00207FE4">
        <w:rPr>
          <w:szCs w:val="20"/>
        </w:rPr>
        <w:t xml:space="preserve">, </w:t>
      </w:r>
      <w:r w:rsidRPr="00207FE4">
        <w:rPr>
          <w:b/>
          <w:szCs w:val="20"/>
        </w:rPr>
        <w:t>(2022)</w:t>
      </w:r>
      <w:r w:rsidRPr="00207FE4">
        <w:rPr>
          <w:szCs w:val="20"/>
        </w:rPr>
        <w:t>.</w:t>
      </w:r>
    </w:p>
    <w:p w14:paraId="1A056D83" w14:textId="77777777" w:rsidR="00AF3926" w:rsidRPr="00207FE4" w:rsidRDefault="00AF3926" w:rsidP="00AF3926">
      <w:pPr>
        <w:pStyle w:val="EndNoteBibliography"/>
        <w:ind w:left="720" w:hanging="720"/>
        <w:rPr>
          <w:szCs w:val="20"/>
        </w:rPr>
      </w:pPr>
      <w:r w:rsidRPr="00207FE4">
        <w:rPr>
          <w:szCs w:val="20"/>
        </w:rPr>
        <w:t xml:space="preserve">[13] Nguyen Thi Anh Nguyet, &amp; Nguyen Van Chien. Factors affecting corporate financial performance listed on Vietnam stock market, </w:t>
      </w:r>
      <w:r w:rsidRPr="00207FE4">
        <w:rPr>
          <w:i/>
          <w:szCs w:val="20"/>
        </w:rPr>
        <w:t>Cogent Business &amp; Management</w:t>
      </w:r>
      <w:r w:rsidRPr="00207FE4">
        <w:rPr>
          <w:szCs w:val="20"/>
        </w:rPr>
        <w:t xml:space="preserve">, </w:t>
      </w:r>
      <w:r w:rsidRPr="00207FE4">
        <w:rPr>
          <w:b/>
          <w:szCs w:val="20"/>
        </w:rPr>
        <w:t>(2025)</w:t>
      </w:r>
      <w:r w:rsidRPr="00207FE4">
        <w:rPr>
          <w:szCs w:val="20"/>
        </w:rPr>
        <w:t xml:space="preserve">, </w:t>
      </w:r>
      <w:r w:rsidRPr="00207FE4">
        <w:rPr>
          <w:i/>
          <w:szCs w:val="20"/>
        </w:rPr>
        <w:t>12(1)</w:t>
      </w:r>
      <w:r w:rsidRPr="00207FE4">
        <w:rPr>
          <w:szCs w:val="20"/>
        </w:rPr>
        <w:t>, pp. 2464937.</w:t>
      </w:r>
    </w:p>
    <w:p w14:paraId="5D46ED77" w14:textId="77777777" w:rsidR="00AF3926" w:rsidRPr="00207FE4" w:rsidRDefault="00AF3926" w:rsidP="00AF3926">
      <w:pPr>
        <w:pStyle w:val="EndNoteBibliography"/>
        <w:ind w:left="720" w:hanging="720"/>
        <w:rPr>
          <w:szCs w:val="20"/>
        </w:rPr>
      </w:pPr>
      <w:r w:rsidRPr="00207FE4">
        <w:rPr>
          <w:szCs w:val="20"/>
        </w:rPr>
        <w:t xml:space="preserve">[14] Phan Tu Anh, &amp; Duong Long Hoang. The effects of corporate governance mechanisms on firm performance: Empirical evidence from Vietnam, </w:t>
      </w:r>
      <w:r w:rsidRPr="00207FE4">
        <w:rPr>
          <w:i/>
          <w:szCs w:val="20"/>
        </w:rPr>
        <w:t>The Journal of Asian Finance, Economics and Business</w:t>
      </w:r>
      <w:r w:rsidRPr="00207FE4">
        <w:rPr>
          <w:szCs w:val="20"/>
        </w:rPr>
        <w:t xml:space="preserve">, </w:t>
      </w:r>
      <w:r w:rsidRPr="00207FE4">
        <w:rPr>
          <w:b/>
          <w:szCs w:val="20"/>
        </w:rPr>
        <w:t>(2021)</w:t>
      </w:r>
      <w:r w:rsidRPr="00207FE4">
        <w:rPr>
          <w:szCs w:val="20"/>
        </w:rPr>
        <w:t xml:space="preserve">, </w:t>
      </w:r>
      <w:r w:rsidRPr="00207FE4">
        <w:rPr>
          <w:i/>
          <w:szCs w:val="20"/>
        </w:rPr>
        <w:t>8(4)</w:t>
      </w:r>
      <w:r w:rsidRPr="00207FE4">
        <w:rPr>
          <w:szCs w:val="20"/>
        </w:rPr>
        <w:t>, pp. 369-379.</w:t>
      </w:r>
    </w:p>
    <w:p w14:paraId="0510D4E3" w14:textId="77777777" w:rsidR="00AF3926" w:rsidRPr="00207FE4" w:rsidRDefault="00AF3926" w:rsidP="00AF3926">
      <w:pPr>
        <w:pStyle w:val="EndNoteBibliography"/>
        <w:ind w:left="720" w:hanging="720"/>
        <w:rPr>
          <w:szCs w:val="20"/>
        </w:rPr>
      </w:pPr>
      <w:r w:rsidRPr="00207FE4">
        <w:rPr>
          <w:szCs w:val="20"/>
        </w:rPr>
        <w:t xml:space="preserve">[15] Vo Duc, &amp; Phan Thuy. Corporate governance and firm performance: Empirical evidence from Vietnam, </w:t>
      </w:r>
      <w:r w:rsidRPr="00207FE4">
        <w:rPr>
          <w:i/>
          <w:szCs w:val="20"/>
        </w:rPr>
        <w:t>Journal of Economic Development</w:t>
      </w:r>
      <w:r w:rsidRPr="00207FE4">
        <w:rPr>
          <w:szCs w:val="20"/>
        </w:rPr>
        <w:t xml:space="preserve">, </w:t>
      </w:r>
      <w:r w:rsidRPr="00207FE4">
        <w:rPr>
          <w:b/>
          <w:szCs w:val="20"/>
        </w:rPr>
        <w:t>(2013)</w:t>
      </w:r>
      <w:r w:rsidRPr="00207FE4">
        <w:rPr>
          <w:szCs w:val="20"/>
        </w:rPr>
        <w:t xml:space="preserve">, </w:t>
      </w:r>
      <w:r w:rsidRPr="00207FE4">
        <w:rPr>
          <w:i/>
          <w:szCs w:val="20"/>
        </w:rPr>
        <w:t>7(1)</w:t>
      </w:r>
      <w:r w:rsidRPr="00207FE4">
        <w:rPr>
          <w:szCs w:val="20"/>
        </w:rPr>
        <w:t>, pp. 62-78.</w:t>
      </w:r>
    </w:p>
    <w:p w14:paraId="71C3B618" w14:textId="77777777" w:rsidR="00AF3926" w:rsidRPr="00207FE4" w:rsidRDefault="00AF3926" w:rsidP="00AF3926">
      <w:pPr>
        <w:pStyle w:val="EndNoteBibliography"/>
        <w:ind w:left="720" w:hanging="720"/>
        <w:rPr>
          <w:szCs w:val="20"/>
        </w:rPr>
      </w:pPr>
      <w:r w:rsidRPr="00207FE4">
        <w:rPr>
          <w:szCs w:val="20"/>
        </w:rPr>
        <w:t xml:space="preserve">[16] Pham Thi Kieu Trang. Research on the relationship between corporate governance and firm performance: Empirical evidence from companies listed on the stock exchange in Vietnam, </w:t>
      </w:r>
      <w:r w:rsidRPr="00207FE4">
        <w:rPr>
          <w:i/>
          <w:szCs w:val="20"/>
        </w:rPr>
        <w:t>International Journal of Management and Applied Research</w:t>
      </w:r>
      <w:r w:rsidRPr="00207FE4">
        <w:rPr>
          <w:szCs w:val="20"/>
        </w:rPr>
        <w:t xml:space="preserve">, </w:t>
      </w:r>
      <w:r w:rsidRPr="00207FE4">
        <w:rPr>
          <w:b/>
          <w:szCs w:val="20"/>
        </w:rPr>
        <w:t>(2016)</w:t>
      </w:r>
      <w:r w:rsidRPr="00207FE4">
        <w:rPr>
          <w:szCs w:val="20"/>
        </w:rPr>
        <w:t xml:space="preserve">, </w:t>
      </w:r>
      <w:r w:rsidRPr="00207FE4">
        <w:rPr>
          <w:i/>
          <w:szCs w:val="20"/>
        </w:rPr>
        <w:t>3(4)</w:t>
      </w:r>
      <w:r w:rsidRPr="00207FE4">
        <w:rPr>
          <w:szCs w:val="20"/>
        </w:rPr>
        <w:t>, pp. 172-183.</w:t>
      </w:r>
    </w:p>
    <w:p w14:paraId="7C2DA84F" w14:textId="77777777" w:rsidR="00AF3926" w:rsidRPr="00207FE4" w:rsidRDefault="00AF3926" w:rsidP="00AF3926">
      <w:pPr>
        <w:pStyle w:val="EndNoteBibliography"/>
        <w:ind w:left="720" w:hanging="720"/>
        <w:rPr>
          <w:szCs w:val="20"/>
        </w:rPr>
      </w:pPr>
      <w:r w:rsidRPr="00207FE4">
        <w:rPr>
          <w:szCs w:val="20"/>
        </w:rPr>
        <w:lastRenderedPageBreak/>
        <w:t>[17] Pfeffer, J., &amp; Salancik, G. (2015). External control of organizations—Resource dependence perspective. In: Routledge.</w:t>
      </w:r>
    </w:p>
    <w:p w14:paraId="7E9EC69F" w14:textId="77777777" w:rsidR="00AF3926" w:rsidRPr="00207FE4" w:rsidRDefault="00AF3926" w:rsidP="00AF3926">
      <w:pPr>
        <w:pStyle w:val="EndNoteBibliography"/>
        <w:ind w:left="720" w:hanging="720"/>
        <w:rPr>
          <w:szCs w:val="20"/>
        </w:rPr>
      </w:pPr>
      <w:r w:rsidRPr="00207FE4">
        <w:rPr>
          <w:szCs w:val="20"/>
        </w:rPr>
        <w:t xml:space="preserve">[18] Goodstein, J., Gautam, K., &amp; Boeker, W. The effects of board size and diversity on strategic change, </w:t>
      </w:r>
      <w:r w:rsidRPr="00207FE4">
        <w:rPr>
          <w:i/>
          <w:szCs w:val="20"/>
        </w:rPr>
        <w:t>Strategic Management Journal</w:t>
      </w:r>
      <w:r w:rsidRPr="00207FE4">
        <w:rPr>
          <w:szCs w:val="20"/>
        </w:rPr>
        <w:t xml:space="preserve">, </w:t>
      </w:r>
      <w:r w:rsidRPr="00207FE4">
        <w:rPr>
          <w:b/>
          <w:szCs w:val="20"/>
        </w:rPr>
        <w:t>(1994)</w:t>
      </w:r>
      <w:r w:rsidRPr="00207FE4">
        <w:rPr>
          <w:szCs w:val="20"/>
        </w:rPr>
        <w:t xml:space="preserve">, </w:t>
      </w:r>
      <w:r w:rsidRPr="00207FE4">
        <w:rPr>
          <w:i/>
          <w:szCs w:val="20"/>
        </w:rPr>
        <w:t>15(3)</w:t>
      </w:r>
      <w:r w:rsidRPr="00207FE4">
        <w:rPr>
          <w:szCs w:val="20"/>
        </w:rPr>
        <w:t>, pp. 241-250.</w:t>
      </w:r>
    </w:p>
    <w:p w14:paraId="2C36BF91" w14:textId="77777777" w:rsidR="00AF3926" w:rsidRPr="00207FE4" w:rsidRDefault="00AF3926" w:rsidP="00AF3926">
      <w:pPr>
        <w:pStyle w:val="EndNoteBibliography"/>
        <w:ind w:left="720" w:hanging="720"/>
        <w:rPr>
          <w:szCs w:val="20"/>
        </w:rPr>
      </w:pPr>
      <w:r w:rsidRPr="00207FE4">
        <w:rPr>
          <w:szCs w:val="20"/>
        </w:rPr>
        <w:t xml:space="preserve">[19] Zahra, S. A., &amp; Pearce, J. A. Boards of directors and corporate financial performance: A review and integrative model, </w:t>
      </w:r>
      <w:r w:rsidRPr="00207FE4">
        <w:rPr>
          <w:i/>
          <w:szCs w:val="20"/>
        </w:rPr>
        <w:t>Journal of Management</w:t>
      </w:r>
      <w:r w:rsidRPr="00207FE4">
        <w:rPr>
          <w:szCs w:val="20"/>
        </w:rPr>
        <w:t xml:space="preserve">, </w:t>
      </w:r>
      <w:r w:rsidRPr="00207FE4">
        <w:rPr>
          <w:b/>
          <w:szCs w:val="20"/>
        </w:rPr>
        <w:t>(1989)</w:t>
      </w:r>
      <w:r w:rsidRPr="00207FE4">
        <w:rPr>
          <w:szCs w:val="20"/>
        </w:rPr>
        <w:t xml:space="preserve">, </w:t>
      </w:r>
      <w:r w:rsidRPr="00207FE4">
        <w:rPr>
          <w:i/>
          <w:szCs w:val="20"/>
        </w:rPr>
        <w:t>15(2)</w:t>
      </w:r>
      <w:r w:rsidRPr="00207FE4">
        <w:rPr>
          <w:szCs w:val="20"/>
        </w:rPr>
        <w:t>, pp. 291-334.</w:t>
      </w:r>
    </w:p>
    <w:p w14:paraId="4B5FF69E" w14:textId="77777777" w:rsidR="00AF3926" w:rsidRPr="00207FE4" w:rsidRDefault="00AF3926" w:rsidP="00AF3926">
      <w:pPr>
        <w:pStyle w:val="EndNoteBibliography"/>
        <w:ind w:left="720" w:hanging="720"/>
        <w:rPr>
          <w:szCs w:val="20"/>
        </w:rPr>
      </w:pPr>
      <w:r w:rsidRPr="00207FE4">
        <w:rPr>
          <w:szCs w:val="20"/>
        </w:rPr>
        <w:t xml:space="preserve">[20] Dalton, D. R., Daily, C. M., Certo, S. T., &amp; Roengpitya, R. Meta-analyses of financial performance and equity: fusion or confusion?, </w:t>
      </w:r>
      <w:r w:rsidRPr="00207FE4">
        <w:rPr>
          <w:i/>
          <w:szCs w:val="20"/>
        </w:rPr>
        <w:t>Academy of Management Journal</w:t>
      </w:r>
      <w:r w:rsidRPr="00207FE4">
        <w:rPr>
          <w:szCs w:val="20"/>
        </w:rPr>
        <w:t xml:space="preserve">, </w:t>
      </w:r>
      <w:r w:rsidRPr="00207FE4">
        <w:rPr>
          <w:b/>
          <w:szCs w:val="20"/>
        </w:rPr>
        <w:t>(2003)</w:t>
      </w:r>
      <w:r w:rsidRPr="00207FE4">
        <w:rPr>
          <w:szCs w:val="20"/>
        </w:rPr>
        <w:t xml:space="preserve">, </w:t>
      </w:r>
      <w:r w:rsidRPr="00207FE4">
        <w:rPr>
          <w:i/>
          <w:szCs w:val="20"/>
        </w:rPr>
        <w:t>46(1)</w:t>
      </w:r>
      <w:r w:rsidRPr="00207FE4">
        <w:rPr>
          <w:szCs w:val="20"/>
        </w:rPr>
        <w:t>, pp. 13-26.</w:t>
      </w:r>
    </w:p>
    <w:p w14:paraId="3B84D62D" w14:textId="77777777" w:rsidR="00AF3926" w:rsidRPr="00207FE4" w:rsidRDefault="00AF3926" w:rsidP="00AF3926">
      <w:pPr>
        <w:pStyle w:val="EndNoteBibliography"/>
        <w:ind w:left="720" w:hanging="720"/>
        <w:rPr>
          <w:szCs w:val="20"/>
        </w:rPr>
      </w:pPr>
      <w:r w:rsidRPr="00207FE4">
        <w:rPr>
          <w:szCs w:val="20"/>
        </w:rPr>
        <w:t>[21] Lehn, K. M., Patro, S., &amp; Zhao, M. Determinants of the size and composition of US corporate boards: 1935</w:t>
      </w:r>
      <w:r w:rsidRPr="00207FE4">
        <w:rPr>
          <w:rFonts w:ascii="Cambria Math" w:hAnsi="Cambria Math" w:cs="Cambria Math"/>
          <w:szCs w:val="20"/>
        </w:rPr>
        <w:t>‐</w:t>
      </w:r>
      <w:r w:rsidRPr="00207FE4">
        <w:rPr>
          <w:szCs w:val="20"/>
        </w:rPr>
        <w:t xml:space="preserve">2000, </w:t>
      </w:r>
      <w:r w:rsidRPr="00207FE4">
        <w:rPr>
          <w:i/>
          <w:szCs w:val="20"/>
        </w:rPr>
        <w:t>Financial Management</w:t>
      </w:r>
      <w:r w:rsidRPr="00207FE4">
        <w:rPr>
          <w:szCs w:val="20"/>
        </w:rPr>
        <w:t xml:space="preserve">, </w:t>
      </w:r>
      <w:r w:rsidRPr="00207FE4">
        <w:rPr>
          <w:b/>
          <w:szCs w:val="20"/>
        </w:rPr>
        <w:t>(2009)</w:t>
      </w:r>
      <w:r w:rsidRPr="00207FE4">
        <w:rPr>
          <w:szCs w:val="20"/>
        </w:rPr>
        <w:t xml:space="preserve">, </w:t>
      </w:r>
      <w:r w:rsidRPr="00207FE4">
        <w:rPr>
          <w:i/>
          <w:szCs w:val="20"/>
        </w:rPr>
        <w:t>38(4)</w:t>
      </w:r>
      <w:r w:rsidRPr="00207FE4">
        <w:rPr>
          <w:szCs w:val="20"/>
        </w:rPr>
        <w:t>, pp. 747-780.</w:t>
      </w:r>
    </w:p>
    <w:p w14:paraId="721960D3" w14:textId="77777777" w:rsidR="00AF3926" w:rsidRPr="00207FE4" w:rsidRDefault="00AF3926" w:rsidP="00AF3926">
      <w:pPr>
        <w:pStyle w:val="EndNoteBibliography"/>
        <w:ind w:left="720" w:hanging="720"/>
        <w:rPr>
          <w:szCs w:val="20"/>
        </w:rPr>
      </w:pPr>
      <w:r w:rsidRPr="00207FE4">
        <w:rPr>
          <w:szCs w:val="20"/>
        </w:rPr>
        <w:t xml:space="preserve">[22] Pearce, J. A., &amp; Zahra, S. A. Board composition from a strategic contingency perspective, </w:t>
      </w:r>
      <w:r w:rsidRPr="00207FE4">
        <w:rPr>
          <w:i/>
          <w:szCs w:val="20"/>
        </w:rPr>
        <w:t>Journal of Management Studies</w:t>
      </w:r>
      <w:r w:rsidRPr="00207FE4">
        <w:rPr>
          <w:szCs w:val="20"/>
        </w:rPr>
        <w:t xml:space="preserve">, </w:t>
      </w:r>
      <w:r w:rsidRPr="00207FE4">
        <w:rPr>
          <w:b/>
          <w:szCs w:val="20"/>
        </w:rPr>
        <w:t>(1992)</w:t>
      </w:r>
      <w:r w:rsidRPr="00207FE4">
        <w:rPr>
          <w:szCs w:val="20"/>
        </w:rPr>
        <w:t xml:space="preserve">, </w:t>
      </w:r>
      <w:r w:rsidRPr="00207FE4">
        <w:rPr>
          <w:i/>
          <w:szCs w:val="20"/>
        </w:rPr>
        <w:t>29(4)</w:t>
      </w:r>
      <w:r w:rsidRPr="00207FE4">
        <w:rPr>
          <w:szCs w:val="20"/>
        </w:rPr>
        <w:t>, pp. 411-438.</w:t>
      </w:r>
    </w:p>
    <w:p w14:paraId="52A46EBF" w14:textId="77777777" w:rsidR="00AF3926" w:rsidRPr="00207FE4" w:rsidRDefault="00AF3926" w:rsidP="00AF3926">
      <w:pPr>
        <w:pStyle w:val="EndNoteBibliography"/>
        <w:ind w:left="720" w:hanging="720"/>
        <w:rPr>
          <w:szCs w:val="20"/>
        </w:rPr>
      </w:pPr>
      <w:r w:rsidRPr="00207FE4">
        <w:rPr>
          <w:szCs w:val="20"/>
        </w:rPr>
        <w:t xml:space="preserve">[23] Ciftci, I., Tatoglu, E., Wood, G., Demirbag, M., et al. Corporate governance and firm performance in emerging markets: Evidence from Turkey, </w:t>
      </w:r>
      <w:r w:rsidRPr="00207FE4">
        <w:rPr>
          <w:i/>
          <w:szCs w:val="20"/>
        </w:rPr>
        <w:t>International Business Review</w:t>
      </w:r>
      <w:r w:rsidRPr="00207FE4">
        <w:rPr>
          <w:szCs w:val="20"/>
        </w:rPr>
        <w:t xml:space="preserve">, </w:t>
      </w:r>
      <w:r w:rsidRPr="00207FE4">
        <w:rPr>
          <w:b/>
          <w:szCs w:val="20"/>
        </w:rPr>
        <w:t>(2019)</w:t>
      </w:r>
      <w:r w:rsidRPr="00207FE4">
        <w:rPr>
          <w:szCs w:val="20"/>
        </w:rPr>
        <w:t xml:space="preserve">, </w:t>
      </w:r>
      <w:r w:rsidRPr="00207FE4">
        <w:rPr>
          <w:i/>
          <w:szCs w:val="20"/>
        </w:rPr>
        <w:t>28(1)</w:t>
      </w:r>
      <w:r w:rsidRPr="00207FE4">
        <w:rPr>
          <w:szCs w:val="20"/>
        </w:rPr>
        <w:t>, pp. 90-103.</w:t>
      </w:r>
    </w:p>
    <w:p w14:paraId="0939650A" w14:textId="77777777" w:rsidR="00AF3926" w:rsidRPr="00207FE4" w:rsidRDefault="00AF3926" w:rsidP="00AF3926">
      <w:pPr>
        <w:pStyle w:val="EndNoteBibliography"/>
        <w:ind w:left="720" w:hanging="720"/>
        <w:rPr>
          <w:szCs w:val="20"/>
        </w:rPr>
      </w:pPr>
      <w:r w:rsidRPr="00207FE4">
        <w:rPr>
          <w:szCs w:val="20"/>
        </w:rPr>
        <w:t xml:space="preserve">[24] Eisenberg, T., Sundgren, S., &amp; Wells, M. T. Larger board size and decreasing firm value in small firms, </w:t>
      </w:r>
      <w:r w:rsidRPr="00207FE4">
        <w:rPr>
          <w:i/>
          <w:szCs w:val="20"/>
        </w:rPr>
        <w:t>Journal of Financial Economics</w:t>
      </w:r>
      <w:r w:rsidRPr="00207FE4">
        <w:rPr>
          <w:szCs w:val="20"/>
        </w:rPr>
        <w:t xml:space="preserve">, </w:t>
      </w:r>
      <w:r w:rsidRPr="00207FE4">
        <w:rPr>
          <w:b/>
          <w:szCs w:val="20"/>
        </w:rPr>
        <w:t>(1998)</w:t>
      </w:r>
      <w:r w:rsidRPr="00207FE4">
        <w:rPr>
          <w:szCs w:val="20"/>
        </w:rPr>
        <w:t xml:space="preserve">, </w:t>
      </w:r>
      <w:r w:rsidRPr="00207FE4">
        <w:rPr>
          <w:i/>
          <w:szCs w:val="20"/>
        </w:rPr>
        <w:t>48(1)</w:t>
      </w:r>
      <w:r w:rsidRPr="00207FE4">
        <w:rPr>
          <w:szCs w:val="20"/>
        </w:rPr>
        <w:t>, pp. 35-54.</w:t>
      </w:r>
    </w:p>
    <w:p w14:paraId="79E5E754" w14:textId="77777777" w:rsidR="00AF3926" w:rsidRPr="00207FE4" w:rsidRDefault="00AF3926" w:rsidP="00AF3926">
      <w:pPr>
        <w:pStyle w:val="EndNoteBibliography"/>
        <w:ind w:left="720" w:hanging="720"/>
        <w:rPr>
          <w:szCs w:val="20"/>
        </w:rPr>
      </w:pPr>
      <w:r w:rsidRPr="00207FE4">
        <w:rPr>
          <w:szCs w:val="20"/>
        </w:rPr>
        <w:t xml:space="preserve">[25] De Andres, P., Azofra, V., &amp; Lopez, F. Corporate boards in OECD countries: Size, composition, functioning and effectiveness, </w:t>
      </w:r>
      <w:r w:rsidRPr="00207FE4">
        <w:rPr>
          <w:i/>
          <w:szCs w:val="20"/>
        </w:rPr>
        <w:t>Corporate Governance: An International Review</w:t>
      </w:r>
      <w:r w:rsidRPr="00207FE4">
        <w:rPr>
          <w:szCs w:val="20"/>
        </w:rPr>
        <w:t xml:space="preserve">, </w:t>
      </w:r>
      <w:r w:rsidRPr="00207FE4">
        <w:rPr>
          <w:b/>
          <w:szCs w:val="20"/>
        </w:rPr>
        <w:t>(2005)</w:t>
      </w:r>
      <w:r w:rsidRPr="00207FE4">
        <w:rPr>
          <w:szCs w:val="20"/>
        </w:rPr>
        <w:t xml:space="preserve">, </w:t>
      </w:r>
      <w:r w:rsidRPr="00207FE4">
        <w:rPr>
          <w:i/>
          <w:szCs w:val="20"/>
        </w:rPr>
        <w:t>13(2)</w:t>
      </w:r>
      <w:r w:rsidRPr="00207FE4">
        <w:rPr>
          <w:szCs w:val="20"/>
        </w:rPr>
        <w:t>, pp. 197-210.</w:t>
      </w:r>
    </w:p>
    <w:p w14:paraId="03E87249" w14:textId="77777777" w:rsidR="00AF3926" w:rsidRPr="00207FE4" w:rsidRDefault="00AF3926" w:rsidP="00AF3926">
      <w:pPr>
        <w:pStyle w:val="EndNoteBibliography"/>
        <w:ind w:left="720" w:hanging="720"/>
        <w:rPr>
          <w:szCs w:val="20"/>
        </w:rPr>
      </w:pPr>
      <w:r w:rsidRPr="00207FE4">
        <w:rPr>
          <w:szCs w:val="20"/>
        </w:rPr>
        <w:t xml:space="preserve">[26] Jensen, M. C. The Modern Industrial Revolution, Exit, and the Failure of Internal Control Systems, </w:t>
      </w:r>
      <w:r w:rsidRPr="00207FE4">
        <w:rPr>
          <w:i/>
          <w:szCs w:val="20"/>
        </w:rPr>
        <w:t>The Journal of Finance</w:t>
      </w:r>
      <w:r w:rsidRPr="00207FE4">
        <w:rPr>
          <w:szCs w:val="20"/>
        </w:rPr>
        <w:t xml:space="preserve">, </w:t>
      </w:r>
      <w:r w:rsidRPr="00207FE4">
        <w:rPr>
          <w:b/>
          <w:szCs w:val="20"/>
        </w:rPr>
        <w:t>(1993)</w:t>
      </w:r>
      <w:r w:rsidRPr="00207FE4">
        <w:rPr>
          <w:szCs w:val="20"/>
        </w:rPr>
        <w:t xml:space="preserve">, </w:t>
      </w:r>
      <w:r w:rsidRPr="00207FE4">
        <w:rPr>
          <w:i/>
          <w:szCs w:val="20"/>
        </w:rPr>
        <w:t>48(3)</w:t>
      </w:r>
      <w:r w:rsidRPr="00207FE4">
        <w:rPr>
          <w:szCs w:val="20"/>
        </w:rPr>
        <w:t>, pp. 831-880.</w:t>
      </w:r>
    </w:p>
    <w:p w14:paraId="07751C3C" w14:textId="77777777" w:rsidR="00AF3926" w:rsidRPr="00207FE4" w:rsidRDefault="00AF3926" w:rsidP="00AF3926">
      <w:pPr>
        <w:pStyle w:val="EndNoteBibliography"/>
        <w:ind w:left="720" w:hanging="720"/>
        <w:rPr>
          <w:szCs w:val="20"/>
        </w:rPr>
      </w:pPr>
      <w:r w:rsidRPr="00207FE4">
        <w:rPr>
          <w:szCs w:val="20"/>
        </w:rPr>
        <w:t xml:space="preserve">[27] Ahmed, K., Hossain, M., &amp; Adams, M. B. The effects of board composition and board size on the informativeness of annual accounting earnings, </w:t>
      </w:r>
      <w:r w:rsidRPr="00207FE4">
        <w:rPr>
          <w:i/>
          <w:szCs w:val="20"/>
        </w:rPr>
        <w:t>Corporate Governance: An International Review</w:t>
      </w:r>
      <w:r w:rsidRPr="00207FE4">
        <w:rPr>
          <w:szCs w:val="20"/>
        </w:rPr>
        <w:t xml:space="preserve">, </w:t>
      </w:r>
      <w:r w:rsidRPr="00207FE4">
        <w:rPr>
          <w:b/>
          <w:szCs w:val="20"/>
        </w:rPr>
        <w:t>(2006)</w:t>
      </w:r>
      <w:r w:rsidRPr="00207FE4">
        <w:rPr>
          <w:szCs w:val="20"/>
        </w:rPr>
        <w:t xml:space="preserve">, </w:t>
      </w:r>
      <w:r w:rsidRPr="00207FE4">
        <w:rPr>
          <w:i/>
          <w:szCs w:val="20"/>
        </w:rPr>
        <w:t>14(5)</w:t>
      </w:r>
      <w:r w:rsidRPr="00207FE4">
        <w:rPr>
          <w:szCs w:val="20"/>
        </w:rPr>
        <w:t>, pp. 418-431.</w:t>
      </w:r>
    </w:p>
    <w:p w14:paraId="32C8E8BD" w14:textId="77777777" w:rsidR="00AF3926" w:rsidRPr="00207FE4" w:rsidRDefault="00AF3926" w:rsidP="00AF3926">
      <w:pPr>
        <w:pStyle w:val="EndNoteBibliography"/>
        <w:ind w:left="720" w:hanging="720"/>
        <w:rPr>
          <w:szCs w:val="20"/>
        </w:rPr>
      </w:pPr>
      <w:r w:rsidRPr="00207FE4">
        <w:rPr>
          <w:szCs w:val="20"/>
        </w:rPr>
        <w:t xml:space="preserve">[28] Evans, C. R., &amp; Dion, K. L. Group cohesion and performance: A meta-analysis, </w:t>
      </w:r>
      <w:r w:rsidRPr="00207FE4">
        <w:rPr>
          <w:i/>
          <w:szCs w:val="20"/>
        </w:rPr>
        <w:t>Small group research</w:t>
      </w:r>
      <w:r w:rsidRPr="00207FE4">
        <w:rPr>
          <w:szCs w:val="20"/>
        </w:rPr>
        <w:t xml:space="preserve">, </w:t>
      </w:r>
      <w:r w:rsidRPr="00207FE4">
        <w:rPr>
          <w:b/>
          <w:szCs w:val="20"/>
        </w:rPr>
        <w:t>(1991)</w:t>
      </w:r>
      <w:r w:rsidRPr="00207FE4">
        <w:rPr>
          <w:szCs w:val="20"/>
        </w:rPr>
        <w:t xml:space="preserve">, </w:t>
      </w:r>
      <w:r w:rsidRPr="00207FE4">
        <w:rPr>
          <w:i/>
          <w:szCs w:val="20"/>
        </w:rPr>
        <w:t>22(2)</w:t>
      </w:r>
      <w:r w:rsidRPr="00207FE4">
        <w:rPr>
          <w:szCs w:val="20"/>
        </w:rPr>
        <w:t>, pp. 175-186.</w:t>
      </w:r>
    </w:p>
    <w:p w14:paraId="60956450" w14:textId="77777777" w:rsidR="00AF3926" w:rsidRPr="00207FE4" w:rsidRDefault="00AF3926" w:rsidP="00AF3926">
      <w:pPr>
        <w:pStyle w:val="EndNoteBibliography"/>
        <w:ind w:left="720" w:hanging="720"/>
        <w:rPr>
          <w:szCs w:val="20"/>
        </w:rPr>
      </w:pPr>
      <w:r w:rsidRPr="00207FE4">
        <w:rPr>
          <w:szCs w:val="20"/>
        </w:rPr>
        <w:t xml:space="preserve">[29] Hermalin, B., &amp; Weisbach, M. S. Boards of directors as an endogenously determined institution: A survey of the economic literature, </w:t>
      </w:r>
      <w:r w:rsidRPr="00207FE4">
        <w:rPr>
          <w:b/>
          <w:szCs w:val="20"/>
        </w:rPr>
        <w:t>(2001)</w:t>
      </w:r>
      <w:r w:rsidRPr="00207FE4">
        <w:rPr>
          <w:szCs w:val="20"/>
        </w:rPr>
        <w:t xml:space="preserve">, pp. </w:t>
      </w:r>
    </w:p>
    <w:p w14:paraId="5E36401B" w14:textId="77777777" w:rsidR="00AF3926" w:rsidRPr="00207FE4" w:rsidRDefault="00AF3926" w:rsidP="00AF3926">
      <w:pPr>
        <w:pStyle w:val="EndNoteBibliography"/>
        <w:ind w:left="720" w:hanging="720"/>
        <w:rPr>
          <w:szCs w:val="20"/>
        </w:rPr>
      </w:pPr>
      <w:r w:rsidRPr="00207FE4">
        <w:rPr>
          <w:szCs w:val="20"/>
        </w:rPr>
        <w:t xml:space="preserve">[30] Mak, Y. T., &amp; Kusnadi, Y. Size really matters: Further evidence on the negative relationship between board size and firm value, </w:t>
      </w:r>
      <w:r w:rsidRPr="00207FE4">
        <w:rPr>
          <w:i/>
          <w:szCs w:val="20"/>
        </w:rPr>
        <w:t>Pacific-Basin Finance Journal</w:t>
      </w:r>
      <w:r w:rsidRPr="00207FE4">
        <w:rPr>
          <w:szCs w:val="20"/>
        </w:rPr>
        <w:t xml:space="preserve">, </w:t>
      </w:r>
      <w:r w:rsidRPr="00207FE4">
        <w:rPr>
          <w:b/>
          <w:szCs w:val="20"/>
        </w:rPr>
        <w:t>(2005)</w:t>
      </w:r>
      <w:r w:rsidRPr="00207FE4">
        <w:rPr>
          <w:szCs w:val="20"/>
        </w:rPr>
        <w:t xml:space="preserve">, </w:t>
      </w:r>
      <w:r w:rsidRPr="00207FE4">
        <w:rPr>
          <w:i/>
          <w:szCs w:val="20"/>
        </w:rPr>
        <w:t>13(3)</w:t>
      </w:r>
      <w:r w:rsidRPr="00207FE4">
        <w:rPr>
          <w:szCs w:val="20"/>
        </w:rPr>
        <w:t>, pp. 301-318.</w:t>
      </w:r>
    </w:p>
    <w:p w14:paraId="62462CFD" w14:textId="77777777" w:rsidR="00AF3926" w:rsidRPr="00207FE4" w:rsidRDefault="00AF3926" w:rsidP="00AF3926">
      <w:pPr>
        <w:pStyle w:val="EndNoteBibliography"/>
        <w:ind w:left="720" w:hanging="720"/>
        <w:rPr>
          <w:szCs w:val="20"/>
        </w:rPr>
      </w:pPr>
      <w:r w:rsidRPr="00207FE4">
        <w:rPr>
          <w:szCs w:val="20"/>
        </w:rPr>
        <w:t xml:space="preserve">[31] Aljifri, K., &amp; Moustafa, M. The impact of corporate governance mechanisms on the performance of UAE firms: an empirical </w:t>
      </w:r>
      <w:r w:rsidRPr="00207FE4">
        <w:rPr>
          <w:szCs w:val="20"/>
        </w:rPr>
        <w:lastRenderedPageBreak/>
        <w:t xml:space="preserve">analysis, </w:t>
      </w:r>
      <w:r w:rsidRPr="00207FE4">
        <w:rPr>
          <w:i/>
          <w:szCs w:val="20"/>
        </w:rPr>
        <w:t>Journal of Economic and administrative sciences</w:t>
      </w:r>
      <w:r w:rsidRPr="00207FE4">
        <w:rPr>
          <w:szCs w:val="20"/>
        </w:rPr>
        <w:t xml:space="preserve">, </w:t>
      </w:r>
      <w:r w:rsidRPr="00207FE4">
        <w:rPr>
          <w:b/>
          <w:szCs w:val="20"/>
        </w:rPr>
        <w:t>(2007)</w:t>
      </w:r>
      <w:r w:rsidRPr="00207FE4">
        <w:rPr>
          <w:szCs w:val="20"/>
        </w:rPr>
        <w:t xml:space="preserve">, </w:t>
      </w:r>
      <w:r w:rsidRPr="00207FE4">
        <w:rPr>
          <w:i/>
          <w:szCs w:val="20"/>
        </w:rPr>
        <w:t>23(2)</w:t>
      </w:r>
      <w:r w:rsidRPr="00207FE4">
        <w:rPr>
          <w:szCs w:val="20"/>
        </w:rPr>
        <w:t>, pp. 71-93.</w:t>
      </w:r>
    </w:p>
    <w:p w14:paraId="3938D64E" w14:textId="77777777" w:rsidR="00AF3926" w:rsidRPr="00207FE4" w:rsidRDefault="00AF3926" w:rsidP="00AF3926">
      <w:pPr>
        <w:pStyle w:val="EndNoteBibliography"/>
        <w:ind w:left="720" w:hanging="720"/>
        <w:rPr>
          <w:szCs w:val="20"/>
        </w:rPr>
      </w:pPr>
      <w:r w:rsidRPr="00207FE4">
        <w:rPr>
          <w:szCs w:val="20"/>
        </w:rPr>
        <w:t xml:space="preserve">[32] Al-ahdal, W. M., Alsamhi, M. H., Tabash, M. I., &amp; Farhan, N. H. S. The impact of corporate governance on financial performance of Indian and GCC listed firms: An empirical investigation, </w:t>
      </w:r>
      <w:r w:rsidRPr="00207FE4">
        <w:rPr>
          <w:i/>
          <w:szCs w:val="20"/>
        </w:rPr>
        <w:t>Research in International Business and Finance</w:t>
      </w:r>
      <w:r w:rsidRPr="00207FE4">
        <w:rPr>
          <w:szCs w:val="20"/>
        </w:rPr>
        <w:t xml:space="preserve">, </w:t>
      </w:r>
      <w:r w:rsidRPr="00207FE4">
        <w:rPr>
          <w:b/>
          <w:szCs w:val="20"/>
        </w:rPr>
        <w:t>(2020)</w:t>
      </w:r>
      <w:r w:rsidRPr="00207FE4">
        <w:rPr>
          <w:szCs w:val="20"/>
        </w:rPr>
        <w:t xml:space="preserve">, </w:t>
      </w:r>
      <w:r w:rsidRPr="00207FE4">
        <w:rPr>
          <w:i/>
          <w:szCs w:val="20"/>
        </w:rPr>
        <w:t>51</w:t>
      </w:r>
      <w:r w:rsidRPr="00207FE4">
        <w:rPr>
          <w:szCs w:val="20"/>
        </w:rPr>
        <w:t>, pp. 101083.</w:t>
      </w:r>
    </w:p>
    <w:p w14:paraId="5482337E" w14:textId="77777777" w:rsidR="00AF3926" w:rsidRPr="00207FE4" w:rsidRDefault="00AF3926" w:rsidP="00AF3926">
      <w:pPr>
        <w:pStyle w:val="EndNoteBibliography"/>
        <w:ind w:left="720" w:hanging="720"/>
        <w:rPr>
          <w:szCs w:val="20"/>
        </w:rPr>
      </w:pPr>
      <w:r w:rsidRPr="00207FE4">
        <w:rPr>
          <w:szCs w:val="20"/>
        </w:rPr>
        <w:t xml:space="preserve">[33] Aras, G., &amp; Crowther, D. Governance and sustainability: An investigation into the relationship between corporate governance and corporate sustainability, </w:t>
      </w:r>
      <w:r w:rsidRPr="00207FE4">
        <w:rPr>
          <w:i/>
          <w:szCs w:val="20"/>
        </w:rPr>
        <w:t>Management Decision</w:t>
      </w:r>
      <w:r w:rsidRPr="00207FE4">
        <w:rPr>
          <w:szCs w:val="20"/>
        </w:rPr>
        <w:t xml:space="preserve">, </w:t>
      </w:r>
      <w:r w:rsidRPr="00207FE4">
        <w:rPr>
          <w:b/>
          <w:szCs w:val="20"/>
        </w:rPr>
        <w:t>(2008)</w:t>
      </w:r>
      <w:r w:rsidRPr="00207FE4">
        <w:rPr>
          <w:szCs w:val="20"/>
        </w:rPr>
        <w:t xml:space="preserve">, </w:t>
      </w:r>
      <w:r w:rsidRPr="00207FE4">
        <w:rPr>
          <w:i/>
          <w:szCs w:val="20"/>
        </w:rPr>
        <w:t>46(3)</w:t>
      </w:r>
      <w:r w:rsidRPr="00207FE4">
        <w:rPr>
          <w:szCs w:val="20"/>
        </w:rPr>
        <w:t>, pp. 433-448.</w:t>
      </w:r>
    </w:p>
    <w:p w14:paraId="21FE5BB7" w14:textId="77777777" w:rsidR="00AF3926" w:rsidRPr="00207FE4" w:rsidRDefault="00AF3926" w:rsidP="00AF3926">
      <w:pPr>
        <w:pStyle w:val="EndNoteBibliography"/>
        <w:ind w:left="720" w:hanging="720"/>
        <w:rPr>
          <w:szCs w:val="20"/>
        </w:rPr>
      </w:pPr>
      <w:r w:rsidRPr="00207FE4">
        <w:rPr>
          <w:szCs w:val="20"/>
        </w:rPr>
        <w:t xml:space="preserve">[34] Haniffa, R. M., &amp; Cooke, T. E. Culture, Corporate Governance and Disclosure in Malaysian Corporations, </w:t>
      </w:r>
      <w:r w:rsidRPr="00207FE4">
        <w:rPr>
          <w:i/>
          <w:szCs w:val="20"/>
        </w:rPr>
        <w:t>Abacus</w:t>
      </w:r>
      <w:r w:rsidRPr="00207FE4">
        <w:rPr>
          <w:szCs w:val="20"/>
        </w:rPr>
        <w:t xml:space="preserve">, </w:t>
      </w:r>
      <w:r w:rsidRPr="00207FE4">
        <w:rPr>
          <w:b/>
          <w:szCs w:val="20"/>
        </w:rPr>
        <w:t>(2002)</w:t>
      </w:r>
      <w:r w:rsidRPr="00207FE4">
        <w:rPr>
          <w:szCs w:val="20"/>
        </w:rPr>
        <w:t xml:space="preserve">, </w:t>
      </w:r>
      <w:r w:rsidRPr="00207FE4">
        <w:rPr>
          <w:i/>
          <w:szCs w:val="20"/>
        </w:rPr>
        <w:t>38(3)</w:t>
      </w:r>
      <w:r w:rsidRPr="00207FE4">
        <w:rPr>
          <w:szCs w:val="20"/>
        </w:rPr>
        <w:t>, pp. 317-349.</w:t>
      </w:r>
    </w:p>
    <w:p w14:paraId="36114762" w14:textId="77777777" w:rsidR="00AF3926" w:rsidRPr="00207FE4" w:rsidRDefault="00AF3926" w:rsidP="00AF3926">
      <w:pPr>
        <w:pStyle w:val="EndNoteBibliography"/>
        <w:ind w:left="720" w:hanging="720"/>
        <w:rPr>
          <w:szCs w:val="20"/>
        </w:rPr>
      </w:pPr>
      <w:r w:rsidRPr="00207FE4">
        <w:rPr>
          <w:szCs w:val="20"/>
        </w:rPr>
        <w:t xml:space="preserve">[35] Michelon, G., &amp; Parbonetti, A. The effect of corporate governance on sustainability disclosure, </w:t>
      </w:r>
      <w:r w:rsidRPr="00207FE4">
        <w:rPr>
          <w:i/>
          <w:szCs w:val="20"/>
        </w:rPr>
        <w:t>Journal of Management &amp; Governance</w:t>
      </w:r>
      <w:r w:rsidRPr="00207FE4">
        <w:rPr>
          <w:szCs w:val="20"/>
        </w:rPr>
        <w:t xml:space="preserve">, </w:t>
      </w:r>
      <w:r w:rsidRPr="00207FE4">
        <w:rPr>
          <w:b/>
          <w:szCs w:val="20"/>
        </w:rPr>
        <w:t>(2012)</w:t>
      </w:r>
      <w:r w:rsidRPr="00207FE4">
        <w:rPr>
          <w:szCs w:val="20"/>
        </w:rPr>
        <w:t xml:space="preserve">, </w:t>
      </w:r>
      <w:r w:rsidRPr="00207FE4">
        <w:rPr>
          <w:i/>
          <w:szCs w:val="20"/>
        </w:rPr>
        <w:t>16</w:t>
      </w:r>
      <w:r w:rsidRPr="00207FE4">
        <w:rPr>
          <w:szCs w:val="20"/>
        </w:rPr>
        <w:t>, pp. 477-509.</w:t>
      </w:r>
    </w:p>
    <w:p w14:paraId="4FEC5484" w14:textId="77777777" w:rsidR="00AF3926" w:rsidRPr="00207FE4" w:rsidRDefault="00AF3926" w:rsidP="00AF3926">
      <w:pPr>
        <w:pStyle w:val="EndNoteBibliography"/>
        <w:ind w:left="720" w:hanging="720"/>
        <w:rPr>
          <w:szCs w:val="20"/>
        </w:rPr>
      </w:pPr>
      <w:r w:rsidRPr="00207FE4">
        <w:rPr>
          <w:szCs w:val="20"/>
        </w:rPr>
        <w:t xml:space="preserve">[36] Gul, F. A., &amp; Leung, S. Board leadership, outside directors’ expertise and voluntary corporate disclosures, </w:t>
      </w:r>
      <w:r w:rsidRPr="00207FE4">
        <w:rPr>
          <w:i/>
          <w:szCs w:val="20"/>
        </w:rPr>
        <w:t>Journal of Accounting and Public Policy</w:t>
      </w:r>
      <w:r w:rsidRPr="00207FE4">
        <w:rPr>
          <w:szCs w:val="20"/>
        </w:rPr>
        <w:t xml:space="preserve">, </w:t>
      </w:r>
      <w:r w:rsidRPr="00207FE4">
        <w:rPr>
          <w:b/>
          <w:szCs w:val="20"/>
        </w:rPr>
        <w:t>(2004)</w:t>
      </w:r>
      <w:r w:rsidRPr="00207FE4">
        <w:rPr>
          <w:szCs w:val="20"/>
        </w:rPr>
        <w:t xml:space="preserve">, </w:t>
      </w:r>
      <w:r w:rsidRPr="00207FE4">
        <w:rPr>
          <w:i/>
          <w:szCs w:val="20"/>
        </w:rPr>
        <w:t>23(5)</w:t>
      </w:r>
      <w:r w:rsidRPr="00207FE4">
        <w:rPr>
          <w:szCs w:val="20"/>
        </w:rPr>
        <w:t>, pp. 351-379.</w:t>
      </w:r>
    </w:p>
    <w:p w14:paraId="38732498" w14:textId="77777777" w:rsidR="00AF3926" w:rsidRPr="00207FE4" w:rsidRDefault="00AF3926" w:rsidP="00AF3926">
      <w:pPr>
        <w:pStyle w:val="EndNoteBibliography"/>
        <w:ind w:left="720" w:hanging="720"/>
        <w:rPr>
          <w:szCs w:val="20"/>
        </w:rPr>
      </w:pPr>
      <w:r w:rsidRPr="00207FE4">
        <w:rPr>
          <w:szCs w:val="20"/>
        </w:rPr>
        <w:t xml:space="preserve">[37] Hussain, N., Rigoni, U., &amp; Orij, R. P. Corporate governance and sustainability performance: Analysis of triple bottom line performance, </w:t>
      </w:r>
      <w:r w:rsidRPr="00207FE4">
        <w:rPr>
          <w:i/>
          <w:szCs w:val="20"/>
        </w:rPr>
        <w:t>Journal of Business Ethics</w:t>
      </w:r>
      <w:r w:rsidRPr="00207FE4">
        <w:rPr>
          <w:szCs w:val="20"/>
        </w:rPr>
        <w:t xml:space="preserve">, </w:t>
      </w:r>
      <w:r w:rsidRPr="00207FE4">
        <w:rPr>
          <w:b/>
          <w:szCs w:val="20"/>
        </w:rPr>
        <w:t>(2018)</w:t>
      </w:r>
      <w:r w:rsidRPr="00207FE4">
        <w:rPr>
          <w:szCs w:val="20"/>
        </w:rPr>
        <w:t xml:space="preserve">, </w:t>
      </w:r>
      <w:r w:rsidRPr="00207FE4">
        <w:rPr>
          <w:i/>
          <w:szCs w:val="20"/>
        </w:rPr>
        <w:t>149</w:t>
      </w:r>
      <w:r w:rsidRPr="00207FE4">
        <w:rPr>
          <w:szCs w:val="20"/>
        </w:rPr>
        <w:t>, pp. 411-432.</w:t>
      </w:r>
    </w:p>
    <w:p w14:paraId="344FB07D" w14:textId="77777777" w:rsidR="00AF3926" w:rsidRPr="00207FE4" w:rsidRDefault="00AF3926" w:rsidP="00AF3926">
      <w:pPr>
        <w:pStyle w:val="EndNoteBibliography"/>
        <w:ind w:left="720" w:hanging="720"/>
        <w:rPr>
          <w:szCs w:val="20"/>
        </w:rPr>
      </w:pPr>
      <w:r w:rsidRPr="00207FE4">
        <w:rPr>
          <w:szCs w:val="20"/>
        </w:rPr>
        <w:t xml:space="preserve">[38] Maali, K., Rakia, R., &amp; Khaireddine, M. How corporate social responsibility mediates the relationship between corporate governance and sustainability performance in UK: a multiple mediator analysis, </w:t>
      </w:r>
      <w:r w:rsidRPr="00207FE4">
        <w:rPr>
          <w:i/>
          <w:szCs w:val="20"/>
        </w:rPr>
        <w:t>Society and Business Review</w:t>
      </w:r>
      <w:r w:rsidRPr="00207FE4">
        <w:rPr>
          <w:szCs w:val="20"/>
        </w:rPr>
        <w:t xml:space="preserve">, </w:t>
      </w:r>
      <w:r w:rsidRPr="00207FE4">
        <w:rPr>
          <w:b/>
          <w:szCs w:val="20"/>
        </w:rPr>
        <w:t>(2021)</w:t>
      </w:r>
      <w:r w:rsidRPr="00207FE4">
        <w:rPr>
          <w:szCs w:val="20"/>
        </w:rPr>
        <w:t xml:space="preserve">, </w:t>
      </w:r>
      <w:r w:rsidRPr="00207FE4">
        <w:rPr>
          <w:i/>
          <w:szCs w:val="20"/>
        </w:rPr>
        <w:t>16(2)</w:t>
      </w:r>
      <w:r w:rsidRPr="00207FE4">
        <w:rPr>
          <w:szCs w:val="20"/>
        </w:rPr>
        <w:t>, pp. 201-217.</w:t>
      </w:r>
    </w:p>
    <w:p w14:paraId="70327A02" w14:textId="77777777" w:rsidR="00AF3926" w:rsidRPr="00207FE4" w:rsidRDefault="00AF3926" w:rsidP="00AF3926">
      <w:pPr>
        <w:pStyle w:val="EndNoteBibliography"/>
        <w:ind w:left="720" w:hanging="720"/>
        <w:rPr>
          <w:szCs w:val="20"/>
        </w:rPr>
      </w:pPr>
      <w:r w:rsidRPr="00207FE4">
        <w:rPr>
          <w:szCs w:val="20"/>
        </w:rPr>
        <w:t xml:space="preserve">[39] Fassin, Y., &amp; Van Rossem, A. Corporate governance in the debate on CSR and ethics: Sensemaking of social issues in management by authorities and CEOs, </w:t>
      </w:r>
      <w:r w:rsidRPr="00207FE4">
        <w:rPr>
          <w:i/>
          <w:szCs w:val="20"/>
        </w:rPr>
        <w:t>Corporate Governance: An International Review</w:t>
      </w:r>
      <w:r w:rsidRPr="00207FE4">
        <w:rPr>
          <w:szCs w:val="20"/>
        </w:rPr>
        <w:t xml:space="preserve">, </w:t>
      </w:r>
      <w:r w:rsidRPr="00207FE4">
        <w:rPr>
          <w:b/>
          <w:szCs w:val="20"/>
        </w:rPr>
        <w:t>(2009)</w:t>
      </w:r>
      <w:r w:rsidRPr="00207FE4">
        <w:rPr>
          <w:szCs w:val="20"/>
        </w:rPr>
        <w:t xml:space="preserve">, </w:t>
      </w:r>
      <w:r w:rsidRPr="00207FE4">
        <w:rPr>
          <w:i/>
          <w:szCs w:val="20"/>
        </w:rPr>
        <w:t>17(5)</w:t>
      </w:r>
      <w:r w:rsidRPr="00207FE4">
        <w:rPr>
          <w:szCs w:val="20"/>
        </w:rPr>
        <w:t>, pp. 573-593.</w:t>
      </w:r>
    </w:p>
    <w:p w14:paraId="5B7F8D52" w14:textId="77777777" w:rsidR="00AF3926" w:rsidRPr="00207FE4" w:rsidRDefault="00AF3926" w:rsidP="00AF3926">
      <w:pPr>
        <w:pStyle w:val="EndNoteBibliography"/>
        <w:ind w:left="720" w:hanging="720"/>
        <w:rPr>
          <w:szCs w:val="20"/>
        </w:rPr>
      </w:pPr>
      <w:r w:rsidRPr="00207FE4">
        <w:rPr>
          <w:szCs w:val="20"/>
        </w:rPr>
        <w:t xml:space="preserve">[40] Liu, Y., Miletkov, M. K., Wei, Z., &amp; Yang, T. Board independence and firm performance in China, </w:t>
      </w:r>
      <w:r w:rsidRPr="00207FE4">
        <w:rPr>
          <w:i/>
          <w:szCs w:val="20"/>
        </w:rPr>
        <w:t>Journal of Corporate Finance</w:t>
      </w:r>
      <w:r w:rsidRPr="00207FE4">
        <w:rPr>
          <w:szCs w:val="20"/>
        </w:rPr>
        <w:t xml:space="preserve">, </w:t>
      </w:r>
      <w:r w:rsidRPr="00207FE4">
        <w:rPr>
          <w:b/>
          <w:szCs w:val="20"/>
        </w:rPr>
        <w:t>(2015)</w:t>
      </w:r>
      <w:r w:rsidRPr="00207FE4">
        <w:rPr>
          <w:szCs w:val="20"/>
        </w:rPr>
        <w:t xml:space="preserve">, </w:t>
      </w:r>
      <w:r w:rsidRPr="00207FE4">
        <w:rPr>
          <w:i/>
          <w:szCs w:val="20"/>
        </w:rPr>
        <w:t>30</w:t>
      </w:r>
      <w:r w:rsidRPr="00207FE4">
        <w:rPr>
          <w:szCs w:val="20"/>
        </w:rPr>
        <w:t>, pp. 223–244.</w:t>
      </w:r>
    </w:p>
    <w:p w14:paraId="475D6086" w14:textId="77777777" w:rsidR="00AF3926" w:rsidRPr="00207FE4" w:rsidRDefault="00AF3926" w:rsidP="00AF3926">
      <w:pPr>
        <w:pStyle w:val="EndNoteBibliography"/>
        <w:ind w:left="720" w:hanging="720"/>
        <w:rPr>
          <w:szCs w:val="20"/>
        </w:rPr>
      </w:pPr>
      <w:r w:rsidRPr="00207FE4">
        <w:rPr>
          <w:szCs w:val="20"/>
        </w:rPr>
        <w:t xml:space="preserve">[41] Rose, P. The corporate governance industry, </w:t>
      </w:r>
      <w:r w:rsidRPr="00207FE4">
        <w:rPr>
          <w:i/>
          <w:szCs w:val="20"/>
        </w:rPr>
        <w:t>J. Corp. L.</w:t>
      </w:r>
      <w:r w:rsidRPr="00207FE4">
        <w:rPr>
          <w:szCs w:val="20"/>
        </w:rPr>
        <w:t xml:space="preserve">, </w:t>
      </w:r>
      <w:r w:rsidRPr="00207FE4">
        <w:rPr>
          <w:b/>
          <w:szCs w:val="20"/>
        </w:rPr>
        <w:t>(2006)</w:t>
      </w:r>
      <w:r w:rsidRPr="00207FE4">
        <w:rPr>
          <w:szCs w:val="20"/>
        </w:rPr>
        <w:t xml:space="preserve">, </w:t>
      </w:r>
      <w:r w:rsidRPr="00207FE4">
        <w:rPr>
          <w:i/>
          <w:szCs w:val="20"/>
        </w:rPr>
        <w:t>32</w:t>
      </w:r>
      <w:r w:rsidRPr="00207FE4">
        <w:rPr>
          <w:szCs w:val="20"/>
        </w:rPr>
        <w:t>, pp. 887.</w:t>
      </w:r>
    </w:p>
    <w:p w14:paraId="644CD76F" w14:textId="77777777" w:rsidR="00AF3926" w:rsidRPr="00207FE4" w:rsidRDefault="00AF3926" w:rsidP="00AF3926">
      <w:pPr>
        <w:pStyle w:val="EndNoteBibliography"/>
        <w:ind w:left="720" w:hanging="720"/>
        <w:rPr>
          <w:szCs w:val="20"/>
        </w:rPr>
      </w:pPr>
      <w:r w:rsidRPr="00207FE4">
        <w:rPr>
          <w:szCs w:val="20"/>
        </w:rPr>
        <w:t xml:space="preserve">[42] Core, J. E., Guay, W. R., &amp; Rusticus, T. O. Does weak governance cause weak stock returns? An examination of firm operating performance and investors' expectations, </w:t>
      </w:r>
      <w:r w:rsidRPr="00207FE4">
        <w:rPr>
          <w:i/>
          <w:szCs w:val="20"/>
        </w:rPr>
        <w:t>The Journal of Finance</w:t>
      </w:r>
      <w:r w:rsidRPr="00207FE4">
        <w:rPr>
          <w:szCs w:val="20"/>
        </w:rPr>
        <w:t xml:space="preserve">, </w:t>
      </w:r>
      <w:r w:rsidRPr="00207FE4">
        <w:rPr>
          <w:b/>
          <w:szCs w:val="20"/>
        </w:rPr>
        <w:t>(2006)</w:t>
      </w:r>
      <w:r w:rsidRPr="00207FE4">
        <w:rPr>
          <w:szCs w:val="20"/>
        </w:rPr>
        <w:t xml:space="preserve">, </w:t>
      </w:r>
      <w:r w:rsidRPr="00207FE4">
        <w:rPr>
          <w:i/>
          <w:szCs w:val="20"/>
        </w:rPr>
        <w:t>61(2)</w:t>
      </w:r>
      <w:r w:rsidRPr="00207FE4">
        <w:rPr>
          <w:szCs w:val="20"/>
        </w:rPr>
        <w:t>, pp. 655-687.</w:t>
      </w:r>
    </w:p>
    <w:p w14:paraId="72F1A698" w14:textId="77777777" w:rsidR="00AF3926" w:rsidRPr="00207FE4" w:rsidRDefault="00AF3926" w:rsidP="00AF3926">
      <w:pPr>
        <w:pStyle w:val="EndNoteBibliography"/>
        <w:ind w:left="720" w:hanging="720"/>
        <w:rPr>
          <w:szCs w:val="20"/>
        </w:rPr>
      </w:pPr>
      <w:r w:rsidRPr="00207FE4">
        <w:rPr>
          <w:szCs w:val="20"/>
        </w:rPr>
        <w:lastRenderedPageBreak/>
        <w:t xml:space="preserve">[43] Cormier, D., &amp; Magnan, M. The revisited contribution of environmental reporting to investors' valuation of a firm's earnings: An international perspective, </w:t>
      </w:r>
      <w:r w:rsidRPr="00207FE4">
        <w:rPr>
          <w:i/>
          <w:szCs w:val="20"/>
        </w:rPr>
        <w:t>Ecological Economics</w:t>
      </w:r>
      <w:r w:rsidRPr="00207FE4">
        <w:rPr>
          <w:szCs w:val="20"/>
        </w:rPr>
        <w:t xml:space="preserve">, </w:t>
      </w:r>
      <w:r w:rsidRPr="00207FE4">
        <w:rPr>
          <w:b/>
          <w:szCs w:val="20"/>
        </w:rPr>
        <w:t>(2007)</w:t>
      </w:r>
      <w:r w:rsidRPr="00207FE4">
        <w:rPr>
          <w:szCs w:val="20"/>
        </w:rPr>
        <w:t xml:space="preserve">, </w:t>
      </w:r>
      <w:r w:rsidRPr="00207FE4">
        <w:rPr>
          <w:i/>
          <w:szCs w:val="20"/>
        </w:rPr>
        <w:t>62(3)</w:t>
      </w:r>
      <w:r w:rsidRPr="00207FE4">
        <w:rPr>
          <w:szCs w:val="20"/>
        </w:rPr>
        <w:t>, pp. 613-626.</w:t>
      </w:r>
    </w:p>
    <w:p w14:paraId="3B911D4A" w14:textId="77777777" w:rsidR="00AF3926" w:rsidRPr="00207FE4" w:rsidRDefault="00AF3926" w:rsidP="00AF3926">
      <w:pPr>
        <w:pStyle w:val="EndNoteBibliography"/>
        <w:ind w:left="720" w:hanging="720"/>
        <w:rPr>
          <w:szCs w:val="20"/>
        </w:rPr>
      </w:pPr>
      <w:r w:rsidRPr="00207FE4">
        <w:rPr>
          <w:szCs w:val="20"/>
        </w:rPr>
        <w:t xml:space="preserve">[44] Ameer, R., Ramli, F., &amp; Zakaria, H. A new perspective on board composition and firm performance in an emerging market, </w:t>
      </w:r>
      <w:r w:rsidRPr="00207FE4">
        <w:rPr>
          <w:i/>
          <w:szCs w:val="20"/>
        </w:rPr>
        <w:t>Corporate Governance: The international journal of business in society</w:t>
      </w:r>
      <w:r w:rsidRPr="00207FE4">
        <w:rPr>
          <w:szCs w:val="20"/>
        </w:rPr>
        <w:t xml:space="preserve">, </w:t>
      </w:r>
      <w:r w:rsidRPr="00207FE4">
        <w:rPr>
          <w:b/>
          <w:szCs w:val="20"/>
        </w:rPr>
        <w:t>(2010)</w:t>
      </w:r>
      <w:r w:rsidRPr="00207FE4">
        <w:rPr>
          <w:szCs w:val="20"/>
        </w:rPr>
        <w:t xml:space="preserve">, </w:t>
      </w:r>
      <w:r w:rsidRPr="00207FE4">
        <w:rPr>
          <w:i/>
          <w:szCs w:val="20"/>
        </w:rPr>
        <w:t>10(5)</w:t>
      </w:r>
      <w:r w:rsidRPr="00207FE4">
        <w:rPr>
          <w:szCs w:val="20"/>
        </w:rPr>
        <w:t>, pp. 647-661.</w:t>
      </w:r>
    </w:p>
    <w:p w14:paraId="491D7454" w14:textId="77777777" w:rsidR="00AF3926" w:rsidRPr="00207FE4" w:rsidRDefault="00AF3926" w:rsidP="00AF3926">
      <w:pPr>
        <w:pStyle w:val="EndNoteBibliography"/>
        <w:ind w:left="720" w:hanging="720"/>
        <w:rPr>
          <w:szCs w:val="20"/>
        </w:rPr>
      </w:pPr>
      <w:r w:rsidRPr="00207FE4">
        <w:rPr>
          <w:szCs w:val="20"/>
        </w:rPr>
        <w:t xml:space="preserve">[45] Hillman, A. J., Withers, M. C., &amp; Collins, B. J. Resource dependence theory: A review, </w:t>
      </w:r>
      <w:r w:rsidRPr="00207FE4">
        <w:rPr>
          <w:i/>
          <w:szCs w:val="20"/>
        </w:rPr>
        <w:t>Journal of Management</w:t>
      </w:r>
      <w:r w:rsidRPr="00207FE4">
        <w:rPr>
          <w:szCs w:val="20"/>
        </w:rPr>
        <w:t xml:space="preserve">, </w:t>
      </w:r>
      <w:r w:rsidRPr="00207FE4">
        <w:rPr>
          <w:b/>
          <w:szCs w:val="20"/>
        </w:rPr>
        <w:t>(2009)</w:t>
      </w:r>
      <w:r w:rsidRPr="00207FE4">
        <w:rPr>
          <w:szCs w:val="20"/>
        </w:rPr>
        <w:t xml:space="preserve">, </w:t>
      </w:r>
      <w:r w:rsidRPr="00207FE4">
        <w:rPr>
          <w:i/>
          <w:szCs w:val="20"/>
        </w:rPr>
        <w:t>35(6)</w:t>
      </w:r>
      <w:r w:rsidRPr="00207FE4">
        <w:rPr>
          <w:szCs w:val="20"/>
        </w:rPr>
        <w:t>, pp. 1404-1427.</w:t>
      </w:r>
    </w:p>
    <w:p w14:paraId="0A048932" w14:textId="77777777" w:rsidR="00AF3926" w:rsidRPr="00207FE4" w:rsidRDefault="00AF3926" w:rsidP="00AF3926">
      <w:pPr>
        <w:pStyle w:val="EndNoteBibliography"/>
        <w:ind w:left="720" w:hanging="720"/>
        <w:rPr>
          <w:szCs w:val="20"/>
        </w:rPr>
      </w:pPr>
      <w:r w:rsidRPr="00207FE4">
        <w:rPr>
          <w:szCs w:val="20"/>
        </w:rPr>
        <w:t xml:space="preserve">[46] Treepongkaruna, S., Kyaw, K., &amp; Jiraporn, P. ESG controversies and corporate governance: Evidence from board size, </w:t>
      </w:r>
      <w:r w:rsidRPr="00207FE4">
        <w:rPr>
          <w:i/>
          <w:szCs w:val="20"/>
        </w:rPr>
        <w:t>Business Strategy and the Environment</w:t>
      </w:r>
      <w:r w:rsidRPr="00207FE4">
        <w:rPr>
          <w:szCs w:val="20"/>
        </w:rPr>
        <w:t xml:space="preserve">, </w:t>
      </w:r>
      <w:r w:rsidRPr="00207FE4">
        <w:rPr>
          <w:b/>
          <w:szCs w:val="20"/>
        </w:rPr>
        <w:t>(2024)</w:t>
      </w:r>
      <w:r w:rsidRPr="00207FE4">
        <w:rPr>
          <w:szCs w:val="20"/>
        </w:rPr>
        <w:t xml:space="preserve">, </w:t>
      </w:r>
      <w:r w:rsidRPr="00207FE4">
        <w:rPr>
          <w:i/>
          <w:szCs w:val="20"/>
        </w:rPr>
        <w:t>33(5)</w:t>
      </w:r>
      <w:r w:rsidRPr="00207FE4">
        <w:rPr>
          <w:szCs w:val="20"/>
        </w:rPr>
        <w:t>, pp. 4218-4232.</w:t>
      </w:r>
    </w:p>
    <w:p w14:paraId="6B0FEBFF" w14:textId="77777777" w:rsidR="00AF3926" w:rsidRPr="00207FE4" w:rsidRDefault="00AF3926" w:rsidP="00AF3926">
      <w:pPr>
        <w:pStyle w:val="EndNoteBibliography"/>
        <w:ind w:left="720" w:hanging="720"/>
        <w:rPr>
          <w:szCs w:val="20"/>
        </w:rPr>
      </w:pPr>
      <w:r w:rsidRPr="00207FE4">
        <w:rPr>
          <w:szCs w:val="20"/>
        </w:rPr>
        <w:t xml:space="preserve">[47] Beji, R., Yousfi, O., Loukil, N., &amp; Omri, A. Board diversity and corporate social responsibility: Empirical evidence from France, </w:t>
      </w:r>
      <w:r w:rsidRPr="00207FE4">
        <w:rPr>
          <w:i/>
          <w:szCs w:val="20"/>
        </w:rPr>
        <w:t>Journal of Business Ethics</w:t>
      </w:r>
      <w:r w:rsidRPr="00207FE4">
        <w:rPr>
          <w:szCs w:val="20"/>
        </w:rPr>
        <w:t xml:space="preserve">, </w:t>
      </w:r>
      <w:r w:rsidRPr="00207FE4">
        <w:rPr>
          <w:b/>
          <w:szCs w:val="20"/>
        </w:rPr>
        <w:t>(2021)</w:t>
      </w:r>
      <w:r w:rsidRPr="00207FE4">
        <w:rPr>
          <w:szCs w:val="20"/>
        </w:rPr>
        <w:t xml:space="preserve">, </w:t>
      </w:r>
      <w:r w:rsidRPr="00207FE4">
        <w:rPr>
          <w:i/>
          <w:szCs w:val="20"/>
        </w:rPr>
        <w:t>173</w:t>
      </w:r>
      <w:r w:rsidRPr="00207FE4">
        <w:rPr>
          <w:szCs w:val="20"/>
        </w:rPr>
        <w:t>, pp. 133-155.</w:t>
      </w:r>
    </w:p>
    <w:p w14:paraId="5CDD959D" w14:textId="77777777" w:rsidR="00AF3926" w:rsidRPr="00207FE4" w:rsidRDefault="00AF3926" w:rsidP="00AF3926">
      <w:pPr>
        <w:pStyle w:val="EndNoteBibliography"/>
        <w:ind w:left="720" w:hanging="720"/>
        <w:rPr>
          <w:szCs w:val="20"/>
        </w:rPr>
      </w:pPr>
      <w:r w:rsidRPr="00207FE4">
        <w:rPr>
          <w:szCs w:val="20"/>
        </w:rPr>
        <w:t xml:space="preserve">[48] De Villiers, C., Naiker, V., &amp; Van Staden, C. J. The effect of board characteristics on firm environmental performance, </w:t>
      </w:r>
      <w:r w:rsidRPr="00207FE4">
        <w:rPr>
          <w:i/>
          <w:szCs w:val="20"/>
        </w:rPr>
        <w:t>Journal of Management</w:t>
      </w:r>
      <w:r w:rsidRPr="00207FE4">
        <w:rPr>
          <w:szCs w:val="20"/>
        </w:rPr>
        <w:t xml:space="preserve">, </w:t>
      </w:r>
      <w:r w:rsidRPr="00207FE4">
        <w:rPr>
          <w:b/>
          <w:szCs w:val="20"/>
        </w:rPr>
        <w:t>(2011)</w:t>
      </w:r>
      <w:r w:rsidRPr="00207FE4">
        <w:rPr>
          <w:szCs w:val="20"/>
        </w:rPr>
        <w:t xml:space="preserve">, </w:t>
      </w:r>
      <w:r w:rsidRPr="00207FE4">
        <w:rPr>
          <w:i/>
          <w:szCs w:val="20"/>
        </w:rPr>
        <w:t>37(6)</w:t>
      </w:r>
      <w:r w:rsidRPr="00207FE4">
        <w:rPr>
          <w:szCs w:val="20"/>
        </w:rPr>
        <w:t>, pp. 1636-1663.</w:t>
      </w:r>
    </w:p>
    <w:p w14:paraId="3BC18B2A" w14:textId="77777777" w:rsidR="00AF3926" w:rsidRPr="00207FE4" w:rsidRDefault="00AF3926" w:rsidP="00AF3926">
      <w:pPr>
        <w:pStyle w:val="EndNoteBibliography"/>
        <w:ind w:left="720" w:hanging="720"/>
        <w:rPr>
          <w:szCs w:val="20"/>
        </w:rPr>
      </w:pPr>
      <w:r w:rsidRPr="00207FE4">
        <w:rPr>
          <w:szCs w:val="20"/>
        </w:rPr>
        <w:t xml:space="preserve">[49] Endrikat, J., De Villiers, C., Guenther, T. W., &amp; Guenther, E. M. Board characteristics and corporate social responsibility: A meta-analytic investigation, </w:t>
      </w:r>
      <w:r w:rsidRPr="00207FE4">
        <w:rPr>
          <w:i/>
          <w:szCs w:val="20"/>
        </w:rPr>
        <w:t>Business &amp; Society</w:t>
      </w:r>
      <w:r w:rsidRPr="00207FE4">
        <w:rPr>
          <w:szCs w:val="20"/>
        </w:rPr>
        <w:t xml:space="preserve">, </w:t>
      </w:r>
      <w:r w:rsidRPr="00207FE4">
        <w:rPr>
          <w:b/>
          <w:szCs w:val="20"/>
        </w:rPr>
        <w:t>(2021)</w:t>
      </w:r>
      <w:r w:rsidRPr="00207FE4">
        <w:rPr>
          <w:szCs w:val="20"/>
        </w:rPr>
        <w:t xml:space="preserve">, </w:t>
      </w:r>
      <w:r w:rsidRPr="00207FE4">
        <w:rPr>
          <w:i/>
          <w:szCs w:val="20"/>
        </w:rPr>
        <w:t>60(8)</w:t>
      </w:r>
      <w:r w:rsidRPr="00207FE4">
        <w:rPr>
          <w:szCs w:val="20"/>
        </w:rPr>
        <w:t>, pp. 2099-2135.</w:t>
      </w:r>
    </w:p>
    <w:p w14:paraId="0B04B004" w14:textId="77777777" w:rsidR="00AF3926" w:rsidRPr="00207FE4" w:rsidRDefault="00AF3926" w:rsidP="00AF3926">
      <w:pPr>
        <w:pStyle w:val="EndNoteBibliography"/>
        <w:ind w:left="720" w:hanging="720"/>
        <w:rPr>
          <w:szCs w:val="20"/>
        </w:rPr>
      </w:pPr>
      <w:r w:rsidRPr="00207FE4">
        <w:rPr>
          <w:szCs w:val="20"/>
        </w:rPr>
        <w:t xml:space="preserve">[50] Hillman, A., &amp; Keim, G. D. Shareholder value, stakeholder management, and social issues: what's the bottom line?, </w:t>
      </w:r>
      <w:r w:rsidRPr="00207FE4">
        <w:rPr>
          <w:i/>
          <w:szCs w:val="20"/>
        </w:rPr>
        <w:t>Strategic Management Journal</w:t>
      </w:r>
      <w:r w:rsidRPr="00207FE4">
        <w:rPr>
          <w:szCs w:val="20"/>
        </w:rPr>
        <w:t xml:space="preserve">, </w:t>
      </w:r>
      <w:r w:rsidRPr="00207FE4">
        <w:rPr>
          <w:b/>
          <w:szCs w:val="20"/>
        </w:rPr>
        <w:t>(2001)</w:t>
      </w:r>
      <w:r w:rsidRPr="00207FE4">
        <w:rPr>
          <w:szCs w:val="20"/>
        </w:rPr>
        <w:t xml:space="preserve">, </w:t>
      </w:r>
      <w:r w:rsidRPr="00207FE4">
        <w:rPr>
          <w:i/>
          <w:szCs w:val="20"/>
        </w:rPr>
        <w:t>22</w:t>
      </w:r>
      <w:r w:rsidRPr="00207FE4">
        <w:rPr>
          <w:szCs w:val="20"/>
        </w:rPr>
        <w:t>, pp. 125-139.</w:t>
      </w:r>
    </w:p>
    <w:p w14:paraId="4DE13031" w14:textId="77777777" w:rsidR="00AF3926" w:rsidRPr="00207FE4" w:rsidRDefault="00AF3926" w:rsidP="00AF3926">
      <w:pPr>
        <w:pStyle w:val="EndNoteBibliography"/>
        <w:ind w:left="720" w:hanging="720"/>
        <w:rPr>
          <w:szCs w:val="20"/>
        </w:rPr>
      </w:pPr>
      <w:r w:rsidRPr="00207FE4">
        <w:rPr>
          <w:szCs w:val="20"/>
        </w:rPr>
        <w:t xml:space="preserve">[51] Loh, L., Thomas, T., &amp; Wang, Y. Sustainability Reporting and Firm Value: Evidence from Singapore-Listed Companies, </w:t>
      </w:r>
      <w:r w:rsidRPr="00207FE4">
        <w:rPr>
          <w:i/>
          <w:szCs w:val="20"/>
        </w:rPr>
        <w:t>Sustainability</w:t>
      </w:r>
      <w:r w:rsidRPr="00207FE4">
        <w:rPr>
          <w:szCs w:val="20"/>
        </w:rPr>
        <w:t xml:space="preserve">, </w:t>
      </w:r>
      <w:r w:rsidRPr="00207FE4">
        <w:rPr>
          <w:b/>
          <w:szCs w:val="20"/>
        </w:rPr>
        <w:t>(2017)</w:t>
      </w:r>
      <w:r w:rsidRPr="00207FE4">
        <w:rPr>
          <w:szCs w:val="20"/>
        </w:rPr>
        <w:t xml:space="preserve">, </w:t>
      </w:r>
      <w:r w:rsidRPr="00207FE4">
        <w:rPr>
          <w:i/>
          <w:szCs w:val="20"/>
        </w:rPr>
        <w:t>9(11)</w:t>
      </w:r>
      <w:r w:rsidRPr="00207FE4">
        <w:rPr>
          <w:szCs w:val="20"/>
        </w:rPr>
        <w:t>, pp. 2112.</w:t>
      </w:r>
    </w:p>
    <w:p w14:paraId="53029E1E" w14:textId="77777777" w:rsidR="00AF3926" w:rsidRPr="00207FE4" w:rsidRDefault="00AF3926" w:rsidP="00AF3926">
      <w:pPr>
        <w:pStyle w:val="EndNoteBibliography"/>
        <w:ind w:left="720" w:hanging="720"/>
        <w:rPr>
          <w:szCs w:val="20"/>
        </w:rPr>
      </w:pPr>
      <w:r w:rsidRPr="00207FE4">
        <w:rPr>
          <w:szCs w:val="20"/>
        </w:rPr>
        <w:t xml:space="preserve">[52] Maji, S. G., &amp; Lohia, P. Environmental, social and governance (ESG) performance and firm performance in India, </w:t>
      </w:r>
      <w:r w:rsidRPr="00207FE4">
        <w:rPr>
          <w:i/>
          <w:szCs w:val="20"/>
        </w:rPr>
        <w:t>Society and Business Review</w:t>
      </w:r>
      <w:r w:rsidRPr="00207FE4">
        <w:rPr>
          <w:szCs w:val="20"/>
        </w:rPr>
        <w:t xml:space="preserve">, </w:t>
      </w:r>
      <w:r w:rsidRPr="00207FE4">
        <w:rPr>
          <w:b/>
          <w:szCs w:val="20"/>
        </w:rPr>
        <w:t>(2023)</w:t>
      </w:r>
      <w:r w:rsidRPr="00207FE4">
        <w:rPr>
          <w:szCs w:val="20"/>
        </w:rPr>
        <w:t xml:space="preserve">, </w:t>
      </w:r>
      <w:r w:rsidRPr="00207FE4">
        <w:rPr>
          <w:i/>
          <w:szCs w:val="20"/>
        </w:rPr>
        <w:t>18(1)</w:t>
      </w:r>
      <w:r w:rsidRPr="00207FE4">
        <w:rPr>
          <w:szCs w:val="20"/>
        </w:rPr>
        <w:t>, pp. 175-194.</w:t>
      </w:r>
    </w:p>
    <w:p w14:paraId="5D0F3B4D" w14:textId="2678C855" w:rsidR="00AF3926" w:rsidRPr="00207FE4" w:rsidRDefault="00AF3926" w:rsidP="00AF3926">
      <w:pPr>
        <w:pStyle w:val="EndNoteBibliography"/>
        <w:ind w:left="720" w:hanging="720"/>
        <w:rPr>
          <w:szCs w:val="20"/>
        </w:rPr>
      </w:pPr>
      <w:r w:rsidRPr="00207FE4">
        <w:rPr>
          <w:szCs w:val="20"/>
        </w:rPr>
        <w:t xml:space="preserve">[53] Nguyen Thi Ngoc Bich, Tran Thi Thanh Hai, Le Hoang Oanh, Nguyen Thi Phuoc, et al. Association between Corporate Social Responsibility Disclosures and Firm Value – Empirical Evidence from Vietnam, </w:t>
      </w:r>
      <w:r w:rsidRPr="00207FE4">
        <w:rPr>
          <w:i/>
          <w:szCs w:val="20"/>
        </w:rPr>
        <w:t>International Journal of Accounting and Financial Reporting</w:t>
      </w:r>
      <w:r w:rsidRPr="00207FE4">
        <w:rPr>
          <w:szCs w:val="20"/>
        </w:rPr>
        <w:t xml:space="preserve">, </w:t>
      </w:r>
      <w:r w:rsidRPr="00207FE4">
        <w:rPr>
          <w:b/>
          <w:szCs w:val="20"/>
        </w:rPr>
        <w:t>(2015)</w:t>
      </w:r>
      <w:r w:rsidRPr="00207FE4">
        <w:rPr>
          <w:szCs w:val="20"/>
        </w:rPr>
        <w:t xml:space="preserve">, </w:t>
      </w:r>
      <w:r w:rsidRPr="00207FE4">
        <w:rPr>
          <w:i/>
          <w:szCs w:val="20"/>
        </w:rPr>
        <w:t>5(1)</w:t>
      </w:r>
      <w:r w:rsidRPr="00207FE4">
        <w:rPr>
          <w:szCs w:val="20"/>
        </w:rPr>
        <w:t>, pp. 212-228.</w:t>
      </w:r>
    </w:p>
    <w:p w14:paraId="339CE37B" w14:textId="3B7AC881" w:rsidR="00096EAD" w:rsidRDefault="00096EAD" w:rsidP="00207FE4">
      <w:pPr>
        <w:pStyle w:val="EndNoteBibliography"/>
      </w:pPr>
    </w:p>
    <w:p w14:paraId="11EB2170" w14:textId="77777777" w:rsidR="00494CA8" w:rsidRPr="00096EAD" w:rsidRDefault="00494CA8" w:rsidP="0043477F">
      <w:pPr>
        <w:pStyle w:val="EndNoteBibliography"/>
        <w:ind w:left="720" w:hanging="720"/>
        <w:rPr>
          <w:szCs w:val="20"/>
        </w:rPr>
        <w:sectPr w:rsidR="00494CA8" w:rsidRPr="00096EAD" w:rsidSect="00046D27">
          <w:headerReference w:type="default" r:id="rId16"/>
          <w:footerReference w:type="default" r:id="rId17"/>
          <w:type w:val="continuous"/>
          <w:pgSz w:w="11907" w:h="16840" w:code="9"/>
          <w:pgMar w:top="1134" w:right="1134" w:bottom="1134" w:left="1418" w:header="720" w:footer="556" w:gutter="0"/>
          <w:cols w:num="2" w:space="567"/>
          <w:docGrid w:linePitch="360"/>
        </w:sectPr>
      </w:pPr>
    </w:p>
    <w:p w14:paraId="0C4F27E9" w14:textId="77777777" w:rsidR="0042055A" w:rsidRDefault="0042055A" w:rsidP="00235C35">
      <w:pPr>
        <w:tabs>
          <w:tab w:val="left" w:pos="360"/>
          <w:tab w:val="right" w:leader="hyphen" w:pos="9072"/>
        </w:tabs>
        <w:spacing w:before="120" w:after="120"/>
        <w:jc w:val="both"/>
        <w:rPr>
          <w:sz w:val="22"/>
          <w:szCs w:val="22"/>
          <w:lang w:val="de-DE"/>
        </w:rPr>
      </w:pPr>
    </w:p>
    <w:p w14:paraId="53BAC18D" w14:textId="51C0D05E" w:rsidR="00811626" w:rsidRPr="00204068" w:rsidRDefault="00811626" w:rsidP="00811626">
      <w:pPr>
        <w:tabs>
          <w:tab w:val="left" w:pos="360"/>
          <w:tab w:val="right" w:leader="hyphen" w:pos="9072"/>
        </w:tabs>
        <w:spacing w:before="120" w:after="120"/>
        <w:jc w:val="both"/>
        <w:rPr>
          <w:b/>
          <w:sz w:val="22"/>
          <w:szCs w:val="22"/>
          <w:lang w:val="de-DE"/>
        </w:rPr>
      </w:pPr>
      <w:r w:rsidRPr="00204068">
        <w:rPr>
          <w:i/>
          <w:sz w:val="22"/>
          <w:szCs w:val="22"/>
          <w:lang w:val="de-DE"/>
        </w:rPr>
        <w:t xml:space="preserve">Contact </w:t>
      </w:r>
      <w:r w:rsidRPr="00204068">
        <w:rPr>
          <w:sz w:val="22"/>
          <w:szCs w:val="22"/>
          <w:lang w:val="de-DE"/>
        </w:rPr>
        <w:t xml:space="preserve">: </w:t>
      </w:r>
      <w:r w:rsidR="007E1E9A">
        <w:rPr>
          <w:b/>
          <w:sz w:val="22"/>
          <w:szCs w:val="22"/>
          <w:lang w:val="de-DE"/>
        </w:rPr>
        <w:t>Dr</w:t>
      </w:r>
      <w:r w:rsidRPr="00811626">
        <w:rPr>
          <w:b/>
          <w:sz w:val="22"/>
          <w:szCs w:val="22"/>
          <w:lang w:val="de-DE"/>
        </w:rPr>
        <w:t>.</w:t>
      </w:r>
      <w:r>
        <w:rPr>
          <w:sz w:val="22"/>
          <w:szCs w:val="22"/>
          <w:lang w:val="de-DE"/>
        </w:rPr>
        <w:t xml:space="preserve"> </w:t>
      </w:r>
      <w:r>
        <w:rPr>
          <w:b/>
          <w:sz w:val="22"/>
          <w:szCs w:val="22"/>
          <w:lang w:val="de-DE"/>
        </w:rPr>
        <w:t>Le Xuan Quynh</w:t>
      </w:r>
    </w:p>
    <w:p w14:paraId="3EA028FF" w14:textId="77777777" w:rsidR="00811626" w:rsidRPr="00204068" w:rsidRDefault="00811626" w:rsidP="00811626">
      <w:pPr>
        <w:tabs>
          <w:tab w:val="left" w:pos="360"/>
          <w:tab w:val="right" w:leader="hyphen" w:pos="9072"/>
        </w:tabs>
        <w:spacing w:before="120" w:after="120"/>
        <w:ind w:firstLine="798"/>
        <w:jc w:val="both"/>
        <w:rPr>
          <w:sz w:val="22"/>
          <w:szCs w:val="22"/>
          <w:lang w:val="de-DE"/>
        </w:rPr>
      </w:pPr>
      <w:r w:rsidRPr="00204068">
        <w:rPr>
          <w:sz w:val="22"/>
          <w:szCs w:val="22"/>
          <w:lang w:val="de-DE"/>
        </w:rPr>
        <w:t>Quy Nhon University</w:t>
      </w:r>
    </w:p>
    <w:p w14:paraId="21519242" w14:textId="77777777" w:rsidR="00811626" w:rsidRPr="00204068" w:rsidRDefault="00811626" w:rsidP="00811626">
      <w:pPr>
        <w:tabs>
          <w:tab w:val="left" w:pos="360"/>
          <w:tab w:val="right" w:leader="hyphen" w:pos="9072"/>
        </w:tabs>
        <w:spacing w:before="120" w:after="120"/>
        <w:ind w:firstLine="798"/>
        <w:jc w:val="both"/>
        <w:rPr>
          <w:sz w:val="22"/>
          <w:szCs w:val="22"/>
          <w:lang w:val="de-DE"/>
        </w:rPr>
      </w:pPr>
      <w:r w:rsidRPr="00204068">
        <w:rPr>
          <w:sz w:val="22"/>
          <w:szCs w:val="22"/>
          <w:lang w:val="de-DE"/>
        </w:rPr>
        <w:t>170 An Duong Vuong, Quy Nhon City, Binh Dinh Province, Vietnam</w:t>
      </w:r>
    </w:p>
    <w:p w14:paraId="53048A67" w14:textId="77777777" w:rsidR="007E1E9A" w:rsidRDefault="00811626" w:rsidP="007E1E9A">
      <w:pPr>
        <w:tabs>
          <w:tab w:val="left" w:pos="360"/>
          <w:tab w:val="right" w:leader="hyphen" w:pos="9072"/>
        </w:tabs>
        <w:spacing w:before="120" w:after="120"/>
        <w:ind w:firstLine="798"/>
        <w:jc w:val="both"/>
        <w:rPr>
          <w:sz w:val="22"/>
          <w:szCs w:val="22"/>
        </w:rPr>
      </w:pPr>
      <w:r>
        <w:rPr>
          <w:sz w:val="22"/>
          <w:szCs w:val="22"/>
        </w:rPr>
        <w:lastRenderedPageBreak/>
        <w:t xml:space="preserve">Email: </w:t>
      </w:r>
      <w:hyperlink r:id="rId18" w:history="1">
        <w:r w:rsidRPr="005874AA">
          <w:rPr>
            <w:rStyle w:val="Hyperlink"/>
            <w:sz w:val="22"/>
            <w:szCs w:val="22"/>
          </w:rPr>
          <w:t>lexuanquynh@qnu.edu.vn</w:t>
        </w:r>
      </w:hyperlink>
    </w:p>
    <w:p w14:paraId="20A901BD" w14:textId="43EE4555" w:rsidR="00811626" w:rsidRPr="00096EAD" w:rsidRDefault="00811626" w:rsidP="00207FE4">
      <w:pPr>
        <w:tabs>
          <w:tab w:val="left" w:pos="360"/>
          <w:tab w:val="right" w:leader="hyphen" w:pos="9072"/>
        </w:tabs>
        <w:spacing w:before="120" w:after="120"/>
        <w:ind w:firstLine="798"/>
        <w:jc w:val="both"/>
        <w:rPr>
          <w:sz w:val="22"/>
          <w:szCs w:val="22"/>
        </w:rPr>
      </w:pPr>
      <w:r>
        <w:rPr>
          <w:sz w:val="22"/>
          <w:szCs w:val="22"/>
        </w:rPr>
        <w:t>Phone: 093.370.0011</w:t>
      </w:r>
    </w:p>
    <w:sectPr w:rsidR="00811626" w:rsidRPr="00096EAD" w:rsidSect="003A0949">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54D0E" w14:textId="77777777" w:rsidR="00C514F7" w:rsidRDefault="00C514F7" w:rsidP="00D8166A">
      <w:r>
        <w:separator/>
      </w:r>
    </w:p>
  </w:endnote>
  <w:endnote w:type="continuationSeparator" w:id="0">
    <w:p w14:paraId="521829D9" w14:textId="77777777" w:rsidR="00C514F7" w:rsidRDefault="00C514F7"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DAAF1" w14:textId="77777777" w:rsidR="002C0B6F" w:rsidRDefault="002C0B6F">
    <w:pPr>
      <w:pStyle w:val="Footer"/>
      <w:jc w:val="right"/>
    </w:pPr>
    <w:r>
      <w:fldChar w:fldCharType="begin"/>
    </w:r>
    <w:r>
      <w:instrText xml:space="preserve"> PAGE   \* MERGEFORMAT </w:instrText>
    </w:r>
    <w:r>
      <w:fldChar w:fldCharType="separate"/>
    </w:r>
    <w:r>
      <w:rPr>
        <w:noProof/>
      </w:rPr>
      <w:t>1</w:t>
    </w:r>
    <w:r>
      <w:rPr>
        <w:noProof/>
      </w:rPr>
      <w:fldChar w:fldCharType="end"/>
    </w:r>
  </w:p>
  <w:p w14:paraId="5AD3DDA7" w14:textId="77777777" w:rsidR="002C0B6F" w:rsidRPr="00DE7703" w:rsidRDefault="002C0B6F" w:rsidP="00AF3EE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560E" w14:textId="0E8FD392" w:rsidR="002C0B6F" w:rsidRDefault="002C0B6F">
    <w:pPr>
      <w:pStyle w:val="Footer"/>
      <w:jc w:val="right"/>
    </w:pPr>
    <w:r>
      <w:fldChar w:fldCharType="begin"/>
    </w:r>
    <w:r>
      <w:instrText xml:space="preserve"> PAGE   \* MERGEFORMAT </w:instrText>
    </w:r>
    <w:r>
      <w:fldChar w:fldCharType="separate"/>
    </w:r>
    <w:r w:rsidR="00157C54">
      <w:rPr>
        <w:noProof/>
      </w:rPr>
      <w:t>2</w:t>
    </w:r>
    <w:r>
      <w:rPr>
        <w:noProof/>
      </w:rPr>
      <w:fldChar w:fldCharType="end"/>
    </w:r>
  </w:p>
  <w:p w14:paraId="000B4DC7" w14:textId="77777777" w:rsidR="002C0B6F" w:rsidRPr="00DE7703" w:rsidRDefault="002C0B6F" w:rsidP="00AF3EE8">
    <w:pPr>
      <w:pStyle w:val="Footer"/>
      <w:jc w:val="right"/>
    </w:pPr>
  </w:p>
  <w:p w14:paraId="1DDDD6AF" w14:textId="77777777" w:rsidR="002C0B6F" w:rsidRDefault="002C0B6F"/>
  <w:p w14:paraId="32842221" w14:textId="77777777" w:rsidR="002C0B6F" w:rsidRDefault="002C0B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5A8B6" w14:textId="77777777" w:rsidR="002C0B6F" w:rsidRDefault="002C0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79EE9" w14:textId="77777777" w:rsidR="00C514F7" w:rsidRDefault="00C514F7" w:rsidP="00D8166A">
      <w:r>
        <w:separator/>
      </w:r>
    </w:p>
  </w:footnote>
  <w:footnote w:type="continuationSeparator" w:id="0">
    <w:p w14:paraId="3324D20C" w14:textId="77777777" w:rsidR="00C514F7" w:rsidRDefault="00C514F7" w:rsidP="00D8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FC2A" w14:textId="77777777" w:rsidR="002C0B6F" w:rsidRPr="00897BD5" w:rsidRDefault="002C0B6F" w:rsidP="00897BD5">
    <w:pPr>
      <w:pStyle w:val="Header"/>
      <w:tabs>
        <w:tab w:val="clear" w:pos="9026"/>
      </w:tabs>
      <w:jc w:val="right"/>
      <w:rPr>
        <w:b/>
        <w:i/>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7E426" w14:textId="77777777" w:rsidR="002C0B6F" w:rsidRPr="00897BD5" w:rsidRDefault="002C0B6F" w:rsidP="00897BD5">
    <w:pPr>
      <w:pStyle w:val="Header"/>
      <w:tabs>
        <w:tab w:val="clear" w:pos="9026"/>
      </w:tabs>
      <w:jc w:val="right"/>
      <w:rPr>
        <w:b/>
        <w:i/>
        <w:sz w:val="22"/>
      </w:rPr>
    </w:pPr>
  </w:p>
  <w:p w14:paraId="01D837C1" w14:textId="77777777" w:rsidR="002C0B6F" w:rsidRDefault="002C0B6F"/>
  <w:p w14:paraId="38798FF8" w14:textId="77777777" w:rsidR="002C0B6F" w:rsidRDefault="002C0B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52FDD" w14:textId="77777777" w:rsidR="002C0B6F" w:rsidRPr="00897BD5" w:rsidRDefault="002C0B6F" w:rsidP="00897BD5">
    <w:pPr>
      <w:pStyle w:val="Header"/>
      <w:tabs>
        <w:tab w:val="clear" w:pos="9026"/>
      </w:tabs>
      <w:jc w:val="right"/>
      <w:rPr>
        <w:b/>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14"/>
  </w:num>
  <w:num w:numId="5">
    <w:abstractNumId w:val="11"/>
  </w:num>
  <w:num w:numId="6">
    <w:abstractNumId w:val="6"/>
  </w:num>
  <w:num w:numId="7">
    <w:abstractNumId w:val="4"/>
  </w:num>
  <w:num w:numId="8">
    <w:abstractNumId w:val="17"/>
  </w:num>
  <w:num w:numId="9">
    <w:abstractNumId w:val="8"/>
  </w:num>
  <w:num w:numId="10">
    <w:abstractNumId w:val="13"/>
  </w:num>
  <w:num w:numId="11">
    <w:abstractNumId w:val="1"/>
  </w:num>
  <w:num w:numId="12">
    <w:abstractNumId w:val="5"/>
  </w:num>
  <w:num w:numId="13">
    <w:abstractNumId w:val="16"/>
  </w:num>
  <w:num w:numId="14">
    <w:abstractNumId w:val="10"/>
  </w:num>
  <w:num w:numId="15">
    <w:abstractNumId w:val="2"/>
  </w:num>
  <w:num w:numId="16">
    <w:abstractNumId w:val="15"/>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CKH2019 - QNU journal En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swfvzza29a52ye9xwqpfwwx55tazv55ppxs&quot;&gt;THESISn26-1-2021-Saved-Saved-Saved-Saved&lt;record-ids&gt;&lt;item&gt;3&lt;/item&gt;&lt;item&gt;48&lt;/item&gt;&lt;item&gt;177&lt;/item&gt;&lt;item&gt;203&lt;/item&gt;&lt;item&gt;323&lt;/item&gt;&lt;item&gt;327&lt;/item&gt;&lt;item&gt;374&lt;/item&gt;&lt;item&gt;375&lt;/item&gt;&lt;item&gt;376&lt;/item&gt;&lt;item&gt;1264&lt;/item&gt;&lt;item&gt;1303&lt;/item&gt;&lt;item&gt;1309&lt;/item&gt;&lt;item&gt;1310&lt;/item&gt;&lt;item&gt;1311&lt;/item&gt;&lt;item&gt;1312&lt;/item&gt;&lt;item&gt;1317&lt;/item&gt;&lt;item&gt;1318&lt;/item&gt;&lt;item&gt;1319&lt;/item&gt;&lt;item&gt;1320&lt;/item&gt;&lt;item&gt;1321&lt;/item&gt;&lt;item&gt;1322&lt;/item&gt;&lt;item&gt;1323&lt;/item&gt;&lt;item&gt;1324&lt;/item&gt;&lt;item&gt;1325&lt;/item&gt;&lt;item&gt;1326&lt;/item&gt;&lt;item&gt;1328&lt;/item&gt;&lt;item&gt;1329&lt;/item&gt;&lt;item&gt;1332&lt;/item&gt;&lt;item&gt;1333&lt;/item&gt;&lt;item&gt;1334&lt;/item&gt;&lt;item&gt;1336&lt;/item&gt;&lt;item&gt;1337&lt;/item&gt;&lt;item&gt;1346&lt;/item&gt;&lt;item&gt;1350&lt;/item&gt;&lt;item&gt;1351&lt;/item&gt;&lt;item&gt;1352&lt;/item&gt;&lt;item&gt;1358&lt;/item&gt;&lt;item&gt;1363&lt;/item&gt;&lt;item&gt;1364&lt;/item&gt;&lt;item&gt;1404&lt;/item&gt;&lt;item&gt;1413&lt;/item&gt;&lt;item&gt;1426&lt;/item&gt;&lt;item&gt;1446&lt;/item&gt;&lt;item&gt;1477&lt;/item&gt;&lt;item&gt;1478&lt;/item&gt;&lt;item&gt;1479&lt;/item&gt;&lt;item&gt;1480&lt;/item&gt;&lt;item&gt;1492&lt;/item&gt;&lt;item&gt;1493&lt;/item&gt;&lt;item&gt;1494&lt;/item&gt;&lt;item&gt;1495&lt;/item&gt;&lt;item&gt;1496&lt;/item&gt;&lt;item&gt;1619&lt;/item&gt;&lt;item&gt;1620&lt;/item&gt;&lt;/record-ids&gt;&lt;/item&gt;&lt;/Libraries&gt;"/>
  </w:docVars>
  <w:rsids>
    <w:rsidRoot w:val="005866CF"/>
    <w:rsid w:val="00003B48"/>
    <w:rsid w:val="0000734B"/>
    <w:rsid w:val="000117FF"/>
    <w:rsid w:val="00013BF3"/>
    <w:rsid w:val="000147F6"/>
    <w:rsid w:val="00014C2D"/>
    <w:rsid w:val="00015A32"/>
    <w:rsid w:val="00015DDD"/>
    <w:rsid w:val="00022F33"/>
    <w:rsid w:val="00023451"/>
    <w:rsid w:val="0002484B"/>
    <w:rsid w:val="0003100E"/>
    <w:rsid w:val="00033672"/>
    <w:rsid w:val="00034BDD"/>
    <w:rsid w:val="0003706F"/>
    <w:rsid w:val="00040BAB"/>
    <w:rsid w:val="0004194A"/>
    <w:rsid w:val="00041995"/>
    <w:rsid w:val="00041F6F"/>
    <w:rsid w:val="00043F4B"/>
    <w:rsid w:val="00046224"/>
    <w:rsid w:val="00046D27"/>
    <w:rsid w:val="00051094"/>
    <w:rsid w:val="000510CA"/>
    <w:rsid w:val="00052472"/>
    <w:rsid w:val="0005535D"/>
    <w:rsid w:val="000635B8"/>
    <w:rsid w:val="00071B23"/>
    <w:rsid w:val="00073A8F"/>
    <w:rsid w:val="00074757"/>
    <w:rsid w:val="00077716"/>
    <w:rsid w:val="00081237"/>
    <w:rsid w:val="0008146B"/>
    <w:rsid w:val="0008169C"/>
    <w:rsid w:val="00082C87"/>
    <w:rsid w:val="00084794"/>
    <w:rsid w:val="00090CFF"/>
    <w:rsid w:val="00092E5E"/>
    <w:rsid w:val="00096AA5"/>
    <w:rsid w:val="00096EAD"/>
    <w:rsid w:val="000A1C83"/>
    <w:rsid w:val="000B5D48"/>
    <w:rsid w:val="000B6102"/>
    <w:rsid w:val="000C4DD4"/>
    <w:rsid w:val="000E039D"/>
    <w:rsid w:val="000E05AE"/>
    <w:rsid w:val="000E155B"/>
    <w:rsid w:val="000E24FB"/>
    <w:rsid w:val="000E3336"/>
    <w:rsid w:val="000E7D03"/>
    <w:rsid w:val="000F0883"/>
    <w:rsid w:val="000F2FD1"/>
    <w:rsid w:val="000F4AEE"/>
    <w:rsid w:val="00100F28"/>
    <w:rsid w:val="001014F9"/>
    <w:rsid w:val="00101C05"/>
    <w:rsid w:val="001047EE"/>
    <w:rsid w:val="0010597F"/>
    <w:rsid w:val="00116FFF"/>
    <w:rsid w:val="0011766C"/>
    <w:rsid w:val="00120E26"/>
    <w:rsid w:val="00124CB8"/>
    <w:rsid w:val="001254CD"/>
    <w:rsid w:val="001255A4"/>
    <w:rsid w:val="00126867"/>
    <w:rsid w:val="00130DF3"/>
    <w:rsid w:val="001341A9"/>
    <w:rsid w:val="001350AB"/>
    <w:rsid w:val="001368B6"/>
    <w:rsid w:val="00140F8D"/>
    <w:rsid w:val="00154374"/>
    <w:rsid w:val="00157C54"/>
    <w:rsid w:val="001606E5"/>
    <w:rsid w:val="00160AC2"/>
    <w:rsid w:val="001656A5"/>
    <w:rsid w:val="00171A06"/>
    <w:rsid w:val="001753EE"/>
    <w:rsid w:val="001756E9"/>
    <w:rsid w:val="00175ADD"/>
    <w:rsid w:val="001761CC"/>
    <w:rsid w:val="0018106F"/>
    <w:rsid w:val="00181342"/>
    <w:rsid w:val="001820A2"/>
    <w:rsid w:val="00182D4A"/>
    <w:rsid w:val="00187B1F"/>
    <w:rsid w:val="001927BA"/>
    <w:rsid w:val="00193051"/>
    <w:rsid w:val="0019708E"/>
    <w:rsid w:val="00197A0F"/>
    <w:rsid w:val="001A167E"/>
    <w:rsid w:val="001A21E5"/>
    <w:rsid w:val="001A4653"/>
    <w:rsid w:val="001A58CA"/>
    <w:rsid w:val="001A5CC5"/>
    <w:rsid w:val="001B1939"/>
    <w:rsid w:val="001B65FC"/>
    <w:rsid w:val="001B6C33"/>
    <w:rsid w:val="001C040A"/>
    <w:rsid w:val="001C0A31"/>
    <w:rsid w:val="001C63D2"/>
    <w:rsid w:val="001C64A7"/>
    <w:rsid w:val="001C6907"/>
    <w:rsid w:val="001D25C9"/>
    <w:rsid w:val="001D3909"/>
    <w:rsid w:val="001D5FEE"/>
    <w:rsid w:val="001E075D"/>
    <w:rsid w:val="001E0B60"/>
    <w:rsid w:val="001E1072"/>
    <w:rsid w:val="001E7166"/>
    <w:rsid w:val="001F0F11"/>
    <w:rsid w:val="001F10A4"/>
    <w:rsid w:val="001F394C"/>
    <w:rsid w:val="00200A5D"/>
    <w:rsid w:val="00202BA7"/>
    <w:rsid w:val="00203803"/>
    <w:rsid w:val="00204068"/>
    <w:rsid w:val="002051FA"/>
    <w:rsid w:val="00206611"/>
    <w:rsid w:val="0020734C"/>
    <w:rsid w:val="00207C06"/>
    <w:rsid w:val="00207FE4"/>
    <w:rsid w:val="00210F70"/>
    <w:rsid w:val="00211BF5"/>
    <w:rsid w:val="00212F50"/>
    <w:rsid w:val="0021325D"/>
    <w:rsid w:val="00213380"/>
    <w:rsid w:val="0021484D"/>
    <w:rsid w:val="00215010"/>
    <w:rsid w:val="00215837"/>
    <w:rsid w:val="00216C03"/>
    <w:rsid w:val="002224E5"/>
    <w:rsid w:val="0022511B"/>
    <w:rsid w:val="00226CEC"/>
    <w:rsid w:val="00227EDF"/>
    <w:rsid w:val="002309B8"/>
    <w:rsid w:val="00231B62"/>
    <w:rsid w:val="00235C35"/>
    <w:rsid w:val="00236F26"/>
    <w:rsid w:val="00241302"/>
    <w:rsid w:val="00241FC5"/>
    <w:rsid w:val="00251F3D"/>
    <w:rsid w:val="00252301"/>
    <w:rsid w:val="00260D4C"/>
    <w:rsid w:val="002610B7"/>
    <w:rsid w:val="002610BF"/>
    <w:rsid w:val="00267756"/>
    <w:rsid w:val="002717D2"/>
    <w:rsid w:val="0027204C"/>
    <w:rsid w:val="00277BA4"/>
    <w:rsid w:val="0028042A"/>
    <w:rsid w:val="002870BF"/>
    <w:rsid w:val="002928D3"/>
    <w:rsid w:val="0029397F"/>
    <w:rsid w:val="002A1206"/>
    <w:rsid w:val="002A1F90"/>
    <w:rsid w:val="002A2FC2"/>
    <w:rsid w:val="002A3A3C"/>
    <w:rsid w:val="002A4DA5"/>
    <w:rsid w:val="002A5573"/>
    <w:rsid w:val="002A59AD"/>
    <w:rsid w:val="002B5E54"/>
    <w:rsid w:val="002B784F"/>
    <w:rsid w:val="002C0B6F"/>
    <w:rsid w:val="002C353C"/>
    <w:rsid w:val="002C37C8"/>
    <w:rsid w:val="002C43B0"/>
    <w:rsid w:val="002C4EC4"/>
    <w:rsid w:val="002C7BDA"/>
    <w:rsid w:val="002D274F"/>
    <w:rsid w:val="002D383F"/>
    <w:rsid w:val="002E26F6"/>
    <w:rsid w:val="002E5142"/>
    <w:rsid w:val="002F3905"/>
    <w:rsid w:val="002F52EF"/>
    <w:rsid w:val="00301448"/>
    <w:rsid w:val="00301698"/>
    <w:rsid w:val="0030513C"/>
    <w:rsid w:val="00305E33"/>
    <w:rsid w:val="00306DD3"/>
    <w:rsid w:val="0031191F"/>
    <w:rsid w:val="003120F6"/>
    <w:rsid w:val="00316116"/>
    <w:rsid w:val="0031758B"/>
    <w:rsid w:val="00321444"/>
    <w:rsid w:val="00323812"/>
    <w:rsid w:val="00323A63"/>
    <w:rsid w:val="00323DF7"/>
    <w:rsid w:val="00331F95"/>
    <w:rsid w:val="00333200"/>
    <w:rsid w:val="00335CA7"/>
    <w:rsid w:val="00335E9E"/>
    <w:rsid w:val="003373E0"/>
    <w:rsid w:val="003442F0"/>
    <w:rsid w:val="0035501E"/>
    <w:rsid w:val="003633A5"/>
    <w:rsid w:val="0036741D"/>
    <w:rsid w:val="00370326"/>
    <w:rsid w:val="003723F9"/>
    <w:rsid w:val="0037403A"/>
    <w:rsid w:val="003740AE"/>
    <w:rsid w:val="00376EFF"/>
    <w:rsid w:val="00377620"/>
    <w:rsid w:val="0038003B"/>
    <w:rsid w:val="00381021"/>
    <w:rsid w:val="00384BB5"/>
    <w:rsid w:val="003906E4"/>
    <w:rsid w:val="00390B96"/>
    <w:rsid w:val="00390C62"/>
    <w:rsid w:val="00390E89"/>
    <w:rsid w:val="00394978"/>
    <w:rsid w:val="003A0201"/>
    <w:rsid w:val="003A0949"/>
    <w:rsid w:val="003A1FC9"/>
    <w:rsid w:val="003A294F"/>
    <w:rsid w:val="003A795B"/>
    <w:rsid w:val="003B0061"/>
    <w:rsid w:val="003B12AF"/>
    <w:rsid w:val="003B5910"/>
    <w:rsid w:val="003B6D56"/>
    <w:rsid w:val="003B6FD0"/>
    <w:rsid w:val="003C2069"/>
    <w:rsid w:val="003C62FF"/>
    <w:rsid w:val="003C753C"/>
    <w:rsid w:val="003C7ED4"/>
    <w:rsid w:val="003D6B5A"/>
    <w:rsid w:val="003D7AA5"/>
    <w:rsid w:val="003E16CD"/>
    <w:rsid w:val="003E4E89"/>
    <w:rsid w:val="003E5C62"/>
    <w:rsid w:val="003F13D5"/>
    <w:rsid w:val="003F41A9"/>
    <w:rsid w:val="003F688C"/>
    <w:rsid w:val="00410308"/>
    <w:rsid w:val="00412CC7"/>
    <w:rsid w:val="00416F09"/>
    <w:rsid w:val="0042055A"/>
    <w:rsid w:val="0042124E"/>
    <w:rsid w:val="00421C0F"/>
    <w:rsid w:val="00423980"/>
    <w:rsid w:val="00426C0C"/>
    <w:rsid w:val="004300C7"/>
    <w:rsid w:val="0043250D"/>
    <w:rsid w:val="00433F65"/>
    <w:rsid w:val="0043477F"/>
    <w:rsid w:val="004350FE"/>
    <w:rsid w:val="004438C8"/>
    <w:rsid w:val="004444DA"/>
    <w:rsid w:val="00444A52"/>
    <w:rsid w:val="00451221"/>
    <w:rsid w:val="00451685"/>
    <w:rsid w:val="004556B7"/>
    <w:rsid w:val="0046281E"/>
    <w:rsid w:val="00465786"/>
    <w:rsid w:val="00465AE7"/>
    <w:rsid w:val="00466286"/>
    <w:rsid w:val="004662C1"/>
    <w:rsid w:val="0047086E"/>
    <w:rsid w:val="00472017"/>
    <w:rsid w:val="0047532E"/>
    <w:rsid w:val="004800D6"/>
    <w:rsid w:val="00481E42"/>
    <w:rsid w:val="00483238"/>
    <w:rsid w:val="00484FE1"/>
    <w:rsid w:val="00486D86"/>
    <w:rsid w:val="004910B6"/>
    <w:rsid w:val="00494CA8"/>
    <w:rsid w:val="0049627A"/>
    <w:rsid w:val="004A2885"/>
    <w:rsid w:val="004A2FA4"/>
    <w:rsid w:val="004A6B8D"/>
    <w:rsid w:val="004A79A2"/>
    <w:rsid w:val="004B16FB"/>
    <w:rsid w:val="004B22ED"/>
    <w:rsid w:val="004C0C23"/>
    <w:rsid w:val="004C5FBE"/>
    <w:rsid w:val="004C6B3B"/>
    <w:rsid w:val="004D4C22"/>
    <w:rsid w:val="004D61E0"/>
    <w:rsid w:val="004E26F9"/>
    <w:rsid w:val="004E3E89"/>
    <w:rsid w:val="004E46A1"/>
    <w:rsid w:val="004E4DE0"/>
    <w:rsid w:val="004E58D8"/>
    <w:rsid w:val="004E615E"/>
    <w:rsid w:val="004F11CC"/>
    <w:rsid w:val="004F2928"/>
    <w:rsid w:val="004F39B5"/>
    <w:rsid w:val="004F4D19"/>
    <w:rsid w:val="00500D32"/>
    <w:rsid w:val="005047DF"/>
    <w:rsid w:val="005055B3"/>
    <w:rsid w:val="005060EA"/>
    <w:rsid w:val="00507C30"/>
    <w:rsid w:val="00510733"/>
    <w:rsid w:val="00513503"/>
    <w:rsid w:val="00515ADA"/>
    <w:rsid w:val="005175B9"/>
    <w:rsid w:val="005265AE"/>
    <w:rsid w:val="005333C5"/>
    <w:rsid w:val="00534CF6"/>
    <w:rsid w:val="005357D2"/>
    <w:rsid w:val="00535AAC"/>
    <w:rsid w:val="00536CA4"/>
    <w:rsid w:val="00541FA9"/>
    <w:rsid w:val="005430C9"/>
    <w:rsid w:val="0054332A"/>
    <w:rsid w:val="00545011"/>
    <w:rsid w:val="00545779"/>
    <w:rsid w:val="00545D9F"/>
    <w:rsid w:val="005508A3"/>
    <w:rsid w:val="0055417D"/>
    <w:rsid w:val="00554A0B"/>
    <w:rsid w:val="00555967"/>
    <w:rsid w:val="00555D4A"/>
    <w:rsid w:val="00556847"/>
    <w:rsid w:val="005602EB"/>
    <w:rsid w:val="005605B0"/>
    <w:rsid w:val="0056226E"/>
    <w:rsid w:val="00562CEA"/>
    <w:rsid w:val="0056502C"/>
    <w:rsid w:val="005713B7"/>
    <w:rsid w:val="00572102"/>
    <w:rsid w:val="00574AD0"/>
    <w:rsid w:val="00575011"/>
    <w:rsid w:val="0057777C"/>
    <w:rsid w:val="00577C5E"/>
    <w:rsid w:val="00577FD4"/>
    <w:rsid w:val="0058060D"/>
    <w:rsid w:val="005809E9"/>
    <w:rsid w:val="005866CF"/>
    <w:rsid w:val="00590DF0"/>
    <w:rsid w:val="005919DC"/>
    <w:rsid w:val="005A43F9"/>
    <w:rsid w:val="005A496A"/>
    <w:rsid w:val="005B23C8"/>
    <w:rsid w:val="005B51E1"/>
    <w:rsid w:val="005B6255"/>
    <w:rsid w:val="005B6CEF"/>
    <w:rsid w:val="005B79E9"/>
    <w:rsid w:val="005C3309"/>
    <w:rsid w:val="005D030C"/>
    <w:rsid w:val="005D2A20"/>
    <w:rsid w:val="005D3548"/>
    <w:rsid w:val="005D6846"/>
    <w:rsid w:val="005D69D0"/>
    <w:rsid w:val="005D6FDA"/>
    <w:rsid w:val="005D7308"/>
    <w:rsid w:val="005E09B2"/>
    <w:rsid w:val="005E0A54"/>
    <w:rsid w:val="005E0B60"/>
    <w:rsid w:val="005E1F26"/>
    <w:rsid w:val="005E357B"/>
    <w:rsid w:val="005F0140"/>
    <w:rsid w:val="005F02FB"/>
    <w:rsid w:val="005F1C90"/>
    <w:rsid w:val="005F7064"/>
    <w:rsid w:val="00602CDF"/>
    <w:rsid w:val="0060427B"/>
    <w:rsid w:val="006136D0"/>
    <w:rsid w:val="00622221"/>
    <w:rsid w:val="006231F2"/>
    <w:rsid w:val="00624565"/>
    <w:rsid w:val="00625EBC"/>
    <w:rsid w:val="006311B6"/>
    <w:rsid w:val="00632B57"/>
    <w:rsid w:val="00633160"/>
    <w:rsid w:val="00635DBD"/>
    <w:rsid w:val="00642875"/>
    <w:rsid w:val="00647093"/>
    <w:rsid w:val="00653BA7"/>
    <w:rsid w:val="00654C80"/>
    <w:rsid w:val="00664982"/>
    <w:rsid w:val="00665F89"/>
    <w:rsid w:val="006870E9"/>
    <w:rsid w:val="00692074"/>
    <w:rsid w:val="00693615"/>
    <w:rsid w:val="00693BCA"/>
    <w:rsid w:val="006A4FBD"/>
    <w:rsid w:val="006A5CB4"/>
    <w:rsid w:val="006B0ECA"/>
    <w:rsid w:val="006B28D5"/>
    <w:rsid w:val="006B3C6B"/>
    <w:rsid w:val="006C1B96"/>
    <w:rsid w:val="006C3F9E"/>
    <w:rsid w:val="006E00F9"/>
    <w:rsid w:val="006E3EC1"/>
    <w:rsid w:val="006E54C5"/>
    <w:rsid w:val="006F5251"/>
    <w:rsid w:val="006F7191"/>
    <w:rsid w:val="007015A5"/>
    <w:rsid w:val="0070323C"/>
    <w:rsid w:val="007036D1"/>
    <w:rsid w:val="007051BC"/>
    <w:rsid w:val="007132AB"/>
    <w:rsid w:val="007165E8"/>
    <w:rsid w:val="007229E6"/>
    <w:rsid w:val="00722FA8"/>
    <w:rsid w:val="007258CB"/>
    <w:rsid w:val="00726663"/>
    <w:rsid w:val="0073121D"/>
    <w:rsid w:val="00733378"/>
    <w:rsid w:val="00741BE0"/>
    <w:rsid w:val="00742C6C"/>
    <w:rsid w:val="00743A3C"/>
    <w:rsid w:val="00743BD1"/>
    <w:rsid w:val="0074502C"/>
    <w:rsid w:val="00754E00"/>
    <w:rsid w:val="0075606C"/>
    <w:rsid w:val="0076035A"/>
    <w:rsid w:val="0076256A"/>
    <w:rsid w:val="00762CCC"/>
    <w:rsid w:val="00762FAF"/>
    <w:rsid w:val="0076404A"/>
    <w:rsid w:val="007643C1"/>
    <w:rsid w:val="00771189"/>
    <w:rsid w:val="00771DEC"/>
    <w:rsid w:val="00773742"/>
    <w:rsid w:val="007762D4"/>
    <w:rsid w:val="0078044B"/>
    <w:rsid w:val="0078344B"/>
    <w:rsid w:val="00784F1E"/>
    <w:rsid w:val="00785308"/>
    <w:rsid w:val="0078702E"/>
    <w:rsid w:val="0079228A"/>
    <w:rsid w:val="00793859"/>
    <w:rsid w:val="00795887"/>
    <w:rsid w:val="00797114"/>
    <w:rsid w:val="007A2EDB"/>
    <w:rsid w:val="007A32EA"/>
    <w:rsid w:val="007A36B7"/>
    <w:rsid w:val="007A40E2"/>
    <w:rsid w:val="007A4846"/>
    <w:rsid w:val="007A6BDC"/>
    <w:rsid w:val="007B0A21"/>
    <w:rsid w:val="007B149E"/>
    <w:rsid w:val="007B5B25"/>
    <w:rsid w:val="007B6EFB"/>
    <w:rsid w:val="007D3FFE"/>
    <w:rsid w:val="007D4DC2"/>
    <w:rsid w:val="007D58E0"/>
    <w:rsid w:val="007E1E9A"/>
    <w:rsid w:val="007E2DD0"/>
    <w:rsid w:val="007E4BC6"/>
    <w:rsid w:val="007E65AE"/>
    <w:rsid w:val="007E6FB5"/>
    <w:rsid w:val="007F1825"/>
    <w:rsid w:val="007F1E73"/>
    <w:rsid w:val="007F3F12"/>
    <w:rsid w:val="007F6104"/>
    <w:rsid w:val="007F6E2F"/>
    <w:rsid w:val="00800B62"/>
    <w:rsid w:val="00806F9E"/>
    <w:rsid w:val="0081122E"/>
    <w:rsid w:val="00811626"/>
    <w:rsid w:val="00814A24"/>
    <w:rsid w:val="008164D4"/>
    <w:rsid w:val="00817544"/>
    <w:rsid w:val="00823790"/>
    <w:rsid w:val="00823FE3"/>
    <w:rsid w:val="00824F43"/>
    <w:rsid w:val="00833AEE"/>
    <w:rsid w:val="0084028C"/>
    <w:rsid w:val="008419C2"/>
    <w:rsid w:val="008518C5"/>
    <w:rsid w:val="00852C82"/>
    <w:rsid w:val="00857E22"/>
    <w:rsid w:val="00862ACD"/>
    <w:rsid w:val="00862B02"/>
    <w:rsid w:val="00864E15"/>
    <w:rsid w:val="00871F3A"/>
    <w:rsid w:val="0087379C"/>
    <w:rsid w:val="00875775"/>
    <w:rsid w:val="008759D1"/>
    <w:rsid w:val="00877622"/>
    <w:rsid w:val="008777BE"/>
    <w:rsid w:val="0088051E"/>
    <w:rsid w:val="00886A98"/>
    <w:rsid w:val="00886AC6"/>
    <w:rsid w:val="00887588"/>
    <w:rsid w:val="008962EA"/>
    <w:rsid w:val="00896599"/>
    <w:rsid w:val="0089766F"/>
    <w:rsid w:val="00897BD5"/>
    <w:rsid w:val="008A13A4"/>
    <w:rsid w:val="008A1D1C"/>
    <w:rsid w:val="008A2E8A"/>
    <w:rsid w:val="008A3842"/>
    <w:rsid w:val="008A3AAE"/>
    <w:rsid w:val="008B0933"/>
    <w:rsid w:val="008B3D3A"/>
    <w:rsid w:val="008B792B"/>
    <w:rsid w:val="008C1470"/>
    <w:rsid w:val="008C4141"/>
    <w:rsid w:val="008C62E7"/>
    <w:rsid w:val="008C7259"/>
    <w:rsid w:val="008D360C"/>
    <w:rsid w:val="008D405B"/>
    <w:rsid w:val="008D4F71"/>
    <w:rsid w:val="008D4F87"/>
    <w:rsid w:val="008D5CEC"/>
    <w:rsid w:val="008E026F"/>
    <w:rsid w:val="008E4448"/>
    <w:rsid w:val="008E5082"/>
    <w:rsid w:val="008E70E1"/>
    <w:rsid w:val="008F1653"/>
    <w:rsid w:val="009013F2"/>
    <w:rsid w:val="009041E7"/>
    <w:rsid w:val="00906499"/>
    <w:rsid w:val="00911A70"/>
    <w:rsid w:val="00921024"/>
    <w:rsid w:val="009225D8"/>
    <w:rsid w:val="0093007E"/>
    <w:rsid w:val="00934CCB"/>
    <w:rsid w:val="009360F6"/>
    <w:rsid w:val="009444CE"/>
    <w:rsid w:val="0094454D"/>
    <w:rsid w:val="00946B64"/>
    <w:rsid w:val="00947B73"/>
    <w:rsid w:val="00951C77"/>
    <w:rsid w:val="00952E70"/>
    <w:rsid w:val="009542B9"/>
    <w:rsid w:val="00957938"/>
    <w:rsid w:val="00961A14"/>
    <w:rsid w:val="00964C46"/>
    <w:rsid w:val="00973FD0"/>
    <w:rsid w:val="00974745"/>
    <w:rsid w:val="0097621A"/>
    <w:rsid w:val="00977577"/>
    <w:rsid w:val="00982460"/>
    <w:rsid w:val="00982A49"/>
    <w:rsid w:val="0098604E"/>
    <w:rsid w:val="009943AD"/>
    <w:rsid w:val="00994A05"/>
    <w:rsid w:val="00996BDC"/>
    <w:rsid w:val="009A249D"/>
    <w:rsid w:val="009A4071"/>
    <w:rsid w:val="009B0749"/>
    <w:rsid w:val="009B1F92"/>
    <w:rsid w:val="009B4144"/>
    <w:rsid w:val="009B5EB5"/>
    <w:rsid w:val="009B7996"/>
    <w:rsid w:val="009C0D97"/>
    <w:rsid w:val="009D6848"/>
    <w:rsid w:val="009D6B20"/>
    <w:rsid w:val="009E383C"/>
    <w:rsid w:val="009F1441"/>
    <w:rsid w:val="00A0134C"/>
    <w:rsid w:val="00A04798"/>
    <w:rsid w:val="00A10E06"/>
    <w:rsid w:val="00A17E13"/>
    <w:rsid w:val="00A242B1"/>
    <w:rsid w:val="00A2599E"/>
    <w:rsid w:val="00A273AF"/>
    <w:rsid w:val="00A2766A"/>
    <w:rsid w:val="00A3074D"/>
    <w:rsid w:val="00A314CA"/>
    <w:rsid w:val="00A31735"/>
    <w:rsid w:val="00A3183A"/>
    <w:rsid w:val="00A34B6F"/>
    <w:rsid w:val="00A356C2"/>
    <w:rsid w:val="00A3715F"/>
    <w:rsid w:val="00A37A3F"/>
    <w:rsid w:val="00A41701"/>
    <w:rsid w:val="00A475DB"/>
    <w:rsid w:val="00A5114F"/>
    <w:rsid w:val="00A51E3D"/>
    <w:rsid w:val="00A5355E"/>
    <w:rsid w:val="00A5375D"/>
    <w:rsid w:val="00A53E08"/>
    <w:rsid w:val="00A56603"/>
    <w:rsid w:val="00A5784C"/>
    <w:rsid w:val="00A57C54"/>
    <w:rsid w:val="00A6060A"/>
    <w:rsid w:val="00A612F8"/>
    <w:rsid w:val="00A65CB4"/>
    <w:rsid w:val="00A67455"/>
    <w:rsid w:val="00A713B0"/>
    <w:rsid w:val="00A74194"/>
    <w:rsid w:val="00A8518A"/>
    <w:rsid w:val="00A86127"/>
    <w:rsid w:val="00A869B0"/>
    <w:rsid w:val="00AA1564"/>
    <w:rsid w:val="00AA1FB9"/>
    <w:rsid w:val="00AA6C47"/>
    <w:rsid w:val="00AB319C"/>
    <w:rsid w:val="00AC08F0"/>
    <w:rsid w:val="00AC12CC"/>
    <w:rsid w:val="00AC38BF"/>
    <w:rsid w:val="00AC5863"/>
    <w:rsid w:val="00AD5368"/>
    <w:rsid w:val="00AE220D"/>
    <w:rsid w:val="00AE355F"/>
    <w:rsid w:val="00AE512C"/>
    <w:rsid w:val="00AE62D5"/>
    <w:rsid w:val="00AF05F8"/>
    <w:rsid w:val="00AF0A3F"/>
    <w:rsid w:val="00AF2CEE"/>
    <w:rsid w:val="00AF3926"/>
    <w:rsid w:val="00AF3EE8"/>
    <w:rsid w:val="00B01C01"/>
    <w:rsid w:val="00B038DE"/>
    <w:rsid w:val="00B102D1"/>
    <w:rsid w:val="00B13024"/>
    <w:rsid w:val="00B1306F"/>
    <w:rsid w:val="00B144CC"/>
    <w:rsid w:val="00B15372"/>
    <w:rsid w:val="00B17ADE"/>
    <w:rsid w:val="00B224BC"/>
    <w:rsid w:val="00B31023"/>
    <w:rsid w:val="00B3462C"/>
    <w:rsid w:val="00B40235"/>
    <w:rsid w:val="00B4199B"/>
    <w:rsid w:val="00B44DA2"/>
    <w:rsid w:val="00B455B1"/>
    <w:rsid w:val="00B462BA"/>
    <w:rsid w:val="00B508A6"/>
    <w:rsid w:val="00B50DFE"/>
    <w:rsid w:val="00B54232"/>
    <w:rsid w:val="00B548C1"/>
    <w:rsid w:val="00B558C4"/>
    <w:rsid w:val="00B654DC"/>
    <w:rsid w:val="00B71006"/>
    <w:rsid w:val="00B71E55"/>
    <w:rsid w:val="00B73B79"/>
    <w:rsid w:val="00B76707"/>
    <w:rsid w:val="00B81F0B"/>
    <w:rsid w:val="00B84A52"/>
    <w:rsid w:val="00B84BDC"/>
    <w:rsid w:val="00B87AC5"/>
    <w:rsid w:val="00B930CB"/>
    <w:rsid w:val="00B935D6"/>
    <w:rsid w:val="00B954B2"/>
    <w:rsid w:val="00B966DF"/>
    <w:rsid w:val="00B96793"/>
    <w:rsid w:val="00B9776C"/>
    <w:rsid w:val="00BA0767"/>
    <w:rsid w:val="00BA69B5"/>
    <w:rsid w:val="00BA7662"/>
    <w:rsid w:val="00BB2019"/>
    <w:rsid w:val="00BB50E3"/>
    <w:rsid w:val="00BB6BF5"/>
    <w:rsid w:val="00BB779D"/>
    <w:rsid w:val="00BC3F65"/>
    <w:rsid w:val="00BC5B35"/>
    <w:rsid w:val="00BC5F7E"/>
    <w:rsid w:val="00BE0016"/>
    <w:rsid w:val="00BE0514"/>
    <w:rsid w:val="00BF0E25"/>
    <w:rsid w:val="00BF4D55"/>
    <w:rsid w:val="00BF5AF2"/>
    <w:rsid w:val="00C01769"/>
    <w:rsid w:val="00C03D8B"/>
    <w:rsid w:val="00C12B64"/>
    <w:rsid w:val="00C170D2"/>
    <w:rsid w:val="00C17AEA"/>
    <w:rsid w:val="00C21192"/>
    <w:rsid w:val="00C22F44"/>
    <w:rsid w:val="00C274F3"/>
    <w:rsid w:val="00C2771C"/>
    <w:rsid w:val="00C32AB1"/>
    <w:rsid w:val="00C347F2"/>
    <w:rsid w:val="00C4208F"/>
    <w:rsid w:val="00C4474B"/>
    <w:rsid w:val="00C514F7"/>
    <w:rsid w:val="00C56079"/>
    <w:rsid w:val="00C67BFC"/>
    <w:rsid w:val="00C742D5"/>
    <w:rsid w:val="00C81D94"/>
    <w:rsid w:val="00C86A44"/>
    <w:rsid w:val="00C913CC"/>
    <w:rsid w:val="00C918A2"/>
    <w:rsid w:val="00C92AE0"/>
    <w:rsid w:val="00CA289F"/>
    <w:rsid w:val="00CA4C22"/>
    <w:rsid w:val="00CA61F9"/>
    <w:rsid w:val="00CA7FB4"/>
    <w:rsid w:val="00CB0A39"/>
    <w:rsid w:val="00CB0F51"/>
    <w:rsid w:val="00CB2DCC"/>
    <w:rsid w:val="00CB71E8"/>
    <w:rsid w:val="00CC0A90"/>
    <w:rsid w:val="00CC23BF"/>
    <w:rsid w:val="00CD1D68"/>
    <w:rsid w:val="00CD310F"/>
    <w:rsid w:val="00CE2E77"/>
    <w:rsid w:val="00CE2FC2"/>
    <w:rsid w:val="00CE49F6"/>
    <w:rsid w:val="00CE6CB6"/>
    <w:rsid w:val="00CF092A"/>
    <w:rsid w:val="00CF3D52"/>
    <w:rsid w:val="00CF6B0E"/>
    <w:rsid w:val="00D05166"/>
    <w:rsid w:val="00D07791"/>
    <w:rsid w:val="00D1414A"/>
    <w:rsid w:val="00D16F71"/>
    <w:rsid w:val="00D17263"/>
    <w:rsid w:val="00D26205"/>
    <w:rsid w:val="00D27276"/>
    <w:rsid w:val="00D3127F"/>
    <w:rsid w:val="00D31288"/>
    <w:rsid w:val="00D32288"/>
    <w:rsid w:val="00D36F4B"/>
    <w:rsid w:val="00D37559"/>
    <w:rsid w:val="00D37A6A"/>
    <w:rsid w:val="00D402F2"/>
    <w:rsid w:val="00D460AA"/>
    <w:rsid w:val="00D51305"/>
    <w:rsid w:val="00D534BC"/>
    <w:rsid w:val="00D550CF"/>
    <w:rsid w:val="00D5558F"/>
    <w:rsid w:val="00D55FA4"/>
    <w:rsid w:val="00D62345"/>
    <w:rsid w:val="00D62ACD"/>
    <w:rsid w:val="00D65966"/>
    <w:rsid w:val="00D731EE"/>
    <w:rsid w:val="00D73A56"/>
    <w:rsid w:val="00D7575F"/>
    <w:rsid w:val="00D77415"/>
    <w:rsid w:val="00D77880"/>
    <w:rsid w:val="00D8166A"/>
    <w:rsid w:val="00D82093"/>
    <w:rsid w:val="00D963ED"/>
    <w:rsid w:val="00D96BAE"/>
    <w:rsid w:val="00D97545"/>
    <w:rsid w:val="00DA2883"/>
    <w:rsid w:val="00DA5415"/>
    <w:rsid w:val="00DA64A8"/>
    <w:rsid w:val="00DA6B43"/>
    <w:rsid w:val="00DB449F"/>
    <w:rsid w:val="00DB5EAB"/>
    <w:rsid w:val="00DB7684"/>
    <w:rsid w:val="00DC23EC"/>
    <w:rsid w:val="00DC3868"/>
    <w:rsid w:val="00DC3EFE"/>
    <w:rsid w:val="00DC3FEE"/>
    <w:rsid w:val="00DC454A"/>
    <w:rsid w:val="00DC5F33"/>
    <w:rsid w:val="00DD0DC1"/>
    <w:rsid w:val="00DD1922"/>
    <w:rsid w:val="00DD1BA6"/>
    <w:rsid w:val="00DE10D1"/>
    <w:rsid w:val="00DE2E8B"/>
    <w:rsid w:val="00DE7BEF"/>
    <w:rsid w:val="00DF01CE"/>
    <w:rsid w:val="00DF1183"/>
    <w:rsid w:val="00DF385B"/>
    <w:rsid w:val="00DF4250"/>
    <w:rsid w:val="00DF4E95"/>
    <w:rsid w:val="00DF662D"/>
    <w:rsid w:val="00E049F7"/>
    <w:rsid w:val="00E05E6D"/>
    <w:rsid w:val="00E05EF9"/>
    <w:rsid w:val="00E06DE0"/>
    <w:rsid w:val="00E076C5"/>
    <w:rsid w:val="00E10AEE"/>
    <w:rsid w:val="00E12F9D"/>
    <w:rsid w:val="00E15AAD"/>
    <w:rsid w:val="00E15CF7"/>
    <w:rsid w:val="00E1617B"/>
    <w:rsid w:val="00E22260"/>
    <w:rsid w:val="00E2511E"/>
    <w:rsid w:val="00E25B0D"/>
    <w:rsid w:val="00E33233"/>
    <w:rsid w:val="00E37030"/>
    <w:rsid w:val="00E4086D"/>
    <w:rsid w:val="00E43220"/>
    <w:rsid w:val="00E432CE"/>
    <w:rsid w:val="00E447D8"/>
    <w:rsid w:val="00E5022B"/>
    <w:rsid w:val="00E529A6"/>
    <w:rsid w:val="00E541FC"/>
    <w:rsid w:val="00E5565A"/>
    <w:rsid w:val="00E5654C"/>
    <w:rsid w:val="00E575A2"/>
    <w:rsid w:val="00E6088C"/>
    <w:rsid w:val="00E64D3B"/>
    <w:rsid w:val="00E66F9F"/>
    <w:rsid w:val="00E6758C"/>
    <w:rsid w:val="00E71F07"/>
    <w:rsid w:val="00E71FF4"/>
    <w:rsid w:val="00E741BE"/>
    <w:rsid w:val="00E802E9"/>
    <w:rsid w:val="00E80E7D"/>
    <w:rsid w:val="00E81EE9"/>
    <w:rsid w:val="00E8541A"/>
    <w:rsid w:val="00E85A9E"/>
    <w:rsid w:val="00E85B3C"/>
    <w:rsid w:val="00E865DD"/>
    <w:rsid w:val="00E96C26"/>
    <w:rsid w:val="00E97D17"/>
    <w:rsid w:val="00EB0CEF"/>
    <w:rsid w:val="00EB46F5"/>
    <w:rsid w:val="00EB48EF"/>
    <w:rsid w:val="00EB5068"/>
    <w:rsid w:val="00EB5716"/>
    <w:rsid w:val="00EC05AE"/>
    <w:rsid w:val="00EC0751"/>
    <w:rsid w:val="00EC1591"/>
    <w:rsid w:val="00EC1A57"/>
    <w:rsid w:val="00EC256E"/>
    <w:rsid w:val="00EC25BE"/>
    <w:rsid w:val="00EC2951"/>
    <w:rsid w:val="00EC5845"/>
    <w:rsid w:val="00ED1E18"/>
    <w:rsid w:val="00ED4311"/>
    <w:rsid w:val="00EE011F"/>
    <w:rsid w:val="00EE337A"/>
    <w:rsid w:val="00EE589A"/>
    <w:rsid w:val="00EE66AD"/>
    <w:rsid w:val="00EE6F25"/>
    <w:rsid w:val="00EF4600"/>
    <w:rsid w:val="00EF5C2A"/>
    <w:rsid w:val="00F04BD0"/>
    <w:rsid w:val="00F074FC"/>
    <w:rsid w:val="00F123F9"/>
    <w:rsid w:val="00F13E04"/>
    <w:rsid w:val="00F14370"/>
    <w:rsid w:val="00F14C6D"/>
    <w:rsid w:val="00F169CA"/>
    <w:rsid w:val="00F2528F"/>
    <w:rsid w:val="00F26DE8"/>
    <w:rsid w:val="00F27DD7"/>
    <w:rsid w:val="00F321D3"/>
    <w:rsid w:val="00F37032"/>
    <w:rsid w:val="00F422E4"/>
    <w:rsid w:val="00F44EA9"/>
    <w:rsid w:val="00F51585"/>
    <w:rsid w:val="00F52EB3"/>
    <w:rsid w:val="00F54F84"/>
    <w:rsid w:val="00F57ADE"/>
    <w:rsid w:val="00F8056C"/>
    <w:rsid w:val="00F80B18"/>
    <w:rsid w:val="00F82DB2"/>
    <w:rsid w:val="00F848BA"/>
    <w:rsid w:val="00F907DE"/>
    <w:rsid w:val="00F91093"/>
    <w:rsid w:val="00FA090F"/>
    <w:rsid w:val="00FA28F4"/>
    <w:rsid w:val="00FA40D0"/>
    <w:rsid w:val="00FA6BB2"/>
    <w:rsid w:val="00FB0D40"/>
    <w:rsid w:val="00FB172F"/>
    <w:rsid w:val="00FB1C58"/>
    <w:rsid w:val="00FB29B9"/>
    <w:rsid w:val="00FB5C39"/>
    <w:rsid w:val="00FC1096"/>
    <w:rsid w:val="00FC155D"/>
    <w:rsid w:val="00FC1EF5"/>
    <w:rsid w:val="00FC2966"/>
    <w:rsid w:val="00FC4AB0"/>
    <w:rsid w:val="00FC51D7"/>
    <w:rsid w:val="00FC7F3B"/>
    <w:rsid w:val="00FD0349"/>
    <w:rsid w:val="00FD046E"/>
    <w:rsid w:val="00FD1681"/>
    <w:rsid w:val="00FD5BE2"/>
    <w:rsid w:val="00FD65A0"/>
    <w:rsid w:val="00FE08DA"/>
    <w:rsid w:val="00FE0C92"/>
    <w:rsid w:val="00FE5210"/>
    <w:rsid w:val="00FE62CA"/>
    <w:rsid w:val="00FF13F8"/>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98C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eastAsia="en-US"/>
    </w:rPr>
  </w:style>
  <w:style w:type="character" w:styleId="Strong">
    <w:name w:val="Strong"/>
    <w:qFormat/>
    <w:rsid w:val="00B1306F"/>
    <w:rPr>
      <w:b/>
      <w:bCs/>
    </w:rPr>
  </w:style>
  <w:style w:type="character" w:customStyle="1" w:styleId="UnresolvedMention1">
    <w:name w:val="Unresolved Mention1"/>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Caption">
    <w:name w:val="caption"/>
    <w:basedOn w:val="Normal"/>
    <w:next w:val="Normal"/>
    <w:uiPriority w:val="35"/>
    <w:unhideWhenUsed/>
    <w:qFormat/>
    <w:rsid w:val="00046D27"/>
    <w:pPr>
      <w:spacing w:after="200"/>
    </w:pPr>
    <w:rPr>
      <w:rFonts w:eastAsia="Calibri"/>
      <w:bCs/>
      <w:sz w:val="26"/>
      <w:szCs w:val="18"/>
    </w:rPr>
  </w:style>
  <w:style w:type="paragraph" w:customStyle="1" w:styleId="EndNoteBibliographyTitle">
    <w:name w:val="EndNote Bibliography Title"/>
    <w:basedOn w:val="Normal"/>
    <w:link w:val="EndNoteBibliographyTitleChar"/>
    <w:rsid w:val="00E5565A"/>
    <w:pPr>
      <w:jc w:val="center"/>
    </w:pPr>
    <w:rPr>
      <w:noProof/>
      <w:sz w:val="20"/>
    </w:rPr>
  </w:style>
  <w:style w:type="character" w:customStyle="1" w:styleId="EndNoteBibliographyTitleChar">
    <w:name w:val="EndNote Bibliography Title Char"/>
    <w:link w:val="EndNoteBibliographyTitle"/>
    <w:rsid w:val="00E5565A"/>
    <w:rPr>
      <w:noProof/>
      <w:szCs w:val="24"/>
    </w:rPr>
  </w:style>
  <w:style w:type="paragraph" w:customStyle="1" w:styleId="EndNoteBibliography">
    <w:name w:val="EndNote Bibliography"/>
    <w:basedOn w:val="Normal"/>
    <w:link w:val="EndNoteBibliographyChar"/>
    <w:rsid w:val="00E5565A"/>
    <w:pPr>
      <w:jc w:val="both"/>
    </w:pPr>
    <w:rPr>
      <w:noProof/>
      <w:sz w:val="20"/>
    </w:rPr>
  </w:style>
  <w:style w:type="character" w:customStyle="1" w:styleId="EndNoteBibliographyChar">
    <w:name w:val="EndNote Bibliography Char"/>
    <w:link w:val="EndNoteBibliography"/>
    <w:rsid w:val="00E5565A"/>
    <w:rPr>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eastAsia="en-US"/>
    </w:rPr>
  </w:style>
  <w:style w:type="character" w:styleId="Strong">
    <w:name w:val="Strong"/>
    <w:qFormat/>
    <w:rsid w:val="00B1306F"/>
    <w:rPr>
      <w:b/>
      <w:bCs/>
    </w:rPr>
  </w:style>
  <w:style w:type="character" w:customStyle="1" w:styleId="UnresolvedMention1">
    <w:name w:val="Unresolved Mention1"/>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Caption">
    <w:name w:val="caption"/>
    <w:basedOn w:val="Normal"/>
    <w:next w:val="Normal"/>
    <w:uiPriority w:val="35"/>
    <w:unhideWhenUsed/>
    <w:qFormat/>
    <w:rsid w:val="00046D27"/>
    <w:pPr>
      <w:spacing w:after="200"/>
    </w:pPr>
    <w:rPr>
      <w:rFonts w:eastAsia="Calibri"/>
      <w:bCs/>
      <w:sz w:val="26"/>
      <w:szCs w:val="18"/>
    </w:rPr>
  </w:style>
  <w:style w:type="paragraph" w:customStyle="1" w:styleId="EndNoteBibliographyTitle">
    <w:name w:val="EndNote Bibliography Title"/>
    <w:basedOn w:val="Normal"/>
    <w:link w:val="EndNoteBibliographyTitleChar"/>
    <w:rsid w:val="00E5565A"/>
    <w:pPr>
      <w:jc w:val="center"/>
    </w:pPr>
    <w:rPr>
      <w:noProof/>
      <w:sz w:val="20"/>
    </w:rPr>
  </w:style>
  <w:style w:type="character" w:customStyle="1" w:styleId="EndNoteBibliographyTitleChar">
    <w:name w:val="EndNote Bibliography Title Char"/>
    <w:link w:val="EndNoteBibliographyTitle"/>
    <w:rsid w:val="00E5565A"/>
    <w:rPr>
      <w:noProof/>
      <w:szCs w:val="24"/>
    </w:rPr>
  </w:style>
  <w:style w:type="paragraph" w:customStyle="1" w:styleId="EndNoteBibliography">
    <w:name w:val="EndNote Bibliography"/>
    <w:basedOn w:val="Normal"/>
    <w:link w:val="EndNoteBibliographyChar"/>
    <w:rsid w:val="00E5565A"/>
    <w:pPr>
      <w:jc w:val="both"/>
    </w:pPr>
    <w:rPr>
      <w:noProof/>
      <w:sz w:val="20"/>
    </w:rPr>
  </w:style>
  <w:style w:type="character" w:customStyle="1" w:styleId="EndNoteBibliographyChar">
    <w:name w:val="EndNote Bibliography Char"/>
    <w:link w:val="EndNoteBibliography"/>
    <w:rsid w:val="00E5565A"/>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3743">
      <w:bodyDiv w:val="1"/>
      <w:marLeft w:val="0"/>
      <w:marRight w:val="0"/>
      <w:marTop w:val="0"/>
      <w:marBottom w:val="0"/>
      <w:divBdr>
        <w:top w:val="none" w:sz="0" w:space="0" w:color="auto"/>
        <w:left w:val="none" w:sz="0" w:space="0" w:color="auto"/>
        <w:bottom w:val="none" w:sz="0" w:space="0" w:color="auto"/>
        <w:right w:val="none" w:sz="0" w:space="0" w:color="auto"/>
      </w:divBdr>
    </w:div>
    <w:div w:id="614364571">
      <w:bodyDiv w:val="1"/>
      <w:marLeft w:val="0"/>
      <w:marRight w:val="0"/>
      <w:marTop w:val="0"/>
      <w:marBottom w:val="0"/>
      <w:divBdr>
        <w:top w:val="none" w:sz="0" w:space="0" w:color="auto"/>
        <w:left w:val="none" w:sz="0" w:space="0" w:color="auto"/>
        <w:bottom w:val="none" w:sz="0" w:space="0" w:color="auto"/>
        <w:right w:val="none" w:sz="0" w:space="0" w:color="auto"/>
      </w:divBdr>
    </w:div>
    <w:div w:id="1274898090">
      <w:bodyDiv w:val="1"/>
      <w:marLeft w:val="0"/>
      <w:marRight w:val="0"/>
      <w:marTop w:val="0"/>
      <w:marBottom w:val="0"/>
      <w:divBdr>
        <w:top w:val="none" w:sz="0" w:space="0" w:color="auto"/>
        <w:left w:val="none" w:sz="0" w:space="0" w:color="auto"/>
        <w:bottom w:val="none" w:sz="0" w:space="0" w:color="auto"/>
        <w:right w:val="none" w:sz="0" w:space="0" w:color="auto"/>
      </w:divBdr>
    </w:div>
    <w:div w:id="1445076703">
      <w:bodyDiv w:val="1"/>
      <w:marLeft w:val="0"/>
      <w:marRight w:val="0"/>
      <w:marTop w:val="0"/>
      <w:marBottom w:val="0"/>
      <w:divBdr>
        <w:top w:val="none" w:sz="0" w:space="0" w:color="auto"/>
        <w:left w:val="none" w:sz="0" w:space="0" w:color="auto"/>
        <w:bottom w:val="none" w:sz="0" w:space="0" w:color="auto"/>
        <w:right w:val="none" w:sz="0" w:space="0" w:color="auto"/>
      </w:divBdr>
    </w:div>
    <w:div w:id="1666787868">
      <w:bodyDiv w:val="1"/>
      <w:marLeft w:val="0"/>
      <w:marRight w:val="0"/>
      <w:marTop w:val="0"/>
      <w:marBottom w:val="0"/>
      <w:divBdr>
        <w:top w:val="none" w:sz="0" w:space="0" w:color="auto"/>
        <w:left w:val="none" w:sz="0" w:space="0" w:color="auto"/>
        <w:bottom w:val="none" w:sz="0" w:space="0" w:color="auto"/>
        <w:right w:val="none" w:sz="0" w:space="0" w:color="auto"/>
      </w:divBdr>
    </w:div>
    <w:div w:id="1830555688">
      <w:bodyDiv w:val="1"/>
      <w:marLeft w:val="0"/>
      <w:marRight w:val="0"/>
      <w:marTop w:val="0"/>
      <w:marBottom w:val="0"/>
      <w:divBdr>
        <w:top w:val="none" w:sz="0" w:space="0" w:color="auto"/>
        <w:left w:val="none" w:sz="0" w:space="0" w:color="auto"/>
        <w:bottom w:val="none" w:sz="0" w:space="0" w:color="auto"/>
        <w:right w:val="none" w:sz="0" w:space="0" w:color="auto"/>
      </w:divBdr>
    </w:div>
    <w:div w:id="1847818031">
      <w:bodyDiv w:val="1"/>
      <w:marLeft w:val="0"/>
      <w:marRight w:val="0"/>
      <w:marTop w:val="0"/>
      <w:marBottom w:val="0"/>
      <w:divBdr>
        <w:top w:val="none" w:sz="0" w:space="0" w:color="auto"/>
        <w:left w:val="none" w:sz="0" w:space="0" w:color="auto"/>
        <w:bottom w:val="none" w:sz="0" w:space="0" w:color="auto"/>
        <w:right w:val="none" w:sz="0" w:space="0" w:color="auto"/>
      </w:divBdr>
    </w:div>
    <w:div w:id="20079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lexuanquynh@qnu.edu.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C4EC-7E9C-4C95-AD26-2A5E2DEC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1104</TotalTime>
  <Pages>11</Pages>
  <Words>19255</Words>
  <Characters>109756</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128754</CharactersWithSpaces>
  <SharedDoc>false</SharedDoc>
  <HLinks>
    <vt:vector size="516" baseType="variant">
      <vt:variant>
        <vt:i4>1376357</vt:i4>
      </vt:variant>
      <vt:variant>
        <vt:i4>528</vt:i4>
      </vt:variant>
      <vt:variant>
        <vt:i4>0</vt:i4>
      </vt:variant>
      <vt:variant>
        <vt:i4>5</vt:i4>
      </vt:variant>
      <vt:variant>
        <vt:lpwstr>mailto:lexuanquynh@qnu.edu.vn</vt:lpwstr>
      </vt:variant>
      <vt:variant>
        <vt:lpwstr/>
      </vt:variant>
      <vt:variant>
        <vt:i4>4325387</vt:i4>
      </vt:variant>
      <vt:variant>
        <vt:i4>522</vt:i4>
      </vt:variant>
      <vt:variant>
        <vt:i4>0</vt:i4>
      </vt:variant>
      <vt:variant>
        <vt:i4>5</vt:i4>
      </vt:variant>
      <vt:variant>
        <vt:lpwstr/>
      </vt:variant>
      <vt:variant>
        <vt:lpwstr>_ENREF_37</vt:lpwstr>
      </vt:variant>
      <vt:variant>
        <vt:i4>4587531</vt:i4>
      </vt:variant>
      <vt:variant>
        <vt:i4>516</vt:i4>
      </vt:variant>
      <vt:variant>
        <vt:i4>0</vt:i4>
      </vt:variant>
      <vt:variant>
        <vt:i4>5</vt:i4>
      </vt:variant>
      <vt:variant>
        <vt:lpwstr/>
      </vt:variant>
      <vt:variant>
        <vt:lpwstr>_ENREF_7</vt:lpwstr>
      </vt:variant>
      <vt:variant>
        <vt:i4>4718603</vt:i4>
      </vt:variant>
      <vt:variant>
        <vt:i4>510</vt:i4>
      </vt:variant>
      <vt:variant>
        <vt:i4>0</vt:i4>
      </vt:variant>
      <vt:variant>
        <vt:i4>5</vt:i4>
      </vt:variant>
      <vt:variant>
        <vt:lpwstr/>
      </vt:variant>
      <vt:variant>
        <vt:lpwstr>_ENREF_9</vt:lpwstr>
      </vt:variant>
      <vt:variant>
        <vt:i4>4456459</vt:i4>
      </vt:variant>
      <vt:variant>
        <vt:i4>504</vt:i4>
      </vt:variant>
      <vt:variant>
        <vt:i4>0</vt:i4>
      </vt:variant>
      <vt:variant>
        <vt:i4>5</vt:i4>
      </vt:variant>
      <vt:variant>
        <vt:lpwstr/>
      </vt:variant>
      <vt:variant>
        <vt:lpwstr>_ENREF_50</vt:lpwstr>
      </vt:variant>
      <vt:variant>
        <vt:i4>4521995</vt:i4>
      </vt:variant>
      <vt:variant>
        <vt:i4>498</vt:i4>
      </vt:variant>
      <vt:variant>
        <vt:i4>0</vt:i4>
      </vt:variant>
      <vt:variant>
        <vt:i4>5</vt:i4>
      </vt:variant>
      <vt:variant>
        <vt:lpwstr/>
      </vt:variant>
      <vt:variant>
        <vt:lpwstr>_ENREF_49</vt:lpwstr>
      </vt:variant>
      <vt:variant>
        <vt:i4>4521995</vt:i4>
      </vt:variant>
      <vt:variant>
        <vt:i4>492</vt:i4>
      </vt:variant>
      <vt:variant>
        <vt:i4>0</vt:i4>
      </vt:variant>
      <vt:variant>
        <vt:i4>5</vt:i4>
      </vt:variant>
      <vt:variant>
        <vt:lpwstr/>
      </vt:variant>
      <vt:variant>
        <vt:lpwstr>_ENREF_48</vt:lpwstr>
      </vt:variant>
      <vt:variant>
        <vt:i4>4521995</vt:i4>
      </vt:variant>
      <vt:variant>
        <vt:i4>486</vt:i4>
      </vt:variant>
      <vt:variant>
        <vt:i4>0</vt:i4>
      </vt:variant>
      <vt:variant>
        <vt:i4>5</vt:i4>
      </vt:variant>
      <vt:variant>
        <vt:lpwstr/>
      </vt:variant>
      <vt:variant>
        <vt:lpwstr>_ENREF_47</vt:lpwstr>
      </vt:variant>
      <vt:variant>
        <vt:i4>4521995</vt:i4>
      </vt:variant>
      <vt:variant>
        <vt:i4>480</vt:i4>
      </vt:variant>
      <vt:variant>
        <vt:i4>0</vt:i4>
      </vt:variant>
      <vt:variant>
        <vt:i4>5</vt:i4>
      </vt:variant>
      <vt:variant>
        <vt:lpwstr/>
      </vt:variant>
      <vt:variant>
        <vt:lpwstr>_ENREF_45</vt:lpwstr>
      </vt:variant>
      <vt:variant>
        <vt:i4>4521995</vt:i4>
      </vt:variant>
      <vt:variant>
        <vt:i4>474</vt:i4>
      </vt:variant>
      <vt:variant>
        <vt:i4>0</vt:i4>
      </vt:variant>
      <vt:variant>
        <vt:i4>5</vt:i4>
      </vt:variant>
      <vt:variant>
        <vt:lpwstr/>
      </vt:variant>
      <vt:variant>
        <vt:lpwstr>_ENREF_42</vt:lpwstr>
      </vt:variant>
      <vt:variant>
        <vt:i4>4521995</vt:i4>
      </vt:variant>
      <vt:variant>
        <vt:i4>468</vt:i4>
      </vt:variant>
      <vt:variant>
        <vt:i4>0</vt:i4>
      </vt:variant>
      <vt:variant>
        <vt:i4>5</vt:i4>
      </vt:variant>
      <vt:variant>
        <vt:lpwstr/>
      </vt:variant>
      <vt:variant>
        <vt:lpwstr>_ENREF_46</vt:lpwstr>
      </vt:variant>
      <vt:variant>
        <vt:i4>4521995</vt:i4>
      </vt:variant>
      <vt:variant>
        <vt:i4>462</vt:i4>
      </vt:variant>
      <vt:variant>
        <vt:i4>0</vt:i4>
      </vt:variant>
      <vt:variant>
        <vt:i4>5</vt:i4>
      </vt:variant>
      <vt:variant>
        <vt:lpwstr/>
      </vt:variant>
      <vt:variant>
        <vt:lpwstr>_ENREF_45</vt:lpwstr>
      </vt:variant>
      <vt:variant>
        <vt:i4>4521995</vt:i4>
      </vt:variant>
      <vt:variant>
        <vt:i4>456</vt:i4>
      </vt:variant>
      <vt:variant>
        <vt:i4>0</vt:i4>
      </vt:variant>
      <vt:variant>
        <vt:i4>5</vt:i4>
      </vt:variant>
      <vt:variant>
        <vt:lpwstr/>
      </vt:variant>
      <vt:variant>
        <vt:lpwstr>_ENREF_44</vt:lpwstr>
      </vt:variant>
      <vt:variant>
        <vt:i4>4521995</vt:i4>
      </vt:variant>
      <vt:variant>
        <vt:i4>450</vt:i4>
      </vt:variant>
      <vt:variant>
        <vt:i4>0</vt:i4>
      </vt:variant>
      <vt:variant>
        <vt:i4>5</vt:i4>
      </vt:variant>
      <vt:variant>
        <vt:lpwstr/>
      </vt:variant>
      <vt:variant>
        <vt:lpwstr>_ENREF_43</vt:lpwstr>
      </vt:variant>
      <vt:variant>
        <vt:i4>4194315</vt:i4>
      </vt:variant>
      <vt:variant>
        <vt:i4>444</vt:i4>
      </vt:variant>
      <vt:variant>
        <vt:i4>0</vt:i4>
      </vt:variant>
      <vt:variant>
        <vt:i4>5</vt:i4>
      </vt:variant>
      <vt:variant>
        <vt:lpwstr/>
      </vt:variant>
      <vt:variant>
        <vt:lpwstr>_ENREF_13</vt:lpwstr>
      </vt:variant>
      <vt:variant>
        <vt:i4>4194315</vt:i4>
      </vt:variant>
      <vt:variant>
        <vt:i4>438</vt:i4>
      </vt:variant>
      <vt:variant>
        <vt:i4>0</vt:i4>
      </vt:variant>
      <vt:variant>
        <vt:i4>5</vt:i4>
      </vt:variant>
      <vt:variant>
        <vt:lpwstr/>
      </vt:variant>
      <vt:variant>
        <vt:lpwstr>_ENREF_12</vt:lpwstr>
      </vt:variant>
      <vt:variant>
        <vt:i4>4521995</vt:i4>
      </vt:variant>
      <vt:variant>
        <vt:i4>432</vt:i4>
      </vt:variant>
      <vt:variant>
        <vt:i4>0</vt:i4>
      </vt:variant>
      <vt:variant>
        <vt:i4>5</vt:i4>
      </vt:variant>
      <vt:variant>
        <vt:lpwstr/>
      </vt:variant>
      <vt:variant>
        <vt:lpwstr>_ENREF_42</vt:lpwstr>
      </vt:variant>
      <vt:variant>
        <vt:i4>4521995</vt:i4>
      </vt:variant>
      <vt:variant>
        <vt:i4>426</vt:i4>
      </vt:variant>
      <vt:variant>
        <vt:i4>0</vt:i4>
      </vt:variant>
      <vt:variant>
        <vt:i4>5</vt:i4>
      </vt:variant>
      <vt:variant>
        <vt:lpwstr/>
      </vt:variant>
      <vt:variant>
        <vt:lpwstr>_ENREF_42</vt:lpwstr>
      </vt:variant>
      <vt:variant>
        <vt:i4>4194315</vt:i4>
      </vt:variant>
      <vt:variant>
        <vt:i4>420</vt:i4>
      </vt:variant>
      <vt:variant>
        <vt:i4>0</vt:i4>
      </vt:variant>
      <vt:variant>
        <vt:i4>5</vt:i4>
      </vt:variant>
      <vt:variant>
        <vt:lpwstr/>
      </vt:variant>
      <vt:variant>
        <vt:lpwstr>_ENREF_16</vt:lpwstr>
      </vt:variant>
      <vt:variant>
        <vt:i4>4456459</vt:i4>
      </vt:variant>
      <vt:variant>
        <vt:i4>414</vt:i4>
      </vt:variant>
      <vt:variant>
        <vt:i4>0</vt:i4>
      </vt:variant>
      <vt:variant>
        <vt:i4>5</vt:i4>
      </vt:variant>
      <vt:variant>
        <vt:lpwstr/>
      </vt:variant>
      <vt:variant>
        <vt:lpwstr>_ENREF_5</vt:lpwstr>
      </vt:variant>
      <vt:variant>
        <vt:i4>4521995</vt:i4>
      </vt:variant>
      <vt:variant>
        <vt:i4>408</vt:i4>
      </vt:variant>
      <vt:variant>
        <vt:i4>0</vt:i4>
      </vt:variant>
      <vt:variant>
        <vt:i4>5</vt:i4>
      </vt:variant>
      <vt:variant>
        <vt:lpwstr/>
      </vt:variant>
      <vt:variant>
        <vt:lpwstr>_ENREF_4</vt:lpwstr>
      </vt:variant>
      <vt:variant>
        <vt:i4>4653067</vt:i4>
      </vt:variant>
      <vt:variant>
        <vt:i4>402</vt:i4>
      </vt:variant>
      <vt:variant>
        <vt:i4>0</vt:i4>
      </vt:variant>
      <vt:variant>
        <vt:i4>5</vt:i4>
      </vt:variant>
      <vt:variant>
        <vt:lpwstr/>
      </vt:variant>
      <vt:variant>
        <vt:lpwstr>_ENREF_6</vt:lpwstr>
      </vt:variant>
      <vt:variant>
        <vt:i4>4194315</vt:i4>
      </vt:variant>
      <vt:variant>
        <vt:i4>396</vt:i4>
      </vt:variant>
      <vt:variant>
        <vt:i4>0</vt:i4>
      </vt:variant>
      <vt:variant>
        <vt:i4>5</vt:i4>
      </vt:variant>
      <vt:variant>
        <vt:lpwstr/>
      </vt:variant>
      <vt:variant>
        <vt:lpwstr>_ENREF_15</vt:lpwstr>
      </vt:variant>
      <vt:variant>
        <vt:i4>4194315</vt:i4>
      </vt:variant>
      <vt:variant>
        <vt:i4>390</vt:i4>
      </vt:variant>
      <vt:variant>
        <vt:i4>0</vt:i4>
      </vt:variant>
      <vt:variant>
        <vt:i4>5</vt:i4>
      </vt:variant>
      <vt:variant>
        <vt:lpwstr/>
      </vt:variant>
      <vt:variant>
        <vt:lpwstr>_ENREF_12</vt:lpwstr>
      </vt:variant>
      <vt:variant>
        <vt:i4>4390923</vt:i4>
      </vt:variant>
      <vt:variant>
        <vt:i4>384</vt:i4>
      </vt:variant>
      <vt:variant>
        <vt:i4>0</vt:i4>
      </vt:variant>
      <vt:variant>
        <vt:i4>5</vt:i4>
      </vt:variant>
      <vt:variant>
        <vt:lpwstr/>
      </vt:variant>
      <vt:variant>
        <vt:lpwstr>_ENREF_2</vt:lpwstr>
      </vt:variant>
      <vt:variant>
        <vt:i4>4521995</vt:i4>
      </vt:variant>
      <vt:variant>
        <vt:i4>360</vt:i4>
      </vt:variant>
      <vt:variant>
        <vt:i4>0</vt:i4>
      </vt:variant>
      <vt:variant>
        <vt:i4>5</vt:i4>
      </vt:variant>
      <vt:variant>
        <vt:lpwstr/>
      </vt:variant>
      <vt:variant>
        <vt:lpwstr>_ENREF_41</vt:lpwstr>
      </vt:variant>
      <vt:variant>
        <vt:i4>4521995</vt:i4>
      </vt:variant>
      <vt:variant>
        <vt:i4>354</vt:i4>
      </vt:variant>
      <vt:variant>
        <vt:i4>0</vt:i4>
      </vt:variant>
      <vt:variant>
        <vt:i4>5</vt:i4>
      </vt:variant>
      <vt:variant>
        <vt:lpwstr/>
      </vt:variant>
      <vt:variant>
        <vt:lpwstr>_ENREF_41</vt:lpwstr>
      </vt:variant>
      <vt:variant>
        <vt:i4>4521995</vt:i4>
      </vt:variant>
      <vt:variant>
        <vt:i4>348</vt:i4>
      </vt:variant>
      <vt:variant>
        <vt:i4>0</vt:i4>
      </vt:variant>
      <vt:variant>
        <vt:i4>5</vt:i4>
      </vt:variant>
      <vt:variant>
        <vt:lpwstr/>
      </vt:variant>
      <vt:variant>
        <vt:lpwstr>_ENREF_40</vt:lpwstr>
      </vt:variant>
      <vt:variant>
        <vt:i4>4325387</vt:i4>
      </vt:variant>
      <vt:variant>
        <vt:i4>342</vt:i4>
      </vt:variant>
      <vt:variant>
        <vt:i4>0</vt:i4>
      </vt:variant>
      <vt:variant>
        <vt:i4>5</vt:i4>
      </vt:variant>
      <vt:variant>
        <vt:lpwstr/>
      </vt:variant>
      <vt:variant>
        <vt:lpwstr>_ENREF_32</vt:lpwstr>
      </vt:variant>
      <vt:variant>
        <vt:i4>4325387</vt:i4>
      </vt:variant>
      <vt:variant>
        <vt:i4>336</vt:i4>
      </vt:variant>
      <vt:variant>
        <vt:i4>0</vt:i4>
      </vt:variant>
      <vt:variant>
        <vt:i4>5</vt:i4>
      </vt:variant>
      <vt:variant>
        <vt:lpwstr/>
      </vt:variant>
      <vt:variant>
        <vt:lpwstr>_ENREF_39</vt:lpwstr>
      </vt:variant>
      <vt:variant>
        <vt:i4>4325387</vt:i4>
      </vt:variant>
      <vt:variant>
        <vt:i4>330</vt:i4>
      </vt:variant>
      <vt:variant>
        <vt:i4>0</vt:i4>
      </vt:variant>
      <vt:variant>
        <vt:i4>5</vt:i4>
      </vt:variant>
      <vt:variant>
        <vt:lpwstr/>
      </vt:variant>
      <vt:variant>
        <vt:lpwstr>_ENREF_39</vt:lpwstr>
      </vt:variant>
      <vt:variant>
        <vt:i4>4325387</vt:i4>
      </vt:variant>
      <vt:variant>
        <vt:i4>324</vt:i4>
      </vt:variant>
      <vt:variant>
        <vt:i4>0</vt:i4>
      </vt:variant>
      <vt:variant>
        <vt:i4>5</vt:i4>
      </vt:variant>
      <vt:variant>
        <vt:lpwstr/>
      </vt:variant>
      <vt:variant>
        <vt:lpwstr>_ENREF_38</vt:lpwstr>
      </vt:variant>
      <vt:variant>
        <vt:i4>4325387</vt:i4>
      </vt:variant>
      <vt:variant>
        <vt:i4>318</vt:i4>
      </vt:variant>
      <vt:variant>
        <vt:i4>0</vt:i4>
      </vt:variant>
      <vt:variant>
        <vt:i4>5</vt:i4>
      </vt:variant>
      <vt:variant>
        <vt:lpwstr/>
      </vt:variant>
      <vt:variant>
        <vt:lpwstr>_ENREF_37</vt:lpwstr>
      </vt:variant>
      <vt:variant>
        <vt:i4>4587531</vt:i4>
      </vt:variant>
      <vt:variant>
        <vt:i4>312</vt:i4>
      </vt:variant>
      <vt:variant>
        <vt:i4>0</vt:i4>
      </vt:variant>
      <vt:variant>
        <vt:i4>5</vt:i4>
      </vt:variant>
      <vt:variant>
        <vt:lpwstr/>
      </vt:variant>
      <vt:variant>
        <vt:lpwstr>_ENREF_7</vt:lpwstr>
      </vt:variant>
      <vt:variant>
        <vt:i4>4784139</vt:i4>
      </vt:variant>
      <vt:variant>
        <vt:i4>306</vt:i4>
      </vt:variant>
      <vt:variant>
        <vt:i4>0</vt:i4>
      </vt:variant>
      <vt:variant>
        <vt:i4>5</vt:i4>
      </vt:variant>
      <vt:variant>
        <vt:lpwstr/>
      </vt:variant>
      <vt:variant>
        <vt:lpwstr>_ENREF_8</vt:lpwstr>
      </vt:variant>
      <vt:variant>
        <vt:i4>4325387</vt:i4>
      </vt:variant>
      <vt:variant>
        <vt:i4>300</vt:i4>
      </vt:variant>
      <vt:variant>
        <vt:i4>0</vt:i4>
      </vt:variant>
      <vt:variant>
        <vt:i4>5</vt:i4>
      </vt:variant>
      <vt:variant>
        <vt:lpwstr/>
      </vt:variant>
      <vt:variant>
        <vt:lpwstr>_ENREF_36</vt:lpwstr>
      </vt:variant>
      <vt:variant>
        <vt:i4>4325387</vt:i4>
      </vt:variant>
      <vt:variant>
        <vt:i4>294</vt:i4>
      </vt:variant>
      <vt:variant>
        <vt:i4>0</vt:i4>
      </vt:variant>
      <vt:variant>
        <vt:i4>5</vt:i4>
      </vt:variant>
      <vt:variant>
        <vt:lpwstr/>
      </vt:variant>
      <vt:variant>
        <vt:lpwstr>_ENREF_35</vt:lpwstr>
      </vt:variant>
      <vt:variant>
        <vt:i4>4325387</vt:i4>
      </vt:variant>
      <vt:variant>
        <vt:i4>288</vt:i4>
      </vt:variant>
      <vt:variant>
        <vt:i4>0</vt:i4>
      </vt:variant>
      <vt:variant>
        <vt:i4>5</vt:i4>
      </vt:variant>
      <vt:variant>
        <vt:lpwstr/>
      </vt:variant>
      <vt:variant>
        <vt:lpwstr>_ENREF_34</vt:lpwstr>
      </vt:variant>
      <vt:variant>
        <vt:i4>4325387</vt:i4>
      </vt:variant>
      <vt:variant>
        <vt:i4>282</vt:i4>
      </vt:variant>
      <vt:variant>
        <vt:i4>0</vt:i4>
      </vt:variant>
      <vt:variant>
        <vt:i4>5</vt:i4>
      </vt:variant>
      <vt:variant>
        <vt:lpwstr/>
      </vt:variant>
      <vt:variant>
        <vt:lpwstr>_ENREF_33</vt:lpwstr>
      </vt:variant>
      <vt:variant>
        <vt:i4>4718603</vt:i4>
      </vt:variant>
      <vt:variant>
        <vt:i4>276</vt:i4>
      </vt:variant>
      <vt:variant>
        <vt:i4>0</vt:i4>
      </vt:variant>
      <vt:variant>
        <vt:i4>5</vt:i4>
      </vt:variant>
      <vt:variant>
        <vt:lpwstr/>
      </vt:variant>
      <vt:variant>
        <vt:lpwstr>_ENREF_9</vt:lpwstr>
      </vt:variant>
      <vt:variant>
        <vt:i4>4325387</vt:i4>
      </vt:variant>
      <vt:variant>
        <vt:i4>270</vt:i4>
      </vt:variant>
      <vt:variant>
        <vt:i4>0</vt:i4>
      </vt:variant>
      <vt:variant>
        <vt:i4>5</vt:i4>
      </vt:variant>
      <vt:variant>
        <vt:lpwstr/>
      </vt:variant>
      <vt:variant>
        <vt:lpwstr>_ENREF_32</vt:lpwstr>
      </vt:variant>
      <vt:variant>
        <vt:i4>4325387</vt:i4>
      </vt:variant>
      <vt:variant>
        <vt:i4>264</vt:i4>
      </vt:variant>
      <vt:variant>
        <vt:i4>0</vt:i4>
      </vt:variant>
      <vt:variant>
        <vt:i4>5</vt:i4>
      </vt:variant>
      <vt:variant>
        <vt:lpwstr/>
      </vt:variant>
      <vt:variant>
        <vt:lpwstr>_ENREF_31</vt:lpwstr>
      </vt:variant>
      <vt:variant>
        <vt:i4>4194315</vt:i4>
      </vt:variant>
      <vt:variant>
        <vt:i4>258</vt:i4>
      </vt:variant>
      <vt:variant>
        <vt:i4>0</vt:i4>
      </vt:variant>
      <vt:variant>
        <vt:i4>5</vt:i4>
      </vt:variant>
      <vt:variant>
        <vt:lpwstr/>
      </vt:variant>
      <vt:variant>
        <vt:lpwstr>_ENREF_13</vt:lpwstr>
      </vt:variant>
      <vt:variant>
        <vt:i4>4194315</vt:i4>
      </vt:variant>
      <vt:variant>
        <vt:i4>252</vt:i4>
      </vt:variant>
      <vt:variant>
        <vt:i4>0</vt:i4>
      </vt:variant>
      <vt:variant>
        <vt:i4>5</vt:i4>
      </vt:variant>
      <vt:variant>
        <vt:lpwstr/>
      </vt:variant>
      <vt:variant>
        <vt:lpwstr>_ENREF_14</vt:lpwstr>
      </vt:variant>
      <vt:variant>
        <vt:i4>4194315</vt:i4>
      </vt:variant>
      <vt:variant>
        <vt:i4>246</vt:i4>
      </vt:variant>
      <vt:variant>
        <vt:i4>0</vt:i4>
      </vt:variant>
      <vt:variant>
        <vt:i4>5</vt:i4>
      </vt:variant>
      <vt:variant>
        <vt:lpwstr/>
      </vt:variant>
      <vt:variant>
        <vt:lpwstr>_ENREF_15</vt:lpwstr>
      </vt:variant>
      <vt:variant>
        <vt:i4>4325387</vt:i4>
      </vt:variant>
      <vt:variant>
        <vt:i4>240</vt:i4>
      </vt:variant>
      <vt:variant>
        <vt:i4>0</vt:i4>
      </vt:variant>
      <vt:variant>
        <vt:i4>5</vt:i4>
      </vt:variant>
      <vt:variant>
        <vt:lpwstr/>
      </vt:variant>
      <vt:variant>
        <vt:lpwstr>_ENREF_30</vt:lpwstr>
      </vt:variant>
      <vt:variant>
        <vt:i4>4390923</vt:i4>
      </vt:variant>
      <vt:variant>
        <vt:i4>234</vt:i4>
      </vt:variant>
      <vt:variant>
        <vt:i4>0</vt:i4>
      </vt:variant>
      <vt:variant>
        <vt:i4>5</vt:i4>
      </vt:variant>
      <vt:variant>
        <vt:lpwstr/>
      </vt:variant>
      <vt:variant>
        <vt:lpwstr>_ENREF_29</vt:lpwstr>
      </vt:variant>
      <vt:variant>
        <vt:i4>4194315</vt:i4>
      </vt:variant>
      <vt:variant>
        <vt:i4>228</vt:i4>
      </vt:variant>
      <vt:variant>
        <vt:i4>0</vt:i4>
      </vt:variant>
      <vt:variant>
        <vt:i4>5</vt:i4>
      </vt:variant>
      <vt:variant>
        <vt:lpwstr/>
      </vt:variant>
      <vt:variant>
        <vt:lpwstr>_ENREF_16</vt:lpwstr>
      </vt:variant>
      <vt:variant>
        <vt:i4>4390923</vt:i4>
      </vt:variant>
      <vt:variant>
        <vt:i4>222</vt:i4>
      </vt:variant>
      <vt:variant>
        <vt:i4>0</vt:i4>
      </vt:variant>
      <vt:variant>
        <vt:i4>5</vt:i4>
      </vt:variant>
      <vt:variant>
        <vt:lpwstr/>
      </vt:variant>
      <vt:variant>
        <vt:lpwstr>_ENREF_28</vt:lpwstr>
      </vt:variant>
      <vt:variant>
        <vt:i4>4390923</vt:i4>
      </vt:variant>
      <vt:variant>
        <vt:i4>216</vt:i4>
      </vt:variant>
      <vt:variant>
        <vt:i4>0</vt:i4>
      </vt:variant>
      <vt:variant>
        <vt:i4>5</vt:i4>
      </vt:variant>
      <vt:variant>
        <vt:lpwstr/>
      </vt:variant>
      <vt:variant>
        <vt:lpwstr>_ENREF_27</vt:lpwstr>
      </vt:variant>
      <vt:variant>
        <vt:i4>4653067</vt:i4>
      </vt:variant>
      <vt:variant>
        <vt:i4>210</vt:i4>
      </vt:variant>
      <vt:variant>
        <vt:i4>0</vt:i4>
      </vt:variant>
      <vt:variant>
        <vt:i4>5</vt:i4>
      </vt:variant>
      <vt:variant>
        <vt:lpwstr/>
      </vt:variant>
      <vt:variant>
        <vt:lpwstr>_ENREF_6</vt:lpwstr>
      </vt:variant>
      <vt:variant>
        <vt:i4>4390923</vt:i4>
      </vt:variant>
      <vt:variant>
        <vt:i4>204</vt:i4>
      </vt:variant>
      <vt:variant>
        <vt:i4>0</vt:i4>
      </vt:variant>
      <vt:variant>
        <vt:i4>5</vt:i4>
      </vt:variant>
      <vt:variant>
        <vt:lpwstr/>
      </vt:variant>
      <vt:variant>
        <vt:lpwstr>_ENREF_26</vt:lpwstr>
      </vt:variant>
      <vt:variant>
        <vt:i4>4390923</vt:i4>
      </vt:variant>
      <vt:variant>
        <vt:i4>198</vt:i4>
      </vt:variant>
      <vt:variant>
        <vt:i4>0</vt:i4>
      </vt:variant>
      <vt:variant>
        <vt:i4>5</vt:i4>
      </vt:variant>
      <vt:variant>
        <vt:lpwstr/>
      </vt:variant>
      <vt:variant>
        <vt:lpwstr>_ENREF_21</vt:lpwstr>
      </vt:variant>
      <vt:variant>
        <vt:i4>4390923</vt:i4>
      </vt:variant>
      <vt:variant>
        <vt:i4>192</vt:i4>
      </vt:variant>
      <vt:variant>
        <vt:i4>0</vt:i4>
      </vt:variant>
      <vt:variant>
        <vt:i4>5</vt:i4>
      </vt:variant>
      <vt:variant>
        <vt:lpwstr/>
      </vt:variant>
      <vt:variant>
        <vt:lpwstr>_ENREF_25</vt:lpwstr>
      </vt:variant>
      <vt:variant>
        <vt:i4>4390923</vt:i4>
      </vt:variant>
      <vt:variant>
        <vt:i4>186</vt:i4>
      </vt:variant>
      <vt:variant>
        <vt:i4>0</vt:i4>
      </vt:variant>
      <vt:variant>
        <vt:i4>5</vt:i4>
      </vt:variant>
      <vt:variant>
        <vt:lpwstr/>
      </vt:variant>
      <vt:variant>
        <vt:lpwstr>_ENREF_20</vt:lpwstr>
      </vt:variant>
      <vt:variant>
        <vt:i4>4325387</vt:i4>
      </vt:variant>
      <vt:variant>
        <vt:i4>180</vt:i4>
      </vt:variant>
      <vt:variant>
        <vt:i4>0</vt:i4>
      </vt:variant>
      <vt:variant>
        <vt:i4>5</vt:i4>
      </vt:variant>
      <vt:variant>
        <vt:lpwstr/>
      </vt:variant>
      <vt:variant>
        <vt:lpwstr>_ENREF_3</vt:lpwstr>
      </vt:variant>
      <vt:variant>
        <vt:i4>4390923</vt:i4>
      </vt:variant>
      <vt:variant>
        <vt:i4>174</vt:i4>
      </vt:variant>
      <vt:variant>
        <vt:i4>0</vt:i4>
      </vt:variant>
      <vt:variant>
        <vt:i4>5</vt:i4>
      </vt:variant>
      <vt:variant>
        <vt:lpwstr/>
      </vt:variant>
      <vt:variant>
        <vt:lpwstr>_ENREF_24</vt:lpwstr>
      </vt:variant>
      <vt:variant>
        <vt:i4>4194315</vt:i4>
      </vt:variant>
      <vt:variant>
        <vt:i4>168</vt:i4>
      </vt:variant>
      <vt:variant>
        <vt:i4>0</vt:i4>
      </vt:variant>
      <vt:variant>
        <vt:i4>5</vt:i4>
      </vt:variant>
      <vt:variant>
        <vt:lpwstr/>
      </vt:variant>
      <vt:variant>
        <vt:lpwstr>_ENREF_13</vt:lpwstr>
      </vt:variant>
      <vt:variant>
        <vt:i4>4456459</vt:i4>
      </vt:variant>
      <vt:variant>
        <vt:i4>162</vt:i4>
      </vt:variant>
      <vt:variant>
        <vt:i4>0</vt:i4>
      </vt:variant>
      <vt:variant>
        <vt:i4>5</vt:i4>
      </vt:variant>
      <vt:variant>
        <vt:lpwstr/>
      </vt:variant>
      <vt:variant>
        <vt:lpwstr>_ENREF_5</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144</vt:i4>
      </vt:variant>
      <vt:variant>
        <vt:i4>0</vt:i4>
      </vt:variant>
      <vt:variant>
        <vt:i4>5</vt:i4>
      </vt:variant>
      <vt:variant>
        <vt:lpwstr/>
      </vt:variant>
      <vt:variant>
        <vt:lpwstr>_ENREF_21</vt:lpwstr>
      </vt:variant>
      <vt:variant>
        <vt:i4>4390923</vt:i4>
      </vt:variant>
      <vt:variant>
        <vt:i4>138</vt:i4>
      </vt:variant>
      <vt:variant>
        <vt:i4>0</vt:i4>
      </vt:variant>
      <vt:variant>
        <vt:i4>5</vt:i4>
      </vt:variant>
      <vt:variant>
        <vt:lpwstr/>
      </vt:variant>
      <vt:variant>
        <vt:lpwstr>_ENREF_20</vt:lpwstr>
      </vt:variant>
      <vt:variant>
        <vt:i4>4194315</vt:i4>
      </vt:variant>
      <vt:variant>
        <vt:i4>132</vt:i4>
      </vt:variant>
      <vt:variant>
        <vt:i4>0</vt:i4>
      </vt:variant>
      <vt:variant>
        <vt:i4>5</vt:i4>
      </vt:variant>
      <vt:variant>
        <vt:lpwstr/>
      </vt:variant>
      <vt:variant>
        <vt:lpwstr>_ENREF_19</vt:lpwstr>
      </vt:variant>
      <vt:variant>
        <vt:i4>4194315</vt:i4>
      </vt:variant>
      <vt:variant>
        <vt:i4>126</vt:i4>
      </vt:variant>
      <vt:variant>
        <vt:i4>0</vt:i4>
      </vt:variant>
      <vt:variant>
        <vt:i4>5</vt:i4>
      </vt:variant>
      <vt:variant>
        <vt:lpwstr/>
      </vt:variant>
      <vt:variant>
        <vt:lpwstr>_ENREF_18</vt:lpwstr>
      </vt:variant>
      <vt:variant>
        <vt:i4>4194315</vt:i4>
      </vt:variant>
      <vt:variant>
        <vt:i4>120</vt:i4>
      </vt:variant>
      <vt:variant>
        <vt:i4>0</vt:i4>
      </vt:variant>
      <vt:variant>
        <vt:i4>5</vt:i4>
      </vt:variant>
      <vt:variant>
        <vt:lpwstr/>
      </vt:variant>
      <vt:variant>
        <vt:lpwstr>_ENREF_17</vt:lpwstr>
      </vt:variant>
      <vt:variant>
        <vt:i4>4194315</vt:i4>
      </vt:variant>
      <vt:variant>
        <vt:i4>114</vt:i4>
      </vt:variant>
      <vt:variant>
        <vt:i4>0</vt:i4>
      </vt:variant>
      <vt:variant>
        <vt:i4>5</vt:i4>
      </vt:variant>
      <vt:variant>
        <vt:lpwstr/>
      </vt:variant>
      <vt:variant>
        <vt:lpwstr>_ENREF_16</vt:lpwstr>
      </vt:variant>
      <vt:variant>
        <vt:i4>4194315</vt:i4>
      </vt:variant>
      <vt:variant>
        <vt:i4>108</vt:i4>
      </vt:variant>
      <vt:variant>
        <vt:i4>0</vt:i4>
      </vt:variant>
      <vt:variant>
        <vt:i4>5</vt:i4>
      </vt:variant>
      <vt:variant>
        <vt:lpwstr/>
      </vt:variant>
      <vt:variant>
        <vt:lpwstr>_ENREF_15</vt:lpwstr>
      </vt:variant>
      <vt:variant>
        <vt:i4>4194315</vt:i4>
      </vt:variant>
      <vt:variant>
        <vt:i4>102</vt:i4>
      </vt:variant>
      <vt:variant>
        <vt:i4>0</vt:i4>
      </vt:variant>
      <vt:variant>
        <vt:i4>5</vt:i4>
      </vt:variant>
      <vt:variant>
        <vt:lpwstr/>
      </vt:variant>
      <vt:variant>
        <vt:lpwstr>_ENREF_14</vt:lpwstr>
      </vt:variant>
      <vt:variant>
        <vt:i4>4194315</vt:i4>
      </vt:variant>
      <vt:variant>
        <vt:i4>96</vt:i4>
      </vt:variant>
      <vt:variant>
        <vt:i4>0</vt:i4>
      </vt:variant>
      <vt:variant>
        <vt:i4>5</vt:i4>
      </vt:variant>
      <vt:variant>
        <vt:lpwstr/>
      </vt:variant>
      <vt:variant>
        <vt:lpwstr>_ENREF_12</vt:lpwstr>
      </vt:variant>
      <vt:variant>
        <vt:i4>4194315</vt:i4>
      </vt:variant>
      <vt:variant>
        <vt:i4>90</vt:i4>
      </vt:variant>
      <vt:variant>
        <vt:i4>0</vt:i4>
      </vt:variant>
      <vt:variant>
        <vt:i4>5</vt:i4>
      </vt:variant>
      <vt:variant>
        <vt:lpwstr/>
      </vt:variant>
      <vt:variant>
        <vt:lpwstr>_ENREF_13</vt:lpwstr>
      </vt:variant>
      <vt:variant>
        <vt:i4>4194315</vt:i4>
      </vt:variant>
      <vt:variant>
        <vt:i4>84</vt:i4>
      </vt:variant>
      <vt:variant>
        <vt:i4>0</vt:i4>
      </vt:variant>
      <vt:variant>
        <vt:i4>5</vt:i4>
      </vt:variant>
      <vt:variant>
        <vt:lpwstr/>
      </vt:variant>
      <vt:variant>
        <vt:lpwstr>_ENREF_12</vt:lpwstr>
      </vt:variant>
      <vt:variant>
        <vt:i4>4194315</vt:i4>
      </vt:variant>
      <vt:variant>
        <vt:i4>78</vt:i4>
      </vt:variant>
      <vt:variant>
        <vt:i4>0</vt:i4>
      </vt:variant>
      <vt:variant>
        <vt:i4>5</vt:i4>
      </vt:variant>
      <vt:variant>
        <vt:lpwstr/>
      </vt:variant>
      <vt:variant>
        <vt:lpwstr>_ENREF_11</vt:lpwstr>
      </vt:variant>
      <vt:variant>
        <vt:i4>4587531</vt:i4>
      </vt:variant>
      <vt:variant>
        <vt:i4>72</vt:i4>
      </vt:variant>
      <vt:variant>
        <vt:i4>0</vt:i4>
      </vt:variant>
      <vt:variant>
        <vt:i4>5</vt:i4>
      </vt:variant>
      <vt:variant>
        <vt:lpwstr/>
      </vt:variant>
      <vt:variant>
        <vt:lpwstr>_ENREF_7</vt:lpwstr>
      </vt:variant>
      <vt:variant>
        <vt:i4>4194315</vt:i4>
      </vt:variant>
      <vt:variant>
        <vt:i4>66</vt:i4>
      </vt:variant>
      <vt:variant>
        <vt:i4>0</vt:i4>
      </vt:variant>
      <vt:variant>
        <vt:i4>5</vt:i4>
      </vt:variant>
      <vt:variant>
        <vt:lpwstr/>
      </vt:variant>
      <vt:variant>
        <vt:lpwstr>_ENREF_10</vt:lpwstr>
      </vt:variant>
      <vt:variant>
        <vt:i4>4784139</vt:i4>
      </vt:variant>
      <vt:variant>
        <vt:i4>60</vt:i4>
      </vt:variant>
      <vt:variant>
        <vt:i4>0</vt:i4>
      </vt:variant>
      <vt:variant>
        <vt:i4>5</vt:i4>
      </vt:variant>
      <vt:variant>
        <vt:lpwstr/>
      </vt:variant>
      <vt:variant>
        <vt:lpwstr>_ENREF_8</vt:lpwstr>
      </vt:variant>
      <vt:variant>
        <vt:i4>4718603</vt:i4>
      </vt:variant>
      <vt:variant>
        <vt:i4>54</vt:i4>
      </vt:variant>
      <vt:variant>
        <vt:i4>0</vt:i4>
      </vt:variant>
      <vt:variant>
        <vt:i4>5</vt:i4>
      </vt:variant>
      <vt:variant>
        <vt:lpwstr/>
      </vt:variant>
      <vt:variant>
        <vt:lpwstr>_ENREF_9</vt:lpwstr>
      </vt:variant>
      <vt:variant>
        <vt:i4>4784139</vt:i4>
      </vt:variant>
      <vt:variant>
        <vt:i4>48</vt:i4>
      </vt:variant>
      <vt:variant>
        <vt:i4>0</vt:i4>
      </vt:variant>
      <vt:variant>
        <vt:i4>5</vt:i4>
      </vt:variant>
      <vt:variant>
        <vt:lpwstr/>
      </vt:variant>
      <vt:variant>
        <vt:lpwstr>_ENREF_8</vt:lpwstr>
      </vt:variant>
      <vt:variant>
        <vt:i4>4587531</vt:i4>
      </vt:variant>
      <vt:variant>
        <vt:i4>42</vt:i4>
      </vt:variant>
      <vt:variant>
        <vt:i4>0</vt:i4>
      </vt:variant>
      <vt:variant>
        <vt:i4>5</vt:i4>
      </vt:variant>
      <vt:variant>
        <vt:lpwstr/>
      </vt:variant>
      <vt:variant>
        <vt:lpwstr>_ENREF_7</vt:lpwstr>
      </vt:variant>
      <vt:variant>
        <vt:i4>4653067</vt:i4>
      </vt:variant>
      <vt:variant>
        <vt:i4>36</vt:i4>
      </vt:variant>
      <vt:variant>
        <vt:i4>0</vt:i4>
      </vt:variant>
      <vt:variant>
        <vt:i4>5</vt:i4>
      </vt:variant>
      <vt:variant>
        <vt:lpwstr/>
      </vt:variant>
      <vt:variant>
        <vt:lpwstr>_ENREF_6</vt:lpwstr>
      </vt:variant>
      <vt:variant>
        <vt:i4>4390923</vt:i4>
      </vt:variant>
      <vt:variant>
        <vt:i4>30</vt:i4>
      </vt:variant>
      <vt:variant>
        <vt:i4>0</vt:i4>
      </vt:variant>
      <vt:variant>
        <vt:i4>5</vt:i4>
      </vt:variant>
      <vt:variant>
        <vt:lpwstr/>
      </vt:variant>
      <vt:variant>
        <vt:lpwstr>_ENREF_2</vt:lpwstr>
      </vt:variant>
      <vt:variant>
        <vt:i4>4456459</vt:i4>
      </vt:variant>
      <vt:variant>
        <vt:i4>24</vt:i4>
      </vt:variant>
      <vt:variant>
        <vt:i4>0</vt:i4>
      </vt:variant>
      <vt:variant>
        <vt:i4>5</vt:i4>
      </vt:variant>
      <vt:variant>
        <vt:lpwstr/>
      </vt:variant>
      <vt:variant>
        <vt:lpwstr>_ENREF_5</vt:lpwstr>
      </vt:variant>
      <vt:variant>
        <vt:i4>4521995</vt:i4>
      </vt:variant>
      <vt:variant>
        <vt:i4>18</vt:i4>
      </vt:variant>
      <vt:variant>
        <vt:i4>0</vt:i4>
      </vt:variant>
      <vt:variant>
        <vt:i4>5</vt:i4>
      </vt:variant>
      <vt:variant>
        <vt:lpwstr/>
      </vt:variant>
      <vt:variant>
        <vt:lpwstr>_ENREF_4</vt:lpwstr>
      </vt:variant>
      <vt:variant>
        <vt:i4>4325387</vt:i4>
      </vt:variant>
      <vt:variant>
        <vt:i4>12</vt:i4>
      </vt:variant>
      <vt:variant>
        <vt:i4>0</vt:i4>
      </vt:variant>
      <vt:variant>
        <vt:i4>5</vt:i4>
      </vt:variant>
      <vt:variant>
        <vt:lpwstr/>
      </vt:variant>
      <vt:variant>
        <vt:lpwstr>_ENREF_3</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macbook</cp:lastModifiedBy>
  <cp:revision>15</cp:revision>
  <cp:lastPrinted>2019-05-17T01:00:00Z</cp:lastPrinted>
  <dcterms:created xsi:type="dcterms:W3CDTF">2025-07-13T03:52:00Z</dcterms:created>
  <dcterms:modified xsi:type="dcterms:W3CDTF">2025-07-15T14:44:00Z</dcterms:modified>
</cp:coreProperties>
</file>