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9A" w:rsidRDefault="0063329A">
      <w:pPr>
        <w:rPr>
          <w:lang w:val="vi-VN"/>
        </w:rPr>
      </w:pPr>
    </w:p>
    <w:p w:rsidR="0063329A" w:rsidRDefault="0063329A">
      <w:pPr>
        <w:rPr>
          <w:lang w:val="vi-VN"/>
        </w:rPr>
      </w:pPr>
    </w:p>
    <w:p w:rsidR="0063329A" w:rsidRDefault="0063329A" w:rsidP="0063329A">
      <w:pPr>
        <w:jc w:val="center"/>
        <w:rPr>
          <w:rFonts w:ascii="Arial" w:hAnsi="Arial" w:cs="Arial"/>
          <w:b/>
          <w:sz w:val="32"/>
          <w:szCs w:val="32"/>
          <w:lang w:val="vi-VN"/>
        </w:rPr>
      </w:pPr>
      <w:r w:rsidRPr="0063329A">
        <w:rPr>
          <w:rFonts w:ascii="Arial" w:hAnsi="Arial" w:cs="Arial"/>
          <w:b/>
          <w:sz w:val="32"/>
          <w:szCs w:val="32"/>
          <w:lang w:val="vi-VN"/>
        </w:rPr>
        <w:t xml:space="preserve">The </w:t>
      </w:r>
      <w:r w:rsidR="007F2B84">
        <w:rPr>
          <w:rFonts w:ascii="Arial" w:hAnsi="Arial" w:cs="Arial"/>
          <w:b/>
          <w:sz w:val="32"/>
          <w:szCs w:val="32"/>
        </w:rPr>
        <w:t>i</w:t>
      </w:r>
      <w:r w:rsidRPr="0063329A">
        <w:rPr>
          <w:rFonts w:ascii="Arial" w:hAnsi="Arial" w:cs="Arial"/>
          <w:b/>
          <w:sz w:val="32"/>
          <w:szCs w:val="32"/>
          <w:lang w:val="vi-VN"/>
        </w:rPr>
        <w:t xml:space="preserve">mpact of </w:t>
      </w:r>
      <w:r w:rsidR="007F2B84">
        <w:rPr>
          <w:rFonts w:ascii="Arial" w:hAnsi="Arial" w:cs="Arial"/>
          <w:b/>
          <w:sz w:val="32"/>
          <w:szCs w:val="32"/>
        </w:rPr>
        <w:t>v</w:t>
      </w:r>
      <w:r w:rsidRPr="0063329A">
        <w:rPr>
          <w:rFonts w:ascii="Arial" w:hAnsi="Arial" w:cs="Arial"/>
          <w:b/>
          <w:sz w:val="32"/>
          <w:szCs w:val="32"/>
          <w:lang w:val="vi-VN"/>
        </w:rPr>
        <w:t xml:space="preserve">isibility on </w:t>
      </w:r>
      <w:r w:rsidR="007F2B84">
        <w:rPr>
          <w:rFonts w:ascii="Arial" w:hAnsi="Arial" w:cs="Arial"/>
          <w:b/>
          <w:sz w:val="32"/>
          <w:szCs w:val="32"/>
        </w:rPr>
        <w:t>s</w:t>
      </w:r>
      <w:r w:rsidRPr="0063329A">
        <w:rPr>
          <w:rFonts w:ascii="Arial" w:hAnsi="Arial" w:cs="Arial"/>
          <w:b/>
          <w:sz w:val="32"/>
          <w:szCs w:val="32"/>
          <w:lang w:val="vi-VN"/>
        </w:rPr>
        <w:t xml:space="preserve">upply </w:t>
      </w:r>
      <w:r w:rsidR="007F2B84">
        <w:rPr>
          <w:rFonts w:ascii="Arial" w:hAnsi="Arial" w:cs="Arial"/>
          <w:b/>
          <w:sz w:val="32"/>
          <w:szCs w:val="32"/>
        </w:rPr>
        <w:t>c</w:t>
      </w:r>
      <w:r w:rsidRPr="0063329A">
        <w:rPr>
          <w:rFonts w:ascii="Arial" w:hAnsi="Arial" w:cs="Arial"/>
          <w:b/>
          <w:sz w:val="32"/>
          <w:szCs w:val="32"/>
          <w:lang w:val="vi-VN"/>
        </w:rPr>
        <w:t xml:space="preserve">hain </w:t>
      </w:r>
      <w:r w:rsidR="007F2B84">
        <w:rPr>
          <w:rFonts w:ascii="Arial" w:hAnsi="Arial" w:cs="Arial"/>
          <w:b/>
          <w:sz w:val="32"/>
          <w:szCs w:val="32"/>
        </w:rPr>
        <w:t>p</w:t>
      </w:r>
      <w:r w:rsidRPr="0063329A">
        <w:rPr>
          <w:rFonts w:ascii="Arial" w:hAnsi="Arial" w:cs="Arial"/>
          <w:b/>
          <w:sz w:val="32"/>
          <w:szCs w:val="32"/>
          <w:lang w:val="vi-VN"/>
        </w:rPr>
        <w:t xml:space="preserve">erformance in </w:t>
      </w:r>
      <w:r w:rsidR="007F2B84">
        <w:rPr>
          <w:rFonts w:ascii="Arial" w:hAnsi="Arial" w:cs="Arial"/>
          <w:b/>
          <w:sz w:val="32"/>
          <w:szCs w:val="32"/>
        </w:rPr>
        <w:t>m</w:t>
      </w:r>
      <w:r w:rsidRPr="0063329A">
        <w:rPr>
          <w:rFonts w:ascii="Arial" w:hAnsi="Arial" w:cs="Arial"/>
          <w:b/>
          <w:sz w:val="32"/>
          <w:szCs w:val="32"/>
          <w:lang w:val="vi-VN"/>
        </w:rPr>
        <w:t xml:space="preserve">anufacturing </w:t>
      </w:r>
      <w:r w:rsidR="007F2B84">
        <w:rPr>
          <w:rFonts w:ascii="Arial" w:hAnsi="Arial" w:cs="Arial"/>
          <w:b/>
          <w:sz w:val="32"/>
          <w:szCs w:val="32"/>
        </w:rPr>
        <w:t>e</w:t>
      </w:r>
      <w:r w:rsidRPr="0063329A">
        <w:rPr>
          <w:rFonts w:ascii="Arial" w:hAnsi="Arial" w:cs="Arial"/>
          <w:b/>
          <w:sz w:val="32"/>
          <w:szCs w:val="32"/>
          <w:lang w:val="vi-VN"/>
        </w:rPr>
        <w:t>nterprises in Vietnam</w:t>
      </w:r>
    </w:p>
    <w:p w:rsidR="0063329A" w:rsidRPr="007F2B84" w:rsidRDefault="0063329A" w:rsidP="0063329A">
      <w:pPr>
        <w:jc w:val="center"/>
        <w:rPr>
          <w:rFonts w:ascii="Arial" w:hAnsi="Arial" w:cs="Arial"/>
          <w:sz w:val="28"/>
          <w:szCs w:val="28"/>
          <w:lang w:val="vi-VN"/>
        </w:rPr>
      </w:pPr>
    </w:p>
    <w:p w:rsidR="0063329A" w:rsidRDefault="007F2B84" w:rsidP="0063329A">
      <w:pPr>
        <w:spacing w:after="0" w:line="240" w:lineRule="auto"/>
        <w:jc w:val="center"/>
        <w:rPr>
          <w:rFonts w:ascii="Times New Roman" w:hAnsi="Times New Roman"/>
          <w:b/>
          <w:bCs/>
          <w:sz w:val="24"/>
          <w:szCs w:val="24"/>
        </w:rPr>
      </w:pPr>
      <w:r>
        <w:rPr>
          <w:rFonts w:ascii="Times New Roman" w:hAnsi="Times New Roman"/>
          <w:b/>
          <w:bCs/>
          <w:sz w:val="24"/>
          <w:szCs w:val="24"/>
        </w:rPr>
        <w:t>Tran Thi Thanh Nhan</w:t>
      </w:r>
      <w:r w:rsidR="0063329A">
        <w:rPr>
          <w:rFonts w:ascii="Times New Roman" w:hAnsi="Times New Roman"/>
          <w:b/>
          <w:bCs/>
          <w:sz w:val="24"/>
          <w:szCs w:val="24"/>
          <w:vertAlign w:val="superscript"/>
        </w:rPr>
        <w:t>1</w:t>
      </w:r>
      <w:r w:rsidR="0063329A" w:rsidRPr="003A005A">
        <w:rPr>
          <w:rFonts w:ascii="Times New Roman" w:hAnsi="Times New Roman"/>
          <w:b/>
          <w:bCs/>
          <w:sz w:val="24"/>
          <w:szCs w:val="24"/>
          <w:vertAlign w:val="superscript"/>
        </w:rPr>
        <w:t>*</w:t>
      </w:r>
      <w:r w:rsidR="0063329A" w:rsidRPr="003A005A">
        <w:rPr>
          <w:rFonts w:ascii="Times New Roman" w:hAnsi="Times New Roman"/>
          <w:b/>
          <w:bCs/>
          <w:sz w:val="24"/>
          <w:szCs w:val="24"/>
        </w:rPr>
        <w:t xml:space="preserve">, </w:t>
      </w:r>
      <w:r>
        <w:rPr>
          <w:rFonts w:ascii="Times New Roman" w:hAnsi="Times New Roman"/>
          <w:b/>
          <w:bCs/>
          <w:sz w:val="24"/>
          <w:szCs w:val="24"/>
        </w:rPr>
        <w:t>Nguyen Thi Thuy Giang</w:t>
      </w:r>
      <w:r w:rsidR="0063329A">
        <w:rPr>
          <w:rFonts w:ascii="Times New Roman" w:hAnsi="Times New Roman"/>
          <w:b/>
          <w:bCs/>
          <w:sz w:val="24"/>
          <w:szCs w:val="24"/>
          <w:lang w:val="vi-VN"/>
        </w:rPr>
        <w:t xml:space="preserve">, </w:t>
      </w:r>
      <w:r>
        <w:rPr>
          <w:rFonts w:ascii="Times New Roman" w:hAnsi="Times New Roman"/>
          <w:b/>
          <w:bCs/>
          <w:sz w:val="24"/>
          <w:szCs w:val="24"/>
        </w:rPr>
        <w:t>Hoang Thi Hoai Huong</w:t>
      </w:r>
      <w:r w:rsidR="0063329A" w:rsidRPr="0066315F">
        <w:rPr>
          <w:rFonts w:ascii="Times New Roman" w:hAnsi="Times New Roman"/>
          <w:b/>
          <w:bCs/>
          <w:sz w:val="24"/>
          <w:szCs w:val="24"/>
          <w:vertAlign w:val="superscript"/>
          <w:lang w:val="vi-VN"/>
        </w:rPr>
        <w:t>3</w:t>
      </w:r>
      <w:r w:rsidR="0063329A">
        <w:rPr>
          <w:rFonts w:ascii="Times New Roman" w:hAnsi="Times New Roman"/>
          <w:b/>
          <w:bCs/>
          <w:sz w:val="24"/>
          <w:szCs w:val="24"/>
        </w:rPr>
        <w:t xml:space="preserve">, </w:t>
      </w:r>
    </w:p>
    <w:p w:rsidR="0063329A" w:rsidRPr="0066315F" w:rsidRDefault="007F2B84" w:rsidP="0063329A">
      <w:pPr>
        <w:spacing w:after="0" w:line="240" w:lineRule="auto"/>
        <w:jc w:val="center"/>
        <w:rPr>
          <w:rFonts w:ascii="Times New Roman" w:hAnsi="Times New Roman"/>
          <w:b/>
          <w:bCs/>
          <w:sz w:val="24"/>
          <w:szCs w:val="24"/>
          <w:vertAlign w:val="subscript"/>
        </w:rPr>
      </w:pPr>
      <w:r>
        <w:rPr>
          <w:rFonts w:ascii="Times New Roman" w:hAnsi="Times New Roman"/>
          <w:b/>
          <w:bCs/>
          <w:sz w:val="24"/>
          <w:szCs w:val="24"/>
        </w:rPr>
        <w:t>Nguyen Thi Thuy Dung</w:t>
      </w:r>
      <w:r w:rsidR="0063329A" w:rsidRPr="0066315F">
        <w:rPr>
          <w:rFonts w:ascii="Times New Roman" w:hAnsi="Times New Roman"/>
          <w:b/>
          <w:bCs/>
          <w:sz w:val="24"/>
          <w:szCs w:val="24"/>
          <w:vertAlign w:val="superscript"/>
          <w:lang w:val="vi-VN"/>
        </w:rPr>
        <w:t>4</w:t>
      </w:r>
      <w:r w:rsidR="0063329A">
        <w:rPr>
          <w:rFonts w:ascii="Times New Roman" w:hAnsi="Times New Roman"/>
          <w:b/>
          <w:bCs/>
          <w:sz w:val="24"/>
          <w:szCs w:val="24"/>
          <w:lang w:val="vi-VN"/>
        </w:rPr>
        <w:t>, H</w:t>
      </w:r>
      <w:r>
        <w:rPr>
          <w:rFonts w:ascii="Times New Roman" w:hAnsi="Times New Roman"/>
          <w:b/>
          <w:bCs/>
          <w:sz w:val="24"/>
          <w:szCs w:val="24"/>
        </w:rPr>
        <w:t>a Thao My</w:t>
      </w:r>
      <w:r w:rsidR="0063329A" w:rsidRPr="0066315F">
        <w:rPr>
          <w:rFonts w:ascii="Times New Roman" w:hAnsi="Times New Roman"/>
          <w:b/>
          <w:bCs/>
          <w:sz w:val="24"/>
          <w:szCs w:val="24"/>
          <w:vertAlign w:val="superscript"/>
          <w:lang w:val="vi-VN"/>
        </w:rPr>
        <w:t>5</w:t>
      </w:r>
      <w:r w:rsidR="0063329A">
        <w:rPr>
          <w:rFonts w:ascii="Times New Roman" w:hAnsi="Times New Roman"/>
          <w:b/>
          <w:bCs/>
          <w:sz w:val="24"/>
          <w:szCs w:val="24"/>
          <w:lang w:val="vi-VN"/>
        </w:rPr>
        <w:t xml:space="preserve"> </w:t>
      </w:r>
    </w:p>
    <w:p w:rsidR="0063329A" w:rsidRPr="007F2B84" w:rsidRDefault="0063329A" w:rsidP="0063329A">
      <w:pPr>
        <w:jc w:val="center"/>
        <w:rPr>
          <w:rFonts w:ascii="Arial" w:hAnsi="Arial" w:cs="Arial"/>
          <w:sz w:val="28"/>
          <w:szCs w:val="28"/>
          <w:lang w:val="vi-VN"/>
        </w:rPr>
      </w:pPr>
    </w:p>
    <w:p w:rsidR="0063329A" w:rsidRDefault="0063329A" w:rsidP="0063329A">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00156D79" w:rsidRPr="00156D79">
        <w:rPr>
          <w:rFonts w:ascii="Times New Roman" w:hAnsi="Times New Roman"/>
          <w:i/>
        </w:rPr>
        <w:t>Department of Economics and Accounting, Quy Nhon University, Vietnam</w:t>
      </w:r>
    </w:p>
    <w:p w:rsidR="0063329A" w:rsidRDefault="0063329A" w:rsidP="0063329A">
      <w:pPr>
        <w:spacing w:after="0" w:line="240" w:lineRule="auto"/>
        <w:jc w:val="center"/>
        <w:rPr>
          <w:rFonts w:ascii="Times New Roman" w:hAnsi="Times New Roman"/>
          <w:i/>
          <w:lang w:val="vi-VN"/>
        </w:rPr>
      </w:pPr>
      <w:r w:rsidRPr="0066315F">
        <w:rPr>
          <w:rFonts w:ascii="Times New Roman" w:hAnsi="Times New Roman"/>
          <w:i/>
          <w:vertAlign w:val="superscript"/>
          <w:lang w:val="vi-VN"/>
        </w:rPr>
        <w:t>5</w:t>
      </w:r>
      <w:r>
        <w:rPr>
          <w:rFonts w:ascii="Times New Roman" w:hAnsi="Times New Roman"/>
          <w:i/>
          <w:lang w:val="vi-VN"/>
        </w:rPr>
        <w:t xml:space="preserve"> </w:t>
      </w:r>
      <w:r w:rsidR="00156D79" w:rsidRPr="00156D79">
        <w:rPr>
          <w:rFonts w:ascii="Times New Roman" w:hAnsi="Times New Roman"/>
          <w:i/>
          <w:lang w:val="vi-VN"/>
        </w:rPr>
        <w:t>Department of Planning and Finance, Quy Nhon University, Vietnam</w:t>
      </w:r>
    </w:p>
    <w:p w:rsidR="00156D79" w:rsidRPr="003A005A" w:rsidRDefault="00156D79" w:rsidP="0063329A">
      <w:pPr>
        <w:spacing w:after="0" w:line="240" w:lineRule="auto"/>
        <w:jc w:val="center"/>
        <w:rPr>
          <w:rFonts w:ascii="Times New Roman" w:hAnsi="Times New Roman"/>
          <w:i/>
        </w:rPr>
      </w:pPr>
    </w:p>
    <w:p w:rsidR="0063329A" w:rsidRPr="0063329A" w:rsidRDefault="0063329A" w:rsidP="0063329A">
      <w:pPr>
        <w:ind w:right="70"/>
        <w:jc w:val="center"/>
        <w:rPr>
          <w:rFonts w:ascii="Times New Roman" w:hAnsi="Times New Roman" w:cs="Times New Roman"/>
          <w:i/>
        </w:rPr>
      </w:pPr>
      <w:r w:rsidRPr="0063329A">
        <w:rPr>
          <w:rFonts w:ascii="Times New Roman" w:hAnsi="Times New Roman" w:cs="Times New Roman"/>
          <w:i/>
        </w:rPr>
        <w:t>Received: dd/mm/yyyy; Revised: dd/mm/yyyy;</w:t>
      </w:r>
    </w:p>
    <w:p w:rsidR="0063329A" w:rsidRPr="0063329A" w:rsidRDefault="0063329A" w:rsidP="0063329A">
      <w:pPr>
        <w:ind w:right="70"/>
        <w:jc w:val="center"/>
        <w:rPr>
          <w:rFonts w:ascii="Times New Roman" w:hAnsi="Times New Roman" w:cs="Times New Roman"/>
          <w:i/>
        </w:rPr>
      </w:pPr>
      <w:r w:rsidRPr="0063329A">
        <w:rPr>
          <w:rFonts w:ascii="Times New Roman" w:hAnsi="Times New Roman" w:cs="Times New Roman"/>
          <w:i/>
        </w:rPr>
        <w:t>Accepted: dd/mm/yyyy; Published: dd/mm/yyyy</w:t>
      </w:r>
    </w:p>
    <w:p w:rsidR="0063329A" w:rsidRPr="007F2B84" w:rsidRDefault="0063329A" w:rsidP="0063329A">
      <w:pPr>
        <w:jc w:val="center"/>
        <w:rPr>
          <w:rFonts w:ascii="Arial" w:hAnsi="Arial" w:cs="Arial"/>
          <w:b/>
          <w:sz w:val="28"/>
          <w:szCs w:val="28"/>
          <w:lang w:val="vi-VN"/>
        </w:rPr>
      </w:pPr>
    </w:p>
    <w:p w:rsidR="0063329A" w:rsidRPr="007F2B84" w:rsidRDefault="0063329A" w:rsidP="0063329A">
      <w:pPr>
        <w:jc w:val="center"/>
        <w:rPr>
          <w:rFonts w:ascii="Arial" w:hAnsi="Arial" w:cs="Arial"/>
          <w:b/>
          <w:sz w:val="28"/>
          <w:szCs w:val="28"/>
          <w:lang w:val="vi-VN"/>
        </w:rPr>
      </w:pPr>
    </w:p>
    <w:p w:rsidR="0063329A" w:rsidRDefault="0063329A" w:rsidP="0063329A">
      <w:pPr>
        <w:jc w:val="both"/>
        <w:rPr>
          <w:rFonts w:ascii="Times New Roman" w:hAnsi="Times New Roman" w:cs="Times New Roman"/>
          <w:b/>
          <w:lang w:val="vi-VN"/>
        </w:rPr>
      </w:pPr>
      <w:r w:rsidRPr="007F2B84">
        <w:rPr>
          <w:rFonts w:ascii="Times New Roman" w:hAnsi="Times New Roman" w:cs="Times New Roman"/>
          <w:b/>
        </w:rPr>
        <w:t>A</w:t>
      </w:r>
      <w:r w:rsidRPr="007F2B84">
        <w:rPr>
          <w:rFonts w:ascii="Times New Roman" w:hAnsi="Times New Roman" w:cs="Times New Roman"/>
          <w:b/>
          <w:lang w:val="vi-VN"/>
        </w:rPr>
        <w:t>BSTRACT</w:t>
      </w:r>
    </w:p>
    <w:p w:rsidR="007F2B84" w:rsidRDefault="007F2B84" w:rsidP="0063329A">
      <w:pPr>
        <w:jc w:val="both"/>
        <w:rPr>
          <w:rFonts w:ascii="Times New Roman" w:hAnsi="Times New Roman" w:cs="Times New Roman"/>
          <w:lang w:val="vi-VN"/>
        </w:rPr>
      </w:pPr>
      <w:r>
        <w:rPr>
          <w:rFonts w:ascii="Times New Roman" w:hAnsi="Times New Roman" w:cs="Times New Roman"/>
          <w:b/>
          <w:lang w:val="vi-VN"/>
        </w:rPr>
        <w:tab/>
      </w:r>
      <w:r w:rsidRPr="007F2B84">
        <w:rPr>
          <w:rFonts w:ascii="Times New Roman" w:hAnsi="Times New Roman" w:cs="Times New Roman"/>
          <w:lang w:val="vi-VN"/>
        </w:rPr>
        <w:t xml:space="preserve">This study examines the impact of supply chain visibility on supply chain performance through the mediating role of supply chain resilience in manufacturing enterprises located in industrial zones in Vietnam. Drawing upon the Resource-Based View (RBV) and Dynamic Capabilities Theory, a conceptual research model is proposed. Based on survey data collected from 189 managers working in manufacturing firms within Vietnam’s industrial zones, Structural Equation Modeling (SEM) is employed to test the hypothesized relationships among variables. The results reveal that supply chain visibility has a direct effect on supply chain resilience, but no direct effect on supply chain performance. However, supply chain visibility indirectly influences supply chain performance through the enhancement of supply chain resilience. These findings are consistent with the assumptions of the </w:t>
      </w:r>
      <w:r>
        <w:rPr>
          <w:rFonts w:ascii="Times New Roman" w:hAnsi="Times New Roman" w:cs="Times New Roman"/>
        </w:rPr>
        <w:t>d</w:t>
      </w:r>
      <w:r w:rsidRPr="007F2B84">
        <w:rPr>
          <w:rFonts w:ascii="Times New Roman" w:hAnsi="Times New Roman" w:cs="Times New Roman"/>
          <w:lang w:val="vi-VN"/>
        </w:rPr>
        <w:t xml:space="preserve">ynamic </w:t>
      </w:r>
      <w:r>
        <w:rPr>
          <w:rFonts w:ascii="Times New Roman" w:hAnsi="Times New Roman" w:cs="Times New Roman"/>
        </w:rPr>
        <w:t>c</w:t>
      </w:r>
      <w:r w:rsidRPr="007F2B84">
        <w:rPr>
          <w:rFonts w:ascii="Times New Roman" w:hAnsi="Times New Roman" w:cs="Times New Roman"/>
          <w:lang w:val="vi-VN"/>
        </w:rPr>
        <w:t xml:space="preserve">apabilities </w:t>
      </w:r>
      <w:r>
        <w:rPr>
          <w:rFonts w:ascii="Times New Roman" w:hAnsi="Times New Roman" w:cs="Times New Roman"/>
        </w:rPr>
        <w:t>t</w:t>
      </w:r>
      <w:r w:rsidRPr="007F2B84">
        <w:rPr>
          <w:rFonts w:ascii="Times New Roman" w:hAnsi="Times New Roman" w:cs="Times New Roman"/>
          <w:lang w:val="vi-VN"/>
        </w:rPr>
        <w:t>heory.</w:t>
      </w:r>
    </w:p>
    <w:p w:rsidR="007F2B84" w:rsidRPr="007F2B84" w:rsidRDefault="007F2B84" w:rsidP="0063329A">
      <w:pPr>
        <w:jc w:val="both"/>
        <w:rPr>
          <w:rFonts w:ascii="Times New Roman" w:hAnsi="Times New Roman" w:cs="Times New Roman"/>
          <w:b/>
        </w:rPr>
      </w:pPr>
      <w:r w:rsidRPr="007F2B84">
        <w:rPr>
          <w:rFonts w:ascii="Times New Roman" w:hAnsi="Times New Roman" w:cs="Times New Roman"/>
          <w:b/>
          <w:lang w:val="vi-VN"/>
        </w:rPr>
        <w:t>Keywords</w:t>
      </w:r>
      <w:r>
        <w:rPr>
          <w:rFonts w:ascii="Times New Roman" w:hAnsi="Times New Roman" w:cs="Times New Roman"/>
          <w:b/>
        </w:rPr>
        <w:t xml:space="preserve">: </w:t>
      </w:r>
      <w:r w:rsidRPr="007F2B84">
        <w:rPr>
          <w:rFonts w:ascii="Times New Roman" w:hAnsi="Times New Roman" w:cs="Times New Roman"/>
          <w:i/>
        </w:rPr>
        <w:t xml:space="preserve">Supply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v</w:t>
      </w:r>
      <w:r w:rsidRPr="007F2B84">
        <w:rPr>
          <w:rFonts w:ascii="Times New Roman" w:hAnsi="Times New Roman" w:cs="Times New Roman"/>
          <w:i/>
        </w:rPr>
        <w:t xml:space="preserve">isibility, </w:t>
      </w:r>
      <w:r w:rsidR="00177E66">
        <w:rPr>
          <w:rFonts w:ascii="Times New Roman" w:hAnsi="Times New Roman" w:cs="Times New Roman"/>
          <w:i/>
        </w:rPr>
        <w:t>s</w:t>
      </w:r>
      <w:r w:rsidRPr="007F2B84">
        <w:rPr>
          <w:rFonts w:ascii="Times New Roman" w:hAnsi="Times New Roman" w:cs="Times New Roman"/>
          <w:i/>
        </w:rPr>
        <w:t xml:space="preserve">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r</w:t>
      </w:r>
      <w:r w:rsidRPr="007F2B84">
        <w:rPr>
          <w:rFonts w:ascii="Times New Roman" w:hAnsi="Times New Roman" w:cs="Times New Roman"/>
          <w:i/>
        </w:rPr>
        <w:t>esilience,</w:t>
      </w:r>
      <w:r w:rsidR="00177E66">
        <w:rPr>
          <w:rFonts w:ascii="Times New Roman" w:hAnsi="Times New Roman" w:cs="Times New Roman"/>
          <w:i/>
        </w:rPr>
        <w:t xml:space="preserve"> s</w:t>
      </w:r>
      <w:r w:rsidRPr="007F2B84">
        <w:rPr>
          <w:rFonts w:ascii="Times New Roman" w:hAnsi="Times New Roman" w:cs="Times New Roman"/>
          <w:i/>
        </w:rPr>
        <w:t xml:space="preserve">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p</w:t>
      </w:r>
      <w:r w:rsidRPr="007F2B84">
        <w:rPr>
          <w:rFonts w:ascii="Times New Roman" w:hAnsi="Times New Roman" w:cs="Times New Roman"/>
          <w:i/>
        </w:rPr>
        <w:t>erformance</w:t>
      </w:r>
      <w:r>
        <w:rPr>
          <w:rFonts w:ascii="Times New Roman" w:hAnsi="Times New Roman" w:cs="Times New Roman"/>
          <w:i/>
        </w:rPr>
        <w:t>.</w:t>
      </w:r>
    </w:p>
    <w:p w:rsidR="0063329A" w:rsidRDefault="0063329A">
      <w:pPr>
        <w:rPr>
          <w:rFonts w:ascii="Times New Roman" w:eastAsia="Times New Roman" w:hAnsi="Times New Roman" w:cs="Times New Roman"/>
          <w:sz w:val="24"/>
          <w:szCs w:val="24"/>
          <w:lang w:val="vi-VN"/>
        </w:rPr>
      </w:pPr>
      <w:r>
        <w:rPr>
          <w:lang w:val="vi-VN"/>
        </w:rPr>
        <w:br w:type="page"/>
      </w:r>
    </w:p>
    <w:p w:rsidR="0099005E" w:rsidRDefault="0099005E" w:rsidP="00457D73">
      <w:pPr>
        <w:pStyle w:val="NormalWeb"/>
        <w:rPr>
          <w:lang w:val="vi-VN"/>
        </w:rPr>
      </w:pPr>
    </w:p>
    <w:p w:rsidR="00C57A72" w:rsidRDefault="00C57A72" w:rsidP="00457D73">
      <w:pPr>
        <w:pStyle w:val="NormalWeb"/>
        <w:rPr>
          <w:lang w:val="vi-VN"/>
        </w:rPr>
      </w:pPr>
    </w:p>
    <w:p w:rsidR="0099005E" w:rsidRPr="000F1C2D" w:rsidRDefault="0099005E" w:rsidP="000F1C2D">
      <w:pPr>
        <w:spacing w:after="0" w:line="240" w:lineRule="auto"/>
        <w:ind w:right="140"/>
        <w:jc w:val="center"/>
        <w:rPr>
          <w:rFonts w:ascii="Arial" w:hAnsi="Arial" w:cs="Arial"/>
          <w:b/>
          <w:sz w:val="32"/>
          <w:szCs w:val="32"/>
          <w:lang w:val="vi-VN"/>
        </w:rPr>
      </w:pPr>
      <w:r w:rsidRPr="000F1C2D">
        <w:rPr>
          <w:rFonts w:ascii="Arial" w:hAnsi="Arial" w:cs="Arial"/>
          <w:b/>
          <w:sz w:val="32"/>
          <w:szCs w:val="32"/>
          <w:lang w:val="vi-VN"/>
        </w:rPr>
        <w:t xml:space="preserve">Tác động của khả năng hiển thị đến kết quả hoạt động chuỗi cung ứng trong các doanh nghiệp sản xuất </w:t>
      </w:r>
    </w:p>
    <w:p w:rsidR="0099005E" w:rsidRPr="0099005E" w:rsidRDefault="0099005E" w:rsidP="0099005E">
      <w:pPr>
        <w:spacing w:after="0" w:line="240" w:lineRule="auto"/>
        <w:ind w:left="851" w:right="282"/>
        <w:jc w:val="center"/>
        <w:rPr>
          <w:rFonts w:ascii="Times New Roman" w:hAnsi="Times New Roman" w:cs="Times New Roman"/>
          <w:b/>
          <w:sz w:val="32"/>
          <w:szCs w:val="32"/>
          <w:lang w:val="vi-VN"/>
        </w:rPr>
      </w:pPr>
      <w:r w:rsidRPr="000F1C2D">
        <w:rPr>
          <w:rFonts w:ascii="Arial" w:hAnsi="Arial" w:cs="Arial"/>
          <w:b/>
          <w:sz w:val="32"/>
          <w:szCs w:val="32"/>
          <w:lang w:val="vi-VN"/>
        </w:rPr>
        <w:t>tại Việt Nam</w:t>
      </w:r>
    </w:p>
    <w:p w:rsidR="0099005E" w:rsidRPr="003A005A" w:rsidRDefault="0099005E" w:rsidP="0099005E">
      <w:pPr>
        <w:spacing w:after="0" w:line="240" w:lineRule="auto"/>
        <w:ind w:left="851" w:right="282"/>
        <w:jc w:val="center"/>
        <w:rPr>
          <w:rFonts w:ascii="Arial" w:hAnsi="Arial" w:cs="Arial"/>
          <w:b/>
          <w:sz w:val="24"/>
          <w:szCs w:val="32"/>
        </w:rPr>
      </w:pPr>
    </w:p>
    <w:p w:rsidR="0099005E" w:rsidRDefault="0099005E" w:rsidP="0099005E">
      <w:pPr>
        <w:spacing w:after="0" w:line="240" w:lineRule="auto"/>
        <w:jc w:val="center"/>
        <w:rPr>
          <w:rFonts w:ascii="Times New Roman" w:hAnsi="Times New Roman"/>
          <w:b/>
          <w:bCs/>
          <w:sz w:val="24"/>
          <w:szCs w:val="24"/>
        </w:rPr>
      </w:pPr>
      <w:r>
        <w:rPr>
          <w:rFonts w:ascii="Times New Roman" w:hAnsi="Times New Roman"/>
          <w:b/>
          <w:bCs/>
          <w:sz w:val="24"/>
          <w:szCs w:val="24"/>
          <w:lang w:val="vi-VN"/>
        </w:rPr>
        <w:t>Trần Thị Thanh Nhàn</w:t>
      </w:r>
      <w:r>
        <w:rPr>
          <w:rFonts w:ascii="Times New Roman" w:hAnsi="Times New Roman"/>
          <w:b/>
          <w:bCs/>
          <w:sz w:val="24"/>
          <w:szCs w:val="24"/>
          <w:vertAlign w:val="superscript"/>
        </w:rPr>
        <w:t>1</w:t>
      </w:r>
      <w:r w:rsidRPr="003A005A">
        <w:rPr>
          <w:rFonts w:ascii="Times New Roman" w:hAnsi="Times New Roman"/>
          <w:b/>
          <w:bCs/>
          <w:sz w:val="24"/>
          <w:szCs w:val="24"/>
          <w:vertAlign w:val="superscript"/>
        </w:rPr>
        <w:t>*</w:t>
      </w:r>
      <w:r w:rsidRPr="003A005A">
        <w:rPr>
          <w:rFonts w:ascii="Times New Roman" w:hAnsi="Times New Roman"/>
          <w:b/>
          <w:bCs/>
          <w:sz w:val="24"/>
          <w:szCs w:val="24"/>
        </w:rPr>
        <w:t xml:space="preserve">, </w:t>
      </w:r>
      <w:r>
        <w:rPr>
          <w:rFonts w:ascii="Times New Roman" w:hAnsi="Times New Roman"/>
          <w:b/>
          <w:bCs/>
          <w:sz w:val="24"/>
          <w:szCs w:val="24"/>
          <w:lang w:val="vi-VN"/>
        </w:rPr>
        <w:t>Nguyễn Thị Thùy Giang</w:t>
      </w:r>
      <w:r>
        <w:rPr>
          <w:rFonts w:ascii="Times New Roman" w:hAnsi="Times New Roman"/>
          <w:b/>
          <w:bCs/>
          <w:sz w:val="24"/>
          <w:szCs w:val="24"/>
          <w:vertAlign w:val="superscript"/>
        </w:rPr>
        <w:t>2</w:t>
      </w:r>
      <w:r>
        <w:rPr>
          <w:rFonts w:ascii="Times New Roman" w:hAnsi="Times New Roman"/>
          <w:b/>
          <w:bCs/>
          <w:sz w:val="24"/>
          <w:szCs w:val="24"/>
          <w:lang w:val="vi-VN"/>
        </w:rPr>
        <w:t xml:space="preserve">, </w:t>
      </w:r>
      <w:r w:rsidRPr="003A005A">
        <w:rPr>
          <w:rFonts w:ascii="Times New Roman" w:hAnsi="Times New Roman"/>
          <w:b/>
          <w:bCs/>
          <w:sz w:val="24"/>
          <w:szCs w:val="24"/>
        </w:rPr>
        <w:t xml:space="preserve">Hoàng Thị Hoài </w:t>
      </w:r>
      <w:r>
        <w:rPr>
          <w:rFonts w:ascii="Times New Roman" w:hAnsi="Times New Roman"/>
          <w:b/>
          <w:bCs/>
          <w:sz w:val="24"/>
          <w:szCs w:val="24"/>
          <w:lang w:val="vi-VN"/>
        </w:rPr>
        <w:t>Hương</w:t>
      </w:r>
      <w:r w:rsidRPr="0066315F">
        <w:rPr>
          <w:rFonts w:ascii="Times New Roman" w:hAnsi="Times New Roman"/>
          <w:b/>
          <w:bCs/>
          <w:sz w:val="24"/>
          <w:szCs w:val="24"/>
          <w:vertAlign w:val="superscript"/>
          <w:lang w:val="vi-VN"/>
        </w:rPr>
        <w:t>3</w:t>
      </w:r>
      <w:r>
        <w:rPr>
          <w:rFonts w:ascii="Times New Roman" w:hAnsi="Times New Roman"/>
          <w:b/>
          <w:bCs/>
          <w:sz w:val="24"/>
          <w:szCs w:val="24"/>
        </w:rPr>
        <w:t xml:space="preserve">, </w:t>
      </w:r>
    </w:p>
    <w:p w:rsidR="0099005E" w:rsidRPr="0066315F" w:rsidRDefault="0099005E" w:rsidP="0099005E">
      <w:pPr>
        <w:spacing w:after="0" w:line="240" w:lineRule="auto"/>
        <w:jc w:val="center"/>
        <w:rPr>
          <w:rFonts w:ascii="Times New Roman" w:hAnsi="Times New Roman"/>
          <w:b/>
          <w:bCs/>
          <w:sz w:val="24"/>
          <w:szCs w:val="24"/>
          <w:vertAlign w:val="subscript"/>
        </w:rPr>
      </w:pPr>
      <w:r>
        <w:rPr>
          <w:rFonts w:ascii="Times New Roman" w:hAnsi="Times New Roman"/>
          <w:b/>
          <w:bCs/>
          <w:sz w:val="24"/>
          <w:szCs w:val="24"/>
          <w:lang w:val="vi-VN"/>
        </w:rPr>
        <w:t>Nguyễn Thị Thùy Dung</w:t>
      </w:r>
      <w:r w:rsidRPr="0066315F">
        <w:rPr>
          <w:rFonts w:ascii="Times New Roman" w:hAnsi="Times New Roman"/>
          <w:b/>
          <w:bCs/>
          <w:sz w:val="24"/>
          <w:szCs w:val="24"/>
          <w:vertAlign w:val="superscript"/>
          <w:lang w:val="vi-VN"/>
        </w:rPr>
        <w:t>4</w:t>
      </w:r>
      <w:r>
        <w:rPr>
          <w:rFonts w:ascii="Times New Roman" w:hAnsi="Times New Roman"/>
          <w:b/>
          <w:bCs/>
          <w:sz w:val="24"/>
          <w:szCs w:val="24"/>
          <w:lang w:val="vi-VN"/>
        </w:rPr>
        <w:t>, Hà Thảo My</w:t>
      </w:r>
      <w:r w:rsidRPr="0066315F">
        <w:rPr>
          <w:rFonts w:ascii="Times New Roman" w:hAnsi="Times New Roman"/>
          <w:b/>
          <w:bCs/>
          <w:sz w:val="24"/>
          <w:szCs w:val="24"/>
          <w:vertAlign w:val="superscript"/>
          <w:lang w:val="vi-VN"/>
        </w:rPr>
        <w:t>5</w:t>
      </w:r>
      <w:r>
        <w:rPr>
          <w:rFonts w:ascii="Times New Roman" w:hAnsi="Times New Roman"/>
          <w:b/>
          <w:bCs/>
          <w:sz w:val="24"/>
          <w:szCs w:val="24"/>
          <w:lang w:val="vi-VN"/>
        </w:rPr>
        <w:t xml:space="preserve"> </w:t>
      </w:r>
    </w:p>
    <w:p w:rsidR="0099005E" w:rsidRPr="003A005A" w:rsidRDefault="0099005E" w:rsidP="0099005E">
      <w:pPr>
        <w:spacing w:after="0" w:line="240" w:lineRule="auto"/>
        <w:jc w:val="center"/>
        <w:rPr>
          <w:rFonts w:ascii="Times New Roman" w:hAnsi="Times New Roman"/>
          <w:b/>
          <w:bCs/>
          <w:sz w:val="24"/>
          <w:szCs w:val="24"/>
        </w:rPr>
      </w:pPr>
    </w:p>
    <w:p w:rsidR="0099005E"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Pr="003A005A">
        <w:rPr>
          <w:rFonts w:ascii="Times New Roman" w:hAnsi="Times New Roman"/>
          <w:i/>
        </w:rPr>
        <w:t>Khoa Kinh tế</w:t>
      </w:r>
      <w:r>
        <w:rPr>
          <w:rFonts w:ascii="Times New Roman" w:hAnsi="Times New Roman"/>
          <w:i/>
        </w:rPr>
        <w:t xml:space="preserve"> </w:t>
      </w:r>
      <w:r>
        <w:rPr>
          <w:rFonts w:ascii="Times New Roman" w:hAnsi="Times New Roman"/>
          <w:i/>
          <w:lang w:val="vi-VN"/>
        </w:rPr>
        <w:t>và</w:t>
      </w:r>
      <w:r w:rsidRPr="003A005A">
        <w:rPr>
          <w:rFonts w:ascii="Times New Roman" w:hAnsi="Times New Roman"/>
          <w:i/>
        </w:rPr>
        <w:t xml:space="preserve"> Kế toán, Trường Đại học Quy Nhơn, Việt Nam</w:t>
      </w:r>
    </w:p>
    <w:p w:rsidR="0099005E" w:rsidRPr="003A005A"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5</w:t>
      </w:r>
      <w:r>
        <w:rPr>
          <w:rFonts w:ascii="Times New Roman" w:hAnsi="Times New Roman"/>
          <w:i/>
          <w:lang w:val="vi-VN"/>
        </w:rPr>
        <w:t xml:space="preserve"> Phòng Kế hoạch Tài chính</w:t>
      </w:r>
      <w:r w:rsidRPr="003A005A">
        <w:rPr>
          <w:rFonts w:ascii="Times New Roman" w:hAnsi="Times New Roman"/>
          <w:i/>
        </w:rPr>
        <w:t>, Trường Đại học Quy Nhơn, Việt Nam</w:t>
      </w:r>
    </w:p>
    <w:p w:rsidR="0099005E" w:rsidRPr="003A005A" w:rsidRDefault="0099005E" w:rsidP="0099005E">
      <w:pPr>
        <w:spacing w:after="0" w:line="240" w:lineRule="auto"/>
        <w:jc w:val="center"/>
        <w:rPr>
          <w:rFonts w:ascii="Times New Roman" w:hAnsi="Times New Roman"/>
          <w:i/>
        </w:rPr>
      </w:pPr>
    </w:p>
    <w:p w:rsidR="0099005E" w:rsidRPr="003A005A" w:rsidRDefault="0099005E" w:rsidP="0099005E">
      <w:pPr>
        <w:spacing w:after="0" w:line="240" w:lineRule="auto"/>
        <w:ind w:right="70"/>
        <w:jc w:val="center"/>
        <w:rPr>
          <w:rFonts w:ascii="Times New Roman" w:hAnsi="Times New Roman"/>
          <w:i/>
        </w:rPr>
      </w:pPr>
      <w:r w:rsidRPr="003A005A">
        <w:rPr>
          <w:rFonts w:ascii="Times New Roman" w:hAnsi="Times New Roman"/>
          <w:i/>
        </w:rPr>
        <w:t xml:space="preserve">*Tác giả liên hệ chính. Email: </w:t>
      </w:r>
      <w:hyperlink r:id="rId7" w:history="1">
        <w:r w:rsidRPr="0076750D">
          <w:rPr>
            <w:rStyle w:val="Hyperlink"/>
            <w:rFonts w:ascii="Times New Roman" w:hAnsi="Times New Roman"/>
            <w:i/>
            <w:lang w:val="vi-VN"/>
          </w:rPr>
          <w:t>tranthithanhnhan</w:t>
        </w:r>
        <w:r w:rsidRPr="0076750D">
          <w:rPr>
            <w:rStyle w:val="Hyperlink"/>
            <w:rFonts w:ascii="Times New Roman" w:hAnsi="Times New Roman"/>
            <w:i/>
          </w:rPr>
          <w:t>@qnu.edu.vn</w:t>
        </w:r>
      </w:hyperlink>
    </w:p>
    <w:p w:rsidR="0099005E" w:rsidRDefault="0099005E" w:rsidP="0099005E">
      <w:pPr>
        <w:jc w:val="center"/>
        <w:rPr>
          <w:rFonts w:ascii="Times New Roman" w:hAnsi="Times New Roman"/>
          <w:i/>
        </w:rPr>
      </w:pPr>
    </w:p>
    <w:p w:rsidR="00C57A72" w:rsidRPr="003A005A" w:rsidRDefault="00C57A72" w:rsidP="0099005E">
      <w:pPr>
        <w:jc w:val="center"/>
        <w:rPr>
          <w:rFonts w:ascii="Times New Roman" w:hAnsi="Times New Roman"/>
          <w:i/>
        </w:rPr>
      </w:pPr>
    </w:p>
    <w:p w:rsidR="0099005E" w:rsidRPr="003A005A" w:rsidRDefault="0099005E" w:rsidP="0099005E">
      <w:pPr>
        <w:rPr>
          <w:rFonts w:ascii="Times New Roman" w:hAnsi="Times New Roman" w:cs="Times New Roman"/>
          <w:b/>
        </w:rPr>
      </w:pPr>
      <w:r w:rsidRPr="003A005A">
        <w:rPr>
          <w:rFonts w:ascii="Times New Roman" w:hAnsi="Times New Roman" w:cs="Times New Roman"/>
          <w:b/>
        </w:rPr>
        <w:t>TÓM TẮT</w:t>
      </w:r>
    </w:p>
    <w:p w:rsidR="0099005E" w:rsidRPr="003412BA" w:rsidRDefault="0099005E" w:rsidP="0099005E">
      <w:pPr>
        <w:ind w:firstLine="567"/>
        <w:jc w:val="both"/>
        <w:rPr>
          <w:rFonts w:ascii="Times New Roman" w:hAnsi="Times New Roman" w:cs="Times New Roman"/>
          <w:bCs/>
          <w:sz w:val="20"/>
          <w:lang w:val="vi-VN"/>
        </w:rPr>
      </w:pPr>
      <w:r w:rsidRPr="003A005A">
        <w:rPr>
          <w:rFonts w:ascii="Times New Roman" w:hAnsi="Times New Roman" w:cs="Times New Roman"/>
          <w:bCs/>
          <w:sz w:val="20"/>
        </w:rPr>
        <w:t xml:space="preserve">Nghiên cứu này phân tích tác động </w:t>
      </w:r>
      <w:r>
        <w:rPr>
          <w:rFonts w:ascii="Times New Roman" w:hAnsi="Times New Roman" w:cs="Times New Roman"/>
          <w:bCs/>
          <w:sz w:val="20"/>
          <w:lang w:val="vi-VN"/>
        </w:rPr>
        <w:t xml:space="preserve">của khả năng hiển thị chuỗi cung ứng </w:t>
      </w:r>
      <w:r w:rsidRPr="003A005A">
        <w:rPr>
          <w:rFonts w:ascii="Times New Roman" w:hAnsi="Times New Roman" w:cs="Times New Roman"/>
          <w:bCs/>
          <w:sz w:val="20"/>
        </w:rPr>
        <w:t xml:space="preserve">đến </w:t>
      </w:r>
      <w:r>
        <w:rPr>
          <w:rFonts w:ascii="Times New Roman" w:hAnsi="Times New Roman" w:cs="Times New Roman"/>
          <w:bCs/>
          <w:sz w:val="20"/>
          <w:lang w:val="vi-VN"/>
        </w:rPr>
        <w:t>kết quả hoạt động chuỗi cung ứng thông qua khả năng phục hồi chuỗi cung ứng trong các doanh nghiệp sản xuất tại các khu công nghiệp ở Việt Nam.</w:t>
      </w:r>
      <w:r w:rsidRPr="003A005A">
        <w:rPr>
          <w:rFonts w:ascii="Times New Roman" w:hAnsi="Times New Roman" w:cs="Times New Roman"/>
          <w:bCs/>
          <w:sz w:val="20"/>
        </w:rPr>
        <w:t xml:space="preserve"> Với việc sử dụ</w:t>
      </w:r>
      <w:r>
        <w:rPr>
          <w:rFonts w:ascii="Times New Roman" w:hAnsi="Times New Roman" w:cs="Times New Roman"/>
          <w:bCs/>
          <w:sz w:val="20"/>
        </w:rPr>
        <w:t>ng</w:t>
      </w:r>
      <w:r>
        <w:rPr>
          <w:rFonts w:ascii="Times New Roman" w:hAnsi="Times New Roman" w:cs="Times New Roman"/>
          <w:bCs/>
          <w:sz w:val="20"/>
          <w:lang w:val="vi-VN"/>
        </w:rPr>
        <w:t xml:space="preserve"> lý thuyết dựa trên nguồn lực và lý thuyết năng lực động</w:t>
      </w:r>
      <w:r w:rsidRPr="003A005A">
        <w:rPr>
          <w:rFonts w:ascii="Times New Roman" w:hAnsi="Times New Roman" w:cs="Times New Roman"/>
          <w:bCs/>
          <w:sz w:val="20"/>
        </w:rPr>
        <w:t xml:space="preserve"> để đưa ra mô hình nghiên cứu. Qua kết quả khả</w:t>
      </w:r>
      <w:r>
        <w:rPr>
          <w:rFonts w:ascii="Times New Roman" w:hAnsi="Times New Roman" w:cs="Times New Roman"/>
          <w:bCs/>
          <w:sz w:val="20"/>
        </w:rPr>
        <w:t xml:space="preserve">o sát </w:t>
      </w:r>
      <w:r w:rsidR="003C4573">
        <w:rPr>
          <w:rFonts w:ascii="Times New Roman" w:hAnsi="Times New Roman" w:cs="Times New Roman"/>
          <w:bCs/>
          <w:sz w:val="20"/>
          <w:lang w:val="vi-VN"/>
        </w:rPr>
        <w:t>189</w:t>
      </w:r>
      <w:r w:rsidRPr="003A005A">
        <w:rPr>
          <w:rFonts w:ascii="Times New Roman" w:hAnsi="Times New Roman" w:cs="Times New Roman"/>
          <w:bCs/>
          <w:sz w:val="20"/>
        </w:rPr>
        <w:t xml:space="preserve"> </w:t>
      </w:r>
      <w:r>
        <w:rPr>
          <w:rFonts w:ascii="Times New Roman" w:hAnsi="Times New Roman" w:cs="Times New Roman"/>
          <w:bCs/>
          <w:sz w:val="20"/>
          <w:lang w:val="vi-VN"/>
        </w:rPr>
        <w:t>nhà quả</w:t>
      </w:r>
      <w:r w:rsidR="003C4573">
        <w:rPr>
          <w:rFonts w:ascii="Times New Roman" w:hAnsi="Times New Roman" w:cs="Times New Roman"/>
          <w:bCs/>
          <w:sz w:val="20"/>
          <w:lang w:val="vi-VN"/>
        </w:rPr>
        <w:t>n lý</w:t>
      </w:r>
      <w:r>
        <w:rPr>
          <w:rFonts w:ascii="Times New Roman" w:hAnsi="Times New Roman" w:cs="Times New Roman"/>
          <w:bCs/>
          <w:sz w:val="20"/>
          <w:lang w:val="vi-VN"/>
        </w:rPr>
        <w:t xml:space="preserve"> trong các doanh nghiệp sản xuất tại các khu công nghiệp ở Việt Nam</w:t>
      </w:r>
      <w:r w:rsidRPr="003A005A">
        <w:rPr>
          <w:rFonts w:ascii="Times New Roman" w:hAnsi="Times New Roman" w:cs="Times New Roman"/>
          <w:bCs/>
          <w:sz w:val="20"/>
        </w:rPr>
        <w:t xml:space="preserve"> và sử dụng phân tích cấu trúc tuyến tính SEM để kiểm định mối quan hệ giữa các biến trong mô hình nghiên </w:t>
      </w:r>
      <w:r>
        <w:rPr>
          <w:rFonts w:ascii="Times New Roman" w:hAnsi="Times New Roman" w:cs="Times New Roman"/>
          <w:bCs/>
          <w:sz w:val="20"/>
          <w:lang w:val="vi-VN"/>
        </w:rPr>
        <w:t>cứu. K</w:t>
      </w:r>
      <w:r w:rsidRPr="003A005A">
        <w:rPr>
          <w:rFonts w:ascii="Times New Roman" w:hAnsi="Times New Roman" w:cs="Times New Roman"/>
          <w:bCs/>
          <w:sz w:val="20"/>
        </w:rPr>
        <w:t xml:space="preserve">ết quả phân tích dữ liệu cho thấy </w:t>
      </w:r>
      <w:r>
        <w:rPr>
          <w:rFonts w:ascii="Times New Roman" w:hAnsi="Times New Roman" w:cs="Times New Roman"/>
          <w:bCs/>
          <w:sz w:val="20"/>
          <w:lang w:val="vi-VN"/>
        </w:rPr>
        <w:t>khả năng hiển thị chuỗi cung ứng tác động trực tiếp đến khả năng phục hồi chuỗi cung ứng</w:t>
      </w:r>
      <w:r w:rsidR="003C4573">
        <w:rPr>
          <w:rFonts w:ascii="Times New Roman" w:hAnsi="Times New Roman" w:cs="Times New Roman"/>
          <w:bCs/>
          <w:sz w:val="20"/>
          <w:lang w:val="vi-VN"/>
        </w:rPr>
        <w:t xml:space="preserve"> và </w:t>
      </w:r>
      <w:r w:rsidR="00186762">
        <w:rPr>
          <w:rFonts w:ascii="Times New Roman" w:hAnsi="Times New Roman" w:cs="Times New Roman"/>
          <w:bCs/>
          <w:sz w:val="20"/>
          <w:lang w:val="vi-VN"/>
        </w:rPr>
        <w:t xml:space="preserve">và không ảnh hưởng trực tiếp </w:t>
      </w:r>
      <w:r w:rsidR="003C4573">
        <w:rPr>
          <w:rFonts w:ascii="Times New Roman" w:hAnsi="Times New Roman" w:cs="Times New Roman"/>
          <w:bCs/>
          <w:sz w:val="20"/>
          <w:lang w:val="vi-VN"/>
        </w:rPr>
        <w:t>đến kết quả hoạt động chuỗi cung ứng</w:t>
      </w:r>
      <w:r w:rsidRPr="003A005A">
        <w:rPr>
          <w:rFonts w:ascii="Times New Roman" w:hAnsi="Times New Roman" w:cs="Times New Roman"/>
          <w:bCs/>
          <w:sz w:val="20"/>
        </w:rPr>
        <w:t xml:space="preserve">. </w:t>
      </w:r>
      <w:r w:rsidR="00186762">
        <w:rPr>
          <w:rFonts w:ascii="Times New Roman" w:hAnsi="Times New Roman" w:cs="Times New Roman"/>
          <w:bCs/>
          <w:sz w:val="20"/>
          <w:lang w:val="vi-VN"/>
        </w:rPr>
        <w:t xml:space="preserve">Nhưng </w:t>
      </w:r>
      <w:r>
        <w:rPr>
          <w:rFonts w:ascii="Times New Roman" w:hAnsi="Times New Roman" w:cs="Times New Roman"/>
          <w:bCs/>
          <w:sz w:val="20"/>
          <w:lang w:val="vi-VN"/>
        </w:rPr>
        <w:t>khả năng hiển thị chuỗi cung ứng tác động gián tiếp đến kết quả hoạt động chuỗi cung ứng thông qua khả năng phục hồi chuỗi cung ứng</w:t>
      </w:r>
      <w:r w:rsidRPr="003A005A">
        <w:rPr>
          <w:rFonts w:ascii="Times New Roman" w:hAnsi="Times New Roman" w:cs="Times New Roman"/>
          <w:bCs/>
          <w:sz w:val="20"/>
        </w:rPr>
        <w:t>.</w:t>
      </w:r>
      <w:r w:rsidR="003412BA">
        <w:rPr>
          <w:rFonts w:ascii="Times New Roman" w:hAnsi="Times New Roman" w:cs="Times New Roman"/>
          <w:bCs/>
          <w:sz w:val="20"/>
          <w:lang w:val="vi-VN"/>
        </w:rPr>
        <w:t xml:space="preserve"> Điều này phù hợp với lý thuyết năng lực động.</w:t>
      </w:r>
    </w:p>
    <w:p w:rsidR="0099005E" w:rsidRDefault="0099005E" w:rsidP="0099005E">
      <w:pPr>
        <w:rPr>
          <w:rFonts w:ascii="Times New Roman" w:hAnsi="Times New Roman" w:cs="Times New Roman"/>
          <w:bCs/>
          <w:i/>
          <w:iCs/>
          <w:sz w:val="20"/>
          <w:szCs w:val="20"/>
          <w:lang w:val="vi-VN"/>
        </w:rPr>
      </w:pPr>
      <w:r w:rsidRPr="003A005A">
        <w:rPr>
          <w:rFonts w:ascii="Times New Roman" w:hAnsi="Times New Roman" w:cs="Times New Roman"/>
          <w:b/>
        </w:rPr>
        <w:t xml:space="preserve">Từ khóa: </w:t>
      </w:r>
      <w:r>
        <w:rPr>
          <w:rFonts w:ascii="Times New Roman" w:hAnsi="Times New Roman" w:cs="Times New Roman"/>
          <w:bCs/>
          <w:i/>
          <w:iCs/>
          <w:sz w:val="20"/>
          <w:szCs w:val="20"/>
          <w:lang w:val="vi-VN"/>
        </w:rPr>
        <w:t>Khả năng hiển thị chuỗi cung ứng, khả năng phục hồi chuỗi cung ứng, kết quả hoạt động chuỗi cung ứng</w:t>
      </w:r>
    </w:p>
    <w:p w:rsidR="00C57A72" w:rsidRDefault="00C57A72" w:rsidP="0099005E">
      <w:pPr>
        <w:rPr>
          <w:rFonts w:ascii="Times New Roman" w:hAnsi="Times New Roman" w:cs="Times New Roman"/>
          <w:b/>
        </w:rPr>
        <w:sectPr w:rsidR="00C57A72">
          <w:pgSz w:w="12240" w:h="15840"/>
          <w:pgMar w:top="1440" w:right="1440" w:bottom="1440" w:left="1440" w:header="720" w:footer="720" w:gutter="0"/>
          <w:cols w:space="720"/>
          <w:docGrid w:linePitch="360"/>
        </w:sectPr>
      </w:pPr>
    </w:p>
    <w:p w:rsidR="0099005E" w:rsidRPr="000F1C2D" w:rsidRDefault="0099005E" w:rsidP="0099005E">
      <w:pPr>
        <w:rPr>
          <w:rFonts w:ascii="Times New Roman" w:hAnsi="Times New Roman" w:cs="Times New Roman"/>
          <w:b/>
        </w:rPr>
      </w:pPr>
      <w:r w:rsidRPr="000F1C2D">
        <w:rPr>
          <w:rFonts w:ascii="Times New Roman" w:hAnsi="Times New Roman" w:cs="Times New Roman"/>
          <w:b/>
        </w:rPr>
        <w:lastRenderedPageBreak/>
        <w:t>1. GIỚI THIỆU</w:t>
      </w:r>
    </w:p>
    <w:p w:rsidR="00457D73"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Hiện nay chuỗi cung ứng toàn cầu ngày càng phức tạp và dễ tổn thương trước các biến động thị trường do căng thẳng thương mại, chính trị, đại dịch .... Khả năng duy trì hoạt động chuỗi cung ứng trở thành ưu tiên chiến lược đối với các doanh nghiệp. Một trong những yếu tố then chốt giúp chuỗi cung ứng ứng phó với biến động là khả năng phục hồi chuỗi cung ứng (SCR), tức là năng lực liên tục học hỏi, tái cấu trúc và thích nghi với trạng thái môi trường luôn thay đổi. SCR đã được chứng minh có ảnh hưởng tích cực đến kết quả </w:t>
      </w:r>
      <w:r w:rsidRPr="000F1C2D">
        <w:rPr>
          <w:rFonts w:ascii="Times New Roman" w:hAnsi="Times New Roman" w:cs="Times New Roman"/>
        </w:rPr>
        <w:lastRenderedPageBreak/>
        <w:t>hoạt động của chuỗi cung ứng thông qua việc giảm rủi ro và tăng khả năng thích ứng trong môi trường biến độ</w:t>
      </w:r>
      <w:r w:rsidR="00E452C7" w:rsidRPr="000F1C2D">
        <w:rPr>
          <w:rFonts w:ascii="Times New Roman" w:hAnsi="Times New Roman" w:cs="Times New Roman"/>
        </w:rPr>
        <w:t>ng</w:t>
      </w:r>
      <w:r w:rsidR="0028689C" w:rsidRPr="000F1C2D">
        <w:rPr>
          <w:rFonts w:ascii="Times New Roman" w:hAnsi="Times New Roman" w:cs="Times New Roman"/>
        </w:rPr>
        <w:fldChar w:fldCharType="begin"/>
      </w:r>
      <w:r w:rsidR="0028689C" w:rsidRPr="000F1C2D">
        <w:rPr>
          <w:rFonts w:ascii="Times New Roman" w:hAnsi="Times New Roman" w:cs="Times New Roman"/>
        </w:rPr>
        <w:instrText xml:space="preserve"> ADDIN EN.CITE &lt;EndNote&gt;&lt;Cite&gt;&lt;Author&gt;Scholten&lt;/Author&gt;&lt;Year&gt;2015&lt;/Year&gt;&lt;RecNum&gt;145&lt;/RecNum&gt;&lt;DisplayText&gt;&lt;style face="superscript"&gt;1&lt;/style&gt;&lt;/DisplayText&gt;&lt;record&gt;&lt;rec-number&gt;145&lt;/rec-number&gt;&lt;foreign-keys&gt;&lt;key app="EN" db-id="zrxvexxvx0vtpmeafst5dtv5w2zx9fwa0ffp" timestamp="1754434541"&gt;145&lt;/key&gt;&lt;/foreign-keys&gt;&lt;ref-type name="Journal Article"&gt;17&lt;/ref-type&gt;&lt;contributors&gt;&lt;authors&gt;&lt;author&gt;Scholten, Kirstin&lt;/author&gt;&lt;author&gt;Schilder, Sanne&lt;/author&gt;&lt;/authors&gt;&lt;/contributors&gt;&lt;titles&gt;&lt;title&gt;The role of collaboration in supply chain resilience&lt;/title&gt;&lt;secondary-title&gt;Supply Chain Management: An International Journal&lt;/secondary-title&gt;&lt;/titles&gt;&lt;periodical&gt;&lt;full-title&gt;Supply Chain Management: An International Journal&lt;/full-title&gt;&lt;/periodical&gt;&lt;pages&gt;471-484&lt;/pages&gt;&lt;volume&gt;20&lt;/volume&gt;&lt;number&gt;4&lt;/number&gt;&lt;dates&gt;&lt;year&gt;2015&lt;/year&gt;&lt;/dates&gt;&lt;isbn&gt;1359-8546&lt;/isbn&gt;&lt;urls&gt;&lt;/urls&gt;&lt;/record&gt;&lt;/Cite&gt;&lt;/EndNote&gt;</w:instrText>
      </w:r>
      <w:r w:rsidR="0028689C" w:rsidRPr="000F1C2D">
        <w:rPr>
          <w:rFonts w:ascii="Times New Roman" w:hAnsi="Times New Roman" w:cs="Times New Roman"/>
        </w:rPr>
        <w:fldChar w:fldCharType="separate"/>
      </w:r>
      <w:r w:rsidR="0028689C" w:rsidRPr="000F1C2D">
        <w:rPr>
          <w:rFonts w:ascii="Times New Roman" w:hAnsi="Times New Roman" w:cs="Times New Roman"/>
          <w:noProof/>
          <w:vertAlign w:val="superscript"/>
        </w:rPr>
        <w:t>1</w:t>
      </w:r>
      <w:r w:rsidR="0028689C"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&lt;EndNote&gt;&lt;Cite&gt;&lt;Author&gt;Scholten&lt;/Author&gt;&lt;Year&gt;2019&lt;/Year&gt;&lt;RecNum&gt;146&lt;/RecNum&gt;&lt;DisplayText&gt;&lt;style face="superscript"&gt;2&lt;/style&gt;&lt;/DisplayText&gt;&lt;record&gt;&lt;rec-number&gt;146&lt;/rec-number&gt;&lt;foreign-keys&gt;&lt;key app="EN" db-id="zrxvexxvx0vtpmeafst5dtv5w2zx9fwa0ffp" timestamp="1754434627"&gt;146&lt;/key&gt;&lt;/foreign-keys&gt;&lt;ref-type name="Journal Article"&gt;17&lt;/ref-type&gt;&lt;contributors&gt;&lt;authors&gt;&lt;author&gt;Scholten, Kirstin&lt;/author&gt;&lt;author&gt;Sharkey Scott, Pamela&lt;/author&gt;&lt;author&gt;Fynes, Brian&lt;/author&gt;&lt;/authors&gt;&lt;/contributors&gt;&lt;titles&gt;&lt;title&gt;Building routines for non-routine events: supply chain resilience learning mechanisms and their antecedents&lt;/title&gt;&lt;secondary-title&gt;Supply Chain Management: An International Journal&lt;/secondary-title&gt;&lt;/titles&gt;&lt;periodical&gt;&lt;full-title&gt;Supply Chain Management: An International Journal&lt;/full-title&gt;&lt;/periodical&gt;&lt;pages&gt;430-442&lt;/pages&gt;&lt;volume&gt;24&lt;/volume&gt;&lt;number&gt;3&lt;/number&gt;&lt;dates&gt;&lt;year&gt;2019&lt;/year&gt;&lt;/dates&gt;&lt;isbn&gt;1359-8546&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2</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28689C"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28689C"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3</w:t>
      </w:r>
      <w:r w:rsidR="0028689C"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28689C"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28689C"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4</w:t>
      </w:r>
      <w:r w:rsidR="0028689C" w:rsidRPr="000F1C2D">
        <w:rPr>
          <w:rFonts w:ascii="Times New Roman" w:hAnsi="Times New Roman" w:cs="Times New Roman"/>
        </w:rPr>
        <w:fldChar w:fldCharType="end"/>
      </w:r>
      <w:r w:rsidRPr="000F1C2D">
        <w:rPr>
          <w:rFonts w:ascii="Times New Roman" w:hAnsi="Times New Roman" w:cs="Times New Roman"/>
        </w:rPr>
        <w:t xml:space="preserve"> </w:t>
      </w:r>
    </w:p>
    <w:p w:rsidR="00457D73"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Một yếu tố nền tảng góp phần xây dựng và tăng cường SCR là khả năng hiển thị chuỗi cung ứng (SCV)</w:t>
      </w:r>
      <w:r w:rsidR="0099005E" w:rsidRPr="000F1C2D">
        <w:rPr>
          <w:rFonts w:ascii="Times New Roman" w:hAnsi="Times New Roman" w:cs="Times New Roman"/>
        </w:rPr>
        <w:t>. SCV được hiểu là mức độ mà các bên trong chuỗi có thể truy cập, chia sẻ và sử dụng thông tin liên quan đến khách hàng, nội bộ doanh nghiệp và nhà cung cấp một cách chính xác, kịp thời và hiệu quả nhằm hỗ trợ ra quyết định</w:t>
      </w:r>
      <w:r w:rsidR="00CF7C1E" w:rsidRPr="000F1C2D">
        <w:rPr>
          <w:rFonts w:ascii="Times New Roman" w:hAnsi="Times New Roman" w:cs="Times New Roman"/>
        </w:rPr>
        <w:t>.</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&lt;EndNote&gt;&lt;Cite&gt;&lt;Author&gt;Barratt&lt;/Author&gt;&lt;Year&gt;2007&lt;/Year&gt;&lt;RecNum&gt;41&lt;/RecNum&gt;&lt;DisplayText&gt;&lt;style face="superscript"&gt;5&lt;/style&gt;&lt;/DisplayText&gt;&lt;record&gt;&lt;rec-number&gt;41&lt;/rec-number&gt;&lt;foreign-keys&gt;&lt;key app="EN" db-id="zrxvexxvx0vtpmeafst5dtv5w2zx9fwa0ffp" timestamp="1753853729"&gt;41&lt;/key&gt;&lt;/foreign-keys&gt;&lt;ref-type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5</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6</w:t>
      </w:r>
      <w:r w:rsidR="00CF7C1E" w:rsidRPr="000F1C2D">
        <w:rPr>
          <w:rFonts w:ascii="Times New Roman" w:hAnsi="Times New Roman" w:cs="Times New Roman"/>
        </w:rPr>
        <w:fldChar w:fldCharType="end"/>
      </w:r>
      <w:r w:rsidR="00CF7C1E" w:rsidRPr="000F1C2D">
        <w:rPr>
          <w:rFonts w:ascii="Times New Roman" w:hAnsi="Times New Roman" w:cs="Times New Roman"/>
        </w:rPr>
        <w:t xml:space="preserve"> </w:t>
      </w:r>
      <w:r w:rsidRPr="000F1C2D">
        <w:rPr>
          <w:rFonts w:ascii="Times New Roman" w:hAnsi="Times New Roman" w:cs="Times New Roman"/>
        </w:rPr>
        <w:t xml:space="preserve">SCV giúp cải thiện sự nhận thức về trạng thái hệ thống, rút ngắn thời gian phát hiện bất thường và </w:t>
      </w:r>
      <w:r w:rsidRPr="000F1C2D">
        <w:rPr>
          <w:rFonts w:ascii="Times New Roman" w:hAnsi="Times New Roman" w:cs="Times New Roman"/>
        </w:rPr>
        <w:lastRenderedPageBreak/>
        <w:t xml:space="preserve">hỗ trợ ra quyết định nhanh chóng, từ đó tăng cường khả năng ứng phó </w:t>
      </w:r>
      <w:r w:rsidR="0099005E" w:rsidRPr="000F1C2D">
        <w:rPr>
          <w:rFonts w:ascii="Times New Roman" w:hAnsi="Times New Roman" w:cs="Times New Roman"/>
        </w:rPr>
        <w:t xml:space="preserve">với các biến </w:t>
      </w:r>
      <w:r w:rsidR="00E452C7" w:rsidRPr="000F1C2D">
        <w:rPr>
          <w:rFonts w:ascii="Times New Roman" w:hAnsi="Times New Roman" w:cs="Times New Roman"/>
          <w:lang w:val="vi-VN"/>
        </w:rPr>
        <w:t>động.</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&lt;EndNote&gt;&lt;Cite&gt;&lt;Author&gt;Srinivasan&lt;/Author&gt;&lt;Year&gt;2018&lt;/Year&gt;&lt;RecNum&gt;110&lt;/RecNum&gt;&lt;DisplayText&gt;&lt;style face="superscript"&gt;7&lt;/style&gt;&lt;/DisplayText&gt;&lt;record&gt;&lt;rec-number&gt;110&lt;/rec-number&gt;&lt;foreign-keys&gt;&lt;key app="EN" db-id="zrxvexxvx0vtpmeafst5dtv5w2zx9fwa0ffp" timestamp="1753860432"&gt;110&lt;/key&gt;&lt;/foreign-keys&gt;&lt;ref-type name="Journal Article"&gt;17&lt;/ref-type&gt;&lt;contributors&gt;&lt;authors&gt;&lt;author&gt;Srinivasan, Ravi&lt;/author&gt;&lt;author&gt;Swink, Morgan&lt;/author&gt;&lt;/authors&gt;&lt;/contributors&gt;&lt;titles&gt;&lt;title&gt;An investigation of visibility and flexibility as complements to supply chain analytics: An organizational information processing theory perspective&lt;/title&gt;&lt;secondary-title&gt;Production and Operations Management&lt;/secondary-title&gt;&lt;/titles&gt;&lt;periodical&gt;&lt;full-title&gt;Production and operations management&lt;/full-title&gt;&lt;/periodical&gt;&lt;pages&gt;1849-1867&lt;/pages&gt;&lt;volume&gt;27&lt;/volume&gt;&lt;number&gt;10&lt;/number&gt;&lt;dates&gt;&lt;year&gt;2018&lt;/year&gt;&lt;/dates&gt;&lt;isbn&gt;1059-1478&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7</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8</w:t>
      </w:r>
      <w:r w:rsidR="00CF7C1E" w:rsidRPr="000F1C2D">
        <w:rPr>
          <w:rFonts w:ascii="Times New Roman" w:hAnsi="Times New Roman" w:cs="Times New Roman"/>
        </w:rPr>
        <w:fldChar w:fldCharType="end"/>
      </w:r>
      <w:r w:rsidRPr="000F1C2D">
        <w:rPr>
          <w:rFonts w:ascii="Times New Roman" w:hAnsi="Times New Roman" w:cs="Times New Roman"/>
        </w:rPr>
        <w:t xml:space="preserve"> </w:t>
      </w:r>
    </w:p>
    <w:p w:rsidR="00EA1C6A" w:rsidRPr="000F1C2D" w:rsidRDefault="0099005E"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Hơn nữ</w:t>
      </w:r>
      <w:r w:rsidR="009B09E5" w:rsidRPr="000F1C2D">
        <w:rPr>
          <w:rFonts w:ascii="Times New Roman" w:hAnsi="Times New Roman" w:cs="Times New Roman"/>
        </w:rPr>
        <w:t xml:space="preserve">a, </w:t>
      </w:r>
      <w:r w:rsidR="009B09E5" w:rsidRPr="000F1C2D">
        <w:rPr>
          <w:rFonts w:ascii="Times New Roman" w:hAnsi="Times New Roman" w:cs="Times New Roman"/>
          <w:lang w:val="vi-VN"/>
        </w:rPr>
        <w:t>kết</w:t>
      </w:r>
      <w:r w:rsidRPr="000F1C2D">
        <w:rPr>
          <w:rFonts w:ascii="Times New Roman" w:hAnsi="Times New Roman" w:cs="Times New Roman"/>
        </w:rPr>
        <w:t xml:space="preserve"> quả hoạt động</w:t>
      </w:r>
      <w:r w:rsidR="00457D73" w:rsidRPr="000F1C2D">
        <w:rPr>
          <w:rFonts w:ascii="Times New Roman" w:hAnsi="Times New Roman" w:cs="Times New Roman"/>
        </w:rPr>
        <w:t xml:space="preserve"> chuỗi cung ứng (SCP) phản ánh năng lực của chuỗi </w:t>
      </w:r>
      <w:r w:rsidRPr="000F1C2D">
        <w:rPr>
          <w:rFonts w:ascii="Times New Roman" w:hAnsi="Times New Roman" w:cs="Times New Roman"/>
        </w:rPr>
        <w:t xml:space="preserve">cung ứng </w:t>
      </w:r>
      <w:r w:rsidR="00457D73" w:rsidRPr="000F1C2D">
        <w:rPr>
          <w:rFonts w:ascii="Times New Roman" w:hAnsi="Times New Roman" w:cs="Times New Roman"/>
        </w:rPr>
        <w:t>trong việc cung cấp sản phẩm/dịch vụ đúng thời hạn, tối ưu chi phí,</w:t>
      </w:r>
      <w:r w:rsidR="00EA1C6A" w:rsidRPr="000F1C2D">
        <w:rPr>
          <w:rFonts w:ascii="Times New Roman" w:hAnsi="Times New Roman" w:cs="Times New Roman"/>
        </w:rPr>
        <w:t xml:space="preserve"> thời gian và</w:t>
      </w:r>
      <w:r w:rsidR="00457D73" w:rsidRPr="000F1C2D">
        <w:rPr>
          <w:rFonts w:ascii="Times New Roman" w:hAnsi="Times New Roman" w:cs="Times New Roman"/>
        </w:rPr>
        <w:t xml:space="preserve"> </w:t>
      </w:r>
      <w:r w:rsidR="00EA1C6A" w:rsidRPr="000F1C2D">
        <w:rPr>
          <w:rFonts w:ascii="Times New Roman" w:hAnsi="Times New Roman" w:cs="Times New Roman"/>
        </w:rPr>
        <w:t>đảm bảo chất lượng</w:t>
      </w:r>
      <w:r w:rsidR="00457D73" w:rsidRPr="000F1C2D">
        <w:rPr>
          <w:rFonts w:ascii="Times New Roman" w:hAnsi="Times New Roman" w:cs="Times New Roman"/>
        </w:rPr>
        <w:t xml:space="preserve">. </w:t>
      </w:r>
      <w:r w:rsidR="00876BC8" w:rsidRPr="000F1C2D">
        <w:rPr>
          <w:rFonts w:ascii="Times New Roman" w:hAnsi="Times New Roman" w:cs="Times New Roman"/>
        </w:rPr>
        <w:t xml:space="preserve">Các nghiên cứu trước đây </w:t>
      </w:r>
      <w:r w:rsidR="009B09E5" w:rsidRPr="000F1C2D">
        <w:rPr>
          <w:rFonts w:ascii="Times New Roman" w:hAnsi="Times New Roman" w:cs="Times New Roman"/>
          <w:lang w:val="vi-VN"/>
        </w:rPr>
        <w:t xml:space="preserve">không những </w:t>
      </w:r>
      <w:r w:rsidR="00876BC8" w:rsidRPr="000F1C2D">
        <w:rPr>
          <w:rFonts w:ascii="Times New Roman" w:hAnsi="Times New Roman" w:cs="Times New Roman"/>
        </w:rPr>
        <w:t>chỉ ra rằ</w:t>
      </w:r>
      <w:r w:rsidR="009B09E5" w:rsidRPr="000F1C2D">
        <w:rPr>
          <w:rFonts w:ascii="Times New Roman" w:hAnsi="Times New Roman" w:cs="Times New Roman"/>
        </w:rPr>
        <w:t xml:space="preserve">ng SCR </w:t>
      </w:r>
      <w:r w:rsidR="009B09E5" w:rsidRPr="000F1C2D">
        <w:rPr>
          <w:rFonts w:ascii="Times New Roman" w:hAnsi="Times New Roman" w:cs="Times New Roman"/>
          <w:lang w:val="vi-VN"/>
        </w:rPr>
        <w:t>mà</w:t>
      </w:r>
      <w:r w:rsidR="00876BC8" w:rsidRPr="000F1C2D">
        <w:rPr>
          <w:rFonts w:ascii="Times New Roman" w:hAnsi="Times New Roman" w:cs="Times New Roman"/>
        </w:rPr>
        <w:t xml:space="preserve"> các năng lực khác của chuỗi cung ứng như SCV </w:t>
      </w:r>
      <w:r w:rsidR="009B09E5" w:rsidRPr="000F1C2D">
        <w:rPr>
          <w:rFonts w:ascii="Times New Roman" w:hAnsi="Times New Roman" w:cs="Times New Roman"/>
          <w:lang w:val="vi-VN"/>
        </w:rPr>
        <w:t xml:space="preserve">cũng </w:t>
      </w:r>
      <w:r w:rsidR="00876BC8" w:rsidRPr="000F1C2D">
        <w:rPr>
          <w:rFonts w:ascii="Times New Roman" w:hAnsi="Times New Roman" w:cs="Times New Roman"/>
        </w:rPr>
        <w:t>có thể cải thiện SCP thông qua việc tăng cường khả năng phản ứng linh hoạt trước biến động, giảm thiểu tác động tiêu cực của gián đoạn, tối ưu hóa dòng chảy vật chất và thông tin, cũng như nâng cao chất lượng dịch vụ khách hàng.</w:t>
      </w:r>
      <w:r w:rsidR="009B09E5" w:rsidRPr="000F1C2D">
        <w:rPr>
          <w:rFonts w:ascii="Times New Roman" w:hAnsi="Times New Roman" w:cs="Times New Roman"/>
          <w:lang w:val="vi-VN"/>
        </w:rPr>
        <w:t xml:space="preserve"> </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5</w:t>
      </w:r>
      <w:r w:rsidR="00E24A55" w:rsidRPr="000F1C2D">
        <w:rPr>
          <w:rFonts w:ascii="Times New Roman" w:hAnsi="Times New Roman" w:cs="Times New Roman"/>
        </w:rPr>
        <w:fldChar w:fldCharType="end"/>
      </w:r>
      <w:r w:rsidR="00E24A55" w:rsidRPr="000F1C2D">
        <w:rPr>
          <w:rFonts w:ascii="Times New Roman" w:hAnsi="Times New Roman" w:cs="Times New Roman"/>
          <w:vertAlign w:val="superscript"/>
          <w:lang w:val="vi-VN"/>
        </w:rPr>
        <w:t>,</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9</w:t>
      </w:r>
      <w:r w:rsidR="00E24A55" w:rsidRPr="000F1C2D">
        <w:rPr>
          <w:rFonts w:ascii="Times New Roman" w:hAnsi="Times New Roman" w:cs="Times New Roma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E24A55" w:rsidRPr="000F1C2D">
        <w:rPr>
          <w:rFonts w:ascii="Times New Roman" w:hAnsi="Times New Roman" w:cs="Times New Roman"/>
          <w:lang w:val="vi-V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E24A55" w:rsidRPr="000F1C2D">
        <w:rPr>
          <w:rFonts w:ascii="Times New Roman" w:hAnsi="Times New Roman" w:cs="Times New Roman"/>
          <w:lang w:val="vi-VN"/>
        </w:rPr>
        <w:fldChar w:fldCharType="separate"/>
      </w:r>
      <w:r w:rsidR="00E24A55" w:rsidRPr="000F1C2D">
        <w:rPr>
          <w:rFonts w:ascii="Times New Roman" w:hAnsi="Times New Roman" w:cs="Times New Roman"/>
          <w:noProof/>
          <w:vertAlign w:val="superscript"/>
          <w:lang w:val="vi-VN"/>
        </w:rPr>
        <w:t>10</w:t>
      </w:r>
      <w:r w:rsidR="00E24A55" w:rsidRPr="000F1C2D">
        <w:rPr>
          <w:rFonts w:ascii="Times New Roman" w:hAnsi="Times New Roman" w:cs="Times New Roman"/>
          <w:lang w:val="vi-V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E24A55" w:rsidRPr="000F1C2D">
        <w:rPr>
          <w:rFonts w:ascii="Times New Roman" w:hAnsi="Times New Roman" w:cs="Times New Roman"/>
          <w:lang w:val="vi-VN"/>
        </w:rPr>
        <w:instrText xml:space="preserve"> ADDIN EN.CITE &lt;EndNote&gt;&lt;Cite&gt;&lt;Author&gt;Al Tera&lt;/Author&gt;&lt;Year&gt;2024&lt;/Year&gt;&lt;RecNum&gt;81&lt;/RecNum&gt;&lt;DisplayText&gt;&lt;style face="superscript"&gt;11&lt;/style&gt;&lt;/DisplayText&gt;&lt;record&gt;&lt;rec-number&gt;81&lt;/rec-number&gt;&lt;foreign-keys&gt;&lt;key app="EN" db-id="zrxvexxvx0vtpmeafst5dtv5w2zx9fwa0ffp" timestamp="1753854363"&gt;81&lt;/key&gt;&lt;key app="ENWeb" db-id=""&gt;0&lt;/key&gt;&lt;/foreign-keys&gt;&lt;ref-type name="Journal Article"&gt;17&lt;/ref-type&gt;&lt;contributors&gt;&lt;authors&gt;&lt;author&gt;Al Tera, A.&lt;/author&gt;&lt;author&gt;Alzubi, A.&lt;/author&gt;&lt;author&gt;Iyiola, K.&lt;/author&gt;&lt;/authors&gt;&lt;/contributors&gt;&lt;auth-address&gt;Business Administration Department, University of Mediterranean Karpasia, Institute of Graduate Research and Studies, TRNC, Mersin, 10, Turkey.&lt;/auth-address&gt;&lt;titles&gt;&lt;title&gt;Supply chain digitalization and performance: A moderated mediation of supply chain visibility and supply chain survivability&lt;/title&gt;&lt;secondary-title&gt;Heliyon&lt;/secondary-title&gt;&lt;/titles&gt;&lt;periodical&gt;&lt;full-title&gt;Heliyon&lt;/full-title&gt;&lt;/periodical&gt;&lt;pages&gt;e25584&lt;/pages&gt;&lt;volume&gt;10&lt;/volume&gt;&lt;number&gt;4&lt;/number&gt;&lt;keywords&gt;&lt;keyword&gt;Firm performance&lt;/keyword&gt;&lt;keyword&gt;Manufacturing sector&lt;/keyword&gt;&lt;keyword&gt;Supply chain digitalization&lt;/keyword&gt;&lt;keyword&gt;Supply chain survivability&lt;/keyword&gt;&lt;keyword&gt;Supply chain visibility&lt;/keyword&gt;&lt;keyword&gt;Turkey&lt;/keyword&gt;&lt;keyword&gt;personal relationships that could have appeared to influence the work reported in&lt;/keyword&gt;&lt;keyword&gt;this paper.&lt;/keyword&gt;&lt;/keywords&gt;&lt;dates&gt;&lt;year&gt;2024&lt;/year&gt;&lt;pub-dates&gt;&lt;date&gt;Feb 29&lt;/date&gt;&lt;/pub-dates&gt;&lt;/dates&gt;&lt;isbn&gt;2405-8440 (Print)&amp;#xD;2405-8440 (Electronic)&amp;#xD;2405-8440 (Linking)&lt;/isbn&gt;&lt;accession-num&gt;38390113&lt;/accession-num&gt;&lt;urls&gt;&lt;related-urls&gt;&lt;url&gt;https://www.ncbi.nlm.nih.gov/pubmed/38390113&lt;/url&gt;&lt;/related-urls&gt;&lt;/urls&gt;&lt;custom2&gt;PMC10881317&lt;/custom2&gt;&lt;electronic-resource-num&gt;10.1016/j.heliyon.2024.e25584&lt;/electronic-resource-num&gt;&lt;/record&gt;&lt;/Cite&gt;&lt;/EndNote&gt;</w:instrText>
      </w:r>
      <w:r w:rsidR="00E24A55" w:rsidRPr="000F1C2D">
        <w:rPr>
          <w:rFonts w:ascii="Times New Roman" w:hAnsi="Times New Roman" w:cs="Times New Roman"/>
          <w:lang w:val="vi-VN"/>
        </w:rPr>
        <w:fldChar w:fldCharType="separate"/>
      </w:r>
      <w:r w:rsidR="00E24A55" w:rsidRPr="000F1C2D">
        <w:rPr>
          <w:rFonts w:ascii="Times New Roman" w:hAnsi="Times New Roman" w:cs="Times New Roman"/>
          <w:noProof/>
          <w:vertAlign w:val="superscript"/>
          <w:lang w:val="vi-VN"/>
        </w:rPr>
        <w:t>11</w:t>
      </w:r>
      <w:r w:rsidR="00E24A55" w:rsidRPr="000F1C2D">
        <w:rPr>
          <w:rFonts w:ascii="Times New Roman" w:hAnsi="Times New Roman" w:cs="Times New Roman"/>
          <w:lang w:val="vi-V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E24A55" w:rsidRPr="000F1C2D">
        <w:rPr>
          <w:rFonts w:ascii="Times New Roman" w:hAnsi="Times New Roman" w:cs="Times New Roman"/>
          <w:lang w:val="vi-VN"/>
        </w:rPr>
        <w:instrText xml:space="preserve"> ADDIN EN.CITE &lt;EndNote&gt;&lt;Cite&gt;&lt;Author&gt;Yu&lt;/Author&gt;&lt;Year&gt;2024&lt;/Year&gt;&lt;RecNum&gt;135&lt;/RecNum&gt;&lt;DisplayText&gt;&lt;style face="superscript"&gt;12&lt;/style&gt;&lt;/DisplayText&gt;&lt;record&gt;&lt;rec-number&gt;135&lt;/rec-number&gt;&lt;foreign-keys&gt;&lt;key app="EN" db-id="zrxvexxvx0vtpmeafst5dtv5w2zx9fwa0ffp" timestamp="1753935326"&gt;135&lt;/key&gt;&lt;/foreign-keys&gt;&lt;ref-type name="Journal Article"&gt;17&lt;/ref-type&gt;&lt;contributors&gt;&lt;authors&gt;&lt;author&gt;Yu, Wantao&lt;/author&gt;&lt;author&gt;Jacobs, Mark&lt;/author&gt;&lt;author&gt;Chavez, Roberto&lt;/author&gt;&lt;author&gt;Song, Yongtao&lt;/author&gt;&lt;/authors&gt;&lt;/contributors&gt;&lt;titles&gt;&lt;title&gt;Leveraging supply chain visibility for implementing just-in-case practices: the roles of knowledge and digital resources bundling&lt;/title&gt;&lt;secondary-title&gt;Supply Chain Management: An International Journal&lt;/secondary-title&gt;&lt;/titles&gt;&lt;periodical&gt;&lt;full-title&gt;Supply Chain Management: An International Journal&lt;/full-title&gt;&lt;/periodical&gt;&lt;pages&gt;871-884&lt;/pages&gt;&lt;volume&gt;29&lt;/volume&gt;&lt;number&gt;5&lt;/number&gt;&lt;dates&gt;&lt;year&gt;2024&lt;/year&gt;&lt;/dates&gt;&lt;isbn&gt;1359-8546&lt;/isbn&gt;&lt;urls&gt;&lt;/urls&gt;&lt;/record&gt;&lt;/Cite&gt;&lt;/EndNote&gt;</w:instrText>
      </w:r>
      <w:r w:rsidR="00E24A55" w:rsidRPr="000F1C2D">
        <w:rPr>
          <w:rFonts w:ascii="Times New Roman" w:hAnsi="Times New Roman" w:cs="Times New Roman"/>
          <w:lang w:val="vi-VN"/>
        </w:rPr>
        <w:fldChar w:fldCharType="separate"/>
      </w:r>
      <w:r w:rsidR="00E24A55" w:rsidRPr="000F1C2D">
        <w:rPr>
          <w:rFonts w:ascii="Times New Roman" w:hAnsi="Times New Roman" w:cs="Times New Roman"/>
          <w:noProof/>
          <w:vertAlign w:val="superscript"/>
          <w:lang w:val="vi-VN"/>
        </w:rPr>
        <w:t>12</w:t>
      </w:r>
      <w:r w:rsidR="00E24A55" w:rsidRPr="000F1C2D">
        <w:rPr>
          <w:rFonts w:ascii="Times New Roman" w:hAnsi="Times New Roman" w:cs="Times New Roman"/>
          <w:lang w:val="vi-VN"/>
        </w:rPr>
        <w:fldChar w:fldCharType="end"/>
      </w:r>
      <w:r w:rsidR="00876BC8" w:rsidRPr="000F1C2D">
        <w:rPr>
          <w:rFonts w:ascii="Times New Roman" w:hAnsi="Times New Roman" w:cs="Times New Roman"/>
          <w:highlight w:val="yellow"/>
        </w:rPr>
        <w:t xml:space="preserve"> </w:t>
      </w:r>
    </w:p>
    <w:p w:rsidR="00CF20A4"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Từ góc nhìn lý thuyết </w:t>
      </w:r>
      <w:r w:rsidR="00EA1C6A" w:rsidRPr="000F1C2D">
        <w:rPr>
          <w:rFonts w:ascii="Times New Roman" w:hAnsi="Times New Roman" w:cs="Times New Roman"/>
        </w:rPr>
        <w:t>dựa trên nguồn lực</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13</w:t>
      </w:r>
      <w:r w:rsidR="00E24A55" w:rsidRPr="000F1C2D">
        <w:rPr>
          <w:rFonts w:ascii="Times New Roman" w:hAnsi="Times New Roman" w:cs="Times New Roman"/>
        </w:rPr>
        <w:fldChar w:fldCharType="end"/>
      </w:r>
      <w:r w:rsidR="00E24A55" w:rsidRPr="000F1C2D">
        <w:rPr>
          <w:rFonts w:ascii="Times New Roman" w:hAnsi="Times New Roman" w:cs="Times New Roman"/>
          <w:lang w:val="vi-VN"/>
        </w:rPr>
        <w:t>,</w:t>
      </w:r>
      <w:r w:rsidR="00E24A55" w:rsidRPr="000F1C2D">
        <w:rPr>
          <w:rFonts w:ascii="Times New Roman" w:hAnsi="Times New Roman" w:cs="Times New Roman"/>
        </w:rPr>
        <w:t xml:space="preserve"> </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14</w:t>
      </w:r>
      <w:r w:rsidR="00E24A55" w:rsidRPr="000F1C2D">
        <w:rPr>
          <w:rFonts w:ascii="Times New Roman" w:hAnsi="Times New Roman" w:cs="Times New Roman"/>
        </w:rPr>
        <w:fldChar w:fldCharType="end"/>
      </w:r>
      <w:r w:rsidR="00EA1C6A" w:rsidRPr="000F1C2D">
        <w:rPr>
          <w:rFonts w:ascii="Times New Roman" w:hAnsi="Times New Roman" w:cs="Times New Roman"/>
        </w:rPr>
        <w:t xml:space="preserve"> và lý thuyết </w:t>
      </w:r>
      <w:r w:rsidRPr="000F1C2D">
        <w:rPr>
          <w:rFonts w:ascii="Times New Roman" w:hAnsi="Times New Roman" w:cs="Times New Roman"/>
        </w:rPr>
        <w:t xml:space="preserve">năng lực </w:t>
      </w:r>
      <w:r w:rsidR="00EA1C6A" w:rsidRPr="000F1C2D">
        <w:rPr>
          <w:rFonts w:ascii="Times New Roman" w:hAnsi="Times New Roman" w:cs="Times New Roman"/>
        </w:rPr>
        <w:t>động</w:t>
      </w:r>
      <w:r w:rsidRPr="000F1C2D">
        <w:rPr>
          <w:rFonts w:ascii="Times New Roman" w:hAnsi="Times New Roman" w:cs="Times New Roman"/>
        </w:rPr>
        <w:t>, SCV có thể được xem là một năng lực tổ chức và là năng lực động cho phép tổ chức phản ứng hiệu quả trước thay đổi bằng cách cung cấp thông tin để phòng ngừa và xử lý những gián đoạn, từ đó nâng cao</w:t>
      </w:r>
      <w:r w:rsidR="00EA1C6A" w:rsidRPr="000F1C2D">
        <w:rPr>
          <w:rFonts w:ascii="Times New Roman" w:hAnsi="Times New Roman" w:cs="Times New Roman"/>
        </w:rPr>
        <w:t xml:space="preserve"> SCR và</w:t>
      </w:r>
      <w:r w:rsidRPr="000F1C2D">
        <w:rPr>
          <w:rFonts w:ascii="Times New Roman" w:hAnsi="Times New Roman" w:cs="Times New Roman"/>
        </w:rPr>
        <w:t xml:space="preserve"> thúc đẩy SCP. Các nghiên cứu gần đây cũng đề xuất các chuỗi</w:t>
      </w:r>
      <w:r w:rsidR="00EA1C6A" w:rsidRPr="000F1C2D">
        <w:rPr>
          <w:rFonts w:ascii="Times New Roman" w:hAnsi="Times New Roman" w:cs="Times New Roman"/>
        </w:rPr>
        <w:t xml:space="preserve"> tác động như: </w:t>
      </w:r>
      <w:r w:rsidRPr="000F1C2D">
        <w:rPr>
          <w:rFonts w:ascii="Times New Roman" w:hAnsi="Times New Roman" w:cs="Times New Roman"/>
        </w:rPr>
        <w:t xml:space="preserve">số hóa chuỗi cung ứng </w:t>
      </w:r>
      <w:r w:rsidR="00EA1C6A" w:rsidRPr="000F1C2D">
        <w:rPr>
          <w:rFonts w:ascii="Times New Roman" w:hAnsi="Times New Roman" w:cs="Times New Roman"/>
        </w:rPr>
        <w:t>đến kết quả hoạt động chuỗi cung ứng thông qua</w:t>
      </w:r>
      <w:r w:rsidRPr="000F1C2D">
        <w:rPr>
          <w:rFonts w:ascii="Times New Roman" w:hAnsi="Times New Roman" w:cs="Times New Roman"/>
        </w:rPr>
        <w:t xml:space="preserve"> khả năng phục hồi </w:t>
      </w:r>
      <w:r w:rsidR="00EA1C6A" w:rsidRPr="000F1C2D">
        <w:rPr>
          <w:rFonts w:ascii="Times New Roman" w:hAnsi="Times New Roman" w:cs="Times New Roman"/>
        </w:rPr>
        <w:t xml:space="preserve">chuỗi cung ứng hoặc </w:t>
      </w:r>
      <w:r w:rsidRPr="000F1C2D">
        <w:rPr>
          <w:rFonts w:ascii="Times New Roman" w:hAnsi="Times New Roman" w:cs="Times New Roman"/>
        </w:rPr>
        <w:t xml:space="preserve">khả năng hiển thị </w:t>
      </w:r>
      <w:r w:rsidR="00EA1C6A" w:rsidRPr="000F1C2D">
        <w:rPr>
          <w:rFonts w:ascii="Times New Roman" w:hAnsi="Times New Roman" w:cs="Times New Roman"/>
        </w:rPr>
        <w:t xml:space="preserve">chuỗi cung ứng </w:t>
      </w:r>
      <w:r w:rsidRPr="000F1C2D">
        <w:rPr>
          <w:rFonts w:ascii="Times New Roman" w:hAnsi="Times New Roman" w:cs="Times New Roman"/>
        </w:rPr>
        <w:t xml:space="preserve">như trung gian giữa các </w:t>
      </w:r>
      <w:r w:rsidR="00EA1C6A" w:rsidRPr="000F1C2D">
        <w:rPr>
          <w:rFonts w:ascii="Times New Roman" w:hAnsi="Times New Roman" w:cs="Times New Roman"/>
        </w:rPr>
        <w:t xml:space="preserve">ứng dụng công nghệ số </w:t>
      </w:r>
      <w:r w:rsidRPr="000F1C2D">
        <w:rPr>
          <w:rFonts w:ascii="Times New Roman" w:hAnsi="Times New Roman" w:cs="Times New Roman"/>
        </w:rPr>
        <w:t xml:space="preserve">và </w:t>
      </w:r>
      <w:r w:rsidR="00EA1C6A" w:rsidRPr="000F1C2D">
        <w:rPr>
          <w:rFonts w:ascii="Times New Roman" w:hAnsi="Times New Roman" w:cs="Times New Roman"/>
        </w:rPr>
        <w:t>kết quả hoạt động chuỗi cung ứng</w:t>
      </w:r>
      <w:r w:rsidRPr="000F1C2D">
        <w:rPr>
          <w:rFonts w:ascii="Times New Roman" w:hAnsi="Times New Roman" w:cs="Times New Roman"/>
        </w:rPr>
        <w:t>.</w:t>
      </w:r>
      <w:r w:rsidR="0099005E" w:rsidRPr="000F1C2D">
        <w:rPr>
          <w:rFonts w:ascii="Times New Roman" w:hAnsi="Times New Roman" w:cs="Times New Roman"/>
        </w:rPr>
        <w:t xml:space="preserve"> </w:t>
      </w:r>
      <w:r w:rsidR="00CF20A4" w:rsidRPr="000F1C2D">
        <w:rPr>
          <w:rFonts w:ascii="Times New Roman" w:hAnsi="Times New Roman" w:cs="Times New Roman"/>
        </w:rPr>
        <w:t>Những nghiên cứu này có đề cập</w:t>
      </w:r>
      <w:r w:rsidRPr="000F1C2D">
        <w:rPr>
          <w:rFonts w:ascii="Times New Roman" w:hAnsi="Times New Roman" w:cs="Times New Roman"/>
        </w:rPr>
        <w:t xml:space="preserve"> về mối quan hệ giữa SCV v</w:t>
      </w:r>
      <w:r w:rsidR="00CF20A4" w:rsidRPr="000F1C2D">
        <w:rPr>
          <w:rFonts w:ascii="Times New Roman" w:hAnsi="Times New Roman" w:cs="Times New Roman"/>
        </w:rPr>
        <w:t>à SCP cũng như giữa SCR và SCP. Bên cạnh đó cũng có những nghiên cứu về mối quan hệ giữa SCV và SCR. Tuy nhiên</w:t>
      </w:r>
      <w:r w:rsidRPr="000F1C2D">
        <w:rPr>
          <w:rFonts w:ascii="Times New Roman" w:hAnsi="Times New Roman" w:cs="Times New Roman"/>
        </w:rPr>
        <w:t xml:space="preserve"> vẫn còn thiếu </w:t>
      </w:r>
      <w:r w:rsidR="00CF20A4" w:rsidRPr="000F1C2D">
        <w:rPr>
          <w:rFonts w:ascii="Times New Roman" w:hAnsi="Times New Roman" w:cs="Times New Roman"/>
        </w:rPr>
        <w:t>các nghiên cứu xem xét một cách toàn diện mối quan hệ trực tiếp và gián tiếp giữa SCV và SCP, đặc biệt là việc làm rõ vai trò trung gian của SCR trong mối quan hệ này.</w:t>
      </w:r>
    </w:p>
    <w:p w:rsidR="00876BC8" w:rsidRPr="000F1C2D" w:rsidRDefault="00CF20A4"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 </w:t>
      </w:r>
      <w:r w:rsidR="00457D73" w:rsidRPr="000F1C2D">
        <w:rPr>
          <w:rFonts w:ascii="Times New Roman" w:hAnsi="Times New Roman" w:cs="Times New Roman"/>
        </w:rPr>
        <w:t>Do đó, nghiên cứu này đề xuất và</w:t>
      </w:r>
      <w:r w:rsidRPr="000F1C2D">
        <w:rPr>
          <w:rFonts w:ascii="Times New Roman" w:hAnsi="Times New Roman" w:cs="Times New Roman"/>
        </w:rPr>
        <w:t xml:space="preserve"> kiểm định một mô hình nghiên cứu</w:t>
      </w:r>
      <w:r w:rsidR="00457D73" w:rsidRPr="000F1C2D">
        <w:rPr>
          <w:rFonts w:ascii="Times New Roman" w:hAnsi="Times New Roman" w:cs="Times New Roman"/>
        </w:rPr>
        <w:t xml:space="preserve"> trong đó </w:t>
      </w:r>
      <w:r w:rsidR="00876BC8" w:rsidRPr="000F1C2D">
        <w:rPr>
          <w:rFonts w:ascii="Times New Roman" w:hAnsi="Times New Roman" w:cs="Times New Roman"/>
        </w:rPr>
        <w:t xml:space="preserve">trong đó </w:t>
      </w:r>
      <w:r w:rsidR="003C4573" w:rsidRPr="000F1C2D">
        <w:rPr>
          <w:rFonts w:ascii="Times New Roman" w:hAnsi="Times New Roman" w:cs="Times New Roman"/>
        </w:rPr>
        <w:t xml:space="preserve">SCV </w:t>
      </w:r>
      <w:r w:rsidR="00876BC8" w:rsidRPr="000F1C2D">
        <w:rPr>
          <w:rFonts w:ascii="Times New Roman" w:hAnsi="Times New Roman" w:cs="Times New Roman"/>
        </w:rPr>
        <w:t xml:space="preserve">tác động đến </w:t>
      </w:r>
      <w:r w:rsidR="003C4573" w:rsidRPr="000F1C2D">
        <w:rPr>
          <w:rFonts w:ascii="Times New Roman" w:hAnsi="Times New Roman" w:cs="Times New Roman"/>
        </w:rPr>
        <w:t xml:space="preserve">SCP </w:t>
      </w:r>
      <w:r w:rsidR="00876BC8" w:rsidRPr="000F1C2D">
        <w:rPr>
          <w:rFonts w:ascii="Times New Roman" w:hAnsi="Times New Roman" w:cs="Times New Roman"/>
        </w:rPr>
        <w:t xml:space="preserve">thông qua </w:t>
      </w:r>
      <w:r w:rsidR="003C4573" w:rsidRPr="000F1C2D">
        <w:rPr>
          <w:rFonts w:ascii="Times New Roman" w:hAnsi="Times New Roman" w:cs="Times New Roman"/>
        </w:rPr>
        <w:t xml:space="preserve">SCR </w:t>
      </w:r>
      <w:r w:rsidR="00876BC8" w:rsidRPr="000F1C2D">
        <w:rPr>
          <w:rFonts w:ascii="Times New Roman" w:hAnsi="Times New Roman" w:cs="Times New Roman"/>
        </w:rPr>
        <w:t xml:space="preserve">với vai trò là biến trung gian. Cụ thể, nghiên cứu hướng đến ba mục tiêu: (1) kiểm định tác động trực tiếp của </w:t>
      </w:r>
      <w:r w:rsidR="00876BC8" w:rsidRPr="000F1C2D">
        <w:rPr>
          <w:rFonts w:ascii="Times New Roman" w:hAnsi="Times New Roman" w:cs="Times New Roman"/>
        </w:rPr>
        <w:lastRenderedPageBreak/>
        <w:t xml:space="preserve">SCV lên SCR; (2) kiểm định tác động trực tiếp của SCV, SCR lên SCP và (3) kiểm định vai trò trung gian của SCR trong mối quan hệ giữa SCV và SCP. </w:t>
      </w:r>
    </w:p>
    <w:p w:rsidR="0099005E" w:rsidRPr="000F1C2D" w:rsidRDefault="0099005E"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Phần còn lại của bài báo được tổ chức như sau. Trong Phần 2, chúng tôi đề cập đến các </w:t>
      </w:r>
      <w:r w:rsidR="00876BC8" w:rsidRPr="000F1C2D">
        <w:rPr>
          <w:rFonts w:ascii="Times New Roman" w:hAnsi="Times New Roman" w:cs="Times New Roman"/>
        </w:rPr>
        <w:t xml:space="preserve">khái niệm, các </w:t>
      </w:r>
      <w:r w:rsidRPr="000F1C2D">
        <w:rPr>
          <w:rFonts w:ascii="Times New Roman" w:hAnsi="Times New Roman" w:cs="Times New Roman"/>
        </w:rPr>
        <w:t xml:space="preserve">lý thuyết nền sau đó phát triển nghiên cứu giả thuyết. Phần 3 trình bày các phương pháp nghiên cứu. </w:t>
      </w:r>
      <w:bookmarkStart w:id="0" w:name="OLE_LINK1"/>
      <w:r w:rsidRPr="000F1C2D">
        <w:rPr>
          <w:rFonts w:ascii="Times New Roman" w:hAnsi="Times New Roman" w:cs="Times New Roman"/>
        </w:rPr>
        <w:t xml:space="preserve">Phần 4, chúng tôi trình bày các phát hiện về tác động </w:t>
      </w:r>
      <w:r w:rsidR="00876BC8" w:rsidRPr="000F1C2D">
        <w:rPr>
          <w:rFonts w:ascii="Times New Roman" w:hAnsi="Times New Roman" w:cs="Times New Roman"/>
        </w:rPr>
        <w:t>trực tiếp và</w:t>
      </w:r>
      <w:r w:rsidRPr="000F1C2D">
        <w:rPr>
          <w:rFonts w:ascii="Times New Roman" w:hAnsi="Times New Roman" w:cs="Times New Roman"/>
        </w:rPr>
        <w:t xml:space="preserve"> gián tiếp</w:t>
      </w:r>
      <w:r w:rsidR="00876BC8" w:rsidRPr="000F1C2D">
        <w:rPr>
          <w:rFonts w:ascii="Times New Roman" w:hAnsi="Times New Roman" w:cs="Times New Roman"/>
        </w:rPr>
        <w:t xml:space="preserve"> </w:t>
      </w:r>
      <w:r w:rsidR="00D74983" w:rsidRPr="000F1C2D">
        <w:rPr>
          <w:rFonts w:ascii="Times New Roman" w:hAnsi="Times New Roman" w:cs="Times New Roman"/>
        </w:rPr>
        <w:t xml:space="preserve">của </w:t>
      </w:r>
      <w:r w:rsidR="00876BC8" w:rsidRPr="000F1C2D">
        <w:rPr>
          <w:rFonts w:ascii="Times New Roman" w:hAnsi="Times New Roman" w:cs="Times New Roman"/>
        </w:rPr>
        <w:t>các mối quan hệ</w:t>
      </w:r>
      <w:r w:rsidRPr="000F1C2D">
        <w:rPr>
          <w:rFonts w:ascii="Times New Roman" w:hAnsi="Times New Roman" w:cs="Times New Roman"/>
        </w:rPr>
        <w:t>.</w:t>
      </w:r>
      <w:bookmarkEnd w:id="0"/>
      <w:r w:rsidRPr="000F1C2D">
        <w:rPr>
          <w:rFonts w:ascii="Times New Roman" w:hAnsi="Times New Roman" w:cs="Times New Roman"/>
        </w:rPr>
        <w:t xml:space="preserve"> Trong Phần 5, chúng tôi đưa ra kết l</w:t>
      </w:r>
      <w:r w:rsidR="00D74983" w:rsidRPr="000F1C2D">
        <w:rPr>
          <w:rFonts w:ascii="Times New Roman" w:hAnsi="Times New Roman" w:cs="Times New Roman"/>
        </w:rPr>
        <w:t>uận, trình bày hàm ý lý thuyết</w:t>
      </w:r>
      <w:r w:rsidRPr="000F1C2D">
        <w:rPr>
          <w:rFonts w:ascii="Times New Roman" w:hAnsi="Times New Roman" w:cs="Times New Roman"/>
        </w:rPr>
        <w:t xml:space="preserve"> và </w:t>
      </w:r>
      <w:r w:rsidR="00D74983" w:rsidRPr="000F1C2D">
        <w:rPr>
          <w:rFonts w:ascii="Times New Roman" w:hAnsi="Times New Roman" w:cs="Times New Roman"/>
        </w:rPr>
        <w:t>hàm ý quản trị</w:t>
      </w:r>
      <w:r w:rsidRPr="000F1C2D">
        <w:rPr>
          <w:rFonts w:ascii="Times New Roman" w:hAnsi="Times New Roman" w:cs="Times New Roman"/>
        </w:rPr>
        <w:t>, chỉ ra những hạn chế của nghiên cứu và đề xuất cho nghiên cứ</w:t>
      </w:r>
      <w:r w:rsidR="00D74983" w:rsidRPr="000F1C2D">
        <w:rPr>
          <w:rFonts w:ascii="Times New Roman" w:hAnsi="Times New Roman" w:cs="Times New Roman"/>
        </w:rPr>
        <w:t>u trong tương lai</w:t>
      </w:r>
      <w:r w:rsidR="00203D0B">
        <w:rPr>
          <w:rFonts w:ascii="Times New Roman" w:hAnsi="Times New Roman" w:cs="Times New Roman"/>
        </w:rPr>
        <w:t>.</w:t>
      </w:r>
    </w:p>
    <w:p w:rsidR="00850D16" w:rsidRPr="000F1C2D" w:rsidRDefault="00850D16" w:rsidP="00550095">
      <w:pPr>
        <w:pStyle w:val="1"/>
        <w:spacing w:after="0" w:line="312" w:lineRule="auto"/>
      </w:pPr>
      <w:r w:rsidRPr="000F1C2D">
        <w:t>2. CƠ SỞ LÝ THUYẾT</w:t>
      </w:r>
    </w:p>
    <w:p w:rsidR="00850D16" w:rsidRPr="000F1C2D" w:rsidRDefault="00850D16" w:rsidP="00550095">
      <w:pPr>
        <w:pStyle w:val="NormalWeb"/>
        <w:spacing w:before="0" w:beforeAutospacing="0" w:after="0" w:afterAutospacing="0"/>
        <w:rPr>
          <w:b/>
          <w:i/>
          <w:sz w:val="22"/>
          <w:szCs w:val="22"/>
        </w:rPr>
      </w:pPr>
      <w:r w:rsidRPr="000F1C2D">
        <w:rPr>
          <w:b/>
          <w:i/>
          <w:sz w:val="22"/>
          <w:szCs w:val="22"/>
        </w:rPr>
        <w:t>2.1. Khái niệm</w:t>
      </w:r>
    </w:p>
    <w:p w:rsidR="00550095"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Khả năng hiển thị</w:t>
      </w:r>
      <w:r w:rsidR="00550095" w:rsidRPr="000F1C2D">
        <w:rPr>
          <w:rFonts w:ascii="Times New Roman" w:hAnsi="Times New Roman" w:cs="Times New Roman"/>
          <w:i/>
        </w:rPr>
        <w:t xml:space="preserve"> chuỗi cung ứng (SCV)</w:t>
      </w:r>
    </w:p>
    <w:p w:rsidR="00850D16" w:rsidRPr="000F1C2D" w:rsidRDefault="00550095"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SCV</w:t>
      </w:r>
      <w:r w:rsidR="00850D16" w:rsidRPr="000F1C2D">
        <w:rPr>
          <w:rFonts w:ascii="Times New Roman" w:hAnsi="Times New Roman" w:cs="Times New Roman"/>
        </w:rPr>
        <w:t xml:space="preserve"> được xem như một năng lực tổ chức chiến lược giúp doanh nghiệp cảm nhận, học hỏi và phối hợp hiệu quả trong môi trường biến </w:t>
      </w:r>
      <w:r w:rsidR="00E452C7" w:rsidRPr="000F1C2D">
        <w:rPr>
          <w:rFonts w:ascii="Times New Roman" w:hAnsi="Times New Roman" w:cs="Times New Roman"/>
          <w:lang w:val="vi-VN"/>
        </w:rPr>
        <w:t>động.</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5</w:t>
      </w:r>
      <w:r w:rsidR="00E24A55" w:rsidRPr="000F1C2D">
        <w:rPr>
          <w:rFonts w:ascii="Times New Roman" w:hAnsi="Times New Roman" w:cs="Times New Roma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6</w:t>
      </w:r>
      <w:r w:rsidR="00E24A55" w:rsidRPr="000F1C2D">
        <w:rPr>
          <w:rFonts w:ascii="Times New Roman" w:hAnsi="Times New Roman" w:cs="Times New Roman"/>
        </w:rPr>
        <w:fldChar w:fldCharType="end"/>
      </w:r>
      <w:r w:rsidR="00850D16" w:rsidRPr="000F1C2D">
        <w:rPr>
          <w:rFonts w:ascii="Times New Roman" w:hAnsi="Times New Roman" w:cs="Times New Roman"/>
        </w:rPr>
        <w:t xml:space="preserve"> Gần đây, Agrawal &amp; cộng sự, (2024) </w:t>
      </w:r>
      <w:r w:rsidR="003A0E27" w:rsidRPr="000F1C2D">
        <w:rPr>
          <w:rFonts w:ascii="Times New Roman" w:hAnsi="Times New Roman" w:cs="Times New Roman"/>
          <w:lang w:val="vi-VN"/>
        </w:rPr>
        <w:fldChar w:fldCharType="begin"/>
      </w:r>
      <w:r w:rsidR="003A0E27" w:rsidRPr="000F1C2D">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3A0E27" w:rsidRPr="000F1C2D">
        <w:rPr>
          <w:rFonts w:ascii="Times New Roman" w:hAnsi="Times New Roman" w:cs="Times New Roman"/>
          <w:lang w:val="vi-VN"/>
        </w:rPr>
        <w:fldChar w:fldCharType="separate"/>
      </w:r>
      <w:r w:rsidR="003A0E27" w:rsidRPr="000F1C2D">
        <w:rPr>
          <w:rFonts w:ascii="Times New Roman" w:hAnsi="Times New Roman" w:cs="Times New Roman"/>
          <w:noProof/>
          <w:vertAlign w:val="superscript"/>
          <w:lang w:val="vi-VN"/>
        </w:rPr>
        <w:t>15</w:t>
      </w:r>
      <w:r w:rsidR="003A0E27" w:rsidRPr="000F1C2D">
        <w:rPr>
          <w:rFonts w:ascii="Times New Roman" w:hAnsi="Times New Roman" w:cs="Times New Roman"/>
          <w:lang w:val="vi-VN"/>
        </w:rPr>
        <w:fldChar w:fldCharType="end"/>
      </w:r>
      <w:r w:rsidR="003A0E27" w:rsidRPr="000F1C2D">
        <w:rPr>
          <w:rFonts w:ascii="Times New Roman" w:hAnsi="Times New Roman" w:cs="Times New Roman"/>
        </w:rPr>
        <w:t xml:space="preserve"> </w:t>
      </w:r>
      <w:r w:rsidR="00850D16" w:rsidRPr="000F1C2D">
        <w:rPr>
          <w:rFonts w:ascii="Times New Roman" w:hAnsi="Times New Roman" w:cs="Times New Roman"/>
        </w:rPr>
        <w:t xml:space="preserve">nhấn mạnh vai trò chủ động của nhà quản trị trong việc thiết lập và vận hành khả năng hiển thị chuỗi cung ứng quản lý. Như vậy, </w:t>
      </w:r>
      <w:r w:rsidRPr="000F1C2D">
        <w:rPr>
          <w:rFonts w:ascii="Times New Roman" w:hAnsi="Times New Roman" w:cs="Times New Roman"/>
        </w:rPr>
        <w:t xml:space="preserve">SCV </w:t>
      </w:r>
      <w:r w:rsidR="00850D16" w:rsidRPr="000F1C2D">
        <w:rPr>
          <w:rFonts w:ascii="Times New Roman" w:hAnsi="Times New Roman" w:cs="Times New Roman"/>
        </w:rPr>
        <w:t xml:space="preserve">được hiểu là mức độ mà thông tin liên quan đến dữ liệu liên quan đến khách hàng, dữ liệu nội bộ công ty và dữ liệu liên quan đến nhà cung cấp trong chuỗi cung ứng có thể được truy cập, chia sẻ và sử dụng một cách chính xác, kịp thời và hiệu quả giữa các bên liên quan, giúp doanh nghiệp nhìn rõ toàn bộ hoạt động của chuỗi cung ứng để nâng cao khả năng kiểm soát, thích ứng và cải thiện kết quả hoạt động. </w:t>
      </w:r>
    </w:p>
    <w:p w:rsidR="00850D16" w:rsidRPr="000F1C2D" w:rsidRDefault="00850D16" w:rsidP="000C33EF">
      <w:pPr>
        <w:spacing w:after="0" w:line="312" w:lineRule="auto"/>
        <w:ind w:firstLine="567"/>
        <w:jc w:val="both"/>
        <w:rPr>
          <w:rFonts w:ascii="Times New Roman" w:hAnsi="Times New Roman" w:cs="Times New Roman"/>
          <w:i/>
          <w:lang w:val="vi-VN"/>
        </w:rPr>
      </w:pPr>
      <w:r w:rsidRPr="000F1C2D">
        <w:rPr>
          <w:rFonts w:ascii="Times New Roman" w:hAnsi="Times New Roman" w:cs="Times New Roman"/>
          <w:i/>
        </w:rPr>
        <w:t>Khả năng phục hồi chuỗi cung ứng</w:t>
      </w:r>
      <w:r w:rsidR="000C33EF" w:rsidRPr="000F1C2D">
        <w:rPr>
          <w:rFonts w:ascii="Times New Roman" w:hAnsi="Times New Roman" w:cs="Times New Roman"/>
          <w:i/>
          <w:lang w:val="vi-VN"/>
        </w:rPr>
        <w:t xml:space="preserve"> (SCR)</w:t>
      </w:r>
    </w:p>
    <w:p w:rsidR="00850D16" w:rsidRPr="000F1C2D" w:rsidRDefault="00850D16"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quá trình phát triển khái niệm,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tiếp cận theo hai hướng chính đó là hướng tiếp cận cân bằng tĩnh và hướng tiếp cận thích nghi phi cân bằng. Tuy nhiên, trong bối cảnh chuỗi cung ứng ngày càng đối mặt với nhiều gián </w:t>
      </w:r>
      <w:r w:rsidRPr="000F1C2D">
        <w:rPr>
          <w:rFonts w:ascii="Times New Roman" w:hAnsi="Times New Roman" w:cs="Times New Roman"/>
        </w:rPr>
        <w:lastRenderedPageBreak/>
        <w:t>đoạn phức tạp và không lường trước</w:t>
      </w:r>
      <w:r w:rsidR="00203D0B">
        <w:rPr>
          <w:rFonts w:ascii="Times New Roman" w:hAnsi="Times New Roman" w:cs="Times New Roman"/>
        </w:rPr>
        <w:t>,</w:t>
      </w:r>
      <w:r w:rsidRPr="000F1C2D">
        <w:rPr>
          <w:rFonts w:ascii="Times New Roman" w:hAnsi="Times New Roman" w:cs="Times New Roman"/>
        </w:rPr>
        <w:t xml:space="preserve"> hướng tiếp cận cân bằng tĩnh dần trở nên thiếu toàn diện. Vì vậy, nghiên cứu này tiếp cận </w:t>
      </w:r>
      <w:r w:rsidR="00550095" w:rsidRPr="000F1C2D">
        <w:rPr>
          <w:rFonts w:ascii="Times New Roman" w:hAnsi="Times New Roman" w:cs="Times New Roman"/>
        </w:rPr>
        <w:t xml:space="preserve">SCR </w:t>
      </w:r>
      <w:r w:rsidRPr="000F1C2D">
        <w:rPr>
          <w:rFonts w:ascii="Times New Roman" w:hAnsi="Times New Roman" w:cs="Times New Roman"/>
        </w:rPr>
        <w:t xml:space="preserve">theo hướng thích nghi phi cân bằng, trong đó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coi là một năng lực động giúp doanh nghiệp không chỉ phục hồi, mà còn tái cấu trúc và thích nghi liên tục với những biến động của môi trường bên </w:t>
      </w:r>
      <w:r w:rsidR="00C335E6" w:rsidRPr="000F1C2D">
        <w:rPr>
          <w:rFonts w:ascii="Times New Roman" w:hAnsi="Times New Roman" w:cs="Times New Roman"/>
          <w:lang w:val="vi-VN"/>
        </w:rPr>
        <w:t>ngoài.</w:t>
      </w:r>
      <w:r w:rsidR="00C335E6"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rPr>
        <w:instrText xml:space="preserve"> ADDIN EN.CITE </w:instrText>
      </w:r>
      <w:r w:rsidR="00C335E6"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rPr>
        <w:instrText xml:space="preserve"> ADDIN EN.CITE.DATA </w:instrText>
      </w:r>
      <w:r w:rsidR="00C335E6" w:rsidRPr="000F1C2D">
        <w:rPr>
          <w:rFonts w:ascii="Times New Roman" w:hAnsi="Times New Roman" w:cs="Times New Roman"/>
        </w:rPr>
      </w:r>
      <w:r w:rsidR="00C335E6" w:rsidRPr="000F1C2D">
        <w:rPr>
          <w:rFonts w:ascii="Times New Roman" w:hAnsi="Times New Roman" w:cs="Times New Roman"/>
        </w:rPr>
        <w:fldChar w:fldCharType="end"/>
      </w:r>
      <w:r w:rsidR="00C335E6" w:rsidRPr="000F1C2D">
        <w:rPr>
          <w:rFonts w:ascii="Times New Roman" w:hAnsi="Times New Roman" w:cs="Times New Roman"/>
        </w:rPr>
      </w:r>
      <w:r w:rsidR="00C335E6"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16</w:t>
      </w:r>
      <w:r w:rsidR="00C335E6" w:rsidRPr="000F1C2D">
        <w:rPr>
          <w:rFonts w:ascii="Times New Roman" w:hAnsi="Times New Roman" w:cs="Times New Roman"/>
        </w:rPr>
        <w:fldChar w:fldCharType="end"/>
      </w:r>
      <w:r w:rsidR="00203D0B">
        <w:rPr>
          <w:rFonts w:ascii="Times New Roman" w:hAnsi="Times New Roman" w:cs="Times New Roman"/>
          <w:vertAlign w:val="superscript"/>
        </w:rPr>
        <w:t>,</w:t>
      </w:r>
      <w:r w:rsidR="00C335E6" w:rsidRPr="000F1C2D">
        <w:rPr>
          <w:rFonts w:ascii="Times New Roman" w:hAnsi="Times New Roman" w:cs="Times New Roman"/>
          <w:lang w:val="vi-VN"/>
        </w:rPr>
        <w:t xml:space="preserve"> </w:t>
      </w:r>
      <w:r w:rsidR="00C335E6" w:rsidRPr="000F1C2D">
        <w:rPr>
          <w:rFonts w:ascii="Times New Roman" w:hAnsi="Times New Roman" w:cs="Times New Roman"/>
          <w:lang w:val="vi-VN"/>
        </w:rPr>
        <w:fldChar w:fldCharType="begin"/>
      </w:r>
      <w:r w:rsidR="00C335E6" w:rsidRPr="000F1C2D">
        <w:rPr>
          <w:rFonts w:ascii="Times New Roman" w:hAnsi="Times New Roman" w:cs="Times New Roman"/>
          <w:lang w:val="vi-V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17</w:t>
      </w:r>
      <w:r w:rsidR="00C335E6" w:rsidRPr="000F1C2D">
        <w:rPr>
          <w:rFonts w:ascii="Times New Roman" w:hAnsi="Times New Roman" w:cs="Times New Roman"/>
          <w:lang w:val="vi-VN"/>
        </w:rPr>
        <w:fldChar w:fldCharType="end"/>
      </w:r>
    </w:p>
    <w:p w:rsidR="00850D16"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Kết quả hoạt động chuỗi cung ứng</w:t>
      </w:r>
      <w:r w:rsidR="00F410D9" w:rsidRPr="000F1C2D">
        <w:rPr>
          <w:rFonts w:ascii="Times New Roman" w:hAnsi="Times New Roman" w:cs="Times New Roman"/>
          <w:i/>
        </w:rPr>
        <w:t xml:space="preserve"> (SCP)</w:t>
      </w:r>
    </w:p>
    <w:p w:rsidR="00850D16" w:rsidRPr="000F1C2D" w:rsidRDefault="00F410D9"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SCP </w:t>
      </w:r>
      <w:r w:rsidR="00850D16" w:rsidRPr="000F1C2D">
        <w:rPr>
          <w:rFonts w:ascii="Times New Roman" w:hAnsi="Times New Roman" w:cs="Times New Roman"/>
        </w:rPr>
        <w:t xml:space="preserve">được hiểu là mức độ mà một chuỗi cung ứng đạt được kết quả vận hành về chi phí, thời gian và hiệu quả đầu tư, khả năng đáp ứng được yêu cầu khách hàng, thông qua việc tích hợp công nghệ, sử dụng hiệu quả nguồn lực và duy trì năng lực thích ứng trong điều kiện môi trường biến động. </w:t>
      </w:r>
      <w:r w:rsidR="003A0E27"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&lt;EndNote&gt;&lt;Cite&gt;&lt;Author&gt;Beamon&lt;/Author&gt;&lt;Year&gt;1999&lt;/Year&gt;&lt;RecNum&gt;23&lt;/RecNum&gt;&lt;DisplayText&gt;&lt;style face="superscript"&gt;18&lt;/style&gt;&lt;/DisplayText&gt;&lt;record&gt;&lt;rec-number&gt;23&lt;/rec-number&gt;&lt;foreign-keys&gt;&lt;key app="EN" db-id="zrxvexxvx0vtpmeafst5dtv5w2zx9fwa0ffp" timestamp="1753848722"&gt;23&lt;/key&gt;&lt;key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3A0E27"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18</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&lt;EndNote&gt;&lt;Cite&gt;&lt;Author&gt;Gunasekaran&lt;/Author&gt;&lt;Year&gt;2004&lt;/Year&gt;&lt;RecNum&gt;123&lt;/RecNum&gt;&lt;DisplayText&gt;&lt;style face="superscript"&gt;19&lt;/style&gt;&lt;/DisplayText&gt;&lt;record&gt;&lt;rec-number&gt;123&lt;/rec-number&gt;&lt;foreign-keys&gt;&lt;key app="EN" db-id="zrxvexxvx0vtpmeafst5dtv5w2zx9fwa0ffp" timestamp="1753864169"&gt;123&lt;/key&gt;&lt;/foreign-keys&gt;&lt;ref-type name="Journal Article"&gt;17&lt;/ref-type&gt;&lt;contributors&gt;&lt;authors&gt;&lt;author&gt;Gunasekaran, Angappa&lt;/author&gt;&lt;author&gt;Patel, Christopher&lt;/author&gt;&lt;author&gt;McGaughey,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record&gt;&lt;/Cite&gt;&lt;/EndNote&gt;</w:instrText>
      </w:r>
      <w:r w:rsidR="003A0E27"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19</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3A0E27"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20</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3A0E27" w:rsidRPr="000F1C2D">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3A0E27" w:rsidRPr="000F1C2D">
        <w:rPr>
          <w:rFonts w:ascii="Times New Roman" w:hAnsi="Times New Roman" w:cs="Times New Roman"/>
        </w:rPr>
        <w:fldChar w:fldCharType="separate"/>
      </w:r>
      <w:r w:rsidR="003A0E27" w:rsidRPr="000F1C2D">
        <w:rPr>
          <w:rFonts w:ascii="Times New Roman" w:hAnsi="Times New Roman" w:cs="Times New Roman"/>
          <w:noProof/>
          <w:vertAlign w:val="superscript"/>
        </w:rPr>
        <w:t>4</w:t>
      </w:r>
      <w:r w:rsidR="003A0E27" w:rsidRPr="000F1C2D">
        <w:rPr>
          <w:rFonts w:ascii="Times New Roman" w:hAnsi="Times New Roman" w:cs="Times New Roman"/>
        </w:rPr>
        <w:fldChar w:fldCharType="end"/>
      </w:r>
      <w:r w:rsidR="00850D16" w:rsidRPr="000F1C2D">
        <w:rPr>
          <w:rFonts w:ascii="Times New Roman" w:hAnsi="Times New Roman" w:cs="Times New Roman"/>
        </w:rPr>
        <w:t xml:space="preserve"> </w:t>
      </w:r>
    </w:p>
    <w:p w:rsidR="00850D16" w:rsidRPr="000F1C2D" w:rsidRDefault="00850D16" w:rsidP="000C33EF">
      <w:pPr>
        <w:spacing w:after="0" w:line="312" w:lineRule="auto"/>
        <w:jc w:val="both"/>
        <w:rPr>
          <w:rFonts w:ascii="Times New Roman" w:hAnsi="Times New Roman" w:cs="Times New Roman"/>
          <w:b/>
          <w:i/>
        </w:rPr>
      </w:pPr>
      <w:r w:rsidRPr="000F1C2D">
        <w:rPr>
          <w:rFonts w:ascii="Times New Roman" w:hAnsi="Times New Roman" w:cs="Times New Roman"/>
          <w:b/>
          <w:i/>
        </w:rPr>
        <w:t>2.2. Lý thuyết nền</w:t>
      </w:r>
    </w:p>
    <w:p w:rsidR="008F5186" w:rsidRPr="000F1C2D" w:rsidRDefault="008F5186"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Cơ sở lý thuyết của nghiên cứu này được xây dựng dựa trên sự kết hợp của hai lý thuyết: </w:t>
      </w:r>
      <w:r w:rsidR="00F410D9" w:rsidRPr="000F1C2D">
        <w:rPr>
          <w:rFonts w:ascii="Times New Roman" w:hAnsi="Times New Roman" w:cs="Times New Roman"/>
        </w:rPr>
        <w:t xml:space="preserve">lý thuyết dựa trên </w:t>
      </w:r>
      <w:r w:rsidRPr="000F1C2D">
        <w:rPr>
          <w:rFonts w:ascii="Times New Roman" w:hAnsi="Times New Roman" w:cs="Times New Roman"/>
        </w:rPr>
        <w:t xml:space="preserve">nguồn lực và </w:t>
      </w:r>
      <w:r w:rsidR="00F410D9" w:rsidRPr="000F1C2D">
        <w:rPr>
          <w:rFonts w:ascii="Times New Roman" w:hAnsi="Times New Roman" w:cs="Times New Roman"/>
        </w:rPr>
        <w:t>l</w:t>
      </w:r>
      <w:r w:rsidRPr="000F1C2D">
        <w:rPr>
          <w:rFonts w:ascii="Times New Roman" w:hAnsi="Times New Roman" w:cs="Times New Roman"/>
        </w:rPr>
        <w:t>ý thuyết năng lực động. Theo quan điểm cơ sở nguồn lự</w:t>
      </w:r>
      <w:r w:rsidR="004574E3" w:rsidRPr="000F1C2D">
        <w:rPr>
          <w:rFonts w:ascii="Times New Roman" w:hAnsi="Times New Roman" w:cs="Times New Roman"/>
        </w:rPr>
        <w:t>c</w:t>
      </w:r>
      <w:r w:rsidR="00970DEC" w:rsidRPr="000F1C2D">
        <w:rPr>
          <w:rFonts w:ascii="Times New Roman" w:hAnsi="Times New Roman" w:cs="Times New Roman"/>
          <w:lang w:val="vi-VN"/>
        </w:rPr>
        <w:fldChar w:fldCharType="begin"/>
      </w:r>
      <w:r w:rsidR="00970DEC" w:rsidRPr="000F1C2D">
        <w:rPr>
          <w:rFonts w:ascii="Times New Roman" w:hAnsi="Times New Roman" w:cs="Times New Roman"/>
          <w:lang w:val="vi-V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00970DEC" w:rsidRPr="000F1C2D">
        <w:rPr>
          <w:rFonts w:ascii="Times New Roman" w:hAnsi="Times New Roman" w:cs="Times New Roman"/>
          <w:lang w:val="vi-VN"/>
        </w:rPr>
        <w:fldChar w:fldCharType="separate"/>
      </w:r>
      <w:r w:rsidR="00970DEC" w:rsidRPr="000F1C2D">
        <w:rPr>
          <w:rFonts w:ascii="Times New Roman" w:hAnsi="Times New Roman" w:cs="Times New Roman"/>
          <w:noProof/>
          <w:vertAlign w:val="superscript"/>
          <w:lang w:val="vi-VN"/>
        </w:rPr>
        <w:t>14</w:t>
      </w:r>
      <w:r w:rsidR="00970DEC" w:rsidRPr="000F1C2D">
        <w:rPr>
          <w:rFonts w:ascii="Times New Roman" w:hAnsi="Times New Roman" w:cs="Times New Roman"/>
          <w:lang w:val="vi-VN"/>
        </w:rPr>
        <w:fldChar w:fldCharType="end"/>
      </w:r>
      <w:r w:rsidR="004574E3" w:rsidRPr="000F1C2D">
        <w:rPr>
          <w:rFonts w:ascii="Times New Roman" w:hAnsi="Times New Roman" w:cs="Times New Roman"/>
          <w:vertAlign w:val="superscript"/>
          <w:lang w:val="vi-VN"/>
        </w:rPr>
        <w:t>,</w:t>
      </w:r>
      <w:r w:rsidR="00970DEC" w:rsidRPr="000F1C2D">
        <w:rPr>
          <w:rFonts w:ascii="Times New Roman" w:hAnsi="Times New Roman" w:cs="Times New Roman"/>
        </w:rPr>
        <w:fldChar w:fldCharType="begin"/>
      </w:r>
      <w:r w:rsidR="00970DEC" w:rsidRPr="000F1C2D">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970DEC" w:rsidRPr="000F1C2D">
        <w:rPr>
          <w:rFonts w:ascii="Times New Roman" w:hAnsi="Times New Roman" w:cs="Times New Roman"/>
        </w:rPr>
        <w:fldChar w:fldCharType="separate"/>
      </w:r>
      <w:r w:rsidR="00970DEC" w:rsidRPr="000F1C2D">
        <w:rPr>
          <w:rFonts w:ascii="Times New Roman" w:hAnsi="Times New Roman" w:cs="Times New Roman"/>
          <w:noProof/>
          <w:vertAlign w:val="superscript"/>
        </w:rPr>
        <w:t>13</w:t>
      </w:r>
      <w:r w:rsidR="00970DEC" w:rsidRPr="000F1C2D">
        <w:rPr>
          <w:rFonts w:ascii="Times New Roman" w:hAnsi="Times New Roman" w:cs="Times New Roman"/>
        </w:rPr>
        <w:fldChar w:fldCharType="end"/>
      </w:r>
      <w:r w:rsidRPr="000F1C2D">
        <w:rPr>
          <w:rFonts w:ascii="Times New Roman" w:hAnsi="Times New Roman" w:cs="Times New Roman"/>
        </w:rPr>
        <w:t xml:space="preserve">, các nguồn lực có giá trị, hiếm có, khó bắt chước và không thể thay thế (VRIN) có thể tạo ra lợi thế cạnh tranh bền vững. Trong bối cảnh chuỗi cung ứng hiện đại, </w:t>
      </w:r>
      <w:r w:rsidR="00F410D9" w:rsidRPr="000F1C2D">
        <w:rPr>
          <w:rFonts w:ascii="Times New Roman" w:hAnsi="Times New Roman" w:cs="Times New Roman"/>
        </w:rPr>
        <w:t xml:space="preserve">SCV </w:t>
      </w:r>
      <w:r w:rsidRPr="000F1C2D">
        <w:rPr>
          <w:rFonts w:ascii="Times New Roman" w:hAnsi="Times New Roman" w:cs="Times New Roman"/>
        </w:rPr>
        <w:t>được xem là một nguồn lực thông tin chiến lược, cung cấp nhận thức sâu sắc về trạng thái hệ thống. Theo lý thuyết năng lực độ</w:t>
      </w:r>
      <w:r w:rsidR="00DA610E" w:rsidRPr="000F1C2D">
        <w:rPr>
          <w:rFonts w:ascii="Times New Roman" w:hAnsi="Times New Roman" w:cs="Times New Roman"/>
        </w:rPr>
        <w:t>ng</w:t>
      </w:r>
      <w:r w:rsidR="00DA610E"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DA610E"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21</w:t>
      </w:r>
      <w:r w:rsidR="00DA610E" w:rsidRPr="000F1C2D">
        <w:rPr>
          <w:rFonts w:ascii="Times New Roman" w:hAnsi="Times New Roman" w:cs="Times New Roman"/>
        </w:rPr>
        <w:fldChar w:fldCharType="end"/>
      </w:r>
      <w:r w:rsidR="00DA610E" w:rsidRPr="000F1C2D">
        <w:rPr>
          <w:rFonts w:ascii="Times New Roman" w:hAnsi="Times New Roman" w:cs="Times New Roman"/>
          <w:vertAlign w:val="superscript"/>
          <w:lang w:val="vi-VN"/>
        </w:rPr>
        <w:t>,</w:t>
      </w:r>
      <w:r w:rsidR="00DA610E"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DA610E"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22</w:t>
      </w:r>
      <w:r w:rsidR="00DA610E" w:rsidRPr="000F1C2D">
        <w:rPr>
          <w:rFonts w:ascii="Times New Roman" w:hAnsi="Times New Roman" w:cs="Times New Roman"/>
        </w:rPr>
        <w:fldChar w:fldCharType="end"/>
      </w:r>
      <w:r w:rsidR="00DA610E" w:rsidRPr="000F1C2D">
        <w:rPr>
          <w:rFonts w:ascii="Times New Roman" w:hAnsi="Times New Roman" w:cs="Times New Roman"/>
          <w:vertAlign w:val="superscript"/>
          <w:lang w:val="vi-VN"/>
        </w:rPr>
        <w:t>,</w:t>
      </w:r>
      <w:r w:rsidR="00DA610E"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DA610E"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23</w:t>
      </w:r>
      <w:r w:rsidR="00DA610E" w:rsidRPr="000F1C2D">
        <w:rPr>
          <w:rFonts w:ascii="Times New Roman" w:hAnsi="Times New Roman" w:cs="Times New Roman"/>
        </w:rPr>
        <w:fldChar w:fldCharType="end"/>
      </w:r>
      <w:r w:rsidR="00DA610E" w:rsidRPr="000F1C2D">
        <w:rPr>
          <w:rFonts w:ascii="Times New Roman" w:hAnsi="Times New Roman" w:cs="Times New Roman"/>
          <w:lang w:val="vi-VN"/>
        </w:rPr>
        <w:t xml:space="preserve"> </w:t>
      </w:r>
      <w:r w:rsidRPr="000F1C2D">
        <w:rPr>
          <w:rFonts w:ascii="Times New Roman" w:hAnsi="Times New Roman" w:cs="Times New Roman"/>
        </w:rPr>
        <w:t xml:space="preserve">nhấn mạnh rằng để duy trì hiệu quả trong môi trường biến động cao, doanh nghiệp không chỉ cần tài nguyên mà còn cần khả </w:t>
      </w:r>
      <w:r w:rsidR="00F410D9" w:rsidRPr="000F1C2D">
        <w:rPr>
          <w:rFonts w:ascii="Times New Roman" w:hAnsi="Times New Roman" w:cs="Times New Roman"/>
        </w:rPr>
        <w:t xml:space="preserve">năng phát hiện cơ hội và rủi ro, </w:t>
      </w:r>
      <w:r w:rsidRPr="000F1C2D">
        <w:rPr>
          <w:rFonts w:ascii="Times New Roman" w:hAnsi="Times New Roman" w:cs="Times New Roman"/>
        </w:rPr>
        <w:t>nắm bắt và k</w:t>
      </w:r>
      <w:r w:rsidR="00F410D9" w:rsidRPr="000F1C2D">
        <w:rPr>
          <w:rFonts w:ascii="Times New Roman" w:hAnsi="Times New Roman" w:cs="Times New Roman"/>
        </w:rPr>
        <w:t>hai thác chúng</w:t>
      </w:r>
      <w:r w:rsidRPr="000F1C2D">
        <w:rPr>
          <w:rFonts w:ascii="Times New Roman" w:hAnsi="Times New Roman" w:cs="Times New Roman"/>
        </w:rPr>
        <w:t xml:space="preserve"> cũng như tái cấ</w:t>
      </w:r>
      <w:r w:rsidR="00F410D9" w:rsidRPr="000F1C2D">
        <w:rPr>
          <w:rFonts w:ascii="Times New Roman" w:hAnsi="Times New Roman" w:cs="Times New Roman"/>
        </w:rPr>
        <w:t>u trúc nguồn lực</w:t>
      </w:r>
      <w:r w:rsidRPr="000F1C2D">
        <w:rPr>
          <w:rFonts w:ascii="Times New Roman" w:hAnsi="Times New Roman" w:cs="Times New Roman"/>
        </w:rPr>
        <w:t xml:space="preserve">. Trong bối cảnh này, </w:t>
      </w:r>
      <w:r w:rsidR="00F410D9" w:rsidRPr="000F1C2D">
        <w:rPr>
          <w:rFonts w:ascii="Times New Roman" w:hAnsi="Times New Roman" w:cs="Times New Roman"/>
        </w:rPr>
        <w:t xml:space="preserve">SCV </w:t>
      </w:r>
      <w:r w:rsidRPr="000F1C2D">
        <w:rPr>
          <w:rFonts w:ascii="Times New Roman" w:hAnsi="Times New Roman" w:cs="Times New Roman"/>
        </w:rPr>
        <w:t xml:space="preserve">có thể được xem là năng lực khả năng nhận diện giúp doanh nghiệp phát hiện sớm tín hiệu gián đoạn thông qua khả năng theo dõi và minh bạch dữ liệu trong chuỗi cung ứng. </w:t>
      </w:r>
      <w:r w:rsidR="00F410D9" w:rsidRPr="000F1C2D">
        <w:rPr>
          <w:rFonts w:ascii="Times New Roman" w:hAnsi="Times New Roman" w:cs="Times New Roman"/>
        </w:rPr>
        <w:t xml:space="preserve">SCR </w:t>
      </w:r>
      <w:r w:rsidRPr="000F1C2D">
        <w:rPr>
          <w:rFonts w:ascii="Times New Roman" w:hAnsi="Times New Roman" w:cs="Times New Roman"/>
        </w:rPr>
        <w:t>đại diện cho năng lực khả năng nắm bắt và khả năng tái cấu trúc giúp chuỗi cung ứng của doanh nghiệp phản ứ</w:t>
      </w:r>
      <w:r w:rsidR="00CF7701" w:rsidRPr="000F1C2D">
        <w:rPr>
          <w:rFonts w:ascii="Times New Roman" w:hAnsi="Times New Roman" w:cs="Times New Roman"/>
        </w:rPr>
        <w:t>ng, thích nghi</w:t>
      </w:r>
      <w:r w:rsidRPr="000F1C2D">
        <w:rPr>
          <w:rFonts w:ascii="Times New Roman" w:hAnsi="Times New Roman" w:cs="Times New Roman"/>
        </w:rPr>
        <w:t xml:space="preserve"> và phục hồi sau cú </w:t>
      </w:r>
      <w:r w:rsidR="00C335E6" w:rsidRPr="000F1C2D">
        <w:rPr>
          <w:rFonts w:ascii="Times New Roman" w:hAnsi="Times New Roman" w:cs="Times New Roman"/>
          <w:lang w:val="vi-VN"/>
        </w:rPr>
        <w:lastRenderedPageBreak/>
        <w:t>sốc.</w:t>
      </w:r>
      <w:r w:rsidRPr="000F1C2D">
        <w:rPr>
          <w:rFonts w:ascii="Times New Roman" w:hAnsi="Times New Roman" w:cs="Times New Roman"/>
        </w:rPr>
        <w:t xml:space="preserve"> </w:t>
      </w:r>
      <w:r w:rsidR="00C335E6"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C335E6"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3</w:t>
      </w:r>
      <w:r w:rsidR="00C335E6" w:rsidRPr="000F1C2D">
        <w:rPr>
          <w:rFonts w:ascii="Times New Roman" w:hAnsi="Times New Roman" w:cs="Times New Roma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lang w:val="vi-VN"/>
        </w:rPr>
        <w:instrText xml:space="preserve"> ADDIN EN.CITE </w:instrText>
      </w:r>
      <w:r w:rsidR="00C335E6" w:rsidRPr="000F1C2D">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lang w:val="vi-VN"/>
        </w:rPr>
        <w:instrText xml:space="preserve"> ADDIN EN.CITE.DATA </w:instrText>
      </w:r>
      <w:r w:rsidR="00C335E6" w:rsidRPr="000F1C2D">
        <w:rPr>
          <w:rFonts w:ascii="Times New Roman" w:hAnsi="Times New Roman" w:cs="Times New Roman"/>
          <w:lang w:val="vi-VN"/>
        </w:rPr>
      </w:r>
      <w:r w:rsidR="00C335E6" w:rsidRPr="000F1C2D">
        <w:rPr>
          <w:rFonts w:ascii="Times New Roman" w:hAnsi="Times New Roman" w:cs="Times New Roman"/>
          <w:lang w:val="vi-VN"/>
        </w:rPr>
        <w:fldChar w:fldCharType="end"/>
      </w:r>
      <w:r w:rsidR="00C335E6" w:rsidRPr="000F1C2D">
        <w:rPr>
          <w:rFonts w:ascii="Times New Roman" w:hAnsi="Times New Roman" w:cs="Times New Roman"/>
          <w:lang w:val="vi-VN"/>
        </w:rPr>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16</w:t>
      </w:r>
      <w:r w:rsidR="00C335E6" w:rsidRPr="000F1C2D">
        <w:rPr>
          <w:rFonts w:ascii="Times New Roman" w:hAnsi="Times New Roman" w:cs="Times New Roman"/>
          <w:lang w:val="vi-V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r>
      <w:r w:rsidR="00C335E6" w:rsidRPr="000F1C2D">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4</w:t>
      </w:r>
      <w:r w:rsidR="00C335E6" w:rsidRPr="000F1C2D">
        <w:rPr>
          <w:rFonts w:ascii="Times New Roman" w:hAnsi="Times New Roman" w:cs="Times New Roman"/>
          <w:lang w:val="vi-VN"/>
        </w:rPr>
        <w:fldChar w:fldCharType="end"/>
      </w:r>
      <w:r w:rsidRPr="000F1C2D">
        <w:rPr>
          <w:rFonts w:ascii="Times New Roman" w:hAnsi="Times New Roman" w:cs="Times New Roman"/>
        </w:rPr>
        <w:t xml:space="preserve"> Việc kết hợp khả năng hiển thị chuỗi cung ứng và khả năng phục hồi chuỗi cung ứng phản ánh đầy đủ tiến trình năng lực động, từ phát hiện đến thích nghi và phục hồi, cho phép chuỗi cung ứng của doanh nghiệp duy trì kết quả hoạt động và khả năng cạnh tranh.</w:t>
      </w:r>
    </w:p>
    <w:p w:rsidR="009753A6" w:rsidRPr="000F1C2D" w:rsidRDefault="009753A6" w:rsidP="00DD4B8B">
      <w:pPr>
        <w:pStyle w:val="NormalWeb"/>
        <w:spacing w:before="0" w:beforeAutospacing="0" w:after="0" w:afterAutospacing="0" w:line="312" w:lineRule="auto"/>
        <w:rPr>
          <w:b/>
          <w:i/>
          <w:sz w:val="22"/>
          <w:szCs w:val="22"/>
          <w:lang w:val="vi-VN"/>
        </w:rPr>
      </w:pPr>
      <w:r w:rsidRPr="000F1C2D">
        <w:rPr>
          <w:b/>
          <w:i/>
          <w:sz w:val="22"/>
          <w:szCs w:val="22"/>
          <w:lang w:val="vi-VN"/>
        </w:rPr>
        <w:t>2.3. Phát triển các giả thuyết</w:t>
      </w:r>
    </w:p>
    <w:p w:rsidR="009753A6" w:rsidRPr="000F1C2D" w:rsidRDefault="00B810BB"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Theo </w:t>
      </w:r>
      <w:r w:rsidR="00DD4B8B" w:rsidRPr="000F1C2D">
        <w:rPr>
          <w:rFonts w:ascii="Times New Roman" w:hAnsi="Times New Roman" w:cs="Times New Roman"/>
        </w:rPr>
        <w:t>lý thuyết dựa trên nguồn lực</w:t>
      </w:r>
      <w:r w:rsidRPr="000F1C2D">
        <w:rPr>
          <w:rFonts w:ascii="Times New Roman" w:hAnsi="Times New Roman" w:cs="Times New Roman"/>
        </w:rPr>
        <w:t xml:space="preserve">, </w:t>
      </w:r>
      <w:r w:rsidR="00DD4B8B" w:rsidRPr="000F1C2D">
        <w:rPr>
          <w:rFonts w:ascii="Times New Roman" w:hAnsi="Times New Roman" w:cs="Times New Roman"/>
        </w:rPr>
        <w:t xml:space="preserve">SCV </w:t>
      </w:r>
      <w:r w:rsidRPr="000F1C2D">
        <w:rPr>
          <w:rFonts w:ascii="Times New Roman" w:hAnsi="Times New Roman" w:cs="Times New Roman"/>
        </w:rPr>
        <w:t>là một nguồn lực thông tin chiến lược. Dưới góc nhìn</w:t>
      </w:r>
      <w:r w:rsidR="00DD4B8B" w:rsidRPr="000F1C2D">
        <w:rPr>
          <w:rFonts w:ascii="Times New Roman" w:hAnsi="Times New Roman" w:cs="Times New Roman"/>
        </w:rPr>
        <w:t xml:space="preserve"> của lý thuyết động</w:t>
      </w:r>
      <w:r w:rsidRPr="000F1C2D">
        <w:rPr>
          <w:rFonts w:ascii="Times New Roman" w:hAnsi="Times New Roman" w:cs="Times New Roman"/>
        </w:rPr>
        <w:t xml:space="preserve">, SCV được xem là một năng lực động cho phép </w:t>
      </w:r>
      <w:r w:rsidR="00DD4B8B" w:rsidRPr="000F1C2D">
        <w:rPr>
          <w:rFonts w:ascii="Times New Roman" w:hAnsi="Times New Roman" w:cs="Times New Roman"/>
        </w:rPr>
        <w:t xml:space="preserve">chuỗi cung ứng của </w:t>
      </w:r>
      <w:r w:rsidRPr="000F1C2D">
        <w:rPr>
          <w:rFonts w:ascii="Times New Roman" w:hAnsi="Times New Roman" w:cs="Times New Roman"/>
        </w:rPr>
        <w:t xml:space="preserve">doanh nghiệp nhận biết sớm rủi ro và biến </w:t>
      </w:r>
      <w:r w:rsidR="00DD4B8B" w:rsidRPr="000F1C2D">
        <w:rPr>
          <w:rFonts w:ascii="Times New Roman" w:hAnsi="Times New Roman" w:cs="Times New Roman"/>
        </w:rPr>
        <w:t xml:space="preserve">động, </w:t>
      </w:r>
      <w:r w:rsidRPr="000F1C2D">
        <w:rPr>
          <w:rFonts w:ascii="Times New Roman" w:hAnsi="Times New Roman" w:cs="Times New Roman"/>
        </w:rPr>
        <w:t>ra quyết đị</w:t>
      </w:r>
      <w:r w:rsidR="00DD4B8B" w:rsidRPr="000F1C2D">
        <w:rPr>
          <w:rFonts w:ascii="Times New Roman" w:hAnsi="Times New Roman" w:cs="Times New Roman"/>
        </w:rPr>
        <w:t>nh nhanh và chính xác</w:t>
      </w:r>
      <w:r w:rsidRPr="000F1C2D">
        <w:rPr>
          <w:rFonts w:ascii="Times New Roman" w:hAnsi="Times New Roman" w:cs="Times New Roman"/>
        </w:rPr>
        <w:t xml:space="preserve"> từ đó tạo điều kiện để tăng cường khả năng tái cấu trúc để thích ứng với gián đoạn. Các</w:t>
      </w:r>
      <w:r w:rsidR="009753A6" w:rsidRPr="000F1C2D">
        <w:rPr>
          <w:rFonts w:ascii="Times New Roman" w:hAnsi="Times New Roman" w:cs="Times New Roman"/>
        </w:rPr>
        <w:t xml:space="preserve"> nghiên cứu thực nghiệm </w:t>
      </w:r>
      <w:r w:rsidRPr="000F1C2D">
        <w:rPr>
          <w:rFonts w:ascii="Times New Roman" w:hAnsi="Times New Roman" w:cs="Times New Roman"/>
        </w:rPr>
        <w:t xml:space="preserve">cũng </w:t>
      </w:r>
      <w:r w:rsidR="009753A6" w:rsidRPr="000F1C2D">
        <w:rPr>
          <w:rFonts w:ascii="Times New Roman" w:hAnsi="Times New Roman" w:cs="Times New Roman"/>
        </w:rPr>
        <w:t>đã làm rõ mối liên kết giữa khả năng hiển thị chuỗi cung ứng và khả năng phục hồi chuỗi cung ứng.</w:t>
      </w:r>
      <w:r w:rsidR="000B2CDE" w:rsidRPr="000F1C2D">
        <w:rPr>
          <w:rFonts w:ascii="Times New Roman" w:hAnsi="Times New Roman" w:cs="Times New Roman"/>
          <w:lang w:val="vi-VN"/>
        </w:rPr>
        <w:t xml:space="preserve"> </w:t>
      </w:r>
      <w:r w:rsidR="0000429B"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&lt;EndNote&gt;&lt;Cite&gt;&lt;Author&gt;Brusset&lt;/Author&gt;&lt;Year&gt;2017&lt;/Year&gt;&lt;RecNum&gt;153&lt;/RecNum&gt;&lt;DisplayText&gt;&lt;style face="superscript"&gt;24&lt;/style&gt;&lt;/DisplayText&gt;&lt;record&gt;&lt;rec-number&gt;153&lt;/rec-number&gt;&lt;foreign-keys&gt;&lt;key app="EN" db-id="zrxvexxvx0vtpmeafst5dtv5w2zx9fwa0ffp" timestamp="1754442883"&gt;153&lt;/key&gt;&lt;/foreign-keys&gt;&lt;ref-type name="Journal Article"&gt;17&lt;/ref-type&gt;&lt;contributors&gt;&lt;authors&gt;&lt;author&gt;Brusset, Xavier&lt;/author&gt;&lt;author&gt;Teller, Christoph&lt;/author&gt;&lt;/authors&gt;&lt;/contributors&gt;&lt;titles&gt;&lt;title&gt;Supply chain capabilities, risks, and resilience&lt;/title&gt;&lt;secondary-title&gt;International journal of production economics&lt;/secondary-title&gt;&lt;/titles&gt;&lt;periodical&gt;&lt;full-title&gt;International Journal of Production Economics&lt;/full-title&gt;&lt;/periodical&gt;&lt;pages&gt;59-68&lt;/pages&gt;&lt;volume&gt;184&lt;/volume&gt;&lt;dates&gt;&lt;year&gt;2017&lt;/year&gt;&lt;/dates&gt;&lt;isbn&gt;0925-5273&lt;/isbn&gt;&lt;urls&gt;&lt;/urls&gt;&lt;/record&gt;&lt;/Cite&gt;&lt;/EndNote&gt;</w:instrText>
      </w:r>
      <w:r w:rsidR="0000429B"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24</w:t>
      </w:r>
      <w:r w:rsidR="0000429B" w:rsidRPr="000F1C2D">
        <w:rPr>
          <w:rFonts w:ascii="Times New Roman" w:hAnsi="Times New Roman" w:cs="Times New Roman"/>
          <w:lang w:val="vi-VN"/>
        </w:rPr>
        <w:fldChar w:fldCharType="end"/>
      </w:r>
      <w:r w:rsidR="0000429B" w:rsidRPr="000F1C2D">
        <w:rPr>
          <w:rFonts w:ascii="Times New Roman" w:hAnsi="Times New Roman" w:cs="Times New Roman"/>
          <w:vertAlign w:val="superscript"/>
          <w:lang w:val="vi-VN"/>
        </w:rPr>
        <w:t>,</w:t>
      </w:r>
      <w:r w:rsidR="000B2CDE" w:rsidRPr="000F1C2D">
        <w:rPr>
          <w:rFonts w:ascii="Times New Roman" w:hAnsi="Times New Roman" w:cs="Times New Roman"/>
          <w:lang w:val="vi-VN"/>
        </w:rPr>
        <w:fldChar w:fldCharType="begin"/>
      </w:r>
      <w:r w:rsidR="000B2CDE" w:rsidRPr="000F1C2D">
        <w:rPr>
          <w:rFonts w:ascii="Times New Roman" w:hAnsi="Times New Roman" w:cs="Times New Roman"/>
          <w:lang w:val="vi-V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0B2CDE" w:rsidRPr="000F1C2D">
        <w:rPr>
          <w:rFonts w:ascii="Times New Roman" w:hAnsi="Times New Roman" w:cs="Times New Roman"/>
          <w:lang w:val="vi-VN"/>
        </w:rPr>
        <w:fldChar w:fldCharType="separate"/>
      </w:r>
      <w:r w:rsidR="000B2CDE" w:rsidRPr="000F1C2D">
        <w:rPr>
          <w:rFonts w:ascii="Times New Roman" w:hAnsi="Times New Roman" w:cs="Times New Roman"/>
          <w:noProof/>
          <w:vertAlign w:val="superscript"/>
          <w:lang w:val="vi-VN"/>
        </w:rPr>
        <w:t>8</w:t>
      </w:r>
      <w:r w:rsidR="000B2CDE" w:rsidRPr="000F1C2D">
        <w:rPr>
          <w:rFonts w:ascii="Times New Roman" w:hAnsi="Times New Roman" w:cs="Times New Roman"/>
          <w:lang w:val="vi-VN"/>
        </w:rPr>
        <w:fldChar w:fldCharType="end"/>
      </w:r>
      <w:r w:rsidR="00DD4B8B" w:rsidRPr="000F1C2D">
        <w:rPr>
          <w:rFonts w:ascii="Times New Roman" w:hAnsi="Times New Roman" w:cs="Times New Roman"/>
        </w:rPr>
        <w:t xml:space="preserve">. </w:t>
      </w:r>
      <w:r w:rsidR="009753A6" w:rsidRPr="000F1C2D">
        <w:rPr>
          <w:rFonts w:ascii="Times New Roman" w:hAnsi="Times New Roman" w:cs="Times New Roman"/>
        </w:rPr>
        <w:t xml:space="preserve">Như vậy cùng với quan điểm lý thuyết năng lực động và các nghiên cứu thực nghiệm đã chứng minh mối quan hệ tích cực giữa </w:t>
      </w:r>
      <w:r w:rsidR="00DD4B8B" w:rsidRPr="000F1C2D">
        <w:rPr>
          <w:rFonts w:ascii="Times New Roman" w:hAnsi="Times New Roman" w:cs="Times New Roman"/>
        </w:rPr>
        <w:t xml:space="preserve">SCV </w:t>
      </w:r>
      <w:r w:rsidR="009753A6" w:rsidRPr="000F1C2D">
        <w:rPr>
          <w:rFonts w:ascii="Times New Roman" w:hAnsi="Times New Roman" w:cs="Times New Roman"/>
        </w:rPr>
        <w:t xml:space="preserve">và </w:t>
      </w:r>
      <w:r w:rsidR="00DD4B8B" w:rsidRPr="000F1C2D">
        <w:rPr>
          <w:rFonts w:ascii="Times New Roman" w:hAnsi="Times New Roman" w:cs="Times New Roman"/>
        </w:rPr>
        <w:t>SCR</w:t>
      </w:r>
      <w:r w:rsidR="009753A6" w:rsidRPr="000F1C2D">
        <w:rPr>
          <w:rFonts w:ascii="Times New Roman" w:hAnsi="Times New Roman" w:cs="Times New Roman"/>
        </w:rPr>
        <w:t>. Do đó, nghiên cứu này đề xuất giả thuyết:</w:t>
      </w:r>
    </w:p>
    <w:p w:rsidR="009753A6" w:rsidRPr="000F1C2D" w:rsidRDefault="00DD4B8B"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H1</w:t>
      </w:r>
      <w:r w:rsidR="009753A6" w:rsidRPr="000F1C2D">
        <w:rPr>
          <w:rFonts w:ascii="Times New Roman" w:hAnsi="Times New Roman" w:cs="Times New Roman"/>
          <w:i/>
        </w:rPr>
        <w:t xml:space="preserve">: </w:t>
      </w:r>
      <w:r w:rsidRPr="000F1C2D">
        <w:rPr>
          <w:rFonts w:ascii="Times New Roman" w:hAnsi="Times New Roman" w:cs="Times New Roman"/>
          <w:i/>
        </w:rPr>
        <w:t xml:space="preserve">SCV </w:t>
      </w:r>
      <w:r w:rsidR="009753A6" w:rsidRPr="000F1C2D">
        <w:rPr>
          <w:rFonts w:ascii="Times New Roman" w:hAnsi="Times New Roman" w:cs="Times New Roman"/>
          <w:i/>
        </w:rPr>
        <w:t xml:space="preserve">có ảnh hưởng trực tiếp cùng chiều đến </w:t>
      </w:r>
      <w:r w:rsidRPr="000F1C2D">
        <w:rPr>
          <w:rFonts w:ascii="Times New Roman" w:hAnsi="Times New Roman" w:cs="Times New Roman"/>
          <w:i/>
        </w:rPr>
        <w:t>SCR</w:t>
      </w:r>
    </w:p>
    <w:p w:rsidR="00A95708" w:rsidRPr="000F1C2D" w:rsidRDefault="00DD4B8B"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Dựa trên lý thuyết dựa trên nguồn lực, SCR </w:t>
      </w:r>
      <w:r w:rsidR="00921929" w:rsidRPr="000F1C2D">
        <w:rPr>
          <w:rFonts w:ascii="Times New Roman" w:hAnsi="Times New Roman" w:cs="Times New Roman"/>
        </w:rPr>
        <w:t xml:space="preserve">là một năng lực tổ chức mang tính chiến lược, khó bắt chước và có khả năng duy trì lợi thế cạnh tranh, được hình thành từ sự tích hợp độc đáo giữa công nghệ, quy trình, mối quan hệ và kinh nghiệm ứng phó gián đoạn. </w:t>
      </w:r>
      <w:r w:rsidR="00A95708" w:rsidRPr="000F1C2D">
        <w:rPr>
          <w:rFonts w:ascii="Times New Roman" w:hAnsi="Times New Roman" w:cs="Times New Roman"/>
        </w:rPr>
        <w:t>Lý thuyết năng lực động cũng</w:t>
      </w:r>
      <w:r w:rsidR="00921929" w:rsidRPr="000F1C2D">
        <w:rPr>
          <w:rFonts w:ascii="Times New Roman" w:hAnsi="Times New Roman" w:cs="Times New Roman"/>
        </w:rPr>
        <w:t xml:space="preserve"> xem SCR là một năng lực động bậc cao, thể hiện ở khả năng tái cấu trúc nguồn lự</w:t>
      </w:r>
      <w:r w:rsidR="00A95708" w:rsidRPr="000F1C2D">
        <w:rPr>
          <w:rFonts w:ascii="Times New Roman" w:hAnsi="Times New Roman" w:cs="Times New Roman"/>
        </w:rPr>
        <w:t>c và quy trình</w:t>
      </w:r>
      <w:r w:rsidR="00921929" w:rsidRPr="000F1C2D">
        <w:rPr>
          <w:rFonts w:ascii="Times New Roman" w:hAnsi="Times New Roman" w:cs="Times New Roman"/>
        </w:rPr>
        <w:t xml:space="preserve"> nhằm thích ứng với biến động và đảm bảo kết quả hoạt động. Các nghiên cứu thực nghiệ</w:t>
      </w:r>
      <w:r w:rsidR="0000429B" w:rsidRPr="000F1C2D">
        <w:rPr>
          <w:rFonts w:ascii="Times New Roman" w:hAnsi="Times New Roman" w:cs="Times New Roman"/>
        </w:rPr>
        <w:t>m</w:t>
      </w:r>
      <w:r w:rsidR="0000429B" w:rsidRPr="000F1C2D">
        <w:rPr>
          <w:rFonts w:ascii="Times New Roman" w:hAnsi="Times New Roman" w:cs="Times New Roman"/>
          <w:lang w:val="vi-VN"/>
        </w:rPr>
        <w:t xml:space="preserve"> </w:t>
      </w:r>
      <w:r w:rsidR="00921929" w:rsidRPr="000F1C2D">
        <w:rPr>
          <w:rFonts w:ascii="Times New Roman" w:hAnsi="Times New Roman" w:cs="Times New Roman"/>
        </w:rPr>
        <w:t>đã chứng minh rằng SCR giúp giảm thiểu thời gian gián đoạn, tăng độ tin cậy và linh hoạt, từ đó cải thiệ</w:t>
      </w:r>
      <w:r w:rsidR="0000429B" w:rsidRPr="000F1C2D">
        <w:rPr>
          <w:rFonts w:ascii="Times New Roman" w:hAnsi="Times New Roman" w:cs="Times New Roman"/>
        </w:rPr>
        <w:t xml:space="preserve">n </w:t>
      </w:r>
      <w:r w:rsidR="0000429B" w:rsidRPr="000F1C2D">
        <w:rPr>
          <w:rFonts w:ascii="Times New Roman" w:hAnsi="Times New Roman" w:cs="Times New Roman"/>
          <w:lang w:val="vi-VN"/>
        </w:rPr>
        <w:t>SCP</w:t>
      </w:r>
      <w:r w:rsidR="0000429B" w:rsidRPr="000F1C2D">
        <w:rPr>
          <w:rFonts w:ascii="Times New Roman" w:hAnsi="Times New Roman" w:cs="Times New Roman"/>
        </w:rPr>
        <w:t xml:space="preserve"> </w:t>
      </w:r>
      <w:r w:rsidR="0000429B"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00429B"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0429B"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21</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0429B"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22</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0429B"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23</w:t>
      </w:r>
      <w:r w:rsidR="0000429B" w:rsidRPr="000F1C2D">
        <w:rPr>
          <w:rFonts w:ascii="Times New Roman" w:hAnsi="Times New Roman" w:cs="Times New Roman"/>
        </w:rPr>
        <w:fldChar w:fldCharType="end"/>
      </w:r>
      <w:r w:rsidR="00921929" w:rsidRPr="000F1C2D">
        <w:rPr>
          <w:rFonts w:ascii="Times New Roman" w:hAnsi="Times New Roman" w:cs="Times New Roman"/>
        </w:rPr>
        <w:t xml:space="preserve">. Do vậy, kỳ vọng rằng SCR sẽ góp phần trực tiếp nâng cao SCP thông qua việc duy </w:t>
      </w:r>
      <w:r w:rsidR="00921929" w:rsidRPr="000F1C2D">
        <w:rPr>
          <w:rFonts w:ascii="Times New Roman" w:hAnsi="Times New Roman" w:cs="Times New Roman"/>
        </w:rPr>
        <w:lastRenderedPageBreak/>
        <w:t>trì tính liên tục và hiệu quả trong vận hành.</w:t>
      </w:r>
      <w:r w:rsidR="00A95708" w:rsidRPr="000F1C2D">
        <w:rPr>
          <w:rFonts w:ascii="Times New Roman" w:hAnsi="Times New Roman" w:cs="Times New Roman"/>
        </w:rPr>
        <w:t xml:space="preserve"> Do đó, nghiên cứu này đề xuất giả thuyết:</w:t>
      </w:r>
    </w:p>
    <w:p w:rsidR="009753A6" w:rsidRPr="000F1C2D" w:rsidRDefault="00A95708"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H2</w:t>
      </w:r>
      <w:r w:rsidR="009753A6" w:rsidRPr="000F1C2D">
        <w:rPr>
          <w:rFonts w:ascii="Times New Roman" w:hAnsi="Times New Roman" w:cs="Times New Roman"/>
          <w:i/>
        </w:rPr>
        <w:t xml:space="preserve">: </w:t>
      </w:r>
      <w:r w:rsidRPr="000F1C2D">
        <w:rPr>
          <w:rFonts w:ascii="Times New Roman" w:hAnsi="Times New Roman" w:cs="Times New Roman"/>
          <w:i/>
        </w:rPr>
        <w:t xml:space="preserve">SCR </w:t>
      </w:r>
      <w:r w:rsidR="009753A6" w:rsidRPr="000F1C2D">
        <w:rPr>
          <w:rFonts w:ascii="Times New Roman" w:hAnsi="Times New Roman" w:cs="Times New Roman"/>
          <w:i/>
        </w:rPr>
        <w:t xml:space="preserve">có ảnh hưởng trực tiếp cùng chiều đến </w:t>
      </w:r>
      <w:r w:rsidRPr="000F1C2D">
        <w:rPr>
          <w:rFonts w:ascii="Times New Roman" w:hAnsi="Times New Roman" w:cs="Times New Roman"/>
          <w:i/>
        </w:rPr>
        <w:t>SCP</w:t>
      </w:r>
      <w:r w:rsidR="009753A6" w:rsidRPr="000F1C2D">
        <w:rPr>
          <w:rFonts w:ascii="Times New Roman" w:hAnsi="Times New Roman" w:cs="Times New Roman"/>
          <w:i/>
        </w:rPr>
        <w:t>.</w:t>
      </w:r>
    </w:p>
    <w:p w:rsidR="00A95708" w:rsidRPr="000F1C2D" w:rsidRDefault="00921929"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Dướ</w:t>
      </w:r>
      <w:r w:rsidR="00970DEC" w:rsidRPr="000F1C2D">
        <w:rPr>
          <w:rFonts w:ascii="Times New Roman" w:hAnsi="Times New Roman" w:cs="Times New Roman"/>
        </w:rPr>
        <w:t xml:space="preserve">i góc nhìn </w:t>
      </w:r>
      <w:r w:rsidR="00970DEC" w:rsidRPr="000F1C2D">
        <w:rPr>
          <w:rFonts w:ascii="Times New Roman" w:hAnsi="Times New Roman" w:cs="Times New Roman"/>
          <w:lang w:val="vi-VN"/>
        </w:rPr>
        <w:t>lý thuyết dựa trên nguồn lực</w:t>
      </w:r>
      <w:r w:rsidRPr="000F1C2D">
        <w:rPr>
          <w:rFonts w:ascii="Times New Roman" w:hAnsi="Times New Roman" w:cs="Times New Roman"/>
        </w:rPr>
        <w:t>, SCV là một nguồn lực chiến lược</w:t>
      </w:r>
      <w:r w:rsidR="00AC5B13" w:rsidRPr="000F1C2D">
        <w:rPr>
          <w:rFonts w:ascii="Times New Roman" w:hAnsi="Times New Roman" w:cs="Times New Roman"/>
        </w:rPr>
        <w:fldChar w:fldCharType="begin"/>
      </w:r>
      <w:r w:rsidR="00AC5B13" w:rsidRPr="000F1C2D">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AC5B13" w:rsidRPr="000F1C2D">
        <w:rPr>
          <w:rFonts w:ascii="Times New Roman" w:hAnsi="Times New Roman" w:cs="Times New Roman"/>
        </w:rPr>
        <w:fldChar w:fldCharType="separate"/>
      </w:r>
      <w:r w:rsidR="00AC5B13" w:rsidRPr="000F1C2D">
        <w:rPr>
          <w:rFonts w:ascii="Times New Roman" w:hAnsi="Times New Roman" w:cs="Times New Roman"/>
          <w:noProof/>
          <w:vertAlign w:val="superscript"/>
        </w:rPr>
        <w:t>13</w:t>
      </w:r>
      <w:r w:rsidR="00AC5B13" w:rsidRPr="000F1C2D">
        <w:rPr>
          <w:rFonts w:ascii="Times New Roman" w:hAnsi="Times New Roman" w:cs="Times New Roman"/>
        </w:rPr>
        <w:fldChar w:fldCharType="end"/>
      </w:r>
      <w:r w:rsidRPr="000F1C2D">
        <w:rPr>
          <w:rFonts w:ascii="Times New Roman" w:hAnsi="Times New Roman" w:cs="Times New Roman"/>
        </w:rPr>
        <w:t xml:space="preserve"> mang lại lợi thế cạnh tranh</w:t>
      </w:r>
      <w:r w:rsidR="00A95708" w:rsidRPr="000F1C2D">
        <w:rPr>
          <w:rFonts w:ascii="Times New Roman" w:hAnsi="Times New Roman" w:cs="Times New Roman"/>
        </w:rPr>
        <w:t xml:space="preserve"> giúp cải thiện lượng hàng tồn kho, tối thiểu hóa chi phí, đáp ứng nhu cầu của khách hàng. Điều này cho thấy SCV</w:t>
      </w:r>
      <w:r w:rsidRPr="000F1C2D">
        <w:rPr>
          <w:rFonts w:ascii="Times New Roman" w:hAnsi="Times New Roman" w:cs="Times New Roman"/>
        </w:rPr>
        <w:t xml:space="preserve"> tác động trực tiếp đến SCP. Các nghiên cứu thực nghiệ</w:t>
      </w:r>
      <w:r w:rsidR="00AC5B13" w:rsidRPr="000F1C2D">
        <w:rPr>
          <w:rFonts w:ascii="Times New Roman" w:hAnsi="Times New Roman" w:cs="Times New Roman"/>
        </w:rPr>
        <w:t>m củ</w:t>
      </w:r>
      <w:r w:rsidR="004574E3" w:rsidRPr="000F1C2D">
        <w:rPr>
          <w:rFonts w:ascii="Times New Roman" w:hAnsi="Times New Roman" w:cs="Times New Roman"/>
        </w:rPr>
        <w:t>a Barratt &amp; Oke (2007)</w:t>
      </w:r>
      <w:r w:rsidR="00AC5B13" w:rsidRPr="000F1C2D">
        <w:rPr>
          <w:rFonts w:ascii="Times New Roman" w:hAnsi="Times New Roman" w:cs="Times New Roman"/>
        </w:rPr>
        <w:fldChar w:fldCharType="begin"/>
      </w:r>
      <w:r w:rsidR="00AC5B13" w:rsidRPr="000F1C2D">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AC5B13" w:rsidRPr="000F1C2D">
        <w:rPr>
          <w:rFonts w:ascii="Times New Roman" w:hAnsi="Times New Roman" w:cs="Times New Roman"/>
        </w:rPr>
        <w:fldChar w:fldCharType="separate"/>
      </w:r>
      <w:r w:rsidR="00AC5B13" w:rsidRPr="000F1C2D">
        <w:rPr>
          <w:rFonts w:ascii="Times New Roman" w:hAnsi="Times New Roman" w:cs="Times New Roman"/>
          <w:noProof/>
          <w:vertAlign w:val="superscript"/>
        </w:rPr>
        <w:t>5</w:t>
      </w:r>
      <w:r w:rsidR="00AC5B13" w:rsidRPr="000F1C2D">
        <w:rPr>
          <w:rFonts w:ascii="Times New Roman" w:hAnsi="Times New Roman" w:cs="Times New Roman"/>
        </w:rPr>
        <w:fldChar w:fldCharType="end"/>
      </w:r>
      <w:r w:rsidR="004574E3" w:rsidRPr="000F1C2D">
        <w:rPr>
          <w:rFonts w:ascii="Times New Roman" w:hAnsi="Times New Roman" w:cs="Times New Roman"/>
          <w:lang w:val="vi-VN"/>
        </w:rPr>
        <w:t>,</w:t>
      </w:r>
      <w:r w:rsidR="00AC5B13" w:rsidRPr="000F1C2D">
        <w:rPr>
          <w:rFonts w:ascii="Times New Roman" w:hAnsi="Times New Roman" w:cs="Times New Roman"/>
        </w:rPr>
        <w:t xml:space="preserve"> Caridi &amp; cộng sự, (2010)</w:t>
      </w:r>
      <w:r w:rsidR="004574E3" w:rsidRPr="000F1C2D">
        <w:rPr>
          <w:rFonts w:ascii="Times New Roman" w:hAnsi="Times New Roman" w:cs="Times New Roman"/>
        </w:rPr>
        <w:fldChar w:fldCharType="begin"/>
      </w:r>
      <w:r w:rsidR="004574E3" w:rsidRPr="000F1C2D">
        <w:rPr>
          <w:rFonts w:ascii="Times New Roman" w:hAnsi="Times New Roman" w:cs="Times New Roma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4574E3" w:rsidRPr="000F1C2D">
        <w:rPr>
          <w:rFonts w:ascii="Times New Roman" w:hAnsi="Times New Roman" w:cs="Times New Roman"/>
        </w:rPr>
        <w:fldChar w:fldCharType="separate"/>
      </w:r>
      <w:r w:rsidR="004574E3" w:rsidRPr="000F1C2D">
        <w:rPr>
          <w:rFonts w:ascii="Times New Roman" w:hAnsi="Times New Roman" w:cs="Times New Roman"/>
          <w:noProof/>
          <w:vertAlign w:val="superscript"/>
        </w:rPr>
        <w:t>10</w:t>
      </w:r>
      <w:r w:rsidR="004574E3" w:rsidRPr="000F1C2D">
        <w:rPr>
          <w:rFonts w:ascii="Times New Roman" w:hAnsi="Times New Roman" w:cs="Times New Roman"/>
        </w:rPr>
        <w:fldChar w:fldCharType="end"/>
      </w:r>
      <w:r w:rsidR="004574E3" w:rsidRPr="000F1C2D">
        <w:rPr>
          <w:rFonts w:ascii="Times New Roman" w:hAnsi="Times New Roman" w:cs="Times New Roman"/>
          <w:lang w:val="vi-VN"/>
        </w:rPr>
        <w:t xml:space="preserve"> và</w:t>
      </w:r>
      <w:r w:rsidR="00AC5B13" w:rsidRPr="000F1C2D">
        <w:rPr>
          <w:rFonts w:ascii="Times New Roman" w:hAnsi="Times New Roman" w:cs="Times New Roman"/>
        </w:rPr>
        <w:t xml:space="preserve"> Huang &amp; cộng sự (2023) </w:t>
      </w:r>
      <w:r w:rsidR="00AC5B13" w:rsidRPr="000F1C2D">
        <w:rPr>
          <w:rFonts w:ascii="Times New Roman" w:hAnsi="Times New Roman" w:cs="Times New Roman"/>
        </w:rPr>
        <w:fldChar w:fldCharType="begin"/>
      </w:r>
      <w:r w:rsidR="00AC5B13" w:rsidRPr="000F1C2D">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AC5B13" w:rsidRPr="000F1C2D">
        <w:rPr>
          <w:rFonts w:ascii="Times New Roman" w:hAnsi="Times New Roman" w:cs="Times New Roman"/>
        </w:rPr>
        <w:fldChar w:fldCharType="separate"/>
      </w:r>
      <w:r w:rsidR="00AC5B13" w:rsidRPr="000F1C2D">
        <w:rPr>
          <w:rFonts w:ascii="Times New Roman" w:hAnsi="Times New Roman" w:cs="Times New Roman"/>
          <w:noProof/>
          <w:vertAlign w:val="superscript"/>
        </w:rPr>
        <w:t>9</w:t>
      </w:r>
      <w:r w:rsidR="00AC5B13" w:rsidRPr="000F1C2D">
        <w:rPr>
          <w:rFonts w:ascii="Times New Roman" w:hAnsi="Times New Roman" w:cs="Times New Roman"/>
        </w:rPr>
        <w:fldChar w:fldCharType="end"/>
      </w:r>
      <w:r w:rsidRPr="000F1C2D">
        <w:rPr>
          <w:rFonts w:ascii="Times New Roman" w:hAnsi="Times New Roman" w:cs="Times New Roman"/>
        </w:rPr>
        <w:t xml:space="preserve"> đã chứng minh rằng SCV có </w:t>
      </w:r>
      <w:r w:rsidR="00A95708" w:rsidRPr="000F1C2D">
        <w:rPr>
          <w:rFonts w:ascii="Times New Roman" w:hAnsi="Times New Roman" w:cs="Times New Roman"/>
        </w:rPr>
        <w:t xml:space="preserve">ảnh hưởng đến </w:t>
      </w:r>
      <w:r w:rsidRPr="000F1C2D">
        <w:rPr>
          <w:rFonts w:ascii="Times New Roman" w:hAnsi="Times New Roman" w:cs="Times New Roman"/>
        </w:rPr>
        <w:t xml:space="preserve">độ chính xác đơn hàng, thời gian giao hàng và chi phí </w:t>
      </w:r>
      <w:r w:rsidR="00A95708" w:rsidRPr="000F1C2D">
        <w:rPr>
          <w:rFonts w:ascii="Times New Roman" w:hAnsi="Times New Roman" w:cs="Times New Roman"/>
        </w:rPr>
        <w:t>vận hành</w:t>
      </w:r>
      <w:r w:rsidRPr="000F1C2D">
        <w:rPr>
          <w:rFonts w:ascii="Times New Roman" w:hAnsi="Times New Roman" w:cs="Times New Roman"/>
        </w:rPr>
        <w:t>. Do đó, kỳ vọng rằng SCV sẽ trực tiếp cải thiện SCP bằng cách nâng cao chất lượng thông tin, tốc độ ra quyết định và hiệu quả phối hợp trong toàn bộ chuỗi</w:t>
      </w:r>
      <w:r w:rsidR="00A95708" w:rsidRPr="000F1C2D">
        <w:rPr>
          <w:rFonts w:ascii="Times New Roman" w:hAnsi="Times New Roman" w:cs="Times New Roman"/>
        </w:rPr>
        <w:t xml:space="preserve"> cung ứng</w:t>
      </w:r>
      <w:r w:rsidRPr="000F1C2D">
        <w:rPr>
          <w:rFonts w:ascii="Times New Roman" w:hAnsi="Times New Roman" w:cs="Times New Roman"/>
        </w:rPr>
        <w:t>.</w:t>
      </w:r>
      <w:r w:rsidR="00A94221" w:rsidRPr="000F1C2D">
        <w:rPr>
          <w:rFonts w:ascii="Times New Roman" w:hAnsi="Times New Roman" w:cs="Times New Roman"/>
          <w:lang w:val="vi-VN"/>
        </w:rPr>
        <w:t xml:space="preserve"> </w:t>
      </w:r>
      <w:r w:rsidR="00A95708" w:rsidRPr="000F1C2D">
        <w:rPr>
          <w:rFonts w:ascii="Times New Roman" w:hAnsi="Times New Roman" w:cs="Times New Roman"/>
        </w:rPr>
        <w:t>Do đó, nghiên cứu này đề xuất giả thuyết:</w:t>
      </w:r>
    </w:p>
    <w:p w:rsidR="00A95708" w:rsidRPr="000F1C2D" w:rsidRDefault="00A95708"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 xml:space="preserve">H3a: SCV có ảnh hưởng trực tiếp cùng chiều đến SCP </w:t>
      </w:r>
    </w:p>
    <w:p w:rsidR="00153237" w:rsidRDefault="00153237" w:rsidP="00A94221">
      <w:pPr>
        <w:spacing w:after="0" w:line="312" w:lineRule="auto"/>
        <w:ind w:firstLine="567"/>
        <w:jc w:val="both"/>
        <w:rPr>
          <w:rFonts w:ascii="Times New Roman" w:hAnsi="Times New Roman" w:cs="Times New Roman"/>
        </w:rPr>
      </w:pPr>
      <w:r w:rsidRPr="000F1C2D">
        <w:rPr>
          <w:rFonts w:ascii="Times New Roman" w:hAnsi="Times New Roman" w:cs="Times New Roman"/>
          <w:b/>
          <w:noProof/>
        </w:rPr>
        <mc:AlternateContent>
          <mc:Choice Requires="wpg">
            <w:drawing>
              <wp:anchor distT="0" distB="0" distL="114300" distR="114300" simplePos="0" relativeHeight="251659264" behindDoc="0" locked="0" layoutInCell="1" allowOverlap="1" wp14:anchorId="30D9D04F" wp14:editId="2F1921E5">
                <wp:simplePos x="0" y="0"/>
                <wp:positionH relativeFrom="page">
                  <wp:posOffset>1126043</wp:posOffset>
                </wp:positionH>
                <wp:positionV relativeFrom="paragraph">
                  <wp:posOffset>706600</wp:posOffset>
                </wp:positionV>
                <wp:extent cx="5437505" cy="2581275"/>
                <wp:effectExtent l="0" t="0" r="10795" b="28575"/>
                <wp:wrapTopAndBottom/>
                <wp:docPr id="17" name="Group 17"/>
                <wp:cNvGraphicFramePr/>
                <a:graphic xmlns:a="http://schemas.openxmlformats.org/drawingml/2006/main">
                  <a:graphicData uri="http://schemas.microsoft.com/office/word/2010/wordprocessingGroup">
                    <wpg:wgp>
                      <wpg:cNvGrpSpPr/>
                      <wpg:grpSpPr>
                        <a:xfrm>
                          <a:off x="0" y="0"/>
                          <a:ext cx="5437505" cy="2581275"/>
                          <a:chOff x="389996" y="0"/>
                          <a:chExt cx="7223365" cy="2676525"/>
                        </a:xfrm>
                      </wpg:grpSpPr>
                      <wpg:grpSp>
                        <wpg:cNvPr id="18" name="Group 18"/>
                        <wpg:cNvGrpSpPr/>
                        <wpg:grpSpPr>
                          <a:xfrm>
                            <a:off x="389996" y="0"/>
                            <a:ext cx="7223365" cy="2676525"/>
                            <a:chOff x="-195150" y="-3"/>
                            <a:chExt cx="6419012" cy="2312672"/>
                          </a:xfrm>
                        </wpg:grpSpPr>
                        <wpg:grpSp>
                          <wpg:cNvPr id="22" name="Group 22"/>
                          <wpg:cNvGrpSpPr/>
                          <wpg:grpSpPr>
                            <a:xfrm>
                              <a:off x="410130" y="-3"/>
                              <a:ext cx="5813732" cy="2312672"/>
                              <a:chOff x="410169" y="-3"/>
                              <a:chExt cx="5814288" cy="2341247"/>
                            </a:xfrm>
                          </wpg:grpSpPr>
                          <wpg:grpSp>
                            <wpg:cNvPr id="24" name="Group 24"/>
                            <wpg:cNvGrpSpPr/>
                            <wpg:grpSpPr>
                              <a:xfrm>
                                <a:off x="2362820" y="-3"/>
                                <a:ext cx="3861637" cy="2341247"/>
                                <a:chOff x="2416416" y="-2849001"/>
                                <a:chExt cx="3670826" cy="2163492"/>
                              </a:xfrm>
                            </wpg:grpSpPr>
                            <wps:wsp>
                              <wps:cNvPr id="28" name="Text Box 28"/>
                              <wps:cNvSpPr txBox="1">
                                <a:spLocks noChangeArrowheads="1"/>
                              </wps:cNvSpPr>
                              <wps:spPr bwMode="auto">
                                <a:xfrm rot="10634798">
                                  <a:off x="3177061" y="-1967825"/>
                                  <a:ext cx="760554" cy="268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29A" w:rsidRPr="00A94221" w:rsidRDefault="0063329A"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2416416" y="-1332856"/>
                                  <a:ext cx="760608" cy="290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29A" w:rsidRPr="00A94221" w:rsidRDefault="0063329A" w:rsidP="00921929">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3a,b</w:t>
                                    </w:r>
                                    <w:r w:rsidRPr="00A94221">
                                      <w:rPr>
                                        <w:rFonts w:ascii="Times New Roman" w:hAnsi="Times New Roman" w:cs="Times New Roman"/>
                                        <w:sz w:val="20"/>
                                        <w:szCs w:val="20"/>
                                        <w:lang w:val="vi-VN"/>
                                      </w:rPr>
                                      <w:t>(+)</w:t>
                                    </w:r>
                                  </w:p>
                                </w:txbxContent>
                              </wps:txbx>
                              <wps:bodyPr rot="0" vert="horz" wrap="square" lIns="91440" tIns="45720" rIns="91440" bIns="45720" anchor="t" anchorCtr="0" upright="1">
                                <a:noAutofit/>
                              </wps:bodyPr>
                            </wps:wsp>
                            <wps:wsp>
                              <wps:cNvPr id="30" name="Rounded Rectangle 30"/>
                              <wps:cNvSpPr/>
                              <wps:spPr>
                                <a:xfrm>
                                  <a:off x="5089600" y="-2849001"/>
                                  <a:ext cx="830660" cy="6510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5268602" y="-2056756"/>
                                  <a:ext cx="818640"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5090591" y="-1228434"/>
                                  <a:ext cx="79658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4896720" y="-1677457"/>
                                  <a:ext cx="19387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flipV="1">
                                  <a:off x="4914828" y="-1651951"/>
                                  <a:ext cx="175311" cy="694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H="1">
                                  <a:off x="4932506" y="-2523485"/>
                                  <a:ext cx="156643" cy="783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410169" y="870763"/>
                                <a:ext cx="4580930" cy="1015170"/>
                                <a:chOff x="410205" y="1338198"/>
                                <a:chExt cx="4581317" cy="1015228"/>
                              </a:xfrm>
                            </wpg:grpSpPr>
                            <wps:wsp>
                              <wps:cNvPr id="38" name="Text Box 38"/>
                              <wps:cNvSpPr txBox="1"/>
                              <wps:spPr>
                                <a:xfrm>
                                  <a:off x="1783326" y="1338198"/>
                                  <a:ext cx="1453681" cy="587177"/>
                                </a:xfrm>
                                <a:prstGeom prst="rect">
                                  <a:avLst/>
                                </a:prstGeom>
                                <a:solidFill>
                                  <a:schemeClr val="lt1"/>
                                </a:solidFill>
                                <a:ln w="6350">
                                  <a:solidFill>
                                    <a:prstClr val="black"/>
                                  </a:solidFill>
                                </a:ln>
                              </wps:spPr>
                              <wps:txb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768756" y="1350317"/>
                                  <a:ext cx="1222766" cy="584022"/>
                                </a:xfrm>
                                <a:prstGeom prst="rect">
                                  <a:avLst/>
                                </a:prstGeom>
                                <a:solidFill>
                                  <a:schemeClr val="lt1"/>
                                </a:solidFill>
                                <a:ln w="6350">
                                  <a:solidFill>
                                    <a:prstClr val="black"/>
                                  </a:solidFill>
                                </a:ln>
                              </wps:spPr>
                              <wps:txb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Straight Arrow Connector 40"/>
                              <wps:cNvCnPr/>
                              <wps:spPr>
                                <a:xfrm>
                                  <a:off x="3269855" y="1631045"/>
                                  <a:ext cx="487372" cy="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1" name="Straight Connector 41"/>
                              <wps:cNvCnPr/>
                              <wps:spPr>
                                <a:xfrm flipV="1">
                                  <a:off x="410205" y="1914213"/>
                                  <a:ext cx="0" cy="439212"/>
                                </a:xfrm>
                                <a:prstGeom prst="line">
                                  <a:avLst/>
                                </a:prstGeom>
                              </wps:spPr>
                              <wps:style>
                                <a:lnRef idx="2">
                                  <a:schemeClr val="dk1"/>
                                </a:lnRef>
                                <a:fillRef idx="0">
                                  <a:schemeClr val="dk1"/>
                                </a:fillRef>
                                <a:effectRef idx="1">
                                  <a:schemeClr val="dk1"/>
                                </a:effectRef>
                                <a:fontRef idx="minor">
                                  <a:schemeClr val="tx1"/>
                                </a:fontRef>
                              </wps:style>
                              <wps:bodyPr/>
                            </wps:wsp>
                            <wps:wsp>
                              <wps:cNvPr id="42" name="Straight Connector 42"/>
                              <wps:cNvCnPr/>
                              <wps:spPr>
                                <a:xfrm>
                                  <a:off x="410205" y="2353426"/>
                                  <a:ext cx="3964178" cy="0"/>
                                </a:xfrm>
                                <a:prstGeom prst="line">
                                  <a:avLst/>
                                </a:prstGeom>
                              </wps:spPr>
                              <wps:style>
                                <a:lnRef idx="2">
                                  <a:schemeClr val="dk1"/>
                                </a:lnRef>
                                <a:fillRef idx="0">
                                  <a:schemeClr val="dk1"/>
                                </a:fillRef>
                                <a:effectRef idx="1">
                                  <a:schemeClr val="dk1"/>
                                </a:effectRef>
                                <a:fontRef idx="minor">
                                  <a:schemeClr val="tx1"/>
                                </a:fontRef>
                              </wps:style>
                              <wps:bodyPr/>
                            </wps:wsp>
                            <wps:wsp>
                              <wps:cNvPr id="43" name="Straight Arrow Connector 43"/>
                              <wps:cNvCnPr/>
                              <wps:spPr>
                                <a:xfrm flipV="1">
                                  <a:off x="4365594" y="1942939"/>
                                  <a:ext cx="0" cy="41048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s:wsp>
                          <wps:cNvPr id="45" name="Text Box 45"/>
                          <wps:cNvSpPr txBox="1"/>
                          <wps:spPr>
                            <a:xfrm>
                              <a:off x="-195150" y="893885"/>
                              <a:ext cx="1331578" cy="530627"/>
                            </a:xfrm>
                            <a:prstGeom prst="rect">
                              <a:avLst/>
                            </a:prstGeom>
                            <a:solidFill>
                              <a:schemeClr val="lt1"/>
                            </a:solidFill>
                            <a:ln w="6350">
                              <a:solidFill>
                                <a:prstClr val="black"/>
                              </a:solidFill>
                            </a:ln>
                          </wps:spPr>
                          <wps:txb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63329A" w:rsidRPr="0072242B" w:rsidRDefault="0063329A" w:rsidP="00921929">
                                <w:pPr>
                                  <w:jc w:val="center"/>
                                  <w:rPr>
                                    <w:sz w:val="20"/>
                                    <w:szCs w:val="20"/>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a:spLocks noChangeArrowheads="1"/>
                          </wps:cNvSpPr>
                          <wps:spPr bwMode="auto">
                            <a:xfrm>
                              <a:off x="1186794" y="921004"/>
                              <a:ext cx="580099" cy="303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29A" w:rsidRPr="00A94221" w:rsidRDefault="0063329A"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g:grpSp>
                      <wps:wsp>
                        <wps:cNvPr id="48" name="Straight Arrow Connector 48"/>
                        <wps:cNvCnPr/>
                        <wps:spPr>
                          <a:xfrm flipV="1">
                            <a:off x="1897522" y="1322887"/>
                            <a:ext cx="691250" cy="734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0D9D04F" id="Group 17" o:spid="_x0000_s1026" style="position:absolute;left:0;text-align:left;margin-left:88.65pt;margin-top:55.65pt;width:428.15pt;height:203.25pt;z-index:251659264;mso-position-horizontal-relative:page;mso-width-relative:margin;mso-height-relative:margin" coordorigin="3899" coordsize="72233,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">
                <v:group id="Group 18" o:spid="_x0000_s1027" style="position:absolute;left:3899;width:72234;height:26765" coordorigin="-1951" coordsize="64190,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2" o:spid="_x0000_s1028" style="position:absolute;left:4101;width:58137;height:23126" coordorigin="4101" coordsize="58142,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4" o:spid="_x0000_s1029" style="position:absolute;left:23628;width:38616;height:23412" coordorigin="24164,-28490" coordsize="36708,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28" o:spid="_x0000_s1030" type="#_x0000_t202" style="position:absolute;left:31770;top:-19678;width:7606;height:2689;rotation:116160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" stroked="f">
                        <v:textbox>
                          <w:txbxContent>
                            <w:p w:rsidR="0063329A" w:rsidRPr="00A94221" w:rsidRDefault="0063329A"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shape id="Text Box 29" o:spid="_x0000_s1031" type="#_x0000_t202" style="position:absolute;left:24164;top:-13328;width:7606;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63329A" w:rsidRPr="00A94221" w:rsidRDefault="0063329A" w:rsidP="00921929">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w:t>
                              </w:r>
                              <w:r w:rsidRPr="00A94221">
                                <w:rPr>
                                  <w:rFonts w:ascii="Times New Roman" w:hAnsi="Times New Roman" w:cs="Times New Roman"/>
                                  <w:sz w:val="20"/>
                                  <w:szCs w:val="20"/>
                                  <w:vertAlign w:val="subscript"/>
                                  <w:lang w:val="vi-VN"/>
                                </w:rPr>
                                <w:t>a,b</w:t>
                              </w:r>
                              <w:r w:rsidRPr="00A94221">
                                <w:rPr>
                                  <w:rFonts w:ascii="Times New Roman" w:hAnsi="Times New Roman" w:cs="Times New Roman"/>
                                  <w:sz w:val="20"/>
                                  <w:szCs w:val="20"/>
                                  <w:lang w:val="vi-VN"/>
                                </w:rPr>
                                <w:t>(+)</w:t>
                              </w:r>
                            </w:p>
                          </w:txbxContent>
                        </v:textbox>
                      </v:shape>
                      <v:roundrect id="Rounded Rectangle 30" o:spid="_x0000_s1032" style="position:absolute;left:50896;top:-28490;width:8306;height:6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" fillcolor="white [3201]" strokecolor="#70ad47 [3209]" strokeweight="1pt">
                        <v:stroke joinstyle="miter"/>
                        <v:textbo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v:textbox>
                      </v:roundrect>
                      <v:roundrect id="Rounded Rectangle 31" o:spid="_x0000_s1033" style="position:absolute;left:52686;top:-20567;width:8186;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" fillcolor="white [3201]" strokecolor="#70ad47 [3209]" strokeweight="1pt">
                        <v:stroke joinstyle="miter"/>
                        <v:textbo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v:textbox>
                      </v:roundrect>
                      <v:roundrect id="Rounded Rectangle 32" o:spid="_x0000_s1034" style="position:absolute;left:50905;top:-12284;width:7966;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" fillcolor="white [3201]" strokecolor="#70ad47 [3209]" strokeweight="1pt">
                        <v:stroke joinstyle="miter"/>
                        <v:textbo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v:textbox>
                      </v:roundrect>
                      <v:shapetype id="_x0000_t32" coordsize="21600,21600" o:spt="32" o:oned="t" path="m,l21600,21600e" filled="f">
                        <v:path arrowok="t" fillok="f" o:connecttype="none"/>
                        <o:lock v:ext="edit" shapetype="t"/>
                      </v:shapetype>
                      <v:shape id="Straight Arrow Connector 33" o:spid="_x0000_s1035" type="#_x0000_t32" style="position:absolute;left:48967;top:-16774;width:19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Straight Arrow Connector 34" o:spid="_x0000_s1036" type="#_x0000_t32" style="position:absolute;left:49148;top:-16519;width:1753;height:69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" strokecolor="#5b9bd5 [3204]" strokeweight=".5pt">
                        <v:stroke endarrow="block" joinstyle="miter"/>
                      </v:shape>
                      <v:shape id="Straight Arrow Connector 35" o:spid="_x0000_s1037" type="#_x0000_t32" style="position:absolute;left:49325;top:-25234;width:1566;height:7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5b9bd5 [3204]" strokeweight=".5pt">
                        <v:stroke endarrow="block" joinstyle="miter"/>
                      </v:shape>
                    </v:group>
                    <v:group id="Group 36" o:spid="_x0000_s1038" style="position:absolute;left:4101;top:8707;width:45809;height:10152" coordorigin="4102,13381" coordsize="45813,1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8" o:spid="_x0000_s1039" type="#_x0000_t202" style="position:absolute;left:17833;top:13381;width:14537;height:5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v:textbox>
                      </v:shape>
                      <v:shape id="Text Box 39" o:spid="_x0000_s1040" type="#_x0000_t202" style="position:absolute;left:37687;top:13503;width:12228;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v:textbox>
                      </v:shape>
                      <v:shape id="Straight Arrow Connector 40" o:spid="_x0000_s1041" type="#_x0000_t32" style="position:absolute;left:32698;top:16310;width:4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" strokecolor="black [3200]" strokeweight="1pt">
                        <v:stroke endarrow="block" joinstyle="miter"/>
                      </v:shape>
                      <v:line id="Straight Connector 41" o:spid="_x0000_s1042" style="position:absolute;flip:y;visibility:visible;mso-wrap-style:square" from="4102,19142" to="4102,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" strokecolor="black [3200]" strokeweight="1pt">
                        <v:stroke joinstyle="miter"/>
                      </v:line>
                      <v:line id="Straight Connector 42" o:spid="_x0000_s1043" style="position:absolute;visibility:visible;mso-wrap-style:square" from="4102,23534" to="43743,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" strokecolor="black [3200]" strokeweight="1pt">
                        <v:stroke joinstyle="miter"/>
                      </v:line>
                      <v:shape id="Straight Arrow Connector 43" o:spid="_x0000_s1044" type="#_x0000_t32" style="position:absolute;left:43655;top:19429;width:0;height:4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" strokecolor="black [3200]" strokeweight="1pt">
                        <v:stroke endarrow="block" joinstyle="miter"/>
                      </v:shape>
                    </v:group>
                  </v:group>
                  <v:shape id="Text Box 45" o:spid="_x0000_s1045" type="#_x0000_t202" style="position:absolute;left:-1951;top:8938;width:13315;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rsidR="0063329A" w:rsidRPr="00A94221" w:rsidRDefault="0063329A"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63329A" w:rsidRPr="0072242B" w:rsidRDefault="0063329A" w:rsidP="00921929">
                          <w:pPr>
                            <w:jc w:val="center"/>
                            <w:rPr>
                              <w:sz w:val="20"/>
                              <w:szCs w:val="20"/>
                              <w:lang w:val="vi-VN"/>
                            </w:rPr>
                          </w:pPr>
                        </w:p>
                      </w:txbxContent>
                    </v:textbox>
                  </v:shape>
                  <v:shape id="Text Box 46" o:spid="_x0000_s1046" type="#_x0000_t202" style="position:absolute;left:11867;top:9210;width:580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63329A" w:rsidRPr="00A94221" w:rsidRDefault="0063329A"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group>
                <v:shape id="Straight Arrow Connector 48" o:spid="_x0000_s1047" type="#_x0000_t32" style="position:absolute;left:18975;top:13228;width:6912;height: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" strokecolor="black [3200]" strokeweight="1pt">
                  <v:stroke endarrow="block" joinstyle="miter"/>
                </v:shape>
                <w10:wrap type="topAndBottom" anchorx="page"/>
              </v:group>
            </w:pict>
          </mc:Fallback>
        </mc:AlternateContent>
      </w:r>
      <w:r w:rsidR="0079599C" w:rsidRPr="000F1C2D">
        <w:rPr>
          <w:rFonts w:ascii="Times New Roman" w:hAnsi="Times New Roman" w:cs="Times New Roman"/>
        </w:rPr>
        <w:t xml:space="preserve">Theo lý thuyết năng lực động, SCV đại diện cho năng lực nhận diện, giúp chuỗi cung ứng </w:t>
      </w:r>
    </w:p>
    <w:p w:rsidR="00153237" w:rsidRDefault="0079599C" w:rsidP="00153237">
      <w:pPr>
        <w:spacing w:after="0" w:line="312" w:lineRule="auto"/>
        <w:jc w:val="both"/>
        <w:rPr>
          <w:rFonts w:ascii="Times New Roman" w:hAnsi="Times New Roman" w:cs="Times New Roman"/>
        </w:rPr>
      </w:pPr>
      <w:r w:rsidRPr="000F1C2D">
        <w:rPr>
          <w:rFonts w:ascii="Times New Roman" w:hAnsi="Times New Roman" w:cs="Times New Roman"/>
        </w:rPr>
        <w:t>phát hiện sớm các tín hiệu rủi ro hoặc gián đoạn.</w:t>
      </w:r>
    </w:p>
    <w:p w:rsidR="00153237" w:rsidRDefault="0079599C" w:rsidP="00153237">
      <w:pPr>
        <w:spacing w:after="0" w:line="312" w:lineRule="auto"/>
        <w:jc w:val="both"/>
        <w:rPr>
          <w:rFonts w:ascii="Times New Roman" w:hAnsi="Times New Roman" w:cs="Times New Roman"/>
        </w:rPr>
      </w:pPr>
      <w:r w:rsidRPr="000F1C2D">
        <w:rPr>
          <w:rFonts w:ascii="Times New Roman" w:hAnsi="Times New Roman" w:cs="Times New Roman"/>
        </w:rPr>
        <w:lastRenderedPageBreak/>
        <w:t xml:space="preserve">Trong khi đó, SCR thể hiện năng lực nắm bắt và </w:t>
      </w:r>
    </w:p>
    <w:p w:rsidR="0079599C" w:rsidRPr="000F1C2D" w:rsidRDefault="0079599C" w:rsidP="00153237">
      <w:pPr>
        <w:spacing w:after="0" w:line="312" w:lineRule="auto"/>
        <w:jc w:val="both"/>
        <w:rPr>
          <w:rFonts w:ascii="Times New Roman" w:hAnsi="Times New Roman" w:cs="Times New Roman"/>
        </w:rPr>
      </w:pPr>
      <w:r w:rsidRPr="000F1C2D">
        <w:rPr>
          <w:rFonts w:ascii="Times New Roman" w:hAnsi="Times New Roman" w:cs="Times New Roman"/>
        </w:rPr>
        <w:t>tái cấu trúc, cho phép doanh nghiệp điều chỉnh nhanh chóng các hoạt động và cấu trúc chuỗi cung ứng để ứng phó với sự thay đổi của môi trường, từ đó đạt được kết quả hoạt động vượt trội. Dựa trên nền tảng lý thuyết này, có thể kỳ vọng rằng SCV tạo điều kiện cho SCR phát huy hiệu quả và chính SCR mới là yếu tố trực tiếp nâng cao hiệu quả hoạt động chuỗi cung ứng. Nói cách khác, SCR đóng vai trò trung gian trong mối quan hệ giữa SCV và SCP. Từ đó, giả thuyết nghiên cứu được đề xuất như sau:</w:t>
      </w:r>
    </w:p>
    <w:p w:rsidR="0079599C" w:rsidRPr="000F1C2D" w:rsidRDefault="0079599C"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H3b: SCV có ảnh hưởng gián tiếp cùng chiều đến SCP thông qua SCV</w:t>
      </w:r>
    </w:p>
    <w:p w:rsidR="00AC5B13" w:rsidRPr="000F1C2D" w:rsidRDefault="00AC5B13" w:rsidP="00AC5B13">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Nghiên cứu còn kết hợp ba biến kiểm soát trong các phân tích thống kê của mình. Đầu tiên, là quy mô công ty (FS) bằng cách sử dụng doanh thu hàng năm </w:t>
      </w:r>
      <w:r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&lt;EndNote&gt;&lt;Cite&gt;&lt;Author&gt;Wamba&lt;/Author&gt;&lt;Year&gt;2020&lt;/Year&gt;&lt;RecNum&gt;107&lt;/RecNum&gt;&lt;DisplayText&gt;&lt;style face="superscript"&gt;25&lt;/style&gt;&lt;/DisplayText&gt;&lt;record&gt;&lt;rec-number&gt;107&lt;/rec-number&gt;&lt;foreign-keys&gt;&lt;key app="EN" db-id="zrxvexxvx0vtpmeafst5dtv5w2zx9fwa0ffp" timestamp="1753859446"&gt;107&lt;/key&gt;&lt;/foreign-keys&gt;&lt;ref-type name="Journal Article"&gt;17&lt;/ref-type&gt;&lt;contributors&gt;&lt;authors&gt;&lt;author&gt;Wamba, Samuel Fosso&lt;/author&gt;&lt;author&gt;Dubey, Rameshwar&lt;/author&gt;&lt;author&gt;Gunasekaran, Angappa&lt;/author&gt;&lt;author&gt;Akter, Shahriar&lt;/author&gt;&lt;/authors&gt;&lt;/contributors&gt;&lt;titles&gt;&lt;title&gt;The performance effects of big data analytics and supply chain ambidexterity: The moderating effect of environmental dynamism&lt;/title&gt;&lt;secondary-title&gt;International Journal of Production Economics&lt;/secondary-title&gt;&lt;/titles&gt;&lt;periodical&gt;&lt;full-title&gt;International Journal of Production Economics&lt;/full-title&gt;&lt;/periodical&gt;&lt;pages&gt;107498&lt;/pages&gt;&lt;volume&gt;222&lt;/volume&gt;&lt;dates&gt;&lt;year&gt;2020&lt;/year&gt;&lt;/dates&gt;&lt;isbn&gt;0925-5273&lt;/isbn&gt;&lt;urls&gt;&lt;/urls&gt;&lt;/record&gt;&lt;/Cite&gt;&lt;/EndNote&gt;</w:instrText>
      </w:r>
      <w:r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25</w:t>
      </w:r>
      <w:r w:rsidRPr="000F1C2D">
        <w:rPr>
          <w:rFonts w:ascii="Times New Roman" w:hAnsi="Times New Roman" w:cs="Times New Roman"/>
        </w:rPr>
        <w:fldChar w:fldCharType="end"/>
      </w:r>
      <w:r w:rsidR="004574E3" w:rsidRPr="000F1C2D">
        <w:rPr>
          <w:rFonts w:ascii="Times New Roman" w:hAnsi="Times New Roman" w:cs="Times New Roman"/>
          <w:lang w:val="vi-VN"/>
        </w:rPr>
        <w:t>,</w:t>
      </w:r>
      <w:r w:rsidR="004574E3" w:rsidRPr="000F1C2D">
        <w:rPr>
          <w:rFonts w:ascii="Times New Roman" w:hAnsi="Times New Roman" w:cs="Times New Roman"/>
          <w:lang w:val="vi-VN"/>
        </w:rPr>
        <w:fldChar w:fldCharType="begin"/>
      </w:r>
      <w:r w:rsidR="004574E3" w:rsidRPr="000F1C2D">
        <w:rPr>
          <w:rFonts w:ascii="Times New Roman" w:hAnsi="Times New Roman" w:cs="Times New Roman"/>
          <w:lang w:val="vi-V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0F1C2D">
        <w:rPr>
          <w:rFonts w:ascii="Times New Roman" w:hAnsi="Times New Roman" w:cs="Times New Roman"/>
          <w:lang w:val="vi-VN"/>
        </w:rPr>
        <w:fldChar w:fldCharType="separate"/>
      </w:r>
      <w:r w:rsidR="004574E3" w:rsidRPr="000F1C2D">
        <w:rPr>
          <w:rFonts w:ascii="Times New Roman" w:hAnsi="Times New Roman" w:cs="Times New Roman"/>
          <w:noProof/>
          <w:vertAlign w:val="superscript"/>
          <w:lang w:val="vi-VN"/>
        </w:rPr>
        <w:t>20</w:t>
      </w:r>
      <w:r w:rsidR="004574E3" w:rsidRPr="000F1C2D">
        <w:rPr>
          <w:rFonts w:ascii="Times New Roman" w:hAnsi="Times New Roman" w:cs="Times New Roman"/>
          <w:lang w:val="vi-VN"/>
        </w:rPr>
        <w:fldChar w:fldCharType="end"/>
      </w:r>
      <w:r w:rsidRPr="000F1C2D">
        <w:rPr>
          <w:rFonts w:ascii="Times New Roman" w:hAnsi="Times New Roman" w:cs="Times New Roman"/>
        </w:rPr>
        <w:t>, thứ hai, ngành nghề sản xuấ</w:t>
      </w:r>
      <w:r w:rsidR="004574E3" w:rsidRPr="000F1C2D">
        <w:rPr>
          <w:rFonts w:ascii="Times New Roman" w:hAnsi="Times New Roman" w:cs="Times New Roman"/>
        </w:rPr>
        <w:t>t (BS)</w:t>
      </w:r>
      <w:r w:rsidR="004574E3" w:rsidRPr="000F1C2D">
        <w:rPr>
          <w:rFonts w:ascii="Times New Roman" w:hAnsi="Times New Roman" w:cs="Times New Roman"/>
        </w:rPr>
        <w:fldChar w:fldCharType="begin"/>
      </w:r>
      <w:r w:rsidR="004574E3" w:rsidRPr="000F1C2D">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0F1C2D">
        <w:rPr>
          <w:rFonts w:ascii="Times New Roman" w:hAnsi="Times New Roman" w:cs="Times New Roman"/>
        </w:rPr>
        <w:fldChar w:fldCharType="separate"/>
      </w:r>
      <w:r w:rsidR="004574E3" w:rsidRPr="000F1C2D">
        <w:rPr>
          <w:rFonts w:ascii="Times New Roman" w:hAnsi="Times New Roman" w:cs="Times New Roman"/>
          <w:noProof/>
          <w:vertAlign w:val="superscript"/>
        </w:rPr>
        <w:t>20</w:t>
      </w:r>
      <w:r w:rsidR="004574E3" w:rsidRPr="000F1C2D">
        <w:rPr>
          <w:rFonts w:ascii="Times New Roman" w:hAnsi="Times New Roman" w:cs="Times New Roman"/>
        </w:rPr>
        <w:fldChar w:fldCharType="end"/>
      </w:r>
      <w:r w:rsidR="004574E3" w:rsidRPr="000F1C2D">
        <w:rPr>
          <w:rFonts w:ascii="Times New Roman" w:hAnsi="Times New Roman" w:cs="Times New Roman"/>
          <w:lang w:val="vi-VN"/>
        </w:rPr>
        <w:t xml:space="preserve"> </w:t>
      </w:r>
      <w:r w:rsidRPr="000F1C2D">
        <w:rPr>
          <w:rFonts w:ascii="Times New Roman" w:hAnsi="Times New Roman" w:cs="Times New Roman"/>
        </w:rPr>
        <w:t>và thứ ba là khu vực địa lý (GA).</w:t>
      </w:r>
    </w:p>
    <w:p w:rsidR="00921929" w:rsidRPr="000F1C2D" w:rsidRDefault="00921929"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Hình </w:t>
      </w:r>
      <w:r w:rsidR="00153237">
        <w:rPr>
          <w:rFonts w:ascii="Times New Roman" w:hAnsi="Times New Roman" w:cs="Times New Roman"/>
        </w:rPr>
        <w:t>1</w:t>
      </w:r>
      <w:r w:rsidRPr="000F1C2D">
        <w:rPr>
          <w:rFonts w:ascii="Times New Roman" w:hAnsi="Times New Roman" w:cs="Times New Roman"/>
        </w:rPr>
        <w:t xml:space="preserve"> là mô hình nghiên cứ</w:t>
      </w:r>
      <w:r w:rsidR="00CF7701" w:rsidRPr="000F1C2D">
        <w:rPr>
          <w:rFonts w:ascii="Times New Roman" w:hAnsi="Times New Roman" w:cs="Times New Roman"/>
        </w:rPr>
        <w:t>u</w:t>
      </w:r>
      <w:r w:rsidRPr="000F1C2D">
        <w:rPr>
          <w:rFonts w:ascii="Times New Roman" w:hAnsi="Times New Roman" w:cs="Times New Roman"/>
        </w:rPr>
        <w:t>, trong đó có 3 giả thuyết về mối quan hệ trực tiếp (H1, H2, H3a), 1 giả thuyết về mối quan hệ</w:t>
      </w:r>
      <w:r w:rsidR="00CF7701" w:rsidRPr="000F1C2D">
        <w:rPr>
          <w:rFonts w:ascii="Times New Roman" w:hAnsi="Times New Roman" w:cs="Times New Roman"/>
        </w:rPr>
        <w:t xml:space="preserve"> trung gian (H3b).</w:t>
      </w:r>
    </w:p>
    <w:p w:rsidR="00921929" w:rsidRPr="000F1C2D" w:rsidRDefault="00921929" w:rsidP="00A94221">
      <w:pPr>
        <w:spacing w:after="0" w:line="312" w:lineRule="auto"/>
        <w:ind w:firstLine="567"/>
        <w:jc w:val="both"/>
        <w:rPr>
          <w:rFonts w:ascii="Times New Roman" w:hAnsi="Times New Roman" w:cs="Times New Roman"/>
        </w:rPr>
      </w:pPr>
    </w:p>
    <w:p w:rsidR="00153237" w:rsidRDefault="00153237" w:rsidP="00153237">
      <w:pPr>
        <w:widowControl w:val="0"/>
        <w:spacing w:line="312" w:lineRule="auto"/>
        <w:jc w:val="both"/>
        <w:rPr>
          <w:rFonts w:ascii="Times New Roman" w:hAnsi="Times New Roman" w:cs="Times New Roman"/>
          <w:b/>
          <w:bCs/>
        </w:rPr>
        <w:sectPr w:rsidR="00153237" w:rsidSect="00C57A72">
          <w:type w:val="continuous"/>
          <w:pgSz w:w="12240" w:h="15840"/>
          <w:pgMar w:top="1440" w:right="1440" w:bottom="1440" w:left="1440" w:header="720" w:footer="720" w:gutter="0"/>
          <w:cols w:num="2" w:space="720"/>
          <w:docGrid w:linePitch="360"/>
        </w:sectPr>
      </w:pPr>
    </w:p>
    <w:p w:rsidR="00921929" w:rsidRDefault="00153237" w:rsidP="000B7499">
      <w:pPr>
        <w:widowControl w:val="0"/>
        <w:spacing w:line="312" w:lineRule="auto"/>
        <w:jc w:val="both"/>
        <w:rPr>
          <w:rFonts w:ascii="Times New Roman" w:hAnsi="Times New Roman" w:cs="Times New Roman"/>
          <w:b/>
          <w:bCs/>
        </w:rPr>
      </w:pPr>
      <w:r>
        <w:rPr>
          <w:rFonts w:ascii="Times New Roman" w:hAnsi="Times New Roman" w:cs="Times New Roman"/>
          <w:b/>
          <w:bCs/>
        </w:rPr>
        <w:t xml:space="preserve">Hình 1. </w:t>
      </w:r>
      <w:r w:rsidRPr="000B7499">
        <w:rPr>
          <w:rFonts w:ascii="Times New Roman" w:hAnsi="Times New Roman" w:cs="Times New Roman"/>
          <w:bCs/>
        </w:rPr>
        <w:t>Mô hình nghiên  cứu đề xuất</w:t>
      </w:r>
    </w:p>
    <w:p w:rsidR="00153237" w:rsidRPr="00153237" w:rsidRDefault="00153237" w:rsidP="00153237">
      <w:pPr>
        <w:widowControl w:val="0"/>
        <w:spacing w:after="0" w:line="312" w:lineRule="auto"/>
        <w:ind w:firstLine="567"/>
        <w:jc w:val="right"/>
        <w:rPr>
          <w:rFonts w:ascii="Times New Roman" w:hAnsi="Times New Roman" w:cs="Times New Roman"/>
          <w:bCs/>
          <w:i/>
        </w:rPr>
      </w:pPr>
      <w:r w:rsidRPr="000F1C2D">
        <w:rPr>
          <w:rFonts w:ascii="Times New Roman" w:hAnsi="Times New Roman" w:cs="Times New Roman"/>
          <w:bCs/>
          <w:i/>
          <w:lang w:val="vi-VN"/>
        </w:rPr>
        <w:t>Nguồn: Nhóm tác giả đề xu</w:t>
      </w:r>
      <w:r>
        <w:rPr>
          <w:rFonts w:ascii="Times New Roman" w:hAnsi="Times New Roman" w:cs="Times New Roman"/>
          <w:bCs/>
          <w:i/>
        </w:rPr>
        <w:t>ất</w:t>
      </w:r>
    </w:p>
    <w:p w:rsidR="00514A08" w:rsidRPr="000F1C2D" w:rsidRDefault="00514A08" w:rsidP="00514A08">
      <w:pPr>
        <w:pStyle w:val="1"/>
      </w:pPr>
      <w:r w:rsidRPr="000F1C2D">
        <w:lastRenderedPageBreak/>
        <w:t>3. PHƯƠNG PHÁP NGHIÊN CỨU</w:t>
      </w:r>
    </w:p>
    <w:p w:rsidR="00514A08" w:rsidRPr="000F1C2D" w:rsidRDefault="00514A08" w:rsidP="00514A08">
      <w:pPr>
        <w:pStyle w:val="21"/>
        <w:rPr>
          <w:i/>
          <w:lang w:val="vi-VN"/>
        </w:rPr>
      </w:pPr>
      <w:r w:rsidRPr="000F1C2D">
        <w:rPr>
          <w:i/>
        </w:rPr>
        <w:t xml:space="preserve">3.1. </w:t>
      </w:r>
      <w:r w:rsidRPr="000F1C2D">
        <w:rPr>
          <w:i/>
          <w:lang w:val="vi-VN"/>
        </w:rPr>
        <w:t>Thang đo</w:t>
      </w:r>
    </w:p>
    <w:p w:rsidR="001609CF" w:rsidRPr="000F1C2D" w:rsidRDefault="00514A08" w:rsidP="003F153C">
      <w:pPr>
        <w:spacing w:after="0" w:line="312" w:lineRule="auto"/>
        <w:ind w:firstLine="567"/>
        <w:jc w:val="both"/>
        <w:rPr>
          <w:rFonts w:ascii="Times New Roman" w:hAnsi="Times New Roman" w:cs="Times New Roman"/>
        </w:rPr>
      </w:pPr>
      <w:bookmarkStart w:id="1" w:name="OLE_LINK2"/>
      <w:bookmarkStart w:id="2" w:name="OLE_LINK3"/>
      <w:r w:rsidRPr="000F1C2D">
        <w:rPr>
          <w:rFonts w:ascii="Times New Roman" w:hAnsi="Times New Roman" w:cs="Times New Roman"/>
        </w:rPr>
        <w:t>Nhóm tác giả</w:t>
      </w:r>
      <w:bookmarkEnd w:id="1"/>
      <w:bookmarkEnd w:id="2"/>
      <w:r w:rsidRPr="000F1C2D">
        <w:rPr>
          <w:rFonts w:ascii="Times New Roman" w:hAnsi="Times New Roman" w:cs="Times New Roman"/>
        </w:rPr>
        <w:t xml:space="preserve"> xây dựng một bảng câu hỏi trong đó mỗi mục được đo lường thông qua thang đo Likert 5 điểm với (1) = Hoàn toàn không đồng ý; (2) = Không đồng ý; (3) = Trung bình; (4) = Đồng ý; (5) = Hoàn toàn đồng ý. Các mục SCV (sáu mục) được điều chỉnh từ Agrawal</w:t>
      </w:r>
      <w:r w:rsidR="00FB596A" w:rsidRPr="000F1C2D">
        <w:rPr>
          <w:rFonts w:ascii="Times New Roman" w:hAnsi="Times New Roman" w:cs="Times New Roman"/>
          <w:lang w:val="vi-VN"/>
        </w:rPr>
        <w:t xml:space="preserve"> &amp;</w:t>
      </w:r>
      <w:r w:rsidRPr="000F1C2D">
        <w:rPr>
          <w:rFonts w:ascii="Times New Roman" w:hAnsi="Times New Roman" w:cs="Times New Roman"/>
        </w:rPr>
        <w:t xml:space="preserve"> cộng sự</w:t>
      </w:r>
      <w:r w:rsidR="00FB596A" w:rsidRPr="000F1C2D">
        <w:rPr>
          <w:rFonts w:ascii="Times New Roman" w:hAnsi="Times New Roman" w:cs="Times New Roman"/>
          <w:lang w:val="vi-VN"/>
        </w:rPr>
        <w:t xml:space="preserve"> </w:t>
      </w:r>
      <w:r w:rsidR="00FB596A" w:rsidRPr="000F1C2D">
        <w:rPr>
          <w:rFonts w:ascii="Times New Roman" w:hAnsi="Times New Roman" w:cs="Times New Roman"/>
          <w:lang w:val="vi-VN"/>
        </w:rPr>
        <w:fldChar w:fldCharType="begin"/>
      </w:r>
      <w:r w:rsidR="00FB596A" w:rsidRPr="000F1C2D">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FB596A" w:rsidRPr="000F1C2D">
        <w:rPr>
          <w:rFonts w:ascii="Times New Roman" w:hAnsi="Times New Roman" w:cs="Times New Roman"/>
          <w:lang w:val="vi-VN"/>
        </w:rPr>
        <w:fldChar w:fldCharType="separate"/>
      </w:r>
      <w:r w:rsidR="00FB596A" w:rsidRPr="000F1C2D">
        <w:rPr>
          <w:rFonts w:ascii="Times New Roman" w:hAnsi="Times New Roman" w:cs="Times New Roman"/>
          <w:noProof/>
          <w:vertAlign w:val="superscript"/>
          <w:lang w:val="vi-VN"/>
        </w:rPr>
        <w:t>15</w:t>
      </w:r>
      <w:r w:rsidR="00FB596A" w:rsidRPr="000F1C2D">
        <w:rPr>
          <w:rFonts w:ascii="Times New Roman" w:hAnsi="Times New Roman" w:cs="Times New Roman"/>
          <w:lang w:val="vi-VN"/>
        </w:rPr>
        <w:fldChar w:fldCharType="end"/>
      </w:r>
      <w:r w:rsidRPr="000F1C2D">
        <w:rPr>
          <w:rFonts w:ascii="Times New Roman" w:hAnsi="Times New Roman" w:cs="Times New Roman"/>
        </w:rPr>
        <w:t>. Các mục đo lường SCR (5 mục) được điều chỉnh từ Ying Li &amp; cộng sự</w:t>
      </w:r>
      <w:r w:rsidR="00FB596A" w:rsidRPr="000F1C2D">
        <w:rPr>
          <w:rFonts w:ascii="Times New Roman" w:hAnsi="Times New Roman" w:cs="Times New Roman"/>
        </w:rPr>
        <w:t xml:space="preserve"> </w:t>
      </w:r>
      <w:r w:rsidR="00FB596A"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FB596A"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17</w:t>
      </w:r>
      <w:r w:rsidR="00FB596A" w:rsidRPr="000F1C2D">
        <w:rPr>
          <w:rFonts w:ascii="Times New Roman" w:hAnsi="Times New Roman" w:cs="Times New Roman"/>
        </w:rPr>
        <w:fldChar w:fldCharType="end"/>
      </w:r>
      <w:r w:rsidRPr="000F1C2D">
        <w:rPr>
          <w:rFonts w:ascii="Times New Roman" w:hAnsi="Times New Roman" w:cs="Times New Roman"/>
        </w:rPr>
        <w:t xml:space="preserve">. </w:t>
      </w:r>
      <w:r w:rsidR="00DC6DA2" w:rsidRPr="000F1C2D">
        <w:rPr>
          <w:rFonts w:ascii="Times New Roman" w:hAnsi="Times New Roman" w:cs="Times New Roman"/>
        </w:rPr>
        <w:t xml:space="preserve">Các mục đo lường SCP (bốn mục) được điều chỉnh từ Zhao &amp; cộng sự </w:t>
      </w:r>
      <w:r w:rsidR="00FB596A"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4</w:t>
      </w:r>
      <w:r w:rsidR="00FB596A" w:rsidRPr="000F1C2D">
        <w:rPr>
          <w:rFonts w:ascii="Times New Roman" w:hAnsi="Times New Roman" w:cs="Times New Roman"/>
        </w:rPr>
        <w:fldChar w:fldCharType="end"/>
      </w:r>
      <w:r w:rsidR="00DC6DA2" w:rsidRPr="000F1C2D">
        <w:rPr>
          <w:rFonts w:ascii="Times New Roman" w:hAnsi="Times New Roman" w:cs="Times New Roman"/>
        </w:rPr>
        <w:t xml:space="preserve">. </w:t>
      </w:r>
      <w:r w:rsidRPr="000F1C2D">
        <w:rPr>
          <w:rFonts w:ascii="Times New Roman" w:hAnsi="Times New Roman" w:cs="Times New Roman"/>
        </w:rPr>
        <w:t>Tấ</w:t>
      </w:r>
      <w:r w:rsidR="00DC6DA2" w:rsidRPr="000F1C2D">
        <w:rPr>
          <w:rFonts w:ascii="Times New Roman" w:hAnsi="Times New Roman" w:cs="Times New Roman"/>
        </w:rPr>
        <w:t xml:space="preserve">t </w:t>
      </w:r>
      <w:r w:rsidRPr="000F1C2D">
        <w:rPr>
          <w:rFonts w:ascii="Times New Roman" w:hAnsi="Times New Roman" w:cs="Times New Roman"/>
        </w:rPr>
        <w:t xml:space="preserve">cả các mục đo lường đều được dịch sang tiếng Việt và dịch ngược lại sang tiếng Anh để đảm bảo sự tương đương về mặt ngôn ngữ và khái niệm giữa phiên bản tiếng Việt và tiếng Anh. Sau khi điều chỉnh cho phù hợp với bối cảnh ở Việt Nam, thang đo được đưa vào bảng câu hỏi nghiên cứu bằng tiếng Việt. </w:t>
      </w:r>
      <w:r w:rsidR="001609CF" w:rsidRPr="000F1C2D">
        <w:rPr>
          <w:rFonts w:ascii="Times New Roman" w:hAnsi="Times New Roman" w:cs="Times New Roman"/>
        </w:rPr>
        <w:t>Bảng câu hỏi được gửi đến các nhà quản lý của doanh nghiệp tại khu công nghiệp Nhơn Hòa, tỉnh Gia Lai mà nhóm tác giả quen nhờ họ trả lời và góp ý giúp cho tác giả để đảm bảo chắc chắn thang đo không có bất cứ từ ngữ nào khó hiểu, dễ bị hiểu nhầm hoặc có câu hỏi nhạy cảm không thể trả lời.</w:t>
      </w:r>
    </w:p>
    <w:p w:rsidR="00CF7701" w:rsidRPr="000F1C2D" w:rsidRDefault="00CF7701" w:rsidP="000B7499">
      <w:pPr>
        <w:spacing w:after="0" w:line="312" w:lineRule="auto"/>
        <w:jc w:val="both"/>
        <w:rPr>
          <w:b/>
        </w:rPr>
      </w:pPr>
      <w:r w:rsidRPr="000F1C2D">
        <w:rPr>
          <w:rFonts w:ascii="Times New Roman" w:hAnsi="Times New Roman" w:cs="Times New Roman"/>
          <w:b/>
        </w:rPr>
        <w:t xml:space="preserve">Bảng </w:t>
      </w:r>
      <w:r w:rsidR="00847559" w:rsidRPr="000F1C2D">
        <w:rPr>
          <w:rFonts w:ascii="Times New Roman" w:hAnsi="Times New Roman" w:cs="Times New Roman"/>
          <w:b/>
        </w:rPr>
        <w:t>1</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Các biến và thang đo của mô hình nghiên cứu</w:t>
      </w:r>
    </w:p>
    <w:p w:rsidR="0011774F" w:rsidRDefault="0011774F" w:rsidP="00CF7701">
      <w:pPr>
        <w:spacing w:after="0" w:line="312" w:lineRule="auto"/>
        <w:jc w:val="both"/>
        <w:rPr>
          <w:rFonts w:ascii="Times New Roman" w:hAnsi="Times New Roman" w:cs="Times New Roman"/>
          <w:b/>
        </w:rPr>
        <w:sectPr w:rsidR="0011774F" w:rsidSect="000B7499">
          <w:type w:val="continuous"/>
          <w:pgSz w:w="12240" w:h="15840"/>
          <w:pgMar w:top="1440" w:right="1440" w:bottom="1440" w:left="1440" w:header="720" w:footer="720" w:gutter="0"/>
          <w:cols w:space="720"/>
          <w:docGrid w:linePitch="360"/>
        </w:sect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5529"/>
        <w:gridCol w:w="1559"/>
      </w:tblGrid>
      <w:tr w:rsidR="00CF7701" w:rsidRPr="000F1C2D" w:rsidTr="0011774F">
        <w:trPr>
          <w:jc w:val="center"/>
        </w:trPr>
        <w:tc>
          <w:tcPr>
            <w:tcW w:w="1271" w:type="dxa"/>
          </w:tcPr>
          <w:p w:rsidR="00CF7701" w:rsidRPr="000F1C2D" w:rsidRDefault="00CF7701" w:rsidP="00CF7701">
            <w:pPr>
              <w:spacing w:after="0" w:line="312" w:lineRule="auto"/>
              <w:jc w:val="both"/>
              <w:rPr>
                <w:rFonts w:ascii="Times New Roman" w:hAnsi="Times New Roman" w:cs="Times New Roman"/>
                <w:b/>
              </w:rPr>
            </w:pPr>
            <w:r w:rsidRPr="000F1C2D">
              <w:rPr>
                <w:rFonts w:ascii="Times New Roman" w:hAnsi="Times New Roman" w:cs="Times New Roman"/>
                <w:b/>
              </w:rPr>
              <w:lastRenderedPageBreak/>
              <w:t xml:space="preserve">Biến </w:t>
            </w:r>
          </w:p>
        </w:tc>
        <w:tc>
          <w:tcPr>
            <w:tcW w:w="992" w:type="dxa"/>
          </w:tcPr>
          <w:p w:rsidR="00CF7701" w:rsidRPr="000F1C2D" w:rsidRDefault="00CF7701" w:rsidP="00A95708">
            <w:pPr>
              <w:spacing w:after="0" w:line="312" w:lineRule="auto"/>
              <w:jc w:val="both"/>
              <w:rPr>
                <w:rFonts w:ascii="Times New Roman" w:hAnsi="Times New Roman" w:cs="Times New Roman"/>
                <w:b/>
                <w:lang w:val="vi-VN"/>
              </w:rPr>
            </w:pPr>
            <w:r w:rsidRPr="000F1C2D">
              <w:rPr>
                <w:rFonts w:ascii="Times New Roman" w:hAnsi="Times New Roman" w:cs="Times New Roman"/>
                <w:b/>
              </w:rPr>
              <w:t>Mã</w:t>
            </w:r>
            <w:r w:rsidRPr="000F1C2D">
              <w:rPr>
                <w:rFonts w:ascii="Times New Roman" w:hAnsi="Times New Roman" w:cs="Times New Roman"/>
                <w:b/>
                <w:lang w:val="vi-VN"/>
              </w:rPr>
              <w:t xml:space="preserve"> hóa</w:t>
            </w:r>
          </w:p>
        </w:tc>
        <w:tc>
          <w:tcPr>
            <w:tcW w:w="5529" w:type="dxa"/>
          </w:tcPr>
          <w:p w:rsidR="00CF7701" w:rsidRPr="000F1C2D" w:rsidRDefault="00CF7701" w:rsidP="00A95708">
            <w:pPr>
              <w:spacing w:after="0" w:line="312" w:lineRule="auto"/>
              <w:jc w:val="both"/>
              <w:rPr>
                <w:rFonts w:ascii="Times New Roman" w:hAnsi="Times New Roman" w:cs="Times New Roman"/>
                <w:b/>
                <w:lang w:val="vi-VN"/>
              </w:rPr>
            </w:pPr>
            <w:r w:rsidRPr="000F1C2D">
              <w:rPr>
                <w:rFonts w:ascii="Times New Roman" w:hAnsi="Times New Roman" w:cs="Times New Roman"/>
                <w:b/>
                <w:lang w:val="vi-VN"/>
              </w:rPr>
              <w:t>Thang đo chính thức</w:t>
            </w:r>
          </w:p>
        </w:tc>
        <w:tc>
          <w:tcPr>
            <w:tcW w:w="1559" w:type="dxa"/>
          </w:tcPr>
          <w:p w:rsidR="00CF7701" w:rsidRPr="000F1C2D" w:rsidRDefault="00CF7701" w:rsidP="00A95708">
            <w:pPr>
              <w:spacing w:after="0" w:line="312" w:lineRule="auto"/>
              <w:jc w:val="both"/>
              <w:rPr>
                <w:rFonts w:ascii="Times New Roman" w:hAnsi="Times New Roman" w:cs="Times New Roman"/>
                <w:b/>
              </w:rPr>
            </w:pPr>
            <w:r w:rsidRPr="000F1C2D">
              <w:rPr>
                <w:rFonts w:ascii="Times New Roman" w:hAnsi="Times New Roman" w:cs="Times New Roman"/>
                <w:b/>
              </w:rPr>
              <w:t>Nguồn</w:t>
            </w:r>
          </w:p>
        </w:tc>
      </w:tr>
      <w:tr w:rsidR="00CF7701" w:rsidRPr="000F1C2D" w:rsidTr="0011774F">
        <w:trPr>
          <w:jc w:val="center"/>
        </w:trPr>
        <w:tc>
          <w:tcPr>
            <w:tcW w:w="1271" w:type="dxa"/>
            <w:vMerge w:val="restart"/>
            <w:tcBorders>
              <w:top w:val="single" w:sz="4" w:space="0" w:color="auto"/>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lang w:val="vi-VN"/>
              </w:rPr>
            </w:pPr>
            <w:r w:rsidRPr="000F1C2D">
              <w:rPr>
                <w:rFonts w:ascii="Times New Roman" w:hAnsi="Times New Roman" w:cs="Times New Roman"/>
                <w:lang w:val="vi-VN"/>
              </w:rPr>
              <w:t>Khả năng hiển thị chuỗi cung ứng (SCV)</w:t>
            </w: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SCV1</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theo dõi trạng thái của quá trình giao hàng để thông báo cho khách hàng khi cần</w:t>
            </w:r>
          </w:p>
        </w:tc>
        <w:tc>
          <w:tcPr>
            <w:tcW w:w="1559" w:type="dxa"/>
            <w:vMerge w:val="restart"/>
          </w:tcPr>
          <w:p w:rsidR="00CF7701" w:rsidRPr="000F1C2D" w:rsidRDefault="00FB596A" w:rsidP="00A95708">
            <w:pPr>
              <w:spacing w:after="0" w:line="312" w:lineRule="auto"/>
              <w:jc w:val="both"/>
              <w:rPr>
                <w:rFonts w:ascii="Times New Roman" w:hAnsi="Times New Roman" w:cs="Times New Roman"/>
              </w:rPr>
            </w:pPr>
            <w:r w:rsidRPr="000F1C2D">
              <w:rPr>
                <w:rFonts w:ascii="Times New Roman" w:hAnsi="Times New Roman" w:cs="Times New Roman"/>
              </w:rPr>
              <w:t>Agrawal</w:t>
            </w:r>
            <w:r w:rsidRPr="000F1C2D">
              <w:rPr>
                <w:rFonts w:ascii="Times New Roman" w:hAnsi="Times New Roman" w:cs="Times New Roman"/>
                <w:lang w:val="vi-VN"/>
              </w:rPr>
              <w:t xml:space="preserve"> &amp;</w:t>
            </w:r>
            <w:r w:rsidRPr="000F1C2D">
              <w:rPr>
                <w:rFonts w:ascii="Times New Roman" w:hAnsi="Times New Roman" w:cs="Times New Roman"/>
              </w:rPr>
              <w:t xml:space="preserve"> cộng sự</w:t>
            </w:r>
            <w:r w:rsidRPr="000F1C2D">
              <w:rPr>
                <w:rFonts w:ascii="Times New Roman" w:hAnsi="Times New Roman" w:cs="Times New Roman"/>
                <w:lang w:val="vi-VN"/>
              </w:rPr>
              <w:t xml:space="preserve"> </w:t>
            </w:r>
            <w:r w:rsidRPr="000F1C2D">
              <w:rPr>
                <w:rFonts w:ascii="Times New Roman" w:hAnsi="Times New Roman" w:cs="Times New Roman"/>
                <w:lang w:val="vi-VN"/>
              </w:rPr>
              <w:fldChar w:fldCharType="begin"/>
            </w:r>
            <w:r w:rsidRPr="000F1C2D">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0F1C2D">
              <w:rPr>
                <w:rFonts w:ascii="Times New Roman" w:hAnsi="Times New Roman" w:cs="Times New Roman"/>
                <w:lang w:val="vi-VN"/>
              </w:rPr>
              <w:fldChar w:fldCharType="separate"/>
            </w:r>
            <w:r w:rsidRPr="000F1C2D">
              <w:rPr>
                <w:rFonts w:ascii="Times New Roman" w:hAnsi="Times New Roman" w:cs="Times New Roman"/>
                <w:noProof/>
                <w:vertAlign w:val="superscript"/>
                <w:lang w:val="vi-VN"/>
              </w:rPr>
              <w:t>15</w:t>
            </w:r>
            <w:r w:rsidRPr="000F1C2D">
              <w:rPr>
                <w:rFonts w:ascii="Times New Roman" w:hAnsi="Times New Roman" w:cs="Times New Roman"/>
                <w:lang w:val="vi-VN"/>
              </w:rPr>
              <w:fldChar w:fldCharType="end"/>
            </w:r>
            <w:r w:rsidR="00CF7701" w:rsidRPr="000F1C2D">
              <w:rPr>
                <w:rFonts w:ascii="Times New Roman" w:hAnsi="Times New Roman" w:cs="Times New Roman"/>
              </w:rPr>
              <w:t>; có điều chỉnh thông qua thảo luận chuyên gia.</w:t>
            </w: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SCV2</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cung cấp thông tin kịp thời về các sai lệch và bản chất của chúng</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SCV3</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cung cấp thông tin về mức tồn kho tại tất cả các địa điểm</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SCV4</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cung cấp thông tin về công suất sản xuất tại tất cả các nhà máy</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SCV5</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cung cấp thông tin về thời gian sản xuất và vận chuyển của hàng hóa</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SCV6</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chia sẻ số lượng mua dự kiến với nhà cung cấp</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val="restart"/>
            <w:tcBorders>
              <w:top w:val="single" w:sz="4" w:space="0" w:color="auto"/>
              <w:left w:val="single" w:sz="4" w:space="0" w:color="auto"/>
              <w:right w:val="single" w:sz="4" w:space="0" w:color="auto"/>
            </w:tcBorders>
          </w:tcPr>
          <w:p w:rsidR="0079599C" w:rsidRPr="000F1C2D" w:rsidRDefault="0079599C" w:rsidP="00A95708">
            <w:pPr>
              <w:spacing w:line="312" w:lineRule="auto"/>
              <w:jc w:val="both"/>
              <w:rPr>
                <w:rFonts w:ascii="Times New Roman" w:hAnsi="Times New Roman" w:cs="Times New Roman"/>
                <w:lang w:val="vi-VN"/>
              </w:rPr>
            </w:pPr>
            <w:r w:rsidRPr="000F1C2D">
              <w:rPr>
                <w:rFonts w:ascii="Times New Roman" w:hAnsi="Times New Roman" w:cs="Times New Roman"/>
                <w:lang w:val="vi-VN"/>
              </w:rPr>
              <w:t>Khả năng phục hồi chuỗi cung ứng (SCR)</w:t>
            </w: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1</w:t>
            </w:r>
          </w:p>
        </w:tc>
        <w:tc>
          <w:tcPr>
            <w:tcW w:w="5529" w:type="dxa"/>
            <w:tcBorders>
              <w:top w:val="single" w:sz="4" w:space="0" w:color="auto"/>
              <w:left w:val="single" w:sz="4" w:space="0" w:color="auto"/>
              <w:bottom w:val="single" w:sz="4" w:space="0" w:color="auto"/>
              <w:right w:val="single" w:sz="4" w:space="0" w:color="auto"/>
            </w:tcBorders>
            <w:vAlign w:val="center"/>
          </w:tcPr>
          <w:p w:rsidR="0079599C" w:rsidRPr="000F1C2D" w:rsidRDefault="0079599C" w:rsidP="00A95708">
            <w:pPr>
              <w:ind w:left="-35" w:right="156"/>
              <w:jc w:val="both"/>
              <w:rPr>
                <w:rFonts w:ascii="Times New Roman" w:hAnsi="Times New Roman" w:cs="Times New Roman"/>
              </w:rPr>
            </w:pPr>
            <w:r w:rsidRPr="000F1C2D">
              <w:rPr>
                <w:rFonts w:ascii="Times New Roman" w:hAnsi="Times New Roman" w:cs="Times New Roman"/>
              </w:rPr>
              <w:t>Công ty của chúng tôi có thể dự đoán khả năng xảy ra rủi ro gián đoạn chuỗi cung ứng.</w:t>
            </w:r>
          </w:p>
        </w:tc>
        <w:tc>
          <w:tcPr>
            <w:tcW w:w="1559" w:type="dxa"/>
            <w:vMerge w:val="restart"/>
          </w:tcPr>
          <w:p w:rsidR="0079599C" w:rsidRPr="000F1C2D" w:rsidRDefault="0079599C" w:rsidP="0019447F">
            <w:pPr>
              <w:spacing w:line="312" w:lineRule="auto"/>
              <w:jc w:val="both"/>
              <w:rPr>
                <w:rFonts w:ascii="Times New Roman" w:hAnsi="Times New Roman" w:cs="Times New Roman"/>
              </w:rPr>
            </w:pPr>
            <w:r w:rsidRPr="000F1C2D">
              <w:rPr>
                <w:rFonts w:ascii="Times New Roman" w:hAnsi="Times New Roman" w:cs="Times New Roman"/>
              </w:rPr>
              <w:t>Belhadi</w:t>
            </w:r>
            <w:r w:rsidRPr="000F1C2D">
              <w:rPr>
                <w:rFonts w:ascii="Times New Roman" w:hAnsi="Times New Roman" w:cs="Times New Roman"/>
                <w:lang w:val="vi-VN"/>
              </w:rPr>
              <w:t xml:space="preserve"> và cộng sự</w:t>
            </w:r>
            <w:r w:rsidR="00304AF9">
              <w:rPr>
                <w:rFonts w:ascii="Times New Roman" w:hAnsi="Times New Roman" w:cs="Times New Roman"/>
              </w:rPr>
              <w:t xml:space="preserve"> </w:t>
            </w:r>
            <w:r w:rsidR="0019447F"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19447F" w:rsidRPr="000F1C2D">
              <w:rPr>
                <w:rFonts w:ascii="Times New Roman" w:hAnsi="Times New Roman" w:cs="Times New Roman"/>
              </w:rPr>
              <w:instrText xml:space="preserve"> ADDIN EN.CITE </w:instrText>
            </w:r>
            <w:r w:rsidR="0019447F"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19447F" w:rsidRPr="000F1C2D">
              <w:rPr>
                <w:rFonts w:ascii="Times New Roman" w:hAnsi="Times New Roman" w:cs="Times New Roman"/>
              </w:rPr>
              <w:instrText xml:space="preserve"> ADDIN EN.CITE.DATA </w:instrText>
            </w:r>
            <w:r w:rsidR="0019447F" w:rsidRPr="000F1C2D">
              <w:rPr>
                <w:rFonts w:ascii="Times New Roman" w:hAnsi="Times New Roman" w:cs="Times New Roman"/>
              </w:rPr>
            </w:r>
            <w:r w:rsidR="0019447F" w:rsidRPr="000F1C2D">
              <w:rPr>
                <w:rFonts w:ascii="Times New Roman" w:hAnsi="Times New Roman" w:cs="Times New Roman"/>
              </w:rPr>
              <w:fldChar w:fldCharType="end"/>
            </w:r>
            <w:r w:rsidR="0019447F" w:rsidRPr="000F1C2D">
              <w:rPr>
                <w:rFonts w:ascii="Times New Roman" w:hAnsi="Times New Roman" w:cs="Times New Roman"/>
              </w:rPr>
            </w:r>
            <w:r w:rsidR="0019447F" w:rsidRPr="000F1C2D">
              <w:rPr>
                <w:rFonts w:ascii="Times New Roman" w:hAnsi="Times New Roman" w:cs="Times New Roman"/>
              </w:rPr>
              <w:fldChar w:fldCharType="separate"/>
            </w:r>
            <w:r w:rsidR="0019447F" w:rsidRPr="000F1C2D">
              <w:rPr>
                <w:rFonts w:ascii="Times New Roman" w:hAnsi="Times New Roman" w:cs="Times New Roman"/>
                <w:noProof/>
                <w:vertAlign w:val="superscript"/>
              </w:rPr>
              <w:t>16</w:t>
            </w:r>
            <w:r w:rsidR="0019447F" w:rsidRPr="000F1C2D">
              <w:rPr>
                <w:rFonts w:ascii="Times New Roman" w:hAnsi="Times New Roman" w:cs="Times New Roman"/>
              </w:rPr>
              <w:fldChar w:fldCharType="end"/>
            </w:r>
            <w:r w:rsidRPr="000F1C2D">
              <w:rPr>
                <w:rFonts w:ascii="Times New Roman" w:hAnsi="Times New Roman" w:cs="Times New Roman"/>
                <w:lang w:val="vi-VN"/>
              </w:rPr>
              <w:t xml:space="preserve">; </w:t>
            </w:r>
            <w:r w:rsidR="00541A70" w:rsidRPr="000F1C2D">
              <w:rPr>
                <w:rFonts w:ascii="Times New Roman" w:hAnsi="Times New Roman" w:cs="Times New Roman"/>
              </w:rPr>
              <w:t xml:space="preserve">Ying Li &amp; cộng sự </w:t>
            </w:r>
            <w:r w:rsidR="00541A70" w:rsidRPr="000F1C2D">
              <w:rPr>
                <w:rFonts w:ascii="Times New Roman" w:hAnsi="Times New Roman" w:cs="Times New Roman"/>
              </w:rPr>
              <w:fldChar w:fldCharType="begin"/>
            </w:r>
            <w:r w:rsidR="00541A70" w:rsidRPr="000F1C2D">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541A70" w:rsidRPr="000F1C2D">
              <w:rPr>
                <w:rFonts w:ascii="Times New Roman" w:hAnsi="Times New Roman" w:cs="Times New Roman"/>
              </w:rPr>
              <w:fldChar w:fldCharType="separate"/>
            </w:r>
            <w:r w:rsidR="00541A70" w:rsidRPr="000F1C2D">
              <w:rPr>
                <w:rFonts w:ascii="Times New Roman" w:hAnsi="Times New Roman" w:cs="Times New Roman"/>
                <w:noProof/>
                <w:vertAlign w:val="superscript"/>
              </w:rPr>
              <w:t>17</w:t>
            </w:r>
            <w:r w:rsidR="00541A70" w:rsidRPr="000F1C2D">
              <w:rPr>
                <w:rFonts w:ascii="Times New Roman" w:hAnsi="Times New Roman" w:cs="Times New Roman"/>
              </w:rPr>
              <w:fldChar w:fldCharType="end"/>
            </w: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2</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Công ty của chúng tôi phát triển các kế hoạch dự phòng để chuẩn bị cho các gián đoạn chuỗi cung ứng tiềm ẩn.</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Công ty của chúng tôi có thể ngăn chặn gián đoạn thông qua dự báo và lập kế hoạch.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4</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Công ty của chúng tôi có thể thích ứng với gián đoạn chuỗi cung ứng bằng cách nhanh chóng tái thiết lập các quy trình.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5</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Công ty của chúng tôi có thể phản ứng nhanh chóng với các gián đoạn chuỗi cung ứng.</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val="restart"/>
            <w:tcBorders>
              <w:top w:val="single" w:sz="4" w:space="0" w:color="auto"/>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r w:rsidRPr="000F1C2D">
              <w:rPr>
                <w:rFonts w:ascii="Times New Roman" w:hAnsi="Times New Roman" w:cs="Times New Roman"/>
                <w:lang w:val="vi-VN"/>
              </w:rPr>
              <w:lastRenderedPageBreak/>
              <w:t>Kết quả hoạt động chuỗi cung ứng (SCP)</w:t>
            </w: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SCP1</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tiết kiệm chi phí vận hành hơn</w:t>
            </w:r>
          </w:p>
        </w:tc>
        <w:tc>
          <w:tcPr>
            <w:tcW w:w="1559" w:type="dxa"/>
            <w:vMerge w:val="restart"/>
          </w:tcPr>
          <w:p w:rsidR="0079599C" w:rsidRPr="000F1C2D" w:rsidRDefault="0079599C" w:rsidP="0019447F">
            <w:pPr>
              <w:spacing w:after="0" w:line="312" w:lineRule="auto"/>
              <w:jc w:val="both"/>
              <w:rPr>
                <w:rFonts w:ascii="Times New Roman" w:hAnsi="Times New Roman" w:cs="Times New Roman"/>
              </w:rPr>
            </w:pPr>
            <w:r w:rsidRPr="000F1C2D">
              <w:rPr>
                <w:rFonts w:ascii="Times New Roman" w:hAnsi="Times New Roman" w:cs="Times New Roman"/>
              </w:rPr>
              <w:t>Beamon</w:t>
            </w:r>
            <w:r w:rsidR="00304AF9">
              <w:rPr>
                <w:rFonts w:ascii="Times New Roman" w:hAnsi="Times New Roman" w:cs="Times New Roman"/>
              </w:rPr>
              <w:t xml:space="preserve"> </w:t>
            </w:r>
            <w:r w:rsidR="0019447F" w:rsidRPr="000F1C2D">
              <w:rPr>
                <w:rFonts w:ascii="Times New Roman" w:hAnsi="Times New Roman" w:cs="Times New Roman"/>
              </w:rPr>
              <w:fldChar w:fldCharType="begin"/>
            </w:r>
            <w:r w:rsidR="0019447F" w:rsidRPr="000F1C2D">
              <w:rPr>
                <w:rFonts w:ascii="Times New Roman" w:hAnsi="Times New Roman" w:cs="Times New Roman"/>
              </w:rPr>
              <w:instrText xml:space="preserve"> ADDIN EN.CITE &lt;EndNote&gt;&lt;Cite&gt;&lt;Author&gt;Beamon&lt;/Author&gt;&lt;Year&gt;1999&lt;/Year&gt;&lt;RecNum&gt;51&lt;/RecNum&gt;&lt;DisplayText&gt;&lt;style face="superscript"&gt;18&lt;/style&gt;&lt;/DisplayText&gt;&lt;record&gt;&lt;rec-number&gt;51&lt;/rec-number&gt;&lt;foreign-keys&gt;&lt;key app="EN" db-id="zrxvexxvx0vtpmeafst5dtv5w2zx9fwa0ffp" timestamp="1753853729"&gt;51&lt;/key&gt;&lt;/foreign-keys&gt;&lt;ref-type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19447F" w:rsidRPr="000F1C2D">
              <w:rPr>
                <w:rFonts w:ascii="Times New Roman" w:hAnsi="Times New Roman" w:cs="Times New Roman"/>
              </w:rPr>
              <w:fldChar w:fldCharType="separate"/>
            </w:r>
            <w:r w:rsidR="0019447F" w:rsidRPr="000F1C2D">
              <w:rPr>
                <w:rFonts w:ascii="Times New Roman" w:hAnsi="Times New Roman" w:cs="Times New Roman"/>
                <w:noProof/>
                <w:vertAlign w:val="superscript"/>
              </w:rPr>
              <w:t>18</w:t>
            </w:r>
            <w:r w:rsidR="0019447F" w:rsidRPr="000F1C2D">
              <w:rPr>
                <w:rFonts w:ascii="Times New Roman" w:hAnsi="Times New Roman" w:cs="Times New Roman"/>
              </w:rPr>
              <w:fldChar w:fldCharType="end"/>
            </w:r>
            <w:r w:rsidRPr="000F1C2D">
              <w:rPr>
                <w:rFonts w:ascii="Times New Roman" w:hAnsi="Times New Roman" w:cs="Times New Roman"/>
              </w:rPr>
              <w:t>; Zhao, N. &amp; cộng sự</w:t>
            </w:r>
            <w:r w:rsidR="00FB596A" w:rsidRPr="000F1C2D">
              <w:rPr>
                <w:rFonts w:ascii="Times New Roman" w:hAnsi="Times New Roman" w:cs="Times New Roman"/>
              </w:rPr>
              <w:t xml:space="preserve"> </w:t>
            </w:r>
            <w:r w:rsidR="00FB596A"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4</w:t>
            </w:r>
            <w:r w:rsidR="00FB596A" w:rsidRPr="000F1C2D">
              <w:rPr>
                <w:rFonts w:ascii="Times New Roman" w:hAnsi="Times New Roman" w:cs="Times New Roman"/>
              </w:rPr>
              <w:fldChar w:fldCharType="end"/>
            </w:r>
            <w:r w:rsidRPr="000F1C2D">
              <w:rPr>
                <w:rFonts w:ascii="Times New Roman" w:hAnsi="Times New Roman" w:cs="Times New Roman"/>
              </w:rPr>
              <w:t>; có điều chỉnh thông qua thảo luận chuyên gia.</w:t>
            </w: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SCP2</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thu được nhiều lợi tức hơn từ một khoản đầu tư kinh doanh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SCP3</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rút ngắn thời gian giao hàng hơn</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SCP4</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Chuỗi cung ứng của công ty đáp ứng được các yêu cầu đa dạng của khách hàng về sản phẩm</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bl>
    <w:p w:rsidR="0011774F" w:rsidRDefault="0011774F" w:rsidP="00DC6DA2">
      <w:pPr>
        <w:widowControl w:val="0"/>
        <w:spacing w:after="0" w:line="312" w:lineRule="auto"/>
        <w:ind w:firstLine="567"/>
        <w:jc w:val="right"/>
        <w:rPr>
          <w:rFonts w:ascii="Times New Roman" w:hAnsi="Times New Roman" w:cs="Times New Roman"/>
          <w:bCs/>
          <w:i/>
          <w:lang w:val="vi-VN"/>
        </w:rPr>
        <w:sectPr w:rsidR="0011774F" w:rsidSect="0011774F">
          <w:type w:val="continuous"/>
          <w:pgSz w:w="12240" w:h="15840"/>
          <w:pgMar w:top="1440" w:right="1440" w:bottom="1440" w:left="1440" w:header="720" w:footer="720" w:gutter="0"/>
          <w:cols w:space="720"/>
          <w:docGrid w:linePitch="360"/>
        </w:sectPr>
      </w:pPr>
    </w:p>
    <w:p w:rsidR="00DC6DA2" w:rsidRPr="000F1C2D" w:rsidRDefault="00DC6DA2" w:rsidP="00DC6DA2">
      <w:pPr>
        <w:widowControl w:val="0"/>
        <w:spacing w:after="0" w:line="312" w:lineRule="auto"/>
        <w:ind w:firstLine="567"/>
        <w:jc w:val="right"/>
        <w:rPr>
          <w:rFonts w:ascii="Times New Roman" w:hAnsi="Times New Roman" w:cs="Times New Roman"/>
          <w:bCs/>
          <w:i/>
          <w:lang w:val="vi-VN"/>
        </w:rPr>
      </w:pPr>
      <w:r w:rsidRPr="000F1C2D">
        <w:rPr>
          <w:rFonts w:ascii="Times New Roman" w:hAnsi="Times New Roman" w:cs="Times New Roman"/>
          <w:bCs/>
          <w:i/>
          <w:lang w:val="vi-VN"/>
        </w:rPr>
        <w:lastRenderedPageBreak/>
        <w:t>Nguồn: Nhóm tác giả tổng hợp</w:t>
      </w:r>
    </w:p>
    <w:p w:rsidR="0011774F" w:rsidRDefault="0011774F" w:rsidP="00AD61DB">
      <w:pPr>
        <w:spacing w:after="0" w:line="312" w:lineRule="auto"/>
        <w:jc w:val="both"/>
        <w:rPr>
          <w:rFonts w:ascii="Times New Roman" w:hAnsi="Times New Roman" w:cs="Times New Roman"/>
          <w:b/>
          <w:i/>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lastRenderedPageBreak/>
        <w:t xml:space="preserve">3.2. </w:t>
      </w:r>
      <w:r w:rsidR="00447B06" w:rsidRPr="000F1C2D">
        <w:rPr>
          <w:rFonts w:ascii="Times New Roman" w:hAnsi="Times New Roman" w:cs="Times New Roman"/>
          <w:b/>
          <w:i/>
          <w:lang w:val="vi-VN"/>
        </w:rPr>
        <w:t>Thu thập dữ liệu và đặc điểm mẫu.</w:t>
      </w:r>
    </w:p>
    <w:p w:rsidR="003F153C" w:rsidRPr="000F1C2D" w:rsidRDefault="003F153C"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Nghiên cứu này tập trung vào các công ty sản xuất đang hoạt động trong các khu công nghiệp tại Việt Nam vì trong khu công nghiệp tập trung nhiều doanh nghiệp sản xuất hơn và các doanh nghiệp trong khu công nghiệp đạt được mức độ số hóa cao hơn nhờ các chính sách của khu công nghiệp ở Việt Nam.</w:t>
      </w:r>
    </w:p>
    <w:p w:rsidR="00A73870" w:rsidRPr="000F1C2D" w:rsidRDefault="00514A08"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Để kiểm tra các giả thuyết, nhóm tác giả tiến hành khảo sát trực tuyến bằng cách sử dụng phương pháp lấy mẫu thuận tiện kết hợp chọn lọc, đảm bảo người trả lời có kinh nghiệm và hiểu biết về hoạt động chuỗi cung ứng củ</w:t>
      </w:r>
      <w:r w:rsidR="003F153C" w:rsidRPr="000F1C2D">
        <w:rPr>
          <w:rFonts w:ascii="Times New Roman" w:hAnsi="Times New Roman" w:cs="Times New Roman"/>
        </w:rPr>
        <w:t>a doanh nghiệp</w:t>
      </w:r>
      <w:r w:rsidRPr="000F1C2D">
        <w:rPr>
          <w:rFonts w:ascii="Times New Roman" w:hAnsi="Times New Roman" w:cs="Times New Roman"/>
        </w:rPr>
        <w:t xml:space="preserve">. Dữ liệu của nghiên cứu được nhóm tác giả thu thập bằng Google Forms, một công cụ khảo sát tự quản trực tuyến. </w:t>
      </w:r>
      <w:r w:rsidR="00A73870" w:rsidRPr="000F1C2D">
        <w:rPr>
          <w:rFonts w:ascii="Times New Roman" w:hAnsi="Times New Roman" w:cs="Times New Roman"/>
        </w:rPr>
        <w:t xml:space="preserve">Nhóm tác giả đã tiến hành gửi bảng khảo sát bằng hình thức trực tuyến thông qua việc gửi đường link khảo sát đến các cán bộ phụ trách quản lý doanh nghiệp tại cơ quan thuế và Ban Quản lý các Khu Kinh tế tại Việt Nam. Những cán bộ này được đề nghị hỗ trợ chia sẻ đường link khảo sát đến các nhóm nội bộ hoặc cộng đồng trực tuyến gồm các nhà quản lý doanh nghiệp đang hoạt động trong các khu công nghiệp. Cách tiếp cận này nhằm mở rộng phạm vi tiếp cận, đồng thời đảm bảo đối tượng trả lời là những người am hiểu thực tiễn điều hành doanh nghiệp, từ đó nâng cao tính đại diện và độ tin cậy của dữ liệu thu thập được. Sau </w:t>
      </w:r>
      <w:r w:rsidR="00945D30" w:rsidRPr="000F1C2D">
        <w:rPr>
          <w:rFonts w:ascii="Times New Roman" w:hAnsi="Times New Roman" w:cs="Times New Roman"/>
        </w:rPr>
        <w:t>5</w:t>
      </w:r>
      <w:r w:rsidR="00A73870" w:rsidRPr="000F1C2D">
        <w:rPr>
          <w:rFonts w:ascii="Times New Roman" w:hAnsi="Times New Roman" w:cs="Times New Roman"/>
        </w:rPr>
        <w:t xml:space="preserve"> tháng khả</w:t>
      </w:r>
      <w:r w:rsidR="00AC0AE3" w:rsidRPr="000F1C2D">
        <w:rPr>
          <w:rFonts w:ascii="Times New Roman" w:hAnsi="Times New Roman" w:cs="Times New Roman"/>
        </w:rPr>
        <w:t>o sát, 189</w:t>
      </w:r>
      <w:r w:rsidR="00A73870" w:rsidRPr="000F1C2D">
        <w:rPr>
          <w:rFonts w:ascii="Times New Roman" w:hAnsi="Times New Roman" w:cs="Times New Roman"/>
        </w:rPr>
        <w:t xml:space="preserve"> bảng câu hỏi đã được phản hồi. Theo nguyên </w:t>
      </w:r>
      <w:r w:rsidR="00A73870" w:rsidRPr="000F1C2D">
        <w:rPr>
          <w:rFonts w:ascii="Times New Roman" w:hAnsi="Times New Roman" w:cs="Times New Roman"/>
        </w:rPr>
        <w:lastRenderedPageBreak/>
        <w:t>tắc chung, kích thước mẫu nhỏ nhất cần thiết để thử nghiệm mô hình SEM chứa năm cấu trúc hoặc ít hơn là khoả</w:t>
      </w:r>
      <w:r w:rsidR="003F153C" w:rsidRPr="000F1C2D">
        <w:rPr>
          <w:rFonts w:ascii="Times New Roman" w:hAnsi="Times New Roman" w:cs="Times New Roman"/>
        </w:rPr>
        <w:t>ng 100–150</w:t>
      </w:r>
      <w:r w:rsidR="00A73870"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&lt;EndNote&gt;&lt;Cite&gt;&lt;Author&gt;Hair&lt;/Author&gt;&lt;Year&gt;2009&lt;/Year&gt;&lt;RecNum&gt;26&lt;/RecNum&gt;&lt;DisplayText&gt;&lt;style face="superscript"&gt;26&lt;/style&gt;&lt;/DisplayText&gt;&lt;record&gt;&lt;rec-number&gt;26&lt;/rec-number&gt;&lt;foreign-keys&gt;&lt;key app="EN" db-id="zrxvexxvx0vtpmeafst5dtv5w2zx9fwa0ffp" timestamp="1753850310"&gt;26&lt;/key&gt;&lt;/foreign-keys&gt;&lt;ref-type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00A73870"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26</w:t>
      </w:r>
      <w:r w:rsidR="00A73870" w:rsidRPr="000F1C2D">
        <w:rPr>
          <w:rFonts w:ascii="Times New Roman" w:hAnsi="Times New Roman" w:cs="Times New Roman"/>
        </w:rPr>
        <w:fldChar w:fldCharType="end"/>
      </w:r>
      <w:r w:rsidR="003F153C" w:rsidRPr="000F1C2D">
        <w:rPr>
          <w:rFonts w:ascii="Times New Roman" w:hAnsi="Times New Roman" w:cs="Times New Roman"/>
        </w:rPr>
        <w:t xml:space="preserve">. </w:t>
      </w:r>
      <w:r w:rsidR="00A73870" w:rsidRPr="000F1C2D">
        <w:rPr>
          <w:rFonts w:ascii="Times New Roman" w:hAnsi="Times New Roman" w:cs="Times New Roman"/>
        </w:rPr>
        <w:t xml:space="preserve">Mô hình nghiên cứu của chúng tôi chỉ chứa </w:t>
      </w:r>
      <w:r w:rsidR="00945D30" w:rsidRPr="000F1C2D">
        <w:rPr>
          <w:rFonts w:ascii="Times New Roman" w:hAnsi="Times New Roman" w:cs="Times New Roman"/>
        </w:rPr>
        <w:t>ba</w:t>
      </w:r>
      <w:r w:rsidR="00A73870" w:rsidRPr="000F1C2D">
        <w:rPr>
          <w:rFonts w:ascii="Times New Roman" w:hAnsi="Times New Roman" w:cs="Times New Roman"/>
        </w:rPr>
        <w:t xml:space="preserve"> cấu trúc. Do đó, kích thước mẫ</w:t>
      </w:r>
      <w:r w:rsidR="00945D30" w:rsidRPr="000F1C2D">
        <w:rPr>
          <w:rFonts w:ascii="Times New Roman" w:hAnsi="Times New Roman" w:cs="Times New Roman"/>
        </w:rPr>
        <w:t>u là 189</w:t>
      </w:r>
      <w:r w:rsidR="00A73870" w:rsidRPr="000F1C2D">
        <w:rPr>
          <w:rFonts w:ascii="Times New Roman" w:hAnsi="Times New Roman" w:cs="Times New Roman"/>
        </w:rPr>
        <w:t xml:space="preserve"> đáp ứng kích thước mẫu yêu cầu. </w:t>
      </w:r>
    </w:p>
    <w:p w:rsidR="00A73870" w:rsidRPr="000F1C2D" w:rsidRDefault="00A73870"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số </w:t>
      </w:r>
      <w:r w:rsidR="00FA7E7F" w:rsidRPr="000F1C2D">
        <w:rPr>
          <w:rFonts w:ascii="Times New Roman" w:hAnsi="Times New Roman" w:cs="Times New Roman"/>
        </w:rPr>
        <w:t>189</w:t>
      </w:r>
      <w:r w:rsidRPr="000F1C2D">
        <w:rPr>
          <w:rFonts w:ascii="Times New Roman" w:hAnsi="Times New Roman" w:cs="Times New Roman"/>
        </w:rPr>
        <w:t xml:space="preserve"> người được hỏi, </w:t>
      </w:r>
      <w:r w:rsidR="00FA7E7F" w:rsidRPr="000F1C2D">
        <w:rPr>
          <w:rFonts w:ascii="Times New Roman" w:hAnsi="Times New Roman" w:cs="Times New Roman"/>
        </w:rPr>
        <w:t>8</w:t>
      </w:r>
      <w:r w:rsidRPr="000F1C2D">
        <w:rPr>
          <w:rFonts w:ascii="Times New Roman" w:hAnsi="Times New Roman" w:cs="Times New Roman"/>
        </w:rPr>
        <w:t xml:space="preserve"> người tự nhận mình là giám đố</w:t>
      </w:r>
      <w:r w:rsidR="00FA7E7F" w:rsidRPr="000F1C2D">
        <w:rPr>
          <w:rFonts w:ascii="Times New Roman" w:hAnsi="Times New Roman" w:cs="Times New Roman"/>
        </w:rPr>
        <w:t>c, 13</w:t>
      </w:r>
      <w:r w:rsidRPr="000F1C2D">
        <w:rPr>
          <w:rFonts w:ascii="Times New Roman" w:hAnsi="Times New Roman" w:cs="Times New Roman"/>
        </w:rPr>
        <w:t xml:space="preserve"> người là phó giám đốc, </w:t>
      </w:r>
      <w:r w:rsidR="00FA7E7F" w:rsidRPr="000F1C2D">
        <w:rPr>
          <w:rFonts w:ascii="Times New Roman" w:hAnsi="Times New Roman" w:cs="Times New Roman"/>
        </w:rPr>
        <w:t xml:space="preserve">122 người là trưởng/ phó phòng </w:t>
      </w:r>
      <w:r w:rsidRPr="000F1C2D">
        <w:rPr>
          <w:rFonts w:ascii="Times New Roman" w:hAnsi="Times New Roman" w:cs="Times New Roman"/>
        </w:rPr>
        <w:t xml:space="preserve">và </w:t>
      </w:r>
      <w:r w:rsidR="00FA7E7F" w:rsidRPr="000F1C2D">
        <w:rPr>
          <w:rFonts w:ascii="Times New Roman" w:hAnsi="Times New Roman" w:cs="Times New Roman"/>
        </w:rPr>
        <w:t>46 người</w:t>
      </w:r>
      <w:r w:rsidRPr="000F1C2D">
        <w:rPr>
          <w:rFonts w:ascii="Times New Roman" w:hAnsi="Times New Roman" w:cs="Times New Roman"/>
        </w:rPr>
        <w:t xml:space="preserve"> ở các vị trí quản lý khác. Tất cả những người được khảo sát đều có ít nhất ba năm kinh nghiệm quản lý, trong đó một tỷ lệ đáng kể</w:t>
      </w:r>
      <w:r w:rsidR="00FA7E7F" w:rsidRPr="000F1C2D">
        <w:rPr>
          <w:rFonts w:ascii="Times New Roman" w:hAnsi="Times New Roman" w:cs="Times New Roman"/>
        </w:rPr>
        <w:t xml:space="preserve"> (64,0</w:t>
      </w:r>
      <w:r w:rsidRPr="000F1C2D">
        <w:rPr>
          <w:rFonts w:ascii="Times New Roman" w:hAnsi="Times New Roman" w:cs="Times New Roman"/>
        </w:rPr>
        <w:t>%) có hơn năm năm kinh nghiệm ở các vị</w:t>
      </w:r>
      <w:r w:rsidR="00FA7E7F" w:rsidRPr="000F1C2D">
        <w:rPr>
          <w:rFonts w:ascii="Times New Roman" w:hAnsi="Times New Roman" w:cs="Times New Roman"/>
        </w:rPr>
        <w:t xml:space="preserve"> trí quản lý</w:t>
      </w:r>
      <w:r w:rsidRPr="000F1C2D">
        <w:rPr>
          <w:rFonts w:ascii="Times New Roman" w:hAnsi="Times New Roman" w:cs="Times New Roman"/>
        </w:rPr>
        <w:t>.</w:t>
      </w:r>
      <w:r w:rsidR="009900DE" w:rsidRPr="000F1C2D">
        <w:rPr>
          <w:rFonts w:ascii="Times New Roman" w:hAnsi="Times New Roman" w:cs="Times New Roman"/>
        </w:rPr>
        <w:t xml:space="preserve"> </w:t>
      </w:r>
      <w:r w:rsidRPr="000F1C2D">
        <w:rPr>
          <w:rFonts w:ascii="Times New Roman" w:hAnsi="Times New Roman" w:cs="Times New Roman"/>
        </w:rPr>
        <w:t>Bả</w:t>
      </w:r>
      <w:r w:rsidR="00831E86" w:rsidRPr="000F1C2D">
        <w:rPr>
          <w:rFonts w:ascii="Times New Roman" w:hAnsi="Times New Roman" w:cs="Times New Roman"/>
        </w:rPr>
        <w:t>ng 2</w:t>
      </w:r>
      <w:r w:rsidR="00FA7E7F" w:rsidRPr="000F1C2D">
        <w:rPr>
          <w:rFonts w:ascii="Times New Roman" w:hAnsi="Times New Roman" w:cs="Times New Roman"/>
        </w:rPr>
        <w:t xml:space="preserve"> trình bày</w:t>
      </w:r>
      <w:r w:rsidRPr="000F1C2D">
        <w:rPr>
          <w:rFonts w:ascii="Times New Roman" w:hAnsi="Times New Roman" w:cs="Times New Roman"/>
        </w:rPr>
        <w:t xml:space="preserve"> các đặc điểm </w:t>
      </w:r>
      <w:r w:rsidR="00FA7E7F" w:rsidRPr="000F1C2D">
        <w:rPr>
          <w:rFonts w:ascii="Times New Roman" w:hAnsi="Times New Roman" w:cs="Times New Roman"/>
        </w:rPr>
        <w:t xml:space="preserve">của </w:t>
      </w:r>
      <w:r w:rsidRPr="000F1C2D">
        <w:rPr>
          <w:rFonts w:ascii="Times New Roman" w:hAnsi="Times New Roman" w:cs="Times New Roman"/>
        </w:rPr>
        <w:t xml:space="preserve">mẫu. </w:t>
      </w:r>
      <w:r w:rsidR="00FA7E7F" w:rsidRPr="000F1C2D">
        <w:rPr>
          <w:rFonts w:ascii="Times New Roman" w:hAnsi="Times New Roman" w:cs="Times New Roman"/>
        </w:rPr>
        <w:t>42,9</w:t>
      </w:r>
      <w:r w:rsidRPr="000F1C2D">
        <w:rPr>
          <w:rFonts w:ascii="Times New Roman" w:hAnsi="Times New Roman" w:cs="Times New Roman"/>
        </w:rPr>
        <w:t xml:space="preserve">% </w:t>
      </w:r>
      <w:r w:rsidR="003F153C" w:rsidRPr="000F1C2D">
        <w:rPr>
          <w:rFonts w:ascii="Times New Roman" w:hAnsi="Times New Roman" w:cs="Times New Roman"/>
          <w:lang w:val="vi-VN"/>
        </w:rPr>
        <w:t xml:space="preserve">doanh nghiệp </w:t>
      </w:r>
      <w:r w:rsidRPr="000F1C2D">
        <w:rPr>
          <w:rFonts w:ascii="Times New Roman" w:hAnsi="Times New Roman" w:cs="Times New Roman"/>
        </w:rPr>
        <w:t>trong mẫu có ít hơn 200 nhân viên. Khoảng hơn hai phần ba trong số</w:t>
      </w:r>
      <w:r w:rsidR="00FA7E7F" w:rsidRPr="000F1C2D">
        <w:rPr>
          <w:rFonts w:ascii="Times New Roman" w:hAnsi="Times New Roman" w:cs="Times New Roman"/>
        </w:rPr>
        <w:t xml:space="preserve"> 189</w:t>
      </w:r>
      <w:r w:rsidRPr="000F1C2D">
        <w:rPr>
          <w:rFonts w:ascii="Times New Roman" w:hAnsi="Times New Roman" w:cs="Times New Roman"/>
        </w:rPr>
        <w:t xml:space="preserve"> công ty có doanh thu năm 2024 từ 200 tỷ đến 500 tỷ</w:t>
      </w:r>
      <w:r w:rsidR="00FA7E7F" w:rsidRPr="000F1C2D">
        <w:rPr>
          <w:rFonts w:ascii="Times New Roman" w:hAnsi="Times New Roman" w:cs="Times New Roman"/>
        </w:rPr>
        <w:t xml:space="preserve"> đồng</w:t>
      </w:r>
    </w:p>
    <w:p w:rsidR="00A73870" w:rsidRPr="000F1C2D" w:rsidRDefault="0070165C" w:rsidP="000B7499">
      <w:pPr>
        <w:spacing w:after="0" w:line="312" w:lineRule="auto"/>
        <w:jc w:val="both"/>
        <w:rPr>
          <w:rFonts w:ascii="Times New Roman" w:hAnsi="Times New Roman" w:cs="Times New Roman"/>
          <w:b/>
        </w:rPr>
      </w:pPr>
      <w:r w:rsidRPr="000F1C2D">
        <w:rPr>
          <w:rFonts w:ascii="Times New Roman" w:hAnsi="Times New Roman" w:cs="Times New Roman"/>
          <w:b/>
        </w:rPr>
        <w:t xml:space="preserve">Bảng </w:t>
      </w:r>
      <w:r w:rsidR="00831E86" w:rsidRPr="000F1C2D">
        <w:rPr>
          <w:rFonts w:ascii="Times New Roman" w:hAnsi="Times New Roman" w:cs="Times New Roman"/>
          <w:b/>
        </w:rPr>
        <w:t>2</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Đặc điểm mẫu khảo sát</w:t>
      </w:r>
    </w:p>
    <w:tbl>
      <w:tblPr>
        <w:tblStyle w:val="TableGrid"/>
        <w:tblW w:w="0" w:type="auto"/>
        <w:jc w:val="center"/>
        <w:tblLook w:val="04A0" w:firstRow="1" w:lastRow="0" w:firstColumn="1" w:lastColumn="0" w:noHBand="0" w:noVBand="1"/>
      </w:tblPr>
      <w:tblGrid>
        <w:gridCol w:w="2021"/>
        <w:gridCol w:w="1241"/>
        <w:gridCol w:w="1048"/>
      </w:tblGrid>
      <w:tr w:rsidR="00A73870" w:rsidRPr="000F1C2D" w:rsidTr="002B6E21">
        <w:trPr>
          <w:jc w:val="center"/>
        </w:trPr>
        <w:tc>
          <w:tcPr>
            <w:tcW w:w="3539"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Đặc trưng</w:t>
            </w:r>
          </w:p>
        </w:tc>
        <w:tc>
          <w:tcPr>
            <w:tcW w:w="1841"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Số lượng</w:t>
            </w:r>
          </w:p>
        </w:tc>
        <w:tc>
          <w:tcPr>
            <w:tcW w:w="1417"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Tỷ lệ</w:t>
            </w:r>
          </w:p>
        </w:tc>
      </w:tr>
      <w:tr w:rsidR="00A73870" w:rsidRPr="000F1C2D" w:rsidTr="002B6E21">
        <w:trPr>
          <w:jc w:val="center"/>
        </w:trPr>
        <w:tc>
          <w:tcPr>
            <w:tcW w:w="3539" w:type="dxa"/>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Chức vụ</w:t>
            </w:r>
            <w:r w:rsidR="00FA7E7F" w:rsidRPr="000F1C2D">
              <w:rPr>
                <w:rFonts w:ascii="Times New Roman" w:hAnsi="Times New Roman" w:cs="Times New Roman"/>
                <w:b/>
              </w:rPr>
              <w:t xml:space="preserve"> trong công ty</w:t>
            </w:r>
          </w:p>
        </w:tc>
        <w:tc>
          <w:tcPr>
            <w:tcW w:w="1841" w:type="dxa"/>
          </w:tcPr>
          <w:p w:rsidR="00A73870" w:rsidRPr="000F1C2D" w:rsidRDefault="00A73870" w:rsidP="003F153C">
            <w:pPr>
              <w:spacing w:line="312" w:lineRule="auto"/>
              <w:jc w:val="both"/>
              <w:rPr>
                <w:rFonts w:ascii="Times New Roman" w:hAnsi="Times New Roman" w:cs="Times New Roman"/>
              </w:rPr>
            </w:pPr>
          </w:p>
        </w:tc>
        <w:tc>
          <w:tcPr>
            <w:tcW w:w="1417" w:type="dxa"/>
          </w:tcPr>
          <w:p w:rsidR="00A73870" w:rsidRPr="000F1C2D" w:rsidRDefault="00A73870" w:rsidP="003F153C">
            <w:pPr>
              <w:spacing w:line="312" w:lineRule="auto"/>
              <w:jc w:val="both"/>
              <w:rPr>
                <w:rFonts w:ascii="Times New Roman" w:hAnsi="Times New Roman" w:cs="Times New Roman"/>
              </w:rPr>
            </w:pP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Giám đốc</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8</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4,2%</w:t>
            </w: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Phó giám đốc</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6,9%</w:t>
            </w: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Trưởng/ phó phòng</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122</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64,6%</w:t>
            </w: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Vị trí quản lý khác</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46</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24,3%</w:t>
            </w:r>
          </w:p>
        </w:tc>
      </w:tr>
      <w:tr w:rsidR="00A73870" w:rsidRPr="000F1C2D" w:rsidTr="002B6E21">
        <w:trPr>
          <w:jc w:val="center"/>
        </w:trPr>
        <w:tc>
          <w:tcPr>
            <w:tcW w:w="3539" w:type="dxa"/>
            <w:vAlign w:val="center"/>
          </w:tcPr>
          <w:p w:rsidR="00A73870" w:rsidRPr="000F1C2D" w:rsidRDefault="002B6E21" w:rsidP="003F153C">
            <w:pPr>
              <w:spacing w:line="312" w:lineRule="auto"/>
              <w:jc w:val="both"/>
              <w:rPr>
                <w:rFonts w:ascii="Times New Roman" w:hAnsi="Times New Roman" w:cs="Times New Roman"/>
                <w:b/>
              </w:rPr>
            </w:pPr>
            <w:r w:rsidRPr="000F1C2D">
              <w:rPr>
                <w:rFonts w:ascii="Times New Roman" w:hAnsi="Times New Roman" w:cs="Times New Roman"/>
                <w:b/>
                <w:lang w:val="vi-VN"/>
              </w:rPr>
              <w:t>Kinh nghiệm</w:t>
            </w:r>
            <w:r w:rsidR="00A73870" w:rsidRPr="000F1C2D">
              <w:rPr>
                <w:rFonts w:ascii="Times New Roman" w:hAnsi="Times New Roman" w:cs="Times New Roman"/>
                <w:b/>
              </w:rPr>
              <w:t xml:space="preserve"> quản lý</w:t>
            </w:r>
          </w:p>
        </w:tc>
        <w:tc>
          <w:tcPr>
            <w:tcW w:w="1841" w:type="dxa"/>
            <w:vAlign w:val="bottom"/>
          </w:tcPr>
          <w:p w:rsidR="00A73870" w:rsidRPr="000F1C2D" w:rsidRDefault="00A73870" w:rsidP="003F153C">
            <w:pPr>
              <w:spacing w:line="312" w:lineRule="auto"/>
              <w:jc w:val="both"/>
              <w:rPr>
                <w:rFonts w:ascii="Times New Roman" w:hAnsi="Times New Roman" w:cs="Times New Roman"/>
              </w:rPr>
            </w:pP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2B6E21">
        <w:trPr>
          <w:jc w:val="center"/>
        </w:trPr>
        <w:tc>
          <w:tcPr>
            <w:tcW w:w="3539"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3 năm đến 5 năm</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68</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2B6E21">
        <w:trPr>
          <w:jc w:val="center"/>
        </w:trPr>
        <w:tc>
          <w:tcPr>
            <w:tcW w:w="3539"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 năm</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121</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64,0%</w:t>
            </w:r>
          </w:p>
        </w:tc>
      </w:tr>
      <w:tr w:rsidR="00A73870" w:rsidRPr="000F1C2D" w:rsidTr="002B6E21">
        <w:trPr>
          <w:jc w:val="center"/>
        </w:trPr>
        <w:tc>
          <w:tcPr>
            <w:tcW w:w="3539"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 xml:space="preserve">Tổng số lao động </w:t>
            </w:r>
          </w:p>
        </w:tc>
        <w:tc>
          <w:tcPr>
            <w:tcW w:w="1841" w:type="dxa"/>
            <w:vAlign w:val="bottom"/>
          </w:tcPr>
          <w:p w:rsidR="00A73870" w:rsidRPr="000F1C2D" w:rsidRDefault="00A73870" w:rsidP="003F153C">
            <w:pPr>
              <w:spacing w:line="312" w:lineRule="auto"/>
              <w:jc w:val="both"/>
              <w:rPr>
                <w:rFonts w:ascii="Times New Roman" w:hAnsi="Times New Roman" w:cs="Times New Roman"/>
              </w:rPr>
            </w:pP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2B6E21">
        <w:trPr>
          <w:jc w:val="center"/>
        </w:trPr>
        <w:tc>
          <w:tcPr>
            <w:tcW w:w="3539" w:type="dxa"/>
            <w:vAlign w:val="center"/>
          </w:tcPr>
          <w:p w:rsidR="00B3699E" w:rsidRPr="000F1C2D" w:rsidRDefault="00B3699E" w:rsidP="002B6E21">
            <w:pPr>
              <w:spacing w:line="312" w:lineRule="auto"/>
              <w:rPr>
                <w:rFonts w:ascii="Times New Roman" w:hAnsi="Times New Roman" w:cs="Times New Roman"/>
              </w:rPr>
            </w:pPr>
            <w:r w:rsidRPr="000F1C2D">
              <w:rPr>
                <w:rFonts w:ascii="Times New Roman" w:hAnsi="Times New Roman" w:cs="Times New Roman"/>
              </w:rPr>
              <w:lastRenderedPageBreak/>
              <w:t>Từ 1 đến 200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81</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42,9%</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201 đến 500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55</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29,1%</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401 đến 600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20</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10,6%</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601 đến 800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6,9%</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801 đến 1000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3,2%</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1000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14</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7,4%</w:t>
            </w:r>
          </w:p>
        </w:tc>
      </w:tr>
      <w:tr w:rsidR="00A73870" w:rsidRPr="000F1C2D" w:rsidTr="002B6E21">
        <w:trPr>
          <w:jc w:val="center"/>
        </w:trPr>
        <w:tc>
          <w:tcPr>
            <w:tcW w:w="3539"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 xml:space="preserve">Doanh số năm 2024 </w:t>
            </w:r>
          </w:p>
        </w:tc>
        <w:tc>
          <w:tcPr>
            <w:tcW w:w="1841" w:type="dxa"/>
            <w:vAlign w:val="bottom"/>
          </w:tcPr>
          <w:p w:rsidR="00A73870" w:rsidRPr="000F1C2D" w:rsidRDefault="00A73870" w:rsidP="003F153C">
            <w:pPr>
              <w:spacing w:line="312" w:lineRule="auto"/>
              <w:jc w:val="both"/>
              <w:rPr>
                <w:rFonts w:ascii="Times New Roman" w:hAnsi="Times New Roman" w:cs="Times New Roman"/>
              </w:rPr>
            </w:pP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 tỷ đồng hoặc ít hơn</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4</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2,1%</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 tỷ đồng đến 200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26</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13,8%</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200 tỷ đồng đến 300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68</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300 tỷ đồng đến 500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75</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39,7%</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16</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8,5%</w:t>
            </w:r>
          </w:p>
        </w:tc>
      </w:tr>
    </w:tbl>
    <w:p w:rsidR="00A73870" w:rsidRPr="000F1C2D" w:rsidRDefault="00DC6DA2" w:rsidP="002B6E21">
      <w:pPr>
        <w:widowControl w:val="0"/>
        <w:spacing w:after="0" w:line="312" w:lineRule="auto"/>
        <w:ind w:firstLine="567"/>
        <w:jc w:val="right"/>
        <w:rPr>
          <w:rFonts w:ascii="Times New Roman" w:hAnsi="Times New Roman" w:cs="Times New Roman"/>
          <w:bCs/>
          <w:i/>
          <w:lang w:val="vi-VN"/>
        </w:rPr>
      </w:pPr>
      <w:r w:rsidRPr="000F1C2D">
        <w:rPr>
          <w:rFonts w:ascii="Times New Roman" w:hAnsi="Times New Roman" w:cs="Times New Roman"/>
          <w:bCs/>
          <w:i/>
          <w:lang w:val="vi-VN"/>
        </w:rPr>
        <w:t>Nguồn: Nhóm tác giả tổng hợp</w:t>
      </w:r>
    </w:p>
    <w:p w:rsidR="00514A08" w:rsidRPr="000F1C2D" w:rsidRDefault="00514A08" w:rsidP="00AD61DB">
      <w:pPr>
        <w:spacing w:after="0" w:line="312" w:lineRule="auto"/>
        <w:jc w:val="both"/>
        <w:rPr>
          <w:rFonts w:ascii="Times New Roman" w:hAnsi="Times New Roman" w:cs="Times New Roman"/>
          <w:b/>
        </w:rPr>
      </w:pPr>
      <w:r w:rsidRPr="000F1C2D">
        <w:rPr>
          <w:rFonts w:ascii="Times New Roman" w:hAnsi="Times New Roman" w:cs="Times New Roman"/>
          <w:b/>
        </w:rPr>
        <w:t>4.</w:t>
      </w:r>
      <w:r w:rsidR="00AD61DB" w:rsidRPr="000F1C2D">
        <w:rPr>
          <w:rFonts w:ascii="Times New Roman" w:hAnsi="Times New Roman" w:cs="Times New Roman"/>
          <w:b/>
          <w:lang w:val="vi-VN"/>
        </w:rPr>
        <w:t xml:space="preserve"> Kết quả nghiên cứu</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Sau khi thu thập dữ liệu, tác giả tiến hành đánh giá lại mô hình đo lường và mô hình cấu trúc trên phần mềm SmartPLS 4. </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t>4</w:t>
      </w:r>
      <w:r w:rsidRPr="000F1C2D">
        <w:rPr>
          <w:rFonts w:ascii="Times New Roman" w:hAnsi="Times New Roman" w:cs="Times New Roman"/>
          <w:b/>
          <w:i/>
        </w:rPr>
        <w:t>.1. Kết quả đánh giá mô hình đo lường</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Đánh giá mô hình đo lường tập trung vào đánh giá độ tin cậy của biến quan sát, độ tin cậy Cronbach’s Alpha, độ tin cậy tổng hợp, giá trị hội tụ và giá trị phân biệt.</w:t>
      </w:r>
    </w:p>
    <w:p w:rsidR="00514A08" w:rsidRPr="000F1C2D" w:rsidRDefault="00514A08" w:rsidP="000B7499">
      <w:pPr>
        <w:spacing w:after="0" w:line="312" w:lineRule="auto"/>
        <w:ind w:firstLine="567"/>
        <w:jc w:val="both"/>
        <w:rPr>
          <w:rFonts w:ascii="Times New Roman" w:hAnsi="Times New Roman" w:cs="Times New Roman"/>
        </w:rPr>
      </w:pPr>
      <w:r w:rsidRPr="000F1C2D">
        <w:rPr>
          <w:rFonts w:ascii="Times New Roman" w:hAnsi="Times New Roman" w:cs="Times New Roman"/>
        </w:rPr>
        <w:t>Đầu tiên, bả</w:t>
      </w:r>
      <w:r w:rsidR="00831E86" w:rsidRPr="000F1C2D">
        <w:rPr>
          <w:rFonts w:ascii="Times New Roman" w:hAnsi="Times New Roman" w:cs="Times New Roman"/>
        </w:rPr>
        <w:t xml:space="preserve">ng </w:t>
      </w:r>
      <w:r w:rsidR="00831E86" w:rsidRPr="000F1C2D">
        <w:rPr>
          <w:rFonts w:ascii="Times New Roman" w:hAnsi="Times New Roman" w:cs="Times New Roman"/>
          <w:lang w:val="vi-VN"/>
        </w:rPr>
        <w:t>3</w:t>
      </w:r>
      <w:r w:rsidRPr="000F1C2D">
        <w:rPr>
          <w:rFonts w:ascii="Times New Roman" w:hAnsi="Times New Roman" w:cs="Times New Roman"/>
        </w:rPr>
        <w:t xml:space="preserve"> thể hiện kết quả đánh độ tin cậy và giá trị hội tụ của thang đo. Kết quả cho thấy tất cả các biến quan sát trong nghiên cứu đều có hệ số tải ngoài lớn hơn 0,7. Do đó các biến này đều có ý nghĩa trong nghiên cứu. Độ tin cậy tổng hợp </w:t>
      </w:r>
      <w:r w:rsidRPr="000F1C2D">
        <w:rPr>
          <w:rFonts w:ascii="Times New Roman" w:hAnsi="Times New Roman" w:cs="Times New Roman"/>
          <w:lang w:val="vi-VN"/>
        </w:rPr>
        <w:t>(</w:t>
      </w:r>
      <w:r w:rsidRPr="000F1C2D">
        <w:rPr>
          <w:rFonts w:ascii="Times New Roman" w:hAnsi="Times New Roman" w:cs="Times New Roman"/>
        </w:rPr>
        <w:t>CR) của các biến đều vượt ngưỡng tối thiểu 0,70, cụ thể dao động từ</w:t>
      </w:r>
      <w:r w:rsidR="00556C97" w:rsidRPr="000F1C2D">
        <w:rPr>
          <w:rFonts w:ascii="Times New Roman" w:hAnsi="Times New Roman" w:cs="Times New Roman"/>
        </w:rPr>
        <w:t xml:space="preserve"> 0,</w:t>
      </w:r>
      <w:r w:rsidR="00556C97" w:rsidRPr="000F1C2D">
        <w:rPr>
          <w:rFonts w:ascii="Times New Roman" w:hAnsi="Times New Roman" w:cs="Times New Roman"/>
          <w:lang w:val="vi-VN"/>
        </w:rPr>
        <w:t>882</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920</w:t>
      </w:r>
      <w:r w:rsidRPr="000F1C2D">
        <w:rPr>
          <w:rFonts w:ascii="Times New Roman" w:hAnsi="Times New Roman" w:cs="Times New Roman"/>
        </w:rPr>
        <w:t xml:space="preserve">. Đồng thời, các hệ số Cronbach’s Alpha (CA) cũng đều </w:t>
      </w:r>
      <w:r w:rsidRPr="000F1C2D">
        <w:rPr>
          <w:rFonts w:ascii="Times New Roman" w:hAnsi="Times New Roman" w:cs="Times New Roman"/>
        </w:rPr>
        <w:lastRenderedPageBreak/>
        <w:t>lớn hơn mức yêu cầu tối thiểu 0,70 với giá trị dao động từ</w:t>
      </w:r>
      <w:r w:rsidR="00556C97" w:rsidRPr="000F1C2D">
        <w:rPr>
          <w:rFonts w:ascii="Times New Roman" w:hAnsi="Times New Roman" w:cs="Times New Roman"/>
        </w:rPr>
        <w:t xml:space="preserve"> 0,</w:t>
      </w:r>
      <w:r w:rsidR="00556C97" w:rsidRPr="000F1C2D">
        <w:rPr>
          <w:rFonts w:ascii="Times New Roman" w:hAnsi="Times New Roman" w:cs="Times New Roman"/>
          <w:lang w:val="vi-VN"/>
        </w:rPr>
        <w:t>821</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898</w:t>
      </w:r>
      <w:r w:rsidRPr="000F1C2D">
        <w:rPr>
          <w:rFonts w:ascii="Times New Roman" w:hAnsi="Times New Roman" w:cs="Times New Roman"/>
        </w:rPr>
        <w:t>. Điều này cho thấy các thang đo sử dụng trong nghiên cứu đạt độ tin cậy cao</w:t>
      </w:r>
      <w:r w:rsidR="0019447F"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19447F"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27</w:t>
      </w:r>
      <w:r w:rsidR="0019447F" w:rsidRPr="000F1C2D">
        <w:rPr>
          <w:rFonts w:ascii="Times New Roman" w:hAnsi="Times New Roman" w:cs="Times New Roman"/>
        </w:rPr>
        <w:fldChar w:fldCharType="end"/>
      </w:r>
      <w:r w:rsidRPr="000F1C2D">
        <w:rPr>
          <w:rFonts w:ascii="Times New Roman" w:hAnsi="Times New Roman" w:cs="Times New Roman"/>
        </w:rPr>
        <w:t>. Bên cạnh đó, hệ số tải ngoài đều lớn hơn ngưỡng 0,70, nằm trong khoảng từ 0,</w:t>
      </w:r>
      <w:r w:rsidR="00556C97" w:rsidRPr="000F1C2D">
        <w:rPr>
          <w:rFonts w:ascii="Times New Roman" w:hAnsi="Times New Roman" w:cs="Times New Roman"/>
          <w:lang w:val="vi-VN"/>
        </w:rPr>
        <w:t>710</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877</w:t>
      </w:r>
      <w:r w:rsidR="0019447F"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19447F"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28</w:t>
      </w:r>
      <w:r w:rsidR="0019447F" w:rsidRPr="000F1C2D">
        <w:rPr>
          <w:rFonts w:ascii="Times New Roman" w:hAnsi="Times New Roman" w:cs="Times New Roman"/>
          <w:lang w:val="vi-VN"/>
        </w:rPr>
        <w:fldChar w:fldCharType="end"/>
      </w:r>
      <w:r w:rsidRPr="000F1C2D">
        <w:rPr>
          <w:rFonts w:ascii="Times New Roman" w:hAnsi="Times New Roman" w:cs="Times New Roman"/>
        </w:rPr>
        <w:t>. Và giá trị phương sai trích bình quân (AVE) cao hơn ngưỡng tối thiểu 0,50 (dao động từ 0,</w:t>
      </w:r>
      <w:r w:rsidR="00556C97" w:rsidRPr="000F1C2D">
        <w:rPr>
          <w:rFonts w:ascii="Times New Roman" w:hAnsi="Times New Roman" w:cs="Times New Roman"/>
          <w:lang w:val="vi-VN"/>
        </w:rPr>
        <w:t>653</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687</w:t>
      </w:r>
      <w:r w:rsidRPr="000F1C2D">
        <w:rPr>
          <w:rFonts w:ascii="Times New Roman" w:hAnsi="Times New Roman" w:cs="Times New Roman"/>
        </w:rPr>
        <w:t xml:space="preserve">) (Chin, 2010; Hair &amp; công sự., 2017). Do đó, có thể kết luận rằng thang đo cho các biến nghiên cứu có đầy đủ giá trị hội tụ. </w:t>
      </w:r>
    </w:p>
    <w:p w:rsidR="00514A08" w:rsidRPr="000F1C2D" w:rsidRDefault="00514A08" w:rsidP="000B7499">
      <w:pPr>
        <w:spacing w:after="0" w:line="312" w:lineRule="auto"/>
        <w:jc w:val="both"/>
        <w:rPr>
          <w:rFonts w:ascii="Times New Roman" w:hAnsi="Times New Roman" w:cs="Times New Roman"/>
          <w:b/>
        </w:rPr>
      </w:pPr>
      <w:r w:rsidRPr="000F1C2D">
        <w:rPr>
          <w:rFonts w:ascii="Times New Roman" w:hAnsi="Times New Roman" w:cs="Times New Roman"/>
          <w:b/>
        </w:rPr>
        <w:t>Bả</w:t>
      </w:r>
      <w:r w:rsidR="00831E86" w:rsidRPr="000F1C2D">
        <w:rPr>
          <w:rFonts w:ascii="Times New Roman" w:hAnsi="Times New Roman" w:cs="Times New Roman"/>
          <w:b/>
        </w:rPr>
        <w:t xml:space="preserve">ng </w:t>
      </w:r>
      <w:r w:rsidR="00831E86" w:rsidRPr="000F1C2D">
        <w:rPr>
          <w:rFonts w:ascii="Times New Roman" w:hAnsi="Times New Roman" w:cs="Times New Roman"/>
          <w:b/>
          <w:lang w:val="vi-VN"/>
        </w:rPr>
        <w:t>3</w:t>
      </w:r>
      <w:r w:rsidRPr="000F1C2D">
        <w:rPr>
          <w:rFonts w:ascii="Times New Roman" w:hAnsi="Times New Roman" w:cs="Times New Roman"/>
          <w:b/>
        </w:rPr>
        <w:t xml:space="preserve">. </w:t>
      </w:r>
      <w:r w:rsidRPr="000B7499">
        <w:rPr>
          <w:rFonts w:ascii="Times New Roman" w:hAnsi="Times New Roman" w:cs="Times New Roman"/>
        </w:rPr>
        <w:t>Đánh giá độ tin cậy và giá trị hội tụ của thang đo</w:t>
      </w:r>
    </w:p>
    <w:tbl>
      <w:tblPr>
        <w:tblStyle w:val="TableGrid"/>
        <w:tblW w:w="4815" w:type="dxa"/>
        <w:tblLayout w:type="fixed"/>
        <w:tblLook w:val="04A0" w:firstRow="1" w:lastRow="0" w:firstColumn="1" w:lastColumn="0" w:noHBand="0" w:noVBand="1"/>
      </w:tblPr>
      <w:tblGrid>
        <w:gridCol w:w="779"/>
        <w:gridCol w:w="1484"/>
        <w:gridCol w:w="851"/>
        <w:gridCol w:w="850"/>
        <w:gridCol w:w="851"/>
      </w:tblGrid>
      <w:tr w:rsidR="000B7499" w:rsidRPr="000F1C2D" w:rsidTr="004E7565">
        <w:tc>
          <w:tcPr>
            <w:tcW w:w="779"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Thang đo</w:t>
            </w:r>
          </w:p>
        </w:tc>
        <w:tc>
          <w:tcPr>
            <w:tcW w:w="1484"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Hệ số tải ngoài</w:t>
            </w:r>
          </w:p>
        </w:tc>
        <w:tc>
          <w:tcPr>
            <w:tcW w:w="851"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CA</w:t>
            </w:r>
          </w:p>
        </w:tc>
        <w:tc>
          <w:tcPr>
            <w:tcW w:w="850"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CR</w:t>
            </w:r>
          </w:p>
        </w:tc>
        <w:tc>
          <w:tcPr>
            <w:tcW w:w="851"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AVE</w:t>
            </w:r>
          </w:p>
        </w:tc>
      </w:tr>
      <w:tr w:rsidR="000B7499" w:rsidRPr="000F1C2D" w:rsidTr="004E7565">
        <w:tc>
          <w:tcPr>
            <w:tcW w:w="779"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SCV</w:t>
            </w:r>
          </w:p>
        </w:tc>
        <w:tc>
          <w:tcPr>
            <w:tcW w:w="1484"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945D30" w:rsidRPr="000F1C2D">
              <w:rPr>
                <w:rFonts w:ascii="Times New Roman" w:hAnsi="Times New Roman" w:cs="Times New Roman"/>
                <w:lang w:val="vi-VN"/>
              </w:rPr>
              <w:t>710</w:t>
            </w:r>
            <w:r w:rsidRPr="000F1C2D">
              <w:rPr>
                <w:rFonts w:ascii="Times New Roman" w:hAnsi="Times New Roman" w:cs="Times New Roman"/>
              </w:rPr>
              <w:t xml:space="preserve"> – 0,</w:t>
            </w:r>
            <w:r w:rsidR="00945D30" w:rsidRPr="000F1C2D">
              <w:rPr>
                <w:rFonts w:ascii="Times New Roman" w:hAnsi="Times New Roman" w:cs="Times New Roman"/>
                <w:lang w:val="vi-VN"/>
              </w:rPr>
              <w:t>855</w:t>
            </w:r>
          </w:p>
        </w:tc>
        <w:tc>
          <w:tcPr>
            <w:tcW w:w="851"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898</w:t>
            </w:r>
          </w:p>
        </w:tc>
        <w:tc>
          <w:tcPr>
            <w:tcW w:w="850"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920</w:t>
            </w:r>
          </w:p>
        </w:tc>
        <w:tc>
          <w:tcPr>
            <w:tcW w:w="851" w:type="dxa"/>
            <w:vAlign w:val="bottom"/>
          </w:tcPr>
          <w:p w:rsidR="00514A08" w:rsidRPr="000F1C2D" w:rsidRDefault="00873A68" w:rsidP="00514A08">
            <w:pP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657</w:t>
            </w:r>
          </w:p>
        </w:tc>
      </w:tr>
      <w:tr w:rsidR="000B7499" w:rsidRPr="000F1C2D" w:rsidTr="004E7565">
        <w:tc>
          <w:tcPr>
            <w:tcW w:w="779" w:type="dxa"/>
          </w:tcPr>
          <w:p w:rsidR="00514A08" w:rsidRPr="000F1C2D" w:rsidRDefault="00514A08" w:rsidP="00514A08">
            <w:pPr>
              <w:rPr>
                <w:rFonts w:ascii="Times New Roman" w:hAnsi="Times New Roman" w:cs="Times New Roman"/>
              </w:rPr>
            </w:pPr>
            <w:r w:rsidRPr="000F1C2D">
              <w:rPr>
                <w:rFonts w:ascii="Times New Roman" w:hAnsi="Times New Roman" w:cs="Times New Roman"/>
                <w:lang w:val="vi-VN"/>
              </w:rPr>
              <w:t>SCR</w:t>
            </w:r>
          </w:p>
        </w:tc>
        <w:tc>
          <w:tcPr>
            <w:tcW w:w="1484"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945D30" w:rsidRPr="000F1C2D">
              <w:rPr>
                <w:rFonts w:ascii="Times New Roman" w:hAnsi="Times New Roman" w:cs="Times New Roman"/>
                <w:lang w:val="vi-VN"/>
              </w:rPr>
              <w:t>768</w:t>
            </w:r>
            <w:r w:rsidRPr="000F1C2D">
              <w:rPr>
                <w:rFonts w:ascii="Times New Roman" w:hAnsi="Times New Roman" w:cs="Times New Roman"/>
              </w:rPr>
              <w:t xml:space="preserve"> – 0,</w:t>
            </w:r>
            <w:r w:rsidR="00945D30" w:rsidRPr="000F1C2D">
              <w:rPr>
                <w:rFonts w:ascii="Times New Roman" w:hAnsi="Times New Roman" w:cs="Times New Roman"/>
                <w:lang w:val="vi-VN"/>
              </w:rPr>
              <w:t>862</w:t>
            </w:r>
          </w:p>
        </w:tc>
        <w:tc>
          <w:tcPr>
            <w:tcW w:w="851"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886</w:t>
            </w:r>
          </w:p>
        </w:tc>
        <w:tc>
          <w:tcPr>
            <w:tcW w:w="850"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916</w:t>
            </w:r>
          </w:p>
        </w:tc>
        <w:tc>
          <w:tcPr>
            <w:tcW w:w="851" w:type="dxa"/>
            <w:vAlign w:val="bottom"/>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873A68" w:rsidRPr="000F1C2D">
              <w:rPr>
                <w:rFonts w:ascii="Times New Roman" w:hAnsi="Times New Roman" w:cs="Times New Roman"/>
                <w:lang w:val="vi-VN"/>
              </w:rPr>
              <w:t>687</w:t>
            </w:r>
          </w:p>
        </w:tc>
      </w:tr>
      <w:tr w:rsidR="000B7499" w:rsidRPr="000F1C2D" w:rsidTr="004E7565">
        <w:tc>
          <w:tcPr>
            <w:tcW w:w="779" w:type="dxa"/>
          </w:tcPr>
          <w:p w:rsidR="00514A08" w:rsidRPr="000F1C2D" w:rsidRDefault="00514A08" w:rsidP="00514A08">
            <w:pPr>
              <w:rPr>
                <w:rFonts w:ascii="Times New Roman" w:hAnsi="Times New Roman" w:cs="Times New Roman"/>
              </w:rPr>
            </w:pPr>
            <w:r w:rsidRPr="000F1C2D">
              <w:rPr>
                <w:rFonts w:ascii="Times New Roman" w:hAnsi="Times New Roman" w:cs="Times New Roman"/>
                <w:lang w:val="vi-VN"/>
              </w:rPr>
              <w:t>SCP</w:t>
            </w:r>
          </w:p>
        </w:tc>
        <w:tc>
          <w:tcPr>
            <w:tcW w:w="1484"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945D30" w:rsidRPr="000F1C2D">
              <w:rPr>
                <w:rFonts w:ascii="Times New Roman" w:hAnsi="Times New Roman" w:cs="Times New Roman"/>
                <w:lang w:val="vi-VN"/>
              </w:rPr>
              <w:t>768</w:t>
            </w:r>
            <w:r w:rsidRPr="000F1C2D">
              <w:rPr>
                <w:rFonts w:ascii="Times New Roman" w:hAnsi="Times New Roman" w:cs="Times New Roman"/>
              </w:rPr>
              <w:t xml:space="preserve"> – 0,</w:t>
            </w:r>
            <w:r w:rsidR="00945D30" w:rsidRPr="000F1C2D">
              <w:rPr>
                <w:rFonts w:ascii="Times New Roman" w:hAnsi="Times New Roman" w:cs="Times New Roman"/>
                <w:lang w:val="vi-VN"/>
              </w:rPr>
              <w:t>877</w:t>
            </w:r>
          </w:p>
        </w:tc>
        <w:tc>
          <w:tcPr>
            <w:tcW w:w="851"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821</w:t>
            </w:r>
          </w:p>
        </w:tc>
        <w:tc>
          <w:tcPr>
            <w:tcW w:w="850"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882</w:t>
            </w:r>
          </w:p>
        </w:tc>
        <w:tc>
          <w:tcPr>
            <w:tcW w:w="851" w:type="dxa"/>
            <w:vAlign w:val="bottom"/>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873A68" w:rsidRPr="000F1C2D">
              <w:rPr>
                <w:rFonts w:ascii="Times New Roman" w:hAnsi="Times New Roman" w:cs="Times New Roman"/>
                <w:lang w:val="vi-VN"/>
              </w:rPr>
              <w:t>653</w:t>
            </w: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mềm SmartPLS 4)</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Tiếp theo, </w:t>
      </w:r>
      <w:r w:rsidRPr="000F1C2D">
        <w:rPr>
          <w:rFonts w:ascii="Times New Roman" w:hAnsi="Times New Roman" w:cs="Times New Roman"/>
          <w:lang w:val="vi-VN"/>
        </w:rPr>
        <w:t xml:space="preserve">nhóm </w:t>
      </w:r>
      <w:r w:rsidRPr="000F1C2D">
        <w:rPr>
          <w:rFonts w:ascii="Times New Roman" w:hAnsi="Times New Roman" w:cs="Times New Roman"/>
        </w:rPr>
        <w:t>tác giả đánh tiến hành đánh giá giá trị phân biệt của thang đo bằng tiêu chí Fornell</w:t>
      </w:r>
      <w:r w:rsidRPr="000F1C2D">
        <w:rPr>
          <w:rFonts w:ascii="Times New Roman" w:hAnsi="Times New Roman" w:cs="Times New Roman"/>
        </w:rPr>
        <w:softHyphen/>
        <w:t xml:space="preserve">-Larcker. </w:t>
      </w:r>
      <w:r w:rsidRPr="000F1C2D">
        <w:rPr>
          <w:rFonts w:ascii="Times New Roman" w:hAnsi="Times New Roman" w:cs="Times New Roman"/>
          <w:lang w:val="vi-VN"/>
        </w:rPr>
        <w:t>K</w:t>
      </w:r>
      <w:r w:rsidRPr="000F1C2D">
        <w:rPr>
          <w:rFonts w:ascii="Times New Roman" w:hAnsi="Times New Roman" w:cs="Times New Roman"/>
        </w:rPr>
        <w:t xml:space="preserve">ết quả </w:t>
      </w:r>
      <w:r w:rsidRPr="000F1C2D">
        <w:rPr>
          <w:rFonts w:ascii="Times New Roman" w:hAnsi="Times New Roman" w:cs="Times New Roman"/>
          <w:lang w:val="vi-VN"/>
        </w:rPr>
        <w:t xml:space="preserve">cho </w:t>
      </w:r>
      <w:r w:rsidRPr="000F1C2D">
        <w:rPr>
          <w:rFonts w:ascii="Times New Roman" w:hAnsi="Times New Roman" w:cs="Times New Roman"/>
        </w:rPr>
        <w:t>thấy giá trị căn bậc hai phương sai trích bình quân của các biến đều từ 0,80 trở lên và lớn hơn hệ số tương quan của các biến. Như vậy, các thang đo thỏa mãn các tiêu chí Fornell-Lacker để có được giá trị phân biệt.</w:t>
      </w:r>
    </w:p>
    <w:p w:rsidR="00514A08" w:rsidRPr="000B7499" w:rsidRDefault="00514A08" w:rsidP="000B7499">
      <w:pPr>
        <w:spacing w:after="0" w:line="312" w:lineRule="auto"/>
        <w:jc w:val="both"/>
        <w:rPr>
          <w:rFonts w:ascii="Times New Roman" w:hAnsi="Times New Roman" w:cs="Times New Roman"/>
        </w:rPr>
      </w:pPr>
      <w:r w:rsidRPr="000F1C2D">
        <w:rPr>
          <w:rFonts w:ascii="Times New Roman" w:hAnsi="Times New Roman" w:cs="Times New Roman"/>
          <w:b/>
        </w:rPr>
        <w:t xml:space="preserve">Bảng </w:t>
      </w:r>
      <w:r w:rsidR="00831E86" w:rsidRPr="000F1C2D">
        <w:rPr>
          <w:rFonts w:ascii="Times New Roman" w:hAnsi="Times New Roman" w:cs="Times New Roman"/>
          <w:b/>
          <w:lang w:val="vi-VN"/>
        </w:rPr>
        <w:t>4</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Kết quả đánh giá giá trị phân biệt bằng tiêu chí Fornell-Lacker</w:t>
      </w:r>
    </w:p>
    <w:tbl>
      <w:tblPr>
        <w:tblW w:w="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093"/>
        <w:gridCol w:w="1093"/>
        <w:gridCol w:w="1094"/>
      </w:tblGrid>
      <w:tr w:rsidR="00D72A9B" w:rsidRPr="000F1C2D"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r>
      <w:tr w:rsidR="00D72A9B" w:rsidRPr="000F1C2D"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b/>
              </w:rPr>
            </w:pPr>
            <w:r w:rsidRPr="000F1C2D">
              <w:rPr>
                <w:rFonts w:ascii="Times New Roman" w:hAnsi="Times New Roman" w:cs="Times New Roman"/>
                <w:b/>
              </w:rPr>
              <w:t>0,</w:t>
            </w:r>
            <w:r w:rsidRPr="000F1C2D">
              <w:rPr>
                <w:rFonts w:ascii="Times New Roman" w:hAnsi="Times New Roman" w:cs="Times New Roman"/>
                <w:b/>
                <w:lang w:val="vi-VN"/>
              </w:rPr>
              <w:t>808</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r>
      <w:tr w:rsidR="00D72A9B" w:rsidRPr="000F1C2D" w:rsidTr="001C5D0B">
        <w:trPr>
          <w:trHeight w:val="352"/>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596</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b/>
              </w:rPr>
            </w:pPr>
            <w:r w:rsidRPr="000F1C2D">
              <w:rPr>
                <w:rFonts w:ascii="Times New Roman" w:hAnsi="Times New Roman" w:cs="Times New Roman"/>
                <w:b/>
              </w:rPr>
              <w:t>0,</w:t>
            </w:r>
            <w:r w:rsidRPr="000F1C2D">
              <w:rPr>
                <w:rFonts w:ascii="Times New Roman" w:hAnsi="Times New Roman" w:cs="Times New Roman"/>
                <w:b/>
                <w:lang w:val="vi-VN"/>
              </w:rPr>
              <w:t>829</w:t>
            </w: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r>
      <w:tr w:rsidR="00D72A9B" w:rsidRPr="000F1C2D"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446</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752</w:t>
            </w: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b/>
              </w:rPr>
            </w:pPr>
            <w:r w:rsidRPr="000F1C2D">
              <w:rPr>
                <w:rFonts w:ascii="Times New Roman" w:hAnsi="Times New Roman" w:cs="Times New Roman"/>
                <w:b/>
              </w:rPr>
              <w:t>0,</w:t>
            </w:r>
            <w:r w:rsidRPr="000F1C2D">
              <w:rPr>
                <w:rFonts w:ascii="Times New Roman" w:hAnsi="Times New Roman" w:cs="Times New Roman"/>
                <w:b/>
                <w:lang w:val="vi-VN"/>
              </w:rPr>
              <w:t>810</w:t>
            </w: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mềm SmartPLS 4)</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Cuối cùng, tác giả cũng tiếp tục đánh giá giá trị phân biệt của thang đo bằng cách sử dụng hệ số HTMT. Bảng </w:t>
      </w:r>
      <w:r w:rsidR="00831E86" w:rsidRPr="000F1C2D">
        <w:rPr>
          <w:rFonts w:ascii="Times New Roman" w:hAnsi="Times New Roman" w:cs="Times New Roman"/>
          <w:lang w:val="vi-VN"/>
        </w:rPr>
        <w:t>5</w:t>
      </w:r>
      <w:r w:rsidRPr="000F1C2D">
        <w:rPr>
          <w:rFonts w:ascii="Times New Roman" w:hAnsi="Times New Roman" w:cs="Times New Roman"/>
        </w:rPr>
        <w:t xml:space="preserve"> cho thấy giá trị của các hệ số HTMT dao động từ 0,</w:t>
      </w:r>
      <w:r w:rsidR="00556C97" w:rsidRPr="000F1C2D">
        <w:rPr>
          <w:rFonts w:ascii="Times New Roman" w:hAnsi="Times New Roman" w:cs="Times New Roman"/>
          <w:lang w:val="vi-VN"/>
        </w:rPr>
        <w:t>517</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842</w:t>
      </w:r>
      <w:r w:rsidRPr="000F1C2D">
        <w:rPr>
          <w:rFonts w:ascii="Times New Roman" w:hAnsi="Times New Roman" w:cs="Times New Roman"/>
        </w:rPr>
        <w:t xml:space="preserve">, nhỏ hơn </w:t>
      </w:r>
      <w:r w:rsidRPr="000F1C2D">
        <w:rPr>
          <w:rFonts w:ascii="Times New Roman" w:hAnsi="Times New Roman" w:cs="Times New Roman"/>
        </w:rPr>
        <w:lastRenderedPageBreak/>
        <w:t>ngưỡ</w:t>
      </w:r>
      <w:r w:rsidR="0019447F" w:rsidRPr="000F1C2D">
        <w:rPr>
          <w:rFonts w:ascii="Times New Roman" w:hAnsi="Times New Roman" w:cs="Times New Roman"/>
        </w:rPr>
        <w:t>ng 0,</w:t>
      </w:r>
      <w:r w:rsidR="0019447F" w:rsidRPr="000F1C2D">
        <w:rPr>
          <w:rFonts w:ascii="Times New Roman" w:hAnsi="Times New Roman" w:cs="Times New Roman"/>
          <w:lang w:val="vi-VN"/>
        </w:rPr>
        <w:t xml:space="preserve">90 </w:t>
      </w:r>
      <w:r w:rsidR="0019447F"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&lt;EndNote&gt;&lt;Cite&gt;&lt;Author&gt;Henseler&lt;/Author&gt;&lt;Year&gt;2015&lt;/Year&gt;&lt;RecNum&gt;40&lt;/RecNum&gt;&lt;DisplayText&gt;&lt;style face="superscript"&gt;29&lt;/style&gt;&lt;/DisplayText&gt;&lt;record&gt;&lt;rec-number&gt;40&lt;/rec-number&gt;&lt;foreign-keys&gt;&lt;key app="EN" db-id="zrxvexxvx0vtpmeafst5dtv5w2zx9fwa0ffp" timestamp="1753853729"&gt;40&lt;/key&gt;&lt;/foreign-keys&gt;&lt;ref-type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0019447F"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29</w:t>
      </w:r>
      <w:r w:rsidR="0019447F" w:rsidRPr="000F1C2D">
        <w:rPr>
          <w:rFonts w:ascii="Times New Roman" w:hAnsi="Times New Roman" w:cs="Times New Roman"/>
          <w:lang w:val="vi-VN"/>
        </w:rPr>
        <w:fldChar w:fldCharType="end"/>
      </w:r>
      <w:r w:rsidR="0019447F" w:rsidRPr="000F1C2D">
        <w:rPr>
          <w:rFonts w:ascii="Times New Roman" w:hAnsi="Times New Roman" w:cs="Times New Roman"/>
          <w:vertAlign w:val="superscript"/>
          <w:lang w:val="vi-VN"/>
        </w:rPr>
        <w:t>,</w:t>
      </w:r>
      <w:r w:rsidR="0019447F"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19447F"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28</w:t>
      </w:r>
      <w:r w:rsidR="0019447F" w:rsidRPr="000F1C2D">
        <w:rPr>
          <w:rFonts w:ascii="Times New Roman" w:hAnsi="Times New Roman" w:cs="Times New Roman"/>
          <w:lang w:val="vi-VN"/>
        </w:rPr>
        <w:fldChar w:fldCharType="end"/>
      </w:r>
      <w:r w:rsidRPr="000F1C2D">
        <w:rPr>
          <w:rFonts w:ascii="Times New Roman" w:hAnsi="Times New Roman" w:cs="Times New Roman"/>
        </w:rPr>
        <w:t>. Với kết quả phân tích như trên, chứng tỏ rằng thang đo cho các biến trong mô hình nghiên cứu có giá trị phân biệt.</w:t>
      </w:r>
    </w:p>
    <w:p w:rsidR="00514A08" w:rsidRPr="000F1C2D" w:rsidRDefault="00514A08" w:rsidP="000B7499">
      <w:pPr>
        <w:spacing w:after="0" w:line="312" w:lineRule="auto"/>
        <w:jc w:val="both"/>
        <w:rPr>
          <w:rFonts w:ascii="Times New Roman" w:hAnsi="Times New Roman" w:cs="Times New Roman"/>
          <w:b/>
        </w:rPr>
      </w:pPr>
      <w:r w:rsidRPr="000F1C2D">
        <w:rPr>
          <w:rFonts w:ascii="Times New Roman" w:hAnsi="Times New Roman" w:cs="Times New Roman"/>
          <w:b/>
        </w:rPr>
        <w:t xml:space="preserve">Bảng </w:t>
      </w:r>
      <w:r w:rsidR="00831E86" w:rsidRPr="000F1C2D">
        <w:rPr>
          <w:rFonts w:ascii="Times New Roman" w:hAnsi="Times New Roman" w:cs="Times New Roman"/>
          <w:b/>
          <w:lang w:val="vi-VN"/>
        </w:rPr>
        <w:t>5</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Kết quả đánh giá giá trị phân biệt thang đo bằng hệ số HTMT</w:t>
      </w:r>
    </w:p>
    <w:tbl>
      <w:tblPr>
        <w:tblW w:w="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3"/>
        <w:gridCol w:w="954"/>
        <w:gridCol w:w="954"/>
        <w:gridCol w:w="954"/>
      </w:tblGrid>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r>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r>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E46F0D" w:rsidRPr="000F1C2D" w:rsidRDefault="00E46F0D"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jc w:val="right"/>
              <w:rPr>
                <w:rFonts w:ascii="Times New Roman" w:hAnsi="Times New Roman" w:cs="Times New Roman"/>
              </w:rPr>
            </w:pPr>
            <w:r w:rsidRPr="000F1C2D">
              <w:rPr>
                <w:rFonts w:ascii="Times New Roman" w:hAnsi="Times New Roman" w:cs="Times New Roman"/>
              </w:rPr>
              <w:t>0,698</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rPr>
                <w:rFonts w:ascii="Times New Roman" w:hAnsi="Times New Roman" w:cs="Times New Roman"/>
              </w:rPr>
            </w:pPr>
            <w:r w:rsidRPr="000F1C2D">
              <w:rPr>
                <w:rFonts w:ascii="Times New Roman" w:hAnsi="Times New Roman" w:cs="Times New Roman"/>
              </w:rPr>
              <w:t> </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line="312" w:lineRule="auto"/>
              <w:ind w:left="-120"/>
              <w:jc w:val="center"/>
              <w:rPr>
                <w:rFonts w:ascii="Times New Roman" w:hAnsi="Times New Roman" w:cs="Times New Roman"/>
              </w:rPr>
            </w:pPr>
          </w:p>
        </w:tc>
      </w:tr>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E46F0D" w:rsidRPr="000F1C2D" w:rsidRDefault="00E46F0D"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jc w:val="right"/>
              <w:rPr>
                <w:rFonts w:ascii="Times New Roman" w:hAnsi="Times New Roman" w:cs="Times New Roman"/>
              </w:rPr>
            </w:pPr>
            <w:r w:rsidRPr="000F1C2D">
              <w:rPr>
                <w:rFonts w:ascii="Times New Roman" w:hAnsi="Times New Roman" w:cs="Times New Roman"/>
              </w:rPr>
              <w:t>0,517</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jc w:val="right"/>
              <w:rPr>
                <w:rFonts w:ascii="Times New Roman" w:hAnsi="Times New Roman" w:cs="Times New Roman"/>
              </w:rPr>
            </w:pPr>
            <w:r w:rsidRPr="000F1C2D">
              <w:rPr>
                <w:rFonts w:ascii="Times New Roman" w:hAnsi="Times New Roman" w:cs="Times New Roman"/>
              </w:rPr>
              <w:t>0,842</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line="312" w:lineRule="auto"/>
              <w:ind w:left="-120"/>
              <w:jc w:val="center"/>
              <w:rPr>
                <w:rFonts w:ascii="Times New Roman" w:hAnsi="Times New Roman" w:cs="Times New Roman"/>
              </w:rPr>
            </w:pP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 xml:space="preserve"> (Nguồn: Kết quả phân tích dữ liệu từ phần mềm SmartPLS 4)</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Tóm lại, các biến</w:t>
      </w:r>
      <w:r w:rsidRPr="000F1C2D">
        <w:rPr>
          <w:rFonts w:ascii="Times New Roman" w:hAnsi="Times New Roman" w:cs="Times New Roman"/>
          <w:lang w:val="vi-VN"/>
        </w:rPr>
        <w:t xml:space="preserve"> quan sát</w:t>
      </w:r>
      <w:r w:rsidRPr="000F1C2D">
        <w:rPr>
          <w:rFonts w:ascii="Times New Roman" w:hAnsi="Times New Roman" w:cs="Times New Roman"/>
        </w:rPr>
        <w:t xml:space="preserve"> trong thang đo đều có ý nghĩa, các thang đo cho các biến nghiên cứu có độ tin cậy, đảm bảo giá trị hội tụ cũng như giá trị phân biệt. Do đó, dữ liệu thu thập được hoàn toàn có thể sử dụng tốt để kiểm định các giả thuyết nghiên cứu.</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t>4</w:t>
      </w:r>
      <w:r w:rsidRPr="000F1C2D">
        <w:rPr>
          <w:rFonts w:ascii="Times New Roman" w:hAnsi="Times New Roman" w:cs="Times New Roman"/>
          <w:b/>
          <w:i/>
        </w:rPr>
        <w:t>.2. Kết quả đánh giá mô hình cấu trúc</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Sau khi đảm bảo độ phù hợp của mô hình đo lường, mô hình cấu trúc được kiểm định nhằm đánh giá các mối quan hệ giữa các biến tiềm ẩn. Đánh giá mô hình cấu trúc được thực hiện theo các bước: đánh giá hiện tượng đa cộng tuyến; đánh giá hệ số xác định điều </w:t>
      </w:r>
      <w:r w:rsidRPr="000F1C2D">
        <w:rPr>
          <w:rFonts w:ascii="Times New Roman" w:hAnsi="Times New Roman" w:cs="Times New Roman"/>
          <w:lang w:val="vi-VN"/>
        </w:rPr>
        <w:t>chỉnh;</w:t>
      </w:r>
      <w:r w:rsidRPr="000F1C2D">
        <w:rPr>
          <w:rFonts w:ascii="Times New Roman" w:hAnsi="Times New Roman" w:cs="Times New Roman"/>
        </w:rPr>
        <w:t xml:space="preserve"> đánh giá hệ số tác </w:t>
      </w:r>
      <w:r w:rsidRPr="000F1C2D">
        <w:rPr>
          <w:rFonts w:ascii="Times New Roman" w:hAnsi="Times New Roman" w:cs="Times New Roman"/>
          <w:lang w:val="vi-VN"/>
        </w:rPr>
        <w:t>động;</w:t>
      </w:r>
      <w:r w:rsidRPr="000F1C2D">
        <w:rPr>
          <w:rFonts w:ascii="Times New Roman" w:hAnsi="Times New Roman" w:cs="Times New Roman"/>
        </w:rPr>
        <w:t xml:space="preserve"> kiểm định ý nghĩa thống kê của các hệ số đường dẫn và kiểm tra mức độ phù hợp toàn mô hình.</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Đầu tiên, nghiên cứu sử dụng hệ số phóng đại phương sai (VIF) để đánh giá hiện tượng đa cộng tuyến giữa các biến độc lập. Kết quả cho thấy giá trị các hệ số phóng đại phương sai (VIF) đều nhỏ hơn 3, giá trị VIF lớn nhấ</w:t>
      </w:r>
      <w:r w:rsidR="00EF22B7" w:rsidRPr="000F1C2D">
        <w:rPr>
          <w:rFonts w:ascii="Times New Roman" w:hAnsi="Times New Roman" w:cs="Times New Roman"/>
        </w:rPr>
        <w:t xml:space="preserve">t là </w:t>
      </w:r>
      <w:r w:rsidR="00EF22B7" w:rsidRPr="000F1C2D">
        <w:rPr>
          <w:rFonts w:ascii="Times New Roman" w:hAnsi="Times New Roman" w:cs="Times New Roman"/>
          <w:lang w:val="vi-VN"/>
        </w:rPr>
        <w:t>2,315</w:t>
      </w:r>
      <w:r w:rsidRPr="000F1C2D">
        <w:rPr>
          <w:rFonts w:ascii="Times New Roman" w:hAnsi="Times New Roman" w:cs="Times New Roman"/>
        </w:rPr>
        <w:t>, thỏa mãn điều kiện nhỏ hơn 5</w:t>
      </w:r>
      <w:r w:rsidR="0019447F"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&lt;EndNote&gt;&lt;Cite&gt;&lt;Author&gt;Hair Jr&lt;/Author&gt;&lt;Year&gt;2017&lt;/Year&gt;&lt;RecNum&gt;45&lt;/RecNum&gt;&lt;DisplayText&gt;&lt;style face="superscript"&gt;27&lt;/style&gt;&lt;/DisplayText&gt;&lt;record&gt;&lt;rec-number&gt;45&lt;/rec-number&gt;&lt;foreign-keys&gt;&lt;key app="EN" db-id="zrxvexxvx0vtpmeafst5dtv5w2zx9fwa0ffp" timestamp="1753853729"&gt;45&lt;/key&gt;&lt;/foreign-keys&gt;&lt;ref-type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19447F"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27</w:t>
      </w:r>
      <w:r w:rsidR="0019447F" w:rsidRPr="000F1C2D">
        <w:rPr>
          <w:rFonts w:ascii="Times New Roman" w:hAnsi="Times New Roman" w:cs="Times New Roman"/>
        </w:rPr>
        <w:fldChar w:fldCharType="end"/>
      </w:r>
      <w:r w:rsidRPr="000F1C2D">
        <w:rPr>
          <w:rFonts w:ascii="Times New Roman" w:hAnsi="Times New Roman" w:cs="Times New Roman"/>
        </w:rPr>
        <w:t>. Do vậy, các mô hình nghiên cứu là phù hợp, không bị ảnh hưởng bởi vấn đề đa cộng tuyến giữa các biến độc lập.</w:t>
      </w:r>
    </w:p>
    <w:p w:rsidR="00EF22B7"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R</w:t>
      </w:r>
      <w:r w:rsidRPr="00304AF9">
        <w:rPr>
          <w:rFonts w:ascii="Times New Roman" w:hAnsi="Times New Roman" w:cs="Times New Roman"/>
          <w:vertAlign w:val="superscript"/>
        </w:rPr>
        <w:t>2</w:t>
      </w:r>
      <w:r w:rsidRPr="000F1C2D">
        <w:rPr>
          <w:rFonts w:ascii="Times New Roman" w:hAnsi="Times New Roman" w:cs="Times New Roman"/>
        </w:rPr>
        <w:t xml:space="preserve"> điều chỉnh biểu thị cho mức độ giải thích của các biến độc lập lên một biến phụ thuộc trong mô hình. Giá trị R</w:t>
      </w:r>
      <w:r w:rsidRPr="000F1C2D">
        <w:rPr>
          <w:rFonts w:ascii="Times New Roman" w:hAnsi="Times New Roman" w:cs="Times New Roman"/>
          <w:vertAlign w:val="superscript"/>
        </w:rPr>
        <w:t>2</w:t>
      </w:r>
      <w:r w:rsidRPr="000F1C2D">
        <w:rPr>
          <w:rFonts w:ascii="Times New Roman" w:hAnsi="Times New Roman" w:cs="Times New Roman"/>
        </w:rPr>
        <w:t xml:space="preserve"> hiệu chỉnh của </w:t>
      </w:r>
      <w:r w:rsidRPr="000F1C2D">
        <w:rPr>
          <w:rFonts w:ascii="Times New Roman" w:hAnsi="Times New Roman" w:cs="Times New Roman"/>
          <w:lang w:val="vi-VN"/>
        </w:rPr>
        <w:t xml:space="preserve">SCP </w:t>
      </w:r>
      <w:r w:rsidRPr="000F1C2D">
        <w:rPr>
          <w:rFonts w:ascii="Times New Roman" w:hAnsi="Times New Roman" w:cs="Times New Roman"/>
        </w:rPr>
        <w:t xml:space="preserve">bằng </w:t>
      </w:r>
      <w:r w:rsidR="00EF22B7" w:rsidRPr="000F1C2D">
        <w:rPr>
          <w:rFonts w:ascii="Times New Roman" w:hAnsi="Times New Roman" w:cs="Times New Roman"/>
        </w:rPr>
        <w:t>0,</w:t>
      </w:r>
      <w:r w:rsidR="00EF22B7" w:rsidRPr="000F1C2D">
        <w:rPr>
          <w:rFonts w:ascii="Times New Roman" w:hAnsi="Times New Roman" w:cs="Times New Roman"/>
          <w:lang w:val="vi-VN"/>
        </w:rPr>
        <w:t>342</w:t>
      </w:r>
      <w:r w:rsidRPr="000F1C2D">
        <w:rPr>
          <w:rFonts w:ascii="Times New Roman" w:hAnsi="Times New Roman" w:cs="Times New Roman"/>
        </w:rPr>
        <w:t xml:space="preserve">, như vậy các biến độc lập giải thích </w:t>
      </w:r>
      <w:r w:rsidRPr="000F1C2D">
        <w:rPr>
          <w:rFonts w:ascii="Times New Roman" w:hAnsi="Times New Roman" w:cs="Times New Roman"/>
        </w:rPr>
        <w:lastRenderedPageBreak/>
        <w:t xml:space="preserve">được </w:t>
      </w:r>
      <w:r w:rsidR="00EF22B7" w:rsidRPr="000F1C2D">
        <w:rPr>
          <w:rFonts w:ascii="Times New Roman" w:hAnsi="Times New Roman" w:cs="Times New Roman"/>
          <w:lang w:val="vi-VN"/>
        </w:rPr>
        <w:t>34,2</w:t>
      </w:r>
      <w:r w:rsidRPr="000F1C2D">
        <w:rPr>
          <w:rFonts w:ascii="Times New Roman" w:hAnsi="Times New Roman" w:cs="Times New Roman"/>
        </w:rPr>
        <w:t xml:space="preserve">% sự biến thiên của biến </w:t>
      </w:r>
      <w:r w:rsidRPr="000F1C2D">
        <w:rPr>
          <w:rFonts w:ascii="Times New Roman" w:hAnsi="Times New Roman" w:cs="Times New Roman"/>
          <w:lang w:val="vi-VN"/>
        </w:rPr>
        <w:t>SCP</w:t>
      </w:r>
      <w:r w:rsidRPr="000F1C2D">
        <w:rPr>
          <w:rFonts w:ascii="Times New Roman" w:hAnsi="Times New Roman" w:cs="Times New Roman"/>
        </w:rPr>
        <w:t>.</w:t>
      </w:r>
      <w:r w:rsidR="00EF22B7" w:rsidRPr="000F1C2D">
        <w:rPr>
          <w:rFonts w:ascii="Times New Roman" w:hAnsi="Times New Roman" w:cs="Times New Roman"/>
          <w:lang w:val="vi-VN"/>
        </w:rPr>
        <w:t xml:space="preserve"> Và</w:t>
      </w:r>
      <w:r w:rsidRPr="000F1C2D">
        <w:rPr>
          <w:rFonts w:ascii="Times New Roman" w:hAnsi="Times New Roman" w:cs="Times New Roman"/>
        </w:rPr>
        <w:t xml:space="preserve"> R</w:t>
      </w:r>
      <w:r w:rsidRPr="000F1C2D">
        <w:rPr>
          <w:rFonts w:ascii="Times New Roman" w:hAnsi="Times New Roman" w:cs="Times New Roman"/>
          <w:vertAlign w:val="superscript"/>
        </w:rPr>
        <w:t>2</w:t>
      </w:r>
      <w:r w:rsidRPr="000F1C2D">
        <w:rPr>
          <w:rFonts w:ascii="Times New Roman" w:hAnsi="Times New Roman" w:cs="Times New Roman"/>
        </w:rPr>
        <w:t xml:space="preserve"> hiệu chỉnh của </w:t>
      </w:r>
      <w:r w:rsidRPr="000F1C2D">
        <w:rPr>
          <w:rFonts w:ascii="Times New Roman" w:hAnsi="Times New Roman" w:cs="Times New Roman"/>
          <w:lang w:val="vi-VN"/>
        </w:rPr>
        <w:t xml:space="preserve">SCR </w:t>
      </w:r>
      <w:r w:rsidRPr="000F1C2D">
        <w:rPr>
          <w:rFonts w:ascii="Times New Roman" w:hAnsi="Times New Roman" w:cs="Times New Roman"/>
        </w:rPr>
        <w:t>bằng 0,</w:t>
      </w:r>
      <w:r w:rsidR="00EF22B7" w:rsidRPr="000F1C2D">
        <w:rPr>
          <w:rFonts w:ascii="Times New Roman" w:hAnsi="Times New Roman" w:cs="Times New Roman"/>
          <w:lang w:val="vi-VN"/>
        </w:rPr>
        <w:t>564</w:t>
      </w:r>
      <w:r w:rsidRPr="000F1C2D">
        <w:rPr>
          <w:rFonts w:ascii="Times New Roman" w:hAnsi="Times New Roman" w:cs="Times New Roman"/>
        </w:rPr>
        <w:t xml:space="preserve"> cho thấy các biến độc lập giải thích được </w:t>
      </w:r>
      <w:r w:rsidR="00EF22B7" w:rsidRPr="000F1C2D">
        <w:rPr>
          <w:rFonts w:ascii="Times New Roman" w:hAnsi="Times New Roman" w:cs="Times New Roman"/>
          <w:lang w:val="vi-VN"/>
        </w:rPr>
        <w:t>56,4</w:t>
      </w:r>
      <w:r w:rsidRPr="000F1C2D">
        <w:rPr>
          <w:rFonts w:ascii="Times New Roman" w:hAnsi="Times New Roman" w:cs="Times New Roman"/>
        </w:rPr>
        <w:t xml:space="preserve">% sự biến thiên của biến </w:t>
      </w:r>
      <w:r w:rsidR="00EF22B7" w:rsidRPr="000F1C2D">
        <w:rPr>
          <w:rFonts w:ascii="Times New Roman" w:hAnsi="Times New Roman" w:cs="Times New Roman"/>
          <w:lang w:val="vi-VN"/>
        </w:rPr>
        <w:t>SCR</w:t>
      </w:r>
      <w:r w:rsidRPr="000F1C2D">
        <w:rPr>
          <w:rFonts w:ascii="Times New Roman" w:hAnsi="Times New Roman" w:cs="Times New Roman"/>
          <w:lang w:val="vi-VN"/>
        </w:rPr>
        <w:t xml:space="preserve">. </w:t>
      </w:r>
    </w:p>
    <w:p w:rsidR="00514A08" w:rsidRPr="000F1C2D" w:rsidRDefault="00514A08" w:rsidP="00514A08">
      <w:pPr>
        <w:spacing w:after="0" w:line="312" w:lineRule="auto"/>
        <w:ind w:firstLine="567"/>
        <w:jc w:val="both"/>
        <w:rPr>
          <w:rFonts w:ascii="Times New Roman" w:hAnsi="Times New Roman" w:cs="Times New Roman"/>
          <w:lang w:val="vi-VN"/>
        </w:rPr>
      </w:pPr>
      <w:r w:rsidRPr="000F1C2D">
        <w:rPr>
          <w:rFonts w:ascii="Times New Roman" w:hAnsi="Times New Roman" w:cs="Times New Roman"/>
        </w:rPr>
        <w:t>Bên cạnh giá trị hệ số R</w:t>
      </w:r>
      <w:r w:rsidRPr="00304AF9">
        <w:rPr>
          <w:rFonts w:ascii="Times New Roman" w:hAnsi="Times New Roman" w:cs="Times New Roman"/>
          <w:vertAlign w:val="superscript"/>
        </w:rPr>
        <w:t>2</w:t>
      </w:r>
      <w:r w:rsidRPr="000F1C2D">
        <w:rPr>
          <w:rFonts w:ascii="Times New Roman" w:hAnsi="Times New Roman" w:cs="Times New Roman"/>
        </w:rPr>
        <w:t xml:space="preserve"> điều chỉnh, nghiên cứu cũng xem xét giá trị hệ số tác động f</w:t>
      </w:r>
      <w:r w:rsidRPr="00304AF9">
        <w:rPr>
          <w:rFonts w:ascii="Times New Roman" w:hAnsi="Times New Roman" w:cs="Times New Roman"/>
          <w:vertAlign w:val="superscript"/>
        </w:rPr>
        <w:t>2</w:t>
      </w:r>
      <w:r w:rsidRPr="000F1C2D">
        <w:rPr>
          <w:rFonts w:ascii="Times New Roman" w:hAnsi="Times New Roman" w:cs="Times New Roman"/>
        </w:rPr>
        <w:t xml:space="preserve"> để xem xét tầm quan trọng của một biến độc lập lên biến phụ thuộc</w:t>
      </w:r>
      <w:r w:rsidR="0019447F"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&lt;EndNote&gt;&lt;Cite&gt;&lt;Author&gt;Chin&lt;/Author&gt;&lt;Year&gt;1998&lt;/Year&gt;&lt;RecNum&gt;39&lt;/RecNum&gt;&lt;DisplayText&gt;&lt;style face="superscript"&gt;30&lt;/style&gt;&lt;/DisplayText&gt;&lt;record&gt;&lt;rec-number&gt;39&lt;/rec-number&gt;&lt;foreign-keys&gt;&lt;key app="EN" db-id="zrxvexxvx0vtpmeafst5dtv5w2zx9fwa0ffp" timestamp="1753853729"&gt;39&lt;/key&gt;&lt;/foreign-keys&gt;&lt;ref-type name="Book Section"&gt;5&lt;/ref-type&gt;&lt;contributors&gt;&lt;authors&gt;&lt;author&gt;Chin, Wynne W&lt;/author&gt;&lt;/authors&gt;&lt;/contributors&gt;&lt;titles&gt;&lt;title&gt;The partial least squares approach to structural equation modeling&lt;/title&gt;&lt;secondary-title&gt;Modern methods for business research&lt;/secondary-title&gt;&lt;/titles&gt;&lt;pages&gt;295-336&lt;/pages&gt;&lt;dates&gt;&lt;year&gt;1998&lt;/year&gt;&lt;/dates&gt;&lt;publisher&gt;Psychology Press&lt;/publisher&gt;&lt;urls&gt;&lt;/urls&gt;&lt;/record&gt;&lt;/Cite&gt;&lt;/EndNote&gt;</w:instrText>
      </w:r>
      <w:r w:rsidR="0019447F"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30</w:t>
      </w:r>
      <w:r w:rsidR="0019447F" w:rsidRPr="000F1C2D">
        <w:rPr>
          <w:rFonts w:ascii="Times New Roman" w:hAnsi="Times New Roman" w:cs="Times New Roman"/>
        </w:rPr>
        <w:fldChar w:fldCharType="end"/>
      </w:r>
      <w:r w:rsidRPr="000F1C2D">
        <w:rPr>
          <w:rFonts w:ascii="Times New Roman" w:hAnsi="Times New Roman" w:cs="Times New Roman"/>
        </w:rPr>
        <w:t>. Từ kết quả phân tích của mô hình nghiên cứu cho thấy biế</w:t>
      </w:r>
      <w:r w:rsidR="00EF22B7" w:rsidRPr="000F1C2D">
        <w:rPr>
          <w:rFonts w:ascii="Times New Roman" w:hAnsi="Times New Roman" w:cs="Times New Roman"/>
        </w:rPr>
        <w:t xml:space="preserve">n </w:t>
      </w:r>
      <w:r w:rsidR="00EF22B7" w:rsidRPr="000F1C2D">
        <w:rPr>
          <w:rFonts w:ascii="Times New Roman" w:hAnsi="Times New Roman" w:cs="Times New Roman"/>
          <w:lang w:val="vi-VN"/>
        </w:rPr>
        <w:t>SCV</w:t>
      </w:r>
      <w:r w:rsidRPr="000F1C2D">
        <w:rPr>
          <w:rFonts w:ascii="Times New Roman" w:hAnsi="Times New Roman" w:cs="Times New Roman"/>
        </w:rPr>
        <w:t xml:space="preserve"> có tác động đế</w:t>
      </w:r>
      <w:r w:rsidR="00EF22B7" w:rsidRPr="000F1C2D">
        <w:rPr>
          <w:rFonts w:ascii="Times New Roman" w:hAnsi="Times New Roman" w:cs="Times New Roman"/>
        </w:rPr>
        <w:t xml:space="preserve">n </w:t>
      </w:r>
      <w:r w:rsidR="00EF22B7" w:rsidRPr="000F1C2D">
        <w:rPr>
          <w:rFonts w:ascii="Times New Roman" w:hAnsi="Times New Roman" w:cs="Times New Roman"/>
          <w:lang w:val="vi-VN"/>
        </w:rPr>
        <w:t>SCR</w:t>
      </w:r>
      <w:r w:rsidRPr="000F1C2D">
        <w:rPr>
          <w:rFonts w:ascii="Times New Roman" w:hAnsi="Times New Roman" w:cs="Times New Roman"/>
        </w:rPr>
        <w:t xml:space="preserve"> ở mức cao (tương ứng với f</w:t>
      </w:r>
      <w:r w:rsidRPr="000F1C2D">
        <w:rPr>
          <w:rFonts w:ascii="Times New Roman" w:hAnsi="Times New Roman" w:cs="Times New Roman"/>
          <w:vertAlign w:val="superscript"/>
        </w:rPr>
        <w:t>2</w:t>
      </w:r>
      <w:r w:rsidR="00EF22B7" w:rsidRPr="000F1C2D">
        <w:rPr>
          <w:rFonts w:ascii="Times New Roman" w:hAnsi="Times New Roman" w:cs="Times New Roman"/>
        </w:rPr>
        <w:t xml:space="preserve"> là </w:t>
      </w:r>
      <w:r w:rsidR="00EF22B7" w:rsidRPr="000F1C2D">
        <w:rPr>
          <w:rFonts w:ascii="Times New Roman" w:hAnsi="Times New Roman" w:cs="Times New Roman"/>
          <w:lang w:val="vi-VN"/>
        </w:rPr>
        <w:t>1,305</w:t>
      </w:r>
      <w:r w:rsidRPr="000F1C2D">
        <w:rPr>
          <w:rFonts w:ascii="Times New Roman" w:hAnsi="Times New Roman" w:cs="Times New Roman"/>
        </w:rPr>
        <w:t xml:space="preserve"> lớn hơn 0,35); biến </w:t>
      </w:r>
      <w:r w:rsidR="00EF22B7" w:rsidRPr="000F1C2D">
        <w:rPr>
          <w:rFonts w:ascii="Times New Roman" w:hAnsi="Times New Roman" w:cs="Times New Roman"/>
          <w:lang w:val="vi-VN"/>
        </w:rPr>
        <w:t>SCR</w:t>
      </w:r>
      <w:r w:rsidRPr="000F1C2D">
        <w:rPr>
          <w:rFonts w:ascii="Times New Roman" w:hAnsi="Times New Roman" w:cs="Times New Roman"/>
        </w:rPr>
        <w:t xml:space="preserve"> có tác độ</w:t>
      </w:r>
      <w:r w:rsidR="00EF22B7" w:rsidRPr="000F1C2D">
        <w:rPr>
          <w:rFonts w:ascii="Times New Roman" w:hAnsi="Times New Roman" w:cs="Times New Roman"/>
        </w:rPr>
        <w:t xml:space="preserve">ng </w:t>
      </w:r>
      <w:r w:rsidR="00EF22B7" w:rsidRPr="000F1C2D">
        <w:rPr>
          <w:rFonts w:ascii="Times New Roman" w:hAnsi="Times New Roman" w:cs="Times New Roman"/>
          <w:lang w:val="vi-VN"/>
        </w:rPr>
        <w:t>trung bình</w:t>
      </w:r>
      <w:r w:rsidRPr="000F1C2D">
        <w:rPr>
          <w:rFonts w:ascii="Times New Roman" w:hAnsi="Times New Roman" w:cs="Times New Roman"/>
        </w:rPr>
        <w:t xml:space="preserve"> đến </w:t>
      </w:r>
      <w:r w:rsidR="00EF22B7" w:rsidRPr="000F1C2D">
        <w:rPr>
          <w:rFonts w:ascii="Times New Roman" w:hAnsi="Times New Roman" w:cs="Times New Roman"/>
          <w:lang w:val="vi-VN"/>
        </w:rPr>
        <w:t>SCP</w:t>
      </w:r>
      <w:r w:rsidRPr="000F1C2D">
        <w:rPr>
          <w:rFonts w:ascii="Times New Roman" w:hAnsi="Times New Roman" w:cs="Times New Roman"/>
          <w:lang w:val="vi-VN"/>
        </w:rPr>
        <w:t xml:space="preserve"> </w:t>
      </w:r>
      <w:r w:rsidR="00EF22B7" w:rsidRPr="000F1C2D">
        <w:rPr>
          <w:rFonts w:ascii="Times New Roman" w:hAnsi="Times New Roman" w:cs="Times New Roman"/>
        </w:rPr>
        <w:t>(</w:t>
      </w:r>
      <w:r w:rsidR="00EF22B7" w:rsidRPr="000F1C2D">
        <w:rPr>
          <w:rFonts w:ascii="Times New Roman" w:hAnsi="Times New Roman" w:cs="Times New Roman"/>
          <w:lang w:val="vi-VN"/>
        </w:rPr>
        <w:t>tương ứng</w:t>
      </w:r>
      <w:r w:rsidRPr="000F1C2D">
        <w:rPr>
          <w:rFonts w:ascii="Times New Roman" w:hAnsi="Times New Roman" w:cs="Times New Roman"/>
        </w:rPr>
        <w:t xml:space="preserve"> giá trị f</w:t>
      </w:r>
      <w:r w:rsidRPr="000F1C2D">
        <w:rPr>
          <w:rFonts w:ascii="Times New Roman" w:hAnsi="Times New Roman" w:cs="Times New Roman"/>
          <w:vertAlign w:val="superscript"/>
        </w:rPr>
        <w:t>2</w:t>
      </w:r>
      <w:r w:rsidRPr="000F1C2D">
        <w:rPr>
          <w:rFonts w:ascii="Times New Roman" w:hAnsi="Times New Roman" w:cs="Times New Roman"/>
        </w:rPr>
        <w:t xml:space="preserve"> lần lượt là 0,</w:t>
      </w:r>
      <w:r w:rsidR="00EF22B7" w:rsidRPr="000F1C2D">
        <w:rPr>
          <w:rFonts w:ascii="Times New Roman" w:hAnsi="Times New Roman" w:cs="Times New Roman"/>
          <w:lang w:val="vi-VN"/>
        </w:rPr>
        <w:t xml:space="preserve">238 </w:t>
      </w:r>
      <w:r w:rsidRPr="000F1C2D">
        <w:rPr>
          <w:rFonts w:ascii="Times New Roman" w:hAnsi="Times New Roman" w:cs="Times New Roman"/>
        </w:rPr>
        <w:t>lớn hơn hoặc bằng</w:t>
      </w:r>
      <w:r w:rsidR="00EF22B7" w:rsidRPr="000F1C2D">
        <w:rPr>
          <w:rFonts w:ascii="Times New Roman" w:hAnsi="Times New Roman" w:cs="Times New Roman"/>
          <w:lang w:val="vi-VN"/>
        </w:rPr>
        <w:t xml:space="preserve"> </w:t>
      </w:r>
      <w:r w:rsidR="00EF22B7" w:rsidRPr="000F1C2D">
        <w:rPr>
          <w:rFonts w:ascii="Times New Roman" w:hAnsi="Times New Roman" w:cs="Times New Roman"/>
        </w:rPr>
        <w:t>0,15</w:t>
      </w:r>
      <w:r w:rsidRPr="000F1C2D">
        <w:rPr>
          <w:rFonts w:ascii="Times New Roman" w:hAnsi="Times New Roman" w:cs="Times New Roman"/>
        </w:rPr>
        <w:t xml:space="preserve"> nhưng nhỏ hơn </w:t>
      </w:r>
      <w:r w:rsidR="00EF22B7" w:rsidRPr="000F1C2D">
        <w:rPr>
          <w:rFonts w:ascii="Times New Roman" w:hAnsi="Times New Roman" w:cs="Times New Roman"/>
        </w:rPr>
        <w:t>0,02</w:t>
      </w:r>
      <w:r w:rsidRPr="000F1C2D">
        <w:rPr>
          <w:rFonts w:ascii="Times New Roman" w:hAnsi="Times New Roman" w:cs="Times New Roman"/>
        </w:rPr>
        <w:t>). Các biến BS, FS, GA</w:t>
      </w:r>
      <w:r w:rsidRPr="000F1C2D">
        <w:rPr>
          <w:rFonts w:ascii="Times New Roman" w:hAnsi="Times New Roman" w:cs="Times New Roman"/>
          <w:lang w:val="vi-VN"/>
        </w:rPr>
        <w:t xml:space="preserve"> </w:t>
      </w:r>
      <w:r w:rsidRPr="000F1C2D">
        <w:rPr>
          <w:rFonts w:ascii="Times New Roman" w:hAnsi="Times New Roman" w:cs="Times New Roman"/>
        </w:rPr>
        <w:t>có các giá trị f</w:t>
      </w:r>
      <w:r w:rsidRPr="000F1C2D">
        <w:rPr>
          <w:rFonts w:ascii="Times New Roman" w:hAnsi="Times New Roman" w:cs="Times New Roman"/>
          <w:vertAlign w:val="superscript"/>
        </w:rPr>
        <w:t>2</w:t>
      </w:r>
      <w:r w:rsidRPr="000F1C2D">
        <w:rPr>
          <w:rFonts w:ascii="Times New Roman" w:hAnsi="Times New Roman" w:cs="Times New Roman"/>
        </w:rPr>
        <w:t xml:space="preserve"> đều có giá trị rất nhỏ, đều nhỏ hơn 0,02 nên các biến này không có tác động hoặc tác động rất nhỏ đến SCP nếu P-</w:t>
      </w:r>
      <w:r w:rsidR="00D72A9B" w:rsidRPr="000F1C2D">
        <w:rPr>
          <w:rFonts w:ascii="Times New Roman" w:hAnsi="Times New Roman" w:cs="Times New Roman"/>
          <w:lang w:val="vi-VN"/>
        </w:rPr>
        <w:t>v</w:t>
      </w:r>
      <w:r w:rsidRPr="000F1C2D">
        <w:rPr>
          <w:rFonts w:ascii="Times New Roman" w:hAnsi="Times New Roman" w:cs="Times New Roman"/>
        </w:rPr>
        <w:t xml:space="preserve">alue của các biến này trong bảng Hệ số đường dẫn nhỏ hơn </w:t>
      </w:r>
      <w:r w:rsidRPr="000F1C2D">
        <w:rPr>
          <w:rFonts w:ascii="Times New Roman" w:hAnsi="Times New Roman" w:cs="Times New Roman"/>
          <w:lang w:val="vi-VN"/>
        </w:rPr>
        <w:t>0,</w:t>
      </w:r>
      <w:r w:rsidRPr="000F1C2D">
        <w:rPr>
          <w:rFonts w:ascii="Times New Roman" w:hAnsi="Times New Roman" w:cs="Times New Roman"/>
        </w:rPr>
        <w:t xml:space="preserve">05 </w:t>
      </w:r>
      <w:r w:rsidRPr="000F1C2D">
        <w:rPr>
          <w:rFonts w:ascii="Times New Roman" w:hAnsi="Times New Roman" w:cs="Times New Roman"/>
          <w:lang w:val="vi-VN"/>
        </w:rPr>
        <w:t xml:space="preserve">nghĩa là </w:t>
      </w:r>
      <w:r w:rsidRPr="000F1C2D">
        <w:rPr>
          <w:rFonts w:ascii="Times New Roman" w:hAnsi="Times New Roman" w:cs="Times New Roman"/>
        </w:rPr>
        <w:t>có ý nghĩa thống kê ở độ tin cậy 95%</w:t>
      </w:r>
      <w:r w:rsidRPr="000F1C2D">
        <w:rPr>
          <w:rFonts w:ascii="Times New Roman" w:hAnsi="Times New Roman" w:cs="Times New Roman"/>
          <w:lang w:val="vi-VN"/>
        </w:rPr>
        <w:t xml:space="preserve"> </w:t>
      </w:r>
      <w:r w:rsidR="0019447F"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&lt;EndNote&gt;&lt;Cite&gt;&lt;Author&gt;Cohen&lt;/Author&gt;&lt;Year&gt;2013&lt;/Year&gt;&lt;RecNum&gt;64&lt;/RecNum&gt;&lt;DisplayText&gt;&lt;style face="superscript"&gt;31&lt;/style&gt;&lt;/DisplayText&gt;&lt;record&gt;&lt;rec-number&gt;64&lt;/rec-number&gt;&lt;foreign-keys&gt;&lt;key app="EN" db-id="zrxvexxvx0vtpmeafst5dtv5w2zx9fwa0ffp" timestamp="1753853729"&gt;64&lt;/key&gt;&lt;/foreign-keys&gt;&lt;ref-type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sciences&lt;/title&gt;&lt;/titles&gt;&lt;dates&gt;&lt;year&gt;2013&lt;/year&gt;&lt;/dates&gt;&lt;publisher&gt;routledge&lt;/publisher&gt;&lt;isbn&gt;0203771583&lt;/isbn&gt;&lt;urls&gt;&lt;/urls&gt;&lt;/record&gt;&lt;/Cite&gt;&lt;/EndNote&gt;</w:instrText>
      </w:r>
      <w:r w:rsidR="0019447F"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31</w:t>
      </w:r>
      <w:r w:rsidR="0019447F" w:rsidRPr="000F1C2D">
        <w:rPr>
          <w:rFonts w:ascii="Times New Roman" w:hAnsi="Times New Roman" w:cs="Times New Roman"/>
          <w:lang w:val="vi-VN"/>
        </w:rPr>
        <w:fldChar w:fldCharType="end"/>
      </w:r>
      <w:r w:rsidRPr="000F1C2D">
        <w:rPr>
          <w:rFonts w:ascii="Times New Roman" w:hAnsi="Times New Roman" w:cs="Times New Roman"/>
          <w:lang w:val="vi-VN"/>
        </w:rPr>
        <w:t>.</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Tiếp đến nghiên cứu kiểm định các giả thuyết thông qua việc xác định các tác động trực tiếp và gián tiếp. Kết quả được trình bày trong Hình 2 và Bả</w:t>
      </w:r>
      <w:r w:rsidR="00D72A9B" w:rsidRPr="000F1C2D">
        <w:rPr>
          <w:rFonts w:ascii="Times New Roman" w:hAnsi="Times New Roman" w:cs="Times New Roman"/>
        </w:rPr>
        <w:t xml:space="preserve">ng </w:t>
      </w:r>
      <w:r w:rsidR="00DB0306">
        <w:rPr>
          <w:rFonts w:ascii="Times New Roman" w:hAnsi="Times New Roman" w:cs="Times New Roman"/>
        </w:rPr>
        <w:t>6</w:t>
      </w:r>
      <w:r w:rsidRPr="000F1C2D">
        <w:rPr>
          <w:rFonts w:ascii="Times New Roman" w:hAnsi="Times New Roman" w:cs="Times New Roman"/>
        </w:rPr>
        <w:t xml:space="preserve"> phản ánh mô hình cấu trúc với các ảnh hưởng trực tiếp giữa các biến. </w:t>
      </w:r>
    </w:p>
    <w:p w:rsidR="00514A08" w:rsidRPr="000F1C2D" w:rsidRDefault="00EF22B7" w:rsidP="00514A08">
      <w:pPr>
        <w:spacing w:after="0" w:line="312" w:lineRule="auto"/>
        <w:jc w:val="both"/>
        <w:rPr>
          <w:rFonts w:ascii="Times New Roman" w:hAnsi="Times New Roman" w:cs="Times New Roman"/>
        </w:rPr>
      </w:pPr>
      <w:r w:rsidRPr="000F1C2D">
        <w:rPr>
          <w:noProof/>
        </w:rPr>
        <w:lastRenderedPageBreak/>
        <w:drawing>
          <wp:anchor distT="0" distB="0" distL="114300" distR="114300" simplePos="0" relativeHeight="251660288" behindDoc="0" locked="0" layoutInCell="1" allowOverlap="1" wp14:anchorId="04EF46C8">
            <wp:simplePos x="0" y="0"/>
            <wp:positionH relativeFrom="column">
              <wp:posOffset>0</wp:posOffset>
            </wp:positionH>
            <wp:positionV relativeFrom="paragraph">
              <wp:posOffset>0</wp:posOffset>
            </wp:positionV>
            <wp:extent cx="5943600" cy="29838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983865"/>
                    </a:xfrm>
                    <a:prstGeom prst="rect">
                      <a:avLst/>
                    </a:prstGeom>
                  </pic:spPr>
                </pic:pic>
              </a:graphicData>
            </a:graphic>
          </wp:anchor>
        </w:drawing>
      </w:r>
    </w:p>
    <w:p w:rsidR="00514A08" w:rsidRPr="000F1C2D" w:rsidRDefault="00514A08" w:rsidP="00514A08">
      <w:pPr>
        <w:spacing w:after="0" w:line="312" w:lineRule="auto"/>
        <w:jc w:val="right"/>
        <w:rPr>
          <w:rFonts w:ascii="Times New Roman" w:hAnsi="Times New Roman" w:cs="Times New Roman"/>
        </w:rPr>
      </w:pPr>
    </w:p>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mềm SmartPLS 4)</w:t>
      </w:r>
    </w:p>
    <w:p w:rsidR="0011774F" w:rsidRDefault="0011774F" w:rsidP="00D72A9B">
      <w:pPr>
        <w:spacing w:after="0" w:line="312" w:lineRule="auto"/>
        <w:jc w:val="center"/>
        <w:rPr>
          <w:rFonts w:ascii="Times New Roman" w:hAnsi="Times New Roman" w:cs="Times New Roman"/>
          <w:b/>
          <w:lang w:val="vi-VN"/>
        </w:rPr>
        <w:sectPr w:rsidR="0011774F" w:rsidSect="00C57A72">
          <w:type w:val="continuous"/>
          <w:pgSz w:w="12240" w:h="15840"/>
          <w:pgMar w:top="1440" w:right="1440" w:bottom="1440" w:left="1440" w:header="720" w:footer="720" w:gutter="0"/>
          <w:cols w:num="2" w:space="720"/>
          <w:docGrid w:linePitch="360"/>
        </w:sectPr>
      </w:pPr>
    </w:p>
    <w:p w:rsidR="00514A08" w:rsidRPr="000F1C2D" w:rsidRDefault="00514A08" w:rsidP="000B7499">
      <w:pPr>
        <w:spacing w:after="0" w:line="312" w:lineRule="auto"/>
        <w:jc w:val="both"/>
        <w:rPr>
          <w:rFonts w:ascii="Times New Roman" w:hAnsi="Times New Roman" w:cs="Times New Roman"/>
        </w:rPr>
      </w:pPr>
      <w:r w:rsidRPr="000F1C2D">
        <w:rPr>
          <w:rFonts w:ascii="Times New Roman" w:hAnsi="Times New Roman" w:cs="Times New Roman"/>
          <w:b/>
          <w:lang w:val="vi-VN"/>
        </w:rPr>
        <w:lastRenderedPageBreak/>
        <w:t>Hình 2</w:t>
      </w:r>
      <w:r w:rsidR="000B7499">
        <w:rPr>
          <w:rFonts w:ascii="Times New Roman" w:hAnsi="Times New Roman" w:cs="Times New Roman"/>
          <w:b/>
        </w:rPr>
        <w:t xml:space="preserve">. </w:t>
      </w:r>
      <w:r w:rsidRPr="000B7499">
        <w:rPr>
          <w:rFonts w:ascii="Times New Roman" w:hAnsi="Times New Roman" w:cs="Times New Roman"/>
          <w:lang w:val="vi-VN"/>
        </w:rPr>
        <w:t>Mô hình cấu trúc</w:t>
      </w:r>
    </w:p>
    <w:p w:rsidR="00514A08" w:rsidRPr="000B7499" w:rsidRDefault="00514A08" w:rsidP="000B7499">
      <w:pPr>
        <w:spacing w:after="0" w:line="312" w:lineRule="auto"/>
        <w:jc w:val="both"/>
        <w:rPr>
          <w:rFonts w:ascii="Times New Roman" w:hAnsi="Times New Roman" w:cs="Times New Roman"/>
          <w:lang w:val="vi-VN"/>
        </w:rPr>
      </w:pPr>
      <w:r w:rsidRPr="000F1C2D">
        <w:rPr>
          <w:rFonts w:ascii="Times New Roman" w:hAnsi="Times New Roman" w:cs="Times New Roman"/>
          <w:b/>
          <w:lang w:val="vi-VN"/>
        </w:rPr>
        <w:t>Bả</w:t>
      </w:r>
      <w:r w:rsidR="00831E86" w:rsidRPr="000F1C2D">
        <w:rPr>
          <w:rFonts w:ascii="Times New Roman" w:hAnsi="Times New Roman" w:cs="Times New Roman"/>
          <w:b/>
          <w:lang w:val="vi-VN"/>
        </w:rPr>
        <w:t xml:space="preserve">ng </w:t>
      </w:r>
      <w:r w:rsidR="000B7499">
        <w:rPr>
          <w:rFonts w:ascii="Times New Roman" w:hAnsi="Times New Roman" w:cs="Times New Roman"/>
          <w:b/>
        </w:rPr>
        <w:t xml:space="preserve">6. </w:t>
      </w:r>
      <w:r w:rsidRPr="000B7499">
        <w:rPr>
          <w:rFonts w:ascii="Times New Roman" w:hAnsi="Times New Roman" w:cs="Times New Roman"/>
        </w:rPr>
        <w:t>Kết quả kiểm định các giả thuyết về mối quan hệ trực tiếp</w:t>
      </w:r>
      <w:r w:rsidRPr="000B7499">
        <w:rPr>
          <w:rFonts w:ascii="Times New Roman" w:hAnsi="Times New Roman" w:cs="Times New Roman"/>
          <w:lang w:val="vi-VN"/>
        </w:rPr>
        <w:t xml:space="preserve"> </w:t>
      </w:r>
    </w:p>
    <w:p w:rsidR="0011774F" w:rsidRDefault="0011774F" w:rsidP="00404928">
      <w:pPr>
        <w:spacing w:after="0" w:line="312" w:lineRule="auto"/>
        <w:jc w:val="center"/>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134"/>
        <w:gridCol w:w="992"/>
        <w:gridCol w:w="1198"/>
        <w:gridCol w:w="1071"/>
        <w:gridCol w:w="992"/>
      </w:tblGrid>
      <w:tr w:rsidR="0011774F" w:rsidRPr="000F1C2D" w:rsidTr="0063329A">
        <w:trPr>
          <w:jc w:val="center"/>
        </w:trPr>
        <w:tc>
          <w:tcPr>
            <w:tcW w:w="1696" w:type="dxa"/>
            <w:vMerge w:val="restart"/>
          </w:tcPr>
          <w:p w:rsidR="0011774F" w:rsidRPr="000F1C2D" w:rsidRDefault="0011774F" w:rsidP="0063329A">
            <w:pPr>
              <w:spacing w:after="0" w:line="312" w:lineRule="auto"/>
              <w:jc w:val="center"/>
              <w:rPr>
                <w:rFonts w:ascii="Times New Roman" w:hAnsi="Times New Roman" w:cs="Times New Roman"/>
              </w:rPr>
            </w:pP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326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SCP</w:t>
            </w:r>
          </w:p>
        </w:tc>
      </w:tr>
      <w:tr w:rsidR="0011774F" w:rsidRPr="000F1C2D" w:rsidTr="0063329A">
        <w:trPr>
          <w:jc w:val="center"/>
        </w:trPr>
        <w:tc>
          <w:tcPr>
            <w:tcW w:w="1696" w:type="dxa"/>
            <w:vMerge/>
          </w:tcPr>
          <w:p w:rsidR="0011774F" w:rsidRPr="000F1C2D" w:rsidRDefault="0011774F" w:rsidP="0063329A">
            <w:pPr>
              <w:spacing w:after="0" w:line="312" w:lineRule="auto"/>
              <w:jc w:val="center"/>
              <w:rPr>
                <w:rFonts w:ascii="Times New Roman" w:hAnsi="Times New Roman" w:cs="Times New Roman"/>
              </w:rPr>
            </w:pP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c>
          <w:tcPr>
            <w:tcW w:w="119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071"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752</w:t>
            </w:r>
            <w:r w:rsidRPr="000F1C2D">
              <w:rPr>
                <w:rFonts w:ascii="Times New Roman" w:hAnsi="Times New Roman" w:cs="Times New Roman"/>
              </w:rPr>
              <w:t>***</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0,000</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16</w:t>
            </w:r>
            <w:r w:rsidRPr="000F1C2D">
              <w:rPr>
                <w:rFonts w:ascii="Times New Roman" w:hAnsi="Times New Roman" w:cs="Times New Roman"/>
              </w:rPr>
              <w:t>,</w:t>
            </w:r>
            <w:r w:rsidRPr="000F1C2D">
              <w:rPr>
                <w:rFonts w:ascii="Times New Roman" w:hAnsi="Times New Roman" w:cs="Times New Roman"/>
                <w:lang w:val="vi-VN"/>
              </w:rPr>
              <w:t>412</w:t>
            </w:r>
          </w:p>
        </w:tc>
        <w:tc>
          <w:tcPr>
            <w:tcW w:w="1198"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r w:rsidRPr="000F1C2D">
              <w:rPr>
                <w:rFonts w:ascii="Times New Roman" w:hAnsi="Times New Roman" w:cs="Times New Roman"/>
                <w:vertAlign w:val="superscript"/>
                <w:lang w:val="vi-VN"/>
              </w:rPr>
              <w:t>ns</w:t>
            </w:r>
          </w:p>
        </w:tc>
        <w:tc>
          <w:tcPr>
            <w:tcW w:w="1071" w:type="dxa"/>
          </w:tcPr>
          <w:p w:rsidR="0011774F" w:rsidRPr="000F1C2D" w:rsidRDefault="0011774F" w:rsidP="0063329A">
            <w:pPr>
              <w:spacing w:after="0" w:line="312" w:lineRule="auto"/>
              <w:rPr>
                <w:rFonts w:ascii="Times New Roman" w:hAnsi="Times New Roman" w:cs="Times New Roman"/>
                <w:lang w:val="vi-VN"/>
              </w:rPr>
            </w:pPr>
            <w:r w:rsidRPr="000F1C2D">
              <w:rPr>
                <w:rFonts w:ascii="Times New Roman" w:hAnsi="Times New Roman" w:cs="Times New Roman"/>
                <w:lang w:val="vi-VN"/>
              </w:rPr>
              <w:t>1,000</w:t>
            </w:r>
          </w:p>
        </w:tc>
        <w:tc>
          <w:tcPr>
            <w:tcW w:w="992"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594</w:t>
            </w:r>
            <w:r w:rsidRPr="000F1C2D">
              <w:rPr>
                <w:rFonts w:ascii="Times New Roman" w:hAnsi="Times New Roman" w:cs="Times New Roman"/>
              </w:rPr>
              <w:t>***</w:t>
            </w:r>
          </w:p>
        </w:tc>
        <w:tc>
          <w:tcPr>
            <w:tcW w:w="1071"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6</w:t>
            </w:r>
            <w:r w:rsidRPr="000F1C2D">
              <w:rPr>
                <w:rFonts w:ascii="Times New Roman" w:hAnsi="Times New Roman" w:cs="Times New Roman"/>
              </w:rPr>
              <w:t>,</w:t>
            </w:r>
            <w:r w:rsidRPr="000F1C2D">
              <w:rPr>
                <w:rFonts w:ascii="Times New Roman" w:hAnsi="Times New Roman" w:cs="Times New Roman"/>
                <w:lang w:val="vi-VN"/>
              </w:rPr>
              <w:t>819</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BS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062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0,247</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1,157</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FS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-0,012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0,830</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0,215</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GA</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-0,032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0,586</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0,545</w:t>
            </w:r>
          </w:p>
        </w:tc>
      </w:tr>
      <w:tr w:rsidR="0011774F" w:rsidRPr="000F1C2D" w:rsidTr="0063329A">
        <w:trPr>
          <w:jc w:val="center"/>
        </w:trPr>
        <w:tc>
          <w:tcPr>
            <w:tcW w:w="169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R2 điều chỉnh</w:t>
            </w: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564</w:t>
            </w:r>
          </w:p>
        </w:tc>
        <w:tc>
          <w:tcPr>
            <w:tcW w:w="326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342</w:t>
            </w:r>
          </w:p>
        </w:tc>
      </w:tr>
      <w:tr w:rsidR="0011774F" w:rsidRPr="000F1C2D" w:rsidTr="0063329A">
        <w:trPr>
          <w:jc w:val="center"/>
        </w:trPr>
        <w:tc>
          <w:tcPr>
            <w:tcW w:w="8359" w:type="dxa"/>
            <w:gridSpan w:val="7"/>
          </w:tcPr>
          <w:p w:rsidR="0011774F" w:rsidRPr="000F1C2D" w:rsidRDefault="0011774F" w:rsidP="0063329A">
            <w:pPr>
              <w:spacing w:after="0" w:line="312" w:lineRule="auto"/>
              <w:rPr>
                <w:rFonts w:ascii="Times New Roman" w:hAnsi="Times New Roman" w:cs="Times New Roman"/>
              </w:rPr>
            </w:pPr>
            <w:r w:rsidRPr="000F1C2D">
              <w:rPr>
                <w:rFonts w:ascii="Times New Roman" w:hAnsi="Times New Roman" w:cs="Times New Roman"/>
              </w:rPr>
              <w:t>Ghi chú: ***, **, *, ns lần lượt tương ứng với mức ý nghĩa thống kê 1% , 5%, 10% và không có ý nghĩa thống kê</w:t>
            </w:r>
          </w:p>
        </w:tc>
      </w:tr>
    </w:tbl>
    <w:p w:rsidR="00514A08" w:rsidRPr="000F1C2D" w:rsidRDefault="00514A08" w:rsidP="00D72A9B">
      <w:pPr>
        <w:spacing w:after="0" w:line="312" w:lineRule="auto"/>
        <w:jc w:val="right"/>
        <w:rPr>
          <w:rFonts w:ascii="Times New Roman" w:hAnsi="Times New Roman" w:cs="Times New Roman"/>
          <w:i/>
        </w:rPr>
      </w:pPr>
      <w:r w:rsidRPr="000F1C2D">
        <w:rPr>
          <w:rFonts w:ascii="Times New Roman" w:hAnsi="Times New Roman" w:cs="Times New Roman"/>
          <w:i/>
        </w:rPr>
        <w:t xml:space="preserve"> (Nguồn: Kết quả phân tích dữ liệu từ phần mềm SmartPLS 4)</w:t>
      </w:r>
    </w:p>
    <w:p w:rsidR="0011774F" w:rsidRDefault="0011774F" w:rsidP="000079A3">
      <w:pPr>
        <w:spacing w:after="0" w:line="312" w:lineRule="auto"/>
        <w:ind w:firstLine="567"/>
        <w:jc w:val="both"/>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0079A3">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Kết quả kiểm định mô hình cấu trúc cho thấy </w:t>
      </w:r>
      <w:r w:rsidR="006C341F" w:rsidRPr="000F1C2D">
        <w:rPr>
          <w:rFonts w:ascii="Times New Roman" w:hAnsi="Times New Roman" w:cs="Times New Roman"/>
        </w:rPr>
        <w:t xml:space="preserve">SCV </w:t>
      </w:r>
      <w:r w:rsidRPr="000F1C2D">
        <w:rPr>
          <w:rFonts w:ascii="Times New Roman" w:hAnsi="Times New Roman" w:cs="Times New Roman"/>
        </w:rPr>
        <w:t xml:space="preserve">có ảnh hưởng trực tiếp, cùng chiều và có ý nghĩa thống kê đến </w:t>
      </w:r>
      <w:r w:rsidR="007C3D13" w:rsidRPr="000F1C2D">
        <w:rPr>
          <w:rFonts w:ascii="Times New Roman" w:hAnsi="Times New Roman" w:cs="Times New Roman"/>
        </w:rPr>
        <w:t>SCR</w:t>
      </w:r>
      <w:r w:rsidRPr="000F1C2D">
        <w:rPr>
          <w:rFonts w:ascii="Times New Roman" w:hAnsi="Times New Roman" w:cs="Times New Roman"/>
        </w:rPr>
        <w:t xml:space="preserve"> (β = 0,</w:t>
      </w:r>
      <w:r w:rsidR="006C341F" w:rsidRPr="000F1C2D">
        <w:rPr>
          <w:rFonts w:ascii="Times New Roman" w:hAnsi="Times New Roman" w:cs="Times New Roman"/>
        </w:rPr>
        <w:t>752; p &lt; 0,001; t = 16,412). Do đó,</w:t>
      </w:r>
      <w:r w:rsidRPr="000F1C2D">
        <w:rPr>
          <w:rFonts w:ascii="Times New Roman" w:hAnsi="Times New Roman" w:cs="Times New Roman"/>
        </w:rPr>
        <w:t xml:space="preserve"> giả thuyết H1 được ủng hộ. Tiế</w:t>
      </w:r>
      <w:r w:rsidR="006C341F" w:rsidRPr="000F1C2D">
        <w:rPr>
          <w:rFonts w:ascii="Times New Roman" w:hAnsi="Times New Roman" w:cs="Times New Roman"/>
        </w:rPr>
        <w:t>p theo, SCR</w:t>
      </w:r>
      <w:r w:rsidRPr="000F1C2D">
        <w:rPr>
          <w:rFonts w:ascii="Times New Roman" w:hAnsi="Times New Roman" w:cs="Times New Roman"/>
        </w:rPr>
        <w:t xml:space="preserve"> được xác nhận có ảnh hưở</w:t>
      </w:r>
      <w:r w:rsidR="006C341F" w:rsidRPr="000F1C2D">
        <w:rPr>
          <w:rFonts w:ascii="Times New Roman" w:hAnsi="Times New Roman" w:cs="Times New Roman"/>
        </w:rPr>
        <w:t>ng tích cực</w:t>
      </w:r>
      <w:r w:rsidRPr="000F1C2D">
        <w:rPr>
          <w:rFonts w:ascii="Times New Roman" w:hAnsi="Times New Roman" w:cs="Times New Roman"/>
        </w:rPr>
        <w:t xml:space="preserve"> và có ý nghĩa đến </w:t>
      </w:r>
      <w:r w:rsidR="007C3D13" w:rsidRPr="000F1C2D">
        <w:rPr>
          <w:rFonts w:ascii="Times New Roman" w:hAnsi="Times New Roman" w:cs="Times New Roman"/>
        </w:rPr>
        <w:t>SCP</w:t>
      </w:r>
      <w:r w:rsidR="006C341F" w:rsidRPr="000F1C2D">
        <w:rPr>
          <w:rFonts w:ascii="Times New Roman" w:hAnsi="Times New Roman" w:cs="Times New Roman"/>
        </w:rPr>
        <w:t xml:space="preserve"> (β = 0,594; p &lt; 0,001; t = 6,819</w:t>
      </w:r>
      <w:r w:rsidRPr="000F1C2D">
        <w:rPr>
          <w:rFonts w:ascii="Times New Roman" w:hAnsi="Times New Roman" w:cs="Times New Roman"/>
        </w:rPr>
        <w:t xml:space="preserve">). Kết quả này ủng hộ giả thuyết H2. </w:t>
      </w:r>
      <w:r w:rsidR="007C3D13" w:rsidRPr="000F1C2D">
        <w:rPr>
          <w:rFonts w:ascii="Times New Roman" w:hAnsi="Times New Roman" w:cs="Times New Roman"/>
        </w:rPr>
        <w:t>SCV</w:t>
      </w:r>
      <w:r w:rsidR="006C341F" w:rsidRPr="000F1C2D">
        <w:rPr>
          <w:rFonts w:ascii="Times New Roman" w:hAnsi="Times New Roman" w:cs="Times New Roman"/>
        </w:rPr>
        <w:t xml:space="preserve"> không có ảnh hưởng trực tiếp đáng kể </w:t>
      </w:r>
      <w:r w:rsidR="006C341F" w:rsidRPr="000F1C2D">
        <w:rPr>
          <w:rFonts w:ascii="Times New Roman" w:hAnsi="Times New Roman" w:cs="Times New Roman"/>
        </w:rPr>
        <w:lastRenderedPageBreak/>
        <w:t xml:space="preserve">đến </w:t>
      </w:r>
      <w:r w:rsidR="007C3D13" w:rsidRPr="000F1C2D">
        <w:rPr>
          <w:rFonts w:ascii="Times New Roman" w:hAnsi="Times New Roman" w:cs="Times New Roman"/>
        </w:rPr>
        <w:t xml:space="preserve">SCP </w:t>
      </w:r>
      <w:r w:rsidR="0019447F" w:rsidRPr="000F1C2D">
        <w:rPr>
          <w:rFonts w:ascii="Times New Roman" w:hAnsi="Times New Roman" w:cs="Times New Roman"/>
        </w:rPr>
        <w:t>(β = 0.</w:t>
      </w:r>
      <w:r w:rsidR="0019447F" w:rsidRPr="000F1C2D">
        <w:rPr>
          <w:rFonts w:ascii="Times New Roman" w:hAnsi="Times New Roman" w:cs="Times New Roman"/>
          <w:lang w:val="vi-VN"/>
        </w:rPr>
        <w:t>000;</w:t>
      </w:r>
      <w:r w:rsidR="006C341F" w:rsidRPr="000F1C2D">
        <w:rPr>
          <w:rFonts w:ascii="Times New Roman" w:hAnsi="Times New Roman" w:cs="Times New Roman"/>
        </w:rPr>
        <w:t xml:space="preserve"> t = 0.</w:t>
      </w:r>
      <w:r w:rsidR="0019447F" w:rsidRPr="000F1C2D">
        <w:rPr>
          <w:rFonts w:ascii="Times New Roman" w:hAnsi="Times New Roman" w:cs="Times New Roman"/>
          <w:lang w:val="vi-VN"/>
        </w:rPr>
        <w:t>000;</w:t>
      </w:r>
      <w:r w:rsidR="006C341F" w:rsidRPr="000F1C2D">
        <w:rPr>
          <w:rFonts w:ascii="Times New Roman" w:hAnsi="Times New Roman" w:cs="Times New Roman"/>
        </w:rPr>
        <w:t xml:space="preserve"> p = 1.000). </w:t>
      </w:r>
      <w:r w:rsidRPr="000F1C2D">
        <w:rPr>
          <w:rFonts w:ascii="Times New Roman" w:hAnsi="Times New Roman" w:cs="Times New Roman"/>
        </w:rPr>
        <w:t>Như vậy, giả thuyế</w:t>
      </w:r>
      <w:r w:rsidR="00A26376" w:rsidRPr="000F1C2D">
        <w:rPr>
          <w:rFonts w:ascii="Times New Roman" w:hAnsi="Times New Roman" w:cs="Times New Roman"/>
        </w:rPr>
        <w:t xml:space="preserve">t H3a không </w:t>
      </w:r>
      <w:r w:rsidRPr="000F1C2D">
        <w:rPr>
          <w:rFonts w:ascii="Times New Roman" w:hAnsi="Times New Roman" w:cs="Times New Roman"/>
        </w:rPr>
        <w:t>được ủng hộ.</w:t>
      </w:r>
    </w:p>
    <w:p w:rsidR="00514A08" w:rsidRPr="000F1C2D" w:rsidRDefault="00514A08" w:rsidP="00D47053">
      <w:pPr>
        <w:spacing w:after="0" w:line="312" w:lineRule="auto"/>
        <w:ind w:firstLine="567"/>
        <w:jc w:val="both"/>
        <w:rPr>
          <w:rFonts w:ascii="Times New Roman" w:hAnsi="Times New Roman" w:cs="Times New Roman"/>
        </w:rPr>
      </w:pPr>
      <w:r w:rsidRPr="000F1C2D">
        <w:rPr>
          <w:rFonts w:ascii="Times New Roman" w:hAnsi="Times New Roman" w:cs="Times New Roman"/>
        </w:rPr>
        <w:t>Đối với các biến kiểm soát, bao gồm quy mô doanh nghiệp (FS), ngành nghề sản xuất (BS) và khu vực địa lý (GA), kết quả kiểm định cho thấy không có biến nào có ảnh hưởng đáng kể đến SCP. Cụ thể, các hệ số tác động đều nhỏ và không có ý nghĩa thố</w:t>
      </w:r>
      <w:r w:rsidR="007C3D13" w:rsidRPr="000F1C2D">
        <w:rPr>
          <w:rFonts w:ascii="Times New Roman" w:hAnsi="Times New Roman" w:cs="Times New Roman"/>
        </w:rPr>
        <w:t xml:space="preserve">ng kê: BS (β = </w:t>
      </w:r>
      <w:r w:rsidR="007C3D13" w:rsidRPr="000F1C2D">
        <w:rPr>
          <w:rFonts w:ascii="Times New Roman" w:hAnsi="Times New Roman" w:cs="Times New Roman"/>
          <w:lang w:val="vi-VN"/>
        </w:rPr>
        <w:t>-0,062</w:t>
      </w:r>
      <w:r w:rsidR="00D060F8" w:rsidRPr="000F1C2D">
        <w:rPr>
          <w:rFonts w:ascii="Times New Roman" w:hAnsi="Times New Roman" w:cs="Times New Roman"/>
        </w:rPr>
        <w:t>; p = 0,</w:t>
      </w:r>
      <w:r w:rsidR="00D060F8" w:rsidRPr="000F1C2D">
        <w:rPr>
          <w:rFonts w:ascii="Times New Roman" w:hAnsi="Times New Roman" w:cs="Times New Roman"/>
          <w:lang w:val="vi-VN"/>
        </w:rPr>
        <w:t>247</w:t>
      </w:r>
      <w:r w:rsidRPr="000F1C2D">
        <w:rPr>
          <w:rFonts w:ascii="Times New Roman" w:hAnsi="Times New Roman" w:cs="Times New Roman"/>
        </w:rPr>
        <w:t>), FS (</w:t>
      </w:r>
      <w:r w:rsidR="00D060F8" w:rsidRPr="000F1C2D">
        <w:rPr>
          <w:rFonts w:ascii="Times New Roman" w:hAnsi="Times New Roman" w:cs="Times New Roman"/>
        </w:rPr>
        <w:t>β = -0,</w:t>
      </w:r>
      <w:r w:rsidR="00D060F8" w:rsidRPr="000F1C2D">
        <w:rPr>
          <w:rFonts w:ascii="Times New Roman" w:hAnsi="Times New Roman" w:cs="Times New Roman"/>
          <w:lang w:val="vi-VN"/>
        </w:rPr>
        <w:t>01</w:t>
      </w:r>
      <w:r w:rsidR="00D060F8" w:rsidRPr="000F1C2D">
        <w:rPr>
          <w:rFonts w:ascii="Times New Roman" w:hAnsi="Times New Roman" w:cs="Times New Roman"/>
        </w:rPr>
        <w:t>2; p = 0,</w:t>
      </w:r>
      <w:r w:rsidR="00D060F8" w:rsidRPr="000F1C2D">
        <w:rPr>
          <w:rFonts w:ascii="Times New Roman" w:hAnsi="Times New Roman" w:cs="Times New Roman"/>
          <w:lang w:val="vi-VN"/>
        </w:rPr>
        <w:t>830</w:t>
      </w:r>
      <w:r w:rsidR="00D060F8" w:rsidRPr="000F1C2D">
        <w:rPr>
          <w:rFonts w:ascii="Times New Roman" w:hAnsi="Times New Roman" w:cs="Times New Roman"/>
        </w:rPr>
        <w:t>), GA (β = -0,</w:t>
      </w:r>
      <w:r w:rsidR="00D060F8" w:rsidRPr="000F1C2D">
        <w:rPr>
          <w:rFonts w:ascii="Times New Roman" w:hAnsi="Times New Roman" w:cs="Times New Roman"/>
          <w:lang w:val="vi-VN"/>
        </w:rPr>
        <w:t>032</w:t>
      </w:r>
      <w:r w:rsidR="00D060F8" w:rsidRPr="000F1C2D">
        <w:rPr>
          <w:rFonts w:ascii="Times New Roman" w:hAnsi="Times New Roman" w:cs="Times New Roman"/>
        </w:rPr>
        <w:t xml:space="preserve">; p = </w:t>
      </w:r>
      <w:r w:rsidR="00D060F8" w:rsidRPr="000F1C2D">
        <w:rPr>
          <w:rFonts w:ascii="Times New Roman" w:hAnsi="Times New Roman" w:cs="Times New Roman"/>
        </w:rPr>
        <w:lastRenderedPageBreak/>
        <w:t>0,</w:t>
      </w:r>
      <w:r w:rsidR="00D060F8" w:rsidRPr="000F1C2D">
        <w:rPr>
          <w:rFonts w:ascii="Times New Roman" w:hAnsi="Times New Roman" w:cs="Times New Roman"/>
          <w:lang w:val="vi-VN"/>
        </w:rPr>
        <w:t>586</w:t>
      </w:r>
      <w:r w:rsidRPr="000F1C2D">
        <w:rPr>
          <w:rFonts w:ascii="Times New Roman" w:hAnsi="Times New Roman" w:cs="Times New Roman"/>
        </w:rPr>
        <w:t xml:space="preserve">). Các kết quả này cho thấy rằng hiệu quả hoạt động chuỗi cung ứng của các doanh nghiệp trong mẫu khảo sát không bị chi phối đáng kể bởi </w:t>
      </w:r>
      <w:r w:rsidRPr="000F1C2D">
        <w:rPr>
          <w:rFonts w:ascii="Times New Roman" w:hAnsi="Times New Roman" w:cs="Times New Roman"/>
        </w:rPr>
        <w:lastRenderedPageBreak/>
        <w:t>sự khác biệt về quy mô, ngành nghề hoặc vị trí địa lý, từ đó cho phép loại trừ nhiễu từ các yếu tố này trong việc diễn giải mô hình chính.</w:t>
      </w:r>
    </w:p>
    <w:p w:rsidR="0011774F" w:rsidRDefault="0011774F" w:rsidP="00404928">
      <w:pPr>
        <w:spacing w:after="0" w:line="312" w:lineRule="auto"/>
        <w:jc w:val="both"/>
        <w:rPr>
          <w:rFonts w:ascii="Times New Roman" w:hAnsi="Times New Roman" w:cs="Times New Roman"/>
          <w:b/>
        </w:rPr>
        <w:sectPr w:rsidR="0011774F" w:rsidSect="0011774F">
          <w:type w:val="continuous"/>
          <w:pgSz w:w="12240" w:h="15840"/>
          <w:pgMar w:top="1440" w:right="1440" w:bottom="1440" w:left="1440" w:header="720" w:footer="720" w:gutter="0"/>
          <w:cols w:num="2" w:space="720"/>
          <w:docGrid w:linePitch="360"/>
        </w:sectPr>
      </w:pPr>
    </w:p>
    <w:p w:rsidR="00C044A9" w:rsidRPr="000F1C2D" w:rsidRDefault="00C044A9" w:rsidP="00C044A9">
      <w:pPr>
        <w:spacing w:after="0" w:line="312" w:lineRule="auto"/>
        <w:jc w:val="both"/>
        <w:rPr>
          <w:rFonts w:ascii="Times New Roman" w:hAnsi="Times New Roman" w:cs="Times New Roman"/>
          <w:b/>
          <w:lang w:val="vi-VN"/>
        </w:rPr>
      </w:pPr>
      <w:r w:rsidRPr="000F1C2D">
        <w:rPr>
          <w:rFonts w:ascii="Times New Roman" w:hAnsi="Times New Roman" w:cs="Times New Roman"/>
          <w:b/>
        </w:rPr>
        <w:lastRenderedPageBreak/>
        <w:t xml:space="preserve">Bảng </w:t>
      </w:r>
      <w:r>
        <w:rPr>
          <w:rFonts w:ascii="Times New Roman" w:hAnsi="Times New Roman" w:cs="Times New Roman"/>
          <w:b/>
        </w:rPr>
        <w:t xml:space="preserve">7. </w:t>
      </w:r>
      <w:r w:rsidRPr="000B7499">
        <w:rPr>
          <w:rFonts w:ascii="Times New Roman" w:hAnsi="Times New Roman" w:cs="Times New Roman"/>
        </w:rPr>
        <w:t xml:space="preserve">Kết quả kiểm định vai trò trung gian </w:t>
      </w:r>
      <w:r w:rsidRPr="000B7499">
        <w:rPr>
          <w:rFonts w:ascii="Times New Roman" w:hAnsi="Times New Roman" w:cs="Times New Roman"/>
          <w:lang w:val="vi-VN"/>
        </w:rPr>
        <w:t>của khả năng phục hồi chuỗi cung ứng</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276"/>
        <w:gridCol w:w="1134"/>
        <w:gridCol w:w="992"/>
        <w:gridCol w:w="1843"/>
      </w:tblGrid>
      <w:tr w:rsidR="00C044A9" w:rsidRPr="000F1C2D" w:rsidTr="00477E5E">
        <w:trPr>
          <w:jc w:val="center"/>
        </w:trPr>
        <w:tc>
          <w:tcPr>
            <w:tcW w:w="3397"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477E5E">
            <w:pPr>
              <w:spacing w:after="0" w:line="312" w:lineRule="auto"/>
              <w:jc w:val="center"/>
              <w:rPr>
                <w:rFonts w:ascii="Times New Roman" w:hAnsi="Times New Roman" w:cs="Times New Roman"/>
                <w:b/>
              </w:rPr>
            </w:pPr>
            <w:r w:rsidRPr="000F1C2D">
              <w:rPr>
                <w:rFonts w:ascii="Times New Roman" w:hAnsi="Times New Roman" w:cs="Times New Roman"/>
                <w:b/>
              </w:rPr>
              <w:t>Mối quan hệ</w:t>
            </w:r>
          </w:p>
        </w:tc>
        <w:tc>
          <w:tcPr>
            <w:tcW w:w="1276"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477E5E">
            <w:pPr>
              <w:spacing w:after="0" w:line="312" w:lineRule="auto"/>
              <w:jc w:val="center"/>
              <w:rPr>
                <w:rFonts w:ascii="Times New Roman" w:hAnsi="Times New Roman" w:cs="Times New Roman"/>
                <w:b/>
              </w:rPr>
            </w:pPr>
            <w:r w:rsidRPr="000F1C2D">
              <w:rPr>
                <w:rFonts w:ascii="Times New Roman" w:hAnsi="Times New Roman" w:cs="Times New Roman"/>
                <w:b/>
              </w:rPr>
              <w:t>β</w:t>
            </w:r>
          </w:p>
        </w:tc>
        <w:tc>
          <w:tcPr>
            <w:tcW w:w="1134"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477E5E">
            <w:pPr>
              <w:spacing w:after="0" w:line="312" w:lineRule="auto"/>
              <w:jc w:val="center"/>
              <w:rPr>
                <w:rFonts w:ascii="Times New Roman" w:hAnsi="Times New Roman" w:cs="Times New Roman"/>
                <w:b/>
              </w:rPr>
            </w:pPr>
            <w:r w:rsidRPr="000F1C2D">
              <w:rPr>
                <w:rFonts w:ascii="Times New Roman" w:hAnsi="Times New Roman" w:cs="Times New Roman"/>
                <w:b/>
              </w:rPr>
              <w:t>p-value</w:t>
            </w:r>
          </w:p>
        </w:tc>
        <w:tc>
          <w:tcPr>
            <w:tcW w:w="992"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477E5E">
            <w:pPr>
              <w:spacing w:after="0" w:line="312" w:lineRule="auto"/>
              <w:jc w:val="center"/>
              <w:rPr>
                <w:rFonts w:ascii="Times New Roman" w:hAnsi="Times New Roman" w:cs="Times New Roman"/>
                <w:b/>
              </w:rPr>
            </w:pPr>
            <w:r w:rsidRPr="000F1C2D">
              <w:rPr>
                <w:rFonts w:ascii="Times New Roman" w:hAnsi="Times New Roman" w:cs="Times New Roman"/>
                <w:b/>
              </w:rPr>
              <w:t>t-value</w:t>
            </w:r>
          </w:p>
        </w:tc>
        <w:tc>
          <w:tcPr>
            <w:tcW w:w="1843"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477E5E">
            <w:pPr>
              <w:spacing w:after="0" w:line="312" w:lineRule="auto"/>
              <w:jc w:val="center"/>
              <w:rPr>
                <w:rFonts w:ascii="Times New Roman" w:hAnsi="Times New Roman" w:cs="Times New Roman"/>
                <w:b/>
              </w:rPr>
            </w:pPr>
            <w:r w:rsidRPr="000F1C2D">
              <w:rPr>
                <w:rFonts w:ascii="Times New Roman" w:hAnsi="Times New Roman" w:cs="Times New Roman"/>
                <w:b/>
              </w:rPr>
              <w:t>95% CI</w:t>
            </w:r>
          </w:p>
        </w:tc>
      </w:tr>
      <w:tr w:rsidR="00C044A9" w:rsidRPr="000F1C2D" w:rsidTr="00477E5E">
        <w:trPr>
          <w:jc w:val="center"/>
        </w:trPr>
        <w:tc>
          <w:tcPr>
            <w:tcW w:w="3397"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477E5E">
            <w:pPr>
              <w:spacing w:after="0"/>
              <w:ind w:left="609" w:hanging="609"/>
              <w:rPr>
                <w:rFonts w:ascii="Times New Roman" w:hAnsi="Times New Roman" w:cs="Times New Roman"/>
              </w:rPr>
            </w:pPr>
            <w:r w:rsidRPr="000F1C2D">
              <w:rPr>
                <w:rFonts w:ascii="Times New Roman" w:hAnsi="Times New Roman" w:cs="Times New Roman"/>
              </w:rPr>
              <w:t>SCV -&gt; SCR -&gt; SCP</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477E5E">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447</w:t>
            </w:r>
            <w:r w:rsidRPr="000F1C2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477E5E">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477E5E">
            <w:pPr>
              <w:spacing w:after="0"/>
              <w:jc w:val="right"/>
              <w:rPr>
                <w:rFonts w:ascii="Times New Roman" w:hAnsi="Times New Roman" w:cs="Times New Roman"/>
                <w:lang w:val="vi-VN"/>
              </w:rPr>
            </w:pPr>
            <w:r w:rsidRPr="000F1C2D">
              <w:rPr>
                <w:rFonts w:ascii="Times New Roman" w:hAnsi="Times New Roman" w:cs="Times New Roman"/>
                <w:lang w:val="vi-VN"/>
              </w:rPr>
              <w:t>5,491</w:t>
            </w:r>
          </w:p>
        </w:tc>
        <w:tc>
          <w:tcPr>
            <w:tcW w:w="1843" w:type="dxa"/>
            <w:tcBorders>
              <w:top w:val="single" w:sz="4" w:space="0" w:color="000000"/>
              <w:left w:val="single" w:sz="4" w:space="0" w:color="000000"/>
              <w:bottom w:val="single" w:sz="4" w:space="0" w:color="000000"/>
              <w:right w:val="single" w:sz="4" w:space="0" w:color="000000"/>
            </w:tcBorders>
          </w:tcPr>
          <w:p w:rsidR="00C044A9" w:rsidRPr="000F1C2D" w:rsidRDefault="00C044A9" w:rsidP="00477E5E">
            <w:pPr>
              <w:spacing w:after="0" w:line="312" w:lineRule="auto"/>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312</w:t>
            </w:r>
            <w:r w:rsidRPr="000F1C2D">
              <w:rPr>
                <w:rFonts w:ascii="Times New Roman" w:hAnsi="Times New Roman" w:cs="Times New Roman"/>
              </w:rPr>
              <w:t>: 0,</w:t>
            </w:r>
            <w:r w:rsidRPr="000F1C2D">
              <w:rPr>
                <w:rFonts w:ascii="Times New Roman" w:hAnsi="Times New Roman" w:cs="Times New Roman"/>
                <w:lang w:val="vi-VN"/>
              </w:rPr>
              <w:t>629</w:t>
            </w:r>
            <w:r w:rsidRPr="000F1C2D">
              <w:rPr>
                <w:rFonts w:ascii="Times New Roman" w:hAnsi="Times New Roman" w:cs="Times New Roman"/>
              </w:rPr>
              <w:t>]</w:t>
            </w:r>
          </w:p>
        </w:tc>
      </w:tr>
      <w:tr w:rsidR="00C044A9" w:rsidRPr="000F1C2D" w:rsidTr="00477E5E">
        <w:trPr>
          <w:jc w:val="center"/>
        </w:trPr>
        <w:tc>
          <w:tcPr>
            <w:tcW w:w="8642" w:type="dxa"/>
            <w:gridSpan w:val="5"/>
            <w:tcBorders>
              <w:top w:val="single" w:sz="4" w:space="0" w:color="000000"/>
              <w:left w:val="single" w:sz="4" w:space="0" w:color="000000"/>
              <w:bottom w:val="single" w:sz="4" w:space="0" w:color="000000"/>
              <w:right w:val="single" w:sz="4" w:space="0" w:color="000000"/>
            </w:tcBorders>
            <w:hideMark/>
          </w:tcPr>
          <w:p w:rsidR="00C044A9" w:rsidRPr="000F1C2D" w:rsidRDefault="00C044A9" w:rsidP="00477E5E">
            <w:pPr>
              <w:spacing w:after="0" w:line="312" w:lineRule="auto"/>
              <w:jc w:val="both"/>
              <w:rPr>
                <w:rFonts w:ascii="Times New Roman" w:hAnsi="Times New Roman" w:cs="Times New Roman"/>
              </w:rPr>
            </w:pPr>
            <w:r w:rsidRPr="000F1C2D">
              <w:rPr>
                <w:rFonts w:ascii="Times New Roman" w:hAnsi="Times New Roman" w:cs="Times New Roman"/>
              </w:rPr>
              <w:t>Ghi chú: ***, **, *, ns lần lượt tương ứng với mức ý nghĩa thống kê 1% , 5%, 10% và không có ý nghĩa thống kê.</w:t>
            </w:r>
          </w:p>
        </w:tc>
      </w:tr>
    </w:tbl>
    <w:p w:rsidR="00514A08" w:rsidRPr="000F1C2D" w:rsidRDefault="00C044A9" w:rsidP="000079A3">
      <w:pPr>
        <w:spacing w:after="0" w:line="312" w:lineRule="auto"/>
        <w:ind w:firstLine="567"/>
        <w:jc w:val="right"/>
        <w:rPr>
          <w:rFonts w:ascii="Times New Roman" w:hAnsi="Times New Roman" w:cs="Times New Roman"/>
          <w:i/>
        </w:rPr>
      </w:pPr>
      <w:r w:rsidRPr="000F1C2D">
        <w:rPr>
          <w:rFonts w:ascii="Times New Roman" w:hAnsi="Times New Roman" w:cs="Times New Roman"/>
          <w:i/>
        </w:rPr>
        <w:t xml:space="preserve"> </w:t>
      </w:r>
      <w:r w:rsidR="00514A08" w:rsidRPr="000F1C2D">
        <w:rPr>
          <w:rFonts w:ascii="Times New Roman" w:hAnsi="Times New Roman" w:cs="Times New Roman"/>
          <w:i/>
        </w:rPr>
        <w:t>(Nguồn: Kết quả phân tích dữ liệu từ phần mề</w:t>
      </w:r>
      <w:r w:rsidR="000079A3" w:rsidRPr="000F1C2D">
        <w:rPr>
          <w:rFonts w:ascii="Times New Roman" w:hAnsi="Times New Roman" w:cs="Times New Roman"/>
          <w:i/>
        </w:rPr>
        <w:t>m SmartPLS 4)</w:t>
      </w:r>
    </w:p>
    <w:p w:rsidR="0011774F" w:rsidRDefault="0011774F" w:rsidP="00CE6996">
      <w:pPr>
        <w:spacing w:after="0" w:line="312" w:lineRule="auto"/>
        <w:ind w:firstLine="567"/>
        <w:jc w:val="both"/>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CE6996">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Kết quả kiểm định cho thấy khả năng phục hồi chuỗi cung ứ</w:t>
      </w:r>
      <w:r w:rsidR="00A26376" w:rsidRPr="000F1C2D">
        <w:rPr>
          <w:rFonts w:ascii="Times New Roman" w:hAnsi="Times New Roman" w:cs="Times New Roman"/>
        </w:rPr>
        <w:t>ng đóng vai trò trung gian</w:t>
      </w:r>
      <w:r w:rsidRPr="000F1C2D">
        <w:rPr>
          <w:rFonts w:ascii="Times New Roman" w:hAnsi="Times New Roman" w:cs="Times New Roman"/>
        </w:rPr>
        <w:t xml:space="preserve"> có ý nghĩa thống kê trong mối quan hệ giữa </w:t>
      </w:r>
      <w:r w:rsidR="00A26376" w:rsidRPr="000F1C2D">
        <w:rPr>
          <w:rFonts w:ascii="Times New Roman" w:hAnsi="Times New Roman" w:cs="Times New Roman"/>
        </w:rPr>
        <w:t xml:space="preserve">khả năng hiển thị chuỗi cung ứng </w:t>
      </w:r>
      <w:r w:rsidRPr="000F1C2D">
        <w:rPr>
          <w:rFonts w:ascii="Times New Roman" w:hAnsi="Times New Roman" w:cs="Times New Roman"/>
        </w:rPr>
        <w:t>và kết quả hoạt động chuỗi cung ứ</w:t>
      </w:r>
      <w:r w:rsidR="00A26376" w:rsidRPr="000F1C2D">
        <w:rPr>
          <w:rFonts w:ascii="Times New Roman" w:hAnsi="Times New Roman" w:cs="Times New Roman"/>
        </w:rPr>
        <w:t>ng (β = 0,</w:t>
      </w:r>
      <w:r w:rsidR="00A26376" w:rsidRPr="000F1C2D">
        <w:rPr>
          <w:rFonts w:ascii="Times New Roman" w:hAnsi="Times New Roman" w:cs="Times New Roman"/>
          <w:lang w:val="vi-VN"/>
        </w:rPr>
        <w:t>447</w:t>
      </w:r>
      <w:r w:rsidR="00A26376" w:rsidRPr="000F1C2D">
        <w:rPr>
          <w:rFonts w:ascii="Times New Roman" w:hAnsi="Times New Roman" w:cs="Times New Roman"/>
        </w:rPr>
        <w:t xml:space="preserve">; p </w:t>
      </w:r>
      <w:r w:rsidR="00EB5E4E" w:rsidRPr="000F1C2D">
        <w:rPr>
          <w:rFonts w:ascii="Times New Roman" w:hAnsi="Times New Roman" w:cs="Times New Roman"/>
          <w:lang w:val="vi-VN"/>
        </w:rPr>
        <w:t>&lt; 0,001</w:t>
      </w:r>
      <w:r w:rsidR="00EB5E4E" w:rsidRPr="000F1C2D">
        <w:rPr>
          <w:rFonts w:ascii="Times New Roman" w:hAnsi="Times New Roman" w:cs="Times New Roman"/>
        </w:rPr>
        <w:t xml:space="preserve">; t = </w:t>
      </w:r>
      <w:r w:rsidR="00EB5E4E" w:rsidRPr="000F1C2D">
        <w:rPr>
          <w:rFonts w:ascii="Times New Roman" w:hAnsi="Times New Roman" w:cs="Times New Roman"/>
          <w:lang w:val="vi-VN"/>
        </w:rPr>
        <w:t>5,491</w:t>
      </w:r>
      <w:r w:rsidRPr="000F1C2D">
        <w:rPr>
          <w:rFonts w:ascii="Times New Roman" w:hAnsi="Times New Roman" w:cs="Times New Roman"/>
        </w:rPr>
        <w:t>). Khoảng tin cậy 95% được điều chỉnh sai lệch không bao gồ</w:t>
      </w:r>
      <w:r w:rsidR="00EB5E4E" w:rsidRPr="000F1C2D">
        <w:rPr>
          <w:rFonts w:ascii="Times New Roman" w:hAnsi="Times New Roman" w:cs="Times New Roman"/>
        </w:rPr>
        <w:t>m 0 (CI:</w:t>
      </w:r>
      <w:r w:rsidR="00EB5E4E" w:rsidRPr="000F1C2D">
        <w:rPr>
          <w:rFonts w:ascii="Times New Roman" w:hAnsi="Times New Roman" w:cs="Times New Roman"/>
          <w:lang w:val="vi-VN"/>
        </w:rPr>
        <w:t xml:space="preserve"> </w:t>
      </w:r>
      <w:r w:rsidR="00EB5E4E" w:rsidRPr="000F1C2D">
        <w:rPr>
          <w:rFonts w:ascii="Times New Roman" w:eastAsiaTheme="majorEastAsia" w:hAnsi="Times New Roman" w:cs="Times New Roman"/>
        </w:rPr>
        <w:t>[0,</w:t>
      </w:r>
      <w:r w:rsidR="00EB5E4E" w:rsidRPr="000F1C2D">
        <w:rPr>
          <w:rFonts w:ascii="Times New Roman" w:eastAsiaTheme="majorEastAsia" w:hAnsi="Times New Roman" w:cs="Times New Roman"/>
          <w:lang w:val="vi-VN"/>
        </w:rPr>
        <w:t>312</w:t>
      </w:r>
      <w:r w:rsidR="00CE6996" w:rsidRPr="000F1C2D">
        <w:rPr>
          <w:rFonts w:ascii="Times New Roman" w:eastAsiaTheme="majorEastAsia" w:hAnsi="Times New Roman" w:cs="Times New Roman"/>
          <w:lang w:val="vi-VN"/>
        </w:rPr>
        <w:t xml:space="preserve"> </w:t>
      </w:r>
      <w:r w:rsidR="00EB5E4E" w:rsidRPr="000F1C2D">
        <w:rPr>
          <w:rFonts w:ascii="Times New Roman" w:eastAsiaTheme="majorEastAsia" w:hAnsi="Times New Roman" w:cs="Times New Roman"/>
        </w:rPr>
        <w:t>: 0,</w:t>
      </w:r>
      <w:r w:rsidR="00EB5E4E" w:rsidRPr="000F1C2D">
        <w:rPr>
          <w:rFonts w:ascii="Times New Roman" w:eastAsiaTheme="majorEastAsia" w:hAnsi="Times New Roman" w:cs="Times New Roman"/>
          <w:lang w:val="vi-VN"/>
        </w:rPr>
        <w:t>629</w:t>
      </w:r>
      <w:r w:rsidRPr="000F1C2D">
        <w:rPr>
          <w:rFonts w:ascii="Times New Roman" w:eastAsiaTheme="majorEastAsia" w:hAnsi="Times New Roman" w:cs="Times New Roman"/>
        </w:rPr>
        <w:t>])</w:t>
      </w:r>
      <w:r w:rsidRPr="000F1C2D">
        <w:rPr>
          <w:rFonts w:ascii="Times New Roman" w:hAnsi="Times New Roman" w:cs="Times New Roman"/>
        </w:rPr>
        <w:t>, cho thấy sự chắc chắn trong kết quả. Vì vậy, giả thuyế</w:t>
      </w:r>
      <w:r w:rsidR="00EB5E4E" w:rsidRPr="000F1C2D">
        <w:rPr>
          <w:rFonts w:ascii="Times New Roman" w:hAnsi="Times New Roman" w:cs="Times New Roman"/>
        </w:rPr>
        <w:t xml:space="preserve">t </w:t>
      </w:r>
      <w:r w:rsidR="00EB5E4E" w:rsidRPr="000F1C2D">
        <w:rPr>
          <w:rFonts w:ascii="Times New Roman" w:hAnsi="Times New Roman" w:cs="Times New Roman"/>
          <w:lang w:val="vi-VN"/>
        </w:rPr>
        <w:t>H3</w:t>
      </w:r>
      <w:r w:rsidRPr="000F1C2D">
        <w:rPr>
          <w:rFonts w:ascii="Times New Roman" w:hAnsi="Times New Roman" w:cs="Times New Roman"/>
        </w:rPr>
        <w:t>b được ủng hộ.</w:t>
      </w:r>
    </w:p>
    <w:p w:rsidR="0018576B" w:rsidRPr="000F1C2D" w:rsidRDefault="0018576B" w:rsidP="0018576B">
      <w:pPr>
        <w:spacing w:after="0" w:line="312" w:lineRule="auto"/>
        <w:ind w:firstLine="567"/>
        <w:jc w:val="both"/>
        <w:rPr>
          <w:rFonts w:ascii="Times New Roman" w:hAnsi="Times New Roman" w:cs="Times New Roman"/>
        </w:rPr>
      </w:pPr>
      <w:r w:rsidRPr="000F1C2D">
        <w:rPr>
          <w:rFonts w:ascii="Times New Roman" w:hAnsi="Times New Roman" w:cs="Times New Roman"/>
        </w:rPr>
        <w:t>Cuối cùng chỉ số SRMR (Standardized Root Mean Square Residual) đạ</w:t>
      </w:r>
      <w:r w:rsidR="00307554" w:rsidRPr="000F1C2D">
        <w:rPr>
          <w:rFonts w:ascii="Times New Roman" w:hAnsi="Times New Roman" w:cs="Times New Roman"/>
        </w:rPr>
        <w:t>t 0,</w:t>
      </w:r>
      <w:r w:rsidR="00307554" w:rsidRPr="000F1C2D">
        <w:rPr>
          <w:rFonts w:ascii="Times New Roman" w:hAnsi="Times New Roman" w:cs="Times New Roman"/>
          <w:lang w:val="vi-VN"/>
        </w:rPr>
        <w:t>054</w:t>
      </w:r>
      <w:r w:rsidRPr="000F1C2D">
        <w:rPr>
          <w:rFonts w:ascii="Times New Roman" w:hAnsi="Times New Roman" w:cs="Times New Roman"/>
        </w:rPr>
        <w:t>, nhỏ hơn ngưỡng 0,08, cho thấy mức độ phù hợ</w:t>
      </w:r>
      <w:r w:rsidR="00EB5E4E" w:rsidRPr="000F1C2D">
        <w:rPr>
          <w:rFonts w:ascii="Times New Roman" w:hAnsi="Times New Roman" w:cs="Times New Roman"/>
        </w:rPr>
        <w:t xml:space="preserve">p </w:t>
      </w:r>
      <w:r w:rsidR="00EB5E4E" w:rsidRPr="000F1C2D">
        <w:rPr>
          <w:rFonts w:ascii="Times New Roman" w:hAnsi="Times New Roman" w:cs="Times New Roman"/>
          <w:lang w:val="vi-VN"/>
        </w:rPr>
        <w:t>của</w:t>
      </w:r>
      <w:r w:rsidR="00EB5E4E" w:rsidRPr="000F1C2D">
        <w:rPr>
          <w:rFonts w:ascii="Times New Roman" w:hAnsi="Times New Roman" w:cs="Times New Roman"/>
        </w:rPr>
        <w:t xml:space="preserve"> mô hình</w:t>
      </w:r>
      <w:r w:rsidR="00EB5E4E" w:rsidRPr="000F1C2D">
        <w:rPr>
          <w:rFonts w:ascii="Times New Roman" w:hAnsi="Times New Roman" w:cs="Times New Roman"/>
          <w:lang w:val="vi-VN"/>
        </w:rPr>
        <w:t xml:space="preserve"> nghiên cứu</w:t>
      </w:r>
      <w:r w:rsidRPr="000F1C2D">
        <w:rPr>
          <w:rFonts w:ascii="Times New Roman" w:hAnsi="Times New Roman" w:cs="Times New Roman"/>
        </w:rPr>
        <w:t xml:space="preserve"> </w:t>
      </w:r>
      <w:r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&lt;EndNote&gt;&lt;Cite&gt;&lt;Author&gt;Henseler&lt;/Author&gt;&lt;Year&gt;2015&lt;/Year&gt;&lt;RecNum&gt;33&lt;/RecNum&gt;&lt;DisplayText&gt;&lt;style face="superscript"&gt;29&lt;/style&gt;&lt;/DisplayText&gt;&lt;record&gt;&lt;rec-number&gt;33&lt;/rec-number&gt;&lt;foreign-keys&gt;&lt;key app="EN" db-id="zrxvexxvx0vtpmeafst5dtv5w2zx9fwa0ffp" timestamp="1753852410"&gt;33&lt;/key&gt;&lt;/foreign-keys&gt;&lt;ref-type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29</w:t>
      </w:r>
      <w:r w:rsidRPr="000F1C2D">
        <w:rPr>
          <w:rFonts w:ascii="Times New Roman" w:hAnsi="Times New Roman" w:cs="Times New Roman"/>
        </w:rPr>
        <w:fldChar w:fldCharType="end"/>
      </w:r>
      <w:r w:rsidRPr="000F1C2D">
        <w:rPr>
          <w:rFonts w:ascii="Times New Roman" w:hAnsi="Times New Roman" w:cs="Times New Roman"/>
        </w:rPr>
        <w:t>.</w:t>
      </w:r>
    </w:p>
    <w:p w:rsidR="0018576B" w:rsidRPr="000F1C2D" w:rsidRDefault="0018576B" w:rsidP="00CE6996">
      <w:pPr>
        <w:spacing w:after="0" w:line="312" w:lineRule="auto"/>
        <w:ind w:firstLine="567"/>
        <w:jc w:val="both"/>
        <w:rPr>
          <w:rFonts w:ascii="Times New Roman" w:hAnsi="Times New Roman" w:cs="Times New Roman"/>
        </w:rPr>
      </w:pPr>
      <w:r w:rsidRPr="000F1C2D">
        <w:rPr>
          <w:rFonts w:ascii="Times New Roman" w:hAnsi="Times New Roman" w:cs="Times New Roman"/>
        </w:rPr>
        <w:t>Mức độ phù hợp dự đoán của các biến phụ thuộc được đánh giá t</w:t>
      </w:r>
      <w:r w:rsidR="004D0B9F" w:rsidRPr="000F1C2D">
        <w:rPr>
          <w:rFonts w:ascii="Times New Roman" w:hAnsi="Times New Roman" w:cs="Times New Roman"/>
        </w:rPr>
        <w:t>hông qua quy trình Blindfolding</w:t>
      </w:r>
      <w:r w:rsidR="004D0B9F"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&lt;EndNote&gt;&lt;Cite&gt;&lt;Author&gt;Sarstedt&lt;/Author&gt;&lt;Year&gt;2021&lt;/Year&gt;&lt;RecNum&gt;152&lt;/RecNum&gt;&lt;DisplayText&gt;&lt;style face="superscript"&gt;32&lt;/style&gt;&lt;/DisplayText&gt;&lt;record&gt;&lt;rec-number&gt;152&lt;/rec-number&gt;&lt;foreign-keys&gt;&lt;key app="EN" db-id="zrxvexxvx0vtpmeafst5dtv5w2zx9fwa0ffp" timestamp="1754441593"&gt;152&lt;/key&gt;&lt;/foreign-keys&gt;&lt;ref-type name="Book Section"&gt;5&lt;/ref-type&gt;&lt;contributors&gt;&lt;authors&gt;&lt;author&gt;Sarstedt,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research&lt;/secondary-title&gt;&lt;/titles&gt;&lt;pages&gt;587-632&lt;/pages&gt;&lt;dates&gt;&lt;year&gt;2021&lt;/year&gt;&lt;/dates&gt;&lt;publisher&gt;Springer&lt;/publisher&gt;&lt;urls&gt;&lt;/urls&gt;&lt;/record&gt;&lt;/Cite&gt;&lt;/EndNote&gt;</w:instrText>
      </w:r>
      <w:r w:rsidR="004D0B9F"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32</w:t>
      </w:r>
      <w:r w:rsidR="004D0B9F" w:rsidRPr="000F1C2D">
        <w:rPr>
          <w:rFonts w:ascii="Times New Roman" w:hAnsi="Times New Roman" w:cs="Times New Roman"/>
        </w:rPr>
        <w:fldChar w:fldCharType="end"/>
      </w:r>
      <w:r w:rsidR="004D0B9F" w:rsidRPr="000F1C2D">
        <w:rPr>
          <w:rFonts w:ascii="Times New Roman" w:hAnsi="Times New Roman" w:cs="Times New Roman"/>
          <w:lang w:val="vi-VN"/>
        </w:rPr>
        <w:t>.</w:t>
      </w:r>
      <w:r w:rsidRPr="000F1C2D">
        <w:rPr>
          <w:rFonts w:ascii="Times New Roman" w:hAnsi="Times New Roman" w:cs="Times New Roman"/>
        </w:rPr>
        <w:t xml:space="preserve"> Kết quả cho thấy mô hình có khả năng dự đoán lớn đối với SCR (Q² = 0,382) và khả năng dự đoán trung bình đối vớ</w:t>
      </w:r>
      <w:r w:rsidR="00CE6996" w:rsidRPr="000F1C2D">
        <w:rPr>
          <w:rFonts w:ascii="Times New Roman" w:hAnsi="Times New Roman" w:cs="Times New Roman"/>
        </w:rPr>
        <w:t xml:space="preserve">i </w:t>
      </w:r>
      <w:r w:rsidR="00CE6996" w:rsidRPr="000F1C2D">
        <w:rPr>
          <w:rFonts w:ascii="Times New Roman" w:hAnsi="Times New Roman" w:cs="Times New Roman"/>
          <w:lang w:val="vi-VN"/>
        </w:rPr>
        <w:t>SCP</w:t>
      </w:r>
      <w:r w:rsidRPr="000F1C2D">
        <w:rPr>
          <w:rFonts w:ascii="Times New Roman" w:hAnsi="Times New Roman" w:cs="Times New Roman"/>
        </w:rPr>
        <w:t xml:space="preserve"> (Q² = 0,222). Điều này chứng tỏ mô hình có độ chính xác dự đoán phù hợp cho các biến phụ thuộc.</w:t>
      </w:r>
    </w:p>
    <w:p w:rsidR="0018576B" w:rsidRPr="000F1C2D" w:rsidRDefault="0018576B" w:rsidP="00EB5E4E">
      <w:pPr>
        <w:spacing w:after="0" w:line="312" w:lineRule="auto"/>
        <w:ind w:firstLine="567"/>
        <w:jc w:val="both"/>
        <w:rPr>
          <w:rFonts w:ascii="Times New Roman" w:hAnsi="Times New Roman" w:cs="Times New Roman"/>
        </w:rPr>
      </w:pPr>
      <w:r w:rsidRPr="000F1C2D">
        <w:rPr>
          <w:rFonts w:ascii="Times New Roman" w:hAnsi="Times New Roman" w:cs="Times New Roman"/>
        </w:rPr>
        <w:t>Như vậy, mô hình cấu trúc được xác nhận là phù hợ</w:t>
      </w:r>
      <w:r w:rsidR="00CE6996" w:rsidRPr="000F1C2D">
        <w:rPr>
          <w:rFonts w:ascii="Times New Roman" w:hAnsi="Times New Roman" w:cs="Times New Roman"/>
        </w:rPr>
        <w:t>p</w:t>
      </w:r>
      <w:r w:rsidRPr="000F1C2D">
        <w:rPr>
          <w:rFonts w:ascii="Times New Roman" w:hAnsi="Times New Roman" w:cs="Times New Roman"/>
        </w:rPr>
        <w:t xml:space="preserve"> </w:t>
      </w:r>
      <w:r w:rsidR="00EB5E4E" w:rsidRPr="000F1C2D">
        <w:rPr>
          <w:rFonts w:ascii="Times New Roman" w:hAnsi="Times New Roman" w:cs="Times New Roman"/>
          <w:lang w:val="vi-VN"/>
        </w:rPr>
        <w:t xml:space="preserve">hầu hết </w:t>
      </w:r>
      <w:r w:rsidRPr="000F1C2D">
        <w:rPr>
          <w:rFonts w:ascii="Times New Roman" w:hAnsi="Times New Roman" w:cs="Times New Roman"/>
        </w:rPr>
        <w:t>các giả thuyết nghiên cứu đều được hỗ trợ với ý nghĩa thống kê cao và mô hình có khả năng giải thích tốt cho mối quan hệ</w:t>
      </w:r>
      <w:r w:rsidR="00EB5E4E" w:rsidRPr="000F1C2D">
        <w:rPr>
          <w:rFonts w:ascii="Times New Roman" w:hAnsi="Times New Roman" w:cs="Times New Roman"/>
        </w:rPr>
        <w:t>.</w:t>
      </w:r>
    </w:p>
    <w:p w:rsidR="00514A08" w:rsidRPr="000F1C2D" w:rsidRDefault="00AD61DB" w:rsidP="00AD61DB">
      <w:pPr>
        <w:spacing w:after="0" w:line="312" w:lineRule="auto"/>
        <w:jc w:val="both"/>
        <w:rPr>
          <w:rFonts w:ascii="Times New Roman" w:hAnsi="Times New Roman" w:cs="Times New Roman"/>
          <w:b/>
        </w:rPr>
      </w:pPr>
      <w:r w:rsidRPr="000F1C2D">
        <w:rPr>
          <w:rFonts w:ascii="Times New Roman" w:hAnsi="Times New Roman" w:cs="Times New Roman"/>
          <w:b/>
        </w:rPr>
        <w:t>5.</w:t>
      </w:r>
      <w:r w:rsidRPr="000F1C2D">
        <w:rPr>
          <w:rFonts w:ascii="Times New Roman" w:hAnsi="Times New Roman" w:cs="Times New Roman"/>
          <w:b/>
          <w:lang w:val="vi-VN"/>
        </w:rPr>
        <w:t xml:space="preserve"> Thảo luận kết quả nghiên cứu và hàm ý</w:t>
      </w:r>
      <w:r w:rsidR="00514A08" w:rsidRPr="000F1C2D">
        <w:rPr>
          <w:rFonts w:ascii="Times New Roman" w:hAnsi="Times New Roman" w:cs="Times New Roman"/>
          <w:b/>
        </w:rPr>
        <w:t xml:space="preserve"> </w:t>
      </w:r>
    </w:p>
    <w:p w:rsidR="00514A08" w:rsidRPr="000F1C2D" w:rsidRDefault="00AD61DB"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5.1 </w:t>
      </w:r>
      <w:r w:rsidRPr="000F1C2D">
        <w:rPr>
          <w:rFonts w:ascii="Times New Roman" w:hAnsi="Times New Roman" w:cs="Times New Roman"/>
          <w:b/>
          <w:i/>
          <w:lang w:val="vi-VN"/>
        </w:rPr>
        <w:t>Thảo luận kết quả nghiên cứu</w:t>
      </w:r>
    </w:p>
    <w:p w:rsidR="00514A08" w:rsidRPr="000F1C2D" w:rsidRDefault="00514A08" w:rsidP="00B2154F">
      <w:pPr>
        <w:spacing w:after="0" w:line="312" w:lineRule="auto"/>
        <w:ind w:firstLine="567"/>
        <w:jc w:val="both"/>
        <w:rPr>
          <w:rFonts w:ascii="Times New Roman" w:hAnsi="Times New Roman" w:cs="Times New Roman"/>
          <w:lang w:val="vi-VN"/>
        </w:rPr>
      </w:pPr>
      <w:r w:rsidRPr="000F1C2D">
        <w:rPr>
          <w:rFonts w:ascii="Times New Roman" w:hAnsi="Times New Roman" w:cs="Times New Roman"/>
        </w:rPr>
        <w:t>Kết quả kiểm định giả thuyế</w:t>
      </w:r>
      <w:r w:rsidR="00FB50C0" w:rsidRPr="000F1C2D">
        <w:rPr>
          <w:rFonts w:ascii="Times New Roman" w:hAnsi="Times New Roman" w:cs="Times New Roman"/>
        </w:rPr>
        <w:t>t H1</w:t>
      </w:r>
      <w:r w:rsidRPr="000F1C2D">
        <w:rPr>
          <w:rFonts w:ascii="Times New Roman" w:hAnsi="Times New Roman" w:cs="Times New Roman"/>
        </w:rPr>
        <w:t xml:space="preserve"> cho thấy </w:t>
      </w:r>
      <w:r w:rsidR="00D47053" w:rsidRPr="000F1C2D">
        <w:rPr>
          <w:rFonts w:ascii="Times New Roman" w:hAnsi="Times New Roman" w:cs="Times New Roman"/>
        </w:rPr>
        <w:t>SCV</w:t>
      </w:r>
      <w:r w:rsidRPr="000F1C2D">
        <w:rPr>
          <w:rFonts w:ascii="Times New Roman" w:hAnsi="Times New Roman" w:cs="Times New Roman"/>
        </w:rPr>
        <w:t>có ảnh hưởng tích cự</w:t>
      </w:r>
      <w:r w:rsidR="00D47053" w:rsidRPr="000F1C2D">
        <w:rPr>
          <w:rFonts w:ascii="Times New Roman" w:hAnsi="Times New Roman" w:cs="Times New Roman"/>
        </w:rPr>
        <w:t>c</w:t>
      </w:r>
      <w:r w:rsidRPr="000F1C2D">
        <w:rPr>
          <w:rFonts w:ascii="Times New Roman" w:hAnsi="Times New Roman" w:cs="Times New Roman"/>
        </w:rPr>
        <w:t xml:space="preserve"> và có ý nghĩa thống kê đến </w:t>
      </w:r>
      <w:r w:rsidR="00D47053" w:rsidRPr="000F1C2D">
        <w:rPr>
          <w:rFonts w:ascii="Times New Roman" w:hAnsi="Times New Roman" w:cs="Times New Roman"/>
        </w:rPr>
        <w:t>SCR</w:t>
      </w:r>
      <w:r w:rsidRPr="000F1C2D">
        <w:rPr>
          <w:rFonts w:ascii="Times New Roman" w:hAnsi="Times New Roman" w:cs="Times New Roman"/>
        </w:rPr>
        <w:t xml:space="preserve">. Kết quả này phù hợp với nhiều nghiên cứu gần đây trong lĩnh vực quản trị chuỗi </w:t>
      </w:r>
      <w:r w:rsidRPr="000F1C2D">
        <w:rPr>
          <w:rFonts w:ascii="Times New Roman" w:hAnsi="Times New Roman" w:cs="Times New Roman"/>
        </w:rPr>
        <w:lastRenderedPageBreak/>
        <w:t>cung ứng. Chẳng hạn, Dubey &amp; cộng sự</w:t>
      </w:r>
      <w:r w:rsidR="006F3205"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&lt;EndNote&gt;&lt;Cite&gt;&lt;Author&gt;Dubey&lt;/Author&gt;&lt;Year&gt;2021&lt;/Year&gt;&lt;RecNum&gt;109&lt;/RecNum&gt;&lt;DisplayText&gt;&lt;style face="superscript"&gt;33&lt;/style&gt;&lt;/DisplayText&gt;&lt;record&gt;&lt;rec-number&gt;109&lt;/rec-number&gt;&lt;foreign-keys&gt;&lt;key app="EN" db-id="zrxvexxvx0vtpmeafst5dtv5w2zx9fwa0ffp" timestamp="1753859716"&gt;109&lt;/key&gt;&lt;/foreign-keys&gt;&lt;ref-type name="Journal Article"&gt;17&lt;/ref-type&gt;&lt;contributors&gt;&lt;authors&gt;&lt;author&gt;Dubey, Rameshwar&lt;/author&gt;&lt;author&gt;Gunasekaran, Angappa&lt;/author&gt;&lt;author&gt;Childe, Stephen J&lt;/author&gt;&lt;author&gt;Fosso Wamba, Samuel&lt;/author&gt;&lt;author&gt;Roubaud, David&lt;/author&gt;&lt;author&gt;Foropon, Cyril&lt;/author&gt;&lt;/authors&gt;&lt;/contributors&gt;&lt;titles&gt;&lt;title&gt;Empirical investigation of data analytics capability and organizational flexibility as complements to supply chain resilience&lt;/title&gt;&lt;secondary-title&gt;International Journal of Production Research&lt;/secondary-title&gt;&lt;/titles&gt;&lt;periodical&gt;&lt;full-title&gt;International Journal of Production Research&lt;/full-title&gt;&lt;/periodical&gt;&lt;pages&gt;110-128&lt;/pages&gt;&lt;volume&gt;59&lt;/volume&gt;&lt;number&gt;1&lt;/number&gt;&lt;dates&gt;&lt;year&gt;2021&lt;/year&gt;&lt;/dates&gt;&lt;isbn&gt;0020-7543&lt;/isbn&gt;&lt;urls&gt;&lt;/urls&gt;&lt;/record&gt;&lt;/Cite&gt;&lt;/EndNote&gt;</w:instrText>
      </w:r>
      <w:r w:rsidR="006F3205"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33</w:t>
      </w:r>
      <w:r w:rsidR="006F3205" w:rsidRPr="000F1C2D">
        <w:rPr>
          <w:rFonts w:ascii="Times New Roman" w:hAnsi="Times New Roman" w:cs="Times New Roman"/>
        </w:rPr>
        <w:fldChar w:fldCharType="end"/>
      </w:r>
      <w:r w:rsidRPr="000F1C2D">
        <w:rPr>
          <w:rFonts w:ascii="Times New Roman" w:hAnsi="Times New Roman" w:cs="Times New Roman"/>
        </w:rPr>
        <w:t xml:space="preserve"> và Queiroz &amp; cộng sự)</w:t>
      </w:r>
      <w:r w:rsidR="006F3205"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&lt;EndNote&gt;&lt;Cite&gt;&lt;Author&gt;Queiroz&lt;/Author&gt;&lt;Year&gt;2022&lt;/Year&gt;&lt;RecNum&gt;22&lt;/RecNum&gt;&lt;DisplayText&gt;&lt;style face="superscript"&gt;34&lt;/style&gt;&lt;/DisplayText&gt;&lt;record&gt;&lt;rec-number&gt;22&lt;/rec-number&gt;&lt;foreign-keys&gt;&lt;key app="EN" db-id="zrxvexxvx0vtpmeafst5dtv5w2zx9fwa0ffp" timestamp="1753847405"&gt;22&lt;/key&gt;&lt;/foreign-keys&gt;&lt;ref-type name="Journal Article"&gt;17&lt;/ref-type&gt;&lt;contributors&gt;&lt;authors&gt;&lt;author&gt;Queiroz, Maciel M&lt;/author&gt;&lt;author&gt;Ivanov, Dmitry&lt;/author&gt;&lt;author&gt;Dolgui, Alexandre&lt;/author&gt;&lt;author&gt;Fosso Wamba, Samuel&lt;/author&gt;&lt;/authors&gt;&lt;/contributors&gt;&lt;titles&gt;&lt;title&gt;Impacts of epidemic outbreaks on supply chains: mapping a research agenda amid the COVID-19 pandemic through a structured literature review&lt;/title&gt;&lt;secondary-title&gt;Annals of operations research&lt;/secondary-title&gt;&lt;/titles&gt;&lt;periodical&gt;&lt;full-title&gt;Annals of operations research&lt;/full-title&gt;&lt;/periodical&gt;&lt;pages&gt;1159-1196&lt;/pages&gt;&lt;volume&gt;319&lt;/volume&gt;&lt;number&gt;1&lt;/number&gt;&lt;dates&gt;&lt;year&gt;2022&lt;/year&gt;&lt;/dates&gt;&lt;isbn&gt;0254-5330&lt;/isbn&gt;&lt;urls&gt;&lt;/urls&gt;&lt;/record&gt;&lt;/Cite&gt;&lt;/EndNote&gt;</w:instrText>
      </w:r>
      <w:r w:rsidR="006F3205"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34</w:t>
      </w:r>
      <w:r w:rsidR="006F3205" w:rsidRPr="000F1C2D">
        <w:rPr>
          <w:rFonts w:ascii="Times New Roman" w:hAnsi="Times New Roman" w:cs="Times New Roman"/>
        </w:rPr>
        <w:fldChar w:fldCharType="end"/>
      </w:r>
      <w:r w:rsidRPr="000F1C2D">
        <w:rPr>
          <w:rFonts w:ascii="Times New Roman" w:hAnsi="Times New Roman" w:cs="Times New Roman"/>
        </w:rPr>
        <w:t xml:space="preserve"> cho rằng khả năng minh bạch, kết nối và chia sẻ dữ liệu theo thời gian thực chính là yếu tố nền giúp doanh nghiệp xây dựng khả năng phục hồi chuỗi cung ứng một cách chủ động thay vì phản ứng bị động. Đồng thời kết quả cũng phù hợp với lập luận của lý thuyết năng lực độ</w:t>
      </w:r>
      <w:r w:rsidR="00DA610E" w:rsidRPr="000F1C2D">
        <w:rPr>
          <w:rFonts w:ascii="Times New Roman" w:hAnsi="Times New Roman" w:cs="Times New Roman"/>
        </w:rPr>
        <w:t>ng</w:t>
      </w:r>
      <w:r w:rsidR="00DA610E"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DA610E"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23</w:t>
      </w:r>
      <w:r w:rsidR="00DA610E" w:rsidRPr="000F1C2D">
        <w:rPr>
          <w:rFonts w:ascii="Times New Roman" w:hAnsi="Times New Roman" w:cs="Times New Roman"/>
        </w:rPr>
        <w:fldChar w:fldCharType="end"/>
      </w:r>
      <w:r w:rsidR="00DA610E" w:rsidRPr="000F1C2D">
        <w:rPr>
          <w:rFonts w:ascii="Times New Roman" w:hAnsi="Times New Roman" w:cs="Times New Roman"/>
          <w:lang w:val="vi-VN"/>
        </w:rPr>
        <w:t>.</w:t>
      </w:r>
    </w:p>
    <w:p w:rsidR="00FB50C0" w:rsidRPr="000F1C2D"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Kết quả kiểm định giả thuyế</w:t>
      </w:r>
      <w:r w:rsidR="00FB50C0" w:rsidRPr="000F1C2D">
        <w:rPr>
          <w:rFonts w:ascii="Times New Roman" w:hAnsi="Times New Roman" w:cs="Times New Roman"/>
        </w:rPr>
        <w:t>t H2</w:t>
      </w:r>
      <w:r w:rsidRPr="000F1C2D">
        <w:rPr>
          <w:rFonts w:ascii="Times New Roman" w:hAnsi="Times New Roman" w:cs="Times New Roman"/>
        </w:rPr>
        <w:t xml:space="preserve"> cho thấy </w:t>
      </w:r>
      <w:r w:rsidR="00D47053" w:rsidRPr="000F1C2D">
        <w:rPr>
          <w:rFonts w:ascii="Times New Roman" w:hAnsi="Times New Roman" w:cs="Times New Roman"/>
        </w:rPr>
        <w:t xml:space="preserve">SCR </w:t>
      </w:r>
      <w:r w:rsidRPr="000F1C2D">
        <w:rPr>
          <w:rFonts w:ascii="Times New Roman" w:hAnsi="Times New Roman" w:cs="Times New Roman"/>
        </w:rPr>
        <w:t xml:space="preserve">có ảnh hưởng tích cực và có ý nghĩa thống kê đến </w:t>
      </w:r>
      <w:r w:rsidR="00D47053" w:rsidRPr="000F1C2D">
        <w:rPr>
          <w:rFonts w:ascii="Times New Roman" w:hAnsi="Times New Roman" w:cs="Times New Roman"/>
        </w:rPr>
        <w:t>SCP</w:t>
      </w:r>
      <w:r w:rsidRPr="000F1C2D">
        <w:rPr>
          <w:rFonts w:ascii="Times New Roman" w:hAnsi="Times New Roman" w:cs="Times New Roman"/>
        </w:rPr>
        <w:t xml:space="preserve">. </w:t>
      </w:r>
      <w:r w:rsidR="00D47053" w:rsidRPr="000F1C2D">
        <w:rPr>
          <w:rFonts w:ascii="Times New Roman" w:hAnsi="Times New Roman" w:cs="Times New Roman"/>
        </w:rPr>
        <w:t>K</w:t>
      </w:r>
      <w:r w:rsidRPr="000F1C2D">
        <w:rPr>
          <w:rFonts w:ascii="Times New Roman" w:hAnsi="Times New Roman" w:cs="Times New Roman"/>
        </w:rPr>
        <w:t xml:space="preserve">ết quả này vẫn khẳng định vai trò quan trọng của </w:t>
      </w:r>
      <w:r w:rsidR="00B2154F" w:rsidRPr="000F1C2D">
        <w:rPr>
          <w:rFonts w:ascii="Times New Roman" w:hAnsi="Times New Roman" w:cs="Times New Roman"/>
        </w:rPr>
        <w:t>SCR</w:t>
      </w:r>
      <w:r w:rsidRPr="000F1C2D">
        <w:rPr>
          <w:rFonts w:ascii="Times New Roman" w:hAnsi="Times New Roman" w:cs="Times New Roman"/>
        </w:rPr>
        <w:t xml:space="preserve"> như một năng lực tổ chức thiết yếu giúp </w:t>
      </w:r>
      <w:r w:rsidR="00B2154F" w:rsidRPr="000F1C2D">
        <w:rPr>
          <w:rFonts w:ascii="Times New Roman" w:hAnsi="Times New Roman" w:cs="Times New Roman"/>
        </w:rPr>
        <w:t xml:space="preserve">chuỗi cung ứng </w:t>
      </w:r>
      <w:r w:rsidRPr="000F1C2D">
        <w:rPr>
          <w:rFonts w:ascii="Times New Roman" w:hAnsi="Times New Roman" w:cs="Times New Roman"/>
        </w:rPr>
        <w:t>doanh nghiệp duy trì và cải thiệ</w:t>
      </w:r>
      <w:r w:rsidR="00B2154F" w:rsidRPr="000F1C2D">
        <w:rPr>
          <w:rFonts w:ascii="Times New Roman" w:hAnsi="Times New Roman" w:cs="Times New Roman"/>
        </w:rPr>
        <w:t>n kết</w:t>
      </w:r>
      <w:r w:rsidRPr="000F1C2D">
        <w:rPr>
          <w:rFonts w:ascii="Times New Roman" w:hAnsi="Times New Roman" w:cs="Times New Roman"/>
        </w:rPr>
        <w:t xml:space="preserve"> quả vận hành trong bối cảnh </w:t>
      </w:r>
      <w:r w:rsidR="00B2154F" w:rsidRPr="000F1C2D">
        <w:rPr>
          <w:rFonts w:ascii="Times New Roman" w:hAnsi="Times New Roman" w:cs="Times New Roman"/>
        </w:rPr>
        <w:t>biến động</w:t>
      </w:r>
      <w:r w:rsidRPr="000F1C2D">
        <w:rPr>
          <w:rFonts w:ascii="Times New Roman" w:hAnsi="Times New Roman" w:cs="Times New Roman"/>
        </w:rPr>
        <w:t xml:space="preserve"> và gián đoạn ngày càng phổ biến. Kết quả này hoàn toàn phù hợp với lập luận của lý thuyết năng lực động</w:t>
      </w:r>
      <w:r w:rsidR="00035728"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35728"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21</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35728"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22</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23</w:t>
      </w:r>
      <w:r w:rsidR="00035728" w:rsidRPr="000F1C2D">
        <w:rPr>
          <w:rFonts w:ascii="Times New Roman" w:hAnsi="Times New Roman" w:cs="Times New Roman"/>
        </w:rPr>
        <w:fldChar w:fldCharType="end"/>
      </w:r>
      <w:r w:rsidRPr="000F1C2D">
        <w:rPr>
          <w:rFonts w:ascii="Times New Roman" w:hAnsi="Times New Roman" w:cs="Times New Roman"/>
        </w:rPr>
        <w:t>, theo đó khả năng phục hồi chuỗi cung ứng là biểu hiện cụ thể của khả năng tái cấu hình nguồn lực, học hỏi và thích nghi nhanh chóng trước các thay đổi trong môi trường kinh doanh. Kết quả này cũng phù hợp với nhiều nghiên cứu trướ</w:t>
      </w:r>
      <w:r w:rsidR="00DA610E" w:rsidRPr="000F1C2D">
        <w:rPr>
          <w:rFonts w:ascii="Times New Roman" w:hAnsi="Times New Roman" w:cs="Times New Roman"/>
        </w:rPr>
        <w:t>c</w:t>
      </w:r>
      <w:r w:rsidR="00C335E6"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C335E6"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3</w:t>
      </w:r>
      <w:r w:rsidR="00C335E6" w:rsidRPr="000F1C2D">
        <w:rPr>
          <w:rFonts w:ascii="Times New Roman" w:hAnsi="Times New Roman" w:cs="Times New Roma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lang w:val="vi-VN"/>
        </w:rPr>
        <w:instrText xml:space="preserve"> ADDIN EN.CITE </w:instrText>
      </w:r>
      <w:r w:rsidR="00C335E6" w:rsidRPr="000F1C2D">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lang w:val="vi-VN"/>
        </w:rPr>
        <w:instrText xml:space="preserve"> ADDIN EN.CITE.DATA </w:instrText>
      </w:r>
      <w:r w:rsidR="00C335E6" w:rsidRPr="000F1C2D">
        <w:rPr>
          <w:rFonts w:ascii="Times New Roman" w:hAnsi="Times New Roman" w:cs="Times New Roman"/>
          <w:lang w:val="vi-VN"/>
        </w:rPr>
      </w:r>
      <w:r w:rsidR="00C335E6" w:rsidRPr="000F1C2D">
        <w:rPr>
          <w:rFonts w:ascii="Times New Roman" w:hAnsi="Times New Roman" w:cs="Times New Roman"/>
          <w:lang w:val="vi-VN"/>
        </w:rPr>
        <w:fldChar w:fldCharType="end"/>
      </w:r>
      <w:r w:rsidR="00C335E6" w:rsidRPr="000F1C2D">
        <w:rPr>
          <w:rFonts w:ascii="Times New Roman" w:hAnsi="Times New Roman" w:cs="Times New Roman"/>
          <w:lang w:val="vi-VN"/>
        </w:rPr>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16</w:t>
      </w:r>
      <w:r w:rsidR="00C335E6" w:rsidRPr="000F1C2D">
        <w:rPr>
          <w:rFonts w:ascii="Times New Roman" w:hAnsi="Times New Roman" w:cs="Times New Roman"/>
          <w:lang w:val="vi-V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r>
      <w:r w:rsidR="00C335E6" w:rsidRPr="000F1C2D">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4</w:t>
      </w:r>
      <w:r w:rsidR="00C335E6" w:rsidRPr="000F1C2D">
        <w:rPr>
          <w:rFonts w:ascii="Times New Roman" w:hAnsi="Times New Roman" w:cs="Times New Roman"/>
          <w:lang w:val="vi-VN"/>
        </w:rPr>
        <w:fldChar w:fldCharType="end"/>
      </w:r>
      <w:r w:rsidR="00DA610E" w:rsidRPr="000F1C2D">
        <w:rPr>
          <w:rFonts w:ascii="Times New Roman" w:hAnsi="Times New Roman" w:cs="Times New Roman"/>
          <w:lang w:val="vi-VN"/>
        </w:rPr>
        <w:t>.</w:t>
      </w:r>
      <w:r w:rsidRPr="000F1C2D">
        <w:rPr>
          <w:rFonts w:ascii="Times New Roman" w:hAnsi="Times New Roman" w:cs="Times New Roman"/>
        </w:rPr>
        <w:t xml:space="preserve"> Chẳng hạn, </w:t>
      </w:r>
      <w:r w:rsidR="00035728" w:rsidRPr="000F1C2D">
        <w:rPr>
          <w:rFonts w:ascii="Times New Roman" w:hAnsi="Times New Roman" w:cs="Times New Roman"/>
          <w:lang w:val="vi-VN"/>
        </w:rPr>
        <w:t>Zhao</w:t>
      </w:r>
      <w:r w:rsidR="00035728" w:rsidRPr="000F1C2D">
        <w:rPr>
          <w:rFonts w:ascii="Times New Roman" w:hAnsi="Times New Roman" w:cs="Times New Roman"/>
        </w:rPr>
        <w:t xml:space="preserve"> &amp; </w:t>
      </w:r>
      <w:r w:rsidR="00035728" w:rsidRPr="000F1C2D">
        <w:rPr>
          <w:rFonts w:ascii="Times New Roman" w:hAnsi="Times New Roman" w:cs="Times New Roman"/>
          <w:lang w:val="vi-VN"/>
        </w:rPr>
        <w:t>cộng sự</w:t>
      </w:r>
      <w:r w:rsidR="00035728" w:rsidRPr="000F1C2D">
        <w:rPr>
          <w:rFonts w:ascii="Times New Roman" w:hAnsi="Times New Roman" w:cs="Times New Roman"/>
          <w:lang w:val="vi-VN"/>
        </w:rPr>
        <w:fldChar w:fldCharType="begin"/>
      </w:r>
      <w:r w:rsidR="00035728" w:rsidRPr="000F1C2D">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035728" w:rsidRPr="000F1C2D">
        <w:rPr>
          <w:rFonts w:ascii="Times New Roman" w:hAnsi="Times New Roman" w:cs="Times New Roman"/>
          <w:lang w:val="vi-VN"/>
        </w:rPr>
        <w:fldChar w:fldCharType="separate"/>
      </w:r>
      <w:r w:rsidR="00035728" w:rsidRPr="000F1C2D">
        <w:rPr>
          <w:rFonts w:ascii="Times New Roman" w:hAnsi="Times New Roman" w:cs="Times New Roman"/>
          <w:noProof/>
          <w:vertAlign w:val="superscript"/>
          <w:lang w:val="vi-VN"/>
        </w:rPr>
        <w:t>4</w:t>
      </w:r>
      <w:r w:rsidR="00035728" w:rsidRPr="000F1C2D">
        <w:rPr>
          <w:rFonts w:ascii="Times New Roman" w:hAnsi="Times New Roman" w:cs="Times New Roman"/>
          <w:lang w:val="vi-VN"/>
        </w:rPr>
        <w:fldChar w:fldCharType="end"/>
      </w:r>
      <w:r w:rsidR="00035728" w:rsidRPr="000F1C2D">
        <w:rPr>
          <w:rFonts w:ascii="Times New Roman" w:hAnsi="Times New Roman" w:cs="Times New Roman"/>
        </w:rPr>
        <w:t xml:space="preserve"> </w:t>
      </w:r>
      <w:r w:rsidRPr="000F1C2D">
        <w:rPr>
          <w:rFonts w:ascii="Times New Roman" w:hAnsi="Times New Roman" w:cs="Times New Roman"/>
        </w:rPr>
        <w:t xml:space="preserve"> nhấn mạnh rằng khả năng phục hồi chuỗi cung ứng giúp doanh nghiệp duy trì kết quả hoạt động chuỗi cung ứng trước những cú sốc từ thị trườ</w:t>
      </w:r>
      <w:r w:rsidR="00035728" w:rsidRPr="000F1C2D">
        <w:rPr>
          <w:rFonts w:ascii="Times New Roman" w:hAnsi="Times New Roman" w:cs="Times New Roman"/>
        </w:rPr>
        <w:t>ng</w:t>
      </w:r>
      <w:r w:rsidRPr="000F1C2D">
        <w:rPr>
          <w:rFonts w:ascii="Times New Roman" w:hAnsi="Times New Roman" w:cs="Times New Roman"/>
        </w:rPr>
        <w:t>.</w:t>
      </w:r>
    </w:p>
    <w:p w:rsidR="00FB50C0" w:rsidRPr="000F1C2D" w:rsidRDefault="00FB50C0"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Kết quả kiểm định giả thuyết H3a không được ủng hộ. Mặc dù SCV được kỳ vọng cải thiện SCP nhưng kết quả cho thấy mối quan hệ trực tiếp không có ý nghĩa thống kê. Điều này gợi ý rằng </w:t>
      </w:r>
      <w:r w:rsidRPr="000F1C2D">
        <w:rPr>
          <w:rFonts w:ascii="Times New Roman" w:hAnsi="Times New Roman" w:cs="Times New Roman"/>
        </w:rPr>
        <w:lastRenderedPageBreak/>
        <w:t xml:space="preserve">SCV có thể không đủ để tác </w:t>
      </w:r>
      <w:r w:rsidR="00B2154F" w:rsidRPr="000F1C2D">
        <w:rPr>
          <w:rFonts w:ascii="Times New Roman" w:hAnsi="Times New Roman" w:cs="Times New Roman"/>
        </w:rPr>
        <w:t>động đến SCP</w:t>
      </w:r>
      <w:r w:rsidRPr="000F1C2D">
        <w:rPr>
          <w:rFonts w:ascii="Times New Roman" w:hAnsi="Times New Roman" w:cs="Times New Roman"/>
        </w:rPr>
        <w:t xml:space="preserve"> nếu thiếu sự hỗ trợ từ các năng lực điều chỉnh như SCR. </w:t>
      </w:r>
      <w:r w:rsidR="00B2154F" w:rsidRPr="000F1C2D">
        <w:rPr>
          <w:rFonts w:ascii="Times New Roman" w:hAnsi="Times New Roman" w:cs="Times New Roman"/>
        </w:rPr>
        <w:t>Điều này cũng khá p</w:t>
      </w:r>
      <w:r w:rsidRPr="000F1C2D">
        <w:rPr>
          <w:rFonts w:ascii="Times New Roman" w:hAnsi="Times New Roman" w:cs="Times New Roman"/>
        </w:rPr>
        <w:t>hù hợp với lý thuyết năng lực độ</w:t>
      </w:r>
      <w:r w:rsidR="00B2154F" w:rsidRPr="000F1C2D">
        <w:rPr>
          <w:rFonts w:ascii="Times New Roman" w:hAnsi="Times New Roman" w:cs="Times New Roman"/>
        </w:rPr>
        <w:t>ng</w:t>
      </w:r>
      <w:r w:rsidRPr="000F1C2D">
        <w:rPr>
          <w:rFonts w:ascii="Times New Roman" w:hAnsi="Times New Roman" w:cs="Times New Roman"/>
        </w:rPr>
        <w:t>, SCV chỉ cung cấp khả</w:t>
      </w:r>
      <w:r w:rsidR="00B2154F" w:rsidRPr="000F1C2D">
        <w:rPr>
          <w:rFonts w:ascii="Times New Roman" w:hAnsi="Times New Roman" w:cs="Times New Roman"/>
        </w:rPr>
        <w:t xml:space="preserve"> năng </w:t>
      </w:r>
      <w:r w:rsidRPr="000F1C2D">
        <w:rPr>
          <w:rFonts w:ascii="Times New Roman" w:hAnsi="Times New Roman" w:cs="Times New Roman"/>
        </w:rPr>
        <w:t>nhận biế</w:t>
      </w:r>
      <w:r w:rsidR="00B2154F" w:rsidRPr="000F1C2D">
        <w:rPr>
          <w:rFonts w:ascii="Times New Roman" w:hAnsi="Times New Roman" w:cs="Times New Roman"/>
        </w:rPr>
        <w:t xml:space="preserve">t và </w:t>
      </w:r>
      <w:r w:rsidRPr="000F1C2D">
        <w:rPr>
          <w:rFonts w:ascii="Times New Roman" w:hAnsi="Times New Roman" w:cs="Times New Roman"/>
        </w:rPr>
        <w:t>nắm bắ</w:t>
      </w:r>
      <w:r w:rsidR="00B2154F" w:rsidRPr="000F1C2D">
        <w:rPr>
          <w:rFonts w:ascii="Times New Roman" w:hAnsi="Times New Roman" w:cs="Times New Roman"/>
        </w:rPr>
        <w:t>t</w:t>
      </w:r>
      <w:r w:rsidRPr="000F1C2D">
        <w:rPr>
          <w:rFonts w:ascii="Times New Roman" w:hAnsi="Times New Roman" w:cs="Times New Roman"/>
        </w:rPr>
        <w:t xml:space="preserve"> còn kết quả đầu ra phụ thuộc nhiều vào khả năng tổ chức lại nguồn lực khi xảy ra gián đoạn. Kết quả này cho thấy vai trò trung gian của SCR là thiết yếu và làm rõ hơn cơ chế tác động gián tiếp của SCV đến SCP.</w:t>
      </w:r>
    </w:p>
    <w:p w:rsidR="00FB50C0" w:rsidRPr="000F1C2D"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 Kết quả kiểm định giả thuyết H4b cho thấ</w:t>
      </w:r>
      <w:r w:rsidR="00FB50C0" w:rsidRPr="000F1C2D">
        <w:rPr>
          <w:rFonts w:ascii="Times New Roman" w:hAnsi="Times New Roman" w:cs="Times New Roman"/>
        </w:rPr>
        <w:t>y</w:t>
      </w:r>
      <w:r w:rsidRPr="000F1C2D">
        <w:rPr>
          <w:rFonts w:ascii="Times New Roman" w:hAnsi="Times New Roman" w:cs="Times New Roman"/>
        </w:rPr>
        <w:t xml:space="preserve"> tác động gián tiếp từ </w:t>
      </w:r>
      <w:r w:rsidR="00FB50C0" w:rsidRPr="000F1C2D">
        <w:rPr>
          <w:rFonts w:ascii="Times New Roman" w:hAnsi="Times New Roman" w:cs="Times New Roman"/>
        </w:rPr>
        <w:t xml:space="preserve">SCV </w:t>
      </w:r>
      <w:r w:rsidRPr="000F1C2D">
        <w:rPr>
          <w:rFonts w:ascii="Times New Roman" w:hAnsi="Times New Roman" w:cs="Times New Roman"/>
        </w:rPr>
        <w:t xml:space="preserve">đến </w:t>
      </w:r>
      <w:r w:rsidR="00FB50C0" w:rsidRPr="000F1C2D">
        <w:rPr>
          <w:rFonts w:ascii="Times New Roman" w:hAnsi="Times New Roman" w:cs="Times New Roman"/>
        </w:rPr>
        <w:t>SCP</w:t>
      </w:r>
      <w:r w:rsidRPr="000F1C2D">
        <w:rPr>
          <w:rFonts w:ascii="Times New Roman" w:hAnsi="Times New Roman" w:cs="Times New Roman"/>
        </w:rPr>
        <w:t xml:space="preserve"> thông qua </w:t>
      </w:r>
      <w:r w:rsidR="00FB50C0" w:rsidRPr="000F1C2D">
        <w:rPr>
          <w:rFonts w:ascii="Times New Roman" w:hAnsi="Times New Roman" w:cs="Times New Roman"/>
        </w:rPr>
        <w:t>SCV</w:t>
      </w:r>
      <w:r w:rsidRPr="000F1C2D">
        <w:rPr>
          <w:rFonts w:ascii="Times New Roman" w:hAnsi="Times New Roman" w:cs="Times New Roman"/>
        </w:rPr>
        <w:t xml:space="preserve"> có ý nghĩa thống kê. Đây là đóng góp quan trọng vì hầu hết các nghiên cứu trước đây mới chỉ xét </w:t>
      </w:r>
      <w:r w:rsidR="00FB50C0" w:rsidRPr="000F1C2D">
        <w:rPr>
          <w:rFonts w:ascii="Times New Roman" w:hAnsi="Times New Roman" w:cs="Times New Roman"/>
        </w:rPr>
        <w:t>mối quan hệ giữa SCV và SCP hoặc SCR và SCP</w:t>
      </w:r>
      <w:r w:rsidRPr="000F1C2D">
        <w:rPr>
          <w:rFonts w:ascii="Times New Roman" w:hAnsi="Times New Roman" w:cs="Times New Roman"/>
        </w:rPr>
        <w:t>. Kết quả này cũng phù hợp với lập luận của lý thuyết năng lực độ</w:t>
      </w:r>
      <w:r w:rsidR="00035728" w:rsidRPr="000F1C2D">
        <w:rPr>
          <w:rFonts w:ascii="Times New Roman" w:hAnsi="Times New Roman" w:cs="Times New Roman"/>
        </w:rPr>
        <w:t>ng</w:t>
      </w:r>
      <w:r w:rsidR="00035728"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23</w:t>
      </w:r>
      <w:r w:rsidR="00035728" w:rsidRPr="000F1C2D">
        <w:rPr>
          <w:rFonts w:ascii="Times New Roman" w:hAnsi="Times New Roman" w:cs="Times New Roman"/>
        </w:rPr>
        <w:fldChar w:fldCharType="end"/>
      </w:r>
      <w:r w:rsidRPr="000F1C2D">
        <w:rPr>
          <w:rFonts w:ascii="Times New Roman" w:hAnsi="Times New Roman" w:cs="Times New Roman"/>
        </w:rPr>
        <w:t xml:space="preserve">, </w:t>
      </w:r>
      <w:r w:rsidR="00FB50C0" w:rsidRPr="000F1C2D">
        <w:rPr>
          <w:rFonts w:ascii="Times New Roman" w:hAnsi="Times New Roman" w:cs="Times New Roman"/>
        </w:rPr>
        <w:t>chỉ ra rằng các năng lực nền tảng như SCV có thể không tự thân tạo ra hiệu quả nếu không được chuyển hóa thông qua các năng lực động như SCR. Việ</w:t>
      </w:r>
      <w:r w:rsidR="00B2154F" w:rsidRPr="000F1C2D">
        <w:rPr>
          <w:rFonts w:ascii="Times New Roman" w:hAnsi="Times New Roman" w:cs="Times New Roman"/>
        </w:rPr>
        <w:t>c kết</w:t>
      </w:r>
      <w:r w:rsidR="00FB50C0" w:rsidRPr="000F1C2D">
        <w:rPr>
          <w:rFonts w:ascii="Times New Roman" w:hAnsi="Times New Roman" w:cs="Times New Roman"/>
        </w:rPr>
        <w:t xml:space="preserve"> hợ</w:t>
      </w:r>
      <w:r w:rsidR="00B2154F" w:rsidRPr="000F1C2D">
        <w:rPr>
          <w:rFonts w:ascii="Times New Roman" w:hAnsi="Times New Roman" w:cs="Times New Roman"/>
        </w:rPr>
        <w:t>p SCV và SCR là</w:t>
      </w:r>
      <w:r w:rsidR="00FB50C0" w:rsidRPr="000F1C2D">
        <w:rPr>
          <w:rFonts w:ascii="Times New Roman" w:hAnsi="Times New Roman" w:cs="Times New Roman"/>
        </w:rPr>
        <w:t xml:space="preserve"> cần </w:t>
      </w:r>
      <w:r w:rsidR="00B2154F" w:rsidRPr="000F1C2D">
        <w:rPr>
          <w:rFonts w:ascii="Times New Roman" w:hAnsi="Times New Roman" w:cs="Times New Roman"/>
        </w:rPr>
        <w:t>thiết để</w:t>
      </w:r>
      <w:r w:rsidR="00FB50C0" w:rsidRPr="000F1C2D">
        <w:rPr>
          <w:rFonts w:ascii="Times New Roman" w:hAnsi="Times New Roman" w:cs="Times New Roman"/>
        </w:rPr>
        <w:t xml:space="preserve"> nâng cao hiệu quả vận hành chuỗi cung ứng trong bối cảnh bất định và phức tạp hiện nay.</w:t>
      </w:r>
    </w:p>
    <w:p w:rsidR="00AD452A"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5.2 </w:t>
      </w:r>
      <w:r w:rsidR="00AD452A" w:rsidRPr="000F1C2D">
        <w:rPr>
          <w:rFonts w:ascii="Times New Roman" w:hAnsi="Times New Roman" w:cs="Times New Roman"/>
          <w:b/>
          <w:i/>
          <w:lang w:val="vi-VN"/>
        </w:rPr>
        <w:t>Hàm ý lý thuyết</w:t>
      </w:r>
    </w:p>
    <w:p w:rsidR="00AD452A"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nhất, nghiên cứu củng cố </w:t>
      </w:r>
      <w:r w:rsidR="00AD452A" w:rsidRPr="000F1C2D">
        <w:rPr>
          <w:rFonts w:ascii="Times New Roman" w:hAnsi="Times New Roman" w:cs="Times New Roman"/>
        </w:rPr>
        <w:t xml:space="preserve">lý thuyết dựa trên nguồn lực bằng cách xác nhận rằng SCV </w:t>
      </w:r>
      <w:r w:rsidRPr="000F1C2D">
        <w:rPr>
          <w:rFonts w:ascii="Times New Roman" w:hAnsi="Times New Roman" w:cs="Times New Roman"/>
        </w:rPr>
        <w:t>là một nguồn lực thông tin có</w:t>
      </w:r>
      <w:r w:rsidR="00AD452A" w:rsidRPr="000F1C2D">
        <w:rPr>
          <w:rFonts w:ascii="Times New Roman" w:hAnsi="Times New Roman" w:cs="Times New Roman"/>
        </w:rPr>
        <w:t xml:space="preserve"> giá trị, hiếm và khó sao chép,</w:t>
      </w:r>
      <w:r w:rsidRPr="000F1C2D">
        <w:rPr>
          <w:rFonts w:ascii="Times New Roman" w:hAnsi="Times New Roman" w:cs="Times New Roman"/>
        </w:rPr>
        <w:t xml:space="preserve"> có thể tạo ra lợi thế cạnh tranh gián tiếp thông qua việc nâng cao năng lực phục hồi. </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hai, nghiên cứu mở rộng </w:t>
      </w:r>
      <w:r w:rsidR="00AD452A" w:rsidRPr="000F1C2D">
        <w:rPr>
          <w:rFonts w:ascii="Times New Roman" w:hAnsi="Times New Roman" w:cs="Times New Roman"/>
        </w:rPr>
        <w:t xml:space="preserve">lý thuyết năng lực động </w:t>
      </w:r>
      <w:r w:rsidRPr="000F1C2D">
        <w:rPr>
          <w:rFonts w:ascii="Times New Roman" w:hAnsi="Times New Roman" w:cs="Times New Roman"/>
        </w:rPr>
        <w:t xml:space="preserve">bằng cách chỉ ra rằng SCV đóng vai trò như một năng lực động cho phép </w:t>
      </w:r>
      <w:r w:rsidR="00AD452A" w:rsidRPr="000F1C2D">
        <w:rPr>
          <w:rFonts w:ascii="Times New Roman" w:hAnsi="Times New Roman" w:cs="Times New Roman"/>
        </w:rPr>
        <w:t xml:space="preserve">chuỗi cung ứng nhận diện </w:t>
      </w:r>
      <w:r w:rsidRPr="000F1C2D">
        <w:rPr>
          <w:rFonts w:ascii="Times New Roman" w:hAnsi="Times New Roman" w:cs="Times New Roman"/>
        </w:rPr>
        <w:t xml:space="preserve">rủi ro, </w:t>
      </w:r>
      <w:r w:rsidR="00AD452A" w:rsidRPr="000F1C2D">
        <w:rPr>
          <w:rFonts w:ascii="Times New Roman" w:hAnsi="Times New Roman" w:cs="Times New Roman"/>
        </w:rPr>
        <w:t>nắm bắt</w:t>
      </w:r>
      <w:r w:rsidRPr="000F1C2D">
        <w:rPr>
          <w:rFonts w:ascii="Times New Roman" w:hAnsi="Times New Roman" w:cs="Times New Roman"/>
        </w:rPr>
        <w:t xml:space="preserve"> cơ hội và </w:t>
      </w:r>
      <w:r w:rsidR="00AD452A" w:rsidRPr="000F1C2D">
        <w:rPr>
          <w:rFonts w:ascii="Times New Roman" w:hAnsi="Times New Roman" w:cs="Times New Roman"/>
        </w:rPr>
        <w:t xml:space="preserve">tái cấu trúc </w:t>
      </w:r>
      <w:r w:rsidRPr="000F1C2D">
        <w:rPr>
          <w:rFonts w:ascii="Times New Roman" w:hAnsi="Times New Roman" w:cs="Times New Roman"/>
        </w:rPr>
        <w:t xml:space="preserve">chuỗi cung ứng để ứng phó hiệu quả với gián đoạn. Việc SCV thúc đẩy SCR cho thấy các năng lực động không hoạt động đơn lẻ, mà có thể tương tác và dẫn dắt lẫn nhau để hỗ trợ </w:t>
      </w:r>
      <w:r w:rsidR="00AD452A" w:rsidRPr="000F1C2D">
        <w:rPr>
          <w:rFonts w:ascii="Times New Roman" w:hAnsi="Times New Roman" w:cs="Times New Roman"/>
        </w:rPr>
        <w:t xml:space="preserve">chuỗi cung ứng </w:t>
      </w:r>
      <w:r w:rsidRPr="000F1C2D">
        <w:rPr>
          <w:rFonts w:ascii="Times New Roman" w:hAnsi="Times New Roman" w:cs="Times New Roman"/>
        </w:rPr>
        <w:t>doanh nghiệp thích nghi.</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ba, nghiên cứu đưa ra mô hình lý thuyết có tính tổng hợp cao, khi kết hợp cả </w:t>
      </w:r>
      <w:r w:rsidR="00AD452A" w:rsidRPr="000F1C2D">
        <w:rPr>
          <w:rFonts w:ascii="Times New Roman" w:hAnsi="Times New Roman" w:cs="Times New Roman"/>
        </w:rPr>
        <w:t xml:space="preserve">lý </w:t>
      </w:r>
      <w:r w:rsidR="00AD452A" w:rsidRPr="000F1C2D">
        <w:rPr>
          <w:rFonts w:ascii="Times New Roman" w:hAnsi="Times New Roman" w:cs="Times New Roman"/>
        </w:rPr>
        <w:lastRenderedPageBreak/>
        <w:t>thuyết dựa trên nguồn lực</w:t>
      </w:r>
      <w:r w:rsidRPr="000F1C2D">
        <w:rPr>
          <w:rFonts w:ascii="Times New Roman" w:hAnsi="Times New Roman" w:cs="Times New Roman"/>
        </w:rPr>
        <w:t xml:space="preserve"> và </w:t>
      </w:r>
      <w:r w:rsidR="00AD452A" w:rsidRPr="000F1C2D">
        <w:rPr>
          <w:rFonts w:ascii="Times New Roman" w:hAnsi="Times New Roman" w:cs="Times New Roman"/>
        </w:rPr>
        <w:t>lý thuyết năng lực động</w:t>
      </w:r>
      <w:r w:rsidRPr="000F1C2D">
        <w:rPr>
          <w:rFonts w:ascii="Times New Roman" w:hAnsi="Times New Roman" w:cs="Times New Roman"/>
        </w:rPr>
        <w:t xml:space="preserve"> để giải thích vai trò chiến lược của SCV trong chuỗi tác động đến SCP. Cách tiếp cận này giúp gắn kết hai lý thuyết nền tảng</w:t>
      </w:r>
      <w:r w:rsidR="00AD452A" w:rsidRPr="000F1C2D">
        <w:rPr>
          <w:rFonts w:ascii="Times New Roman" w:hAnsi="Times New Roman" w:cs="Times New Roman"/>
        </w:rPr>
        <w:t xml:space="preserve"> trong lĩnh vực quản lý </w:t>
      </w:r>
      <w:r w:rsidRPr="000F1C2D">
        <w:rPr>
          <w:rFonts w:ascii="Times New Roman" w:hAnsi="Times New Roman" w:cs="Times New Roman"/>
        </w:rPr>
        <w:t xml:space="preserve">chuỗi cung ứng, từ đó tạo cơ sở cho các nghiên cứu tiếp theo mở rộng theo hướng tích hợp đa lý </w:t>
      </w:r>
      <w:r w:rsidR="00AD452A" w:rsidRPr="000F1C2D">
        <w:rPr>
          <w:rFonts w:ascii="Times New Roman" w:hAnsi="Times New Roman" w:cs="Times New Roman"/>
        </w:rPr>
        <w:t>thuyết.</w:t>
      </w: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5.3 </w:t>
      </w:r>
      <w:r w:rsidR="00C137BA" w:rsidRPr="000F1C2D">
        <w:rPr>
          <w:rFonts w:ascii="Times New Roman" w:hAnsi="Times New Roman" w:cs="Times New Roman"/>
          <w:b/>
          <w:i/>
          <w:lang w:val="vi-VN"/>
        </w:rPr>
        <w:t>Hàm ý quản trị</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Đối với các nhà quản trị chuỗi cung ứng, kết quả nghiên cứu gợi ý rằng đầu tư vào </w:t>
      </w:r>
      <w:r w:rsidR="00C137BA" w:rsidRPr="000F1C2D">
        <w:rPr>
          <w:rFonts w:ascii="Times New Roman" w:hAnsi="Times New Roman" w:cs="Times New Roman"/>
        </w:rPr>
        <w:t>SCV</w:t>
      </w:r>
      <w:r w:rsidRPr="000F1C2D">
        <w:rPr>
          <w:rFonts w:ascii="Times New Roman" w:hAnsi="Times New Roman" w:cs="Times New Roman"/>
        </w:rPr>
        <w:t xml:space="preserve"> đóng vai trò như một đòn bẩy chiến lược để xây dựng </w:t>
      </w:r>
      <w:r w:rsidR="00C137BA" w:rsidRPr="000F1C2D">
        <w:rPr>
          <w:rFonts w:ascii="Times New Roman" w:hAnsi="Times New Roman" w:cs="Times New Roman"/>
        </w:rPr>
        <w:t>SCR</w:t>
      </w:r>
      <w:r w:rsidRPr="000F1C2D">
        <w:rPr>
          <w:rFonts w:ascii="Times New Roman" w:hAnsi="Times New Roman" w:cs="Times New Roman"/>
        </w:rPr>
        <w:t xml:space="preserve">, từ đó nâng cao năng lực ứng phó với các gián đoạn trong tương lai. SCV giúp </w:t>
      </w:r>
      <w:r w:rsidR="00C137BA" w:rsidRPr="000F1C2D">
        <w:rPr>
          <w:rFonts w:ascii="Times New Roman" w:hAnsi="Times New Roman" w:cs="Times New Roman"/>
        </w:rPr>
        <w:t xml:space="preserve">chuỗi cung ứng doanh nghiệp </w:t>
      </w:r>
      <w:r w:rsidRPr="000F1C2D">
        <w:rPr>
          <w:rFonts w:ascii="Times New Roman" w:hAnsi="Times New Roman" w:cs="Times New Roman"/>
        </w:rPr>
        <w:t>phát hiện sớm các rủi ro và biến động, tạo điều kiện cho việc đưa ra quyết định kịp thời và chính xác hơn khi xảy ra khủng hoảng hoặc thay đổi bất ngờ.</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Do đó, </w:t>
      </w:r>
      <w:r w:rsidR="00C137BA" w:rsidRPr="000F1C2D">
        <w:rPr>
          <w:rFonts w:ascii="Times New Roman" w:hAnsi="Times New Roman" w:cs="Times New Roman"/>
        </w:rPr>
        <w:t xml:space="preserve">chuỗi cung ứng của </w:t>
      </w:r>
      <w:r w:rsidRPr="000F1C2D">
        <w:rPr>
          <w:rFonts w:ascii="Times New Roman" w:hAnsi="Times New Roman" w:cs="Times New Roman"/>
        </w:rPr>
        <w:t>các doanh nghiệp nên tích hợp</w:t>
      </w:r>
      <w:r w:rsidR="00C137BA" w:rsidRPr="000F1C2D">
        <w:rPr>
          <w:rFonts w:ascii="Times New Roman" w:hAnsi="Times New Roman" w:cs="Times New Roman"/>
        </w:rPr>
        <w:t xml:space="preserve"> cả</w:t>
      </w:r>
      <w:r w:rsidRPr="000F1C2D">
        <w:rPr>
          <w:rFonts w:ascii="Times New Roman" w:hAnsi="Times New Roman" w:cs="Times New Roman"/>
        </w:rPr>
        <w:t xml:space="preserve"> SCV và SCR vào chiến lược vận hành một cách đồng bộ, thay vì xem đây là hai năng lực tách biệ</w:t>
      </w:r>
      <w:r w:rsidR="00C137BA" w:rsidRPr="000F1C2D">
        <w:rPr>
          <w:rFonts w:ascii="Times New Roman" w:hAnsi="Times New Roman" w:cs="Times New Roman"/>
        </w:rPr>
        <w:t>t. SCV đóng vai trò nhận biết còn SCR đảm nhận chức năng phản ứng và điều chỉnh</w:t>
      </w:r>
      <w:r w:rsidRPr="000F1C2D">
        <w:rPr>
          <w:rFonts w:ascii="Times New Roman" w:hAnsi="Times New Roman" w:cs="Times New Roman"/>
        </w:rPr>
        <w:t xml:space="preserve">. Việc kết hợp hiệu quả hai năng lực này có thể mang lại lợi thế cạnh tranh bền vững, đặc biệt trong bối cảnh môi trường </w:t>
      </w:r>
      <w:r w:rsidR="00C137BA" w:rsidRPr="000F1C2D">
        <w:rPr>
          <w:rFonts w:ascii="Times New Roman" w:hAnsi="Times New Roman" w:cs="Times New Roman"/>
        </w:rPr>
        <w:t xml:space="preserve">sản xuất </w:t>
      </w:r>
      <w:r w:rsidRPr="000F1C2D">
        <w:rPr>
          <w:rFonts w:ascii="Times New Roman" w:hAnsi="Times New Roman" w:cs="Times New Roman"/>
        </w:rPr>
        <w:t>kinh doanh ngày càng biến động và khó dự đoán.</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Ngoài ra, kết quả cũng nhấn mạnh tầm quan trọng của sự hợp tác và chia sẻ thông tin giữa các đối tác trong chuỗi cung ứng. SCV chỉ phát huy được tối đa hiệu quả khi có dòng thông tin liền mạch, minh bạch và theo thời gian thực giữa các mắt xích trong </w:t>
      </w:r>
      <w:r w:rsidR="00C137BA" w:rsidRPr="000F1C2D">
        <w:rPr>
          <w:rFonts w:ascii="Times New Roman" w:hAnsi="Times New Roman" w:cs="Times New Roman"/>
        </w:rPr>
        <w:t>chuỗi cung ứng</w:t>
      </w:r>
      <w:r w:rsidRPr="000F1C2D">
        <w:rPr>
          <w:rFonts w:ascii="Times New Roman" w:hAnsi="Times New Roman" w:cs="Times New Roman"/>
        </w:rPr>
        <w:t>. Vì vậy, nhà quản trị cần thúc đẩy xây dựng văn hóa tin cậy, đồng thời đầu tư vào công nghệ và quy trình hỗ trợ chia sẻ dữ liệu, nhằm tăng cường tính hiển thị và khả năng phục hồi toàn chuỗi</w:t>
      </w:r>
      <w:r w:rsidR="00C137BA" w:rsidRPr="000F1C2D">
        <w:rPr>
          <w:rFonts w:ascii="Times New Roman" w:hAnsi="Times New Roman" w:cs="Times New Roman"/>
        </w:rPr>
        <w:t xml:space="preserve"> cung ứng</w:t>
      </w:r>
      <w:r w:rsidRPr="000F1C2D">
        <w:rPr>
          <w:rFonts w:ascii="Times New Roman" w:hAnsi="Times New Roman" w:cs="Times New Roman"/>
        </w:rPr>
        <w:t>.</w:t>
      </w:r>
    </w:p>
    <w:p w:rsidR="00514A08" w:rsidRPr="000F1C2D" w:rsidRDefault="00514A08" w:rsidP="004C0FB9">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5.4 </w:t>
      </w:r>
      <w:r w:rsidR="006639B6" w:rsidRPr="000F1C2D">
        <w:rPr>
          <w:rFonts w:ascii="Times New Roman" w:hAnsi="Times New Roman" w:cs="Times New Roman"/>
          <w:b/>
          <w:i/>
          <w:lang w:val="vi-VN"/>
        </w:rPr>
        <w:t>Những tồn tại và hướng nghiên cứu tương lai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Mặc dù nghiên cứu đã kiểm định thành công mô hình trung gian </w:t>
      </w:r>
      <w:r w:rsidR="006639B6" w:rsidRPr="000F1C2D">
        <w:rPr>
          <w:rFonts w:ascii="Times New Roman" w:hAnsi="Times New Roman" w:cs="Times New Roman"/>
        </w:rPr>
        <w:t>giữa</w:t>
      </w:r>
      <w:r w:rsidRPr="000F1C2D">
        <w:rPr>
          <w:rFonts w:ascii="Times New Roman" w:hAnsi="Times New Roman" w:cs="Times New Roman"/>
        </w:rPr>
        <w:t xml:space="preserve"> </w:t>
      </w:r>
      <w:r w:rsidR="002C3435" w:rsidRPr="000F1C2D">
        <w:rPr>
          <w:rFonts w:ascii="Times New Roman" w:hAnsi="Times New Roman" w:cs="Times New Roman"/>
        </w:rPr>
        <w:t>SCV</w:t>
      </w:r>
      <w:r w:rsidRPr="000F1C2D">
        <w:rPr>
          <w:rFonts w:ascii="Times New Roman" w:hAnsi="Times New Roman" w:cs="Times New Roman"/>
        </w:rPr>
        <w:t xml:space="preserve">, </w:t>
      </w:r>
      <w:r w:rsidR="002C3435" w:rsidRPr="000F1C2D">
        <w:rPr>
          <w:rFonts w:ascii="Times New Roman" w:hAnsi="Times New Roman" w:cs="Times New Roman"/>
        </w:rPr>
        <w:t xml:space="preserve">SCR </w:t>
      </w:r>
      <w:r w:rsidRPr="000F1C2D">
        <w:rPr>
          <w:rFonts w:ascii="Times New Roman" w:hAnsi="Times New Roman" w:cs="Times New Roman"/>
        </w:rPr>
        <w:t xml:space="preserve">và </w:t>
      </w:r>
      <w:r w:rsidR="002C3435" w:rsidRPr="000F1C2D">
        <w:rPr>
          <w:rFonts w:ascii="Times New Roman" w:hAnsi="Times New Roman" w:cs="Times New Roman"/>
        </w:rPr>
        <w:t>SCP</w:t>
      </w:r>
      <w:r w:rsidRPr="000F1C2D">
        <w:rPr>
          <w:rFonts w:ascii="Times New Roman" w:hAnsi="Times New Roman" w:cs="Times New Roman"/>
        </w:rPr>
        <w:t>, song vẫn còn một số tồn tại.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Thứ nhất, mô hình nghiên cứu được kiểm định dựa trên dữ liệu khảo sát cắt ngang, điều này hạn chế khả năng rút ra quan hệ nhân quả chắc chắn giữa các biến. Do đó, các nghiên cứu tương lai có thể áp dụng phương pháp thu thập dữ liệu theo chuỗi thời gian để kiểm tra tính ổn định và tiến trình hình thành của các mối quan hệ trong điều kiện biến động của môi trường.</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hai, phạm vi nghiên cứu chỉ giới hạn ở các doanh nghiệp </w:t>
      </w:r>
      <w:r w:rsidR="006639B6" w:rsidRPr="000F1C2D">
        <w:rPr>
          <w:rFonts w:ascii="Times New Roman" w:hAnsi="Times New Roman" w:cs="Times New Roman"/>
        </w:rPr>
        <w:t xml:space="preserve">sản xuất </w:t>
      </w:r>
      <w:r w:rsidRPr="000F1C2D">
        <w:rPr>
          <w:rFonts w:ascii="Times New Roman" w:hAnsi="Times New Roman" w:cs="Times New Roman"/>
        </w:rPr>
        <w:t xml:space="preserve">trong các khu công nghiệp tại Việt Nam. Do đó, việc áp dụng rộng rãi mô hình nghiên cứu cho các ngành dịch vụ hoặc cho bối cảnh quốc tế còn hạn chế. Các nghiên cứu tiếp theo có thể mở rộng mô hình sang nhiều quốc gia và ngành nghề khác để kiểm định </w:t>
      </w:r>
      <w:r w:rsidRPr="000F1C2D">
        <w:rPr>
          <w:rFonts w:ascii="Times New Roman" w:hAnsi="Times New Roman" w:cs="Times New Roman"/>
        </w:rPr>
        <w:lastRenderedPageBreak/>
        <w:t xml:space="preserve">tính phù hợp và độ tin cậy của </w:t>
      </w:r>
      <w:r w:rsidR="006639B6" w:rsidRPr="000F1C2D">
        <w:rPr>
          <w:rFonts w:ascii="Times New Roman" w:hAnsi="Times New Roman" w:cs="Times New Roman"/>
        </w:rPr>
        <w:t xml:space="preserve">khả năng hiển thị chuỗi cung ứng </w:t>
      </w:r>
      <w:r w:rsidRPr="000F1C2D">
        <w:rPr>
          <w:rFonts w:ascii="Times New Roman" w:hAnsi="Times New Roman" w:cs="Times New Roman"/>
        </w:rPr>
        <w:t>đến kết quả hoạt động chuỗi cung ứng thông qua khả năng phục hồi chuỗi cung ứng.</w:t>
      </w:r>
    </w:p>
    <w:p w:rsidR="00514A08" w:rsidRPr="004C0FB9" w:rsidRDefault="00514A08" w:rsidP="004C0FB9">
      <w:pPr>
        <w:spacing w:after="0" w:line="312" w:lineRule="auto"/>
        <w:ind w:firstLine="567"/>
        <w:jc w:val="both"/>
        <w:rPr>
          <w:rFonts w:ascii="Times New Roman" w:hAnsi="Times New Roman" w:cs="Times New Roman"/>
          <w:sz w:val="24"/>
          <w:szCs w:val="24"/>
        </w:rPr>
      </w:pPr>
      <w:r w:rsidRPr="000F1C2D">
        <w:rPr>
          <w:rFonts w:ascii="Times New Roman" w:hAnsi="Times New Roman" w:cs="Times New Roman"/>
        </w:rPr>
        <w:t>Cuối cùng, nghiên cứu chỉ tậ</w:t>
      </w:r>
      <w:r w:rsidR="006639B6" w:rsidRPr="000F1C2D">
        <w:rPr>
          <w:rFonts w:ascii="Times New Roman" w:hAnsi="Times New Roman" w:cs="Times New Roman"/>
        </w:rPr>
        <w:t>p trung vào</w:t>
      </w:r>
      <w:r w:rsidRPr="000F1C2D">
        <w:rPr>
          <w:rFonts w:ascii="Times New Roman" w:hAnsi="Times New Roman" w:cs="Times New Roman"/>
        </w:rPr>
        <w:t xml:space="preserve"> biến trung gian </w:t>
      </w:r>
      <w:r w:rsidR="002C3435" w:rsidRPr="000F1C2D">
        <w:rPr>
          <w:rFonts w:ascii="Times New Roman" w:hAnsi="Times New Roman" w:cs="Times New Roman"/>
        </w:rPr>
        <w:t>SCR</w:t>
      </w:r>
      <w:r w:rsidRPr="000F1C2D">
        <w:rPr>
          <w:rFonts w:ascii="Times New Roman" w:hAnsi="Times New Roman" w:cs="Times New Roman"/>
        </w:rPr>
        <w:t xml:space="preserve"> mà chưa xét đến vai trò điều tiết của các yếu tố môi trường như </w:t>
      </w:r>
      <w:r w:rsidR="006639B6" w:rsidRPr="000F1C2D">
        <w:rPr>
          <w:rFonts w:ascii="Times New Roman" w:hAnsi="Times New Roman" w:cs="Times New Roman"/>
        </w:rPr>
        <w:t>sự không chắc chắn về môi trường</w:t>
      </w:r>
      <w:r w:rsidRPr="000F1C2D">
        <w:rPr>
          <w:rFonts w:ascii="Times New Roman" w:hAnsi="Times New Roman" w:cs="Times New Roman"/>
        </w:rPr>
        <w:t>, độ phức tạp chuỗi cung ứng hoặc văn hóa công nghệ. Việc đưa thêm các biến điều tiết có thể giúp làm rõ bối cả</w:t>
      </w:r>
      <w:r w:rsidR="006639B6" w:rsidRPr="000F1C2D">
        <w:rPr>
          <w:rFonts w:ascii="Times New Roman" w:hAnsi="Times New Roman" w:cs="Times New Roman"/>
        </w:rPr>
        <w:t>nh mà</w:t>
      </w:r>
      <w:r w:rsidRPr="000F1C2D">
        <w:rPr>
          <w:rFonts w:ascii="Times New Roman" w:hAnsi="Times New Roman" w:cs="Times New Roman"/>
        </w:rPr>
        <w:t xml:space="preserve"> </w:t>
      </w:r>
      <w:r w:rsidR="006639B6" w:rsidRPr="000F1C2D">
        <w:rPr>
          <w:rFonts w:ascii="Times New Roman" w:hAnsi="Times New Roman" w:cs="Times New Roman"/>
        </w:rPr>
        <w:t xml:space="preserve">khả năng hiển thị </w:t>
      </w:r>
      <w:r w:rsidRPr="000F1C2D">
        <w:rPr>
          <w:rFonts w:ascii="Times New Roman" w:hAnsi="Times New Roman" w:cs="Times New Roman"/>
        </w:rPr>
        <w:t xml:space="preserve">chuỗi cung ứng </w:t>
      </w:r>
      <w:r w:rsidR="006639B6" w:rsidRPr="000F1C2D">
        <w:rPr>
          <w:rFonts w:ascii="Times New Roman" w:hAnsi="Times New Roman" w:cs="Times New Roman"/>
        </w:rPr>
        <w:t>tác động đến kết quả hoạt động chuỗi cung ứng</w:t>
      </w:r>
      <w:r w:rsidRPr="000F1C2D">
        <w:rPr>
          <w:rFonts w:ascii="Times New Roman" w:hAnsi="Times New Roman" w:cs="Times New Roman"/>
        </w:rPr>
        <w:t>.</w:t>
      </w:r>
    </w:p>
    <w:p w:rsidR="000C293E" w:rsidRPr="003A005A" w:rsidRDefault="000C293E" w:rsidP="000C293E">
      <w:pPr>
        <w:rPr>
          <w:rFonts w:ascii="Times New Roman" w:hAnsi="Times New Roman" w:cs="Times New Roman"/>
          <w:b/>
          <w:bCs/>
        </w:rPr>
      </w:pPr>
      <w:r w:rsidRPr="003A005A">
        <w:rPr>
          <w:rFonts w:ascii="Times New Roman" w:hAnsi="Times New Roman" w:cs="Times New Roman"/>
          <w:b/>
          <w:bCs/>
        </w:rPr>
        <w:t>Lời cảm ơn</w:t>
      </w:r>
    </w:p>
    <w:p w:rsidR="00CE6996" w:rsidRDefault="000C293E" w:rsidP="000C293E">
      <w:pPr>
        <w:spacing w:line="312" w:lineRule="auto"/>
        <w:ind w:firstLine="567"/>
        <w:jc w:val="both"/>
        <w:rPr>
          <w:rFonts w:ascii="Times New Roman" w:hAnsi="Times New Roman" w:cs="Times New Roman"/>
          <w:i/>
          <w:iCs/>
          <w:lang w:val="vi-VN"/>
        </w:rPr>
      </w:pPr>
      <w:r w:rsidRPr="003A005A">
        <w:rPr>
          <w:rFonts w:ascii="Times New Roman" w:hAnsi="Times New Roman" w:cs="Times New Roman"/>
          <w:i/>
          <w:iCs/>
        </w:rPr>
        <w:t xml:space="preserve">Nghiên cứu này được thực hiện trong khuôn khổ đề tài khoa học công nghệ cấp cơ sở của Trường Đại học Quy </w:t>
      </w:r>
      <w:bookmarkStart w:id="3" w:name="_GoBack"/>
      <w:bookmarkEnd w:id="3"/>
      <w:r w:rsidRPr="003A005A">
        <w:rPr>
          <w:rFonts w:ascii="Times New Roman" w:hAnsi="Times New Roman" w:cs="Times New Roman"/>
          <w:i/>
          <w:iCs/>
        </w:rPr>
        <w:t xml:space="preserve">Nhơn với mã </w:t>
      </w:r>
      <w:r w:rsidRPr="00B5081D">
        <w:rPr>
          <w:rFonts w:ascii="Times New Roman" w:hAnsi="Times New Roman" w:cs="Times New Roman"/>
          <w:i/>
          <w:iCs/>
        </w:rPr>
        <w:t xml:space="preserve">số </w:t>
      </w:r>
      <w:r w:rsidR="00B5081D" w:rsidRPr="00B5081D">
        <w:rPr>
          <w:rFonts w:ascii="Times New Roman" w:hAnsi="Times New Roman" w:cs="Times New Roman"/>
          <w:i/>
          <w:iCs/>
          <w:lang w:val="vi-VN"/>
        </w:rPr>
        <w:t>T2025</w:t>
      </w:r>
      <w:r w:rsidRPr="00B5081D">
        <w:rPr>
          <w:rFonts w:ascii="Times New Roman" w:hAnsi="Times New Roman" w:cs="Times New Roman"/>
          <w:i/>
          <w:iCs/>
          <w:lang w:val="vi-VN"/>
        </w:rPr>
        <w:t>...</w:t>
      </w:r>
    </w:p>
    <w:p w:rsidR="0011774F" w:rsidRDefault="0011774F" w:rsidP="000F1C2D">
      <w:pPr>
        <w:pStyle w:val="EndNoteBibliography"/>
        <w:spacing w:after="0"/>
        <w:rPr>
          <w:b/>
          <w:sz w:val="22"/>
          <w:lang w:val="vi-VN"/>
        </w:rPr>
        <w:sectPr w:rsidR="0011774F" w:rsidSect="0011774F">
          <w:type w:val="continuous"/>
          <w:pgSz w:w="12240" w:h="15840"/>
          <w:pgMar w:top="1440" w:right="1440" w:bottom="1440" w:left="1440" w:header="720" w:footer="720" w:gutter="0"/>
          <w:cols w:num="2" w:space="720"/>
          <w:docGrid w:linePitch="360"/>
        </w:sectPr>
      </w:pPr>
    </w:p>
    <w:p w:rsidR="000F1C2D" w:rsidRPr="000F1C2D" w:rsidRDefault="000F1C2D" w:rsidP="000F1C2D">
      <w:pPr>
        <w:pStyle w:val="EndNoteBibliography"/>
        <w:spacing w:after="0"/>
        <w:rPr>
          <w:b/>
          <w:sz w:val="22"/>
          <w:lang w:val="vi-VN"/>
        </w:rPr>
      </w:pPr>
      <w:r w:rsidRPr="000F1C2D">
        <w:rPr>
          <w:b/>
          <w:sz w:val="22"/>
          <w:lang w:val="vi-VN"/>
        </w:rPr>
        <w:lastRenderedPageBreak/>
        <w:t>TÀI LIỆU THAM KHẢO</w:t>
      </w:r>
    </w:p>
    <w:p w:rsidR="0011774F" w:rsidRDefault="0011774F" w:rsidP="000F1C2D">
      <w:pPr>
        <w:pStyle w:val="EndNoteBibliography"/>
        <w:spacing w:after="0"/>
        <w:ind w:left="709" w:hanging="709"/>
        <w:rPr>
          <w:sz w:val="20"/>
          <w:szCs w:val="20"/>
          <w:lang w:val="vi-VN"/>
        </w:rPr>
        <w:sectPr w:rsidR="0011774F" w:rsidSect="0011774F">
          <w:type w:val="continuous"/>
          <w:pgSz w:w="12240" w:h="15840"/>
          <w:pgMar w:top="1440" w:right="1440" w:bottom="1440" w:left="1440" w:header="720" w:footer="720" w:gutter="0"/>
          <w:cols w:space="720"/>
          <w:docGrid w:linePitch="360"/>
        </w:sectPr>
      </w:pPr>
    </w:p>
    <w:p w:rsidR="0000429B" w:rsidRPr="000F1C2D" w:rsidRDefault="0028689C" w:rsidP="000B7499">
      <w:pPr>
        <w:pStyle w:val="EndNoteBibliography"/>
        <w:spacing w:after="0"/>
        <w:ind w:left="284" w:hanging="284"/>
        <w:jc w:val="both"/>
        <w:rPr>
          <w:sz w:val="20"/>
          <w:szCs w:val="20"/>
        </w:rPr>
      </w:pPr>
      <w:r w:rsidRPr="000F1C2D">
        <w:rPr>
          <w:sz w:val="20"/>
          <w:szCs w:val="20"/>
          <w:lang w:val="vi-VN"/>
        </w:rPr>
        <w:lastRenderedPageBreak/>
        <w:fldChar w:fldCharType="begin"/>
      </w:r>
      <w:r w:rsidRPr="000F1C2D">
        <w:rPr>
          <w:sz w:val="20"/>
          <w:szCs w:val="20"/>
          <w:lang w:val="vi-VN"/>
        </w:rPr>
        <w:instrText xml:space="preserve"> ADDIN EN.REFLIST </w:instrText>
      </w:r>
      <w:r w:rsidRPr="000F1C2D">
        <w:rPr>
          <w:sz w:val="20"/>
          <w:szCs w:val="20"/>
          <w:lang w:val="vi-VN"/>
        </w:rPr>
        <w:fldChar w:fldCharType="separate"/>
      </w:r>
      <w:r w:rsidR="0000429B" w:rsidRPr="000F1C2D">
        <w:rPr>
          <w:sz w:val="20"/>
          <w:szCs w:val="20"/>
        </w:rPr>
        <w:t xml:space="preserve">[1] Scholten, K., &amp; Schilder, S. The role of collaboration in supply chain resilience, </w:t>
      </w:r>
      <w:r w:rsidR="0000429B" w:rsidRPr="000F1C2D">
        <w:rPr>
          <w:i/>
          <w:sz w:val="20"/>
          <w:szCs w:val="20"/>
        </w:rPr>
        <w:t>Supply Chain Management: An International Journal</w:t>
      </w:r>
      <w:r w:rsidR="0000429B" w:rsidRPr="000F1C2D">
        <w:rPr>
          <w:sz w:val="20"/>
          <w:szCs w:val="20"/>
        </w:rPr>
        <w:t xml:space="preserve">, </w:t>
      </w:r>
      <w:r w:rsidR="0000429B" w:rsidRPr="000F1C2D">
        <w:rPr>
          <w:b/>
          <w:sz w:val="20"/>
          <w:szCs w:val="20"/>
        </w:rPr>
        <w:t>2015</w:t>
      </w:r>
      <w:r w:rsidR="0000429B" w:rsidRPr="000F1C2D">
        <w:rPr>
          <w:sz w:val="20"/>
          <w:szCs w:val="20"/>
        </w:rPr>
        <w:t xml:space="preserve">, </w:t>
      </w:r>
      <w:r w:rsidR="0000429B" w:rsidRPr="000F1C2D">
        <w:rPr>
          <w:i/>
          <w:sz w:val="20"/>
          <w:szCs w:val="20"/>
        </w:rPr>
        <w:t>20(4)</w:t>
      </w:r>
      <w:r w:rsidR="0000429B" w:rsidRPr="000F1C2D">
        <w:rPr>
          <w:sz w:val="20"/>
          <w:szCs w:val="20"/>
        </w:rPr>
        <w:t>, 471-484.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 Scholten, K., Sharkey Scott, P., &amp; Fynes, B. Building routines for non-routine events: supply chain resilience learning mechanisms and their antecedents, </w:t>
      </w:r>
      <w:r w:rsidRPr="000F1C2D">
        <w:rPr>
          <w:i/>
          <w:sz w:val="20"/>
          <w:szCs w:val="20"/>
        </w:rPr>
        <w:t>Supply Chain Management: An International Journal</w:t>
      </w:r>
      <w:r w:rsidRPr="000F1C2D">
        <w:rPr>
          <w:sz w:val="20"/>
          <w:szCs w:val="20"/>
        </w:rPr>
        <w:t xml:space="preserve">, </w:t>
      </w:r>
      <w:r w:rsidRPr="000F1C2D">
        <w:rPr>
          <w:b/>
          <w:sz w:val="20"/>
          <w:szCs w:val="20"/>
        </w:rPr>
        <w:t>2019</w:t>
      </w:r>
      <w:r w:rsidRPr="000F1C2D">
        <w:rPr>
          <w:sz w:val="20"/>
          <w:szCs w:val="20"/>
        </w:rPr>
        <w:t xml:space="preserve">, </w:t>
      </w:r>
      <w:r w:rsidRPr="000F1C2D">
        <w:rPr>
          <w:i/>
          <w:sz w:val="20"/>
          <w:szCs w:val="20"/>
        </w:rPr>
        <w:t>24(3)</w:t>
      </w:r>
      <w:r w:rsidRPr="000F1C2D">
        <w:rPr>
          <w:sz w:val="20"/>
          <w:szCs w:val="20"/>
        </w:rPr>
        <w:t>, 430-442.</w:t>
      </w:r>
    </w:p>
    <w:p w:rsidR="0000429B" w:rsidRPr="000F1C2D" w:rsidRDefault="0000429B" w:rsidP="000B7499">
      <w:pPr>
        <w:pStyle w:val="EndNoteBibliography"/>
        <w:spacing w:after="0"/>
        <w:ind w:left="284" w:hanging="295"/>
        <w:jc w:val="both"/>
        <w:rPr>
          <w:sz w:val="20"/>
          <w:szCs w:val="20"/>
        </w:rPr>
      </w:pPr>
      <w:r w:rsidRPr="000F1C2D">
        <w:rPr>
          <w:sz w:val="20"/>
          <w:szCs w:val="20"/>
        </w:rPr>
        <w:t xml:space="preserve">[3] Chowdhury, M. M. H., &amp; Quaddus, M. Supply chain resilience: Conceptualization and scale development using dynamic capability theory, </w:t>
      </w:r>
      <w:r w:rsidRPr="000F1C2D">
        <w:rPr>
          <w:i/>
          <w:sz w:val="20"/>
          <w:szCs w:val="20"/>
        </w:rPr>
        <w:t>International Journal of Production Economics</w:t>
      </w:r>
      <w:r w:rsidRPr="000F1C2D">
        <w:rPr>
          <w:sz w:val="20"/>
          <w:szCs w:val="20"/>
        </w:rPr>
        <w:t xml:space="preserve">, </w:t>
      </w:r>
      <w:r w:rsidRPr="000F1C2D">
        <w:rPr>
          <w:b/>
          <w:sz w:val="20"/>
          <w:szCs w:val="20"/>
        </w:rPr>
        <w:t>2017</w:t>
      </w:r>
      <w:r w:rsidRPr="000F1C2D">
        <w:rPr>
          <w:sz w:val="20"/>
          <w:szCs w:val="20"/>
        </w:rPr>
        <w:t xml:space="preserve">, </w:t>
      </w:r>
      <w:r w:rsidRPr="000F1C2D">
        <w:rPr>
          <w:i/>
          <w:sz w:val="20"/>
          <w:szCs w:val="20"/>
        </w:rPr>
        <w:t>188</w:t>
      </w:r>
      <w:r w:rsidRPr="000F1C2D">
        <w:rPr>
          <w:sz w:val="20"/>
          <w:szCs w:val="20"/>
        </w:rPr>
        <w:t>, 185-204.</w:t>
      </w:r>
    </w:p>
    <w:p w:rsidR="0000429B" w:rsidRPr="000F1C2D" w:rsidRDefault="0000429B" w:rsidP="000B7499">
      <w:pPr>
        <w:pStyle w:val="EndNoteBibliography"/>
        <w:spacing w:after="0"/>
        <w:ind w:left="284" w:hanging="295"/>
        <w:jc w:val="both"/>
        <w:rPr>
          <w:sz w:val="20"/>
          <w:szCs w:val="20"/>
        </w:rPr>
      </w:pPr>
      <w:r w:rsidRPr="000F1C2D">
        <w:rPr>
          <w:sz w:val="20"/>
          <w:szCs w:val="20"/>
        </w:rPr>
        <w:t xml:space="preserve">[4] Zhao, N., Hong, J., &amp; Lau, K. H. Impact of supply chain digitalization on supply chain resilience and performance: A multi-mediation model, </w:t>
      </w:r>
      <w:r w:rsidRPr="000F1C2D">
        <w:rPr>
          <w:i/>
          <w:sz w:val="20"/>
          <w:szCs w:val="20"/>
        </w:rPr>
        <w:t>Int J Prod Econ</w:t>
      </w:r>
      <w:r w:rsidRPr="000F1C2D">
        <w:rPr>
          <w:sz w:val="20"/>
          <w:szCs w:val="20"/>
        </w:rPr>
        <w:t xml:space="preserve">, </w:t>
      </w:r>
      <w:r w:rsidRPr="000F1C2D">
        <w:rPr>
          <w:b/>
          <w:sz w:val="20"/>
          <w:szCs w:val="20"/>
        </w:rPr>
        <w:t>2023</w:t>
      </w:r>
      <w:r w:rsidRPr="000F1C2D">
        <w:rPr>
          <w:sz w:val="20"/>
          <w:szCs w:val="20"/>
        </w:rPr>
        <w:t xml:space="preserve">, </w:t>
      </w:r>
      <w:r w:rsidRPr="000F1C2D">
        <w:rPr>
          <w:i/>
          <w:sz w:val="20"/>
          <w:szCs w:val="20"/>
        </w:rPr>
        <w:t>259</w:t>
      </w:r>
      <w:r w:rsidRPr="000F1C2D">
        <w:rPr>
          <w:sz w:val="20"/>
          <w:szCs w:val="20"/>
        </w:rPr>
        <w:t>.</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[5] Barratt, M., &amp; Oke, A. Antecedents of supply chain visibility in retail supply chains: a resource-based theory perspective, </w:t>
      </w:r>
      <w:r w:rsidRPr="000F1C2D">
        <w:rPr>
          <w:i/>
          <w:sz w:val="20"/>
          <w:szCs w:val="20"/>
        </w:rPr>
        <w:t>Journal of operations management</w:t>
      </w:r>
      <w:r w:rsidRPr="000F1C2D">
        <w:rPr>
          <w:sz w:val="20"/>
          <w:szCs w:val="20"/>
        </w:rPr>
        <w:t xml:space="preserve">, </w:t>
      </w:r>
      <w:r w:rsidRPr="000F1C2D">
        <w:rPr>
          <w:b/>
          <w:sz w:val="20"/>
          <w:szCs w:val="20"/>
        </w:rPr>
        <w:t>2007</w:t>
      </w:r>
      <w:r w:rsidRPr="000F1C2D">
        <w:rPr>
          <w:sz w:val="20"/>
          <w:szCs w:val="20"/>
        </w:rPr>
        <w:t xml:space="preserve">, </w:t>
      </w:r>
      <w:r w:rsidRPr="000F1C2D">
        <w:rPr>
          <w:i/>
          <w:sz w:val="20"/>
          <w:szCs w:val="20"/>
        </w:rPr>
        <w:t>25(6)</w:t>
      </w:r>
      <w:r w:rsidRPr="000F1C2D">
        <w:rPr>
          <w:sz w:val="20"/>
          <w:szCs w:val="20"/>
        </w:rPr>
        <w:t>, 1217-1233.</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[6] Williams, B. D., Roh, J., Tokar, T., &amp; Swink, M. Leveraging supply chain visibility for responsiveness: The moderating role of internal integration, </w:t>
      </w:r>
      <w:r w:rsidRPr="000F1C2D">
        <w:rPr>
          <w:i/>
          <w:sz w:val="20"/>
          <w:szCs w:val="20"/>
        </w:rPr>
        <w:t>Journal of operations management</w:t>
      </w:r>
      <w:r w:rsidRPr="000F1C2D">
        <w:rPr>
          <w:sz w:val="20"/>
          <w:szCs w:val="20"/>
        </w:rPr>
        <w:t xml:space="preserve">, </w:t>
      </w:r>
      <w:r w:rsidRPr="000F1C2D">
        <w:rPr>
          <w:b/>
          <w:sz w:val="20"/>
          <w:szCs w:val="20"/>
        </w:rPr>
        <w:t>2013</w:t>
      </w:r>
      <w:r w:rsidRPr="000F1C2D">
        <w:rPr>
          <w:sz w:val="20"/>
          <w:szCs w:val="20"/>
        </w:rPr>
        <w:t xml:space="preserve">, </w:t>
      </w:r>
      <w:r w:rsidRPr="000F1C2D">
        <w:rPr>
          <w:i/>
          <w:sz w:val="20"/>
          <w:szCs w:val="20"/>
        </w:rPr>
        <w:t>31(7-8)</w:t>
      </w:r>
      <w:r w:rsidRPr="000F1C2D">
        <w:rPr>
          <w:sz w:val="20"/>
          <w:szCs w:val="20"/>
        </w:rPr>
        <w:t>, 543-554.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[7] Srinivasan, R., &amp; Swink, M. An investigation of visibility and flexibility as complements to supply </w:t>
      </w:r>
      <w:r w:rsidRPr="000F1C2D">
        <w:rPr>
          <w:sz w:val="20"/>
          <w:szCs w:val="20"/>
        </w:rPr>
        <w:lastRenderedPageBreak/>
        <w:t xml:space="preserve">chain analytics: An organizational information processing theory perspective, </w:t>
      </w:r>
      <w:r w:rsidRPr="000F1C2D">
        <w:rPr>
          <w:i/>
          <w:sz w:val="20"/>
          <w:szCs w:val="20"/>
        </w:rPr>
        <w:t>Production and operations management</w:t>
      </w:r>
      <w:r w:rsidRPr="000F1C2D">
        <w:rPr>
          <w:sz w:val="20"/>
          <w:szCs w:val="20"/>
        </w:rPr>
        <w:t xml:space="preserve">, </w:t>
      </w:r>
      <w:r w:rsidRPr="000F1C2D">
        <w:rPr>
          <w:b/>
          <w:sz w:val="20"/>
          <w:szCs w:val="20"/>
        </w:rPr>
        <w:t>2018</w:t>
      </w:r>
      <w:r w:rsidRPr="000F1C2D">
        <w:rPr>
          <w:sz w:val="20"/>
          <w:szCs w:val="20"/>
        </w:rPr>
        <w:t xml:space="preserve">, </w:t>
      </w:r>
      <w:r w:rsidRPr="000F1C2D">
        <w:rPr>
          <w:i/>
          <w:sz w:val="20"/>
          <w:szCs w:val="20"/>
        </w:rPr>
        <w:t>27(10)</w:t>
      </w:r>
      <w:r w:rsidRPr="000F1C2D">
        <w:rPr>
          <w:sz w:val="20"/>
          <w:szCs w:val="20"/>
        </w:rPr>
        <w:t>, 1849-1867.</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[8] Gölgeci, I., &amp; Kuivalainen, O. Does social capital matter for supply chain resilience? The role of absorptive capacity and marketing-supply chain management alignment, </w:t>
      </w:r>
      <w:r w:rsidRPr="000F1C2D">
        <w:rPr>
          <w:i/>
          <w:sz w:val="20"/>
          <w:szCs w:val="20"/>
        </w:rPr>
        <w:t>Industrial marketing management</w:t>
      </w:r>
      <w:r w:rsidRPr="000F1C2D">
        <w:rPr>
          <w:sz w:val="20"/>
          <w:szCs w:val="20"/>
        </w:rPr>
        <w:t xml:space="preserve">, </w:t>
      </w:r>
      <w:r w:rsidRPr="000F1C2D">
        <w:rPr>
          <w:b/>
          <w:sz w:val="20"/>
          <w:szCs w:val="20"/>
        </w:rPr>
        <w:t>2020</w:t>
      </w:r>
      <w:r w:rsidRPr="000F1C2D">
        <w:rPr>
          <w:sz w:val="20"/>
          <w:szCs w:val="20"/>
        </w:rPr>
        <w:t xml:space="preserve">, </w:t>
      </w:r>
      <w:r w:rsidRPr="000F1C2D">
        <w:rPr>
          <w:i/>
          <w:sz w:val="20"/>
          <w:szCs w:val="20"/>
        </w:rPr>
        <w:t>84</w:t>
      </w:r>
      <w:r w:rsidRPr="000F1C2D">
        <w:rPr>
          <w:sz w:val="20"/>
          <w:szCs w:val="20"/>
        </w:rPr>
        <w:t>, 63-74.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[9] Huang, Y.-F., Phan, V.-D.-V., &amp; Do, M.-H. The impacts of supply chain capabilities, visibility, resilience on supply chain performance and firm performance, </w:t>
      </w:r>
      <w:r w:rsidRPr="000F1C2D">
        <w:rPr>
          <w:i/>
          <w:sz w:val="20"/>
          <w:szCs w:val="20"/>
        </w:rPr>
        <w:t>Administrative Sciences</w:t>
      </w:r>
      <w:r w:rsidRPr="000F1C2D">
        <w:rPr>
          <w:sz w:val="20"/>
          <w:szCs w:val="20"/>
        </w:rPr>
        <w:t xml:space="preserve">, </w:t>
      </w:r>
      <w:r w:rsidRPr="000F1C2D">
        <w:rPr>
          <w:b/>
          <w:sz w:val="20"/>
          <w:szCs w:val="20"/>
        </w:rPr>
        <w:t>2023</w:t>
      </w:r>
      <w:r w:rsidRPr="000F1C2D">
        <w:rPr>
          <w:sz w:val="20"/>
          <w:szCs w:val="20"/>
        </w:rPr>
        <w:t xml:space="preserve">, </w:t>
      </w:r>
      <w:r w:rsidRPr="000F1C2D">
        <w:rPr>
          <w:i/>
          <w:sz w:val="20"/>
          <w:szCs w:val="20"/>
        </w:rPr>
        <w:t>13(10)</w:t>
      </w:r>
      <w:r w:rsidRPr="000F1C2D">
        <w:rPr>
          <w:sz w:val="20"/>
          <w:szCs w:val="20"/>
        </w:rPr>
        <w:t>.</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[10] Caridi, M., Crippa, L., Perego, A., Sianesi, A., et al. Do virtuality and complexity affect supply chain visibility?, </w:t>
      </w:r>
      <w:r w:rsidRPr="000F1C2D">
        <w:rPr>
          <w:i/>
          <w:sz w:val="20"/>
          <w:szCs w:val="20"/>
        </w:rPr>
        <w:t>International Journal of Production Economics</w:t>
      </w:r>
      <w:r w:rsidRPr="000F1C2D">
        <w:rPr>
          <w:sz w:val="20"/>
          <w:szCs w:val="20"/>
        </w:rPr>
        <w:t xml:space="preserve">, </w:t>
      </w:r>
      <w:r w:rsidRPr="000F1C2D">
        <w:rPr>
          <w:b/>
          <w:sz w:val="20"/>
          <w:szCs w:val="20"/>
        </w:rPr>
        <w:t>2010</w:t>
      </w:r>
      <w:r w:rsidRPr="000F1C2D">
        <w:rPr>
          <w:sz w:val="20"/>
          <w:szCs w:val="20"/>
        </w:rPr>
        <w:t xml:space="preserve">, </w:t>
      </w:r>
      <w:r w:rsidRPr="000F1C2D">
        <w:rPr>
          <w:i/>
          <w:sz w:val="20"/>
          <w:szCs w:val="20"/>
        </w:rPr>
        <w:t>127(2)</w:t>
      </w:r>
      <w:r w:rsidRPr="000F1C2D">
        <w:rPr>
          <w:sz w:val="20"/>
          <w:szCs w:val="20"/>
        </w:rPr>
        <w:t>, 372-383.</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[11] Al Tera, A., Alzubi, A., &amp; Iyiola, K. Supply chain digitalization and performance: A moderated mediation of supply chain visibility and supply chain survivability, </w:t>
      </w:r>
      <w:r w:rsidRPr="000F1C2D">
        <w:rPr>
          <w:i/>
          <w:sz w:val="20"/>
          <w:szCs w:val="20"/>
        </w:rPr>
        <w:t>Heliyon</w:t>
      </w:r>
      <w:r w:rsidRPr="000F1C2D">
        <w:rPr>
          <w:sz w:val="20"/>
          <w:szCs w:val="20"/>
        </w:rPr>
        <w:t xml:space="preserve">, </w:t>
      </w:r>
      <w:r w:rsidRPr="000F1C2D">
        <w:rPr>
          <w:b/>
          <w:sz w:val="20"/>
          <w:szCs w:val="20"/>
        </w:rPr>
        <w:t>2024</w:t>
      </w:r>
      <w:r w:rsidRPr="000F1C2D">
        <w:rPr>
          <w:sz w:val="20"/>
          <w:szCs w:val="20"/>
        </w:rPr>
        <w:t xml:space="preserve">, </w:t>
      </w:r>
      <w:r w:rsidRPr="000F1C2D">
        <w:rPr>
          <w:i/>
          <w:sz w:val="20"/>
          <w:szCs w:val="20"/>
        </w:rPr>
        <w:t>10(4)</w:t>
      </w:r>
      <w:r w:rsidRPr="000F1C2D">
        <w:rPr>
          <w:sz w:val="20"/>
          <w:szCs w:val="20"/>
        </w:rPr>
        <w:t>, e25584.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[12] Yu, W., Jacobs, M., Chavez, R., &amp; Song, Y. Leveraging supply chain visibility for implementing just-in-case practices: the roles of knowledge and digital resources bundling, </w:t>
      </w:r>
      <w:r w:rsidRPr="000F1C2D">
        <w:rPr>
          <w:i/>
          <w:sz w:val="20"/>
          <w:szCs w:val="20"/>
        </w:rPr>
        <w:t>Supply Chain Management: An International Journal</w:t>
      </w:r>
      <w:r w:rsidRPr="000F1C2D">
        <w:rPr>
          <w:sz w:val="20"/>
          <w:szCs w:val="20"/>
        </w:rPr>
        <w:t xml:space="preserve">, </w:t>
      </w:r>
      <w:r w:rsidRPr="000F1C2D">
        <w:rPr>
          <w:b/>
          <w:sz w:val="20"/>
          <w:szCs w:val="20"/>
        </w:rPr>
        <w:t>2024</w:t>
      </w:r>
      <w:r w:rsidRPr="000F1C2D">
        <w:rPr>
          <w:sz w:val="20"/>
          <w:szCs w:val="20"/>
        </w:rPr>
        <w:t xml:space="preserve">, </w:t>
      </w:r>
      <w:r w:rsidRPr="000F1C2D">
        <w:rPr>
          <w:i/>
          <w:sz w:val="20"/>
          <w:szCs w:val="20"/>
        </w:rPr>
        <w:t>29(5)</w:t>
      </w:r>
      <w:r w:rsidRPr="000F1C2D">
        <w:rPr>
          <w:sz w:val="20"/>
          <w:szCs w:val="20"/>
        </w:rPr>
        <w:t>, 871-884.</w:t>
      </w:r>
    </w:p>
    <w:p w:rsidR="0000429B" w:rsidRPr="000F1C2D" w:rsidRDefault="0000429B" w:rsidP="000B7499">
      <w:pPr>
        <w:pStyle w:val="EndNoteBibliography"/>
        <w:spacing w:after="0"/>
        <w:ind w:left="284" w:hanging="284"/>
        <w:jc w:val="both"/>
        <w:rPr>
          <w:sz w:val="20"/>
          <w:szCs w:val="20"/>
        </w:rPr>
      </w:pPr>
      <w:r w:rsidRPr="000F1C2D">
        <w:rPr>
          <w:sz w:val="20"/>
          <w:szCs w:val="20"/>
        </w:rPr>
        <w:lastRenderedPageBreak/>
        <w:t xml:space="preserve">[13] Barney, J. Firm resources and sustained competitive advantage, </w:t>
      </w:r>
      <w:r w:rsidRPr="000F1C2D">
        <w:rPr>
          <w:i/>
          <w:sz w:val="20"/>
          <w:szCs w:val="20"/>
        </w:rPr>
        <w:t>Journal of management</w:t>
      </w:r>
      <w:r w:rsidRPr="000F1C2D">
        <w:rPr>
          <w:sz w:val="20"/>
          <w:szCs w:val="20"/>
        </w:rPr>
        <w:t xml:space="preserve">, </w:t>
      </w:r>
      <w:r w:rsidRPr="000F1C2D">
        <w:rPr>
          <w:b/>
          <w:sz w:val="20"/>
          <w:szCs w:val="20"/>
        </w:rPr>
        <w:t>1991</w:t>
      </w:r>
      <w:r w:rsidRPr="000F1C2D">
        <w:rPr>
          <w:sz w:val="20"/>
          <w:szCs w:val="20"/>
        </w:rPr>
        <w:t xml:space="preserve">, </w:t>
      </w:r>
      <w:r w:rsidRPr="000F1C2D">
        <w:rPr>
          <w:i/>
          <w:sz w:val="20"/>
          <w:szCs w:val="20"/>
        </w:rPr>
        <w:t>17(1)</w:t>
      </w:r>
      <w:r w:rsidRPr="000F1C2D">
        <w:rPr>
          <w:sz w:val="20"/>
          <w:szCs w:val="20"/>
        </w:rPr>
        <w:t>, 99-120.</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[14] Wernerfelt, B. A resource‐based view of the firm, </w:t>
      </w:r>
      <w:r w:rsidRPr="000F1C2D">
        <w:rPr>
          <w:i/>
          <w:sz w:val="20"/>
          <w:szCs w:val="20"/>
        </w:rPr>
        <w:t>Strategic management journal</w:t>
      </w:r>
      <w:r w:rsidRPr="000F1C2D">
        <w:rPr>
          <w:sz w:val="20"/>
          <w:szCs w:val="20"/>
        </w:rPr>
        <w:t xml:space="preserve">, </w:t>
      </w:r>
      <w:r w:rsidRPr="000F1C2D">
        <w:rPr>
          <w:b/>
          <w:sz w:val="20"/>
          <w:szCs w:val="20"/>
        </w:rPr>
        <w:t>1984</w:t>
      </w:r>
      <w:r w:rsidRPr="000F1C2D">
        <w:rPr>
          <w:sz w:val="20"/>
          <w:szCs w:val="20"/>
        </w:rPr>
        <w:t xml:space="preserve">, </w:t>
      </w:r>
      <w:r w:rsidRPr="000F1C2D">
        <w:rPr>
          <w:i/>
          <w:sz w:val="20"/>
          <w:szCs w:val="20"/>
        </w:rPr>
        <w:t>5(2)</w:t>
      </w:r>
      <w:r w:rsidRPr="000F1C2D">
        <w:rPr>
          <w:sz w:val="20"/>
          <w:szCs w:val="20"/>
        </w:rPr>
        <w:t>, 171-180.</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[15] Agrawal, T. K., Kalaiarasan, R., Olhager, J., &amp; Wiktorsson, M. Supply chain visibility: A Delphi study on managerial perspectives and priorities, </w:t>
      </w:r>
      <w:r w:rsidRPr="000F1C2D">
        <w:rPr>
          <w:i/>
          <w:sz w:val="20"/>
          <w:szCs w:val="20"/>
        </w:rPr>
        <w:t>International Journal of Production Research</w:t>
      </w:r>
      <w:r w:rsidRPr="000F1C2D">
        <w:rPr>
          <w:sz w:val="20"/>
          <w:szCs w:val="20"/>
        </w:rPr>
        <w:t xml:space="preserve">, </w:t>
      </w:r>
      <w:r w:rsidRPr="000F1C2D">
        <w:rPr>
          <w:b/>
          <w:sz w:val="20"/>
          <w:szCs w:val="20"/>
        </w:rPr>
        <w:t>2022</w:t>
      </w:r>
      <w:r w:rsidRPr="000F1C2D">
        <w:rPr>
          <w:sz w:val="20"/>
          <w:szCs w:val="20"/>
        </w:rPr>
        <w:t xml:space="preserve">, </w:t>
      </w:r>
      <w:r w:rsidRPr="000F1C2D">
        <w:rPr>
          <w:i/>
          <w:sz w:val="20"/>
          <w:szCs w:val="20"/>
        </w:rPr>
        <w:t>62(8)</w:t>
      </w:r>
      <w:r w:rsidRPr="000F1C2D">
        <w:rPr>
          <w:sz w:val="20"/>
          <w:szCs w:val="20"/>
        </w:rPr>
        <w:t>, 2927-2942.</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[16] Belhadi, A., Mani, V., Kamble, S. S., Khan, S. A. R., et al. Artificial intelligence-driven innovation for enhancing supply chain resilience and performance under the effect of supply chain dynamism: an empirical investigation, </w:t>
      </w:r>
      <w:r w:rsidRPr="000F1C2D">
        <w:rPr>
          <w:i/>
          <w:sz w:val="20"/>
          <w:szCs w:val="20"/>
        </w:rPr>
        <w:t>Ann Oper Res</w:t>
      </w:r>
      <w:r w:rsidRPr="000F1C2D">
        <w:rPr>
          <w:sz w:val="20"/>
          <w:szCs w:val="20"/>
        </w:rPr>
        <w:t xml:space="preserve">, </w:t>
      </w:r>
      <w:r w:rsidRPr="000F1C2D">
        <w:rPr>
          <w:b/>
          <w:sz w:val="20"/>
          <w:szCs w:val="20"/>
        </w:rPr>
        <w:t>2021</w:t>
      </w:r>
      <w:r w:rsidRPr="000F1C2D">
        <w:rPr>
          <w:sz w:val="20"/>
          <w:szCs w:val="20"/>
        </w:rPr>
        <w:t>,</w:t>
      </w:r>
      <w:r w:rsidR="00333FFD">
        <w:rPr>
          <w:sz w:val="20"/>
          <w:szCs w:val="20"/>
        </w:rPr>
        <w:t xml:space="preserve"> </w:t>
      </w:r>
      <w:r w:rsidRPr="000F1C2D">
        <w:rPr>
          <w:sz w:val="20"/>
          <w:szCs w:val="20"/>
        </w:rPr>
        <w:t>1-26.</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[17] Li, Y., Li, D., Liu, Y., &amp; Shou, Y. Digitalization for supply chain resilience and robustness: The roles of collaboration and formal contracts, </w:t>
      </w:r>
      <w:r w:rsidRPr="000F1C2D">
        <w:rPr>
          <w:i/>
          <w:sz w:val="20"/>
          <w:szCs w:val="20"/>
        </w:rPr>
        <w:t>Frontiers of Engineering Management</w:t>
      </w:r>
      <w:r w:rsidRPr="000F1C2D">
        <w:rPr>
          <w:sz w:val="20"/>
          <w:szCs w:val="20"/>
        </w:rPr>
        <w:t xml:space="preserve">, </w:t>
      </w:r>
      <w:r w:rsidRPr="000F1C2D">
        <w:rPr>
          <w:b/>
          <w:sz w:val="20"/>
          <w:szCs w:val="20"/>
        </w:rPr>
        <w:t>2023</w:t>
      </w:r>
      <w:r w:rsidRPr="000F1C2D">
        <w:rPr>
          <w:sz w:val="20"/>
          <w:szCs w:val="20"/>
        </w:rPr>
        <w:t xml:space="preserve">, </w:t>
      </w:r>
      <w:r w:rsidRPr="000F1C2D">
        <w:rPr>
          <w:i/>
          <w:sz w:val="20"/>
          <w:szCs w:val="20"/>
        </w:rPr>
        <w:t>10(1)</w:t>
      </w:r>
      <w:r w:rsidRPr="000F1C2D">
        <w:rPr>
          <w:sz w:val="20"/>
          <w:szCs w:val="20"/>
        </w:rPr>
        <w:t>, 5-19.</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[18]Beamon, B. M. Measuring supply chain performance, </w:t>
      </w:r>
      <w:r w:rsidRPr="000F1C2D">
        <w:rPr>
          <w:i/>
          <w:sz w:val="20"/>
          <w:szCs w:val="20"/>
        </w:rPr>
        <w:t>International Journal of Operations &amp; Production Management</w:t>
      </w:r>
      <w:r w:rsidRPr="000F1C2D">
        <w:rPr>
          <w:sz w:val="20"/>
          <w:szCs w:val="20"/>
        </w:rPr>
        <w:t xml:space="preserve">, </w:t>
      </w:r>
      <w:r w:rsidRPr="000F1C2D">
        <w:rPr>
          <w:b/>
          <w:sz w:val="20"/>
          <w:szCs w:val="20"/>
        </w:rPr>
        <w:t>1999</w:t>
      </w:r>
      <w:r w:rsidRPr="000F1C2D">
        <w:rPr>
          <w:sz w:val="20"/>
          <w:szCs w:val="20"/>
        </w:rPr>
        <w:t xml:space="preserve">, </w:t>
      </w:r>
      <w:r w:rsidRPr="000F1C2D">
        <w:rPr>
          <w:i/>
          <w:sz w:val="20"/>
          <w:szCs w:val="20"/>
        </w:rPr>
        <w:t>19(3)</w:t>
      </w:r>
      <w:r w:rsidRPr="000F1C2D">
        <w:rPr>
          <w:sz w:val="20"/>
          <w:szCs w:val="20"/>
        </w:rPr>
        <w:t>, 275-292.</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[19] Gunasekaran, A., Patel, C., &amp; McGaughey, R. E. A framework for supply chain performance measurement, </w:t>
      </w:r>
      <w:r w:rsidRPr="000F1C2D">
        <w:rPr>
          <w:i/>
          <w:sz w:val="20"/>
          <w:szCs w:val="20"/>
        </w:rPr>
        <w:t>International Journal of Production Economics</w:t>
      </w:r>
      <w:r w:rsidRPr="000F1C2D">
        <w:rPr>
          <w:sz w:val="20"/>
          <w:szCs w:val="20"/>
        </w:rPr>
        <w:t xml:space="preserve">, </w:t>
      </w:r>
      <w:r w:rsidRPr="000F1C2D">
        <w:rPr>
          <w:b/>
          <w:sz w:val="20"/>
          <w:szCs w:val="20"/>
        </w:rPr>
        <w:t>2004</w:t>
      </w:r>
      <w:r w:rsidRPr="000F1C2D">
        <w:rPr>
          <w:sz w:val="20"/>
          <w:szCs w:val="20"/>
        </w:rPr>
        <w:t xml:space="preserve">, </w:t>
      </w:r>
      <w:r w:rsidRPr="000F1C2D">
        <w:rPr>
          <w:i/>
          <w:sz w:val="20"/>
          <w:szCs w:val="20"/>
        </w:rPr>
        <w:t>87(3)</w:t>
      </w:r>
      <w:r w:rsidRPr="000F1C2D">
        <w:rPr>
          <w:sz w:val="20"/>
          <w:szCs w:val="20"/>
        </w:rPr>
        <w:t>,</w:t>
      </w:r>
      <w:r w:rsidR="00333FFD">
        <w:rPr>
          <w:sz w:val="20"/>
          <w:szCs w:val="20"/>
        </w:rPr>
        <w:t xml:space="preserve"> </w:t>
      </w:r>
      <w:r w:rsidRPr="000F1C2D">
        <w:rPr>
          <w:sz w:val="20"/>
          <w:szCs w:val="20"/>
        </w:rPr>
        <w:t>333-347.</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[20] Dubey, R., Gunasekaran, A., Childe, S. J., Bryde, D. J., et al. Big data analytics and artificial intelligence pathway to operational performance under the effects of entrepreneurial orientation and environmental dynamism: A study of manufacturing organisations, </w:t>
      </w:r>
      <w:r w:rsidRPr="000F1C2D">
        <w:rPr>
          <w:i/>
          <w:sz w:val="20"/>
          <w:szCs w:val="20"/>
        </w:rPr>
        <w:t>International Journal of Production Economics</w:t>
      </w:r>
      <w:r w:rsidRPr="000F1C2D">
        <w:rPr>
          <w:sz w:val="20"/>
          <w:szCs w:val="20"/>
        </w:rPr>
        <w:t xml:space="preserve">, </w:t>
      </w:r>
      <w:r w:rsidRPr="000F1C2D">
        <w:rPr>
          <w:b/>
          <w:sz w:val="20"/>
          <w:szCs w:val="20"/>
        </w:rPr>
        <w:t>2020</w:t>
      </w:r>
      <w:r w:rsidRPr="000F1C2D">
        <w:rPr>
          <w:sz w:val="20"/>
          <w:szCs w:val="20"/>
        </w:rPr>
        <w:t xml:space="preserve">, </w:t>
      </w:r>
      <w:r w:rsidRPr="000F1C2D">
        <w:rPr>
          <w:i/>
          <w:sz w:val="20"/>
          <w:szCs w:val="20"/>
        </w:rPr>
        <w:t>226</w:t>
      </w:r>
      <w:r w:rsidRPr="000F1C2D">
        <w:rPr>
          <w:sz w:val="20"/>
          <w:szCs w:val="20"/>
        </w:rPr>
        <w:t>, 107599.</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[21] Teece, D. J. Explicating dynamic capabilities: the nature and microfoundations of (sustainable) enterprise performance, </w:t>
      </w:r>
      <w:r w:rsidRPr="000F1C2D">
        <w:rPr>
          <w:i/>
          <w:sz w:val="20"/>
          <w:szCs w:val="20"/>
        </w:rPr>
        <w:t>Strategic management journal</w:t>
      </w:r>
      <w:r w:rsidRPr="000F1C2D">
        <w:rPr>
          <w:sz w:val="20"/>
          <w:szCs w:val="20"/>
        </w:rPr>
        <w:t xml:space="preserve">, </w:t>
      </w:r>
      <w:r w:rsidRPr="000F1C2D">
        <w:rPr>
          <w:b/>
          <w:sz w:val="20"/>
          <w:szCs w:val="20"/>
        </w:rPr>
        <w:t>2007</w:t>
      </w:r>
      <w:r w:rsidRPr="000F1C2D">
        <w:rPr>
          <w:sz w:val="20"/>
          <w:szCs w:val="20"/>
        </w:rPr>
        <w:t xml:space="preserve">, </w:t>
      </w:r>
      <w:r w:rsidRPr="000F1C2D">
        <w:rPr>
          <w:i/>
          <w:sz w:val="20"/>
          <w:szCs w:val="20"/>
        </w:rPr>
        <w:t>28(13)</w:t>
      </w:r>
      <w:r w:rsidRPr="000F1C2D">
        <w:rPr>
          <w:sz w:val="20"/>
          <w:szCs w:val="20"/>
        </w:rPr>
        <w:t>, 1319-1350.</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[22] Teece, D. J., Pisano, G., &amp; Shuen, A. Dynamic capabilities and strategic management, </w:t>
      </w:r>
      <w:r w:rsidRPr="000F1C2D">
        <w:rPr>
          <w:i/>
          <w:sz w:val="20"/>
          <w:szCs w:val="20"/>
        </w:rPr>
        <w:t>Strategic management journal</w:t>
      </w:r>
      <w:r w:rsidRPr="000F1C2D">
        <w:rPr>
          <w:sz w:val="20"/>
          <w:szCs w:val="20"/>
        </w:rPr>
        <w:t xml:space="preserve">, </w:t>
      </w:r>
      <w:r w:rsidRPr="000F1C2D">
        <w:rPr>
          <w:b/>
          <w:sz w:val="20"/>
          <w:szCs w:val="20"/>
        </w:rPr>
        <w:t>1997</w:t>
      </w:r>
      <w:r w:rsidRPr="000F1C2D">
        <w:rPr>
          <w:sz w:val="20"/>
          <w:szCs w:val="20"/>
        </w:rPr>
        <w:t xml:space="preserve">, </w:t>
      </w:r>
      <w:r w:rsidRPr="000F1C2D">
        <w:rPr>
          <w:i/>
          <w:sz w:val="20"/>
          <w:szCs w:val="20"/>
        </w:rPr>
        <w:t>18(7)</w:t>
      </w:r>
      <w:r w:rsidRPr="000F1C2D">
        <w:rPr>
          <w:sz w:val="20"/>
          <w:szCs w:val="20"/>
        </w:rPr>
        <w:t>, 509-533.</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[23] Teece, D. J. The foundations of enterprise performance: Dynamic and ordinary capabilities in </w:t>
      </w:r>
      <w:r w:rsidRPr="000F1C2D">
        <w:rPr>
          <w:sz w:val="20"/>
          <w:szCs w:val="20"/>
        </w:rPr>
        <w:lastRenderedPageBreak/>
        <w:t xml:space="preserve">an (economic) theory of firms, </w:t>
      </w:r>
      <w:r w:rsidRPr="000F1C2D">
        <w:rPr>
          <w:i/>
          <w:sz w:val="20"/>
          <w:szCs w:val="20"/>
        </w:rPr>
        <w:t>Academy of management perspectives</w:t>
      </w:r>
      <w:r w:rsidRPr="000F1C2D">
        <w:rPr>
          <w:sz w:val="20"/>
          <w:szCs w:val="20"/>
        </w:rPr>
        <w:t xml:space="preserve">, </w:t>
      </w:r>
      <w:r w:rsidRPr="000F1C2D">
        <w:rPr>
          <w:b/>
          <w:sz w:val="20"/>
          <w:szCs w:val="20"/>
        </w:rPr>
        <w:t>2014</w:t>
      </w:r>
      <w:r w:rsidRPr="000F1C2D">
        <w:rPr>
          <w:sz w:val="20"/>
          <w:szCs w:val="20"/>
        </w:rPr>
        <w:t xml:space="preserve">, </w:t>
      </w:r>
      <w:r w:rsidRPr="000F1C2D">
        <w:rPr>
          <w:i/>
          <w:sz w:val="20"/>
          <w:szCs w:val="20"/>
        </w:rPr>
        <w:t>28(4)</w:t>
      </w:r>
      <w:r w:rsidRPr="000F1C2D">
        <w:rPr>
          <w:sz w:val="20"/>
          <w:szCs w:val="20"/>
        </w:rPr>
        <w:t>, 328-352.</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[24]Brusset, X., &amp; Teller, C. Supply chain capabilities, risks, and resilience, </w:t>
      </w:r>
      <w:r w:rsidRPr="000F1C2D">
        <w:rPr>
          <w:i/>
          <w:sz w:val="20"/>
          <w:szCs w:val="20"/>
        </w:rPr>
        <w:t>International Journal of Production Economics</w:t>
      </w:r>
      <w:r w:rsidRPr="000F1C2D">
        <w:rPr>
          <w:sz w:val="20"/>
          <w:szCs w:val="20"/>
        </w:rPr>
        <w:t xml:space="preserve">, </w:t>
      </w:r>
      <w:r w:rsidRPr="000F1C2D">
        <w:rPr>
          <w:b/>
          <w:sz w:val="20"/>
          <w:szCs w:val="20"/>
        </w:rPr>
        <w:t>2017</w:t>
      </w:r>
      <w:r w:rsidRPr="000F1C2D">
        <w:rPr>
          <w:sz w:val="20"/>
          <w:szCs w:val="20"/>
        </w:rPr>
        <w:t xml:space="preserve">, </w:t>
      </w:r>
      <w:r w:rsidRPr="000F1C2D">
        <w:rPr>
          <w:i/>
          <w:sz w:val="20"/>
          <w:szCs w:val="20"/>
        </w:rPr>
        <w:t>184</w:t>
      </w:r>
      <w:r w:rsidRPr="000F1C2D">
        <w:rPr>
          <w:sz w:val="20"/>
          <w:szCs w:val="20"/>
        </w:rPr>
        <w:t>, 59-68.</w:t>
      </w:r>
    </w:p>
    <w:p w:rsidR="0000429B" w:rsidRPr="00C044A9" w:rsidRDefault="0000429B" w:rsidP="000B7499">
      <w:pPr>
        <w:pStyle w:val="EndNoteBibliography"/>
        <w:spacing w:after="0"/>
        <w:ind w:left="284" w:hanging="284"/>
        <w:jc w:val="both"/>
        <w:rPr>
          <w:sz w:val="20"/>
          <w:szCs w:val="20"/>
          <w:lang w:val="vi-VN"/>
        </w:rPr>
      </w:pPr>
      <w:r w:rsidRPr="000F1C2D">
        <w:rPr>
          <w:sz w:val="20"/>
          <w:szCs w:val="20"/>
        </w:rPr>
        <w:t xml:space="preserve">[25] Wamba, S. F., Dubey, R., Gunasekaran, A., &amp; Akter, S. The performance effects of big data analytics and supply chain ambidexterity: The moderating effect of environmental dynamism, </w:t>
      </w:r>
      <w:r w:rsidRPr="000F1C2D">
        <w:rPr>
          <w:i/>
          <w:sz w:val="20"/>
          <w:szCs w:val="20"/>
        </w:rPr>
        <w:t>International Journal of Production Economics</w:t>
      </w:r>
      <w:r w:rsidRPr="000F1C2D">
        <w:rPr>
          <w:sz w:val="20"/>
          <w:szCs w:val="20"/>
        </w:rPr>
        <w:t xml:space="preserve">, </w:t>
      </w:r>
      <w:r w:rsidRPr="000F1C2D">
        <w:rPr>
          <w:b/>
          <w:sz w:val="20"/>
          <w:szCs w:val="20"/>
        </w:rPr>
        <w:t>2020</w:t>
      </w:r>
      <w:r w:rsidRPr="000F1C2D">
        <w:rPr>
          <w:sz w:val="20"/>
          <w:szCs w:val="20"/>
        </w:rPr>
        <w:t xml:space="preserve">, </w:t>
      </w:r>
      <w:r w:rsidR="00C044A9">
        <w:rPr>
          <w:sz w:val="20"/>
          <w:szCs w:val="20"/>
          <w:lang w:val="vi-VN"/>
        </w:rPr>
        <w:t>222.</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[26] Hair, J. F. Multivariate data analysis, </w:t>
      </w:r>
      <w:r w:rsidR="00C044A9">
        <w:rPr>
          <w:sz w:val="20"/>
          <w:szCs w:val="20"/>
          <w:lang w:val="vi-VN"/>
        </w:rPr>
        <w:t>2009.</w:t>
      </w:r>
      <w:r w:rsidRPr="000F1C2D">
        <w:rPr>
          <w:sz w:val="20"/>
          <w:szCs w:val="20"/>
        </w:rPr>
        <w:t xml:space="preserve"> </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[27] Hair Jr, J. F., Babin, B. J., &amp; Krey, N. Covariance-based structural equation modeling in the Journal of Advertising: Review and recommendations, </w:t>
      </w:r>
      <w:r w:rsidRPr="000F1C2D">
        <w:rPr>
          <w:i/>
          <w:sz w:val="20"/>
          <w:szCs w:val="20"/>
        </w:rPr>
        <w:t>Journal of Advertising</w:t>
      </w:r>
      <w:r w:rsidRPr="000F1C2D">
        <w:rPr>
          <w:sz w:val="20"/>
          <w:szCs w:val="20"/>
        </w:rPr>
        <w:t xml:space="preserve">, </w:t>
      </w:r>
      <w:r w:rsidRPr="000F1C2D">
        <w:rPr>
          <w:b/>
          <w:sz w:val="20"/>
          <w:szCs w:val="20"/>
        </w:rPr>
        <w:t>2017</w:t>
      </w:r>
      <w:r w:rsidRPr="000F1C2D">
        <w:rPr>
          <w:sz w:val="20"/>
          <w:szCs w:val="20"/>
        </w:rPr>
        <w:t xml:space="preserve">, </w:t>
      </w:r>
      <w:r w:rsidRPr="000F1C2D">
        <w:rPr>
          <w:i/>
          <w:sz w:val="20"/>
          <w:szCs w:val="20"/>
        </w:rPr>
        <w:t>46(1)</w:t>
      </w:r>
      <w:r w:rsidRPr="000F1C2D">
        <w:rPr>
          <w:sz w:val="20"/>
          <w:szCs w:val="20"/>
        </w:rPr>
        <w:t>, 163-177.</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[28] Hair, J. F., Risher, J. J., Sarstedt, M., &amp; Ringle, C. M. When to use and how to report the results of PLS-SEM, </w:t>
      </w:r>
      <w:r w:rsidRPr="000F1C2D">
        <w:rPr>
          <w:i/>
          <w:sz w:val="20"/>
          <w:szCs w:val="20"/>
        </w:rPr>
        <w:t>European business review</w:t>
      </w:r>
      <w:r w:rsidRPr="000F1C2D">
        <w:rPr>
          <w:sz w:val="20"/>
          <w:szCs w:val="20"/>
        </w:rPr>
        <w:t xml:space="preserve">, </w:t>
      </w:r>
      <w:r w:rsidRPr="000F1C2D">
        <w:rPr>
          <w:b/>
          <w:sz w:val="20"/>
          <w:szCs w:val="20"/>
        </w:rPr>
        <w:t>2019</w:t>
      </w:r>
      <w:r w:rsidRPr="000F1C2D">
        <w:rPr>
          <w:sz w:val="20"/>
          <w:szCs w:val="20"/>
        </w:rPr>
        <w:t xml:space="preserve">, </w:t>
      </w:r>
      <w:r w:rsidRPr="000F1C2D">
        <w:rPr>
          <w:i/>
          <w:sz w:val="20"/>
          <w:szCs w:val="20"/>
        </w:rPr>
        <w:t>31(1)</w:t>
      </w:r>
      <w:r w:rsidRPr="000F1C2D">
        <w:rPr>
          <w:sz w:val="20"/>
          <w:szCs w:val="20"/>
        </w:rPr>
        <w:t>, 2-24.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[29] Henseler, J., Ringle, C. M., &amp; Sarstedt, M. A new criterion for assessing discriminant validity in variance-based structural equation modeling, </w:t>
      </w:r>
      <w:r w:rsidRPr="000F1C2D">
        <w:rPr>
          <w:i/>
          <w:sz w:val="20"/>
          <w:szCs w:val="20"/>
        </w:rPr>
        <w:t>Journal of the academy of marketing science</w:t>
      </w:r>
      <w:r w:rsidRPr="000F1C2D">
        <w:rPr>
          <w:sz w:val="20"/>
          <w:szCs w:val="20"/>
        </w:rPr>
        <w:t xml:space="preserve">, </w:t>
      </w:r>
      <w:r w:rsidRPr="000F1C2D">
        <w:rPr>
          <w:b/>
          <w:sz w:val="20"/>
          <w:szCs w:val="20"/>
        </w:rPr>
        <w:t>2015</w:t>
      </w:r>
      <w:r w:rsidRPr="000F1C2D">
        <w:rPr>
          <w:sz w:val="20"/>
          <w:szCs w:val="20"/>
        </w:rPr>
        <w:t xml:space="preserve">, </w:t>
      </w:r>
      <w:r w:rsidRPr="000F1C2D">
        <w:rPr>
          <w:i/>
          <w:sz w:val="20"/>
          <w:szCs w:val="20"/>
        </w:rPr>
        <w:t>43(1)</w:t>
      </w:r>
      <w:r w:rsidRPr="000F1C2D">
        <w:rPr>
          <w:sz w:val="20"/>
          <w:szCs w:val="20"/>
        </w:rPr>
        <w:t>, 115-135.</w:t>
      </w:r>
    </w:p>
    <w:p w:rsidR="0000429B" w:rsidRPr="000F1C2D" w:rsidRDefault="0000429B" w:rsidP="000B7499">
      <w:pPr>
        <w:pStyle w:val="EndNoteBibliography"/>
        <w:spacing w:after="0"/>
        <w:ind w:left="284" w:hanging="284"/>
        <w:jc w:val="both"/>
        <w:rPr>
          <w:sz w:val="20"/>
          <w:szCs w:val="20"/>
        </w:rPr>
      </w:pPr>
      <w:r w:rsidRPr="000F1C2D">
        <w:rPr>
          <w:sz w:val="20"/>
          <w:szCs w:val="20"/>
        </w:rPr>
        <w:t>[30] Chin, W. W. (1998). The partial least squares approach to structural equation modeling. In: Psychology Press.</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[31] Cohen, J., </w:t>
      </w:r>
      <w:r w:rsidRPr="000F1C2D">
        <w:rPr>
          <w:b/>
          <w:i/>
          <w:sz w:val="20"/>
          <w:szCs w:val="20"/>
        </w:rPr>
        <w:t>Statistical power analysis for the behavioral sciences</w:t>
      </w:r>
      <w:r w:rsidRPr="000F1C2D">
        <w:rPr>
          <w:sz w:val="20"/>
          <w:szCs w:val="20"/>
        </w:rPr>
        <w:t>, routledge, (2013).</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[32] Sarstedt, M., Ringle, C. M., &amp; Hair, J. F. </w:t>
      </w:r>
      <w:r w:rsidR="00333FFD">
        <w:rPr>
          <w:sz w:val="20"/>
          <w:szCs w:val="20"/>
        </w:rPr>
        <w:t xml:space="preserve">, </w:t>
      </w:r>
      <w:r w:rsidRPr="000F1C2D">
        <w:rPr>
          <w:sz w:val="20"/>
          <w:szCs w:val="20"/>
        </w:rPr>
        <w:t>2021. Partial least squares structural equation modeling. In: Springer.</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[33] Dubey, R., Gunasekaran, A., Childe, S. J., Fosso Wamba, S., et al. Empirical investigation of data analytics capability and organizational flexibility as complements to supply chain resilience, </w:t>
      </w:r>
      <w:r w:rsidRPr="000F1C2D">
        <w:rPr>
          <w:i/>
          <w:sz w:val="20"/>
          <w:szCs w:val="20"/>
        </w:rPr>
        <w:t>International Journal of Production Research</w:t>
      </w:r>
      <w:r w:rsidRPr="000F1C2D">
        <w:rPr>
          <w:sz w:val="20"/>
          <w:szCs w:val="20"/>
        </w:rPr>
        <w:t xml:space="preserve">, </w:t>
      </w:r>
      <w:r w:rsidRPr="000F1C2D">
        <w:rPr>
          <w:b/>
          <w:sz w:val="20"/>
          <w:szCs w:val="20"/>
        </w:rPr>
        <w:t>2021</w:t>
      </w:r>
      <w:r w:rsidRPr="000F1C2D">
        <w:rPr>
          <w:sz w:val="20"/>
          <w:szCs w:val="20"/>
        </w:rPr>
        <w:t xml:space="preserve">, </w:t>
      </w:r>
      <w:r w:rsidRPr="000F1C2D">
        <w:rPr>
          <w:i/>
          <w:sz w:val="20"/>
          <w:szCs w:val="20"/>
        </w:rPr>
        <w:t>59(1)</w:t>
      </w:r>
      <w:r w:rsidRPr="000F1C2D">
        <w:rPr>
          <w:sz w:val="20"/>
          <w:szCs w:val="20"/>
        </w:rPr>
        <w:t>,</w:t>
      </w:r>
      <w:r w:rsidR="00333FFD">
        <w:rPr>
          <w:sz w:val="20"/>
          <w:szCs w:val="20"/>
        </w:rPr>
        <w:t xml:space="preserve"> </w:t>
      </w:r>
      <w:r w:rsidRPr="000F1C2D">
        <w:rPr>
          <w:sz w:val="20"/>
          <w:szCs w:val="20"/>
        </w:rPr>
        <w:t>110-128.</w:t>
      </w:r>
    </w:p>
    <w:p w:rsidR="0000429B" w:rsidRPr="000F1C2D" w:rsidRDefault="0000429B" w:rsidP="000B7499">
      <w:pPr>
        <w:pStyle w:val="EndNoteBibliography"/>
        <w:ind w:left="284" w:hanging="284"/>
        <w:jc w:val="both"/>
        <w:rPr>
          <w:sz w:val="20"/>
          <w:szCs w:val="20"/>
        </w:rPr>
      </w:pPr>
      <w:r w:rsidRPr="000F1C2D">
        <w:rPr>
          <w:sz w:val="20"/>
          <w:szCs w:val="20"/>
        </w:rPr>
        <w:t xml:space="preserve">[34] Queiroz, M. M., Ivanov, D., Dolgui, A., &amp; Fosso Wamba, S. Impacts of epidemic outbreaks on supply chains: mapping a research agenda amid the COVID-19 pandemic through a structured literature review, </w:t>
      </w:r>
      <w:r w:rsidRPr="000F1C2D">
        <w:rPr>
          <w:i/>
          <w:sz w:val="20"/>
          <w:szCs w:val="20"/>
        </w:rPr>
        <w:t>Annals of operations research</w:t>
      </w:r>
      <w:r w:rsidRPr="000F1C2D">
        <w:rPr>
          <w:sz w:val="20"/>
          <w:szCs w:val="20"/>
        </w:rPr>
        <w:t xml:space="preserve">, </w:t>
      </w:r>
      <w:r w:rsidRPr="000F1C2D">
        <w:rPr>
          <w:b/>
          <w:sz w:val="20"/>
          <w:szCs w:val="20"/>
        </w:rPr>
        <w:t>2022</w:t>
      </w:r>
      <w:r w:rsidRPr="000F1C2D">
        <w:rPr>
          <w:sz w:val="20"/>
          <w:szCs w:val="20"/>
        </w:rPr>
        <w:t xml:space="preserve">, </w:t>
      </w:r>
      <w:r w:rsidRPr="000F1C2D">
        <w:rPr>
          <w:i/>
          <w:sz w:val="20"/>
          <w:szCs w:val="20"/>
        </w:rPr>
        <w:t>319(1)</w:t>
      </w:r>
      <w:r w:rsidRPr="000F1C2D">
        <w:rPr>
          <w:sz w:val="20"/>
          <w:szCs w:val="20"/>
        </w:rPr>
        <w:t>, 1159-1196.</w:t>
      </w:r>
    </w:p>
    <w:p w:rsidR="0011774F" w:rsidRDefault="0028689C" w:rsidP="000B7499">
      <w:pPr>
        <w:pStyle w:val="NormalWeb"/>
        <w:jc w:val="both"/>
        <w:rPr>
          <w:sz w:val="20"/>
          <w:szCs w:val="20"/>
          <w:lang w:val="vi-VN"/>
        </w:rPr>
        <w:sectPr w:rsidR="0011774F" w:rsidSect="0011774F">
          <w:type w:val="continuous"/>
          <w:pgSz w:w="12240" w:h="15840"/>
          <w:pgMar w:top="1440" w:right="1440" w:bottom="1440" w:left="1440" w:header="720" w:footer="720" w:gutter="0"/>
          <w:cols w:num="2" w:space="720"/>
          <w:docGrid w:linePitch="360"/>
        </w:sectPr>
      </w:pPr>
      <w:r w:rsidRPr="000F1C2D">
        <w:rPr>
          <w:sz w:val="20"/>
          <w:szCs w:val="20"/>
          <w:lang w:val="vi-VN"/>
        </w:rPr>
        <w:fldChar w:fldCharType="end"/>
      </w:r>
    </w:p>
    <w:p w:rsidR="00921929" w:rsidRPr="000F1C2D" w:rsidRDefault="00921929" w:rsidP="00FB50C0">
      <w:pPr>
        <w:pStyle w:val="NormalWeb"/>
        <w:rPr>
          <w:sz w:val="20"/>
          <w:szCs w:val="20"/>
        </w:rPr>
      </w:pPr>
    </w:p>
    <w:sectPr w:rsidR="00921929" w:rsidRPr="000F1C2D" w:rsidSect="001177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D3A" w:rsidRDefault="004A5D3A" w:rsidP="000079A3">
      <w:pPr>
        <w:spacing w:after="0" w:line="240" w:lineRule="auto"/>
      </w:pPr>
      <w:r>
        <w:separator/>
      </w:r>
    </w:p>
  </w:endnote>
  <w:endnote w:type="continuationSeparator" w:id="0">
    <w:p w:rsidR="004A5D3A" w:rsidRDefault="004A5D3A" w:rsidP="0000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D3A" w:rsidRDefault="004A5D3A" w:rsidP="000079A3">
      <w:pPr>
        <w:spacing w:after="0" w:line="240" w:lineRule="auto"/>
      </w:pPr>
      <w:r>
        <w:separator/>
      </w:r>
    </w:p>
  </w:footnote>
  <w:footnote w:type="continuationSeparator" w:id="0">
    <w:p w:rsidR="004A5D3A" w:rsidRDefault="004A5D3A" w:rsidP="00007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CKH2019 - QNU journ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xvexxvx0vtpmeafst5dtv5w2zx9fwa0ffp&quot;&gt;Luận án tiến sĩ&lt;record-ids&gt;&lt;item&gt;4&lt;/item&gt;&lt;item&gt;15&lt;/item&gt;&lt;item&gt;16&lt;/item&gt;&lt;item&gt;22&lt;/item&gt;&lt;item&gt;23&lt;/item&gt;&lt;item&gt;24&lt;/item&gt;&lt;item&gt;26&lt;/item&gt;&lt;item&gt;28&lt;/item&gt;&lt;item&gt;29&lt;/item&gt;&lt;item&gt;33&lt;/item&gt;&lt;item&gt;35&lt;/item&gt;&lt;item&gt;39&lt;/item&gt;&lt;item&gt;40&lt;/item&gt;&lt;item&gt;41&lt;/item&gt;&lt;item&gt;45&lt;/item&gt;&lt;item&gt;50&lt;/item&gt;&lt;item&gt;51&lt;/item&gt;&lt;item&gt;53&lt;/item&gt;&lt;item&gt;59&lt;/item&gt;&lt;item&gt;64&lt;/item&gt;&lt;item&gt;69&lt;/item&gt;&lt;item&gt;81&lt;/item&gt;&lt;item&gt;94&lt;/item&gt;&lt;item&gt;103&lt;/item&gt;&lt;item&gt;107&lt;/item&gt;&lt;item&gt;109&lt;/item&gt;&lt;item&gt;110&lt;/item&gt;&lt;item&gt;115&lt;/item&gt;&lt;item&gt;123&lt;/item&gt;&lt;item&gt;124&lt;/item&gt;&lt;item&gt;127&lt;/item&gt;&lt;item&gt;135&lt;/item&gt;&lt;item&gt;145&lt;/item&gt;&lt;item&gt;146&lt;/item&gt;&lt;item&gt;147&lt;/item&gt;&lt;item&gt;148&lt;/item&gt;&lt;item&gt;151&lt;/item&gt;&lt;item&gt;152&lt;/item&gt;&lt;item&gt;153&lt;/item&gt;&lt;/record-ids&gt;&lt;/item&gt;&lt;/Libraries&gt;"/>
  </w:docVars>
  <w:rsids>
    <w:rsidRoot w:val="00457D73"/>
    <w:rsid w:val="0000429B"/>
    <w:rsid w:val="000079A3"/>
    <w:rsid w:val="00035728"/>
    <w:rsid w:val="000871D5"/>
    <w:rsid w:val="000875B2"/>
    <w:rsid w:val="00091657"/>
    <w:rsid w:val="000B2CDE"/>
    <w:rsid w:val="000B7499"/>
    <w:rsid w:val="000C293E"/>
    <w:rsid w:val="000C33EF"/>
    <w:rsid w:val="000F1C2D"/>
    <w:rsid w:val="0011774F"/>
    <w:rsid w:val="00153237"/>
    <w:rsid w:val="00156D79"/>
    <w:rsid w:val="001609CF"/>
    <w:rsid w:val="00177E66"/>
    <w:rsid w:val="001853A1"/>
    <w:rsid w:val="0018576B"/>
    <w:rsid w:val="00186762"/>
    <w:rsid w:val="0019447F"/>
    <w:rsid w:val="001C5D0B"/>
    <w:rsid w:val="001E5193"/>
    <w:rsid w:val="00203D0B"/>
    <w:rsid w:val="00207CBA"/>
    <w:rsid w:val="00281A68"/>
    <w:rsid w:val="0028689C"/>
    <w:rsid w:val="002B6E21"/>
    <w:rsid w:val="002C3435"/>
    <w:rsid w:val="002D72C6"/>
    <w:rsid w:val="00304AF9"/>
    <w:rsid w:val="00307554"/>
    <w:rsid w:val="00333FFD"/>
    <w:rsid w:val="003412BA"/>
    <w:rsid w:val="003A0E27"/>
    <w:rsid w:val="003C4573"/>
    <w:rsid w:val="003F153C"/>
    <w:rsid w:val="003F4DEC"/>
    <w:rsid w:val="00404928"/>
    <w:rsid w:val="00447B06"/>
    <w:rsid w:val="004574E3"/>
    <w:rsid w:val="00457D73"/>
    <w:rsid w:val="004A5D3A"/>
    <w:rsid w:val="004C0FB9"/>
    <w:rsid w:val="004D0B9F"/>
    <w:rsid w:val="004D3E46"/>
    <w:rsid w:val="004E7565"/>
    <w:rsid w:val="00514A08"/>
    <w:rsid w:val="00541A70"/>
    <w:rsid w:val="00550095"/>
    <w:rsid w:val="00556C97"/>
    <w:rsid w:val="00585217"/>
    <w:rsid w:val="006073F4"/>
    <w:rsid w:val="0063329A"/>
    <w:rsid w:val="006500E2"/>
    <w:rsid w:val="006639B6"/>
    <w:rsid w:val="006B4710"/>
    <w:rsid w:val="006C341F"/>
    <w:rsid w:val="006D0E51"/>
    <w:rsid w:val="006F3205"/>
    <w:rsid w:val="0070165C"/>
    <w:rsid w:val="00746A72"/>
    <w:rsid w:val="007606E5"/>
    <w:rsid w:val="00773FEB"/>
    <w:rsid w:val="0079599C"/>
    <w:rsid w:val="007C3D13"/>
    <w:rsid w:val="007F2B84"/>
    <w:rsid w:val="00831E86"/>
    <w:rsid w:val="00840D76"/>
    <w:rsid w:val="00847559"/>
    <w:rsid w:val="00850D16"/>
    <w:rsid w:val="00873A68"/>
    <w:rsid w:val="00876BC8"/>
    <w:rsid w:val="008F5186"/>
    <w:rsid w:val="00921929"/>
    <w:rsid w:val="00945D30"/>
    <w:rsid w:val="00970DEC"/>
    <w:rsid w:val="009753A6"/>
    <w:rsid w:val="0099005E"/>
    <w:rsid w:val="009900DE"/>
    <w:rsid w:val="0099269A"/>
    <w:rsid w:val="009B09E5"/>
    <w:rsid w:val="00A26376"/>
    <w:rsid w:val="00A73870"/>
    <w:rsid w:val="00A94221"/>
    <w:rsid w:val="00A95708"/>
    <w:rsid w:val="00AC0AE3"/>
    <w:rsid w:val="00AC5B13"/>
    <w:rsid w:val="00AD452A"/>
    <w:rsid w:val="00AD61DB"/>
    <w:rsid w:val="00B12DCD"/>
    <w:rsid w:val="00B2154F"/>
    <w:rsid w:val="00B3699E"/>
    <w:rsid w:val="00B5081D"/>
    <w:rsid w:val="00B810BB"/>
    <w:rsid w:val="00BE3853"/>
    <w:rsid w:val="00C044A9"/>
    <w:rsid w:val="00C137BA"/>
    <w:rsid w:val="00C335E6"/>
    <w:rsid w:val="00C57A72"/>
    <w:rsid w:val="00CD7BA5"/>
    <w:rsid w:val="00CE6996"/>
    <w:rsid w:val="00CF20A4"/>
    <w:rsid w:val="00CF7701"/>
    <w:rsid w:val="00CF7C1E"/>
    <w:rsid w:val="00D060F8"/>
    <w:rsid w:val="00D47053"/>
    <w:rsid w:val="00D72A9B"/>
    <w:rsid w:val="00D74983"/>
    <w:rsid w:val="00DA610E"/>
    <w:rsid w:val="00DB0306"/>
    <w:rsid w:val="00DB5F52"/>
    <w:rsid w:val="00DC6DA2"/>
    <w:rsid w:val="00DD4B8B"/>
    <w:rsid w:val="00DF755B"/>
    <w:rsid w:val="00E10410"/>
    <w:rsid w:val="00E24A55"/>
    <w:rsid w:val="00E452C7"/>
    <w:rsid w:val="00E46F0D"/>
    <w:rsid w:val="00EA1C6A"/>
    <w:rsid w:val="00EB5E4E"/>
    <w:rsid w:val="00EF22B7"/>
    <w:rsid w:val="00F410D9"/>
    <w:rsid w:val="00FA7E7F"/>
    <w:rsid w:val="00FB50C0"/>
    <w:rsid w:val="00FB596A"/>
    <w:rsid w:val="00FE23A4"/>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67DE1"/>
  <w15:chartTrackingRefBased/>
  <w15:docId w15:val="{9E045147-E28C-4861-AE7E-FB865655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1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7D73"/>
    <w:rPr>
      <w:b/>
      <w:bCs/>
    </w:rPr>
  </w:style>
  <w:style w:type="character" w:customStyle="1" w:styleId="ms-1">
    <w:name w:val="ms-1"/>
    <w:basedOn w:val="DefaultParagraphFont"/>
    <w:rsid w:val="00457D73"/>
  </w:style>
  <w:style w:type="character" w:customStyle="1" w:styleId="max-w-full">
    <w:name w:val="max-w-full"/>
    <w:basedOn w:val="DefaultParagraphFont"/>
    <w:rsid w:val="00457D73"/>
  </w:style>
  <w:style w:type="character" w:styleId="Hyperlink">
    <w:name w:val="Hyperlink"/>
    <w:rsid w:val="0099005E"/>
    <w:rPr>
      <w:color w:val="0000FF"/>
      <w:u w:val="single"/>
    </w:rPr>
  </w:style>
  <w:style w:type="paragraph" w:customStyle="1" w:styleId="aonvn">
    <w:name w:val="a đoạn văn"/>
    <w:basedOn w:val="Normal"/>
    <w:qFormat/>
    <w:rsid w:val="00850D16"/>
    <w:pPr>
      <w:widowControl w:val="0"/>
      <w:spacing w:before="120" w:after="120" w:line="240" w:lineRule="auto"/>
      <w:ind w:firstLine="567"/>
      <w:contextualSpacing/>
      <w:jc w:val="both"/>
    </w:pPr>
    <w:rPr>
      <w:rFonts w:ascii="Times New Roman" w:eastAsia="Calibri" w:hAnsi="Times New Roman" w:cs="Times New Roman"/>
    </w:rPr>
  </w:style>
  <w:style w:type="paragraph" w:customStyle="1" w:styleId="1">
    <w:name w:val="1."/>
    <w:basedOn w:val="Normal"/>
    <w:qFormat/>
    <w:rsid w:val="00850D16"/>
    <w:pPr>
      <w:spacing w:after="120" w:line="240" w:lineRule="auto"/>
      <w:jc w:val="both"/>
    </w:pPr>
    <w:rPr>
      <w:rFonts w:ascii="Times New Roman" w:hAnsi="Times New Roman" w:cs="Times New Roman"/>
      <w:b/>
    </w:rPr>
  </w:style>
  <w:style w:type="character" w:styleId="Emphasis">
    <w:name w:val="Emphasis"/>
    <w:basedOn w:val="DefaultParagraphFont"/>
    <w:uiPriority w:val="20"/>
    <w:qFormat/>
    <w:rsid w:val="008F5186"/>
    <w:rPr>
      <w:i/>
      <w:iCs/>
    </w:rPr>
  </w:style>
  <w:style w:type="character" w:customStyle="1" w:styleId="Heading3Char">
    <w:name w:val="Heading 3 Char"/>
    <w:basedOn w:val="DefaultParagraphFont"/>
    <w:link w:val="Heading3"/>
    <w:uiPriority w:val="9"/>
    <w:rsid w:val="00921929"/>
    <w:rPr>
      <w:rFonts w:ascii="Times New Roman" w:eastAsia="Times New Roman" w:hAnsi="Times New Roman" w:cs="Times New Roman"/>
      <w:b/>
      <w:bCs/>
      <w:sz w:val="27"/>
      <w:szCs w:val="27"/>
    </w:rPr>
  </w:style>
  <w:style w:type="paragraph" w:styleId="ListParagraph">
    <w:name w:val="List Paragraph"/>
    <w:basedOn w:val="Normal"/>
    <w:uiPriority w:val="34"/>
    <w:qFormat/>
    <w:rsid w:val="00921929"/>
    <w:pPr>
      <w:ind w:left="720"/>
      <w:contextualSpacing/>
    </w:pPr>
  </w:style>
  <w:style w:type="paragraph" w:customStyle="1" w:styleId="21">
    <w:name w:val="2.1."/>
    <w:basedOn w:val="Normal"/>
    <w:qFormat/>
    <w:rsid w:val="00514A08"/>
    <w:pPr>
      <w:spacing w:after="120" w:line="240" w:lineRule="auto"/>
    </w:pPr>
    <w:rPr>
      <w:rFonts w:ascii="Times New Roman" w:hAnsi="Times New Roman" w:cs="Times New Roman"/>
      <w:b/>
    </w:rPr>
  </w:style>
  <w:style w:type="table" w:styleId="TableGrid">
    <w:name w:val="Table Grid"/>
    <w:basedOn w:val="TableNormal"/>
    <w:uiPriority w:val="59"/>
    <w:rsid w:val="0051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D3E4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D3E46"/>
    <w:rPr>
      <w:rFonts w:ascii="Times New Roman" w:hAnsi="Times New Roman" w:cs="Times New Roman"/>
      <w:noProof/>
      <w:sz w:val="24"/>
    </w:rPr>
  </w:style>
  <w:style w:type="paragraph" w:customStyle="1" w:styleId="EndNoteBibliography">
    <w:name w:val="EndNote Bibliography"/>
    <w:basedOn w:val="Normal"/>
    <w:link w:val="EndNoteBibliographyChar"/>
    <w:rsid w:val="004D3E46"/>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D3E46"/>
    <w:rPr>
      <w:rFonts w:ascii="Times New Roman" w:hAnsi="Times New Roman" w:cs="Times New Roman"/>
      <w:noProof/>
      <w:sz w:val="24"/>
    </w:rPr>
  </w:style>
  <w:style w:type="paragraph" w:customStyle="1" w:styleId="atnbng">
    <w:name w:val="a tên bảng"/>
    <w:qFormat/>
    <w:rsid w:val="00CF7701"/>
    <w:pPr>
      <w:spacing w:before="120" w:after="240"/>
    </w:pPr>
    <w:rPr>
      <w:rFonts w:ascii="Times New Roman" w:hAnsi="Times New Roman" w:cs="Times New Roman"/>
      <w:b/>
      <w:sz w:val="20"/>
      <w:lang w:val="vi-VN"/>
    </w:rPr>
  </w:style>
  <w:style w:type="paragraph" w:styleId="Header">
    <w:name w:val="header"/>
    <w:basedOn w:val="Normal"/>
    <w:link w:val="HeaderChar"/>
    <w:uiPriority w:val="99"/>
    <w:unhideWhenUsed/>
    <w:rsid w:val="00007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9A3"/>
  </w:style>
  <w:style w:type="paragraph" w:styleId="Footer">
    <w:name w:val="footer"/>
    <w:basedOn w:val="Normal"/>
    <w:link w:val="FooterChar"/>
    <w:uiPriority w:val="99"/>
    <w:unhideWhenUsed/>
    <w:rsid w:val="00007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9A3"/>
  </w:style>
  <w:style w:type="paragraph" w:styleId="BalloonText">
    <w:name w:val="Balloon Text"/>
    <w:basedOn w:val="Normal"/>
    <w:link w:val="BalloonTextChar"/>
    <w:uiPriority w:val="99"/>
    <w:semiHidden/>
    <w:unhideWhenUsed/>
    <w:rsid w:val="00203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0B"/>
    <w:rPr>
      <w:rFonts w:ascii="Segoe UI" w:hAnsi="Segoe UI" w:cs="Segoe UI"/>
      <w:sz w:val="18"/>
      <w:szCs w:val="18"/>
    </w:rPr>
  </w:style>
  <w:style w:type="character" w:styleId="CommentReference">
    <w:name w:val="annotation reference"/>
    <w:basedOn w:val="DefaultParagraphFont"/>
    <w:uiPriority w:val="99"/>
    <w:semiHidden/>
    <w:unhideWhenUsed/>
    <w:rsid w:val="00333FFD"/>
    <w:rPr>
      <w:sz w:val="16"/>
      <w:szCs w:val="16"/>
    </w:rPr>
  </w:style>
  <w:style w:type="paragraph" w:styleId="CommentText">
    <w:name w:val="annotation text"/>
    <w:basedOn w:val="Normal"/>
    <w:link w:val="CommentTextChar"/>
    <w:uiPriority w:val="99"/>
    <w:semiHidden/>
    <w:unhideWhenUsed/>
    <w:rsid w:val="00333FFD"/>
    <w:pPr>
      <w:spacing w:line="240" w:lineRule="auto"/>
    </w:pPr>
    <w:rPr>
      <w:sz w:val="20"/>
      <w:szCs w:val="20"/>
    </w:rPr>
  </w:style>
  <w:style w:type="character" w:customStyle="1" w:styleId="CommentTextChar">
    <w:name w:val="Comment Text Char"/>
    <w:basedOn w:val="DefaultParagraphFont"/>
    <w:link w:val="CommentText"/>
    <w:uiPriority w:val="99"/>
    <w:semiHidden/>
    <w:rsid w:val="00333FFD"/>
    <w:rPr>
      <w:sz w:val="20"/>
      <w:szCs w:val="20"/>
    </w:rPr>
  </w:style>
  <w:style w:type="paragraph" w:styleId="CommentSubject">
    <w:name w:val="annotation subject"/>
    <w:basedOn w:val="CommentText"/>
    <w:next w:val="CommentText"/>
    <w:link w:val="CommentSubjectChar"/>
    <w:uiPriority w:val="99"/>
    <w:semiHidden/>
    <w:unhideWhenUsed/>
    <w:rsid w:val="00333FFD"/>
    <w:rPr>
      <w:b/>
      <w:bCs/>
    </w:rPr>
  </w:style>
  <w:style w:type="character" w:customStyle="1" w:styleId="CommentSubjectChar">
    <w:name w:val="Comment Subject Char"/>
    <w:basedOn w:val="CommentTextChar"/>
    <w:link w:val="CommentSubject"/>
    <w:uiPriority w:val="99"/>
    <w:semiHidden/>
    <w:rsid w:val="00333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76968">
      <w:bodyDiv w:val="1"/>
      <w:marLeft w:val="0"/>
      <w:marRight w:val="0"/>
      <w:marTop w:val="0"/>
      <w:marBottom w:val="0"/>
      <w:divBdr>
        <w:top w:val="none" w:sz="0" w:space="0" w:color="auto"/>
        <w:left w:val="none" w:sz="0" w:space="0" w:color="auto"/>
        <w:bottom w:val="none" w:sz="0" w:space="0" w:color="auto"/>
        <w:right w:val="none" w:sz="0" w:space="0" w:color="auto"/>
      </w:divBdr>
    </w:div>
    <w:div w:id="1066803169">
      <w:bodyDiv w:val="1"/>
      <w:marLeft w:val="0"/>
      <w:marRight w:val="0"/>
      <w:marTop w:val="0"/>
      <w:marBottom w:val="0"/>
      <w:divBdr>
        <w:top w:val="none" w:sz="0" w:space="0" w:color="auto"/>
        <w:left w:val="none" w:sz="0" w:space="0" w:color="auto"/>
        <w:bottom w:val="none" w:sz="0" w:space="0" w:color="auto"/>
        <w:right w:val="none" w:sz="0" w:space="0" w:color="auto"/>
      </w:divBdr>
    </w:div>
    <w:div w:id="1075786334">
      <w:bodyDiv w:val="1"/>
      <w:marLeft w:val="0"/>
      <w:marRight w:val="0"/>
      <w:marTop w:val="0"/>
      <w:marBottom w:val="0"/>
      <w:divBdr>
        <w:top w:val="none" w:sz="0" w:space="0" w:color="auto"/>
        <w:left w:val="none" w:sz="0" w:space="0" w:color="auto"/>
        <w:bottom w:val="none" w:sz="0" w:space="0" w:color="auto"/>
        <w:right w:val="none" w:sz="0" w:space="0" w:color="auto"/>
      </w:divBdr>
    </w:div>
    <w:div w:id="1378774105">
      <w:bodyDiv w:val="1"/>
      <w:marLeft w:val="0"/>
      <w:marRight w:val="0"/>
      <w:marTop w:val="0"/>
      <w:marBottom w:val="0"/>
      <w:divBdr>
        <w:top w:val="none" w:sz="0" w:space="0" w:color="auto"/>
        <w:left w:val="none" w:sz="0" w:space="0" w:color="auto"/>
        <w:bottom w:val="none" w:sz="0" w:space="0" w:color="auto"/>
        <w:right w:val="none" w:sz="0" w:space="0" w:color="auto"/>
      </w:divBdr>
    </w:div>
    <w:div w:id="1553535875">
      <w:bodyDiv w:val="1"/>
      <w:marLeft w:val="0"/>
      <w:marRight w:val="0"/>
      <w:marTop w:val="0"/>
      <w:marBottom w:val="0"/>
      <w:divBdr>
        <w:top w:val="none" w:sz="0" w:space="0" w:color="auto"/>
        <w:left w:val="none" w:sz="0" w:space="0" w:color="auto"/>
        <w:bottom w:val="none" w:sz="0" w:space="0" w:color="auto"/>
        <w:right w:val="none" w:sz="0" w:space="0" w:color="auto"/>
      </w:divBdr>
    </w:div>
    <w:div w:id="1836413258">
      <w:bodyDiv w:val="1"/>
      <w:marLeft w:val="0"/>
      <w:marRight w:val="0"/>
      <w:marTop w:val="0"/>
      <w:marBottom w:val="0"/>
      <w:divBdr>
        <w:top w:val="none" w:sz="0" w:space="0" w:color="auto"/>
        <w:left w:val="none" w:sz="0" w:space="0" w:color="auto"/>
        <w:bottom w:val="none" w:sz="0" w:space="0" w:color="auto"/>
        <w:right w:val="none" w:sz="0" w:space="0" w:color="auto"/>
      </w:divBdr>
    </w:div>
    <w:div w:id="1868831753">
      <w:bodyDiv w:val="1"/>
      <w:marLeft w:val="0"/>
      <w:marRight w:val="0"/>
      <w:marTop w:val="0"/>
      <w:marBottom w:val="0"/>
      <w:divBdr>
        <w:top w:val="none" w:sz="0" w:space="0" w:color="auto"/>
        <w:left w:val="none" w:sz="0" w:space="0" w:color="auto"/>
        <w:bottom w:val="none" w:sz="0" w:space="0" w:color="auto"/>
        <w:right w:val="none" w:sz="0" w:space="0" w:color="auto"/>
      </w:divBdr>
    </w:div>
    <w:div w:id="19166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ranthithanhnhan@qn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36D1B-FBCC-43DD-AB65-389FAB42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14</Pages>
  <Words>22898</Words>
  <Characters>89533</Characters>
  <Application>Microsoft Office Word</Application>
  <DocSecurity>0</DocSecurity>
  <Lines>3197</Lines>
  <Paragraphs>1249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83</cp:revision>
  <dcterms:created xsi:type="dcterms:W3CDTF">2025-08-05T01:41:00Z</dcterms:created>
  <dcterms:modified xsi:type="dcterms:W3CDTF">2025-08-07T02:56:00Z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342177a9-b9af-42a7-ae15-31ffea13263c</vt:lpwstr>
  </property>
</Properties>
</file>