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73" w:type="dxa"/>
        <w:jc w:val="center"/>
        <w:tblLook w:val="04A0" w:firstRow="1" w:lastRow="0" w:firstColumn="1" w:lastColumn="0" w:noHBand="0" w:noVBand="1"/>
      </w:tblPr>
      <w:tblGrid>
        <w:gridCol w:w="6004"/>
        <w:gridCol w:w="4269"/>
      </w:tblGrid>
      <w:tr w:rsidR="004574D4" w:rsidRPr="00684CAA" w14:paraId="7FC89CD2" w14:textId="77777777" w:rsidTr="007C708D">
        <w:trPr>
          <w:jc w:val="center"/>
        </w:trPr>
        <w:tc>
          <w:tcPr>
            <w:tcW w:w="6004" w:type="dxa"/>
          </w:tcPr>
          <w:p w14:paraId="31472AC6" w14:textId="77777777" w:rsidR="004574D4" w:rsidRPr="00684CAA" w:rsidRDefault="004574D4" w:rsidP="004574D4">
            <w:pPr>
              <w:jc w:val="center"/>
              <w:rPr>
                <w:b/>
                <w:bCs/>
              </w:rPr>
            </w:pPr>
          </w:p>
        </w:tc>
        <w:tc>
          <w:tcPr>
            <w:tcW w:w="4269" w:type="dxa"/>
          </w:tcPr>
          <w:p w14:paraId="7D88AFAE" w14:textId="6CBEF8BF" w:rsidR="004574D4" w:rsidRPr="00684CAA" w:rsidRDefault="004574D4" w:rsidP="007C708D">
            <w:pPr>
              <w:jc w:val="center"/>
              <w:rPr>
                <w:b/>
                <w:bCs/>
              </w:rPr>
            </w:pPr>
          </w:p>
        </w:tc>
      </w:tr>
    </w:tbl>
    <w:p w14:paraId="009A7B7B" w14:textId="6DC0C37A" w:rsidR="004574D4" w:rsidRPr="00AB1329" w:rsidRDefault="006433EA" w:rsidP="006433EA">
      <w:pPr>
        <w:spacing w:before="120" w:after="120" w:line="312" w:lineRule="auto"/>
        <w:jc w:val="center"/>
        <w:rPr>
          <w:b/>
          <w:bCs/>
          <w:sz w:val="28"/>
          <w:szCs w:val="28"/>
          <w:lang w:val="vi-VN"/>
        </w:rPr>
      </w:pPr>
      <w:r w:rsidRPr="00AB1329">
        <w:rPr>
          <w:b/>
          <w:bCs/>
          <w:sz w:val="28"/>
          <w:szCs w:val="28"/>
        </w:rPr>
        <w:t>GIẢI</w:t>
      </w:r>
      <w:r w:rsidRPr="00AB1329">
        <w:rPr>
          <w:b/>
          <w:bCs/>
          <w:sz w:val="28"/>
          <w:szCs w:val="28"/>
          <w:lang w:val="vi-VN"/>
        </w:rPr>
        <w:t xml:space="preserve"> TRÌNH, BỔ SUNG, CHỈNH SỬA </w:t>
      </w:r>
      <w:r w:rsidR="004574D4" w:rsidRPr="00AB1329">
        <w:rPr>
          <w:b/>
          <w:bCs/>
          <w:sz w:val="28"/>
          <w:szCs w:val="28"/>
        </w:rPr>
        <w:t>BÀI BÁO</w:t>
      </w:r>
    </w:p>
    <w:p w14:paraId="0E2F348E" w14:textId="101A7F29" w:rsidR="00FE5484" w:rsidRPr="00AB1329" w:rsidRDefault="00FE5484" w:rsidP="004574D4">
      <w:pPr>
        <w:spacing w:before="120" w:after="120" w:line="312" w:lineRule="auto"/>
        <w:jc w:val="center"/>
        <w:rPr>
          <w:b/>
          <w:bCs/>
          <w:sz w:val="28"/>
          <w:szCs w:val="28"/>
        </w:rPr>
      </w:pPr>
      <w:r w:rsidRPr="00AB1329">
        <w:rPr>
          <w:b/>
          <w:bCs/>
          <w:sz w:val="28"/>
          <w:szCs w:val="28"/>
        </w:rPr>
        <w:t xml:space="preserve">Tên bài báo </w:t>
      </w:r>
    </w:p>
    <w:p w14:paraId="428BED15" w14:textId="2FDEB49E" w:rsidR="003213AC" w:rsidRPr="00684CAA" w:rsidRDefault="00F94075" w:rsidP="003213AC">
      <w:pPr>
        <w:autoSpaceDE w:val="0"/>
        <w:autoSpaceDN w:val="0"/>
        <w:adjustRightInd w:val="0"/>
        <w:jc w:val="center"/>
        <w:rPr>
          <w:rFonts w:ascii="Segoe UI Light" w:hAnsi="Segoe UI Light" w:cs="Segoe UI Light"/>
          <w:b/>
        </w:rPr>
      </w:pPr>
      <w:r w:rsidRPr="00B712F6">
        <w:rPr>
          <w:rFonts w:ascii="Arial" w:hAnsi="Arial" w:cs="Arial"/>
          <w:b/>
          <w:sz w:val="32"/>
          <w:szCs w:val="32"/>
        </w:rPr>
        <w:t>Study on dispersion of SiO</w:t>
      </w:r>
      <w:r w:rsidRPr="00B712F6">
        <w:rPr>
          <w:rFonts w:ascii="Arial" w:hAnsi="Arial" w:cs="Arial"/>
          <w:b/>
          <w:sz w:val="32"/>
          <w:szCs w:val="32"/>
          <w:vertAlign w:val="subscript"/>
        </w:rPr>
        <w:t>2</w:t>
      </w:r>
      <w:r w:rsidRPr="00B712F6">
        <w:rPr>
          <w:rFonts w:ascii="Arial" w:hAnsi="Arial" w:cs="Arial"/>
          <w:b/>
          <w:sz w:val="32"/>
          <w:szCs w:val="32"/>
        </w:rPr>
        <w:t>/g-C</w:t>
      </w:r>
      <w:r w:rsidRPr="00B712F6">
        <w:rPr>
          <w:rFonts w:ascii="Arial" w:hAnsi="Arial" w:cs="Arial"/>
          <w:b/>
          <w:sz w:val="32"/>
          <w:szCs w:val="32"/>
          <w:vertAlign w:val="subscript"/>
        </w:rPr>
        <w:t>3</w:t>
      </w:r>
      <w:r w:rsidRPr="00B712F6">
        <w:rPr>
          <w:rFonts w:ascii="Arial" w:hAnsi="Arial" w:cs="Arial"/>
          <w:b/>
          <w:sz w:val="32"/>
          <w:szCs w:val="32"/>
        </w:rPr>
        <w:t>N</w:t>
      </w:r>
      <w:r w:rsidRPr="00B712F6">
        <w:rPr>
          <w:rFonts w:ascii="Arial" w:hAnsi="Arial" w:cs="Arial"/>
          <w:b/>
          <w:sz w:val="32"/>
          <w:szCs w:val="32"/>
          <w:vertAlign w:val="subscript"/>
        </w:rPr>
        <w:t>4</w:t>
      </w:r>
      <w:r w:rsidRPr="00B712F6">
        <w:rPr>
          <w:rFonts w:ascii="Arial" w:hAnsi="Arial" w:cs="Arial"/>
          <w:b/>
          <w:sz w:val="32"/>
          <w:szCs w:val="32"/>
        </w:rPr>
        <w:t xml:space="preserve"> on polyvinylidene fluoride substrate and photocatalytic activity in decomposing RhB solution in aqueous environment</w:t>
      </w:r>
    </w:p>
    <w:p w14:paraId="5B330C79" w14:textId="74AA8F00" w:rsidR="006433EA" w:rsidRPr="00684CAA" w:rsidRDefault="006433EA" w:rsidP="007E5397">
      <w:pPr>
        <w:spacing w:before="120" w:after="120" w:line="312" w:lineRule="auto"/>
        <w:ind w:firstLine="567"/>
        <w:jc w:val="both"/>
        <w:rPr>
          <w:lang w:val="vi-VN"/>
        </w:rPr>
      </w:pPr>
      <w:r w:rsidRPr="00684CAA">
        <w:rPr>
          <w:lang w:val="vi-VN"/>
        </w:rPr>
        <w:t xml:space="preserve">Căn cứ vào nhận </w:t>
      </w:r>
      <w:r w:rsidR="006A234C" w:rsidRPr="00684CAA">
        <w:rPr>
          <w:lang w:val="vi-VN"/>
        </w:rPr>
        <w:t>xét phản biện</w:t>
      </w:r>
      <w:r w:rsidRPr="00684CAA">
        <w:rPr>
          <w:lang w:val="vi-VN"/>
        </w:rPr>
        <w:t xml:space="preserve">, thay mặt nhóm tác giả xin gửi bản </w:t>
      </w:r>
      <w:r w:rsidRPr="00684CAA">
        <w:t>giải</w:t>
      </w:r>
      <w:r w:rsidRPr="00684CAA">
        <w:rPr>
          <w:lang w:val="vi-VN"/>
        </w:rPr>
        <w:t xml:space="preserve"> trình, bổ sung, chỉnh sửa </w:t>
      </w:r>
      <w:r w:rsidRPr="00684CAA">
        <w:t>bài báo</w:t>
      </w:r>
      <w:r w:rsidRPr="00684CAA">
        <w:rPr>
          <w:lang w:val="vi-VN"/>
        </w:rPr>
        <w:t xml:space="preserve"> như sau:</w:t>
      </w:r>
    </w:p>
    <w:tbl>
      <w:tblPr>
        <w:tblStyle w:val="TableGrid"/>
        <w:tblW w:w="9558" w:type="dxa"/>
        <w:tblLayout w:type="fixed"/>
        <w:tblLook w:val="04A0" w:firstRow="1" w:lastRow="0" w:firstColumn="1" w:lastColumn="0" w:noHBand="0" w:noVBand="1"/>
      </w:tblPr>
      <w:tblGrid>
        <w:gridCol w:w="537"/>
        <w:gridCol w:w="3399"/>
        <w:gridCol w:w="5622"/>
      </w:tblGrid>
      <w:tr w:rsidR="00674F7A" w:rsidRPr="00684CAA" w14:paraId="0B6C9DB6" w14:textId="77777777" w:rsidTr="00AB1329">
        <w:tc>
          <w:tcPr>
            <w:tcW w:w="537" w:type="dxa"/>
          </w:tcPr>
          <w:p w14:paraId="34782884" w14:textId="196E5A6E" w:rsidR="006433EA" w:rsidRPr="00684CAA" w:rsidRDefault="006433EA" w:rsidP="00684CAA">
            <w:pPr>
              <w:spacing w:before="120" w:after="120"/>
              <w:jc w:val="center"/>
              <w:rPr>
                <w:b/>
                <w:bCs/>
                <w:lang w:val="vi-VN"/>
              </w:rPr>
            </w:pPr>
            <w:r w:rsidRPr="00684CAA">
              <w:rPr>
                <w:b/>
                <w:bCs/>
                <w:lang w:val="vi-VN"/>
              </w:rPr>
              <w:t>TT</w:t>
            </w:r>
          </w:p>
        </w:tc>
        <w:tc>
          <w:tcPr>
            <w:tcW w:w="3399" w:type="dxa"/>
          </w:tcPr>
          <w:p w14:paraId="0F72F1BF" w14:textId="7079D3FC" w:rsidR="006433EA" w:rsidRPr="00684CAA" w:rsidRDefault="006433EA" w:rsidP="00684CAA">
            <w:pPr>
              <w:spacing w:before="120" w:after="120"/>
              <w:jc w:val="center"/>
              <w:rPr>
                <w:b/>
                <w:bCs/>
                <w:lang w:val="vi-VN"/>
              </w:rPr>
            </w:pPr>
            <w:r w:rsidRPr="00684CAA">
              <w:rPr>
                <w:b/>
                <w:bCs/>
                <w:lang w:val="vi-VN"/>
              </w:rPr>
              <w:t>Nội dung nhận xét của phản biện</w:t>
            </w:r>
          </w:p>
        </w:tc>
        <w:tc>
          <w:tcPr>
            <w:tcW w:w="5622" w:type="dxa"/>
          </w:tcPr>
          <w:p w14:paraId="00B719FD" w14:textId="628C8CD5" w:rsidR="006433EA" w:rsidRPr="00684CAA" w:rsidRDefault="006433EA" w:rsidP="00684CAA">
            <w:pPr>
              <w:spacing w:before="120" w:after="120"/>
              <w:jc w:val="center"/>
              <w:rPr>
                <w:b/>
                <w:bCs/>
                <w:lang w:val="vi-VN"/>
              </w:rPr>
            </w:pPr>
            <w:r w:rsidRPr="00684CAA">
              <w:rPr>
                <w:b/>
                <w:bCs/>
                <w:lang w:val="vi-VN"/>
              </w:rPr>
              <w:t>Giải trình, chỉnh sửa, bổ sung của nhóm tác giả</w:t>
            </w:r>
          </w:p>
        </w:tc>
      </w:tr>
      <w:tr w:rsidR="00674F7A" w:rsidRPr="00684CAA" w14:paraId="7279BFB0" w14:textId="77777777" w:rsidTr="00AB1329">
        <w:tc>
          <w:tcPr>
            <w:tcW w:w="537" w:type="dxa"/>
          </w:tcPr>
          <w:p w14:paraId="46DADBFE" w14:textId="77777777" w:rsidR="00DE5093" w:rsidRPr="00684CAA" w:rsidRDefault="00DE5093" w:rsidP="00684CAA">
            <w:pPr>
              <w:spacing w:before="120" w:after="120"/>
              <w:jc w:val="center"/>
              <w:rPr>
                <w:b/>
                <w:bCs/>
                <w:lang w:val="vi-VN"/>
              </w:rPr>
            </w:pPr>
          </w:p>
        </w:tc>
        <w:tc>
          <w:tcPr>
            <w:tcW w:w="3399" w:type="dxa"/>
          </w:tcPr>
          <w:p w14:paraId="55367657" w14:textId="79AC952E" w:rsidR="00DE5093" w:rsidRPr="00DE5093" w:rsidRDefault="00DE5093" w:rsidP="00684CAA">
            <w:pPr>
              <w:spacing w:before="120" w:after="120"/>
              <w:jc w:val="center"/>
              <w:rPr>
                <w:b/>
                <w:bCs/>
              </w:rPr>
            </w:pPr>
            <w:r>
              <w:rPr>
                <w:b/>
                <w:bCs/>
              </w:rPr>
              <w:t>Phản biện 1</w:t>
            </w:r>
          </w:p>
        </w:tc>
        <w:tc>
          <w:tcPr>
            <w:tcW w:w="5622" w:type="dxa"/>
          </w:tcPr>
          <w:p w14:paraId="2566C3FE" w14:textId="77777777" w:rsidR="00DE5093" w:rsidRPr="00684CAA" w:rsidRDefault="00DE5093" w:rsidP="00684CAA">
            <w:pPr>
              <w:spacing w:before="120" w:after="120"/>
              <w:jc w:val="center"/>
              <w:rPr>
                <w:b/>
                <w:bCs/>
                <w:lang w:val="vi-VN"/>
              </w:rPr>
            </w:pPr>
          </w:p>
        </w:tc>
      </w:tr>
      <w:tr w:rsidR="00674F7A" w:rsidRPr="00AB1329" w14:paraId="19B5D3C2" w14:textId="77777777" w:rsidTr="00AB1329">
        <w:tc>
          <w:tcPr>
            <w:tcW w:w="537" w:type="dxa"/>
            <w:vAlign w:val="center"/>
          </w:tcPr>
          <w:p w14:paraId="528BA52B" w14:textId="77777777" w:rsidR="006433EA" w:rsidRDefault="00FF253C" w:rsidP="001E33CF">
            <w:pPr>
              <w:spacing w:before="120" w:after="120"/>
              <w:jc w:val="center"/>
              <w:rPr>
                <w:bCs/>
              </w:rPr>
            </w:pPr>
            <w:r w:rsidRPr="00AB1329">
              <w:rPr>
                <w:bCs/>
              </w:rPr>
              <w:t>1</w:t>
            </w:r>
          </w:p>
          <w:p w14:paraId="60EAF555" w14:textId="4339DA1A" w:rsidR="00AB1329" w:rsidRPr="00AB1329" w:rsidRDefault="00AB1329" w:rsidP="001E33CF">
            <w:pPr>
              <w:spacing w:before="120" w:after="120"/>
              <w:jc w:val="center"/>
              <w:rPr>
                <w:bCs/>
              </w:rPr>
            </w:pPr>
          </w:p>
        </w:tc>
        <w:tc>
          <w:tcPr>
            <w:tcW w:w="3399" w:type="dxa"/>
          </w:tcPr>
          <w:p w14:paraId="67D68F77" w14:textId="0C35A892" w:rsidR="006433EA" w:rsidRPr="00AB1329" w:rsidRDefault="00F94075" w:rsidP="00F94075">
            <w:pPr>
              <w:jc w:val="both"/>
            </w:pPr>
            <w:r w:rsidRPr="00AB1329">
              <w:t>In sections 2.2.1, 2.2.2, 2.2.3, and 2.2.4, the majority of sentences lack subjects. The complete sentences should be rewritten.</w:t>
            </w:r>
          </w:p>
        </w:tc>
        <w:tc>
          <w:tcPr>
            <w:tcW w:w="5622" w:type="dxa"/>
          </w:tcPr>
          <w:p w14:paraId="30D29549" w14:textId="1FC3CC35" w:rsidR="00657E85" w:rsidRPr="00AB1329" w:rsidRDefault="00AB1329" w:rsidP="00674F7A">
            <w:pPr>
              <w:spacing w:after="120"/>
              <w:jc w:val="both"/>
              <w:rPr>
                <w:bCs/>
              </w:rPr>
            </w:pPr>
            <w:r w:rsidRPr="00AB1329">
              <w:t>Thank you for your comment.</w:t>
            </w:r>
            <w:r w:rsidRPr="00AB1329">
              <w:t xml:space="preserve"> </w:t>
            </w:r>
            <w:r w:rsidR="00465DAF" w:rsidRPr="00AB1329">
              <w:rPr>
                <w:bCs/>
              </w:rPr>
              <w:t>The authors have edited and yellow</w:t>
            </w:r>
            <w:r w:rsidR="00674F7A" w:rsidRPr="00AB1329">
              <w:rPr>
                <w:bCs/>
              </w:rPr>
              <w:t>-</w:t>
            </w:r>
            <w:r w:rsidR="00465DAF" w:rsidRPr="00AB1329">
              <w:rPr>
                <w:bCs/>
              </w:rPr>
              <w:t xml:space="preserve">highlighted sections 2.2.1, 2.2.2, 2.2.3, and 2.2.4 </w:t>
            </w:r>
            <w:r w:rsidR="00674F7A" w:rsidRPr="00AB1329">
              <w:rPr>
                <w:bCs/>
              </w:rPr>
              <w:t>of</w:t>
            </w:r>
            <w:r w:rsidR="00465DAF" w:rsidRPr="00AB1329">
              <w:rPr>
                <w:bCs/>
              </w:rPr>
              <w:t xml:space="preserve"> the article.</w:t>
            </w:r>
          </w:p>
        </w:tc>
      </w:tr>
      <w:tr w:rsidR="00674F7A" w:rsidRPr="00AB1329" w14:paraId="3F9F2616" w14:textId="77777777" w:rsidTr="00AB1329">
        <w:tc>
          <w:tcPr>
            <w:tcW w:w="537" w:type="dxa"/>
            <w:vAlign w:val="center"/>
          </w:tcPr>
          <w:p w14:paraId="3D85A856" w14:textId="5784FD0C" w:rsidR="00F94075" w:rsidRPr="00AB1329" w:rsidRDefault="00F94075" w:rsidP="001E33CF">
            <w:pPr>
              <w:spacing w:before="120" w:after="120"/>
              <w:jc w:val="center"/>
              <w:rPr>
                <w:bCs/>
              </w:rPr>
            </w:pPr>
            <w:r w:rsidRPr="00AB1329">
              <w:rPr>
                <w:bCs/>
              </w:rPr>
              <w:t>2</w:t>
            </w:r>
          </w:p>
        </w:tc>
        <w:tc>
          <w:tcPr>
            <w:tcW w:w="3399" w:type="dxa"/>
          </w:tcPr>
          <w:p w14:paraId="4B97D0EB" w14:textId="32F66D27" w:rsidR="00F94075" w:rsidRPr="00AB1329" w:rsidRDefault="00F94075" w:rsidP="00F94075">
            <w:pPr>
              <w:jc w:val="both"/>
            </w:pPr>
            <w:r w:rsidRPr="00AB1329">
              <w:t xml:space="preserve">There are some </w:t>
            </w:r>
            <w:r w:rsidR="008B02D8" w:rsidRPr="00AB1329">
              <w:t xml:space="preserve">errors of extra/missing spaces. </w:t>
            </w:r>
            <w:r w:rsidRPr="00AB1329">
              <w:t>The author is requested to double-check.</w:t>
            </w:r>
          </w:p>
        </w:tc>
        <w:tc>
          <w:tcPr>
            <w:tcW w:w="5622" w:type="dxa"/>
          </w:tcPr>
          <w:p w14:paraId="1A36B3DF" w14:textId="4E551423" w:rsidR="00F94075" w:rsidRPr="00AB1329" w:rsidRDefault="00AB1329" w:rsidP="00674F7A">
            <w:pPr>
              <w:spacing w:after="120"/>
              <w:jc w:val="both"/>
              <w:rPr>
                <w:bCs/>
              </w:rPr>
            </w:pPr>
            <w:r w:rsidRPr="00AB1329">
              <w:t xml:space="preserve">Thanks for your suggestion. </w:t>
            </w:r>
            <w:r w:rsidR="00465DAF" w:rsidRPr="00AB1329">
              <w:t xml:space="preserve">The authors have checked and corrected some errors </w:t>
            </w:r>
            <w:r w:rsidR="00674F7A" w:rsidRPr="00AB1329">
              <w:t>in the</w:t>
            </w:r>
            <w:r w:rsidR="00465DAF" w:rsidRPr="00AB1329">
              <w:t xml:space="preserve"> extra/missing spaces </w:t>
            </w:r>
            <w:r w:rsidR="00674F7A" w:rsidRPr="00AB1329">
              <w:t>in</w:t>
            </w:r>
            <w:r w:rsidR="00465DAF" w:rsidRPr="00AB1329">
              <w:t xml:space="preserve"> the article.</w:t>
            </w:r>
          </w:p>
        </w:tc>
      </w:tr>
      <w:tr w:rsidR="00674F7A" w:rsidRPr="00AB1329" w14:paraId="71F67711" w14:textId="77777777" w:rsidTr="00AB1329">
        <w:tc>
          <w:tcPr>
            <w:tcW w:w="537" w:type="dxa"/>
            <w:vAlign w:val="center"/>
          </w:tcPr>
          <w:p w14:paraId="658EC5D7" w14:textId="1742BF4A" w:rsidR="00F94075" w:rsidRPr="00AB1329" w:rsidRDefault="00F94075" w:rsidP="001E33CF">
            <w:pPr>
              <w:spacing w:before="120" w:after="120"/>
              <w:jc w:val="center"/>
              <w:rPr>
                <w:bCs/>
              </w:rPr>
            </w:pPr>
            <w:r w:rsidRPr="00AB1329">
              <w:rPr>
                <w:bCs/>
              </w:rPr>
              <w:t>3</w:t>
            </w:r>
          </w:p>
        </w:tc>
        <w:tc>
          <w:tcPr>
            <w:tcW w:w="3399" w:type="dxa"/>
          </w:tcPr>
          <w:p w14:paraId="3148C257" w14:textId="474DD3ED" w:rsidR="00F94075" w:rsidRPr="00AB1329" w:rsidRDefault="00F94075" w:rsidP="00F94075">
            <w:pPr>
              <w:jc w:val="both"/>
            </w:pPr>
            <w:r w:rsidRPr="00AB1329">
              <w:t>To demonstrate the novelty of this work, the author can discuss and evaluate a few specific related research studies in the introduction.</w:t>
            </w:r>
          </w:p>
        </w:tc>
        <w:tc>
          <w:tcPr>
            <w:tcW w:w="5622" w:type="dxa"/>
          </w:tcPr>
          <w:p w14:paraId="4F545966" w14:textId="5AC4FE72" w:rsidR="00F94075" w:rsidRPr="00AB1329" w:rsidRDefault="00AB1329" w:rsidP="00674F7A">
            <w:pPr>
              <w:spacing w:after="120"/>
              <w:jc w:val="both"/>
              <w:rPr>
                <w:bCs/>
              </w:rPr>
            </w:pPr>
            <w:r w:rsidRPr="00AB1329">
              <w:t>Thank you for your comment.</w:t>
            </w:r>
            <w:r w:rsidRPr="00AB1329">
              <w:t xml:space="preserve"> </w:t>
            </w:r>
            <w:r w:rsidR="00175862" w:rsidRPr="00AB1329">
              <w:t>The authors have demonstrated, discussed, evaluated</w:t>
            </w:r>
            <w:r w:rsidR="00674F7A" w:rsidRPr="00AB1329">
              <w:t>,</w:t>
            </w:r>
            <w:r w:rsidR="00175862" w:rsidRPr="00AB1329">
              <w:t xml:space="preserve"> and highlighted the novelty </w:t>
            </w:r>
            <w:r w:rsidR="00674F7A" w:rsidRPr="00AB1329">
              <w:t xml:space="preserve">of </w:t>
            </w:r>
            <w:r w:rsidR="00175862" w:rsidRPr="00AB1329">
              <w:t>a few specific related research studies in the introduction of this work.</w:t>
            </w:r>
          </w:p>
        </w:tc>
      </w:tr>
      <w:tr w:rsidR="00674F7A" w:rsidRPr="00AB1329" w14:paraId="2A652A17" w14:textId="77777777" w:rsidTr="00AB1329">
        <w:tc>
          <w:tcPr>
            <w:tcW w:w="537" w:type="dxa"/>
            <w:vAlign w:val="center"/>
          </w:tcPr>
          <w:p w14:paraId="50D549BF" w14:textId="060C8D4D" w:rsidR="00F94075" w:rsidRPr="00AB1329" w:rsidRDefault="00F94075" w:rsidP="001E33CF">
            <w:pPr>
              <w:spacing w:before="120" w:after="120"/>
              <w:jc w:val="center"/>
              <w:rPr>
                <w:bCs/>
              </w:rPr>
            </w:pPr>
            <w:r w:rsidRPr="00AB1329">
              <w:rPr>
                <w:bCs/>
              </w:rPr>
              <w:t>4</w:t>
            </w:r>
          </w:p>
        </w:tc>
        <w:tc>
          <w:tcPr>
            <w:tcW w:w="3399" w:type="dxa"/>
          </w:tcPr>
          <w:p w14:paraId="217B080B" w14:textId="3A4EDCAF" w:rsidR="00F94075" w:rsidRPr="00AB1329" w:rsidRDefault="00F94075" w:rsidP="00F94075">
            <w:pPr>
              <w:jc w:val="both"/>
            </w:pPr>
            <w:r w:rsidRPr="00AB1329">
              <w:t>It is necessary to compare the research findings with those of previous studies, especially the results related to decomposition efficiency.</w:t>
            </w:r>
          </w:p>
        </w:tc>
        <w:tc>
          <w:tcPr>
            <w:tcW w:w="5622" w:type="dxa"/>
            <w:vAlign w:val="center"/>
          </w:tcPr>
          <w:p w14:paraId="07F057CE" w14:textId="181C1BD8" w:rsidR="00F94075" w:rsidRPr="00AB1329" w:rsidRDefault="006107E6" w:rsidP="00AB1329">
            <w:pPr>
              <w:spacing w:after="120"/>
              <w:jc w:val="both"/>
              <w:rPr>
                <w:bCs/>
              </w:rPr>
            </w:pPr>
            <w:r w:rsidRPr="00AB1329">
              <w:rPr>
                <w:bCs/>
              </w:rPr>
              <w:t xml:space="preserve">Thanks for your suggestion. </w:t>
            </w:r>
            <w:r w:rsidR="00EC4963" w:rsidRPr="00AB1329">
              <w:rPr>
                <w:bCs/>
              </w:rPr>
              <w:t>A comparison of the rate constant of the present work with the previous works is listed in Table S1. However, the comparison is lame because the reaction conditions are not the same. However, Table S1 shows that the rate constant of SiO</w:t>
            </w:r>
            <w:r w:rsidR="00EC4963" w:rsidRPr="00AB1329">
              <w:rPr>
                <w:bCs/>
                <w:vertAlign w:val="subscript"/>
              </w:rPr>
              <w:t>2</w:t>
            </w:r>
            <w:r w:rsidR="00EC4963" w:rsidRPr="00AB1329">
              <w:rPr>
                <w:bCs/>
              </w:rPr>
              <w:t>/g-C</w:t>
            </w:r>
            <w:r w:rsidR="00EC4963" w:rsidRPr="00AB1329">
              <w:rPr>
                <w:bCs/>
                <w:vertAlign w:val="subscript"/>
              </w:rPr>
              <w:t>3</w:t>
            </w:r>
            <w:r w:rsidR="00EC4963" w:rsidRPr="00AB1329">
              <w:rPr>
                <w:bCs/>
              </w:rPr>
              <w:t>N</w:t>
            </w:r>
            <w:r w:rsidR="00EC4963" w:rsidRPr="00AB1329">
              <w:rPr>
                <w:bCs/>
                <w:vertAlign w:val="subscript"/>
              </w:rPr>
              <w:t>4</w:t>
            </w:r>
            <w:r w:rsidR="00EC4963" w:rsidRPr="00AB1329">
              <w:rPr>
                <w:bCs/>
              </w:rPr>
              <w:t>/PVDF is relatively high compared to previous studies.</w:t>
            </w:r>
          </w:p>
        </w:tc>
      </w:tr>
      <w:tr w:rsidR="00674F7A" w:rsidRPr="00AB1329" w14:paraId="180AE746" w14:textId="77777777" w:rsidTr="00AB1329">
        <w:tc>
          <w:tcPr>
            <w:tcW w:w="537" w:type="dxa"/>
            <w:vAlign w:val="center"/>
          </w:tcPr>
          <w:p w14:paraId="4F1D2A6E" w14:textId="755726C4" w:rsidR="00F94075" w:rsidRPr="00AB1329" w:rsidRDefault="00F94075" w:rsidP="001E33CF">
            <w:pPr>
              <w:spacing w:before="120" w:after="120"/>
              <w:jc w:val="center"/>
              <w:rPr>
                <w:bCs/>
              </w:rPr>
            </w:pPr>
            <w:r w:rsidRPr="00AB1329">
              <w:rPr>
                <w:bCs/>
              </w:rPr>
              <w:t>5</w:t>
            </w:r>
          </w:p>
        </w:tc>
        <w:tc>
          <w:tcPr>
            <w:tcW w:w="3399" w:type="dxa"/>
          </w:tcPr>
          <w:p w14:paraId="2CF19C4C" w14:textId="54C2D38A" w:rsidR="00F94075" w:rsidRPr="00AB1329" w:rsidRDefault="00F94075" w:rsidP="00F94075">
            <w:pPr>
              <w:jc w:val="both"/>
            </w:pPr>
            <w:r w:rsidRPr="00AB1329">
              <w:t>The author should think about including more references, as there are now only 13 references in the manuscript.</w:t>
            </w:r>
          </w:p>
        </w:tc>
        <w:tc>
          <w:tcPr>
            <w:tcW w:w="5622" w:type="dxa"/>
          </w:tcPr>
          <w:p w14:paraId="4C05DD62" w14:textId="32D8F4DD" w:rsidR="00F94075" w:rsidRPr="00AB1329" w:rsidRDefault="00AB1329" w:rsidP="00F94075">
            <w:pPr>
              <w:spacing w:after="120"/>
              <w:jc w:val="both"/>
              <w:rPr>
                <w:bCs/>
              </w:rPr>
            </w:pPr>
            <w:r w:rsidRPr="00AB1329">
              <w:t>Thank you for your comment.</w:t>
            </w:r>
            <w:r w:rsidRPr="00AB1329">
              <w:t xml:space="preserve"> </w:t>
            </w:r>
            <w:r w:rsidR="00ED4A01" w:rsidRPr="00ED4A01">
              <w:rPr>
                <w:bCs/>
              </w:rPr>
              <w:t>The authors added additional references to the article from 13 references to 24 references.</w:t>
            </w:r>
            <w:bookmarkStart w:id="0" w:name="_GoBack"/>
            <w:bookmarkEnd w:id="0"/>
          </w:p>
        </w:tc>
      </w:tr>
      <w:tr w:rsidR="00674F7A" w:rsidRPr="00AB1329" w14:paraId="769ED8C3" w14:textId="77777777" w:rsidTr="00AB1329">
        <w:trPr>
          <w:trHeight w:val="384"/>
        </w:trPr>
        <w:tc>
          <w:tcPr>
            <w:tcW w:w="537" w:type="dxa"/>
            <w:vAlign w:val="center"/>
          </w:tcPr>
          <w:p w14:paraId="672BC425" w14:textId="77777777" w:rsidR="008B31FA" w:rsidRPr="00AB1329" w:rsidRDefault="008B31FA" w:rsidP="00F94075">
            <w:pPr>
              <w:spacing w:before="120" w:after="120" w:line="312" w:lineRule="auto"/>
              <w:jc w:val="center"/>
              <w:rPr>
                <w:bCs/>
              </w:rPr>
            </w:pPr>
          </w:p>
        </w:tc>
        <w:tc>
          <w:tcPr>
            <w:tcW w:w="3399" w:type="dxa"/>
            <w:vAlign w:val="center"/>
          </w:tcPr>
          <w:p w14:paraId="1510BB4D" w14:textId="2A00DDD1" w:rsidR="008B31FA" w:rsidRPr="00AB1329" w:rsidRDefault="00F94075" w:rsidP="005E12F6">
            <w:pPr>
              <w:jc w:val="center"/>
              <w:rPr>
                <w:b/>
              </w:rPr>
            </w:pPr>
            <w:r w:rsidRPr="00AB1329">
              <w:rPr>
                <w:b/>
                <w:bCs/>
              </w:rPr>
              <w:t>Phản biện 2</w:t>
            </w:r>
          </w:p>
        </w:tc>
        <w:tc>
          <w:tcPr>
            <w:tcW w:w="5622" w:type="dxa"/>
            <w:vAlign w:val="center"/>
          </w:tcPr>
          <w:p w14:paraId="3DEE361D" w14:textId="77777777" w:rsidR="008B31FA" w:rsidRPr="00AB1329" w:rsidRDefault="008B31FA" w:rsidP="005E12F6">
            <w:pPr>
              <w:spacing w:before="120" w:after="120"/>
              <w:jc w:val="center"/>
              <w:rPr>
                <w:bCs/>
                <w:color w:val="FF0000"/>
              </w:rPr>
            </w:pPr>
          </w:p>
        </w:tc>
      </w:tr>
      <w:tr w:rsidR="00674F7A" w:rsidRPr="00AB1329" w14:paraId="19D3DFDF" w14:textId="77777777" w:rsidTr="00AB1329">
        <w:trPr>
          <w:trHeight w:val="384"/>
        </w:trPr>
        <w:tc>
          <w:tcPr>
            <w:tcW w:w="537" w:type="dxa"/>
            <w:vAlign w:val="center"/>
          </w:tcPr>
          <w:p w14:paraId="239988E9" w14:textId="1C228942" w:rsidR="00F94075" w:rsidRPr="00AB1329" w:rsidRDefault="00F94075" w:rsidP="001E33CF">
            <w:pPr>
              <w:spacing w:before="120" w:after="120" w:line="312" w:lineRule="auto"/>
              <w:jc w:val="center"/>
              <w:rPr>
                <w:bCs/>
              </w:rPr>
            </w:pPr>
            <w:r w:rsidRPr="00AB1329">
              <w:rPr>
                <w:bCs/>
              </w:rPr>
              <w:t>1</w:t>
            </w:r>
          </w:p>
        </w:tc>
        <w:tc>
          <w:tcPr>
            <w:tcW w:w="3399" w:type="dxa"/>
            <w:vAlign w:val="center"/>
          </w:tcPr>
          <w:p w14:paraId="447685E5" w14:textId="10B209F0" w:rsidR="00F94075" w:rsidRPr="00AB1329" w:rsidRDefault="00F94075" w:rsidP="00F94075">
            <w:pPr>
              <w:jc w:val="both"/>
            </w:pPr>
            <w:r w:rsidRPr="00AB1329">
              <w:t>In the introduction section, the logic of thinking in introducing the background and purpose of the study is not clear enough; please provide more knowledge on the significance of the study. The following references are suggested to cite:</w:t>
            </w:r>
          </w:p>
          <w:p w14:paraId="11FB68C7" w14:textId="77777777" w:rsidR="00F94075" w:rsidRPr="00AB1329" w:rsidRDefault="00F94075" w:rsidP="00F94075">
            <w:pPr>
              <w:jc w:val="both"/>
            </w:pPr>
            <w:r w:rsidRPr="00AB1329">
              <w:lastRenderedPageBreak/>
              <w:t>[1] Long, P. B. B., Nguyen, V. C., Le Pham, H. A., Dang, H. P. (2025). Effect of the Dimethylformamide/Isopropanol Solvent Ratio on the Structure, Optical Properties, and Photodegradation Performance of RhB Using Bi-MOF. Bulletin of Chemical Reaction Engineering &amp; Catalysis, 20(1), 166-176.</w:t>
            </w:r>
          </w:p>
          <w:p w14:paraId="542621C5" w14:textId="7B2A3FA6" w:rsidR="00F94075" w:rsidRPr="00AB1329" w:rsidRDefault="00F94075" w:rsidP="00F94075">
            <w:pPr>
              <w:jc w:val="both"/>
            </w:pPr>
            <w:r w:rsidRPr="00AB1329">
              <w:t>[2] Ta, Q. T. H., Namgung, G., &amp; Noh, J. S. (2019). Facile synthesis of porous metal-doped ZnO/g-C</w:t>
            </w:r>
            <w:r w:rsidRPr="00AB1329">
              <w:rPr>
                <w:vertAlign w:val="subscript"/>
              </w:rPr>
              <w:t>3</w:t>
            </w:r>
            <w:r w:rsidRPr="00AB1329">
              <w:t>N</w:t>
            </w:r>
            <w:r w:rsidRPr="00AB1329">
              <w:rPr>
                <w:vertAlign w:val="subscript"/>
              </w:rPr>
              <w:t>4</w:t>
            </w:r>
            <w:r w:rsidRPr="00AB1329">
              <w:t xml:space="preserve"> composites for highly efficient photocatalysts. Journal of Photochemistry and Photobiology A: Chemistry, 368, 110-119.</w:t>
            </w:r>
          </w:p>
        </w:tc>
        <w:tc>
          <w:tcPr>
            <w:tcW w:w="5622" w:type="dxa"/>
            <w:vAlign w:val="center"/>
          </w:tcPr>
          <w:p w14:paraId="55EA5536" w14:textId="5C03E913" w:rsidR="00F94075" w:rsidRPr="00AB1329" w:rsidRDefault="00AB1329" w:rsidP="00175862">
            <w:pPr>
              <w:spacing w:before="120" w:after="120"/>
              <w:jc w:val="both"/>
              <w:rPr>
                <w:bCs/>
                <w:color w:val="FF0000"/>
              </w:rPr>
            </w:pPr>
            <w:r w:rsidRPr="00AB1329">
              <w:lastRenderedPageBreak/>
              <w:t>Thank you for your comment.</w:t>
            </w:r>
            <w:r w:rsidRPr="00AB1329">
              <w:t xml:space="preserve"> </w:t>
            </w:r>
            <w:r w:rsidR="00175862" w:rsidRPr="00AB1329">
              <w:rPr>
                <w:bCs/>
              </w:rPr>
              <w:t>The authors have added these two references to the introduction of the article.</w:t>
            </w:r>
          </w:p>
        </w:tc>
      </w:tr>
      <w:tr w:rsidR="00674F7A" w:rsidRPr="00AB1329" w14:paraId="49B8753D" w14:textId="77777777" w:rsidTr="00AB1329">
        <w:trPr>
          <w:trHeight w:val="384"/>
        </w:trPr>
        <w:tc>
          <w:tcPr>
            <w:tcW w:w="537" w:type="dxa"/>
            <w:vAlign w:val="center"/>
          </w:tcPr>
          <w:p w14:paraId="1386CA45" w14:textId="73F863A4" w:rsidR="00F94075" w:rsidRPr="00AB1329" w:rsidRDefault="00F94075" w:rsidP="001E33CF">
            <w:pPr>
              <w:spacing w:before="120" w:after="120" w:line="312" w:lineRule="auto"/>
              <w:jc w:val="center"/>
              <w:rPr>
                <w:bCs/>
              </w:rPr>
            </w:pPr>
            <w:r w:rsidRPr="00AB1329">
              <w:rPr>
                <w:bCs/>
              </w:rPr>
              <w:lastRenderedPageBreak/>
              <w:t>2</w:t>
            </w:r>
          </w:p>
        </w:tc>
        <w:tc>
          <w:tcPr>
            <w:tcW w:w="3399" w:type="dxa"/>
            <w:vAlign w:val="center"/>
          </w:tcPr>
          <w:p w14:paraId="350A7F93" w14:textId="09F765A7" w:rsidR="00F94075" w:rsidRPr="00AB1329" w:rsidRDefault="00F94075" w:rsidP="00F94075">
            <w:pPr>
              <w:jc w:val="both"/>
            </w:pPr>
            <w:r w:rsidRPr="00AB1329">
              <w:t>It is suggested that the author use a table to compare the results of the material in this paper with the previous works.</w:t>
            </w:r>
          </w:p>
        </w:tc>
        <w:tc>
          <w:tcPr>
            <w:tcW w:w="5622" w:type="dxa"/>
            <w:vAlign w:val="center"/>
          </w:tcPr>
          <w:p w14:paraId="6ECD0151" w14:textId="4D257A59" w:rsidR="00F94075" w:rsidRPr="00AB1329" w:rsidRDefault="00AB1329" w:rsidP="00EC4963">
            <w:pPr>
              <w:spacing w:before="120" w:after="120"/>
              <w:jc w:val="both"/>
              <w:rPr>
                <w:bCs/>
                <w:color w:val="FF0000"/>
              </w:rPr>
            </w:pPr>
            <w:r w:rsidRPr="00AB1329">
              <w:rPr>
                <w:bCs/>
              </w:rPr>
              <w:t xml:space="preserve">Thanks for your suggestion. A comparison of the rate constant of the present work with the previous works is listed in Table S1. </w:t>
            </w:r>
            <w:r w:rsidR="00EC4963">
              <w:rPr>
                <w:bCs/>
              </w:rPr>
              <w:t>However,</w:t>
            </w:r>
            <w:r w:rsidRPr="00AB1329">
              <w:rPr>
                <w:bCs/>
              </w:rPr>
              <w:t xml:space="preserve"> the comparison is lame because the reaction conditions are </w:t>
            </w:r>
            <w:r w:rsidR="00EC4963">
              <w:rPr>
                <w:bCs/>
              </w:rPr>
              <w:t>different</w:t>
            </w:r>
            <w:r w:rsidRPr="00AB1329">
              <w:rPr>
                <w:bCs/>
              </w:rPr>
              <w:t xml:space="preserve">. However, </w:t>
            </w:r>
            <w:r w:rsidRPr="00AB1329">
              <w:rPr>
                <w:bCs/>
              </w:rPr>
              <w:t>Table S1 shows</w:t>
            </w:r>
            <w:r w:rsidRPr="00AB1329">
              <w:rPr>
                <w:bCs/>
              </w:rPr>
              <w:t xml:space="preserve"> that the rate constant of SiO</w:t>
            </w:r>
            <w:r w:rsidRPr="00AB1329">
              <w:rPr>
                <w:bCs/>
                <w:vertAlign w:val="subscript"/>
              </w:rPr>
              <w:t>2</w:t>
            </w:r>
            <w:r w:rsidRPr="00AB1329">
              <w:rPr>
                <w:bCs/>
              </w:rPr>
              <w:t>/g-C</w:t>
            </w:r>
            <w:r w:rsidRPr="00AB1329">
              <w:rPr>
                <w:bCs/>
                <w:vertAlign w:val="subscript"/>
              </w:rPr>
              <w:t>3</w:t>
            </w:r>
            <w:r w:rsidRPr="00AB1329">
              <w:rPr>
                <w:bCs/>
              </w:rPr>
              <w:t>N</w:t>
            </w:r>
            <w:r w:rsidRPr="00AB1329">
              <w:rPr>
                <w:bCs/>
                <w:vertAlign w:val="subscript"/>
              </w:rPr>
              <w:t>4</w:t>
            </w:r>
            <w:r w:rsidRPr="00AB1329">
              <w:rPr>
                <w:bCs/>
              </w:rPr>
              <w:t>/PVDF is relative</w:t>
            </w:r>
            <w:r w:rsidRPr="00AB1329">
              <w:rPr>
                <w:bCs/>
              </w:rPr>
              <w:t>ly</w:t>
            </w:r>
            <w:r w:rsidRPr="00AB1329">
              <w:rPr>
                <w:bCs/>
              </w:rPr>
              <w:t xml:space="preserve"> high compared to previous studies.</w:t>
            </w:r>
          </w:p>
        </w:tc>
      </w:tr>
      <w:tr w:rsidR="00674F7A" w:rsidRPr="00AB1329" w14:paraId="3DC0109B" w14:textId="77777777" w:rsidTr="00AB1329">
        <w:tc>
          <w:tcPr>
            <w:tcW w:w="537" w:type="dxa"/>
            <w:vAlign w:val="center"/>
          </w:tcPr>
          <w:p w14:paraId="6306D9BC" w14:textId="43472EC6" w:rsidR="00081C5F" w:rsidRPr="00AB1329" w:rsidRDefault="00F94075" w:rsidP="001E33CF">
            <w:pPr>
              <w:spacing w:before="120" w:after="120" w:line="312" w:lineRule="auto"/>
              <w:jc w:val="center"/>
              <w:rPr>
                <w:bCs/>
              </w:rPr>
            </w:pPr>
            <w:r w:rsidRPr="00AB1329">
              <w:rPr>
                <w:bCs/>
              </w:rPr>
              <w:t>3</w:t>
            </w:r>
          </w:p>
        </w:tc>
        <w:tc>
          <w:tcPr>
            <w:tcW w:w="3399" w:type="dxa"/>
          </w:tcPr>
          <w:p w14:paraId="18DBDC56" w14:textId="6E2B170F" w:rsidR="00081C5F" w:rsidRPr="00AB1329" w:rsidRDefault="00F94075" w:rsidP="00674F7A">
            <w:pPr>
              <w:jc w:val="both"/>
            </w:pPr>
            <w:r w:rsidRPr="00AB1329">
              <w:t>Figure 3</w:t>
            </w:r>
            <w:r w:rsidR="00674F7A" w:rsidRPr="00AB1329">
              <w:t>:</w:t>
            </w:r>
            <w:r w:rsidRPr="00AB1329">
              <w:t xml:space="preserve"> </w:t>
            </w:r>
            <w:r w:rsidR="00674F7A" w:rsidRPr="00AB1329">
              <w:t>P</w:t>
            </w:r>
            <w:r w:rsidRPr="00AB1329">
              <w:t>lease provide the size of SiO</w:t>
            </w:r>
            <w:r w:rsidRPr="00AB1329">
              <w:rPr>
                <w:vertAlign w:val="subscript"/>
              </w:rPr>
              <w:t>2</w:t>
            </w:r>
            <w:r w:rsidRPr="00AB1329">
              <w:t>.</w:t>
            </w:r>
          </w:p>
        </w:tc>
        <w:tc>
          <w:tcPr>
            <w:tcW w:w="5622" w:type="dxa"/>
          </w:tcPr>
          <w:p w14:paraId="45A09D51" w14:textId="202861A6" w:rsidR="009207A4" w:rsidRPr="00AB1329" w:rsidRDefault="00AB1329" w:rsidP="00EC4963">
            <w:pPr>
              <w:jc w:val="both"/>
            </w:pPr>
            <w:r w:rsidRPr="00AB1329">
              <w:rPr>
                <w:bCs/>
              </w:rPr>
              <w:t>Thanks for your suggestion.</w:t>
            </w:r>
            <w:r w:rsidRPr="00AB1329">
              <w:rPr>
                <w:bCs/>
              </w:rPr>
              <w:t xml:space="preserve"> </w:t>
            </w:r>
            <w:r w:rsidR="00EC4963" w:rsidRPr="00EC4963">
              <w:t xml:space="preserve">The average size of the SiO₂ particles in Figure 3 is </w:t>
            </w:r>
            <w:r w:rsidR="00EC4963">
              <w:t>30–50 nm on the ruler's scale</w:t>
            </w:r>
            <w:r w:rsidR="00EC4963" w:rsidRPr="00EC4963">
              <w:t>.</w:t>
            </w:r>
          </w:p>
        </w:tc>
      </w:tr>
      <w:tr w:rsidR="00674F7A" w:rsidRPr="00AB1329" w14:paraId="49988020" w14:textId="77777777" w:rsidTr="00AB1329">
        <w:tc>
          <w:tcPr>
            <w:tcW w:w="537" w:type="dxa"/>
            <w:vAlign w:val="center"/>
          </w:tcPr>
          <w:p w14:paraId="5EB41E9D" w14:textId="7A7822D7" w:rsidR="00F94075" w:rsidRPr="00AB1329" w:rsidRDefault="00F94075" w:rsidP="001E33CF">
            <w:pPr>
              <w:spacing w:before="120" w:after="120" w:line="312" w:lineRule="auto"/>
              <w:jc w:val="center"/>
              <w:rPr>
                <w:bCs/>
              </w:rPr>
            </w:pPr>
            <w:r w:rsidRPr="00AB1329">
              <w:rPr>
                <w:bCs/>
              </w:rPr>
              <w:t>4</w:t>
            </w:r>
          </w:p>
        </w:tc>
        <w:tc>
          <w:tcPr>
            <w:tcW w:w="3399" w:type="dxa"/>
          </w:tcPr>
          <w:p w14:paraId="3F0748AC" w14:textId="78DAF5C9" w:rsidR="00F94075" w:rsidRPr="00AB1329" w:rsidRDefault="00F94075" w:rsidP="00AB1329">
            <w:pPr>
              <w:jc w:val="both"/>
            </w:pPr>
            <w:r w:rsidRPr="00AB1329">
              <w:t xml:space="preserve">What are the final products after </w:t>
            </w:r>
            <w:r w:rsidR="00AB1329" w:rsidRPr="00AB1329">
              <w:t>rhodamine B (RhB) degradation</w:t>
            </w:r>
            <w:r w:rsidRPr="00AB1329">
              <w:t>?</w:t>
            </w:r>
          </w:p>
        </w:tc>
        <w:tc>
          <w:tcPr>
            <w:tcW w:w="5622" w:type="dxa"/>
          </w:tcPr>
          <w:p w14:paraId="157BCDF2" w14:textId="50D4C0DC" w:rsidR="00F94075" w:rsidRPr="00AB1329" w:rsidRDefault="00AB1329" w:rsidP="00AB1329">
            <w:pPr>
              <w:jc w:val="both"/>
            </w:pPr>
            <w:r w:rsidRPr="00AB1329">
              <w:t>Thanks to you for your suggestion</w:t>
            </w:r>
            <w:r w:rsidRPr="00AB1329">
              <w:t>. After rhodamine B (RhB) degradation, the final products</w:t>
            </w:r>
            <w:r w:rsidR="008B7305" w:rsidRPr="00AB1329">
              <w:rPr>
                <w:rStyle w:val="Strong"/>
                <w:b w:val="0"/>
              </w:rPr>
              <w:t xml:space="preserve"> </w:t>
            </w:r>
            <w:r w:rsidR="008B7305" w:rsidRPr="00AB1329">
              <w:t xml:space="preserve">typically include </w:t>
            </w:r>
            <w:r w:rsidR="008B7305" w:rsidRPr="00AB1329">
              <w:rPr>
                <w:rStyle w:val="Strong"/>
                <w:b w:val="0"/>
              </w:rPr>
              <w:t>small organic molecules</w:t>
            </w:r>
            <w:r w:rsidR="008B7305" w:rsidRPr="00AB1329">
              <w:t>.</w:t>
            </w:r>
          </w:p>
        </w:tc>
      </w:tr>
      <w:tr w:rsidR="00674F7A" w:rsidRPr="00AB1329" w14:paraId="647BC038" w14:textId="77777777" w:rsidTr="00AB1329">
        <w:tc>
          <w:tcPr>
            <w:tcW w:w="537" w:type="dxa"/>
            <w:vAlign w:val="center"/>
          </w:tcPr>
          <w:p w14:paraId="40E94308" w14:textId="7A8A0526" w:rsidR="00F94075" w:rsidRPr="00AB1329" w:rsidRDefault="00F94075" w:rsidP="001E33CF">
            <w:pPr>
              <w:spacing w:before="120" w:after="120" w:line="312" w:lineRule="auto"/>
              <w:jc w:val="center"/>
              <w:rPr>
                <w:bCs/>
              </w:rPr>
            </w:pPr>
            <w:r w:rsidRPr="00AB1329">
              <w:rPr>
                <w:bCs/>
              </w:rPr>
              <w:t>5</w:t>
            </w:r>
          </w:p>
        </w:tc>
        <w:tc>
          <w:tcPr>
            <w:tcW w:w="3399" w:type="dxa"/>
          </w:tcPr>
          <w:p w14:paraId="4FBD6F22" w14:textId="70ECED3E" w:rsidR="00F94075" w:rsidRPr="00AB1329" w:rsidRDefault="00F94075" w:rsidP="00F94075">
            <w:pPr>
              <w:jc w:val="both"/>
            </w:pPr>
            <w:r w:rsidRPr="00AB1329">
              <w:t>The improved mechanism of the Photodegradation is insufficient; please provide more details in the band edge diagram.</w:t>
            </w:r>
          </w:p>
        </w:tc>
        <w:tc>
          <w:tcPr>
            <w:tcW w:w="5622" w:type="dxa"/>
          </w:tcPr>
          <w:p w14:paraId="1C46048B" w14:textId="77777777" w:rsidR="00AB1329" w:rsidRPr="00AB1329" w:rsidRDefault="00AB1329" w:rsidP="00AB1329">
            <w:pPr>
              <w:spacing w:after="120" w:line="360" w:lineRule="auto"/>
              <w:jc w:val="both"/>
            </w:pPr>
            <w:r w:rsidRPr="00AB1329">
              <w:t>Thank you for your comment. We have revised as follows:</w:t>
            </w:r>
          </w:p>
          <w:p w14:paraId="701E8D83" w14:textId="04C1499F" w:rsidR="00674F7A" w:rsidRPr="00AB1329" w:rsidRDefault="00674F7A" w:rsidP="00674F7A">
            <w:pPr>
              <w:jc w:val="both"/>
            </w:pPr>
            <w:r w:rsidRPr="00AB1329">
              <w:t>Based on the above results, the photocatalytic mechanisms for the g-C</w:t>
            </w:r>
            <w:r w:rsidRPr="00AB1329">
              <w:rPr>
                <w:vertAlign w:val="subscript"/>
              </w:rPr>
              <w:t>3</w:t>
            </w:r>
            <w:r w:rsidRPr="00AB1329">
              <w:t>N</w:t>
            </w:r>
            <w:r w:rsidRPr="00AB1329">
              <w:rPr>
                <w:vertAlign w:val="subscript"/>
              </w:rPr>
              <w:t>4</w:t>
            </w:r>
            <w:r w:rsidRPr="00AB1329">
              <w:t>/SiO</w:t>
            </w:r>
            <w:r w:rsidRPr="00AB1329">
              <w:rPr>
                <w:vertAlign w:val="subscript"/>
              </w:rPr>
              <w:t>2</w:t>
            </w:r>
            <w:r w:rsidRPr="00AB1329">
              <w:t xml:space="preserve">/PVDF fibers under visible light are tentatively proposed, and illustrated in Fig. S1. </w:t>
            </w:r>
          </w:p>
          <w:p w14:paraId="71BDE19A" w14:textId="4500DCE7" w:rsidR="00674F7A" w:rsidRPr="00AB1329" w:rsidRDefault="00674F7A" w:rsidP="00674F7A">
            <w:pPr>
              <w:rPr>
                <w:color w:val="FF0000"/>
                <w:lang w:val="nl-NL"/>
              </w:rPr>
            </w:pPr>
            <w:r w:rsidRPr="00AB1329">
              <w:rPr>
                <w:noProof/>
                <w:color w:val="FF0000"/>
              </w:rPr>
              <w:lastRenderedPageBreak/>
              <w:drawing>
                <wp:inline distT="0" distB="0" distL="0" distR="0" wp14:anchorId="3DC6C29A" wp14:editId="723EBFD6">
                  <wp:extent cx="3405747" cy="2622123"/>
                  <wp:effectExtent l="0" t="0" r="0" b="6985"/>
                  <wp:docPr id="1" name="Picture 1" descr="C:\Users\HT\Desktop\Picture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T\Desktop\Picture1.t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9220" cy="2632496"/>
                          </a:xfrm>
                          <a:prstGeom prst="rect">
                            <a:avLst/>
                          </a:prstGeom>
                          <a:noFill/>
                          <a:ln>
                            <a:noFill/>
                          </a:ln>
                        </pic:spPr>
                      </pic:pic>
                    </a:graphicData>
                  </a:graphic>
                </wp:inline>
              </w:drawing>
            </w:r>
          </w:p>
          <w:p w14:paraId="2B108C0D" w14:textId="68431236" w:rsidR="00674F7A" w:rsidRPr="00AB1329" w:rsidRDefault="00674F7A" w:rsidP="00674F7A">
            <w:pPr>
              <w:rPr>
                <w:lang w:val="nl-NL"/>
              </w:rPr>
            </w:pPr>
            <w:r w:rsidRPr="00AB1329">
              <w:rPr>
                <w:lang w:val="nl-NL"/>
              </w:rPr>
              <w:t>g-C</w:t>
            </w:r>
            <w:r w:rsidRPr="00AB1329">
              <w:rPr>
                <w:vertAlign w:val="subscript"/>
                <w:lang w:val="nl-NL"/>
              </w:rPr>
              <w:t>3</w:t>
            </w:r>
            <w:r w:rsidRPr="00AB1329">
              <w:rPr>
                <w:lang w:val="nl-NL"/>
              </w:rPr>
              <w:t>N</w:t>
            </w:r>
            <w:r w:rsidRPr="00AB1329">
              <w:rPr>
                <w:vertAlign w:val="subscript"/>
                <w:lang w:val="nl-NL"/>
              </w:rPr>
              <w:t>4</w:t>
            </w:r>
            <w:r w:rsidRPr="00AB1329">
              <w:rPr>
                <w:lang w:val="nl-NL"/>
              </w:rPr>
              <w:t xml:space="preserve"> + hν → g-C</w:t>
            </w:r>
            <w:r w:rsidRPr="00AB1329">
              <w:rPr>
                <w:vertAlign w:val="subscript"/>
                <w:lang w:val="nl-NL"/>
              </w:rPr>
              <w:t>3</w:t>
            </w:r>
            <w:r w:rsidRPr="00AB1329">
              <w:rPr>
                <w:lang w:val="nl-NL"/>
              </w:rPr>
              <w:t>N</w:t>
            </w:r>
            <w:r w:rsidRPr="00AB1329">
              <w:rPr>
                <w:vertAlign w:val="subscript"/>
                <w:lang w:val="nl-NL"/>
              </w:rPr>
              <w:t>4</w:t>
            </w:r>
            <w:r w:rsidRPr="00AB1329">
              <w:rPr>
                <w:lang w:val="nl-NL"/>
              </w:rPr>
              <w:t xml:space="preserve"> (e</w:t>
            </w:r>
            <w:r w:rsidRPr="00AB1329">
              <w:rPr>
                <w:vertAlign w:val="superscript"/>
                <w:lang w:val="nl-NL"/>
              </w:rPr>
              <w:t>-</w:t>
            </w:r>
            <w:r w:rsidRPr="00AB1329">
              <w:rPr>
                <w:lang w:val="nl-NL"/>
              </w:rPr>
              <w:t xml:space="preserve"> + h</w:t>
            </w:r>
            <w:r w:rsidRPr="00AB1329">
              <w:rPr>
                <w:vertAlign w:val="superscript"/>
                <w:lang w:val="nl-NL"/>
              </w:rPr>
              <w:t>+</w:t>
            </w:r>
            <w:r w:rsidRPr="00AB1329">
              <w:rPr>
                <w:lang w:val="nl-NL"/>
              </w:rPr>
              <w:t>)</w:t>
            </w:r>
            <w:r w:rsidRPr="00AB1329">
              <w:rPr>
                <w:lang w:val="nl-NL"/>
              </w:rPr>
              <w:tab/>
              <w:t>(1)</w:t>
            </w:r>
          </w:p>
          <w:p w14:paraId="34D9A0C5" w14:textId="34713CAE" w:rsidR="00674F7A" w:rsidRPr="00AB1329" w:rsidRDefault="00674F7A" w:rsidP="00674F7A">
            <w:r w:rsidRPr="00AB1329">
              <w:rPr>
                <w:lang w:val="nl-NL"/>
              </w:rPr>
              <w:t>O</w:t>
            </w:r>
            <w:r w:rsidRPr="00AB1329">
              <w:rPr>
                <w:vertAlign w:val="subscript"/>
                <w:lang w:val="nl-NL"/>
              </w:rPr>
              <w:t>2</w:t>
            </w:r>
            <w:r w:rsidRPr="00AB1329">
              <w:rPr>
                <w:lang w:val="nl-NL"/>
              </w:rPr>
              <w:t xml:space="preserve"> + e</w:t>
            </w:r>
            <w:r w:rsidRPr="00AB1329">
              <w:rPr>
                <w:vertAlign w:val="superscript"/>
                <w:lang w:val="nl-NL"/>
              </w:rPr>
              <w:t>-</w:t>
            </w:r>
            <w:r w:rsidRPr="00AB1329">
              <w:rPr>
                <w:lang w:val="nl-NL"/>
              </w:rPr>
              <w:t xml:space="preserve"> →  O</w:t>
            </w:r>
            <w:r w:rsidRPr="00AB1329">
              <w:rPr>
                <w:vertAlign w:val="subscript"/>
                <w:lang w:val="nl-NL"/>
              </w:rPr>
              <w:t>2</w:t>
            </w:r>
            <w:r w:rsidRPr="00AB1329">
              <w:rPr>
                <w:vertAlign w:val="superscript"/>
                <w:lang w:val="nl-NL"/>
              </w:rPr>
              <w:sym w:font="Wingdings" w:char="F09F"/>
            </w:r>
            <w:r w:rsidRPr="00AB1329">
              <w:rPr>
                <w:vertAlign w:val="superscript"/>
                <w:lang w:val="nl-NL"/>
              </w:rPr>
              <w:t>-</w:t>
            </w:r>
            <w:r w:rsidRPr="00AB1329">
              <w:rPr>
                <w:lang w:val="nl-NL"/>
              </w:rPr>
              <w:tab/>
            </w:r>
            <w:r w:rsidRPr="00AB1329">
              <w:rPr>
                <w:lang w:val="nl-NL"/>
              </w:rPr>
              <w:tab/>
            </w:r>
            <w:r w:rsidRPr="00AB1329">
              <w:rPr>
                <w:lang w:val="nl-NL"/>
              </w:rPr>
              <w:tab/>
              <w:t>(2)</w:t>
            </w:r>
          </w:p>
          <w:p w14:paraId="1BF97B70" w14:textId="49756651" w:rsidR="00674F7A" w:rsidRPr="00AB1329" w:rsidRDefault="00674F7A" w:rsidP="00674F7A">
            <w:pPr>
              <w:rPr>
                <w:lang w:val="nl-NL"/>
              </w:rPr>
            </w:pPr>
            <w:r w:rsidRPr="00AB1329">
              <w:rPr>
                <w:lang w:val="nl-NL"/>
              </w:rPr>
              <w:t>O</w:t>
            </w:r>
            <w:r w:rsidRPr="00AB1329">
              <w:rPr>
                <w:vertAlign w:val="subscript"/>
                <w:lang w:val="nl-NL"/>
              </w:rPr>
              <w:t>2</w:t>
            </w:r>
            <w:r w:rsidRPr="00AB1329">
              <w:rPr>
                <w:vertAlign w:val="superscript"/>
                <w:lang w:val="nl-NL"/>
              </w:rPr>
              <w:sym w:font="Wingdings" w:char="F09F"/>
            </w:r>
            <w:r w:rsidRPr="00AB1329">
              <w:rPr>
                <w:vertAlign w:val="superscript"/>
                <w:lang w:val="nl-NL"/>
              </w:rPr>
              <w:t>-</w:t>
            </w:r>
            <w:r w:rsidRPr="00AB1329">
              <w:rPr>
                <w:lang w:val="nl-NL"/>
              </w:rPr>
              <w:t xml:space="preserve"> + 2H</w:t>
            </w:r>
            <w:r w:rsidRPr="00AB1329">
              <w:rPr>
                <w:vertAlign w:val="superscript"/>
                <w:lang w:val="nl-NL"/>
              </w:rPr>
              <w:t>+</w:t>
            </w:r>
            <w:r w:rsidRPr="00AB1329">
              <w:rPr>
                <w:lang w:val="nl-NL"/>
              </w:rPr>
              <w:t xml:space="preserve"> + e → H</w:t>
            </w:r>
            <w:r w:rsidRPr="00AB1329">
              <w:rPr>
                <w:vertAlign w:val="subscript"/>
                <w:lang w:val="nl-NL"/>
              </w:rPr>
              <w:t>2</w:t>
            </w:r>
            <w:r w:rsidRPr="00AB1329">
              <w:rPr>
                <w:lang w:val="nl-NL"/>
              </w:rPr>
              <w:t>O</w:t>
            </w:r>
            <w:r w:rsidRPr="00AB1329">
              <w:rPr>
                <w:vertAlign w:val="subscript"/>
                <w:lang w:val="nl-NL"/>
              </w:rPr>
              <w:t>2</w:t>
            </w:r>
            <w:r w:rsidRPr="00AB1329">
              <w:rPr>
                <w:lang w:val="nl-NL"/>
              </w:rPr>
              <w:tab/>
            </w:r>
            <w:r w:rsidRPr="00AB1329">
              <w:rPr>
                <w:lang w:val="nl-NL"/>
              </w:rPr>
              <w:tab/>
              <w:t>(3)</w:t>
            </w:r>
          </w:p>
          <w:p w14:paraId="4D01314F" w14:textId="1F645CA6" w:rsidR="00674F7A" w:rsidRPr="00AB1329" w:rsidRDefault="00674F7A" w:rsidP="00674F7A">
            <w:pPr>
              <w:rPr>
                <w:lang w:val="nl-NL"/>
              </w:rPr>
            </w:pPr>
            <w:r w:rsidRPr="00AB1329">
              <w:rPr>
                <w:lang w:val="nl-NL"/>
              </w:rPr>
              <w:t>O</w:t>
            </w:r>
            <w:r w:rsidRPr="00AB1329">
              <w:rPr>
                <w:vertAlign w:val="subscript"/>
                <w:lang w:val="nl-NL"/>
              </w:rPr>
              <w:t>2</w:t>
            </w:r>
            <w:r w:rsidRPr="00AB1329">
              <w:rPr>
                <w:vertAlign w:val="superscript"/>
                <w:lang w:val="nl-NL"/>
              </w:rPr>
              <w:sym w:font="Wingdings" w:char="F09F"/>
            </w:r>
            <w:r w:rsidRPr="00AB1329">
              <w:rPr>
                <w:vertAlign w:val="superscript"/>
                <w:lang w:val="nl-NL"/>
              </w:rPr>
              <w:t>-</w:t>
            </w:r>
            <w:r w:rsidRPr="00AB1329">
              <w:rPr>
                <w:lang w:val="nl-NL"/>
              </w:rPr>
              <w:t xml:space="preserve"> + H</w:t>
            </w:r>
            <w:r w:rsidRPr="00AB1329">
              <w:rPr>
                <w:vertAlign w:val="subscript"/>
                <w:lang w:val="nl-NL"/>
              </w:rPr>
              <w:t>2</w:t>
            </w:r>
            <w:r w:rsidRPr="00AB1329">
              <w:rPr>
                <w:lang w:val="nl-NL"/>
              </w:rPr>
              <w:t>O</w:t>
            </w:r>
            <w:r w:rsidRPr="00AB1329">
              <w:rPr>
                <w:vertAlign w:val="subscript"/>
                <w:lang w:val="nl-NL"/>
              </w:rPr>
              <w:t>2</w:t>
            </w:r>
            <w:r w:rsidRPr="00AB1329">
              <w:rPr>
                <w:lang w:val="nl-NL"/>
              </w:rPr>
              <w:t xml:space="preserve"> → </w:t>
            </w:r>
            <w:r w:rsidRPr="00AB1329">
              <w:rPr>
                <w:vertAlign w:val="superscript"/>
                <w:lang w:val="nl-NL"/>
              </w:rPr>
              <w:sym w:font="Wingdings" w:char="F09F"/>
            </w:r>
            <w:r w:rsidRPr="00AB1329">
              <w:rPr>
                <w:lang w:val="nl-NL"/>
              </w:rPr>
              <w:t>OH + HO</w:t>
            </w:r>
            <w:r w:rsidRPr="00AB1329">
              <w:rPr>
                <w:vertAlign w:val="superscript"/>
                <w:lang w:val="nl-NL"/>
              </w:rPr>
              <w:t>-</w:t>
            </w:r>
            <w:r w:rsidRPr="00AB1329">
              <w:rPr>
                <w:lang w:val="nl-NL"/>
              </w:rPr>
              <w:t xml:space="preserve"> + O</w:t>
            </w:r>
            <w:r w:rsidRPr="00AB1329">
              <w:rPr>
                <w:vertAlign w:val="subscript"/>
                <w:lang w:val="nl-NL"/>
              </w:rPr>
              <w:t>2</w:t>
            </w:r>
            <w:r w:rsidRPr="00AB1329">
              <w:rPr>
                <w:lang w:val="nl-NL"/>
              </w:rPr>
              <w:tab/>
              <w:t>(4)</w:t>
            </w:r>
          </w:p>
          <w:p w14:paraId="41CD7153" w14:textId="65AA39F4" w:rsidR="00674F7A" w:rsidRPr="00AB1329" w:rsidRDefault="00674F7A" w:rsidP="00674F7A">
            <w:pPr>
              <w:rPr>
                <w:lang w:val="nl-NL"/>
              </w:rPr>
            </w:pPr>
            <w:r w:rsidRPr="00AB1329">
              <w:rPr>
                <w:lang w:val="nl-NL"/>
              </w:rPr>
              <w:t>(</w:t>
            </w:r>
            <w:r w:rsidRPr="00AB1329">
              <w:rPr>
                <w:vertAlign w:val="superscript"/>
                <w:lang w:val="nl-NL"/>
              </w:rPr>
              <w:sym w:font="Wingdings" w:char="F09F"/>
            </w:r>
            <w:r w:rsidRPr="00AB1329">
              <w:rPr>
                <w:lang w:val="nl-NL"/>
              </w:rPr>
              <w:t>OH/O</w:t>
            </w:r>
            <w:r w:rsidRPr="00AB1329">
              <w:rPr>
                <w:vertAlign w:val="subscript"/>
                <w:lang w:val="nl-NL"/>
              </w:rPr>
              <w:t>2</w:t>
            </w:r>
            <w:r w:rsidRPr="00AB1329">
              <w:rPr>
                <w:vertAlign w:val="superscript"/>
                <w:lang w:val="nl-NL"/>
              </w:rPr>
              <w:sym w:font="Wingdings" w:char="F09F"/>
            </w:r>
            <w:r w:rsidRPr="00AB1329">
              <w:rPr>
                <w:vertAlign w:val="superscript"/>
                <w:lang w:val="nl-NL"/>
              </w:rPr>
              <w:t>-</w:t>
            </w:r>
            <w:r w:rsidRPr="00AB1329">
              <w:rPr>
                <w:lang w:val="nl-NL"/>
              </w:rPr>
              <w:t>/h</w:t>
            </w:r>
            <w:r w:rsidRPr="00AB1329">
              <w:rPr>
                <w:vertAlign w:val="superscript"/>
                <w:lang w:val="nl-NL"/>
              </w:rPr>
              <w:t>+</w:t>
            </w:r>
            <w:r w:rsidRPr="00AB1329">
              <w:rPr>
                <w:lang w:val="nl-NL"/>
              </w:rPr>
              <w:t>) + RhB → Degradation products (5)</w:t>
            </w:r>
          </w:p>
          <w:p w14:paraId="1280B94A" w14:textId="29C3B4A0" w:rsidR="00674F7A" w:rsidRPr="00AB1329" w:rsidRDefault="00674F7A" w:rsidP="00674F7A">
            <w:pPr>
              <w:pStyle w:val="NormalWeb"/>
              <w:spacing w:before="0" w:beforeAutospacing="0" w:after="0" w:afterAutospacing="0"/>
              <w:jc w:val="both"/>
            </w:pPr>
            <w:r w:rsidRPr="00AB1329">
              <w:t xml:space="preserve">Upon exposure to visible light, </w:t>
            </w:r>
            <w:r w:rsidRPr="00AB1329">
              <w:rPr>
                <w:rStyle w:val="Strong"/>
                <w:b w:val="0"/>
              </w:rPr>
              <w:t>g-C₃N₄</w:t>
            </w:r>
            <w:r w:rsidRPr="00AB1329">
              <w:t xml:space="preserve"> in the</w:t>
            </w:r>
            <w:r w:rsidRPr="00AB1329">
              <w:rPr>
                <w:b/>
              </w:rPr>
              <w:t xml:space="preserve"> </w:t>
            </w:r>
            <w:r w:rsidRPr="00AB1329">
              <w:rPr>
                <w:rStyle w:val="Strong"/>
                <w:b w:val="0"/>
              </w:rPr>
              <w:t>g-C₃N₄/SiO₂/PVDF</w:t>
            </w:r>
            <w:r w:rsidRPr="00AB1329">
              <w:rPr>
                <w:b/>
              </w:rPr>
              <w:t xml:space="preserve"> </w:t>
            </w:r>
            <w:r w:rsidRPr="00AB1329">
              <w:t xml:space="preserve">composite absorbs photons and generates </w:t>
            </w:r>
            <w:r w:rsidRPr="00AB1329">
              <w:rPr>
                <w:rStyle w:val="Strong"/>
                <w:b w:val="0"/>
              </w:rPr>
              <w:t>electron–hole pairs (e⁻/h⁺)</w:t>
            </w:r>
            <w:r w:rsidRPr="00AB1329">
              <w:rPr>
                <w:b/>
              </w:rPr>
              <w:t>.</w:t>
            </w:r>
            <w:r w:rsidRPr="00AB1329">
              <w:t xml:space="preserve"> Due to its low electrical conductivity, the photocatalytic reactions mainly occur on the surface of </w:t>
            </w:r>
            <w:r w:rsidRPr="00AB1329">
              <w:rPr>
                <w:rStyle w:val="Strong"/>
                <w:b w:val="0"/>
              </w:rPr>
              <w:t>g-C₃N₄</w:t>
            </w:r>
            <w:r w:rsidRPr="00AB1329">
              <w:t xml:space="preserve">. </w:t>
            </w:r>
          </w:p>
          <w:p w14:paraId="104A6AA4" w14:textId="1DBA74C5" w:rsidR="00674F7A" w:rsidRPr="00AB1329" w:rsidRDefault="00674F7A" w:rsidP="00674F7A">
            <w:pPr>
              <w:pStyle w:val="NormalWeb"/>
              <w:spacing w:before="0" w:beforeAutospacing="0" w:after="0" w:afterAutospacing="0"/>
              <w:jc w:val="both"/>
            </w:pPr>
            <w:r w:rsidRPr="00AB1329">
              <w:t xml:space="preserve">+ The photogenerated </w:t>
            </w:r>
            <w:r w:rsidRPr="00AB1329">
              <w:rPr>
                <w:rStyle w:val="Strong"/>
                <w:b w:val="0"/>
              </w:rPr>
              <w:t>electrons (e⁻)</w:t>
            </w:r>
            <w:r w:rsidRPr="00AB1329">
              <w:t xml:space="preserve"> in the conduction band of g-C₃N₄ are transferred to oxygen molecules (O₂) near the surface, reducing them to </w:t>
            </w:r>
            <w:r w:rsidRPr="00AB1329">
              <w:rPr>
                <w:rStyle w:val="Strong"/>
                <w:b w:val="0"/>
              </w:rPr>
              <w:t>superoxide radicals (·O₂⁻)</w:t>
            </w:r>
            <w:r w:rsidRPr="00AB1329">
              <w:t xml:space="preserve">. These </w:t>
            </w:r>
            <w:r w:rsidRPr="00AB1329">
              <w:rPr>
                <w:rStyle w:val="Strong"/>
                <w:b w:val="0"/>
              </w:rPr>
              <w:t>·O₂⁻ radicals</w:t>
            </w:r>
            <w:r w:rsidRPr="00AB1329">
              <w:t xml:space="preserve"> are potent oxidizing agents, capable of degrading the dye </w:t>
            </w:r>
            <w:r w:rsidRPr="00AB1329">
              <w:rPr>
                <w:rStyle w:val="Strong"/>
                <w:b w:val="0"/>
              </w:rPr>
              <w:t>RhB</w:t>
            </w:r>
            <w:r w:rsidRPr="00AB1329">
              <w:t>.</w:t>
            </w:r>
          </w:p>
          <w:p w14:paraId="11E9D8CB" w14:textId="2D7D4F59" w:rsidR="00674F7A" w:rsidRPr="00AB1329" w:rsidRDefault="00674F7A" w:rsidP="00674F7A">
            <w:pPr>
              <w:pStyle w:val="NormalWeb"/>
              <w:spacing w:before="0" w:beforeAutospacing="0" w:after="0" w:afterAutospacing="0"/>
              <w:jc w:val="both"/>
            </w:pPr>
            <w:r w:rsidRPr="00AB1329">
              <w:t xml:space="preserve">+ The remaining </w:t>
            </w:r>
            <w:r w:rsidRPr="00AB1329">
              <w:rPr>
                <w:rStyle w:val="Strong"/>
                <w:b w:val="0"/>
              </w:rPr>
              <w:t>holes (h⁺)</w:t>
            </w:r>
            <w:r w:rsidRPr="00AB1329">
              <w:t xml:space="preserve"> in the valence band (VB) of g-C₃N₄ also directly participate in the oxidation of RhB, further assisting in the degradation of the pollutant.</w:t>
            </w:r>
            <w:r w:rsidRPr="00AB1329">
              <w:rPr>
                <w:vertAlign w:val="superscript"/>
              </w:rPr>
              <w:t>1</w:t>
            </w:r>
          </w:p>
          <w:p w14:paraId="3D921757" w14:textId="743615E9" w:rsidR="00674F7A" w:rsidRPr="00EC4963" w:rsidRDefault="00674F7A" w:rsidP="00674F7A">
            <w:pPr>
              <w:pStyle w:val="NormalWeb"/>
              <w:spacing w:before="0" w:beforeAutospacing="0" w:after="0" w:afterAutospacing="0"/>
              <w:jc w:val="both"/>
              <w:rPr>
                <w:b/>
              </w:rPr>
            </w:pPr>
            <w:r w:rsidRPr="00EC4963">
              <w:rPr>
                <w:b/>
              </w:rPr>
              <w:t>1.</w:t>
            </w:r>
            <w:r w:rsidRPr="00AB1329">
              <w:t xml:space="preserve"> </w:t>
            </w:r>
            <w:r w:rsidRPr="00EC4963">
              <w:rPr>
                <w:b/>
                <w:bCs/>
              </w:rPr>
              <w:t>Meng</w:t>
            </w:r>
            <w:r w:rsidRPr="00EC4963">
              <w:rPr>
                <w:b/>
                <w:bCs/>
              </w:rPr>
              <w:noBreakHyphen/>
              <w:t>Jie Chang, Wen</w:t>
            </w:r>
            <w:r w:rsidRPr="00EC4963">
              <w:rPr>
                <w:b/>
                <w:bCs/>
              </w:rPr>
              <w:noBreakHyphen/>
              <w:t>Na Cui, Jun Liu, Kang Wang,</w:t>
            </w:r>
            <w:r w:rsidR="00AB1329" w:rsidRPr="00EC4963">
              <w:rPr>
                <w:b/>
                <w:bCs/>
              </w:rPr>
              <w:t xml:space="preserve"> Xiao</w:t>
            </w:r>
            <w:r w:rsidR="00AB1329" w:rsidRPr="00EC4963">
              <w:rPr>
                <w:b/>
                <w:bCs/>
              </w:rPr>
              <w:noBreakHyphen/>
              <w:t>Jiao Chai, "</w:t>
            </w:r>
            <w:r w:rsidRPr="00EC4963">
              <w:rPr>
                <w:b/>
                <w:bCs/>
              </w:rPr>
              <w:t>Fabrication and photocatalytic properties of flexible g-C</w:t>
            </w:r>
            <w:r w:rsidRPr="00EC4963">
              <w:rPr>
                <w:b/>
                <w:bCs/>
                <w:vertAlign w:val="subscript"/>
              </w:rPr>
              <w:t>3</w:t>
            </w:r>
            <w:r w:rsidRPr="00EC4963">
              <w:rPr>
                <w:b/>
                <w:bCs/>
              </w:rPr>
              <w:t>N</w:t>
            </w:r>
            <w:r w:rsidRPr="00EC4963">
              <w:rPr>
                <w:b/>
                <w:bCs/>
                <w:vertAlign w:val="subscript"/>
              </w:rPr>
              <w:t>4</w:t>
            </w:r>
            <w:r w:rsidRPr="00EC4963">
              <w:rPr>
                <w:b/>
                <w:bCs/>
              </w:rPr>
              <w:t>/SiO</w:t>
            </w:r>
            <w:r w:rsidRPr="00EC4963">
              <w:rPr>
                <w:b/>
                <w:bCs/>
                <w:vertAlign w:val="subscript"/>
              </w:rPr>
              <w:t>2</w:t>
            </w:r>
            <w:r w:rsidRPr="00EC4963">
              <w:rPr>
                <w:b/>
                <w:bCs/>
              </w:rPr>
              <w:t xml:space="preserve"> composite membrane by electrospinning method</w:t>
            </w:r>
            <w:r w:rsidR="00AB1329" w:rsidRPr="00EC4963">
              <w:rPr>
                <w:b/>
                <w:bCs/>
              </w:rPr>
              <w:t>"</w:t>
            </w:r>
            <w:r w:rsidRPr="00EC4963">
              <w:rPr>
                <w:b/>
                <w:bCs/>
              </w:rPr>
              <w:t xml:space="preserve">, </w:t>
            </w:r>
            <w:r w:rsidRPr="00EC4963">
              <w:rPr>
                <w:b/>
              </w:rPr>
              <w:t>Journal of Materials Science: Materials in Electronics, 2018.</w:t>
            </w:r>
          </w:p>
          <w:p w14:paraId="315D5467" w14:textId="57A9E059" w:rsidR="00F94075" w:rsidRPr="00AB1329" w:rsidRDefault="00F94075" w:rsidP="00674F7A">
            <w:pPr>
              <w:jc w:val="both"/>
            </w:pPr>
          </w:p>
        </w:tc>
      </w:tr>
    </w:tbl>
    <w:p w14:paraId="0F1A3BEC" w14:textId="67A0D5A8" w:rsidR="006433EA" w:rsidRPr="005E12F6" w:rsidRDefault="006433EA" w:rsidP="005E12F6">
      <w:pPr>
        <w:spacing w:before="120"/>
        <w:rPr>
          <w:b/>
          <w:bCs/>
        </w:rPr>
      </w:pPr>
    </w:p>
    <w:p w14:paraId="7D295B2F" w14:textId="77777777" w:rsidR="00AB1329" w:rsidRDefault="00AB1329" w:rsidP="009135F1">
      <w:pPr>
        <w:jc w:val="both"/>
        <w:rPr>
          <w:b/>
          <w:color w:val="131413"/>
        </w:rPr>
      </w:pPr>
    </w:p>
    <w:p w14:paraId="369C0333" w14:textId="77777777" w:rsidR="00AB1329" w:rsidRDefault="00AB1329" w:rsidP="009135F1">
      <w:pPr>
        <w:jc w:val="both"/>
        <w:rPr>
          <w:b/>
          <w:color w:val="131413"/>
        </w:rPr>
      </w:pPr>
    </w:p>
    <w:p w14:paraId="1A338F60" w14:textId="77777777" w:rsidR="00AB1329" w:rsidRDefault="00AB1329" w:rsidP="009135F1">
      <w:pPr>
        <w:jc w:val="both"/>
        <w:rPr>
          <w:b/>
          <w:color w:val="131413"/>
        </w:rPr>
      </w:pPr>
    </w:p>
    <w:p w14:paraId="4710132B" w14:textId="77777777" w:rsidR="00AB1329" w:rsidRDefault="00AB1329" w:rsidP="009135F1">
      <w:pPr>
        <w:jc w:val="both"/>
        <w:rPr>
          <w:b/>
          <w:color w:val="131413"/>
        </w:rPr>
      </w:pPr>
    </w:p>
    <w:p w14:paraId="4EBC226D" w14:textId="77777777" w:rsidR="00AB1329" w:rsidRDefault="00AB1329" w:rsidP="009135F1">
      <w:pPr>
        <w:jc w:val="both"/>
        <w:rPr>
          <w:b/>
          <w:color w:val="131413"/>
        </w:rPr>
      </w:pPr>
    </w:p>
    <w:p w14:paraId="22818638" w14:textId="77777777" w:rsidR="00AB1329" w:rsidRDefault="00AB1329" w:rsidP="009135F1">
      <w:pPr>
        <w:jc w:val="both"/>
        <w:rPr>
          <w:b/>
          <w:color w:val="131413"/>
        </w:rPr>
      </w:pPr>
    </w:p>
    <w:p w14:paraId="5E06C4EB" w14:textId="77777777" w:rsidR="00AB1329" w:rsidRDefault="00AB1329" w:rsidP="009135F1">
      <w:pPr>
        <w:jc w:val="both"/>
        <w:rPr>
          <w:b/>
          <w:color w:val="131413"/>
        </w:rPr>
      </w:pPr>
    </w:p>
    <w:p w14:paraId="44BD5C83" w14:textId="77777777" w:rsidR="00AB1329" w:rsidRDefault="00AB1329" w:rsidP="009135F1">
      <w:pPr>
        <w:jc w:val="both"/>
        <w:rPr>
          <w:b/>
          <w:color w:val="131413"/>
        </w:rPr>
      </w:pPr>
    </w:p>
    <w:p w14:paraId="2F92F212" w14:textId="77777777" w:rsidR="00AB1329" w:rsidRDefault="00AB1329" w:rsidP="009135F1">
      <w:pPr>
        <w:jc w:val="both"/>
        <w:rPr>
          <w:b/>
          <w:color w:val="131413"/>
        </w:rPr>
      </w:pPr>
    </w:p>
    <w:p w14:paraId="335D6645" w14:textId="77777777" w:rsidR="00AB1329" w:rsidRDefault="00AB1329" w:rsidP="009135F1">
      <w:pPr>
        <w:jc w:val="both"/>
        <w:rPr>
          <w:b/>
          <w:color w:val="131413"/>
        </w:rPr>
      </w:pPr>
    </w:p>
    <w:p w14:paraId="212934B8" w14:textId="77777777" w:rsidR="00AB1329" w:rsidRDefault="00AB1329" w:rsidP="009135F1">
      <w:pPr>
        <w:jc w:val="both"/>
        <w:rPr>
          <w:b/>
          <w:color w:val="131413"/>
        </w:rPr>
      </w:pPr>
    </w:p>
    <w:p w14:paraId="44D82D8B" w14:textId="77777777" w:rsidR="00AB1329" w:rsidRDefault="00AB1329" w:rsidP="009135F1">
      <w:pPr>
        <w:jc w:val="both"/>
        <w:rPr>
          <w:b/>
          <w:color w:val="131413"/>
        </w:rPr>
      </w:pPr>
    </w:p>
    <w:p w14:paraId="3457F7E7" w14:textId="77777777" w:rsidR="00AB1329" w:rsidRDefault="00AB1329" w:rsidP="009135F1">
      <w:pPr>
        <w:jc w:val="both"/>
        <w:rPr>
          <w:b/>
          <w:color w:val="131413"/>
        </w:rPr>
      </w:pPr>
    </w:p>
    <w:p w14:paraId="63C9D791" w14:textId="6F3C738A" w:rsidR="009135F1" w:rsidRPr="00844328" w:rsidRDefault="009135F1" w:rsidP="009135F1">
      <w:pPr>
        <w:jc w:val="both"/>
        <w:rPr>
          <w:b/>
        </w:rPr>
      </w:pPr>
      <w:r w:rsidRPr="00844328">
        <w:rPr>
          <w:b/>
          <w:color w:val="131413"/>
        </w:rPr>
        <w:t xml:space="preserve">Table </w:t>
      </w:r>
      <w:r w:rsidR="00AB1329">
        <w:rPr>
          <w:b/>
          <w:color w:val="131413"/>
        </w:rPr>
        <w:t>S</w:t>
      </w:r>
      <w:r w:rsidRPr="00AC3A57">
        <w:rPr>
          <w:b/>
        </w:rPr>
        <w:t xml:space="preserve">1: </w:t>
      </w:r>
      <w:r w:rsidRPr="00844328">
        <w:rPr>
          <w:b/>
          <w:color w:val="131413"/>
        </w:rPr>
        <w:t xml:space="preserve">Comparison of </w:t>
      </w:r>
      <w:r w:rsidR="00AB1329">
        <w:rPr>
          <w:b/>
          <w:color w:val="131413"/>
        </w:rPr>
        <w:t xml:space="preserve">the </w:t>
      </w:r>
      <w:r w:rsidRPr="00844328">
        <w:rPr>
          <w:b/>
          <w:color w:val="131413"/>
        </w:rPr>
        <w:t>rate constant of the present catalyst with published papers.</w:t>
      </w:r>
    </w:p>
    <w:p w14:paraId="617CE0ED" w14:textId="25B9CBBD" w:rsidR="009135F1" w:rsidRDefault="009135F1" w:rsidP="009135F1">
      <w:pPr>
        <w:spacing w:before="120"/>
        <w:ind w:left="720"/>
        <w:jc w:val="center"/>
        <w:rPr>
          <w:iCs/>
        </w:rPr>
      </w:pPr>
    </w:p>
    <w:p w14:paraId="0ECDC728" w14:textId="7DF30459" w:rsidR="009135F1" w:rsidRDefault="009135F1" w:rsidP="009135F1">
      <w:pPr>
        <w:spacing w:before="120"/>
        <w:jc w:val="center"/>
        <w:rPr>
          <w:iCs/>
        </w:rPr>
      </w:pPr>
      <w:r>
        <w:rPr>
          <w:iCs/>
          <w:noProof/>
        </w:rPr>
        <w:drawing>
          <wp:inline distT="0" distB="0" distL="0" distR="0" wp14:anchorId="6EFABFAB" wp14:editId="7967C896">
            <wp:extent cx="6096000" cy="535764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emf"/>
                    <pic:cNvPicPr/>
                  </pic:nvPicPr>
                  <pic:blipFill rotWithShape="1">
                    <a:blip r:embed="rId10" cstate="print">
                      <a:extLst>
                        <a:ext uri="{28A0092B-C50C-407E-A947-70E740481C1C}">
                          <a14:useLocalDpi xmlns:a14="http://schemas.microsoft.com/office/drawing/2010/main" val="0"/>
                        </a:ext>
                      </a:extLst>
                    </a:blip>
                    <a:srcRect t="7863"/>
                    <a:stretch/>
                  </pic:blipFill>
                  <pic:spPr bwMode="auto">
                    <a:xfrm>
                      <a:off x="0" y="0"/>
                      <a:ext cx="6099175" cy="5360431"/>
                    </a:xfrm>
                    <a:prstGeom prst="rect">
                      <a:avLst/>
                    </a:prstGeom>
                    <a:ln>
                      <a:noFill/>
                    </a:ln>
                    <a:extLst>
                      <a:ext uri="{53640926-AAD7-44D8-BBD7-CCE9431645EC}">
                        <a14:shadowObscured xmlns:a14="http://schemas.microsoft.com/office/drawing/2010/main"/>
                      </a:ext>
                    </a:extLst>
                  </pic:spPr>
                </pic:pic>
              </a:graphicData>
            </a:graphic>
          </wp:inline>
        </w:drawing>
      </w:r>
    </w:p>
    <w:p w14:paraId="412AC017" w14:textId="77777777" w:rsidR="009135F1" w:rsidRPr="00EC4963" w:rsidRDefault="009135F1" w:rsidP="009135F1">
      <w:pPr>
        <w:pStyle w:val="EndNoteBibliography"/>
        <w:spacing w:after="0"/>
        <w:ind w:left="720" w:hanging="720"/>
        <w:rPr>
          <w:rFonts w:ascii="Times New Roman" w:hAnsi="Times New Roman" w:cs="Times New Roman"/>
          <w:sz w:val="24"/>
          <w:szCs w:val="24"/>
        </w:rPr>
      </w:pPr>
      <w:r w:rsidRPr="00EC4963">
        <w:rPr>
          <w:rFonts w:ascii="Times New Roman" w:hAnsi="Times New Roman" w:cs="Times New Roman"/>
          <w:sz w:val="24"/>
          <w:szCs w:val="24"/>
        </w:rPr>
        <w:fldChar w:fldCharType="begin"/>
      </w:r>
      <w:r w:rsidRPr="00EC4963">
        <w:rPr>
          <w:rFonts w:ascii="Times New Roman" w:hAnsi="Times New Roman" w:cs="Times New Roman"/>
          <w:sz w:val="24"/>
          <w:szCs w:val="24"/>
        </w:rPr>
        <w:instrText xml:space="preserve"> ADDIN EN.REFLIST </w:instrText>
      </w:r>
      <w:r w:rsidRPr="00EC4963">
        <w:rPr>
          <w:rFonts w:ascii="Times New Roman" w:hAnsi="Times New Roman" w:cs="Times New Roman"/>
          <w:sz w:val="24"/>
          <w:szCs w:val="24"/>
        </w:rPr>
        <w:fldChar w:fldCharType="separate"/>
      </w:r>
      <w:r w:rsidRPr="00EC4963">
        <w:rPr>
          <w:rFonts w:ascii="Times New Roman" w:hAnsi="Times New Roman" w:cs="Times New Roman"/>
          <w:sz w:val="24"/>
          <w:szCs w:val="24"/>
        </w:rPr>
        <w:t>[1]</w:t>
      </w:r>
      <w:r w:rsidRPr="00EC4963">
        <w:rPr>
          <w:rFonts w:ascii="Times New Roman" w:hAnsi="Times New Roman" w:cs="Times New Roman"/>
          <w:sz w:val="24"/>
          <w:szCs w:val="24"/>
        </w:rPr>
        <w:tab/>
        <w:t>Z. Vilamova</w:t>
      </w:r>
      <w:r w:rsidRPr="00EC4963">
        <w:rPr>
          <w:rFonts w:ascii="Times New Roman" w:hAnsi="Times New Roman" w:cs="Times New Roman"/>
          <w:i/>
          <w:sz w:val="24"/>
          <w:szCs w:val="24"/>
        </w:rPr>
        <w:t xml:space="preserve"> et al.</w:t>
      </w:r>
      <w:r w:rsidRPr="00EC4963">
        <w:rPr>
          <w:rFonts w:ascii="Times New Roman" w:hAnsi="Times New Roman" w:cs="Times New Roman"/>
          <w:sz w:val="24"/>
          <w:szCs w:val="24"/>
        </w:rPr>
        <w:t>, "Fibrous PVDF membranes modified by anchored g-C</w:t>
      </w:r>
      <w:r w:rsidRPr="00EC4963">
        <w:rPr>
          <w:rFonts w:ascii="Times New Roman" w:hAnsi="Times New Roman" w:cs="Times New Roman"/>
          <w:sz w:val="24"/>
          <w:szCs w:val="24"/>
          <w:vertAlign w:val="subscript"/>
        </w:rPr>
        <w:t>3</w:t>
      </w:r>
      <w:r w:rsidRPr="00EC4963">
        <w:rPr>
          <w:rFonts w:ascii="Times New Roman" w:hAnsi="Times New Roman" w:cs="Times New Roman"/>
          <w:sz w:val="24"/>
          <w:szCs w:val="24"/>
        </w:rPr>
        <w:t>N</w:t>
      </w:r>
      <w:r w:rsidRPr="00EC4963">
        <w:rPr>
          <w:rFonts w:ascii="Times New Roman" w:hAnsi="Times New Roman" w:cs="Times New Roman"/>
          <w:sz w:val="24"/>
          <w:szCs w:val="24"/>
          <w:vertAlign w:val="subscript"/>
        </w:rPr>
        <w:t>4</w:t>
      </w:r>
      <w:r w:rsidRPr="00EC4963">
        <w:rPr>
          <w:rFonts w:ascii="Times New Roman" w:hAnsi="Times New Roman" w:cs="Times New Roman"/>
          <w:sz w:val="24"/>
          <w:szCs w:val="24"/>
        </w:rPr>
        <w:t xml:space="preserve">@ GO composite with enhanced photocatalytic activity," </w:t>
      </w:r>
      <w:r w:rsidRPr="00EC4963">
        <w:rPr>
          <w:rFonts w:ascii="Times New Roman" w:hAnsi="Times New Roman" w:cs="Times New Roman"/>
          <w:i/>
          <w:sz w:val="24"/>
          <w:szCs w:val="24"/>
        </w:rPr>
        <w:t xml:space="preserve">Applied Surface Science, </w:t>
      </w:r>
      <w:r w:rsidRPr="00EC4963">
        <w:rPr>
          <w:rFonts w:ascii="Times New Roman" w:hAnsi="Times New Roman" w:cs="Times New Roman"/>
          <w:sz w:val="24"/>
          <w:szCs w:val="24"/>
        </w:rPr>
        <w:t>vol. 677, p. 161055, 2024.</w:t>
      </w:r>
    </w:p>
    <w:p w14:paraId="20180959" w14:textId="77777777" w:rsidR="009135F1" w:rsidRPr="00EC4963" w:rsidRDefault="009135F1" w:rsidP="009135F1">
      <w:pPr>
        <w:pStyle w:val="EndNoteBibliography"/>
        <w:spacing w:after="0"/>
        <w:ind w:left="720" w:hanging="720"/>
        <w:rPr>
          <w:rFonts w:ascii="Times New Roman" w:hAnsi="Times New Roman" w:cs="Times New Roman"/>
          <w:sz w:val="24"/>
          <w:szCs w:val="24"/>
        </w:rPr>
      </w:pPr>
      <w:r w:rsidRPr="00EC4963">
        <w:rPr>
          <w:rFonts w:ascii="Times New Roman" w:hAnsi="Times New Roman" w:cs="Times New Roman"/>
          <w:sz w:val="24"/>
          <w:szCs w:val="24"/>
        </w:rPr>
        <w:t>[2]</w:t>
      </w:r>
      <w:r w:rsidRPr="00EC4963">
        <w:rPr>
          <w:rFonts w:ascii="Times New Roman" w:hAnsi="Times New Roman" w:cs="Times New Roman"/>
          <w:sz w:val="24"/>
          <w:szCs w:val="24"/>
        </w:rPr>
        <w:tab/>
        <w:t>Z. Vilamova</w:t>
      </w:r>
      <w:r w:rsidRPr="00EC4963">
        <w:rPr>
          <w:rFonts w:ascii="Times New Roman" w:hAnsi="Times New Roman" w:cs="Times New Roman"/>
          <w:i/>
          <w:sz w:val="24"/>
          <w:szCs w:val="24"/>
        </w:rPr>
        <w:t xml:space="preserve"> et al.</w:t>
      </w:r>
      <w:r w:rsidRPr="00EC4963">
        <w:rPr>
          <w:rFonts w:ascii="Times New Roman" w:hAnsi="Times New Roman" w:cs="Times New Roman"/>
          <w:sz w:val="24"/>
          <w:szCs w:val="24"/>
        </w:rPr>
        <w:t>, "Enhancing photocatalytic g-C</w:t>
      </w:r>
      <w:r w:rsidRPr="00EC4963">
        <w:rPr>
          <w:rFonts w:ascii="Times New Roman" w:hAnsi="Times New Roman" w:cs="Times New Roman"/>
          <w:sz w:val="24"/>
          <w:szCs w:val="24"/>
          <w:vertAlign w:val="subscript"/>
        </w:rPr>
        <w:t>3</w:t>
      </w:r>
      <w:r w:rsidRPr="00EC4963">
        <w:rPr>
          <w:rFonts w:ascii="Times New Roman" w:hAnsi="Times New Roman" w:cs="Times New Roman"/>
          <w:sz w:val="24"/>
          <w:szCs w:val="24"/>
        </w:rPr>
        <w:t>N</w:t>
      </w:r>
      <w:r w:rsidRPr="00EC4963">
        <w:rPr>
          <w:rFonts w:ascii="Times New Roman" w:hAnsi="Times New Roman" w:cs="Times New Roman"/>
          <w:sz w:val="24"/>
          <w:szCs w:val="24"/>
          <w:vertAlign w:val="subscript"/>
        </w:rPr>
        <w:t>4</w:t>
      </w:r>
      <w:r w:rsidRPr="00EC4963">
        <w:rPr>
          <w:rFonts w:ascii="Times New Roman" w:hAnsi="Times New Roman" w:cs="Times New Roman"/>
          <w:sz w:val="24"/>
          <w:szCs w:val="24"/>
        </w:rPr>
        <w:t xml:space="preserve">/PVDF membranes through new insights into the preparation methods," </w:t>
      </w:r>
      <w:r w:rsidRPr="00EC4963">
        <w:rPr>
          <w:rFonts w:ascii="Times New Roman" w:hAnsi="Times New Roman" w:cs="Times New Roman"/>
          <w:i/>
          <w:sz w:val="24"/>
          <w:szCs w:val="24"/>
        </w:rPr>
        <w:t xml:space="preserve">Polymer, </w:t>
      </w:r>
      <w:r w:rsidRPr="00EC4963">
        <w:rPr>
          <w:rFonts w:ascii="Times New Roman" w:hAnsi="Times New Roman" w:cs="Times New Roman"/>
          <w:sz w:val="24"/>
          <w:szCs w:val="24"/>
        </w:rPr>
        <w:t>vol. 307, p. 127238, 2024.</w:t>
      </w:r>
    </w:p>
    <w:p w14:paraId="552B70C0" w14:textId="7BBD0727" w:rsidR="009135F1" w:rsidRPr="00EC4963" w:rsidRDefault="009135F1" w:rsidP="009135F1">
      <w:pPr>
        <w:pStyle w:val="EndNoteBibliography"/>
        <w:spacing w:after="0"/>
        <w:ind w:left="720" w:hanging="720"/>
        <w:rPr>
          <w:rFonts w:ascii="Times New Roman" w:hAnsi="Times New Roman" w:cs="Times New Roman"/>
          <w:sz w:val="24"/>
          <w:szCs w:val="24"/>
        </w:rPr>
      </w:pPr>
      <w:r w:rsidRPr="00EC4963">
        <w:rPr>
          <w:rFonts w:ascii="Times New Roman" w:hAnsi="Times New Roman" w:cs="Times New Roman"/>
          <w:sz w:val="24"/>
          <w:szCs w:val="24"/>
        </w:rPr>
        <w:t>[3]</w:t>
      </w:r>
      <w:r w:rsidRPr="00EC4963">
        <w:rPr>
          <w:rFonts w:ascii="Times New Roman" w:hAnsi="Times New Roman" w:cs="Times New Roman"/>
          <w:sz w:val="24"/>
          <w:szCs w:val="24"/>
        </w:rPr>
        <w:tab/>
        <w:t>R. Liu</w:t>
      </w:r>
      <w:r w:rsidRPr="00EC4963">
        <w:rPr>
          <w:rFonts w:ascii="Times New Roman" w:hAnsi="Times New Roman" w:cs="Times New Roman"/>
          <w:i/>
          <w:sz w:val="24"/>
          <w:szCs w:val="24"/>
        </w:rPr>
        <w:t xml:space="preserve"> et al.</w:t>
      </w:r>
      <w:r w:rsidRPr="00EC4963">
        <w:rPr>
          <w:rFonts w:ascii="Times New Roman" w:hAnsi="Times New Roman" w:cs="Times New Roman"/>
          <w:sz w:val="24"/>
          <w:szCs w:val="24"/>
        </w:rPr>
        <w:t>, "Synthesis and characterization of g-C</w:t>
      </w:r>
      <w:r w:rsidRPr="00EC4963">
        <w:rPr>
          <w:rFonts w:ascii="Times New Roman" w:hAnsi="Times New Roman" w:cs="Times New Roman"/>
          <w:sz w:val="24"/>
          <w:szCs w:val="24"/>
          <w:vertAlign w:val="subscript"/>
        </w:rPr>
        <w:t>3</w:t>
      </w:r>
      <w:r w:rsidRPr="00EC4963">
        <w:rPr>
          <w:rFonts w:ascii="Times New Roman" w:hAnsi="Times New Roman" w:cs="Times New Roman"/>
          <w:sz w:val="24"/>
          <w:szCs w:val="24"/>
        </w:rPr>
        <w:t>N</w:t>
      </w:r>
      <w:r w:rsidRPr="00EC4963">
        <w:rPr>
          <w:rFonts w:ascii="Times New Roman" w:hAnsi="Times New Roman" w:cs="Times New Roman"/>
          <w:sz w:val="24"/>
          <w:szCs w:val="24"/>
          <w:vertAlign w:val="subscript"/>
        </w:rPr>
        <w:t>4</w:t>
      </w:r>
      <w:r w:rsidRPr="00EC4963">
        <w:rPr>
          <w:rFonts w:ascii="Times New Roman" w:hAnsi="Times New Roman" w:cs="Times New Roman"/>
          <w:sz w:val="24"/>
          <w:szCs w:val="24"/>
        </w:rPr>
        <w:t>/Ag</w:t>
      </w:r>
      <w:r w:rsidRPr="00EC4963">
        <w:rPr>
          <w:rFonts w:ascii="Times New Roman" w:hAnsi="Times New Roman" w:cs="Times New Roman"/>
          <w:sz w:val="24"/>
          <w:szCs w:val="24"/>
          <w:vertAlign w:val="subscript"/>
        </w:rPr>
        <w:t>3</w:t>
      </w:r>
      <w:r w:rsidRPr="00EC4963">
        <w:rPr>
          <w:rFonts w:ascii="Times New Roman" w:hAnsi="Times New Roman" w:cs="Times New Roman"/>
          <w:sz w:val="24"/>
          <w:szCs w:val="24"/>
        </w:rPr>
        <w:t>PO</w:t>
      </w:r>
      <w:r w:rsidRPr="00EC4963">
        <w:rPr>
          <w:rFonts w:ascii="Times New Roman" w:hAnsi="Times New Roman" w:cs="Times New Roman"/>
          <w:sz w:val="24"/>
          <w:szCs w:val="24"/>
          <w:vertAlign w:val="subscript"/>
        </w:rPr>
        <w:t>4</w:t>
      </w:r>
      <w:r w:rsidRPr="00EC4963">
        <w:rPr>
          <w:rFonts w:ascii="Times New Roman" w:hAnsi="Times New Roman" w:cs="Times New Roman"/>
          <w:sz w:val="24"/>
          <w:szCs w:val="24"/>
        </w:rPr>
        <w:t>/TiO</w:t>
      </w:r>
      <w:r w:rsidRPr="00EC4963">
        <w:rPr>
          <w:rFonts w:ascii="Times New Roman" w:hAnsi="Times New Roman" w:cs="Times New Roman"/>
          <w:sz w:val="24"/>
          <w:szCs w:val="24"/>
          <w:vertAlign w:val="subscript"/>
        </w:rPr>
        <w:t>2</w:t>
      </w:r>
      <w:r w:rsidRPr="00EC4963">
        <w:rPr>
          <w:rFonts w:ascii="Times New Roman" w:hAnsi="Times New Roman" w:cs="Times New Roman"/>
          <w:sz w:val="24"/>
          <w:szCs w:val="24"/>
        </w:rPr>
        <w:t xml:space="preserve">/PVDF membrane with remarkable self-cleaning properties for rhodamine B removal," </w:t>
      </w:r>
      <w:r w:rsidRPr="00EC4963">
        <w:rPr>
          <w:rFonts w:ascii="Times New Roman" w:hAnsi="Times New Roman" w:cs="Times New Roman"/>
          <w:i/>
          <w:sz w:val="24"/>
          <w:szCs w:val="24"/>
        </w:rPr>
        <w:t xml:space="preserve">International </w:t>
      </w:r>
      <w:r w:rsidR="00AB1329" w:rsidRPr="00EC4963">
        <w:rPr>
          <w:rFonts w:ascii="Times New Roman" w:hAnsi="Times New Roman" w:cs="Times New Roman"/>
          <w:i/>
          <w:sz w:val="24"/>
          <w:szCs w:val="24"/>
        </w:rPr>
        <w:t>J</w:t>
      </w:r>
      <w:r w:rsidRPr="00EC4963">
        <w:rPr>
          <w:rFonts w:ascii="Times New Roman" w:hAnsi="Times New Roman" w:cs="Times New Roman"/>
          <w:i/>
          <w:sz w:val="24"/>
          <w:szCs w:val="24"/>
        </w:rPr>
        <w:t xml:space="preserve">ournal of </w:t>
      </w:r>
      <w:r w:rsidR="00AB1329" w:rsidRPr="00EC4963">
        <w:rPr>
          <w:rFonts w:ascii="Times New Roman" w:hAnsi="Times New Roman" w:cs="Times New Roman"/>
          <w:i/>
          <w:sz w:val="24"/>
          <w:szCs w:val="24"/>
        </w:rPr>
        <w:t>Environmental R</w:t>
      </w:r>
      <w:r w:rsidRPr="00EC4963">
        <w:rPr>
          <w:rFonts w:ascii="Times New Roman" w:hAnsi="Times New Roman" w:cs="Times New Roman"/>
          <w:i/>
          <w:sz w:val="24"/>
          <w:szCs w:val="24"/>
        </w:rPr>
        <w:t xml:space="preserve">esearch and </w:t>
      </w:r>
      <w:r w:rsidR="00AB1329" w:rsidRPr="00EC4963">
        <w:rPr>
          <w:rFonts w:ascii="Times New Roman" w:hAnsi="Times New Roman" w:cs="Times New Roman"/>
          <w:i/>
          <w:sz w:val="24"/>
          <w:szCs w:val="24"/>
        </w:rPr>
        <w:t>Public H</w:t>
      </w:r>
      <w:r w:rsidRPr="00EC4963">
        <w:rPr>
          <w:rFonts w:ascii="Times New Roman" w:hAnsi="Times New Roman" w:cs="Times New Roman"/>
          <w:i/>
          <w:sz w:val="24"/>
          <w:szCs w:val="24"/>
        </w:rPr>
        <w:t xml:space="preserve">ealth, </w:t>
      </w:r>
      <w:r w:rsidRPr="00EC4963">
        <w:rPr>
          <w:rFonts w:ascii="Times New Roman" w:hAnsi="Times New Roman" w:cs="Times New Roman"/>
          <w:sz w:val="24"/>
          <w:szCs w:val="24"/>
        </w:rPr>
        <w:t>vol. 19, no. 23, p. 15551, 2022.</w:t>
      </w:r>
    </w:p>
    <w:p w14:paraId="7E915248" w14:textId="77777777" w:rsidR="009135F1" w:rsidRPr="00EC4963" w:rsidRDefault="009135F1" w:rsidP="009135F1">
      <w:pPr>
        <w:pStyle w:val="EndNoteBibliography"/>
        <w:ind w:left="720" w:hanging="720"/>
        <w:rPr>
          <w:rFonts w:ascii="Times New Roman" w:hAnsi="Times New Roman" w:cs="Times New Roman"/>
          <w:sz w:val="24"/>
          <w:szCs w:val="24"/>
        </w:rPr>
      </w:pPr>
      <w:r w:rsidRPr="00EC4963">
        <w:rPr>
          <w:rFonts w:ascii="Times New Roman" w:hAnsi="Times New Roman" w:cs="Times New Roman"/>
          <w:sz w:val="24"/>
          <w:szCs w:val="24"/>
        </w:rPr>
        <w:t>[4]</w:t>
      </w:r>
      <w:r w:rsidRPr="00EC4963">
        <w:rPr>
          <w:rFonts w:ascii="Times New Roman" w:hAnsi="Times New Roman" w:cs="Times New Roman"/>
          <w:sz w:val="24"/>
          <w:szCs w:val="24"/>
        </w:rPr>
        <w:tab/>
        <w:t>T.-T. Zhou</w:t>
      </w:r>
      <w:r w:rsidRPr="00EC4963">
        <w:rPr>
          <w:rFonts w:ascii="Times New Roman" w:hAnsi="Times New Roman" w:cs="Times New Roman"/>
          <w:i/>
          <w:sz w:val="24"/>
          <w:szCs w:val="24"/>
        </w:rPr>
        <w:t xml:space="preserve"> et al.</w:t>
      </w:r>
      <w:r w:rsidRPr="00EC4963">
        <w:rPr>
          <w:rFonts w:ascii="Times New Roman" w:hAnsi="Times New Roman" w:cs="Times New Roman"/>
          <w:sz w:val="24"/>
          <w:szCs w:val="24"/>
        </w:rPr>
        <w:t>, "Flexible TiO</w:t>
      </w:r>
      <w:r w:rsidRPr="00EC4963">
        <w:rPr>
          <w:rFonts w:ascii="Times New Roman" w:hAnsi="Times New Roman" w:cs="Times New Roman"/>
          <w:sz w:val="24"/>
          <w:szCs w:val="24"/>
          <w:vertAlign w:val="subscript"/>
        </w:rPr>
        <w:t>2</w:t>
      </w:r>
      <w:r w:rsidRPr="00EC4963">
        <w:rPr>
          <w:rFonts w:ascii="Times New Roman" w:hAnsi="Times New Roman" w:cs="Times New Roman"/>
          <w:sz w:val="24"/>
          <w:szCs w:val="24"/>
        </w:rPr>
        <w:t>/PVDF/g-C</w:t>
      </w:r>
      <w:r w:rsidRPr="00EC4963">
        <w:rPr>
          <w:rFonts w:ascii="Times New Roman" w:hAnsi="Times New Roman" w:cs="Times New Roman"/>
          <w:sz w:val="24"/>
          <w:szCs w:val="24"/>
          <w:vertAlign w:val="subscript"/>
        </w:rPr>
        <w:t>3</w:t>
      </w:r>
      <w:r w:rsidRPr="00EC4963">
        <w:rPr>
          <w:rFonts w:ascii="Times New Roman" w:hAnsi="Times New Roman" w:cs="Times New Roman"/>
          <w:sz w:val="24"/>
          <w:szCs w:val="24"/>
        </w:rPr>
        <w:t>N</w:t>
      </w:r>
      <w:r w:rsidRPr="00EC4963">
        <w:rPr>
          <w:rFonts w:ascii="Times New Roman" w:hAnsi="Times New Roman" w:cs="Times New Roman"/>
          <w:sz w:val="24"/>
          <w:szCs w:val="24"/>
          <w:vertAlign w:val="subscript"/>
        </w:rPr>
        <w:t>4</w:t>
      </w:r>
      <w:r w:rsidRPr="00EC4963">
        <w:rPr>
          <w:rFonts w:ascii="Times New Roman" w:hAnsi="Times New Roman" w:cs="Times New Roman"/>
          <w:sz w:val="24"/>
          <w:szCs w:val="24"/>
        </w:rPr>
        <w:t xml:space="preserve"> nanocomposite with excellent light photocatalytic performance," </w:t>
      </w:r>
      <w:r w:rsidRPr="00EC4963">
        <w:rPr>
          <w:rFonts w:ascii="Times New Roman" w:hAnsi="Times New Roman" w:cs="Times New Roman"/>
          <w:i/>
          <w:sz w:val="24"/>
          <w:szCs w:val="24"/>
        </w:rPr>
        <w:t xml:space="preserve">Polymers, </w:t>
      </w:r>
      <w:r w:rsidRPr="00EC4963">
        <w:rPr>
          <w:rFonts w:ascii="Times New Roman" w:hAnsi="Times New Roman" w:cs="Times New Roman"/>
          <w:sz w:val="24"/>
          <w:szCs w:val="24"/>
        </w:rPr>
        <w:t>vol. 12, no. 1, p. 55, 2019.</w:t>
      </w:r>
    </w:p>
    <w:p w14:paraId="490BEB16" w14:textId="4836D98C" w:rsidR="009135F1" w:rsidRDefault="009135F1" w:rsidP="00EC4963">
      <w:pPr>
        <w:spacing w:before="120"/>
        <w:ind w:left="720"/>
        <w:rPr>
          <w:iCs/>
        </w:rPr>
      </w:pPr>
      <w:r w:rsidRPr="00EC4963">
        <w:fldChar w:fldCharType="end"/>
      </w:r>
    </w:p>
    <w:p w14:paraId="1D983E76" w14:textId="20FDE9D5" w:rsidR="004574D4" w:rsidRPr="00684CAA" w:rsidRDefault="004574D4" w:rsidP="007C708D">
      <w:pPr>
        <w:spacing w:before="120"/>
        <w:ind w:left="720"/>
        <w:rPr>
          <w:iCs/>
        </w:rPr>
      </w:pPr>
      <w:r w:rsidRPr="00684CAA">
        <w:rPr>
          <w:iCs/>
        </w:rPr>
        <w:t>Xin trân trọng cảm ơn!</w:t>
      </w:r>
    </w:p>
    <w:p w14:paraId="74A0EE56" w14:textId="56DD97EB" w:rsidR="004574D4" w:rsidRPr="00684CAA" w:rsidRDefault="004574D4" w:rsidP="004574D4">
      <w:pPr>
        <w:spacing w:before="120"/>
        <w:ind w:left="3261" w:firstLine="720"/>
      </w:pPr>
      <w:r w:rsidRPr="00684CAA">
        <w:t xml:space="preserve">              </w:t>
      </w:r>
      <w:r w:rsidR="006433EA" w:rsidRPr="00684CAA">
        <w:rPr>
          <w:lang w:val="vi-VN"/>
        </w:rPr>
        <w:t xml:space="preserve">        </w:t>
      </w:r>
      <w:r w:rsidRPr="00684CAA">
        <w:t xml:space="preserve"> </w:t>
      </w:r>
      <w:r w:rsidR="006433EA" w:rsidRPr="00684CAA">
        <w:rPr>
          <w:lang w:val="vi-VN"/>
        </w:rPr>
        <w:t>N</w:t>
      </w:r>
      <w:r w:rsidR="00665009">
        <w:t xml:space="preserve">gày </w:t>
      </w:r>
      <w:r w:rsidR="006C3484">
        <w:t>2</w:t>
      </w:r>
      <w:r w:rsidR="00AB1329">
        <w:t>8</w:t>
      </w:r>
      <w:r w:rsidRPr="00684CAA">
        <w:t xml:space="preserve"> tháng</w:t>
      </w:r>
      <w:r w:rsidR="00044FEB" w:rsidRPr="00684CAA">
        <w:t xml:space="preserve"> </w:t>
      </w:r>
      <w:r w:rsidR="00665009">
        <w:t>0</w:t>
      </w:r>
      <w:r w:rsidR="006C3484">
        <w:t>8</w:t>
      </w:r>
      <w:r w:rsidR="003D78B5" w:rsidRPr="00684CAA">
        <w:t xml:space="preserve"> </w:t>
      </w:r>
      <w:r w:rsidRPr="00684CAA">
        <w:t xml:space="preserve"> năm 20</w:t>
      </w:r>
      <w:r w:rsidR="00B00257" w:rsidRPr="00684CAA">
        <w:t>2</w:t>
      </w:r>
      <w:r w:rsidR="00E6393E">
        <w:t>5</w:t>
      </w:r>
    </w:p>
    <w:p w14:paraId="25C9D3E2" w14:textId="0AF4DC7B" w:rsidR="008C4F43" w:rsidRPr="00684CAA" w:rsidRDefault="004574D4" w:rsidP="00690016">
      <w:pPr>
        <w:spacing w:before="120"/>
        <w:ind w:left="2880" w:firstLine="720"/>
        <w:rPr>
          <w:b/>
          <w:bCs/>
          <w:lang w:val="vi-VN"/>
        </w:rPr>
      </w:pPr>
      <w:r w:rsidRPr="00684CAA">
        <w:rPr>
          <w:b/>
          <w:bCs/>
        </w:rPr>
        <w:t xml:space="preserve">                                </w:t>
      </w:r>
      <w:r w:rsidR="006433EA" w:rsidRPr="00684CAA">
        <w:rPr>
          <w:b/>
          <w:bCs/>
        </w:rPr>
        <w:t>TM</w:t>
      </w:r>
      <w:r w:rsidR="006433EA" w:rsidRPr="00684CAA">
        <w:rPr>
          <w:b/>
          <w:bCs/>
          <w:lang w:val="vi-VN"/>
        </w:rPr>
        <w:t xml:space="preserve"> NHÓM TÁC GIẢ</w:t>
      </w:r>
    </w:p>
    <w:p w14:paraId="6C29697E" w14:textId="0BC102EF" w:rsidR="00DE69EA" w:rsidRPr="00684CAA" w:rsidRDefault="00DE69EA" w:rsidP="00690016">
      <w:pPr>
        <w:spacing w:before="120"/>
        <w:ind w:left="2880" w:firstLine="720"/>
        <w:rPr>
          <w:b/>
          <w:bCs/>
        </w:rPr>
      </w:pPr>
    </w:p>
    <w:p w14:paraId="069A3D8E" w14:textId="77777777" w:rsidR="00DE69EA" w:rsidRPr="00684CAA" w:rsidRDefault="00DE69EA" w:rsidP="00690016">
      <w:pPr>
        <w:spacing w:before="120"/>
        <w:ind w:left="2880" w:firstLine="720"/>
        <w:rPr>
          <w:b/>
          <w:bCs/>
        </w:rPr>
      </w:pPr>
    </w:p>
    <w:p w14:paraId="4AD23E1F" w14:textId="31B76F8E" w:rsidR="008C4F43" w:rsidRPr="006F00D2" w:rsidRDefault="006F00D2" w:rsidP="006F00D2">
      <w:pPr>
        <w:ind w:left="5040" w:firstLine="720"/>
        <w:jc w:val="both"/>
        <w:rPr>
          <w:b/>
        </w:rPr>
      </w:pPr>
      <w:r w:rsidRPr="006F00D2">
        <w:rPr>
          <w:b/>
        </w:rPr>
        <w:lastRenderedPageBreak/>
        <w:t xml:space="preserve">Nguyễn Thị </w:t>
      </w:r>
      <w:proofErr w:type="gramStart"/>
      <w:r w:rsidRPr="006F00D2">
        <w:rPr>
          <w:b/>
        </w:rPr>
        <w:t>Lan</w:t>
      </w:r>
      <w:proofErr w:type="gramEnd"/>
    </w:p>
    <w:sectPr w:rsidR="008C4F43" w:rsidRPr="006F00D2" w:rsidSect="007C708D">
      <w:footerReference w:type="even" r:id="rId11"/>
      <w:pgSz w:w="11909" w:h="16834" w:code="9"/>
      <w:pgMar w:top="1008" w:right="1008" w:bottom="1008" w:left="1296"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458BF0" w14:textId="77777777" w:rsidR="00A516B4" w:rsidRDefault="00A516B4">
      <w:r>
        <w:separator/>
      </w:r>
    </w:p>
  </w:endnote>
  <w:endnote w:type="continuationSeparator" w:id="0">
    <w:p w14:paraId="6246508F" w14:textId="77777777" w:rsidR="00A516B4" w:rsidRDefault="00A51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UI-Ligh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A2007B" w14:textId="77777777" w:rsidR="007C708D" w:rsidRDefault="007C708D" w:rsidP="007C70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2F93A4A" w14:textId="77777777" w:rsidR="007C708D" w:rsidRDefault="007C70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9DE5AA" w14:textId="77777777" w:rsidR="00A516B4" w:rsidRDefault="00A516B4">
      <w:r>
        <w:separator/>
      </w:r>
    </w:p>
  </w:footnote>
  <w:footnote w:type="continuationSeparator" w:id="0">
    <w:p w14:paraId="40F37B37" w14:textId="77777777" w:rsidR="00A516B4" w:rsidRDefault="00A516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E6F93"/>
    <w:multiLevelType w:val="hybridMultilevel"/>
    <w:tmpl w:val="02EC8F76"/>
    <w:lvl w:ilvl="0" w:tplc="D280300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873368"/>
    <w:multiLevelType w:val="hybridMultilevel"/>
    <w:tmpl w:val="B0C06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C7251C"/>
    <w:multiLevelType w:val="hybridMultilevel"/>
    <w:tmpl w:val="9A960142"/>
    <w:lvl w:ilvl="0" w:tplc="A0F211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7F05E0"/>
    <w:multiLevelType w:val="multilevel"/>
    <w:tmpl w:val="1E26E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E8800D7"/>
    <w:multiLevelType w:val="hybridMultilevel"/>
    <w:tmpl w:val="4516B114"/>
    <w:lvl w:ilvl="0" w:tplc="CF28C97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6E79626F"/>
    <w:multiLevelType w:val="hybridMultilevel"/>
    <w:tmpl w:val="21BED296"/>
    <w:lvl w:ilvl="0" w:tplc="FE1E614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MLM0srA0szAzNje2MDdS0lEKTi0uzszPAykwMqgFAI5hpIUtAAAA"/>
  </w:docVars>
  <w:rsids>
    <w:rsidRoot w:val="004574D4"/>
    <w:rsid w:val="000012A3"/>
    <w:rsid w:val="0000717A"/>
    <w:rsid w:val="00015E7F"/>
    <w:rsid w:val="00021579"/>
    <w:rsid w:val="00034734"/>
    <w:rsid w:val="00034D99"/>
    <w:rsid w:val="00042278"/>
    <w:rsid w:val="00043CD7"/>
    <w:rsid w:val="000446C3"/>
    <w:rsid w:val="00044FEB"/>
    <w:rsid w:val="00051B43"/>
    <w:rsid w:val="00054D33"/>
    <w:rsid w:val="00061C2B"/>
    <w:rsid w:val="00064773"/>
    <w:rsid w:val="00066E33"/>
    <w:rsid w:val="000701B7"/>
    <w:rsid w:val="000757E6"/>
    <w:rsid w:val="00081C5F"/>
    <w:rsid w:val="00086635"/>
    <w:rsid w:val="00091597"/>
    <w:rsid w:val="00094B75"/>
    <w:rsid w:val="000A7667"/>
    <w:rsid w:val="000C3659"/>
    <w:rsid w:val="000F14A0"/>
    <w:rsid w:val="000F4DF6"/>
    <w:rsid w:val="001003C3"/>
    <w:rsid w:val="00106530"/>
    <w:rsid w:val="00112FB7"/>
    <w:rsid w:val="00136F6B"/>
    <w:rsid w:val="00137C0B"/>
    <w:rsid w:val="0014495A"/>
    <w:rsid w:val="00145DC3"/>
    <w:rsid w:val="001472D3"/>
    <w:rsid w:val="00153002"/>
    <w:rsid w:val="00160FBD"/>
    <w:rsid w:val="00166174"/>
    <w:rsid w:val="00171785"/>
    <w:rsid w:val="00175862"/>
    <w:rsid w:val="00183447"/>
    <w:rsid w:val="00192985"/>
    <w:rsid w:val="00195A83"/>
    <w:rsid w:val="001A0804"/>
    <w:rsid w:val="001A2B11"/>
    <w:rsid w:val="001A41EE"/>
    <w:rsid w:val="001A4483"/>
    <w:rsid w:val="001A50E7"/>
    <w:rsid w:val="001C02F5"/>
    <w:rsid w:val="001C395C"/>
    <w:rsid w:val="001C77E0"/>
    <w:rsid w:val="001D1ACF"/>
    <w:rsid w:val="001E33CF"/>
    <w:rsid w:val="001E683E"/>
    <w:rsid w:val="001F6ACE"/>
    <w:rsid w:val="0020074E"/>
    <w:rsid w:val="002011D9"/>
    <w:rsid w:val="00204F88"/>
    <w:rsid w:val="0021668B"/>
    <w:rsid w:val="00217C3F"/>
    <w:rsid w:val="00217D59"/>
    <w:rsid w:val="00224A7E"/>
    <w:rsid w:val="00260C63"/>
    <w:rsid w:val="002638FD"/>
    <w:rsid w:val="00276D65"/>
    <w:rsid w:val="00287AD7"/>
    <w:rsid w:val="00287C91"/>
    <w:rsid w:val="00291EF5"/>
    <w:rsid w:val="002A7322"/>
    <w:rsid w:val="002C6F57"/>
    <w:rsid w:val="002D3CE1"/>
    <w:rsid w:val="002F74C1"/>
    <w:rsid w:val="00301A46"/>
    <w:rsid w:val="003031DF"/>
    <w:rsid w:val="00303ABF"/>
    <w:rsid w:val="00321301"/>
    <w:rsid w:val="003213AC"/>
    <w:rsid w:val="00340DB8"/>
    <w:rsid w:val="00343CC4"/>
    <w:rsid w:val="00351B1B"/>
    <w:rsid w:val="00352DF8"/>
    <w:rsid w:val="003550D5"/>
    <w:rsid w:val="00366BDC"/>
    <w:rsid w:val="003701BB"/>
    <w:rsid w:val="00370A8B"/>
    <w:rsid w:val="00375D38"/>
    <w:rsid w:val="003812D5"/>
    <w:rsid w:val="003816DD"/>
    <w:rsid w:val="003A52FB"/>
    <w:rsid w:val="003A57BA"/>
    <w:rsid w:val="003A70A0"/>
    <w:rsid w:val="003C1126"/>
    <w:rsid w:val="003C214C"/>
    <w:rsid w:val="003D6304"/>
    <w:rsid w:val="003D78B5"/>
    <w:rsid w:val="003E13A3"/>
    <w:rsid w:val="003F3CB1"/>
    <w:rsid w:val="003F6525"/>
    <w:rsid w:val="00420D0D"/>
    <w:rsid w:val="004237D1"/>
    <w:rsid w:val="004259E5"/>
    <w:rsid w:val="00430346"/>
    <w:rsid w:val="004475D1"/>
    <w:rsid w:val="004500F3"/>
    <w:rsid w:val="004574D4"/>
    <w:rsid w:val="00457BF3"/>
    <w:rsid w:val="00465DAF"/>
    <w:rsid w:val="00482D45"/>
    <w:rsid w:val="00484F81"/>
    <w:rsid w:val="00484FD2"/>
    <w:rsid w:val="00485D1B"/>
    <w:rsid w:val="00486242"/>
    <w:rsid w:val="004A2357"/>
    <w:rsid w:val="004A7B96"/>
    <w:rsid w:val="004B1E11"/>
    <w:rsid w:val="004B46BB"/>
    <w:rsid w:val="004B6D6B"/>
    <w:rsid w:val="004B767C"/>
    <w:rsid w:val="004B7A0A"/>
    <w:rsid w:val="004C0B5C"/>
    <w:rsid w:val="004C0C46"/>
    <w:rsid w:val="004C25CE"/>
    <w:rsid w:val="004D0299"/>
    <w:rsid w:val="004E0C9A"/>
    <w:rsid w:val="004E6BB2"/>
    <w:rsid w:val="004E7491"/>
    <w:rsid w:val="004E78CC"/>
    <w:rsid w:val="004F445E"/>
    <w:rsid w:val="004F536E"/>
    <w:rsid w:val="00500866"/>
    <w:rsid w:val="0050459C"/>
    <w:rsid w:val="00505A74"/>
    <w:rsid w:val="00506282"/>
    <w:rsid w:val="0053280F"/>
    <w:rsid w:val="00543635"/>
    <w:rsid w:val="005854EE"/>
    <w:rsid w:val="00591181"/>
    <w:rsid w:val="005935B4"/>
    <w:rsid w:val="005A74AC"/>
    <w:rsid w:val="005B471D"/>
    <w:rsid w:val="005D5881"/>
    <w:rsid w:val="005D5AD1"/>
    <w:rsid w:val="005D67C9"/>
    <w:rsid w:val="005D6D79"/>
    <w:rsid w:val="005E12F6"/>
    <w:rsid w:val="005F3882"/>
    <w:rsid w:val="006031DD"/>
    <w:rsid w:val="00603288"/>
    <w:rsid w:val="00607CC5"/>
    <w:rsid w:val="006107E6"/>
    <w:rsid w:val="0061080B"/>
    <w:rsid w:val="0061534F"/>
    <w:rsid w:val="006253D0"/>
    <w:rsid w:val="00630795"/>
    <w:rsid w:val="0063686A"/>
    <w:rsid w:val="006425A7"/>
    <w:rsid w:val="006433EA"/>
    <w:rsid w:val="00657E85"/>
    <w:rsid w:val="00660E4F"/>
    <w:rsid w:val="0066108B"/>
    <w:rsid w:val="00665009"/>
    <w:rsid w:val="006663A5"/>
    <w:rsid w:val="0067024C"/>
    <w:rsid w:val="00674F7A"/>
    <w:rsid w:val="00684CAA"/>
    <w:rsid w:val="00690016"/>
    <w:rsid w:val="006A234C"/>
    <w:rsid w:val="006B236C"/>
    <w:rsid w:val="006B3DAC"/>
    <w:rsid w:val="006B5324"/>
    <w:rsid w:val="006B7C41"/>
    <w:rsid w:val="006C21CA"/>
    <w:rsid w:val="006C3484"/>
    <w:rsid w:val="006C75CF"/>
    <w:rsid w:val="006D58B8"/>
    <w:rsid w:val="006D74B6"/>
    <w:rsid w:val="006F00D2"/>
    <w:rsid w:val="006F3698"/>
    <w:rsid w:val="006F3AF1"/>
    <w:rsid w:val="006F57F0"/>
    <w:rsid w:val="007041ED"/>
    <w:rsid w:val="007145D3"/>
    <w:rsid w:val="0072032D"/>
    <w:rsid w:val="00733B6E"/>
    <w:rsid w:val="0073678B"/>
    <w:rsid w:val="00737ADC"/>
    <w:rsid w:val="00760B72"/>
    <w:rsid w:val="007633C3"/>
    <w:rsid w:val="007637FC"/>
    <w:rsid w:val="00767724"/>
    <w:rsid w:val="007678C1"/>
    <w:rsid w:val="0077360B"/>
    <w:rsid w:val="007877C8"/>
    <w:rsid w:val="007901B2"/>
    <w:rsid w:val="00791024"/>
    <w:rsid w:val="007964BB"/>
    <w:rsid w:val="00797BDC"/>
    <w:rsid w:val="007A2621"/>
    <w:rsid w:val="007A4664"/>
    <w:rsid w:val="007A6E0C"/>
    <w:rsid w:val="007B1D72"/>
    <w:rsid w:val="007B72D6"/>
    <w:rsid w:val="007C6B4D"/>
    <w:rsid w:val="007C708D"/>
    <w:rsid w:val="007D47DC"/>
    <w:rsid w:val="007D67B5"/>
    <w:rsid w:val="007E32B9"/>
    <w:rsid w:val="007E49B2"/>
    <w:rsid w:val="007E5397"/>
    <w:rsid w:val="007F0D92"/>
    <w:rsid w:val="00801230"/>
    <w:rsid w:val="0080223A"/>
    <w:rsid w:val="00803209"/>
    <w:rsid w:val="0080719C"/>
    <w:rsid w:val="00810577"/>
    <w:rsid w:val="00812FF6"/>
    <w:rsid w:val="00823079"/>
    <w:rsid w:val="0084415E"/>
    <w:rsid w:val="00844BD0"/>
    <w:rsid w:val="008508DB"/>
    <w:rsid w:val="00850FFB"/>
    <w:rsid w:val="00857628"/>
    <w:rsid w:val="00862FC7"/>
    <w:rsid w:val="00864AD9"/>
    <w:rsid w:val="00872063"/>
    <w:rsid w:val="008745AA"/>
    <w:rsid w:val="008919F1"/>
    <w:rsid w:val="008A357B"/>
    <w:rsid w:val="008A7306"/>
    <w:rsid w:val="008B02D8"/>
    <w:rsid w:val="008B0B50"/>
    <w:rsid w:val="008B31FA"/>
    <w:rsid w:val="008B7305"/>
    <w:rsid w:val="008C4F43"/>
    <w:rsid w:val="008C749F"/>
    <w:rsid w:val="008D0AAB"/>
    <w:rsid w:val="008D5388"/>
    <w:rsid w:val="008D609F"/>
    <w:rsid w:val="008E1DE8"/>
    <w:rsid w:val="00905A22"/>
    <w:rsid w:val="0091278C"/>
    <w:rsid w:val="009135F1"/>
    <w:rsid w:val="009142C0"/>
    <w:rsid w:val="00916541"/>
    <w:rsid w:val="009207A4"/>
    <w:rsid w:val="009215FB"/>
    <w:rsid w:val="00924400"/>
    <w:rsid w:val="00924E86"/>
    <w:rsid w:val="00926376"/>
    <w:rsid w:val="009330E0"/>
    <w:rsid w:val="00944822"/>
    <w:rsid w:val="00952283"/>
    <w:rsid w:val="00952A4F"/>
    <w:rsid w:val="00957668"/>
    <w:rsid w:val="00976272"/>
    <w:rsid w:val="0098177D"/>
    <w:rsid w:val="009A2462"/>
    <w:rsid w:val="009B24E8"/>
    <w:rsid w:val="009D33F6"/>
    <w:rsid w:val="009D3BF7"/>
    <w:rsid w:val="009D6E34"/>
    <w:rsid w:val="009E1D84"/>
    <w:rsid w:val="009F20F9"/>
    <w:rsid w:val="009F7236"/>
    <w:rsid w:val="00A019BD"/>
    <w:rsid w:val="00A14BDC"/>
    <w:rsid w:val="00A159C0"/>
    <w:rsid w:val="00A15EC9"/>
    <w:rsid w:val="00A22472"/>
    <w:rsid w:val="00A27011"/>
    <w:rsid w:val="00A31E61"/>
    <w:rsid w:val="00A37F32"/>
    <w:rsid w:val="00A51328"/>
    <w:rsid w:val="00A516B4"/>
    <w:rsid w:val="00A52DF3"/>
    <w:rsid w:val="00A5686C"/>
    <w:rsid w:val="00A66B21"/>
    <w:rsid w:val="00A672D9"/>
    <w:rsid w:val="00A72C11"/>
    <w:rsid w:val="00A74146"/>
    <w:rsid w:val="00A758D3"/>
    <w:rsid w:val="00A90923"/>
    <w:rsid w:val="00A91610"/>
    <w:rsid w:val="00AA0F38"/>
    <w:rsid w:val="00AB1329"/>
    <w:rsid w:val="00AB534E"/>
    <w:rsid w:val="00AC597E"/>
    <w:rsid w:val="00AD07D0"/>
    <w:rsid w:val="00AD312F"/>
    <w:rsid w:val="00AE28B4"/>
    <w:rsid w:val="00AF1CBA"/>
    <w:rsid w:val="00AF2E98"/>
    <w:rsid w:val="00B00257"/>
    <w:rsid w:val="00B00AE5"/>
    <w:rsid w:val="00B14E24"/>
    <w:rsid w:val="00B214DC"/>
    <w:rsid w:val="00B21AA0"/>
    <w:rsid w:val="00B235B9"/>
    <w:rsid w:val="00B26178"/>
    <w:rsid w:val="00B43B10"/>
    <w:rsid w:val="00B539F1"/>
    <w:rsid w:val="00B664F9"/>
    <w:rsid w:val="00B713DD"/>
    <w:rsid w:val="00B748C2"/>
    <w:rsid w:val="00B75544"/>
    <w:rsid w:val="00B7640E"/>
    <w:rsid w:val="00B86753"/>
    <w:rsid w:val="00B86CE6"/>
    <w:rsid w:val="00B93FEB"/>
    <w:rsid w:val="00B97E66"/>
    <w:rsid w:val="00BB232E"/>
    <w:rsid w:val="00BB3DFD"/>
    <w:rsid w:val="00BB67DB"/>
    <w:rsid w:val="00BC2087"/>
    <w:rsid w:val="00BC6417"/>
    <w:rsid w:val="00BD0251"/>
    <w:rsid w:val="00BD2CAD"/>
    <w:rsid w:val="00BD53FF"/>
    <w:rsid w:val="00BD55C3"/>
    <w:rsid w:val="00BE139E"/>
    <w:rsid w:val="00BE491E"/>
    <w:rsid w:val="00BF1690"/>
    <w:rsid w:val="00BF189A"/>
    <w:rsid w:val="00BF3BF3"/>
    <w:rsid w:val="00BF4BD1"/>
    <w:rsid w:val="00BF6261"/>
    <w:rsid w:val="00C00EED"/>
    <w:rsid w:val="00C01B16"/>
    <w:rsid w:val="00C04854"/>
    <w:rsid w:val="00C137D7"/>
    <w:rsid w:val="00C15B17"/>
    <w:rsid w:val="00C20CE2"/>
    <w:rsid w:val="00C23481"/>
    <w:rsid w:val="00C45800"/>
    <w:rsid w:val="00C55E9B"/>
    <w:rsid w:val="00C77E9A"/>
    <w:rsid w:val="00C804E8"/>
    <w:rsid w:val="00C940DC"/>
    <w:rsid w:val="00C942D4"/>
    <w:rsid w:val="00CA2AAB"/>
    <w:rsid w:val="00CB05C4"/>
    <w:rsid w:val="00CB5CE0"/>
    <w:rsid w:val="00CC5B18"/>
    <w:rsid w:val="00CD23C6"/>
    <w:rsid w:val="00CE29F4"/>
    <w:rsid w:val="00CF7E15"/>
    <w:rsid w:val="00D00222"/>
    <w:rsid w:val="00D03025"/>
    <w:rsid w:val="00D116B4"/>
    <w:rsid w:val="00D14F30"/>
    <w:rsid w:val="00D4388E"/>
    <w:rsid w:val="00D46CE6"/>
    <w:rsid w:val="00D52936"/>
    <w:rsid w:val="00D5704B"/>
    <w:rsid w:val="00D602DE"/>
    <w:rsid w:val="00D61F15"/>
    <w:rsid w:val="00D664E3"/>
    <w:rsid w:val="00D66D1F"/>
    <w:rsid w:val="00D713C4"/>
    <w:rsid w:val="00D770DD"/>
    <w:rsid w:val="00D8042E"/>
    <w:rsid w:val="00D80963"/>
    <w:rsid w:val="00D85F49"/>
    <w:rsid w:val="00DA5E76"/>
    <w:rsid w:val="00DB587D"/>
    <w:rsid w:val="00DC0889"/>
    <w:rsid w:val="00DC4919"/>
    <w:rsid w:val="00DC6B8C"/>
    <w:rsid w:val="00DE5093"/>
    <w:rsid w:val="00DE69EA"/>
    <w:rsid w:val="00E1116E"/>
    <w:rsid w:val="00E30554"/>
    <w:rsid w:val="00E3725C"/>
    <w:rsid w:val="00E40006"/>
    <w:rsid w:val="00E547A3"/>
    <w:rsid w:val="00E5659E"/>
    <w:rsid w:val="00E6393E"/>
    <w:rsid w:val="00E65C43"/>
    <w:rsid w:val="00E70C32"/>
    <w:rsid w:val="00E73D11"/>
    <w:rsid w:val="00E76A76"/>
    <w:rsid w:val="00E803CA"/>
    <w:rsid w:val="00E80810"/>
    <w:rsid w:val="00E83155"/>
    <w:rsid w:val="00E91324"/>
    <w:rsid w:val="00E91D4B"/>
    <w:rsid w:val="00E928D7"/>
    <w:rsid w:val="00EA32A9"/>
    <w:rsid w:val="00EA3532"/>
    <w:rsid w:val="00EC4963"/>
    <w:rsid w:val="00EC4D7D"/>
    <w:rsid w:val="00ED124E"/>
    <w:rsid w:val="00ED4A01"/>
    <w:rsid w:val="00ED59CF"/>
    <w:rsid w:val="00EE6570"/>
    <w:rsid w:val="00EE7101"/>
    <w:rsid w:val="00EF0CC7"/>
    <w:rsid w:val="00F03D52"/>
    <w:rsid w:val="00F11496"/>
    <w:rsid w:val="00F17543"/>
    <w:rsid w:val="00F32163"/>
    <w:rsid w:val="00F429E3"/>
    <w:rsid w:val="00F517BA"/>
    <w:rsid w:val="00F51E9E"/>
    <w:rsid w:val="00F5454C"/>
    <w:rsid w:val="00F62B90"/>
    <w:rsid w:val="00F63F21"/>
    <w:rsid w:val="00F73FA4"/>
    <w:rsid w:val="00F748B1"/>
    <w:rsid w:val="00F82BD5"/>
    <w:rsid w:val="00F82E18"/>
    <w:rsid w:val="00F90543"/>
    <w:rsid w:val="00F94075"/>
    <w:rsid w:val="00FA2BD6"/>
    <w:rsid w:val="00FB29E2"/>
    <w:rsid w:val="00FB4818"/>
    <w:rsid w:val="00FE5484"/>
    <w:rsid w:val="00FE59C2"/>
    <w:rsid w:val="00FF02EB"/>
    <w:rsid w:val="00FF2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69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4D4"/>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E91324"/>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574D4"/>
    <w:pPr>
      <w:tabs>
        <w:tab w:val="center" w:pos="4320"/>
        <w:tab w:val="right" w:pos="8640"/>
      </w:tabs>
    </w:pPr>
  </w:style>
  <w:style w:type="character" w:customStyle="1" w:styleId="FooterChar">
    <w:name w:val="Footer Char"/>
    <w:basedOn w:val="DefaultParagraphFont"/>
    <w:link w:val="Footer"/>
    <w:rsid w:val="004574D4"/>
    <w:rPr>
      <w:rFonts w:ascii="Times New Roman" w:eastAsia="Times New Roman" w:hAnsi="Times New Roman" w:cs="Times New Roman"/>
      <w:sz w:val="24"/>
      <w:szCs w:val="24"/>
    </w:rPr>
  </w:style>
  <w:style w:type="character" w:styleId="PageNumber">
    <w:name w:val="page number"/>
    <w:basedOn w:val="DefaultParagraphFont"/>
    <w:rsid w:val="004574D4"/>
  </w:style>
  <w:style w:type="paragraph" w:styleId="BodyText">
    <w:name w:val="Body Text"/>
    <w:basedOn w:val="Normal"/>
    <w:link w:val="BodyTextChar"/>
    <w:uiPriority w:val="99"/>
    <w:unhideWhenUsed/>
    <w:rsid w:val="004574D4"/>
    <w:pPr>
      <w:spacing w:before="120" w:after="120" w:line="288" w:lineRule="auto"/>
      <w:jc w:val="both"/>
    </w:pPr>
    <w:rPr>
      <w:rFonts w:eastAsia="Calibri"/>
      <w:sz w:val="26"/>
      <w:szCs w:val="22"/>
      <w:lang w:val="x-none" w:eastAsia="x-none"/>
    </w:rPr>
  </w:style>
  <w:style w:type="character" w:customStyle="1" w:styleId="BodyTextChar">
    <w:name w:val="Body Text Char"/>
    <w:basedOn w:val="DefaultParagraphFont"/>
    <w:link w:val="BodyText"/>
    <w:uiPriority w:val="99"/>
    <w:rsid w:val="004574D4"/>
    <w:rPr>
      <w:rFonts w:ascii="Times New Roman" w:eastAsia="Calibri" w:hAnsi="Times New Roman" w:cs="Times New Roman"/>
      <w:sz w:val="26"/>
      <w:lang w:val="x-none" w:eastAsia="x-none"/>
    </w:rPr>
  </w:style>
  <w:style w:type="paragraph" w:styleId="ListParagraph">
    <w:name w:val="List Paragraph"/>
    <w:basedOn w:val="Normal"/>
    <w:uiPriority w:val="34"/>
    <w:qFormat/>
    <w:rsid w:val="004574D4"/>
    <w:pPr>
      <w:ind w:left="720"/>
      <w:contextualSpacing/>
    </w:pPr>
  </w:style>
  <w:style w:type="table" w:styleId="TableGrid">
    <w:name w:val="Table Grid"/>
    <w:basedOn w:val="TableNormal"/>
    <w:uiPriority w:val="39"/>
    <w:rsid w:val="006433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semiHidden/>
    <w:rsid w:val="00BB67DB"/>
    <w:rPr>
      <w:sz w:val="16"/>
      <w:szCs w:val="16"/>
    </w:rPr>
  </w:style>
  <w:style w:type="paragraph" w:styleId="CommentText">
    <w:name w:val="annotation text"/>
    <w:basedOn w:val="Normal"/>
    <w:link w:val="CommentTextChar"/>
    <w:semiHidden/>
    <w:rsid w:val="00BB67DB"/>
    <w:rPr>
      <w:sz w:val="20"/>
      <w:szCs w:val="20"/>
    </w:rPr>
  </w:style>
  <w:style w:type="character" w:customStyle="1" w:styleId="CommentTextChar">
    <w:name w:val="Comment Text Char"/>
    <w:basedOn w:val="DefaultParagraphFont"/>
    <w:link w:val="CommentText"/>
    <w:semiHidden/>
    <w:rsid w:val="00BB67D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B67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7DB"/>
    <w:rPr>
      <w:rFonts w:ascii="Segoe UI" w:eastAsia="Times New Roman" w:hAnsi="Segoe UI" w:cs="Segoe UI"/>
      <w:sz w:val="18"/>
      <w:szCs w:val="18"/>
    </w:rPr>
  </w:style>
  <w:style w:type="character" w:styleId="Hyperlink">
    <w:name w:val="Hyperlink"/>
    <w:basedOn w:val="DefaultParagraphFont"/>
    <w:uiPriority w:val="99"/>
    <w:semiHidden/>
    <w:unhideWhenUsed/>
    <w:rsid w:val="00E91324"/>
    <w:rPr>
      <w:color w:val="0000FF"/>
      <w:u w:val="single"/>
    </w:rPr>
  </w:style>
  <w:style w:type="character" w:customStyle="1" w:styleId="Heading1Char">
    <w:name w:val="Heading 1 Char"/>
    <w:basedOn w:val="DefaultParagraphFont"/>
    <w:link w:val="Heading1"/>
    <w:uiPriority w:val="9"/>
    <w:rsid w:val="00E91324"/>
    <w:rPr>
      <w:rFonts w:ascii="Times New Roman" w:eastAsia="Times New Roman" w:hAnsi="Times New Roman" w:cs="Times New Roman"/>
      <w:b/>
      <w:bCs/>
      <w:kern w:val="36"/>
      <w:sz w:val="48"/>
      <w:szCs w:val="48"/>
    </w:rPr>
  </w:style>
  <w:style w:type="paragraph" w:customStyle="1" w:styleId="EndNoteBibliography">
    <w:name w:val="EndNote Bibliography"/>
    <w:basedOn w:val="Normal"/>
    <w:link w:val="EndNoteBibliographyChar"/>
    <w:rsid w:val="00AB534E"/>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AB534E"/>
    <w:rPr>
      <w:rFonts w:ascii="Calibri" w:hAnsi="Calibri" w:cs="Calibri"/>
      <w:noProof/>
    </w:rPr>
  </w:style>
  <w:style w:type="character" w:customStyle="1" w:styleId="fontstyle01">
    <w:name w:val="fontstyle01"/>
    <w:basedOn w:val="DefaultParagraphFont"/>
    <w:rsid w:val="008B0B50"/>
    <w:rPr>
      <w:rFonts w:ascii="SegoeUI-Light" w:hAnsi="SegoeUI-Light" w:hint="default"/>
      <w:b w:val="0"/>
      <w:bCs w:val="0"/>
      <w:i w:val="0"/>
      <w:iCs w:val="0"/>
      <w:color w:val="000000"/>
      <w:sz w:val="20"/>
      <w:szCs w:val="20"/>
    </w:rPr>
  </w:style>
  <w:style w:type="character" w:customStyle="1" w:styleId="a">
    <w:name w:val="_"/>
    <w:basedOn w:val="DefaultParagraphFont"/>
    <w:rsid w:val="00D664E3"/>
  </w:style>
  <w:style w:type="character" w:styleId="Strong">
    <w:name w:val="Strong"/>
    <w:basedOn w:val="DefaultParagraphFont"/>
    <w:uiPriority w:val="22"/>
    <w:qFormat/>
    <w:rsid w:val="008B7305"/>
    <w:rPr>
      <w:b/>
      <w:bCs/>
    </w:rPr>
  </w:style>
  <w:style w:type="paragraph" w:styleId="NormalWeb">
    <w:name w:val="Normal (Web)"/>
    <w:basedOn w:val="Normal"/>
    <w:uiPriority w:val="99"/>
    <w:semiHidden/>
    <w:unhideWhenUsed/>
    <w:rsid w:val="00674F7A"/>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4D4"/>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E91324"/>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574D4"/>
    <w:pPr>
      <w:tabs>
        <w:tab w:val="center" w:pos="4320"/>
        <w:tab w:val="right" w:pos="8640"/>
      </w:tabs>
    </w:pPr>
  </w:style>
  <w:style w:type="character" w:customStyle="1" w:styleId="FooterChar">
    <w:name w:val="Footer Char"/>
    <w:basedOn w:val="DefaultParagraphFont"/>
    <w:link w:val="Footer"/>
    <w:rsid w:val="004574D4"/>
    <w:rPr>
      <w:rFonts w:ascii="Times New Roman" w:eastAsia="Times New Roman" w:hAnsi="Times New Roman" w:cs="Times New Roman"/>
      <w:sz w:val="24"/>
      <w:szCs w:val="24"/>
    </w:rPr>
  </w:style>
  <w:style w:type="character" w:styleId="PageNumber">
    <w:name w:val="page number"/>
    <w:basedOn w:val="DefaultParagraphFont"/>
    <w:rsid w:val="004574D4"/>
  </w:style>
  <w:style w:type="paragraph" w:styleId="BodyText">
    <w:name w:val="Body Text"/>
    <w:basedOn w:val="Normal"/>
    <w:link w:val="BodyTextChar"/>
    <w:uiPriority w:val="99"/>
    <w:unhideWhenUsed/>
    <w:rsid w:val="004574D4"/>
    <w:pPr>
      <w:spacing w:before="120" w:after="120" w:line="288" w:lineRule="auto"/>
      <w:jc w:val="both"/>
    </w:pPr>
    <w:rPr>
      <w:rFonts w:eastAsia="Calibri"/>
      <w:sz w:val="26"/>
      <w:szCs w:val="22"/>
      <w:lang w:val="x-none" w:eastAsia="x-none"/>
    </w:rPr>
  </w:style>
  <w:style w:type="character" w:customStyle="1" w:styleId="BodyTextChar">
    <w:name w:val="Body Text Char"/>
    <w:basedOn w:val="DefaultParagraphFont"/>
    <w:link w:val="BodyText"/>
    <w:uiPriority w:val="99"/>
    <w:rsid w:val="004574D4"/>
    <w:rPr>
      <w:rFonts w:ascii="Times New Roman" w:eastAsia="Calibri" w:hAnsi="Times New Roman" w:cs="Times New Roman"/>
      <w:sz w:val="26"/>
      <w:lang w:val="x-none" w:eastAsia="x-none"/>
    </w:rPr>
  </w:style>
  <w:style w:type="paragraph" w:styleId="ListParagraph">
    <w:name w:val="List Paragraph"/>
    <w:basedOn w:val="Normal"/>
    <w:uiPriority w:val="34"/>
    <w:qFormat/>
    <w:rsid w:val="004574D4"/>
    <w:pPr>
      <w:ind w:left="720"/>
      <w:contextualSpacing/>
    </w:pPr>
  </w:style>
  <w:style w:type="table" w:styleId="TableGrid">
    <w:name w:val="Table Grid"/>
    <w:basedOn w:val="TableNormal"/>
    <w:uiPriority w:val="39"/>
    <w:rsid w:val="006433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semiHidden/>
    <w:rsid w:val="00BB67DB"/>
    <w:rPr>
      <w:sz w:val="16"/>
      <w:szCs w:val="16"/>
    </w:rPr>
  </w:style>
  <w:style w:type="paragraph" w:styleId="CommentText">
    <w:name w:val="annotation text"/>
    <w:basedOn w:val="Normal"/>
    <w:link w:val="CommentTextChar"/>
    <w:semiHidden/>
    <w:rsid w:val="00BB67DB"/>
    <w:rPr>
      <w:sz w:val="20"/>
      <w:szCs w:val="20"/>
    </w:rPr>
  </w:style>
  <w:style w:type="character" w:customStyle="1" w:styleId="CommentTextChar">
    <w:name w:val="Comment Text Char"/>
    <w:basedOn w:val="DefaultParagraphFont"/>
    <w:link w:val="CommentText"/>
    <w:semiHidden/>
    <w:rsid w:val="00BB67D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B67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7DB"/>
    <w:rPr>
      <w:rFonts w:ascii="Segoe UI" w:eastAsia="Times New Roman" w:hAnsi="Segoe UI" w:cs="Segoe UI"/>
      <w:sz w:val="18"/>
      <w:szCs w:val="18"/>
    </w:rPr>
  </w:style>
  <w:style w:type="character" w:styleId="Hyperlink">
    <w:name w:val="Hyperlink"/>
    <w:basedOn w:val="DefaultParagraphFont"/>
    <w:uiPriority w:val="99"/>
    <w:semiHidden/>
    <w:unhideWhenUsed/>
    <w:rsid w:val="00E91324"/>
    <w:rPr>
      <w:color w:val="0000FF"/>
      <w:u w:val="single"/>
    </w:rPr>
  </w:style>
  <w:style w:type="character" w:customStyle="1" w:styleId="Heading1Char">
    <w:name w:val="Heading 1 Char"/>
    <w:basedOn w:val="DefaultParagraphFont"/>
    <w:link w:val="Heading1"/>
    <w:uiPriority w:val="9"/>
    <w:rsid w:val="00E91324"/>
    <w:rPr>
      <w:rFonts w:ascii="Times New Roman" w:eastAsia="Times New Roman" w:hAnsi="Times New Roman" w:cs="Times New Roman"/>
      <w:b/>
      <w:bCs/>
      <w:kern w:val="36"/>
      <w:sz w:val="48"/>
      <w:szCs w:val="48"/>
    </w:rPr>
  </w:style>
  <w:style w:type="paragraph" w:customStyle="1" w:styleId="EndNoteBibliography">
    <w:name w:val="EndNote Bibliography"/>
    <w:basedOn w:val="Normal"/>
    <w:link w:val="EndNoteBibliographyChar"/>
    <w:rsid w:val="00AB534E"/>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AB534E"/>
    <w:rPr>
      <w:rFonts w:ascii="Calibri" w:hAnsi="Calibri" w:cs="Calibri"/>
      <w:noProof/>
    </w:rPr>
  </w:style>
  <w:style w:type="character" w:customStyle="1" w:styleId="fontstyle01">
    <w:name w:val="fontstyle01"/>
    <w:basedOn w:val="DefaultParagraphFont"/>
    <w:rsid w:val="008B0B50"/>
    <w:rPr>
      <w:rFonts w:ascii="SegoeUI-Light" w:hAnsi="SegoeUI-Light" w:hint="default"/>
      <w:b w:val="0"/>
      <w:bCs w:val="0"/>
      <w:i w:val="0"/>
      <w:iCs w:val="0"/>
      <w:color w:val="000000"/>
      <w:sz w:val="20"/>
      <w:szCs w:val="20"/>
    </w:rPr>
  </w:style>
  <w:style w:type="character" w:customStyle="1" w:styleId="a">
    <w:name w:val="_"/>
    <w:basedOn w:val="DefaultParagraphFont"/>
    <w:rsid w:val="00D664E3"/>
  </w:style>
  <w:style w:type="character" w:styleId="Strong">
    <w:name w:val="Strong"/>
    <w:basedOn w:val="DefaultParagraphFont"/>
    <w:uiPriority w:val="22"/>
    <w:qFormat/>
    <w:rsid w:val="008B7305"/>
    <w:rPr>
      <w:b/>
      <w:bCs/>
    </w:rPr>
  </w:style>
  <w:style w:type="paragraph" w:styleId="NormalWeb">
    <w:name w:val="Normal (Web)"/>
    <w:basedOn w:val="Normal"/>
    <w:uiPriority w:val="99"/>
    <w:semiHidden/>
    <w:unhideWhenUsed/>
    <w:rsid w:val="00674F7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546">
      <w:bodyDiv w:val="1"/>
      <w:marLeft w:val="0"/>
      <w:marRight w:val="0"/>
      <w:marTop w:val="0"/>
      <w:marBottom w:val="0"/>
      <w:divBdr>
        <w:top w:val="none" w:sz="0" w:space="0" w:color="auto"/>
        <w:left w:val="none" w:sz="0" w:space="0" w:color="auto"/>
        <w:bottom w:val="none" w:sz="0" w:space="0" w:color="auto"/>
        <w:right w:val="none" w:sz="0" w:space="0" w:color="auto"/>
      </w:divBdr>
    </w:div>
    <w:div w:id="76290792">
      <w:bodyDiv w:val="1"/>
      <w:marLeft w:val="0"/>
      <w:marRight w:val="0"/>
      <w:marTop w:val="0"/>
      <w:marBottom w:val="0"/>
      <w:divBdr>
        <w:top w:val="none" w:sz="0" w:space="0" w:color="auto"/>
        <w:left w:val="none" w:sz="0" w:space="0" w:color="auto"/>
        <w:bottom w:val="none" w:sz="0" w:space="0" w:color="auto"/>
        <w:right w:val="none" w:sz="0" w:space="0" w:color="auto"/>
      </w:divBdr>
    </w:div>
    <w:div w:id="436220603">
      <w:bodyDiv w:val="1"/>
      <w:marLeft w:val="0"/>
      <w:marRight w:val="0"/>
      <w:marTop w:val="0"/>
      <w:marBottom w:val="0"/>
      <w:divBdr>
        <w:top w:val="none" w:sz="0" w:space="0" w:color="auto"/>
        <w:left w:val="none" w:sz="0" w:space="0" w:color="auto"/>
        <w:bottom w:val="none" w:sz="0" w:space="0" w:color="auto"/>
        <w:right w:val="none" w:sz="0" w:space="0" w:color="auto"/>
      </w:divBdr>
    </w:div>
    <w:div w:id="841818307">
      <w:bodyDiv w:val="1"/>
      <w:marLeft w:val="0"/>
      <w:marRight w:val="0"/>
      <w:marTop w:val="0"/>
      <w:marBottom w:val="0"/>
      <w:divBdr>
        <w:top w:val="none" w:sz="0" w:space="0" w:color="auto"/>
        <w:left w:val="none" w:sz="0" w:space="0" w:color="auto"/>
        <w:bottom w:val="none" w:sz="0" w:space="0" w:color="auto"/>
        <w:right w:val="none" w:sz="0" w:space="0" w:color="auto"/>
      </w:divBdr>
    </w:div>
    <w:div w:id="1116829082">
      <w:bodyDiv w:val="1"/>
      <w:marLeft w:val="0"/>
      <w:marRight w:val="0"/>
      <w:marTop w:val="0"/>
      <w:marBottom w:val="0"/>
      <w:divBdr>
        <w:top w:val="none" w:sz="0" w:space="0" w:color="auto"/>
        <w:left w:val="none" w:sz="0" w:space="0" w:color="auto"/>
        <w:bottom w:val="none" w:sz="0" w:space="0" w:color="auto"/>
        <w:right w:val="none" w:sz="0" w:space="0" w:color="auto"/>
      </w:divBdr>
    </w:div>
    <w:div w:id="1161651772">
      <w:bodyDiv w:val="1"/>
      <w:marLeft w:val="0"/>
      <w:marRight w:val="0"/>
      <w:marTop w:val="0"/>
      <w:marBottom w:val="0"/>
      <w:divBdr>
        <w:top w:val="none" w:sz="0" w:space="0" w:color="auto"/>
        <w:left w:val="none" w:sz="0" w:space="0" w:color="auto"/>
        <w:bottom w:val="none" w:sz="0" w:space="0" w:color="auto"/>
        <w:right w:val="none" w:sz="0" w:space="0" w:color="auto"/>
      </w:divBdr>
    </w:div>
    <w:div w:id="1190988207">
      <w:bodyDiv w:val="1"/>
      <w:marLeft w:val="0"/>
      <w:marRight w:val="0"/>
      <w:marTop w:val="0"/>
      <w:marBottom w:val="0"/>
      <w:divBdr>
        <w:top w:val="none" w:sz="0" w:space="0" w:color="auto"/>
        <w:left w:val="none" w:sz="0" w:space="0" w:color="auto"/>
        <w:bottom w:val="none" w:sz="0" w:space="0" w:color="auto"/>
        <w:right w:val="none" w:sz="0" w:space="0" w:color="auto"/>
      </w:divBdr>
    </w:div>
    <w:div w:id="1220173240">
      <w:bodyDiv w:val="1"/>
      <w:marLeft w:val="0"/>
      <w:marRight w:val="0"/>
      <w:marTop w:val="0"/>
      <w:marBottom w:val="0"/>
      <w:divBdr>
        <w:top w:val="none" w:sz="0" w:space="0" w:color="auto"/>
        <w:left w:val="none" w:sz="0" w:space="0" w:color="auto"/>
        <w:bottom w:val="none" w:sz="0" w:space="0" w:color="auto"/>
        <w:right w:val="none" w:sz="0" w:space="0" w:color="auto"/>
      </w:divBdr>
    </w:div>
    <w:div w:id="1513761609">
      <w:bodyDiv w:val="1"/>
      <w:marLeft w:val="0"/>
      <w:marRight w:val="0"/>
      <w:marTop w:val="0"/>
      <w:marBottom w:val="0"/>
      <w:divBdr>
        <w:top w:val="none" w:sz="0" w:space="0" w:color="auto"/>
        <w:left w:val="none" w:sz="0" w:space="0" w:color="auto"/>
        <w:bottom w:val="none" w:sz="0" w:space="0" w:color="auto"/>
        <w:right w:val="none" w:sz="0" w:space="0" w:color="auto"/>
      </w:divBdr>
    </w:div>
    <w:div w:id="1744058567">
      <w:bodyDiv w:val="1"/>
      <w:marLeft w:val="0"/>
      <w:marRight w:val="0"/>
      <w:marTop w:val="0"/>
      <w:marBottom w:val="0"/>
      <w:divBdr>
        <w:top w:val="none" w:sz="0" w:space="0" w:color="auto"/>
        <w:left w:val="none" w:sz="0" w:space="0" w:color="auto"/>
        <w:bottom w:val="none" w:sz="0" w:space="0" w:color="auto"/>
        <w:right w:val="none" w:sz="0" w:space="0" w:color="auto"/>
      </w:divBdr>
    </w:div>
    <w:div w:id="1869832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6A8D4-3031-4E99-9F48-75A7A0989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5</Pages>
  <Words>902</Words>
  <Characters>5148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Thi Hong Phuong</dc:creator>
  <cp:lastModifiedBy>Administrator</cp:lastModifiedBy>
  <cp:revision>17</cp:revision>
  <dcterms:created xsi:type="dcterms:W3CDTF">2025-08-19T14:48:00Z</dcterms:created>
  <dcterms:modified xsi:type="dcterms:W3CDTF">2025-08-28T03:21:00Z</dcterms:modified>
</cp:coreProperties>
</file>