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746B" w14:textId="77777777" w:rsidR="00943878" w:rsidRDefault="00943878" w:rsidP="002152CB">
      <w:pPr>
        <w:tabs>
          <w:tab w:val="left" w:pos="360"/>
          <w:tab w:val="right" w:leader="hyphen" w:pos="9072"/>
        </w:tabs>
        <w:spacing w:before="120" w:after="120"/>
        <w:rPr>
          <w:rFonts w:ascii="Arial" w:hAnsi="Arial" w:cs="Arial"/>
          <w:b/>
          <w:sz w:val="32"/>
          <w:szCs w:val="20"/>
        </w:rPr>
      </w:pPr>
    </w:p>
    <w:p w14:paraId="0258AACD" w14:textId="77777777" w:rsidR="002152CB" w:rsidRPr="00946A31" w:rsidRDefault="002152CB" w:rsidP="002152CB">
      <w:pPr>
        <w:tabs>
          <w:tab w:val="left" w:pos="360"/>
          <w:tab w:val="right" w:leader="hyphen" w:pos="9072"/>
        </w:tabs>
        <w:spacing w:before="120" w:after="120"/>
        <w:rPr>
          <w:rFonts w:ascii="Arial" w:hAnsi="Arial" w:cs="Arial"/>
          <w:b/>
          <w:sz w:val="32"/>
          <w:szCs w:val="20"/>
        </w:rPr>
      </w:pPr>
    </w:p>
    <w:p w14:paraId="39EEDBED" w14:textId="46478051" w:rsidR="00943878" w:rsidRPr="007D041A" w:rsidRDefault="007D041A" w:rsidP="00943878">
      <w:pPr>
        <w:tabs>
          <w:tab w:val="left" w:pos="360"/>
          <w:tab w:val="right" w:leader="hyphen" w:pos="9072"/>
        </w:tabs>
        <w:spacing w:before="120" w:after="120"/>
        <w:jc w:val="center"/>
        <w:rPr>
          <w:rFonts w:ascii="Arial" w:hAnsi="Arial" w:cs="Arial"/>
          <w:b/>
          <w:sz w:val="32"/>
          <w:szCs w:val="32"/>
        </w:rPr>
      </w:pPr>
      <w:r w:rsidRPr="007D041A">
        <w:rPr>
          <w:rFonts w:ascii="Arial" w:hAnsi="Arial" w:cs="Arial"/>
          <w:b/>
          <w:noProof/>
          <w:sz w:val="32"/>
          <w:szCs w:val="32"/>
          <w:lang w:val="en"/>
        </w:rPr>
        <w:t xml:space="preserve">The impact of inflation uncertainty on foreign direct investment: an empirical study in </w:t>
      </w:r>
      <w:r>
        <w:rPr>
          <w:rFonts w:ascii="Arial" w:hAnsi="Arial" w:cs="Arial"/>
          <w:b/>
          <w:noProof/>
          <w:sz w:val="32"/>
          <w:szCs w:val="32"/>
          <w:lang w:val="en"/>
        </w:rPr>
        <w:t>V</w:t>
      </w:r>
      <w:r w:rsidRPr="007D041A">
        <w:rPr>
          <w:rFonts w:ascii="Arial" w:hAnsi="Arial" w:cs="Arial"/>
          <w:b/>
          <w:noProof/>
          <w:sz w:val="32"/>
          <w:szCs w:val="32"/>
          <w:lang w:val="en"/>
        </w:rPr>
        <w:t>ietnam</w:t>
      </w:r>
    </w:p>
    <w:p w14:paraId="1B77EFA3" w14:textId="77777777" w:rsidR="00943878" w:rsidRPr="00377620" w:rsidRDefault="00943878" w:rsidP="00943878">
      <w:pPr>
        <w:tabs>
          <w:tab w:val="left" w:pos="360"/>
          <w:tab w:val="right" w:leader="hyphen" w:pos="9072"/>
        </w:tabs>
        <w:jc w:val="center"/>
        <w:rPr>
          <w:b/>
          <w:szCs w:val="20"/>
        </w:rPr>
      </w:pPr>
    </w:p>
    <w:p w14:paraId="63310034" w14:textId="77777777" w:rsidR="00943878" w:rsidRPr="00301698" w:rsidRDefault="00943878" w:rsidP="00943878">
      <w:pPr>
        <w:ind w:right="68"/>
        <w:jc w:val="center"/>
        <w:rPr>
          <w:b/>
          <w:szCs w:val="22"/>
        </w:rPr>
      </w:pPr>
      <w:r>
        <w:rPr>
          <w:b/>
          <w:szCs w:val="22"/>
        </w:rPr>
        <w:t>To Thien Bao</w:t>
      </w:r>
      <w:r w:rsidRPr="007B6EFB">
        <w:rPr>
          <w:b/>
          <w:szCs w:val="22"/>
        </w:rPr>
        <w:t>*</w:t>
      </w:r>
    </w:p>
    <w:p w14:paraId="69E1A95F" w14:textId="77777777" w:rsidR="00943878" w:rsidRDefault="00943878" w:rsidP="00943878">
      <w:pPr>
        <w:ind w:right="70"/>
        <w:jc w:val="center"/>
        <w:rPr>
          <w:sz w:val="18"/>
          <w:szCs w:val="18"/>
        </w:rPr>
      </w:pPr>
    </w:p>
    <w:p w14:paraId="112BA397" w14:textId="35D34014" w:rsidR="00943878" w:rsidRPr="007B6EFB" w:rsidRDefault="000F460D" w:rsidP="00943878">
      <w:pPr>
        <w:ind w:right="70"/>
        <w:jc w:val="center"/>
        <w:rPr>
          <w:i/>
          <w:sz w:val="22"/>
          <w:szCs w:val="22"/>
        </w:rPr>
      </w:pPr>
      <w:r w:rsidRPr="00F4148E">
        <w:rPr>
          <w:i/>
          <w:sz w:val="22"/>
          <w:szCs w:val="22"/>
        </w:rPr>
        <w:t>Postgraduate, University of Economics and Law, VNU-HCM, Vietnam</w:t>
      </w:r>
    </w:p>
    <w:p w14:paraId="522F97EB" w14:textId="77777777" w:rsidR="00943878" w:rsidRDefault="00943878" w:rsidP="00943878">
      <w:pPr>
        <w:spacing w:after="120"/>
        <w:ind w:right="68"/>
        <w:jc w:val="center"/>
        <w:rPr>
          <w:i/>
          <w:sz w:val="22"/>
          <w:szCs w:val="22"/>
        </w:rPr>
      </w:pPr>
    </w:p>
    <w:p w14:paraId="06E3F7D4" w14:textId="77777777" w:rsidR="00943878" w:rsidRDefault="00943878" w:rsidP="00943878">
      <w:pPr>
        <w:ind w:right="70"/>
        <w:jc w:val="center"/>
        <w:rPr>
          <w:i/>
          <w:sz w:val="22"/>
          <w:szCs w:val="22"/>
        </w:rPr>
      </w:pPr>
      <w:r>
        <w:rPr>
          <w:i/>
          <w:sz w:val="22"/>
          <w:szCs w:val="22"/>
        </w:rPr>
        <w:t>Received: dd/mm/yyyy; Revised: dd/mm/yyyy;</w:t>
      </w:r>
    </w:p>
    <w:p w14:paraId="72A7313E" w14:textId="77777777" w:rsidR="00943878" w:rsidRDefault="00943878" w:rsidP="00943878">
      <w:pPr>
        <w:ind w:right="70"/>
        <w:jc w:val="center"/>
        <w:rPr>
          <w:i/>
          <w:sz w:val="22"/>
          <w:szCs w:val="22"/>
        </w:rPr>
      </w:pPr>
      <w:r>
        <w:rPr>
          <w:i/>
          <w:sz w:val="22"/>
          <w:szCs w:val="22"/>
        </w:rPr>
        <w:t>Accepted: dd/mm/yyyy; Published: dd/mm/yyyy</w:t>
      </w:r>
    </w:p>
    <w:p w14:paraId="1318FE54" w14:textId="77777777" w:rsidR="00943878" w:rsidRDefault="00943878" w:rsidP="00943878">
      <w:pPr>
        <w:ind w:right="70"/>
        <w:rPr>
          <w:i/>
          <w:sz w:val="22"/>
          <w:szCs w:val="22"/>
        </w:rPr>
      </w:pPr>
    </w:p>
    <w:p w14:paraId="40E19815" w14:textId="77777777" w:rsidR="00943878" w:rsidRDefault="00943878" w:rsidP="00943878">
      <w:pPr>
        <w:ind w:right="70"/>
        <w:rPr>
          <w:i/>
          <w:sz w:val="22"/>
          <w:szCs w:val="22"/>
        </w:rPr>
      </w:pPr>
      <w:r>
        <w:rPr>
          <w:i/>
          <w:sz w:val="22"/>
          <w:szCs w:val="22"/>
        </w:rPr>
        <w:t xml:space="preserve"> </w:t>
      </w:r>
    </w:p>
    <w:p w14:paraId="299446FB"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7525CCFE" w14:textId="6472C85C" w:rsidR="002A68AB" w:rsidRDefault="00943878" w:rsidP="00943878">
      <w:pPr>
        <w:tabs>
          <w:tab w:val="right" w:leader="hyphen" w:pos="9072"/>
        </w:tabs>
        <w:spacing w:before="120" w:after="240"/>
        <w:jc w:val="both"/>
        <w:rPr>
          <w:sz w:val="20"/>
          <w:szCs w:val="20"/>
        </w:rPr>
      </w:pPr>
      <w:r>
        <w:rPr>
          <w:sz w:val="20"/>
          <w:szCs w:val="20"/>
        </w:rPr>
        <w:tab/>
        <w:t xml:space="preserve">          </w:t>
      </w:r>
      <w:r w:rsidR="008109A3" w:rsidRPr="008109A3">
        <w:rPr>
          <w:sz w:val="20"/>
          <w:szCs w:val="20"/>
        </w:rPr>
        <w:t>Foreign direct investment (FDI) plays a vital role in driving Vietnam’s economic expansion, yet the influence of inflation uncertainty on FDI inflows has received little empirical attention in the context of an export-oriented economy. This study employs quarterly data from 2002 to 2024 to investigate the extent to which inflation uncertainty affects FDI in Vietnam. Inflation volatility is estimated using the GARCH(1,1) model, while the short- and long-term relationships are assessed through the ARDL framework combined with an error correction mechanism (ECM). Findings reveal that, contrary to initial expectations, inflation uncertainty exerts a positive effect on FDI in both time horizons. This suggests that risk-tolerant investors, particularly in export-driven manufacturing, capitalize on Vietnam’s locational advantages. Furthermore, economic growth stimulates FDI in the long run but exhibits a negative short-run effect. These results contribute new empirical evidence and suggest that policymakers should maintain price stability, incentivize sectors less sensitive to inflation, and implement flexible macroeconomic measures to mitigate short-term fluctuations.</w:t>
      </w:r>
    </w:p>
    <w:p w14:paraId="4D9F5176" w14:textId="752A647D"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A841C5" w:rsidRPr="00A841C5">
        <w:rPr>
          <w:i/>
          <w:sz w:val="20"/>
          <w:szCs w:val="20"/>
        </w:rPr>
        <w:t>Foreign direct investment; Inflation uncertainty; Vietnam</w:t>
      </w:r>
    </w:p>
    <w:p w14:paraId="7404EAEA" w14:textId="77777777" w:rsidR="00943878" w:rsidRDefault="00943878" w:rsidP="00943878">
      <w:pPr>
        <w:tabs>
          <w:tab w:val="right" w:leader="hyphen" w:pos="9072"/>
        </w:tabs>
        <w:rPr>
          <w:rFonts w:ascii="Arial" w:hAnsi="Arial" w:cs="Arial"/>
          <w:b/>
          <w:sz w:val="28"/>
          <w:szCs w:val="28"/>
        </w:rPr>
      </w:pPr>
    </w:p>
    <w:p w14:paraId="7BB5050C" w14:textId="77777777" w:rsidR="00943878" w:rsidRPr="001D5FEE" w:rsidRDefault="00943878" w:rsidP="00943878">
      <w:pPr>
        <w:rPr>
          <w:rFonts w:ascii="Arial" w:hAnsi="Arial" w:cs="Arial"/>
          <w:sz w:val="28"/>
          <w:szCs w:val="28"/>
        </w:rPr>
      </w:pPr>
    </w:p>
    <w:p w14:paraId="6A8F88E1" w14:textId="77777777" w:rsidR="00943878" w:rsidRPr="001D5FEE" w:rsidRDefault="00943878" w:rsidP="00943878">
      <w:pPr>
        <w:rPr>
          <w:rFonts w:ascii="Arial" w:hAnsi="Arial" w:cs="Arial"/>
          <w:sz w:val="28"/>
          <w:szCs w:val="28"/>
        </w:rPr>
      </w:pPr>
    </w:p>
    <w:p w14:paraId="1F8312C1" w14:textId="77777777" w:rsidR="00943878" w:rsidRPr="001D5FEE" w:rsidRDefault="00943878" w:rsidP="00943878">
      <w:pPr>
        <w:rPr>
          <w:rFonts w:ascii="Arial" w:hAnsi="Arial" w:cs="Arial"/>
          <w:sz w:val="28"/>
          <w:szCs w:val="28"/>
        </w:rPr>
      </w:pPr>
    </w:p>
    <w:p w14:paraId="027348FD" w14:textId="77777777" w:rsidR="00943878" w:rsidRPr="001D5FEE" w:rsidRDefault="00943878" w:rsidP="00943878">
      <w:pPr>
        <w:rPr>
          <w:rFonts w:ascii="Arial" w:hAnsi="Arial" w:cs="Arial"/>
          <w:sz w:val="28"/>
          <w:szCs w:val="28"/>
        </w:rPr>
      </w:pPr>
    </w:p>
    <w:p w14:paraId="1BC3C158" w14:textId="77777777" w:rsidR="00943878" w:rsidRPr="001D5FEE" w:rsidRDefault="00943878" w:rsidP="00943878">
      <w:pPr>
        <w:rPr>
          <w:rFonts w:ascii="Arial" w:hAnsi="Arial" w:cs="Arial"/>
          <w:sz w:val="28"/>
          <w:szCs w:val="28"/>
        </w:rPr>
      </w:pPr>
    </w:p>
    <w:p w14:paraId="1C475F84" w14:textId="77777777" w:rsidR="00943878" w:rsidRPr="001D5FEE" w:rsidRDefault="00943878" w:rsidP="00943878">
      <w:pPr>
        <w:rPr>
          <w:rFonts w:ascii="Arial" w:hAnsi="Arial" w:cs="Arial"/>
          <w:sz w:val="28"/>
          <w:szCs w:val="28"/>
        </w:rPr>
      </w:pPr>
    </w:p>
    <w:p w14:paraId="7927FBE1" w14:textId="77777777" w:rsidR="00943878" w:rsidRPr="001D5FEE" w:rsidRDefault="00943878" w:rsidP="00943878">
      <w:pPr>
        <w:rPr>
          <w:rFonts w:ascii="Arial" w:hAnsi="Arial" w:cs="Arial"/>
          <w:sz w:val="28"/>
          <w:szCs w:val="28"/>
        </w:rPr>
      </w:pPr>
    </w:p>
    <w:p w14:paraId="0DF6D809" w14:textId="77777777" w:rsidR="00943878" w:rsidRPr="001D5FEE" w:rsidRDefault="00943878" w:rsidP="00943878">
      <w:pPr>
        <w:rPr>
          <w:rFonts w:ascii="Arial" w:hAnsi="Arial" w:cs="Arial"/>
          <w:sz w:val="28"/>
          <w:szCs w:val="28"/>
        </w:rPr>
      </w:pPr>
    </w:p>
    <w:p w14:paraId="51CA76F5" w14:textId="77777777" w:rsidR="00943878" w:rsidRPr="001D5FEE" w:rsidRDefault="00943878" w:rsidP="00943878">
      <w:pPr>
        <w:rPr>
          <w:rFonts w:ascii="Arial" w:hAnsi="Arial" w:cs="Arial"/>
          <w:sz w:val="28"/>
          <w:szCs w:val="28"/>
        </w:rPr>
      </w:pPr>
    </w:p>
    <w:p w14:paraId="5F427CDA" w14:textId="77777777" w:rsidR="00943878" w:rsidRPr="001D5FEE" w:rsidRDefault="00943878" w:rsidP="00943878">
      <w:pPr>
        <w:rPr>
          <w:rFonts w:ascii="Arial" w:hAnsi="Arial" w:cs="Arial"/>
          <w:sz w:val="28"/>
          <w:szCs w:val="28"/>
        </w:rPr>
      </w:pPr>
    </w:p>
    <w:p w14:paraId="256A6606" w14:textId="77777777" w:rsidR="00943878" w:rsidRPr="001D5FEE" w:rsidRDefault="00943878" w:rsidP="00943878">
      <w:pPr>
        <w:rPr>
          <w:rFonts w:ascii="Arial" w:hAnsi="Arial" w:cs="Arial"/>
          <w:sz w:val="28"/>
          <w:szCs w:val="28"/>
        </w:rPr>
      </w:pPr>
    </w:p>
    <w:p w14:paraId="7DD8BBBC" w14:textId="77777777" w:rsidR="00943878" w:rsidRPr="001D5FEE" w:rsidRDefault="00943878" w:rsidP="00943878">
      <w:pPr>
        <w:rPr>
          <w:rFonts w:ascii="Arial" w:hAnsi="Arial" w:cs="Arial"/>
          <w:sz w:val="28"/>
          <w:szCs w:val="28"/>
        </w:rPr>
      </w:pPr>
    </w:p>
    <w:p w14:paraId="7EA7070A" w14:textId="77777777" w:rsidR="00943878" w:rsidRPr="001D5FEE" w:rsidRDefault="00943878" w:rsidP="00943878">
      <w:pPr>
        <w:rPr>
          <w:rFonts w:ascii="Arial" w:hAnsi="Arial" w:cs="Arial"/>
          <w:sz w:val="28"/>
          <w:szCs w:val="28"/>
        </w:rPr>
      </w:pPr>
    </w:p>
    <w:p w14:paraId="68C612A0" w14:textId="77777777" w:rsidR="00943878" w:rsidRPr="001D5FEE" w:rsidRDefault="00943878" w:rsidP="00943878">
      <w:pPr>
        <w:rPr>
          <w:rFonts w:ascii="Arial" w:hAnsi="Arial" w:cs="Arial"/>
          <w:sz w:val="28"/>
          <w:szCs w:val="28"/>
        </w:rPr>
      </w:pPr>
    </w:p>
    <w:p w14:paraId="11C5780B" w14:textId="77777777" w:rsidR="00943878" w:rsidRPr="001D5FEE" w:rsidRDefault="00943878" w:rsidP="00943878">
      <w:pPr>
        <w:rPr>
          <w:rFonts w:ascii="Arial" w:hAnsi="Arial" w:cs="Arial"/>
          <w:sz w:val="28"/>
          <w:szCs w:val="28"/>
        </w:rPr>
      </w:pPr>
    </w:p>
    <w:p w14:paraId="5F9AF165" w14:textId="77777777" w:rsidR="00943878" w:rsidRDefault="00943878" w:rsidP="00943878">
      <w:pPr>
        <w:tabs>
          <w:tab w:val="right" w:leader="hyphen" w:pos="9072"/>
        </w:tabs>
        <w:rPr>
          <w:rFonts w:ascii="Arial" w:hAnsi="Arial" w:cs="Arial"/>
          <w:b/>
          <w:sz w:val="28"/>
          <w:szCs w:val="28"/>
        </w:rPr>
      </w:pPr>
    </w:p>
    <w:p w14:paraId="562BA0C2" w14:textId="77777777" w:rsidR="00943878" w:rsidRDefault="00943878" w:rsidP="00943878">
      <w:pPr>
        <w:tabs>
          <w:tab w:val="right" w:leader="hyphen" w:pos="9072"/>
        </w:tabs>
        <w:rPr>
          <w:rFonts w:ascii="Arial" w:hAnsi="Arial" w:cs="Arial"/>
          <w:b/>
          <w:sz w:val="28"/>
          <w:szCs w:val="28"/>
        </w:rPr>
      </w:pPr>
    </w:p>
    <w:p w14:paraId="62C30FFC" w14:textId="77777777"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570C6"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70492AC2" w14:textId="77777777"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14:paraId="7747CA6E" w14:textId="64963A53" w:rsidR="00943878" w:rsidRDefault="00943878" w:rsidP="00943878">
      <w:pPr>
        <w:tabs>
          <w:tab w:val="left" w:pos="8280"/>
        </w:tabs>
        <w:rPr>
          <w:i/>
          <w:iCs/>
          <w:sz w:val="18"/>
          <w:szCs w:val="18"/>
        </w:rPr>
        <w:sectPr w:rsidR="00943878">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w:t>
      </w:r>
      <w:r w:rsidR="007A58A5">
        <w:rPr>
          <w:i/>
          <w:iCs/>
          <w:sz w:val="20"/>
          <w:szCs w:val="20"/>
        </w:rPr>
        <w:t>baott24602@sdh.uel.edu.vn</w:t>
      </w:r>
    </w:p>
    <w:p w14:paraId="182DD387" w14:textId="77777777" w:rsidR="00943878" w:rsidRPr="00AA1FB9" w:rsidRDefault="00943878" w:rsidP="00943878">
      <w:pPr>
        <w:tabs>
          <w:tab w:val="right" w:leader="hyphen" w:pos="9072"/>
        </w:tabs>
        <w:rPr>
          <w:rFonts w:ascii="Arial" w:hAnsi="Arial" w:cs="Arial"/>
          <w:b/>
          <w:sz w:val="28"/>
          <w:szCs w:val="28"/>
        </w:rPr>
      </w:pPr>
    </w:p>
    <w:p w14:paraId="3118955F" w14:textId="77777777" w:rsidR="00943878" w:rsidRDefault="00943878" w:rsidP="00943878">
      <w:pPr>
        <w:ind w:right="70"/>
        <w:jc w:val="center"/>
        <w:rPr>
          <w:rFonts w:ascii="Arial" w:hAnsi="Arial" w:cs="Arial"/>
          <w:b/>
          <w:sz w:val="28"/>
          <w:szCs w:val="28"/>
        </w:rPr>
      </w:pPr>
    </w:p>
    <w:p w14:paraId="17272140" w14:textId="77777777" w:rsidR="00943878" w:rsidRPr="00AA1FB9" w:rsidRDefault="00943878" w:rsidP="00943878">
      <w:pPr>
        <w:ind w:right="70"/>
        <w:jc w:val="center"/>
        <w:rPr>
          <w:rFonts w:ascii="Arial" w:hAnsi="Arial" w:cs="Arial"/>
          <w:b/>
          <w:sz w:val="28"/>
          <w:szCs w:val="28"/>
        </w:rPr>
      </w:pPr>
    </w:p>
    <w:p w14:paraId="53334F84" w14:textId="39D4B58F"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w:t>
      </w:r>
      <w:r w:rsidR="00A841C5">
        <w:rPr>
          <w:rFonts w:ascii="Arial" w:hAnsi="Arial" w:cs="Arial"/>
          <w:b/>
          <w:noProof/>
          <w:sz w:val="32"/>
          <w:szCs w:val="28"/>
        </w:rPr>
        <w:t>bất định lạm phát</w:t>
      </w:r>
      <w:r>
        <w:rPr>
          <w:rFonts w:ascii="Arial" w:hAnsi="Arial" w:cs="Arial"/>
          <w:b/>
          <w:noProof/>
          <w:sz w:val="32"/>
          <w:szCs w:val="28"/>
        </w:rPr>
        <w:t xml:space="preserve"> </w:t>
      </w:r>
      <w:r w:rsidR="00A841C5">
        <w:rPr>
          <w:rFonts w:ascii="Arial" w:hAnsi="Arial" w:cs="Arial"/>
          <w:b/>
          <w:noProof/>
          <w:sz w:val="32"/>
          <w:szCs w:val="28"/>
        </w:rPr>
        <w:t>đến đầu tư trực tiếp nước ngoài</w:t>
      </w:r>
      <w:r>
        <w:rPr>
          <w:rFonts w:ascii="Arial" w:hAnsi="Arial" w:cs="Arial"/>
          <w:b/>
          <w:noProof/>
          <w:sz w:val="32"/>
          <w:szCs w:val="28"/>
        </w:rPr>
        <w:t xml:space="preserve">: </w:t>
      </w:r>
      <w:r w:rsidR="00A841C5">
        <w:rPr>
          <w:rFonts w:ascii="Arial" w:hAnsi="Arial" w:cs="Arial"/>
          <w:b/>
          <w:noProof/>
          <w:sz w:val="32"/>
          <w:szCs w:val="28"/>
        </w:rPr>
        <w:t>nghiên cứu thực nghiệm tại Việt Nam</w:t>
      </w:r>
    </w:p>
    <w:p w14:paraId="727E6ECA" w14:textId="77777777" w:rsidR="00943878" w:rsidRPr="00AA1FB9" w:rsidRDefault="00943878" w:rsidP="00943878">
      <w:pPr>
        <w:ind w:right="70"/>
        <w:jc w:val="center"/>
        <w:rPr>
          <w:rFonts w:ascii="Arial" w:hAnsi="Arial" w:cs="Arial"/>
          <w:b/>
          <w:sz w:val="28"/>
          <w:szCs w:val="28"/>
        </w:rPr>
      </w:pPr>
    </w:p>
    <w:p w14:paraId="776D348A" w14:textId="77777777" w:rsidR="00943878" w:rsidRDefault="00943878" w:rsidP="00943878">
      <w:pPr>
        <w:ind w:right="70"/>
        <w:jc w:val="center"/>
        <w:rPr>
          <w:b/>
          <w:szCs w:val="22"/>
        </w:rPr>
      </w:pPr>
      <w:r>
        <w:rPr>
          <w:b/>
          <w:szCs w:val="22"/>
        </w:rPr>
        <w:t>Tô Thiên Bảo</w:t>
      </w:r>
      <w:r w:rsidRPr="007B6EFB">
        <w:rPr>
          <w:b/>
          <w:szCs w:val="22"/>
        </w:rPr>
        <w:t>*</w:t>
      </w:r>
    </w:p>
    <w:p w14:paraId="33858766" w14:textId="77777777" w:rsidR="00943878" w:rsidRPr="00946A31" w:rsidRDefault="00943878" w:rsidP="00943878">
      <w:pPr>
        <w:ind w:right="70"/>
        <w:jc w:val="center"/>
        <w:rPr>
          <w:b/>
          <w:szCs w:val="22"/>
        </w:rPr>
      </w:pPr>
    </w:p>
    <w:p w14:paraId="1D791782" w14:textId="3D4DF489" w:rsidR="003E48C0" w:rsidRPr="00F4148E" w:rsidRDefault="003E48C0" w:rsidP="003E48C0">
      <w:pPr>
        <w:ind w:right="70"/>
        <w:jc w:val="center"/>
        <w:rPr>
          <w:i/>
          <w:sz w:val="22"/>
          <w:szCs w:val="22"/>
        </w:rPr>
      </w:pPr>
      <w:r w:rsidRPr="00F4148E">
        <w:rPr>
          <w:i/>
          <w:sz w:val="22"/>
          <w:szCs w:val="22"/>
        </w:rPr>
        <w:t>Học viên cao học, Trường Đại học Kinh tế - Luật, ĐHQG Thành phố Hồ Chí Minh, Việt Nam</w:t>
      </w:r>
    </w:p>
    <w:p w14:paraId="5EC26C3B" w14:textId="77777777" w:rsidR="00943878" w:rsidRDefault="00943878" w:rsidP="00943878">
      <w:pPr>
        <w:ind w:right="70"/>
        <w:jc w:val="center"/>
        <w:rPr>
          <w:i/>
          <w:sz w:val="22"/>
          <w:szCs w:val="22"/>
        </w:rPr>
      </w:pPr>
    </w:p>
    <w:p w14:paraId="63BEF391" w14:textId="77777777" w:rsidR="00943878" w:rsidRDefault="00943878" w:rsidP="00943878">
      <w:pPr>
        <w:ind w:right="70"/>
        <w:jc w:val="center"/>
        <w:rPr>
          <w:i/>
          <w:sz w:val="22"/>
          <w:szCs w:val="22"/>
        </w:rPr>
      </w:pPr>
      <w:r>
        <w:rPr>
          <w:i/>
          <w:sz w:val="22"/>
          <w:szCs w:val="22"/>
        </w:rPr>
        <w:t>Ngày nhận bài: dd/mm/yyyy; Ngày sửa bài: dd/mm/yyyy;</w:t>
      </w:r>
    </w:p>
    <w:p w14:paraId="2F92DD3D" w14:textId="77777777" w:rsidR="00943878" w:rsidRDefault="00943878" w:rsidP="00943878">
      <w:pPr>
        <w:ind w:right="70"/>
        <w:jc w:val="center"/>
        <w:rPr>
          <w:i/>
          <w:sz w:val="22"/>
          <w:szCs w:val="22"/>
        </w:rPr>
      </w:pPr>
      <w:r>
        <w:rPr>
          <w:i/>
          <w:sz w:val="22"/>
          <w:szCs w:val="22"/>
        </w:rPr>
        <w:t>Ngày nhận đăng: dd/mm/yyyy; Ngày xuất bản: dd/mm/yyyy</w:t>
      </w:r>
    </w:p>
    <w:p w14:paraId="303E45A7" w14:textId="77777777" w:rsidR="00943878" w:rsidRDefault="00943878" w:rsidP="00943878">
      <w:pPr>
        <w:ind w:right="70"/>
        <w:rPr>
          <w:i/>
          <w:sz w:val="22"/>
          <w:szCs w:val="22"/>
        </w:rPr>
      </w:pPr>
    </w:p>
    <w:p w14:paraId="6002DF00" w14:textId="77777777" w:rsidR="00943878" w:rsidRDefault="00943878" w:rsidP="00943878">
      <w:pPr>
        <w:ind w:right="70"/>
        <w:rPr>
          <w:i/>
          <w:sz w:val="22"/>
          <w:szCs w:val="22"/>
        </w:rPr>
      </w:pPr>
    </w:p>
    <w:p w14:paraId="499822EF" w14:textId="77777777" w:rsidR="00943878" w:rsidRPr="005175B9" w:rsidRDefault="00943878" w:rsidP="00943878">
      <w:pPr>
        <w:tabs>
          <w:tab w:val="right" w:leader="hyphen" w:pos="9072"/>
        </w:tabs>
        <w:rPr>
          <w:b/>
          <w:sz w:val="22"/>
          <w:szCs w:val="22"/>
        </w:rPr>
        <w:sectPr w:rsidR="00943878" w:rsidRPr="005175B9">
          <w:headerReference w:type="default" r:id="rId9"/>
          <w:footerReference w:type="default" r:id="rId10"/>
          <w:pgSz w:w="11907" w:h="16840" w:code="9"/>
          <w:pgMar w:top="1134" w:right="1134" w:bottom="1134" w:left="1418" w:header="720" w:footer="425" w:gutter="0"/>
          <w:cols w:space="720"/>
          <w:docGrid w:linePitch="360"/>
        </w:sectPr>
      </w:pPr>
    </w:p>
    <w:p w14:paraId="6C810902" w14:textId="77777777" w:rsidR="00943878" w:rsidRDefault="00943878" w:rsidP="00943878">
      <w:pPr>
        <w:tabs>
          <w:tab w:val="left" w:pos="360"/>
          <w:tab w:val="left" w:pos="540"/>
          <w:tab w:val="right" w:leader="hyphen" w:pos="9072"/>
        </w:tabs>
        <w:jc w:val="both"/>
        <w:rPr>
          <w:b/>
          <w:sz w:val="22"/>
          <w:szCs w:val="22"/>
          <w:lang w:val="vi-VN"/>
        </w:rPr>
      </w:pPr>
    </w:p>
    <w:p w14:paraId="2D4377EE"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55FECACF" w14:textId="71FFDC37" w:rsidR="00A841C5" w:rsidRPr="00A841C5" w:rsidRDefault="00A841C5" w:rsidP="00A841C5">
      <w:pPr>
        <w:tabs>
          <w:tab w:val="right" w:leader="hyphen" w:pos="9072"/>
        </w:tabs>
        <w:spacing w:before="120" w:after="240"/>
        <w:jc w:val="both"/>
        <w:rPr>
          <w:sz w:val="20"/>
          <w:szCs w:val="20"/>
          <w:lang w:val="vi-VN"/>
        </w:rPr>
      </w:pPr>
      <w:r>
        <w:rPr>
          <w:sz w:val="20"/>
          <w:szCs w:val="20"/>
        </w:rPr>
        <w:t xml:space="preserve">          </w:t>
      </w:r>
      <w:r w:rsidR="008109A3" w:rsidRPr="008109A3">
        <w:rPr>
          <w:sz w:val="20"/>
          <w:szCs w:val="20"/>
          <w:lang w:val="vi-VN"/>
        </w:rPr>
        <w:t>Đầu tư trực tiếp nước ngoài (FDI) là một yếu tố then chốt thúc đẩy tăng trưởng kinh tế Việt Nam. Tuy nhiên, tác động của sự bất định trong lạm phát đối với dòng vốn FDI chưa được phân tích sâu trong bối cảnh nền kinh tế định hướng xuất khẩu. Nghiên cứu này sử dụng dữ liệu theo quý giai đoạn 2002–2024 nhằm kiểm tra mức độ ảnh hưởng của bất định lạm phát đến FDI tại Việt Nam. Độ bất định được ước lượng bằng mô hình GARCH(1,1), trong khi mối quan hệ ngắn hạn và dài hạn được đánh giá qua mô hình ARDL kết hợp cơ chế điều chỉnh sai số (ECM). Kết quả cho thấy, trái với giả định ban đầu, bất định lạm phát lại có tác động tích cực tới FDI ở cả hai khoảng thời gian, phản ánh việc các nhà đầu tư có khẩu vị rủi ro, đặc biệt trong sản xuất định hướng xuất khẩu, đã tận dụng lợi thế vị trí địa lý của Việt Nam. Ngoài ra, tăng trưởng kinh tế hỗ trợ thu hút FDI trong dài hạn nhưng lại có tác động tiêu cực ngắn hạn. Phát hiện này góp phần bổ sung bằng chứng thực nghiệm, đồng thời gợi ý rằng nhà hoạch định chính sách cần duy trì ổn định giá cả, khuyến khích các lĩnh vực ít nhạy cảm với lạm phát và áp dụng chính sách vĩ mô linh hoạt để giảm thiểu biến động ngắn hạn.</w:t>
      </w:r>
    </w:p>
    <w:p w14:paraId="793A4EE3" w14:textId="2832DEB2" w:rsidR="00943878" w:rsidRPr="00CB0A39" w:rsidRDefault="00943878" w:rsidP="00A841C5">
      <w:pPr>
        <w:tabs>
          <w:tab w:val="right" w:leader="hyphen" w:pos="9072"/>
        </w:tabs>
        <w:spacing w:before="120" w:after="120"/>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r w:rsidRPr="00CB0A39">
        <w:rPr>
          <w:b/>
          <w:sz w:val="20"/>
          <w:szCs w:val="20"/>
          <w:lang w:val="vi-VN"/>
        </w:rPr>
        <w:t>Từ khóa:</w:t>
      </w:r>
      <w:r w:rsidRPr="00CB0A39">
        <w:rPr>
          <w:b/>
          <w:i/>
          <w:sz w:val="20"/>
          <w:szCs w:val="20"/>
          <w:lang w:val="vi-VN"/>
        </w:rPr>
        <w:t xml:space="preserve"> </w:t>
      </w:r>
      <w:r w:rsidR="00A841C5" w:rsidRPr="00A841C5">
        <w:rPr>
          <w:i/>
          <w:sz w:val="20"/>
          <w:szCs w:val="20"/>
        </w:rPr>
        <w:t>Đầu tư trực tiếp nước ngoài; Bất định lạm phát; Việt Nam</w:t>
      </w:r>
    </w:p>
    <w:p w14:paraId="4CF146F6"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230DEA0D" w14:textId="76E8E643" w:rsidR="005D5358" w:rsidRPr="005D5358" w:rsidRDefault="005D5358" w:rsidP="005D5358">
      <w:pPr>
        <w:jc w:val="both"/>
        <w:rPr>
          <w:sz w:val="22"/>
          <w:szCs w:val="22"/>
        </w:rPr>
      </w:pPr>
      <w:r w:rsidRPr="005D5358">
        <w:rPr>
          <w:sz w:val="22"/>
          <w:szCs w:val="22"/>
        </w:rPr>
        <w:t>Đầu tư trực tiếp nước ngoài (FDI) là yếu tố cốt lõi hỗ trợ sự phát triển kinh tế Việt Nam bằng cách tăng cường nguồn vốn, lan tỏa công nghệ và mở rộng cơ hội việc làm.</w:t>
      </w:r>
      <w:r w:rsidRPr="005D5358">
        <w:rPr>
          <w:sz w:val="22"/>
          <w:szCs w:val="22"/>
          <w:vertAlign w:val="superscript"/>
        </w:rPr>
        <w:t xml:space="preserve">1 </w:t>
      </w:r>
      <w:r w:rsidRPr="005D5358">
        <w:rPr>
          <w:sz w:val="22"/>
          <w:szCs w:val="22"/>
        </w:rPr>
        <w:t>Kể từ chính sách Đổi Mới năm 1986, Việt Nam đã trở thành điểm đến lý tưởng cho FDI, với dòng vốn đổ mạnh vào các ngành sản xuất, công nghiệp xuất khẩu và công nghệ tiên tiến.</w:t>
      </w:r>
      <w:r w:rsidRPr="005D5358">
        <w:rPr>
          <w:sz w:val="22"/>
          <w:szCs w:val="22"/>
          <w:vertAlign w:val="superscript"/>
        </w:rPr>
        <w:t>2</w:t>
      </w:r>
      <w:r w:rsidRPr="005D5358">
        <w:rPr>
          <w:sz w:val="22"/>
          <w:szCs w:val="22"/>
        </w:rPr>
        <w:t xml:space="preserve"> Tuy vậy, những rủi ro vĩ mô như </w:t>
      </w:r>
      <w:r w:rsidR="00DA549F">
        <w:rPr>
          <w:sz w:val="22"/>
          <w:szCs w:val="22"/>
        </w:rPr>
        <w:t>bất định</w:t>
      </w:r>
      <w:r w:rsidRPr="005D5358">
        <w:rPr>
          <w:sz w:val="22"/>
          <w:szCs w:val="22"/>
        </w:rPr>
        <w:t xml:space="preserve"> lạm phát—tức sự khó lường về tỷ lệ giá cả tương lai—có thể làm giảm sức hút FDI do nâng cao chi phí tài chính và dự báo.</w:t>
      </w:r>
      <w:r w:rsidRPr="00DA549F">
        <w:rPr>
          <w:sz w:val="22"/>
          <w:szCs w:val="22"/>
          <w:vertAlign w:val="superscript"/>
        </w:rPr>
        <w:t>3</w:t>
      </w:r>
      <w:r w:rsidRPr="005D5358">
        <w:rPr>
          <w:sz w:val="22"/>
          <w:szCs w:val="22"/>
        </w:rPr>
        <w:t xml:space="preserve"> Lịch sử cho thấy các giai đoạn lạm phát cao, ví dụ 2008–2011 với mức hai chữ số, đã khơi dậy lo ngại về tác động đến dòng vốn ngoại.</w:t>
      </w:r>
    </w:p>
    <w:p w14:paraId="0159F46E" w14:textId="0770616D" w:rsidR="005D5358" w:rsidRPr="005D5358" w:rsidRDefault="005D5358" w:rsidP="005D5358">
      <w:pPr>
        <w:jc w:val="both"/>
        <w:rPr>
          <w:sz w:val="22"/>
          <w:szCs w:val="22"/>
        </w:rPr>
      </w:pPr>
      <w:r w:rsidRPr="005D5358">
        <w:rPr>
          <w:sz w:val="22"/>
          <w:szCs w:val="22"/>
        </w:rPr>
        <w:t xml:space="preserve">Các nghiên cứu toàn cầu thường xem xét mối liên hệ giữa </w:t>
      </w:r>
      <w:r w:rsidR="000E11BE">
        <w:rPr>
          <w:sz w:val="22"/>
          <w:szCs w:val="22"/>
        </w:rPr>
        <w:t>bất định</w:t>
      </w:r>
      <w:r w:rsidRPr="005D5358">
        <w:rPr>
          <w:sz w:val="22"/>
          <w:szCs w:val="22"/>
        </w:rPr>
        <w:t xml:space="preserve"> lạm phát với tăng trưởng nội địa hoặc đầu tư địa phương, nhưng ít tập trung vào FDI, đặc biệt ở các nước đang nổi như Việt Nam. Trong bối cảnh Việt Nam dựa nhiều vào FDI để duy trì đà tăng trưởng, việc làm rõ cách </w:t>
      </w:r>
      <w:r w:rsidR="000E11BE">
        <w:rPr>
          <w:sz w:val="22"/>
          <w:szCs w:val="22"/>
        </w:rPr>
        <w:t>bất định</w:t>
      </w:r>
      <w:r w:rsidRPr="005D5358">
        <w:rPr>
          <w:sz w:val="22"/>
          <w:szCs w:val="22"/>
        </w:rPr>
        <w:t xml:space="preserve"> lạm phát ảnh hưởng đến dòng vốn này là ưu tiên nghiên cứu. Các khung lý thuyết như quyền chọn thực tế và lựa chọn lý tính nhấn mạnh rằng biến động lạm phát cùng tăng trưởng kinh tế là các nhân </w:t>
      </w:r>
      <w:r w:rsidRPr="005D5358">
        <w:rPr>
          <w:sz w:val="22"/>
          <w:szCs w:val="22"/>
        </w:rPr>
        <w:t>tố then chốt định hình quyết định đầu tư ngoại, phản ánh rủi ro vĩ mô và tiềm năng thị trường.</w:t>
      </w:r>
    </w:p>
    <w:p w14:paraId="53984034" w14:textId="647E8E89" w:rsidR="008109A3" w:rsidRPr="008D46F0" w:rsidRDefault="005D5358" w:rsidP="005D5358">
      <w:pPr>
        <w:jc w:val="both"/>
        <w:rPr>
          <w:sz w:val="22"/>
          <w:szCs w:val="22"/>
        </w:rPr>
      </w:pPr>
      <w:r w:rsidRPr="005D5358">
        <w:rPr>
          <w:sz w:val="22"/>
          <w:szCs w:val="22"/>
        </w:rPr>
        <w:t xml:space="preserve">Nghiên cứu này đánh giá ảnh hưởng của </w:t>
      </w:r>
      <w:r w:rsidR="00A50C8E">
        <w:rPr>
          <w:sz w:val="22"/>
          <w:szCs w:val="22"/>
        </w:rPr>
        <w:t>bất định</w:t>
      </w:r>
      <w:r w:rsidRPr="005D5358">
        <w:rPr>
          <w:sz w:val="22"/>
          <w:szCs w:val="22"/>
        </w:rPr>
        <w:t xml:space="preserve"> lạm phát đến FDI tại Việt Nam, với câu hỏi chính: </w:t>
      </w:r>
      <w:r w:rsidR="000E11BE">
        <w:rPr>
          <w:sz w:val="22"/>
          <w:szCs w:val="22"/>
        </w:rPr>
        <w:t>Bất định</w:t>
      </w:r>
      <w:r w:rsidRPr="005D5358">
        <w:rPr>
          <w:sz w:val="22"/>
          <w:szCs w:val="22"/>
        </w:rPr>
        <w:t xml:space="preserve"> lạm phát có tác động rõ rệt đến FDI không? Sử dụng dữ liệu thời gian quý từ 2002–2024, nghiên cứu áp dụng GARCH(1,1) để đo lường </w:t>
      </w:r>
      <w:r w:rsidR="000E11BE">
        <w:rPr>
          <w:sz w:val="22"/>
          <w:szCs w:val="22"/>
        </w:rPr>
        <w:t>bất định</w:t>
      </w:r>
      <w:r w:rsidRPr="005D5358">
        <w:rPr>
          <w:sz w:val="22"/>
          <w:szCs w:val="22"/>
        </w:rPr>
        <w:t xml:space="preserve"> lạm phát và ARDL để phân tích liên hệ ngắn/dài hạn giữa </w:t>
      </w:r>
      <w:r w:rsidR="007C6891">
        <w:rPr>
          <w:sz w:val="22"/>
          <w:szCs w:val="22"/>
        </w:rPr>
        <w:t>bất định</w:t>
      </w:r>
      <w:r w:rsidR="007C6891" w:rsidRPr="005D5358">
        <w:rPr>
          <w:sz w:val="22"/>
          <w:szCs w:val="22"/>
        </w:rPr>
        <w:t xml:space="preserve"> </w:t>
      </w:r>
      <w:r w:rsidRPr="005D5358">
        <w:rPr>
          <w:sz w:val="22"/>
          <w:szCs w:val="22"/>
        </w:rPr>
        <w:t>lạm phát, tăng trưởng kinh tế và FDI. Bằng cách giới hạn ở hai yếu tố chính—</w:t>
      </w:r>
      <w:r w:rsidR="007C6891" w:rsidRPr="007C6891">
        <w:rPr>
          <w:sz w:val="22"/>
          <w:szCs w:val="22"/>
        </w:rPr>
        <w:t xml:space="preserve"> </w:t>
      </w:r>
      <w:r w:rsidR="007C6891">
        <w:rPr>
          <w:sz w:val="22"/>
          <w:szCs w:val="22"/>
        </w:rPr>
        <w:t>bất định</w:t>
      </w:r>
      <w:r w:rsidR="007C6891" w:rsidRPr="005D5358">
        <w:rPr>
          <w:sz w:val="22"/>
          <w:szCs w:val="22"/>
        </w:rPr>
        <w:t xml:space="preserve"> </w:t>
      </w:r>
      <w:r w:rsidRPr="005D5358">
        <w:rPr>
          <w:sz w:val="22"/>
          <w:szCs w:val="22"/>
        </w:rPr>
        <w:t>lạm phát và tăng trưởng—mô hình giữ sự gọn nhẹ phù hợp với quy mô dữ liệu vừa phải, đồng thời phản ánh đặc trưng Việt Nam như chính sách hỗ trợ FDI mạnh mẽ và tốc độ tăng trưởng nhanh, có thể làm mờ tác động của các yếu tố phụ. Nghiên cứu bổ sung bằng chứng từ Việt Nam vào tài liệu học thuật và đề xuất các biện pháp ổn định giá cả cùng nâng cao sức cạnh tranh thu hút đầu tư ngoại.</w:t>
      </w:r>
      <w:r w:rsidR="008109A3" w:rsidRPr="008109A3">
        <w:rPr>
          <w:sz w:val="22"/>
          <w:szCs w:val="22"/>
        </w:rPr>
        <w:t>.</w:t>
      </w:r>
    </w:p>
    <w:p w14:paraId="4144339D" w14:textId="081B7048"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A841C5">
        <w:rPr>
          <w:b/>
          <w:sz w:val="22"/>
          <w:szCs w:val="22"/>
        </w:rPr>
        <w:t>TỔNG QUAN NGHIÊN CỨU</w:t>
      </w:r>
    </w:p>
    <w:p w14:paraId="707CDF41" w14:textId="366B54FC" w:rsidR="0000621F" w:rsidRPr="0000621F" w:rsidRDefault="0000621F" w:rsidP="00943878">
      <w:pPr>
        <w:tabs>
          <w:tab w:val="right" w:leader="hyphen" w:pos="9072"/>
        </w:tabs>
        <w:spacing w:before="120" w:after="120"/>
        <w:jc w:val="both"/>
        <w:rPr>
          <w:b/>
          <w:i/>
          <w:iCs/>
          <w:sz w:val="22"/>
          <w:szCs w:val="22"/>
        </w:rPr>
      </w:pPr>
      <w:r>
        <w:rPr>
          <w:b/>
          <w:i/>
          <w:iCs/>
          <w:sz w:val="22"/>
          <w:szCs w:val="22"/>
        </w:rPr>
        <w:t xml:space="preserve">2.1. </w:t>
      </w:r>
      <w:r w:rsidR="00E02601">
        <w:rPr>
          <w:b/>
          <w:i/>
          <w:iCs/>
          <w:sz w:val="22"/>
          <w:szCs w:val="22"/>
        </w:rPr>
        <w:t>Lý thuyết quyền chọn thực</w:t>
      </w:r>
    </w:p>
    <w:p w14:paraId="21E3C2E9" w14:textId="573E5483"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 xml:space="preserve">Lý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(Real Options Theory)</w:t>
      </w:r>
      <w:r w:rsidR="004F2BFE">
        <w:rPr>
          <w:sz w:val="22"/>
          <w:szCs w:val="22"/>
        </w:rPr>
        <w:t xml:space="preserve"> </w:t>
      </w:r>
      <w:r w:rsidRPr="00030C32">
        <w:rPr>
          <w:sz w:val="22"/>
          <w:szCs w:val="22"/>
        </w:rPr>
        <w:t>cung cấp một khung lý thuyết quan trọng để phân tích hành vi đầu tư trong điều kiện bất định.</w:t>
      </w:r>
      <w:r w:rsidR="004F2BFE">
        <w:rPr>
          <w:sz w:val="22"/>
          <w:szCs w:val="22"/>
          <w:vertAlign w:val="superscript"/>
        </w:rPr>
        <w:t>4</w:t>
      </w:r>
      <w:r w:rsidRPr="00030C32">
        <w:rPr>
          <w:sz w:val="22"/>
          <w:szCs w:val="22"/>
        </w:rPr>
        <w:t xml:space="preserve"> Theo </w:t>
      </w:r>
      <w:r w:rsidRPr="00030C32">
        <w:rPr>
          <w:sz w:val="22"/>
          <w:szCs w:val="22"/>
        </w:rPr>
        <w:lastRenderedPageBreak/>
        <w:t xml:space="preserve">lý thuyết này, các quyết định đầu tư, bao gồm FDI, được xem như các "quyền chọn thực", trong đó nhà đầu tư có thể trì hoãn, mở rộng, hoặc hủy bỏ khoản đầu tư tùy thuộc vào sự phát triển của các điều kiện kinh tế vĩ mô. Bất định lạm phát, được định nghĩa là sự khó dự đoán về mức lạm phát trong tương lai, làm tăng rủi ro liên quan đến các khoản đầu tư không thể thu hồi hoặc có chi phí chấm dứt cao. </w:t>
      </w:r>
      <w:r w:rsidR="00906CE6">
        <w:rPr>
          <w:sz w:val="22"/>
          <w:szCs w:val="22"/>
        </w:rPr>
        <w:t>Việc</w:t>
      </w:r>
      <w:r w:rsidRPr="00030C32">
        <w:rPr>
          <w:sz w:val="22"/>
          <w:szCs w:val="22"/>
        </w:rPr>
        <w:t xml:space="preserve"> này </w:t>
      </w:r>
      <w:r w:rsidR="00906CE6">
        <w:rPr>
          <w:sz w:val="22"/>
          <w:szCs w:val="22"/>
        </w:rPr>
        <w:t>gây nên</w:t>
      </w:r>
      <w:r w:rsidRPr="00030C32">
        <w:rPr>
          <w:sz w:val="22"/>
          <w:szCs w:val="22"/>
        </w:rPr>
        <w:t xml:space="preserve"> gia tăng lãi suất ngưỡng (hurdle rate), tức là mức lợi nhuận tối thiểu cần thiết để biện minh cho một khoản đầu tư</w:t>
      </w:r>
      <w:r w:rsidR="004F2BFE">
        <w:rPr>
          <w:sz w:val="22"/>
          <w:szCs w:val="22"/>
        </w:rPr>
        <w:t>.</w:t>
      </w:r>
      <w:r w:rsidR="004F2BFE">
        <w:rPr>
          <w:sz w:val="22"/>
          <w:szCs w:val="22"/>
          <w:vertAlign w:val="superscript"/>
        </w:rPr>
        <w:t>5</w:t>
      </w:r>
    </w:p>
    <w:p w14:paraId="0E29C010" w14:textId="6EF61DF7" w:rsidR="00030C32" w:rsidRPr="004F2BFE" w:rsidRDefault="00342CBA" w:rsidP="00030C32">
      <w:pPr>
        <w:tabs>
          <w:tab w:val="right" w:leader="hyphen" w:pos="9072"/>
        </w:tabs>
        <w:spacing w:before="120" w:after="120"/>
        <w:jc w:val="both"/>
        <w:rPr>
          <w:sz w:val="22"/>
          <w:szCs w:val="22"/>
          <w:vertAlign w:val="superscript"/>
        </w:rPr>
      </w:pPr>
      <w:r>
        <w:rPr>
          <w:sz w:val="22"/>
          <w:szCs w:val="22"/>
        </w:rPr>
        <w:t>Có thể thấy b</w:t>
      </w:r>
      <w:r w:rsidR="00030C32" w:rsidRPr="00030C32">
        <w:rPr>
          <w:sz w:val="22"/>
          <w:szCs w:val="22"/>
        </w:rPr>
        <w:t xml:space="preserve">ất định lạm phát </w:t>
      </w:r>
      <w:r>
        <w:rPr>
          <w:sz w:val="22"/>
          <w:szCs w:val="22"/>
        </w:rPr>
        <w:t xml:space="preserve">tác động </w:t>
      </w:r>
      <w:r w:rsidR="00030C32" w:rsidRPr="00030C32">
        <w:rPr>
          <w:sz w:val="22"/>
          <w:szCs w:val="22"/>
        </w:rPr>
        <w:t xml:space="preserve">đến FDI </w:t>
      </w:r>
      <w:r>
        <w:rPr>
          <w:sz w:val="22"/>
          <w:szCs w:val="22"/>
        </w:rPr>
        <w:t>qua</w:t>
      </w:r>
      <w:r w:rsidR="00030C32" w:rsidRPr="00030C32">
        <w:rPr>
          <w:sz w:val="22"/>
          <w:szCs w:val="22"/>
        </w:rPr>
        <w:t xml:space="preserve"> việc tăng chi phí dự báo, biến động giá cả, và rủi ro tài chính.</w:t>
      </w:r>
      <w:r w:rsidR="004F2BFE">
        <w:rPr>
          <w:sz w:val="22"/>
          <w:szCs w:val="22"/>
          <w:vertAlign w:val="superscript"/>
        </w:rPr>
        <w:t>4,5,6</w:t>
      </w:r>
      <w:r w:rsidR="00030C32" w:rsidRPr="00030C32">
        <w:rPr>
          <w:sz w:val="22"/>
          <w:szCs w:val="22"/>
        </w:rPr>
        <w:t xml:space="preserve"> Theo </w:t>
      </w:r>
      <w:r w:rsidR="004F2BFE">
        <w:rPr>
          <w:sz w:val="22"/>
          <w:szCs w:val="22"/>
        </w:rPr>
        <w:t>l</w:t>
      </w:r>
      <w:r w:rsidR="00030C32" w:rsidRPr="00030C32">
        <w:rPr>
          <w:sz w:val="22"/>
          <w:szCs w:val="22"/>
        </w:rPr>
        <w:t xml:space="preserve">ý thuyết </w:t>
      </w:r>
      <w:r w:rsidR="00E02601">
        <w:rPr>
          <w:sz w:val="22"/>
          <w:szCs w:val="22"/>
        </w:rPr>
        <w:t>q</w:t>
      </w:r>
      <w:r w:rsidR="00030C32" w:rsidRPr="00030C32">
        <w:rPr>
          <w:sz w:val="22"/>
          <w:szCs w:val="22"/>
        </w:rPr>
        <w:t xml:space="preserve">uyền chọn </w:t>
      </w:r>
      <w:r w:rsidR="00E02601">
        <w:rPr>
          <w:sz w:val="22"/>
          <w:szCs w:val="22"/>
        </w:rPr>
        <w:t>t</w:t>
      </w:r>
      <w:r w:rsidR="00030C32" w:rsidRPr="00030C32">
        <w:rPr>
          <w:sz w:val="22"/>
          <w:szCs w:val="22"/>
        </w:rPr>
        <w:t>hực, trong môi trường bất định cao, các nhà đầu tư có xu hướng trì hoãn các khoản đầu tư để chờ đợi thêm thông tin về điều kiện kinh tế vĩ mô, dẫn đến mối quan hệ tiêu cực giữa bất định lạm phát và FDI.</w:t>
      </w:r>
      <w:r w:rsidR="004F2BFE">
        <w:rPr>
          <w:sz w:val="22"/>
          <w:szCs w:val="22"/>
          <w:vertAlign w:val="superscript"/>
        </w:rPr>
        <w:t>7</w:t>
      </w:r>
    </w:p>
    <w:p w14:paraId="351BBAF3" w14:textId="524175DF" w:rsidR="00394372" w:rsidRPr="00B00000" w:rsidRDefault="0000621F" w:rsidP="00B00000">
      <w:pPr>
        <w:tabs>
          <w:tab w:val="right" w:leader="hyphen" w:pos="9072"/>
        </w:tabs>
        <w:spacing w:before="120" w:after="120"/>
        <w:jc w:val="both"/>
        <w:rPr>
          <w:b/>
          <w:bCs/>
          <w:i/>
          <w:iCs/>
          <w:sz w:val="22"/>
          <w:szCs w:val="22"/>
        </w:rPr>
      </w:pPr>
      <w:r>
        <w:rPr>
          <w:b/>
          <w:bCs/>
          <w:i/>
          <w:iCs/>
          <w:sz w:val="22"/>
          <w:szCs w:val="22"/>
        </w:rPr>
        <w:t xml:space="preserve">2.2. </w:t>
      </w:r>
      <w:r w:rsidR="00B00000">
        <w:rPr>
          <w:b/>
          <w:bCs/>
          <w:i/>
          <w:iCs/>
          <w:sz w:val="22"/>
          <w:szCs w:val="22"/>
        </w:rPr>
        <w:t xml:space="preserve">Lý thuyết </w:t>
      </w:r>
      <w:r w:rsidR="00E02601">
        <w:rPr>
          <w:b/>
          <w:bCs/>
          <w:i/>
          <w:iCs/>
          <w:sz w:val="22"/>
          <w:szCs w:val="22"/>
        </w:rPr>
        <w:t>lựa chọn hợp lý</w:t>
      </w:r>
    </w:p>
    <w:p w14:paraId="646D2FF4" w14:textId="3623529B" w:rsidR="00E02601" w:rsidRPr="00E02601" w:rsidRDefault="00E02601" w:rsidP="00E02601">
      <w:pPr>
        <w:tabs>
          <w:tab w:val="right" w:leader="hyphen" w:pos="9072"/>
        </w:tabs>
        <w:spacing w:before="120" w:after="120"/>
        <w:jc w:val="both"/>
        <w:rPr>
          <w:sz w:val="22"/>
          <w:szCs w:val="22"/>
        </w:rPr>
      </w:pPr>
      <w:r w:rsidRPr="00E02601">
        <w:rPr>
          <w:sz w:val="22"/>
          <w:szCs w:val="22"/>
        </w:rPr>
        <w:t xml:space="preserve">Lý thuyết </w:t>
      </w:r>
      <w:r>
        <w:rPr>
          <w:sz w:val="22"/>
          <w:szCs w:val="22"/>
        </w:rPr>
        <w:t>l</w:t>
      </w:r>
      <w:r w:rsidRPr="00E02601">
        <w:rPr>
          <w:sz w:val="22"/>
          <w:szCs w:val="22"/>
        </w:rPr>
        <w:t xml:space="preserve">ựa chọn </w:t>
      </w:r>
      <w:r>
        <w:rPr>
          <w:sz w:val="22"/>
          <w:szCs w:val="22"/>
        </w:rPr>
        <w:t>h</w:t>
      </w:r>
      <w:r w:rsidRPr="00E02601">
        <w:rPr>
          <w:sz w:val="22"/>
          <w:szCs w:val="22"/>
        </w:rPr>
        <w:t xml:space="preserve">ợp lý (Rational Choice Theory) lập luận rằng các tác nhân kinh tế, </w:t>
      </w:r>
      <w:r w:rsidR="00185D1D">
        <w:rPr>
          <w:sz w:val="22"/>
          <w:szCs w:val="22"/>
        </w:rPr>
        <w:t>trong đó có</w:t>
      </w:r>
      <w:r w:rsidRPr="00E02601">
        <w:rPr>
          <w:sz w:val="22"/>
          <w:szCs w:val="22"/>
        </w:rPr>
        <w:t xml:space="preserve"> nhà đầu tư FDI, đưa ra quyết định</w:t>
      </w:r>
      <w:r w:rsidR="009741F3">
        <w:rPr>
          <w:sz w:val="22"/>
          <w:szCs w:val="22"/>
        </w:rPr>
        <w:t xml:space="preserve"> dựa</w:t>
      </w:r>
      <w:r w:rsidRPr="00E02601">
        <w:rPr>
          <w:sz w:val="22"/>
          <w:szCs w:val="22"/>
        </w:rPr>
        <w:t xml:space="preserve"> trên việc tối ưu hóa lợi ích trong </w:t>
      </w:r>
      <w:r w:rsidR="009741F3">
        <w:rPr>
          <w:sz w:val="22"/>
          <w:szCs w:val="22"/>
        </w:rPr>
        <w:t>khuôn khôt</w:t>
      </w:r>
      <w:r w:rsidRPr="00E02601">
        <w:rPr>
          <w:sz w:val="22"/>
          <w:szCs w:val="22"/>
        </w:rPr>
        <w:t xml:space="preserve"> các ràng buộc kinh tế vĩ mô.</w:t>
      </w:r>
      <w:r w:rsidR="004F2BFE">
        <w:rPr>
          <w:sz w:val="22"/>
          <w:szCs w:val="22"/>
          <w:vertAlign w:val="superscript"/>
        </w:rPr>
        <w:t>8</w:t>
      </w:r>
      <w:r w:rsidRPr="00E02601">
        <w:rPr>
          <w:sz w:val="22"/>
          <w:szCs w:val="22"/>
        </w:rPr>
        <w:t xml:space="preserve"> Bất định lạm phát tạo ra sự </w:t>
      </w:r>
      <w:r w:rsidR="002A0AFC">
        <w:rPr>
          <w:sz w:val="22"/>
          <w:szCs w:val="22"/>
        </w:rPr>
        <w:t>không dự đoán được</w:t>
      </w:r>
      <w:r w:rsidRPr="00E02601">
        <w:rPr>
          <w:sz w:val="22"/>
          <w:szCs w:val="22"/>
        </w:rPr>
        <w:t xml:space="preserve"> về lợi nhuận tương lai, </w:t>
      </w:r>
      <w:r w:rsidR="00674C80">
        <w:rPr>
          <w:sz w:val="22"/>
          <w:szCs w:val="22"/>
        </w:rPr>
        <w:t>tác độn</w:t>
      </w:r>
      <w:r w:rsidRPr="00E02601">
        <w:rPr>
          <w:sz w:val="22"/>
          <w:szCs w:val="22"/>
        </w:rPr>
        <w:t xml:space="preserve">g đến </w:t>
      </w:r>
      <w:r w:rsidR="00674C80">
        <w:rPr>
          <w:sz w:val="22"/>
          <w:szCs w:val="22"/>
        </w:rPr>
        <w:t>việc tính toán</w:t>
      </w:r>
      <w:r w:rsidRPr="00E02601">
        <w:rPr>
          <w:sz w:val="22"/>
          <w:szCs w:val="22"/>
        </w:rPr>
        <w:t xml:space="preserve"> chi phí sản xuất, doanh thu, và tỷ giá hối đoái. Theo </w:t>
      </w:r>
      <w:r w:rsidR="00AA0896">
        <w:rPr>
          <w:sz w:val="22"/>
          <w:szCs w:val="22"/>
        </w:rPr>
        <w:t>quan điểm</w:t>
      </w:r>
      <w:r w:rsidRPr="00E02601">
        <w:rPr>
          <w:sz w:val="22"/>
          <w:szCs w:val="22"/>
        </w:rPr>
        <w:t xml:space="preserve"> này, các nhà đầu tư hợp lý có xu hướng giảm hoặc trì hoãn đầu tư trong môi trường bất định cao để giảm thiểu rủi ro.</w:t>
      </w:r>
      <w:r w:rsidR="004F2BFE">
        <w:rPr>
          <w:sz w:val="22"/>
          <w:szCs w:val="22"/>
          <w:vertAlign w:val="superscript"/>
        </w:rPr>
        <w:t>9</w:t>
      </w:r>
      <w:r w:rsidRPr="00E02601">
        <w:rPr>
          <w:sz w:val="22"/>
          <w:szCs w:val="22"/>
        </w:rPr>
        <w:t xml:space="preserve"> </w:t>
      </w:r>
    </w:p>
    <w:p w14:paraId="5C82D815" w14:textId="5D44C6E8" w:rsidR="00E02601" w:rsidRPr="004F2BFE" w:rsidRDefault="00E02601" w:rsidP="00E02601">
      <w:pPr>
        <w:tabs>
          <w:tab w:val="right" w:leader="hyphen" w:pos="9072"/>
        </w:tabs>
        <w:spacing w:before="120" w:after="120"/>
        <w:jc w:val="both"/>
        <w:rPr>
          <w:sz w:val="22"/>
          <w:szCs w:val="22"/>
          <w:vertAlign w:val="superscript"/>
        </w:rPr>
      </w:pPr>
      <w:r w:rsidRPr="00E02601">
        <w:rPr>
          <w:sz w:val="22"/>
          <w:szCs w:val="22"/>
        </w:rPr>
        <w:t xml:space="preserve">Theo </w:t>
      </w:r>
      <w:r>
        <w:rPr>
          <w:sz w:val="22"/>
          <w:szCs w:val="22"/>
        </w:rPr>
        <w:t>l</w:t>
      </w:r>
      <w:r w:rsidRPr="00E02601">
        <w:rPr>
          <w:sz w:val="22"/>
          <w:szCs w:val="22"/>
        </w:rPr>
        <w:t xml:space="preserve">ý thuyết </w:t>
      </w:r>
      <w:r>
        <w:rPr>
          <w:sz w:val="22"/>
          <w:szCs w:val="22"/>
        </w:rPr>
        <w:t>l</w:t>
      </w:r>
      <w:r w:rsidRPr="00E02601">
        <w:rPr>
          <w:sz w:val="22"/>
          <w:szCs w:val="22"/>
        </w:rPr>
        <w:t xml:space="preserve">ựa chọn </w:t>
      </w:r>
      <w:r w:rsidR="00C951DE">
        <w:rPr>
          <w:sz w:val="22"/>
          <w:szCs w:val="22"/>
        </w:rPr>
        <w:t>h</w:t>
      </w:r>
      <w:r w:rsidRPr="00E02601">
        <w:rPr>
          <w:sz w:val="22"/>
          <w:szCs w:val="22"/>
        </w:rPr>
        <w:t xml:space="preserve">ợp lý, tăng trưởng kinh tế cao là một yếu tố "kéo" (pull factor), </w:t>
      </w:r>
      <w:r w:rsidR="00C94472">
        <w:rPr>
          <w:sz w:val="22"/>
          <w:szCs w:val="22"/>
        </w:rPr>
        <w:t>thể hiện</w:t>
      </w:r>
      <w:r w:rsidRPr="00E02601">
        <w:rPr>
          <w:sz w:val="22"/>
          <w:szCs w:val="22"/>
        </w:rPr>
        <w:t xml:space="preserve"> quy mô thị trường tiềm năng và sức mua của </w:t>
      </w:r>
      <w:r w:rsidR="00C94472">
        <w:rPr>
          <w:sz w:val="22"/>
          <w:szCs w:val="22"/>
        </w:rPr>
        <w:t>dân cư</w:t>
      </w:r>
      <w:r w:rsidRPr="00E02601">
        <w:rPr>
          <w:sz w:val="22"/>
          <w:szCs w:val="22"/>
        </w:rPr>
        <w:t xml:space="preserve">, từ đó làm </w:t>
      </w:r>
      <w:r w:rsidR="00C94472">
        <w:rPr>
          <w:sz w:val="22"/>
          <w:szCs w:val="22"/>
        </w:rPr>
        <w:t>nâng cao</w:t>
      </w:r>
      <w:r w:rsidRPr="00E02601">
        <w:rPr>
          <w:sz w:val="22"/>
          <w:szCs w:val="22"/>
        </w:rPr>
        <w:t xml:space="preserve"> sức hấp dẫn của một quốc gia đối với FDI.</w:t>
      </w:r>
      <w:r w:rsidR="004F2BFE">
        <w:rPr>
          <w:sz w:val="22"/>
          <w:szCs w:val="22"/>
          <w:vertAlign w:val="superscript"/>
        </w:rPr>
        <w:t>9, 10</w:t>
      </w:r>
      <w:r w:rsidRPr="00E02601">
        <w:rPr>
          <w:sz w:val="22"/>
          <w:szCs w:val="22"/>
        </w:rPr>
        <w:t xml:space="preserve"> </w:t>
      </w:r>
      <w:r w:rsidR="00B63F17" w:rsidRPr="00B63F17">
        <w:rPr>
          <w:sz w:val="22"/>
          <w:szCs w:val="22"/>
        </w:rPr>
        <w:t>Tăng trưởng kinh tế còn biểu thị lợi nhuận trên vốn so sánh giữa các quốc gia khác nhau</w:t>
      </w:r>
      <w:r w:rsidRPr="00E02601">
        <w:rPr>
          <w:sz w:val="22"/>
          <w:szCs w:val="22"/>
        </w:rPr>
        <w:t xml:space="preserve">. </w:t>
      </w:r>
      <w:r w:rsidR="00C951DE" w:rsidRPr="00C951DE">
        <w:rPr>
          <w:sz w:val="22"/>
          <w:szCs w:val="22"/>
        </w:rPr>
        <w:t xml:space="preserve">Người ta tin rằng khi </w:t>
      </w:r>
      <w:r w:rsidR="00D5508C" w:rsidRPr="00D5508C">
        <w:rPr>
          <w:sz w:val="22"/>
          <w:szCs w:val="22"/>
        </w:rPr>
        <w:t>khi tốc độ tăng trưởng kinh tế gia tăng, lợi nhuận thực từ vốn cũng cải thiện, dẫn đến sự gia tăng FDI ròng</w:t>
      </w:r>
      <w:r w:rsidR="00C951DE">
        <w:rPr>
          <w:sz w:val="22"/>
          <w:szCs w:val="22"/>
        </w:rPr>
        <w:t>.</w:t>
      </w:r>
      <w:r w:rsidR="004F2BFE">
        <w:rPr>
          <w:sz w:val="22"/>
          <w:szCs w:val="22"/>
          <w:vertAlign w:val="superscript"/>
        </w:rPr>
        <w:t>9</w:t>
      </w:r>
    </w:p>
    <w:p w14:paraId="3DC872F7" w14:textId="28AD4807" w:rsidR="00B00000" w:rsidRDefault="00B00000" w:rsidP="00B00000">
      <w:pPr>
        <w:tabs>
          <w:tab w:val="right" w:leader="hyphen" w:pos="9072"/>
        </w:tabs>
        <w:spacing w:before="120" w:after="120"/>
        <w:jc w:val="both"/>
        <w:rPr>
          <w:b/>
          <w:bCs/>
          <w:i/>
          <w:iCs/>
          <w:sz w:val="22"/>
          <w:szCs w:val="22"/>
        </w:rPr>
      </w:pPr>
      <w:r>
        <w:rPr>
          <w:b/>
          <w:bCs/>
          <w:i/>
          <w:iCs/>
          <w:sz w:val="22"/>
          <w:szCs w:val="22"/>
        </w:rPr>
        <w:t>2.3. Các nghiên cứu trước đây</w:t>
      </w:r>
    </w:p>
    <w:p w14:paraId="365255E3" w14:textId="755CB039" w:rsidR="00B00000" w:rsidRPr="00B00000" w:rsidRDefault="00FF776C" w:rsidP="00B00000">
      <w:pPr>
        <w:tabs>
          <w:tab w:val="right" w:leader="hyphen" w:pos="9072"/>
        </w:tabs>
        <w:spacing w:before="120" w:after="120"/>
        <w:jc w:val="both"/>
        <w:rPr>
          <w:sz w:val="22"/>
          <w:szCs w:val="22"/>
        </w:rPr>
      </w:pPr>
      <w:r w:rsidRPr="00FF776C">
        <w:rPr>
          <w:sz w:val="22"/>
          <w:szCs w:val="22"/>
        </w:rPr>
        <w:t>Nhiều công trình nghiên cứu trước đây đã tìm hiểu ảnh hưởng của các yếu tố bất ổn vĩ mô, trong đó có bất định lạm phát, đối với dòng vốn FDI. Tuy nhiên, những phân tích trực tiếp tập trung vào mối liên hệ giữa bất định lạm phát và FDI vẫn còn khá hiếm hoi. Hai ví dụ đáng chú ý bao gồm nghiên cứu của</w:t>
      </w:r>
      <w:r>
        <w:rPr>
          <w:sz w:val="22"/>
          <w:szCs w:val="22"/>
        </w:rPr>
        <w:t xml:space="preserve"> </w:t>
      </w:r>
      <w:r w:rsidR="00B00000" w:rsidRPr="00B00000">
        <w:rPr>
          <w:sz w:val="22"/>
          <w:szCs w:val="22"/>
        </w:rPr>
        <w:t>Udoh &amp; Egwaikhide</w:t>
      </w:r>
      <w:r w:rsidR="004F2BFE">
        <w:rPr>
          <w:sz w:val="22"/>
          <w:szCs w:val="22"/>
          <w:vertAlign w:val="superscript"/>
        </w:rPr>
        <w:t>3</w:t>
      </w:r>
      <w:r w:rsidR="00B00000" w:rsidRPr="00B00000">
        <w:rPr>
          <w:sz w:val="22"/>
          <w:szCs w:val="22"/>
        </w:rPr>
        <w:t xml:space="preserve"> </w:t>
      </w:r>
      <w:r w:rsidR="00EC6598" w:rsidRPr="00EC6598">
        <w:rPr>
          <w:sz w:val="22"/>
          <w:szCs w:val="22"/>
        </w:rPr>
        <w:t xml:space="preserve">, tập trung vào tác động của biến động tỷ giá và bất định lạm phát đối với FDI tại Nigeria từ 1970 đến 2005. Trong bối cảnh kinh tế phụ thuộc vào tài nguyên, nơi doanh thu từ dầu mỏ không ổn định và thâm hụt ngân sách gây áp lực, họ đã áp dụng mô hình GARCH </w:t>
      </w:r>
      <w:r w:rsidR="00EC6598" w:rsidRPr="00EC6598">
        <w:rPr>
          <w:sz w:val="22"/>
          <w:szCs w:val="22"/>
        </w:rPr>
        <w:t>để đo lường mức độ bất định và sử dụng phân tích chuỗi thời gian để đánh giá ảnh hưởng lên FDI. Kết quả chỉ ra rằng cả biến động tỷ giá lẫn bất định lạm phát đều gây tác động tiêu cực rõ rệt, nhấn mạnh tầm quan trọng của sự ổn định kinh tế vĩ mô trong việc lôi kéo đầu tư nước ngoài</w:t>
      </w:r>
      <w:r w:rsidR="00B00000" w:rsidRPr="00B00000">
        <w:rPr>
          <w:sz w:val="22"/>
          <w:szCs w:val="22"/>
        </w:rPr>
        <w:t>.</w:t>
      </w:r>
    </w:p>
    <w:p w14:paraId="4B113E27" w14:textId="0C912921"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Tương tự, Azam </w:t>
      </w:r>
      <w:r w:rsidR="00441892">
        <w:rPr>
          <w:sz w:val="22"/>
          <w:szCs w:val="22"/>
        </w:rPr>
        <w:t>&amp; cộng sự</w:t>
      </w:r>
      <w:r w:rsidR="00116174">
        <w:rPr>
          <w:sz w:val="22"/>
          <w:szCs w:val="22"/>
          <w:vertAlign w:val="superscript"/>
        </w:rPr>
        <w:t>11</w:t>
      </w:r>
      <w:r w:rsidRPr="00B00000">
        <w:rPr>
          <w:sz w:val="22"/>
          <w:szCs w:val="22"/>
        </w:rPr>
        <w:t xml:space="preserve"> </w:t>
      </w:r>
      <w:r w:rsidR="008E12E0" w:rsidRPr="008E12E0">
        <w:rPr>
          <w:sz w:val="22"/>
          <w:szCs w:val="22"/>
        </w:rPr>
        <w:t>đã xem xét ảnh hưởng của rủi ro chính trị và sự không chắc chắn trong chính sách kinh tế vĩ mô, bao gồm cả bất định lạm phát, đến FDI tại bốn quốc gia Nam Á trong giai đoạn 1990–2008. Bằng cách sử dụng mô hình ARDL để phân tích động thái ngắn hạn và dài hạn, nghiên cứu kết luận rằng rủi ro chính trị cùng các yếu tố không chắc chắn, bao gồm bất định lạm phát, làm giảm FDI do gia tăng chi phí giao dịch và làm suy yếu độ tin cậy của môi trường đầu tư.</w:t>
      </w:r>
    </w:p>
    <w:p w14:paraId="553532B9" w14:textId="5B05F7BF" w:rsidR="00B00000" w:rsidRDefault="00B00000" w:rsidP="00B00000">
      <w:pPr>
        <w:tabs>
          <w:tab w:val="right" w:leader="hyphen" w:pos="9072"/>
        </w:tabs>
        <w:spacing w:before="120" w:after="120"/>
        <w:jc w:val="both"/>
        <w:rPr>
          <w:sz w:val="22"/>
          <w:szCs w:val="22"/>
        </w:rPr>
      </w:pPr>
      <w:r w:rsidRPr="00B00000">
        <w:rPr>
          <w:sz w:val="22"/>
          <w:szCs w:val="22"/>
        </w:rPr>
        <w:t xml:space="preserve">Các nghiên cứu này cho thấy bất định lạm phát thường có tác động tiêu cực đến FDI tại các nền kinh tế đang phát triển, tuy nhiên mức độ ảnh hưởng phụ thuộc vào bối cảnh cụ thể của từng quốc gia. </w:t>
      </w:r>
    </w:p>
    <w:p w14:paraId="7A800F51" w14:textId="61EC9210" w:rsidR="00B00000" w:rsidRDefault="00B00000" w:rsidP="00B00000">
      <w:pPr>
        <w:tabs>
          <w:tab w:val="right" w:leader="hyphen" w:pos="9072"/>
        </w:tabs>
        <w:spacing w:before="120" w:after="120"/>
        <w:jc w:val="both"/>
        <w:rPr>
          <w:b/>
          <w:sz w:val="22"/>
          <w:szCs w:val="22"/>
        </w:rPr>
      </w:pPr>
      <w:r>
        <w:rPr>
          <w:b/>
          <w:sz w:val="22"/>
          <w:szCs w:val="22"/>
        </w:rPr>
        <w:t>3</w:t>
      </w:r>
      <w:r w:rsidRPr="00CB0A39">
        <w:rPr>
          <w:b/>
          <w:sz w:val="22"/>
          <w:szCs w:val="22"/>
          <w:lang w:val="vi-VN"/>
        </w:rPr>
        <w:t xml:space="preserve">. </w:t>
      </w:r>
      <w:r>
        <w:rPr>
          <w:b/>
          <w:sz w:val="22"/>
          <w:szCs w:val="22"/>
        </w:rPr>
        <w:t>PHƯƠNG PHÁP NGHIÊN CỨU VÀ GIẢ THUYẾT NGHIÊN CỨU</w:t>
      </w:r>
    </w:p>
    <w:p w14:paraId="0B1D7F19" w14:textId="11977EF9" w:rsidR="00B00000" w:rsidRPr="00B00000" w:rsidRDefault="00B00000" w:rsidP="00B00000">
      <w:pPr>
        <w:tabs>
          <w:tab w:val="right" w:leader="hyphen" w:pos="9072"/>
        </w:tabs>
        <w:spacing w:before="120" w:after="120"/>
        <w:jc w:val="both"/>
        <w:rPr>
          <w:b/>
          <w:i/>
          <w:iCs/>
          <w:sz w:val="22"/>
          <w:szCs w:val="22"/>
        </w:rPr>
      </w:pPr>
      <w:r>
        <w:rPr>
          <w:b/>
          <w:i/>
          <w:iCs/>
          <w:sz w:val="22"/>
          <w:szCs w:val="22"/>
        </w:rPr>
        <w:t>3.1. Dữ liệu nghiên cứu</w:t>
      </w:r>
    </w:p>
    <w:p w14:paraId="428911B7" w14:textId="007D34B2"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Dữ liệu </w:t>
      </w:r>
      <w:r w:rsidR="00C47B42">
        <w:rPr>
          <w:sz w:val="22"/>
          <w:szCs w:val="22"/>
        </w:rPr>
        <w:t>được lấy</w:t>
      </w:r>
      <w:r w:rsidRPr="00B00000">
        <w:rPr>
          <w:sz w:val="22"/>
          <w:szCs w:val="22"/>
        </w:rPr>
        <w:t xml:space="preserve"> từ Tổng cục Thống kê Việt Nam theo quý từ </w:t>
      </w:r>
      <w:r w:rsidR="00C47B42">
        <w:rPr>
          <w:sz w:val="22"/>
          <w:szCs w:val="22"/>
        </w:rPr>
        <w:t>Q1/2022</w:t>
      </w:r>
      <w:r w:rsidRPr="00B00000">
        <w:rPr>
          <w:sz w:val="22"/>
          <w:szCs w:val="22"/>
        </w:rPr>
        <w:t xml:space="preserve"> </w:t>
      </w:r>
      <w:r w:rsidR="00C47B42">
        <w:rPr>
          <w:sz w:val="22"/>
          <w:szCs w:val="22"/>
        </w:rPr>
        <w:t>Q4/2024</w:t>
      </w:r>
      <w:r w:rsidRPr="00B00000">
        <w:rPr>
          <w:sz w:val="22"/>
          <w:szCs w:val="22"/>
        </w:rPr>
        <w:t xml:space="preserve">, tạo thành 92 quan sát cho mỗi biến số. Mốc thời gian bắt đầu từ năm 2002 được lựa chọn do </w:t>
      </w:r>
      <w:r w:rsidR="00C47B42">
        <w:rPr>
          <w:sz w:val="22"/>
          <w:szCs w:val="22"/>
        </w:rPr>
        <w:t>tính sẵn có</w:t>
      </w:r>
      <w:r>
        <w:rPr>
          <w:sz w:val="22"/>
          <w:szCs w:val="22"/>
        </w:rPr>
        <w:t>.</w:t>
      </w:r>
    </w:p>
    <w:p w14:paraId="0EDF85F4" w14:textId="6EBB0786" w:rsidR="00B00000" w:rsidRDefault="00D5508C" w:rsidP="00B00000">
      <w:pPr>
        <w:tabs>
          <w:tab w:val="right" w:leader="hyphen" w:pos="9072"/>
        </w:tabs>
        <w:spacing w:before="120" w:after="120"/>
        <w:jc w:val="both"/>
        <w:rPr>
          <w:sz w:val="22"/>
          <w:szCs w:val="22"/>
        </w:rPr>
      </w:pPr>
      <w:r>
        <w:rPr>
          <w:sz w:val="22"/>
          <w:szCs w:val="22"/>
        </w:rPr>
        <w:t>Biến v</w:t>
      </w:r>
      <w:r w:rsidR="00B00000" w:rsidRPr="00B00000">
        <w:rPr>
          <w:sz w:val="22"/>
          <w:szCs w:val="22"/>
        </w:rPr>
        <w:t xml:space="preserve">ốn đầu tư trực tiếp nước ngoài (FDIR) </w:t>
      </w:r>
      <w:r>
        <w:rPr>
          <w:sz w:val="22"/>
          <w:szCs w:val="22"/>
        </w:rPr>
        <w:t>là</w:t>
      </w:r>
      <w:r w:rsidR="00B00000" w:rsidRPr="00B00000">
        <w:rPr>
          <w:sz w:val="22"/>
          <w:szCs w:val="22"/>
        </w:rPr>
        <w:t xml:space="preserve"> vốn thực tế giải ngân, đơn vị tính là tỷ USD. Bất định lạm phát (INFU) được ước lượng từ chỉ số giá tiêu dùng thông qua mô hình GARCH(1,1), nhằm phản ánh sự biến động khó dự đoán của lạm phát. Tăng trưởng kinh tế (GDP) được thể hiện qua tỷ lệ tăng trưởng thực của tổng sản phẩm quốc nội.</w:t>
      </w:r>
    </w:p>
    <w:p w14:paraId="3022A899" w14:textId="25565607" w:rsidR="00B00000" w:rsidRPr="00B00000" w:rsidRDefault="00B00000" w:rsidP="00B00000">
      <w:pPr>
        <w:tabs>
          <w:tab w:val="right" w:leader="hyphen" w:pos="9072"/>
        </w:tabs>
        <w:spacing w:before="120" w:after="120"/>
        <w:jc w:val="both"/>
        <w:rPr>
          <w:b/>
          <w:i/>
          <w:iCs/>
          <w:sz w:val="22"/>
          <w:szCs w:val="22"/>
        </w:rPr>
      </w:pPr>
      <w:r>
        <w:rPr>
          <w:b/>
          <w:i/>
          <w:iCs/>
          <w:sz w:val="22"/>
          <w:szCs w:val="22"/>
        </w:rPr>
        <w:t>3.2. Mô hình thực nghiệm và giả thuyết nghiên cứu</w:t>
      </w:r>
    </w:p>
    <w:p w14:paraId="2E22D589" w14:textId="69255B75" w:rsidR="00B00000" w:rsidRPr="00B00000" w:rsidRDefault="00C942FB" w:rsidP="00B00000">
      <w:pPr>
        <w:tabs>
          <w:tab w:val="right" w:leader="hyphen" w:pos="9072"/>
        </w:tabs>
        <w:spacing w:before="120" w:after="120"/>
        <w:jc w:val="both"/>
        <w:rPr>
          <w:sz w:val="22"/>
          <w:szCs w:val="22"/>
        </w:rPr>
      </w:pPr>
      <w:r w:rsidRPr="00C942FB">
        <w:rPr>
          <w:sz w:val="22"/>
          <w:szCs w:val="22"/>
        </w:rPr>
        <w:t>Dựa trên nền tảng lý thuyết và tổng quan các nghiên cứu trước đó, nghiên cứu này thiết lập mô hình thực nghiệm để đánh giá ảnh hưởng của bất định lạm phát đối với dòng vốn FDI tại Việt Nam, với biến tăng trưởng kinh tế được dùng làm yếu tố điều chỉnh nhằm phản ánh quy mô thị trường và lợi thế địa lý đầu tư</w:t>
      </w:r>
      <w:r w:rsidR="00B00000" w:rsidRPr="00B00000">
        <w:rPr>
          <w:sz w:val="22"/>
          <w:szCs w:val="22"/>
        </w:rPr>
        <w:t>.</w:t>
      </w:r>
    </w:p>
    <w:p w14:paraId="2D11B44C" w14:textId="5D68C901" w:rsidR="00B00000" w:rsidRDefault="00845762" w:rsidP="00B00000">
      <w:pPr>
        <w:tabs>
          <w:tab w:val="right" w:leader="hyphen" w:pos="9072"/>
        </w:tabs>
        <w:spacing w:before="120" w:after="120"/>
        <w:jc w:val="both"/>
        <w:rPr>
          <w:sz w:val="22"/>
          <w:szCs w:val="22"/>
        </w:rPr>
      </w:pPr>
      <w:r w:rsidRPr="00845762">
        <w:rPr>
          <w:sz w:val="22"/>
          <w:szCs w:val="22"/>
        </w:rPr>
        <w:t>Mô hình tập trung vào hai yếu tố cốt lõi là bất định lạm phát và tăng trưởng kinh tế, nhằm nắm bắt các động lực chính thúc đẩy FDI, đồng thời giữ tính gọn gàng phù hợp với quy mô mẫu trung bình. Mô hình ARDL được áp dụng để kiểm tra mối quan hệ dài hạn, được thể hiện như sau</w:t>
      </w:r>
      <w:r w:rsidR="00B00000" w:rsidRPr="00B00000">
        <w:rPr>
          <w:sz w:val="22"/>
          <w:szCs w:val="22"/>
        </w:rPr>
        <w:t>:</w:t>
      </w:r>
    </w:p>
    <w:p w14:paraId="4BA7F741" w14:textId="77777777" w:rsidR="005766FD" w:rsidRPr="005766FD" w:rsidRDefault="00000000" w:rsidP="005766FD">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∆INFU</m:t>
                  </m:r>
                </m:e>
                <m:sub>
                  <m:r>
                    <w:rPr>
                      <w:rFonts w:ascii="Cambria Math" w:eastAsiaTheme="minorEastAsia" w:hAnsi="Cambria Math"/>
                      <w:sz w:val="18"/>
                      <w:szCs w:val="18"/>
                    </w:rPr>
                    <m:t>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∆GDP</m:t>
                      </m:r>
                    </m:e>
                    <m:sub>
                      <m:r>
                        <w:rPr>
                          <w:rFonts w:ascii="Cambria Math" w:eastAsiaTheme="minorEastAsia" w:hAnsi="Cambria Math"/>
                          <w:sz w:val="18"/>
                          <w:szCs w:val="18"/>
                        </w:rPr>
                        <m:t>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0A9F2443" w14:textId="6375EBE6" w:rsidR="005766FD" w:rsidRDefault="00845762" w:rsidP="00B00000">
      <w:pPr>
        <w:tabs>
          <w:tab w:val="right" w:leader="hyphen" w:pos="9072"/>
        </w:tabs>
        <w:spacing w:before="120" w:after="120"/>
        <w:jc w:val="both"/>
        <w:rPr>
          <w:sz w:val="22"/>
          <w:szCs w:val="22"/>
        </w:rPr>
      </w:pPr>
      <w:r w:rsidRPr="00845762">
        <w:rPr>
          <w:sz w:val="22"/>
          <w:szCs w:val="22"/>
        </w:rPr>
        <w:t>Mô hình ARDL cho phép phân tích cùng lúc mối liên hệ ngắn hạn và dài hạn giữa các biến số, và sẽ được kết hợp với mô hình điều chỉnh sai số (ECM) để xác định tốc độ trở về trạng thái cân bằng sau những biến động ngắn hạn</w:t>
      </w:r>
      <w:r w:rsidR="005766FD" w:rsidRPr="005766FD">
        <w:rPr>
          <w:sz w:val="22"/>
          <w:szCs w:val="22"/>
        </w:rPr>
        <w:t>.</w:t>
      </w:r>
    </w:p>
    <w:p w14:paraId="7DE571B5" w14:textId="1C4AFE11" w:rsidR="005766FD" w:rsidRPr="00D34641" w:rsidRDefault="00000000" w:rsidP="00D34641">
      <w:pPr>
        <w:jc w:val="both"/>
        <w:rPr>
          <w:rFonts w:eastAsiaTheme="minorEastAsia"/>
          <w:sz w:val="18"/>
          <w:szCs w:val="18"/>
        </w:rPr>
      </w:pPr>
      <m:oMathPara>
        <m:oMath>
          <m:sSub>
            <m:sSubPr>
              <m:ctrlPr>
                <w:rPr>
                  <w:rFonts w:ascii="Cambria Math" w:eastAsiaTheme="minorEastAsia" w:hAnsi="Cambria Math"/>
                  <w:i/>
                  <w:sz w:val="18"/>
                  <w:szCs w:val="18"/>
                </w:rPr>
              </m:ctrlPr>
            </m:sSubPr>
            <m:e>
              <m:r>
                <m:rPr>
                  <m:sty m:val="p"/>
                </m:rPr>
                <w:rPr>
                  <w:rFonts w:ascii="Cambria Math" w:eastAsiaTheme="minorEastAsia" w:hAnsi="Cambria Math"/>
                  <w:sz w:val="18"/>
                  <w:szCs w:val="18"/>
                </w:rPr>
                <m:t>Δ</m:t>
              </m:r>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1i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EC</m:t>
              </m:r>
            </m:e>
            <m:sub>
              <m:r>
                <w:rPr>
                  <w:rFonts w:ascii="Cambria Math" w:eastAsiaTheme="minorEastAsia" w:hAnsi="Cambria Math"/>
                  <w:sz w:val="18"/>
                  <w:szCs w:val="18"/>
                </w:rPr>
                <m:t>t-1</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∆INFU</m:t>
                  </m:r>
                </m:e>
                <m:sub>
                  <m:r>
                    <w:rPr>
                      <w:rFonts w:ascii="Cambria Math" w:eastAsiaTheme="minorEastAsia" w:hAnsi="Cambria Math"/>
                      <w:sz w:val="18"/>
                      <w:szCs w:val="18"/>
                    </w:rPr>
                    <m:t>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∆GDP</m:t>
                      </m:r>
                    </m:e>
                    <m:sub>
                      <m:r>
                        <w:rPr>
                          <w:rFonts w:ascii="Cambria Math" w:eastAsiaTheme="minorEastAsia" w:hAnsi="Cambria Math"/>
                          <w:sz w:val="18"/>
                          <w:szCs w:val="18"/>
                        </w:rPr>
                        <m:t>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6293EEE8" w14:textId="77777777" w:rsidR="005766FD" w:rsidRDefault="005766FD" w:rsidP="00B00000">
      <w:pPr>
        <w:tabs>
          <w:tab w:val="right" w:leader="hyphen" w:pos="9072"/>
        </w:tabs>
        <w:spacing w:before="120" w:after="120"/>
        <w:jc w:val="both"/>
        <w:rPr>
          <w:sz w:val="22"/>
          <w:szCs w:val="22"/>
        </w:rPr>
      </w:pPr>
      <w:r>
        <w:rPr>
          <w:sz w:val="22"/>
          <w:szCs w:val="22"/>
        </w:rPr>
        <w:t xml:space="preserve">Trong đó: </w:t>
      </w:r>
    </w:p>
    <w:p w14:paraId="604136A9" w14:textId="47849911" w:rsidR="005766FD" w:rsidRPr="005766FD" w:rsidRDefault="005766FD" w:rsidP="005766FD">
      <w:pPr>
        <w:tabs>
          <w:tab w:val="right" w:leader="hyphen" w:pos="9072"/>
        </w:tabs>
        <w:spacing w:before="120" w:after="120"/>
        <w:jc w:val="both"/>
        <w:rPr>
          <w:sz w:val="22"/>
          <w:szCs w:val="22"/>
        </w:rPr>
      </w:pPr>
      <w:r w:rsidRPr="005766FD">
        <w:rPr>
          <w:sz w:val="22"/>
          <w:szCs w:val="22"/>
        </w:rPr>
        <w:t>FDIRt: Dòng vốn đầu tư trực tiếp nước ngoài thực tế tại thời điểm</w:t>
      </w:r>
      <w:r>
        <w:rPr>
          <w:sz w:val="22"/>
          <w:szCs w:val="22"/>
        </w:rPr>
        <w:t xml:space="preserve"> </w:t>
      </w:r>
      <w:r w:rsidRPr="005766FD">
        <w:rPr>
          <w:rFonts w:ascii="Cambria Math" w:hAnsi="Cambria Math" w:cs="Cambria Math"/>
          <w:sz w:val="22"/>
          <w:szCs w:val="22"/>
        </w:rPr>
        <w:t>𝑡</w:t>
      </w:r>
    </w:p>
    <w:p w14:paraId="40DADF51" w14:textId="031E5D54"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INFUt: Bất định lạm phát tại thời điểm </w:t>
      </w:r>
      <w:r w:rsidRPr="005766FD">
        <w:rPr>
          <w:rFonts w:ascii="Cambria Math" w:hAnsi="Cambria Math" w:cs="Cambria Math"/>
          <w:sz w:val="22"/>
          <w:szCs w:val="22"/>
        </w:rPr>
        <w:t>𝑡</w:t>
      </w:r>
    </w:p>
    <w:p w14:paraId="27B5EBD0" w14:textId="651C1443"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GDPt: Tăng trưởng kinh tế tại thời điểm </w:t>
      </w:r>
      <w:r w:rsidRPr="005766FD">
        <w:rPr>
          <w:rFonts w:ascii="Cambria Math" w:hAnsi="Cambria Math" w:cs="Cambria Math"/>
          <w:sz w:val="22"/>
          <w:szCs w:val="22"/>
        </w:rPr>
        <w:t>𝑡</w:t>
      </w:r>
    </w:p>
    <w:p w14:paraId="092445AF" w14:textId="73344AA9"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Δ: Toán tử sai phân bậc nhất, </w:t>
      </w:r>
      <w:r w:rsidR="00CF1D64">
        <w:rPr>
          <w:sz w:val="22"/>
          <w:szCs w:val="22"/>
        </w:rPr>
        <w:t>thể hiện</w:t>
      </w:r>
      <w:r w:rsidRPr="005766FD">
        <w:rPr>
          <w:sz w:val="22"/>
          <w:szCs w:val="22"/>
        </w:rPr>
        <w:t xml:space="preserve"> sự thay đổi một biến giữa hai thời điểm liên tiếp</w:t>
      </w:r>
    </w:p>
    <w:p w14:paraId="4F920A1D" w14:textId="278CB45C"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α: </w:t>
      </w:r>
      <w:r>
        <w:rPr>
          <w:sz w:val="22"/>
          <w:szCs w:val="22"/>
        </w:rPr>
        <w:t>Hằng số</w:t>
      </w:r>
    </w:p>
    <w:p w14:paraId="309AD593" w14:textId="7D3AC9FF" w:rsidR="005766FD" w:rsidRPr="005766FD" w:rsidRDefault="00000000" w:rsidP="005766FD">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μ</m:t>
            </m:r>
          </m:e>
          <m:sub>
            <m:r>
              <w:rPr>
                <w:rFonts w:ascii="Cambria Math" w:hAnsi="Cambria Math"/>
                <w:sz w:val="22"/>
                <w:szCs w:val="22"/>
              </w:rPr>
              <m:t>t</m:t>
            </m:r>
          </m:sub>
        </m:sSub>
      </m:oMath>
      <w:r w:rsidR="005766FD" w:rsidRPr="005766FD">
        <w:rPr>
          <w:sz w:val="22"/>
          <w:szCs w:val="22"/>
        </w:rPr>
        <w:t xml:space="preserve">​: </w:t>
      </w:r>
      <w:r w:rsidR="005766FD">
        <w:rPr>
          <w:sz w:val="22"/>
          <w:szCs w:val="22"/>
        </w:rPr>
        <w:t>Nhiễu trắng</w:t>
      </w:r>
    </w:p>
    <w:p w14:paraId="3F00367A" w14:textId="6E4ECB1B" w:rsidR="005766FD" w:rsidRPr="005766FD" w:rsidRDefault="005766FD" w:rsidP="005766FD">
      <w:pPr>
        <w:tabs>
          <w:tab w:val="right" w:leader="hyphen" w:pos="9072"/>
        </w:tabs>
        <w:spacing w:before="120" w:after="120"/>
        <w:jc w:val="both"/>
        <w:rPr>
          <w:sz w:val="22"/>
          <w:szCs w:val="22"/>
        </w:rPr>
      </w:pPr>
      <w:r w:rsidRPr="005766FD">
        <w:rPr>
          <w:sz w:val="22"/>
          <w:szCs w:val="22"/>
        </w:rPr>
        <w:t>m, n and k: Độ trễ tối ưu</w:t>
      </w:r>
    </w:p>
    <w:p w14:paraId="0636CA81" w14:textId="4D65781B" w:rsidR="005766FD" w:rsidRPr="005766FD" w:rsidRDefault="005766FD" w:rsidP="005766FD">
      <w:pPr>
        <w:tabs>
          <w:tab w:val="right" w:leader="hyphen" w:pos="9072"/>
        </w:tabs>
        <w:spacing w:before="120" w:after="120"/>
        <w:jc w:val="both"/>
        <w:rPr>
          <w:sz w:val="22"/>
          <w:szCs w:val="22"/>
        </w:rPr>
      </w:pPr>
      <w:r w:rsidRPr="005766FD">
        <w:rPr>
          <w:sz w:val="22"/>
          <w:szCs w:val="22"/>
        </w:rPr>
        <w:t>ECt-1​: sai số được hiệu chỉnh với độ</w:t>
      </w:r>
      <w:r>
        <w:rPr>
          <w:sz w:val="22"/>
          <w:szCs w:val="22"/>
        </w:rPr>
        <w:t xml:space="preserve"> </w:t>
      </w:r>
      <w:r w:rsidRPr="005766FD">
        <w:rPr>
          <w:sz w:val="22"/>
          <w:szCs w:val="22"/>
        </w:rPr>
        <w:t>trễ</w:t>
      </w:r>
      <w:r>
        <w:rPr>
          <w:sz w:val="22"/>
          <w:szCs w:val="22"/>
        </w:rPr>
        <w:t xml:space="preserve"> </w:t>
      </w:r>
      <w:r w:rsidRPr="005766FD">
        <w:rPr>
          <w:sz w:val="22"/>
          <w:szCs w:val="22"/>
        </w:rPr>
        <w:t>là 1 (</w:t>
      </w:r>
      <w:r>
        <w:rPr>
          <w:sz w:val="22"/>
          <w:szCs w:val="22"/>
        </w:rPr>
        <w:t>quý</w:t>
      </w:r>
      <w:r w:rsidRPr="005766FD">
        <w:rPr>
          <w:sz w:val="22"/>
          <w:szCs w:val="22"/>
        </w:rPr>
        <w:t>)</w:t>
      </w:r>
    </w:p>
    <w:p w14:paraId="2BD5362E" w14:textId="71094EF0" w:rsidR="005766FD" w:rsidRDefault="00000000" w:rsidP="00B00000">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1</m:t>
            </m:r>
            <m:r>
              <w:rPr>
                <w:rFonts w:ascii="Cambria Math" w:hAnsi="Cambria Math"/>
                <w:sz w:val="22"/>
                <w:szCs w:val="22"/>
              </w:rPr>
              <m:t>i</m:t>
            </m:r>
          </m:sub>
        </m:sSub>
      </m:oMath>
      <w:r w:rsidR="005766FD" w:rsidRPr="005766FD">
        <w:rPr>
          <w:sz w:val="22"/>
          <w:szCs w:val="22"/>
        </w:rPr>
        <w:t xml:space="preserve">: </w:t>
      </w:r>
      <w:r w:rsidR="00EE7446">
        <w:rPr>
          <w:sz w:val="22"/>
          <w:szCs w:val="22"/>
        </w:rPr>
        <w:t xml:space="preserve">đại diện cho </w:t>
      </w:r>
      <w:r w:rsidR="005766FD" w:rsidRPr="005766FD">
        <w:rPr>
          <w:sz w:val="22"/>
          <w:szCs w:val="22"/>
        </w:rPr>
        <w:t xml:space="preserve">tốc độ điều chỉnh </w:t>
      </w:r>
      <w:r w:rsidR="00EE7446">
        <w:rPr>
          <w:sz w:val="22"/>
          <w:szCs w:val="22"/>
        </w:rPr>
        <w:t>hướng tới</w:t>
      </w:r>
      <w:r w:rsidR="005766FD" w:rsidRPr="005766FD">
        <w:rPr>
          <w:sz w:val="22"/>
          <w:szCs w:val="22"/>
        </w:rPr>
        <w:t xml:space="preserve"> trạng thái</w:t>
      </w:r>
      <w:r w:rsidR="005766FD">
        <w:rPr>
          <w:sz w:val="22"/>
          <w:szCs w:val="22"/>
        </w:rPr>
        <w:t xml:space="preserve"> </w:t>
      </w:r>
      <w:r w:rsidR="005766FD" w:rsidRPr="005766FD">
        <w:rPr>
          <w:sz w:val="22"/>
          <w:szCs w:val="22"/>
        </w:rPr>
        <w:t>cân bằng trong dài hạn</w:t>
      </w:r>
    </w:p>
    <w:p w14:paraId="5FBFD228" w14:textId="754F4131" w:rsidR="00116174" w:rsidRPr="00116174" w:rsidRDefault="007E2FE4" w:rsidP="00116174">
      <w:pPr>
        <w:tabs>
          <w:tab w:val="right" w:leader="hyphen" w:pos="9072"/>
        </w:tabs>
        <w:spacing w:before="120" w:after="120"/>
        <w:jc w:val="both"/>
        <w:rPr>
          <w:sz w:val="22"/>
          <w:szCs w:val="22"/>
        </w:rPr>
      </w:pPr>
      <w:r w:rsidRPr="007E2FE4">
        <w:rPr>
          <w:sz w:val="22"/>
          <w:szCs w:val="22"/>
        </w:rPr>
        <w:t xml:space="preserve">Các giả thuyết nghiên cứu được hình thành dựa trên nền tảng lý thuyết từ lý thuyết quyền chọn thực và lý thuyết lựa chọn hợp </w:t>
      </w:r>
      <w:r>
        <w:rPr>
          <w:sz w:val="22"/>
          <w:szCs w:val="22"/>
        </w:rPr>
        <w:t>l</w:t>
      </w:r>
      <w:r w:rsidRPr="007E2FE4">
        <w:rPr>
          <w:sz w:val="22"/>
          <w:szCs w:val="22"/>
        </w:rPr>
        <w:t>ý, kết hợp với các bằng chứng thực nghiệm về mối quan hệ giữa bất định lạm phát, tăng trưởng kinh tế, và FDI.</w:t>
      </w:r>
    </w:p>
    <w:p w14:paraId="7C699419" w14:textId="77777777" w:rsidR="00FE001D" w:rsidRDefault="00FE001D" w:rsidP="00D34641">
      <w:pPr>
        <w:tabs>
          <w:tab w:val="right" w:leader="hyphen" w:pos="9072"/>
        </w:tabs>
        <w:spacing w:before="120" w:after="120"/>
        <w:jc w:val="both"/>
        <w:rPr>
          <w:sz w:val="22"/>
          <w:szCs w:val="22"/>
        </w:rPr>
      </w:pPr>
      <w:r w:rsidRPr="00FE001D">
        <w:rPr>
          <w:sz w:val="22"/>
          <w:szCs w:val="22"/>
        </w:rPr>
        <w:t>Lý thuyết quyền chọn thực tế cho rằng bất định lạm phát làm gia tăng rủi ro tài chính và chi phí dự đoán, khuyến khích các nhà đầu tư tạm dừng hoặc cắt giảm các khoản đầu tư không thể đảo ngược, như FDI, để thu thập thêm thông tin về tình hình kinh tế. Ngoài ra, bất định lạm phát còn đẩy cao lãi suất ngưỡng, gây biến dạng trong cơ chế định giá và làm giảm giá trị thực của dòng tiền tương lai. Các nghiên cứu thực nghiệm cũng khẳng định rằng bất định lạm phát mang lại ảnh hưởng bất lợi đến FDI. Dựa trên điều này, giả thuyết đầu tiên được đưa ra:</w:t>
      </w:r>
    </w:p>
    <w:p w14:paraId="2A2C8556" w14:textId="60BE37A5" w:rsidR="00D34641" w:rsidRPr="00D34641" w:rsidRDefault="00D34641" w:rsidP="00D34641">
      <w:pPr>
        <w:tabs>
          <w:tab w:val="right" w:leader="hyphen" w:pos="9072"/>
        </w:tabs>
        <w:spacing w:before="120" w:after="120"/>
        <w:jc w:val="both"/>
        <w:rPr>
          <w:i/>
          <w:iCs/>
          <w:sz w:val="22"/>
          <w:szCs w:val="22"/>
        </w:rPr>
      </w:pPr>
      <w:r w:rsidRPr="00D34641">
        <w:rPr>
          <w:i/>
          <w:iCs/>
          <w:sz w:val="22"/>
          <w:szCs w:val="22"/>
        </w:rPr>
        <w:t>H1: Bất định lạm phát có tác động tiêu cực đến dòng vốn đầu tư trực tiếp nước ngoài tại Việt Nam.</w:t>
      </w:r>
    </w:p>
    <w:p w14:paraId="77923BDB" w14:textId="7159FF98" w:rsidR="00D34641" w:rsidRPr="00D34641" w:rsidRDefault="00F56965" w:rsidP="00D34641">
      <w:pPr>
        <w:tabs>
          <w:tab w:val="right" w:leader="hyphen" w:pos="9072"/>
        </w:tabs>
        <w:spacing w:before="120" w:after="120"/>
        <w:jc w:val="both"/>
        <w:rPr>
          <w:sz w:val="22"/>
          <w:szCs w:val="22"/>
        </w:rPr>
      </w:pPr>
      <w:r w:rsidRPr="00F56965">
        <w:rPr>
          <w:sz w:val="22"/>
          <w:szCs w:val="22"/>
        </w:rPr>
        <w:t>Lý thuyết lựa chọn hợp lý khẳng định rằng các nhà đầu tư, với tư cách là những tác nhân kinh tế hợp lý, điều chỉnh chiến lược đầu tư nhằm tối ưu hóa lợi ích trong khuôn khổ các hạn chế vĩ mô. Tăng trưởng kinh tế, đóng vai trò như một yếu tố thu hút, phản ánh tiềm năng thị trường, sức tiêu dùng của dân cư, và lợi nhuận từ vốn đầu tư. Tốc độ tăng trưởng kinh tế cao củng cố niềm tin của nhà đầu tư và nâng cao hiệu suất hoạt động tài chính, từ đó gia tăng sức hút của FDI. Do đó, giả thuyết thứ hai được đề xuất</w:t>
      </w:r>
      <w:r w:rsidR="00116174" w:rsidRPr="00116174">
        <w:rPr>
          <w:sz w:val="22"/>
          <w:szCs w:val="22"/>
        </w:rPr>
        <w:t>:</w:t>
      </w:r>
    </w:p>
    <w:p w14:paraId="55E4DBE1" w14:textId="400F33B9" w:rsidR="00D34641" w:rsidRPr="00D34641" w:rsidRDefault="00D34641" w:rsidP="00D34641">
      <w:pPr>
        <w:tabs>
          <w:tab w:val="right" w:leader="hyphen" w:pos="9072"/>
        </w:tabs>
        <w:spacing w:before="120" w:after="120"/>
        <w:jc w:val="both"/>
        <w:rPr>
          <w:i/>
          <w:iCs/>
          <w:sz w:val="22"/>
          <w:szCs w:val="22"/>
        </w:rPr>
        <w:sectPr w:rsidR="00D34641" w:rsidRPr="00D34641" w:rsidSect="00C702F9">
          <w:headerReference w:type="default" r:id="rId11"/>
          <w:footerReference w:type="default" r:id="rId12"/>
          <w:type w:val="continuous"/>
          <w:pgSz w:w="11907" w:h="16840" w:code="9"/>
          <w:pgMar w:top="1134" w:right="1134" w:bottom="1134" w:left="1418" w:header="720" w:footer="720" w:gutter="0"/>
          <w:cols w:num="2" w:space="567"/>
          <w:docGrid w:linePitch="360"/>
        </w:sectPr>
      </w:pPr>
      <w:r w:rsidRPr="00D34641">
        <w:rPr>
          <w:i/>
          <w:iCs/>
          <w:sz w:val="22"/>
          <w:szCs w:val="22"/>
        </w:rPr>
        <w:t>H2: Tăng trưởng kinh tế có tác động tích cực đến dòng vốn đầu tư trực tiếp nước ngoài tại Việt Nam.</w:t>
      </w:r>
    </w:p>
    <w:p w14:paraId="4C36658E" w14:textId="13157D59" w:rsidR="004B2819" w:rsidRPr="00D34641" w:rsidRDefault="004B2819" w:rsidP="004B2819">
      <w:pPr>
        <w:tabs>
          <w:tab w:val="left" w:pos="360"/>
          <w:tab w:val="right" w:leader="hyphen" w:pos="9072"/>
        </w:tabs>
        <w:spacing w:before="240" w:after="120"/>
        <w:jc w:val="both"/>
        <w:rPr>
          <w:bCs/>
          <w:sz w:val="20"/>
          <w:szCs w:val="20"/>
        </w:rPr>
      </w:pPr>
      <w:r w:rsidRPr="00D34641">
        <w:rPr>
          <w:b/>
          <w:sz w:val="20"/>
          <w:szCs w:val="20"/>
        </w:rPr>
        <w:t xml:space="preserve">Bảng 1. </w:t>
      </w:r>
      <w:r w:rsidRPr="00D34641">
        <w:rPr>
          <w:bCs/>
          <w:sz w:val="20"/>
          <w:szCs w:val="20"/>
        </w:rPr>
        <w:t xml:space="preserve">Các biến </w:t>
      </w:r>
      <w:r w:rsidR="00D34641" w:rsidRPr="00D34641">
        <w:rPr>
          <w:bCs/>
          <w:sz w:val="20"/>
          <w:szCs w:val="20"/>
        </w:rPr>
        <w:t>được sử dụng và kỳ vọng dấu</w:t>
      </w:r>
    </w:p>
    <w:tbl>
      <w:tblPr>
        <w:tblStyle w:val="TableGrid"/>
        <w:tblW w:w="5000" w:type="pct"/>
        <w:tblLook w:val="04A0" w:firstRow="1" w:lastRow="0" w:firstColumn="1" w:lastColumn="0" w:noHBand="0" w:noVBand="1"/>
      </w:tblPr>
      <w:tblGrid>
        <w:gridCol w:w="1054"/>
        <w:gridCol w:w="2701"/>
        <w:gridCol w:w="1624"/>
        <w:gridCol w:w="3966"/>
      </w:tblGrid>
      <w:tr w:rsidR="00116174" w:rsidRPr="00D34641" w14:paraId="3AFBE0BE" w14:textId="2C7D5215" w:rsidTr="00116174">
        <w:trPr>
          <w:tblHeader/>
        </w:trPr>
        <w:tc>
          <w:tcPr>
            <w:tcW w:w="564" w:type="pct"/>
          </w:tcPr>
          <w:p w14:paraId="5DE2D98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Biến</w:t>
            </w:r>
          </w:p>
        </w:tc>
        <w:tc>
          <w:tcPr>
            <w:tcW w:w="1445" w:type="pct"/>
          </w:tcPr>
          <w:p w14:paraId="62C084F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Mô tả biến</w:t>
            </w:r>
          </w:p>
        </w:tc>
        <w:tc>
          <w:tcPr>
            <w:tcW w:w="869" w:type="pct"/>
          </w:tcPr>
          <w:p w14:paraId="3D7D6B2B" w14:textId="48FB80A2" w:rsidR="00116174" w:rsidRPr="00D34641" w:rsidRDefault="00B97B86" w:rsidP="007E6771">
            <w:pPr>
              <w:tabs>
                <w:tab w:val="left" w:pos="360"/>
                <w:tab w:val="right" w:leader="hyphen" w:pos="9072"/>
              </w:tabs>
              <w:spacing w:before="120" w:after="120"/>
              <w:jc w:val="both"/>
              <w:rPr>
                <w:b/>
                <w:bCs/>
                <w:sz w:val="22"/>
                <w:szCs w:val="22"/>
              </w:rPr>
            </w:pPr>
            <w:r>
              <w:rPr>
                <w:b/>
                <w:bCs/>
                <w:sz w:val="22"/>
                <w:szCs w:val="22"/>
              </w:rPr>
              <w:t>K</w:t>
            </w:r>
            <w:r w:rsidR="00116174">
              <w:rPr>
                <w:b/>
                <w:bCs/>
                <w:sz w:val="22"/>
                <w:szCs w:val="22"/>
              </w:rPr>
              <w:t>ỳ vọng</w:t>
            </w:r>
            <w:r>
              <w:rPr>
                <w:b/>
                <w:bCs/>
                <w:sz w:val="22"/>
                <w:szCs w:val="22"/>
              </w:rPr>
              <w:t xml:space="preserve"> dấu</w:t>
            </w:r>
          </w:p>
        </w:tc>
        <w:tc>
          <w:tcPr>
            <w:tcW w:w="2122" w:type="pct"/>
          </w:tcPr>
          <w:p w14:paraId="5EC2BDDA" w14:textId="5EB76A7F"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Nguồn nghiên cứu</w:t>
            </w:r>
          </w:p>
        </w:tc>
      </w:tr>
      <w:tr w:rsidR="00116174" w:rsidRPr="00D34641" w14:paraId="22D28CEF" w14:textId="0C145BAB" w:rsidTr="00116174">
        <w:tc>
          <w:tcPr>
            <w:tcW w:w="564" w:type="pct"/>
            <w:vAlign w:val="center"/>
          </w:tcPr>
          <w:p w14:paraId="6BE9A406" w14:textId="569D367B" w:rsidR="00116174" w:rsidRPr="00D34641" w:rsidRDefault="00116174" w:rsidP="00BB65AF">
            <w:pPr>
              <w:tabs>
                <w:tab w:val="left" w:pos="360"/>
                <w:tab w:val="right" w:leader="hyphen" w:pos="9072"/>
              </w:tabs>
              <w:spacing w:before="120" w:after="120"/>
              <w:rPr>
                <w:b/>
                <w:sz w:val="22"/>
                <w:szCs w:val="22"/>
              </w:rPr>
            </w:pPr>
            <w:r>
              <w:rPr>
                <w:b/>
                <w:sz w:val="22"/>
                <w:szCs w:val="22"/>
              </w:rPr>
              <w:t>Dòng vốn FDI (FDIR)</w:t>
            </w:r>
          </w:p>
        </w:tc>
        <w:tc>
          <w:tcPr>
            <w:tcW w:w="1445" w:type="pct"/>
            <w:vAlign w:val="center"/>
          </w:tcPr>
          <w:p w14:paraId="7D46738F" w14:textId="19D1792F" w:rsidR="00116174" w:rsidRPr="00D34641" w:rsidRDefault="00116174" w:rsidP="00BB65AF">
            <w:pPr>
              <w:tabs>
                <w:tab w:val="left" w:pos="360"/>
                <w:tab w:val="right" w:leader="hyphen" w:pos="9072"/>
              </w:tabs>
              <w:spacing w:before="120" w:after="120"/>
              <w:rPr>
                <w:sz w:val="22"/>
                <w:szCs w:val="22"/>
              </w:rPr>
            </w:pPr>
            <w:r>
              <w:rPr>
                <w:bCs/>
                <w:sz w:val="22"/>
                <w:szCs w:val="22"/>
              </w:rPr>
              <w:t>Vốn giải ngân thực tế</w:t>
            </w:r>
          </w:p>
        </w:tc>
        <w:tc>
          <w:tcPr>
            <w:tcW w:w="869" w:type="pct"/>
            <w:vAlign w:val="center"/>
          </w:tcPr>
          <w:p w14:paraId="040553AC" w14:textId="48176E45" w:rsidR="00116174" w:rsidRPr="00D34641" w:rsidRDefault="00116174" w:rsidP="00D34641">
            <w:pPr>
              <w:tabs>
                <w:tab w:val="left" w:pos="360"/>
                <w:tab w:val="right" w:leader="hyphen" w:pos="9072"/>
              </w:tabs>
              <w:spacing w:before="120" w:after="120"/>
              <w:rPr>
                <w:sz w:val="22"/>
                <w:szCs w:val="22"/>
              </w:rPr>
            </w:pPr>
            <w:r>
              <w:rPr>
                <w:sz w:val="22"/>
                <w:szCs w:val="22"/>
              </w:rPr>
              <w:t>Biến phụ thuộc</w:t>
            </w:r>
          </w:p>
        </w:tc>
        <w:tc>
          <w:tcPr>
            <w:tcW w:w="2122" w:type="pct"/>
            <w:vAlign w:val="center"/>
          </w:tcPr>
          <w:p w14:paraId="040D6B4B" w14:textId="74FEC6B6" w:rsidR="00116174" w:rsidRPr="00D34641" w:rsidRDefault="00116174" w:rsidP="00BB65AF">
            <w:pPr>
              <w:tabs>
                <w:tab w:val="left" w:pos="360"/>
                <w:tab w:val="right" w:leader="hyphen" w:pos="9072"/>
              </w:tabs>
              <w:spacing w:before="120" w:after="120"/>
              <w:jc w:val="both"/>
              <w:rPr>
                <w:sz w:val="22"/>
                <w:szCs w:val="22"/>
              </w:rPr>
            </w:pPr>
            <w:r>
              <w:rPr>
                <w:sz w:val="22"/>
                <w:szCs w:val="22"/>
              </w:rPr>
              <w:t>-</w:t>
            </w:r>
          </w:p>
        </w:tc>
      </w:tr>
      <w:tr w:rsidR="00116174" w:rsidRPr="00D34641" w14:paraId="6E33F4E7" w14:textId="4E27081C" w:rsidTr="00116174">
        <w:tc>
          <w:tcPr>
            <w:tcW w:w="564" w:type="pct"/>
            <w:vAlign w:val="center"/>
          </w:tcPr>
          <w:p w14:paraId="02758206" w14:textId="640F3C73" w:rsidR="00116174" w:rsidRPr="00D34641" w:rsidRDefault="00116174" w:rsidP="00BB65AF">
            <w:pPr>
              <w:tabs>
                <w:tab w:val="left" w:pos="360"/>
                <w:tab w:val="right" w:leader="hyphen" w:pos="9072"/>
              </w:tabs>
              <w:spacing w:before="120" w:after="120"/>
              <w:rPr>
                <w:b/>
                <w:sz w:val="22"/>
                <w:szCs w:val="22"/>
              </w:rPr>
            </w:pPr>
            <w:r>
              <w:rPr>
                <w:b/>
                <w:sz w:val="22"/>
                <w:szCs w:val="22"/>
              </w:rPr>
              <w:t>Bất định lạm phát (INFU)</w:t>
            </w:r>
          </w:p>
        </w:tc>
        <w:tc>
          <w:tcPr>
            <w:tcW w:w="1445" w:type="pct"/>
            <w:vAlign w:val="center"/>
          </w:tcPr>
          <w:p w14:paraId="7109C172" w14:textId="5913B988" w:rsidR="00116174" w:rsidRPr="00D34641" w:rsidRDefault="00116174" w:rsidP="00BB65AF">
            <w:pPr>
              <w:tabs>
                <w:tab w:val="left" w:pos="360"/>
                <w:tab w:val="right" w:leader="hyphen" w:pos="9072"/>
              </w:tabs>
              <w:spacing w:before="120" w:after="120"/>
              <w:rPr>
                <w:sz w:val="22"/>
                <w:szCs w:val="22"/>
              </w:rPr>
            </w:pPr>
            <w:r w:rsidRPr="00D34641">
              <w:rPr>
                <w:bCs/>
                <w:sz w:val="22"/>
                <w:szCs w:val="22"/>
              </w:rPr>
              <w:t>Độ biến động của lạm phát, được tính bằng mô hình GARCH(1,1)</w:t>
            </w:r>
          </w:p>
        </w:tc>
        <w:tc>
          <w:tcPr>
            <w:tcW w:w="869" w:type="pct"/>
            <w:vAlign w:val="center"/>
          </w:tcPr>
          <w:p w14:paraId="2F7D4739" w14:textId="7090985C" w:rsidR="00116174" w:rsidRPr="00D34641" w:rsidRDefault="00116174" w:rsidP="00D34641">
            <w:pPr>
              <w:tabs>
                <w:tab w:val="left" w:pos="360"/>
                <w:tab w:val="right" w:leader="hyphen" w:pos="9072"/>
              </w:tabs>
              <w:spacing w:before="120" w:after="120"/>
              <w:rPr>
                <w:bCs/>
                <w:sz w:val="22"/>
                <w:szCs w:val="22"/>
              </w:rPr>
            </w:pPr>
            <w:r>
              <w:rPr>
                <w:bCs/>
                <w:sz w:val="22"/>
                <w:szCs w:val="22"/>
              </w:rPr>
              <w:t>Âm (-)</w:t>
            </w:r>
          </w:p>
        </w:tc>
        <w:tc>
          <w:tcPr>
            <w:tcW w:w="2122" w:type="pct"/>
            <w:vAlign w:val="center"/>
          </w:tcPr>
          <w:p w14:paraId="4A6EF369" w14:textId="20A54289" w:rsidR="00116174" w:rsidRPr="00D34641" w:rsidRDefault="00116174" w:rsidP="00BB65AF">
            <w:pPr>
              <w:tabs>
                <w:tab w:val="left" w:pos="360"/>
                <w:tab w:val="right" w:leader="hyphen" w:pos="9072"/>
              </w:tabs>
              <w:spacing w:before="120" w:after="120"/>
              <w:jc w:val="both"/>
              <w:rPr>
                <w:bCs/>
                <w:sz w:val="22"/>
                <w:szCs w:val="22"/>
              </w:rPr>
            </w:pPr>
            <w:r w:rsidRPr="00D34641">
              <w:rPr>
                <w:bCs/>
                <w:sz w:val="22"/>
                <w:szCs w:val="22"/>
              </w:rPr>
              <w:t xml:space="preserve">Udoh &amp; Egwaikhide (2008), Azam </w:t>
            </w:r>
            <w:r>
              <w:rPr>
                <w:bCs/>
                <w:sz w:val="22"/>
                <w:szCs w:val="22"/>
              </w:rPr>
              <w:t>&amp; cộng sự</w:t>
            </w:r>
            <w:r w:rsidRPr="00D34641">
              <w:rPr>
                <w:bCs/>
                <w:sz w:val="22"/>
                <w:szCs w:val="22"/>
              </w:rPr>
              <w:t xml:space="preserve"> (2012), Friedman (1977), Williamson (1975)</w:t>
            </w:r>
          </w:p>
        </w:tc>
      </w:tr>
      <w:tr w:rsidR="00116174" w:rsidRPr="00D34641" w14:paraId="3A3CFF92" w14:textId="2110D60A" w:rsidTr="00116174">
        <w:tc>
          <w:tcPr>
            <w:tcW w:w="564" w:type="pct"/>
            <w:vAlign w:val="center"/>
          </w:tcPr>
          <w:p w14:paraId="5A47409F" w14:textId="2CEB3F63" w:rsidR="00116174" w:rsidRPr="00D34641" w:rsidRDefault="00116174" w:rsidP="00BB65AF">
            <w:pPr>
              <w:tabs>
                <w:tab w:val="left" w:pos="360"/>
                <w:tab w:val="right" w:leader="hyphen" w:pos="9072"/>
              </w:tabs>
              <w:spacing w:before="120" w:after="120"/>
              <w:rPr>
                <w:b/>
                <w:sz w:val="22"/>
                <w:szCs w:val="22"/>
              </w:rPr>
            </w:pPr>
            <w:r>
              <w:rPr>
                <w:b/>
                <w:sz w:val="22"/>
                <w:szCs w:val="22"/>
              </w:rPr>
              <w:t>Tăng trưởng kinh tế (GDP)</w:t>
            </w:r>
          </w:p>
        </w:tc>
        <w:tc>
          <w:tcPr>
            <w:tcW w:w="1445" w:type="pct"/>
            <w:vAlign w:val="center"/>
          </w:tcPr>
          <w:p w14:paraId="7A86F397" w14:textId="119913BF" w:rsidR="00116174" w:rsidRPr="00D34641" w:rsidRDefault="00116174" w:rsidP="00BB65AF">
            <w:pPr>
              <w:tabs>
                <w:tab w:val="left" w:pos="360"/>
                <w:tab w:val="right" w:leader="hyphen" w:pos="9072"/>
              </w:tabs>
              <w:spacing w:before="120" w:after="120"/>
              <w:rPr>
                <w:sz w:val="22"/>
                <w:szCs w:val="22"/>
              </w:rPr>
            </w:pPr>
            <w:r w:rsidRPr="00D34641">
              <w:rPr>
                <w:sz w:val="22"/>
                <w:szCs w:val="22"/>
              </w:rPr>
              <w:t>Tỷ lệ tăng trưởng GDP thực</w:t>
            </w:r>
          </w:p>
        </w:tc>
        <w:tc>
          <w:tcPr>
            <w:tcW w:w="869" w:type="pct"/>
            <w:vAlign w:val="center"/>
          </w:tcPr>
          <w:p w14:paraId="5EF6FA7C" w14:textId="755A8499" w:rsidR="00116174" w:rsidRPr="00D34641" w:rsidRDefault="00116174" w:rsidP="00D34641">
            <w:pPr>
              <w:tabs>
                <w:tab w:val="left" w:pos="360"/>
                <w:tab w:val="right" w:leader="hyphen" w:pos="9072"/>
              </w:tabs>
              <w:spacing w:before="120" w:after="120"/>
              <w:rPr>
                <w:bCs/>
                <w:sz w:val="22"/>
                <w:szCs w:val="22"/>
              </w:rPr>
            </w:pPr>
            <w:r w:rsidRPr="00D34641">
              <w:rPr>
                <w:bCs/>
                <w:sz w:val="22"/>
                <w:szCs w:val="22"/>
              </w:rPr>
              <w:t>Dương (+)</w:t>
            </w:r>
          </w:p>
        </w:tc>
        <w:tc>
          <w:tcPr>
            <w:tcW w:w="2122" w:type="pct"/>
            <w:vAlign w:val="center"/>
          </w:tcPr>
          <w:p w14:paraId="1DEFFF33" w14:textId="2FADA244" w:rsidR="00116174" w:rsidRPr="00D34641" w:rsidRDefault="00116174" w:rsidP="00BB65AF">
            <w:pPr>
              <w:tabs>
                <w:tab w:val="left" w:pos="360"/>
                <w:tab w:val="right" w:leader="hyphen" w:pos="9072"/>
              </w:tabs>
              <w:spacing w:before="120" w:after="120"/>
              <w:jc w:val="both"/>
              <w:rPr>
                <w:sz w:val="22"/>
                <w:szCs w:val="22"/>
              </w:rPr>
            </w:pPr>
            <w:r w:rsidRPr="00D34641">
              <w:rPr>
                <w:sz w:val="22"/>
                <w:szCs w:val="22"/>
              </w:rPr>
              <w:t>Dunning (1980)</w:t>
            </w:r>
          </w:p>
        </w:tc>
      </w:tr>
    </w:tbl>
    <w:p w14:paraId="0D219C35" w14:textId="269858B6" w:rsidR="004057CB" w:rsidRPr="00D34641" w:rsidRDefault="004B2819" w:rsidP="004B2819">
      <w:pPr>
        <w:tabs>
          <w:tab w:val="left" w:pos="360"/>
          <w:tab w:val="right" w:leader="hyphen" w:pos="9072"/>
        </w:tabs>
        <w:spacing w:before="120" w:after="120"/>
        <w:jc w:val="right"/>
        <w:rPr>
          <w:bCs/>
          <w:sz w:val="22"/>
          <w:szCs w:val="22"/>
        </w:rPr>
      </w:pPr>
      <w:r w:rsidRPr="00D34641">
        <w:rPr>
          <w:rFonts w:eastAsia="Arial"/>
          <w:i/>
          <w:iCs/>
          <w:color w:val="000000" w:themeColor="text1"/>
          <w:sz w:val="22"/>
          <w:szCs w:val="22"/>
        </w:rPr>
        <w:t xml:space="preserve">Nguồn: </w:t>
      </w:r>
      <w:r w:rsidR="00D34641">
        <w:rPr>
          <w:rFonts w:eastAsia="Arial"/>
          <w:i/>
          <w:iCs/>
          <w:color w:val="000000" w:themeColor="text1"/>
          <w:sz w:val="22"/>
          <w:szCs w:val="22"/>
        </w:rPr>
        <w:t>Tổng hợp</w:t>
      </w:r>
      <w:r w:rsidRPr="00D34641">
        <w:rPr>
          <w:rFonts w:eastAsia="Arial"/>
          <w:i/>
          <w:iCs/>
          <w:color w:val="000000" w:themeColor="text1"/>
          <w:sz w:val="22"/>
          <w:szCs w:val="22"/>
        </w:rPr>
        <w:t xml:space="preserve"> của tác giả, năm 202</w:t>
      </w:r>
      <w:r w:rsidR="00D34641">
        <w:rPr>
          <w:rFonts w:eastAsia="Arial"/>
          <w:i/>
          <w:iCs/>
          <w:color w:val="000000" w:themeColor="text1"/>
          <w:sz w:val="22"/>
          <w:szCs w:val="22"/>
        </w:rPr>
        <w:t>5</w:t>
      </w:r>
    </w:p>
    <w:p w14:paraId="47D43329" w14:textId="77777777" w:rsidR="00C702F9" w:rsidRPr="00D34641" w:rsidRDefault="00C702F9" w:rsidP="00943878">
      <w:pPr>
        <w:tabs>
          <w:tab w:val="left" w:pos="360"/>
          <w:tab w:val="right" w:leader="hyphen" w:pos="9072"/>
        </w:tabs>
        <w:spacing w:before="120" w:after="120"/>
        <w:jc w:val="both"/>
        <w:rPr>
          <w:bCs/>
          <w:sz w:val="22"/>
          <w:szCs w:val="22"/>
        </w:rPr>
        <w:sectPr w:rsidR="00C702F9" w:rsidRPr="00D34641" w:rsidSect="001C1701">
          <w:type w:val="continuous"/>
          <w:pgSz w:w="11907" w:h="16840" w:code="9"/>
          <w:pgMar w:top="1134" w:right="1134" w:bottom="1134" w:left="1418" w:header="720" w:footer="720" w:gutter="0"/>
          <w:cols w:space="567"/>
          <w:docGrid w:linePitch="360"/>
        </w:sectPr>
      </w:pPr>
    </w:p>
    <w:p w14:paraId="725CA5B9" w14:textId="53E1922D" w:rsidR="00D34641" w:rsidRDefault="00D34641" w:rsidP="00D34641">
      <w:pPr>
        <w:tabs>
          <w:tab w:val="right" w:leader="hyphen" w:pos="9072"/>
        </w:tabs>
        <w:spacing w:before="120" w:after="120"/>
        <w:jc w:val="both"/>
        <w:rPr>
          <w:b/>
          <w:i/>
          <w:iCs/>
          <w:sz w:val="22"/>
          <w:szCs w:val="22"/>
        </w:rPr>
      </w:pPr>
      <w:r>
        <w:rPr>
          <w:b/>
          <w:i/>
          <w:iCs/>
          <w:sz w:val="22"/>
          <w:szCs w:val="22"/>
        </w:rPr>
        <w:t>3.3. Phương pháp nghiên cứu</w:t>
      </w:r>
    </w:p>
    <w:p w14:paraId="2EA78617" w14:textId="0B5DE477" w:rsidR="00D34641" w:rsidRPr="00D34641" w:rsidRDefault="00D34641" w:rsidP="00D34641">
      <w:pPr>
        <w:tabs>
          <w:tab w:val="right" w:leader="hyphen" w:pos="9072"/>
        </w:tabs>
        <w:spacing w:before="120" w:after="120"/>
        <w:jc w:val="both"/>
        <w:rPr>
          <w:bCs/>
          <w:i/>
          <w:iCs/>
          <w:sz w:val="22"/>
          <w:szCs w:val="22"/>
        </w:rPr>
      </w:pPr>
      <w:r>
        <w:rPr>
          <w:bCs/>
          <w:i/>
          <w:iCs/>
          <w:sz w:val="22"/>
          <w:szCs w:val="22"/>
        </w:rPr>
        <w:t>GARCH(1,1)</w:t>
      </w:r>
    </w:p>
    <w:p w14:paraId="2E3D97B8" w14:textId="0075C8EF"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lastRenderedPageBreak/>
        <w:t>Để phân tích tác động của bất định lạm phát đến dòng vốn FDI, nghiên cứu trước tiên đo lường mức độ bất định lạm phát thông qua mô hình GARCH, cụ thể là GARCH(1,1). Mô hình GARCH(1,1) được sử dụng phổ biến trong các nghiên cứu kinh tế nhằm mô phỏng sự biến động thay đổi theo thời gian của các chuỗi tài chính và kinh tế vĩ mô, như lạm phát. Mô hình bao gồm hai phương trình: phương trình trung bình và phương trình phương sai.</w:t>
      </w:r>
    </w:p>
    <w:p w14:paraId="11E584D9" w14:textId="7C3A2498"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Trước tiên, tỷ lệ lạm phát (</w:t>
      </w:r>
      <w:r w:rsidRPr="00D34641">
        <w:rPr>
          <w:rFonts w:ascii="Cambria Math" w:hAnsi="Cambria Math" w:cs="Cambria Math"/>
          <w:sz w:val="22"/>
          <w:szCs w:val="22"/>
        </w:rPr>
        <w:t>𝜋</w:t>
      </w:r>
      <w:r w:rsidRPr="00D34641">
        <w:rPr>
          <w:rFonts w:ascii="Cambria Math" w:hAnsi="Cambria Math" w:cs="Cambria Math"/>
          <w:sz w:val="22"/>
          <w:szCs w:val="22"/>
          <w:vertAlign w:val="subscript"/>
        </w:rPr>
        <w:t>t</w:t>
      </w:r>
      <w:r w:rsidRPr="00D34641">
        <w:rPr>
          <w:sz w:val="22"/>
          <w:szCs w:val="22"/>
        </w:rPr>
        <w:t>) được mô hình hóa bằng quá trình tự hồi quy bậc nhất (AR(1)) nhằm phản ánh tính dai dẳng của lạm phát: π</w:t>
      </w:r>
      <w:r w:rsidRPr="00D34641">
        <w:rPr>
          <w:sz w:val="22"/>
          <w:szCs w:val="22"/>
          <w:vertAlign w:val="subscript"/>
        </w:rPr>
        <w:t>t</w:t>
      </w:r>
      <w:r w:rsidRPr="00D34641">
        <w:rPr>
          <w:sz w:val="22"/>
          <w:szCs w:val="22"/>
        </w:rPr>
        <w:t>​=α</w:t>
      </w:r>
      <w:r w:rsidRPr="00D34641">
        <w:rPr>
          <w:sz w:val="22"/>
          <w:szCs w:val="22"/>
          <w:vertAlign w:val="subscript"/>
        </w:rPr>
        <w:t>0</w:t>
      </w:r>
      <w:r w:rsidRPr="00D34641">
        <w:rPr>
          <w:sz w:val="22"/>
          <w:szCs w:val="22"/>
        </w:rPr>
        <w:t>​+α</w:t>
      </w:r>
      <w:r w:rsidRPr="00D34641">
        <w:rPr>
          <w:sz w:val="22"/>
          <w:szCs w:val="22"/>
          <w:vertAlign w:val="subscript"/>
        </w:rPr>
        <w:t>1</w:t>
      </w:r>
      <w:r w:rsidRPr="00D34641">
        <w:rPr>
          <w:sz w:val="22"/>
          <w:szCs w:val="22"/>
        </w:rPr>
        <w:t>​π</w:t>
      </w:r>
      <w:r w:rsidRPr="00D34641">
        <w:rPr>
          <w:sz w:val="22"/>
          <w:szCs w:val="22"/>
          <w:vertAlign w:val="subscript"/>
        </w:rPr>
        <w:t>t-1</w:t>
      </w:r>
      <w:r w:rsidRPr="00D34641">
        <w:rPr>
          <w:sz w:val="22"/>
          <w:szCs w:val="22"/>
        </w:rPr>
        <w:t>​+ϵ</w:t>
      </w:r>
      <w:r w:rsidRPr="00D34641">
        <w:rPr>
          <w:sz w:val="22"/>
          <w:szCs w:val="22"/>
          <w:vertAlign w:val="subscript"/>
        </w:rPr>
        <w:t>t</w:t>
      </w:r>
      <w:r w:rsidRPr="00D34641">
        <w:rPr>
          <w:sz w:val="22"/>
          <w:szCs w:val="22"/>
        </w:rPr>
        <w:t>. Trong đó: π</w:t>
      </w:r>
      <w:r>
        <w:rPr>
          <w:sz w:val="22"/>
          <w:szCs w:val="22"/>
          <w:vertAlign w:val="subscript"/>
        </w:rPr>
        <w:t>t</w:t>
      </w:r>
      <w:r w:rsidRPr="00D34641">
        <w:rPr>
          <w:sz w:val="22"/>
          <w:szCs w:val="22"/>
        </w:rPr>
        <w:t xml:space="preserve"> là tỷ lệ lạm phát tại thời điểm t,</w:t>
      </w:r>
      <w:r>
        <w:rPr>
          <w:sz w:val="22"/>
          <w:szCs w:val="22"/>
        </w:rPr>
        <w:t xml:space="preserve"> </w:t>
      </w:r>
      <w:r w:rsidRPr="00D34641">
        <w:rPr>
          <w:sz w:val="22"/>
          <w:szCs w:val="22"/>
        </w:rPr>
        <w:t>α</w:t>
      </w:r>
      <w:r>
        <w:rPr>
          <w:sz w:val="22"/>
          <w:szCs w:val="22"/>
          <w:vertAlign w:val="subscript"/>
        </w:rPr>
        <w:t>0</w:t>
      </w:r>
      <w:r w:rsidRPr="00D34641">
        <w:rPr>
          <w:sz w:val="22"/>
          <w:szCs w:val="22"/>
        </w:rPr>
        <w:t xml:space="preserve"> là hằng số,</w:t>
      </w:r>
      <w:r>
        <w:rPr>
          <w:sz w:val="22"/>
          <w:szCs w:val="22"/>
        </w:rPr>
        <w:t xml:space="preserve"> </w:t>
      </w:r>
      <w:r w:rsidRPr="00D34641">
        <w:rPr>
          <w:sz w:val="22"/>
          <w:szCs w:val="22"/>
        </w:rPr>
        <w:t>α</w:t>
      </w:r>
      <w:r>
        <w:rPr>
          <w:sz w:val="22"/>
          <w:szCs w:val="22"/>
          <w:vertAlign w:val="subscript"/>
        </w:rPr>
        <w:t>1</w:t>
      </w:r>
      <w:r w:rsidRPr="00D34641">
        <w:rPr>
          <w:sz w:val="22"/>
          <w:szCs w:val="22"/>
        </w:rPr>
        <w:t xml:space="preserve"> là hệ số tự hồi quy,</w:t>
      </w:r>
      <w:r>
        <w:rPr>
          <w:sz w:val="22"/>
          <w:szCs w:val="22"/>
        </w:rPr>
        <w:t xml:space="preserve"> </w:t>
      </w:r>
      <w:r w:rsidRPr="00D34641">
        <w:rPr>
          <w:sz w:val="22"/>
          <w:szCs w:val="22"/>
        </w:rPr>
        <w:t>ε</w:t>
      </w:r>
      <w:r>
        <w:rPr>
          <w:sz w:val="22"/>
          <w:szCs w:val="22"/>
          <w:vertAlign w:val="subscript"/>
        </w:rPr>
        <w:t>t</w:t>
      </w:r>
      <w:r w:rsidRPr="00D34641">
        <w:rPr>
          <w:sz w:val="22"/>
          <w:szCs w:val="22"/>
        </w:rPr>
        <w:t xml:space="preserve"> là sai số ngẫu nhiên,</w:t>
      </w:r>
      <w:r>
        <w:rPr>
          <w:sz w:val="22"/>
          <w:szCs w:val="22"/>
        </w:rPr>
        <w:t xml:space="preserve"> </w:t>
      </w:r>
      <w:r w:rsidRPr="00D34641">
        <w:rPr>
          <w:sz w:val="22"/>
          <w:szCs w:val="22"/>
        </w:rPr>
        <w:t>h</w:t>
      </w:r>
      <w:r>
        <w:rPr>
          <w:sz w:val="22"/>
          <w:szCs w:val="22"/>
          <w:vertAlign w:val="subscript"/>
        </w:rPr>
        <w:t>t</w:t>
      </w:r>
      <w:r w:rsidRPr="00D34641">
        <w:rPr>
          <w:sz w:val="22"/>
          <w:szCs w:val="22"/>
        </w:rPr>
        <w:t xml:space="preserve"> là phương sai có điều kiện của ε</w:t>
      </w:r>
      <w:r>
        <w:rPr>
          <w:sz w:val="22"/>
          <w:szCs w:val="22"/>
          <w:vertAlign w:val="subscript"/>
        </w:rPr>
        <w:t>t</w:t>
      </w:r>
      <w:r w:rsidRPr="00D34641">
        <w:rPr>
          <w:sz w:val="22"/>
          <w:szCs w:val="22"/>
        </w:rPr>
        <w:t>.</w:t>
      </w:r>
    </w:p>
    <w:p w14:paraId="29B258E5" w14:textId="089A65A6" w:rsidR="00C16380" w:rsidRPr="00C16380" w:rsidRDefault="00D34641" w:rsidP="00C16380">
      <w:pPr>
        <w:jc w:val="both"/>
        <w:rPr>
          <w:sz w:val="22"/>
          <w:szCs w:val="22"/>
        </w:rPr>
      </w:pPr>
      <w:r w:rsidRPr="00D34641">
        <w:rPr>
          <w:sz w:val="22"/>
          <w:szCs w:val="22"/>
        </w:rPr>
        <w:t>Phương sai có điều kiện h</w:t>
      </w:r>
      <w:r w:rsidRPr="00D34641">
        <w:rPr>
          <w:sz w:val="22"/>
          <w:szCs w:val="22"/>
          <w:vertAlign w:val="subscript"/>
        </w:rPr>
        <w:t>t</w:t>
      </w:r>
      <w:r w:rsidRPr="00D34641">
        <w:rPr>
          <w:sz w:val="22"/>
          <w:szCs w:val="22"/>
        </w:rPr>
        <w:t xml:space="preserve"> được mô hình hóa theo GARCH(1,1) như sau: h</w:t>
      </w:r>
      <w:r w:rsidRPr="00D34641">
        <w:rPr>
          <w:sz w:val="22"/>
          <w:szCs w:val="22"/>
          <w:vertAlign w:val="subscript"/>
        </w:rPr>
        <w:t>t</w:t>
      </w:r>
      <w:r w:rsidRPr="00D34641">
        <w:rPr>
          <w:sz w:val="22"/>
          <w:szCs w:val="22"/>
        </w:rPr>
        <w:t>​= ω+βϵ</w:t>
      </w:r>
      <w:r w:rsidRPr="00D34641">
        <w:rPr>
          <w:sz w:val="22"/>
          <w:szCs w:val="22"/>
          <w:vertAlign w:val="superscript"/>
        </w:rPr>
        <w:t>2</w:t>
      </w:r>
      <w:r w:rsidRPr="00D34641">
        <w:rPr>
          <w:sz w:val="22"/>
          <w:szCs w:val="22"/>
          <w:vertAlign w:val="subscript"/>
        </w:rPr>
        <w:t>t-1</w:t>
      </w:r>
      <w:r w:rsidRPr="00D34641">
        <w:rPr>
          <w:sz w:val="22"/>
          <w:szCs w:val="22"/>
        </w:rPr>
        <w:t>​+γh</w:t>
      </w:r>
      <w:r w:rsidRPr="00D34641">
        <w:rPr>
          <w:sz w:val="22"/>
          <w:szCs w:val="22"/>
          <w:vertAlign w:val="subscript"/>
        </w:rPr>
        <w:t>t</w:t>
      </w:r>
      <w:r w:rsidRPr="00D34641">
        <w:rPr>
          <w:sz w:val="22"/>
          <w:szCs w:val="22"/>
        </w:rPr>
        <w:t>−1. Trong đó:</w:t>
      </w:r>
      <w:r>
        <w:rPr>
          <w:sz w:val="22"/>
          <w:szCs w:val="22"/>
        </w:rPr>
        <w:t xml:space="preserve"> </w:t>
      </w:r>
      <w:r w:rsidRPr="00D34641">
        <w:rPr>
          <w:sz w:val="22"/>
          <w:szCs w:val="22"/>
        </w:rPr>
        <w:t>ω là hằng số,</w:t>
      </w:r>
      <w:r>
        <w:rPr>
          <w:sz w:val="22"/>
          <w:szCs w:val="22"/>
        </w:rPr>
        <w:t xml:space="preserve"> </w:t>
      </w:r>
      <w:r w:rsidRPr="00D34641">
        <w:rPr>
          <w:sz w:val="22"/>
          <w:szCs w:val="22"/>
        </w:rPr>
        <w:t>β đo lường tác động của phần dư bình phương trong quá khứ (hiệu ứng ARCH),</w:t>
      </w:r>
      <w:r>
        <w:rPr>
          <w:sz w:val="22"/>
          <w:szCs w:val="22"/>
        </w:rPr>
        <w:t xml:space="preserve"> </w:t>
      </w:r>
      <w:r w:rsidRPr="00D34641">
        <w:rPr>
          <w:sz w:val="22"/>
          <w:szCs w:val="22"/>
        </w:rPr>
        <w:t>γ phản ánh mức độ dai dẳng của biến động trong quá khứ (hiệu ứng GARCH).</w:t>
      </w:r>
      <w:r w:rsidR="00C16380">
        <w:rPr>
          <w:sz w:val="22"/>
          <w:szCs w:val="22"/>
        </w:rPr>
        <w:t xml:space="preserve"> </w:t>
      </w:r>
      <w:r w:rsidR="00C16380" w:rsidRPr="00C16380">
        <w:rPr>
          <w:sz w:val="22"/>
          <w:szCs w:val="22"/>
        </w:rPr>
        <w:t>Tổng β + γ phản ánh mức độ dai dẳng của bất định; giá trị gần bằng 1 cho thấy mức độ bất định cao. Phương sai có điều kiện h</w:t>
      </w:r>
      <w:r w:rsidR="00C16380">
        <w:rPr>
          <w:sz w:val="22"/>
          <w:szCs w:val="22"/>
          <w:vertAlign w:val="subscript"/>
        </w:rPr>
        <w:t>t</w:t>
      </w:r>
      <w:r w:rsidR="00C16380" w:rsidRPr="00C16380">
        <w:rPr>
          <w:sz w:val="22"/>
          <w:szCs w:val="22"/>
        </w:rPr>
        <w:t xml:space="preserve"> thu được từ mô hình này được sử dụng làm biến đại diện cho bất định lạm phát trong phân tích tiếp theo.</w:t>
      </w:r>
    </w:p>
    <w:p w14:paraId="36414160" w14:textId="21F3BB83" w:rsidR="00D34641" w:rsidRDefault="00C16380" w:rsidP="00D34641">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53FCC783" w14:textId="0F0F1DA0" w:rsidR="00C16380" w:rsidRPr="00116174" w:rsidRDefault="00C20C71" w:rsidP="00C16380">
      <w:pPr>
        <w:tabs>
          <w:tab w:val="left" w:pos="360"/>
          <w:tab w:val="right" w:leader="hyphen" w:pos="9072"/>
        </w:tabs>
        <w:spacing w:before="120" w:after="120"/>
        <w:jc w:val="both"/>
        <w:rPr>
          <w:sz w:val="22"/>
          <w:szCs w:val="22"/>
          <w:vertAlign w:val="superscript"/>
        </w:rPr>
      </w:pPr>
      <w:r w:rsidRPr="00C20C71">
        <w:rPr>
          <w:sz w:val="22"/>
          <w:szCs w:val="22"/>
        </w:rPr>
        <w:t>Kiểm định gốc đơn vị đóng vai trò là giai đoạn đầu tiên thiết yếu trong quy trình ước lượng, nhằm đánh giá tính ổn định của các chuỗi dữ liệu thời gian. Phần kiểm tra này được tiến hành để xác định xem các biến có ổn định ở mức sai phân gốc (I(0)) hay chỉ ổn định sau khi sai phân bậc một (I(1)). Nếu bỏ qua việc kiểm tra tính ổn định, có nguy cơ xảy ra hồi quy giả, nơi một chuỗi ổn định bị ảnh hưởng bởi chuỗi không ổn định, dẫn đến kết quả phân tích bị méo mó</w:t>
      </w:r>
      <w:r w:rsidR="00116174">
        <w:rPr>
          <w:sz w:val="22"/>
          <w:szCs w:val="22"/>
        </w:rPr>
        <w:t>.</w:t>
      </w:r>
      <w:r w:rsidR="00116174">
        <w:rPr>
          <w:sz w:val="22"/>
          <w:szCs w:val="22"/>
          <w:vertAlign w:val="superscript"/>
        </w:rPr>
        <w:t>12</w:t>
      </w:r>
    </w:p>
    <w:p w14:paraId="60AB13EA" w14:textId="268B7054" w:rsidR="00C16380" w:rsidRDefault="00AE586E" w:rsidP="00C16380">
      <w:pPr>
        <w:tabs>
          <w:tab w:val="left" w:pos="360"/>
          <w:tab w:val="right" w:leader="hyphen" w:pos="9072"/>
        </w:tabs>
        <w:spacing w:before="120" w:after="120"/>
        <w:jc w:val="both"/>
        <w:rPr>
          <w:sz w:val="22"/>
          <w:szCs w:val="22"/>
        </w:rPr>
      </w:pPr>
      <w:r w:rsidRPr="00AE586E">
        <w:rPr>
          <w:sz w:val="22"/>
          <w:szCs w:val="22"/>
        </w:rPr>
        <w:t>Phân tích này áp dụng hai phương pháp phổ biến là kiểm định</w:t>
      </w:r>
      <w:r>
        <w:rPr>
          <w:sz w:val="22"/>
          <w:szCs w:val="22"/>
        </w:rPr>
        <w:t xml:space="preserve"> </w:t>
      </w:r>
      <w:r w:rsidR="00C16380" w:rsidRPr="00C16380">
        <w:rPr>
          <w:sz w:val="22"/>
          <w:szCs w:val="22"/>
        </w:rPr>
        <w:t>Augmented Dickey-Fuller (ADF)</w:t>
      </w:r>
      <w:r w:rsidR="00116174">
        <w:rPr>
          <w:sz w:val="22"/>
          <w:szCs w:val="22"/>
          <w:vertAlign w:val="superscript"/>
        </w:rPr>
        <w:t xml:space="preserve">13 </w:t>
      </w:r>
      <w:r w:rsidR="00C16380" w:rsidRPr="00C16380">
        <w:rPr>
          <w:sz w:val="22"/>
          <w:szCs w:val="22"/>
        </w:rPr>
        <w:t>và kiểm định Phillips-Perron (PP)</w:t>
      </w:r>
      <w:r w:rsidR="00116174">
        <w:rPr>
          <w:sz w:val="22"/>
          <w:szCs w:val="22"/>
          <w:vertAlign w:val="superscript"/>
        </w:rPr>
        <w:t>14</w:t>
      </w:r>
      <w:r w:rsidR="00116174">
        <w:rPr>
          <w:sz w:val="22"/>
          <w:szCs w:val="22"/>
        </w:rPr>
        <w:t xml:space="preserve"> </w:t>
      </w:r>
      <w:r w:rsidR="00C16380" w:rsidRPr="00C16380">
        <w:rPr>
          <w:sz w:val="22"/>
          <w:szCs w:val="22"/>
        </w:rPr>
        <w:t xml:space="preserve">để đánh giá tính dừng của các biến. </w:t>
      </w:r>
      <w:r w:rsidR="00B20365" w:rsidRPr="00B20365">
        <w:rPr>
          <w:sz w:val="22"/>
          <w:szCs w:val="22"/>
        </w:rPr>
        <w:t>để đánh giá mức độ ổn định của các biến. Giả thuyết không</w:t>
      </w:r>
      <w:r w:rsidR="0055742A">
        <w:rPr>
          <w:sz w:val="22"/>
          <w:szCs w:val="22"/>
        </w:rPr>
        <w:t xml:space="preserve"> (H</w:t>
      </w:r>
      <w:r w:rsidR="0055742A">
        <w:rPr>
          <w:sz w:val="22"/>
          <w:szCs w:val="22"/>
          <w:vertAlign w:val="subscript"/>
        </w:rPr>
        <w:t>0</w:t>
      </w:r>
      <w:r w:rsidR="0055742A">
        <w:rPr>
          <w:sz w:val="22"/>
          <w:szCs w:val="22"/>
        </w:rPr>
        <w:t>)</w:t>
      </w:r>
      <w:r w:rsidR="00B20365" w:rsidRPr="00B20365">
        <w:rPr>
          <w:sz w:val="22"/>
          <w:szCs w:val="22"/>
        </w:rPr>
        <w:t xml:space="preserve"> trong các kiểm định này giả định rằng chuỗi dữ liệu tồn tại gốc đơn vị, nghĩa là không </w:t>
      </w:r>
      <w:r w:rsidR="0055742A">
        <w:rPr>
          <w:sz w:val="22"/>
          <w:szCs w:val="22"/>
        </w:rPr>
        <w:t>dừng</w:t>
      </w:r>
      <w:r w:rsidR="00B20365" w:rsidRPr="00B20365">
        <w:rPr>
          <w:sz w:val="22"/>
          <w:szCs w:val="22"/>
        </w:rPr>
        <w:t xml:space="preserve">. Việc chấp nhận hoặc bác bỏ </w:t>
      </w:r>
      <w:r w:rsidR="0055742A">
        <w:rPr>
          <w:sz w:val="22"/>
          <w:szCs w:val="22"/>
        </w:rPr>
        <w:t>H</w:t>
      </w:r>
      <w:r w:rsidR="0055742A">
        <w:rPr>
          <w:sz w:val="22"/>
          <w:szCs w:val="22"/>
          <w:vertAlign w:val="subscript"/>
        </w:rPr>
        <w:t>0</w:t>
      </w:r>
      <w:r w:rsidR="0055742A" w:rsidRPr="00B20365">
        <w:rPr>
          <w:sz w:val="22"/>
          <w:szCs w:val="22"/>
        </w:rPr>
        <w:t xml:space="preserve"> </w:t>
      </w:r>
      <w:r w:rsidR="00B20365" w:rsidRPr="00B20365">
        <w:rPr>
          <w:sz w:val="22"/>
          <w:szCs w:val="22"/>
        </w:rPr>
        <w:t xml:space="preserve">dựa trên việc so sánh giá trị thống kê t của hệ số trễ với ngưỡng tới hạn. Cụ thể, nếu giá trị t nhỏ hơn ngưỡng tới hạn, </w:t>
      </w:r>
      <w:r w:rsidR="0055742A">
        <w:rPr>
          <w:sz w:val="22"/>
          <w:szCs w:val="22"/>
        </w:rPr>
        <w:t>H</w:t>
      </w:r>
      <w:r w:rsidR="0055742A">
        <w:rPr>
          <w:sz w:val="22"/>
          <w:szCs w:val="22"/>
          <w:vertAlign w:val="subscript"/>
        </w:rPr>
        <w:t>0</w:t>
      </w:r>
      <w:r w:rsidR="00B20365" w:rsidRPr="00B20365">
        <w:rPr>
          <w:sz w:val="22"/>
          <w:szCs w:val="22"/>
        </w:rPr>
        <w:t xml:space="preserve"> bị bác bỏ, chứng tỏ biến </w:t>
      </w:r>
      <w:r w:rsidR="0055742A">
        <w:rPr>
          <w:sz w:val="22"/>
          <w:szCs w:val="22"/>
        </w:rPr>
        <w:t>dừng</w:t>
      </w:r>
      <w:r w:rsidR="00B20365" w:rsidRPr="00B20365">
        <w:rPr>
          <w:sz w:val="22"/>
          <w:szCs w:val="22"/>
        </w:rPr>
        <w:t xml:space="preserve">; ngược lại, nếu lớn hơn, </w:t>
      </w:r>
      <w:r w:rsidR="0055742A">
        <w:rPr>
          <w:sz w:val="22"/>
          <w:szCs w:val="22"/>
        </w:rPr>
        <w:t>H</w:t>
      </w:r>
      <w:r w:rsidR="0055742A">
        <w:rPr>
          <w:sz w:val="22"/>
          <w:szCs w:val="22"/>
          <w:vertAlign w:val="subscript"/>
        </w:rPr>
        <w:t>0</w:t>
      </w:r>
      <w:r w:rsidR="0055742A">
        <w:rPr>
          <w:sz w:val="22"/>
          <w:szCs w:val="22"/>
        </w:rPr>
        <w:t xml:space="preserve"> </w:t>
      </w:r>
      <w:r w:rsidR="00B20365" w:rsidRPr="00B20365">
        <w:rPr>
          <w:sz w:val="22"/>
          <w:szCs w:val="22"/>
        </w:rPr>
        <w:t xml:space="preserve">được chấp nhận và biến được coi là không </w:t>
      </w:r>
      <w:r w:rsidR="0055742A">
        <w:rPr>
          <w:sz w:val="22"/>
          <w:szCs w:val="22"/>
        </w:rPr>
        <w:t>dừng</w:t>
      </w:r>
    </w:p>
    <w:p w14:paraId="457C51AB" w14:textId="77777777"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đồng liên kết ARDL</w:t>
      </w:r>
    </w:p>
    <w:p w14:paraId="75A6A4B9" w14:textId="11BC2941" w:rsidR="00C16380" w:rsidRPr="00C16380" w:rsidRDefault="00CC39AF" w:rsidP="00CC39AF">
      <w:pPr>
        <w:tabs>
          <w:tab w:val="left" w:pos="360"/>
          <w:tab w:val="right" w:leader="hyphen" w:pos="9072"/>
        </w:tabs>
        <w:spacing w:before="120" w:after="120"/>
        <w:jc w:val="both"/>
        <w:rPr>
          <w:sz w:val="22"/>
          <w:szCs w:val="22"/>
        </w:rPr>
      </w:pPr>
      <w:r w:rsidRPr="00CC39AF">
        <w:rPr>
          <w:sz w:val="22"/>
          <w:szCs w:val="22"/>
        </w:rPr>
        <w:t xml:space="preserve">Kiểm định đồng liên kết ARDL là bước tiếp theo trong quá trình phân tích nhằm đánh giá mối quan hệ dài hạn giữa các biến số. Trong khi các tài liệu </w:t>
      </w:r>
      <w:r w:rsidRPr="00CC39AF">
        <w:rPr>
          <w:sz w:val="22"/>
          <w:szCs w:val="22"/>
        </w:rPr>
        <w:t>kinh tế học truyền thống thường sử dụng phương pháp đồng liên kết Johansen để xác định mối liên hệ dài hạn, đặc biệt khi mọi biến đều tích hợp bậc I(1), các nghiên cứu gần đây đã giới thiệu kiểm định đồng liên kết ARDL như một phương pháp thay thế ưu việt.</w:t>
      </w:r>
    </w:p>
    <w:p w14:paraId="643496B6" w14:textId="4FB684D7" w:rsidR="00C16380" w:rsidRDefault="00E37FB0" w:rsidP="00C16380">
      <w:pPr>
        <w:tabs>
          <w:tab w:val="left" w:pos="360"/>
          <w:tab w:val="right" w:leader="hyphen" w:pos="9072"/>
        </w:tabs>
        <w:spacing w:before="120" w:after="120"/>
        <w:jc w:val="both"/>
        <w:rPr>
          <w:sz w:val="22"/>
          <w:szCs w:val="22"/>
        </w:rPr>
      </w:pPr>
      <w:r w:rsidRPr="00E37FB0">
        <w:rPr>
          <w:sz w:val="22"/>
          <w:szCs w:val="22"/>
        </w:rPr>
        <w:t xml:space="preserve">Phương pháp ARDL mang lại nhiều ưu điểm vượt trội so với cách tiếp cận Johansen. Đầu tiên, nó hoạt động hiệu quả với các mẫu dữ liệu có quy mô nhỏ. Với 92 quan sát theo quý (từ 2002 đến 2024), cỡ mẫu trong nghiên cứu này phù hợp để áp dụng ARDL. Thứ hai, ARDL cho phép sử dụng phương pháp bình phương nhỏ nhất (OLS) để ước lượng mối quan hệ đồng liên kết sau khi xác định độ trễ tối ưu, giúp tăng tính hiệu quả trong phân tích. Cuối cùng, ARDL có khả năng xử lý các biến với bậc tích hợp hỗn hợp, tức là kết hợp giữa I(0) và I(1), mà không đòi hỏi tất cả biến phải cùng tích hợp bậc I(1) như yêu cầu của phương pháp Johansen. Do đó, ARDL được xem là lựa chọn lý tưởng cho nghiên cứu này, đặc biệt khi tính </w:t>
      </w:r>
      <w:r>
        <w:rPr>
          <w:sz w:val="22"/>
          <w:szCs w:val="22"/>
        </w:rPr>
        <w:t>dừng</w:t>
      </w:r>
      <w:r w:rsidRPr="00E37FB0">
        <w:rPr>
          <w:sz w:val="22"/>
          <w:szCs w:val="22"/>
        </w:rPr>
        <w:t xml:space="preserve"> của các biến có thể khác nhau</w:t>
      </w:r>
      <w:r w:rsidR="00C16380" w:rsidRPr="00C16380">
        <w:rPr>
          <w:sz w:val="22"/>
          <w:szCs w:val="22"/>
        </w:rPr>
        <w:t>.</w:t>
      </w:r>
    </w:p>
    <w:p w14:paraId="149225E3" w14:textId="2D120F1A"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 xml:space="preserve">Kiểm định </w:t>
      </w:r>
      <w:r w:rsidR="00A55D10">
        <w:rPr>
          <w:i/>
          <w:iCs/>
          <w:sz w:val="22"/>
          <w:szCs w:val="22"/>
        </w:rPr>
        <w:t>đường bao (</w:t>
      </w:r>
      <w:r w:rsidRPr="00C16380">
        <w:rPr>
          <w:i/>
          <w:iCs/>
          <w:sz w:val="22"/>
          <w:szCs w:val="22"/>
        </w:rPr>
        <w:t>Bound</w:t>
      </w:r>
      <w:r w:rsidR="00A55D10">
        <w:rPr>
          <w:i/>
          <w:iCs/>
          <w:sz w:val="22"/>
          <w:szCs w:val="22"/>
        </w:rPr>
        <w:t xml:space="preserve"> test)</w:t>
      </w:r>
      <w:r w:rsidRPr="00C16380">
        <w:rPr>
          <w:i/>
          <w:iCs/>
          <w:sz w:val="22"/>
          <w:szCs w:val="22"/>
        </w:rPr>
        <w:t xml:space="preserve"> trong mô hình ARDL</w:t>
      </w:r>
    </w:p>
    <w:p w14:paraId="149C721C" w14:textId="6E088403" w:rsidR="00C16380" w:rsidRPr="00C16380" w:rsidRDefault="00312EE1" w:rsidP="00C16380">
      <w:pPr>
        <w:tabs>
          <w:tab w:val="left" w:pos="360"/>
          <w:tab w:val="right" w:leader="hyphen" w:pos="9072"/>
        </w:tabs>
        <w:spacing w:before="120" w:after="120"/>
        <w:jc w:val="both"/>
        <w:rPr>
          <w:sz w:val="22"/>
          <w:szCs w:val="22"/>
        </w:rPr>
      </w:pPr>
      <w:r w:rsidRPr="00312EE1">
        <w:rPr>
          <w:sz w:val="22"/>
          <w:szCs w:val="22"/>
        </w:rPr>
        <w:t>Kiểm định đường bao (Bound test) trong mô hình ARDL được thực hiện qua hai giai đoạn chính để xác định sự tồn tại của mối quan hệ dài hạn giữa các biến số. Đầu tiên, mô hình ARDL được ước lượng bằng phương pháp OLS nhằm kiểm tra khả năng có mối liên kết dài hạn giữa các biến. Sau đó, kiểm định F được áp dụng để đánh giá ý nghĩa thống kê tổng thể của các hệ số ở dạng mức có độ trễ</w:t>
      </w:r>
      <w:r w:rsidR="00C16380" w:rsidRPr="00C16380">
        <w:rPr>
          <w:sz w:val="22"/>
          <w:szCs w:val="22"/>
        </w:rPr>
        <w:t>.</w:t>
      </w:r>
    </w:p>
    <w:p w14:paraId="302F3A81" w14:textId="023C5B3C"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Giả thuyết không (H</w:t>
      </w:r>
      <w:r>
        <w:rPr>
          <w:sz w:val="22"/>
          <w:szCs w:val="22"/>
          <w:vertAlign w:val="subscript"/>
        </w:rPr>
        <w:t>0</w:t>
      </w:r>
      <w:r w:rsidRPr="00C16380">
        <w:rPr>
          <w:sz w:val="22"/>
          <w:szCs w:val="22"/>
        </w:rPr>
        <w:t xml:space="preserve">) cho rằng không </w:t>
      </w:r>
      <w:r w:rsidR="00613A8D">
        <w:rPr>
          <w:sz w:val="22"/>
          <w:szCs w:val="22"/>
        </w:rPr>
        <w:t>có</w:t>
      </w:r>
      <w:r w:rsidRPr="00C16380">
        <w:rPr>
          <w:sz w:val="22"/>
          <w:szCs w:val="22"/>
        </w:rPr>
        <w:t xml:space="preserve"> mối quan hệ dài hạn giữa các biến (H</w:t>
      </w:r>
      <w:r>
        <w:rPr>
          <w:sz w:val="22"/>
          <w:szCs w:val="22"/>
          <w:vertAlign w:val="subscript"/>
        </w:rPr>
        <w:t>0</w:t>
      </w:r>
      <w:r w:rsidRPr="00C16380">
        <w:rPr>
          <w:sz w:val="22"/>
          <w:szCs w:val="22"/>
        </w:rPr>
        <w:t>: β₁ = β₂ = β₃ = 0), trong khi giả thuyết đối (H</w:t>
      </w:r>
      <w:r>
        <w:rPr>
          <w:sz w:val="22"/>
          <w:szCs w:val="22"/>
          <w:vertAlign w:val="subscript"/>
        </w:rPr>
        <w:t>1</w:t>
      </w:r>
      <w:r w:rsidRPr="00C16380">
        <w:rPr>
          <w:sz w:val="22"/>
          <w:szCs w:val="22"/>
        </w:rPr>
        <w:t>) cho rằng có mối quan hệ dài hạn (H</w:t>
      </w:r>
      <w:r>
        <w:rPr>
          <w:sz w:val="22"/>
          <w:szCs w:val="22"/>
          <w:vertAlign w:val="subscript"/>
        </w:rPr>
        <w:t>1</w:t>
      </w:r>
      <w:r w:rsidRPr="00C16380">
        <w:rPr>
          <w:sz w:val="22"/>
          <w:szCs w:val="22"/>
        </w:rPr>
        <w:t xml:space="preserve">: β₁ ≠ β₂ ≠ β₃ ≠ 0). Các </w:t>
      </w:r>
      <w:r w:rsidR="00402349">
        <w:rPr>
          <w:sz w:val="22"/>
          <w:szCs w:val="22"/>
        </w:rPr>
        <w:t>ngưỡng</w:t>
      </w:r>
      <w:r w:rsidRPr="00C16380">
        <w:rPr>
          <w:sz w:val="22"/>
          <w:szCs w:val="22"/>
        </w:rPr>
        <w:t xml:space="preserve"> tới hạn của kiểm định F dựa trên phương pháp kiểm định Bound do bao gồm ngưỡng dưới (giả định tất cả biến là I(0)) và ngưỡng trên (giả định tất cả biến là I(1)).</w:t>
      </w:r>
    </w:p>
    <w:p w14:paraId="4FF33B62" w14:textId="77777777" w:rsidR="00AF586A" w:rsidRDefault="00AF586A" w:rsidP="00AE4A15">
      <w:pPr>
        <w:tabs>
          <w:tab w:val="left" w:pos="360"/>
          <w:tab w:val="right" w:leader="hyphen" w:pos="9072"/>
        </w:tabs>
        <w:spacing w:before="120" w:after="120"/>
        <w:jc w:val="both"/>
        <w:rPr>
          <w:sz w:val="22"/>
          <w:szCs w:val="22"/>
        </w:rPr>
      </w:pPr>
      <w:r w:rsidRPr="00AF586A">
        <w:rPr>
          <w:sz w:val="22"/>
          <w:szCs w:val="22"/>
        </w:rPr>
        <w:t>Nếu giá trị thống kê F vượt ngưỡng trên, giả thuyết không bị bác bỏ, chứng tỏ có đồng liên kết giữa các biến. Trường hợp giá trị F nằm giữa hai ngưỡng, kết luận không rõ ràng và cần phân tích thêm. Ngược lại, nếu giá trị F dưới ngưỡng dưới, không có bằng chứng xác nhận đồng liên kết. Khi mối quan hệ dài hạn được xác lập, mô hình ECM sẽ được áp dụng để phân tích động thái ngắn hạn của mô hình.</w:t>
      </w:r>
    </w:p>
    <w:p w14:paraId="27F6D60F" w14:textId="2FF11D06" w:rsidR="00C16380" w:rsidRDefault="006D20B4" w:rsidP="00AE4A15">
      <w:pPr>
        <w:tabs>
          <w:tab w:val="left" w:pos="360"/>
          <w:tab w:val="right" w:leader="hyphen" w:pos="9072"/>
        </w:tabs>
        <w:spacing w:before="120" w:after="120"/>
        <w:jc w:val="both"/>
        <w:rPr>
          <w:b/>
          <w:sz w:val="22"/>
          <w:szCs w:val="22"/>
        </w:rPr>
      </w:pPr>
      <w:r>
        <w:rPr>
          <w:b/>
          <w:sz w:val="22"/>
          <w:szCs w:val="22"/>
        </w:rPr>
        <w:t xml:space="preserve">3. </w:t>
      </w:r>
      <w:r w:rsidR="00C16380">
        <w:rPr>
          <w:b/>
          <w:sz w:val="22"/>
          <w:szCs w:val="22"/>
        </w:rPr>
        <w:t>KẾT QUẢ NGHIÊN CỨU VÀ THẢO LUẬN</w:t>
      </w:r>
    </w:p>
    <w:p w14:paraId="6E9B42AA" w14:textId="605E5D2B" w:rsidR="00C16380" w:rsidRPr="00D34641" w:rsidRDefault="00C16380" w:rsidP="00C16380">
      <w:pPr>
        <w:tabs>
          <w:tab w:val="right" w:leader="hyphen" w:pos="9072"/>
        </w:tabs>
        <w:spacing w:before="120" w:after="120"/>
        <w:jc w:val="both"/>
        <w:rPr>
          <w:bCs/>
          <w:i/>
          <w:iCs/>
          <w:sz w:val="22"/>
          <w:szCs w:val="22"/>
        </w:rPr>
      </w:pPr>
      <w:r>
        <w:rPr>
          <w:bCs/>
          <w:i/>
          <w:iCs/>
          <w:sz w:val="22"/>
          <w:szCs w:val="22"/>
        </w:rPr>
        <w:t>GARCH(1,1)</w:t>
      </w:r>
    </w:p>
    <w:p w14:paraId="6D17B511" w14:textId="73C32D4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lastRenderedPageBreak/>
        <w:t xml:space="preserve">Nghiên cứu sử dụng phương sai có điều kiện </w:t>
      </w:r>
      <w:r w:rsidR="00AF586A">
        <w:rPr>
          <w:bCs/>
          <w:sz w:val="22"/>
          <w:szCs w:val="22"/>
        </w:rPr>
        <w:t>của</w:t>
      </w:r>
      <w:r w:rsidRPr="00C16380">
        <w:rPr>
          <w:bCs/>
          <w:sz w:val="22"/>
          <w:szCs w:val="22"/>
        </w:rPr>
        <w:t xml:space="preserve"> mô hình GARCH(1,1) làm thước đo mức độ bất định của lạm phát. Theo đó, Hình 1 minh họa phương sai có điều kiện, hay bất định lạm phát, được trích xuất từ kết quả ước lượng GARCH(1,1) cho Việt Nam. </w:t>
      </w:r>
      <w:r>
        <w:rPr>
          <w:bCs/>
          <w:sz w:val="22"/>
          <w:szCs w:val="22"/>
        </w:rPr>
        <w:t>L</w:t>
      </w:r>
      <w:r w:rsidRPr="00C16380">
        <w:rPr>
          <w:bCs/>
          <w:sz w:val="22"/>
          <w:szCs w:val="22"/>
        </w:rPr>
        <w:t>ạm phát và bất định lạm phát</w:t>
      </w:r>
      <w:r>
        <w:rPr>
          <w:bCs/>
          <w:sz w:val="22"/>
          <w:szCs w:val="22"/>
        </w:rPr>
        <w:t xml:space="preserve"> </w:t>
      </w:r>
      <w:r w:rsidRPr="00C16380">
        <w:rPr>
          <w:bCs/>
          <w:sz w:val="22"/>
          <w:szCs w:val="22"/>
        </w:rPr>
        <w:t xml:space="preserve">đều ghi nhận mức </w:t>
      </w:r>
      <w:r w:rsidR="00A452F2">
        <w:rPr>
          <w:bCs/>
          <w:sz w:val="22"/>
          <w:szCs w:val="22"/>
        </w:rPr>
        <w:t>xê dịch</w:t>
      </w:r>
      <w:r w:rsidRPr="00C16380">
        <w:rPr>
          <w:bCs/>
          <w:sz w:val="22"/>
          <w:szCs w:val="22"/>
        </w:rPr>
        <w:t xml:space="preserve"> mạnh trong giai đoạn 2007–2011, với đỉnh lạm phát khoảng 10% vào năm 2008 và mức bất định lạm phát gần chạm ngưỡng 40%. Điều này </w:t>
      </w:r>
      <w:r w:rsidR="00A64065">
        <w:rPr>
          <w:bCs/>
          <w:sz w:val="22"/>
          <w:szCs w:val="22"/>
        </w:rPr>
        <w:t>thể hiện</w:t>
      </w:r>
      <w:r w:rsidRPr="00C16380">
        <w:rPr>
          <w:bCs/>
          <w:sz w:val="22"/>
          <w:szCs w:val="22"/>
        </w:rPr>
        <w:t xml:space="preserve"> có mối tương quan dương rõ rệt giữa hai biến trong </w:t>
      </w:r>
      <w:r w:rsidR="00A64065">
        <w:rPr>
          <w:bCs/>
          <w:sz w:val="22"/>
          <w:szCs w:val="22"/>
        </w:rPr>
        <w:t>thời kỳ</w:t>
      </w:r>
      <w:r w:rsidRPr="00C16380">
        <w:rPr>
          <w:bCs/>
          <w:sz w:val="22"/>
          <w:szCs w:val="22"/>
        </w:rPr>
        <w:t xml:space="preserve"> bất ổn kinh tế.</w:t>
      </w:r>
    </w:p>
    <w:p w14:paraId="6D4987B7" w14:textId="44509F6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Sau năm 2011, cả lạm phát và bất định lạm phát đều có xu hướng ổn định ở mức thấp (dưới 5%), </w:t>
      </w:r>
      <w:r w:rsidRPr="00C16380">
        <w:rPr>
          <w:bCs/>
          <w:sz w:val="22"/>
          <w:szCs w:val="22"/>
        </w:rPr>
        <w:t>phản ánh sự cải thiện của môi trường kinh tế vĩ mô. Tuy nhiên, trong năm 2022, bất định lạm phát lại có dấu hiệu tăng đột biến dù lạm phát vẫn ở mức thấp, cho thấy yếu tố bất định có thể tăng lên một cách độc lập so với lạm phát, có khả năng xuất phát từ các yếu tố bên ngoài như điều kiện kinh tế toàn cầu hoặc kỳ vọng về chính sách.</w:t>
      </w:r>
    </w:p>
    <w:p w14:paraId="1CB60075" w14:textId="38E856A4" w:rsidR="001F0178" w:rsidRPr="00C16380" w:rsidRDefault="00C16380" w:rsidP="00C16380">
      <w:pPr>
        <w:tabs>
          <w:tab w:val="left" w:pos="360"/>
          <w:tab w:val="right" w:leader="hyphen" w:pos="9072"/>
        </w:tabs>
        <w:spacing w:before="240" w:after="120"/>
        <w:jc w:val="both"/>
        <w:rPr>
          <w:bCs/>
          <w:sz w:val="20"/>
          <w:szCs w:val="20"/>
        </w:rPr>
        <w:sectPr w:rsidR="001F0178" w:rsidRPr="00C16380" w:rsidSect="00C702F9">
          <w:type w:val="continuous"/>
          <w:pgSz w:w="11907" w:h="16840" w:code="9"/>
          <w:pgMar w:top="1134" w:right="1134" w:bottom="1134" w:left="1418" w:header="720" w:footer="720" w:gutter="0"/>
          <w:cols w:num="2" w:space="567"/>
          <w:docGrid w:linePitch="360"/>
        </w:sectPr>
      </w:pPr>
      <w:r w:rsidRPr="00C16380">
        <w:rPr>
          <w:bCs/>
          <w:sz w:val="22"/>
          <w:szCs w:val="22"/>
        </w:rPr>
        <w:t>Nhìn chung, dữ liệu cho thấy có sự đồng biến giữa lạm phát và bất định lạm phát trong các giai đoạn kinh tế bất ổn, tuy nhiên mối quan hệ này trở nên yếu hơn trong các giai đoạn ổn định hơn của nền kinh tế.</w:t>
      </w:r>
    </w:p>
    <w:p w14:paraId="69DD0986" w14:textId="5FC34BB8" w:rsidR="00C16380" w:rsidRDefault="00C16380" w:rsidP="004B2819">
      <w:pPr>
        <w:tabs>
          <w:tab w:val="left" w:pos="360"/>
          <w:tab w:val="right" w:leader="hyphen" w:pos="9072"/>
        </w:tabs>
        <w:spacing w:before="240" w:after="120"/>
        <w:jc w:val="both"/>
        <w:rPr>
          <w:b/>
          <w:sz w:val="20"/>
          <w:szCs w:val="20"/>
        </w:rPr>
      </w:pPr>
      <w:r w:rsidRPr="00A24D1E">
        <w:rPr>
          <w:noProof/>
        </w:rPr>
        <w:drawing>
          <wp:inline distT="0" distB="0" distL="0" distR="0" wp14:anchorId="623CBD37" wp14:editId="16C7DCEA">
            <wp:extent cx="5940425" cy="2655037"/>
            <wp:effectExtent l="0" t="0" r="3175" b="0"/>
            <wp:docPr id="803446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91" t="870" r="1513" b="7534"/>
                    <a:stretch/>
                  </pic:blipFill>
                  <pic:spPr bwMode="auto">
                    <a:xfrm>
                      <a:off x="0" y="0"/>
                      <a:ext cx="5940425" cy="2655037"/>
                    </a:xfrm>
                    <a:prstGeom prst="rect">
                      <a:avLst/>
                    </a:prstGeom>
                    <a:noFill/>
                    <a:ln>
                      <a:noFill/>
                    </a:ln>
                    <a:extLst>
                      <a:ext uri="{53640926-AAD7-44D8-BBD7-CCE9431645EC}">
                        <a14:shadowObscured xmlns:a14="http://schemas.microsoft.com/office/drawing/2010/main"/>
                      </a:ext>
                    </a:extLst>
                  </pic:spPr>
                </pic:pic>
              </a:graphicData>
            </a:graphic>
          </wp:inline>
        </w:drawing>
      </w:r>
    </w:p>
    <w:p w14:paraId="0B54246F" w14:textId="2677891B" w:rsidR="00C16380" w:rsidRPr="00C16380" w:rsidRDefault="00A55D10" w:rsidP="004B2819">
      <w:pPr>
        <w:tabs>
          <w:tab w:val="left" w:pos="360"/>
          <w:tab w:val="right" w:leader="hyphen" w:pos="9072"/>
        </w:tabs>
        <w:spacing w:before="240" w:after="120"/>
        <w:jc w:val="both"/>
        <w:rPr>
          <w:bCs/>
          <w:sz w:val="20"/>
          <w:szCs w:val="20"/>
        </w:rPr>
      </w:pPr>
      <w:r>
        <w:rPr>
          <w:bCs/>
          <w:sz w:val="20"/>
          <w:szCs w:val="20"/>
        </w:rPr>
        <w:t>Ghi chú</w:t>
      </w:r>
      <w:r w:rsidR="00C16380" w:rsidRPr="00C16380">
        <w:rPr>
          <w:bCs/>
          <w:sz w:val="20"/>
          <w:szCs w:val="20"/>
        </w:rPr>
        <w:t>: Đường màu xanh biểu thị mức độ bất định lạm phát, đường màu cam biểu thị tỷ lệ lạm phát thực tế.</w:t>
      </w:r>
    </w:p>
    <w:p w14:paraId="2E60E155" w14:textId="3B1EE5C4" w:rsidR="004B2819" w:rsidRPr="001A2484" w:rsidRDefault="00C16380" w:rsidP="004B2819">
      <w:pPr>
        <w:tabs>
          <w:tab w:val="left" w:pos="360"/>
          <w:tab w:val="right" w:leader="hyphen" w:pos="9072"/>
        </w:tabs>
        <w:spacing w:before="240" w:after="120"/>
        <w:jc w:val="both"/>
        <w:rPr>
          <w:bCs/>
          <w:sz w:val="20"/>
          <w:szCs w:val="20"/>
        </w:rPr>
      </w:pPr>
      <w:r>
        <w:rPr>
          <w:b/>
          <w:sz w:val="20"/>
          <w:szCs w:val="20"/>
        </w:rPr>
        <w:t>Hình 1</w:t>
      </w:r>
      <w:r w:rsidR="004B2819" w:rsidRPr="001A2484">
        <w:rPr>
          <w:b/>
          <w:sz w:val="20"/>
          <w:szCs w:val="20"/>
        </w:rPr>
        <w:t xml:space="preserve">. </w:t>
      </w:r>
      <w:r w:rsidRPr="00C16380">
        <w:rPr>
          <w:bCs/>
          <w:sz w:val="20"/>
          <w:szCs w:val="20"/>
        </w:rPr>
        <w:t>Mối quan hệ giữa lạm phát và mức độ bất định của lạm phát</w:t>
      </w:r>
      <w:r>
        <w:rPr>
          <w:bCs/>
          <w:sz w:val="20"/>
          <w:szCs w:val="20"/>
        </w:rPr>
        <w:t xml:space="preserve"> tại Việt Nam</w:t>
      </w:r>
      <w:r w:rsidRPr="00C16380">
        <w:rPr>
          <w:bCs/>
          <w:sz w:val="20"/>
          <w:szCs w:val="20"/>
        </w:rPr>
        <w:t xml:space="preserve"> giai đoạn 2002 – 2024</w:t>
      </w:r>
    </w:p>
    <w:p w14:paraId="2EE00DD9" w14:textId="7186D1E7" w:rsidR="009A5450" w:rsidRDefault="009A5450"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C16380">
        <w:rPr>
          <w:rFonts w:eastAsia="Arial"/>
          <w:i/>
          <w:iCs/>
          <w:color w:val="000000" w:themeColor="text1"/>
          <w:sz w:val="22"/>
          <w:szCs w:val="22"/>
        </w:rPr>
        <w:t>5</w:t>
      </w:r>
    </w:p>
    <w:p w14:paraId="40A93D02" w14:textId="77777777"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14:paraId="77515482" w14:textId="6B33C3DC"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gốc đơn vị</w:t>
      </w:r>
    </w:p>
    <w:p w14:paraId="08CC1D21" w14:textId="5393EB63" w:rsidR="00C16380"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sidR="00C16380">
        <w:rPr>
          <w:b/>
          <w:sz w:val="20"/>
          <w:szCs w:val="20"/>
        </w:rPr>
        <w:t>2</w:t>
      </w:r>
      <w:r w:rsidRPr="001A2484">
        <w:rPr>
          <w:b/>
          <w:sz w:val="20"/>
          <w:szCs w:val="20"/>
        </w:rPr>
        <w:t xml:space="preserve">. </w:t>
      </w:r>
      <w:r w:rsidR="003627B1" w:rsidRPr="003627B1">
        <w:rPr>
          <w:bCs/>
          <w:sz w:val="20"/>
          <w:szCs w:val="20"/>
        </w:rPr>
        <w:t>Kết quả kiểm định gốc đơn vị đối với các biến FDIR, INFU và GDP</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1114"/>
        <w:gridCol w:w="1429"/>
        <w:gridCol w:w="1371"/>
        <w:gridCol w:w="1190"/>
        <w:gridCol w:w="1489"/>
        <w:gridCol w:w="1476"/>
      </w:tblGrid>
      <w:tr w:rsidR="00676295" w:rsidRPr="00AE4A15" w14:paraId="7D01C5C4" w14:textId="77777777" w:rsidTr="00676295">
        <w:trPr>
          <w:tblHeader/>
        </w:trPr>
        <w:tc>
          <w:tcPr>
            <w:tcW w:w="687" w:type="pct"/>
            <w:tcBorders>
              <w:top w:val="single" w:sz="4" w:space="0" w:color="auto"/>
              <w:bottom w:val="single" w:sz="4" w:space="0" w:color="auto"/>
            </w:tcBorders>
          </w:tcPr>
          <w:p w14:paraId="1B690B82" w14:textId="77777777" w:rsidR="00676295" w:rsidRPr="00AE4A15" w:rsidRDefault="00676295">
            <w:pPr>
              <w:tabs>
                <w:tab w:val="left" w:pos="360"/>
                <w:tab w:val="right" w:leader="hyphen" w:pos="9072"/>
              </w:tabs>
              <w:spacing w:before="120" w:after="120"/>
              <w:jc w:val="both"/>
              <w:rPr>
                <w:b/>
                <w:bCs/>
                <w:sz w:val="22"/>
                <w:szCs w:val="22"/>
              </w:rPr>
            </w:pPr>
          </w:p>
        </w:tc>
        <w:tc>
          <w:tcPr>
            <w:tcW w:w="2091" w:type="pct"/>
            <w:gridSpan w:val="3"/>
            <w:tcBorders>
              <w:top w:val="single" w:sz="4" w:space="0" w:color="auto"/>
              <w:bottom w:val="single" w:sz="4" w:space="0" w:color="auto"/>
            </w:tcBorders>
          </w:tcPr>
          <w:p w14:paraId="5F9F8664" w14:textId="62AFBDBC" w:rsidR="00676295" w:rsidRPr="00394372" w:rsidRDefault="00676295">
            <w:pPr>
              <w:tabs>
                <w:tab w:val="left" w:pos="360"/>
                <w:tab w:val="right" w:leader="hyphen" w:pos="9072"/>
              </w:tabs>
              <w:spacing w:before="120" w:after="120"/>
              <w:jc w:val="both"/>
              <w:rPr>
                <w:b/>
                <w:sz w:val="22"/>
                <w:szCs w:val="22"/>
              </w:rPr>
            </w:pPr>
            <w:r>
              <w:rPr>
                <w:b/>
                <w:bCs/>
                <w:sz w:val="22"/>
                <w:szCs w:val="22"/>
              </w:rPr>
              <w:t>Kiểm định ADF</w:t>
            </w:r>
          </w:p>
        </w:tc>
        <w:tc>
          <w:tcPr>
            <w:tcW w:w="2222" w:type="pct"/>
            <w:gridSpan w:val="3"/>
            <w:tcBorders>
              <w:top w:val="single" w:sz="4" w:space="0" w:color="auto"/>
              <w:bottom w:val="single" w:sz="4" w:space="0" w:color="auto"/>
            </w:tcBorders>
          </w:tcPr>
          <w:p w14:paraId="3D90F487" w14:textId="11E04C9D" w:rsidR="00676295" w:rsidRDefault="00676295">
            <w:pPr>
              <w:tabs>
                <w:tab w:val="left" w:pos="360"/>
                <w:tab w:val="right" w:leader="hyphen" w:pos="9072"/>
              </w:tabs>
              <w:spacing w:before="120" w:after="120"/>
              <w:jc w:val="both"/>
              <w:rPr>
                <w:b/>
                <w:bCs/>
                <w:sz w:val="22"/>
                <w:szCs w:val="22"/>
              </w:rPr>
            </w:pPr>
            <w:r>
              <w:rPr>
                <w:b/>
                <w:bCs/>
                <w:sz w:val="22"/>
                <w:szCs w:val="22"/>
              </w:rPr>
              <w:t>Kiểm định PP</w:t>
            </w:r>
          </w:p>
        </w:tc>
      </w:tr>
      <w:tr w:rsidR="00676295" w:rsidRPr="00AE4A15" w14:paraId="7E17AF31" w14:textId="77777777" w:rsidTr="00676295">
        <w:trPr>
          <w:tblHeader/>
        </w:trPr>
        <w:tc>
          <w:tcPr>
            <w:tcW w:w="687" w:type="pct"/>
            <w:tcBorders>
              <w:top w:val="single" w:sz="4" w:space="0" w:color="auto"/>
              <w:bottom w:val="single" w:sz="4" w:space="0" w:color="auto"/>
            </w:tcBorders>
          </w:tcPr>
          <w:p w14:paraId="51088A8E" w14:textId="77777777" w:rsidR="00676295" w:rsidRPr="00AE4A15" w:rsidRDefault="00676295">
            <w:pPr>
              <w:tabs>
                <w:tab w:val="left" w:pos="360"/>
                <w:tab w:val="right" w:leader="hyphen" w:pos="9072"/>
              </w:tabs>
              <w:spacing w:before="120" w:after="120"/>
              <w:jc w:val="both"/>
              <w:rPr>
                <w:b/>
                <w:bCs/>
                <w:sz w:val="22"/>
                <w:szCs w:val="22"/>
              </w:rPr>
            </w:pPr>
          </w:p>
        </w:tc>
        <w:tc>
          <w:tcPr>
            <w:tcW w:w="4313" w:type="pct"/>
            <w:gridSpan w:val="6"/>
            <w:tcBorders>
              <w:top w:val="single" w:sz="4" w:space="0" w:color="auto"/>
              <w:bottom w:val="single" w:sz="4" w:space="0" w:color="auto"/>
            </w:tcBorders>
          </w:tcPr>
          <w:p w14:paraId="172EEBC5" w14:textId="729C8884" w:rsidR="00676295" w:rsidRDefault="00676295">
            <w:pPr>
              <w:tabs>
                <w:tab w:val="left" w:pos="360"/>
                <w:tab w:val="right" w:leader="hyphen" w:pos="9072"/>
              </w:tabs>
              <w:spacing w:before="120" w:after="120"/>
              <w:jc w:val="both"/>
              <w:rPr>
                <w:b/>
                <w:bCs/>
                <w:sz w:val="22"/>
                <w:szCs w:val="22"/>
              </w:rPr>
            </w:pPr>
            <w:r>
              <w:rPr>
                <w:b/>
                <w:bCs/>
                <w:sz w:val="22"/>
                <w:szCs w:val="22"/>
              </w:rPr>
              <w:t>Sai phân bậc gốc</w:t>
            </w:r>
          </w:p>
        </w:tc>
      </w:tr>
      <w:tr w:rsidR="00676295" w:rsidRPr="00AE4A15" w14:paraId="3821F489" w14:textId="77777777" w:rsidTr="00676295">
        <w:trPr>
          <w:tblHeader/>
        </w:trPr>
        <w:tc>
          <w:tcPr>
            <w:tcW w:w="687" w:type="pct"/>
            <w:tcBorders>
              <w:top w:val="single" w:sz="4" w:space="0" w:color="auto"/>
              <w:bottom w:val="single" w:sz="4" w:space="0" w:color="auto"/>
            </w:tcBorders>
          </w:tcPr>
          <w:p w14:paraId="7F9A0DEE" w14:textId="7F3EB779" w:rsidR="00676295" w:rsidRPr="00AE4A15" w:rsidRDefault="00676295" w:rsidP="00676295">
            <w:pPr>
              <w:tabs>
                <w:tab w:val="left" w:pos="360"/>
                <w:tab w:val="right" w:leader="hyphen" w:pos="9072"/>
              </w:tabs>
              <w:spacing w:before="120" w:after="120"/>
              <w:jc w:val="both"/>
              <w:rPr>
                <w:b/>
                <w:bCs/>
                <w:sz w:val="22"/>
                <w:szCs w:val="22"/>
              </w:rPr>
            </w:pPr>
            <w:r>
              <w:rPr>
                <w:b/>
                <w:bCs/>
                <w:sz w:val="22"/>
                <w:szCs w:val="22"/>
              </w:rPr>
              <w:t>Biến</w:t>
            </w:r>
          </w:p>
        </w:tc>
        <w:tc>
          <w:tcPr>
            <w:tcW w:w="595" w:type="pct"/>
            <w:tcBorders>
              <w:top w:val="single" w:sz="4" w:space="0" w:color="auto"/>
              <w:bottom w:val="single" w:sz="4" w:space="0" w:color="auto"/>
            </w:tcBorders>
          </w:tcPr>
          <w:p w14:paraId="54155607" w14:textId="6E599018"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64" w:type="pct"/>
            <w:tcBorders>
              <w:top w:val="single" w:sz="4" w:space="0" w:color="auto"/>
              <w:bottom w:val="single" w:sz="4" w:space="0" w:color="auto"/>
            </w:tcBorders>
          </w:tcPr>
          <w:p w14:paraId="51921A0B" w14:textId="2F73C507"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33" w:type="pct"/>
            <w:tcBorders>
              <w:top w:val="single" w:sz="4" w:space="0" w:color="auto"/>
              <w:bottom w:val="single" w:sz="4" w:space="0" w:color="auto"/>
            </w:tcBorders>
            <w:vAlign w:val="center"/>
          </w:tcPr>
          <w:p w14:paraId="6CFDE71E" w14:textId="1D3D4B8E"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c>
          <w:tcPr>
            <w:tcW w:w="636" w:type="pct"/>
            <w:tcBorders>
              <w:top w:val="single" w:sz="4" w:space="0" w:color="auto"/>
              <w:bottom w:val="single" w:sz="4" w:space="0" w:color="auto"/>
            </w:tcBorders>
          </w:tcPr>
          <w:p w14:paraId="639862E8" w14:textId="2D4EAAEE"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96" w:type="pct"/>
            <w:tcBorders>
              <w:top w:val="single" w:sz="4" w:space="0" w:color="auto"/>
              <w:bottom w:val="single" w:sz="4" w:space="0" w:color="auto"/>
            </w:tcBorders>
          </w:tcPr>
          <w:p w14:paraId="6817459B" w14:textId="3E004421"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90" w:type="pct"/>
            <w:tcBorders>
              <w:top w:val="single" w:sz="4" w:space="0" w:color="auto"/>
              <w:bottom w:val="single" w:sz="4" w:space="0" w:color="auto"/>
            </w:tcBorders>
            <w:vAlign w:val="center"/>
          </w:tcPr>
          <w:p w14:paraId="5FD637A7" w14:textId="2B428466"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r>
      <w:tr w:rsidR="00676295" w:rsidRPr="00AE4A15" w14:paraId="7944A017" w14:textId="77777777" w:rsidTr="00676295">
        <w:tc>
          <w:tcPr>
            <w:tcW w:w="687" w:type="pct"/>
            <w:tcBorders>
              <w:top w:val="single" w:sz="4" w:space="0" w:color="auto"/>
            </w:tcBorders>
          </w:tcPr>
          <w:p w14:paraId="480CF187" w14:textId="1B8A2DFF" w:rsidR="00676295" w:rsidRPr="00676295" w:rsidRDefault="00676295" w:rsidP="00676295">
            <w:pPr>
              <w:tabs>
                <w:tab w:val="left" w:pos="360"/>
                <w:tab w:val="right" w:leader="hyphen" w:pos="9072"/>
              </w:tabs>
              <w:spacing w:before="120" w:after="120"/>
              <w:rPr>
                <w:bCs/>
                <w:sz w:val="22"/>
                <w:szCs w:val="22"/>
              </w:rPr>
            </w:pPr>
            <w:r>
              <w:rPr>
                <w:bCs/>
                <w:sz w:val="22"/>
                <w:szCs w:val="22"/>
              </w:rPr>
              <w:t>Thông kê t</w:t>
            </w:r>
          </w:p>
        </w:tc>
        <w:tc>
          <w:tcPr>
            <w:tcW w:w="595" w:type="pct"/>
            <w:tcBorders>
              <w:top w:val="single" w:sz="4" w:space="0" w:color="auto"/>
            </w:tcBorders>
          </w:tcPr>
          <w:p w14:paraId="339AB5AA" w14:textId="1C54BFEA"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-2</w:t>
            </w:r>
            <w:r>
              <w:rPr>
                <w:sz w:val="22"/>
                <w:szCs w:val="22"/>
              </w:rPr>
              <w:t>,</w:t>
            </w:r>
            <w:r w:rsidRPr="00676295">
              <w:rPr>
                <w:sz w:val="22"/>
                <w:szCs w:val="22"/>
              </w:rPr>
              <w:t>074</w:t>
            </w:r>
          </w:p>
        </w:tc>
        <w:tc>
          <w:tcPr>
            <w:tcW w:w="764" w:type="pct"/>
            <w:tcBorders>
              <w:top w:val="single" w:sz="4" w:space="0" w:color="auto"/>
            </w:tcBorders>
          </w:tcPr>
          <w:p w14:paraId="51380AA1" w14:textId="63E4E8CB"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463</w:t>
            </w:r>
          </w:p>
        </w:tc>
        <w:tc>
          <w:tcPr>
            <w:tcW w:w="733" w:type="pct"/>
            <w:tcBorders>
              <w:top w:val="single" w:sz="4" w:space="0" w:color="auto"/>
            </w:tcBorders>
          </w:tcPr>
          <w:p w14:paraId="6DFCB474" w14:textId="6F6E5EE2"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-6</w:t>
            </w:r>
            <w:r>
              <w:rPr>
                <w:sz w:val="22"/>
                <w:szCs w:val="22"/>
              </w:rPr>
              <w:t>,</w:t>
            </w:r>
            <w:r w:rsidRPr="00676295">
              <w:rPr>
                <w:sz w:val="22"/>
                <w:szCs w:val="22"/>
              </w:rPr>
              <w:t>545</w:t>
            </w:r>
          </w:p>
        </w:tc>
        <w:tc>
          <w:tcPr>
            <w:tcW w:w="636" w:type="pct"/>
            <w:tcBorders>
              <w:top w:val="single" w:sz="4" w:space="0" w:color="auto"/>
            </w:tcBorders>
          </w:tcPr>
          <w:p w14:paraId="12A3AA8C" w14:textId="067AEBA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-2</w:t>
            </w:r>
            <w:r>
              <w:rPr>
                <w:sz w:val="22"/>
                <w:szCs w:val="22"/>
              </w:rPr>
              <w:t>,</w:t>
            </w:r>
            <w:r w:rsidRPr="00676295">
              <w:rPr>
                <w:sz w:val="22"/>
                <w:szCs w:val="22"/>
              </w:rPr>
              <w:t>549</w:t>
            </w:r>
          </w:p>
        </w:tc>
        <w:tc>
          <w:tcPr>
            <w:tcW w:w="796" w:type="pct"/>
            <w:tcBorders>
              <w:top w:val="single" w:sz="4" w:space="0" w:color="auto"/>
            </w:tcBorders>
          </w:tcPr>
          <w:p w14:paraId="2BD27F9F" w14:textId="17DAD6F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363</w:t>
            </w:r>
          </w:p>
        </w:tc>
        <w:tc>
          <w:tcPr>
            <w:tcW w:w="790" w:type="pct"/>
            <w:tcBorders>
              <w:top w:val="single" w:sz="4" w:space="0" w:color="auto"/>
            </w:tcBorders>
          </w:tcPr>
          <w:p w14:paraId="4576CA88" w14:textId="32B92D8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-6</w:t>
            </w:r>
            <w:r>
              <w:rPr>
                <w:sz w:val="22"/>
                <w:szCs w:val="22"/>
              </w:rPr>
              <w:t>,</w:t>
            </w:r>
            <w:r w:rsidRPr="00676295">
              <w:rPr>
                <w:sz w:val="22"/>
                <w:szCs w:val="22"/>
              </w:rPr>
              <w:t>593</w:t>
            </w:r>
          </w:p>
        </w:tc>
      </w:tr>
      <w:tr w:rsidR="00676295" w:rsidRPr="00AE4A15" w14:paraId="008FED84" w14:textId="77777777" w:rsidTr="00676295">
        <w:tc>
          <w:tcPr>
            <w:tcW w:w="687" w:type="pct"/>
            <w:tcBorders>
              <w:bottom w:val="single" w:sz="4" w:space="0" w:color="auto"/>
            </w:tcBorders>
          </w:tcPr>
          <w:p w14:paraId="58BE86A5" w14:textId="1DD2456D" w:rsidR="00676295" w:rsidRPr="00676295" w:rsidRDefault="00676295" w:rsidP="00676295">
            <w:pPr>
              <w:tabs>
                <w:tab w:val="left" w:pos="360"/>
                <w:tab w:val="right" w:leader="hyphen" w:pos="9072"/>
              </w:tabs>
              <w:spacing w:before="120" w:after="120"/>
              <w:rPr>
                <w:bCs/>
                <w:sz w:val="22"/>
                <w:szCs w:val="22"/>
              </w:rPr>
            </w:pPr>
            <w:r w:rsidRPr="00676295">
              <w:rPr>
                <w:bCs/>
                <w:sz w:val="22"/>
                <w:szCs w:val="22"/>
              </w:rPr>
              <w:t>Prob</w:t>
            </w:r>
            <w:r>
              <w:rPr>
                <w:bCs/>
                <w:sz w:val="22"/>
                <w:szCs w:val="22"/>
              </w:rPr>
              <w:t>.</w:t>
            </w:r>
          </w:p>
        </w:tc>
        <w:tc>
          <w:tcPr>
            <w:tcW w:w="595" w:type="pct"/>
            <w:tcBorders>
              <w:bottom w:val="single" w:sz="4" w:space="0" w:color="auto"/>
            </w:tcBorders>
          </w:tcPr>
          <w:p w14:paraId="20403E30" w14:textId="723CF6B3"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1085</w:t>
            </w:r>
          </w:p>
        </w:tc>
        <w:tc>
          <w:tcPr>
            <w:tcW w:w="764" w:type="pct"/>
            <w:tcBorders>
              <w:bottom w:val="single" w:sz="4" w:space="0" w:color="auto"/>
            </w:tcBorders>
          </w:tcPr>
          <w:p w14:paraId="5B9E6D89" w14:textId="1B4FA4B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733" w:type="pct"/>
            <w:tcBorders>
              <w:bottom w:val="single" w:sz="4" w:space="0" w:color="auto"/>
            </w:tcBorders>
          </w:tcPr>
          <w:p w14:paraId="67DD0027" w14:textId="2E4FEAA6"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636" w:type="pct"/>
            <w:tcBorders>
              <w:bottom w:val="single" w:sz="4" w:space="0" w:color="auto"/>
            </w:tcBorders>
          </w:tcPr>
          <w:p w14:paraId="245BBAC7" w14:textId="021A9DA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1041</w:t>
            </w:r>
          </w:p>
        </w:tc>
        <w:tc>
          <w:tcPr>
            <w:tcW w:w="796" w:type="pct"/>
            <w:tcBorders>
              <w:bottom w:val="single" w:sz="4" w:space="0" w:color="auto"/>
            </w:tcBorders>
          </w:tcPr>
          <w:p w14:paraId="6E191944" w14:textId="29D4001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c>
          <w:tcPr>
            <w:tcW w:w="790" w:type="pct"/>
            <w:tcBorders>
              <w:bottom w:val="single" w:sz="4" w:space="0" w:color="auto"/>
            </w:tcBorders>
          </w:tcPr>
          <w:p w14:paraId="53EB2FA7" w14:textId="2FFF396F"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r>
      <w:tr w:rsidR="00676295" w:rsidRPr="00AE4A15" w14:paraId="6D337BCF" w14:textId="77777777" w:rsidTr="00676295">
        <w:tc>
          <w:tcPr>
            <w:tcW w:w="687" w:type="pct"/>
            <w:tcBorders>
              <w:top w:val="single" w:sz="4" w:space="0" w:color="auto"/>
              <w:bottom w:val="single" w:sz="4" w:space="0" w:color="auto"/>
            </w:tcBorders>
          </w:tcPr>
          <w:p w14:paraId="2C979E3F" w14:textId="10F3AAB2" w:rsidR="00676295" w:rsidRPr="002B5E0F" w:rsidRDefault="00676295" w:rsidP="00676295">
            <w:pPr>
              <w:tabs>
                <w:tab w:val="left" w:pos="360"/>
                <w:tab w:val="right" w:leader="hyphen" w:pos="9072"/>
              </w:tabs>
              <w:spacing w:before="120" w:after="120"/>
              <w:rPr>
                <w:b/>
                <w:sz w:val="22"/>
                <w:szCs w:val="22"/>
              </w:rPr>
            </w:pPr>
          </w:p>
        </w:tc>
        <w:tc>
          <w:tcPr>
            <w:tcW w:w="3523" w:type="pct"/>
            <w:gridSpan w:val="5"/>
            <w:tcBorders>
              <w:top w:val="single" w:sz="4" w:space="0" w:color="auto"/>
              <w:bottom w:val="single" w:sz="4" w:space="0" w:color="auto"/>
            </w:tcBorders>
          </w:tcPr>
          <w:p w14:paraId="56E845C3" w14:textId="2DF824F5" w:rsidR="00676295" w:rsidRPr="00AE4A15" w:rsidRDefault="00676295" w:rsidP="00676295">
            <w:pPr>
              <w:tabs>
                <w:tab w:val="left" w:pos="360"/>
                <w:tab w:val="right" w:leader="hyphen" w:pos="9072"/>
              </w:tabs>
              <w:spacing w:before="120" w:after="120"/>
              <w:jc w:val="both"/>
              <w:rPr>
                <w:bCs/>
                <w:sz w:val="22"/>
                <w:szCs w:val="22"/>
              </w:rPr>
            </w:pPr>
            <w:r>
              <w:rPr>
                <w:b/>
                <w:bCs/>
                <w:sz w:val="22"/>
                <w:szCs w:val="22"/>
              </w:rPr>
              <w:t>Sai phân bậc 1</w:t>
            </w:r>
          </w:p>
        </w:tc>
        <w:tc>
          <w:tcPr>
            <w:tcW w:w="790" w:type="pct"/>
            <w:tcBorders>
              <w:top w:val="single" w:sz="4" w:space="0" w:color="auto"/>
              <w:bottom w:val="single" w:sz="4" w:space="0" w:color="auto"/>
            </w:tcBorders>
          </w:tcPr>
          <w:p w14:paraId="27C93643"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066B57DA" w14:textId="77777777" w:rsidTr="00676295">
        <w:tc>
          <w:tcPr>
            <w:tcW w:w="687" w:type="pct"/>
            <w:tcBorders>
              <w:top w:val="single" w:sz="4" w:space="0" w:color="auto"/>
            </w:tcBorders>
          </w:tcPr>
          <w:p w14:paraId="6B219B60" w14:textId="5BD636E0" w:rsidR="00676295" w:rsidRPr="002B5E0F" w:rsidRDefault="00676295" w:rsidP="00676295">
            <w:pPr>
              <w:tabs>
                <w:tab w:val="left" w:pos="360"/>
                <w:tab w:val="right" w:leader="hyphen" w:pos="9072"/>
              </w:tabs>
              <w:spacing w:before="120" w:after="120"/>
              <w:rPr>
                <w:b/>
                <w:sz w:val="22"/>
                <w:szCs w:val="22"/>
              </w:rPr>
            </w:pPr>
            <w:r>
              <w:rPr>
                <w:b/>
                <w:bCs/>
                <w:sz w:val="22"/>
                <w:szCs w:val="22"/>
              </w:rPr>
              <w:t>Biến</w:t>
            </w:r>
          </w:p>
        </w:tc>
        <w:tc>
          <w:tcPr>
            <w:tcW w:w="595" w:type="pct"/>
            <w:tcBorders>
              <w:top w:val="single" w:sz="4" w:space="0" w:color="auto"/>
            </w:tcBorders>
          </w:tcPr>
          <w:p w14:paraId="0352905D" w14:textId="4FBEC4E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64" w:type="pct"/>
            <w:tcBorders>
              <w:top w:val="single" w:sz="4" w:space="0" w:color="auto"/>
            </w:tcBorders>
          </w:tcPr>
          <w:p w14:paraId="1178F536" w14:textId="2A03153C" w:rsidR="00676295" w:rsidRPr="00394372" w:rsidRDefault="00676295" w:rsidP="00676295">
            <w:pPr>
              <w:tabs>
                <w:tab w:val="left" w:pos="360"/>
                <w:tab w:val="right" w:leader="hyphen" w:pos="9072"/>
              </w:tabs>
              <w:spacing w:before="120" w:after="120"/>
              <w:jc w:val="both"/>
              <w:rPr>
                <w:sz w:val="22"/>
                <w:szCs w:val="22"/>
              </w:rPr>
            </w:pPr>
          </w:p>
        </w:tc>
        <w:tc>
          <w:tcPr>
            <w:tcW w:w="733" w:type="pct"/>
            <w:tcBorders>
              <w:top w:val="single" w:sz="4" w:space="0" w:color="auto"/>
            </w:tcBorders>
            <w:vAlign w:val="center"/>
          </w:tcPr>
          <w:p w14:paraId="6863DFA6" w14:textId="62B73898" w:rsidR="00676295" w:rsidRPr="00394372" w:rsidRDefault="00676295" w:rsidP="00676295">
            <w:pPr>
              <w:tabs>
                <w:tab w:val="left" w:pos="360"/>
                <w:tab w:val="right" w:leader="hyphen" w:pos="9072"/>
              </w:tabs>
              <w:spacing w:before="120" w:after="120"/>
              <w:jc w:val="both"/>
              <w:rPr>
                <w:sz w:val="22"/>
                <w:szCs w:val="22"/>
              </w:rPr>
            </w:pPr>
          </w:p>
        </w:tc>
        <w:tc>
          <w:tcPr>
            <w:tcW w:w="636" w:type="pct"/>
            <w:tcBorders>
              <w:top w:val="single" w:sz="4" w:space="0" w:color="auto"/>
            </w:tcBorders>
          </w:tcPr>
          <w:p w14:paraId="5A87DBA3" w14:textId="6C92FFA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96" w:type="pct"/>
            <w:tcBorders>
              <w:top w:val="single" w:sz="4" w:space="0" w:color="auto"/>
            </w:tcBorders>
          </w:tcPr>
          <w:p w14:paraId="2901F17B" w14:textId="18A6B38B" w:rsidR="00676295" w:rsidRPr="00394372" w:rsidRDefault="00676295" w:rsidP="00676295">
            <w:pPr>
              <w:tabs>
                <w:tab w:val="left" w:pos="360"/>
                <w:tab w:val="right" w:leader="hyphen" w:pos="9072"/>
              </w:tabs>
              <w:spacing w:before="120" w:after="120"/>
              <w:jc w:val="both"/>
              <w:rPr>
                <w:sz w:val="22"/>
                <w:szCs w:val="22"/>
              </w:rPr>
            </w:pPr>
          </w:p>
        </w:tc>
        <w:tc>
          <w:tcPr>
            <w:tcW w:w="790" w:type="pct"/>
            <w:tcBorders>
              <w:top w:val="single" w:sz="4" w:space="0" w:color="auto"/>
            </w:tcBorders>
            <w:vAlign w:val="center"/>
          </w:tcPr>
          <w:p w14:paraId="4A99B96D" w14:textId="5352557E" w:rsidR="00676295" w:rsidRDefault="00676295" w:rsidP="00676295">
            <w:pPr>
              <w:tabs>
                <w:tab w:val="left" w:pos="360"/>
                <w:tab w:val="right" w:leader="hyphen" w:pos="9072"/>
              </w:tabs>
              <w:spacing w:before="120" w:after="120"/>
              <w:jc w:val="both"/>
              <w:rPr>
                <w:bCs/>
                <w:sz w:val="22"/>
                <w:szCs w:val="22"/>
              </w:rPr>
            </w:pPr>
          </w:p>
        </w:tc>
      </w:tr>
      <w:tr w:rsidR="00676295" w:rsidRPr="00AE4A15" w14:paraId="6ED9749B" w14:textId="77777777" w:rsidTr="00676295">
        <w:tc>
          <w:tcPr>
            <w:tcW w:w="687" w:type="pct"/>
          </w:tcPr>
          <w:p w14:paraId="5F160416" w14:textId="22DC5BD1" w:rsidR="00676295" w:rsidRPr="002B5E0F" w:rsidRDefault="00676295" w:rsidP="00676295">
            <w:pPr>
              <w:tabs>
                <w:tab w:val="left" w:pos="360"/>
                <w:tab w:val="right" w:leader="hyphen" w:pos="9072"/>
              </w:tabs>
              <w:spacing w:before="120" w:after="120"/>
              <w:rPr>
                <w:b/>
                <w:sz w:val="22"/>
                <w:szCs w:val="22"/>
              </w:rPr>
            </w:pPr>
            <w:r>
              <w:rPr>
                <w:bCs/>
                <w:sz w:val="22"/>
                <w:szCs w:val="22"/>
              </w:rPr>
              <w:t>Thông kê t</w:t>
            </w:r>
          </w:p>
        </w:tc>
        <w:tc>
          <w:tcPr>
            <w:tcW w:w="595" w:type="pct"/>
          </w:tcPr>
          <w:p w14:paraId="6AA79B2D" w14:textId="6D19E53A"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-15</w:t>
            </w:r>
            <w:r>
              <w:rPr>
                <w:sz w:val="22"/>
                <w:szCs w:val="22"/>
              </w:rPr>
              <w:t>,</w:t>
            </w:r>
            <w:r w:rsidRPr="00676295">
              <w:rPr>
                <w:sz w:val="22"/>
                <w:szCs w:val="22"/>
              </w:rPr>
              <w:t>328</w:t>
            </w:r>
          </w:p>
        </w:tc>
        <w:tc>
          <w:tcPr>
            <w:tcW w:w="764" w:type="pct"/>
          </w:tcPr>
          <w:p w14:paraId="3AF90FB9" w14:textId="23F95F36"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7FDD0824" w14:textId="30C653A4" w:rsidR="00676295" w:rsidRPr="00676295" w:rsidRDefault="00676295" w:rsidP="00676295">
            <w:pPr>
              <w:tabs>
                <w:tab w:val="left" w:pos="360"/>
                <w:tab w:val="right" w:leader="hyphen" w:pos="9072"/>
              </w:tabs>
              <w:spacing w:before="120" w:after="120"/>
              <w:jc w:val="center"/>
              <w:rPr>
                <w:sz w:val="22"/>
                <w:szCs w:val="22"/>
              </w:rPr>
            </w:pPr>
          </w:p>
        </w:tc>
        <w:tc>
          <w:tcPr>
            <w:tcW w:w="636" w:type="pct"/>
          </w:tcPr>
          <w:p w14:paraId="5D8E4869" w14:textId="4C316E59"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-19</w:t>
            </w:r>
            <w:r>
              <w:rPr>
                <w:sz w:val="22"/>
                <w:szCs w:val="22"/>
              </w:rPr>
              <w:t>,</w:t>
            </w:r>
            <w:r w:rsidRPr="00676295">
              <w:rPr>
                <w:sz w:val="22"/>
                <w:szCs w:val="22"/>
              </w:rPr>
              <w:t>210</w:t>
            </w:r>
          </w:p>
        </w:tc>
        <w:tc>
          <w:tcPr>
            <w:tcW w:w="796" w:type="pct"/>
          </w:tcPr>
          <w:p w14:paraId="367CBD63" w14:textId="4D12DB0B"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6A7A3F40"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636A51E2" w14:textId="77777777" w:rsidTr="00676295">
        <w:tc>
          <w:tcPr>
            <w:tcW w:w="687" w:type="pct"/>
          </w:tcPr>
          <w:p w14:paraId="275B4FE7" w14:textId="7191F23F" w:rsidR="00676295" w:rsidRPr="002B5E0F" w:rsidRDefault="00676295" w:rsidP="00676295">
            <w:pPr>
              <w:tabs>
                <w:tab w:val="left" w:pos="360"/>
                <w:tab w:val="right" w:leader="hyphen" w:pos="9072"/>
              </w:tabs>
              <w:spacing w:before="120" w:after="120"/>
              <w:rPr>
                <w:b/>
                <w:sz w:val="22"/>
                <w:szCs w:val="22"/>
              </w:rPr>
            </w:pPr>
            <w:r w:rsidRPr="00676295">
              <w:rPr>
                <w:bCs/>
                <w:sz w:val="22"/>
                <w:szCs w:val="22"/>
              </w:rPr>
              <w:lastRenderedPageBreak/>
              <w:t>Prob</w:t>
            </w:r>
            <w:r>
              <w:rPr>
                <w:bCs/>
                <w:sz w:val="22"/>
                <w:szCs w:val="22"/>
              </w:rPr>
              <w:t>,</w:t>
            </w:r>
          </w:p>
        </w:tc>
        <w:tc>
          <w:tcPr>
            <w:tcW w:w="595" w:type="pct"/>
          </w:tcPr>
          <w:p w14:paraId="7515127A" w14:textId="3C6B38BF"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64" w:type="pct"/>
          </w:tcPr>
          <w:p w14:paraId="4472D00D" w14:textId="402B384D"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03A454C6" w14:textId="551BB405" w:rsidR="00676295" w:rsidRPr="00676295" w:rsidRDefault="00676295" w:rsidP="00676295">
            <w:pPr>
              <w:tabs>
                <w:tab w:val="left" w:pos="360"/>
                <w:tab w:val="right" w:leader="hyphen" w:pos="9072"/>
              </w:tabs>
              <w:spacing w:before="120" w:after="120"/>
              <w:jc w:val="center"/>
              <w:rPr>
                <w:bCs/>
                <w:sz w:val="22"/>
                <w:szCs w:val="22"/>
              </w:rPr>
            </w:pPr>
          </w:p>
        </w:tc>
        <w:tc>
          <w:tcPr>
            <w:tcW w:w="636" w:type="pct"/>
          </w:tcPr>
          <w:p w14:paraId="5254DF6F" w14:textId="03723AED"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96" w:type="pct"/>
          </w:tcPr>
          <w:p w14:paraId="1D0C854F" w14:textId="676A1833"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0462F554" w14:textId="1DD34536" w:rsidR="00676295" w:rsidRDefault="00676295" w:rsidP="00676295">
            <w:pPr>
              <w:tabs>
                <w:tab w:val="left" w:pos="360"/>
                <w:tab w:val="right" w:leader="hyphen" w:pos="9072"/>
              </w:tabs>
              <w:spacing w:before="120" w:after="120"/>
              <w:jc w:val="both"/>
              <w:rPr>
                <w:bCs/>
                <w:sz w:val="22"/>
                <w:szCs w:val="22"/>
              </w:rPr>
            </w:pPr>
          </w:p>
        </w:tc>
      </w:tr>
    </w:tbl>
    <w:p w14:paraId="00D4380D" w14:textId="3CB39A05"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3627B1">
        <w:rPr>
          <w:rFonts w:eastAsia="Arial"/>
          <w:i/>
          <w:iCs/>
          <w:color w:val="000000" w:themeColor="text1"/>
          <w:sz w:val="22"/>
          <w:szCs w:val="22"/>
        </w:rPr>
        <w:t>5</w:t>
      </w:r>
    </w:p>
    <w:p w14:paraId="6877023E" w14:textId="77777777"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14:paraId="0F13FE32" w14:textId="2415ACFA" w:rsidR="00676295" w:rsidRPr="00676295" w:rsidRDefault="00676295" w:rsidP="00676295">
      <w:pPr>
        <w:tabs>
          <w:tab w:val="left" w:pos="360"/>
          <w:tab w:val="right" w:leader="hyphen" w:pos="9072"/>
        </w:tabs>
        <w:spacing w:before="240" w:after="120"/>
        <w:jc w:val="both"/>
        <w:rPr>
          <w:bCs/>
          <w:sz w:val="22"/>
          <w:szCs w:val="22"/>
        </w:rPr>
      </w:pPr>
      <w:r w:rsidRPr="00676295">
        <w:rPr>
          <w:bCs/>
          <w:sz w:val="22"/>
          <w:szCs w:val="22"/>
        </w:rPr>
        <w:t xml:space="preserve">Kết quả cho thấy biến FDIR không dừng tại </w:t>
      </w:r>
      <w:r w:rsidR="000E1496">
        <w:rPr>
          <w:bCs/>
          <w:sz w:val="22"/>
          <w:szCs w:val="22"/>
        </w:rPr>
        <w:t>sai phân bậc gốc</w:t>
      </w:r>
      <w:r w:rsidRPr="00676295">
        <w:rPr>
          <w:bCs/>
          <w:sz w:val="22"/>
          <w:szCs w:val="22"/>
        </w:rPr>
        <w:t xml:space="preserve"> (với p-value &gt; 0</w:t>
      </w:r>
      <w:r>
        <w:rPr>
          <w:bCs/>
          <w:sz w:val="22"/>
          <w:szCs w:val="22"/>
        </w:rPr>
        <w:t>,</w:t>
      </w:r>
      <w:r w:rsidRPr="00676295">
        <w:rPr>
          <w:bCs/>
          <w:sz w:val="22"/>
          <w:szCs w:val="22"/>
        </w:rPr>
        <w:t>05 ở cả hai kiểm định ADF và PP), nhưng dừng tại sai phân bậc</w:t>
      </w:r>
      <w:r w:rsidR="000E1496">
        <w:rPr>
          <w:bCs/>
          <w:sz w:val="22"/>
          <w:szCs w:val="22"/>
        </w:rPr>
        <w:t xml:space="preserve"> 1</w:t>
      </w:r>
      <w:r w:rsidRPr="00676295">
        <w:rPr>
          <w:bCs/>
          <w:sz w:val="22"/>
          <w:szCs w:val="22"/>
        </w:rPr>
        <w:t xml:space="preserve"> (p-value = 0</w:t>
      </w:r>
      <w:r>
        <w:rPr>
          <w:bCs/>
          <w:sz w:val="22"/>
          <w:szCs w:val="22"/>
        </w:rPr>
        <w:t>,</w:t>
      </w:r>
      <w:r w:rsidRPr="00676295">
        <w:rPr>
          <w:bCs/>
          <w:sz w:val="22"/>
          <w:szCs w:val="22"/>
        </w:rPr>
        <w:t xml:space="preserve">000), nghĩa là biến này là chuỗi I(1). Ngược lại, hai biến INFU và GDP đều dừng </w:t>
      </w:r>
      <w:r w:rsidR="000E1496">
        <w:rPr>
          <w:bCs/>
          <w:sz w:val="22"/>
          <w:szCs w:val="22"/>
        </w:rPr>
        <w:t>tại sai phân bậc gốc, nghĩa là chuỗi I(0).</w:t>
      </w:r>
    </w:p>
    <w:p w14:paraId="21D39190" w14:textId="0255AF95" w:rsidR="00676295" w:rsidRDefault="00676295" w:rsidP="00676295">
      <w:pPr>
        <w:tabs>
          <w:tab w:val="left" w:pos="360"/>
          <w:tab w:val="right" w:leader="hyphen" w:pos="9072"/>
        </w:tabs>
        <w:spacing w:before="240" w:after="120"/>
        <w:jc w:val="both"/>
        <w:rPr>
          <w:bCs/>
          <w:sz w:val="22"/>
          <w:szCs w:val="22"/>
        </w:rPr>
      </w:pPr>
      <w:r w:rsidRPr="00676295">
        <w:rPr>
          <w:bCs/>
          <w:sz w:val="22"/>
          <w:szCs w:val="22"/>
        </w:rPr>
        <w:t xml:space="preserve">Sự tồn tại của các bậc tích phân hỗn hợp (FDIR là I(1), INFU và GDP là I(0)) củng cố lý do lựa chọn mô hình ARDL cho nghiên cứu này, do ARDL có khả năng xử lý mô hình với các biến có bậc tích phân khác nhau. Do đó, kết quả kiểm định xác nhận tính phù hợp của phương pháp ARDL </w:t>
      </w:r>
      <w:r w:rsidR="0022239A">
        <w:rPr>
          <w:bCs/>
          <w:sz w:val="22"/>
          <w:szCs w:val="22"/>
        </w:rPr>
        <w:t>trong nghiên cứu này.</w:t>
      </w:r>
    </w:p>
    <w:p w14:paraId="31B85A7E" w14:textId="324E6AC0" w:rsidR="002148B5" w:rsidRDefault="002148B5" w:rsidP="002148B5">
      <w:pPr>
        <w:tabs>
          <w:tab w:val="left" w:pos="360"/>
          <w:tab w:val="right" w:leader="hyphen" w:pos="9072"/>
        </w:tabs>
        <w:spacing w:before="120" w:after="120"/>
        <w:jc w:val="both"/>
        <w:rPr>
          <w:i/>
          <w:iCs/>
          <w:sz w:val="22"/>
          <w:szCs w:val="22"/>
        </w:rPr>
      </w:pPr>
      <w:r>
        <w:rPr>
          <w:i/>
          <w:iCs/>
          <w:sz w:val="22"/>
          <w:szCs w:val="22"/>
        </w:rPr>
        <w:t>Thống kê mô tả</w:t>
      </w:r>
    </w:p>
    <w:p w14:paraId="68244948" w14:textId="0DAA1076" w:rsidR="002148B5" w:rsidRPr="002148B5" w:rsidRDefault="00F513C7" w:rsidP="002148B5">
      <w:pPr>
        <w:tabs>
          <w:tab w:val="left" w:pos="360"/>
          <w:tab w:val="right" w:leader="hyphen" w:pos="9072"/>
        </w:tabs>
        <w:spacing w:before="120" w:after="120"/>
        <w:jc w:val="both"/>
        <w:rPr>
          <w:sz w:val="22"/>
          <w:szCs w:val="22"/>
        </w:rPr>
      </w:pPr>
      <w:r w:rsidRPr="00F513C7">
        <w:rPr>
          <w:sz w:val="22"/>
          <w:szCs w:val="22"/>
        </w:rPr>
        <w:t>Thống kê mô tả tại Bảng 3 được thực hiện dựa trên 92 quan sát. Biến FDIR có giá trị trung bình là 2,23 với độ lệch chuẩn 1,03, cho thấy mức biến động trung bình và dao động hẹp, phản ánh sự ổn định trong dòng vốn đầu tư. Ngược lại, INFU ghi nhận giá trị trung bình 2,99 nhưng với độ lệch chuẩn cao và phạm vi dao động rộng, điều này chỉ ra sự biến thiên mạnh mẽ, có khả năng dẫn đến các giai đoạn siêu lạm phát, gây mất ổn định kinh tế và làm suy giảm niềm tin của nhà đầu tư. Biến GDP, với giá trị trung bình 6,03 và độ lệch chuẩn 2,08, phản ánh mức tăng trưởng kinh tế tích cực, tuy nhiên cũng bộc lộ sự dao động đáng kể, bao gồm cả các thời kỳ suy giảm lẫn bùng nổ kinh tế. Những kết quả này gợi mở mối quan hệ tiềm tàng giữa các biến: sự biến động lớn của INFU có thể kìm hãm dòng vốn FDI, trong khi tốc độ tăng trưởng GDP mạnh mẽ có thể trở thành động lực thu hút FDI</w:t>
      </w:r>
      <w:r>
        <w:rPr>
          <w:sz w:val="22"/>
          <w:szCs w:val="22"/>
        </w:rPr>
        <w:t>.</w:t>
      </w:r>
    </w:p>
    <w:p w14:paraId="27256D3C" w14:textId="77777777" w:rsidR="002148B5" w:rsidRDefault="002148B5" w:rsidP="00676295">
      <w:pPr>
        <w:tabs>
          <w:tab w:val="left" w:pos="360"/>
          <w:tab w:val="right" w:leader="hyphen" w:pos="9072"/>
        </w:tabs>
        <w:spacing w:before="240" w:after="120"/>
        <w:jc w:val="both"/>
        <w:rPr>
          <w:b/>
          <w:bCs/>
          <w:sz w:val="20"/>
          <w:szCs w:val="20"/>
        </w:rPr>
        <w:sectPr w:rsidR="002148B5" w:rsidSect="00E42404">
          <w:type w:val="continuous"/>
          <w:pgSz w:w="11907" w:h="16840" w:code="9"/>
          <w:pgMar w:top="1134" w:right="1134" w:bottom="1134" w:left="1418" w:header="720" w:footer="720" w:gutter="0"/>
          <w:cols w:num="2" w:space="567"/>
          <w:docGrid w:linePitch="360"/>
        </w:sectPr>
      </w:pPr>
    </w:p>
    <w:p w14:paraId="1ED52B7B" w14:textId="006C948F" w:rsidR="003A5FBA" w:rsidRPr="001A2484" w:rsidRDefault="003A5FBA" w:rsidP="00676295">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3</w:t>
      </w:r>
      <w:r w:rsidR="002148B5">
        <w:rPr>
          <w:b/>
          <w:bCs/>
          <w:sz w:val="20"/>
          <w:szCs w:val="20"/>
        </w:rPr>
        <w:t>.</w:t>
      </w:r>
      <w:r w:rsidRPr="001A2484">
        <w:rPr>
          <w:b/>
          <w:bCs/>
          <w:sz w:val="20"/>
          <w:szCs w:val="20"/>
        </w:rPr>
        <w:t xml:space="preserve"> </w:t>
      </w:r>
      <w:r w:rsidR="002148B5">
        <w:rPr>
          <w:sz w:val="20"/>
          <w:szCs w:val="20"/>
        </w:rPr>
        <w:t>Thống kê mô tả giữa các biến</w:t>
      </w:r>
    </w:p>
    <w:tbl>
      <w:tblPr>
        <w:tblW w:w="5000" w:type="pct"/>
        <w:tblCellMar>
          <w:left w:w="0" w:type="dxa"/>
          <w:right w:w="0" w:type="dxa"/>
        </w:tblCellMar>
        <w:tblLook w:val="0000" w:firstRow="0" w:lastRow="0" w:firstColumn="0" w:lastColumn="0" w:noHBand="0" w:noVBand="0"/>
      </w:tblPr>
      <w:tblGrid>
        <w:gridCol w:w="664"/>
        <w:gridCol w:w="1334"/>
        <w:gridCol w:w="2067"/>
        <w:gridCol w:w="1630"/>
        <w:gridCol w:w="1860"/>
        <w:gridCol w:w="1800"/>
      </w:tblGrid>
      <w:tr w:rsidR="002148B5" w:rsidRPr="00AE4A15" w14:paraId="2F014AC4" w14:textId="3CB78B03" w:rsidTr="002148B5">
        <w:trPr>
          <w:cantSplit/>
          <w:tblHeader/>
        </w:trPr>
        <w:tc>
          <w:tcPr>
            <w:tcW w:w="355" w:type="pct"/>
            <w:tcBorders>
              <w:top w:val="single" w:sz="4" w:space="0" w:color="auto"/>
              <w:bottom w:val="single" w:sz="4" w:space="0" w:color="auto"/>
            </w:tcBorders>
            <w:vAlign w:val="bottom"/>
          </w:tcPr>
          <w:p w14:paraId="72F1C1C2" w14:textId="77777777" w:rsidR="002148B5" w:rsidRPr="002B5E0F" w:rsidRDefault="002148B5" w:rsidP="002148B5">
            <w:pPr>
              <w:tabs>
                <w:tab w:val="left" w:pos="360"/>
                <w:tab w:val="right" w:leader="hyphen" w:pos="9072"/>
              </w:tabs>
              <w:spacing w:before="120" w:after="120"/>
              <w:jc w:val="center"/>
              <w:rPr>
                <w:b/>
                <w:sz w:val="22"/>
                <w:szCs w:val="22"/>
              </w:rPr>
            </w:pPr>
            <w:r w:rsidRPr="002B5E0F">
              <w:rPr>
                <w:b/>
                <w:sz w:val="22"/>
                <w:szCs w:val="22"/>
              </w:rPr>
              <w:t>Biến</w:t>
            </w:r>
          </w:p>
        </w:tc>
        <w:tc>
          <w:tcPr>
            <w:tcW w:w="713" w:type="pct"/>
            <w:tcBorders>
              <w:top w:val="single" w:sz="4" w:space="0" w:color="auto"/>
              <w:bottom w:val="single" w:sz="4" w:space="0" w:color="auto"/>
            </w:tcBorders>
            <w:vAlign w:val="center"/>
          </w:tcPr>
          <w:p w14:paraId="3FA31288" w14:textId="2B1F4C90" w:rsidR="002148B5" w:rsidRPr="002B5E0F" w:rsidRDefault="002148B5" w:rsidP="002148B5">
            <w:pPr>
              <w:tabs>
                <w:tab w:val="left" w:pos="360"/>
                <w:tab w:val="right" w:leader="hyphen" w:pos="9072"/>
              </w:tabs>
              <w:spacing w:before="120" w:after="120"/>
              <w:jc w:val="center"/>
              <w:rPr>
                <w:b/>
                <w:sz w:val="22"/>
                <w:szCs w:val="22"/>
              </w:rPr>
            </w:pPr>
            <w:r>
              <w:rPr>
                <w:b/>
                <w:bCs/>
                <w:sz w:val="22"/>
                <w:szCs w:val="22"/>
              </w:rPr>
              <w:t>Số quan sát</w:t>
            </w:r>
          </w:p>
        </w:tc>
        <w:tc>
          <w:tcPr>
            <w:tcW w:w="1105" w:type="pct"/>
            <w:tcBorders>
              <w:top w:val="single" w:sz="4" w:space="0" w:color="auto"/>
              <w:bottom w:val="single" w:sz="4" w:space="0" w:color="auto"/>
            </w:tcBorders>
            <w:vAlign w:val="center"/>
          </w:tcPr>
          <w:p w14:paraId="6E0ACA57" w14:textId="7E543284" w:rsidR="002148B5" w:rsidRPr="00AE4A15" w:rsidRDefault="002148B5" w:rsidP="002148B5">
            <w:pPr>
              <w:tabs>
                <w:tab w:val="left" w:pos="360"/>
                <w:tab w:val="right" w:leader="hyphen" w:pos="9072"/>
              </w:tabs>
              <w:spacing w:before="120" w:after="120"/>
              <w:jc w:val="center"/>
              <w:rPr>
                <w:b/>
                <w:bCs/>
                <w:sz w:val="22"/>
                <w:szCs w:val="22"/>
              </w:rPr>
            </w:pPr>
            <w:r>
              <w:rPr>
                <w:b/>
                <w:bCs/>
                <w:sz w:val="22"/>
                <w:szCs w:val="22"/>
              </w:rPr>
              <w:t>Giá trị trung bình</w:t>
            </w:r>
          </w:p>
        </w:tc>
        <w:tc>
          <w:tcPr>
            <w:tcW w:w="871" w:type="pct"/>
            <w:tcBorders>
              <w:top w:val="single" w:sz="4" w:space="0" w:color="auto"/>
              <w:bottom w:val="single" w:sz="4" w:space="0" w:color="auto"/>
            </w:tcBorders>
          </w:tcPr>
          <w:p w14:paraId="4DF09CAC" w14:textId="40DF9754" w:rsidR="002148B5" w:rsidRDefault="002148B5" w:rsidP="002148B5">
            <w:pPr>
              <w:tabs>
                <w:tab w:val="left" w:pos="360"/>
                <w:tab w:val="right" w:leader="hyphen" w:pos="9072"/>
              </w:tabs>
              <w:spacing w:before="120" w:after="120"/>
              <w:jc w:val="center"/>
              <w:rPr>
                <w:b/>
                <w:bCs/>
                <w:sz w:val="22"/>
                <w:szCs w:val="22"/>
              </w:rPr>
            </w:pPr>
            <w:r>
              <w:rPr>
                <w:b/>
                <w:bCs/>
                <w:sz w:val="22"/>
                <w:szCs w:val="22"/>
              </w:rPr>
              <w:t>Độ lệch chuẩn</w:t>
            </w:r>
          </w:p>
        </w:tc>
        <w:tc>
          <w:tcPr>
            <w:tcW w:w="994" w:type="pct"/>
            <w:tcBorders>
              <w:top w:val="single" w:sz="4" w:space="0" w:color="auto"/>
              <w:bottom w:val="single" w:sz="4" w:space="0" w:color="auto"/>
            </w:tcBorders>
          </w:tcPr>
          <w:p w14:paraId="5D188F0C" w14:textId="5EDF2D57"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nhỏ nhất</w:t>
            </w:r>
          </w:p>
        </w:tc>
        <w:tc>
          <w:tcPr>
            <w:tcW w:w="962" w:type="pct"/>
            <w:tcBorders>
              <w:top w:val="single" w:sz="4" w:space="0" w:color="auto"/>
              <w:bottom w:val="single" w:sz="4" w:space="0" w:color="auto"/>
            </w:tcBorders>
          </w:tcPr>
          <w:p w14:paraId="685CD584" w14:textId="5BCCD75E"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lớn nhất</w:t>
            </w:r>
          </w:p>
        </w:tc>
      </w:tr>
      <w:tr w:rsidR="002148B5" w:rsidRPr="00AE4A15" w14:paraId="77C33A5F" w14:textId="4C782A94" w:rsidTr="002148B5">
        <w:trPr>
          <w:cantSplit/>
        </w:trPr>
        <w:tc>
          <w:tcPr>
            <w:tcW w:w="355" w:type="pct"/>
            <w:tcBorders>
              <w:top w:val="single" w:sz="4" w:space="0" w:color="auto"/>
            </w:tcBorders>
          </w:tcPr>
          <w:p w14:paraId="5F9E0F0D" w14:textId="59413F6D" w:rsidR="002148B5" w:rsidRPr="002B5E0F" w:rsidRDefault="002148B5" w:rsidP="002148B5">
            <w:pPr>
              <w:tabs>
                <w:tab w:val="left" w:pos="360"/>
                <w:tab w:val="right" w:leader="hyphen" w:pos="9072"/>
              </w:tabs>
              <w:spacing w:before="120" w:after="120"/>
              <w:jc w:val="center"/>
              <w:rPr>
                <w:b/>
                <w:sz w:val="22"/>
                <w:szCs w:val="22"/>
              </w:rPr>
            </w:pPr>
            <w:r>
              <w:rPr>
                <w:b/>
                <w:sz w:val="22"/>
                <w:szCs w:val="22"/>
              </w:rPr>
              <w:t>FDIR</w:t>
            </w:r>
          </w:p>
        </w:tc>
        <w:tc>
          <w:tcPr>
            <w:tcW w:w="713" w:type="pct"/>
            <w:tcBorders>
              <w:top w:val="single" w:sz="4" w:space="0" w:color="auto"/>
            </w:tcBorders>
          </w:tcPr>
          <w:p w14:paraId="4DB45B5C" w14:textId="64EC012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92</w:t>
            </w:r>
          </w:p>
        </w:tc>
        <w:tc>
          <w:tcPr>
            <w:tcW w:w="1105" w:type="pct"/>
            <w:tcBorders>
              <w:top w:val="single" w:sz="4" w:space="0" w:color="auto"/>
            </w:tcBorders>
          </w:tcPr>
          <w:p w14:paraId="1B21B902" w14:textId="60C17974"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22587</w:t>
            </w:r>
          </w:p>
        </w:tc>
        <w:tc>
          <w:tcPr>
            <w:tcW w:w="871" w:type="pct"/>
            <w:tcBorders>
              <w:top w:val="single" w:sz="4" w:space="0" w:color="auto"/>
            </w:tcBorders>
          </w:tcPr>
          <w:p w14:paraId="6CCCBFC3" w14:textId="07357E7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w:t>
            </w:r>
            <w:r>
              <w:rPr>
                <w:sz w:val="22"/>
                <w:szCs w:val="22"/>
              </w:rPr>
              <w:t>,</w:t>
            </w:r>
            <w:r w:rsidRPr="002148B5">
              <w:rPr>
                <w:sz w:val="22"/>
                <w:szCs w:val="22"/>
              </w:rPr>
              <w:t>028685</w:t>
            </w:r>
          </w:p>
        </w:tc>
        <w:tc>
          <w:tcPr>
            <w:tcW w:w="994" w:type="pct"/>
            <w:tcBorders>
              <w:top w:val="single" w:sz="4" w:space="0" w:color="auto"/>
            </w:tcBorders>
          </w:tcPr>
          <w:p w14:paraId="0910D23E" w14:textId="300C18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3</w:t>
            </w:r>
          </w:p>
        </w:tc>
        <w:tc>
          <w:tcPr>
            <w:tcW w:w="962" w:type="pct"/>
            <w:tcBorders>
              <w:top w:val="single" w:sz="4" w:space="0" w:color="auto"/>
            </w:tcBorders>
          </w:tcPr>
          <w:p w14:paraId="390652BF" w14:textId="0AB3BA4D"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w:t>
            </w:r>
            <w:r>
              <w:rPr>
                <w:sz w:val="22"/>
                <w:szCs w:val="22"/>
              </w:rPr>
              <w:t>,</w:t>
            </w:r>
            <w:r w:rsidRPr="002148B5">
              <w:rPr>
                <w:sz w:val="22"/>
                <w:szCs w:val="22"/>
              </w:rPr>
              <w:t>7</w:t>
            </w:r>
          </w:p>
        </w:tc>
      </w:tr>
      <w:tr w:rsidR="002148B5" w:rsidRPr="00AE4A15" w14:paraId="493B20A7" w14:textId="42A14134" w:rsidTr="002148B5">
        <w:trPr>
          <w:cantSplit/>
        </w:trPr>
        <w:tc>
          <w:tcPr>
            <w:tcW w:w="355" w:type="pct"/>
          </w:tcPr>
          <w:p w14:paraId="17A334A4" w14:textId="7D021B16" w:rsidR="002148B5" w:rsidRPr="002B5E0F" w:rsidRDefault="002148B5" w:rsidP="002148B5">
            <w:pPr>
              <w:tabs>
                <w:tab w:val="left" w:pos="360"/>
                <w:tab w:val="right" w:leader="hyphen" w:pos="9072"/>
              </w:tabs>
              <w:spacing w:before="120" w:after="120"/>
              <w:jc w:val="center"/>
              <w:rPr>
                <w:b/>
                <w:sz w:val="22"/>
                <w:szCs w:val="22"/>
              </w:rPr>
            </w:pPr>
            <w:r>
              <w:rPr>
                <w:b/>
                <w:sz w:val="22"/>
                <w:szCs w:val="22"/>
              </w:rPr>
              <w:t>INFU</w:t>
            </w:r>
          </w:p>
        </w:tc>
        <w:tc>
          <w:tcPr>
            <w:tcW w:w="713" w:type="pct"/>
          </w:tcPr>
          <w:p w14:paraId="6B27413B" w14:textId="37B75409"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Pr>
          <w:p w14:paraId="5BFE637A" w14:textId="6AC7F0AB"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992021</w:t>
            </w:r>
          </w:p>
        </w:tc>
        <w:tc>
          <w:tcPr>
            <w:tcW w:w="871" w:type="pct"/>
          </w:tcPr>
          <w:p w14:paraId="5252DE54" w14:textId="366059A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5</w:t>
            </w:r>
            <w:r>
              <w:rPr>
                <w:sz w:val="22"/>
                <w:szCs w:val="22"/>
              </w:rPr>
              <w:t>,</w:t>
            </w:r>
            <w:r w:rsidRPr="002148B5">
              <w:rPr>
                <w:sz w:val="22"/>
                <w:szCs w:val="22"/>
              </w:rPr>
              <w:t>635593</w:t>
            </w:r>
          </w:p>
        </w:tc>
        <w:tc>
          <w:tcPr>
            <w:tcW w:w="994" w:type="pct"/>
          </w:tcPr>
          <w:p w14:paraId="6E7588BA" w14:textId="5AC6C2F2"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2403344</w:t>
            </w:r>
          </w:p>
        </w:tc>
        <w:tc>
          <w:tcPr>
            <w:tcW w:w="962" w:type="pct"/>
          </w:tcPr>
          <w:p w14:paraId="3F4F3D3C" w14:textId="0874EED5"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34</w:t>
            </w:r>
            <w:r>
              <w:rPr>
                <w:sz w:val="22"/>
                <w:szCs w:val="22"/>
              </w:rPr>
              <w:t>,</w:t>
            </w:r>
            <w:r w:rsidRPr="002148B5">
              <w:rPr>
                <w:sz w:val="22"/>
                <w:szCs w:val="22"/>
              </w:rPr>
              <w:t>61493</w:t>
            </w:r>
          </w:p>
        </w:tc>
      </w:tr>
      <w:tr w:rsidR="002148B5" w:rsidRPr="00AE4A15" w14:paraId="592A58F1" w14:textId="5DECFC5D" w:rsidTr="002148B5">
        <w:trPr>
          <w:cantSplit/>
        </w:trPr>
        <w:tc>
          <w:tcPr>
            <w:tcW w:w="355" w:type="pct"/>
            <w:tcBorders>
              <w:bottom w:val="single" w:sz="4" w:space="0" w:color="auto"/>
            </w:tcBorders>
          </w:tcPr>
          <w:p w14:paraId="7C607EA1" w14:textId="325DE0C4" w:rsidR="002148B5" w:rsidRPr="002B5E0F" w:rsidRDefault="002148B5" w:rsidP="002148B5">
            <w:pPr>
              <w:tabs>
                <w:tab w:val="left" w:pos="360"/>
                <w:tab w:val="right" w:leader="hyphen" w:pos="9072"/>
              </w:tabs>
              <w:spacing w:before="120" w:after="120"/>
              <w:jc w:val="center"/>
              <w:rPr>
                <w:b/>
                <w:sz w:val="22"/>
                <w:szCs w:val="22"/>
              </w:rPr>
            </w:pPr>
            <w:r>
              <w:rPr>
                <w:b/>
                <w:sz w:val="22"/>
                <w:szCs w:val="22"/>
              </w:rPr>
              <w:t>GDP</w:t>
            </w:r>
          </w:p>
        </w:tc>
        <w:tc>
          <w:tcPr>
            <w:tcW w:w="713" w:type="pct"/>
            <w:tcBorders>
              <w:bottom w:val="single" w:sz="4" w:space="0" w:color="auto"/>
            </w:tcBorders>
          </w:tcPr>
          <w:p w14:paraId="1CE6F022" w14:textId="7E50F3A3"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Borders>
              <w:bottom w:val="single" w:sz="4" w:space="0" w:color="auto"/>
            </w:tcBorders>
          </w:tcPr>
          <w:p w14:paraId="629715C0" w14:textId="21BB19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w:t>
            </w:r>
            <w:r>
              <w:rPr>
                <w:sz w:val="22"/>
                <w:szCs w:val="22"/>
              </w:rPr>
              <w:t>,</w:t>
            </w:r>
            <w:r w:rsidRPr="002148B5">
              <w:rPr>
                <w:sz w:val="22"/>
                <w:szCs w:val="22"/>
              </w:rPr>
              <w:t>025978</w:t>
            </w:r>
          </w:p>
        </w:tc>
        <w:tc>
          <w:tcPr>
            <w:tcW w:w="871" w:type="pct"/>
            <w:tcBorders>
              <w:bottom w:val="single" w:sz="4" w:space="0" w:color="auto"/>
            </w:tcBorders>
          </w:tcPr>
          <w:p w14:paraId="2F137A08" w14:textId="41A74E7A"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079463</w:t>
            </w:r>
          </w:p>
        </w:tc>
        <w:tc>
          <w:tcPr>
            <w:tcW w:w="994" w:type="pct"/>
            <w:tcBorders>
              <w:bottom w:val="single" w:sz="4" w:space="0" w:color="auto"/>
            </w:tcBorders>
          </w:tcPr>
          <w:p w14:paraId="0151AE2B" w14:textId="484DDD90"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-6,17</w:t>
            </w:r>
          </w:p>
        </w:tc>
        <w:tc>
          <w:tcPr>
            <w:tcW w:w="962" w:type="pct"/>
            <w:tcBorders>
              <w:bottom w:val="single" w:sz="4" w:space="0" w:color="auto"/>
            </w:tcBorders>
          </w:tcPr>
          <w:p w14:paraId="679A6642" w14:textId="570D3251"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13</w:t>
            </w:r>
            <w:r>
              <w:rPr>
                <w:sz w:val="22"/>
                <w:szCs w:val="22"/>
              </w:rPr>
              <w:t>,</w:t>
            </w:r>
            <w:r w:rsidRPr="002148B5">
              <w:rPr>
                <w:sz w:val="22"/>
                <w:szCs w:val="22"/>
              </w:rPr>
              <w:t>67</w:t>
            </w:r>
          </w:p>
        </w:tc>
      </w:tr>
    </w:tbl>
    <w:p w14:paraId="2309F5DC" w14:textId="1CE02EE9" w:rsidR="0071249E" w:rsidRDefault="0071249E"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2148B5">
        <w:rPr>
          <w:rFonts w:eastAsia="Arial"/>
          <w:i/>
          <w:iCs/>
          <w:color w:val="000000" w:themeColor="text1"/>
          <w:sz w:val="22"/>
          <w:szCs w:val="22"/>
        </w:rPr>
        <w:t>5</w:t>
      </w:r>
    </w:p>
    <w:p w14:paraId="1BDB2AB1" w14:textId="20A401BB" w:rsidR="002148B5" w:rsidRPr="002148B5" w:rsidRDefault="002148B5" w:rsidP="003A5FBA">
      <w:pPr>
        <w:tabs>
          <w:tab w:val="left" w:pos="360"/>
          <w:tab w:val="right" w:leader="hyphen" w:pos="9072"/>
        </w:tabs>
        <w:spacing w:before="240" w:after="120"/>
        <w:jc w:val="both"/>
        <w:rPr>
          <w:bCs/>
          <w:i/>
          <w:iCs/>
          <w:sz w:val="22"/>
          <w:szCs w:val="22"/>
        </w:rPr>
      </w:pPr>
      <w:bookmarkStart w:id="0" w:name="_Toc165553487"/>
      <w:bookmarkStart w:id="1" w:name="_Toc165553538"/>
      <w:r>
        <w:rPr>
          <w:bCs/>
          <w:i/>
          <w:iCs/>
          <w:sz w:val="22"/>
          <w:szCs w:val="22"/>
        </w:rPr>
        <w:t>Lựa chọn độ trễ tối ưu</w:t>
      </w:r>
    </w:p>
    <w:p w14:paraId="6BF81D81" w14:textId="7077A915"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4</w:t>
      </w:r>
      <w:r w:rsidR="002148B5">
        <w:rPr>
          <w:b/>
          <w:bCs/>
          <w:sz w:val="20"/>
          <w:szCs w:val="20"/>
        </w:rPr>
        <w:t>.</w:t>
      </w:r>
      <w:r w:rsidRPr="001A2484">
        <w:rPr>
          <w:b/>
          <w:bCs/>
          <w:sz w:val="20"/>
          <w:szCs w:val="20"/>
        </w:rPr>
        <w:t xml:space="preserve"> </w:t>
      </w:r>
      <w:bookmarkEnd w:id="0"/>
      <w:bookmarkEnd w:id="1"/>
      <w:r w:rsidR="002148B5">
        <w:rPr>
          <w:sz w:val="20"/>
          <w:szCs w:val="20"/>
        </w:rPr>
        <w:t>Các tiêu chí lựa chọn độ trễ</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32"/>
        <w:gridCol w:w="1414"/>
        <w:gridCol w:w="1591"/>
        <w:gridCol w:w="1427"/>
        <w:gridCol w:w="1427"/>
        <w:gridCol w:w="1427"/>
        <w:gridCol w:w="1427"/>
      </w:tblGrid>
      <w:tr w:rsidR="00A55D10" w:rsidRPr="00AE4A15" w14:paraId="67C46E30" w14:textId="5FAFDF8A" w:rsidTr="00A55D10">
        <w:trPr>
          <w:cantSplit/>
          <w:tblHeader/>
        </w:trPr>
        <w:tc>
          <w:tcPr>
            <w:tcW w:w="632" w:type="dxa"/>
            <w:tcBorders>
              <w:top w:val="single" w:sz="4" w:space="0" w:color="auto"/>
              <w:bottom w:val="single" w:sz="4" w:space="0" w:color="auto"/>
            </w:tcBorders>
          </w:tcPr>
          <w:p w14:paraId="2890DFA4" w14:textId="21CDDC12"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b/>
                <w:bCs/>
                <w:sz w:val="22"/>
                <w:szCs w:val="22"/>
              </w:rPr>
              <w:t>lag</w:t>
            </w:r>
          </w:p>
        </w:tc>
        <w:tc>
          <w:tcPr>
            <w:tcW w:w="1414" w:type="dxa"/>
            <w:tcBorders>
              <w:top w:val="single" w:sz="4" w:space="0" w:color="auto"/>
              <w:bottom w:val="single" w:sz="4" w:space="0" w:color="auto"/>
            </w:tcBorders>
          </w:tcPr>
          <w:p w14:paraId="58E06121" w14:textId="635E4F0B"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b/>
                <w:bCs/>
                <w:sz w:val="22"/>
                <w:szCs w:val="22"/>
              </w:rPr>
              <w:t>LL</w:t>
            </w:r>
          </w:p>
        </w:tc>
        <w:tc>
          <w:tcPr>
            <w:tcW w:w="1591" w:type="dxa"/>
            <w:tcBorders>
              <w:top w:val="single" w:sz="4" w:space="0" w:color="auto"/>
              <w:bottom w:val="single" w:sz="4" w:space="0" w:color="auto"/>
            </w:tcBorders>
          </w:tcPr>
          <w:p w14:paraId="32FB24ED" w14:textId="32138F15"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LR</w:t>
            </w:r>
          </w:p>
        </w:tc>
        <w:tc>
          <w:tcPr>
            <w:tcW w:w="1427" w:type="dxa"/>
            <w:tcBorders>
              <w:top w:val="single" w:sz="4" w:space="0" w:color="auto"/>
              <w:bottom w:val="single" w:sz="4" w:space="0" w:color="auto"/>
            </w:tcBorders>
          </w:tcPr>
          <w:p w14:paraId="27CD78FC" w14:textId="3364D43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FPE</w:t>
            </w:r>
          </w:p>
        </w:tc>
        <w:tc>
          <w:tcPr>
            <w:tcW w:w="1427" w:type="dxa"/>
            <w:tcBorders>
              <w:top w:val="single" w:sz="4" w:space="0" w:color="auto"/>
              <w:bottom w:val="single" w:sz="4" w:space="0" w:color="auto"/>
            </w:tcBorders>
          </w:tcPr>
          <w:p w14:paraId="20DB060F" w14:textId="3E2D6B84"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AIC</w:t>
            </w:r>
          </w:p>
        </w:tc>
        <w:tc>
          <w:tcPr>
            <w:tcW w:w="1427" w:type="dxa"/>
            <w:tcBorders>
              <w:top w:val="single" w:sz="4" w:space="0" w:color="auto"/>
              <w:bottom w:val="single" w:sz="4" w:space="0" w:color="auto"/>
            </w:tcBorders>
          </w:tcPr>
          <w:p w14:paraId="7EA79CB1" w14:textId="6F82694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HQIC</w:t>
            </w:r>
          </w:p>
        </w:tc>
        <w:tc>
          <w:tcPr>
            <w:tcW w:w="1427" w:type="dxa"/>
            <w:tcBorders>
              <w:top w:val="single" w:sz="4" w:space="0" w:color="auto"/>
              <w:bottom w:val="single" w:sz="4" w:space="0" w:color="auto"/>
            </w:tcBorders>
          </w:tcPr>
          <w:p w14:paraId="791FA92A" w14:textId="790D2606"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SBIC</w:t>
            </w:r>
          </w:p>
        </w:tc>
      </w:tr>
      <w:tr w:rsidR="00A55D10" w:rsidRPr="00AE4A15" w14:paraId="4C25B321" w14:textId="4EA9B003" w:rsidTr="00A55D10">
        <w:trPr>
          <w:cantSplit/>
        </w:trPr>
        <w:tc>
          <w:tcPr>
            <w:tcW w:w="632" w:type="dxa"/>
            <w:tcBorders>
              <w:top w:val="single" w:sz="4" w:space="0" w:color="auto"/>
            </w:tcBorders>
          </w:tcPr>
          <w:p w14:paraId="75C41C53" w14:textId="180EF7F9"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0</w:t>
            </w:r>
          </w:p>
        </w:tc>
        <w:tc>
          <w:tcPr>
            <w:tcW w:w="1414" w:type="dxa"/>
            <w:tcBorders>
              <w:top w:val="single" w:sz="4" w:space="0" w:color="auto"/>
            </w:tcBorders>
          </w:tcPr>
          <w:p w14:paraId="7F7F83C6" w14:textId="1139049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-587</w:t>
            </w:r>
            <w:r>
              <w:rPr>
                <w:rFonts w:eastAsiaTheme="minorEastAsia"/>
                <w:sz w:val="22"/>
                <w:szCs w:val="22"/>
              </w:rPr>
              <w:t>,</w:t>
            </w:r>
            <w:r w:rsidRPr="00A55D10">
              <w:rPr>
                <w:rFonts w:eastAsiaTheme="minorEastAsia"/>
                <w:sz w:val="22"/>
                <w:szCs w:val="22"/>
              </w:rPr>
              <w:t>794</w:t>
            </w:r>
          </w:p>
        </w:tc>
        <w:tc>
          <w:tcPr>
            <w:tcW w:w="1591" w:type="dxa"/>
            <w:tcBorders>
              <w:top w:val="single" w:sz="4" w:space="0" w:color="auto"/>
            </w:tcBorders>
          </w:tcPr>
          <w:p w14:paraId="59EF4B39" w14:textId="51862BC6" w:rsidR="00A55D10" w:rsidRPr="00A55D10" w:rsidRDefault="00A55D10" w:rsidP="00A55D10">
            <w:pPr>
              <w:tabs>
                <w:tab w:val="left" w:pos="360"/>
                <w:tab w:val="right" w:leader="hyphen" w:pos="9072"/>
              </w:tabs>
              <w:spacing w:before="120" w:after="120"/>
              <w:jc w:val="center"/>
              <w:rPr>
                <w:bCs/>
                <w:sz w:val="22"/>
                <w:szCs w:val="22"/>
              </w:rPr>
            </w:pPr>
          </w:p>
        </w:tc>
        <w:tc>
          <w:tcPr>
            <w:tcW w:w="1427" w:type="dxa"/>
            <w:tcBorders>
              <w:top w:val="single" w:sz="4" w:space="0" w:color="auto"/>
            </w:tcBorders>
          </w:tcPr>
          <w:p w14:paraId="7528DD24" w14:textId="4E8C9D25"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136</w:t>
            </w:r>
            <w:r>
              <w:rPr>
                <w:rFonts w:eastAsiaTheme="minorEastAsia"/>
                <w:sz w:val="22"/>
                <w:szCs w:val="22"/>
              </w:rPr>
              <w:t>,</w:t>
            </w:r>
            <w:r w:rsidRPr="00A55D10">
              <w:rPr>
                <w:rFonts w:eastAsiaTheme="minorEastAsia"/>
                <w:sz w:val="22"/>
                <w:szCs w:val="22"/>
              </w:rPr>
              <w:t>117</w:t>
            </w:r>
          </w:p>
        </w:tc>
        <w:tc>
          <w:tcPr>
            <w:tcW w:w="1427" w:type="dxa"/>
            <w:tcBorders>
              <w:top w:val="single" w:sz="4" w:space="0" w:color="auto"/>
            </w:tcBorders>
          </w:tcPr>
          <w:p w14:paraId="25C3FE29" w14:textId="4DC392E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4271</w:t>
            </w:r>
          </w:p>
        </w:tc>
        <w:tc>
          <w:tcPr>
            <w:tcW w:w="1427" w:type="dxa"/>
            <w:tcBorders>
              <w:top w:val="single" w:sz="4" w:space="0" w:color="auto"/>
            </w:tcBorders>
          </w:tcPr>
          <w:p w14:paraId="6A1F90DE" w14:textId="7F37837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4612</w:t>
            </w:r>
          </w:p>
        </w:tc>
        <w:tc>
          <w:tcPr>
            <w:tcW w:w="1427" w:type="dxa"/>
            <w:tcBorders>
              <w:top w:val="single" w:sz="4" w:space="0" w:color="auto"/>
            </w:tcBorders>
          </w:tcPr>
          <w:p w14:paraId="5ED23163" w14:textId="2278647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5116</w:t>
            </w:r>
          </w:p>
        </w:tc>
      </w:tr>
      <w:tr w:rsidR="00A55D10" w:rsidRPr="00AE4A15" w14:paraId="2A0B24BF" w14:textId="40BD9C0D" w:rsidTr="00A55D10">
        <w:trPr>
          <w:cantSplit/>
        </w:trPr>
        <w:tc>
          <w:tcPr>
            <w:tcW w:w="632" w:type="dxa"/>
          </w:tcPr>
          <w:p w14:paraId="5D55E8A1" w14:textId="16D15263"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1</w:t>
            </w:r>
          </w:p>
        </w:tc>
        <w:tc>
          <w:tcPr>
            <w:tcW w:w="1414" w:type="dxa"/>
          </w:tcPr>
          <w:p w14:paraId="43CA5B0E" w14:textId="7BC9B5B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-524</w:t>
            </w:r>
            <w:r>
              <w:rPr>
                <w:rFonts w:eastAsiaTheme="minorEastAsia"/>
                <w:sz w:val="22"/>
                <w:szCs w:val="22"/>
              </w:rPr>
              <w:t>,</w:t>
            </w:r>
            <w:r w:rsidRPr="00A55D10">
              <w:rPr>
                <w:rFonts w:eastAsiaTheme="minorEastAsia"/>
                <w:sz w:val="22"/>
                <w:szCs w:val="22"/>
              </w:rPr>
              <w:t>127</w:t>
            </w:r>
          </w:p>
        </w:tc>
        <w:tc>
          <w:tcPr>
            <w:tcW w:w="1591" w:type="dxa"/>
          </w:tcPr>
          <w:p w14:paraId="4513F783" w14:textId="1A80622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127</w:t>
            </w:r>
            <w:r>
              <w:rPr>
                <w:rFonts w:eastAsiaTheme="minorEastAsia"/>
                <w:sz w:val="22"/>
                <w:szCs w:val="22"/>
              </w:rPr>
              <w:t>,</w:t>
            </w:r>
            <w:r w:rsidRPr="00A55D10">
              <w:rPr>
                <w:rFonts w:eastAsiaTheme="minorEastAsia"/>
                <w:sz w:val="22"/>
                <w:szCs w:val="22"/>
              </w:rPr>
              <w:t>33</w:t>
            </w:r>
          </w:p>
        </w:tc>
        <w:tc>
          <w:tcPr>
            <w:tcW w:w="1427" w:type="dxa"/>
          </w:tcPr>
          <w:p w14:paraId="34B86C49" w14:textId="586580F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39</w:t>
            </w:r>
            <w:r>
              <w:rPr>
                <w:rFonts w:eastAsiaTheme="minorEastAsia"/>
                <w:sz w:val="22"/>
                <w:szCs w:val="22"/>
              </w:rPr>
              <w:t>,</w:t>
            </w:r>
            <w:r w:rsidRPr="00A55D10">
              <w:rPr>
                <w:rFonts w:eastAsiaTheme="minorEastAsia"/>
                <w:sz w:val="22"/>
                <w:szCs w:val="22"/>
              </w:rPr>
              <w:t>3018</w:t>
            </w:r>
          </w:p>
        </w:tc>
        <w:tc>
          <w:tcPr>
            <w:tcW w:w="1427" w:type="dxa"/>
          </w:tcPr>
          <w:p w14:paraId="1D00BF6C" w14:textId="59FDAE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1847</w:t>
            </w:r>
          </w:p>
        </w:tc>
        <w:tc>
          <w:tcPr>
            <w:tcW w:w="1427" w:type="dxa"/>
          </w:tcPr>
          <w:p w14:paraId="65A5A979" w14:textId="37ADCCA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3208</w:t>
            </w:r>
          </w:p>
        </w:tc>
        <w:tc>
          <w:tcPr>
            <w:tcW w:w="1427" w:type="dxa"/>
          </w:tcPr>
          <w:p w14:paraId="45186694" w14:textId="6FAA858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5225*</w:t>
            </w:r>
          </w:p>
        </w:tc>
      </w:tr>
      <w:tr w:rsidR="00A55D10" w:rsidRPr="00AE4A15" w14:paraId="2EDB756C" w14:textId="54241D06" w:rsidTr="00A55D10">
        <w:trPr>
          <w:cantSplit/>
        </w:trPr>
        <w:tc>
          <w:tcPr>
            <w:tcW w:w="632" w:type="dxa"/>
          </w:tcPr>
          <w:p w14:paraId="088D8A28" w14:textId="73224A45"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2</w:t>
            </w:r>
          </w:p>
        </w:tc>
        <w:tc>
          <w:tcPr>
            <w:tcW w:w="1414" w:type="dxa"/>
          </w:tcPr>
          <w:p w14:paraId="38F9E10C" w14:textId="48A3CE4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-508</w:t>
            </w:r>
            <w:r>
              <w:rPr>
                <w:rFonts w:eastAsiaTheme="minorEastAsia"/>
                <w:sz w:val="22"/>
                <w:szCs w:val="22"/>
              </w:rPr>
              <w:t>,</w:t>
            </w:r>
            <w:r w:rsidRPr="00A55D10">
              <w:rPr>
                <w:rFonts w:eastAsiaTheme="minorEastAsia"/>
                <w:sz w:val="22"/>
                <w:szCs w:val="22"/>
              </w:rPr>
              <w:t>646</w:t>
            </w:r>
          </w:p>
        </w:tc>
        <w:tc>
          <w:tcPr>
            <w:tcW w:w="1591" w:type="dxa"/>
          </w:tcPr>
          <w:p w14:paraId="653B4BE5" w14:textId="12D8459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963</w:t>
            </w:r>
          </w:p>
        </w:tc>
        <w:tc>
          <w:tcPr>
            <w:tcW w:w="1427" w:type="dxa"/>
          </w:tcPr>
          <w:p w14:paraId="1BBF6389" w14:textId="565A9F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33</w:t>
            </w:r>
            <w:r>
              <w:rPr>
                <w:rFonts w:eastAsiaTheme="minorEastAsia"/>
                <w:sz w:val="22"/>
                <w:szCs w:val="22"/>
              </w:rPr>
              <w:t>,</w:t>
            </w:r>
            <w:r w:rsidRPr="00A55D10">
              <w:rPr>
                <w:rFonts w:eastAsiaTheme="minorEastAsia"/>
                <w:sz w:val="22"/>
                <w:szCs w:val="22"/>
              </w:rPr>
              <w:t>9466</w:t>
            </w:r>
          </w:p>
        </w:tc>
        <w:tc>
          <w:tcPr>
            <w:tcW w:w="1427" w:type="dxa"/>
          </w:tcPr>
          <w:p w14:paraId="12BC9DEE" w14:textId="2557B2B1"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0374</w:t>
            </w:r>
          </w:p>
        </w:tc>
        <w:tc>
          <w:tcPr>
            <w:tcW w:w="1427" w:type="dxa"/>
          </w:tcPr>
          <w:p w14:paraId="46A71430" w14:textId="2D46EB6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2756</w:t>
            </w:r>
          </w:p>
        </w:tc>
        <w:tc>
          <w:tcPr>
            <w:tcW w:w="1427" w:type="dxa"/>
          </w:tcPr>
          <w:p w14:paraId="087A402E" w14:textId="390371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6286</w:t>
            </w:r>
          </w:p>
        </w:tc>
      </w:tr>
      <w:tr w:rsidR="00A55D10" w:rsidRPr="00AE4A15" w14:paraId="1D9EF752" w14:textId="54FCE5BF" w:rsidTr="00A55D10">
        <w:trPr>
          <w:cantSplit/>
        </w:trPr>
        <w:tc>
          <w:tcPr>
            <w:tcW w:w="632" w:type="dxa"/>
          </w:tcPr>
          <w:p w14:paraId="343472EC" w14:textId="2385DADF"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3</w:t>
            </w:r>
          </w:p>
        </w:tc>
        <w:tc>
          <w:tcPr>
            <w:tcW w:w="1414" w:type="dxa"/>
          </w:tcPr>
          <w:p w14:paraId="5B299489" w14:textId="0E8D25C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-494</w:t>
            </w:r>
            <w:r>
              <w:rPr>
                <w:rFonts w:eastAsiaTheme="minorEastAsia"/>
                <w:sz w:val="22"/>
                <w:szCs w:val="22"/>
              </w:rPr>
              <w:t>,</w:t>
            </w:r>
            <w:r w:rsidRPr="00A55D10">
              <w:rPr>
                <w:rFonts w:eastAsiaTheme="minorEastAsia"/>
                <w:sz w:val="22"/>
                <w:szCs w:val="22"/>
              </w:rPr>
              <w:t>848</w:t>
            </w:r>
          </w:p>
        </w:tc>
        <w:tc>
          <w:tcPr>
            <w:tcW w:w="1591" w:type="dxa"/>
          </w:tcPr>
          <w:p w14:paraId="65342C93" w14:textId="345BD96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27</w:t>
            </w:r>
            <w:r>
              <w:rPr>
                <w:rFonts w:eastAsiaTheme="minorEastAsia"/>
                <w:sz w:val="22"/>
                <w:szCs w:val="22"/>
              </w:rPr>
              <w:t>,</w:t>
            </w:r>
            <w:r w:rsidRPr="00A55D10">
              <w:rPr>
                <w:rFonts w:eastAsiaTheme="minorEastAsia"/>
                <w:sz w:val="22"/>
                <w:szCs w:val="22"/>
              </w:rPr>
              <w:t>595*</w:t>
            </w:r>
          </w:p>
        </w:tc>
        <w:tc>
          <w:tcPr>
            <w:tcW w:w="1427" w:type="dxa"/>
          </w:tcPr>
          <w:p w14:paraId="5965B41D" w14:textId="2544A3C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4991*</w:t>
            </w:r>
          </w:p>
        </w:tc>
        <w:tc>
          <w:tcPr>
            <w:tcW w:w="1427" w:type="dxa"/>
          </w:tcPr>
          <w:p w14:paraId="425D1930" w14:textId="750BF8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11</w:t>
            </w:r>
            <w:r>
              <w:rPr>
                <w:rFonts w:eastAsiaTheme="minorEastAsia"/>
                <w:sz w:val="22"/>
                <w:szCs w:val="22"/>
              </w:rPr>
              <w:t>,</w:t>
            </w:r>
            <w:r w:rsidRPr="00A55D10">
              <w:rPr>
                <w:rFonts w:eastAsiaTheme="minorEastAsia"/>
                <w:sz w:val="22"/>
                <w:szCs w:val="22"/>
              </w:rPr>
              <w:t>9284*</w:t>
            </w:r>
          </w:p>
        </w:tc>
        <w:tc>
          <w:tcPr>
            <w:tcW w:w="1427" w:type="dxa"/>
          </w:tcPr>
          <w:p w14:paraId="2C94CA34" w14:textId="17C6ABA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2686*</w:t>
            </w:r>
          </w:p>
        </w:tc>
        <w:tc>
          <w:tcPr>
            <w:tcW w:w="1427" w:type="dxa"/>
          </w:tcPr>
          <w:p w14:paraId="0506C3B5" w14:textId="238F1D2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7729</w:t>
            </w:r>
          </w:p>
        </w:tc>
      </w:tr>
      <w:tr w:rsidR="00A55D10" w:rsidRPr="00AE4A15" w14:paraId="53728498" w14:textId="6F8E98C5" w:rsidTr="00A55D10">
        <w:trPr>
          <w:cantSplit/>
        </w:trPr>
        <w:tc>
          <w:tcPr>
            <w:tcW w:w="632" w:type="dxa"/>
          </w:tcPr>
          <w:p w14:paraId="7682B830" w14:textId="732FD0C6"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4</w:t>
            </w:r>
          </w:p>
        </w:tc>
        <w:tc>
          <w:tcPr>
            <w:tcW w:w="1414" w:type="dxa"/>
          </w:tcPr>
          <w:p w14:paraId="0FE0FA82" w14:textId="401AFE7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-491</w:t>
            </w:r>
            <w:r>
              <w:rPr>
                <w:rFonts w:eastAsiaTheme="minorEastAsia"/>
                <w:sz w:val="22"/>
                <w:szCs w:val="22"/>
              </w:rPr>
              <w:t>,</w:t>
            </w:r>
            <w:r w:rsidRPr="00A55D10">
              <w:rPr>
                <w:rFonts w:eastAsiaTheme="minorEastAsia"/>
                <w:sz w:val="22"/>
                <w:szCs w:val="22"/>
              </w:rPr>
              <w:t>603</w:t>
            </w:r>
          </w:p>
        </w:tc>
        <w:tc>
          <w:tcPr>
            <w:tcW w:w="1591" w:type="dxa"/>
          </w:tcPr>
          <w:p w14:paraId="44F70473" w14:textId="503E451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4903</w:t>
            </w:r>
          </w:p>
        </w:tc>
        <w:tc>
          <w:tcPr>
            <w:tcW w:w="1427" w:type="dxa"/>
          </w:tcPr>
          <w:p w14:paraId="1475A528" w14:textId="7F1ADB9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34</w:t>
            </w:r>
            <w:r>
              <w:rPr>
                <w:rFonts w:eastAsiaTheme="minorEastAsia"/>
                <w:sz w:val="22"/>
                <w:szCs w:val="22"/>
              </w:rPr>
              <w:t>,</w:t>
            </w:r>
            <w:r w:rsidRPr="00A55D10">
              <w:rPr>
                <w:rFonts w:eastAsiaTheme="minorEastAsia"/>
                <w:sz w:val="22"/>
                <w:szCs w:val="22"/>
              </w:rPr>
              <w:t>8853</w:t>
            </w:r>
          </w:p>
        </w:tc>
        <w:tc>
          <w:tcPr>
            <w:tcW w:w="1427" w:type="dxa"/>
          </w:tcPr>
          <w:p w14:paraId="681C1AA3" w14:textId="59631E1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0592</w:t>
            </w:r>
          </w:p>
        </w:tc>
        <w:tc>
          <w:tcPr>
            <w:tcW w:w="1427" w:type="dxa"/>
          </w:tcPr>
          <w:p w14:paraId="111A8F70" w14:textId="27D671D8"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5015</w:t>
            </w:r>
          </w:p>
        </w:tc>
        <w:tc>
          <w:tcPr>
            <w:tcW w:w="1427" w:type="dxa"/>
          </w:tcPr>
          <w:p w14:paraId="4C87A93D" w14:textId="15743DF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1571</w:t>
            </w:r>
          </w:p>
        </w:tc>
      </w:tr>
    </w:tbl>
    <w:p w14:paraId="46C359FB" w14:textId="141C868C" w:rsidR="00A55D10" w:rsidRPr="00C16380" w:rsidRDefault="00A55D10" w:rsidP="00A55D10">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A55D10">
        <w:rPr>
          <w:bCs/>
          <w:sz w:val="20"/>
          <w:szCs w:val="20"/>
        </w:rPr>
        <w:t xml:space="preserve">* </w:t>
      </w:r>
      <w:r w:rsidR="00CF2FBA">
        <w:rPr>
          <w:bCs/>
          <w:sz w:val="20"/>
          <w:szCs w:val="20"/>
        </w:rPr>
        <w:t>là độ trễ tối ưu tại tiêu chí tương ứng</w:t>
      </w:r>
    </w:p>
    <w:p w14:paraId="4CA2B57A" w14:textId="4F5FC6B4" w:rsidR="003A5FBA" w:rsidRDefault="003A5FBA" w:rsidP="00A55D10">
      <w:pPr>
        <w:tabs>
          <w:tab w:val="left" w:pos="360"/>
          <w:tab w:val="right" w:leader="hyphen" w:pos="9072"/>
        </w:tabs>
        <w:spacing w:before="120" w:after="120"/>
        <w:jc w:val="right"/>
        <w:rPr>
          <w:bCs/>
          <w:i/>
          <w:iCs/>
          <w:sz w:val="22"/>
          <w:szCs w:val="22"/>
        </w:rPr>
      </w:pPr>
      <w:r w:rsidRPr="00AE4A15">
        <w:rPr>
          <w:bCs/>
          <w:i/>
          <w:iCs/>
          <w:sz w:val="22"/>
          <w:szCs w:val="22"/>
        </w:rPr>
        <w:lastRenderedPageBreak/>
        <w:t>Nguồn: Kết quả của tác giả</w:t>
      </w:r>
      <w:r>
        <w:rPr>
          <w:bCs/>
          <w:i/>
          <w:iCs/>
          <w:sz w:val="22"/>
          <w:szCs w:val="22"/>
        </w:rPr>
        <w:t xml:space="preserve">, </w:t>
      </w:r>
      <w:r w:rsidR="002148B5">
        <w:rPr>
          <w:bCs/>
          <w:i/>
          <w:iCs/>
          <w:sz w:val="22"/>
          <w:szCs w:val="22"/>
        </w:rPr>
        <w:t xml:space="preserve">năm </w:t>
      </w:r>
      <w:r>
        <w:rPr>
          <w:bCs/>
          <w:i/>
          <w:iCs/>
          <w:sz w:val="22"/>
          <w:szCs w:val="22"/>
        </w:rPr>
        <w:t>202</w:t>
      </w:r>
      <w:r w:rsidR="002148B5">
        <w:rPr>
          <w:bCs/>
          <w:i/>
          <w:iCs/>
          <w:sz w:val="22"/>
          <w:szCs w:val="22"/>
        </w:rPr>
        <w:t>5</w:t>
      </w:r>
    </w:p>
    <w:p w14:paraId="7376917D" w14:textId="77777777" w:rsidR="00A55D10" w:rsidRDefault="00A55D10" w:rsidP="00A55D10">
      <w:pPr>
        <w:tabs>
          <w:tab w:val="left" w:pos="360"/>
          <w:tab w:val="right" w:leader="hyphen" w:pos="9072"/>
        </w:tabs>
        <w:spacing w:before="120" w:after="120"/>
        <w:jc w:val="both"/>
        <w:rPr>
          <w:sz w:val="22"/>
          <w:szCs w:val="22"/>
        </w:rPr>
        <w:sectPr w:rsidR="00A55D10" w:rsidSect="002148B5">
          <w:type w:val="continuous"/>
          <w:pgSz w:w="11907" w:h="16840" w:code="9"/>
          <w:pgMar w:top="1134" w:right="1134" w:bottom="1134" w:left="1418" w:header="720" w:footer="720" w:gutter="0"/>
          <w:cols w:space="567"/>
          <w:docGrid w:linePitch="360"/>
        </w:sectPr>
      </w:pPr>
      <w:bookmarkStart w:id="2" w:name="_Toc165553488"/>
      <w:bookmarkStart w:id="3" w:name="_Toc165553539"/>
    </w:p>
    <w:p w14:paraId="52484739" w14:textId="71FB684F" w:rsidR="00A55D10" w:rsidRPr="00A55D10" w:rsidRDefault="00A65354" w:rsidP="00A55D10">
      <w:pPr>
        <w:tabs>
          <w:tab w:val="left" w:pos="360"/>
          <w:tab w:val="right" w:leader="hyphen" w:pos="9072"/>
        </w:tabs>
        <w:spacing w:before="120" w:after="120"/>
        <w:jc w:val="both"/>
        <w:rPr>
          <w:sz w:val="22"/>
          <w:szCs w:val="22"/>
        </w:rPr>
      </w:pPr>
      <w:r w:rsidRPr="00A65354">
        <w:rPr>
          <w:sz w:val="22"/>
          <w:szCs w:val="22"/>
        </w:rPr>
        <w:t>Bảng 4 thể hiện quá trình lựa chọn độ trễ tối ưu cho mô hình ARDL dựa trên các tiêu chí khác nhau. Kết quả chỉ ra rằng tiêu chí LR đạt giá trị cao nhất ở độ trễ 3, phản ánh sự cải thiện rõ rệt về mức độ phù hợp của mô hình</w:t>
      </w:r>
      <w:r w:rsidR="00A55D10" w:rsidRPr="00A55D10">
        <w:rPr>
          <w:sz w:val="22"/>
          <w:szCs w:val="22"/>
        </w:rPr>
        <w:t>. Các tiêu chí FPE, AIC và HQIC đều cho rằng độ trễ 3 là tối ưu, khi có giá trị nhỏ nhất tương ứng là 30,4991; 11,9284 và 12,2686.</w:t>
      </w:r>
    </w:p>
    <w:p w14:paraId="3E4E9E5B" w14:textId="3C9EABD2"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t>Tuy nhiên, tiêu chí Schwarz-Bayesian Information Criterion (SBIC) lại ưu tiên độ trễ 1 (12,5225), thể hiện sự thiên về tính đơn giản của mô hình. Dựa trên đa số tiêu chí (FPE, AIC, HQIC), nghiên cứu này lựa chọn độ trễ 3 là độ trễ tối ưu cho mô hình ARDL.</w:t>
      </w:r>
    </w:p>
    <w:p w14:paraId="691DF075" w14:textId="61E6AD33" w:rsidR="00A55D10" w:rsidRPr="002148B5" w:rsidRDefault="00A55D10" w:rsidP="00A55D10">
      <w:pPr>
        <w:tabs>
          <w:tab w:val="left" w:pos="360"/>
          <w:tab w:val="right" w:leader="hyphen" w:pos="9072"/>
        </w:tabs>
        <w:spacing w:before="240" w:after="120"/>
        <w:jc w:val="both"/>
        <w:rPr>
          <w:bCs/>
          <w:i/>
          <w:iCs/>
          <w:sz w:val="22"/>
          <w:szCs w:val="22"/>
        </w:rPr>
      </w:pPr>
      <w:r>
        <w:rPr>
          <w:bCs/>
          <w:i/>
          <w:iCs/>
          <w:sz w:val="22"/>
          <w:szCs w:val="22"/>
        </w:rPr>
        <w:t>Kiểm định đường bao (Bound test)</w:t>
      </w:r>
    </w:p>
    <w:p w14:paraId="5A34E2DE" w14:textId="7414F2D3" w:rsidR="00A55D10" w:rsidRPr="00A55D10" w:rsidRDefault="00A55D10" w:rsidP="00A55D10">
      <w:pPr>
        <w:tabs>
          <w:tab w:val="left" w:pos="360"/>
          <w:tab w:val="right" w:leader="hyphen" w:pos="9072"/>
        </w:tabs>
        <w:spacing w:before="120" w:after="120"/>
        <w:jc w:val="both"/>
        <w:rPr>
          <w:color w:val="000000" w:themeColor="text1"/>
          <w:sz w:val="22"/>
          <w:szCs w:val="22"/>
        </w:rPr>
      </w:pPr>
      <w:r w:rsidRPr="00A55D10">
        <w:rPr>
          <w:color w:val="000000" w:themeColor="text1"/>
          <w:sz w:val="22"/>
          <w:szCs w:val="22"/>
        </w:rPr>
        <w:t xml:space="preserve">Kiểm định </w:t>
      </w:r>
      <w:r>
        <w:rPr>
          <w:color w:val="000000" w:themeColor="text1"/>
          <w:sz w:val="22"/>
          <w:szCs w:val="22"/>
        </w:rPr>
        <w:t xml:space="preserve">đường bao </w:t>
      </w:r>
      <w:r w:rsidRPr="00A55D10">
        <w:rPr>
          <w:color w:val="000000" w:themeColor="text1"/>
          <w:sz w:val="22"/>
          <w:szCs w:val="22"/>
        </w:rPr>
        <w:t>cho kết quả F-statistic bằng 7,782 đối với biến phụ thuộc FDIR. Giá trị này vượt ngưỡng trên tại tất cả các mức ý nghĩa: 6,636 (1%), 4,956 (5%), và 4,192 (10%). Do đó, giả thuyết không (H</w:t>
      </w:r>
      <w:r>
        <w:rPr>
          <w:color w:val="000000" w:themeColor="text1"/>
          <w:sz w:val="22"/>
          <w:szCs w:val="22"/>
          <w:vertAlign w:val="subscript"/>
        </w:rPr>
        <w:t>0</w:t>
      </w:r>
      <w:r w:rsidRPr="00A55D10">
        <w:rPr>
          <w:color w:val="000000" w:themeColor="text1"/>
          <w:sz w:val="22"/>
          <w:szCs w:val="22"/>
        </w:rPr>
        <w:t>) về việc không tồn tại mối quan hệ đồng liên kết dài hạn giữa các biến bị bác bỏ.</w:t>
      </w:r>
    </w:p>
    <w:p w14:paraId="26B85F53" w14:textId="588F0060" w:rsidR="00A55D10" w:rsidRPr="00A55D10" w:rsidRDefault="00A55D10" w:rsidP="00A55D10">
      <w:pPr>
        <w:tabs>
          <w:tab w:val="left" w:pos="360"/>
          <w:tab w:val="right" w:leader="hyphen" w:pos="9072"/>
        </w:tabs>
        <w:spacing w:before="120" w:after="120"/>
        <w:jc w:val="both"/>
        <w:rPr>
          <w:color w:val="000000" w:themeColor="text1"/>
          <w:sz w:val="22"/>
          <w:szCs w:val="22"/>
        </w:rPr>
        <w:sectPr w:rsidR="00A55D10" w:rsidRPr="00A55D10" w:rsidSect="00A55D10">
          <w:type w:val="continuous"/>
          <w:pgSz w:w="11907" w:h="16840" w:code="9"/>
          <w:pgMar w:top="1134" w:right="1134" w:bottom="1134" w:left="1418" w:header="720" w:footer="720" w:gutter="0"/>
          <w:cols w:num="2" w:space="567"/>
          <w:docGrid w:linePitch="360"/>
        </w:sectPr>
      </w:pPr>
      <w:r w:rsidRPr="00A55D10">
        <w:rPr>
          <w:color w:val="000000" w:themeColor="text1"/>
          <w:sz w:val="22"/>
          <w:szCs w:val="22"/>
        </w:rPr>
        <w:t xml:space="preserve">Kết quả này xác nhận rằng FDIR, INFU và GDP có mối quan hệ đồng liên kết ổn định trong dài hạn. Vì vậy, nghiên cứu có thể tiếp tục ước lượng các hệ số trong dài hạn và ngắn hạn thông qua mô hình ARDL và mô </w:t>
      </w:r>
      <w:r>
        <w:rPr>
          <w:color w:val="000000" w:themeColor="text1"/>
          <w:sz w:val="22"/>
          <w:szCs w:val="22"/>
        </w:rPr>
        <w:t xml:space="preserve">hình </w:t>
      </w:r>
      <w:r w:rsidRPr="00A55D10">
        <w:rPr>
          <w:color w:val="000000" w:themeColor="text1"/>
          <w:sz w:val="22"/>
          <w:szCs w:val="22"/>
        </w:rPr>
        <w:t>ECM.</w:t>
      </w:r>
    </w:p>
    <w:p w14:paraId="2C7A0C73" w14:textId="04C2494F" w:rsidR="003A5FBA" w:rsidRPr="002B5E0F" w:rsidRDefault="003A5FBA" w:rsidP="00A55D10">
      <w:pPr>
        <w:tabs>
          <w:tab w:val="left" w:pos="360"/>
          <w:tab w:val="right" w:leader="hyphen" w:pos="9072"/>
        </w:tabs>
        <w:spacing w:before="120" w:after="120"/>
        <w:jc w:val="both"/>
        <w:rPr>
          <w:b/>
          <w:bCs/>
          <w:i/>
          <w:iCs/>
          <w:color w:val="000000" w:themeColor="text1"/>
          <w:sz w:val="20"/>
          <w:szCs w:val="20"/>
        </w:rPr>
      </w:pPr>
      <w:r w:rsidRPr="001A2484">
        <w:rPr>
          <w:b/>
          <w:bCs/>
          <w:color w:val="000000" w:themeColor="text1"/>
          <w:sz w:val="20"/>
          <w:szCs w:val="20"/>
        </w:rPr>
        <w:t xml:space="preserve">Bảng </w:t>
      </w:r>
      <w:r w:rsidR="00A55D10">
        <w:rPr>
          <w:b/>
          <w:color w:val="000000" w:themeColor="text1"/>
          <w:sz w:val="20"/>
          <w:szCs w:val="20"/>
        </w:rPr>
        <w:t>5</w:t>
      </w:r>
      <w:r w:rsidR="00A55D10">
        <w:rPr>
          <w:b/>
          <w:i/>
          <w:color w:val="000000" w:themeColor="text1"/>
          <w:sz w:val="20"/>
          <w:szCs w:val="20"/>
        </w:rPr>
        <w:t>.</w:t>
      </w:r>
      <w:r w:rsidRPr="001A2484">
        <w:rPr>
          <w:b/>
          <w:color w:val="000000" w:themeColor="text1"/>
          <w:sz w:val="20"/>
          <w:szCs w:val="20"/>
        </w:rPr>
        <w:t xml:space="preserve"> </w:t>
      </w:r>
      <w:r w:rsidRPr="001A2484">
        <w:rPr>
          <w:color w:val="000000" w:themeColor="text1"/>
          <w:sz w:val="20"/>
          <w:szCs w:val="20"/>
        </w:rPr>
        <w:t xml:space="preserve">Kết quả kiểm định </w:t>
      </w:r>
      <w:r w:rsidR="00A55D10">
        <w:rPr>
          <w:color w:val="000000" w:themeColor="text1"/>
          <w:sz w:val="20"/>
          <w:szCs w:val="20"/>
        </w:rPr>
        <w:t>đường bao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56"/>
        <w:gridCol w:w="1738"/>
        <w:gridCol w:w="894"/>
        <w:gridCol w:w="894"/>
        <w:gridCol w:w="894"/>
        <w:gridCol w:w="894"/>
        <w:gridCol w:w="894"/>
        <w:gridCol w:w="891"/>
      </w:tblGrid>
      <w:tr w:rsidR="00A55D10" w:rsidRPr="003E2A4F" w14:paraId="5483FA73" w14:textId="0E0409B3" w:rsidTr="00A55D10">
        <w:trPr>
          <w:cantSplit/>
          <w:tblHeader/>
        </w:trPr>
        <w:tc>
          <w:tcPr>
            <w:tcW w:w="1205" w:type="pct"/>
            <w:vMerge w:val="restart"/>
            <w:vAlign w:val="center"/>
          </w:tcPr>
          <w:p w14:paraId="613C524B" w14:textId="0DFA8FCB" w:rsidR="00A55D10" w:rsidRPr="003E2A4F" w:rsidRDefault="00A55D10" w:rsidP="00A55D10">
            <w:pPr>
              <w:spacing w:before="120" w:after="120"/>
              <w:ind w:left="60" w:right="60"/>
              <w:jc w:val="center"/>
              <w:rPr>
                <w:b/>
                <w:bCs/>
                <w:color w:val="000000" w:themeColor="text1"/>
                <w:sz w:val="22"/>
                <w:szCs w:val="22"/>
              </w:rPr>
            </w:pPr>
            <w:r>
              <w:rPr>
                <w:b/>
                <w:bCs/>
                <w:color w:val="000000" w:themeColor="text1"/>
                <w:sz w:val="22"/>
                <w:szCs w:val="22"/>
              </w:rPr>
              <w:t>Biến phụ thuộc</w:t>
            </w:r>
          </w:p>
        </w:tc>
        <w:tc>
          <w:tcPr>
            <w:tcW w:w="929" w:type="pct"/>
            <w:vMerge w:val="restart"/>
            <w:vAlign w:val="center"/>
          </w:tcPr>
          <w:p w14:paraId="622E0220" w14:textId="247B6DC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Thống kê F</w:t>
            </w:r>
          </w:p>
        </w:tc>
        <w:tc>
          <w:tcPr>
            <w:tcW w:w="955" w:type="pct"/>
            <w:gridSpan w:val="2"/>
            <w:tcBorders>
              <w:bottom w:val="single" w:sz="4" w:space="0" w:color="auto"/>
            </w:tcBorders>
            <w:vAlign w:val="center"/>
          </w:tcPr>
          <w:p w14:paraId="1FBDEEEF" w14:textId="2120D77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w:t>
            </w:r>
          </w:p>
        </w:tc>
        <w:tc>
          <w:tcPr>
            <w:tcW w:w="955" w:type="pct"/>
            <w:gridSpan w:val="2"/>
            <w:tcBorders>
              <w:bottom w:val="single" w:sz="4" w:space="0" w:color="auto"/>
            </w:tcBorders>
            <w:vAlign w:val="center"/>
          </w:tcPr>
          <w:p w14:paraId="4EDB4A2A" w14:textId="7BF56975"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5%</w:t>
            </w:r>
          </w:p>
        </w:tc>
        <w:tc>
          <w:tcPr>
            <w:tcW w:w="955" w:type="pct"/>
            <w:gridSpan w:val="2"/>
            <w:tcBorders>
              <w:bottom w:val="single" w:sz="4" w:space="0" w:color="auto"/>
            </w:tcBorders>
            <w:vAlign w:val="center"/>
          </w:tcPr>
          <w:p w14:paraId="4BF4BE2B" w14:textId="014E3321"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10%</w:t>
            </w:r>
          </w:p>
        </w:tc>
      </w:tr>
      <w:tr w:rsidR="00A55D10" w:rsidRPr="003E2A4F" w14:paraId="51444F36" w14:textId="0730480F" w:rsidTr="00A55D10">
        <w:trPr>
          <w:cantSplit/>
          <w:tblHeader/>
        </w:trPr>
        <w:tc>
          <w:tcPr>
            <w:tcW w:w="1205" w:type="pct"/>
            <w:vMerge/>
            <w:tcBorders>
              <w:bottom w:val="single" w:sz="4" w:space="0" w:color="auto"/>
            </w:tcBorders>
            <w:vAlign w:val="center"/>
          </w:tcPr>
          <w:p w14:paraId="1331836A" w14:textId="77777777" w:rsidR="00A55D10" w:rsidRDefault="00A55D10" w:rsidP="00A55D10">
            <w:pPr>
              <w:spacing w:before="120" w:after="120"/>
              <w:ind w:left="60" w:right="60"/>
              <w:jc w:val="center"/>
              <w:rPr>
                <w:b/>
                <w:bCs/>
                <w:color w:val="000000" w:themeColor="text1"/>
                <w:sz w:val="22"/>
                <w:szCs w:val="22"/>
              </w:rPr>
            </w:pPr>
          </w:p>
        </w:tc>
        <w:tc>
          <w:tcPr>
            <w:tcW w:w="929" w:type="pct"/>
            <w:vMerge/>
            <w:tcBorders>
              <w:bottom w:val="single" w:sz="4" w:space="0" w:color="auto"/>
            </w:tcBorders>
            <w:vAlign w:val="center"/>
          </w:tcPr>
          <w:p w14:paraId="6D8B3FB7" w14:textId="77777777" w:rsidR="00A55D10" w:rsidRDefault="00A55D10" w:rsidP="00A55D10">
            <w:pPr>
              <w:spacing w:before="120" w:after="120"/>
              <w:ind w:left="60" w:right="60"/>
              <w:jc w:val="center"/>
              <w:rPr>
                <w:rFonts w:eastAsia="Arial"/>
                <w:b/>
                <w:bCs/>
                <w:color w:val="000000" w:themeColor="text1"/>
                <w:sz w:val="22"/>
                <w:szCs w:val="22"/>
              </w:rPr>
            </w:pPr>
          </w:p>
        </w:tc>
        <w:tc>
          <w:tcPr>
            <w:tcW w:w="478" w:type="pct"/>
            <w:tcBorders>
              <w:bottom w:val="single" w:sz="4" w:space="0" w:color="auto"/>
            </w:tcBorders>
            <w:vAlign w:val="center"/>
          </w:tcPr>
          <w:p w14:paraId="121830E4" w14:textId="06B716D8"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5185366" w14:textId="7EF93A1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3B1D2FFF" w14:textId="5FF40E4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D3B484C" w14:textId="30D3E5CD"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129F7A85" w14:textId="0871004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62492DBB" w14:textId="7223C02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r>
      <w:tr w:rsidR="00A55D10" w:rsidRPr="00A55D10" w14:paraId="457DC01A" w14:textId="2C6C474F" w:rsidTr="00A55D10">
        <w:trPr>
          <w:cantSplit/>
        </w:trPr>
        <w:tc>
          <w:tcPr>
            <w:tcW w:w="1205" w:type="pct"/>
            <w:tcBorders>
              <w:bottom w:val="single" w:sz="4" w:space="0" w:color="auto"/>
            </w:tcBorders>
          </w:tcPr>
          <w:p w14:paraId="662BED62" w14:textId="480A74A7"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FDIR</w:t>
            </w:r>
          </w:p>
        </w:tc>
        <w:tc>
          <w:tcPr>
            <w:tcW w:w="929" w:type="pct"/>
            <w:tcBorders>
              <w:bottom w:val="single" w:sz="4" w:space="0" w:color="auto"/>
            </w:tcBorders>
          </w:tcPr>
          <w:p w14:paraId="3E3EC01D" w14:textId="64EC5EE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7</w:t>
            </w:r>
            <w:r>
              <w:rPr>
                <w:rFonts w:eastAsiaTheme="minorEastAsia"/>
                <w:sz w:val="22"/>
                <w:szCs w:val="22"/>
              </w:rPr>
              <w:t>,</w:t>
            </w:r>
            <w:r w:rsidRPr="00A55D10">
              <w:rPr>
                <w:sz w:val="22"/>
                <w:szCs w:val="22"/>
              </w:rPr>
              <w:t xml:space="preserve"> </w:t>
            </w:r>
            <w:r w:rsidRPr="00A55D10">
              <w:rPr>
                <w:rFonts w:eastAsiaTheme="minorEastAsia"/>
                <w:sz w:val="22"/>
                <w:szCs w:val="22"/>
              </w:rPr>
              <w:t>782</w:t>
            </w:r>
          </w:p>
        </w:tc>
        <w:tc>
          <w:tcPr>
            <w:tcW w:w="478" w:type="pct"/>
            <w:tcBorders>
              <w:bottom w:val="single" w:sz="4" w:space="0" w:color="auto"/>
            </w:tcBorders>
          </w:tcPr>
          <w:p w14:paraId="085CE783" w14:textId="4DCD5B83"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5</w:t>
            </w:r>
            <w:r>
              <w:rPr>
                <w:rFonts w:eastAsiaTheme="minorEastAsia"/>
                <w:sz w:val="22"/>
                <w:szCs w:val="22"/>
              </w:rPr>
              <w:t>,</w:t>
            </w:r>
            <w:r w:rsidRPr="00A55D10">
              <w:rPr>
                <w:rFonts w:eastAsiaTheme="minorEastAsia"/>
                <w:sz w:val="22"/>
                <w:szCs w:val="22"/>
              </w:rPr>
              <w:t>395</w:t>
            </w:r>
          </w:p>
        </w:tc>
        <w:tc>
          <w:tcPr>
            <w:tcW w:w="478" w:type="pct"/>
            <w:tcBorders>
              <w:bottom w:val="single" w:sz="4" w:space="0" w:color="auto"/>
            </w:tcBorders>
          </w:tcPr>
          <w:p w14:paraId="6F2A514C" w14:textId="6066665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636</w:t>
            </w:r>
          </w:p>
        </w:tc>
        <w:tc>
          <w:tcPr>
            <w:tcW w:w="478" w:type="pct"/>
            <w:tcBorders>
              <w:bottom w:val="single" w:sz="4" w:space="0" w:color="auto"/>
            </w:tcBorders>
          </w:tcPr>
          <w:p w14:paraId="173E75C8" w14:textId="13A26E5A"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887</w:t>
            </w:r>
          </w:p>
        </w:tc>
        <w:tc>
          <w:tcPr>
            <w:tcW w:w="478" w:type="pct"/>
            <w:tcBorders>
              <w:bottom w:val="single" w:sz="4" w:space="0" w:color="auto"/>
            </w:tcBorders>
          </w:tcPr>
          <w:p w14:paraId="2E06836C" w14:textId="3E97B61B"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956</w:t>
            </w:r>
          </w:p>
        </w:tc>
        <w:tc>
          <w:tcPr>
            <w:tcW w:w="478" w:type="pct"/>
            <w:tcBorders>
              <w:bottom w:val="single" w:sz="4" w:space="0" w:color="auto"/>
            </w:tcBorders>
          </w:tcPr>
          <w:p w14:paraId="32C9A6AD" w14:textId="61081CE4"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215</w:t>
            </w:r>
          </w:p>
        </w:tc>
        <w:tc>
          <w:tcPr>
            <w:tcW w:w="478" w:type="pct"/>
            <w:tcBorders>
              <w:bottom w:val="single" w:sz="4" w:space="0" w:color="auto"/>
            </w:tcBorders>
          </w:tcPr>
          <w:p w14:paraId="50F87C83" w14:textId="08EABE9F"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192</w:t>
            </w:r>
          </w:p>
        </w:tc>
      </w:tr>
    </w:tbl>
    <w:bookmarkEnd w:id="2"/>
    <w:bookmarkEnd w:id="3"/>
    <w:p w14:paraId="346AE998" w14:textId="648698B9" w:rsidR="003A5FBA" w:rsidRDefault="003A5FBA"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A55D10">
        <w:rPr>
          <w:i/>
          <w:iCs/>
          <w:color w:val="000000" w:themeColor="text1"/>
          <w:sz w:val="22"/>
          <w:szCs w:val="22"/>
        </w:rPr>
        <w:t xml:space="preserve">năm </w:t>
      </w:r>
      <w:r>
        <w:rPr>
          <w:i/>
          <w:iCs/>
          <w:color w:val="000000" w:themeColor="text1"/>
          <w:sz w:val="22"/>
          <w:szCs w:val="22"/>
        </w:rPr>
        <w:t>202</w:t>
      </w:r>
      <w:r w:rsidR="00A55D10">
        <w:rPr>
          <w:i/>
          <w:iCs/>
          <w:color w:val="000000" w:themeColor="text1"/>
          <w:sz w:val="22"/>
          <w:szCs w:val="22"/>
        </w:rPr>
        <w:t>5</w:t>
      </w:r>
    </w:p>
    <w:p w14:paraId="1339E5DF" w14:textId="77777777" w:rsidR="00441892" w:rsidRDefault="00441892" w:rsidP="00441892">
      <w:pPr>
        <w:tabs>
          <w:tab w:val="left" w:pos="360"/>
          <w:tab w:val="right" w:leader="hyphen" w:pos="9072"/>
        </w:tabs>
        <w:spacing w:before="240" w:after="120"/>
        <w:jc w:val="both"/>
        <w:rPr>
          <w:bCs/>
          <w:i/>
          <w:iCs/>
          <w:sz w:val="22"/>
          <w:szCs w:val="22"/>
        </w:rPr>
        <w:sectPr w:rsidR="00441892" w:rsidSect="002148B5">
          <w:type w:val="continuous"/>
          <w:pgSz w:w="11907" w:h="16840" w:code="9"/>
          <w:pgMar w:top="1134" w:right="1134" w:bottom="1134" w:left="1418" w:header="720" w:footer="720" w:gutter="0"/>
          <w:cols w:space="567"/>
          <w:docGrid w:linePitch="360"/>
        </w:sectPr>
      </w:pPr>
      <w:bookmarkStart w:id="4" w:name="_Toc165553489"/>
      <w:bookmarkStart w:id="5" w:name="_Toc165553540"/>
    </w:p>
    <w:p w14:paraId="0E39995F" w14:textId="31372121" w:rsidR="00441892" w:rsidRPr="002148B5" w:rsidRDefault="00441892" w:rsidP="00441892">
      <w:pPr>
        <w:tabs>
          <w:tab w:val="left" w:pos="360"/>
          <w:tab w:val="right" w:leader="hyphen" w:pos="9072"/>
        </w:tabs>
        <w:spacing w:before="240" w:after="120"/>
        <w:jc w:val="both"/>
        <w:rPr>
          <w:bCs/>
          <w:i/>
          <w:iCs/>
          <w:sz w:val="22"/>
          <w:szCs w:val="22"/>
        </w:rPr>
      </w:pPr>
      <w:r>
        <w:rPr>
          <w:bCs/>
          <w:i/>
          <w:iCs/>
          <w:sz w:val="22"/>
          <w:szCs w:val="22"/>
        </w:rPr>
        <w:t>Kết quả hồi quy</w:t>
      </w:r>
    </w:p>
    <w:p w14:paraId="0B320966" w14:textId="77777777" w:rsidR="00441892" w:rsidRPr="00441892" w:rsidRDefault="00441892" w:rsidP="00441892">
      <w:pPr>
        <w:jc w:val="both"/>
        <w:rPr>
          <w:color w:val="000000" w:themeColor="text1"/>
          <w:sz w:val="22"/>
          <w:szCs w:val="22"/>
        </w:rPr>
      </w:pPr>
      <w:r w:rsidRPr="00441892">
        <w:rPr>
          <w:color w:val="000000" w:themeColor="text1"/>
          <w:sz w:val="22"/>
          <w:szCs w:val="22"/>
        </w:rPr>
        <w:t xml:space="preserve">Kết quả hồi quy cho thấy INFU có tác động dương đáng kể đến FDIR cả trong dài hạn và ngắn hạn, trái với giả thuyết về tác động tiêu cực. GDP có ảnh hưởng tích cực đến FDI trong dài hạn, nhưng tác động trong ngắn hạn là tiêu cực và có ý nghĩa thống kê nhẹ, cho thấy các biến động kinh tế ngắn hạn có thể làm giảm dòng vốn FDI. Kiểm định Durbin-Watson cho thấy không có tự tương quan trong phần dư. Kiểm định Breusch-Godfrey LM khẳng định không có tự tương quan. Kiểm định </w:t>
      </w:r>
      <w:r w:rsidRPr="00441892">
        <w:rPr>
          <w:color w:val="000000" w:themeColor="text1"/>
          <w:sz w:val="22"/>
          <w:szCs w:val="22"/>
        </w:rPr>
        <w:t>White chỉ ra phương sai đồng nhất, tức phần dư có phương sai không đổi. Kiểm định Jarque-Bera cho thấy phần dư phân phối chuẩn. Tổng thể, mô hình có độ tin cậy thống kê cao, không gặp vấn đề về tự tương quan, phương sai thay đổi hay phân phối chuẩn. Tác động dương của bất định lạm phát lên FDI có thể phản ánh bối cảnh đặc thù của Việt Nam, nơi các nhà đầu tư tận dụng biến động để đạt được lợi nhuận cao hơn. Phát hiện bất ngờ này cần được thảo luận thêm trong bối cảnh lý thuyết và thực nghiệm.</w:t>
      </w:r>
    </w:p>
    <w:p w14:paraId="2F3455B5" w14:textId="77777777" w:rsidR="00441892" w:rsidRDefault="00441892" w:rsidP="00627AD7">
      <w:pPr>
        <w:spacing w:before="240" w:after="120"/>
        <w:rPr>
          <w:b/>
          <w:bCs/>
          <w:color w:val="000000" w:themeColor="text1"/>
          <w:sz w:val="20"/>
          <w:szCs w:val="20"/>
        </w:rPr>
        <w:sectPr w:rsidR="00441892" w:rsidSect="00441892">
          <w:type w:val="continuous"/>
          <w:pgSz w:w="11907" w:h="16840" w:code="9"/>
          <w:pgMar w:top="1134" w:right="1134" w:bottom="1134" w:left="1418" w:header="720" w:footer="720" w:gutter="0"/>
          <w:cols w:num="2" w:space="567"/>
          <w:docGrid w:linePitch="360"/>
        </w:sectPr>
      </w:pPr>
    </w:p>
    <w:p w14:paraId="2A3C1465" w14:textId="5BD54BC4" w:rsidR="00627AD7" w:rsidRPr="00AF3D65" w:rsidRDefault="00627AD7" w:rsidP="00627AD7">
      <w:pPr>
        <w:spacing w:before="240" w:after="120"/>
        <w:rPr>
          <w:color w:val="000000" w:themeColor="text1"/>
          <w:sz w:val="20"/>
          <w:szCs w:val="20"/>
        </w:rPr>
      </w:pPr>
      <w:r w:rsidRPr="001A2484">
        <w:rPr>
          <w:b/>
          <w:bCs/>
          <w:color w:val="000000" w:themeColor="text1"/>
          <w:sz w:val="20"/>
          <w:szCs w:val="20"/>
        </w:rPr>
        <w:t xml:space="preserve">Bảng </w:t>
      </w:r>
      <w:r w:rsidR="00441892">
        <w:rPr>
          <w:b/>
          <w:color w:val="000000" w:themeColor="text1"/>
          <w:sz w:val="20"/>
          <w:szCs w:val="20"/>
        </w:rPr>
        <w:t>6.</w:t>
      </w:r>
      <w:r w:rsidRPr="001A2484">
        <w:rPr>
          <w:color w:val="000000" w:themeColor="text1"/>
          <w:sz w:val="20"/>
          <w:szCs w:val="20"/>
        </w:rPr>
        <w:t xml:space="preserve"> </w:t>
      </w:r>
      <w:r w:rsidR="00441892" w:rsidRPr="00441892">
        <w:rPr>
          <w:color w:val="000000" w:themeColor="text1"/>
          <w:sz w:val="20"/>
          <w:szCs w:val="20"/>
        </w:rPr>
        <w:t>Kết quả dài hạn và ngắn hạn của mô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2486"/>
        <w:gridCol w:w="2486"/>
      </w:tblGrid>
      <w:tr w:rsidR="00441892" w:rsidRPr="00A24D1E" w14:paraId="55C69370" w14:textId="77777777" w:rsidTr="00441892">
        <w:tc>
          <w:tcPr>
            <w:tcW w:w="4090" w:type="dxa"/>
            <w:tcBorders>
              <w:top w:val="single" w:sz="4" w:space="0" w:color="auto"/>
              <w:bottom w:val="single" w:sz="4" w:space="0" w:color="auto"/>
            </w:tcBorders>
          </w:tcPr>
          <w:p w14:paraId="3A93EFE2" w14:textId="77777777" w:rsidR="00441892" w:rsidRPr="00441892" w:rsidRDefault="00441892" w:rsidP="00441892">
            <w:pPr>
              <w:spacing w:before="120" w:after="120"/>
              <w:jc w:val="both"/>
              <w:rPr>
                <w:b/>
                <w:bCs/>
                <w:sz w:val="22"/>
                <w:szCs w:val="22"/>
              </w:rPr>
            </w:pPr>
          </w:p>
        </w:tc>
        <w:tc>
          <w:tcPr>
            <w:tcW w:w="2486" w:type="dxa"/>
            <w:tcBorders>
              <w:top w:val="single" w:sz="4" w:space="0" w:color="auto"/>
              <w:bottom w:val="single" w:sz="4" w:space="0" w:color="auto"/>
            </w:tcBorders>
          </w:tcPr>
          <w:p w14:paraId="58668698" w14:textId="5458F9B9" w:rsidR="00441892" w:rsidRPr="00441892" w:rsidRDefault="00441892" w:rsidP="00441892">
            <w:pPr>
              <w:spacing w:before="120" w:after="120"/>
              <w:jc w:val="both"/>
              <w:rPr>
                <w:b/>
                <w:bCs/>
                <w:sz w:val="22"/>
                <w:szCs w:val="22"/>
              </w:rPr>
            </w:pPr>
            <w:r w:rsidRPr="00441892">
              <w:rPr>
                <w:b/>
                <w:bCs/>
                <w:sz w:val="22"/>
                <w:szCs w:val="22"/>
              </w:rPr>
              <w:t>Kiểm định dài hạn</w:t>
            </w:r>
          </w:p>
        </w:tc>
        <w:tc>
          <w:tcPr>
            <w:tcW w:w="2486" w:type="dxa"/>
            <w:tcBorders>
              <w:top w:val="single" w:sz="4" w:space="0" w:color="auto"/>
              <w:bottom w:val="single" w:sz="4" w:space="0" w:color="auto"/>
            </w:tcBorders>
          </w:tcPr>
          <w:p w14:paraId="704658B9" w14:textId="04F58A97" w:rsidR="00441892" w:rsidRPr="00441892" w:rsidRDefault="00441892" w:rsidP="00441892">
            <w:pPr>
              <w:spacing w:before="120" w:after="120"/>
              <w:jc w:val="both"/>
              <w:rPr>
                <w:b/>
                <w:bCs/>
                <w:sz w:val="22"/>
                <w:szCs w:val="22"/>
              </w:rPr>
            </w:pPr>
            <w:r w:rsidRPr="00441892">
              <w:rPr>
                <w:b/>
                <w:bCs/>
                <w:sz w:val="22"/>
                <w:szCs w:val="22"/>
              </w:rPr>
              <w:t>Kiểm định ngắn hạn</w:t>
            </w:r>
          </w:p>
        </w:tc>
      </w:tr>
      <w:tr w:rsidR="00441892" w:rsidRPr="00A24D1E" w14:paraId="3A2D1A84" w14:textId="77777777" w:rsidTr="00441892">
        <w:tc>
          <w:tcPr>
            <w:tcW w:w="4090" w:type="dxa"/>
            <w:tcBorders>
              <w:top w:val="single" w:sz="4" w:space="0" w:color="auto"/>
            </w:tcBorders>
          </w:tcPr>
          <w:p w14:paraId="3E130E9F" w14:textId="77777777" w:rsidR="00441892" w:rsidRPr="00441892" w:rsidRDefault="00441892" w:rsidP="00441892">
            <w:pPr>
              <w:spacing w:before="120" w:after="120"/>
              <w:jc w:val="both"/>
              <w:rPr>
                <w:sz w:val="22"/>
                <w:szCs w:val="22"/>
              </w:rPr>
            </w:pPr>
            <w:r w:rsidRPr="00441892">
              <w:rPr>
                <w:sz w:val="22"/>
                <w:szCs w:val="22"/>
              </w:rPr>
              <w:t>INFU</w:t>
            </w:r>
          </w:p>
        </w:tc>
        <w:tc>
          <w:tcPr>
            <w:tcW w:w="2486" w:type="dxa"/>
            <w:tcBorders>
              <w:top w:val="single" w:sz="4" w:space="0" w:color="auto"/>
            </w:tcBorders>
          </w:tcPr>
          <w:p w14:paraId="7C24C8EB" w14:textId="55B3BC54" w:rsidR="00441892" w:rsidRPr="00441892" w:rsidRDefault="00441892" w:rsidP="00441892">
            <w:pPr>
              <w:spacing w:before="120" w:after="120"/>
              <w:jc w:val="both"/>
              <w:rPr>
                <w:sz w:val="22"/>
                <w:szCs w:val="22"/>
              </w:rPr>
            </w:pPr>
            <w:r w:rsidRPr="00441892">
              <w:rPr>
                <w:sz w:val="22"/>
                <w:szCs w:val="22"/>
              </w:rPr>
              <w:t>0,3647275***</w:t>
            </w:r>
          </w:p>
          <w:p w14:paraId="2A3CD370" w14:textId="7A6CBA85" w:rsidR="00441892" w:rsidRPr="00441892" w:rsidRDefault="00441892" w:rsidP="00441892">
            <w:pPr>
              <w:spacing w:before="120" w:after="120"/>
              <w:jc w:val="both"/>
              <w:rPr>
                <w:sz w:val="22"/>
                <w:szCs w:val="22"/>
              </w:rPr>
            </w:pPr>
            <w:r w:rsidRPr="00441892">
              <w:rPr>
                <w:sz w:val="22"/>
                <w:szCs w:val="22"/>
              </w:rPr>
              <w:t>(0,2575072)</w:t>
            </w:r>
          </w:p>
        </w:tc>
        <w:tc>
          <w:tcPr>
            <w:tcW w:w="2486" w:type="dxa"/>
            <w:tcBorders>
              <w:top w:val="single" w:sz="4" w:space="0" w:color="auto"/>
            </w:tcBorders>
          </w:tcPr>
          <w:p w14:paraId="7A883119" w14:textId="5459571C" w:rsidR="00441892" w:rsidRPr="00441892" w:rsidRDefault="00441892" w:rsidP="00441892">
            <w:pPr>
              <w:spacing w:before="120" w:after="120"/>
              <w:jc w:val="both"/>
              <w:rPr>
                <w:sz w:val="22"/>
                <w:szCs w:val="22"/>
              </w:rPr>
            </w:pPr>
            <w:r w:rsidRPr="00441892">
              <w:rPr>
                <w:sz w:val="22"/>
                <w:szCs w:val="22"/>
              </w:rPr>
              <w:t>0,3163786**</w:t>
            </w:r>
          </w:p>
          <w:p w14:paraId="55D07BE0" w14:textId="10C5CB7F" w:rsidR="00441892" w:rsidRPr="00441892" w:rsidRDefault="00441892" w:rsidP="00441892">
            <w:pPr>
              <w:spacing w:before="120" w:after="120"/>
              <w:jc w:val="both"/>
              <w:rPr>
                <w:sz w:val="22"/>
                <w:szCs w:val="22"/>
              </w:rPr>
            </w:pPr>
            <w:r w:rsidRPr="00441892">
              <w:rPr>
                <w:sz w:val="22"/>
                <w:szCs w:val="22"/>
              </w:rPr>
              <w:t>(0,1337005)</w:t>
            </w:r>
          </w:p>
        </w:tc>
      </w:tr>
      <w:tr w:rsidR="00441892" w:rsidRPr="00A24D1E" w14:paraId="61B9986F" w14:textId="77777777" w:rsidTr="00441892">
        <w:tc>
          <w:tcPr>
            <w:tcW w:w="4090" w:type="dxa"/>
          </w:tcPr>
          <w:p w14:paraId="6F5F0122" w14:textId="77777777" w:rsidR="00441892" w:rsidRPr="00441892" w:rsidRDefault="00441892" w:rsidP="00441892">
            <w:pPr>
              <w:spacing w:before="120" w:after="120"/>
              <w:jc w:val="both"/>
              <w:rPr>
                <w:sz w:val="22"/>
                <w:szCs w:val="22"/>
              </w:rPr>
            </w:pPr>
            <w:r w:rsidRPr="00441892">
              <w:rPr>
                <w:sz w:val="22"/>
                <w:szCs w:val="22"/>
              </w:rPr>
              <w:t>GDP</w:t>
            </w:r>
          </w:p>
        </w:tc>
        <w:tc>
          <w:tcPr>
            <w:tcW w:w="2486" w:type="dxa"/>
          </w:tcPr>
          <w:p w14:paraId="2ABB649F" w14:textId="0329CAEE" w:rsidR="00441892" w:rsidRPr="00441892" w:rsidRDefault="00441892" w:rsidP="00441892">
            <w:pPr>
              <w:spacing w:before="120" w:after="120"/>
              <w:jc w:val="both"/>
              <w:rPr>
                <w:sz w:val="22"/>
                <w:szCs w:val="22"/>
              </w:rPr>
            </w:pPr>
            <w:r w:rsidRPr="00441892">
              <w:rPr>
                <w:sz w:val="22"/>
                <w:szCs w:val="22"/>
              </w:rPr>
              <w:t>1,555508**</w:t>
            </w:r>
          </w:p>
          <w:p w14:paraId="720FF78F" w14:textId="369EBF0F" w:rsidR="00441892" w:rsidRPr="00441892" w:rsidRDefault="00441892" w:rsidP="00441892">
            <w:pPr>
              <w:spacing w:before="120" w:after="120"/>
              <w:jc w:val="both"/>
              <w:rPr>
                <w:sz w:val="22"/>
                <w:szCs w:val="22"/>
              </w:rPr>
            </w:pPr>
            <w:r w:rsidRPr="00441892">
              <w:rPr>
                <w:sz w:val="22"/>
                <w:szCs w:val="22"/>
              </w:rPr>
              <w:t>(1,110322)</w:t>
            </w:r>
          </w:p>
        </w:tc>
        <w:tc>
          <w:tcPr>
            <w:tcW w:w="2486" w:type="dxa"/>
          </w:tcPr>
          <w:p w14:paraId="699913F2" w14:textId="5525445A" w:rsidR="00441892" w:rsidRPr="00441892" w:rsidRDefault="00441892" w:rsidP="00441892">
            <w:pPr>
              <w:spacing w:before="120" w:after="120"/>
              <w:jc w:val="both"/>
              <w:rPr>
                <w:sz w:val="22"/>
                <w:szCs w:val="22"/>
              </w:rPr>
            </w:pPr>
            <w:r w:rsidRPr="00441892">
              <w:rPr>
                <w:sz w:val="22"/>
                <w:szCs w:val="22"/>
              </w:rPr>
              <w:t>-0,1117333*</w:t>
            </w:r>
          </w:p>
          <w:p w14:paraId="309F1371" w14:textId="78096320" w:rsidR="00441892" w:rsidRPr="00441892" w:rsidRDefault="00441892" w:rsidP="00441892">
            <w:pPr>
              <w:spacing w:before="120" w:after="120"/>
              <w:jc w:val="both"/>
              <w:rPr>
                <w:sz w:val="22"/>
                <w:szCs w:val="22"/>
              </w:rPr>
            </w:pPr>
            <w:r w:rsidRPr="00441892">
              <w:rPr>
                <w:sz w:val="22"/>
                <w:szCs w:val="22"/>
              </w:rPr>
              <w:t>(0,1060558)</w:t>
            </w:r>
          </w:p>
        </w:tc>
      </w:tr>
      <w:tr w:rsidR="00441892" w:rsidRPr="00A24D1E" w14:paraId="2E68DD56" w14:textId="77777777" w:rsidTr="00441892">
        <w:tc>
          <w:tcPr>
            <w:tcW w:w="4090" w:type="dxa"/>
            <w:tcBorders>
              <w:bottom w:val="single" w:sz="4" w:space="0" w:color="auto"/>
            </w:tcBorders>
          </w:tcPr>
          <w:p w14:paraId="2819D7FB" w14:textId="77777777" w:rsidR="00441892" w:rsidRPr="00441892" w:rsidRDefault="00441892" w:rsidP="00441892">
            <w:pPr>
              <w:spacing w:before="120" w:after="120"/>
              <w:jc w:val="both"/>
              <w:rPr>
                <w:sz w:val="22"/>
                <w:szCs w:val="22"/>
              </w:rPr>
            </w:pPr>
            <w:r w:rsidRPr="00441892">
              <w:rPr>
                <w:sz w:val="22"/>
                <w:szCs w:val="22"/>
              </w:rPr>
              <w:t>C</w:t>
            </w:r>
          </w:p>
        </w:tc>
        <w:tc>
          <w:tcPr>
            <w:tcW w:w="2486" w:type="dxa"/>
            <w:tcBorders>
              <w:bottom w:val="single" w:sz="4" w:space="0" w:color="auto"/>
            </w:tcBorders>
          </w:tcPr>
          <w:p w14:paraId="027F831E" w14:textId="43ABF7A9" w:rsidR="00441892" w:rsidRPr="00441892" w:rsidRDefault="00441892" w:rsidP="00441892">
            <w:pPr>
              <w:spacing w:before="120" w:after="120"/>
              <w:jc w:val="both"/>
              <w:rPr>
                <w:sz w:val="22"/>
                <w:szCs w:val="22"/>
              </w:rPr>
            </w:pPr>
            <w:r w:rsidRPr="00441892">
              <w:rPr>
                <w:sz w:val="22"/>
                <w:szCs w:val="22"/>
              </w:rPr>
              <w:t>0,0654837**</w:t>
            </w:r>
          </w:p>
          <w:p w14:paraId="70D5BB96" w14:textId="00840B30" w:rsidR="00441892" w:rsidRPr="00441892" w:rsidRDefault="00441892" w:rsidP="00441892">
            <w:pPr>
              <w:spacing w:before="120" w:after="120"/>
              <w:jc w:val="both"/>
              <w:rPr>
                <w:sz w:val="22"/>
                <w:szCs w:val="22"/>
              </w:rPr>
            </w:pPr>
            <w:r w:rsidRPr="00441892">
              <w:rPr>
                <w:sz w:val="22"/>
                <w:szCs w:val="22"/>
              </w:rPr>
              <w:t>(0,0339738)</w:t>
            </w:r>
          </w:p>
        </w:tc>
        <w:tc>
          <w:tcPr>
            <w:tcW w:w="2486" w:type="dxa"/>
            <w:tcBorders>
              <w:bottom w:val="single" w:sz="4" w:space="0" w:color="auto"/>
            </w:tcBorders>
          </w:tcPr>
          <w:p w14:paraId="528A5158" w14:textId="1E0A5E79" w:rsidR="00441892" w:rsidRPr="00441892" w:rsidRDefault="00441892" w:rsidP="00441892">
            <w:pPr>
              <w:spacing w:before="120" w:after="120"/>
              <w:jc w:val="both"/>
              <w:rPr>
                <w:sz w:val="22"/>
                <w:szCs w:val="22"/>
              </w:rPr>
            </w:pPr>
            <w:r w:rsidRPr="00441892">
              <w:rPr>
                <w:sz w:val="22"/>
                <w:szCs w:val="22"/>
              </w:rPr>
              <w:t>-0,0539834***</w:t>
            </w:r>
          </w:p>
          <w:p w14:paraId="1F5F8472" w14:textId="6BABDE23" w:rsidR="00441892" w:rsidRPr="00441892" w:rsidRDefault="00441892" w:rsidP="00441892">
            <w:pPr>
              <w:spacing w:before="120" w:after="120"/>
              <w:jc w:val="both"/>
              <w:rPr>
                <w:sz w:val="22"/>
                <w:szCs w:val="22"/>
              </w:rPr>
            </w:pPr>
            <w:r w:rsidRPr="00441892">
              <w:rPr>
                <w:sz w:val="22"/>
                <w:szCs w:val="22"/>
              </w:rPr>
              <w:t>(0,0365423)</w:t>
            </w:r>
          </w:p>
        </w:tc>
      </w:tr>
      <w:tr w:rsidR="00441892" w:rsidRPr="00A24D1E" w14:paraId="05CAB3DB" w14:textId="77777777" w:rsidTr="00441892">
        <w:tc>
          <w:tcPr>
            <w:tcW w:w="4090" w:type="dxa"/>
            <w:tcBorders>
              <w:top w:val="single" w:sz="4" w:space="0" w:color="auto"/>
            </w:tcBorders>
          </w:tcPr>
          <w:p w14:paraId="07FFF081" w14:textId="77777777" w:rsidR="00441892" w:rsidRPr="00441892" w:rsidRDefault="00441892" w:rsidP="00441892">
            <w:pPr>
              <w:spacing w:before="120" w:after="120"/>
              <w:jc w:val="both"/>
              <w:rPr>
                <w:sz w:val="22"/>
                <w:szCs w:val="22"/>
              </w:rPr>
            </w:pPr>
            <w:r w:rsidRPr="00441892">
              <w:rPr>
                <w:sz w:val="22"/>
                <w:szCs w:val="22"/>
              </w:rPr>
              <w:t>Durbin-Watson d-statistic</w:t>
            </w:r>
          </w:p>
        </w:tc>
        <w:tc>
          <w:tcPr>
            <w:tcW w:w="4972" w:type="dxa"/>
            <w:gridSpan w:val="2"/>
            <w:tcBorders>
              <w:top w:val="single" w:sz="4" w:space="0" w:color="auto"/>
            </w:tcBorders>
          </w:tcPr>
          <w:p w14:paraId="00BA4A8D" w14:textId="7BC01430" w:rsidR="00441892" w:rsidRPr="00441892" w:rsidRDefault="00441892" w:rsidP="00441892">
            <w:pPr>
              <w:spacing w:before="120" w:after="120"/>
              <w:jc w:val="both"/>
              <w:rPr>
                <w:sz w:val="22"/>
                <w:szCs w:val="22"/>
              </w:rPr>
            </w:pPr>
            <w:r w:rsidRPr="00441892">
              <w:rPr>
                <w:sz w:val="22"/>
                <w:szCs w:val="22"/>
              </w:rPr>
              <w:t>2,080566</w:t>
            </w:r>
          </w:p>
        </w:tc>
      </w:tr>
      <w:tr w:rsidR="00441892" w:rsidRPr="00A24D1E" w14:paraId="7EAA815E" w14:textId="77777777" w:rsidTr="00441892">
        <w:tc>
          <w:tcPr>
            <w:tcW w:w="4090" w:type="dxa"/>
          </w:tcPr>
          <w:p w14:paraId="4C62879D" w14:textId="77777777" w:rsidR="00441892" w:rsidRPr="00441892" w:rsidRDefault="00441892" w:rsidP="00441892">
            <w:pPr>
              <w:spacing w:before="120" w:after="120"/>
              <w:jc w:val="both"/>
              <w:rPr>
                <w:sz w:val="22"/>
                <w:szCs w:val="22"/>
              </w:rPr>
            </w:pPr>
            <w:r w:rsidRPr="00441892">
              <w:rPr>
                <w:sz w:val="22"/>
                <w:szCs w:val="22"/>
              </w:rPr>
              <w:t>Br-Godfrey LM test for Autocorrelation</w:t>
            </w:r>
          </w:p>
        </w:tc>
        <w:tc>
          <w:tcPr>
            <w:tcW w:w="4972" w:type="dxa"/>
            <w:gridSpan w:val="2"/>
          </w:tcPr>
          <w:p w14:paraId="7AF97A11" w14:textId="571B11E4" w:rsidR="00441892" w:rsidRPr="00441892" w:rsidRDefault="00441892" w:rsidP="00441892">
            <w:pPr>
              <w:spacing w:before="120" w:after="120"/>
              <w:jc w:val="both"/>
              <w:rPr>
                <w:sz w:val="22"/>
                <w:szCs w:val="22"/>
              </w:rPr>
            </w:pPr>
            <w:r w:rsidRPr="00441892">
              <w:rPr>
                <w:sz w:val="22"/>
                <w:szCs w:val="22"/>
              </w:rPr>
              <w:t xml:space="preserve">1,276 </w:t>
            </w:r>
          </w:p>
          <w:p w14:paraId="4FCCCB92" w14:textId="05C291BC" w:rsidR="00441892" w:rsidRPr="00441892" w:rsidRDefault="00441892" w:rsidP="00441892">
            <w:pPr>
              <w:spacing w:before="120" w:after="120"/>
              <w:jc w:val="both"/>
              <w:rPr>
                <w:sz w:val="22"/>
                <w:szCs w:val="22"/>
              </w:rPr>
            </w:pPr>
            <w:r w:rsidRPr="00441892">
              <w:rPr>
                <w:sz w:val="22"/>
                <w:szCs w:val="22"/>
              </w:rPr>
              <w:t>(0,7348)</w:t>
            </w:r>
          </w:p>
        </w:tc>
      </w:tr>
      <w:tr w:rsidR="00441892" w:rsidRPr="00A24D1E" w14:paraId="588F2AF1" w14:textId="77777777" w:rsidTr="00441892">
        <w:tc>
          <w:tcPr>
            <w:tcW w:w="4090" w:type="dxa"/>
          </w:tcPr>
          <w:p w14:paraId="6E31F17A" w14:textId="77777777" w:rsidR="00441892" w:rsidRPr="00441892" w:rsidRDefault="00441892" w:rsidP="00441892">
            <w:pPr>
              <w:spacing w:before="120" w:after="120"/>
              <w:jc w:val="both"/>
              <w:rPr>
                <w:sz w:val="22"/>
                <w:szCs w:val="22"/>
              </w:rPr>
            </w:pPr>
            <w:r w:rsidRPr="00441892">
              <w:rPr>
                <w:sz w:val="22"/>
                <w:szCs w:val="22"/>
              </w:rPr>
              <w:lastRenderedPageBreak/>
              <w:t>White’s test for Homoscedasticity</w:t>
            </w:r>
          </w:p>
        </w:tc>
        <w:tc>
          <w:tcPr>
            <w:tcW w:w="4972" w:type="dxa"/>
            <w:gridSpan w:val="2"/>
          </w:tcPr>
          <w:p w14:paraId="0D09B8C1" w14:textId="64BA706B" w:rsidR="00441892" w:rsidRPr="00441892" w:rsidRDefault="00441892" w:rsidP="00441892">
            <w:pPr>
              <w:spacing w:before="120" w:after="120"/>
              <w:jc w:val="both"/>
              <w:rPr>
                <w:sz w:val="22"/>
                <w:szCs w:val="22"/>
              </w:rPr>
            </w:pPr>
            <w:r w:rsidRPr="00441892">
              <w:rPr>
                <w:sz w:val="22"/>
                <w:szCs w:val="22"/>
              </w:rPr>
              <w:t xml:space="preserve">27,38 </w:t>
            </w:r>
          </w:p>
          <w:p w14:paraId="49017916" w14:textId="0B57E9DE" w:rsidR="00441892" w:rsidRPr="00441892" w:rsidRDefault="00441892" w:rsidP="00441892">
            <w:pPr>
              <w:spacing w:before="120" w:after="120"/>
              <w:jc w:val="both"/>
              <w:rPr>
                <w:sz w:val="22"/>
                <w:szCs w:val="22"/>
              </w:rPr>
            </w:pPr>
            <w:r w:rsidRPr="00441892">
              <w:rPr>
                <w:sz w:val="22"/>
                <w:szCs w:val="22"/>
              </w:rPr>
              <w:t>(0,1248)</w:t>
            </w:r>
          </w:p>
        </w:tc>
      </w:tr>
      <w:tr w:rsidR="00441892" w:rsidRPr="00A24D1E" w14:paraId="4F29C9ED" w14:textId="77777777" w:rsidTr="00441892">
        <w:tc>
          <w:tcPr>
            <w:tcW w:w="4090" w:type="dxa"/>
            <w:tcBorders>
              <w:bottom w:val="single" w:sz="4" w:space="0" w:color="auto"/>
            </w:tcBorders>
          </w:tcPr>
          <w:p w14:paraId="076F3340" w14:textId="77777777" w:rsidR="00441892" w:rsidRPr="00441892" w:rsidRDefault="00441892" w:rsidP="00441892">
            <w:pPr>
              <w:spacing w:before="120" w:after="120"/>
              <w:jc w:val="both"/>
              <w:rPr>
                <w:sz w:val="22"/>
                <w:szCs w:val="22"/>
              </w:rPr>
            </w:pPr>
            <w:r w:rsidRPr="00441892">
              <w:rPr>
                <w:sz w:val="22"/>
                <w:szCs w:val="22"/>
              </w:rPr>
              <w:t>Jarque-Bera test for Normality</w:t>
            </w:r>
          </w:p>
        </w:tc>
        <w:tc>
          <w:tcPr>
            <w:tcW w:w="4972" w:type="dxa"/>
            <w:gridSpan w:val="2"/>
            <w:tcBorders>
              <w:bottom w:val="single" w:sz="4" w:space="0" w:color="auto"/>
            </w:tcBorders>
          </w:tcPr>
          <w:p w14:paraId="500DCD9B" w14:textId="74493EAA" w:rsidR="00441892" w:rsidRPr="00441892" w:rsidRDefault="00441892" w:rsidP="00441892">
            <w:pPr>
              <w:spacing w:before="120" w:after="120"/>
              <w:jc w:val="both"/>
              <w:rPr>
                <w:sz w:val="22"/>
                <w:szCs w:val="22"/>
              </w:rPr>
            </w:pPr>
            <w:r w:rsidRPr="00441892">
              <w:rPr>
                <w:sz w:val="22"/>
                <w:szCs w:val="22"/>
              </w:rPr>
              <w:t xml:space="preserve">3,084 </w:t>
            </w:r>
          </w:p>
          <w:p w14:paraId="3C95855B" w14:textId="4E66C930" w:rsidR="00441892" w:rsidRPr="00441892" w:rsidRDefault="00441892" w:rsidP="00441892">
            <w:pPr>
              <w:spacing w:before="120" w:after="120"/>
              <w:jc w:val="both"/>
              <w:rPr>
                <w:sz w:val="22"/>
                <w:szCs w:val="22"/>
              </w:rPr>
            </w:pPr>
            <w:r w:rsidRPr="00441892">
              <w:rPr>
                <w:sz w:val="22"/>
                <w:szCs w:val="22"/>
              </w:rPr>
              <w:t>(0,214)</w:t>
            </w:r>
          </w:p>
        </w:tc>
      </w:tr>
    </w:tbl>
    <w:p w14:paraId="65976006" w14:textId="4BDDEAA1" w:rsidR="00441892" w:rsidRPr="00441892" w:rsidRDefault="00441892" w:rsidP="00441892">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441892">
        <w:rPr>
          <w:bCs/>
          <w:sz w:val="20"/>
          <w:szCs w:val="20"/>
        </w:rPr>
        <w:t xml:space="preserve">***, **, * </w:t>
      </w:r>
      <w:r w:rsidR="00727B89">
        <w:rPr>
          <w:bCs/>
          <w:sz w:val="20"/>
          <w:szCs w:val="20"/>
        </w:rPr>
        <w:t>biểu thị</w:t>
      </w:r>
      <w:r w:rsidRPr="00441892">
        <w:rPr>
          <w:bCs/>
          <w:sz w:val="20"/>
          <w:szCs w:val="20"/>
        </w:rPr>
        <w:t xml:space="preserve"> mức ý nghĩa thống kê</w:t>
      </w:r>
      <w:r w:rsidR="00727B89">
        <w:rPr>
          <w:bCs/>
          <w:sz w:val="20"/>
          <w:szCs w:val="20"/>
        </w:rPr>
        <w:t xml:space="preserve"> lần lượt</w:t>
      </w:r>
      <w:r w:rsidRPr="00441892">
        <w:rPr>
          <w:bCs/>
          <w:sz w:val="20"/>
          <w:szCs w:val="20"/>
        </w:rPr>
        <w:t xml:space="preserve"> 1%, 5% và 10</w:t>
      </w:r>
      <w:r w:rsidR="00727B89">
        <w:rPr>
          <w:bCs/>
          <w:sz w:val="20"/>
          <w:szCs w:val="20"/>
        </w:rPr>
        <w:t>%.</w:t>
      </w:r>
    </w:p>
    <w:p w14:paraId="121171E0" w14:textId="32187759" w:rsidR="00627AD7" w:rsidRPr="00441892" w:rsidRDefault="00627AD7" w:rsidP="00441892">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441892">
        <w:rPr>
          <w:i/>
          <w:iCs/>
          <w:color w:val="000000" w:themeColor="text1"/>
          <w:sz w:val="22"/>
          <w:szCs w:val="22"/>
        </w:rPr>
        <w:t xml:space="preserve">năm </w:t>
      </w:r>
      <w:r>
        <w:rPr>
          <w:i/>
          <w:iCs/>
          <w:color w:val="000000" w:themeColor="text1"/>
          <w:sz w:val="22"/>
          <w:szCs w:val="22"/>
        </w:rPr>
        <w:t>202</w:t>
      </w:r>
      <w:r w:rsidR="00441892">
        <w:rPr>
          <w:i/>
          <w:iCs/>
          <w:color w:val="000000" w:themeColor="text1"/>
          <w:sz w:val="22"/>
          <w:szCs w:val="22"/>
        </w:rPr>
        <w:t>5</w:t>
      </w:r>
      <w:bookmarkEnd w:id="4"/>
      <w:bookmarkEnd w:id="5"/>
    </w:p>
    <w:p w14:paraId="6129F509" w14:textId="2A705277" w:rsidR="00441892" w:rsidRPr="00441892" w:rsidRDefault="00441892" w:rsidP="00544CEE">
      <w:pPr>
        <w:tabs>
          <w:tab w:val="left" w:pos="3560"/>
        </w:tabs>
        <w:jc w:val="both"/>
        <w:rPr>
          <w:i/>
          <w:iCs/>
          <w:color w:val="000000" w:themeColor="text1"/>
          <w:sz w:val="20"/>
          <w:szCs w:val="20"/>
          <w:shd w:val="clear" w:color="auto" w:fill="FFFFFF"/>
        </w:rPr>
        <w:sectPr w:rsidR="00441892" w:rsidRPr="00441892" w:rsidSect="002148B5">
          <w:type w:val="continuous"/>
          <w:pgSz w:w="11907" w:h="16840" w:code="9"/>
          <w:pgMar w:top="1134" w:right="1134" w:bottom="1134" w:left="1418" w:header="720" w:footer="720" w:gutter="0"/>
          <w:cols w:space="567"/>
          <w:docGrid w:linePitch="360"/>
        </w:sectPr>
      </w:pPr>
      <w:r w:rsidRPr="00441892">
        <w:rPr>
          <w:i/>
          <w:iCs/>
          <w:color w:val="000000" w:themeColor="text1"/>
          <w:sz w:val="20"/>
          <w:szCs w:val="20"/>
          <w:shd w:val="clear" w:color="auto" w:fill="FFFFFF"/>
        </w:rPr>
        <w:t>CUSUMQ</w:t>
      </w:r>
    </w:p>
    <w:p w14:paraId="61DC6AF1" w14:textId="77777777" w:rsidR="002148B5" w:rsidRDefault="002148B5" w:rsidP="002B5E0F">
      <w:pPr>
        <w:tabs>
          <w:tab w:val="left" w:pos="3560"/>
        </w:tabs>
        <w:sectPr w:rsidR="002148B5" w:rsidSect="0071249E">
          <w:type w:val="continuous"/>
          <w:pgSz w:w="11907" w:h="16840" w:code="9"/>
          <w:pgMar w:top="1134" w:right="1134" w:bottom="1134" w:left="1418" w:header="720" w:footer="720" w:gutter="0"/>
          <w:cols w:space="567"/>
          <w:docGrid w:linePitch="360"/>
        </w:sectPr>
      </w:pPr>
    </w:p>
    <w:p w14:paraId="21AA4AF7" w14:textId="4ABFB025" w:rsidR="008967D1" w:rsidRDefault="00441892" w:rsidP="002B5E0F">
      <w:pPr>
        <w:tabs>
          <w:tab w:val="left" w:pos="3560"/>
        </w:tabs>
      </w:pPr>
      <w:r w:rsidRPr="00A24D1E">
        <w:rPr>
          <w:b/>
          <w:bCs/>
          <w:noProof/>
        </w:rPr>
        <w:drawing>
          <wp:inline distT="0" distB="0" distL="0" distR="0" wp14:anchorId="36D560D2" wp14:editId="32F028EA">
            <wp:extent cx="5486400" cy="3657600"/>
            <wp:effectExtent l="0" t="0" r="0" b="0"/>
            <wp:docPr id="96202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68B73DA" w14:textId="6D70C558" w:rsidR="00441892" w:rsidRPr="001A2484" w:rsidRDefault="00441892" w:rsidP="00441892">
      <w:pPr>
        <w:tabs>
          <w:tab w:val="left" w:pos="360"/>
          <w:tab w:val="right" w:leader="hyphen" w:pos="9072"/>
        </w:tabs>
        <w:spacing w:before="240" w:after="120"/>
        <w:jc w:val="both"/>
        <w:rPr>
          <w:bCs/>
          <w:sz w:val="20"/>
          <w:szCs w:val="20"/>
        </w:rPr>
      </w:pPr>
      <w:r>
        <w:rPr>
          <w:b/>
          <w:sz w:val="20"/>
          <w:szCs w:val="20"/>
        </w:rPr>
        <w:t>Hình 2</w:t>
      </w:r>
      <w:r w:rsidRPr="001A2484">
        <w:rPr>
          <w:b/>
          <w:sz w:val="20"/>
          <w:szCs w:val="20"/>
        </w:rPr>
        <w:t xml:space="preserve">. </w:t>
      </w:r>
      <w:r w:rsidRPr="00441892">
        <w:rPr>
          <w:bCs/>
          <w:sz w:val="20"/>
          <w:szCs w:val="20"/>
        </w:rPr>
        <w:t>Kiểm định độ ổn định CUSUMQ cho các tham số mô hình ARDL</w:t>
      </w:r>
    </w:p>
    <w:p w14:paraId="1EE83050" w14:textId="77777777" w:rsidR="00441892" w:rsidRDefault="00441892" w:rsidP="00441892">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2025</w:t>
      </w:r>
    </w:p>
    <w:p w14:paraId="022E0B0A" w14:textId="77777777" w:rsidR="00441892" w:rsidRDefault="00441892" w:rsidP="00441892">
      <w:pPr>
        <w:jc w:val="both"/>
        <w:rPr>
          <w:color w:val="000000" w:themeColor="text1"/>
          <w:sz w:val="22"/>
          <w:szCs w:val="22"/>
        </w:rPr>
        <w:sectPr w:rsidR="00441892" w:rsidSect="0071249E">
          <w:type w:val="continuous"/>
          <w:pgSz w:w="11907" w:h="16840" w:code="9"/>
          <w:pgMar w:top="1134" w:right="1134" w:bottom="1134" w:left="1418" w:header="720" w:footer="720" w:gutter="0"/>
          <w:cols w:space="567"/>
          <w:docGrid w:linePitch="360"/>
        </w:sectPr>
      </w:pPr>
    </w:p>
    <w:p w14:paraId="0D5B678C" w14:textId="5ED9B3B4" w:rsidR="00441892" w:rsidRPr="00441892" w:rsidRDefault="003462CA" w:rsidP="00441892">
      <w:pPr>
        <w:spacing w:before="120" w:after="120"/>
        <w:jc w:val="both"/>
        <w:rPr>
          <w:color w:val="000000" w:themeColor="text1"/>
          <w:sz w:val="22"/>
          <w:szCs w:val="22"/>
        </w:rPr>
      </w:pPr>
      <w:r w:rsidRPr="003462CA">
        <w:rPr>
          <w:color w:val="000000" w:themeColor="text1"/>
          <w:sz w:val="22"/>
          <w:szCs w:val="22"/>
        </w:rPr>
        <w:t>Kiểm định CUSUMQ được áp dụng để đánh giá tính ổn định của các hệ số hồi quy xuyên suốt giai đoạn mẫu. Biểu đồ CUSUMQ cho thấy tổng bình phương phần dư tích lũy nằm trong ngưỡng ý nghĩa 5% suốt khoảng thời gian từ năm 2002 đến năm 2024. Điều này chứng tỏ các tham số của mô hình ARDL duy trì sự ổn định theo thời gian, không ghi nhận bất kỳ điểm gãy cấu trúc nào. Tính ổn định của mô hình đóng vai trò quan trọng trong việc đảm bảo độ tin cậy của các ước lượng ngắn hạn và dài hạn, nhất là khi kết quả hé lộ tác động tích cực bất ngờ của bất định lạm phát lên FDI. Do đó, kết quả kiểm định CUSUMQ khẳng định độ chắc chắn của mô hình hồi quy trong nghiên cứu này</w:t>
      </w:r>
      <w:r w:rsidR="00441892" w:rsidRPr="00441892">
        <w:rPr>
          <w:color w:val="000000" w:themeColor="text1"/>
          <w:sz w:val="22"/>
          <w:szCs w:val="22"/>
        </w:rPr>
        <w:t>.</w:t>
      </w:r>
    </w:p>
    <w:p w14:paraId="737BB491" w14:textId="14D14747" w:rsidR="00441892" w:rsidRPr="00C16380" w:rsidRDefault="00441892" w:rsidP="00441892">
      <w:pPr>
        <w:tabs>
          <w:tab w:val="left" w:pos="360"/>
          <w:tab w:val="right" w:leader="hyphen" w:pos="9072"/>
        </w:tabs>
        <w:spacing w:before="120" w:after="120"/>
        <w:jc w:val="both"/>
        <w:rPr>
          <w:i/>
          <w:iCs/>
          <w:sz w:val="22"/>
          <w:szCs w:val="22"/>
        </w:rPr>
      </w:pPr>
      <w:r>
        <w:rPr>
          <w:i/>
          <w:iCs/>
          <w:sz w:val="22"/>
          <w:szCs w:val="22"/>
        </w:rPr>
        <w:t>Thảo luận</w:t>
      </w:r>
    </w:p>
    <w:p w14:paraId="17ACD5A8" w14:textId="77777777" w:rsidR="00291E76" w:rsidRPr="00291E76" w:rsidRDefault="00291E76" w:rsidP="00291E76">
      <w:pPr>
        <w:spacing w:before="120" w:after="120"/>
        <w:jc w:val="both"/>
        <w:rPr>
          <w:color w:val="000000" w:themeColor="text1"/>
          <w:sz w:val="22"/>
          <w:szCs w:val="22"/>
        </w:rPr>
      </w:pPr>
      <w:r w:rsidRPr="00291E76">
        <w:rPr>
          <w:color w:val="000000" w:themeColor="text1"/>
          <w:sz w:val="22"/>
          <w:szCs w:val="22"/>
        </w:rPr>
        <w:t>Thảo luận</w:t>
      </w:r>
    </w:p>
    <w:p w14:paraId="3A17CA34" w14:textId="22CE4F36" w:rsidR="00441892" w:rsidRPr="00441892" w:rsidRDefault="00291E76" w:rsidP="00291E76">
      <w:pPr>
        <w:spacing w:before="120" w:after="120"/>
        <w:jc w:val="both"/>
        <w:rPr>
          <w:color w:val="000000" w:themeColor="text1"/>
          <w:sz w:val="22"/>
          <w:szCs w:val="22"/>
        </w:rPr>
      </w:pPr>
      <w:r w:rsidRPr="00291E76">
        <w:rPr>
          <w:color w:val="000000" w:themeColor="text1"/>
          <w:sz w:val="22"/>
          <w:szCs w:val="22"/>
        </w:rPr>
        <w:t>Các kết quả thực nghiệm từ nghiên cứu trong giai đoạn 2002–2024 chỉ ra rằng bất định lạm phát có tác động tích cực đến FDI tại Việt Nam, điều này đặt ra thách thức đối với giả thuyết H</w:t>
      </w:r>
      <w:r>
        <w:rPr>
          <w:color w:val="000000" w:themeColor="text1"/>
          <w:sz w:val="22"/>
          <w:szCs w:val="22"/>
          <w:vertAlign w:val="subscript"/>
        </w:rPr>
        <w:t>1</w:t>
      </w:r>
      <w:r w:rsidRPr="00291E76">
        <w:rPr>
          <w:color w:val="000000" w:themeColor="text1"/>
          <w:sz w:val="22"/>
          <w:szCs w:val="22"/>
        </w:rPr>
        <w:t xml:space="preserve"> và các lý thuyết truyền thống. Khác với quan điểm của lý thuyết quyền chọn thực tế, vốn cho rằng bất định làm suy giảm đầu tư do gia tăng rủi ro tài chính, mô hình kinh tế hướng xuất khẩu của Việt Nam lại thu hút các nhà đầu tư sẵn sàng chấp nhận rủi ro. Các chính sách tiền tệ nghiêm khắc, bao gồm việc điều chỉnh lãi suất linh hoạt từ năm 2012, đã góp phần ổn định lạm phát sau năm 2011, trong khi khả năng phục hồi trước các cú sốc—như bất ổn toàn cầu năm 2022 sau đại dịch COVID-19—càng tăng cường sức hút của Việt Nam</w:t>
      </w:r>
      <w:r w:rsidR="00441892" w:rsidRPr="00441892">
        <w:rPr>
          <w:color w:val="000000" w:themeColor="text1"/>
          <w:sz w:val="22"/>
          <w:szCs w:val="22"/>
        </w:rPr>
        <w:t>. Điều này phù hợp với khung OLI</w:t>
      </w:r>
      <w:r w:rsidR="000E1496">
        <w:rPr>
          <w:color w:val="000000" w:themeColor="text1"/>
          <w:sz w:val="22"/>
          <w:szCs w:val="22"/>
          <w:vertAlign w:val="superscript"/>
        </w:rPr>
        <w:t>10</w:t>
      </w:r>
      <w:r w:rsidR="000E1496">
        <w:rPr>
          <w:color w:val="000000" w:themeColor="text1"/>
          <w:sz w:val="22"/>
          <w:szCs w:val="22"/>
        </w:rPr>
        <w:t xml:space="preserve"> </w:t>
      </w:r>
      <w:r w:rsidR="00441892" w:rsidRPr="00441892">
        <w:rPr>
          <w:color w:val="000000" w:themeColor="text1"/>
          <w:sz w:val="22"/>
          <w:szCs w:val="22"/>
        </w:rPr>
        <w:t xml:space="preserve">trong đó lợi thế vị trí như các </w:t>
      </w:r>
      <w:r w:rsidR="00441892" w:rsidRPr="00441892">
        <w:rPr>
          <w:color w:val="000000" w:themeColor="text1"/>
          <w:sz w:val="22"/>
          <w:szCs w:val="22"/>
        </w:rPr>
        <w:lastRenderedPageBreak/>
        <w:t>hiệp định thương mại và điều kiện sản xuất cạnh tranh vượt trội hơn các rủi ro kinh tế vĩ mô.</w:t>
      </w:r>
    </w:p>
    <w:p w14:paraId="64E9E471" w14:textId="41D23F24"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Những kết quả này khác biệt rõ rệt với các nghiên cứu trước đó. Udoh &amp; Egwaikhide</w:t>
      </w:r>
      <w:r w:rsidR="000E1496">
        <w:rPr>
          <w:color w:val="000000" w:themeColor="text1"/>
          <w:sz w:val="22"/>
          <w:szCs w:val="22"/>
          <w:vertAlign w:val="superscript"/>
        </w:rPr>
        <w:t>3</w:t>
      </w:r>
      <w:r w:rsidRPr="00441892">
        <w:rPr>
          <w:color w:val="000000" w:themeColor="text1"/>
          <w:sz w:val="22"/>
          <w:szCs w:val="22"/>
        </w:rPr>
        <w:t xml:space="preserve"> cho thấy bất định lạm phát làm giảm FDI tại nền kinh tế phụ thuộc vào dầu mỏ của Nigeria, nơi nhà đầu tư phải chịu phí rủi ro cao do nguồn thu biến động. Tương tự, Azam </w:t>
      </w:r>
      <w:r>
        <w:rPr>
          <w:color w:val="000000" w:themeColor="text1"/>
          <w:sz w:val="22"/>
          <w:szCs w:val="22"/>
        </w:rPr>
        <w:t>&amp; cộng sự</w:t>
      </w:r>
      <w:r w:rsidR="000E1496">
        <w:rPr>
          <w:color w:val="000000" w:themeColor="text1"/>
          <w:sz w:val="22"/>
          <w:szCs w:val="22"/>
          <w:vertAlign w:val="superscript"/>
        </w:rPr>
        <w:t>11</w:t>
      </w:r>
      <w:r w:rsidRPr="00441892">
        <w:rPr>
          <w:color w:val="000000" w:themeColor="text1"/>
          <w:sz w:val="22"/>
          <w:szCs w:val="22"/>
        </w:rPr>
        <w:t xml:space="preserve"> báo cáo tác động tiêu cực tại các nước Nam Á, nơi bất ổn chính trị làm gia tăng chi phí giao dịch. Không giống như thị trường tài nguyên của Nigeria hay môi trường biến động của Nam Á, việc Việt Nam hội nhập sâu vào chuỗi cung ứng toàn cầu và có chính sách FDI ổn định đã làm giảm tác động tiêu cực của bất định. Ha &amp; So</w:t>
      </w:r>
      <w:r w:rsidR="000E1496">
        <w:rPr>
          <w:color w:val="000000" w:themeColor="text1"/>
          <w:sz w:val="22"/>
          <w:szCs w:val="22"/>
          <w:vertAlign w:val="superscript"/>
        </w:rPr>
        <w:t>15</w:t>
      </w:r>
      <w:r w:rsidRPr="00441892">
        <w:rPr>
          <w:color w:val="000000" w:themeColor="text1"/>
          <w:sz w:val="22"/>
          <w:szCs w:val="22"/>
        </w:rPr>
        <w:t xml:space="preserve"> nhận thấy bất định lạm phát toàn cầu làm nản lòng FDI ở các nền kinh tế kém hội nhập, nhưng sự tập trung vào xuất khẩu và ổn định chính sách của Việt Nam </w:t>
      </w:r>
      <w:r w:rsidR="0071302A" w:rsidRPr="0071302A">
        <w:rPr>
          <w:color w:val="000000" w:themeColor="text1"/>
          <w:sz w:val="22"/>
          <w:szCs w:val="22"/>
        </w:rPr>
        <w:t>lại tạo nên một ngoại lệ, khẳng định vị thế độc đáo của quốc gia này trong số các nước đang phát triển.</w:t>
      </w:r>
    </w:p>
    <w:p w14:paraId="65C84713" w14:textId="2E289CB9"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Tăng trưởng kinh tế cho thấy tác động kép đến FDI</w:t>
      </w:r>
      <w:r>
        <w:rPr>
          <w:color w:val="000000" w:themeColor="text1"/>
          <w:sz w:val="22"/>
          <w:szCs w:val="22"/>
        </w:rPr>
        <w:t xml:space="preserve"> p</w:t>
      </w:r>
      <w:r w:rsidRPr="00441892">
        <w:rPr>
          <w:color w:val="000000" w:themeColor="text1"/>
          <w:sz w:val="22"/>
          <w:szCs w:val="22"/>
        </w:rPr>
        <w:t>hù hợp với giả thuyết H</w:t>
      </w:r>
      <w:r>
        <w:rPr>
          <w:color w:val="000000" w:themeColor="text1"/>
          <w:sz w:val="22"/>
          <w:szCs w:val="22"/>
          <w:vertAlign w:val="subscript"/>
        </w:rPr>
        <w:t>2</w:t>
      </w:r>
      <w:r w:rsidRPr="00441892">
        <w:rPr>
          <w:color w:val="000000" w:themeColor="text1"/>
          <w:sz w:val="22"/>
          <w:szCs w:val="22"/>
        </w:rPr>
        <w:t xml:space="preserve"> và nhấn mạnh về tiềm năng thị trường, tăng trưởng GDP dài hạn (trung bình 6,03%) đã nâng cao sức hấp dẫn của Việt Nam, đặc biệt trong các lĩnh vực hướng xuất khẩu. Tuy nhiên, tác động ngắn hạn lại mang dấu âm, phản ánh sự dễ tổn thương trước các cú sốc kinh tế, chẳng hạn như khủng hoảng tài chính 2008 và các gián đoạn do COVID-19 giai đoạn 2020–2022. Trong các giai đoạn này, chính sách tiền tệ thắt chặt như tăng lãi suất năm 2011 để kiềm chế lạm phát 10% đã làm tăng chi phí vay, khiến nhà đầu tư trì hoãn các dự án FDI. Sự phân kỳ này nhấn mạnh tốc độ tăng trưởng ổn định dài hạn của Việt Nam nhưng cũng cho thấy sự nhạy cảm trước các áp lực bên ngoài ngắn hạn, đòi hỏi cần có chính sách ổn định kinh tế vĩ mô linh hoạt.</w:t>
      </w:r>
    </w:p>
    <w:p w14:paraId="0D20CBCB" w14:textId="42E7A505" w:rsidR="00441892" w:rsidRPr="00441892" w:rsidRDefault="00441892" w:rsidP="00441892">
      <w:pPr>
        <w:tabs>
          <w:tab w:val="left" w:pos="360"/>
          <w:tab w:val="right" w:leader="hyphen" w:pos="9072"/>
        </w:tabs>
        <w:spacing w:before="120" w:after="120"/>
        <w:jc w:val="both"/>
        <w:rPr>
          <w:color w:val="000000" w:themeColor="text1"/>
          <w:sz w:val="22"/>
          <w:szCs w:val="22"/>
        </w:rPr>
      </w:pPr>
      <w:r w:rsidRPr="00441892">
        <w:rPr>
          <w:b/>
          <w:sz w:val="22"/>
          <w:szCs w:val="22"/>
        </w:rPr>
        <w:t xml:space="preserve">5. KẾT LUẬN VÀ HƯỚNG NGHIÊN CỨU </w:t>
      </w:r>
      <w:r>
        <w:rPr>
          <w:b/>
          <w:sz w:val="22"/>
          <w:szCs w:val="22"/>
        </w:rPr>
        <w:t>TIẾP THEO</w:t>
      </w:r>
    </w:p>
    <w:p w14:paraId="5879B394" w14:textId="5E1D144D" w:rsidR="00441892" w:rsidRPr="00441892" w:rsidRDefault="00DA79EF" w:rsidP="00441892">
      <w:pPr>
        <w:spacing w:before="120" w:after="120"/>
        <w:jc w:val="both"/>
        <w:rPr>
          <w:color w:val="000000" w:themeColor="text1"/>
          <w:sz w:val="22"/>
          <w:szCs w:val="22"/>
        </w:rPr>
      </w:pPr>
      <w:r w:rsidRPr="00DA79EF">
        <w:rPr>
          <w:color w:val="000000" w:themeColor="text1"/>
          <w:sz w:val="22"/>
          <w:szCs w:val="22"/>
        </w:rPr>
        <w:t xml:space="preserve">Kết quả nghiên cứu đưa ra nhiều gợi ý quan trọng cho chính sách. Dù bất định lạm phát không làm suy giảm FDI tại Việt Nam, các nhà hoạch định chính sách vẫn cần duy trì kiểm soát lạm phát chặt chẽ để củng cố niềm tin của nhà đầu tư trong dài hạn, đặc biệt trong các giai đoạn bất ổn toàn cầu. Điều đáng chú ý là tác động tích cực của bất định lạm phát cho thấy Việt Nam có thể tận dụng sức hút đối với những nhà đầu tư sẵn sàng chấp nhận rủi ro bằng cách khuyến khích các ngành ít phụ thuộc vào lạm phát, như sản xuất xuất khẩu, thông qua các chính sách ưu đãi có định hướng. Chính phủ nên mở rộng các khu kinh tế đặc biệt và cung cấp hỗ trợ nhằm thu hút FDI vào các lĩnh vực công nghệ cao. Tác động tích cực dài hạn từ tăng trưởng kinh tế càng làm nổi bật vai trò của việc duy trì đà </w:t>
      </w:r>
      <w:r w:rsidRPr="00DA79EF">
        <w:rPr>
          <w:color w:val="000000" w:themeColor="text1"/>
          <w:sz w:val="22"/>
          <w:szCs w:val="22"/>
        </w:rPr>
        <w:t>tăng trưởng ổn định, trong khi các biến động ngắn hạn cần được giảm thiểu qua các biện pháp điều chỉnh vĩ mô linh hoạt, chẳng hạn như điều chỉnh lãi suất trong thời kỳ khủng hoảng</w:t>
      </w:r>
      <w:r w:rsidR="00441892" w:rsidRPr="00441892">
        <w:rPr>
          <w:color w:val="000000" w:themeColor="text1"/>
          <w:sz w:val="22"/>
          <w:szCs w:val="22"/>
        </w:rPr>
        <w:t>.</w:t>
      </w:r>
    </w:p>
    <w:p w14:paraId="5AE77698" w14:textId="7D5C40CA" w:rsidR="00441892" w:rsidRDefault="008854A3" w:rsidP="00441892">
      <w:pPr>
        <w:spacing w:before="120" w:after="120"/>
        <w:jc w:val="both"/>
        <w:rPr>
          <w:color w:val="000000" w:themeColor="text1"/>
          <w:sz w:val="22"/>
          <w:szCs w:val="22"/>
        </w:rPr>
      </w:pPr>
      <w:r w:rsidRPr="008854A3">
        <w:rPr>
          <w:color w:val="000000" w:themeColor="text1"/>
          <w:sz w:val="22"/>
          <w:szCs w:val="22"/>
        </w:rPr>
        <w:t>Nghiên cứu này cung cấp bằng chứng mới từ Việt Nam, thách thức các quan điểm truyền thống về mối liên hệ giữa bất định lạm phát và FDI. Tuy nhiên, mô hình hiện tại chỉ tập trung vào bất định lạm phát và tăng trưởng kinh tế, có thể bỏ qua các yếu tố khác như biến động tỷ giá, rủi ro chính trị, lãi suất, mức độ tự do kinh tế, hoặc mở cửa thương mại—những yếu tố có thể được khám phá trong các nghiên cứu sau. Một số câu hỏi nghiên cứu cụ thể bao gồm: Hành vi nhà đầu tư có khác biệt theo quốc gia gốc khi đối mặt với bất định lạm phát không? Tác động tích cực này có sự khác biệt giữa FDI xanh (greenfield) và FDI mua lại (brownfield) không? Ngoài ra, các phân tích dữ liệu bảng so sánh Việt Nam với các nền kinh tế tương đồng có thể kiểm tra tính khái quát của kết quả. Việc nâng cao phương pháp luận, chẳng hạn sử dụng mô hình EGARCH để đo lường bất định lạm phát phi đối xứng, cũng có thể tăng cường độ tin cậy của các phát hiện</w:t>
      </w:r>
      <w:r w:rsidR="00441892" w:rsidRPr="00441892">
        <w:rPr>
          <w:color w:val="000000" w:themeColor="text1"/>
          <w:sz w:val="22"/>
          <w:szCs w:val="22"/>
        </w:rPr>
        <w:t>.</w:t>
      </w:r>
    </w:p>
    <w:p w14:paraId="0FFC0EE1" w14:textId="330F680B" w:rsidR="00441892" w:rsidRDefault="00441892" w:rsidP="00441892">
      <w:pPr>
        <w:spacing w:before="120" w:after="120"/>
        <w:jc w:val="both"/>
        <w:rPr>
          <w:b/>
          <w:sz w:val="22"/>
          <w:szCs w:val="22"/>
        </w:rPr>
      </w:pPr>
      <w:r>
        <w:rPr>
          <w:b/>
          <w:sz w:val="22"/>
          <w:szCs w:val="22"/>
        </w:rPr>
        <w:t>TÀI LIỆU THAM KHẢO</w:t>
      </w:r>
    </w:p>
    <w:p w14:paraId="1FCAB21D" w14:textId="1F894D05" w:rsidR="00586F0D" w:rsidRDefault="00586F0D" w:rsidP="00586F0D">
      <w:pPr>
        <w:spacing w:before="120" w:after="120"/>
        <w:rPr>
          <w:bCs/>
          <w:color w:val="000000" w:themeColor="text1"/>
          <w:sz w:val="20"/>
          <w:szCs w:val="20"/>
        </w:rPr>
      </w:pPr>
      <w:r w:rsidRPr="00586F0D">
        <w:rPr>
          <w:bCs/>
          <w:color w:val="000000" w:themeColor="text1"/>
          <w:sz w:val="20"/>
          <w:szCs w:val="20"/>
        </w:rPr>
        <w:t xml:space="preserve">1. B. K. Anh, N. Q. Thai, B. Trinh. Foreign direct investment FDI in Vietnam economy, </w:t>
      </w:r>
      <w:r w:rsidRPr="00586F0D">
        <w:rPr>
          <w:bCs/>
          <w:i/>
          <w:iCs/>
          <w:color w:val="000000" w:themeColor="text1"/>
          <w:sz w:val="20"/>
          <w:szCs w:val="20"/>
        </w:rPr>
        <w:t>Theoretical Economics Letters</w:t>
      </w:r>
      <w:r w:rsidRPr="00586F0D">
        <w:rPr>
          <w:bCs/>
          <w:color w:val="000000" w:themeColor="text1"/>
          <w:sz w:val="20"/>
          <w:szCs w:val="20"/>
        </w:rPr>
        <w:t xml:space="preserve">, </w:t>
      </w:r>
      <w:r w:rsidRPr="00586F0D">
        <w:rPr>
          <w:b/>
          <w:bCs/>
          <w:color w:val="000000" w:themeColor="text1"/>
          <w:sz w:val="20"/>
          <w:szCs w:val="20"/>
        </w:rPr>
        <w:t>2019</w:t>
      </w:r>
      <w:r w:rsidRPr="00586F0D">
        <w:rPr>
          <w:bCs/>
          <w:color w:val="000000" w:themeColor="text1"/>
          <w:sz w:val="20"/>
          <w:szCs w:val="20"/>
        </w:rPr>
        <w:t xml:space="preserve">, </w:t>
      </w:r>
      <w:r w:rsidRPr="00586F0D">
        <w:rPr>
          <w:bCs/>
          <w:i/>
          <w:iCs/>
          <w:color w:val="000000" w:themeColor="text1"/>
          <w:sz w:val="20"/>
          <w:szCs w:val="20"/>
        </w:rPr>
        <w:t>9</w:t>
      </w:r>
      <w:r w:rsidRPr="00586F0D">
        <w:rPr>
          <w:bCs/>
          <w:color w:val="000000" w:themeColor="text1"/>
          <w:sz w:val="20"/>
          <w:szCs w:val="20"/>
        </w:rPr>
        <w:t>(4), 986–1002.</w:t>
      </w:r>
    </w:p>
    <w:p w14:paraId="480D4314" w14:textId="285BAA2B" w:rsidR="00183BEE" w:rsidRDefault="00183BEE" w:rsidP="00183BEE">
      <w:pPr>
        <w:spacing w:before="120" w:after="120"/>
        <w:jc w:val="both"/>
        <w:rPr>
          <w:bCs/>
          <w:color w:val="000000" w:themeColor="text1"/>
          <w:sz w:val="20"/>
          <w:szCs w:val="20"/>
        </w:rPr>
      </w:pPr>
      <w:r>
        <w:rPr>
          <w:bCs/>
          <w:color w:val="000000" w:themeColor="text1"/>
          <w:sz w:val="20"/>
          <w:szCs w:val="20"/>
        </w:rPr>
        <w:t>2</w:t>
      </w:r>
      <w:r w:rsidRPr="00586F0D">
        <w:rPr>
          <w:bCs/>
          <w:color w:val="000000" w:themeColor="text1"/>
          <w:sz w:val="20"/>
          <w:szCs w:val="20"/>
        </w:rPr>
        <w:t xml:space="preserve">. A. N. Nguyen, T. Nguyen. </w:t>
      </w:r>
      <w:r w:rsidRPr="00586F0D">
        <w:rPr>
          <w:bCs/>
          <w:i/>
          <w:iCs/>
          <w:color w:val="000000" w:themeColor="text1"/>
          <w:sz w:val="20"/>
          <w:szCs w:val="20"/>
        </w:rPr>
        <w:t>Foreign direct investment in Vietnam: An overview and analysis the determinants of spatial distribution across provinces</w:t>
      </w:r>
      <w:r w:rsidRPr="00586F0D">
        <w:rPr>
          <w:bCs/>
          <w:color w:val="000000" w:themeColor="text1"/>
          <w:sz w:val="20"/>
          <w:szCs w:val="20"/>
        </w:rPr>
        <w:t xml:space="preserve">, SSRN Working Paper No. 999550, </w:t>
      </w:r>
      <w:r w:rsidRPr="00586F0D">
        <w:rPr>
          <w:b/>
          <w:bCs/>
          <w:color w:val="000000" w:themeColor="text1"/>
          <w:sz w:val="20"/>
          <w:szCs w:val="20"/>
        </w:rPr>
        <w:t>2007</w:t>
      </w:r>
      <w:r w:rsidRPr="00586F0D">
        <w:rPr>
          <w:bCs/>
          <w:color w:val="000000" w:themeColor="text1"/>
          <w:sz w:val="20"/>
          <w:szCs w:val="20"/>
        </w:rPr>
        <w:t>.</w:t>
      </w:r>
    </w:p>
    <w:p w14:paraId="0A07B0C5" w14:textId="1E10376D" w:rsidR="00183BEE" w:rsidRDefault="00183BEE" w:rsidP="00183BEE">
      <w:pPr>
        <w:spacing w:before="120" w:after="120"/>
        <w:jc w:val="both"/>
        <w:rPr>
          <w:bCs/>
          <w:color w:val="000000" w:themeColor="text1"/>
          <w:sz w:val="20"/>
          <w:szCs w:val="20"/>
        </w:rPr>
      </w:pPr>
      <w:r>
        <w:rPr>
          <w:bCs/>
          <w:color w:val="000000" w:themeColor="text1"/>
          <w:sz w:val="20"/>
          <w:szCs w:val="20"/>
        </w:rPr>
        <w:t>3</w:t>
      </w:r>
      <w:r w:rsidRPr="00586F0D">
        <w:rPr>
          <w:bCs/>
          <w:color w:val="000000" w:themeColor="text1"/>
          <w:sz w:val="20"/>
          <w:szCs w:val="20"/>
        </w:rPr>
        <w:t xml:space="preserve">. E. Udoh, F. O. Egwaikhide. Exchange rate volatility, inflation uncertainty and foreign direct investment in Nigeria, </w:t>
      </w:r>
      <w:r w:rsidRPr="00586F0D">
        <w:rPr>
          <w:bCs/>
          <w:i/>
          <w:iCs/>
          <w:color w:val="000000" w:themeColor="text1"/>
          <w:sz w:val="20"/>
          <w:szCs w:val="20"/>
        </w:rPr>
        <w:t>Botswana Journal of Economics</w:t>
      </w:r>
      <w:r w:rsidRPr="00586F0D">
        <w:rPr>
          <w:bCs/>
          <w:color w:val="000000" w:themeColor="text1"/>
          <w:sz w:val="20"/>
          <w:szCs w:val="20"/>
        </w:rPr>
        <w:t xml:space="preserve">, </w:t>
      </w:r>
      <w:r w:rsidRPr="00586F0D">
        <w:rPr>
          <w:b/>
          <w:bCs/>
          <w:color w:val="000000" w:themeColor="text1"/>
          <w:sz w:val="20"/>
          <w:szCs w:val="20"/>
        </w:rPr>
        <w:t>2008</w:t>
      </w:r>
      <w:r w:rsidRPr="00586F0D">
        <w:rPr>
          <w:bCs/>
          <w:color w:val="000000" w:themeColor="text1"/>
          <w:sz w:val="20"/>
          <w:szCs w:val="20"/>
        </w:rPr>
        <w:t xml:space="preserve">, </w:t>
      </w:r>
      <w:r w:rsidRPr="00586F0D">
        <w:rPr>
          <w:bCs/>
          <w:i/>
          <w:iCs/>
          <w:color w:val="000000" w:themeColor="text1"/>
          <w:sz w:val="20"/>
          <w:szCs w:val="20"/>
        </w:rPr>
        <w:t>5</w:t>
      </w:r>
      <w:r w:rsidRPr="00586F0D">
        <w:rPr>
          <w:bCs/>
          <w:color w:val="000000" w:themeColor="text1"/>
          <w:sz w:val="20"/>
          <w:szCs w:val="20"/>
        </w:rPr>
        <w:t>(7), 14–31.</w:t>
      </w:r>
    </w:p>
    <w:p w14:paraId="7C0ACCA3" w14:textId="13EEA298" w:rsidR="00183BEE" w:rsidRDefault="00183BEE" w:rsidP="00183BEE">
      <w:pPr>
        <w:spacing w:before="120" w:after="120"/>
        <w:jc w:val="both"/>
        <w:rPr>
          <w:bCs/>
          <w:color w:val="000000" w:themeColor="text1"/>
          <w:sz w:val="20"/>
          <w:szCs w:val="20"/>
        </w:rPr>
      </w:pPr>
      <w:r>
        <w:rPr>
          <w:bCs/>
          <w:color w:val="000000" w:themeColor="text1"/>
          <w:sz w:val="20"/>
          <w:szCs w:val="20"/>
        </w:rPr>
        <w:t xml:space="preserve">4. </w:t>
      </w:r>
      <w:r w:rsidRPr="00C058E3">
        <w:rPr>
          <w:bCs/>
          <w:color w:val="000000" w:themeColor="text1"/>
          <w:sz w:val="20"/>
          <w:szCs w:val="20"/>
        </w:rPr>
        <w:t xml:space="preserve">A. K. Dixit, R. S. Pindyck. </w:t>
      </w:r>
      <w:r w:rsidRPr="00C058E3">
        <w:rPr>
          <w:bCs/>
          <w:i/>
          <w:iCs/>
          <w:color w:val="000000" w:themeColor="text1"/>
          <w:sz w:val="20"/>
          <w:szCs w:val="20"/>
        </w:rPr>
        <w:t>Investment under uncertainty</w:t>
      </w:r>
      <w:r w:rsidRPr="00C058E3">
        <w:rPr>
          <w:bCs/>
          <w:color w:val="000000" w:themeColor="text1"/>
          <w:sz w:val="20"/>
          <w:szCs w:val="20"/>
        </w:rPr>
        <w:t xml:space="preserve">, Princeton University Press, Princeton, </w:t>
      </w:r>
      <w:r w:rsidRPr="00C058E3">
        <w:rPr>
          <w:b/>
          <w:bCs/>
          <w:color w:val="000000" w:themeColor="text1"/>
          <w:sz w:val="20"/>
          <w:szCs w:val="20"/>
        </w:rPr>
        <w:t>1994</w:t>
      </w:r>
      <w:r w:rsidRPr="00C058E3">
        <w:rPr>
          <w:bCs/>
          <w:color w:val="000000" w:themeColor="text1"/>
          <w:sz w:val="20"/>
          <w:szCs w:val="20"/>
        </w:rPr>
        <w:t>.</w:t>
      </w:r>
    </w:p>
    <w:p w14:paraId="517F39E7" w14:textId="7969905E" w:rsidR="00183BEE" w:rsidRDefault="00183BEE" w:rsidP="00183BEE">
      <w:pPr>
        <w:spacing w:before="120" w:after="120"/>
        <w:jc w:val="both"/>
        <w:rPr>
          <w:bCs/>
          <w:color w:val="000000" w:themeColor="text1"/>
          <w:sz w:val="20"/>
          <w:szCs w:val="20"/>
        </w:rPr>
      </w:pPr>
      <w:r>
        <w:rPr>
          <w:bCs/>
          <w:color w:val="000000" w:themeColor="text1"/>
          <w:sz w:val="20"/>
          <w:szCs w:val="20"/>
        </w:rPr>
        <w:t xml:space="preserve">5. </w:t>
      </w:r>
      <w:r w:rsidRPr="00C058E3">
        <w:rPr>
          <w:bCs/>
          <w:color w:val="000000" w:themeColor="text1"/>
          <w:sz w:val="20"/>
          <w:szCs w:val="20"/>
        </w:rPr>
        <w:t xml:space="preserve">T. Chi, J. Li, L. G. Trigeorgis, A. E. Tsekrekos. Real options theory in international business, </w:t>
      </w:r>
      <w:r w:rsidRPr="00C058E3">
        <w:rPr>
          <w:bCs/>
          <w:i/>
          <w:iCs/>
          <w:color w:val="000000" w:themeColor="text1"/>
          <w:sz w:val="20"/>
          <w:szCs w:val="20"/>
        </w:rPr>
        <w:t>Journal of International Business Studies</w:t>
      </w:r>
      <w:r w:rsidRPr="00C058E3">
        <w:rPr>
          <w:bCs/>
          <w:color w:val="000000" w:themeColor="text1"/>
          <w:sz w:val="20"/>
          <w:szCs w:val="20"/>
        </w:rPr>
        <w:t xml:space="preserve">, </w:t>
      </w:r>
      <w:r w:rsidRPr="00C058E3">
        <w:rPr>
          <w:b/>
          <w:bCs/>
          <w:color w:val="000000" w:themeColor="text1"/>
          <w:sz w:val="20"/>
          <w:szCs w:val="20"/>
        </w:rPr>
        <w:t>2019</w:t>
      </w:r>
      <w:r w:rsidRPr="00C058E3">
        <w:rPr>
          <w:bCs/>
          <w:color w:val="000000" w:themeColor="text1"/>
          <w:sz w:val="20"/>
          <w:szCs w:val="20"/>
        </w:rPr>
        <w:t xml:space="preserve">, </w:t>
      </w:r>
      <w:r w:rsidRPr="00C058E3">
        <w:rPr>
          <w:bCs/>
          <w:i/>
          <w:iCs/>
          <w:color w:val="000000" w:themeColor="text1"/>
          <w:sz w:val="20"/>
          <w:szCs w:val="20"/>
        </w:rPr>
        <w:t>50</w:t>
      </w:r>
      <w:r w:rsidRPr="00C058E3">
        <w:rPr>
          <w:bCs/>
          <w:color w:val="000000" w:themeColor="text1"/>
          <w:sz w:val="20"/>
          <w:szCs w:val="20"/>
        </w:rPr>
        <w:t>(4), 525–553.</w:t>
      </w:r>
    </w:p>
    <w:p w14:paraId="2B383161" w14:textId="77777777" w:rsidR="00183BEE" w:rsidRDefault="00183BEE" w:rsidP="00183BEE">
      <w:pPr>
        <w:spacing w:before="120" w:after="120"/>
        <w:jc w:val="both"/>
        <w:rPr>
          <w:bCs/>
          <w:color w:val="000000" w:themeColor="text1"/>
          <w:sz w:val="20"/>
          <w:szCs w:val="20"/>
        </w:rPr>
      </w:pPr>
      <w:r>
        <w:rPr>
          <w:bCs/>
          <w:color w:val="000000" w:themeColor="text1"/>
          <w:sz w:val="20"/>
          <w:szCs w:val="20"/>
        </w:rPr>
        <w:t xml:space="preserve">6. </w:t>
      </w:r>
      <w:r w:rsidRPr="00C058E3">
        <w:rPr>
          <w:bCs/>
          <w:color w:val="000000" w:themeColor="text1"/>
          <w:sz w:val="20"/>
          <w:szCs w:val="20"/>
        </w:rPr>
        <w:t xml:space="preserve">R. S. Pindyck. Investments of uncertain cost, </w:t>
      </w:r>
      <w:r w:rsidRPr="00C058E3">
        <w:rPr>
          <w:bCs/>
          <w:i/>
          <w:iCs/>
          <w:color w:val="000000" w:themeColor="text1"/>
          <w:sz w:val="20"/>
          <w:szCs w:val="20"/>
        </w:rPr>
        <w:t>Journal of Financial Economics</w:t>
      </w:r>
      <w:r w:rsidRPr="00C058E3">
        <w:rPr>
          <w:bCs/>
          <w:color w:val="000000" w:themeColor="text1"/>
          <w:sz w:val="20"/>
          <w:szCs w:val="20"/>
        </w:rPr>
        <w:t xml:space="preserve">, </w:t>
      </w:r>
      <w:r w:rsidRPr="00C058E3">
        <w:rPr>
          <w:b/>
          <w:bCs/>
          <w:color w:val="000000" w:themeColor="text1"/>
          <w:sz w:val="20"/>
          <w:szCs w:val="20"/>
        </w:rPr>
        <w:t>1993</w:t>
      </w:r>
      <w:r w:rsidRPr="00C058E3">
        <w:rPr>
          <w:bCs/>
          <w:color w:val="000000" w:themeColor="text1"/>
          <w:sz w:val="20"/>
          <w:szCs w:val="20"/>
        </w:rPr>
        <w:t xml:space="preserve">, </w:t>
      </w:r>
      <w:r w:rsidRPr="00C058E3">
        <w:rPr>
          <w:bCs/>
          <w:i/>
          <w:iCs/>
          <w:color w:val="000000" w:themeColor="text1"/>
          <w:sz w:val="20"/>
          <w:szCs w:val="20"/>
        </w:rPr>
        <w:t>34</w:t>
      </w:r>
      <w:r w:rsidRPr="00C058E3">
        <w:rPr>
          <w:bCs/>
          <w:color w:val="000000" w:themeColor="text1"/>
          <w:sz w:val="20"/>
          <w:szCs w:val="20"/>
        </w:rPr>
        <w:t>(1), 53–76.</w:t>
      </w:r>
    </w:p>
    <w:p w14:paraId="25CB1BC6" w14:textId="77777777"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7. </w:t>
      </w:r>
      <w:r w:rsidRPr="004F2BFE">
        <w:rPr>
          <w:bCs/>
          <w:color w:val="000000" w:themeColor="text1"/>
          <w:sz w:val="20"/>
          <w:szCs w:val="20"/>
        </w:rPr>
        <w:t xml:space="preserve">Q. Lu, X. Lu. </w:t>
      </w:r>
      <w:r w:rsidRPr="004F2BFE">
        <w:rPr>
          <w:bCs/>
          <w:i/>
          <w:iCs/>
          <w:color w:val="000000" w:themeColor="text1"/>
          <w:sz w:val="20"/>
          <w:szCs w:val="20"/>
        </w:rPr>
        <w:t>The impact of macro economic uncertainty on investments</w:t>
      </w:r>
      <w:r w:rsidRPr="004F2BFE">
        <w:rPr>
          <w:bCs/>
          <w:color w:val="000000" w:themeColor="text1"/>
          <w:sz w:val="20"/>
          <w:szCs w:val="20"/>
        </w:rPr>
        <w:t>, 2011 International Conference of Information Technology, Computer Engineering and Management Sciences, Vol. 3, IEEE, September, 244–247.</w:t>
      </w:r>
    </w:p>
    <w:p w14:paraId="19C030C0" w14:textId="77777777" w:rsidR="00183BEE" w:rsidRPr="00C058E3" w:rsidRDefault="00183BEE" w:rsidP="00183BEE">
      <w:pPr>
        <w:spacing w:before="120" w:after="120"/>
        <w:jc w:val="both"/>
        <w:rPr>
          <w:bCs/>
          <w:color w:val="000000" w:themeColor="text1"/>
          <w:sz w:val="20"/>
          <w:szCs w:val="20"/>
        </w:rPr>
      </w:pPr>
      <w:r>
        <w:rPr>
          <w:bCs/>
          <w:color w:val="000000" w:themeColor="text1"/>
          <w:sz w:val="20"/>
          <w:szCs w:val="20"/>
        </w:rPr>
        <w:t xml:space="preserve">8. </w:t>
      </w:r>
      <w:r w:rsidRPr="00C058E3">
        <w:rPr>
          <w:bCs/>
          <w:color w:val="000000" w:themeColor="text1"/>
          <w:sz w:val="20"/>
          <w:szCs w:val="20"/>
        </w:rPr>
        <w:t xml:space="preserve">G. S. Becker. </w:t>
      </w:r>
      <w:r w:rsidRPr="00C058E3">
        <w:rPr>
          <w:bCs/>
          <w:i/>
          <w:iCs/>
          <w:color w:val="000000" w:themeColor="text1"/>
          <w:sz w:val="20"/>
          <w:szCs w:val="20"/>
        </w:rPr>
        <w:t>The economic approach to human behavior</w:t>
      </w:r>
      <w:r w:rsidRPr="00C058E3">
        <w:rPr>
          <w:bCs/>
          <w:color w:val="000000" w:themeColor="text1"/>
          <w:sz w:val="20"/>
          <w:szCs w:val="20"/>
        </w:rPr>
        <w:t xml:space="preserve"> (Vol. 803), University of Chicago Press, Chicago, </w:t>
      </w:r>
      <w:r w:rsidRPr="00C058E3">
        <w:rPr>
          <w:b/>
          <w:bCs/>
          <w:color w:val="000000" w:themeColor="text1"/>
          <w:sz w:val="20"/>
          <w:szCs w:val="20"/>
        </w:rPr>
        <w:t>1976</w:t>
      </w:r>
      <w:r w:rsidRPr="00C058E3">
        <w:rPr>
          <w:bCs/>
          <w:color w:val="000000" w:themeColor="text1"/>
          <w:sz w:val="20"/>
          <w:szCs w:val="20"/>
        </w:rPr>
        <w:t>.</w:t>
      </w:r>
    </w:p>
    <w:p w14:paraId="51CC71D7" w14:textId="0CCE239B"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9. </w:t>
      </w:r>
      <w:r w:rsidRPr="00C058E3">
        <w:rPr>
          <w:bCs/>
          <w:color w:val="000000" w:themeColor="text1"/>
          <w:sz w:val="20"/>
          <w:szCs w:val="20"/>
        </w:rPr>
        <w:t xml:space="preserve">R. Abaidoo, E. K. Agyapong. Inflation uncertainty, macroeconomic instability and the efficiency of </w:t>
      </w:r>
      <w:r w:rsidRPr="00C058E3">
        <w:rPr>
          <w:bCs/>
          <w:color w:val="000000" w:themeColor="text1"/>
          <w:sz w:val="20"/>
          <w:szCs w:val="20"/>
        </w:rPr>
        <w:lastRenderedPageBreak/>
        <w:t xml:space="preserve">financial institutions, </w:t>
      </w:r>
      <w:r w:rsidRPr="00C058E3">
        <w:rPr>
          <w:bCs/>
          <w:i/>
          <w:iCs/>
          <w:color w:val="000000" w:themeColor="text1"/>
          <w:sz w:val="20"/>
          <w:szCs w:val="20"/>
        </w:rPr>
        <w:t>Journal of Economics and Development</w:t>
      </w:r>
      <w:r w:rsidRPr="00C058E3">
        <w:rPr>
          <w:bCs/>
          <w:color w:val="000000" w:themeColor="text1"/>
          <w:sz w:val="20"/>
          <w:szCs w:val="20"/>
        </w:rPr>
        <w:t xml:space="preserve">, </w:t>
      </w:r>
      <w:r w:rsidRPr="00C058E3">
        <w:rPr>
          <w:b/>
          <w:bCs/>
          <w:color w:val="000000" w:themeColor="text1"/>
          <w:sz w:val="20"/>
          <w:szCs w:val="20"/>
        </w:rPr>
        <w:t>2023</w:t>
      </w:r>
      <w:r w:rsidRPr="00C058E3">
        <w:rPr>
          <w:bCs/>
          <w:color w:val="000000" w:themeColor="text1"/>
          <w:sz w:val="20"/>
          <w:szCs w:val="20"/>
        </w:rPr>
        <w:t xml:space="preserve">, </w:t>
      </w:r>
      <w:r w:rsidRPr="00C058E3">
        <w:rPr>
          <w:bCs/>
          <w:i/>
          <w:iCs/>
          <w:color w:val="000000" w:themeColor="text1"/>
          <w:sz w:val="20"/>
          <w:szCs w:val="20"/>
        </w:rPr>
        <w:t>25</w:t>
      </w:r>
      <w:r w:rsidRPr="00C058E3">
        <w:rPr>
          <w:bCs/>
          <w:color w:val="000000" w:themeColor="text1"/>
          <w:sz w:val="20"/>
          <w:szCs w:val="20"/>
        </w:rPr>
        <w:t>(2), 134–152.</w:t>
      </w:r>
    </w:p>
    <w:p w14:paraId="2D30058A" w14:textId="163FE321" w:rsidR="00183BEE" w:rsidRDefault="00183BEE" w:rsidP="00586F0D">
      <w:pPr>
        <w:spacing w:before="120" w:after="120"/>
        <w:jc w:val="both"/>
        <w:rPr>
          <w:bCs/>
          <w:color w:val="000000" w:themeColor="text1"/>
          <w:sz w:val="20"/>
          <w:szCs w:val="20"/>
        </w:rPr>
      </w:pPr>
      <w:r>
        <w:rPr>
          <w:bCs/>
          <w:color w:val="000000" w:themeColor="text1"/>
          <w:sz w:val="20"/>
          <w:szCs w:val="20"/>
        </w:rPr>
        <w:t>10</w:t>
      </w:r>
      <w:r w:rsidRPr="00586F0D">
        <w:rPr>
          <w:bCs/>
          <w:color w:val="000000" w:themeColor="text1"/>
          <w:sz w:val="20"/>
          <w:szCs w:val="20"/>
        </w:rPr>
        <w:t xml:space="preserve">. J. H. Dunning. Toward an eclectic theory of international production: Some empirical tests, </w:t>
      </w:r>
      <w:r w:rsidRPr="00586F0D">
        <w:rPr>
          <w:bCs/>
          <w:i/>
          <w:iCs/>
          <w:color w:val="000000" w:themeColor="text1"/>
          <w:sz w:val="20"/>
          <w:szCs w:val="20"/>
        </w:rPr>
        <w:t>Journal of International Business Studies</w:t>
      </w:r>
      <w:r w:rsidRPr="00586F0D">
        <w:rPr>
          <w:bCs/>
          <w:color w:val="000000" w:themeColor="text1"/>
          <w:sz w:val="20"/>
          <w:szCs w:val="20"/>
        </w:rPr>
        <w:t xml:space="preserve">, </w:t>
      </w:r>
      <w:r w:rsidRPr="00586F0D">
        <w:rPr>
          <w:b/>
          <w:bCs/>
          <w:color w:val="000000" w:themeColor="text1"/>
          <w:sz w:val="20"/>
          <w:szCs w:val="20"/>
        </w:rPr>
        <w:t>1980</w:t>
      </w:r>
      <w:r w:rsidRPr="00586F0D">
        <w:rPr>
          <w:bCs/>
          <w:color w:val="000000" w:themeColor="text1"/>
          <w:sz w:val="20"/>
          <w:szCs w:val="20"/>
        </w:rPr>
        <w:t xml:space="preserve">, </w:t>
      </w:r>
      <w:r w:rsidRPr="00586F0D">
        <w:rPr>
          <w:bCs/>
          <w:i/>
          <w:iCs/>
          <w:color w:val="000000" w:themeColor="text1"/>
          <w:sz w:val="20"/>
          <w:szCs w:val="20"/>
        </w:rPr>
        <w:t>11</w:t>
      </w:r>
      <w:r w:rsidRPr="00586F0D">
        <w:rPr>
          <w:bCs/>
          <w:color w:val="000000" w:themeColor="text1"/>
          <w:sz w:val="20"/>
          <w:szCs w:val="20"/>
        </w:rPr>
        <w:t>(1), 9–31.</w:t>
      </w:r>
    </w:p>
    <w:p w14:paraId="3E1FBCE8" w14:textId="17A19724" w:rsidR="00586F0D" w:rsidRDefault="00183BEE" w:rsidP="00586F0D">
      <w:pPr>
        <w:spacing w:before="120" w:after="120"/>
        <w:jc w:val="both"/>
        <w:rPr>
          <w:bCs/>
          <w:color w:val="000000" w:themeColor="text1"/>
          <w:sz w:val="20"/>
          <w:szCs w:val="20"/>
        </w:rPr>
      </w:pPr>
      <w:r>
        <w:rPr>
          <w:bCs/>
          <w:color w:val="000000" w:themeColor="text1"/>
          <w:sz w:val="20"/>
          <w:szCs w:val="20"/>
        </w:rPr>
        <w:t>11</w:t>
      </w:r>
      <w:r w:rsidR="00586F0D" w:rsidRPr="00586F0D">
        <w:rPr>
          <w:bCs/>
          <w:color w:val="000000" w:themeColor="text1"/>
          <w:sz w:val="20"/>
          <w:szCs w:val="20"/>
        </w:rPr>
        <w:t xml:space="preserve">. M. Azam, M. A. Khan, N. Iqbal. Impact of political risk and uncertainty on FDI in South Asia, </w:t>
      </w:r>
      <w:r w:rsidR="00586F0D" w:rsidRPr="00586F0D">
        <w:rPr>
          <w:bCs/>
          <w:i/>
          <w:iCs/>
          <w:color w:val="000000" w:themeColor="text1"/>
          <w:sz w:val="20"/>
          <w:szCs w:val="20"/>
        </w:rPr>
        <w:t>Transition Studies Review</w:t>
      </w:r>
      <w:r w:rsidR="00586F0D" w:rsidRPr="00586F0D">
        <w:rPr>
          <w:bCs/>
          <w:color w:val="000000" w:themeColor="text1"/>
          <w:sz w:val="20"/>
          <w:szCs w:val="20"/>
        </w:rPr>
        <w:t xml:space="preserve">, </w:t>
      </w:r>
      <w:r w:rsidR="00586F0D" w:rsidRPr="00586F0D">
        <w:rPr>
          <w:b/>
          <w:bCs/>
          <w:color w:val="000000" w:themeColor="text1"/>
          <w:sz w:val="20"/>
          <w:szCs w:val="20"/>
        </w:rPr>
        <w:t>2012</w:t>
      </w:r>
      <w:r w:rsidR="00586F0D" w:rsidRPr="00586F0D">
        <w:rPr>
          <w:bCs/>
          <w:color w:val="000000" w:themeColor="text1"/>
          <w:sz w:val="20"/>
          <w:szCs w:val="20"/>
        </w:rPr>
        <w:t xml:space="preserve">, </w:t>
      </w:r>
      <w:r w:rsidR="00586F0D" w:rsidRPr="00586F0D">
        <w:rPr>
          <w:bCs/>
          <w:i/>
          <w:iCs/>
          <w:color w:val="000000" w:themeColor="text1"/>
          <w:sz w:val="20"/>
          <w:szCs w:val="20"/>
        </w:rPr>
        <w:t>19</w:t>
      </w:r>
      <w:r w:rsidR="00586F0D" w:rsidRPr="00586F0D">
        <w:rPr>
          <w:bCs/>
          <w:color w:val="000000" w:themeColor="text1"/>
          <w:sz w:val="20"/>
          <w:szCs w:val="20"/>
        </w:rPr>
        <w:t>(1), 59–77.</w:t>
      </w:r>
    </w:p>
    <w:p w14:paraId="04283036" w14:textId="47F16B8D" w:rsidR="00183BEE" w:rsidRPr="00586F0D" w:rsidRDefault="00183BEE" w:rsidP="00586F0D">
      <w:pPr>
        <w:spacing w:before="120" w:after="120"/>
        <w:jc w:val="both"/>
        <w:rPr>
          <w:bCs/>
          <w:color w:val="000000" w:themeColor="text1"/>
          <w:sz w:val="20"/>
          <w:szCs w:val="20"/>
        </w:rPr>
      </w:pPr>
      <w:r>
        <w:rPr>
          <w:bCs/>
          <w:color w:val="000000" w:themeColor="text1"/>
          <w:sz w:val="20"/>
          <w:szCs w:val="20"/>
        </w:rPr>
        <w:t>12</w:t>
      </w:r>
      <w:r w:rsidRPr="00586F0D">
        <w:rPr>
          <w:bCs/>
          <w:color w:val="000000" w:themeColor="text1"/>
          <w:sz w:val="20"/>
          <w:szCs w:val="20"/>
        </w:rPr>
        <w:t xml:space="preserve">. D. N. Gujarati. </w:t>
      </w:r>
      <w:r w:rsidRPr="00586F0D">
        <w:rPr>
          <w:bCs/>
          <w:i/>
          <w:iCs/>
          <w:color w:val="000000" w:themeColor="text1"/>
          <w:sz w:val="20"/>
          <w:szCs w:val="20"/>
        </w:rPr>
        <w:t>Basic econometrics (4th edition)</w:t>
      </w:r>
      <w:r w:rsidRPr="00586F0D">
        <w:rPr>
          <w:bCs/>
          <w:color w:val="000000" w:themeColor="text1"/>
          <w:sz w:val="20"/>
          <w:szCs w:val="20"/>
        </w:rPr>
        <w:t xml:space="preserve">, McGraw-Hill Higher Education, New York, </w:t>
      </w:r>
      <w:r w:rsidRPr="00586F0D">
        <w:rPr>
          <w:b/>
          <w:bCs/>
          <w:color w:val="000000" w:themeColor="text1"/>
          <w:sz w:val="20"/>
          <w:szCs w:val="20"/>
        </w:rPr>
        <w:t>2004</w:t>
      </w:r>
      <w:r w:rsidRPr="00586F0D">
        <w:rPr>
          <w:bCs/>
          <w:color w:val="000000" w:themeColor="text1"/>
          <w:sz w:val="20"/>
          <w:szCs w:val="20"/>
        </w:rPr>
        <w:t>.</w:t>
      </w:r>
    </w:p>
    <w:p w14:paraId="2AE3F451" w14:textId="03D61B2C" w:rsidR="00586F0D" w:rsidRDefault="00183BEE" w:rsidP="00586F0D">
      <w:pPr>
        <w:spacing w:before="120" w:after="120"/>
        <w:jc w:val="both"/>
        <w:rPr>
          <w:bCs/>
          <w:color w:val="000000" w:themeColor="text1"/>
          <w:sz w:val="20"/>
          <w:szCs w:val="20"/>
        </w:rPr>
      </w:pPr>
      <w:r>
        <w:rPr>
          <w:bCs/>
          <w:color w:val="000000" w:themeColor="text1"/>
          <w:sz w:val="20"/>
          <w:szCs w:val="20"/>
        </w:rPr>
        <w:t>13</w:t>
      </w:r>
      <w:r w:rsidR="00586F0D" w:rsidRPr="00586F0D">
        <w:rPr>
          <w:bCs/>
          <w:color w:val="000000" w:themeColor="text1"/>
          <w:sz w:val="20"/>
          <w:szCs w:val="20"/>
        </w:rPr>
        <w:t xml:space="preserve">. D. A. Dickey, W. A. Fuller. Distribution of the estimators for autoregressive time series with a unit root, </w:t>
      </w:r>
      <w:r w:rsidR="00586F0D" w:rsidRPr="00586F0D">
        <w:rPr>
          <w:bCs/>
          <w:i/>
          <w:iCs/>
          <w:color w:val="000000" w:themeColor="text1"/>
          <w:sz w:val="20"/>
          <w:szCs w:val="20"/>
        </w:rPr>
        <w:t>Journal of the American Statistical Association</w:t>
      </w:r>
      <w:r w:rsidR="00586F0D" w:rsidRPr="00586F0D">
        <w:rPr>
          <w:bCs/>
          <w:color w:val="000000" w:themeColor="text1"/>
          <w:sz w:val="20"/>
          <w:szCs w:val="20"/>
        </w:rPr>
        <w:t xml:space="preserve">, </w:t>
      </w:r>
      <w:r w:rsidR="00586F0D" w:rsidRPr="00586F0D">
        <w:rPr>
          <w:b/>
          <w:bCs/>
          <w:color w:val="000000" w:themeColor="text1"/>
          <w:sz w:val="20"/>
          <w:szCs w:val="20"/>
        </w:rPr>
        <w:t>1979</w:t>
      </w:r>
      <w:r w:rsidR="00586F0D" w:rsidRPr="00586F0D">
        <w:rPr>
          <w:bCs/>
          <w:color w:val="000000" w:themeColor="text1"/>
          <w:sz w:val="20"/>
          <w:szCs w:val="20"/>
        </w:rPr>
        <w:t xml:space="preserve">, </w:t>
      </w:r>
      <w:r w:rsidR="00586F0D" w:rsidRPr="00586F0D">
        <w:rPr>
          <w:bCs/>
          <w:i/>
          <w:iCs/>
          <w:color w:val="000000" w:themeColor="text1"/>
          <w:sz w:val="20"/>
          <w:szCs w:val="20"/>
        </w:rPr>
        <w:t>74</w:t>
      </w:r>
      <w:r w:rsidR="00586F0D" w:rsidRPr="00586F0D">
        <w:rPr>
          <w:bCs/>
          <w:color w:val="000000" w:themeColor="text1"/>
          <w:sz w:val="20"/>
          <w:szCs w:val="20"/>
        </w:rPr>
        <w:t>(366), 427–431.</w:t>
      </w:r>
    </w:p>
    <w:p w14:paraId="685633BE" w14:textId="38AEB994" w:rsidR="00183BEE" w:rsidRPr="00586F0D" w:rsidRDefault="00183BEE" w:rsidP="00586F0D">
      <w:pPr>
        <w:spacing w:before="120" w:after="120"/>
        <w:jc w:val="both"/>
        <w:rPr>
          <w:bCs/>
          <w:color w:val="000000" w:themeColor="text1"/>
          <w:sz w:val="20"/>
          <w:szCs w:val="20"/>
        </w:rPr>
      </w:pPr>
      <w:r w:rsidRPr="00586F0D">
        <w:rPr>
          <w:bCs/>
          <w:color w:val="000000" w:themeColor="text1"/>
          <w:sz w:val="20"/>
          <w:szCs w:val="20"/>
        </w:rPr>
        <w:t>1</w:t>
      </w:r>
      <w:r>
        <w:rPr>
          <w:bCs/>
          <w:color w:val="000000" w:themeColor="text1"/>
          <w:sz w:val="20"/>
          <w:szCs w:val="20"/>
        </w:rPr>
        <w:t>4</w:t>
      </w:r>
      <w:r w:rsidRPr="00586F0D">
        <w:rPr>
          <w:bCs/>
          <w:color w:val="000000" w:themeColor="text1"/>
          <w:sz w:val="20"/>
          <w:szCs w:val="20"/>
        </w:rPr>
        <w:t xml:space="preserve">. P. C. B. Phillips, P. Perron. Testing for a unit root in time series regression, </w:t>
      </w:r>
      <w:r w:rsidRPr="00586F0D">
        <w:rPr>
          <w:bCs/>
          <w:i/>
          <w:iCs/>
          <w:color w:val="000000" w:themeColor="text1"/>
          <w:sz w:val="20"/>
          <w:szCs w:val="20"/>
        </w:rPr>
        <w:t>Biometrika</w:t>
      </w:r>
      <w:r w:rsidRPr="00586F0D">
        <w:rPr>
          <w:bCs/>
          <w:color w:val="000000" w:themeColor="text1"/>
          <w:sz w:val="20"/>
          <w:szCs w:val="20"/>
        </w:rPr>
        <w:t xml:space="preserve">, </w:t>
      </w:r>
      <w:r w:rsidRPr="00586F0D">
        <w:rPr>
          <w:b/>
          <w:bCs/>
          <w:color w:val="000000" w:themeColor="text1"/>
          <w:sz w:val="20"/>
          <w:szCs w:val="20"/>
        </w:rPr>
        <w:t>1988</w:t>
      </w:r>
      <w:r w:rsidRPr="00586F0D">
        <w:rPr>
          <w:bCs/>
          <w:color w:val="000000" w:themeColor="text1"/>
          <w:sz w:val="20"/>
          <w:szCs w:val="20"/>
        </w:rPr>
        <w:t xml:space="preserve">, </w:t>
      </w:r>
      <w:r w:rsidRPr="00586F0D">
        <w:rPr>
          <w:bCs/>
          <w:i/>
          <w:iCs/>
          <w:color w:val="000000" w:themeColor="text1"/>
          <w:sz w:val="20"/>
          <w:szCs w:val="20"/>
        </w:rPr>
        <w:t>75</w:t>
      </w:r>
      <w:r w:rsidRPr="00586F0D">
        <w:rPr>
          <w:bCs/>
          <w:color w:val="000000" w:themeColor="text1"/>
          <w:sz w:val="20"/>
          <w:szCs w:val="20"/>
        </w:rPr>
        <w:t>(2), 335–346.</w:t>
      </w:r>
    </w:p>
    <w:p w14:paraId="70482A02" w14:textId="0AB339C7" w:rsidR="00586F0D" w:rsidRPr="00586F0D" w:rsidRDefault="00183BEE" w:rsidP="00586F0D">
      <w:pPr>
        <w:spacing w:before="120" w:after="120"/>
        <w:jc w:val="both"/>
        <w:rPr>
          <w:bCs/>
          <w:color w:val="000000" w:themeColor="text1"/>
          <w:sz w:val="20"/>
          <w:szCs w:val="20"/>
        </w:rPr>
      </w:pPr>
      <w:r>
        <w:rPr>
          <w:bCs/>
          <w:color w:val="000000" w:themeColor="text1"/>
          <w:sz w:val="20"/>
          <w:szCs w:val="20"/>
        </w:rPr>
        <w:t>15</w:t>
      </w:r>
      <w:r w:rsidR="00586F0D" w:rsidRPr="00586F0D">
        <w:rPr>
          <w:bCs/>
          <w:color w:val="000000" w:themeColor="text1"/>
          <w:sz w:val="20"/>
          <w:szCs w:val="20"/>
        </w:rPr>
        <w:t xml:space="preserve">. J. Ha, I. So. </w:t>
      </w:r>
      <w:r w:rsidR="00586F0D" w:rsidRPr="00586F0D">
        <w:rPr>
          <w:bCs/>
          <w:i/>
          <w:iCs/>
          <w:color w:val="000000" w:themeColor="text1"/>
          <w:sz w:val="20"/>
          <w:szCs w:val="20"/>
        </w:rPr>
        <w:t>The economic effects of global inflation uncertainty</w:t>
      </w:r>
      <w:r w:rsidR="00586F0D" w:rsidRPr="00586F0D">
        <w:rPr>
          <w:bCs/>
          <w:color w:val="000000" w:themeColor="text1"/>
          <w:sz w:val="20"/>
          <w:szCs w:val="20"/>
        </w:rPr>
        <w:t xml:space="preserve">, SSRN Working Paper No. 4353155, </w:t>
      </w:r>
      <w:r w:rsidR="00586F0D" w:rsidRPr="00586F0D">
        <w:rPr>
          <w:b/>
          <w:bCs/>
          <w:color w:val="000000" w:themeColor="text1"/>
          <w:sz w:val="20"/>
          <w:szCs w:val="20"/>
        </w:rPr>
        <w:t>2023</w:t>
      </w:r>
      <w:r w:rsidR="00586F0D" w:rsidRPr="00586F0D">
        <w:rPr>
          <w:bCs/>
          <w:color w:val="000000" w:themeColor="text1"/>
          <w:sz w:val="20"/>
          <w:szCs w:val="20"/>
        </w:rPr>
        <w:t>.</w:t>
      </w:r>
    </w:p>
    <w:sectPr w:rsidR="00586F0D" w:rsidRPr="00586F0D" w:rsidSect="00441892">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FA26" w14:textId="77777777" w:rsidR="00894B82" w:rsidRDefault="00894B82">
      <w:r>
        <w:separator/>
      </w:r>
    </w:p>
  </w:endnote>
  <w:endnote w:type="continuationSeparator" w:id="0">
    <w:p w14:paraId="4D0D317E" w14:textId="77777777" w:rsidR="00894B82" w:rsidRDefault="00894B82">
      <w:r>
        <w:continuationSeparator/>
      </w:r>
    </w:p>
  </w:endnote>
  <w:endnote w:type="continuationNotice" w:id="1">
    <w:p w14:paraId="785470ED" w14:textId="77777777" w:rsidR="00894B82" w:rsidRDefault="0089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BB0" w14:textId="77777777" w:rsidR="005F6178" w:rsidRPr="00FA03B5" w:rsidRDefault="003E48C0">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14:paraId="153E2175" w14:textId="652A619D" w:rsidR="0057705E" w:rsidRPr="00CD7BFD" w:rsidRDefault="003E48C0">
    <w:pPr>
      <w:tabs>
        <w:tab w:val="right" w:leader="hyphen" w:pos="9072"/>
      </w:tabs>
      <w:jc w:val="both"/>
      <w:rPr>
        <w:i/>
        <w:iCs/>
        <w:sz w:val="20"/>
        <w:szCs w:val="20"/>
      </w:rPr>
    </w:pPr>
    <w:r w:rsidRPr="00FA03B5">
      <w:rPr>
        <w:i/>
        <w:iCs/>
        <w:sz w:val="20"/>
        <w:szCs w:val="20"/>
      </w:rPr>
      <w:t xml:space="preserve">Email: </w:t>
    </w:r>
    <w:r w:rsidR="007A58A5">
      <w:rPr>
        <w:i/>
        <w:iCs/>
        <w:sz w:val="20"/>
        <w:szCs w:val="20"/>
      </w:rPr>
      <w:t>baott24602@sdh.uel.edu.vn</w:t>
    </w:r>
  </w:p>
  <w:p w14:paraId="3FDAD7DE" w14:textId="77777777" w:rsidR="005F6178" w:rsidRPr="00DE7703" w:rsidRDefault="003E48C0">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FB1C" w14:textId="77777777" w:rsidR="005F6178" w:rsidRDefault="005F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EF81" w14:textId="77777777" w:rsidR="00894B82" w:rsidRDefault="00894B82">
      <w:r>
        <w:separator/>
      </w:r>
    </w:p>
  </w:footnote>
  <w:footnote w:type="continuationSeparator" w:id="0">
    <w:p w14:paraId="1240C3A7" w14:textId="77777777" w:rsidR="00894B82" w:rsidRDefault="00894B82">
      <w:r>
        <w:continuationSeparator/>
      </w:r>
    </w:p>
  </w:footnote>
  <w:footnote w:type="continuationNotice" w:id="1">
    <w:p w14:paraId="34219F61" w14:textId="77777777" w:rsidR="00894B82" w:rsidRDefault="00894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6AA9" w14:textId="77777777" w:rsidR="005F6178" w:rsidRPr="00897BD5" w:rsidRDefault="005F6178">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AF3" w14:textId="77777777" w:rsidR="005F6178" w:rsidRPr="00897BD5" w:rsidRDefault="005F6178">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6E1" w14:textId="77777777" w:rsidR="005F6178" w:rsidRPr="00897BD5" w:rsidRDefault="005F6178">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3A75"/>
    <w:multiLevelType w:val="multilevel"/>
    <w:tmpl w:val="C2F6E914"/>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346E91"/>
    <w:multiLevelType w:val="multilevel"/>
    <w:tmpl w:val="C2F6E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53C7A"/>
    <w:multiLevelType w:val="multilevel"/>
    <w:tmpl w:val="A81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965241">
    <w:abstractNumId w:val="0"/>
  </w:num>
  <w:num w:numId="2" w16cid:durableId="363987136">
    <w:abstractNumId w:val="3"/>
  </w:num>
  <w:num w:numId="3" w16cid:durableId="438915175">
    <w:abstractNumId w:val="2"/>
  </w:num>
  <w:num w:numId="4" w16cid:durableId="16795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0FA"/>
    <w:rsid w:val="0000621F"/>
    <w:rsid w:val="000114F2"/>
    <w:rsid w:val="00013E31"/>
    <w:rsid w:val="00025EA5"/>
    <w:rsid w:val="00030361"/>
    <w:rsid w:val="00030C32"/>
    <w:rsid w:val="00031171"/>
    <w:rsid w:val="00031489"/>
    <w:rsid w:val="00044773"/>
    <w:rsid w:val="0005019C"/>
    <w:rsid w:val="000575BC"/>
    <w:rsid w:val="00061111"/>
    <w:rsid w:val="00073898"/>
    <w:rsid w:val="00075CA7"/>
    <w:rsid w:val="00083D9E"/>
    <w:rsid w:val="000966E2"/>
    <w:rsid w:val="000A00BD"/>
    <w:rsid w:val="000A2C4C"/>
    <w:rsid w:val="000B6A74"/>
    <w:rsid w:val="000C49EC"/>
    <w:rsid w:val="000C4B18"/>
    <w:rsid w:val="000D47B6"/>
    <w:rsid w:val="000E1197"/>
    <w:rsid w:val="000E11BE"/>
    <w:rsid w:val="000E1496"/>
    <w:rsid w:val="000E3887"/>
    <w:rsid w:val="000E57FB"/>
    <w:rsid w:val="000E6286"/>
    <w:rsid w:val="000F3176"/>
    <w:rsid w:val="000F433C"/>
    <w:rsid w:val="000F460D"/>
    <w:rsid w:val="00116174"/>
    <w:rsid w:val="00136001"/>
    <w:rsid w:val="00137D0C"/>
    <w:rsid w:val="0014309C"/>
    <w:rsid w:val="001502A4"/>
    <w:rsid w:val="00153006"/>
    <w:rsid w:val="001569F2"/>
    <w:rsid w:val="00162847"/>
    <w:rsid w:val="00163ED4"/>
    <w:rsid w:val="001667E9"/>
    <w:rsid w:val="00173947"/>
    <w:rsid w:val="00183BEE"/>
    <w:rsid w:val="00185D1D"/>
    <w:rsid w:val="00191B98"/>
    <w:rsid w:val="00195E50"/>
    <w:rsid w:val="001A2484"/>
    <w:rsid w:val="001A277B"/>
    <w:rsid w:val="001C1701"/>
    <w:rsid w:val="001F0178"/>
    <w:rsid w:val="001F3853"/>
    <w:rsid w:val="00211C62"/>
    <w:rsid w:val="00211DF3"/>
    <w:rsid w:val="002128C1"/>
    <w:rsid w:val="002148B5"/>
    <w:rsid w:val="002152CB"/>
    <w:rsid w:val="0022239A"/>
    <w:rsid w:val="00223E06"/>
    <w:rsid w:val="002244D9"/>
    <w:rsid w:val="00224502"/>
    <w:rsid w:val="00227142"/>
    <w:rsid w:val="0024362C"/>
    <w:rsid w:val="00270B4C"/>
    <w:rsid w:val="00276D3D"/>
    <w:rsid w:val="00282271"/>
    <w:rsid w:val="00291E76"/>
    <w:rsid w:val="0029338F"/>
    <w:rsid w:val="00294173"/>
    <w:rsid w:val="0029572C"/>
    <w:rsid w:val="002A0AFC"/>
    <w:rsid w:val="002A68AB"/>
    <w:rsid w:val="002B5E0F"/>
    <w:rsid w:val="002C0988"/>
    <w:rsid w:val="002C20D3"/>
    <w:rsid w:val="002C4C6E"/>
    <w:rsid w:val="002C6F6D"/>
    <w:rsid w:val="002D0090"/>
    <w:rsid w:val="002E6387"/>
    <w:rsid w:val="002E7778"/>
    <w:rsid w:val="002F0561"/>
    <w:rsid w:val="00312EE1"/>
    <w:rsid w:val="00315B62"/>
    <w:rsid w:val="00317C53"/>
    <w:rsid w:val="003220C7"/>
    <w:rsid w:val="003221CC"/>
    <w:rsid w:val="00326EA9"/>
    <w:rsid w:val="00331A7C"/>
    <w:rsid w:val="0033238D"/>
    <w:rsid w:val="003424A0"/>
    <w:rsid w:val="00342CBA"/>
    <w:rsid w:val="00346025"/>
    <w:rsid w:val="003462CA"/>
    <w:rsid w:val="0035109B"/>
    <w:rsid w:val="00352E9C"/>
    <w:rsid w:val="0035550D"/>
    <w:rsid w:val="003627B1"/>
    <w:rsid w:val="00373C95"/>
    <w:rsid w:val="00375274"/>
    <w:rsid w:val="00384930"/>
    <w:rsid w:val="00394107"/>
    <w:rsid w:val="00394372"/>
    <w:rsid w:val="00395A7A"/>
    <w:rsid w:val="003A5FBA"/>
    <w:rsid w:val="003B42C2"/>
    <w:rsid w:val="003D1B4A"/>
    <w:rsid w:val="003D2012"/>
    <w:rsid w:val="003D3A6B"/>
    <w:rsid w:val="003D3EB3"/>
    <w:rsid w:val="003D7DFB"/>
    <w:rsid w:val="003E2A4F"/>
    <w:rsid w:val="003E48C0"/>
    <w:rsid w:val="003E771E"/>
    <w:rsid w:val="003E7B95"/>
    <w:rsid w:val="003F0E02"/>
    <w:rsid w:val="003F672D"/>
    <w:rsid w:val="003F7195"/>
    <w:rsid w:val="003F79C7"/>
    <w:rsid w:val="00400519"/>
    <w:rsid w:val="00402349"/>
    <w:rsid w:val="00403003"/>
    <w:rsid w:val="0040324D"/>
    <w:rsid w:val="004051E5"/>
    <w:rsid w:val="004057CB"/>
    <w:rsid w:val="004106A9"/>
    <w:rsid w:val="0041149C"/>
    <w:rsid w:val="0042499C"/>
    <w:rsid w:val="0043075F"/>
    <w:rsid w:val="004325CB"/>
    <w:rsid w:val="00435A00"/>
    <w:rsid w:val="00435CB5"/>
    <w:rsid w:val="00441892"/>
    <w:rsid w:val="004437F0"/>
    <w:rsid w:val="0044453D"/>
    <w:rsid w:val="00456282"/>
    <w:rsid w:val="00467F6E"/>
    <w:rsid w:val="00474F08"/>
    <w:rsid w:val="0048048F"/>
    <w:rsid w:val="004833C1"/>
    <w:rsid w:val="00494687"/>
    <w:rsid w:val="00494B52"/>
    <w:rsid w:val="004A0E95"/>
    <w:rsid w:val="004A66D1"/>
    <w:rsid w:val="004B00A2"/>
    <w:rsid w:val="004B2819"/>
    <w:rsid w:val="004B7E6A"/>
    <w:rsid w:val="004D1EE0"/>
    <w:rsid w:val="004D326F"/>
    <w:rsid w:val="004D3B57"/>
    <w:rsid w:val="004E0309"/>
    <w:rsid w:val="004E46AA"/>
    <w:rsid w:val="004E789C"/>
    <w:rsid w:val="004E7CA4"/>
    <w:rsid w:val="004F2752"/>
    <w:rsid w:val="004F2BFE"/>
    <w:rsid w:val="004F7384"/>
    <w:rsid w:val="005037BC"/>
    <w:rsid w:val="0050428E"/>
    <w:rsid w:val="00504F3C"/>
    <w:rsid w:val="005107EE"/>
    <w:rsid w:val="005256F2"/>
    <w:rsid w:val="00534A47"/>
    <w:rsid w:val="00534EEF"/>
    <w:rsid w:val="00535489"/>
    <w:rsid w:val="005356D5"/>
    <w:rsid w:val="0054050C"/>
    <w:rsid w:val="00541B12"/>
    <w:rsid w:val="00543316"/>
    <w:rsid w:val="00544C1C"/>
    <w:rsid w:val="00544CEE"/>
    <w:rsid w:val="00547A40"/>
    <w:rsid w:val="00550513"/>
    <w:rsid w:val="00551790"/>
    <w:rsid w:val="00554808"/>
    <w:rsid w:val="0055742A"/>
    <w:rsid w:val="00562487"/>
    <w:rsid w:val="005766FD"/>
    <w:rsid w:val="0057705E"/>
    <w:rsid w:val="005810D8"/>
    <w:rsid w:val="00586F0D"/>
    <w:rsid w:val="0059381E"/>
    <w:rsid w:val="00595FEA"/>
    <w:rsid w:val="005A1CEA"/>
    <w:rsid w:val="005A628E"/>
    <w:rsid w:val="005B1A3A"/>
    <w:rsid w:val="005C40AC"/>
    <w:rsid w:val="005D5358"/>
    <w:rsid w:val="005D7980"/>
    <w:rsid w:val="005E6FC3"/>
    <w:rsid w:val="005F6178"/>
    <w:rsid w:val="00602BD1"/>
    <w:rsid w:val="00604136"/>
    <w:rsid w:val="00605399"/>
    <w:rsid w:val="00613A8D"/>
    <w:rsid w:val="00613FD5"/>
    <w:rsid w:val="00627AD7"/>
    <w:rsid w:val="00635BBE"/>
    <w:rsid w:val="00637E00"/>
    <w:rsid w:val="006457F8"/>
    <w:rsid w:val="00650CAC"/>
    <w:rsid w:val="00661A40"/>
    <w:rsid w:val="00663160"/>
    <w:rsid w:val="00674C80"/>
    <w:rsid w:val="00676295"/>
    <w:rsid w:val="0068769D"/>
    <w:rsid w:val="006949E6"/>
    <w:rsid w:val="006A2170"/>
    <w:rsid w:val="006B5626"/>
    <w:rsid w:val="006D083A"/>
    <w:rsid w:val="006D1151"/>
    <w:rsid w:val="006D20B4"/>
    <w:rsid w:val="006D657D"/>
    <w:rsid w:val="0071249E"/>
    <w:rsid w:val="0071302A"/>
    <w:rsid w:val="00727B89"/>
    <w:rsid w:val="00733B28"/>
    <w:rsid w:val="0073434A"/>
    <w:rsid w:val="00736DDA"/>
    <w:rsid w:val="00744A83"/>
    <w:rsid w:val="00751330"/>
    <w:rsid w:val="00784BBC"/>
    <w:rsid w:val="00785695"/>
    <w:rsid w:val="0079139C"/>
    <w:rsid w:val="00791AA1"/>
    <w:rsid w:val="00792F0D"/>
    <w:rsid w:val="00796BF4"/>
    <w:rsid w:val="007A0154"/>
    <w:rsid w:val="007A58A5"/>
    <w:rsid w:val="007C6891"/>
    <w:rsid w:val="007C7CF0"/>
    <w:rsid w:val="007D041A"/>
    <w:rsid w:val="007E2FE4"/>
    <w:rsid w:val="007E6445"/>
    <w:rsid w:val="007F0065"/>
    <w:rsid w:val="007F6FAF"/>
    <w:rsid w:val="00805B06"/>
    <w:rsid w:val="008109A3"/>
    <w:rsid w:val="00816F75"/>
    <w:rsid w:val="00817F86"/>
    <w:rsid w:val="00842E4A"/>
    <w:rsid w:val="00845762"/>
    <w:rsid w:val="0084586C"/>
    <w:rsid w:val="00862646"/>
    <w:rsid w:val="00863057"/>
    <w:rsid w:val="008854A3"/>
    <w:rsid w:val="00886FB0"/>
    <w:rsid w:val="00894B82"/>
    <w:rsid w:val="008967D1"/>
    <w:rsid w:val="008A1B85"/>
    <w:rsid w:val="008A1BF7"/>
    <w:rsid w:val="008A2DC3"/>
    <w:rsid w:val="008C79A6"/>
    <w:rsid w:val="008D2F78"/>
    <w:rsid w:val="008D3146"/>
    <w:rsid w:val="008D46F0"/>
    <w:rsid w:val="008E12E0"/>
    <w:rsid w:val="008E21B6"/>
    <w:rsid w:val="008F2A5E"/>
    <w:rsid w:val="008F3413"/>
    <w:rsid w:val="00906CE6"/>
    <w:rsid w:val="00911BF5"/>
    <w:rsid w:val="00941139"/>
    <w:rsid w:val="00941785"/>
    <w:rsid w:val="00941D29"/>
    <w:rsid w:val="009422FE"/>
    <w:rsid w:val="00943878"/>
    <w:rsid w:val="00955487"/>
    <w:rsid w:val="00965EDA"/>
    <w:rsid w:val="00967705"/>
    <w:rsid w:val="00967C26"/>
    <w:rsid w:val="009741F3"/>
    <w:rsid w:val="009A5450"/>
    <w:rsid w:val="009B01B5"/>
    <w:rsid w:val="009B2E75"/>
    <w:rsid w:val="009B53D3"/>
    <w:rsid w:val="009C7E46"/>
    <w:rsid w:val="009D2B10"/>
    <w:rsid w:val="009D2F7D"/>
    <w:rsid w:val="009D3272"/>
    <w:rsid w:val="009E6077"/>
    <w:rsid w:val="00A0753B"/>
    <w:rsid w:val="00A32DEA"/>
    <w:rsid w:val="00A3734E"/>
    <w:rsid w:val="00A43A58"/>
    <w:rsid w:val="00A452F2"/>
    <w:rsid w:val="00A457F7"/>
    <w:rsid w:val="00A474D0"/>
    <w:rsid w:val="00A50C8E"/>
    <w:rsid w:val="00A55D10"/>
    <w:rsid w:val="00A64065"/>
    <w:rsid w:val="00A65354"/>
    <w:rsid w:val="00A6681A"/>
    <w:rsid w:val="00A841C5"/>
    <w:rsid w:val="00A86061"/>
    <w:rsid w:val="00A8671E"/>
    <w:rsid w:val="00A870CC"/>
    <w:rsid w:val="00A956E2"/>
    <w:rsid w:val="00AA0896"/>
    <w:rsid w:val="00AA6CEC"/>
    <w:rsid w:val="00AB3F67"/>
    <w:rsid w:val="00AC1F99"/>
    <w:rsid w:val="00AC25F5"/>
    <w:rsid w:val="00AD2AA9"/>
    <w:rsid w:val="00AD5600"/>
    <w:rsid w:val="00AE4A15"/>
    <w:rsid w:val="00AE586E"/>
    <w:rsid w:val="00AF3D65"/>
    <w:rsid w:val="00AF586A"/>
    <w:rsid w:val="00B00000"/>
    <w:rsid w:val="00B05358"/>
    <w:rsid w:val="00B05F06"/>
    <w:rsid w:val="00B073B6"/>
    <w:rsid w:val="00B20365"/>
    <w:rsid w:val="00B25FC2"/>
    <w:rsid w:val="00B27CEE"/>
    <w:rsid w:val="00B35A5F"/>
    <w:rsid w:val="00B419EC"/>
    <w:rsid w:val="00B46924"/>
    <w:rsid w:val="00B525CC"/>
    <w:rsid w:val="00B53342"/>
    <w:rsid w:val="00B63F17"/>
    <w:rsid w:val="00B664F7"/>
    <w:rsid w:val="00B73E7F"/>
    <w:rsid w:val="00B75ADB"/>
    <w:rsid w:val="00B92B50"/>
    <w:rsid w:val="00B97B86"/>
    <w:rsid w:val="00BA038F"/>
    <w:rsid w:val="00BB261A"/>
    <w:rsid w:val="00BB65AF"/>
    <w:rsid w:val="00C058E3"/>
    <w:rsid w:val="00C0603B"/>
    <w:rsid w:val="00C16380"/>
    <w:rsid w:val="00C20C71"/>
    <w:rsid w:val="00C23265"/>
    <w:rsid w:val="00C27796"/>
    <w:rsid w:val="00C30120"/>
    <w:rsid w:val="00C31676"/>
    <w:rsid w:val="00C46039"/>
    <w:rsid w:val="00C47B42"/>
    <w:rsid w:val="00C63EB0"/>
    <w:rsid w:val="00C64482"/>
    <w:rsid w:val="00C66D3F"/>
    <w:rsid w:val="00C702F9"/>
    <w:rsid w:val="00C8387F"/>
    <w:rsid w:val="00C931BF"/>
    <w:rsid w:val="00C942FB"/>
    <w:rsid w:val="00C94472"/>
    <w:rsid w:val="00C951DE"/>
    <w:rsid w:val="00CA7EE7"/>
    <w:rsid w:val="00CB5ECD"/>
    <w:rsid w:val="00CC1D8F"/>
    <w:rsid w:val="00CC39AF"/>
    <w:rsid w:val="00CD0C2E"/>
    <w:rsid w:val="00CD48B1"/>
    <w:rsid w:val="00CD7BFD"/>
    <w:rsid w:val="00CF0976"/>
    <w:rsid w:val="00CF1D64"/>
    <w:rsid w:val="00CF2FBA"/>
    <w:rsid w:val="00D17044"/>
    <w:rsid w:val="00D22AC4"/>
    <w:rsid w:val="00D25B60"/>
    <w:rsid w:val="00D34641"/>
    <w:rsid w:val="00D420EE"/>
    <w:rsid w:val="00D5508C"/>
    <w:rsid w:val="00D5516B"/>
    <w:rsid w:val="00D559F1"/>
    <w:rsid w:val="00D63B2C"/>
    <w:rsid w:val="00D643C0"/>
    <w:rsid w:val="00D8537A"/>
    <w:rsid w:val="00D90E99"/>
    <w:rsid w:val="00D9171D"/>
    <w:rsid w:val="00D951B4"/>
    <w:rsid w:val="00D9630A"/>
    <w:rsid w:val="00DA1946"/>
    <w:rsid w:val="00DA3629"/>
    <w:rsid w:val="00DA36A6"/>
    <w:rsid w:val="00DA4F2F"/>
    <w:rsid w:val="00DA549F"/>
    <w:rsid w:val="00DA567E"/>
    <w:rsid w:val="00DA79EF"/>
    <w:rsid w:val="00DC49F2"/>
    <w:rsid w:val="00DC6729"/>
    <w:rsid w:val="00DE3742"/>
    <w:rsid w:val="00E02601"/>
    <w:rsid w:val="00E034AB"/>
    <w:rsid w:val="00E15370"/>
    <w:rsid w:val="00E22E13"/>
    <w:rsid w:val="00E24F57"/>
    <w:rsid w:val="00E31D52"/>
    <w:rsid w:val="00E346B5"/>
    <w:rsid w:val="00E371DF"/>
    <w:rsid w:val="00E37FB0"/>
    <w:rsid w:val="00E423FA"/>
    <w:rsid w:val="00E42404"/>
    <w:rsid w:val="00E44E6A"/>
    <w:rsid w:val="00E47617"/>
    <w:rsid w:val="00E532B2"/>
    <w:rsid w:val="00E65205"/>
    <w:rsid w:val="00E83C6F"/>
    <w:rsid w:val="00E85441"/>
    <w:rsid w:val="00EB1A25"/>
    <w:rsid w:val="00EC6598"/>
    <w:rsid w:val="00ED2072"/>
    <w:rsid w:val="00ED20AB"/>
    <w:rsid w:val="00EE7446"/>
    <w:rsid w:val="00EF0F81"/>
    <w:rsid w:val="00F01289"/>
    <w:rsid w:val="00F042CE"/>
    <w:rsid w:val="00F1327C"/>
    <w:rsid w:val="00F16459"/>
    <w:rsid w:val="00F2407E"/>
    <w:rsid w:val="00F31E04"/>
    <w:rsid w:val="00F34153"/>
    <w:rsid w:val="00F35E72"/>
    <w:rsid w:val="00F41DEE"/>
    <w:rsid w:val="00F45ADC"/>
    <w:rsid w:val="00F513C7"/>
    <w:rsid w:val="00F56965"/>
    <w:rsid w:val="00F57A3B"/>
    <w:rsid w:val="00F62595"/>
    <w:rsid w:val="00F64283"/>
    <w:rsid w:val="00F72369"/>
    <w:rsid w:val="00F724BE"/>
    <w:rsid w:val="00F8229B"/>
    <w:rsid w:val="00F91025"/>
    <w:rsid w:val="00F92089"/>
    <w:rsid w:val="00F9319C"/>
    <w:rsid w:val="00F94BB7"/>
    <w:rsid w:val="00F95C31"/>
    <w:rsid w:val="00F97D36"/>
    <w:rsid w:val="00F97E05"/>
    <w:rsid w:val="00FA1040"/>
    <w:rsid w:val="00FB430D"/>
    <w:rsid w:val="00FB4F32"/>
    <w:rsid w:val="00FB55B0"/>
    <w:rsid w:val="00FD31C5"/>
    <w:rsid w:val="00FE001D"/>
    <w:rsid w:val="00FE03FC"/>
    <w:rsid w:val="00FE4E2F"/>
    <w:rsid w:val="00FF776C"/>
    <w:rsid w:val="0254332D"/>
    <w:rsid w:val="070D458A"/>
    <w:rsid w:val="0CD9F486"/>
    <w:rsid w:val="0E5C82D0"/>
    <w:rsid w:val="1105C238"/>
    <w:rsid w:val="14980667"/>
    <w:rsid w:val="16CC1A05"/>
    <w:rsid w:val="177E65A0"/>
    <w:rsid w:val="181BF325"/>
    <w:rsid w:val="1879BD85"/>
    <w:rsid w:val="1A972725"/>
    <w:rsid w:val="1AA75A2D"/>
    <w:rsid w:val="1AE4C0AC"/>
    <w:rsid w:val="1E1C08F9"/>
    <w:rsid w:val="263EBC77"/>
    <w:rsid w:val="2898FA05"/>
    <w:rsid w:val="28D664EA"/>
    <w:rsid w:val="2BAD3DFF"/>
    <w:rsid w:val="2EDEE37E"/>
    <w:rsid w:val="2EE4BEAD"/>
    <w:rsid w:val="2F395217"/>
    <w:rsid w:val="3057679B"/>
    <w:rsid w:val="31E0519F"/>
    <w:rsid w:val="36A56A3C"/>
    <w:rsid w:val="3ACE10D6"/>
    <w:rsid w:val="3C725328"/>
    <w:rsid w:val="3F2B7A49"/>
    <w:rsid w:val="403264F4"/>
    <w:rsid w:val="40D9DC5E"/>
    <w:rsid w:val="40EE81CA"/>
    <w:rsid w:val="416E6666"/>
    <w:rsid w:val="44090CF2"/>
    <w:rsid w:val="4C4D29B0"/>
    <w:rsid w:val="4DCFC077"/>
    <w:rsid w:val="51A9DF94"/>
    <w:rsid w:val="60158A21"/>
    <w:rsid w:val="602E2A08"/>
    <w:rsid w:val="61B90828"/>
    <w:rsid w:val="62B17123"/>
    <w:rsid w:val="6510FDC1"/>
    <w:rsid w:val="671CB56F"/>
    <w:rsid w:val="68E31096"/>
    <w:rsid w:val="6A0AF043"/>
    <w:rsid w:val="6B38409E"/>
    <w:rsid w:val="6BBEB997"/>
    <w:rsid w:val="6EF59461"/>
    <w:rsid w:val="6FFB7340"/>
    <w:rsid w:val="704C2B2F"/>
    <w:rsid w:val="70BF4747"/>
    <w:rsid w:val="713AFFDC"/>
    <w:rsid w:val="73BE2138"/>
    <w:rsid w:val="746207FF"/>
    <w:rsid w:val="75D34342"/>
    <w:rsid w:val="75E24F3E"/>
    <w:rsid w:val="7752F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1C966EE8-1CCF-4A3F-BB6F-885804B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 w:type="numbering" w:customStyle="1" w:styleId="CurrentList1">
    <w:name w:val="Current List1"/>
    <w:uiPriority w:val="99"/>
    <w:rsid w:val="00586F0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297219878">
          <w:marLeft w:val="0"/>
          <w:marRight w:val="0"/>
          <w:marTop w:val="0"/>
          <w:marBottom w:val="0"/>
          <w:divBdr>
            <w:top w:val="none" w:sz="0" w:space="0" w:color="auto"/>
            <w:left w:val="none" w:sz="0" w:space="0" w:color="auto"/>
            <w:bottom w:val="none" w:sz="0" w:space="0" w:color="auto"/>
            <w:right w:val="none" w:sz="0" w:space="0" w:color="auto"/>
          </w:divBdr>
        </w:div>
        <w:div w:id="1306276449">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208832491">
          <w:marLeft w:val="0"/>
          <w:marRight w:val="0"/>
          <w:marTop w:val="0"/>
          <w:marBottom w:val="0"/>
          <w:divBdr>
            <w:top w:val="none" w:sz="0" w:space="0" w:color="auto"/>
            <w:left w:val="none" w:sz="0" w:space="0" w:color="auto"/>
            <w:bottom w:val="none" w:sz="0" w:space="0" w:color="auto"/>
            <w:right w:val="none" w:sz="0" w:space="0" w:color="auto"/>
          </w:divBdr>
        </w:div>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120197864">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652216478">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767187174">
          <w:marLeft w:val="0"/>
          <w:marRight w:val="0"/>
          <w:marTop w:val="0"/>
          <w:marBottom w:val="0"/>
          <w:divBdr>
            <w:top w:val="none" w:sz="0" w:space="0" w:color="auto"/>
            <w:left w:val="none" w:sz="0" w:space="0" w:color="auto"/>
            <w:bottom w:val="none" w:sz="0" w:space="0" w:color="auto"/>
            <w:right w:val="none" w:sz="0" w:space="0" w:color="auto"/>
          </w:divBdr>
        </w:div>
        <w:div w:id="1813280929">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Metadata/LabelInfo.xml><?xml version="1.0" encoding="utf-8"?>
<clbl:labelList xmlns:clbl="http://schemas.microsoft.com/office/2020/mipLabelMetadata">
  <clbl:label id="{affae6bc-58b0-4014-9462-ca5f0bff040e}" enabled="0" method="" siteId="{affae6bc-58b0-4014-9462-ca5f0bff040e}" removed="1"/>
</clbl:labelList>
</file>

<file path=docProps/app.xml><?xml version="1.0" encoding="utf-8"?>
<Properties xmlns="http://schemas.openxmlformats.org/officeDocument/2006/extended-properties" xmlns:vt="http://schemas.openxmlformats.org/officeDocument/2006/docPropsVTypes">
  <Template>Normal</Template>
  <TotalTime>1013</TotalTime>
  <Pages>11</Pages>
  <Words>4782</Words>
  <Characters>27261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To Thien Bao</cp:lastModifiedBy>
  <cp:revision>231</cp:revision>
  <cp:lastPrinted>2025-07-31T03:42:00Z</cp:lastPrinted>
  <dcterms:created xsi:type="dcterms:W3CDTF">2024-06-05T07:28:00Z</dcterms:created>
  <dcterms:modified xsi:type="dcterms:W3CDTF">2025-09-24T05:00:00Z</dcterms:modified>
</cp:coreProperties>
</file>