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28A9" w14:textId="77777777" w:rsidR="00780040" w:rsidRPr="00780040" w:rsidRDefault="00780040" w:rsidP="00780040">
      <w:pPr>
        <w:jc w:val="center"/>
        <w:rPr>
          <w:b/>
          <w:bCs/>
          <w:sz w:val="32"/>
          <w:szCs w:val="32"/>
          <w:lang w:val="de-DE"/>
        </w:rPr>
      </w:pPr>
      <w:r w:rsidRPr="00780040">
        <w:rPr>
          <w:b/>
          <w:bCs/>
          <w:sz w:val="32"/>
          <w:szCs w:val="32"/>
        </w:rPr>
        <w:t>PHIẾ</w:t>
      </w:r>
      <w:r w:rsidRPr="00780040">
        <w:rPr>
          <w:b/>
          <w:bCs/>
          <w:sz w:val="32"/>
          <w:szCs w:val="32"/>
          <w:lang w:val="de-DE"/>
        </w:rPr>
        <w:t>U TRẢ LỜI PHẢN BIỆN</w:t>
      </w:r>
    </w:p>
    <w:p w14:paraId="12CAB897" w14:textId="683DDBD0" w:rsidR="00780040" w:rsidRPr="00780040" w:rsidRDefault="00780040" w:rsidP="00780040">
      <w:pPr>
        <w:jc w:val="both"/>
        <w:rPr>
          <w:b/>
        </w:rPr>
      </w:pPr>
      <w:r w:rsidRPr="00780040">
        <w:rPr>
          <w:b/>
          <w:bCs/>
        </w:rPr>
        <w:t xml:space="preserve">      T</w:t>
      </w:r>
      <w:r w:rsidRPr="00780040">
        <w:rPr>
          <w:b/>
          <w:bCs/>
          <w:lang w:val="fr-FR"/>
        </w:rPr>
        <w:t>ê</w:t>
      </w:r>
      <w:r w:rsidRPr="00780040">
        <w:rPr>
          <w:b/>
          <w:bCs/>
        </w:rPr>
        <w:t>n b</w:t>
      </w:r>
      <w:r w:rsidRPr="00780040">
        <w:rPr>
          <w:b/>
          <w:bCs/>
          <w:lang w:val="fr-FR"/>
        </w:rPr>
        <w:t>à</w:t>
      </w:r>
      <w:r w:rsidRPr="00780040">
        <w:rPr>
          <w:b/>
          <w:bCs/>
        </w:rPr>
        <w:t>i báo</w:t>
      </w:r>
      <w:r w:rsidRPr="00780040">
        <w:t xml:space="preserve">: </w:t>
      </w:r>
      <w:r w:rsidRPr="00780040">
        <w:rPr>
          <w:b/>
          <w:bCs/>
        </w:rPr>
        <w:t xml:space="preserve">Giải pháp nâng cao chất lượng huấn luyện kỹ thuật bắn súng tiểu liên </w:t>
      </w:r>
      <w:r>
        <w:rPr>
          <w:b/>
          <w:bCs/>
        </w:rPr>
        <w:t>AK</w:t>
      </w:r>
      <w:r w:rsidRPr="00780040">
        <w:rPr>
          <w:b/>
          <w:bCs/>
        </w:rPr>
        <w:t xml:space="preserve"> cho sinh viên tại Trung tâm Giáo dục quốc phòng và an ninh Trường Đại học Quy Nhơn</w:t>
      </w:r>
    </w:p>
    <w:p w14:paraId="06184729" w14:textId="3549BDF5" w:rsidR="00780040" w:rsidRPr="00780040" w:rsidRDefault="00780040" w:rsidP="00780040">
      <w:pPr>
        <w:rPr>
          <w:lang w:val="vi-VN"/>
        </w:rPr>
      </w:pPr>
      <w:r w:rsidRPr="00780040">
        <w:rPr>
          <w:b/>
        </w:rPr>
        <w:t xml:space="preserve">Tác giả liên hệ: </w:t>
      </w:r>
      <w:r>
        <w:rPr>
          <w:b/>
        </w:rPr>
        <w:t>ThS</w:t>
      </w:r>
      <w:r>
        <w:rPr>
          <w:b/>
          <w:lang w:val="vi-VN"/>
        </w:rPr>
        <w:t xml:space="preserve"> Nguyễn Thanh Ngọc</w:t>
      </w:r>
    </w:p>
    <w:p w14:paraId="6C6E9C40" w14:textId="58693803" w:rsidR="00780040" w:rsidRPr="00780040" w:rsidRDefault="00780040" w:rsidP="00780040">
      <w:pPr>
        <w:rPr>
          <w:b/>
        </w:rPr>
      </w:pPr>
      <w:r w:rsidRPr="00780040">
        <w:rPr>
          <w:b/>
        </w:rPr>
        <w:t>Đơn vị công tác:</w:t>
      </w:r>
      <w:r w:rsidRPr="00780040">
        <w:t xml:space="preserve"> </w:t>
      </w:r>
      <w:r w:rsidRPr="00780040">
        <w:rPr>
          <w:b/>
          <w:bCs/>
        </w:rPr>
        <w:t>Trung</w:t>
      </w:r>
      <w:r w:rsidRPr="00780040">
        <w:rPr>
          <w:b/>
          <w:bCs/>
          <w:lang w:val="vi-VN"/>
        </w:rPr>
        <w:t xml:space="preserve"> tâm GDQPAN</w:t>
      </w:r>
      <w:r>
        <w:rPr>
          <w:lang w:val="vi-VN"/>
        </w:rPr>
        <w:t xml:space="preserve"> </w:t>
      </w:r>
      <w:r w:rsidRPr="00780040">
        <w:rPr>
          <w:b/>
        </w:rPr>
        <w:t>Trường Đại học Quy Nhơn</w:t>
      </w:r>
    </w:p>
    <w:p w14:paraId="6A6D3178" w14:textId="0600E09A" w:rsidR="00780040" w:rsidRPr="00780040" w:rsidRDefault="00780040" w:rsidP="00780040">
      <w:r w:rsidRPr="00780040">
        <w:rPr>
          <w:b/>
        </w:rPr>
        <w:t xml:space="preserve">Email: </w:t>
      </w:r>
      <w:r>
        <w:rPr>
          <w:b/>
        </w:rPr>
        <w:t>nguyenthanhngoc</w:t>
      </w:r>
      <w:r w:rsidRPr="00780040">
        <w:rPr>
          <w:b/>
        </w:rPr>
        <w:t>@qnu.edu.vn</w:t>
      </w:r>
      <w:r w:rsidRPr="00780040">
        <w:tab/>
        <w:t xml:space="preserve">                  </w:t>
      </w:r>
      <w:r w:rsidRPr="00780040">
        <w:rPr>
          <w:b/>
        </w:rPr>
        <w:t>Điện thoại:</w:t>
      </w:r>
      <w:r w:rsidRPr="00780040">
        <w:t xml:space="preserve"> </w:t>
      </w:r>
      <w:r>
        <w:rPr>
          <w:b/>
        </w:rPr>
        <w:t>0911288226</w:t>
      </w:r>
    </w:p>
    <w:p w14:paraId="45F6C110" w14:textId="77777777" w:rsidR="00780040" w:rsidRPr="00780040" w:rsidRDefault="00780040" w:rsidP="00780040">
      <w:pPr>
        <w:jc w:val="center"/>
        <w:rPr>
          <w:b/>
          <w:bCs/>
          <w:lang w:val="de-DE"/>
        </w:rPr>
      </w:pPr>
      <w:r w:rsidRPr="00780040">
        <w:rPr>
          <w:b/>
          <w:bCs/>
        </w:rPr>
        <w:t>NỘ</w:t>
      </w:r>
      <w:r w:rsidRPr="00780040">
        <w:rPr>
          <w:b/>
          <w:bCs/>
          <w:lang w:val="de-DE"/>
        </w:rPr>
        <w:t>I DUNG TRẢ LỜI TẠP CHÍ VÀ PHẢN BIỆN</w:t>
      </w:r>
    </w:p>
    <w:p w14:paraId="4EB433C9" w14:textId="77777777" w:rsidR="00780040" w:rsidRPr="00780040" w:rsidRDefault="00780040" w:rsidP="00780040">
      <w:pPr>
        <w:rPr>
          <w:b/>
          <w:bCs/>
        </w:rPr>
      </w:pPr>
      <w:r w:rsidRPr="00780040">
        <w:rPr>
          <w:b/>
          <w:bCs/>
        </w:rPr>
        <w:t>1. Những nội dung trả lời phản biện</w:t>
      </w:r>
    </w:p>
    <w:tbl>
      <w:tblPr>
        <w:tblStyle w:val="LiBang"/>
        <w:tblW w:w="5000" w:type="pct"/>
        <w:jc w:val="center"/>
        <w:tblLook w:val="04A0" w:firstRow="1" w:lastRow="0" w:firstColumn="1" w:lastColumn="0" w:noHBand="0" w:noVBand="1"/>
      </w:tblPr>
      <w:tblGrid>
        <w:gridCol w:w="918"/>
        <w:gridCol w:w="2056"/>
        <w:gridCol w:w="6371"/>
      </w:tblGrid>
      <w:tr w:rsidR="002E0F0C" w:rsidRPr="00780040" w14:paraId="46F7D853" w14:textId="77777777" w:rsidTr="00E111A5">
        <w:trPr>
          <w:jc w:val="center"/>
        </w:trPr>
        <w:tc>
          <w:tcPr>
            <w:tcW w:w="491" w:type="pct"/>
            <w:shd w:val="clear" w:color="auto" w:fill="FFFF00"/>
            <w:vAlign w:val="center"/>
          </w:tcPr>
          <w:p w14:paraId="723388FF" w14:textId="77777777" w:rsidR="00780040" w:rsidRPr="00780040" w:rsidRDefault="00780040" w:rsidP="00CA2C36">
            <w:pPr>
              <w:spacing w:before="120" w:after="120"/>
              <w:jc w:val="center"/>
              <w:rPr>
                <w:b/>
                <w:bCs/>
                <w:sz w:val="24"/>
              </w:rPr>
            </w:pPr>
            <w:r w:rsidRPr="00780040">
              <w:rPr>
                <w:b/>
                <w:bCs/>
                <w:sz w:val="24"/>
              </w:rPr>
              <w:t>Các phản biện</w:t>
            </w:r>
          </w:p>
        </w:tc>
        <w:tc>
          <w:tcPr>
            <w:tcW w:w="1100" w:type="pct"/>
            <w:shd w:val="clear" w:color="auto" w:fill="FFFF00"/>
            <w:vAlign w:val="center"/>
          </w:tcPr>
          <w:p w14:paraId="3E1B9CD1" w14:textId="77777777" w:rsidR="00780040" w:rsidRPr="00780040" w:rsidRDefault="00780040" w:rsidP="00CA2C36">
            <w:pPr>
              <w:spacing w:before="120" w:after="120"/>
              <w:jc w:val="center"/>
              <w:rPr>
                <w:b/>
                <w:bCs/>
                <w:sz w:val="24"/>
              </w:rPr>
            </w:pPr>
            <w:r w:rsidRPr="00780040">
              <w:rPr>
                <w:b/>
                <w:bCs/>
                <w:sz w:val="24"/>
              </w:rPr>
              <w:t>Bình luận của phản biện</w:t>
            </w:r>
          </w:p>
          <w:p w14:paraId="445BD345" w14:textId="77777777" w:rsidR="00780040" w:rsidRPr="00780040" w:rsidRDefault="00780040" w:rsidP="00CA2C36">
            <w:pPr>
              <w:spacing w:before="120" w:after="120"/>
              <w:jc w:val="center"/>
              <w:rPr>
                <w:bCs/>
                <w:i/>
                <w:sz w:val="24"/>
              </w:rPr>
            </w:pPr>
            <w:r w:rsidRPr="00780040">
              <w:rPr>
                <w:bCs/>
                <w:i/>
                <w:sz w:val="24"/>
              </w:rPr>
              <w:t>(chỉ những bình luận cần trả lời, ý kiến cần đề xuất, đề nghị điều chỉnh)</w:t>
            </w:r>
          </w:p>
        </w:tc>
        <w:tc>
          <w:tcPr>
            <w:tcW w:w="3410" w:type="pct"/>
            <w:shd w:val="clear" w:color="auto" w:fill="FFFF00"/>
            <w:vAlign w:val="center"/>
          </w:tcPr>
          <w:p w14:paraId="11C4D3A3" w14:textId="77777777" w:rsidR="00780040" w:rsidRPr="00780040" w:rsidRDefault="00780040" w:rsidP="00CA2C36">
            <w:pPr>
              <w:spacing w:before="120" w:after="120"/>
              <w:jc w:val="center"/>
              <w:rPr>
                <w:b/>
                <w:sz w:val="24"/>
              </w:rPr>
            </w:pPr>
            <w:r w:rsidRPr="00780040">
              <w:rPr>
                <w:b/>
                <w:bCs/>
                <w:sz w:val="24"/>
              </w:rPr>
              <w:t>Trả lời của tác giả</w:t>
            </w:r>
          </w:p>
        </w:tc>
      </w:tr>
      <w:tr w:rsidR="002E0F0C" w:rsidRPr="00780040" w14:paraId="0C4765A5" w14:textId="77777777" w:rsidTr="00E111A5">
        <w:trPr>
          <w:jc w:val="center"/>
        </w:trPr>
        <w:tc>
          <w:tcPr>
            <w:tcW w:w="491" w:type="pct"/>
            <w:vAlign w:val="center"/>
          </w:tcPr>
          <w:p w14:paraId="2D32C644" w14:textId="77777777" w:rsidR="002E0F0C" w:rsidRPr="00780040" w:rsidRDefault="002E0F0C" w:rsidP="00CA2C36">
            <w:pPr>
              <w:spacing w:before="120" w:after="120"/>
              <w:rPr>
                <w:b/>
                <w:bCs/>
                <w:sz w:val="24"/>
              </w:rPr>
            </w:pPr>
            <w:r w:rsidRPr="00780040">
              <w:rPr>
                <w:b/>
                <w:bCs/>
                <w:sz w:val="24"/>
              </w:rPr>
              <w:t>Bình luận của phản biện</w:t>
            </w:r>
          </w:p>
        </w:tc>
        <w:tc>
          <w:tcPr>
            <w:tcW w:w="1100" w:type="pct"/>
          </w:tcPr>
          <w:p w14:paraId="365B9CA0" w14:textId="59F8C1BB" w:rsidR="002E0F0C" w:rsidRPr="00780040" w:rsidRDefault="002E0F0C" w:rsidP="00CA2C36">
            <w:pPr>
              <w:spacing w:before="120" w:after="120"/>
              <w:jc w:val="both"/>
              <w:rPr>
                <w:sz w:val="24"/>
                <w:lang w:val="vi-VN"/>
              </w:rPr>
            </w:pPr>
            <w:r w:rsidRPr="00780040">
              <w:rPr>
                <w:i/>
                <w:iCs/>
                <w:sz w:val="24"/>
              </w:rPr>
              <w:t>Bình luận 1</w:t>
            </w:r>
            <w:r w:rsidRPr="00780040">
              <w:rPr>
                <w:sz w:val="24"/>
              </w:rPr>
              <w:t xml:space="preserve">: </w:t>
            </w:r>
            <w:r w:rsidR="00791B6A" w:rsidRPr="00791B6A">
              <w:rPr>
                <w:sz w:val="24"/>
              </w:rPr>
              <w:t>Văn phong khoa học, rõ ràng, tuy nhiên còn một số đoạn hành văn mang tính mô tả, nên rút gọn và chuẩn hóa theo ngôn ngữ học thuật</w:t>
            </w:r>
          </w:p>
        </w:tc>
        <w:tc>
          <w:tcPr>
            <w:tcW w:w="3410" w:type="pct"/>
          </w:tcPr>
          <w:p w14:paraId="7C6D7FAF" w14:textId="31F1ED9D" w:rsidR="00791B6A" w:rsidRPr="00791B6A" w:rsidRDefault="002E0F0C" w:rsidP="00791B6A">
            <w:pPr>
              <w:spacing w:before="120" w:after="120"/>
              <w:jc w:val="both"/>
              <w:rPr>
                <w:iCs/>
                <w:sz w:val="24"/>
                <w:highlight w:val="yellow"/>
              </w:rPr>
            </w:pPr>
            <w:r w:rsidRPr="00780040">
              <w:rPr>
                <w:i/>
                <w:iCs/>
                <w:sz w:val="24"/>
              </w:rPr>
              <w:t xml:space="preserve">Trả lời bình luận 1: </w:t>
            </w:r>
            <w:r w:rsidRPr="00780040">
              <w:rPr>
                <w:iCs/>
                <w:sz w:val="24"/>
              </w:rPr>
              <w:t>Tác giả đã</w:t>
            </w:r>
            <w:r w:rsidRPr="002E0F0C">
              <w:rPr>
                <w:iCs/>
                <w:sz w:val="24"/>
                <w:lang w:val="vi-VN"/>
              </w:rPr>
              <w:t xml:space="preserve"> viết lại </w:t>
            </w:r>
            <w:r w:rsidR="00791B6A">
              <w:rPr>
                <w:iCs/>
                <w:sz w:val="24"/>
              </w:rPr>
              <w:t>một số đoạn văn theo hướng rút gọn và đã chuẩn hóa theo ngôn ngữ học thuật ở mục 2.2</w:t>
            </w:r>
            <w:r w:rsidRPr="002E0F0C">
              <w:rPr>
                <w:iCs/>
                <w:sz w:val="24"/>
                <w:lang w:val="vi-VN"/>
              </w:rPr>
              <w:t xml:space="preserve"> “</w:t>
            </w:r>
            <w:r w:rsidR="00791B6A" w:rsidRPr="00791B6A">
              <w:rPr>
                <w:iCs/>
                <w:sz w:val="24"/>
                <w:highlight w:val="yellow"/>
              </w:rPr>
              <w:t>Trong khuôn khổ học phần GDQPAN 4, mô-đun kỹ thuật bắn súng AK được thiết kế nhằm phát triển năng lực tổng hợp cho người học. </w:t>
            </w:r>
          </w:p>
          <w:p w14:paraId="0FC8501E" w14:textId="77777777" w:rsidR="00791B6A" w:rsidRPr="00791B6A" w:rsidRDefault="00791B6A" w:rsidP="00791B6A">
            <w:pPr>
              <w:spacing w:before="120" w:after="120"/>
              <w:jc w:val="both"/>
              <w:rPr>
                <w:iCs/>
                <w:sz w:val="24"/>
                <w:highlight w:val="yellow"/>
              </w:rPr>
            </w:pPr>
            <w:r w:rsidRPr="00791B6A">
              <w:rPr>
                <w:b/>
                <w:bCs/>
                <w:iCs/>
                <w:sz w:val="24"/>
                <w:highlight w:val="yellow"/>
              </w:rPr>
              <w:t>Về mục tiêu</w:t>
            </w:r>
            <w:r w:rsidRPr="00791B6A">
              <w:rPr>
                <w:iCs/>
                <w:sz w:val="24"/>
                <w:highlight w:val="yellow"/>
              </w:rPr>
              <w:t>, mô-đun hướng đến trang bị hệ thống tri thức lý thuyết nền tảng về nguyên lý vũ khí, lý thuyết bắn và quy tắc an toàn, đồng thời hình thành kỹ năng tâm vận động thuần thục trong việc thực hiện các yếu lĩnh động tác bắn cơ bản. </w:t>
            </w:r>
          </w:p>
          <w:p w14:paraId="12B645F9" w14:textId="77777777" w:rsidR="00791B6A" w:rsidRPr="00791B6A" w:rsidRDefault="00791B6A" w:rsidP="00791B6A">
            <w:pPr>
              <w:spacing w:before="120" w:after="120"/>
              <w:jc w:val="both"/>
              <w:rPr>
                <w:iCs/>
                <w:sz w:val="24"/>
                <w:highlight w:val="yellow"/>
              </w:rPr>
            </w:pPr>
            <w:r w:rsidRPr="00791B6A">
              <w:rPr>
                <w:b/>
                <w:bCs/>
                <w:iCs/>
                <w:sz w:val="24"/>
                <w:highlight w:val="yellow"/>
              </w:rPr>
              <w:t>Về nội dung</w:t>
            </w:r>
            <w:r w:rsidRPr="00791B6A">
              <w:rPr>
                <w:iCs/>
                <w:sz w:val="24"/>
                <w:highlight w:val="yellow"/>
              </w:rPr>
              <w:t>, chương trình được cấu trúc theo logic sư phạm, chuyển hóa từ tri thức lý thuyết sang kỹ năng thực hành thông qua một chuỗi các nhiệm vụ học tập có độ phức tạp tăng dần. </w:t>
            </w:r>
          </w:p>
          <w:p w14:paraId="75A72856" w14:textId="77777777" w:rsidR="00791B6A" w:rsidRPr="00791B6A" w:rsidRDefault="00791B6A" w:rsidP="00791B6A">
            <w:pPr>
              <w:spacing w:before="120" w:after="120"/>
              <w:jc w:val="both"/>
              <w:rPr>
                <w:iCs/>
                <w:sz w:val="24"/>
                <w:highlight w:val="yellow"/>
              </w:rPr>
            </w:pPr>
            <w:r w:rsidRPr="00791B6A">
              <w:rPr>
                <w:b/>
                <w:bCs/>
                <w:iCs/>
                <w:sz w:val="24"/>
                <w:highlight w:val="yellow"/>
              </w:rPr>
              <w:t>Về phương pháp</w:t>
            </w:r>
            <w:r w:rsidRPr="00791B6A">
              <w:rPr>
                <w:iCs/>
                <w:sz w:val="24"/>
                <w:highlight w:val="yellow"/>
              </w:rPr>
              <w:t>, giảng viên vận dụng tổ hợp các phương pháp dạy học tích cực như trực quan, làm mẫu, luyện tập phân chia và tổng hợp, kết hợp ứng dụng công nghệ mô phỏng của thiết bị MBT-03 để tối ưu hóa quá trình tiếp thu và cung cấp phản hồi tức thời. </w:t>
            </w:r>
          </w:p>
          <w:p w14:paraId="28C36501" w14:textId="77777777" w:rsidR="00791B6A" w:rsidRPr="00791B6A" w:rsidRDefault="00791B6A" w:rsidP="00791B6A">
            <w:pPr>
              <w:spacing w:before="120" w:after="120"/>
              <w:jc w:val="both"/>
              <w:rPr>
                <w:iCs/>
                <w:sz w:val="24"/>
                <w:highlight w:val="yellow"/>
              </w:rPr>
            </w:pPr>
            <w:r w:rsidRPr="00791B6A">
              <w:rPr>
                <w:b/>
                <w:bCs/>
                <w:iCs/>
                <w:sz w:val="24"/>
                <w:highlight w:val="yellow"/>
              </w:rPr>
              <w:t>Hình thức tổ chức</w:t>
            </w:r>
            <w:r w:rsidRPr="00791B6A">
              <w:rPr>
                <w:iCs/>
                <w:sz w:val="24"/>
                <w:highlight w:val="yellow"/>
              </w:rPr>
              <w:t> được đa dạng hóa từ lên lớp tập trung, luyện tập theo phân đội đến huấn luyện cá biệt hóa. </w:t>
            </w:r>
          </w:p>
          <w:p w14:paraId="00B16CB6" w14:textId="77777777" w:rsidR="002E0F0C" w:rsidRDefault="00791B6A" w:rsidP="00791B6A">
            <w:pPr>
              <w:spacing w:before="120" w:after="120"/>
              <w:jc w:val="both"/>
              <w:rPr>
                <w:iCs/>
                <w:sz w:val="24"/>
              </w:rPr>
            </w:pPr>
            <w:r w:rsidRPr="00791B6A">
              <w:rPr>
                <w:b/>
                <w:bCs/>
                <w:iCs/>
                <w:sz w:val="24"/>
                <w:highlight w:val="yellow"/>
              </w:rPr>
              <w:t>Hệ thống kiểm tra, đánh giá</w:t>
            </w:r>
            <w:r w:rsidRPr="00791B6A">
              <w:rPr>
                <w:iCs/>
                <w:sz w:val="24"/>
                <w:highlight w:val="yellow"/>
              </w:rPr>
              <w:t> tích hợp cả đánh giá quá trình và đánh giá tổng kết, sử dụng rubric làm công cụ đo lường khách quan các tiêu chí về an toàn, kỹ thuật động tác và hiệu quả bắn, dựa trên sự đối chứng giữa minh chứng quan sát và dữ liệu số hóa.</w:t>
            </w:r>
            <w:r w:rsidR="002E0F0C" w:rsidRPr="002E0F0C">
              <w:rPr>
                <w:iCs/>
                <w:sz w:val="24"/>
                <w:lang w:val="vi-VN"/>
              </w:rPr>
              <w:t>”</w:t>
            </w:r>
            <w:r w:rsidR="002E0F0C" w:rsidRPr="00780040">
              <w:rPr>
                <w:iCs/>
                <w:sz w:val="24"/>
              </w:rPr>
              <w:t xml:space="preserve"> </w:t>
            </w:r>
          </w:p>
          <w:p w14:paraId="53698692" w14:textId="77777777" w:rsidR="00791B6A" w:rsidRPr="00791B6A" w:rsidRDefault="00791B6A" w:rsidP="00791B6A">
            <w:pPr>
              <w:spacing w:before="120" w:after="120"/>
              <w:jc w:val="both"/>
              <w:rPr>
                <w:iCs/>
                <w:sz w:val="24"/>
                <w:highlight w:val="yellow"/>
              </w:rPr>
            </w:pPr>
            <w:r>
              <w:rPr>
                <w:iCs/>
                <w:sz w:val="24"/>
              </w:rPr>
              <w:lastRenderedPageBreak/>
              <w:t>Mục 4.1 Phân tích bảng 2 “</w:t>
            </w:r>
            <w:r w:rsidRPr="00791B6A">
              <w:rPr>
                <w:iCs/>
                <w:sz w:val="24"/>
                <w:highlight w:val="yellow"/>
              </w:rPr>
              <w:t>Phân tích dữ liệu tiền kiểm cho thấy mức độ khó khăn cảm nhận của người học ở cả nhóm thực nghiệm (M=3,65; SD=0,95) và nhóm đối chứng (M=3,62; SD=0,93) đều ở ngưỡng cao. Kiểm định t-test cho mẫu độc lập khẳng định sự khác biệt giữa hai nhóm là không có ý nghĩa thống kê (</w:t>
            </w:r>
            <w:proofErr w:type="gramStart"/>
            <w:r w:rsidRPr="00791B6A">
              <w:rPr>
                <w:iCs/>
                <w:sz w:val="24"/>
                <w:highlight w:val="yellow"/>
              </w:rPr>
              <w:t>t(598)=</w:t>
            </w:r>
            <w:proofErr w:type="gramEnd"/>
            <w:r w:rsidRPr="00791B6A">
              <w:rPr>
                <w:iCs/>
                <w:sz w:val="24"/>
                <w:highlight w:val="yellow"/>
              </w:rPr>
              <w:t>0,45; p=0,65), qua đó thiết lập một nền tảng tương đồng khách quan để đánh giá hiệu quả can thiệp về sau. Thang đo được sử dụng có độ tin cậy cao (Cronbach’s Alpha = 0,89), bảo đảm giá trị của các suy luận thống kê.</w:t>
            </w:r>
          </w:p>
          <w:p w14:paraId="315EF1DB" w14:textId="77777777" w:rsidR="00791B6A" w:rsidRDefault="00791B6A" w:rsidP="00791B6A">
            <w:pPr>
              <w:spacing w:before="120" w:after="120"/>
              <w:jc w:val="both"/>
              <w:rPr>
                <w:iCs/>
                <w:sz w:val="24"/>
              </w:rPr>
            </w:pPr>
            <w:r w:rsidRPr="00055438">
              <w:rPr>
                <w:iCs/>
                <w:sz w:val="24"/>
                <w:highlight w:val="yellow"/>
              </w:rPr>
              <w:t>Đáng chú ý, phân tích sâu hơn về nguyên nhân chỉ ra rằng khó khăn của người học chủ yếu xuất phát từ các yếu tố ngoại sinh—cụ thể là thời gian luyện tập không đủ (72%) và hạn chế về cơ sở vật chất (65%)—thay vì từ bản chất nội tại của nội dung học thuật. Phát hiện này không chỉ củng cố cơ sở thực chứng cho các hàm ý sư phạm đã được đề xuất mà còn nhấn mạnh sự cần thiết của việc tối ưu hóa điều kiện tổ chức và phương tiện dạy học nhằm nâng cao hiệu quả huấn luyện.</w:t>
            </w:r>
            <w:r>
              <w:rPr>
                <w:iCs/>
                <w:sz w:val="24"/>
              </w:rPr>
              <w:t>”</w:t>
            </w:r>
          </w:p>
          <w:p w14:paraId="1AFD79F6" w14:textId="77777777" w:rsidR="00791B6A" w:rsidRDefault="00791B6A" w:rsidP="00791B6A">
            <w:pPr>
              <w:spacing w:before="120" w:after="120"/>
              <w:jc w:val="both"/>
              <w:rPr>
                <w:iCs/>
                <w:sz w:val="24"/>
              </w:rPr>
            </w:pPr>
            <w:r>
              <w:rPr>
                <w:iCs/>
                <w:sz w:val="24"/>
              </w:rPr>
              <w:t>Mục 4.2.1 “</w:t>
            </w:r>
            <w:r w:rsidR="00A07BC2" w:rsidRPr="00A07BC2">
              <w:rPr>
                <w:iCs/>
                <w:sz w:val="24"/>
                <w:highlight w:val="yellow"/>
              </w:rPr>
              <w:t>Nhằm kiến tạo hứng thú thông qua việc tăng cường tương tác sư phạm, giải pháp huấn luyện cá biệt hóa được triển khai. Hoạt động này tập trung vào việc cung cấp phản hồi kiến tạo và hiệu chỉnh kỹ thuật cá nhân, dựa trên sự phân tích khoa học các dữ liệu khách quan từ thiết bị mô phỏng MBT-03 và minh chứng trực quan. Chương trình được thiết kế ưu tiên cho những người học có nhu cầu hỗ trợ đặc biệt, đồng thời tích hợp các bài tập bổ trợ nhằm củng cố năng lực thể chất nền tảng, qua đó giải quyết các rào cản học tập một cách có mục tiêu.</w:t>
            </w:r>
            <w:r>
              <w:rPr>
                <w:iCs/>
                <w:sz w:val="24"/>
              </w:rPr>
              <w:t>”</w:t>
            </w:r>
          </w:p>
          <w:p w14:paraId="21B08768" w14:textId="4DF97E4D" w:rsidR="00A07BC2" w:rsidRPr="00780040" w:rsidRDefault="00A07BC2" w:rsidP="00791B6A">
            <w:pPr>
              <w:spacing w:before="120" w:after="120"/>
              <w:jc w:val="both"/>
              <w:rPr>
                <w:iCs/>
                <w:sz w:val="24"/>
              </w:rPr>
            </w:pPr>
            <w:r>
              <w:rPr>
                <w:iCs/>
                <w:sz w:val="24"/>
              </w:rPr>
              <w:t>Mục 4.2.2. “</w:t>
            </w:r>
            <w:r w:rsidRPr="00A07BC2">
              <w:rPr>
                <w:iCs/>
                <w:sz w:val="24"/>
                <w:highlight w:val="yellow"/>
              </w:rPr>
              <w:t>Trong nhóm giải pháp cải tiến phương pháp giảng dạy và luyện tập, tổ chức bám sát điều kiện thực tế của Trung tâm: tối đa 05 MBT-03; nội dung AK 22 tiết bố trí 4 tiết/buổi, 2 buổi/ngày (8 tiết/ngày). Mỗi ngày 20 tổ (5 SV/tổ, ~100 SV) luân phiên qua các điểm tập; thiết bị được khai thác hiệu quả theo lịch luân phiên, thời gian chờ giảm, giảng viên sửa sai tức thời theo dữ liệu</w:t>
            </w:r>
            <w:r w:rsidRPr="00A07BC2">
              <w:rPr>
                <w:iCs/>
                <w:sz w:val="24"/>
                <w:highlight w:val="yellow"/>
                <w:lang w:val="vi-VN"/>
              </w:rPr>
              <w:t xml:space="preserve"> thiết bị</w:t>
            </w:r>
            <w:r w:rsidRPr="00A07BC2">
              <w:rPr>
                <w:iCs/>
                <w:sz w:val="24"/>
                <w:highlight w:val="yellow"/>
              </w:rPr>
              <w:t xml:space="preserve"> MBT-03, tiến dần từ luyện tập từng cử động, từng phân đoạn đến toàn bài. Cách bố trí này bảo đảm 300 SV nhóm thực nghiệm hoàn thành đủ 22 tiết đúng tiến độ, không quá tải thiết bị, đồng thời tạo nền cho triển khai hiệu quả các kỹ thuật dạy học tích cực.</w:t>
            </w:r>
            <w:r>
              <w:rPr>
                <w:iCs/>
                <w:sz w:val="24"/>
              </w:rPr>
              <w:t>”</w:t>
            </w:r>
          </w:p>
        </w:tc>
      </w:tr>
    </w:tbl>
    <w:p w14:paraId="3A186554" w14:textId="4D9103AB" w:rsidR="00780040" w:rsidRPr="00780040" w:rsidRDefault="00780040" w:rsidP="00A710ED">
      <w:pPr>
        <w:spacing w:before="120" w:after="120" w:line="240" w:lineRule="auto"/>
        <w:jc w:val="right"/>
        <w:rPr>
          <w:i/>
          <w:iCs/>
        </w:rPr>
      </w:pPr>
      <w:r w:rsidRPr="00780040">
        <w:rPr>
          <w:i/>
          <w:iCs/>
        </w:rPr>
        <w:lastRenderedPageBreak/>
        <w:t>Gia Lai, ng</w:t>
      </w:r>
      <w:r w:rsidRPr="00780040">
        <w:rPr>
          <w:i/>
          <w:iCs/>
          <w:lang w:val="fr-FR"/>
        </w:rPr>
        <w:t>à</w:t>
      </w:r>
      <w:r w:rsidRPr="00780040">
        <w:rPr>
          <w:i/>
          <w:iCs/>
        </w:rPr>
        <w:t xml:space="preserve">y </w:t>
      </w:r>
      <w:r w:rsidR="00E111A5">
        <w:rPr>
          <w:i/>
          <w:iCs/>
        </w:rPr>
        <w:t>21</w:t>
      </w:r>
      <w:r w:rsidRPr="00780040">
        <w:rPr>
          <w:i/>
          <w:iCs/>
        </w:rPr>
        <w:t xml:space="preserve"> tháng </w:t>
      </w:r>
      <w:r w:rsidR="004F35E3">
        <w:rPr>
          <w:i/>
          <w:iCs/>
        </w:rPr>
        <w:t>10</w:t>
      </w:r>
      <w:r w:rsidRPr="00780040">
        <w:rPr>
          <w:i/>
          <w:iCs/>
        </w:rPr>
        <w:t xml:space="preserve"> nă</w:t>
      </w:r>
      <w:r w:rsidRPr="00780040">
        <w:rPr>
          <w:i/>
          <w:iCs/>
          <w:lang w:val="pt-PT"/>
        </w:rPr>
        <w:t>m 2025</w:t>
      </w:r>
    </w:p>
    <w:p w14:paraId="54F41FEE" w14:textId="28699664" w:rsidR="00780040" w:rsidRPr="00780040" w:rsidRDefault="00780040" w:rsidP="00A710ED">
      <w:pPr>
        <w:spacing w:before="120" w:after="120" w:line="240" w:lineRule="auto"/>
        <w:rPr>
          <w:b/>
          <w:bCs/>
          <w:lang w:val="pt-PT"/>
        </w:rPr>
      </w:pPr>
      <w:r w:rsidRPr="00780040">
        <w:rPr>
          <w:b/>
          <w:bCs/>
        </w:rPr>
        <w:t xml:space="preserve">                                                                                       </w:t>
      </w:r>
      <w:r w:rsidR="00A710ED">
        <w:rPr>
          <w:b/>
          <w:bCs/>
          <w:lang w:val="vi-VN"/>
        </w:rPr>
        <w:t xml:space="preserve">    </w:t>
      </w:r>
      <w:r w:rsidRPr="00780040">
        <w:rPr>
          <w:b/>
          <w:bCs/>
        </w:rPr>
        <w:t xml:space="preserve"> Tác giả liên hệ</w:t>
      </w:r>
    </w:p>
    <w:p w14:paraId="3726A5F1" w14:textId="3479D430" w:rsidR="00F40F50" w:rsidRDefault="00780040" w:rsidP="00A710ED">
      <w:pPr>
        <w:spacing w:before="120" w:after="120" w:line="240" w:lineRule="auto"/>
      </w:pPr>
      <w:r w:rsidRPr="00780040">
        <w:rPr>
          <w:b/>
          <w:bCs/>
          <w:lang w:val="pt-PT"/>
        </w:rPr>
        <w:t xml:space="preserve">                                                                                        </w:t>
      </w:r>
      <w:r w:rsidRPr="00780040">
        <w:rPr>
          <w:bCs/>
          <w:i/>
          <w:lang w:val="pt-PT"/>
        </w:rPr>
        <w:t>(Kí và ghi rõ họ tên)</w:t>
      </w:r>
    </w:p>
    <w:sectPr w:rsidR="00F40F50" w:rsidSect="007A51EC">
      <w:pgSz w:w="11907" w:h="16840" w:code="9"/>
      <w:pgMar w:top="1134"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E5179"/>
    <w:multiLevelType w:val="hybridMultilevel"/>
    <w:tmpl w:val="153E5960"/>
    <w:lvl w:ilvl="0" w:tplc="B96298B6">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num w:numId="1" w16cid:durableId="80943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40"/>
    <w:rsid w:val="000558BA"/>
    <w:rsid w:val="00227964"/>
    <w:rsid w:val="002E0F0C"/>
    <w:rsid w:val="00306D8D"/>
    <w:rsid w:val="00382ECD"/>
    <w:rsid w:val="004F35E3"/>
    <w:rsid w:val="006D2ECF"/>
    <w:rsid w:val="00780040"/>
    <w:rsid w:val="00791B6A"/>
    <w:rsid w:val="007A51EC"/>
    <w:rsid w:val="008E211D"/>
    <w:rsid w:val="00A07BC2"/>
    <w:rsid w:val="00A710ED"/>
    <w:rsid w:val="00CA2C36"/>
    <w:rsid w:val="00E111A5"/>
    <w:rsid w:val="00E97AEA"/>
    <w:rsid w:val="00F40F50"/>
    <w:rsid w:val="00F4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661F"/>
  <w15:chartTrackingRefBased/>
  <w15:docId w15:val="{04E8ADDE-79F8-447E-946B-7D5B9425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78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unhideWhenUsed/>
    <w:qFormat/>
    <w:rsid w:val="0078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7800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7800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780040"/>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7800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780040"/>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780040"/>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780040"/>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80040"/>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rsid w:val="00780040"/>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80040"/>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780040"/>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780040"/>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780040"/>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80040"/>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80040"/>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80040"/>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8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78004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80040"/>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780040"/>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80040"/>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780040"/>
    <w:rPr>
      <w:i/>
      <w:iCs/>
      <w:color w:val="404040" w:themeColor="text1" w:themeTint="BF"/>
    </w:rPr>
  </w:style>
  <w:style w:type="paragraph" w:styleId="oancuaDanhsach">
    <w:name w:val="List Paragraph"/>
    <w:basedOn w:val="Binhthng"/>
    <w:uiPriority w:val="34"/>
    <w:qFormat/>
    <w:rsid w:val="00780040"/>
    <w:pPr>
      <w:ind w:left="720"/>
      <w:contextualSpacing/>
    </w:pPr>
  </w:style>
  <w:style w:type="character" w:styleId="NhnmnhThm">
    <w:name w:val="Intense Emphasis"/>
    <w:basedOn w:val="Phngmcinhcuaoanvn"/>
    <w:uiPriority w:val="21"/>
    <w:qFormat/>
    <w:rsid w:val="00780040"/>
    <w:rPr>
      <w:i/>
      <w:iCs/>
      <w:color w:val="0F4761" w:themeColor="accent1" w:themeShade="BF"/>
    </w:rPr>
  </w:style>
  <w:style w:type="paragraph" w:styleId="Nhaykepm">
    <w:name w:val="Intense Quote"/>
    <w:basedOn w:val="Binhthng"/>
    <w:next w:val="Binhthng"/>
    <w:link w:val="NhaykepmChar"/>
    <w:uiPriority w:val="30"/>
    <w:qFormat/>
    <w:rsid w:val="0078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780040"/>
    <w:rPr>
      <w:i/>
      <w:iCs/>
      <w:color w:val="0F4761" w:themeColor="accent1" w:themeShade="BF"/>
    </w:rPr>
  </w:style>
  <w:style w:type="character" w:styleId="ThamchiuNhnmnh">
    <w:name w:val="Intense Reference"/>
    <w:basedOn w:val="Phngmcinhcuaoanvn"/>
    <w:uiPriority w:val="32"/>
    <w:qFormat/>
    <w:rsid w:val="00780040"/>
    <w:rPr>
      <w:b/>
      <w:bCs/>
      <w:smallCaps/>
      <w:color w:val="0F4761" w:themeColor="accent1" w:themeShade="BF"/>
      <w:spacing w:val="5"/>
    </w:rPr>
  </w:style>
  <w:style w:type="table" w:styleId="LiBang">
    <w:name w:val="Table Grid"/>
    <w:basedOn w:val="BangThngthng"/>
    <w:uiPriority w:val="39"/>
    <w:rsid w:val="0078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nbanChuthich">
    <w:name w:val="annotation text"/>
    <w:basedOn w:val="Binhthng"/>
    <w:link w:val="VnbanChuthichChar"/>
    <w:uiPriority w:val="99"/>
    <w:semiHidden/>
    <w:unhideWhenUsed/>
    <w:rsid w:val="00780040"/>
    <w:pPr>
      <w:spacing w:after="110" w:line="240" w:lineRule="auto"/>
      <w:ind w:right="52" w:firstLine="556"/>
      <w:jc w:val="both"/>
    </w:pPr>
    <w:rPr>
      <w:rFonts w:eastAsia="Times New Roman" w:cs="Times New Roman"/>
      <w:color w:val="000000"/>
      <w:kern w:val="0"/>
      <w:sz w:val="20"/>
      <w:szCs w:val="20"/>
      <w14:ligatures w14:val="none"/>
    </w:rPr>
  </w:style>
  <w:style w:type="character" w:customStyle="1" w:styleId="VnbanChuthichChar">
    <w:name w:val="Văn bản Chú thích Char"/>
    <w:basedOn w:val="Phngmcinhcuaoanvn"/>
    <w:link w:val="VnbanChuthich"/>
    <w:uiPriority w:val="99"/>
    <w:semiHidden/>
    <w:rsid w:val="00780040"/>
    <w:rPr>
      <w:rFonts w:eastAsia="Times New Roman" w:cs="Times New Roman"/>
      <w:color w:val="000000"/>
      <w:kern w:val="0"/>
      <w:sz w:val="20"/>
      <w:szCs w:val="20"/>
      <w14:ligatures w14:val="none"/>
    </w:rPr>
  </w:style>
  <w:style w:type="character" w:styleId="ThamchiuChuthich">
    <w:name w:val="annotation reference"/>
    <w:basedOn w:val="Phngmcinhcuaoanvn"/>
    <w:uiPriority w:val="99"/>
    <w:semiHidden/>
    <w:unhideWhenUsed/>
    <w:rsid w:val="007800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670</Words>
  <Characters>3820</Characters>
  <Application>Microsoft Office Word</Application>
  <DocSecurity>0</DocSecurity>
  <Lines>31</Lines>
  <Paragraphs>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Lam Truong</cp:lastModifiedBy>
  <cp:revision>2</cp:revision>
  <dcterms:created xsi:type="dcterms:W3CDTF">2025-10-21T07:28:00Z</dcterms:created>
  <dcterms:modified xsi:type="dcterms:W3CDTF">2025-10-21T07:28:00Z</dcterms:modified>
</cp:coreProperties>
</file>