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623F" w14:textId="77777777" w:rsidR="00673BA5" w:rsidRPr="00527C38" w:rsidRDefault="00673BA5" w:rsidP="00673BA5">
      <w:pPr>
        <w:pStyle w:val="NormalWeb"/>
        <w:spacing w:before="0" w:beforeAutospacing="0" w:after="0" w:afterAutospacing="0"/>
        <w:ind w:right="68"/>
        <w:jc w:val="center"/>
        <w:rPr>
          <w:rFonts w:asciiTheme="majorHAnsi" w:hAnsiTheme="majorHAnsi" w:cstheme="majorHAnsi"/>
          <w:b/>
          <w:sz w:val="32"/>
          <w:szCs w:val="32"/>
          <w:lang w:val="en-US" w:eastAsia="en-US"/>
        </w:rPr>
      </w:pPr>
      <w:r w:rsidRPr="00527C38">
        <w:rPr>
          <w:rFonts w:asciiTheme="majorHAnsi" w:hAnsiTheme="majorHAnsi" w:cstheme="majorHAnsi"/>
          <w:b/>
          <w:sz w:val="32"/>
          <w:szCs w:val="32"/>
          <w:lang w:val="en-US" w:eastAsia="en-US"/>
        </w:rPr>
        <w:t>Quản trị lợi nhuận trong giai đoạn khó khăn tài chính: Nghiên cứu tại các công ty niêm yết trên thị trường chứng khoán Việt Nam</w:t>
      </w:r>
    </w:p>
    <w:p w14:paraId="4D15EB78" w14:textId="77777777" w:rsidR="00673BA5" w:rsidRPr="00527C38" w:rsidRDefault="00673BA5" w:rsidP="00673BA5">
      <w:pPr>
        <w:pStyle w:val="NormalWeb"/>
        <w:spacing w:before="0" w:beforeAutospacing="0" w:after="0" w:afterAutospacing="0"/>
        <w:jc w:val="center"/>
        <w:rPr>
          <w:rFonts w:asciiTheme="majorHAnsi" w:eastAsiaTheme="minorHAnsi" w:hAnsiTheme="majorHAnsi" w:cstheme="majorHAnsi"/>
          <w:b/>
          <w:sz w:val="20"/>
          <w:szCs w:val="20"/>
          <w:lang w:val="en-US" w:eastAsia="en-US"/>
        </w:rPr>
      </w:pPr>
    </w:p>
    <w:p w14:paraId="5CF7399A" w14:textId="77777777" w:rsidR="00673BA5" w:rsidRPr="00527C38" w:rsidRDefault="00673BA5" w:rsidP="00673BA5">
      <w:pPr>
        <w:pStyle w:val="NormalWeb"/>
        <w:spacing w:before="0" w:beforeAutospacing="0" w:after="120" w:afterAutospacing="0"/>
        <w:ind w:right="68"/>
        <w:jc w:val="center"/>
        <w:rPr>
          <w:rFonts w:asciiTheme="majorHAnsi" w:eastAsiaTheme="minorHAnsi" w:hAnsiTheme="majorHAnsi" w:cstheme="majorHAnsi"/>
          <w:b/>
          <w:sz w:val="20"/>
          <w:szCs w:val="20"/>
          <w:vertAlign w:val="superscript"/>
          <w:lang w:val="en-US" w:eastAsia="en-US"/>
        </w:rPr>
      </w:pPr>
      <w:r w:rsidRPr="00527C38">
        <w:rPr>
          <w:rFonts w:asciiTheme="majorHAnsi" w:eastAsiaTheme="minorHAnsi" w:hAnsiTheme="majorHAnsi" w:cstheme="majorHAnsi"/>
          <w:b/>
          <w:sz w:val="20"/>
          <w:szCs w:val="20"/>
          <w:lang w:val="en-US" w:eastAsia="en-US"/>
        </w:rPr>
        <w:t>Phạm Nguyễn Đình Tuấn</w:t>
      </w:r>
      <w:r w:rsidRPr="00527C38">
        <w:rPr>
          <w:rFonts w:asciiTheme="majorHAnsi" w:eastAsiaTheme="minorHAnsi" w:hAnsiTheme="majorHAnsi" w:cstheme="majorHAnsi"/>
          <w:b/>
          <w:sz w:val="20"/>
          <w:szCs w:val="20"/>
          <w:vertAlign w:val="superscript"/>
          <w:lang w:val="en-US" w:eastAsia="en-US"/>
        </w:rPr>
        <w:t>1,*</w:t>
      </w:r>
      <w:r w:rsidRPr="00527C38">
        <w:rPr>
          <w:rFonts w:asciiTheme="majorHAnsi" w:eastAsiaTheme="minorHAnsi" w:hAnsiTheme="majorHAnsi" w:cstheme="majorHAnsi"/>
          <w:b/>
          <w:sz w:val="20"/>
          <w:szCs w:val="20"/>
          <w:lang w:val="en-US" w:eastAsia="en-US"/>
        </w:rPr>
        <w:t>, Trần Thị Bích Duyên</w:t>
      </w:r>
      <w:r w:rsidRPr="00527C38">
        <w:rPr>
          <w:rFonts w:asciiTheme="majorHAnsi" w:eastAsiaTheme="minorHAnsi" w:hAnsiTheme="majorHAnsi" w:cstheme="majorHAnsi"/>
          <w:b/>
          <w:sz w:val="20"/>
          <w:szCs w:val="20"/>
          <w:vertAlign w:val="superscript"/>
          <w:lang w:val="en-US" w:eastAsia="en-US"/>
        </w:rPr>
        <w:t>2</w:t>
      </w:r>
      <w:r w:rsidRPr="00527C38">
        <w:rPr>
          <w:rFonts w:asciiTheme="majorHAnsi" w:eastAsiaTheme="minorHAnsi" w:hAnsiTheme="majorHAnsi" w:cstheme="majorHAnsi"/>
          <w:b/>
          <w:sz w:val="20"/>
          <w:szCs w:val="20"/>
          <w:lang w:val="en-US" w:eastAsia="en-US"/>
        </w:rPr>
        <w:t>, Trần Xuân Quân</w:t>
      </w:r>
      <w:r w:rsidRPr="00527C38">
        <w:rPr>
          <w:rFonts w:asciiTheme="majorHAnsi" w:eastAsiaTheme="minorHAnsi" w:hAnsiTheme="majorHAnsi" w:cstheme="majorHAnsi"/>
          <w:b/>
          <w:sz w:val="20"/>
          <w:szCs w:val="20"/>
          <w:vertAlign w:val="superscript"/>
          <w:lang w:val="en-US" w:eastAsia="en-US"/>
        </w:rPr>
        <w:t>2</w:t>
      </w:r>
      <w:r w:rsidRPr="00527C38">
        <w:rPr>
          <w:rFonts w:asciiTheme="majorHAnsi" w:eastAsiaTheme="minorHAnsi" w:hAnsiTheme="majorHAnsi" w:cstheme="majorHAnsi"/>
          <w:b/>
          <w:sz w:val="20"/>
          <w:szCs w:val="20"/>
          <w:lang w:val="en-US" w:eastAsia="en-US"/>
        </w:rPr>
        <w:t>, Nguyễn Minh Hải</w:t>
      </w:r>
      <w:r w:rsidRPr="00527C38">
        <w:rPr>
          <w:rFonts w:asciiTheme="majorHAnsi" w:eastAsiaTheme="minorHAnsi" w:hAnsiTheme="majorHAnsi" w:cstheme="majorHAnsi"/>
          <w:b/>
          <w:sz w:val="20"/>
          <w:szCs w:val="20"/>
          <w:vertAlign w:val="superscript"/>
          <w:lang w:val="en-US" w:eastAsia="en-US"/>
        </w:rPr>
        <w:t>1</w:t>
      </w:r>
    </w:p>
    <w:p w14:paraId="1369AF13" w14:textId="77777777" w:rsidR="00673BA5" w:rsidRPr="00527C38" w:rsidRDefault="00673BA5" w:rsidP="00673BA5">
      <w:pPr>
        <w:pStyle w:val="NormalWeb"/>
        <w:spacing w:before="0" w:beforeAutospacing="0" w:after="0" w:afterAutospacing="0"/>
        <w:ind w:right="68"/>
        <w:jc w:val="center"/>
        <w:rPr>
          <w:rFonts w:asciiTheme="majorHAnsi" w:eastAsiaTheme="minorHAnsi" w:hAnsiTheme="majorHAnsi" w:cstheme="majorHAnsi"/>
          <w:b/>
          <w:sz w:val="20"/>
          <w:szCs w:val="20"/>
          <w:lang w:val="en-US" w:eastAsia="en-US"/>
        </w:rPr>
      </w:pPr>
    </w:p>
    <w:p w14:paraId="586E357B" w14:textId="77777777" w:rsidR="00673BA5" w:rsidRPr="00527C38"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r w:rsidRPr="00527C38">
        <w:rPr>
          <w:rFonts w:asciiTheme="majorHAnsi" w:eastAsiaTheme="minorHAnsi" w:hAnsiTheme="majorHAnsi" w:cstheme="majorHAnsi"/>
          <w:bCs/>
          <w:i/>
          <w:iCs/>
          <w:sz w:val="20"/>
          <w:szCs w:val="20"/>
          <w:vertAlign w:val="superscript"/>
          <w:lang w:val="en-US" w:eastAsia="en-US"/>
        </w:rPr>
        <w:t>1</w:t>
      </w:r>
      <w:r w:rsidRPr="00527C38">
        <w:rPr>
          <w:rFonts w:asciiTheme="majorHAnsi" w:eastAsiaTheme="minorHAnsi" w:hAnsiTheme="majorHAnsi" w:cstheme="majorHAnsi"/>
          <w:bCs/>
          <w:i/>
          <w:iCs/>
          <w:sz w:val="20"/>
          <w:szCs w:val="20"/>
          <w:lang w:val="en-US" w:eastAsia="en-US"/>
        </w:rPr>
        <w:t xml:space="preserve">Phòng Kế hoạch - Tài chính, </w:t>
      </w:r>
      <w:r w:rsidRPr="00527C38">
        <w:rPr>
          <w:rFonts w:asciiTheme="majorHAnsi" w:hAnsiTheme="majorHAnsi" w:cstheme="majorHAnsi"/>
          <w:i/>
          <w:sz w:val="20"/>
          <w:szCs w:val="20"/>
        </w:rPr>
        <w:t>Trường Đại học Quy Nhơn, Việt Nam</w:t>
      </w:r>
    </w:p>
    <w:p w14:paraId="170697C3" w14:textId="77777777" w:rsidR="00673BA5" w:rsidRPr="00527C38"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r w:rsidRPr="00527C38">
        <w:rPr>
          <w:rFonts w:asciiTheme="majorHAnsi" w:hAnsiTheme="majorHAnsi" w:cstheme="majorHAnsi"/>
          <w:i/>
          <w:sz w:val="20"/>
          <w:szCs w:val="20"/>
          <w:vertAlign w:val="superscript"/>
          <w:lang w:val="en-US"/>
        </w:rPr>
        <w:t>2</w:t>
      </w:r>
      <w:r w:rsidRPr="00527C38">
        <w:rPr>
          <w:rFonts w:asciiTheme="majorHAnsi" w:hAnsiTheme="majorHAnsi" w:cstheme="majorHAnsi"/>
          <w:i/>
          <w:sz w:val="20"/>
          <w:szCs w:val="20"/>
          <w:lang w:val="en-US"/>
        </w:rPr>
        <w:t>Khoa Kinh tế và Kế toán, Trường Đại học Quy Nhơn, Việt Nam</w:t>
      </w:r>
    </w:p>
    <w:p w14:paraId="72F8D2C7" w14:textId="77777777" w:rsidR="00673BA5" w:rsidRPr="00527C38"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p>
    <w:p w14:paraId="4EBB0C4F" w14:textId="77777777" w:rsidR="00673BA5" w:rsidRPr="00527C38" w:rsidRDefault="00673BA5" w:rsidP="00673BA5">
      <w:pPr>
        <w:spacing w:after="0" w:line="240" w:lineRule="auto"/>
        <w:jc w:val="center"/>
        <w:rPr>
          <w:rFonts w:asciiTheme="majorHAnsi" w:hAnsiTheme="majorHAnsi" w:cstheme="majorHAnsi"/>
          <w:i/>
          <w:sz w:val="20"/>
          <w:szCs w:val="20"/>
          <w:lang w:val="en-US"/>
        </w:rPr>
      </w:pPr>
      <w:r w:rsidRPr="00527C38">
        <w:rPr>
          <w:rFonts w:asciiTheme="majorHAnsi" w:hAnsiTheme="majorHAnsi" w:cstheme="majorHAnsi"/>
          <w:i/>
          <w:sz w:val="20"/>
          <w:szCs w:val="20"/>
          <w:lang w:val="en-US"/>
        </w:rPr>
        <w:t>Ngày nhận bài:    ; Ngày sửa bài:    ;</w:t>
      </w:r>
    </w:p>
    <w:p w14:paraId="78D421D1" w14:textId="77777777" w:rsidR="00673BA5" w:rsidRPr="00527C38" w:rsidRDefault="00673BA5" w:rsidP="00673BA5">
      <w:pPr>
        <w:spacing w:after="0" w:line="240" w:lineRule="auto"/>
        <w:jc w:val="center"/>
        <w:rPr>
          <w:rFonts w:asciiTheme="majorHAnsi" w:hAnsiTheme="majorHAnsi" w:cstheme="majorHAnsi"/>
          <w:i/>
          <w:sz w:val="20"/>
          <w:szCs w:val="20"/>
          <w:lang w:val="en-US"/>
        </w:rPr>
      </w:pPr>
      <w:r w:rsidRPr="00527C38">
        <w:rPr>
          <w:rFonts w:asciiTheme="majorHAnsi" w:hAnsiTheme="majorHAnsi" w:cstheme="majorHAnsi"/>
          <w:i/>
          <w:sz w:val="20"/>
          <w:szCs w:val="20"/>
          <w:lang w:val="en-US"/>
        </w:rPr>
        <w:t xml:space="preserve">Ngày nhận đăng:   ; Ngày xuất bản:    </w:t>
      </w:r>
    </w:p>
    <w:p w14:paraId="7D223713" w14:textId="77777777" w:rsidR="00673BA5" w:rsidRPr="00527C38" w:rsidRDefault="00673BA5" w:rsidP="00673BA5">
      <w:pPr>
        <w:spacing w:after="0" w:line="240" w:lineRule="auto"/>
        <w:jc w:val="center"/>
        <w:rPr>
          <w:rFonts w:asciiTheme="majorHAnsi" w:eastAsia="Times New Roman" w:hAnsiTheme="majorHAnsi" w:cstheme="majorHAnsi"/>
          <w:i/>
          <w:sz w:val="20"/>
          <w:szCs w:val="20"/>
          <w:lang w:val="en-US"/>
        </w:rPr>
      </w:pPr>
    </w:p>
    <w:p w14:paraId="24A7C053" w14:textId="77777777" w:rsidR="00673BA5" w:rsidRPr="00527C38" w:rsidRDefault="00673BA5" w:rsidP="00673BA5">
      <w:pPr>
        <w:spacing w:after="0" w:line="240" w:lineRule="auto"/>
        <w:jc w:val="center"/>
        <w:rPr>
          <w:rFonts w:asciiTheme="majorHAnsi" w:hAnsiTheme="majorHAnsi" w:cstheme="majorHAnsi"/>
          <w:i/>
          <w:sz w:val="20"/>
          <w:szCs w:val="20"/>
          <w:lang w:val="en-US"/>
        </w:rPr>
      </w:pPr>
      <w:r w:rsidRPr="00527C38">
        <w:rPr>
          <w:rFonts w:asciiTheme="majorHAnsi" w:hAnsiTheme="majorHAnsi" w:cstheme="majorHAnsi"/>
          <w:i/>
          <w:sz w:val="20"/>
          <w:szCs w:val="20"/>
          <w:lang w:val="en-US"/>
        </w:rPr>
        <w:t xml:space="preserve">*Tác giả liên hệ chính. Email: </w:t>
      </w:r>
      <w:hyperlink r:id="rId6" w:history="1">
        <w:r w:rsidRPr="00527C38">
          <w:rPr>
            <w:rStyle w:val="Hyperlink"/>
            <w:rFonts w:asciiTheme="majorHAnsi" w:hAnsiTheme="majorHAnsi" w:cstheme="majorHAnsi"/>
            <w:i/>
            <w:sz w:val="20"/>
            <w:szCs w:val="20"/>
            <w:lang w:val="en-US"/>
          </w:rPr>
          <w:t>phamnguyendinhtuan@qnu.edu.vn</w:t>
        </w:r>
      </w:hyperlink>
    </w:p>
    <w:p w14:paraId="528A03B2" w14:textId="77777777" w:rsidR="00673BA5" w:rsidRPr="00527C38" w:rsidRDefault="00673BA5" w:rsidP="00673BA5">
      <w:pPr>
        <w:spacing w:after="0" w:line="240" w:lineRule="auto"/>
        <w:jc w:val="center"/>
        <w:rPr>
          <w:rFonts w:asciiTheme="majorHAnsi" w:hAnsiTheme="majorHAnsi" w:cstheme="majorHAnsi"/>
          <w:i/>
          <w:sz w:val="20"/>
          <w:szCs w:val="20"/>
          <w:lang w:val="en-US"/>
        </w:rPr>
      </w:pPr>
    </w:p>
    <w:p w14:paraId="13BCB1D0" w14:textId="77777777" w:rsidR="00673BA5" w:rsidRPr="00527C38" w:rsidRDefault="00673BA5" w:rsidP="00673BA5">
      <w:pPr>
        <w:spacing w:after="0" w:line="240" w:lineRule="auto"/>
        <w:jc w:val="center"/>
        <w:rPr>
          <w:rFonts w:asciiTheme="majorHAnsi" w:hAnsiTheme="majorHAnsi" w:cstheme="majorHAnsi"/>
          <w:i/>
          <w:sz w:val="20"/>
          <w:szCs w:val="20"/>
          <w:lang w:val="en-US"/>
        </w:rPr>
      </w:pPr>
    </w:p>
    <w:p w14:paraId="48FE2C7D" w14:textId="77777777" w:rsidR="00673BA5" w:rsidRPr="00527C38" w:rsidRDefault="00673BA5" w:rsidP="00673BA5">
      <w:pPr>
        <w:pStyle w:val="NormalWeb"/>
        <w:spacing w:before="120" w:beforeAutospacing="0" w:after="120" w:afterAutospacing="0"/>
        <w:jc w:val="both"/>
        <w:rPr>
          <w:rFonts w:asciiTheme="majorHAnsi" w:hAnsiTheme="majorHAnsi" w:cstheme="majorHAnsi"/>
          <w:b/>
          <w:bCs/>
          <w:sz w:val="20"/>
          <w:szCs w:val="20"/>
        </w:rPr>
      </w:pPr>
      <w:r w:rsidRPr="00527C38">
        <w:rPr>
          <w:rFonts w:asciiTheme="majorHAnsi" w:hAnsiTheme="majorHAnsi" w:cstheme="majorHAnsi"/>
          <w:b/>
          <w:bCs/>
          <w:sz w:val="20"/>
          <w:szCs w:val="20"/>
        </w:rPr>
        <w:t>TÓM TẮT</w:t>
      </w:r>
    </w:p>
    <w:p w14:paraId="59FD8C87" w14:textId="77777777" w:rsidR="00673BA5" w:rsidRPr="00527C38" w:rsidRDefault="00673BA5" w:rsidP="00673BA5">
      <w:pPr>
        <w:pStyle w:val="NormalWeb"/>
        <w:spacing w:before="120" w:after="120"/>
        <w:ind w:firstLine="567"/>
        <w:jc w:val="both"/>
        <w:rPr>
          <w:rFonts w:asciiTheme="majorHAnsi" w:hAnsiTheme="majorHAnsi" w:cstheme="majorHAnsi"/>
          <w:sz w:val="20"/>
          <w:szCs w:val="20"/>
        </w:rPr>
      </w:pPr>
      <w:r w:rsidRPr="00527C38">
        <w:rPr>
          <w:rFonts w:asciiTheme="majorHAnsi" w:hAnsiTheme="majorHAnsi" w:cstheme="majorHAnsi"/>
          <w:sz w:val="20"/>
          <w:szCs w:val="20"/>
        </w:rPr>
        <w:t>Nghiên cứu này phân tích ảnh hưởng của tình trạng khó khăn tài chính đến quản trị lợi nhuận của các doanh nghiệp niêm yết trên thị trường chứng khoán Việt Nam. Bằng việc kết hợp đồng thời hai hướng tiếp cận quản trị lợi nhuận dồn tích và quản trị lợi nhuận thực tế</w:t>
      </w:r>
      <w:r w:rsidRPr="00527C38">
        <w:rPr>
          <w:rFonts w:asciiTheme="majorHAnsi" w:hAnsiTheme="majorHAnsi" w:cstheme="majorHAnsi"/>
          <w:sz w:val="20"/>
          <w:szCs w:val="20"/>
          <w:lang w:val="en-US"/>
        </w:rPr>
        <w:t>,</w:t>
      </w:r>
      <w:r w:rsidRPr="00527C38">
        <w:rPr>
          <w:rFonts w:asciiTheme="majorHAnsi" w:hAnsiTheme="majorHAnsi" w:cstheme="majorHAnsi"/>
          <w:sz w:val="20"/>
          <w:szCs w:val="20"/>
        </w:rPr>
        <w:t xml:space="preserve"> nghiên cứu đánh giá phản ứng của nhà quản lý trước áp lực tài chính. Bộ dữ liệu dạng bảng động được xử lý bằng phương pháp GMM hai bước, nhằm khắc phục hiện tượng nội sinh và tự tương quan thường gặp trong mô hình tài chính.</w:t>
      </w:r>
      <w:r w:rsidRPr="00527C38">
        <w:rPr>
          <w:rFonts w:asciiTheme="majorHAnsi" w:hAnsiTheme="majorHAnsi" w:cstheme="majorHAnsi"/>
          <w:sz w:val="20"/>
          <w:szCs w:val="20"/>
          <w:lang w:val="en-US"/>
        </w:rPr>
        <w:t xml:space="preserve"> </w:t>
      </w:r>
      <w:r w:rsidRPr="00527C38">
        <w:rPr>
          <w:rFonts w:asciiTheme="majorHAnsi" w:hAnsiTheme="majorHAnsi" w:cstheme="majorHAnsi"/>
          <w:sz w:val="20"/>
          <w:szCs w:val="20"/>
        </w:rPr>
        <w:t xml:space="preserve">Kết quả cho thấy, các doanh nghiệp có tình hình tài chính ổn định có xu hướng thực hiện quản trị lợi nhuận thông qua các điều chỉnh kế toán dồn tích, trong khi những doanh nghiệp chịu áp lực tài chính thường lựa chọn thay đổi hoạt động kinh doanh thực tế, chẳng hạn như điều chỉnh sản xuất, chính sách bán hàng hoặc kiểm soát chi phí ngắn hạn. </w:t>
      </w:r>
      <w:r w:rsidRPr="00527C38">
        <w:rPr>
          <w:rFonts w:asciiTheme="majorHAnsi" w:hAnsiTheme="majorHAnsi" w:cstheme="majorHAnsi"/>
          <w:sz w:val="20"/>
          <w:szCs w:val="20"/>
          <w:lang w:val="en-US"/>
        </w:rPr>
        <w:t xml:space="preserve">Nghiên cứu </w:t>
      </w:r>
      <w:r w:rsidRPr="00527C38">
        <w:rPr>
          <w:rFonts w:asciiTheme="majorHAnsi" w:hAnsiTheme="majorHAnsi" w:cstheme="majorHAnsi"/>
          <w:sz w:val="20"/>
          <w:szCs w:val="20"/>
        </w:rPr>
        <w:t>cung cấp bằng chứng thực nghiệm mới về mối quan hệ giữa khó khăn tài chính và quản trị lợi nhuận, đồng thời gợi mở hàm ý chính sách trong việc nâng cao tính minh bạch thông tin và hiệu quả giám sát tài chính của doanh nghiệp tại Việt Nam.</w:t>
      </w:r>
    </w:p>
    <w:p w14:paraId="6F04FE11" w14:textId="77777777" w:rsidR="00673BA5" w:rsidRPr="00527C38" w:rsidRDefault="00673BA5" w:rsidP="00673BA5">
      <w:pPr>
        <w:pStyle w:val="NormalWeb"/>
        <w:spacing w:before="120" w:beforeAutospacing="0" w:after="120" w:afterAutospacing="0"/>
        <w:jc w:val="both"/>
        <w:rPr>
          <w:rFonts w:asciiTheme="majorHAnsi" w:hAnsiTheme="majorHAnsi" w:cstheme="majorHAnsi"/>
          <w:i/>
          <w:iCs/>
          <w:sz w:val="20"/>
          <w:szCs w:val="20"/>
          <w:lang w:val="en-US"/>
        </w:rPr>
        <w:sectPr w:rsidR="00673BA5" w:rsidRPr="00527C38" w:rsidSect="00673BA5">
          <w:pgSz w:w="11906" w:h="16838"/>
          <w:pgMar w:top="1134" w:right="1134" w:bottom="1134" w:left="1418" w:header="709" w:footer="709" w:gutter="0"/>
          <w:cols w:space="708"/>
          <w:docGrid w:linePitch="360"/>
        </w:sectPr>
      </w:pPr>
      <w:r w:rsidRPr="00527C38">
        <w:rPr>
          <w:rFonts w:asciiTheme="majorHAnsi" w:hAnsiTheme="majorHAnsi" w:cstheme="majorHAnsi"/>
          <w:b/>
          <w:bCs/>
          <w:sz w:val="20"/>
          <w:szCs w:val="20"/>
        </w:rPr>
        <w:t xml:space="preserve">Từ khóa (Keywords): </w:t>
      </w:r>
      <w:r w:rsidRPr="00527C38">
        <w:rPr>
          <w:rFonts w:asciiTheme="majorHAnsi" w:hAnsiTheme="majorHAnsi" w:cstheme="majorHAnsi"/>
          <w:i/>
          <w:iCs/>
          <w:sz w:val="20"/>
          <w:szCs w:val="20"/>
        </w:rPr>
        <w:t>Quản trị lợi nhuận, Khó khăn tài chính, Dồn tích kế toán, Quản trị lợi nhuận thực tế</w:t>
      </w:r>
      <w:r w:rsidRPr="00527C38">
        <w:rPr>
          <w:rFonts w:asciiTheme="majorHAnsi" w:hAnsiTheme="majorHAnsi" w:cstheme="majorHAnsi"/>
          <w:i/>
          <w:iCs/>
          <w:sz w:val="20"/>
          <w:szCs w:val="20"/>
          <w:lang w:val="en-US"/>
        </w:rPr>
        <w:t>.</w:t>
      </w:r>
    </w:p>
    <w:p w14:paraId="7E3D6D34" w14:textId="78F758F7" w:rsidR="79D60E9B" w:rsidRPr="00527C38" w:rsidRDefault="79D60E9B" w:rsidP="79D60E9B">
      <w:pPr>
        <w:pStyle w:val="NormalWeb"/>
        <w:spacing w:before="0" w:beforeAutospacing="0" w:after="0" w:afterAutospacing="0"/>
        <w:ind w:right="68"/>
        <w:jc w:val="center"/>
        <w:rPr>
          <w:rFonts w:asciiTheme="majorHAnsi" w:hAnsiTheme="majorHAnsi" w:cstheme="majorHAnsi"/>
          <w:b/>
          <w:bCs/>
          <w:sz w:val="32"/>
          <w:szCs w:val="32"/>
          <w:lang w:val="en-US" w:eastAsia="en-US"/>
        </w:rPr>
      </w:pPr>
      <w:r w:rsidRPr="00527C38">
        <w:rPr>
          <w:rFonts w:asciiTheme="majorHAnsi" w:hAnsiTheme="majorHAnsi" w:cstheme="majorHAnsi"/>
          <w:b/>
          <w:bCs/>
          <w:sz w:val="32"/>
          <w:szCs w:val="32"/>
          <w:lang w:val="en-US" w:eastAsia="en-US"/>
        </w:rPr>
        <w:lastRenderedPageBreak/>
        <w:t>Earnings Management during Financial Distress: Evidence from Listed Companies on the Vietnamese Stock Market</w:t>
      </w:r>
    </w:p>
    <w:p w14:paraId="2314136A" w14:textId="654B1570" w:rsidR="00227719" w:rsidRPr="00527C38" w:rsidRDefault="00227719" w:rsidP="1C24AA7E">
      <w:pPr>
        <w:pStyle w:val="NormalWeb"/>
        <w:spacing w:before="0" w:beforeAutospacing="0" w:after="120" w:afterAutospacing="0"/>
        <w:ind w:right="68"/>
        <w:jc w:val="center"/>
        <w:rPr>
          <w:rFonts w:asciiTheme="majorHAnsi" w:eastAsiaTheme="minorEastAsia" w:hAnsiTheme="majorHAnsi" w:cstheme="majorHAnsi"/>
          <w:b/>
          <w:bCs/>
          <w:sz w:val="20"/>
          <w:szCs w:val="20"/>
          <w:lang w:val="en-US" w:eastAsia="en-US"/>
        </w:rPr>
      </w:pPr>
    </w:p>
    <w:p w14:paraId="082DB662" w14:textId="19883E8D" w:rsidR="00227719" w:rsidRPr="00527C38" w:rsidRDefault="3D67EE1E" w:rsidP="3D67EE1E">
      <w:pPr>
        <w:pStyle w:val="NormalWeb"/>
        <w:spacing w:before="0" w:beforeAutospacing="0" w:after="120" w:afterAutospacing="0"/>
        <w:ind w:right="68"/>
        <w:jc w:val="center"/>
        <w:rPr>
          <w:rFonts w:asciiTheme="majorHAnsi" w:eastAsiaTheme="minorEastAsia" w:hAnsiTheme="majorHAnsi" w:cstheme="majorHAnsi"/>
          <w:b/>
          <w:bCs/>
          <w:sz w:val="20"/>
          <w:szCs w:val="20"/>
          <w:vertAlign w:val="superscript"/>
          <w:lang w:val="en-US" w:eastAsia="en-US"/>
        </w:rPr>
      </w:pPr>
      <w:r w:rsidRPr="00527C38">
        <w:rPr>
          <w:rFonts w:asciiTheme="majorHAnsi" w:eastAsiaTheme="minorEastAsia" w:hAnsiTheme="majorHAnsi" w:cstheme="majorHAnsi"/>
          <w:b/>
          <w:bCs/>
          <w:sz w:val="20"/>
          <w:szCs w:val="20"/>
          <w:lang w:val="en-US" w:eastAsia="en-US"/>
        </w:rPr>
        <w:t>Pham Nguyen Dinh Tuan</w:t>
      </w:r>
      <w:r w:rsidRPr="00527C38">
        <w:rPr>
          <w:rFonts w:asciiTheme="majorHAnsi" w:eastAsiaTheme="minorEastAsia" w:hAnsiTheme="majorHAnsi" w:cstheme="majorHAnsi"/>
          <w:b/>
          <w:bCs/>
          <w:sz w:val="20"/>
          <w:szCs w:val="20"/>
          <w:vertAlign w:val="superscript"/>
          <w:lang w:val="en-US" w:eastAsia="en-US"/>
        </w:rPr>
        <w:t>1,*</w:t>
      </w:r>
      <w:r w:rsidRPr="00527C38">
        <w:rPr>
          <w:rFonts w:asciiTheme="majorHAnsi" w:eastAsiaTheme="minorEastAsia" w:hAnsiTheme="majorHAnsi" w:cstheme="majorHAnsi"/>
          <w:b/>
          <w:bCs/>
          <w:sz w:val="20"/>
          <w:szCs w:val="20"/>
          <w:lang w:val="en-US" w:eastAsia="en-US"/>
        </w:rPr>
        <w:t>, Tran Thi Bich Duyen</w:t>
      </w:r>
      <w:r w:rsidRPr="00527C38">
        <w:rPr>
          <w:rFonts w:asciiTheme="majorHAnsi" w:eastAsiaTheme="minorEastAsia" w:hAnsiTheme="majorHAnsi" w:cstheme="majorHAnsi"/>
          <w:b/>
          <w:bCs/>
          <w:sz w:val="20"/>
          <w:szCs w:val="20"/>
          <w:vertAlign w:val="superscript"/>
          <w:lang w:val="en-US" w:eastAsia="en-US"/>
        </w:rPr>
        <w:t>2</w:t>
      </w:r>
      <w:r w:rsidRPr="00527C38">
        <w:rPr>
          <w:rFonts w:asciiTheme="majorHAnsi" w:eastAsiaTheme="minorEastAsia" w:hAnsiTheme="majorHAnsi" w:cstheme="majorHAnsi"/>
          <w:b/>
          <w:bCs/>
          <w:sz w:val="20"/>
          <w:szCs w:val="20"/>
          <w:lang w:val="en-US" w:eastAsia="en-US"/>
        </w:rPr>
        <w:t>, Tran Xuan Quan</w:t>
      </w:r>
      <w:r w:rsidRPr="00527C38">
        <w:rPr>
          <w:rFonts w:asciiTheme="majorHAnsi" w:eastAsiaTheme="minorEastAsia" w:hAnsiTheme="majorHAnsi" w:cstheme="majorHAnsi"/>
          <w:b/>
          <w:bCs/>
          <w:sz w:val="20"/>
          <w:szCs w:val="20"/>
          <w:vertAlign w:val="superscript"/>
          <w:lang w:val="en-US" w:eastAsia="en-US"/>
        </w:rPr>
        <w:t>2</w:t>
      </w:r>
      <w:r w:rsidRPr="00527C38">
        <w:rPr>
          <w:rFonts w:asciiTheme="majorHAnsi" w:eastAsiaTheme="minorEastAsia" w:hAnsiTheme="majorHAnsi" w:cstheme="majorHAnsi"/>
          <w:b/>
          <w:bCs/>
          <w:sz w:val="20"/>
          <w:szCs w:val="20"/>
          <w:lang w:val="en-US" w:eastAsia="en-US"/>
        </w:rPr>
        <w:t>, Nguyen Minh Hai</w:t>
      </w:r>
      <w:r w:rsidRPr="00527C38">
        <w:rPr>
          <w:rFonts w:asciiTheme="majorHAnsi" w:eastAsiaTheme="minorEastAsia" w:hAnsiTheme="majorHAnsi" w:cstheme="majorHAnsi"/>
          <w:b/>
          <w:bCs/>
          <w:sz w:val="20"/>
          <w:szCs w:val="20"/>
          <w:vertAlign w:val="superscript"/>
          <w:lang w:val="en-US" w:eastAsia="en-US"/>
        </w:rPr>
        <w:t>1</w:t>
      </w:r>
    </w:p>
    <w:p w14:paraId="72734F55" w14:textId="77777777" w:rsidR="00227719" w:rsidRPr="00527C38" w:rsidRDefault="00227719" w:rsidP="3D67EE1E">
      <w:pPr>
        <w:pStyle w:val="NormalWeb"/>
        <w:spacing w:before="0" w:beforeAutospacing="0" w:after="0" w:afterAutospacing="0"/>
        <w:ind w:right="68"/>
        <w:jc w:val="center"/>
        <w:rPr>
          <w:rFonts w:asciiTheme="majorHAnsi" w:eastAsiaTheme="minorEastAsia" w:hAnsiTheme="majorHAnsi" w:cstheme="majorHAnsi"/>
          <w:b/>
          <w:bCs/>
          <w:sz w:val="20"/>
          <w:szCs w:val="20"/>
          <w:lang w:val="en-US" w:eastAsia="en-US"/>
        </w:rPr>
      </w:pPr>
    </w:p>
    <w:p w14:paraId="7CDF10F0" w14:textId="70C4AB8B" w:rsidR="00227719" w:rsidRPr="00527C38" w:rsidRDefault="3D67EE1E" w:rsidP="3D67EE1E">
      <w:pPr>
        <w:spacing w:after="0" w:line="240" w:lineRule="auto"/>
        <w:jc w:val="center"/>
        <w:rPr>
          <w:rFonts w:asciiTheme="majorHAnsi" w:hAnsiTheme="majorHAnsi" w:cstheme="majorHAnsi"/>
          <w:i/>
          <w:iCs/>
          <w:sz w:val="20"/>
          <w:szCs w:val="20"/>
          <w:lang w:val="en-US"/>
        </w:rPr>
      </w:pPr>
      <w:r w:rsidRPr="00527C38">
        <w:rPr>
          <w:rFonts w:asciiTheme="majorHAnsi" w:hAnsiTheme="majorHAnsi" w:cstheme="majorHAnsi"/>
          <w:i/>
          <w:iCs/>
          <w:sz w:val="20"/>
          <w:szCs w:val="20"/>
          <w:vertAlign w:val="superscript"/>
          <w:lang w:val="en-US"/>
        </w:rPr>
        <w:t>1</w:t>
      </w:r>
      <w:r w:rsidRPr="00527C38">
        <w:rPr>
          <w:rFonts w:asciiTheme="majorHAnsi" w:hAnsiTheme="majorHAnsi" w:cstheme="majorHAnsi"/>
          <w:i/>
          <w:iCs/>
          <w:sz w:val="20"/>
          <w:szCs w:val="20"/>
          <w:lang w:val="en-US"/>
        </w:rPr>
        <w:t>Planning and Finance Department, Quy Nhon University, Vietnam</w:t>
      </w:r>
    </w:p>
    <w:p w14:paraId="0D55AF7A" w14:textId="248FF250" w:rsidR="00227719" w:rsidRPr="00527C38" w:rsidRDefault="3D67EE1E" w:rsidP="3D67EE1E">
      <w:pPr>
        <w:spacing w:after="0" w:line="240" w:lineRule="auto"/>
        <w:jc w:val="center"/>
        <w:rPr>
          <w:rFonts w:asciiTheme="majorHAnsi" w:hAnsiTheme="majorHAnsi" w:cstheme="majorHAnsi"/>
          <w:i/>
          <w:iCs/>
          <w:sz w:val="20"/>
          <w:szCs w:val="20"/>
          <w:lang w:val="en-US"/>
        </w:rPr>
      </w:pPr>
      <w:r w:rsidRPr="00527C38">
        <w:rPr>
          <w:rFonts w:asciiTheme="majorHAnsi" w:hAnsiTheme="majorHAnsi" w:cstheme="majorHAnsi"/>
          <w:i/>
          <w:iCs/>
          <w:sz w:val="20"/>
          <w:szCs w:val="20"/>
          <w:vertAlign w:val="superscript"/>
          <w:lang w:val="en-US"/>
        </w:rPr>
        <w:t>2</w:t>
      </w:r>
      <w:r w:rsidRPr="00527C38">
        <w:rPr>
          <w:rFonts w:asciiTheme="majorHAnsi" w:hAnsiTheme="majorHAnsi" w:cstheme="majorHAnsi"/>
          <w:i/>
          <w:iCs/>
          <w:sz w:val="20"/>
          <w:szCs w:val="20"/>
          <w:lang w:val="en-US"/>
        </w:rPr>
        <w:t>Faculty of Economics and Accounting, Quy Nhon University, Vietnam</w:t>
      </w:r>
    </w:p>
    <w:p w14:paraId="417F8DAE" w14:textId="77777777" w:rsidR="00227719" w:rsidRPr="00527C38" w:rsidRDefault="00227719" w:rsidP="3D67EE1E">
      <w:pPr>
        <w:spacing w:after="0" w:line="240" w:lineRule="auto"/>
        <w:jc w:val="center"/>
        <w:rPr>
          <w:rFonts w:asciiTheme="majorHAnsi" w:hAnsiTheme="majorHAnsi" w:cstheme="majorHAnsi"/>
          <w:i/>
          <w:iCs/>
          <w:sz w:val="20"/>
          <w:szCs w:val="20"/>
          <w:lang w:val="en-US"/>
        </w:rPr>
      </w:pPr>
    </w:p>
    <w:p w14:paraId="4213076D" w14:textId="1F5C0740" w:rsidR="00227719" w:rsidRPr="00527C38" w:rsidRDefault="3D67EE1E" w:rsidP="3D67EE1E">
      <w:pPr>
        <w:spacing w:after="0" w:line="240" w:lineRule="auto"/>
        <w:jc w:val="center"/>
        <w:rPr>
          <w:rFonts w:asciiTheme="majorHAnsi" w:hAnsiTheme="majorHAnsi" w:cstheme="majorHAnsi"/>
          <w:i/>
          <w:iCs/>
          <w:sz w:val="20"/>
          <w:szCs w:val="20"/>
          <w:lang w:val="en-US"/>
        </w:rPr>
      </w:pPr>
      <w:r w:rsidRPr="00527C38">
        <w:rPr>
          <w:rFonts w:asciiTheme="majorHAnsi" w:hAnsiTheme="majorHAnsi" w:cstheme="majorHAnsi"/>
          <w:i/>
          <w:iCs/>
          <w:sz w:val="20"/>
          <w:szCs w:val="20"/>
          <w:lang w:val="en-US"/>
        </w:rPr>
        <w:t>Received: 2025; Revised: 2025;</w:t>
      </w:r>
    </w:p>
    <w:p w14:paraId="31ED3E55" w14:textId="19EC7548" w:rsidR="00227719" w:rsidRPr="00527C38" w:rsidRDefault="3D67EE1E" w:rsidP="3D67EE1E">
      <w:pPr>
        <w:spacing w:after="0" w:line="240" w:lineRule="auto"/>
        <w:jc w:val="center"/>
        <w:rPr>
          <w:rFonts w:asciiTheme="majorHAnsi" w:hAnsiTheme="majorHAnsi" w:cstheme="majorHAnsi"/>
          <w:i/>
          <w:iCs/>
          <w:sz w:val="20"/>
          <w:szCs w:val="20"/>
          <w:lang w:val="en-US"/>
        </w:rPr>
      </w:pPr>
      <w:r w:rsidRPr="00527C38">
        <w:rPr>
          <w:rFonts w:asciiTheme="majorHAnsi" w:hAnsiTheme="majorHAnsi" w:cstheme="majorHAnsi"/>
          <w:i/>
          <w:iCs/>
          <w:sz w:val="20"/>
          <w:szCs w:val="20"/>
          <w:lang w:val="en-US"/>
        </w:rPr>
        <w:t>Accepted: 2025; Published: 2025</w:t>
      </w:r>
    </w:p>
    <w:p w14:paraId="05DE360A" w14:textId="77777777" w:rsidR="00227719" w:rsidRPr="00527C38" w:rsidRDefault="00227719" w:rsidP="3D67EE1E">
      <w:pPr>
        <w:spacing w:after="0" w:line="240" w:lineRule="auto"/>
        <w:jc w:val="center"/>
        <w:rPr>
          <w:rFonts w:asciiTheme="majorHAnsi" w:eastAsia="Times New Roman" w:hAnsiTheme="majorHAnsi" w:cstheme="majorHAnsi"/>
          <w:i/>
          <w:iCs/>
          <w:sz w:val="20"/>
          <w:szCs w:val="20"/>
          <w:lang w:val="en-US"/>
        </w:rPr>
      </w:pPr>
    </w:p>
    <w:p w14:paraId="380644C1" w14:textId="358DD72C" w:rsidR="00227719" w:rsidRPr="00527C38" w:rsidRDefault="3D67EE1E" w:rsidP="3D67EE1E">
      <w:pPr>
        <w:spacing w:after="0" w:line="240" w:lineRule="auto"/>
        <w:jc w:val="center"/>
        <w:rPr>
          <w:rFonts w:asciiTheme="majorHAnsi" w:eastAsia="Times New Roman" w:hAnsiTheme="majorHAnsi" w:cstheme="majorHAnsi"/>
          <w:i/>
          <w:iCs/>
          <w:sz w:val="20"/>
          <w:szCs w:val="20"/>
          <w:lang w:val="en-US"/>
        </w:rPr>
      </w:pPr>
      <w:r w:rsidRPr="00527C38">
        <w:rPr>
          <w:rFonts w:asciiTheme="majorHAnsi" w:eastAsia="Times New Roman" w:hAnsiTheme="majorHAnsi" w:cstheme="majorHAnsi"/>
          <w:i/>
          <w:iCs/>
          <w:sz w:val="20"/>
          <w:szCs w:val="20"/>
          <w:lang w:val="en-US"/>
        </w:rPr>
        <w:t xml:space="preserve">*Corresponding author. Email: </w:t>
      </w:r>
      <w:hyperlink r:id="rId7">
        <w:r w:rsidRPr="00527C38">
          <w:rPr>
            <w:rStyle w:val="Hyperlink"/>
            <w:rFonts w:asciiTheme="majorHAnsi" w:eastAsia="Times New Roman" w:hAnsiTheme="majorHAnsi" w:cstheme="majorHAnsi"/>
            <w:i/>
            <w:iCs/>
            <w:color w:val="auto"/>
            <w:sz w:val="20"/>
            <w:szCs w:val="20"/>
            <w:u w:val="none"/>
            <w:lang w:val="en-US"/>
          </w:rPr>
          <w:t>phamnguyendinhtuan@qnu.edu.vn</w:t>
        </w:r>
      </w:hyperlink>
    </w:p>
    <w:p w14:paraId="0AA0A5DE" w14:textId="77777777" w:rsidR="00227719" w:rsidRPr="00527C38" w:rsidRDefault="00227719" w:rsidP="3D67EE1E">
      <w:pPr>
        <w:spacing w:after="0" w:line="240" w:lineRule="auto"/>
        <w:jc w:val="center"/>
        <w:rPr>
          <w:rFonts w:asciiTheme="majorHAnsi" w:eastAsia="Times New Roman" w:hAnsiTheme="majorHAnsi" w:cstheme="majorHAnsi"/>
          <w:i/>
          <w:iCs/>
          <w:sz w:val="20"/>
          <w:szCs w:val="20"/>
          <w:lang w:val="en-US"/>
        </w:rPr>
      </w:pPr>
    </w:p>
    <w:p w14:paraId="19559622" w14:textId="77777777" w:rsidR="00227719" w:rsidRPr="00527C38" w:rsidRDefault="00227719" w:rsidP="3D67EE1E">
      <w:pPr>
        <w:spacing w:after="0" w:line="240" w:lineRule="auto"/>
        <w:jc w:val="center"/>
        <w:rPr>
          <w:rFonts w:asciiTheme="majorHAnsi" w:eastAsia="Times New Roman" w:hAnsiTheme="majorHAnsi" w:cstheme="majorHAnsi"/>
          <w:i/>
          <w:iCs/>
          <w:sz w:val="20"/>
          <w:szCs w:val="20"/>
          <w:lang w:val="en-US"/>
        </w:rPr>
      </w:pPr>
    </w:p>
    <w:p w14:paraId="24C2714C" w14:textId="4EFA7B87" w:rsidR="00227719" w:rsidRPr="00527C38" w:rsidRDefault="3D67EE1E" w:rsidP="3D67EE1E">
      <w:pPr>
        <w:pStyle w:val="NormalWeb"/>
        <w:spacing w:before="120" w:beforeAutospacing="0" w:after="120" w:afterAutospacing="0"/>
        <w:jc w:val="both"/>
        <w:rPr>
          <w:rFonts w:asciiTheme="majorHAnsi" w:hAnsiTheme="majorHAnsi" w:cstheme="majorHAnsi"/>
          <w:sz w:val="20"/>
          <w:szCs w:val="20"/>
          <w:lang w:val="en-US"/>
        </w:rPr>
      </w:pPr>
      <w:r w:rsidRPr="00527C38">
        <w:rPr>
          <w:rStyle w:val="Strong"/>
          <w:rFonts w:asciiTheme="majorHAnsi" w:eastAsiaTheme="majorEastAsia" w:hAnsiTheme="majorHAnsi" w:cstheme="majorHAnsi"/>
          <w:sz w:val="20"/>
          <w:szCs w:val="20"/>
        </w:rPr>
        <w:t>ABSTRACT</w:t>
      </w:r>
    </w:p>
    <w:p w14:paraId="17617B65" w14:textId="6613D09F" w:rsidR="00227719" w:rsidRPr="00527C38" w:rsidRDefault="00C73C6B" w:rsidP="3D67EE1E">
      <w:pPr>
        <w:pStyle w:val="NormalWeb"/>
        <w:spacing w:before="120" w:beforeAutospacing="0" w:after="120" w:afterAutospacing="0"/>
        <w:ind w:firstLine="567"/>
        <w:jc w:val="both"/>
        <w:rPr>
          <w:rFonts w:asciiTheme="majorHAnsi" w:hAnsiTheme="majorHAnsi" w:cstheme="majorHAnsi"/>
          <w:sz w:val="20"/>
          <w:szCs w:val="20"/>
        </w:rPr>
      </w:pPr>
      <w:r w:rsidRPr="00527C38">
        <w:rPr>
          <w:rFonts w:asciiTheme="majorHAnsi" w:hAnsiTheme="majorHAnsi" w:cstheme="majorHAnsi"/>
          <w:sz w:val="20"/>
          <w:szCs w:val="20"/>
        </w:rPr>
        <w:t>Earnings management under financial distress has attracted increasing attention in accounting and finance research, particularly within emerging markets where institutional quality and information transparency remain limited. This study investigates how financial distress shapes earnings management behavior among firms listed on the Vietnamese stock market. By integrating both accrual</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based and real activity manipulation approaches, the analysis offers a comprehensive view of managerial strategies in response to financial pressure. Using a dynamic panel dataset of 575 listed firms over the period 2005–2022 and employing a two</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step System Generalized Method of Moments (GMM) estimator, the study effectively mitigates endogeneity, heteroskedasticity, and autocorrelation concerns. The empirical results reveal a distinct substitution effect: financially sound firms are more inclined to engage in accrual</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based earnings adjustments, whereas financially distressed firms rely primarily on real activity manipulation</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through abnormal production, sales, or discretionary expense decisions</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to maintain short</w:t>
      </w:r>
      <w:r w:rsidR="004C6136" w:rsidRPr="00527C38">
        <w:rPr>
          <w:rFonts w:asciiTheme="majorHAnsi" w:hAnsiTheme="majorHAnsi" w:cstheme="majorHAnsi"/>
          <w:sz w:val="20"/>
          <w:szCs w:val="20"/>
        </w:rPr>
        <w:t xml:space="preserve"> </w:t>
      </w:r>
      <w:r w:rsidRPr="00527C38">
        <w:rPr>
          <w:rFonts w:asciiTheme="majorHAnsi" w:hAnsiTheme="majorHAnsi" w:cstheme="majorHAnsi"/>
          <w:sz w:val="20"/>
          <w:szCs w:val="20"/>
        </w:rPr>
        <w:t>term profitability and signal stability to external stakeholders. These findings contribute to the literature by providing new evidence from an emerging market context, illustrating that earnings management under financial distress represents a strategic adaptation rather than a purely opportunistic act. The study further offers practical implications for policymakers, auditors, and investors in enhancing financial transparency, improving corporate governance mechanisms, and mitigating the risks associated with earnings manipulation in Vietnam’s capital market.</w:t>
      </w:r>
    </w:p>
    <w:p w14:paraId="3FDF7920" w14:textId="5FCD0868" w:rsidR="00227719" w:rsidRPr="00527C38" w:rsidRDefault="3D67EE1E" w:rsidP="3D67EE1E">
      <w:pPr>
        <w:pStyle w:val="NormalWeb"/>
        <w:spacing w:before="120" w:beforeAutospacing="0" w:after="120" w:afterAutospacing="0"/>
        <w:jc w:val="both"/>
        <w:rPr>
          <w:rFonts w:asciiTheme="majorHAnsi" w:hAnsiTheme="majorHAnsi" w:cstheme="majorHAnsi"/>
          <w:i/>
          <w:iCs/>
          <w:sz w:val="20"/>
          <w:szCs w:val="20"/>
          <w:lang w:val="en-US"/>
        </w:rPr>
      </w:pPr>
      <w:r w:rsidRPr="00527C38">
        <w:rPr>
          <w:rFonts w:asciiTheme="majorHAnsi" w:hAnsiTheme="majorHAnsi" w:cstheme="majorHAnsi"/>
          <w:b/>
          <w:bCs/>
          <w:sz w:val="20"/>
          <w:szCs w:val="20"/>
        </w:rPr>
        <w:t>Keywords</w:t>
      </w:r>
      <w:r w:rsidRPr="00527C38">
        <w:rPr>
          <w:rFonts w:asciiTheme="majorHAnsi" w:hAnsiTheme="majorHAnsi" w:cstheme="majorHAnsi"/>
          <w:sz w:val="20"/>
          <w:szCs w:val="20"/>
        </w:rPr>
        <w:t xml:space="preserve">: </w:t>
      </w:r>
      <w:r w:rsidR="00C73C6B" w:rsidRPr="00527C38">
        <w:rPr>
          <w:rFonts w:asciiTheme="majorHAnsi" w:hAnsiTheme="majorHAnsi" w:cstheme="majorHAnsi"/>
          <w:i/>
          <w:iCs/>
          <w:sz w:val="20"/>
          <w:szCs w:val="20"/>
        </w:rPr>
        <w:t>Earnings Management; Financial Distress; Accrual</w:t>
      </w:r>
      <w:r w:rsidR="004C6136" w:rsidRPr="00527C38">
        <w:rPr>
          <w:rFonts w:asciiTheme="majorHAnsi" w:hAnsiTheme="majorHAnsi" w:cstheme="majorHAnsi"/>
          <w:i/>
          <w:iCs/>
          <w:sz w:val="20"/>
          <w:szCs w:val="20"/>
        </w:rPr>
        <w:t xml:space="preserve"> </w:t>
      </w:r>
      <w:r w:rsidR="00C73C6B" w:rsidRPr="00527C38">
        <w:rPr>
          <w:rFonts w:asciiTheme="majorHAnsi" w:hAnsiTheme="majorHAnsi" w:cstheme="majorHAnsi"/>
          <w:i/>
          <w:iCs/>
          <w:sz w:val="20"/>
          <w:szCs w:val="20"/>
        </w:rPr>
        <w:t>based Management; Real Activity Manipulation; Vietnam</w:t>
      </w:r>
      <w:r w:rsidR="009B0528" w:rsidRPr="00527C38">
        <w:rPr>
          <w:rFonts w:asciiTheme="majorHAnsi" w:hAnsiTheme="majorHAnsi" w:cstheme="majorHAnsi"/>
          <w:i/>
          <w:iCs/>
          <w:sz w:val="20"/>
          <w:szCs w:val="20"/>
          <w:lang w:val="en-US"/>
        </w:rPr>
        <w:t>.</w:t>
      </w:r>
    </w:p>
    <w:p w14:paraId="03E45891" w14:textId="0C5A1720" w:rsidR="00227719" w:rsidRPr="00527C38" w:rsidRDefault="00227719" w:rsidP="00227719">
      <w:pPr>
        <w:pStyle w:val="NormalWeb"/>
        <w:spacing w:before="0" w:beforeAutospacing="0" w:after="0" w:afterAutospacing="0"/>
        <w:jc w:val="center"/>
        <w:rPr>
          <w:rFonts w:asciiTheme="majorHAnsi" w:eastAsiaTheme="minorEastAsia" w:hAnsiTheme="majorHAnsi" w:cstheme="majorHAnsi"/>
          <w:b/>
          <w:sz w:val="20"/>
          <w:szCs w:val="20"/>
          <w:lang w:val="en-US" w:eastAsia="en-US"/>
        </w:rPr>
      </w:pPr>
    </w:p>
    <w:p w14:paraId="49E207C8" w14:textId="11DF8110" w:rsidR="00AB31C2" w:rsidRPr="00527C38" w:rsidRDefault="00AB31C2" w:rsidP="00AB31C2">
      <w:pPr>
        <w:pStyle w:val="NormalWeb"/>
        <w:spacing w:before="120" w:beforeAutospacing="0" w:after="120" w:afterAutospacing="0"/>
        <w:jc w:val="both"/>
        <w:rPr>
          <w:rFonts w:asciiTheme="majorHAnsi" w:hAnsiTheme="majorHAnsi" w:cstheme="majorHAnsi"/>
          <w:i/>
          <w:sz w:val="20"/>
          <w:szCs w:val="20"/>
          <w:lang w:val="en-US"/>
        </w:rPr>
        <w:sectPr w:rsidR="00AB31C2" w:rsidRPr="00527C38" w:rsidSect="004A68D8">
          <w:pgSz w:w="11906" w:h="16838"/>
          <w:pgMar w:top="1134" w:right="1134" w:bottom="1134" w:left="1418" w:header="709" w:footer="709" w:gutter="0"/>
          <w:cols w:space="708"/>
          <w:docGrid w:linePitch="360"/>
        </w:sectPr>
      </w:pPr>
    </w:p>
    <w:p w14:paraId="27F46416" w14:textId="4AE1E707" w:rsidR="00386444" w:rsidRPr="00527C38" w:rsidRDefault="00111008" w:rsidP="005E295C">
      <w:pPr>
        <w:pStyle w:val="Tiumc"/>
        <w:rPr>
          <w:rFonts w:asciiTheme="majorHAnsi" w:hAnsiTheme="majorHAnsi" w:cstheme="majorHAnsi"/>
          <w:lang w:eastAsia="vi-VN"/>
        </w:rPr>
      </w:pPr>
      <w:r w:rsidRPr="00527C38">
        <w:rPr>
          <w:rFonts w:asciiTheme="majorHAnsi" w:hAnsiTheme="majorHAnsi" w:cstheme="majorHAnsi"/>
          <w:lang w:eastAsia="vi-VN"/>
        </w:rPr>
        <w:t xml:space="preserve">1. </w:t>
      </w:r>
      <w:r w:rsidR="00172F86" w:rsidRPr="00527C38">
        <w:rPr>
          <w:rFonts w:asciiTheme="majorHAnsi" w:hAnsiTheme="majorHAnsi" w:cstheme="majorHAnsi"/>
          <w:lang w:eastAsia="vi-VN"/>
        </w:rPr>
        <w:t>INTRODUCTION</w:t>
      </w:r>
    </w:p>
    <w:p w14:paraId="1867B98D" w14:textId="3A95A016" w:rsidR="00C73C6B" w:rsidRPr="00527C38" w:rsidRDefault="00C73C6B" w:rsidP="00C73C6B">
      <w:pPr>
        <w:pStyle w:val="Nidungbibo"/>
        <w:rPr>
          <w:lang w:val="en-US" w:eastAsia="vi-VN"/>
        </w:rPr>
      </w:pPr>
      <w:r w:rsidRPr="00527C38">
        <w:rPr>
          <w:lang w:val="en-US" w:eastAsia="vi-VN"/>
        </w:rPr>
        <w:t>In an increasingly volatile global economy characterized by uncertainty and heightened financial risk, firms are continually exposed to severe pressures on liquidity and performance. Among these challenges, financial distress stands out as one of the most critical threats to corporate survival, directly undermining firms’ ability to sustain operations and pursue long</w:t>
      </w:r>
      <w:r w:rsidR="004C6136" w:rsidRPr="00527C38">
        <w:rPr>
          <w:lang w:val="en-US" w:eastAsia="vi-VN"/>
        </w:rPr>
        <w:t xml:space="preserve"> </w:t>
      </w:r>
      <w:r w:rsidRPr="00527C38">
        <w:rPr>
          <w:lang w:val="en-US" w:eastAsia="vi-VN"/>
        </w:rPr>
        <w:t>term growth. When experiencing financial distress, firms often struggle to maintain liquidity, meet debt obligations, and preserve operational efficiency</w:t>
      </w:r>
      <w:r w:rsidR="004C6136" w:rsidRPr="00527C38">
        <w:rPr>
          <w:lang w:val="en-US" w:eastAsia="vi-VN"/>
        </w:rPr>
        <w:t xml:space="preserve"> </w:t>
      </w:r>
      <w:r w:rsidRPr="00527C38">
        <w:rPr>
          <w:lang w:val="en-US" w:eastAsia="vi-VN"/>
        </w:rPr>
        <w:t>leading to declining firm value, deteriorating creditworthiness, and erosion of investor and stakeholder confidence.</w:t>
      </w:r>
    </w:p>
    <w:p w14:paraId="41A3D60B" w14:textId="0EFF2FB2" w:rsidR="00C73C6B" w:rsidRPr="00527C38" w:rsidRDefault="00C73C6B" w:rsidP="00C73C6B">
      <w:pPr>
        <w:pStyle w:val="Nidungbibo"/>
        <w:rPr>
          <w:lang w:val="en-US" w:eastAsia="vi-VN"/>
        </w:rPr>
      </w:pPr>
      <w:r w:rsidRPr="00527C38">
        <w:rPr>
          <w:lang w:val="en-US" w:eastAsia="vi-VN"/>
        </w:rPr>
        <w:t>Under such adverse financial conditions, financial reporting</w:t>
      </w:r>
      <w:r w:rsidR="004C6136" w:rsidRPr="00527C38">
        <w:rPr>
          <w:lang w:val="en-US" w:eastAsia="vi-VN"/>
        </w:rPr>
        <w:t xml:space="preserve"> </w:t>
      </w:r>
      <w:r w:rsidRPr="00527C38">
        <w:rPr>
          <w:lang w:val="en-US" w:eastAsia="vi-VN"/>
        </w:rPr>
        <w:t>the primary mechanism through which firms communicate performance and position</w:t>
      </w:r>
      <w:r w:rsidR="004C6136" w:rsidRPr="00527C38">
        <w:rPr>
          <w:lang w:val="en-US" w:eastAsia="vi-VN"/>
        </w:rPr>
        <w:t xml:space="preserve"> </w:t>
      </w:r>
      <w:r w:rsidRPr="00527C38">
        <w:rPr>
          <w:lang w:val="en-US" w:eastAsia="vi-VN"/>
        </w:rPr>
        <w:t xml:space="preserve">may be influenced by managerial discretion. One key manifestation of this discretion is earnings management, defined as the intentional use of accounting judgment or real </w:t>
      </w:r>
      <w:r w:rsidRPr="00527C38">
        <w:rPr>
          <w:lang w:val="en-US" w:eastAsia="vi-VN"/>
        </w:rPr>
        <w:t>operating decisions to influence reported earnings. The motives behind earnings management are multifaceted, ranging from the pursuit of earnings targets and the maintenance of a stable financial image to the avoidance of debt covenant violations. As liquidity constraints intensify or credit quality weakens, managers face stronger incentives to manipulate earnings as a means of signaling financial stability or securing external financing.</w:t>
      </w:r>
    </w:p>
    <w:p w14:paraId="3CF7E2EB" w14:textId="3652F6BB" w:rsidR="00C73C6B" w:rsidRPr="00527C38" w:rsidRDefault="00C73C6B" w:rsidP="00C73C6B">
      <w:pPr>
        <w:pStyle w:val="Nidungbibo"/>
        <w:rPr>
          <w:lang w:val="en-US" w:eastAsia="vi-VN"/>
        </w:rPr>
      </w:pPr>
      <w:r w:rsidRPr="00527C38">
        <w:rPr>
          <w:lang w:val="en-US" w:eastAsia="vi-VN"/>
        </w:rPr>
        <w:t>In developed economies, earnings management under financial distress has been extensively examined and is often interpreted as a strategic response to financial constraints rather than merely opportunistic or fraudulent behavior. In contrast, in emerging markets such as Vietnam</w:t>
      </w:r>
      <w:r w:rsidR="004C6136" w:rsidRPr="00527C38">
        <w:rPr>
          <w:lang w:val="en-US" w:eastAsia="vi-VN"/>
        </w:rPr>
        <w:t xml:space="preserve"> </w:t>
      </w:r>
      <w:r w:rsidRPr="00527C38">
        <w:rPr>
          <w:lang w:val="en-US" w:eastAsia="vi-VN"/>
        </w:rPr>
        <w:t>where financial systems remain bank</w:t>
      </w:r>
      <w:r w:rsidR="004C6136" w:rsidRPr="00527C38">
        <w:rPr>
          <w:lang w:val="en-US" w:eastAsia="vi-VN"/>
        </w:rPr>
        <w:t xml:space="preserve"> </w:t>
      </w:r>
      <w:r w:rsidRPr="00527C38">
        <w:rPr>
          <w:lang w:val="en-US" w:eastAsia="vi-VN"/>
        </w:rPr>
        <w:t>dependent, institutional frameworks are underdeveloped, and information transparency is limited</w:t>
      </w:r>
      <w:r w:rsidR="004C6136" w:rsidRPr="00527C38">
        <w:rPr>
          <w:lang w:val="en-US" w:eastAsia="vi-VN"/>
        </w:rPr>
        <w:t xml:space="preserve"> </w:t>
      </w:r>
      <w:r w:rsidRPr="00527C38">
        <w:rPr>
          <w:lang w:val="en-US" w:eastAsia="vi-VN"/>
        </w:rPr>
        <w:t>earnings management practices are more complex and less easily detectable. Many Vietnamese firms rely heavily on short</w:t>
      </w:r>
      <w:r w:rsidR="004C6136" w:rsidRPr="00527C38">
        <w:rPr>
          <w:lang w:val="en-US" w:eastAsia="vi-VN"/>
        </w:rPr>
        <w:t xml:space="preserve"> </w:t>
      </w:r>
      <w:r w:rsidRPr="00527C38">
        <w:rPr>
          <w:lang w:val="en-US" w:eastAsia="vi-VN"/>
        </w:rPr>
        <w:t>term bank borrowing, while access to long</w:t>
      </w:r>
      <w:r w:rsidR="004C6136" w:rsidRPr="00527C38">
        <w:rPr>
          <w:lang w:val="en-US" w:eastAsia="vi-VN"/>
        </w:rPr>
        <w:t xml:space="preserve"> </w:t>
      </w:r>
      <w:r w:rsidRPr="00527C38">
        <w:rPr>
          <w:lang w:val="en-US" w:eastAsia="vi-VN"/>
        </w:rPr>
        <w:t xml:space="preserve">term capital through equity </w:t>
      </w:r>
      <w:r w:rsidRPr="00527C38">
        <w:rPr>
          <w:lang w:val="en-US" w:eastAsia="vi-VN"/>
        </w:rPr>
        <w:lastRenderedPageBreak/>
        <w:t>markets remains restricted. Consequently, the pressure to maintain liquidity and project favorable financial health can drive managers to adjust earnings to achieve short</w:t>
      </w:r>
      <w:r w:rsidR="004C6136" w:rsidRPr="00527C38">
        <w:rPr>
          <w:lang w:val="en-US" w:eastAsia="vi-VN"/>
        </w:rPr>
        <w:t xml:space="preserve"> </w:t>
      </w:r>
      <w:r w:rsidRPr="00527C38">
        <w:rPr>
          <w:lang w:val="en-US" w:eastAsia="vi-VN"/>
        </w:rPr>
        <w:t>term financial objectives, particularly during periods of economic instability or credit tightening.</w:t>
      </w:r>
    </w:p>
    <w:p w14:paraId="1AB41D80" w14:textId="0D52911C" w:rsidR="00C73C6B" w:rsidRPr="00527C38" w:rsidRDefault="00C73C6B" w:rsidP="00C73C6B">
      <w:pPr>
        <w:pStyle w:val="Nidungbibo"/>
        <w:rPr>
          <w:lang w:val="en-US" w:eastAsia="vi-VN"/>
        </w:rPr>
      </w:pPr>
      <w:r w:rsidRPr="00527C38">
        <w:rPr>
          <w:lang w:val="en-US" w:eastAsia="vi-VN"/>
        </w:rPr>
        <w:t>Earnings management is not a uniform process but typically occurs through two distinct mechanisms: accrual</w:t>
      </w:r>
      <w:r w:rsidR="004C6136" w:rsidRPr="00527C38">
        <w:rPr>
          <w:lang w:val="en-US" w:eastAsia="vi-VN"/>
        </w:rPr>
        <w:t xml:space="preserve"> </w:t>
      </w:r>
      <w:r w:rsidRPr="00527C38">
        <w:rPr>
          <w:lang w:val="en-US" w:eastAsia="vi-VN"/>
        </w:rPr>
        <w:t>based earnings management and real earnings management. These approaches differ in execution, cost implications, and associated risks. Accrual</w:t>
      </w:r>
      <w:r w:rsidR="004C6136" w:rsidRPr="00527C38">
        <w:rPr>
          <w:lang w:val="en-US" w:eastAsia="vi-VN"/>
        </w:rPr>
        <w:t xml:space="preserve"> </w:t>
      </w:r>
      <w:r w:rsidRPr="00527C38">
        <w:rPr>
          <w:lang w:val="en-US" w:eastAsia="vi-VN"/>
        </w:rPr>
        <w:t>based manipulation relies on accounting estimates and recognition choices, which are often more visible to auditors and regulators. Conversely, real activities manipulation</w:t>
      </w:r>
      <w:r w:rsidR="004C6136" w:rsidRPr="00527C38">
        <w:rPr>
          <w:lang w:val="en-US" w:eastAsia="vi-VN"/>
        </w:rPr>
        <w:t xml:space="preserve"> </w:t>
      </w:r>
      <w:r w:rsidRPr="00527C38">
        <w:rPr>
          <w:lang w:val="en-US" w:eastAsia="vi-VN"/>
        </w:rPr>
        <w:t>such as altering production levels, sales timing, or discretionary spending</w:t>
      </w:r>
      <w:r w:rsidR="004C6136" w:rsidRPr="00527C38">
        <w:rPr>
          <w:lang w:val="en-US" w:eastAsia="vi-VN"/>
        </w:rPr>
        <w:t xml:space="preserve"> </w:t>
      </w:r>
      <w:r w:rsidRPr="00527C38">
        <w:rPr>
          <w:lang w:val="en-US" w:eastAsia="vi-VN"/>
        </w:rPr>
        <w:t>affects actual business operations and is more difficult to detect, though it may have adverse long</w:t>
      </w:r>
      <w:r w:rsidR="004C6136" w:rsidRPr="00527C38">
        <w:rPr>
          <w:lang w:val="en-US" w:eastAsia="vi-VN"/>
        </w:rPr>
        <w:t xml:space="preserve"> </w:t>
      </w:r>
      <w:r w:rsidRPr="00527C38">
        <w:rPr>
          <w:lang w:val="en-US" w:eastAsia="vi-VN"/>
        </w:rPr>
        <w:t>term consequences for firm performance.</w:t>
      </w:r>
    </w:p>
    <w:p w14:paraId="487BE267" w14:textId="6BC4FB1E" w:rsidR="00C73C6B" w:rsidRPr="00527C38" w:rsidRDefault="00C73C6B" w:rsidP="00C73C6B">
      <w:pPr>
        <w:pStyle w:val="Nidungbibo"/>
        <w:rPr>
          <w:lang w:val="en-US" w:eastAsia="vi-VN"/>
        </w:rPr>
      </w:pPr>
      <w:r w:rsidRPr="00527C38">
        <w:rPr>
          <w:lang w:val="en-US" w:eastAsia="vi-VN"/>
        </w:rPr>
        <w:t xml:space="preserve">While international research has provided substantial insights into the interplay between financial distress and earnings management, evidence from Vietnam remains limited. Existing domestic studies largely focus on measuring the general extent of earnings management </w:t>
      </w:r>
      <w:r w:rsidR="001D27EB" w:rsidRPr="00527C38">
        <w:rPr>
          <w:highlight w:val="yellow"/>
          <w:lang w:val="en-US" w:eastAsia="vi-VN"/>
        </w:rPr>
        <w:t>using static models,</w:t>
      </w:r>
      <w:r w:rsidR="001D27EB" w:rsidRPr="00527C38">
        <w:rPr>
          <w:lang w:val="en-US" w:eastAsia="vi-VN"/>
        </w:rPr>
        <w:t xml:space="preserve"> </w:t>
      </w:r>
      <w:r w:rsidRPr="00527C38">
        <w:rPr>
          <w:lang w:val="en-US" w:eastAsia="vi-VN"/>
        </w:rPr>
        <w:t>without differentiating between its two mechanisms or addressing endogeneity concerns. Yet, earnings management can influence a firm’s financial condition, creating potential feedback effects that bias estimation results. To overcome these limitations, the present study adopts a dynamic panel data approach and applies the two</w:t>
      </w:r>
      <w:r w:rsidR="004C6136" w:rsidRPr="00527C38">
        <w:rPr>
          <w:lang w:val="en-US" w:eastAsia="vi-VN"/>
        </w:rPr>
        <w:t xml:space="preserve"> </w:t>
      </w:r>
      <w:r w:rsidRPr="00527C38">
        <w:rPr>
          <w:lang w:val="en-US" w:eastAsia="vi-VN"/>
        </w:rPr>
        <w:t>step System Generalized Method of Moments (GMM) estimator.</w:t>
      </w:r>
      <w:r w:rsidR="00945C0C" w:rsidRPr="00527C38">
        <w:rPr>
          <w:lang w:val="en-US" w:eastAsia="vi-VN"/>
        </w:rPr>
        <w:t xml:space="preserve"> </w:t>
      </w:r>
      <w:r w:rsidR="00945C0C" w:rsidRPr="00527C38">
        <w:rPr>
          <w:highlight w:val="yellow"/>
          <w:lang w:val="en-US" w:eastAsia="vi-VN"/>
        </w:rPr>
        <w:t>This methodology allows for a robust examination of the substitution effect between AEM and REM, capturing the dynamic nature of earnings management while mitigating endogeneity problems.</w:t>
      </w:r>
    </w:p>
    <w:p w14:paraId="2285C158" w14:textId="248C8CF0" w:rsidR="00C73C6B" w:rsidRPr="00527C38" w:rsidRDefault="00C73C6B" w:rsidP="00C73C6B">
      <w:pPr>
        <w:pStyle w:val="Nidungbibo"/>
        <w:rPr>
          <w:lang w:val="en-US" w:eastAsia="vi-VN"/>
        </w:rPr>
      </w:pPr>
      <w:r w:rsidRPr="00527C38">
        <w:rPr>
          <w:lang w:val="en-US" w:eastAsia="vi-VN"/>
        </w:rPr>
        <w:t>This research has three main objectives. First, it examines the impact of financial distress on the degree of earnings management among firms listed on Vietnam’s stock exchanges. Second, it distinguishes between the effects of financial distress on accrual</w:t>
      </w:r>
      <w:r w:rsidR="004C6136" w:rsidRPr="00527C38">
        <w:rPr>
          <w:lang w:val="en-US" w:eastAsia="vi-VN"/>
        </w:rPr>
        <w:t xml:space="preserve"> </w:t>
      </w:r>
      <w:r w:rsidRPr="00527C38">
        <w:rPr>
          <w:lang w:val="en-US" w:eastAsia="vi-VN"/>
        </w:rPr>
        <w:t>based versus real activity manipulation. Third, it derives policy implications aimed at strengthening financial reporting transparency, corporate governance, and risk supervision within Vietnam’s capital markets.</w:t>
      </w:r>
    </w:p>
    <w:p w14:paraId="056D5617" w14:textId="20752608" w:rsidR="00EA5B5B" w:rsidRPr="00527C38" w:rsidRDefault="00C73C6B" w:rsidP="00C73C6B">
      <w:pPr>
        <w:pStyle w:val="Nidungbibo"/>
        <w:rPr>
          <w:lang w:val="en-US" w:eastAsia="vi-VN"/>
        </w:rPr>
      </w:pPr>
      <w:r w:rsidRPr="00527C38">
        <w:rPr>
          <w:lang w:val="en-US" w:eastAsia="vi-VN"/>
        </w:rPr>
        <w:t xml:space="preserve">From an academic standpoint, this study deepens the understanding of earnings management under financial constraints in emerging market contexts. By integrating both </w:t>
      </w:r>
      <w:r w:rsidRPr="00527C38">
        <w:rPr>
          <w:lang w:val="en-US" w:eastAsia="vi-VN"/>
        </w:rPr>
        <w:t>accrual</w:t>
      </w:r>
      <w:r w:rsidR="004C6136" w:rsidRPr="00527C38">
        <w:rPr>
          <w:lang w:val="en-US" w:eastAsia="vi-VN"/>
        </w:rPr>
        <w:t xml:space="preserve"> </w:t>
      </w:r>
      <w:r w:rsidRPr="00527C38">
        <w:rPr>
          <w:lang w:val="en-US" w:eastAsia="vi-VN"/>
        </w:rPr>
        <w:t>based and real activity perspectives within a dynamic panel framework, it provides robust and generalizable evidence on how managers respond strategically to financial distress. From a practical perspective, the findings offer meaningful insights for regulators, auditors, and investors seeking to improve the quality of financial disclosure, enhance monitoring mechanisms, and promote sustainable corporate governance in Vietnam.</w:t>
      </w:r>
    </w:p>
    <w:p w14:paraId="414E5ECE" w14:textId="191BD866" w:rsidR="00386444" w:rsidRPr="00527C38" w:rsidRDefault="00DD6E59" w:rsidP="00DD6E59">
      <w:pPr>
        <w:pStyle w:val="Tiumc"/>
        <w:rPr>
          <w:rFonts w:asciiTheme="majorHAnsi" w:hAnsiTheme="majorHAnsi" w:cstheme="majorHAnsi"/>
          <w:lang w:eastAsia="vi-VN"/>
        </w:rPr>
      </w:pPr>
      <w:r w:rsidRPr="00527C38">
        <w:rPr>
          <w:rFonts w:asciiTheme="majorHAnsi" w:hAnsiTheme="majorHAnsi" w:cstheme="majorHAnsi"/>
          <w:lang w:eastAsia="vi-VN"/>
        </w:rPr>
        <w:t>2</w:t>
      </w:r>
      <w:r w:rsidR="00DD5326" w:rsidRPr="00527C38">
        <w:rPr>
          <w:rFonts w:asciiTheme="majorHAnsi" w:hAnsiTheme="majorHAnsi" w:cstheme="majorHAnsi"/>
          <w:lang w:eastAsia="vi-VN"/>
        </w:rPr>
        <w:t>.</w:t>
      </w:r>
      <w:r w:rsidR="00056B62" w:rsidRPr="00527C38">
        <w:rPr>
          <w:rFonts w:asciiTheme="majorHAnsi" w:hAnsiTheme="majorHAnsi" w:cstheme="majorHAnsi"/>
          <w:lang w:eastAsia="vi-VN"/>
        </w:rPr>
        <w:t xml:space="preserve"> THEORETICAL FRAMEWORK AND LITERATURE REVIEW</w:t>
      </w:r>
    </w:p>
    <w:p w14:paraId="6178C58D" w14:textId="26642BB3" w:rsidR="00DD6E59" w:rsidRPr="00527C38" w:rsidRDefault="00DD6E59" w:rsidP="00DD6E59">
      <w:pPr>
        <w:pStyle w:val="Tiumc"/>
        <w:rPr>
          <w:rFonts w:asciiTheme="majorHAnsi" w:hAnsiTheme="majorHAnsi" w:cstheme="majorHAnsi"/>
          <w:lang w:eastAsia="vi-VN"/>
        </w:rPr>
      </w:pPr>
      <w:r w:rsidRPr="00527C38">
        <w:rPr>
          <w:rFonts w:asciiTheme="majorHAnsi" w:hAnsiTheme="majorHAnsi" w:cstheme="majorHAnsi"/>
          <w:lang w:eastAsia="vi-VN"/>
        </w:rPr>
        <w:t>2.1.</w:t>
      </w:r>
      <w:r w:rsidR="00A607BE" w:rsidRPr="00527C38">
        <w:rPr>
          <w:rFonts w:asciiTheme="majorHAnsi" w:hAnsiTheme="majorHAnsi" w:cstheme="majorHAnsi"/>
          <w:lang w:eastAsia="vi-VN"/>
        </w:rPr>
        <w:t xml:space="preserve"> Theoretical Framework</w:t>
      </w:r>
    </w:p>
    <w:p w14:paraId="0F976C8F" w14:textId="11F01A33" w:rsidR="00DD6E59" w:rsidRPr="00527C38" w:rsidRDefault="00DD6E59" w:rsidP="00DD6E59">
      <w:pPr>
        <w:pStyle w:val="Tiumc"/>
        <w:rPr>
          <w:rFonts w:asciiTheme="majorHAnsi" w:hAnsiTheme="majorHAnsi" w:cstheme="majorHAnsi"/>
          <w:b w:val="0"/>
          <w:bCs/>
          <w:i/>
          <w:iCs/>
          <w:lang w:eastAsia="vi-VN"/>
        </w:rPr>
      </w:pPr>
      <w:r w:rsidRPr="00527C38">
        <w:rPr>
          <w:rFonts w:asciiTheme="majorHAnsi" w:hAnsiTheme="majorHAnsi" w:cstheme="majorHAnsi"/>
          <w:b w:val="0"/>
          <w:bCs/>
          <w:i/>
          <w:iCs/>
          <w:lang w:eastAsia="vi-VN"/>
        </w:rPr>
        <w:t>2.1.1.</w:t>
      </w:r>
      <w:r w:rsidR="00C46488" w:rsidRPr="00527C38">
        <w:rPr>
          <w:rFonts w:asciiTheme="majorHAnsi" w:hAnsiTheme="majorHAnsi" w:cstheme="majorHAnsi"/>
          <w:b w:val="0"/>
          <w:bCs/>
          <w:i/>
          <w:iCs/>
          <w:lang w:eastAsia="vi-VN"/>
        </w:rPr>
        <w:t xml:space="preserve"> Agency Theory</w:t>
      </w:r>
    </w:p>
    <w:p w14:paraId="03170090" w14:textId="14844D0B" w:rsidR="00C73C6B" w:rsidRPr="00527C38" w:rsidRDefault="00C73C6B" w:rsidP="00C73C6B">
      <w:pPr>
        <w:pStyle w:val="Nidungbibo"/>
        <w:rPr>
          <w:lang w:val="en-US" w:eastAsia="vi-VN"/>
        </w:rPr>
      </w:pPr>
      <w:r w:rsidRPr="00527C38">
        <w:rPr>
          <w:lang w:val="en-US" w:eastAsia="vi-VN"/>
        </w:rPr>
        <w:t>Agency theory asserts that the relationship between shareholders (principals) and managers (agents) is inherently characterized by conflicts of interest resulting from information asymmetry between the two parties</w:t>
      </w:r>
      <w:r w:rsidR="00DC1B20" w:rsidRPr="00527C38">
        <w:rPr>
          <w:lang w:val="en-US" w:eastAsia="vi-VN"/>
        </w:rPr>
        <w:t>.</w:t>
      </w:r>
      <w:hyperlink w:anchor="_ENREF_1" w:tooltip="Jensen, 1976 #274" w:history="1">
        <w:r w:rsidR="00527C38" w:rsidRPr="00527C38">
          <w:rPr>
            <w:lang w:val="en-US" w:eastAsia="vi-VN"/>
          </w:rPr>
          <w:fldChar w:fldCharType="begin"/>
        </w:r>
        <w:r w:rsidR="00527C38" w:rsidRPr="00527C38">
          <w:rPr>
            <w:lang w:val="en-US" w:eastAsia="vi-VN"/>
          </w:rPr>
          <w:instrText xml:space="preserve"> ADDIN EN.CITE &lt;EndNote&gt;&lt;Cite&gt;&lt;Author&gt;Jensen&lt;/Author&gt;&lt;Year&gt;1976&lt;/Year&gt;&lt;RecNum&gt;274&lt;/RecNum&gt;&lt;DisplayText&gt;&lt;style face="superscript"&gt;1&lt;/style&gt;&lt;/DisplayText&gt;&lt;record&gt;&lt;rec-number&gt;274&lt;/rec-number&gt;&lt;foreign-keys&gt;&lt;key app="EN" db-id="exevsxpvos5ep2ear9b5svvoeswxvzw2rs5p" timestamp="1662023986" guid="d3392d96-485f-4724-b59e-4f85f93dd8c4"&gt;274&lt;/key&gt;&lt;/foreign-keys&gt;&lt;ref-type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related-urls&gt;&lt;url&gt;https://doi.org/10.1016/0304-405X(76)90026-X&lt;/url&gt;&lt;/related-urls&gt;&lt;/urls&gt;&lt;electronic-resource-num&gt;https://doi.org/10.1016/0304-405x(76)90026-x&lt;/electronic-resource-num&gt;&lt;/record&gt;&lt;/Cite&gt;&lt;/EndNote&gt;</w:instrText>
        </w:r>
        <w:r w:rsidR="00527C38" w:rsidRPr="00527C38">
          <w:rPr>
            <w:lang w:val="en-US" w:eastAsia="vi-VN"/>
          </w:rPr>
          <w:fldChar w:fldCharType="separate"/>
        </w:r>
        <w:r w:rsidR="00527C38" w:rsidRPr="00527C38">
          <w:rPr>
            <w:vertAlign w:val="superscript"/>
          </w:rPr>
          <w:t>1</w:t>
        </w:r>
        <w:r w:rsidR="00527C38" w:rsidRPr="00527C38">
          <w:rPr>
            <w:lang w:val="en-US" w:eastAsia="vi-VN"/>
          </w:rPr>
          <w:fldChar w:fldCharType="end"/>
        </w:r>
      </w:hyperlink>
      <w:r w:rsidRPr="00527C38">
        <w:rPr>
          <w:lang w:val="en-US" w:eastAsia="vi-VN"/>
        </w:rPr>
        <w:t xml:space="preserve"> When ownership and control are separated, managers may pursue actions that maximize their personal utility</w:t>
      </w:r>
      <w:r w:rsidR="004C6136" w:rsidRPr="00527C38">
        <w:rPr>
          <w:lang w:val="en-US" w:eastAsia="vi-VN"/>
        </w:rPr>
        <w:t xml:space="preserve"> </w:t>
      </w:r>
      <w:r w:rsidRPr="00527C38">
        <w:rPr>
          <w:lang w:val="en-US" w:eastAsia="vi-VN"/>
        </w:rPr>
        <w:t>such as maintaining job security, reputation, or compensation</w:t>
      </w:r>
      <w:r w:rsidR="004C6136" w:rsidRPr="00527C38">
        <w:rPr>
          <w:lang w:val="en-US" w:eastAsia="vi-VN"/>
        </w:rPr>
        <w:t xml:space="preserve"> </w:t>
      </w:r>
      <w:r w:rsidRPr="00527C38">
        <w:rPr>
          <w:lang w:val="en-US" w:eastAsia="vi-VN"/>
        </w:rPr>
        <w:t>rather than the overall wealth of shareholders. Under conditions of financial distress, these agency conflicts tend to intensify. Heightened financial pressure increases the likelihood that managers will engage in opportunistic behavior, including manipulating accounting figures or adjusting operational policies, to project a more favorable financial position than actually exists.</w:t>
      </w:r>
    </w:p>
    <w:p w14:paraId="25E776D0" w14:textId="7423EE78" w:rsidR="00D130F6" w:rsidRPr="00527C38" w:rsidRDefault="00C73C6B" w:rsidP="00C73C6B">
      <w:pPr>
        <w:pStyle w:val="Nidungbibo"/>
        <w:rPr>
          <w:lang w:val="en-US" w:eastAsia="vi-VN"/>
        </w:rPr>
      </w:pPr>
      <w:r w:rsidRPr="00527C38">
        <w:rPr>
          <w:lang w:val="en-US" w:eastAsia="vi-VN"/>
        </w:rPr>
        <w:t>Within this context, earnings management emerges as a mechanism through which managers attempt to reconcile personal incentives with contractual and financial constraints. From the perspective of agency theory, such behavior represents a rational response to misaligned interests and monitoring inefficiencies, rather than purely deceptive intent. Consequently, agency theory provides a foundational framework for explaining why firms experiencing financial difficulties are more prone to earnings management, particularly when external oversight and governance mechanisms are weak.</w:t>
      </w:r>
    </w:p>
    <w:p w14:paraId="6BD6D5D5" w14:textId="2E656D09" w:rsidR="00DD6E59" w:rsidRPr="00527C38" w:rsidRDefault="009D478F" w:rsidP="00DD6E59">
      <w:pPr>
        <w:pStyle w:val="Tiumc"/>
        <w:rPr>
          <w:rFonts w:asciiTheme="majorHAnsi" w:hAnsiTheme="majorHAnsi" w:cstheme="majorHAnsi"/>
          <w:b w:val="0"/>
          <w:bCs/>
          <w:i/>
          <w:iCs/>
          <w:lang w:eastAsia="vi-VN"/>
        </w:rPr>
      </w:pPr>
      <w:r w:rsidRPr="00527C38">
        <w:rPr>
          <w:rFonts w:asciiTheme="majorHAnsi" w:hAnsiTheme="majorHAnsi" w:cstheme="majorHAnsi"/>
          <w:b w:val="0"/>
          <w:bCs/>
          <w:i/>
          <w:iCs/>
          <w:lang w:eastAsia="vi-VN"/>
        </w:rPr>
        <w:t>2.1.2. Positive Accounting Theory</w:t>
      </w:r>
    </w:p>
    <w:p w14:paraId="098B5484" w14:textId="773B805C" w:rsidR="00C73C6B" w:rsidRPr="00527C38" w:rsidRDefault="00C73C6B" w:rsidP="00C73C6B">
      <w:pPr>
        <w:pStyle w:val="Nidungbibo"/>
        <w:rPr>
          <w:lang w:val="en-US" w:eastAsia="vi-VN"/>
        </w:rPr>
      </w:pPr>
      <w:r w:rsidRPr="00527C38">
        <w:rPr>
          <w:lang w:val="en-US" w:eastAsia="vi-VN"/>
        </w:rPr>
        <w:t>Positive Accounting Theory posits that managerial accounting choices are not arbitrary but are systematically influenced by underlying economic incentives and contractual obligations faced by the firm</w:t>
      </w:r>
      <w:r w:rsidR="00DC1B20" w:rsidRPr="00527C38">
        <w:rPr>
          <w:lang w:val="en-US" w:eastAsia="vi-VN"/>
        </w:rPr>
        <w:t>.</w:t>
      </w:r>
      <w:hyperlink w:anchor="_ENREF_2" w:tooltip="Watts, 1986 #59" w:history="1">
        <w:r w:rsidR="00527C38" w:rsidRPr="00527C38">
          <w:rPr>
            <w:lang w:val="en-US" w:eastAsia="vi-VN"/>
          </w:rPr>
          <w:fldChar w:fldCharType="begin"/>
        </w:r>
        <w:r w:rsidR="00527C38" w:rsidRPr="00527C38">
          <w:rPr>
            <w:lang w:val="en-US" w:eastAsia="vi-VN"/>
          </w:rPr>
          <w:instrText xml:space="preserve"> ADDIN EN.CITE &lt;EndNote&gt;&lt;Cite&gt;&lt;Author&gt;Watts&lt;/Author&gt;&lt;Year&gt;1986&lt;/Year&gt;&lt;RecNum&gt;59&lt;/RecNum&gt;&lt;DisplayText&gt;&lt;style face="superscript"&gt;2&lt;/style&gt;&lt;/DisplayText&gt;&lt;record&gt;&lt;rec-number&gt;59&lt;/rec-number&gt;&lt;foreign-keys&gt;&lt;key app="EN" db-id="exevsxpvos5ep2ear9b5svvoeswxvzw2rs5p" timestamp="1662023555" guid="bfd687bb-ff24-4bb9-917a-4c5a85842987"&gt;59&lt;/key&gt;&lt;/foreign-keys&gt;&lt;ref-type name="Book"&gt;6&lt;/ref-type&gt;&lt;contributors&gt;&lt;authors&gt;&lt;author&gt;Watts, Ross L&lt;/author&gt;&lt;author&gt;Zimmerman, Jerold L&lt;/author&gt;&lt;/authors&gt;&lt;/contributors&gt;&lt;titles&gt;&lt;title&gt;Positive accounting theory&lt;/title&gt;&lt;/titles&gt;&lt;dates&gt;&lt;year&gt;1986&lt;/year&gt;&lt;/dates&gt;&lt;pub-location&gt;Englewood Cliffs, N.J.&lt;/pub-location&gt;&lt;publisher&gt;Prentice-hall&lt;/publisher&gt;&lt;urls&gt;&lt;/urls&gt;&lt;/record&gt;&lt;/Cite&gt;&lt;/EndNote&gt;</w:instrText>
        </w:r>
        <w:r w:rsidR="00527C38" w:rsidRPr="00527C38">
          <w:rPr>
            <w:lang w:val="en-US" w:eastAsia="vi-VN"/>
          </w:rPr>
          <w:fldChar w:fldCharType="separate"/>
        </w:r>
        <w:r w:rsidR="00527C38" w:rsidRPr="00527C38">
          <w:rPr>
            <w:vertAlign w:val="superscript"/>
          </w:rPr>
          <w:t>2</w:t>
        </w:r>
        <w:r w:rsidR="00527C38" w:rsidRPr="00527C38">
          <w:rPr>
            <w:lang w:val="en-US" w:eastAsia="vi-VN"/>
          </w:rPr>
          <w:fldChar w:fldCharType="end"/>
        </w:r>
      </w:hyperlink>
      <w:r w:rsidRPr="00527C38">
        <w:rPr>
          <w:lang w:val="en-US" w:eastAsia="vi-VN"/>
        </w:rPr>
        <w:t xml:space="preserve"> In this framework, accounting behavior reflects rational responses to institutional and market pressures rather than random decision</w:t>
      </w:r>
      <w:r w:rsidR="004C6136" w:rsidRPr="00527C38">
        <w:rPr>
          <w:lang w:val="en-US" w:eastAsia="vi-VN"/>
        </w:rPr>
        <w:t xml:space="preserve"> </w:t>
      </w:r>
      <w:r w:rsidRPr="00527C38">
        <w:rPr>
          <w:lang w:val="en-US" w:eastAsia="vi-VN"/>
        </w:rPr>
        <w:t xml:space="preserve">making. The theory identifies </w:t>
      </w:r>
      <w:r w:rsidRPr="00527C38">
        <w:rPr>
          <w:lang w:val="en-US" w:eastAsia="vi-VN"/>
        </w:rPr>
        <w:lastRenderedPageBreak/>
        <w:t>three principal hypotheses that explain the motives behind earnings management.</w:t>
      </w:r>
    </w:p>
    <w:p w14:paraId="4F053719" w14:textId="77777777" w:rsidR="00C73C6B" w:rsidRPr="00527C38" w:rsidRDefault="00C73C6B" w:rsidP="00C73C6B">
      <w:pPr>
        <w:pStyle w:val="Nidungbibo"/>
        <w:rPr>
          <w:lang w:val="en-US" w:eastAsia="vi-VN"/>
        </w:rPr>
      </w:pPr>
      <w:r w:rsidRPr="00527C38">
        <w:rPr>
          <w:lang w:val="en-US" w:eastAsia="vi-VN"/>
        </w:rPr>
        <w:t>First, the Bonus Plan Hypothesis suggests that managers are inclined to increase reported earnings to meet performance benchmarks or bonus thresholds that determine their compensation. Second, the Debt Covenant Hypothesis proposes that highly leveraged firms tend to manipulate earnings upward to avoid breaching debt covenants and maintain favorable relations with creditors. Third, the Political Cost Hypothesis posits that large or politically visible firms may intentionally suppress reported profits to reduce regulatory scrutiny, public criticism, or taxation exposure.</w:t>
      </w:r>
    </w:p>
    <w:p w14:paraId="568B7E9C" w14:textId="125D94BD" w:rsidR="00C73C6B" w:rsidRPr="00527C38" w:rsidRDefault="00C73C6B" w:rsidP="00C73C6B">
      <w:pPr>
        <w:pStyle w:val="Nidungbibo"/>
        <w:rPr>
          <w:lang w:val="en-US" w:eastAsia="vi-VN"/>
        </w:rPr>
      </w:pPr>
      <w:r w:rsidRPr="00527C38">
        <w:rPr>
          <w:lang w:val="en-US" w:eastAsia="vi-VN"/>
        </w:rPr>
        <w:t>Within the context of this study, the Debt Covenant Hypothesis serves as the primary theoretical foundation. When a firm’s financial condition weakens, it faces heightened risks of covenant violations, credit downgrades, or constrained access to external financing. In such circumstances, managers may engage in accounting</w:t>
      </w:r>
      <w:r w:rsidR="004C6136" w:rsidRPr="00527C38">
        <w:rPr>
          <w:lang w:val="en-US" w:eastAsia="vi-VN"/>
        </w:rPr>
        <w:t xml:space="preserve"> </w:t>
      </w:r>
      <w:r w:rsidRPr="00527C38">
        <w:rPr>
          <w:lang w:val="en-US" w:eastAsia="vi-VN"/>
        </w:rPr>
        <w:t>based or operational adjustments to convey financial stability and preserve lender confidence. Conversely, during debt restructuring negotiations, managers might strategically understate earnings to elicit leniency or concessions from creditors.</w:t>
      </w:r>
    </w:p>
    <w:p w14:paraId="2B5A71B1" w14:textId="4AB92485" w:rsidR="009D478F" w:rsidRPr="00527C38" w:rsidRDefault="00C73C6B" w:rsidP="00C73C6B">
      <w:pPr>
        <w:pStyle w:val="Nidungbibo"/>
        <w:rPr>
          <w:lang w:val="en-US" w:eastAsia="vi-VN"/>
        </w:rPr>
      </w:pPr>
      <w:r w:rsidRPr="00527C38">
        <w:rPr>
          <w:lang w:val="en-US" w:eastAsia="vi-VN"/>
        </w:rPr>
        <w:t>Accordingly, the relationship between financial distress and earnings management reflects a dynamic tension between financial constraints and managerial adaptability. Rather than viewing earnings manipulation solely as opportunistic behavior, this perspective interprets it as a strategic response to contractual pressures and market expectations, shaped by the firm’s institutional and financial environment.</w:t>
      </w:r>
    </w:p>
    <w:p w14:paraId="60DA0B2D" w14:textId="79C3F8E5" w:rsidR="00DD6E59" w:rsidRPr="00527C38" w:rsidRDefault="00DD6E59" w:rsidP="00767E3A">
      <w:pPr>
        <w:pStyle w:val="Tiumc"/>
        <w:rPr>
          <w:rFonts w:asciiTheme="majorHAnsi" w:hAnsiTheme="majorHAnsi" w:cstheme="majorHAnsi"/>
          <w:b w:val="0"/>
          <w:bCs/>
          <w:i/>
          <w:iCs/>
          <w:lang w:eastAsia="vi-VN"/>
        </w:rPr>
      </w:pPr>
      <w:r w:rsidRPr="00527C38">
        <w:rPr>
          <w:rFonts w:asciiTheme="majorHAnsi" w:hAnsiTheme="majorHAnsi" w:cstheme="majorHAnsi"/>
          <w:b w:val="0"/>
          <w:bCs/>
          <w:i/>
          <w:iCs/>
          <w:lang w:eastAsia="vi-VN"/>
        </w:rPr>
        <w:t>2.1.3.</w:t>
      </w:r>
      <w:r w:rsidR="00063EF2" w:rsidRPr="00527C38">
        <w:rPr>
          <w:rFonts w:asciiTheme="majorHAnsi" w:hAnsiTheme="majorHAnsi" w:cstheme="majorHAnsi"/>
          <w:b w:val="0"/>
          <w:bCs/>
          <w:i/>
          <w:iCs/>
          <w:lang w:eastAsia="vi-VN"/>
        </w:rPr>
        <w:t xml:space="preserve"> Earnings Management</w:t>
      </w:r>
    </w:p>
    <w:p w14:paraId="635E2174" w14:textId="2B64BB36" w:rsidR="00C73C6B" w:rsidRPr="00527C38" w:rsidRDefault="00C73C6B" w:rsidP="00C73C6B">
      <w:pPr>
        <w:pStyle w:val="Nidungbibo"/>
        <w:rPr>
          <w:lang w:val="en-US" w:eastAsia="vi-VN"/>
        </w:rPr>
      </w:pPr>
      <w:r w:rsidRPr="00527C38">
        <w:rPr>
          <w:lang w:val="en-US" w:eastAsia="vi-VN"/>
        </w:rPr>
        <w:t>Accrual</w:t>
      </w:r>
      <w:r w:rsidR="004C6136" w:rsidRPr="00527C38">
        <w:rPr>
          <w:lang w:val="en-US" w:eastAsia="vi-VN"/>
        </w:rPr>
        <w:t xml:space="preserve"> </w:t>
      </w:r>
      <w:r w:rsidRPr="00527C38">
        <w:rPr>
          <w:lang w:val="en-US" w:eastAsia="vi-VN"/>
        </w:rPr>
        <w:t>based earnings management refers to the manipulation of accounting estimates and recognition policies to influence reported profits without modifying actual business activities. Typical techniques include accelerating revenue recognition, altering depreciation methods or rates, and adjusting provisions for doubtful accounts or inventory valuations. The defining feature of this approach is that it affects reported earnings through accounting discretion rather than through real economic transactions, thereby altering the appearance</w:t>
      </w:r>
      <w:r w:rsidR="004C6136" w:rsidRPr="00527C38">
        <w:rPr>
          <w:lang w:val="en-US" w:eastAsia="vi-VN"/>
        </w:rPr>
        <w:t xml:space="preserve"> </w:t>
      </w:r>
      <w:r w:rsidRPr="00527C38">
        <w:rPr>
          <w:lang w:val="en-US" w:eastAsia="vi-VN"/>
        </w:rPr>
        <w:t>but not the substance</w:t>
      </w:r>
      <w:r w:rsidR="004C6136" w:rsidRPr="00527C38">
        <w:rPr>
          <w:lang w:val="en-US" w:eastAsia="vi-VN"/>
        </w:rPr>
        <w:t xml:space="preserve"> </w:t>
      </w:r>
      <w:r w:rsidRPr="00527C38">
        <w:rPr>
          <w:lang w:val="en-US" w:eastAsia="vi-VN"/>
        </w:rPr>
        <w:t>of firm performance in financial statements.</w:t>
      </w:r>
    </w:p>
    <w:p w14:paraId="14BBE0C8" w14:textId="1E2A97A9" w:rsidR="00C73C6B" w:rsidRPr="00527C38" w:rsidRDefault="00C73C6B" w:rsidP="00C73C6B">
      <w:pPr>
        <w:pStyle w:val="Nidungbibo"/>
        <w:rPr>
          <w:lang w:val="en-US" w:eastAsia="vi-VN"/>
        </w:rPr>
      </w:pPr>
      <w:r w:rsidRPr="00527C38">
        <w:rPr>
          <w:lang w:val="en-US" w:eastAsia="vi-VN"/>
        </w:rPr>
        <w:t xml:space="preserve">In contrast, real earnings management involves altering actual operational decisions to achieve targeted earnings outcomes within a </w:t>
      </w:r>
      <w:r w:rsidRPr="00527C38">
        <w:rPr>
          <w:lang w:val="en-US" w:eastAsia="vi-VN"/>
        </w:rPr>
        <w:t>given reporting period. Examples include increasing production to reduce fixed costs per unit, curtailing discretionary expenditures such as advertising or R&amp;D, or relaxing credit terms to stimulate short</w:t>
      </w:r>
      <w:r w:rsidR="004C6136" w:rsidRPr="00527C38">
        <w:rPr>
          <w:lang w:val="en-US" w:eastAsia="vi-VN"/>
        </w:rPr>
        <w:t xml:space="preserve"> </w:t>
      </w:r>
      <w:r w:rsidRPr="00527C38">
        <w:rPr>
          <w:lang w:val="en-US" w:eastAsia="vi-VN"/>
        </w:rPr>
        <w:t>term sales. While these actions may temporarily enhance reported profits, they often impair operating cash flows and diminish long</w:t>
      </w:r>
      <w:r w:rsidR="004C6136" w:rsidRPr="00527C38">
        <w:rPr>
          <w:lang w:val="en-US" w:eastAsia="vi-VN"/>
        </w:rPr>
        <w:t xml:space="preserve"> </w:t>
      </w:r>
      <w:r w:rsidRPr="00527C38">
        <w:rPr>
          <w:lang w:val="en-US" w:eastAsia="vi-VN"/>
        </w:rPr>
        <w:t>term firm value due to inefficiencies and resource misallocation.</w:t>
      </w:r>
    </w:p>
    <w:p w14:paraId="1F49AFE9" w14:textId="236B80C7" w:rsidR="00063EF2" w:rsidRPr="00527C38" w:rsidRDefault="00C73C6B" w:rsidP="00C73C6B">
      <w:pPr>
        <w:pStyle w:val="Nidungbibo"/>
        <w:rPr>
          <w:lang w:val="en-US" w:eastAsia="vi-VN"/>
        </w:rPr>
      </w:pPr>
      <w:r w:rsidRPr="00527C38">
        <w:rPr>
          <w:lang w:val="en-US" w:eastAsia="vi-VN"/>
        </w:rPr>
        <w:t>When confronted with financial distress, managers’ choice between these two forms of earnings management is shaped by the degree of financial flexibility, implementation costs, and external monitoring intensity. Firms with stronger financial positions typically favor accrual</w:t>
      </w:r>
      <w:r w:rsidR="004C6136" w:rsidRPr="00527C38">
        <w:rPr>
          <w:lang w:val="en-US" w:eastAsia="vi-VN"/>
        </w:rPr>
        <w:t xml:space="preserve"> </w:t>
      </w:r>
      <w:r w:rsidRPr="00527C38">
        <w:rPr>
          <w:lang w:val="en-US" w:eastAsia="vi-VN"/>
        </w:rPr>
        <w:t>based adjustments, which are easier to execute and less disruptive to real operations. Conversely, liquidity</w:t>
      </w:r>
      <w:r w:rsidR="004C6136" w:rsidRPr="00527C38">
        <w:rPr>
          <w:lang w:val="en-US" w:eastAsia="vi-VN"/>
        </w:rPr>
        <w:t xml:space="preserve"> </w:t>
      </w:r>
      <w:r w:rsidRPr="00527C38">
        <w:rPr>
          <w:lang w:val="en-US" w:eastAsia="vi-VN"/>
        </w:rPr>
        <w:t>constrained firms</w:t>
      </w:r>
      <w:r w:rsidR="004C6136" w:rsidRPr="00527C38">
        <w:rPr>
          <w:lang w:val="en-US" w:eastAsia="vi-VN"/>
        </w:rPr>
        <w:t xml:space="preserve"> </w:t>
      </w:r>
      <w:r w:rsidRPr="00527C38">
        <w:rPr>
          <w:lang w:val="en-US" w:eastAsia="vi-VN"/>
        </w:rPr>
        <w:t>facing limited accounting discretion or tighter audit scrutiny</w:t>
      </w:r>
      <w:r w:rsidR="004C6136" w:rsidRPr="00527C38">
        <w:rPr>
          <w:lang w:val="en-US" w:eastAsia="vi-VN"/>
        </w:rPr>
        <w:t xml:space="preserve"> </w:t>
      </w:r>
      <w:r w:rsidRPr="00527C38">
        <w:rPr>
          <w:lang w:val="en-US" w:eastAsia="vi-VN"/>
        </w:rPr>
        <w:t>are more likely to resort to real activity manipulation to generate immediate earnings improvements and signal financial stability to investors and creditors.</w:t>
      </w:r>
    </w:p>
    <w:p w14:paraId="4AB602D4" w14:textId="1DF39972" w:rsidR="00767E3A" w:rsidRPr="00527C38" w:rsidRDefault="00767E3A" w:rsidP="00767E3A">
      <w:pPr>
        <w:pStyle w:val="Tiumc"/>
        <w:rPr>
          <w:rFonts w:asciiTheme="majorHAnsi" w:hAnsiTheme="majorHAnsi" w:cstheme="majorHAnsi"/>
        </w:rPr>
      </w:pPr>
      <w:r w:rsidRPr="00527C38">
        <w:rPr>
          <w:rFonts w:asciiTheme="majorHAnsi" w:hAnsiTheme="majorHAnsi" w:cstheme="majorHAnsi"/>
        </w:rPr>
        <w:t>2.2.</w:t>
      </w:r>
      <w:r w:rsidR="00977396" w:rsidRPr="00527C38">
        <w:rPr>
          <w:rFonts w:asciiTheme="majorHAnsi" w:hAnsiTheme="majorHAnsi" w:cstheme="majorHAnsi"/>
        </w:rPr>
        <w:t xml:space="preserve"> International Literature Review</w:t>
      </w:r>
    </w:p>
    <w:p w14:paraId="702F89A0" w14:textId="6BCD0EB7" w:rsidR="00C73C6B" w:rsidRPr="00527C38" w:rsidRDefault="00C73C6B" w:rsidP="00C73C6B">
      <w:pPr>
        <w:pStyle w:val="Nidungbibo"/>
        <w:rPr>
          <w:lang w:val="en-US"/>
        </w:rPr>
      </w:pPr>
      <w:r w:rsidRPr="00527C38">
        <w:rPr>
          <w:lang w:val="en-US"/>
        </w:rPr>
        <w:t>A large body of international research documents a positive relationship between financial distress and earnings management, suggesting that as firms experience financial deterioration, managers often inflate reported profits to preserve stakeholder confidence. Evidence from New Zealand, for example, shows that during the global financial crisis, firms increased accounting earnings to reduce creditor scrutiny</w:t>
      </w:r>
      <w:r w:rsidR="00DC1B20" w:rsidRPr="00527C38">
        <w:rPr>
          <w:lang w:val="en-US"/>
        </w:rPr>
        <w:t>.</w:t>
      </w:r>
      <w:hyperlink w:anchor="_ENREF_3" w:tooltip="Habib, 2013 #13074" w:history="1">
        <w:r w:rsidR="00527C38" w:rsidRPr="00527C38">
          <w:fldChar w:fldCharType="begin"/>
        </w:r>
        <w:r w:rsidR="00527C38" w:rsidRPr="00527C38">
          <w:instrText xml:space="preserve"> ADDIN EN.CITE &lt;EndNote&gt;&lt;Cite AuthorYear="1"&gt;&lt;Author&gt;Habib&lt;/Author&gt;&lt;Year&gt;2013&lt;/Year&gt;&lt;RecNum&gt;13074&lt;/RecNum&gt;&lt;DisplayText&gt;&lt;style face="superscript"&gt;3&lt;/style&gt;&lt;/DisplayText&gt;&lt;record&gt;&lt;rec-number&gt;13074&lt;/rec-number&gt;&lt;foreign-keys&gt;&lt;key app="EN" db-id="exevsxpvos5ep2ear9b5svvoeswxvzw2rs5p" timestamp="1691030275" guid="001ce516-81fb-4dbf-abb0-3601b640d381"&gt;13074&lt;/key&gt;&lt;/foreign-keys&gt;&lt;ref-type name="Journal Article"&gt;17&lt;/ref-type&gt;&lt;contributors&gt;&lt;authors&gt;&lt;author&gt;Habib, Ahsan&lt;/author&gt;&lt;author&gt;Uddin Bhuiyan, Borhan&lt;/author&gt;&lt;author&gt;Islam, Ainul&lt;/author&gt;&lt;/authors&gt;&lt;/contributors&gt;&lt;titles&gt;&lt;title&gt;Financial distress, earnings management and market pricing of accruals during the global financial crisis&lt;/title&gt;&lt;secondary-title&gt;Managerial Finance&lt;/secondary-title&gt;&lt;/titles&gt;&lt;periodical&gt;&lt;full-title&gt;Managerial Finance&lt;/full-title&gt;&lt;/periodical&gt;&lt;pages&gt;155–180&lt;/pages&gt;&lt;volume&gt;39&lt;/volume&gt;&lt;number&gt;2&lt;/number&gt;&lt;dates&gt;&lt;year&gt;2013&lt;/year&gt;&lt;/dates&gt;&lt;publisher&gt;Emerald Group Publishing Limited&lt;/publisher&gt;&lt;isbn&gt;0307-4358&lt;/isbn&gt;&lt;urls&gt;&lt;related-urls&gt;&lt;url&gt;https://doi.org/10.1108/03074351311294007&lt;/url&gt;&lt;/related-urls&gt;&lt;/urls&gt;&lt;electronic-resource-num&gt;10.1108/03074351311294007&lt;/electronic-resource-num&gt;&lt;access-date&gt;2023/08/03&lt;/access-date&gt;&lt;/record&gt;&lt;/Cite&gt;&lt;/EndNote&gt;</w:instrText>
        </w:r>
        <w:r w:rsidR="00527C38" w:rsidRPr="00527C38">
          <w:fldChar w:fldCharType="separate"/>
        </w:r>
        <w:r w:rsidR="00527C38" w:rsidRPr="00527C38">
          <w:rPr>
            <w:vertAlign w:val="superscript"/>
          </w:rPr>
          <w:t>3</w:t>
        </w:r>
        <w:r w:rsidR="00527C38" w:rsidRPr="00527C38">
          <w:fldChar w:fldCharType="end"/>
        </w:r>
      </w:hyperlink>
      <w:r w:rsidRPr="00527C38">
        <w:rPr>
          <w:lang w:val="en-US"/>
        </w:rPr>
        <w:t xml:space="preserve"> Similarly, studies on Spanish small and medium</w:t>
      </w:r>
      <w:r w:rsidR="004C6136" w:rsidRPr="00527C38">
        <w:rPr>
          <w:lang w:val="en-US"/>
        </w:rPr>
        <w:t xml:space="preserve"> </w:t>
      </w:r>
      <w:r w:rsidRPr="00527C38">
        <w:rPr>
          <w:lang w:val="en-US"/>
        </w:rPr>
        <w:t>sized enterprises (SMEs) reveal that financially strained firms engaged in accrual</w:t>
      </w:r>
      <w:r w:rsidR="004C6136" w:rsidRPr="00527C38">
        <w:rPr>
          <w:lang w:val="en-US"/>
        </w:rPr>
        <w:t xml:space="preserve"> </w:t>
      </w:r>
      <w:r w:rsidRPr="00527C38">
        <w:rPr>
          <w:lang w:val="en-US"/>
        </w:rPr>
        <w:t>based manipulation to strengthen financial indicators and avoid bankruptcy</w:t>
      </w:r>
      <w:r w:rsidR="00DC1B20" w:rsidRPr="00527C38">
        <w:rPr>
          <w:lang w:val="en-US"/>
        </w:rPr>
        <w:t>.</w:t>
      </w:r>
      <w:hyperlink w:anchor="_ENREF_4" w:tooltip="Campa, 2019 #3481" w:history="1">
        <w:r w:rsidR="00527C38" w:rsidRPr="00527C38">
          <w:fldChar w:fldCharType="begin"/>
        </w:r>
        <w:r w:rsidR="00527C38" w:rsidRPr="00527C38">
          <w:instrText xml:space="preserve"> ADDIN EN.CITE &lt;EndNote&gt;&lt;Cite AuthorYear="1"&gt;&lt;Author&gt;Campa&lt;/Author&gt;&lt;Year&gt;2019&lt;/Year&gt;&lt;RecNum&gt;3481&lt;/RecNum&gt;&lt;DisplayText&gt;&lt;style face="superscript"&gt;4&lt;/style&gt;&lt;/DisplayText&gt;&lt;record&gt;&lt;rec-number&gt;3481&lt;/rec-number&gt;&lt;foreign-keys&gt;&lt;key app="EN" db-id="exevsxpvos5ep2ear9b5svvoeswxvzw2rs5p" timestamp="1662024123" guid="6327dcf1-a45d-4807-82f9-73121995eae3"&gt;3481&lt;/key&gt;&lt;/foreign-keys&gt;&lt;ref-type name="Journal Article"&gt;17&lt;/ref-type&gt;&lt;contributors&gt;&lt;authors&gt;&lt;author&gt;Campa, Domenico&lt;/author&gt;&lt;/authors&gt;&lt;/contributors&gt;&lt;titles&gt;&lt;title&gt;Earnings management strategies during financial difficulties: A comparison between listed and unlisted French companies&lt;/title&gt;&lt;secondary-title&gt;Research in International Business and Finance&lt;/secondary-title&gt;&lt;/titles&gt;&lt;periodical&gt;&lt;full-title&gt;Research in International Business and Finance&lt;/full-title&gt;&lt;/periodical&gt;&lt;pages&gt;457–471&lt;/pages&gt;&lt;volume&gt;50&lt;/volume&gt;&lt;keywords&gt;&lt;keyword&gt;Financial difficulties&lt;/keyword&gt;&lt;keyword&gt;Earnings management&lt;/keyword&gt;&lt;keyword&gt;Listed firms&lt;/keyword&gt;&lt;keyword&gt;Unlisted firms&lt;/keyword&gt;&lt;keyword&gt;Demand hypothesis&lt;/keyword&gt;&lt;keyword&gt;Opportunistic behaviour hypothesis&lt;/keyword&gt;&lt;/keywords&gt;&lt;dates&gt;&lt;year&gt;2019&lt;/year&gt;&lt;pub-dates&gt;&lt;date&gt;2019/12/01/&lt;/date&gt;&lt;/pub-dates&gt;&lt;/dates&gt;&lt;isbn&gt;0275-5319&lt;/isbn&gt;&lt;urls&gt;&lt;related-urls&gt;&lt;url&gt;https://www.sciencedirect.com/science/article/pii/S0275531918309401&lt;/url&gt;&lt;/related-urls&gt;&lt;/urls&gt;&lt;electronic-resource-num&gt;https://doi.org/10.1016/j.ribaf.2019.07.001&lt;/electronic-resource-num&gt;&lt;/record&gt;&lt;/Cite&gt;&lt;/EndNote&gt;</w:instrText>
        </w:r>
        <w:r w:rsidR="00527C38" w:rsidRPr="00527C38">
          <w:fldChar w:fldCharType="separate"/>
        </w:r>
        <w:r w:rsidR="00527C38" w:rsidRPr="00527C38">
          <w:rPr>
            <w:vertAlign w:val="superscript"/>
          </w:rPr>
          <w:t>4</w:t>
        </w:r>
        <w:r w:rsidR="00527C38" w:rsidRPr="00527C38">
          <w:fldChar w:fldCharType="end"/>
        </w:r>
      </w:hyperlink>
      <w:r w:rsidRPr="00527C38">
        <w:rPr>
          <w:lang w:val="en-US"/>
        </w:rPr>
        <w:t xml:space="preserve"> Empirical findings from China further demonstrate that worsening financial conditions are associated with higher levels of accrual</w:t>
      </w:r>
      <w:r w:rsidR="004C6136" w:rsidRPr="00527C38">
        <w:rPr>
          <w:lang w:val="en-US"/>
        </w:rPr>
        <w:t xml:space="preserve"> </w:t>
      </w:r>
      <w:r w:rsidRPr="00527C38">
        <w:rPr>
          <w:lang w:val="en-US"/>
        </w:rPr>
        <w:t>based earnings management, reflecting managerial attempts to sustain liquidity and creditworthiness</w:t>
      </w:r>
      <w:r w:rsidR="00DC1B20" w:rsidRPr="00527C38">
        <w:rPr>
          <w:lang w:val="en-US"/>
        </w:rPr>
        <w:t>.</w:t>
      </w:r>
      <w:hyperlink w:anchor="_ENREF_5" w:tooltip="Li, 2020 #2812" w:history="1">
        <w:r w:rsidR="00527C38" w:rsidRPr="00527C38">
          <w:fldChar w:fldCharType="begin"/>
        </w:r>
        <w:r w:rsidR="00527C38" w:rsidRPr="00527C38">
          <w:instrText xml:space="preserve"> ADDIN EN.CITE &lt;EndNote&gt;&lt;Cite AuthorYear="1"&gt;&lt;Author&gt;Li&lt;/Author&gt;&lt;Year&gt;2020&lt;/Year&gt;&lt;RecNum&gt;2812&lt;/RecNum&gt;&lt;DisplayText&gt;&lt;style face="superscript"&gt;5&lt;/style&gt;&lt;/DisplayText&gt;&lt;record&gt;&lt;rec-number&gt;2812&lt;/rec-number&gt;&lt;foreign-keys&gt;&lt;key app="EN" db-id="exevsxpvos5ep2ear9b5svvoeswxvzw2rs5p" timestamp="1662024091" guid="f7f9ddd2-d6c7-4576-a45c-deb21f5d245a"&gt;2812&lt;/key&gt;&lt;/foreign-keys&gt;&lt;ref-type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00527C38" w:rsidRPr="00527C38">
          <w:fldChar w:fldCharType="separate"/>
        </w:r>
        <w:r w:rsidR="00527C38" w:rsidRPr="00527C38">
          <w:rPr>
            <w:vertAlign w:val="superscript"/>
          </w:rPr>
          <w:t>5</w:t>
        </w:r>
        <w:r w:rsidR="00527C38" w:rsidRPr="00527C38">
          <w:fldChar w:fldCharType="end"/>
        </w:r>
      </w:hyperlink>
      <w:r w:rsidRPr="00527C38">
        <w:rPr>
          <w:lang w:val="en-US"/>
        </w:rPr>
        <w:t xml:space="preserve"> Using a cross</w:t>
      </w:r>
      <w:r w:rsidR="004C6136" w:rsidRPr="00527C38">
        <w:rPr>
          <w:lang w:val="en-US"/>
        </w:rPr>
        <w:t xml:space="preserve"> </w:t>
      </w:r>
      <w:r w:rsidRPr="00527C38">
        <w:rPr>
          <w:lang w:val="en-US"/>
        </w:rPr>
        <w:t>country dataset of 20 emerging markets</w:t>
      </w:r>
      <w:r w:rsidR="009B0528" w:rsidRPr="00527C38">
        <w:rPr>
          <w:lang w:val="en-US"/>
        </w:rPr>
        <w:t>,</w:t>
      </w:r>
      <w:r w:rsidRPr="00527C38">
        <w:rPr>
          <w:lang w:val="en-US"/>
        </w:rPr>
        <w:t xml:space="preserve"> </w:t>
      </w:r>
      <w:hyperlink w:anchor="_ENREF_6" w:tooltip="Viana Jr, 2022 #13337" w:history="1">
        <w:r w:rsidR="00527C38" w:rsidRPr="00527C38">
          <w:fldChar w:fldCharType="begin"/>
        </w:r>
        <w:r w:rsidR="00527C38" w:rsidRPr="00527C38">
          <w:instrText xml:space="preserve"> ADDIN EN.CITE &lt;EndNote&gt;&lt;Cite AuthorYear="1"&gt;&lt;Author&gt;Viana Jr&lt;/Author&gt;&lt;Year&gt;2022&lt;/Year&gt;&lt;RecNum&gt;13337&lt;/RecNum&gt;&lt;DisplayText&gt;&lt;style face="superscript"&gt;6&lt;/style&gt;&lt;/DisplayText&gt;&lt;record&gt;&lt;rec-number&gt;13337&lt;/rec-number&gt;&lt;foreign-keys&gt;&lt;key app="EN" db-id="exevsxpvos5ep2ear9b5svvoeswxvzw2rs5p" timestamp="1702845980" guid="6a771633-1793-4383-8dea-19983de1a356"&gt;13337&lt;/key&gt;&lt;/foreign-keys&gt;&lt;ref-type name="Journal Article"&gt;17&lt;/ref-type&gt;&lt;contributors&gt;&lt;authors&gt;&lt;author&gt;Viana Jr, Dante Baiardo C.&lt;/author&gt;&lt;author&gt;Lourenço, Isabel&lt;/author&gt;&lt;author&gt;Black, Ervin L.&lt;/author&gt;&lt;/authors&gt;&lt;/contributors&gt;&lt;titles&gt;&lt;title&gt;Financial distress, earnings management and Big 4 auditors in emerging markets&lt;/title&gt;&lt;secondary-title&gt;Accounting Research Journal&lt;/secondary-title&gt;&lt;/titles&gt;&lt;periodical&gt;&lt;full-title&gt;Accounting Research Journal&lt;/full-title&gt;&lt;/periodical&gt;&lt;pages&gt;660–675&lt;/pages&gt;&lt;volume&gt;35&lt;/volume&gt;&lt;number&gt;5&lt;/number&gt;&lt;dates&gt;&lt;year&gt;2022&lt;/year&gt;&lt;/dates&gt;&lt;publisher&gt;Emerald Publishing Limited&lt;/publisher&gt;&lt;isbn&gt;1030-9616&lt;/isbn&gt;&lt;urls&gt;&lt;related-urls&gt;&lt;url&gt;https://doi.org/10.1108/ARJ-06-2021-0165&lt;/url&gt;&lt;/related-urls&gt;&lt;/urls&gt;&lt;electronic-resource-num&gt;10.1108/ARJ-06-2021-0165&lt;/electronic-resource-num&gt;&lt;access-date&gt;2023/12/17&lt;/access-date&gt;&lt;/record&gt;&lt;/Cite&gt;&lt;/EndNote&gt;</w:instrText>
        </w:r>
        <w:r w:rsidR="00527C38" w:rsidRPr="00527C38">
          <w:fldChar w:fldCharType="separate"/>
        </w:r>
        <w:r w:rsidR="00527C38" w:rsidRPr="00527C38">
          <w:rPr>
            <w:vertAlign w:val="superscript"/>
          </w:rPr>
          <w:t>6</w:t>
        </w:r>
        <w:r w:rsidR="00527C38" w:rsidRPr="00527C38">
          <w:fldChar w:fldCharType="end"/>
        </w:r>
      </w:hyperlink>
      <w:r w:rsidRPr="00527C38">
        <w:rPr>
          <w:lang w:val="en-US"/>
        </w:rPr>
        <w:t xml:space="preserve"> confirm that financial distress significantly intensifies earnings management, regardless of firm size or auditor type, reinforcing the notion that such practices often function as strategic responses to financial pressure.</w:t>
      </w:r>
    </w:p>
    <w:p w14:paraId="587232D1" w14:textId="4A97C1CC" w:rsidR="00C73C6B" w:rsidRPr="00527C38" w:rsidRDefault="00C73C6B" w:rsidP="00C73C6B">
      <w:pPr>
        <w:pStyle w:val="Nidungbibo"/>
        <w:rPr>
          <w:lang w:val="en-US"/>
        </w:rPr>
      </w:pPr>
      <w:r w:rsidRPr="00527C38">
        <w:rPr>
          <w:lang w:val="en-US"/>
        </w:rPr>
        <w:t xml:space="preserve">Conversely, other studies report contrasting evidence, suggesting that financial distress may constrain rather than promote earnings manipulation. When firms face severe liquidity shortages or tighter monitoring, their capacity to alter earnings becomes limited. For </w:t>
      </w:r>
      <w:r w:rsidRPr="00527C38">
        <w:rPr>
          <w:lang w:val="en-US"/>
        </w:rPr>
        <w:lastRenderedPageBreak/>
        <w:t>instance, research in Indonesia finds that distressed firms reduce real earnings management due to cash flow constraints that restrict operational flexibility</w:t>
      </w:r>
      <w:r w:rsidR="009B0528" w:rsidRPr="00527C38">
        <w:rPr>
          <w:lang w:val="en-US"/>
        </w:rPr>
        <w:t xml:space="preserve"> </w:t>
      </w:r>
      <w:hyperlink w:anchor="_ENREF_7" w:tooltip="Danella Rachel, 2018 #13338" w:history="1">
        <w:r w:rsidR="00527C38" w:rsidRPr="00527C38">
          <w:fldChar w:fldCharType="begin"/>
        </w:r>
        <w:r w:rsidR="00527C38" w:rsidRPr="00527C38">
          <w:instrText xml:space="preserve"> ADDIN EN.CITE &lt;EndNote&gt;&lt;Cite AuthorYear="1"&gt;&lt;Author&gt;Danella Rachel&lt;/Author&gt;&lt;Year&gt;2018&lt;/Year&gt;&lt;RecNum&gt;13338&lt;/RecNum&gt;&lt;DisplayText&gt;&lt;style face="superscript"&gt;7&lt;/style&gt;&lt;/DisplayText&gt;&lt;record&gt;&lt;rec-number&gt;13338&lt;/rec-number&gt;&lt;foreign-keys&gt;&lt;key app="EN" db-id="exevsxpvos5ep2ear9b5svvoeswxvzw2rs5p" timestamp="1702846328" guid="0e056478-2f2e-4d36-8a93-93dedd886d40"&gt;13338&lt;/key&gt;&lt;/foreign-keys&gt;&lt;ref-type name="Journal Article"&gt;17&lt;/ref-type&gt;&lt;contributors&gt;&lt;authors&gt;&lt;author&gt;Danella Rachel, Muljono&lt;/author&gt;&lt;author&gt;Kim Sung, Suk&lt;/author&gt;&lt;/authors&gt;&lt;/contributors&gt;&lt;titles&gt;&lt;title&gt;Impacts Of Financial Distress On Real And Accrual Earnings Management&lt;/title&gt;&lt;secondary-title&gt;Jurnal Akuntansi&lt;/secondary-title&gt;&lt;/titles&gt;&lt;periodical&gt;&lt;full-title&gt;Jurnal Akuntansi&lt;/full-title&gt;&lt;/periodical&gt;&lt;pages&gt;222 – 238&lt;/pages&gt;&lt;volume&gt;22&lt;/volume&gt;&lt;number&gt;2&lt;/number&gt;&lt;section&gt;Articles&lt;/section&gt;&lt;dates&gt;&lt;year&gt;2018&lt;/year&gt;&lt;pub-dates&gt;&lt;date&gt;05/29&lt;/date&gt;&lt;/pub-dates&gt;&lt;/dates&gt;&lt;urls&gt;&lt;related-urls&gt;&lt;url&gt;https://ecojoin.org/index.php/EJA/article/view/349&lt;/url&gt;&lt;/related-urls&gt;&lt;/urls&gt;&lt;electronic-resource-num&gt;10.24912/ja.v22i2.349&lt;/electronic-resource-num&gt;&lt;access-date&gt;2023/12/18&lt;/access-date&gt;&lt;/record&gt;&lt;/Cite&gt;&lt;/EndNote&gt;</w:instrText>
        </w:r>
        <w:r w:rsidR="00527C38" w:rsidRPr="00527C38">
          <w:fldChar w:fldCharType="separate"/>
        </w:r>
        <w:r w:rsidR="00527C38" w:rsidRPr="00527C38">
          <w:rPr>
            <w:vertAlign w:val="superscript"/>
          </w:rPr>
          <w:t>7</w:t>
        </w:r>
        <w:r w:rsidR="00527C38" w:rsidRPr="00527C38">
          <w:fldChar w:fldCharType="end"/>
        </w:r>
      </w:hyperlink>
      <w:r w:rsidRPr="00527C38">
        <w:rPr>
          <w:lang w:val="en-US"/>
        </w:rPr>
        <w:t>. Likewise, evidence from Jordan indicates no statistically significant link between financial distress and earnings management, highlighting that the relationship depends heavily on institutional quality, governance mechanisms, and enforcement intensity</w:t>
      </w:r>
      <w:r w:rsidR="009B0528" w:rsidRPr="00527C38">
        <w:rPr>
          <w:lang w:val="en-US"/>
        </w:rPr>
        <w:t>.</w:t>
      </w:r>
      <w:hyperlink w:anchor="_ENREF_8" w:tooltip="Humeedat, 2018 #13339" w:history="1">
        <w:r w:rsidR="00527C38" w:rsidRPr="00527C38">
          <w:fldChar w:fldCharType="begin"/>
        </w:r>
        <w:r w:rsidR="00527C38" w:rsidRPr="00527C38">
          <w:instrText xml:space="preserve"> ADDIN EN.CITE &lt;EndNote&gt;&lt;Cite AuthorYear="1"&gt;&lt;Author&gt;Humeedat&lt;/Author&gt;&lt;Year&gt;2018&lt;/Year&gt;&lt;RecNum&gt;13339&lt;/RecNum&gt;&lt;DisplayText&gt;&lt;style face="superscript"&gt;8&lt;/style&gt;&lt;/DisplayText&gt;&lt;record&gt;&lt;rec-number&gt;13339&lt;/rec-number&gt;&lt;foreign-keys&gt;&lt;key app="EN" db-id="exevsxpvos5ep2ear9b5svvoeswxvzw2rs5p" timestamp="1702846478" guid="69ec5334-d229-44b2-aaf1-5bdec1c3a304"&gt;13339&lt;/key&gt;&lt;/foreign-keys&gt;&lt;ref-type name="Journal Article"&gt;17&lt;/ref-type&gt;&lt;contributors&gt;&lt;authors&gt;&lt;author&gt;Humeedat, Mohammad M&lt;/author&gt;&lt;/authors&gt;&lt;/contributors&gt;&lt;titles&gt;&lt;title&gt;Earnings management to avoid financial distress and improve profitability: evidence from Jordan&lt;/title&gt;&lt;secondary-title&gt;International Business Research&lt;/secondary-title&gt;&lt;/titles&gt;&lt;periodical&gt;&lt;full-title&gt;International Business Research&lt;/full-title&gt;&lt;/periodical&gt;&lt;pages&gt;222–230&lt;/pages&gt;&lt;volume&gt;11&lt;/volume&gt;&lt;number&gt;2&lt;/number&gt;&lt;dates&gt;&lt;year&gt;2018&lt;/year&gt;&lt;/dates&gt;&lt;urls&gt;&lt;/urls&gt;&lt;/record&gt;&lt;/Cite&gt;&lt;/EndNote&gt;</w:instrText>
        </w:r>
        <w:r w:rsidR="00527C38" w:rsidRPr="00527C38">
          <w:fldChar w:fldCharType="separate"/>
        </w:r>
        <w:r w:rsidR="00527C38" w:rsidRPr="00527C38">
          <w:rPr>
            <w:vertAlign w:val="superscript"/>
          </w:rPr>
          <w:t>8</w:t>
        </w:r>
        <w:r w:rsidR="00527C38" w:rsidRPr="00527C38">
          <w:fldChar w:fldCharType="end"/>
        </w:r>
      </w:hyperlink>
      <w:r w:rsidRPr="00527C38">
        <w:rPr>
          <w:lang w:val="en-US"/>
        </w:rPr>
        <w:t xml:space="preserve"> These divergent findings emphasize that the impact of financial distress on earnings management is context</w:t>
      </w:r>
      <w:r w:rsidR="004C6136" w:rsidRPr="00527C38">
        <w:rPr>
          <w:lang w:val="en-US"/>
        </w:rPr>
        <w:t xml:space="preserve"> </w:t>
      </w:r>
      <w:r w:rsidRPr="00527C38">
        <w:rPr>
          <w:lang w:val="en-US"/>
        </w:rPr>
        <w:t>dependent, shaped by the economic environment, monitoring infrastructure, and legal framework of each country.</w:t>
      </w:r>
    </w:p>
    <w:p w14:paraId="190B1C48" w14:textId="2F6C1BE1" w:rsidR="00C73C6B" w:rsidRPr="00527C38" w:rsidRDefault="00C73C6B" w:rsidP="00C73C6B">
      <w:pPr>
        <w:pStyle w:val="Nidungbibo"/>
        <w:rPr>
          <w:lang w:val="en-US"/>
        </w:rPr>
      </w:pPr>
      <w:r w:rsidRPr="00527C38">
        <w:rPr>
          <w:lang w:val="en-US"/>
        </w:rPr>
        <w:t>Since the 2010s, scholars have expanded this research stream by analyzing accrual</w:t>
      </w:r>
      <w:r w:rsidR="004C6136" w:rsidRPr="00527C38">
        <w:rPr>
          <w:lang w:val="en-US"/>
        </w:rPr>
        <w:t xml:space="preserve"> </w:t>
      </w:r>
      <w:r w:rsidRPr="00527C38">
        <w:rPr>
          <w:lang w:val="en-US"/>
        </w:rPr>
        <w:t>based and real activity manipulation concurrently, offering a more comprehensive understanding of managerial behavior.</w:t>
      </w:r>
      <w:r w:rsidR="00DC1B20" w:rsidRPr="00527C38">
        <w:rPr>
          <w:lang w:val="en-US"/>
        </w:rPr>
        <w:t xml:space="preserve"> </w:t>
      </w:r>
      <w:hyperlink w:anchor="_ENREF_9" w:tooltip="Roychowdhury, 2006 #4140" w:history="1">
        <w:r w:rsidR="00527C38" w:rsidRPr="00527C38">
          <w:rPr>
            <w:lang w:val="en-US"/>
          </w:rPr>
          <w:fldChar w:fldCharType="begin"/>
        </w:r>
        <w:r w:rsidR="00527C38" w:rsidRPr="00527C38">
          <w:rPr>
            <w:lang w:val="en-US"/>
          </w:rPr>
          <w:instrText xml:space="preserve"> ADDIN EN.CITE &lt;EndNote&gt;&lt;Cite&gt;&lt;Author&gt;Roychowdhury&lt;/Author&gt;&lt;Year&gt;2006&lt;/Year&gt;&lt;RecNum&gt;4140&lt;/RecNum&gt;&lt;DisplayText&gt;&lt;style face="superscript"&gt;9&lt;/style&gt;&lt;/DisplayText&gt;&lt;record&gt;&lt;rec-number&gt;4140&lt;/rec-number&gt;&lt;foreign-keys&gt;&lt;key app="EN" db-id="exevsxpvos5ep2ear9b5svvoeswxvzw2rs5p" timestamp="1662024165" guid="5d7f004f-3ef5-485d-baea-d1089ab2c18e"&gt;4140&lt;/key&gt;&lt;/foreign-keys&gt;&lt;ref-type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sidR="00527C38" w:rsidRPr="00527C38">
          <w:rPr>
            <w:lang w:val="en-US"/>
          </w:rPr>
          <w:fldChar w:fldCharType="separate"/>
        </w:r>
        <w:r w:rsidR="00527C38" w:rsidRPr="00527C38">
          <w:rPr>
            <w:vertAlign w:val="superscript"/>
          </w:rPr>
          <w:t>9</w:t>
        </w:r>
        <w:r w:rsidR="00527C38" w:rsidRPr="00527C38">
          <w:rPr>
            <w:lang w:val="en-US"/>
          </w:rPr>
          <w:fldChar w:fldCharType="end"/>
        </w:r>
      </w:hyperlink>
      <w:r w:rsidRPr="00527C38">
        <w:rPr>
          <w:lang w:val="en-US"/>
        </w:rPr>
        <w:t xml:space="preserve"> developed a seminal model measuring real earnings management through deviations in operating cash flow, production, and discretionary expenses. Building on this, subsequent studies reveal that firms nearing bankruptcy frequently adopt a dual strategy</w:t>
      </w:r>
      <w:r w:rsidR="004C6136" w:rsidRPr="00527C38">
        <w:rPr>
          <w:lang w:val="en-US"/>
        </w:rPr>
        <w:t xml:space="preserve"> </w:t>
      </w:r>
      <w:r w:rsidRPr="00527C38">
        <w:rPr>
          <w:lang w:val="en-US"/>
        </w:rPr>
        <w:t>increasing accrual adjustments while simultaneously manipulating real activities to sustain reported earnings</w:t>
      </w:r>
      <w:r w:rsidR="00DC1B20" w:rsidRPr="00527C38">
        <w:rPr>
          <w:lang w:val="en-US"/>
        </w:rPr>
        <w:t>.</w:t>
      </w:r>
      <w:hyperlink w:anchor="_ENREF_4" w:tooltip="Campa, 2019 #3481" w:history="1">
        <w:r w:rsidR="00527C38" w:rsidRPr="00527C38">
          <w:fldChar w:fldCharType="begin"/>
        </w:r>
        <w:r w:rsidR="00527C38" w:rsidRPr="00527C38">
          <w:instrText xml:space="preserve"> ADDIN EN.CITE &lt;EndNote&gt;&lt;Cite AuthorYear="1"&gt;&lt;Author&gt;Campa&lt;/Author&gt;&lt;Year&gt;2019&lt;/Year&gt;&lt;RecNum&gt;3481&lt;/RecNum&gt;&lt;DisplayText&gt;&lt;style face="superscript"&gt;4&lt;/style&gt;&lt;/DisplayText&gt;&lt;record&gt;&lt;rec-number&gt;3481&lt;/rec-number&gt;&lt;foreign-keys&gt;&lt;key app="EN" db-id="exevsxpvos5ep2ear9b5svvoeswxvzw2rs5p" timestamp="1662024123" guid="6327dcf1-a45d-4807-82f9-73121995eae3"&gt;3481&lt;/key&gt;&lt;/foreign-keys&gt;&lt;ref-type name="Journal Article"&gt;17&lt;/ref-type&gt;&lt;contributors&gt;&lt;authors&gt;&lt;author&gt;Campa, Domenico&lt;/author&gt;&lt;/authors&gt;&lt;/contributors&gt;&lt;titles&gt;&lt;title&gt;Earnings management strategies during financial difficulties: A comparison between listed and unlisted French companies&lt;/title&gt;&lt;secondary-title&gt;Research in International Business and Finance&lt;/secondary-title&gt;&lt;/titles&gt;&lt;periodical&gt;&lt;full-title&gt;Research in International Business and Finance&lt;/full-title&gt;&lt;/periodical&gt;&lt;pages&gt;457–471&lt;/pages&gt;&lt;volume&gt;50&lt;/volume&gt;&lt;keywords&gt;&lt;keyword&gt;Financial difficulties&lt;/keyword&gt;&lt;keyword&gt;Earnings management&lt;/keyword&gt;&lt;keyword&gt;Listed firms&lt;/keyword&gt;&lt;keyword&gt;Unlisted firms&lt;/keyword&gt;&lt;keyword&gt;Demand hypothesis&lt;/keyword&gt;&lt;keyword&gt;Opportunistic behaviour hypothesis&lt;/keyword&gt;&lt;/keywords&gt;&lt;dates&gt;&lt;year&gt;2019&lt;/year&gt;&lt;pub-dates&gt;&lt;date&gt;2019/12/01/&lt;/date&gt;&lt;/pub-dates&gt;&lt;/dates&gt;&lt;isbn&gt;0275-5319&lt;/isbn&gt;&lt;urls&gt;&lt;related-urls&gt;&lt;url&gt;https://www.sciencedirect.com/science/article/pii/S0275531918309401&lt;/url&gt;&lt;/related-urls&gt;&lt;/urls&gt;&lt;electronic-resource-num&gt;https://doi.org/10.1016/j.ribaf.2019.07.001&lt;/electronic-resource-num&gt;&lt;/record&gt;&lt;/Cite&gt;&lt;/EndNote&gt;</w:instrText>
        </w:r>
        <w:r w:rsidR="00527C38" w:rsidRPr="00527C38">
          <w:fldChar w:fldCharType="separate"/>
        </w:r>
        <w:r w:rsidR="00527C38" w:rsidRPr="00527C38">
          <w:rPr>
            <w:vertAlign w:val="superscript"/>
          </w:rPr>
          <w:t>4</w:t>
        </w:r>
        <w:r w:rsidR="00527C38" w:rsidRPr="00527C38">
          <w:fldChar w:fldCharType="end"/>
        </w:r>
      </w:hyperlink>
      <w:r w:rsidRPr="00527C38">
        <w:rPr>
          <w:lang w:val="en-US"/>
        </w:rPr>
        <w:t xml:space="preserve"> More recent evidence highlights that the choice between accrual</w:t>
      </w:r>
      <w:r w:rsidR="004C6136" w:rsidRPr="00527C38">
        <w:rPr>
          <w:lang w:val="en-US"/>
        </w:rPr>
        <w:t xml:space="preserve"> </w:t>
      </w:r>
      <w:r w:rsidRPr="00527C38">
        <w:rPr>
          <w:lang w:val="en-US"/>
        </w:rPr>
        <w:t>based and real earnings management reflects a trade</w:t>
      </w:r>
      <w:r w:rsidR="004C6136" w:rsidRPr="00527C38">
        <w:rPr>
          <w:lang w:val="en-US"/>
        </w:rPr>
        <w:t xml:space="preserve"> </w:t>
      </w:r>
      <w:r w:rsidRPr="00527C38">
        <w:rPr>
          <w:lang w:val="en-US"/>
        </w:rPr>
        <w:t>off between implementation cost and detection risk, illustrating the strategic adaptability of managers under varying financial constraints</w:t>
      </w:r>
      <w:r w:rsidR="00DC1B20" w:rsidRPr="00527C38">
        <w:rPr>
          <w:lang w:val="en-US"/>
        </w:rPr>
        <w:t>.</w:t>
      </w:r>
      <w:hyperlink w:anchor="_ENREF_5" w:tooltip="Li, 2020 #2812" w:history="1">
        <w:r w:rsidR="00527C38" w:rsidRPr="00527C38">
          <w:fldChar w:fldCharType="begin"/>
        </w:r>
        <w:r w:rsidR="00527C38" w:rsidRPr="00527C38">
          <w:instrText xml:space="preserve"> ADDIN EN.CITE &lt;EndNote&gt;&lt;Cite AuthorYear="1"&gt;&lt;Author&gt;Li&lt;/Author&gt;&lt;Year&gt;2020&lt;/Year&gt;&lt;RecNum&gt;2812&lt;/RecNum&gt;&lt;DisplayText&gt;&lt;style face="superscript"&gt;5&lt;/style&gt;&lt;/DisplayText&gt;&lt;record&gt;&lt;rec-number&gt;2812&lt;/rec-number&gt;&lt;foreign-keys&gt;&lt;key app="EN" db-id="exevsxpvos5ep2ear9b5svvoeswxvzw2rs5p" timestamp="1662024091" guid="f7f9ddd2-d6c7-4576-a45c-deb21f5d245a"&gt;2812&lt;/key&gt;&lt;/foreign-keys&gt;&lt;ref-type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00527C38" w:rsidRPr="00527C38">
          <w:fldChar w:fldCharType="separate"/>
        </w:r>
        <w:r w:rsidR="00527C38" w:rsidRPr="00527C38">
          <w:rPr>
            <w:vertAlign w:val="superscript"/>
          </w:rPr>
          <w:t>5</w:t>
        </w:r>
        <w:r w:rsidR="00527C38" w:rsidRPr="00527C38">
          <w:fldChar w:fldCharType="end"/>
        </w:r>
      </w:hyperlink>
    </w:p>
    <w:p w14:paraId="68A8AECB" w14:textId="071F547D" w:rsidR="00977396" w:rsidRPr="00527C38" w:rsidRDefault="00C73C6B" w:rsidP="00C73C6B">
      <w:pPr>
        <w:pStyle w:val="Nidungbibo"/>
        <w:rPr>
          <w:lang w:val="en-US"/>
        </w:rPr>
      </w:pPr>
      <w:r w:rsidRPr="00527C38">
        <w:rPr>
          <w:lang w:val="en-US"/>
        </w:rPr>
        <w:t>In summary, the international literature indicates that the association between financial distress and earnings management is heterogeneous rather than uniform, driven by differences in institutional settings, governance quality, and financial structures. These contextual variations underscore the importance of investigating this relationship in emerging markets such as Vietnam, where bank</w:t>
      </w:r>
      <w:r w:rsidR="004C6136" w:rsidRPr="00527C38">
        <w:rPr>
          <w:lang w:val="en-US"/>
        </w:rPr>
        <w:t xml:space="preserve"> </w:t>
      </w:r>
      <w:r w:rsidRPr="00527C38">
        <w:rPr>
          <w:lang w:val="en-US"/>
        </w:rPr>
        <w:t>dominated financing, limited disclosure transparency, and evolving governance practices may significantly shape managerial responses to financial pressure.</w:t>
      </w:r>
    </w:p>
    <w:p w14:paraId="76EF7CC5" w14:textId="294C24C2" w:rsidR="00767E3A" w:rsidRPr="00527C38" w:rsidRDefault="00767E3A" w:rsidP="00767E3A">
      <w:pPr>
        <w:pStyle w:val="Tiumc"/>
        <w:rPr>
          <w:rFonts w:asciiTheme="majorHAnsi" w:hAnsiTheme="majorHAnsi" w:cstheme="majorHAnsi"/>
        </w:rPr>
      </w:pPr>
      <w:r w:rsidRPr="00527C38">
        <w:rPr>
          <w:rFonts w:asciiTheme="majorHAnsi" w:hAnsiTheme="majorHAnsi" w:cstheme="majorHAnsi"/>
        </w:rPr>
        <w:t>2.3.</w:t>
      </w:r>
      <w:r w:rsidR="00352BC5" w:rsidRPr="00527C38">
        <w:rPr>
          <w:rFonts w:asciiTheme="majorHAnsi" w:hAnsiTheme="majorHAnsi" w:cstheme="majorHAnsi"/>
        </w:rPr>
        <w:t xml:space="preserve"> Research in Vietnam and Identified Research Gaps</w:t>
      </w:r>
    </w:p>
    <w:p w14:paraId="168EE953" w14:textId="1F57E96F" w:rsidR="00C73C6B" w:rsidRPr="00527C38" w:rsidRDefault="00C73C6B" w:rsidP="00C73C6B">
      <w:pPr>
        <w:pStyle w:val="Nidungbibo"/>
        <w:rPr>
          <w:lang w:val="en-US"/>
        </w:rPr>
      </w:pPr>
      <w:r w:rsidRPr="00527C38">
        <w:rPr>
          <w:lang w:val="en-US"/>
        </w:rPr>
        <w:t>Although the issue of earnings management has been widely investigated across different economies, empirical evidence from Vietnam remains scarce, particularly concerning its interaction with financial distress. Existing domestic studies have explored selective aspects of this relationship. For instance, one study on seasoned equity offerings found that capital</w:t>
      </w:r>
      <w:r w:rsidR="004C6136" w:rsidRPr="00527C38">
        <w:rPr>
          <w:lang w:val="en-US"/>
        </w:rPr>
        <w:t xml:space="preserve"> </w:t>
      </w:r>
      <w:r w:rsidRPr="00527C38">
        <w:rPr>
          <w:lang w:val="en-US"/>
        </w:rPr>
        <w:t>raising pressures drive firms to inflate reported profits to meet investor expectations</w:t>
      </w:r>
      <w:r w:rsidR="00DC1B20" w:rsidRPr="00527C38">
        <w:rPr>
          <w:lang w:val="en-US"/>
        </w:rPr>
        <w:t>.</w:t>
      </w:r>
      <w:hyperlink w:anchor="_ENREF_10" w:tooltip="Nguyễn Thị Phương Hồng, 2017 #12232" w:history="1">
        <w:r w:rsidR="00527C38" w:rsidRPr="00527C38">
          <w:rPr>
            <w:lang w:val="en-US"/>
          </w:rPr>
          <w:fldChar w:fldCharType="begin"/>
        </w:r>
        <w:r w:rsidR="00527C38" w:rsidRPr="00527C38">
          <w:rPr>
            <w:lang w:val="en-US"/>
          </w:rPr>
          <w:instrText xml:space="preserve"> ADDIN EN.CITE &lt;EndNote&gt;&lt;Cite&gt;&lt;Author&gt;Nguyễn Thị Phương Hồng&lt;/Author&gt;&lt;Year&gt;2017&lt;/Year&gt;&lt;RecNum&gt;12232&lt;/RecNum&gt;&lt;DisplayText&gt;&lt;style face="superscript"&gt;10&lt;/style&gt;&lt;/DisplayText&gt;&lt;record&gt;&lt;rec-number&gt;12232&lt;/rec-number&gt;&lt;foreign-keys&gt;&lt;key app="EN" db-id="exevsxpvos5ep2ear9b5svvoeswxvzw2rs5p" timestamp="1677467965" guid="2f74dc3d-5de2-4773-84d0-506e2fbca62a"&gt;12232&lt;/key&gt;&lt;/foreign-keys&gt;&lt;ref-type name="Journal Article"&gt;17&lt;/ref-type&gt;&lt;contributors&gt;&lt;authors&gt;&lt;author&gt;Nguyễn Thị Phương Hồng,&lt;/author&gt;&lt;/authors&gt;&lt;/contributors&gt;&lt;titles&gt;&lt;title&gt;Phân tích thực trạng mức quản trị lợi nhuận của các công ty niêm yết trên thị trường chứng khoán Việt Nam bằng mô hình Jones điều chỉnh&lt;/title&gt;&lt;secondary-title&gt;Tạp chí Kinh tế &amp;amp; Phát triển&lt;/secondary-title&gt;&lt;/titles&gt;&lt;periodical&gt;&lt;full-title&gt;Tạp chí Kinh tế &amp;amp; Phát triển&lt;/full-title&gt;&lt;/periodical&gt;&lt;pages&gt;46–57&lt;/pages&gt;&lt;volume&gt;245&lt;/volume&gt;&lt;number&gt;11&lt;/number&gt;&lt;dates&gt;&lt;year&gt;2017&lt;/year&gt;&lt;/dates&gt;&lt;urls&gt;&lt;/urls&gt;&lt;language&gt;vn&lt;/language&gt;&lt;/record&gt;&lt;/Cite&gt;&lt;/EndNote&gt;</w:instrText>
        </w:r>
        <w:r w:rsidR="00527C38" w:rsidRPr="00527C38">
          <w:rPr>
            <w:lang w:val="en-US"/>
          </w:rPr>
          <w:fldChar w:fldCharType="separate"/>
        </w:r>
        <w:r w:rsidR="00527C38" w:rsidRPr="00527C38">
          <w:rPr>
            <w:vertAlign w:val="superscript"/>
          </w:rPr>
          <w:t>10</w:t>
        </w:r>
        <w:r w:rsidR="00527C38" w:rsidRPr="00527C38">
          <w:rPr>
            <w:lang w:val="en-US"/>
          </w:rPr>
          <w:fldChar w:fldCharType="end"/>
        </w:r>
      </w:hyperlink>
      <w:r w:rsidRPr="00527C38">
        <w:rPr>
          <w:lang w:val="en-US"/>
        </w:rPr>
        <w:t xml:space="preserve"> Another study reported that firms with weaker financial positions tend to increase earnings manipulation, aligning with the Debt Covenant Hypothesis.</w:t>
      </w:r>
      <w:hyperlink w:anchor="_ENREF_11" w:tooltip="Lê Thị Phương Vy, 2020 #13076" w:history="1">
        <w:r w:rsidR="00527C38" w:rsidRPr="00527C38">
          <w:fldChar w:fldCharType="begin"/>
        </w:r>
        <w:r w:rsidR="00527C38" w:rsidRPr="00527C38">
          <w:instrText xml:space="preserve"> ADDIN EN.CITE &lt;EndNote&gt;&lt;Cite&gt;&lt;Author&gt;Lê Thị Phương Vy&lt;/Author&gt;&lt;Year&gt;2020&lt;/Year&gt;&lt;RecNum&gt;13076&lt;/RecNum&gt;&lt;DisplayText&gt;&lt;style face="superscript"&gt;11&lt;/style&gt;&lt;/DisplayText&gt;&lt;record&gt;&lt;rec-number&gt;13076&lt;/rec-number&gt;&lt;foreign-keys&gt;&lt;key app="EN" db-id="exevsxpvos5ep2ear9b5svvoeswxvzw2rs5p" timestamp="1691033587" guid="e1c50caa-1212-43dd-858d-3762f217df8d"&gt;13076&lt;/key&gt;&lt;/foreign-keys&gt;&lt;ref-type name="Journal Article"&gt;17&lt;/ref-type&gt;&lt;contributors&gt;&lt;authors&gt;&lt;author&gt;Lê Thị Phương Vy,&lt;/author&gt;&lt;/authors&gt;&lt;/contributors&gt;&lt;titles&gt;&lt;title&gt;Kiệt quệ tài chính và quản trị thu nhập: bằng chứng thực nghiệm ở các công ty niêm yết tại Việt Nam&lt;/title&gt;&lt;secondary-title&gt;Tạp chí Nghiên cứu Kinh tế và Kinh doanh Châu Á&lt;/secondary-title&gt;&lt;/titles&gt;&lt;periodical&gt;&lt;full-title&gt;Tạp chí Nghiên cứu Kinh tế và Kinh doanh châu Á&lt;/full-title&gt;&lt;/periodical&gt;&lt;pages&gt;23-44&lt;/pages&gt;&lt;volume&gt;31(02)&lt;/volume&gt;&lt;dates&gt;&lt;year&gt;2020&lt;/year&gt;&lt;/dates&gt;&lt;urls&gt;&lt;/urls&gt;&lt;/record&gt;&lt;/Cite&gt;&lt;/EndNote&gt;</w:instrText>
        </w:r>
        <w:r w:rsidR="00527C38" w:rsidRPr="00527C38">
          <w:fldChar w:fldCharType="separate"/>
        </w:r>
        <w:r w:rsidR="00527C38" w:rsidRPr="00527C38">
          <w:rPr>
            <w:vertAlign w:val="superscript"/>
          </w:rPr>
          <w:t>11</w:t>
        </w:r>
        <w:r w:rsidR="00527C38" w:rsidRPr="00527C38">
          <w:fldChar w:fldCharType="end"/>
        </w:r>
      </w:hyperlink>
      <w:r w:rsidRPr="00527C38">
        <w:rPr>
          <w:lang w:val="en-US"/>
        </w:rPr>
        <w:t xml:space="preserve"> Extending this line of inquiry, more recent evidence suggests that a high risk of financial distress intensifies both accrual</w:t>
      </w:r>
      <w:r w:rsidR="004C6136" w:rsidRPr="00527C38">
        <w:rPr>
          <w:lang w:val="en-US"/>
        </w:rPr>
        <w:t xml:space="preserve"> </w:t>
      </w:r>
      <w:r w:rsidRPr="00527C38">
        <w:rPr>
          <w:lang w:val="en-US"/>
        </w:rPr>
        <w:t>based and real earnings management, reflecting managerial efforts to maintain positive financial signals amid deteriorating conditions.</w:t>
      </w:r>
      <w:r w:rsidR="009B0528" w:rsidRPr="00527C38">
        <w:t xml:space="preserve"> </w:t>
      </w:r>
      <w:hyperlink w:anchor="_ENREF_12" w:tooltip="Luu Thu, 2023 #13073" w:history="1">
        <w:r w:rsidR="00527C38" w:rsidRPr="00527C38">
          <w:fldChar w:fldCharType="begin"/>
        </w:r>
        <w:r w:rsidR="00527C38" w:rsidRPr="00527C38">
          <w:instrText xml:space="preserve"> ADDIN EN.CITE &lt;EndNote&gt;&lt;Cite&gt;&lt;Author&gt;Luu Thu&lt;/Author&gt;&lt;Year&gt;2023&lt;/Year&gt;&lt;RecNum&gt;13073&lt;/RecNum&gt;&lt;DisplayText&gt;&lt;style face="superscript"&gt;12&lt;/style&gt;&lt;/DisplayText&gt;&lt;record&gt;&lt;rec-number&gt;13073&lt;/rec-number&gt;&lt;foreign-keys&gt;&lt;key app="EN" db-id="exevsxpvos5ep2ear9b5svvoeswxvzw2rs5p" timestamp="1690768244" guid="5d6174d2-63c0-4f01-b52f-d2cccc6a4211"&gt;13073&lt;/key&gt;&lt;/foreign-keys&gt;&lt;ref-type name="Journal Article"&gt;17&lt;/ref-type&gt;&lt;contributors&gt;&lt;authors&gt;&lt;author&gt;Luu Thu, Quang&lt;/author&gt;&lt;/authors&gt;&lt;/contributors&gt;&lt;titles&gt;&lt;title&gt;Impact of earning management and business strategy on financial distress risk of Vietnamese companies&lt;/title&gt;&lt;secondary-title&gt;Cogent Economics &amp;amp; Finance&lt;/secondary-title&gt;&lt;/titles&gt;&lt;periodical&gt;&lt;full-title&gt;Cogent Economics &amp;amp; Finance&lt;/full-title&gt;&lt;/periodical&gt;&lt;pages&gt;2183657&lt;/pages&gt;&lt;volume&gt;11&lt;/volume&gt;&lt;number&gt;1&lt;/number&gt;&lt;dates&gt;&lt;year&gt;2023&lt;/year&gt;&lt;pub-dates&gt;&lt;date&gt;2023/12/31&lt;/date&gt;&lt;/pub-dates&gt;&lt;/dates&gt;&lt;publisher&gt;Cogent OA&lt;/publisher&gt;&lt;isbn&gt;null&lt;/isbn&gt;&lt;urls&gt;&lt;related-urls&gt;&lt;url&gt;https://doi.org/10.1080/23322039.2023.2183657&lt;/url&gt;&lt;/related-urls&gt;&lt;/urls&gt;&lt;electronic-resource-num&gt;10.1080/23322039.2023.2183657&lt;/electronic-resource-num&gt;&lt;/record&gt;&lt;/Cite&gt;&lt;/EndNote&gt;</w:instrText>
        </w:r>
        <w:r w:rsidR="00527C38" w:rsidRPr="00527C38">
          <w:fldChar w:fldCharType="separate"/>
        </w:r>
        <w:r w:rsidR="00527C38" w:rsidRPr="00527C38">
          <w:rPr>
            <w:vertAlign w:val="superscript"/>
          </w:rPr>
          <w:t>12</w:t>
        </w:r>
        <w:r w:rsidR="00527C38" w:rsidRPr="00527C38">
          <w:fldChar w:fldCharType="end"/>
        </w:r>
      </w:hyperlink>
    </w:p>
    <w:p w14:paraId="41980D49" w14:textId="2D364FB2" w:rsidR="00C73C6B" w:rsidRPr="00527C38" w:rsidRDefault="00C73C6B" w:rsidP="00C73C6B">
      <w:pPr>
        <w:pStyle w:val="Nidungbibo"/>
        <w:rPr>
          <w:lang w:val="en-US"/>
        </w:rPr>
      </w:pPr>
      <w:r w:rsidRPr="00527C38">
        <w:rPr>
          <w:lang w:val="en-US"/>
        </w:rPr>
        <w:t>Despite these contributions, the current Vietnamese literature exhibits several methodological and conceptual limitations. First, most studies fail to adequately address endogeneity, a critical concern given that earnings management can simultaneously influence and be influenced by financial distress. Second, few studies distinguish between accrual</w:t>
      </w:r>
      <w:r w:rsidR="004C6136" w:rsidRPr="00527C38">
        <w:rPr>
          <w:lang w:val="en-US"/>
        </w:rPr>
        <w:t xml:space="preserve"> </w:t>
      </w:r>
      <w:r w:rsidRPr="00527C38">
        <w:rPr>
          <w:lang w:val="en-US"/>
        </w:rPr>
        <w:t>based and real activity</w:t>
      </w:r>
      <w:r w:rsidR="004C6136" w:rsidRPr="00527C38">
        <w:rPr>
          <w:lang w:val="en-US"/>
        </w:rPr>
        <w:t xml:space="preserve"> </w:t>
      </w:r>
      <w:r w:rsidRPr="00527C38">
        <w:rPr>
          <w:lang w:val="en-US"/>
        </w:rPr>
        <w:t>based mechanisms, thereby overlooking the potential substitution or complementary effects between the two. Third, the reliance on static regression models neglects the inherently dynamic nature of earnings management, which evolves over time as firms respond to prior performance outcomes and strategic pressures.</w:t>
      </w:r>
    </w:p>
    <w:p w14:paraId="3208717A" w14:textId="7687CE90" w:rsidR="00352BC5" w:rsidRPr="00527C38" w:rsidRDefault="00C73C6B" w:rsidP="00C73C6B">
      <w:pPr>
        <w:pStyle w:val="Nidungbibo"/>
        <w:rPr>
          <w:lang w:val="en-US"/>
        </w:rPr>
      </w:pPr>
      <w:r w:rsidRPr="00527C38">
        <w:rPr>
          <w:lang w:val="en-US"/>
        </w:rPr>
        <w:t>To overcome these gaps, the present study employs a dynamic panel data framework estimated through the two</w:t>
      </w:r>
      <w:r w:rsidR="004C6136" w:rsidRPr="00527C38">
        <w:rPr>
          <w:lang w:val="en-US"/>
        </w:rPr>
        <w:t xml:space="preserve"> </w:t>
      </w:r>
      <w:r w:rsidRPr="00527C38">
        <w:rPr>
          <w:lang w:val="en-US"/>
        </w:rPr>
        <w:t>step System Generalized Method of Moments (GMM). This approach mitigates endogeneity bias, accounts for firm</w:t>
      </w:r>
      <w:r w:rsidR="004C6136" w:rsidRPr="00527C38">
        <w:rPr>
          <w:lang w:val="en-US"/>
        </w:rPr>
        <w:t xml:space="preserve"> </w:t>
      </w:r>
      <w:r w:rsidRPr="00527C38">
        <w:rPr>
          <w:lang w:val="en-US"/>
        </w:rPr>
        <w:t>specific unobserved heterogeneity, and captures the temporal persistence of earnings management behavior. By integrating both accrual</w:t>
      </w:r>
      <w:r w:rsidR="004C6136" w:rsidRPr="00527C38">
        <w:rPr>
          <w:lang w:val="en-US"/>
        </w:rPr>
        <w:t xml:space="preserve"> </w:t>
      </w:r>
      <w:r w:rsidRPr="00527C38">
        <w:rPr>
          <w:lang w:val="en-US"/>
        </w:rPr>
        <w:t>based and real activity dimensions within this econometric structure, the study provides a more robust and comprehensive assessment of how financial distress shapes managerial reporting behavior in the Vietnamese context.</w:t>
      </w:r>
    </w:p>
    <w:p w14:paraId="3A2C29E0" w14:textId="51AAF9F7" w:rsidR="00767E3A" w:rsidRPr="00527C38" w:rsidRDefault="00767E3A" w:rsidP="00EC53C1">
      <w:pPr>
        <w:pStyle w:val="Tiumc"/>
        <w:rPr>
          <w:rFonts w:asciiTheme="majorHAnsi" w:hAnsiTheme="majorHAnsi" w:cstheme="majorHAnsi"/>
        </w:rPr>
      </w:pPr>
      <w:r w:rsidRPr="00527C38">
        <w:rPr>
          <w:rFonts w:asciiTheme="majorHAnsi" w:hAnsiTheme="majorHAnsi" w:cstheme="majorHAnsi"/>
        </w:rPr>
        <w:t>2.4.</w:t>
      </w:r>
      <w:r w:rsidR="006602B0" w:rsidRPr="00527C38">
        <w:rPr>
          <w:rFonts w:asciiTheme="majorHAnsi" w:hAnsiTheme="majorHAnsi" w:cstheme="majorHAnsi"/>
        </w:rPr>
        <w:t xml:space="preserve"> Research Hypotheses</w:t>
      </w:r>
    </w:p>
    <w:p w14:paraId="5FB04876" w14:textId="77777777" w:rsidR="00C73C6B" w:rsidRPr="00527C38" w:rsidRDefault="00C73C6B" w:rsidP="00C73C6B">
      <w:pPr>
        <w:pStyle w:val="Nidungbibo"/>
        <w:rPr>
          <w:lang w:val="en-US"/>
        </w:rPr>
      </w:pPr>
      <w:r w:rsidRPr="00527C38">
        <w:rPr>
          <w:lang w:val="en-US"/>
        </w:rPr>
        <w:t>Drawing on the preceding theoretical discussion and empirical evidence, this study formulates two testable hypotheses concerning the relationship between financial distress and the forms of earnings management:</w:t>
      </w:r>
    </w:p>
    <w:p w14:paraId="003B90AD" w14:textId="1FBAEBFB" w:rsidR="00C73C6B" w:rsidRPr="00527C38" w:rsidRDefault="00C73C6B" w:rsidP="00C73C6B">
      <w:pPr>
        <w:pStyle w:val="Nidungbibo"/>
        <w:rPr>
          <w:lang w:val="en-US"/>
        </w:rPr>
      </w:pPr>
      <w:r w:rsidRPr="00527C38">
        <w:rPr>
          <w:lang w:val="en-US"/>
        </w:rPr>
        <w:t>H1: Financial distress is positively associated with accrual</w:t>
      </w:r>
      <w:r w:rsidR="004C6136" w:rsidRPr="00527C38">
        <w:rPr>
          <w:lang w:val="en-US"/>
        </w:rPr>
        <w:t xml:space="preserve"> </w:t>
      </w:r>
      <w:r w:rsidRPr="00527C38">
        <w:rPr>
          <w:lang w:val="en-US"/>
        </w:rPr>
        <w:t>based earnings management.</w:t>
      </w:r>
    </w:p>
    <w:p w14:paraId="0829DCC5" w14:textId="77777777" w:rsidR="00C73C6B" w:rsidRPr="00527C38" w:rsidRDefault="00C73C6B" w:rsidP="00C73C6B">
      <w:pPr>
        <w:pStyle w:val="Nidungbibo"/>
        <w:rPr>
          <w:lang w:val="en-US"/>
        </w:rPr>
      </w:pPr>
      <w:r w:rsidRPr="00527C38">
        <w:rPr>
          <w:lang w:val="en-US"/>
        </w:rPr>
        <w:t>H2: Financial distress is negatively associated with real earnings management.</w:t>
      </w:r>
    </w:p>
    <w:p w14:paraId="34529DF5" w14:textId="5F3C6D6D" w:rsidR="00C73C6B" w:rsidRPr="00527C38" w:rsidRDefault="00C73C6B" w:rsidP="00C73C6B">
      <w:pPr>
        <w:pStyle w:val="Nidungbibo"/>
        <w:rPr>
          <w:lang w:val="en-US"/>
        </w:rPr>
      </w:pPr>
      <w:r w:rsidRPr="00527C38">
        <w:rPr>
          <w:lang w:val="en-US"/>
        </w:rPr>
        <w:t xml:space="preserve">These hypotheses reflect the premise that as financial distress intensifies, firms are more inclined to manipulate accounting accruals to </w:t>
      </w:r>
      <w:r w:rsidRPr="00527C38">
        <w:rPr>
          <w:lang w:val="en-US"/>
        </w:rPr>
        <w:lastRenderedPageBreak/>
        <w:t>enhance the appearance of financial stability and signal credibility to external stakeholders. In contrast, firms experiencing liquidity constraints or restricted access to credit are more likely to engage in real activity manipulation, adjusting operational decisions</w:t>
      </w:r>
      <w:r w:rsidR="004C6136" w:rsidRPr="00527C38">
        <w:rPr>
          <w:lang w:val="en-US"/>
        </w:rPr>
        <w:t xml:space="preserve"> </w:t>
      </w:r>
      <w:r w:rsidRPr="00527C38">
        <w:rPr>
          <w:lang w:val="en-US"/>
        </w:rPr>
        <w:t>such as production, sales, or discretionary expenditures</w:t>
      </w:r>
      <w:r w:rsidR="004C6136" w:rsidRPr="00527C38">
        <w:rPr>
          <w:lang w:val="en-US"/>
        </w:rPr>
        <w:t xml:space="preserve"> </w:t>
      </w:r>
      <w:r w:rsidRPr="00527C38">
        <w:rPr>
          <w:lang w:val="en-US"/>
        </w:rPr>
        <w:t>to achieve short</w:t>
      </w:r>
      <w:r w:rsidR="004C6136" w:rsidRPr="00527C38">
        <w:rPr>
          <w:lang w:val="en-US"/>
        </w:rPr>
        <w:t xml:space="preserve"> </w:t>
      </w:r>
      <w:r w:rsidRPr="00527C38">
        <w:rPr>
          <w:lang w:val="en-US"/>
        </w:rPr>
        <w:t>term profitability goals.</w:t>
      </w:r>
    </w:p>
    <w:p w14:paraId="292F4A52" w14:textId="0B2CDDFA" w:rsidR="00C414BD" w:rsidRPr="00527C38" w:rsidRDefault="00C73C6B" w:rsidP="00C73C6B">
      <w:pPr>
        <w:pStyle w:val="Nidungbibo"/>
        <w:rPr>
          <w:lang w:val="en-US"/>
        </w:rPr>
      </w:pPr>
      <w:r w:rsidRPr="00527C38">
        <w:rPr>
          <w:lang w:val="en-US"/>
        </w:rPr>
        <w:t>Together, these propositions establish the theoretical foundation for constructing the empirical research model and selecting the appropriate estimation methodology, which are detailed in the following section.</w:t>
      </w:r>
    </w:p>
    <w:p w14:paraId="6045CB7A" w14:textId="59EA9F32" w:rsidR="00C414BD" w:rsidRPr="00527C38" w:rsidRDefault="00830CA1" w:rsidP="005E295C">
      <w:pPr>
        <w:pStyle w:val="Tiumc"/>
        <w:rPr>
          <w:rFonts w:asciiTheme="majorHAnsi" w:hAnsiTheme="majorHAnsi" w:cstheme="majorHAnsi"/>
          <w:lang w:eastAsia="vi-VN"/>
        </w:rPr>
      </w:pPr>
      <w:r w:rsidRPr="00527C38">
        <w:rPr>
          <w:rFonts w:asciiTheme="majorHAnsi" w:hAnsiTheme="majorHAnsi" w:cstheme="majorHAnsi"/>
          <w:lang w:eastAsia="vi-VN"/>
        </w:rPr>
        <w:t>3. RESEARCH MODEL AND METHODOLOGY</w:t>
      </w:r>
    </w:p>
    <w:p w14:paraId="4369ABC6" w14:textId="358A0170" w:rsidR="00C414BD" w:rsidRPr="00527C38" w:rsidRDefault="00C414BD" w:rsidP="005E295C">
      <w:pPr>
        <w:pStyle w:val="Tiumc"/>
        <w:rPr>
          <w:rFonts w:asciiTheme="majorHAnsi" w:hAnsiTheme="majorHAnsi" w:cstheme="majorHAnsi"/>
          <w:lang w:eastAsia="vi-VN"/>
        </w:rPr>
      </w:pPr>
      <w:r w:rsidRPr="00527C38">
        <w:rPr>
          <w:rFonts w:asciiTheme="majorHAnsi" w:hAnsiTheme="majorHAnsi" w:cstheme="majorHAnsi"/>
        </w:rPr>
        <w:t xml:space="preserve">3.1. </w:t>
      </w:r>
      <w:r w:rsidR="679F9F31" w:rsidRPr="00527C38">
        <w:rPr>
          <w:rFonts w:asciiTheme="majorHAnsi" w:hAnsiTheme="majorHAnsi" w:cstheme="majorHAnsi"/>
        </w:rPr>
        <w:t>Research Model</w:t>
      </w:r>
    </w:p>
    <w:p w14:paraId="0DD6A815" w14:textId="0AE96F16" w:rsidR="45D7F573" w:rsidRPr="00527C38" w:rsidRDefault="00C73C6B" w:rsidP="00C73C6B">
      <w:pPr>
        <w:pStyle w:val="Nidungbibo"/>
      </w:pPr>
      <w:r w:rsidRPr="00527C38">
        <w:t>The empirical analysis employs a dynamic panel data framework to examine the effect of financial distress on firms’ earnings management behavior. Accordingly, the research model is specified as follows:</w:t>
      </w:r>
    </w:p>
    <w:p w14:paraId="4EC34BEF" w14:textId="59574407" w:rsidR="00EB66D7" w:rsidRPr="00527C38" w:rsidRDefault="00395E1A" w:rsidP="4B7F1DA5">
      <w:pPr>
        <w:pStyle w:val="Nidungbibo"/>
        <w:jc w:val="center"/>
      </w:pPr>
      <m:oMathPara>
        <m:oMath>
          <m:r>
            <w:rPr>
              <w:rFonts w:ascii="Cambria Math" w:hAnsi="Cambria Math"/>
            </w:rPr>
            <m:t>E</m:t>
          </m:r>
          <m:sSub>
            <m:sSubPr>
              <m:ctrlPr>
                <w:rPr>
                  <w:rFonts w:ascii="Cambria Math" w:hAnsi="Cambria Math"/>
                </w:rPr>
              </m:ctrlPr>
            </m:sSubPr>
            <m:e>
              <m:r>
                <w:rPr>
                  <w:rFonts w:ascii="Cambria Math" w:hAnsi="Cambria Math"/>
                </w:rPr>
                <m:t>M</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m:t>
              </m:r>
            </m:sub>
          </m:sSub>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Contro</m:t>
          </m:r>
          <m:sSub>
            <m:sSubPr>
              <m:ctrlPr>
                <w:rPr>
                  <w:rFonts w:ascii="Cambria Math" w:hAnsi="Cambria Math"/>
                </w:rPr>
              </m:ctrlPr>
            </m:sSubPr>
            <m:e>
              <m:r>
                <w:rPr>
                  <w:rFonts w:ascii="Cambria Math" w:hAnsi="Cambria Math"/>
                </w:rPr>
                <m:t>l</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7AAA241C" w14:textId="75EE7883" w:rsidR="002D1E9E" w:rsidRPr="00527C38" w:rsidRDefault="00C73C6B" w:rsidP="00A100C4">
      <w:pPr>
        <w:pStyle w:val="Nidungbibo"/>
        <w:rPr>
          <w:lang w:val="en-US"/>
        </w:rPr>
      </w:pPr>
      <w:r w:rsidRPr="00527C38">
        <w:rPr>
          <w:lang w:val="en-US"/>
        </w:rPr>
        <w:t>where EM represents the earnings management variable, measured alternatively through accrual</w:t>
      </w:r>
      <w:r w:rsidR="004C6136" w:rsidRPr="00527C38">
        <w:rPr>
          <w:lang w:val="en-US"/>
        </w:rPr>
        <w:t xml:space="preserve"> </w:t>
      </w:r>
      <w:r w:rsidRPr="00527C38">
        <w:rPr>
          <w:lang w:val="en-US"/>
        </w:rPr>
        <w:t>based and real activity indicators; FS denotes the financial distress variable, capturing the firm’s financial condition; and Control is a vector of firm</w:t>
      </w:r>
      <w:r w:rsidR="004C6136" w:rsidRPr="00527C38">
        <w:rPr>
          <w:lang w:val="en-US"/>
        </w:rPr>
        <w:t xml:space="preserve"> </w:t>
      </w:r>
      <w:r w:rsidRPr="00527C38">
        <w:rPr>
          <w:lang w:val="en-US"/>
        </w:rPr>
        <w:t>specific control variables reflecting the effects of capital structure, liquidity, and cash flow performance. All variables are defined in detail in the subsequent subsection.</w:t>
      </w:r>
    </w:p>
    <w:p w14:paraId="5C2773C7" w14:textId="6A8D91B3" w:rsidR="00C414BD" w:rsidRPr="00527C38" w:rsidRDefault="00C414BD" w:rsidP="005E295C">
      <w:pPr>
        <w:pStyle w:val="Tiumc"/>
        <w:rPr>
          <w:rFonts w:asciiTheme="majorHAnsi" w:hAnsiTheme="majorHAnsi" w:cstheme="majorHAnsi"/>
        </w:rPr>
      </w:pPr>
      <w:r w:rsidRPr="00527C38">
        <w:rPr>
          <w:rFonts w:asciiTheme="majorHAnsi" w:hAnsiTheme="majorHAnsi" w:cstheme="majorHAnsi"/>
        </w:rPr>
        <w:t>3.</w:t>
      </w:r>
      <w:r w:rsidR="00EC53C1" w:rsidRPr="00527C38">
        <w:rPr>
          <w:rFonts w:asciiTheme="majorHAnsi" w:hAnsiTheme="majorHAnsi" w:cstheme="majorHAnsi"/>
        </w:rPr>
        <w:t>2</w:t>
      </w:r>
      <w:r w:rsidRPr="00527C38">
        <w:rPr>
          <w:rFonts w:asciiTheme="majorHAnsi" w:hAnsiTheme="majorHAnsi" w:cstheme="majorHAnsi"/>
        </w:rPr>
        <w:t>. D</w:t>
      </w:r>
      <w:r w:rsidR="00E97343" w:rsidRPr="00527C38">
        <w:rPr>
          <w:rFonts w:asciiTheme="majorHAnsi" w:hAnsiTheme="majorHAnsi" w:cstheme="majorHAnsi"/>
        </w:rPr>
        <w:t>ata</w:t>
      </w:r>
    </w:p>
    <w:p w14:paraId="405FD885" w14:textId="77777777" w:rsidR="00C73C6B" w:rsidRPr="00527C38" w:rsidRDefault="00C73C6B" w:rsidP="00C73C6B">
      <w:pPr>
        <w:pStyle w:val="Nidungbibo"/>
        <w:rPr>
          <w:noProof/>
          <w:lang w:val="en-US"/>
        </w:rPr>
      </w:pPr>
      <w:r w:rsidRPr="00527C38">
        <w:rPr>
          <w:noProof/>
          <w:lang w:val="en-US"/>
        </w:rPr>
        <w:t xml:space="preserve">The empirical analysis is based on data obtained from the FiinPro Database (Fiingroup), a highly regarded financial information platform </w:t>
      </w:r>
      <w:r w:rsidRPr="00527C38">
        <w:rPr>
          <w:noProof/>
          <w:lang w:val="en-US"/>
        </w:rPr>
        <w:t>in Vietnam that provides audited financial statements, cash flow statements, and detailed financial ratios for listed firms. The sample period spans 2005–2022, encompassing 18 consecutive fiscal years. This extended timeframe captures multiple economic cycles and major structural developments in Vietnam’s financial market, thereby ensuring comprehensive temporal coverage.</w:t>
      </w:r>
    </w:p>
    <w:p w14:paraId="4841BD44" w14:textId="7A14407A" w:rsidR="00C73C6B" w:rsidRPr="00527C38" w:rsidRDefault="00C73C6B" w:rsidP="00C73C6B">
      <w:pPr>
        <w:pStyle w:val="Nidungbibo"/>
        <w:rPr>
          <w:noProof/>
          <w:lang w:val="en-US"/>
        </w:rPr>
      </w:pPr>
      <w:r w:rsidRPr="00527C38">
        <w:rPr>
          <w:noProof/>
          <w:lang w:val="en-US"/>
        </w:rPr>
        <w:t>The research sample includes all firms listed on the Ho Chi Minh City Stock Exchange (HOSE) and the Hanoi Stock Exchange (HNX) as of December 31, 2022. To ensure data consistency, only firms with audited financial statements and continuous reporting for at least three consecutive years were retained. Companies operating in industries with distinct financial structures</w:t>
      </w:r>
      <w:r w:rsidR="004C6136" w:rsidRPr="00527C38">
        <w:rPr>
          <w:noProof/>
          <w:lang w:val="en-US"/>
        </w:rPr>
        <w:t xml:space="preserve"> </w:t>
      </w:r>
      <w:r w:rsidRPr="00527C38">
        <w:rPr>
          <w:noProof/>
          <w:lang w:val="en-US"/>
        </w:rPr>
        <w:t>such as banking, insurance, financial services, oil and gas, and telecommunications</w:t>
      </w:r>
      <w:r w:rsidR="004C6136" w:rsidRPr="00527C38">
        <w:rPr>
          <w:noProof/>
          <w:lang w:val="en-US"/>
        </w:rPr>
        <w:t xml:space="preserve"> </w:t>
      </w:r>
      <w:r w:rsidRPr="00527C38">
        <w:rPr>
          <w:noProof/>
          <w:lang w:val="en-US"/>
        </w:rPr>
        <w:t>were excluded due to their specialized accounting practices and regulatory environments. After rigorous data screening and the elimination of missing or outlier observations, the final sample comprises 575 firms, corresponding to 8,508 firm</w:t>
      </w:r>
      <w:r w:rsidR="004C6136" w:rsidRPr="00527C38">
        <w:rPr>
          <w:noProof/>
          <w:lang w:val="en-US"/>
        </w:rPr>
        <w:t xml:space="preserve"> </w:t>
      </w:r>
      <w:r w:rsidRPr="00527C38">
        <w:rPr>
          <w:noProof/>
          <w:lang w:val="en-US"/>
        </w:rPr>
        <w:t>year observations across the study period.</w:t>
      </w:r>
    </w:p>
    <w:p w14:paraId="5FFC7A39" w14:textId="02BF6F54" w:rsidR="0045421E" w:rsidRPr="00527C38" w:rsidRDefault="00C73C6B" w:rsidP="00C73C6B">
      <w:pPr>
        <w:pStyle w:val="Nidungbibo"/>
        <w:rPr>
          <w:noProof/>
          <w:lang w:val="en-US"/>
        </w:rPr>
        <w:sectPr w:rsidR="0045421E" w:rsidRPr="00527C38" w:rsidSect="0045421E">
          <w:type w:val="continuous"/>
          <w:pgSz w:w="11906" w:h="16838"/>
          <w:pgMar w:top="1134" w:right="1134" w:bottom="1134" w:left="1418" w:header="709" w:footer="709" w:gutter="0"/>
          <w:cols w:num="2" w:space="708"/>
          <w:docGrid w:linePitch="360"/>
        </w:sectPr>
      </w:pPr>
      <w:r w:rsidRPr="00527C38">
        <w:rPr>
          <w:noProof/>
          <w:lang w:val="en-US"/>
        </w:rPr>
        <w:t>Industry classification follows the Industry Classification Benchmark (ICB) standard, with the following distribution: Industrials (41.6%), Basic Materials (16.7%), Consumer Goods (16.3%), Consumer Services (9.5%), Utilities (8.6%), Healthcare and Pharmaceuticals (4.3%), and Information Technology (3.0%). The sample’s large size, sectoral diversity, and longitudinal design provide a robust empirical foundation for analyzing the relationship between financial distress and earnings management within the Vietnamese capital market.</w:t>
      </w:r>
    </w:p>
    <w:p w14:paraId="1DC3FCA1" w14:textId="77777777" w:rsidR="00C73C6B" w:rsidRPr="00527C38" w:rsidRDefault="00C73C6B" w:rsidP="005E295C">
      <w:pPr>
        <w:pStyle w:val="Tnbng"/>
        <w:rPr>
          <w:lang w:val="en-US"/>
        </w:rPr>
      </w:pPr>
    </w:p>
    <w:p w14:paraId="730375C0" w14:textId="61D4A905" w:rsidR="0045421E" w:rsidRPr="00527C38" w:rsidRDefault="00743E15" w:rsidP="005E295C">
      <w:pPr>
        <w:pStyle w:val="Tnbng"/>
        <w:rPr>
          <w:lang w:val="en-US"/>
        </w:rPr>
      </w:pPr>
      <w:r w:rsidRPr="00527C38">
        <w:t xml:space="preserve">Table 1. </w:t>
      </w:r>
      <w:r w:rsidR="00DC58EA" w:rsidRPr="00527C38">
        <w:rPr>
          <w:b w:val="0"/>
          <w:bCs w:val="0"/>
        </w:rPr>
        <w:t>Industry distribution of sample observations for Vietnamese listed firms, 2005–2022</w:t>
      </w:r>
    </w:p>
    <w:tbl>
      <w:tblPr>
        <w:tblW w:w="10050" w:type="dxa"/>
        <w:tblInd w:w="-284" w:type="dxa"/>
        <w:tblLook w:val="04A0" w:firstRow="1" w:lastRow="0" w:firstColumn="1" w:lastColumn="0" w:noHBand="0" w:noVBand="1"/>
      </w:tblPr>
      <w:tblGrid>
        <w:gridCol w:w="1157"/>
        <w:gridCol w:w="460"/>
        <w:gridCol w:w="460"/>
        <w:gridCol w:w="460"/>
        <w:gridCol w:w="460"/>
        <w:gridCol w:w="460"/>
        <w:gridCol w:w="460"/>
        <w:gridCol w:w="460"/>
        <w:gridCol w:w="461"/>
        <w:gridCol w:w="461"/>
        <w:gridCol w:w="461"/>
        <w:gridCol w:w="461"/>
        <w:gridCol w:w="461"/>
        <w:gridCol w:w="461"/>
        <w:gridCol w:w="461"/>
        <w:gridCol w:w="461"/>
        <w:gridCol w:w="461"/>
        <w:gridCol w:w="461"/>
        <w:gridCol w:w="461"/>
        <w:gridCol w:w="602"/>
      </w:tblGrid>
      <w:tr w:rsidR="00207AC1" w:rsidRPr="00527C38" w14:paraId="0CC460B4" w14:textId="77777777" w:rsidTr="006E6EAC">
        <w:trPr>
          <w:trHeight w:val="20"/>
          <w:tblHeader/>
        </w:trPr>
        <w:tc>
          <w:tcPr>
            <w:tcW w:w="0" w:type="auto"/>
            <w:tcBorders>
              <w:top w:val="single" w:sz="4" w:space="0" w:color="auto"/>
              <w:left w:val="nil"/>
              <w:bottom w:val="single" w:sz="4" w:space="0" w:color="auto"/>
              <w:right w:val="nil"/>
            </w:tcBorders>
            <w:noWrap/>
            <w:vAlign w:val="bottom"/>
            <w:hideMark/>
          </w:tcPr>
          <w:p w14:paraId="66C94EBE" w14:textId="19BD8ED7" w:rsidR="0045421E" w:rsidRPr="00527C38" w:rsidRDefault="00E2659E" w:rsidP="0045421E">
            <w:pPr>
              <w:spacing w:after="0" w:line="240" w:lineRule="auto"/>
              <w:rPr>
                <w:rFonts w:asciiTheme="majorHAnsi" w:hAnsiTheme="majorHAnsi" w:cstheme="majorHAnsi"/>
                <w:sz w:val="12"/>
                <w:szCs w:val="12"/>
                <w:lang w:eastAsia="vi-VN"/>
              </w:rPr>
            </w:pPr>
            <w:r w:rsidRPr="00527C38">
              <w:rPr>
                <w:rFonts w:asciiTheme="majorHAnsi" w:hAnsiTheme="majorHAnsi" w:cstheme="majorHAnsi"/>
                <w:sz w:val="12"/>
                <w:szCs w:val="12"/>
              </w:rPr>
              <w:t>Industry</w:t>
            </w:r>
          </w:p>
        </w:tc>
        <w:tc>
          <w:tcPr>
            <w:tcW w:w="0" w:type="auto"/>
            <w:tcBorders>
              <w:top w:val="single" w:sz="4" w:space="0" w:color="auto"/>
              <w:left w:val="nil"/>
              <w:bottom w:val="single" w:sz="4" w:space="0" w:color="auto"/>
              <w:right w:val="nil"/>
            </w:tcBorders>
          </w:tcPr>
          <w:p w14:paraId="53DEC2F0"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2005</w:t>
            </w:r>
          </w:p>
        </w:tc>
        <w:tc>
          <w:tcPr>
            <w:tcW w:w="0" w:type="auto"/>
            <w:tcBorders>
              <w:top w:val="single" w:sz="4" w:space="0" w:color="auto"/>
              <w:left w:val="nil"/>
              <w:bottom w:val="single" w:sz="4" w:space="0" w:color="auto"/>
              <w:right w:val="nil"/>
            </w:tcBorders>
            <w:noWrap/>
            <w:vAlign w:val="bottom"/>
            <w:hideMark/>
          </w:tcPr>
          <w:p w14:paraId="23E94AF4"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2006</w:t>
            </w:r>
          </w:p>
        </w:tc>
        <w:tc>
          <w:tcPr>
            <w:tcW w:w="0" w:type="auto"/>
            <w:tcBorders>
              <w:top w:val="single" w:sz="4" w:space="0" w:color="auto"/>
              <w:left w:val="nil"/>
              <w:bottom w:val="single" w:sz="4" w:space="0" w:color="auto"/>
              <w:right w:val="nil"/>
            </w:tcBorders>
            <w:noWrap/>
            <w:vAlign w:val="bottom"/>
            <w:hideMark/>
          </w:tcPr>
          <w:p w14:paraId="47ED3D58"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2007</w:t>
            </w:r>
          </w:p>
        </w:tc>
        <w:tc>
          <w:tcPr>
            <w:tcW w:w="0" w:type="auto"/>
            <w:tcBorders>
              <w:top w:val="single" w:sz="4" w:space="0" w:color="auto"/>
              <w:left w:val="nil"/>
              <w:bottom w:val="single" w:sz="4" w:space="0" w:color="auto"/>
              <w:right w:val="nil"/>
            </w:tcBorders>
            <w:noWrap/>
            <w:vAlign w:val="bottom"/>
            <w:hideMark/>
          </w:tcPr>
          <w:p w14:paraId="7357367A"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2008</w:t>
            </w:r>
          </w:p>
        </w:tc>
        <w:tc>
          <w:tcPr>
            <w:tcW w:w="0" w:type="auto"/>
            <w:tcBorders>
              <w:top w:val="single" w:sz="4" w:space="0" w:color="auto"/>
              <w:left w:val="nil"/>
              <w:bottom w:val="single" w:sz="4" w:space="0" w:color="auto"/>
              <w:right w:val="nil"/>
            </w:tcBorders>
            <w:noWrap/>
            <w:vAlign w:val="bottom"/>
            <w:hideMark/>
          </w:tcPr>
          <w:p w14:paraId="73D1DA88"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2009</w:t>
            </w:r>
          </w:p>
        </w:tc>
        <w:tc>
          <w:tcPr>
            <w:tcW w:w="0" w:type="auto"/>
            <w:tcBorders>
              <w:top w:val="single" w:sz="4" w:space="0" w:color="auto"/>
              <w:left w:val="nil"/>
              <w:bottom w:val="single" w:sz="4" w:space="0" w:color="auto"/>
              <w:right w:val="nil"/>
            </w:tcBorders>
            <w:noWrap/>
            <w:vAlign w:val="bottom"/>
            <w:hideMark/>
          </w:tcPr>
          <w:p w14:paraId="54B9891E"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2010</w:t>
            </w:r>
          </w:p>
        </w:tc>
        <w:tc>
          <w:tcPr>
            <w:tcW w:w="0" w:type="auto"/>
            <w:tcBorders>
              <w:top w:val="single" w:sz="4" w:space="0" w:color="auto"/>
              <w:left w:val="nil"/>
              <w:bottom w:val="single" w:sz="4" w:space="0" w:color="auto"/>
              <w:right w:val="nil"/>
            </w:tcBorders>
            <w:noWrap/>
            <w:vAlign w:val="bottom"/>
            <w:hideMark/>
          </w:tcPr>
          <w:p w14:paraId="6CCE2B86"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2011</w:t>
            </w:r>
          </w:p>
        </w:tc>
        <w:tc>
          <w:tcPr>
            <w:tcW w:w="0" w:type="auto"/>
            <w:tcBorders>
              <w:top w:val="single" w:sz="4" w:space="0" w:color="auto"/>
              <w:left w:val="nil"/>
              <w:bottom w:val="single" w:sz="4" w:space="0" w:color="auto"/>
              <w:right w:val="nil"/>
            </w:tcBorders>
            <w:noWrap/>
            <w:vAlign w:val="bottom"/>
            <w:hideMark/>
          </w:tcPr>
          <w:p w14:paraId="3C689589"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2012</w:t>
            </w:r>
          </w:p>
        </w:tc>
        <w:tc>
          <w:tcPr>
            <w:tcW w:w="0" w:type="auto"/>
            <w:tcBorders>
              <w:top w:val="single" w:sz="4" w:space="0" w:color="auto"/>
              <w:left w:val="nil"/>
              <w:bottom w:val="single" w:sz="4" w:space="0" w:color="auto"/>
              <w:right w:val="nil"/>
            </w:tcBorders>
            <w:noWrap/>
            <w:vAlign w:val="bottom"/>
            <w:hideMark/>
          </w:tcPr>
          <w:p w14:paraId="133D8B4E"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2013</w:t>
            </w:r>
          </w:p>
        </w:tc>
        <w:tc>
          <w:tcPr>
            <w:tcW w:w="0" w:type="auto"/>
            <w:tcBorders>
              <w:top w:val="single" w:sz="4" w:space="0" w:color="auto"/>
              <w:left w:val="nil"/>
              <w:bottom w:val="single" w:sz="4" w:space="0" w:color="auto"/>
              <w:right w:val="nil"/>
            </w:tcBorders>
            <w:noWrap/>
            <w:vAlign w:val="bottom"/>
            <w:hideMark/>
          </w:tcPr>
          <w:p w14:paraId="3B15DD58"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2014</w:t>
            </w:r>
          </w:p>
        </w:tc>
        <w:tc>
          <w:tcPr>
            <w:tcW w:w="0" w:type="auto"/>
            <w:tcBorders>
              <w:top w:val="single" w:sz="4" w:space="0" w:color="auto"/>
              <w:left w:val="nil"/>
              <w:bottom w:val="single" w:sz="4" w:space="0" w:color="auto"/>
              <w:right w:val="nil"/>
            </w:tcBorders>
            <w:noWrap/>
            <w:vAlign w:val="bottom"/>
            <w:hideMark/>
          </w:tcPr>
          <w:p w14:paraId="50D940AD"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2015</w:t>
            </w:r>
          </w:p>
        </w:tc>
        <w:tc>
          <w:tcPr>
            <w:tcW w:w="0" w:type="auto"/>
            <w:tcBorders>
              <w:top w:val="single" w:sz="4" w:space="0" w:color="auto"/>
              <w:left w:val="nil"/>
              <w:bottom w:val="single" w:sz="4" w:space="0" w:color="auto"/>
              <w:right w:val="nil"/>
            </w:tcBorders>
            <w:noWrap/>
            <w:vAlign w:val="bottom"/>
            <w:hideMark/>
          </w:tcPr>
          <w:p w14:paraId="3993002B"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2016</w:t>
            </w:r>
          </w:p>
        </w:tc>
        <w:tc>
          <w:tcPr>
            <w:tcW w:w="0" w:type="auto"/>
            <w:tcBorders>
              <w:top w:val="single" w:sz="4" w:space="0" w:color="auto"/>
              <w:left w:val="nil"/>
              <w:bottom w:val="single" w:sz="4" w:space="0" w:color="auto"/>
              <w:right w:val="nil"/>
            </w:tcBorders>
            <w:noWrap/>
            <w:vAlign w:val="bottom"/>
            <w:hideMark/>
          </w:tcPr>
          <w:p w14:paraId="577A4ADC"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2017</w:t>
            </w:r>
          </w:p>
        </w:tc>
        <w:tc>
          <w:tcPr>
            <w:tcW w:w="0" w:type="auto"/>
            <w:tcBorders>
              <w:top w:val="single" w:sz="4" w:space="0" w:color="auto"/>
              <w:left w:val="nil"/>
              <w:bottom w:val="single" w:sz="4" w:space="0" w:color="auto"/>
              <w:right w:val="nil"/>
            </w:tcBorders>
            <w:noWrap/>
            <w:vAlign w:val="bottom"/>
            <w:hideMark/>
          </w:tcPr>
          <w:p w14:paraId="0996C094"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2018</w:t>
            </w:r>
          </w:p>
        </w:tc>
        <w:tc>
          <w:tcPr>
            <w:tcW w:w="0" w:type="auto"/>
            <w:tcBorders>
              <w:top w:val="single" w:sz="4" w:space="0" w:color="auto"/>
              <w:left w:val="nil"/>
              <w:bottom w:val="single" w:sz="4" w:space="0" w:color="auto"/>
              <w:right w:val="nil"/>
            </w:tcBorders>
            <w:noWrap/>
            <w:vAlign w:val="bottom"/>
            <w:hideMark/>
          </w:tcPr>
          <w:p w14:paraId="77669B65"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2019</w:t>
            </w:r>
          </w:p>
        </w:tc>
        <w:tc>
          <w:tcPr>
            <w:tcW w:w="0" w:type="auto"/>
            <w:tcBorders>
              <w:top w:val="single" w:sz="4" w:space="0" w:color="auto"/>
              <w:left w:val="nil"/>
              <w:bottom w:val="single" w:sz="4" w:space="0" w:color="auto"/>
              <w:right w:val="nil"/>
            </w:tcBorders>
            <w:noWrap/>
            <w:vAlign w:val="bottom"/>
            <w:hideMark/>
          </w:tcPr>
          <w:p w14:paraId="36646349"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2020</w:t>
            </w:r>
          </w:p>
        </w:tc>
        <w:tc>
          <w:tcPr>
            <w:tcW w:w="0" w:type="auto"/>
            <w:tcBorders>
              <w:top w:val="single" w:sz="4" w:space="0" w:color="auto"/>
              <w:left w:val="nil"/>
              <w:bottom w:val="single" w:sz="4" w:space="0" w:color="auto"/>
              <w:right w:val="nil"/>
            </w:tcBorders>
            <w:noWrap/>
            <w:vAlign w:val="bottom"/>
            <w:hideMark/>
          </w:tcPr>
          <w:p w14:paraId="4441A915"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2021</w:t>
            </w:r>
          </w:p>
        </w:tc>
        <w:tc>
          <w:tcPr>
            <w:tcW w:w="0" w:type="auto"/>
            <w:tcBorders>
              <w:top w:val="single" w:sz="4" w:space="0" w:color="auto"/>
              <w:left w:val="nil"/>
              <w:bottom w:val="single" w:sz="4" w:space="0" w:color="auto"/>
              <w:right w:val="nil"/>
            </w:tcBorders>
            <w:noWrap/>
            <w:vAlign w:val="bottom"/>
            <w:hideMark/>
          </w:tcPr>
          <w:p w14:paraId="260061FF" w14:textId="77777777" w:rsidR="0045421E" w:rsidRPr="00527C38" w:rsidRDefault="0045421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2022</w:t>
            </w:r>
          </w:p>
        </w:tc>
        <w:tc>
          <w:tcPr>
            <w:tcW w:w="602" w:type="dxa"/>
            <w:tcBorders>
              <w:top w:val="single" w:sz="4" w:space="0" w:color="auto"/>
              <w:left w:val="nil"/>
              <w:bottom w:val="single" w:sz="4" w:space="0" w:color="auto"/>
              <w:right w:val="nil"/>
            </w:tcBorders>
            <w:noWrap/>
            <w:vAlign w:val="bottom"/>
            <w:hideMark/>
          </w:tcPr>
          <w:p w14:paraId="77BC4588" w14:textId="1D067B66" w:rsidR="0045421E" w:rsidRPr="00527C38" w:rsidRDefault="0045421E" w:rsidP="009E389E">
            <w:pPr>
              <w:spacing w:after="0" w:line="240" w:lineRule="auto"/>
              <w:jc w:val="right"/>
              <w:rPr>
                <w:rFonts w:asciiTheme="majorHAnsi" w:hAnsiTheme="majorHAnsi" w:cstheme="majorHAnsi"/>
                <w:sz w:val="12"/>
                <w:szCs w:val="12"/>
                <w:lang w:val="en-US"/>
              </w:rPr>
            </w:pPr>
            <w:r w:rsidRPr="00527C38">
              <w:rPr>
                <w:rFonts w:asciiTheme="majorHAnsi" w:hAnsiTheme="majorHAnsi" w:cstheme="majorHAnsi"/>
                <w:sz w:val="12"/>
                <w:szCs w:val="12"/>
                <w:highlight w:val="yellow"/>
              </w:rPr>
              <w:t>T</w:t>
            </w:r>
            <w:r w:rsidR="009E389E" w:rsidRPr="00527C38">
              <w:rPr>
                <w:rFonts w:asciiTheme="majorHAnsi" w:hAnsiTheme="majorHAnsi" w:cstheme="majorHAnsi"/>
                <w:sz w:val="12"/>
                <w:szCs w:val="12"/>
                <w:highlight w:val="yellow"/>
                <w:lang w:val="en-US"/>
              </w:rPr>
              <w:t>otal</w:t>
            </w:r>
          </w:p>
        </w:tc>
      </w:tr>
      <w:tr w:rsidR="00207AC1" w:rsidRPr="00527C38" w14:paraId="11593E7D" w14:textId="77777777" w:rsidTr="0045421E">
        <w:trPr>
          <w:trHeight w:val="20"/>
        </w:trPr>
        <w:tc>
          <w:tcPr>
            <w:tcW w:w="0" w:type="auto"/>
            <w:tcBorders>
              <w:top w:val="single" w:sz="4" w:space="0" w:color="auto"/>
              <w:left w:val="nil"/>
              <w:bottom w:val="nil"/>
              <w:right w:val="nil"/>
            </w:tcBorders>
            <w:noWrap/>
            <w:vAlign w:val="bottom"/>
            <w:hideMark/>
          </w:tcPr>
          <w:p w14:paraId="64BE9B40" w14:textId="210ACE5E" w:rsidR="0045421E" w:rsidRPr="00527C38" w:rsidRDefault="00BD4660"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Industrials</w:t>
            </w:r>
          </w:p>
        </w:tc>
        <w:tc>
          <w:tcPr>
            <w:tcW w:w="0" w:type="auto"/>
            <w:tcBorders>
              <w:top w:val="single" w:sz="4" w:space="0" w:color="auto"/>
              <w:left w:val="nil"/>
              <w:bottom w:val="nil"/>
              <w:right w:val="nil"/>
            </w:tcBorders>
            <w:vAlign w:val="bottom"/>
          </w:tcPr>
          <w:p w14:paraId="7F56D97C"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65</w:t>
            </w:r>
          </w:p>
        </w:tc>
        <w:tc>
          <w:tcPr>
            <w:tcW w:w="0" w:type="auto"/>
            <w:tcBorders>
              <w:top w:val="single" w:sz="4" w:space="0" w:color="auto"/>
              <w:left w:val="nil"/>
              <w:bottom w:val="nil"/>
              <w:right w:val="nil"/>
            </w:tcBorders>
            <w:noWrap/>
            <w:vAlign w:val="bottom"/>
            <w:hideMark/>
          </w:tcPr>
          <w:p w14:paraId="41E27830"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96</w:t>
            </w:r>
          </w:p>
        </w:tc>
        <w:tc>
          <w:tcPr>
            <w:tcW w:w="0" w:type="auto"/>
            <w:tcBorders>
              <w:top w:val="single" w:sz="4" w:space="0" w:color="auto"/>
              <w:left w:val="nil"/>
              <w:bottom w:val="nil"/>
              <w:right w:val="nil"/>
            </w:tcBorders>
            <w:noWrap/>
            <w:vAlign w:val="bottom"/>
            <w:hideMark/>
          </w:tcPr>
          <w:p w14:paraId="282992F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131</w:t>
            </w:r>
          </w:p>
        </w:tc>
        <w:tc>
          <w:tcPr>
            <w:tcW w:w="0" w:type="auto"/>
            <w:tcBorders>
              <w:top w:val="single" w:sz="4" w:space="0" w:color="auto"/>
              <w:left w:val="nil"/>
              <w:bottom w:val="nil"/>
              <w:right w:val="nil"/>
            </w:tcBorders>
            <w:noWrap/>
            <w:vAlign w:val="bottom"/>
            <w:hideMark/>
          </w:tcPr>
          <w:p w14:paraId="5DF708A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177</w:t>
            </w:r>
          </w:p>
        </w:tc>
        <w:tc>
          <w:tcPr>
            <w:tcW w:w="0" w:type="auto"/>
            <w:tcBorders>
              <w:top w:val="single" w:sz="4" w:space="0" w:color="auto"/>
              <w:left w:val="nil"/>
              <w:bottom w:val="nil"/>
              <w:right w:val="nil"/>
            </w:tcBorders>
            <w:noWrap/>
            <w:vAlign w:val="bottom"/>
            <w:hideMark/>
          </w:tcPr>
          <w:p w14:paraId="6913FE74"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183</w:t>
            </w:r>
          </w:p>
        </w:tc>
        <w:tc>
          <w:tcPr>
            <w:tcW w:w="0" w:type="auto"/>
            <w:tcBorders>
              <w:top w:val="single" w:sz="4" w:space="0" w:color="auto"/>
              <w:left w:val="nil"/>
              <w:bottom w:val="nil"/>
              <w:right w:val="nil"/>
            </w:tcBorders>
            <w:noWrap/>
            <w:vAlign w:val="bottom"/>
            <w:hideMark/>
          </w:tcPr>
          <w:p w14:paraId="3F1597C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198</w:t>
            </w:r>
          </w:p>
        </w:tc>
        <w:tc>
          <w:tcPr>
            <w:tcW w:w="0" w:type="auto"/>
            <w:tcBorders>
              <w:top w:val="single" w:sz="4" w:space="0" w:color="auto"/>
              <w:left w:val="nil"/>
              <w:bottom w:val="nil"/>
              <w:right w:val="nil"/>
            </w:tcBorders>
            <w:noWrap/>
            <w:vAlign w:val="bottom"/>
            <w:hideMark/>
          </w:tcPr>
          <w:p w14:paraId="3A6CC63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204</w:t>
            </w:r>
          </w:p>
        </w:tc>
        <w:tc>
          <w:tcPr>
            <w:tcW w:w="0" w:type="auto"/>
            <w:tcBorders>
              <w:top w:val="single" w:sz="4" w:space="0" w:color="auto"/>
              <w:left w:val="nil"/>
              <w:bottom w:val="nil"/>
              <w:right w:val="nil"/>
            </w:tcBorders>
            <w:noWrap/>
            <w:vAlign w:val="bottom"/>
            <w:hideMark/>
          </w:tcPr>
          <w:p w14:paraId="79FD482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209</w:t>
            </w:r>
          </w:p>
        </w:tc>
        <w:tc>
          <w:tcPr>
            <w:tcW w:w="0" w:type="auto"/>
            <w:tcBorders>
              <w:top w:val="single" w:sz="4" w:space="0" w:color="auto"/>
              <w:left w:val="nil"/>
              <w:bottom w:val="nil"/>
              <w:right w:val="nil"/>
            </w:tcBorders>
            <w:noWrap/>
            <w:vAlign w:val="bottom"/>
            <w:hideMark/>
          </w:tcPr>
          <w:p w14:paraId="04C5088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211</w:t>
            </w:r>
          </w:p>
        </w:tc>
        <w:tc>
          <w:tcPr>
            <w:tcW w:w="0" w:type="auto"/>
            <w:tcBorders>
              <w:top w:val="single" w:sz="4" w:space="0" w:color="auto"/>
              <w:left w:val="nil"/>
              <w:bottom w:val="nil"/>
              <w:right w:val="nil"/>
            </w:tcBorders>
            <w:noWrap/>
            <w:vAlign w:val="bottom"/>
            <w:hideMark/>
          </w:tcPr>
          <w:p w14:paraId="15E43A1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221</w:t>
            </w:r>
          </w:p>
        </w:tc>
        <w:tc>
          <w:tcPr>
            <w:tcW w:w="0" w:type="auto"/>
            <w:tcBorders>
              <w:top w:val="single" w:sz="4" w:space="0" w:color="auto"/>
              <w:left w:val="nil"/>
              <w:bottom w:val="nil"/>
              <w:right w:val="nil"/>
            </w:tcBorders>
            <w:noWrap/>
            <w:vAlign w:val="bottom"/>
            <w:hideMark/>
          </w:tcPr>
          <w:p w14:paraId="6F948C0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225</w:t>
            </w:r>
          </w:p>
        </w:tc>
        <w:tc>
          <w:tcPr>
            <w:tcW w:w="0" w:type="auto"/>
            <w:tcBorders>
              <w:top w:val="single" w:sz="4" w:space="0" w:color="auto"/>
              <w:left w:val="nil"/>
              <w:bottom w:val="nil"/>
              <w:right w:val="nil"/>
            </w:tcBorders>
            <w:noWrap/>
            <w:vAlign w:val="bottom"/>
            <w:hideMark/>
          </w:tcPr>
          <w:p w14:paraId="30CC809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306E2CE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0DBD39B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2F5AEF6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4E9E18E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231</w:t>
            </w:r>
          </w:p>
        </w:tc>
        <w:tc>
          <w:tcPr>
            <w:tcW w:w="0" w:type="auto"/>
            <w:tcBorders>
              <w:top w:val="single" w:sz="4" w:space="0" w:color="auto"/>
              <w:left w:val="nil"/>
              <w:bottom w:val="nil"/>
              <w:right w:val="nil"/>
            </w:tcBorders>
            <w:noWrap/>
            <w:vAlign w:val="bottom"/>
            <w:hideMark/>
          </w:tcPr>
          <w:p w14:paraId="222F413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234</w:t>
            </w:r>
          </w:p>
        </w:tc>
        <w:tc>
          <w:tcPr>
            <w:tcW w:w="0" w:type="auto"/>
            <w:tcBorders>
              <w:top w:val="single" w:sz="4" w:space="0" w:color="auto"/>
              <w:left w:val="nil"/>
              <w:bottom w:val="nil"/>
              <w:right w:val="nil"/>
            </w:tcBorders>
            <w:noWrap/>
            <w:vAlign w:val="bottom"/>
            <w:hideMark/>
          </w:tcPr>
          <w:p w14:paraId="09E6DF1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233</w:t>
            </w:r>
          </w:p>
        </w:tc>
        <w:tc>
          <w:tcPr>
            <w:tcW w:w="602" w:type="dxa"/>
            <w:tcBorders>
              <w:top w:val="single" w:sz="4" w:space="0" w:color="auto"/>
              <w:left w:val="nil"/>
              <w:bottom w:val="nil"/>
              <w:right w:val="nil"/>
            </w:tcBorders>
            <w:noWrap/>
            <w:vAlign w:val="bottom"/>
            <w:hideMark/>
          </w:tcPr>
          <w:p w14:paraId="790A0B1D" w14:textId="3E8B39D4"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w:t>
            </w:r>
            <w:r w:rsidR="009E389E" w:rsidRPr="00527C38">
              <w:rPr>
                <w:rFonts w:asciiTheme="majorHAnsi" w:hAnsiTheme="majorHAnsi" w:cstheme="majorHAnsi"/>
                <w:sz w:val="12"/>
                <w:szCs w:val="12"/>
                <w:highlight w:val="yellow"/>
                <w:lang w:val="en-US"/>
              </w:rPr>
              <w:t>,</w:t>
            </w:r>
            <w:r w:rsidRPr="00527C38">
              <w:rPr>
                <w:rFonts w:asciiTheme="majorHAnsi" w:hAnsiTheme="majorHAnsi" w:cstheme="majorHAnsi"/>
                <w:sz w:val="12"/>
                <w:szCs w:val="12"/>
              </w:rPr>
              <w:t>538</w:t>
            </w:r>
          </w:p>
        </w:tc>
      </w:tr>
      <w:tr w:rsidR="00207AC1" w:rsidRPr="00527C38" w14:paraId="44022E6D" w14:textId="77777777" w:rsidTr="0045421E">
        <w:trPr>
          <w:trHeight w:val="20"/>
        </w:trPr>
        <w:tc>
          <w:tcPr>
            <w:tcW w:w="0" w:type="auto"/>
            <w:tcBorders>
              <w:top w:val="nil"/>
              <w:left w:val="nil"/>
              <w:bottom w:val="nil"/>
              <w:right w:val="nil"/>
            </w:tcBorders>
            <w:noWrap/>
            <w:vAlign w:val="bottom"/>
            <w:hideMark/>
          </w:tcPr>
          <w:p w14:paraId="0B88FE25" w14:textId="77777777" w:rsidR="002631A6" w:rsidRPr="00527C38" w:rsidRDefault="000C4830" w:rsidP="0045421E">
            <w:pPr>
              <w:spacing w:after="0" w:line="240" w:lineRule="auto"/>
              <w:rPr>
                <w:rFonts w:asciiTheme="majorHAnsi" w:hAnsiTheme="majorHAnsi" w:cstheme="majorHAnsi"/>
                <w:sz w:val="12"/>
                <w:szCs w:val="12"/>
                <w:lang w:val="en-US"/>
              </w:rPr>
            </w:pPr>
            <w:r w:rsidRPr="00527C38">
              <w:rPr>
                <w:rFonts w:asciiTheme="majorHAnsi" w:hAnsiTheme="majorHAnsi" w:cstheme="majorHAnsi"/>
                <w:sz w:val="12"/>
                <w:szCs w:val="12"/>
              </w:rPr>
              <w:t xml:space="preserve">Information </w:t>
            </w:r>
          </w:p>
          <w:p w14:paraId="27BF0B11" w14:textId="03707018" w:rsidR="0045421E" w:rsidRPr="00527C38" w:rsidRDefault="000C4830"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Technology</w:t>
            </w:r>
          </w:p>
        </w:tc>
        <w:tc>
          <w:tcPr>
            <w:tcW w:w="0" w:type="auto"/>
            <w:tcBorders>
              <w:top w:val="nil"/>
              <w:left w:val="nil"/>
              <w:bottom w:val="nil"/>
              <w:right w:val="nil"/>
            </w:tcBorders>
            <w:vAlign w:val="bottom"/>
          </w:tcPr>
          <w:p w14:paraId="671853D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w:t>
            </w:r>
          </w:p>
        </w:tc>
        <w:tc>
          <w:tcPr>
            <w:tcW w:w="0" w:type="auto"/>
            <w:tcBorders>
              <w:top w:val="nil"/>
              <w:left w:val="nil"/>
              <w:bottom w:val="nil"/>
              <w:right w:val="nil"/>
            </w:tcBorders>
            <w:noWrap/>
            <w:vAlign w:val="bottom"/>
            <w:hideMark/>
          </w:tcPr>
          <w:p w14:paraId="2B55D9B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178F180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12</w:t>
            </w:r>
          </w:p>
        </w:tc>
        <w:tc>
          <w:tcPr>
            <w:tcW w:w="0" w:type="auto"/>
            <w:tcBorders>
              <w:top w:val="nil"/>
              <w:left w:val="nil"/>
              <w:bottom w:val="nil"/>
              <w:right w:val="nil"/>
            </w:tcBorders>
            <w:noWrap/>
            <w:vAlign w:val="bottom"/>
            <w:hideMark/>
          </w:tcPr>
          <w:p w14:paraId="679A963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082BB7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25E902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0CC424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5717035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28E81C3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14</w:t>
            </w:r>
          </w:p>
        </w:tc>
        <w:tc>
          <w:tcPr>
            <w:tcW w:w="0" w:type="auto"/>
            <w:tcBorders>
              <w:top w:val="nil"/>
              <w:left w:val="nil"/>
              <w:bottom w:val="nil"/>
              <w:right w:val="nil"/>
            </w:tcBorders>
            <w:noWrap/>
            <w:vAlign w:val="bottom"/>
            <w:hideMark/>
          </w:tcPr>
          <w:p w14:paraId="6B901EC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2F8E71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1C57B4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0170F2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FAE677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0C562C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5F6B5ED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522ED6C"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7FB175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16</w:t>
            </w:r>
          </w:p>
        </w:tc>
        <w:tc>
          <w:tcPr>
            <w:tcW w:w="602" w:type="dxa"/>
            <w:tcBorders>
              <w:top w:val="nil"/>
              <w:left w:val="nil"/>
              <w:bottom w:val="nil"/>
              <w:right w:val="nil"/>
            </w:tcBorders>
            <w:noWrap/>
            <w:vAlign w:val="bottom"/>
            <w:hideMark/>
          </w:tcPr>
          <w:p w14:paraId="16BBF71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257</w:t>
            </w:r>
          </w:p>
        </w:tc>
      </w:tr>
      <w:tr w:rsidR="00207AC1" w:rsidRPr="00527C38" w14:paraId="61C19FBA" w14:textId="77777777" w:rsidTr="0045421E">
        <w:trPr>
          <w:trHeight w:val="20"/>
        </w:trPr>
        <w:tc>
          <w:tcPr>
            <w:tcW w:w="0" w:type="auto"/>
            <w:tcBorders>
              <w:top w:val="nil"/>
              <w:left w:val="nil"/>
              <w:bottom w:val="nil"/>
              <w:right w:val="nil"/>
            </w:tcBorders>
            <w:noWrap/>
            <w:vAlign w:val="bottom"/>
            <w:hideMark/>
          </w:tcPr>
          <w:p w14:paraId="3E815B3A" w14:textId="77777777" w:rsidR="00643151" w:rsidRPr="00527C38" w:rsidRDefault="00E22BC8" w:rsidP="0045421E">
            <w:pPr>
              <w:spacing w:after="0" w:line="240" w:lineRule="auto"/>
              <w:rPr>
                <w:rFonts w:asciiTheme="majorHAnsi" w:hAnsiTheme="majorHAnsi" w:cstheme="majorHAnsi"/>
                <w:sz w:val="12"/>
                <w:szCs w:val="12"/>
                <w:lang w:val="en-US"/>
              </w:rPr>
            </w:pPr>
            <w:r w:rsidRPr="00527C38">
              <w:rPr>
                <w:rFonts w:asciiTheme="majorHAnsi" w:hAnsiTheme="majorHAnsi" w:cstheme="majorHAnsi"/>
                <w:sz w:val="12"/>
                <w:szCs w:val="12"/>
              </w:rPr>
              <w:t xml:space="preserve">Healthcare &amp; </w:t>
            </w:r>
          </w:p>
          <w:p w14:paraId="22BBF0FA" w14:textId="7E813955" w:rsidR="0045421E" w:rsidRPr="00527C38" w:rsidRDefault="00E22BC8"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Pharmaceuticals</w:t>
            </w:r>
          </w:p>
        </w:tc>
        <w:tc>
          <w:tcPr>
            <w:tcW w:w="0" w:type="auto"/>
            <w:tcBorders>
              <w:top w:val="nil"/>
              <w:left w:val="nil"/>
              <w:bottom w:val="nil"/>
              <w:right w:val="nil"/>
            </w:tcBorders>
            <w:vAlign w:val="bottom"/>
          </w:tcPr>
          <w:p w14:paraId="1F18777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6</w:t>
            </w:r>
          </w:p>
        </w:tc>
        <w:tc>
          <w:tcPr>
            <w:tcW w:w="0" w:type="auto"/>
            <w:tcBorders>
              <w:top w:val="nil"/>
              <w:left w:val="nil"/>
              <w:bottom w:val="nil"/>
              <w:right w:val="nil"/>
            </w:tcBorders>
            <w:noWrap/>
            <w:vAlign w:val="bottom"/>
            <w:hideMark/>
          </w:tcPr>
          <w:p w14:paraId="08AB14F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26507604"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7CC3DF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18</w:t>
            </w:r>
          </w:p>
        </w:tc>
        <w:tc>
          <w:tcPr>
            <w:tcW w:w="0" w:type="auto"/>
            <w:tcBorders>
              <w:top w:val="nil"/>
              <w:left w:val="nil"/>
              <w:bottom w:val="nil"/>
              <w:right w:val="nil"/>
            </w:tcBorders>
            <w:noWrap/>
            <w:vAlign w:val="bottom"/>
            <w:hideMark/>
          </w:tcPr>
          <w:p w14:paraId="7171DD4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384307F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7E9595D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BA1AC9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1467479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593350A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20AA628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4393781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0B71EA8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2C3F52C0"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24</w:t>
            </w:r>
          </w:p>
        </w:tc>
        <w:tc>
          <w:tcPr>
            <w:tcW w:w="0" w:type="auto"/>
            <w:tcBorders>
              <w:top w:val="nil"/>
              <w:left w:val="nil"/>
              <w:bottom w:val="nil"/>
              <w:right w:val="nil"/>
            </w:tcBorders>
            <w:noWrap/>
            <w:vAlign w:val="bottom"/>
            <w:hideMark/>
          </w:tcPr>
          <w:p w14:paraId="1456667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51A4DCF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3CBD900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4F4B1B0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24</w:t>
            </w:r>
          </w:p>
        </w:tc>
        <w:tc>
          <w:tcPr>
            <w:tcW w:w="602" w:type="dxa"/>
            <w:tcBorders>
              <w:top w:val="nil"/>
              <w:left w:val="nil"/>
              <w:bottom w:val="nil"/>
              <w:right w:val="nil"/>
            </w:tcBorders>
            <w:noWrap/>
            <w:vAlign w:val="bottom"/>
            <w:hideMark/>
          </w:tcPr>
          <w:p w14:paraId="0F58EE7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364</w:t>
            </w:r>
          </w:p>
        </w:tc>
      </w:tr>
      <w:tr w:rsidR="00207AC1" w:rsidRPr="00527C38" w14:paraId="24416F95" w14:textId="77777777" w:rsidTr="0045421E">
        <w:trPr>
          <w:trHeight w:val="20"/>
        </w:trPr>
        <w:tc>
          <w:tcPr>
            <w:tcW w:w="0" w:type="auto"/>
            <w:tcBorders>
              <w:top w:val="nil"/>
              <w:left w:val="nil"/>
              <w:bottom w:val="nil"/>
              <w:right w:val="nil"/>
            </w:tcBorders>
            <w:noWrap/>
            <w:vAlign w:val="bottom"/>
            <w:hideMark/>
          </w:tcPr>
          <w:p w14:paraId="5C198181" w14:textId="0B98FDC4" w:rsidR="0045421E" w:rsidRPr="00527C38" w:rsidRDefault="003A1F4E"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Consumer Services</w:t>
            </w:r>
          </w:p>
        </w:tc>
        <w:tc>
          <w:tcPr>
            <w:tcW w:w="0" w:type="auto"/>
            <w:tcBorders>
              <w:top w:val="nil"/>
              <w:left w:val="nil"/>
              <w:bottom w:val="nil"/>
              <w:right w:val="nil"/>
            </w:tcBorders>
            <w:vAlign w:val="bottom"/>
          </w:tcPr>
          <w:p w14:paraId="598A110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13</w:t>
            </w:r>
          </w:p>
        </w:tc>
        <w:tc>
          <w:tcPr>
            <w:tcW w:w="0" w:type="auto"/>
            <w:tcBorders>
              <w:top w:val="nil"/>
              <w:left w:val="nil"/>
              <w:bottom w:val="nil"/>
              <w:right w:val="nil"/>
            </w:tcBorders>
            <w:noWrap/>
            <w:vAlign w:val="bottom"/>
            <w:hideMark/>
          </w:tcPr>
          <w:p w14:paraId="20BBE0E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62AEFF70"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29</w:t>
            </w:r>
          </w:p>
        </w:tc>
        <w:tc>
          <w:tcPr>
            <w:tcW w:w="0" w:type="auto"/>
            <w:tcBorders>
              <w:top w:val="nil"/>
              <w:left w:val="nil"/>
              <w:bottom w:val="nil"/>
              <w:right w:val="nil"/>
            </w:tcBorders>
            <w:noWrap/>
            <w:vAlign w:val="bottom"/>
            <w:hideMark/>
          </w:tcPr>
          <w:p w14:paraId="6E8A548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36</w:t>
            </w:r>
          </w:p>
        </w:tc>
        <w:tc>
          <w:tcPr>
            <w:tcW w:w="0" w:type="auto"/>
            <w:tcBorders>
              <w:top w:val="nil"/>
              <w:left w:val="nil"/>
              <w:bottom w:val="nil"/>
              <w:right w:val="nil"/>
            </w:tcBorders>
            <w:noWrap/>
            <w:vAlign w:val="bottom"/>
            <w:hideMark/>
          </w:tcPr>
          <w:p w14:paraId="4BD903D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38</w:t>
            </w:r>
          </w:p>
        </w:tc>
        <w:tc>
          <w:tcPr>
            <w:tcW w:w="0" w:type="auto"/>
            <w:tcBorders>
              <w:top w:val="nil"/>
              <w:left w:val="nil"/>
              <w:bottom w:val="nil"/>
              <w:right w:val="nil"/>
            </w:tcBorders>
            <w:noWrap/>
            <w:vAlign w:val="bottom"/>
            <w:hideMark/>
          </w:tcPr>
          <w:p w14:paraId="5F75892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42</w:t>
            </w:r>
          </w:p>
        </w:tc>
        <w:tc>
          <w:tcPr>
            <w:tcW w:w="0" w:type="auto"/>
            <w:tcBorders>
              <w:top w:val="nil"/>
              <w:left w:val="nil"/>
              <w:bottom w:val="nil"/>
              <w:right w:val="nil"/>
            </w:tcBorders>
            <w:noWrap/>
            <w:vAlign w:val="bottom"/>
            <w:hideMark/>
          </w:tcPr>
          <w:p w14:paraId="3B1B778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45</w:t>
            </w:r>
          </w:p>
        </w:tc>
        <w:tc>
          <w:tcPr>
            <w:tcW w:w="0" w:type="auto"/>
            <w:tcBorders>
              <w:top w:val="nil"/>
              <w:left w:val="nil"/>
              <w:bottom w:val="nil"/>
              <w:right w:val="nil"/>
            </w:tcBorders>
            <w:noWrap/>
            <w:vAlign w:val="bottom"/>
            <w:hideMark/>
          </w:tcPr>
          <w:p w14:paraId="27C5787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46</w:t>
            </w:r>
          </w:p>
        </w:tc>
        <w:tc>
          <w:tcPr>
            <w:tcW w:w="0" w:type="auto"/>
            <w:tcBorders>
              <w:top w:val="nil"/>
              <w:left w:val="nil"/>
              <w:bottom w:val="nil"/>
              <w:right w:val="nil"/>
            </w:tcBorders>
            <w:noWrap/>
            <w:vAlign w:val="bottom"/>
            <w:hideMark/>
          </w:tcPr>
          <w:p w14:paraId="5DAC5CA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50</w:t>
            </w:r>
          </w:p>
        </w:tc>
        <w:tc>
          <w:tcPr>
            <w:tcW w:w="0" w:type="auto"/>
            <w:tcBorders>
              <w:top w:val="nil"/>
              <w:left w:val="nil"/>
              <w:bottom w:val="nil"/>
              <w:right w:val="nil"/>
            </w:tcBorders>
            <w:noWrap/>
            <w:vAlign w:val="bottom"/>
            <w:hideMark/>
          </w:tcPr>
          <w:p w14:paraId="386C500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0" w:type="auto"/>
            <w:tcBorders>
              <w:top w:val="nil"/>
              <w:left w:val="nil"/>
              <w:bottom w:val="nil"/>
              <w:right w:val="nil"/>
            </w:tcBorders>
            <w:noWrap/>
            <w:vAlign w:val="bottom"/>
            <w:hideMark/>
          </w:tcPr>
          <w:p w14:paraId="2E4828E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53</w:t>
            </w:r>
          </w:p>
        </w:tc>
        <w:tc>
          <w:tcPr>
            <w:tcW w:w="0" w:type="auto"/>
            <w:tcBorders>
              <w:top w:val="nil"/>
              <w:left w:val="nil"/>
              <w:bottom w:val="nil"/>
              <w:right w:val="nil"/>
            </w:tcBorders>
            <w:noWrap/>
            <w:vAlign w:val="bottom"/>
            <w:hideMark/>
          </w:tcPr>
          <w:p w14:paraId="21566E34"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0BCE888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D58490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EF6954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24C937F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56756FB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724B05DC"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53</w:t>
            </w:r>
          </w:p>
        </w:tc>
        <w:tc>
          <w:tcPr>
            <w:tcW w:w="602" w:type="dxa"/>
            <w:tcBorders>
              <w:top w:val="nil"/>
              <w:left w:val="nil"/>
              <w:bottom w:val="nil"/>
              <w:right w:val="nil"/>
            </w:tcBorders>
            <w:noWrap/>
            <w:vAlign w:val="bottom"/>
            <w:hideMark/>
          </w:tcPr>
          <w:p w14:paraId="432CAEF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805</w:t>
            </w:r>
          </w:p>
        </w:tc>
      </w:tr>
      <w:tr w:rsidR="00207AC1" w:rsidRPr="00527C38" w14:paraId="3782CF77" w14:textId="77777777" w:rsidTr="0045421E">
        <w:trPr>
          <w:trHeight w:val="20"/>
        </w:trPr>
        <w:tc>
          <w:tcPr>
            <w:tcW w:w="0" w:type="auto"/>
            <w:tcBorders>
              <w:top w:val="nil"/>
              <w:left w:val="nil"/>
              <w:bottom w:val="nil"/>
              <w:right w:val="nil"/>
            </w:tcBorders>
            <w:noWrap/>
            <w:vAlign w:val="bottom"/>
            <w:hideMark/>
          </w:tcPr>
          <w:p w14:paraId="7D627AE5" w14:textId="4AB1DED9" w:rsidR="0045421E" w:rsidRPr="00527C38" w:rsidRDefault="007271AF"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Consumer Goods</w:t>
            </w:r>
          </w:p>
        </w:tc>
        <w:tc>
          <w:tcPr>
            <w:tcW w:w="0" w:type="auto"/>
            <w:tcBorders>
              <w:top w:val="nil"/>
              <w:left w:val="nil"/>
              <w:bottom w:val="nil"/>
              <w:right w:val="nil"/>
            </w:tcBorders>
            <w:vAlign w:val="bottom"/>
          </w:tcPr>
          <w:p w14:paraId="4611A63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31</w:t>
            </w:r>
          </w:p>
        </w:tc>
        <w:tc>
          <w:tcPr>
            <w:tcW w:w="0" w:type="auto"/>
            <w:tcBorders>
              <w:top w:val="nil"/>
              <w:left w:val="nil"/>
              <w:bottom w:val="nil"/>
              <w:right w:val="nil"/>
            </w:tcBorders>
            <w:noWrap/>
            <w:vAlign w:val="bottom"/>
            <w:hideMark/>
          </w:tcPr>
          <w:p w14:paraId="2E23668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48</w:t>
            </w:r>
          </w:p>
        </w:tc>
        <w:tc>
          <w:tcPr>
            <w:tcW w:w="0" w:type="auto"/>
            <w:tcBorders>
              <w:top w:val="nil"/>
              <w:left w:val="nil"/>
              <w:bottom w:val="nil"/>
              <w:right w:val="nil"/>
            </w:tcBorders>
            <w:noWrap/>
            <w:vAlign w:val="bottom"/>
            <w:hideMark/>
          </w:tcPr>
          <w:p w14:paraId="1F20FFE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59</w:t>
            </w:r>
          </w:p>
        </w:tc>
        <w:tc>
          <w:tcPr>
            <w:tcW w:w="0" w:type="auto"/>
            <w:tcBorders>
              <w:top w:val="nil"/>
              <w:left w:val="nil"/>
              <w:bottom w:val="nil"/>
              <w:right w:val="nil"/>
            </w:tcBorders>
            <w:noWrap/>
            <w:vAlign w:val="bottom"/>
            <w:hideMark/>
          </w:tcPr>
          <w:p w14:paraId="5005A62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03C49F6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73</w:t>
            </w:r>
          </w:p>
        </w:tc>
        <w:tc>
          <w:tcPr>
            <w:tcW w:w="0" w:type="auto"/>
            <w:tcBorders>
              <w:top w:val="nil"/>
              <w:left w:val="nil"/>
              <w:bottom w:val="nil"/>
              <w:right w:val="nil"/>
            </w:tcBorders>
            <w:noWrap/>
            <w:vAlign w:val="bottom"/>
            <w:hideMark/>
          </w:tcPr>
          <w:p w14:paraId="29232B5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75</w:t>
            </w:r>
          </w:p>
        </w:tc>
        <w:tc>
          <w:tcPr>
            <w:tcW w:w="0" w:type="auto"/>
            <w:tcBorders>
              <w:top w:val="nil"/>
              <w:left w:val="nil"/>
              <w:bottom w:val="nil"/>
              <w:right w:val="nil"/>
            </w:tcBorders>
            <w:noWrap/>
            <w:vAlign w:val="bottom"/>
            <w:hideMark/>
          </w:tcPr>
          <w:p w14:paraId="4541D5E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09B72AE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77</w:t>
            </w:r>
          </w:p>
        </w:tc>
        <w:tc>
          <w:tcPr>
            <w:tcW w:w="0" w:type="auto"/>
            <w:tcBorders>
              <w:top w:val="nil"/>
              <w:left w:val="nil"/>
              <w:bottom w:val="nil"/>
              <w:right w:val="nil"/>
            </w:tcBorders>
            <w:noWrap/>
            <w:vAlign w:val="bottom"/>
            <w:hideMark/>
          </w:tcPr>
          <w:p w14:paraId="52F6882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79</w:t>
            </w:r>
          </w:p>
        </w:tc>
        <w:tc>
          <w:tcPr>
            <w:tcW w:w="0" w:type="auto"/>
            <w:tcBorders>
              <w:top w:val="nil"/>
              <w:left w:val="nil"/>
              <w:bottom w:val="nil"/>
              <w:right w:val="nil"/>
            </w:tcBorders>
            <w:noWrap/>
            <w:vAlign w:val="bottom"/>
            <w:hideMark/>
          </w:tcPr>
          <w:p w14:paraId="56D354D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83</w:t>
            </w:r>
          </w:p>
        </w:tc>
        <w:tc>
          <w:tcPr>
            <w:tcW w:w="0" w:type="auto"/>
            <w:tcBorders>
              <w:top w:val="nil"/>
              <w:left w:val="nil"/>
              <w:bottom w:val="nil"/>
              <w:right w:val="nil"/>
            </w:tcBorders>
            <w:noWrap/>
            <w:vAlign w:val="bottom"/>
            <w:hideMark/>
          </w:tcPr>
          <w:p w14:paraId="046B30F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1F428B0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56DBC1A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47A16CD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16D9B5B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391D3B7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317F4C74"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7BA4BA2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90</w:t>
            </w:r>
          </w:p>
        </w:tc>
        <w:tc>
          <w:tcPr>
            <w:tcW w:w="602" w:type="dxa"/>
            <w:tcBorders>
              <w:top w:val="nil"/>
              <w:left w:val="nil"/>
              <w:bottom w:val="nil"/>
              <w:right w:val="nil"/>
            </w:tcBorders>
            <w:noWrap/>
            <w:vAlign w:val="bottom"/>
            <w:hideMark/>
          </w:tcPr>
          <w:p w14:paraId="79867D53" w14:textId="06E816F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w:t>
            </w:r>
            <w:r w:rsidR="009E389E" w:rsidRPr="00527C38">
              <w:rPr>
                <w:rFonts w:asciiTheme="majorHAnsi" w:hAnsiTheme="majorHAnsi" w:cstheme="majorHAnsi"/>
                <w:sz w:val="12"/>
                <w:szCs w:val="12"/>
                <w:highlight w:val="yellow"/>
                <w:lang w:val="en-US"/>
              </w:rPr>
              <w:t>,</w:t>
            </w:r>
            <w:r w:rsidRPr="00527C38">
              <w:rPr>
                <w:rFonts w:asciiTheme="majorHAnsi" w:hAnsiTheme="majorHAnsi" w:cstheme="majorHAnsi"/>
                <w:sz w:val="12"/>
                <w:szCs w:val="12"/>
              </w:rPr>
              <w:t>390</w:t>
            </w:r>
          </w:p>
        </w:tc>
      </w:tr>
      <w:tr w:rsidR="00207AC1" w:rsidRPr="00527C38" w14:paraId="7A216082" w14:textId="77777777" w:rsidTr="0045421E">
        <w:trPr>
          <w:trHeight w:val="20"/>
        </w:trPr>
        <w:tc>
          <w:tcPr>
            <w:tcW w:w="0" w:type="auto"/>
            <w:tcBorders>
              <w:top w:val="nil"/>
              <w:left w:val="nil"/>
              <w:bottom w:val="nil"/>
              <w:right w:val="nil"/>
            </w:tcBorders>
            <w:noWrap/>
            <w:vAlign w:val="bottom"/>
            <w:hideMark/>
          </w:tcPr>
          <w:p w14:paraId="305DDAE1" w14:textId="2713E1D4" w:rsidR="0045421E" w:rsidRPr="00527C38" w:rsidRDefault="00D460A6"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Basic Materials</w:t>
            </w:r>
          </w:p>
        </w:tc>
        <w:tc>
          <w:tcPr>
            <w:tcW w:w="0" w:type="auto"/>
            <w:tcBorders>
              <w:top w:val="nil"/>
              <w:left w:val="nil"/>
              <w:bottom w:val="nil"/>
              <w:right w:val="nil"/>
            </w:tcBorders>
            <w:vAlign w:val="bottom"/>
          </w:tcPr>
          <w:p w14:paraId="1BA2AAA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A78A18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34</w:t>
            </w:r>
          </w:p>
        </w:tc>
        <w:tc>
          <w:tcPr>
            <w:tcW w:w="0" w:type="auto"/>
            <w:tcBorders>
              <w:top w:val="nil"/>
              <w:left w:val="nil"/>
              <w:bottom w:val="nil"/>
              <w:right w:val="nil"/>
            </w:tcBorders>
            <w:noWrap/>
            <w:vAlign w:val="bottom"/>
            <w:hideMark/>
          </w:tcPr>
          <w:p w14:paraId="10D8A27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51</w:t>
            </w:r>
          </w:p>
        </w:tc>
        <w:tc>
          <w:tcPr>
            <w:tcW w:w="0" w:type="auto"/>
            <w:tcBorders>
              <w:top w:val="nil"/>
              <w:left w:val="nil"/>
              <w:bottom w:val="nil"/>
              <w:right w:val="nil"/>
            </w:tcBorders>
            <w:noWrap/>
            <w:vAlign w:val="bottom"/>
            <w:hideMark/>
          </w:tcPr>
          <w:p w14:paraId="61DE59F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65</w:t>
            </w:r>
          </w:p>
        </w:tc>
        <w:tc>
          <w:tcPr>
            <w:tcW w:w="0" w:type="auto"/>
            <w:tcBorders>
              <w:top w:val="nil"/>
              <w:left w:val="nil"/>
              <w:bottom w:val="nil"/>
              <w:right w:val="nil"/>
            </w:tcBorders>
            <w:noWrap/>
            <w:vAlign w:val="bottom"/>
            <w:hideMark/>
          </w:tcPr>
          <w:p w14:paraId="2A2E60A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503EAD2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72</w:t>
            </w:r>
          </w:p>
        </w:tc>
        <w:tc>
          <w:tcPr>
            <w:tcW w:w="0" w:type="auto"/>
            <w:tcBorders>
              <w:top w:val="nil"/>
              <w:left w:val="nil"/>
              <w:bottom w:val="nil"/>
              <w:right w:val="nil"/>
            </w:tcBorders>
            <w:noWrap/>
            <w:vAlign w:val="bottom"/>
            <w:hideMark/>
          </w:tcPr>
          <w:p w14:paraId="0F866E4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3340F52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81</w:t>
            </w:r>
          </w:p>
        </w:tc>
        <w:tc>
          <w:tcPr>
            <w:tcW w:w="0" w:type="auto"/>
            <w:tcBorders>
              <w:top w:val="nil"/>
              <w:left w:val="nil"/>
              <w:bottom w:val="nil"/>
              <w:right w:val="nil"/>
            </w:tcBorders>
            <w:noWrap/>
            <w:vAlign w:val="bottom"/>
            <w:hideMark/>
          </w:tcPr>
          <w:p w14:paraId="5E09B9D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85</w:t>
            </w:r>
          </w:p>
        </w:tc>
        <w:tc>
          <w:tcPr>
            <w:tcW w:w="0" w:type="auto"/>
            <w:tcBorders>
              <w:top w:val="nil"/>
              <w:left w:val="nil"/>
              <w:bottom w:val="nil"/>
              <w:right w:val="nil"/>
            </w:tcBorders>
            <w:noWrap/>
            <w:vAlign w:val="bottom"/>
            <w:hideMark/>
          </w:tcPr>
          <w:p w14:paraId="362AB9A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2020377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93</w:t>
            </w:r>
          </w:p>
        </w:tc>
        <w:tc>
          <w:tcPr>
            <w:tcW w:w="0" w:type="auto"/>
            <w:tcBorders>
              <w:top w:val="nil"/>
              <w:left w:val="nil"/>
              <w:bottom w:val="nil"/>
              <w:right w:val="nil"/>
            </w:tcBorders>
            <w:noWrap/>
            <w:vAlign w:val="bottom"/>
            <w:hideMark/>
          </w:tcPr>
          <w:p w14:paraId="0EFDCD1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96</w:t>
            </w:r>
          </w:p>
        </w:tc>
        <w:tc>
          <w:tcPr>
            <w:tcW w:w="0" w:type="auto"/>
            <w:tcBorders>
              <w:top w:val="nil"/>
              <w:left w:val="nil"/>
              <w:bottom w:val="nil"/>
              <w:right w:val="nil"/>
            </w:tcBorders>
            <w:noWrap/>
            <w:vAlign w:val="bottom"/>
            <w:hideMark/>
          </w:tcPr>
          <w:p w14:paraId="39B1CFE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7581EE5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14A17180"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108BF29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63E5B84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99</w:t>
            </w:r>
          </w:p>
        </w:tc>
        <w:tc>
          <w:tcPr>
            <w:tcW w:w="0" w:type="auto"/>
            <w:tcBorders>
              <w:top w:val="nil"/>
              <w:left w:val="nil"/>
              <w:bottom w:val="nil"/>
              <w:right w:val="nil"/>
            </w:tcBorders>
            <w:noWrap/>
            <w:vAlign w:val="bottom"/>
            <w:hideMark/>
          </w:tcPr>
          <w:p w14:paraId="7EDB9BE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98</w:t>
            </w:r>
          </w:p>
        </w:tc>
        <w:tc>
          <w:tcPr>
            <w:tcW w:w="602" w:type="dxa"/>
            <w:tcBorders>
              <w:top w:val="nil"/>
              <w:left w:val="nil"/>
              <w:bottom w:val="nil"/>
              <w:right w:val="nil"/>
            </w:tcBorders>
            <w:noWrap/>
            <w:vAlign w:val="bottom"/>
            <w:hideMark/>
          </w:tcPr>
          <w:p w14:paraId="49F94037" w14:textId="0BAE84F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w:t>
            </w:r>
            <w:r w:rsidR="009E389E" w:rsidRPr="00527C38">
              <w:rPr>
                <w:rFonts w:asciiTheme="majorHAnsi" w:hAnsiTheme="majorHAnsi" w:cstheme="majorHAnsi"/>
                <w:sz w:val="12"/>
                <w:szCs w:val="12"/>
                <w:highlight w:val="yellow"/>
                <w:lang w:val="en-US"/>
              </w:rPr>
              <w:t>,</w:t>
            </w:r>
            <w:r w:rsidRPr="00527C38">
              <w:rPr>
                <w:rFonts w:asciiTheme="majorHAnsi" w:hAnsiTheme="majorHAnsi" w:cstheme="majorHAnsi"/>
                <w:sz w:val="12"/>
                <w:szCs w:val="12"/>
              </w:rPr>
              <w:t>419</w:t>
            </w:r>
          </w:p>
        </w:tc>
      </w:tr>
      <w:tr w:rsidR="00207AC1" w:rsidRPr="00527C38" w14:paraId="56302ACF" w14:textId="77777777" w:rsidTr="0045421E">
        <w:trPr>
          <w:trHeight w:val="20"/>
        </w:trPr>
        <w:tc>
          <w:tcPr>
            <w:tcW w:w="0" w:type="auto"/>
            <w:tcBorders>
              <w:top w:val="nil"/>
              <w:left w:val="nil"/>
              <w:bottom w:val="single" w:sz="4" w:space="0" w:color="auto"/>
              <w:right w:val="nil"/>
            </w:tcBorders>
            <w:noWrap/>
            <w:vAlign w:val="bottom"/>
            <w:hideMark/>
          </w:tcPr>
          <w:p w14:paraId="6D8055F5" w14:textId="49D2C045" w:rsidR="0045421E" w:rsidRPr="00527C38" w:rsidRDefault="00F42949"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Utilities</w:t>
            </w:r>
          </w:p>
        </w:tc>
        <w:tc>
          <w:tcPr>
            <w:tcW w:w="0" w:type="auto"/>
            <w:tcBorders>
              <w:top w:val="nil"/>
              <w:left w:val="nil"/>
              <w:bottom w:val="single" w:sz="4" w:space="0" w:color="auto"/>
              <w:right w:val="nil"/>
            </w:tcBorders>
            <w:vAlign w:val="bottom"/>
          </w:tcPr>
          <w:p w14:paraId="6F6E863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12</w:t>
            </w:r>
          </w:p>
        </w:tc>
        <w:tc>
          <w:tcPr>
            <w:tcW w:w="0" w:type="auto"/>
            <w:tcBorders>
              <w:top w:val="nil"/>
              <w:left w:val="nil"/>
              <w:bottom w:val="single" w:sz="4" w:space="0" w:color="auto"/>
              <w:right w:val="nil"/>
            </w:tcBorders>
            <w:noWrap/>
            <w:vAlign w:val="bottom"/>
            <w:hideMark/>
          </w:tcPr>
          <w:p w14:paraId="7E201A0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13</w:t>
            </w:r>
          </w:p>
        </w:tc>
        <w:tc>
          <w:tcPr>
            <w:tcW w:w="0" w:type="auto"/>
            <w:tcBorders>
              <w:top w:val="nil"/>
              <w:left w:val="nil"/>
              <w:bottom w:val="single" w:sz="4" w:space="0" w:color="auto"/>
              <w:right w:val="nil"/>
            </w:tcBorders>
            <w:noWrap/>
            <w:vAlign w:val="bottom"/>
            <w:hideMark/>
          </w:tcPr>
          <w:p w14:paraId="3093C9A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29</w:t>
            </w:r>
          </w:p>
        </w:tc>
        <w:tc>
          <w:tcPr>
            <w:tcW w:w="0" w:type="auto"/>
            <w:tcBorders>
              <w:top w:val="nil"/>
              <w:left w:val="nil"/>
              <w:bottom w:val="single" w:sz="4" w:space="0" w:color="auto"/>
              <w:right w:val="nil"/>
            </w:tcBorders>
            <w:noWrap/>
            <w:vAlign w:val="bottom"/>
            <w:hideMark/>
          </w:tcPr>
          <w:p w14:paraId="30ACB5C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33</w:t>
            </w:r>
          </w:p>
        </w:tc>
        <w:tc>
          <w:tcPr>
            <w:tcW w:w="0" w:type="auto"/>
            <w:tcBorders>
              <w:top w:val="nil"/>
              <w:left w:val="nil"/>
              <w:bottom w:val="single" w:sz="4" w:space="0" w:color="auto"/>
              <w:right w:val="nil"/>
            </w:tcBorders>
            <w:noWrap/>
            <w:vAlign w:val="bottom"/>
            <w:hideMark/>
          </w:tcPr>
          <w:p w14:paraId="6CC7965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35</w:t>
            </w:r>
          </w:p>
        </w:tc>
        <w:tc>
          <w:tcPr>
            <w:tcW w:w="0" w:type="auto"/>
            <w:tcBorders>
              <w:top w:val="nil"/>
              <w:left w:val="nil"/>
              <w:bottom w:val="single" w:sz="4" w:space="0" w:color="auto"/>
              <w:right w:val="nil"/>
            </w:tcBorders>
            <w:noWrap/>
            <w:vAlign w:val="bottom"/>
            <w:hideMark/>
          </w:tcPr>
          <w:p w14:paraId="3FE0A1F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37</w:t>
            </w:r>
          </w:p>
        </w:tc>
        <w:tc>
          <w:tcPr>
            <w:tcW w:w="0" w:type="auto"/>
            <w:tcBorders>
              <w:top w:val="nil"/>
              <w:left w:val="nil"/>
              <w:bottom w:val="single" w:sz="4" w:space="0" w:color="auto"/>
              <w:right w:val="nil"/>
            </w:tcBorders>
            <w:noWrap/>
            <w:vAlign w:val="bottom"/>
            <w:hideMark/>
          </w:tcPr>
          <w:p w14:paraId="27B33AE8"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21E7A18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4E2BE02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42</w:t>
            </w:r>
          </w:p>
        </w:tc>
        <w:tc>
          <w:tcPr>
            <w:tcW w:w="0" w:type="auto"/>
            <w:tcBorders>
              <w:top w:val="nil"/>
              <w:left w:val="nil"/>
              <w:bottom w:val="single" w:sz="4" w:space="0" w:color="auto"/>
              <w:right w:val="nil"/>
            </w:tcBorders>
            <w:noWrap/>
            <w:vAlign w:val="bottom"/>
            <w:hideMark/>
          </w:tcPr>
          <w:p w14:paraId="04430F8A"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1BB7CCA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7533840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49</w:t>
            </w:r>
          </w:p>
        </w:tc>
        <w:tc>
          <w:tcPr>
            <w:tcW w:w="0" w:type="auto"/>
            <w:tcBorders>
              <w:top w:val="nil"/>
              <w:left w:val="nil"/>
              <w:bottom w:val="single" w:sz="4" w:space="0" w:color="auto"/>
              <w:right w:val="nil"/>
            </w:tcBorders>
            <w:noWrap/>
            <w:vAlign w:val="bottom"/>
            <w:hideMark/>
          </w:tcPr>
          <w:p w14:paraId="545DCEF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2DD90D3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7ADD58D0"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8A50F3D"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51</w:t>
            </w:r>
          </w:p>
        </w:tc>
        <w:tc>
          <w:tcPr>
            <w:tcW w:w="0" w:type="auto"/>
            <w:tcBorders>
              <w:top w:val="nil"/>
              <w:left w:val="nil"/>
              <w:bottom w:val="single" w:sz="4" w:space="0" w:color="auto"/>
              <w:right w:val="nil"/>
            </w:tcBorders>
            <w:noWrap/>
            <w:vAlign w:val="bottom"/>
            <w:hideMark/>
          </w:tcPr>
          <w:p w14:paraId="0F464B6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6C6DF9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w:t>
            </w:r>
          </w:p>
        </w:tc>
        <w:tc>
          <w:tcPr>
            <w:tcW w:w="602" w:type="dxa"/>
            <w:tcBorders>
              <w:top w:val="nil"/>
              <w:left w:val="nil"/>
              <w:bottom w:val="single" w:sz="4" w:space="0" w:color="auto"/>
              <w:right w:val="nil"/>
            </w:tcBorders>
            <w:noWrap/>
            <w:vAlign w:val="bottom"/>
            <w:hideMark/>
          </w:tcPr>
          <w:p w14:paraId="667CA0C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735</w:t>
            </w:r>
          </w:p>
        </w:tc>
      </w:tr>
      <w:tr w:rsidR="00207AC1" w:rsidRPr="00527C38" w14:paraId="33378E34" w14:textId="77777777" w:rsidTr="0045421E">
        <w:trPr>
          <w:trHeight w:val="20"/>
        </w:trPr>
        <w:tc>
          <w:tcPr>
            <w:tcW w:w="0" w:type="auto"/>
            <w:tcBorders>
              <w:top w:val="single" w:sz="4" w:space="0" w:color="auto"/>
              <w:left w:val="nil"/>
              <w:bottom w:val="single" w:sz="4" w:space="0" w:color="auto"/>
              <w:right w:val="nil"/>
            </w:tcBorders>
            <w:noWrap/>
            <w:vAlign w:val="bottom"/>
            <w:hideMark/>
          </w:tcPr>
          <w:p w14:paraId="10E73C77" w14:textId="39621946" w:rsidR="0045421E" w:rsidRPr="00527C38" w:rsidRDefault="002631A6" w:rsidP="0045421E">
            <w:pPr>
              <w:spacing w:after="0" w:line="240" w:lineRule="auto"/>
              <w:rPr>
                <w:rFonts w:asciiTheme="majorHAnsi" w:hAnsiTheme="majorHAnsi" w:cstheme="majorHAnsi"/>
                <w:sz w:val="12"/>
                <w:szCs w:val="12"/>
              </w:rPr>
            </w:pPr>
            <w:r w:rsidRPr="00527C38">
              <w:rPr>
                <w:rFonts w:asciiTheme="majorHAnsi" w:hAnsiTheme="majorHAnsi" w:cstheme="majorHAnsi"/>
                <w:sz w:val="12"/>
                <w:szCs w:val="12"/>
              </w:rPr>
              <w:t>Total</w:t>
            </w:r>
          </w:p>
        </w:tc>
        <w:tc>
          <w:tcPr>
            <w:tcW w:w="0" w:type="auto"/>
            <w:tcBorders>
              <w:top w:val="single" w:sz="4" w:space="0" w:color="auto"/>
              <w:left w:val="nil"/>
              <w:bottom w:val="single" w:sz="4" w:space="0" w:color="auto"/>
              <w:right w:val="nil"/>
            </w:tcBorders>
            <w:vAlign w:val="bottom"/>
          </w:tcPr>
          <w:p w14:paraId="12075EF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154</w:t>
            </w:r>
          </w:p>
        </w:tc>
        <w:tc>
          <w:tcPr>
            <w:tcW w:w="0" w:type="auto"/>
            <w:tcBorders>
              <w:top w:val="single" w:sz="4" w:space="0" w:color="auto"/>
              <w:left w:val="nil"/>
              <w:bottom w:val="single" w:sz="4" w:space="0" w:color="auto"/>
              <w:right w:val="nil"/>
            </w:tcBorders>
            <w:noWrap/>
            <w:vAlign w:val="bottom"/>
            <w:hideMark/>
          </w:tcPr>
          <w:p w14:paraId="3FD343B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231</w:t>
            </w:r>
          </w:p>
        </w:tc>
        <w:tc>
          <w:tcPr>
            <w:tcW w:w="0" w:type="auto"/>
            <w:tcBorders>
              <w:top w:val="single" w:sz="4" w:space="0" w:color="auto"/>
              <w:left w:val="nil"/>
              <w:bottom w:val="single" w:sz="4" w:space="0" w:color="auto"/>
              <w:right w:val="nil"/>
            </w:tcBorders>
            <w:noWrap/>
            <w:vAlign w:val="bottom"/>
            <w:hideMark/>
          </w:tcPr>
          <w:p w14:paraId="26D95B03"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326</w:t>
            </w:r>
          </w:p>
        </w:tc>
        <w:tc>
          <w:tcPr>
            <w:tcW w:w="0" w:type="auto"/>
            <w:tcBorders>
              <w:top w:val="single" w:sz="4" w:space="0" w:color="auto"/>
              <w:left w:val="nil"/>
              <w:bottom w:val="single" w:sz="4" w:space="0" w:color="auto"/>
              <w:right w:val="nil"/>
            </w:tcBorders>
            <w:noWrap/>
            <w:vAlign w:val="bottom"/>
            <w:hideMark/>
          </w:tcPr>
          <w:p w14:paraId="7B8536E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415</w:t>
            </w:r>
          </w:p>
        </w:tc>
        <w:tc>
          <w:tcPr>
            <w:tcW w:w="0" w:type="auto"/>
            <w:tcBorders>
              <w:top w:val="single" w:sz="4" w:space="0" w:color="auto"/>
              <w:left w:val="nil"/>
              <w:bottom w:val="single" w:sz="4" w:space="0" w:color="auto"/>
              <w:right w:val="nil"/>
            </w:tcBorders>
            <w:noWrap/>
            <w:vAlign w:val="bottom"/>
            <w:hideMark/>
          </w:tcPr>
          <w:p w14:paraId="40988B05"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436</w:t>
            </w:r>
          </w:p>
        </w:tc>
        <w:tc>
          <w:tcPr>
            <w:tcW w:w="0" w:type="auto"/>
            <w:tcBorders>
              <w:top w:val="single" w:sz="4" w:space="0" w:color="auto"/>
              <w:left w:val="nil"/>
              <w:bottom w:val="single" w:sz="4" w:space="0" w:color="auto"/>
              <w:right w:val="nil"/>
            </w:tcBorders>
            <w:noWrap/>
            <w:vAlign w:val="bottom"/>
            <w:hideMark/>
          </w:tcPr>
          <w:p w14:paraId="371A1AC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460</w:t>
            </w:r>
          </w:p>
        </w:tc>
        <w:tc>
          <w:tcPr>
            <w:tcW w:w="0" w:type="auto"/>
            <w:tcBorders>
              <w:top w:val="single" w:sz="4" w:space="0" w:color="auto"/>
              <w:left w:val="nil"/>
              <w:bottom w:val="single" w:sz="4" w:space="0" w:color="auto"/>
              <w:right w:val="nil"/>
            </w:tcBorders>
            <w:noWrap/>
            <w:vAlign w:val="bottom"/>
            <w:hideMark/>
          </w:tcPr>
          <w:p w14:paraId="7F813314"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476</w:t>
            </w:r>
          </w:p>
        </w:tc>
        <w:tc>
          <w:tcPr>
            <w:tcW w:w="0" w:type="auto"/>
            <w:tcBorders>
              <w:top w:val="single" w:sz="4" w:space="0" w:color="auto"/>
              <w:left w:val="nil"/>
              <w:bottom w:val="single" w:sz="4" w:space="0" w:color="auto"/>
              <w:right w:val="nil"/>
            </w:tcBorders>
            <w:noWrap/>
            <w:vAlign w:val="bottom"/>
            <w:hideMark/>
          </w:tcPr>
          <w:p w14:paraId="1A9185B9"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489</w:t>
            </w:r>
          </w:p>
        </w:tc>
        <w:tc>
          <w:tcPr>
            <w:tcW w:w="0" w:type="auto"/>
            <w:tcBorders>
              <w:top w:val="single" w:sz="4" w:space="0" w:color="auto"/>
              <w:left w:val="nil"/>
              <w:bottom w:val="single" w:sz="4" w:space="0" w:color="auto"/>
              <w:right w:val="nil"/>
            </w:tcBorders>
            <w:noWrap/>
            <w:vAlign w:val="bottom"/>
            <w:hideMark/>
          </w:tcPr>
          <w:p w14:paraId="5BC3BCA2"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502</w:t>
            </w:r>
          </w:p>
        </w:tc>
        <w:tc>
          <w:tcPr>
            <w:tcW w:w="0" w:type="auto"/>
            <w:tcBorders>
              <w:top w:val="single" w:sz="4" w:space="0" w:color="auto"/>
              <w:left w:val="nil"/>
              <w:bottom w:val="single" w:sz="4" w:space="0" w:color="auto"/>
              <w:right w:val="nil"/>
            </w:tcBorders>
            <w:noWrap/>
            <w:vAlign w:val="bottom"/>
            <w:hideMark/>
          </w:tcPr>
          <w:p w14:paraId="7F28760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528</w:t>
            </w:r>
          </w:p>
        </w:tc>
        <w:tc>
          <w:tcPr>
            <w:tcW w:w="0" w:type="auto"/>
            <w:tcBorders>
              <w:top w:val="single" w:sz="4" w:space="0" w:color="auto"/>
              <w:left w:val="nil"/>
              <w:bottom w:val="single" w:sz="4" w:space="0" w:color="auto"/>
              <w:right w:val="nil"/>
            </w:tcBorders>
            <w:noWrap/>
            <w:vAlign w:val="bottom"/>
            <w:hideMark/>
          </w:tcPr>
          <w:p w14:paraId="4E45E3CE"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543</w:t>
            </w:r>
          </w:p>
        </w:tc>
        <w:tc>
          <w:tcPr>
            <w:tcW w:w="0" w:type="auto"/>
            <w:tcBorders>
              <w:top w:val="single" w:sz="4" w:space="0" w:color="auto"/>
              <w:left w:val="nil"/>
              <w:bottom w:val="single" w:sz="4" w:space="0" w:color="auto"/>
              <w:right w:val="nil"/>
            </w:tcBorders>
            <w:noWrap/>
            <w:vAlign w:val="bottom"/>
            <w:hideMark/>
          </w:tcPr>
          <w:p w14:paraId="6A414541"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551</w:t>
            </w:r>
          </w:p>
        </w:tc>
        <w:tc>
          <w:tcPr>
            <w:tcW w:w="0" w:type="auto"/>
            <w:tcBorders>
              <w:top w:val="single" w:sz="4" w:space="0" w:color="auto"/>
              <w:left w:val="nil"/>
              <w:bottom w:val="single" w:sz="4" w:space="0" w:color="auto"/>
              <w:right w:val="nil"/>
            </w:tcBorders>
            <w:noWrap/>
            <w:vAlign w:val="bottom"/>
            <w:hideMark/>
          </w:tcPr>
          <w:p w14:paraId="650AAC4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557</w:t>
            </w:r>
          </w:p>
        </w:tc>
        <w:tc>
          <w:tcPr>
            <w:tcW w:w="0" w:type="auto"/>
            <w:tcBorders>
              <w:top w:val="single" w:sz="4" w:space="0" w:color="auto"/>
              <w:left w:val="nil"/>
              <w:bottom w:val="single" w:sz="4" w:space="0" w:color="auto"/>
              <w:right w:val="nil"/>
            </w:tcBorders>
            <w:noWrap/>
            <w:vAlign w:val="bottom"/>
            <w:hideMark/>
          </w:tcPr>
          <w:p w14:paraId="657FD537"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74238C5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12CD2036"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566</w:t>
            </w:r>
          </w:p>
        </w:tc>
        <w:tc>
          <w:tcPr>
            <w:tcW w:w="0" w:type="auto"/>
            <w:tcBorders>
              <w:top w:val="single" w:sz="4" w:space="0" w:color="auto"/>
              <w:left w:val="nil"/>
              <w:bottom w:val="single" w:sz="4" w:space="0" w:color="auto"/>
              <w:right w:val="nil"/>
            </w:tcBorders>
            <w:noWrap/>
            <w:vAlign w:val="bottom"/>
            <w:hideMark/>
          </w:tcPr>
          <w:p w14:paraId="6259694B"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572</w:t>
            </w:r>
          </w:p>
        </w:tc>
        <w:tc>
          <w:tcPr>
            <w:tcW w:w="0" w:type="auto"/>
            <w:tcBorders>
              <w:top w:val="single" w:sz="4" w:space="0" w:color="auto"/>
              <w:left w:val="nil"/>
              <w:bottom w:val="single" w:sz="4" w:space="0" w:color="auto"/>
              <w:right w:val="nil"/>
            </w:tcBorders>
            <w:noWrap/>
            <w:vAlign w:val="bottom"/>
            <w:hideMark/>
          </w:tcPr>
          <w:p w14:paraId="1B294C7F" w14:textId="77777777"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566</w:t>
            </w:r>
          </w:p>
        </w:tc>
        <w:tc>
          <w:tcPr>
            <w:tcW w:w="602" w:type="dxa"/>
            <w:tcBorders>
              <w:top w:val="single" w:sz="4" w:space="0" w:color="auto"/>
              <w:left w:val="nil"/>
              <w:bottom w:val="single" w:sz="4" w:space="0" w:color="auto"/>
              <w:right w:val="nil"/>
            </w:tcBorders>
            <w:noWrap/>
            <w:vAlign w:val="bottom"/>
            <w:hideMark/>
          </w:tcPr>
          <w:p w14:paraId="1A686D58" w14:textId="759EBACC" w:rsidR="0045421E" w:rsidRPr="00527C38" w:rsidRDefault="0045421E" w:rsidP="0045421E">
            <w:pPr>
              <w:spacing w:after="0" w:line="240" w:lineRule="auto"/>
              <w:jc w:val="right"/>
              <w:rPr>
                <w:rFonts w:asciiTheme="majorHAnsi" w:hAnsiTheme="majorHAnsi" w:cstheme="majorHAnsi"/>
                <w:sz w:val="12"/>
                <w:szCs w:val="12"/>
              </w:rPr>
            </w:pPr>
            <w:r w:rsidRPr="00527C38">
              <w:rPr>
                <w:rFonts w:asciiTheme="majorHAnsi" w:hAnsiTheme="majorHAnsi" w:cstheme="majorHAnsi"/>
                <w:sz w:val="12"/>
                <w:szCs w:val="12"/>
              </w:rPr>
              <w:t>8</w:t>
            </w:r>
            <w:r w:rsidR="009E389E" w:rsidRPr="00527C38">
              <w:rPr>
                <w:rFonts w:asciiTheme="majorHAnsi" w:hAnsiTheme="majorHAnsi" w:cstheme="majorHAnsi"/>
                <w:sz w:val="12"/>
                <w:szCs w:val="12"/>
                <w:highlight w:val="yellow"/>
                <w:lang w:val="en-US"/>
              </w:rPr>
              <w:t>,</w:t>
            </w:r>
            <w:r w:rsidRPr="00527C38">
              <w:rPr>
                <w:rFonts w:asciiTheme="majorHAnsi" w:hAnsiTheme="majorHAnsi" w:cstheme="majorHAnsi"/>
                <w:sz w:val="12"/>
                <w:szCs w:val="12"/>
              </w:rPr>
              <w:t>508</w:t>
            </w:r>
          </w:p>
        </w:tc>
      </w:tr>
    </w:tbl>
    <w:p w14:paraId="276E3AF9" w14:textId="77777777" w:rsidR="0045421E" w:rsidRPr="00527C38" w:rsidRDefault="0045421E" w:rsidP="0045421E">
      <w:pPr>
        <w:spacing w:before="120" w:after="120" w:line="240" w:lineRule="auto"/>
        <w:ind w:firstLine="567"/>
        <w:jc w:val="both"/>
        <w:rPr>
          <w:rFonts w:asciiTheme="majorHAnsi" w:eastAsia="Times New Roman" w:hAnsiTheme="majorHAnsi" w:cstheme="majorHAnsi"/>
          <w:sz w:val="20"/>
          <w:szCs w:val="20"/>
          <w:lang w:val="en-US"/>
        </w:rPr>
        <w:sectPr w:rsidR="0045421E" w:rsidRPr="00527C38" w:rsidSect="0045421E">
          <w:type w:val="continuous"/>
          <w:pgSz w:w="11906" w:h="16838"/>
          <w:pgMar w:top="1134" w:right="1134" w:bottom="1134" w:left="1418" w:header="709" w:footer="709" w:gutter="0"/>
          <w:cols w:space="708"/>
          <w:docGrid w:linePitch="360"/>
        </w:sectPr>
      </w:pPr>
    </w:p>
    <w:p w14:paraId="63BB814C" w14:textId="5D4E879C" w:rsidR="00AA5D9F" w:rsidRPr="00527C38" w:rsidRDefault="00AA5D9F" w:rsidP="005E295C">
      <w:pPr>
        <w:pStyle w:val="Tiumc"/>
        <w:rPr>
          <w:rFonts w:asciiTheme="majorHAnsi" w:hAnsiTheme="majorHAnsi" w:cstheme="majorHAnsi"/>
        </w:rPr>
      </w:pPr>
      <w:r w:rsidRPr="00527C38">
        <w:rPr>
          <w:rFonts w:asciiTheme="majorHAnsi" w:hAnsiTheme="majorHAnsi" w:cstheme="majorHAnsi"/>
        </w:rPr>
        <w:t>3.</w:t>
      </w:r>
      <w:r w:rsidR="00EC53C1" w:rsidRPr="00527C38">
        <w:rPr>
          <w:rFonts w:asciiTheme="majorHAnsi" w:hAnsiTheme="majorHAnsi" w:cstheme="majorHAnsi"/>
        </w:rPr>
        <w:t>3</w:t>
      </w:r>
      <w:r w:rsidRPr="00527C38">
        <w:rPr>
          <w:rFonts w:asciiTheme="majorHAnsi" w:hAnsiTheme="majorHAnsi" w:cstheme="majorHAnsi"/>
        </w:rPr>
        <w:t>.</w:t>
      </w:r>
      <w:r w:rsidR="00E61D19" w:rsidRPr="00527C38">
        <w:rPr>
          <w:rFonts w:asciiTheme="majorHAnsi" w:hAnsiTheme="majorHAnsi" w:cstheme="majorHAnsi"/>
        </w:rPr>
        <w:t xml:space="preserve"> Measurement of Research Variables</w:t>
      </w:r>
    </w:p>
    <w:p w14:paraId="2B5C1CFF" w14:textId="47BE16CF" w:rsidR="00AA5D9F" w:rsidRPr="00527C38" w:rsidRDefault="00AA5D9F" w:rsidP="005E295C">
      <w:pPr>
        <w:pStyle w:val="Tiumc"/>
        <w:rPr>
          <w:rFonts w:asciiTheme="majorHAnsi" w:hAnsiTheme="majorHAnsi" w:cstheme="majorHAnsi"/>
          <w:b w:val="0"/>
          <w:bCs/>
          <w:i/>
          <w:iCs/>
        </w:rPr>
      </w:pPr>
      <w:r w:rsidRPr="00527C38">
        <w:rPr>
          <w:rFonts w:asciiTheme="majorHAnsi" w:hAnsiTheme="majorHAnsi" w:cstheme="majorHAnsi"/>
          <w:b w:val="0"/>
          <w:bCs/>
          <w:i/>
          <w:iCs/>
        </w:rPr>
        <w:t>3.</w:t>
      </w:r>
      <w:r w:rsidR="00EC53C1" w:rsidRPr="00527C38">
        <w:rPr>
          <w:rFonts w:asciiTheme="majorHAnsi" w:hAnsiTheme="majorHAnsi" w:cstheme="majorHAnsi"/>
          <w:b w:val="0"/>
          <w:bCs/>
          <w:i/>
          <w:iCs/>
        </w:rPr>
        <w:t>3</w:t>
      </w:r>
      <w:r w:rsidRPr="00527C38">
        <w:rPr>
          <w:rFonts w:asciiTheme="majorHAnsi" w:hAnsiTheme="majorHAnsi" w:cstheme="majorHAnsi"/>
          <w:b w:val="0"/>
          <w:bCs/>
          <w:i/>
          <w:iCs/>
        </w:rPr>
        <w:t>.1.</w:t>
      </w:r>
      <w:r w:rsidR="000308A0" w:rsidRPr="00527C38">
        <w:rPr>
          <w:rFonts w:asciiTheme="majorHAnsi" w:hAnsiTheme="majorHAnsi" w:cstheme="majorHAnsi"/>
        </w:rPr>
        <w:t xml:space="preserve"> </w:t>
      </w:r>
      <w:r w:rsidR="000308A0" w:rsidRPr="00527C38">
        <w:rPr>
          <w:rFonts w:asciiTheme="majorHAnsi" w:hAnsiTheme="majorHAnsi" w:cstheme="majorHAnsi"/>
          <w:b w:val="0"/>
          <w:bCs/>
          <w:i/>
          <w:iCs/>
        </w:rPr>
        <w:t>Earnings Management</w:t>
      </w:r>
    </w:p>
    <w:p w14:paraId="11CF8369" w14:textId="13D3CE15" w:rsidR="00C73C6B" w:rsidRPr="00527C38" w:rsidRDefault="00C73C6B" w:rsidP="005E295C">
      <w:pPr>
        <w:pStyle w:val="Nidungbibo"/>
        <w:rPr>
          <w:lang w:val="en-US"/>
        </w:rPr>
      </w:pPr>
      <w:r w:rsidRPr="00527C38">
        <w:rPr>
          <w:lang w:val="en-US"/>
        </w:rPr>
        <w:t>Accrual</w:t>
      </w:r>
      <w:r w:rsidR="004C6136" w:rsidRPr="00527C38">
        <w:rPr>
          <w:lang w:val="en-US"/>
        </w:rPr>
        <w:t xml:space="preserve"> </w:t>
      </w:r>
      <w:r w:rsidRPr="00527C38">
        <w:rPr>
          <w:lang w:val="en-US"/>
        </w:rPr>
        <w:t xml:space="preserve">based earnings management is quantified through discretionary accruals (DA), estimated using the Modified Jones Model and </w:t>
      </w:r>
      <w:r w:rsidRPr="00527C38">
        <w:rPr>
          <w:lang w:val="en-US"/>
        </w:rPr>
        <w:t>refined by Kothari, Leone, and Wasley.</w:t>
      </w:r>
      <w:r w:rsidR="00DC1B20" w:rsidRPr="00527C38">
        <w:rPr>
          <w:lang w:val="en-US"/>
        </w:rPr>
        <w:t xml:space="preserve"> </w:t>
      </w:r>
      <w:r w:rsidR="00DC1B20" w:rsidRPr="00527C38">
        <w:rPr>
          <w:lang w:val="en-US"/>
        </w:rPr>
        <w:fldChar w:fldCharType="begin">
          <w:fldData xml:space="preserve">PEVuZE5vdGU+PENpdGU+PEF1dGhvcj5Kb25lczwvQXV0aG9yPjxZZWFyPjE5OTE8L1llYXI+PFJl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</w:fldData>
        </w:fldChar>
      </w:r>
      <w:r w:rsidR="004647A7" w:rsidRPr="00527C38">
        <w:rPr>
          <w:lang w:val="en-US"/>
        </w:rPr>
        <w:instrText xml:space="preserve"> ADDIN EN.CITE </w:instrText>
      </w:r>
      <w:r w:rsidR="004647A7" w:rsidRPr="00527C38">
        <w:rPr>
          <w:lang w:val="en-US"/>
        </w:rPr>
        <w:fldChar w:fldCharType="begin">
          <w:fldData xml:space="preserve">PEVuZE5vdGU+PENpdGU+PEF1dGhvcj5Kb25lczwvQXV0aG9yPjxZZWFyPjE5OTE8L1llYXI+PFJl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</w:fldData>
        </w:fldChar>
      </w:r>
      <w:r w:rsidR="004647A7" w:rsidRPr="00527C38">
        <w:rPr>
          <w:lang w:val="en-US"/>
        </w:rPr>
        <w:instrText xml:space="preserve"> ADDIN EN.CITE.DATA </w:instrText>
      </w:r>
      <w:r w:rsidR="004647A7" w:rsidRPr="00527C38">
        <w:rPr>
          <w:lang w:val="en-US"/>
        </w:rPr>
      </w:r>
      <w:r w:rsidR="004647A7" w:rsidRPr="00527C38">
        <w:rPr>
          <w:lang w:val="en-US"/>
        </w:rPr>
        <w:fldChar w:fldCharType="end"/>
      </w:r>
      <w:r w:rsidR="00DC1B20" w:rsidRPr="00527C38">
        <w:rPr>
          <w:lang w:val="en-US"/>
        </w:rPr>
      </w:r>
      <w:r w:rsidR="00DC1B20" w:rsidRPr="00527C38">
        <w:rPr>
          <w:lang w:val="en-US"/>
        </w:rPr>
        <w:fldChar w:fldCharType="separate"/>
      </w:r>
      <w:hyperlink w:anchor="_ENREF_13" w:tooltip="Jones, 1991 #282" w:history="1">
        <w:r w:rsidR="00527C38" w:rsidRPr="00527C38">
          <w:rPr>
            <w:vertAlign w:val="superscript"/>
          </w:rPr>
          <w:t>13</w:t>
        </w:r>
      </w:hyperlink>
      <w:r w:rsidR="00DC1B20" w:rsidRPr="00527C38">
        <w:rPr>
          <w:noProof/>
          <w:vertAlign w:val="superscript"/>
          <w:lang w:val="en-US"/>
        </w:rPr>
        <w:t>,</w:t>
      </w:r>
      <w:hyperlink w:anchor="_ENREF_14" w:tooltip="Kothari, 2005 #4147" w:history="1">
        <w:r w:rsidR="00527C38" w:rsidRPr="00527C38">
          <w:rPr>
            <w:vertAlign w:val="superscript"/>
          </w:rPr>
          <w:t>14</w:t>
        </w:r>
      </w:hyperlink>
      <w:r w:rsidR="00DC1B20" w:rsidRPr="00527C38">
        <w:rPr>
          <w:lang w:val="en-US"/>
        </w:rPr>
        <w:fldChar w:fldCharType="end"/>
      </w:r>
      <w:r w:rsidRPr="00527C38">
        <w:rPr>
          <w:lang w:val="en-US"/>
        </w:rPr>
        <w:t xml:space="preserve"> This model is widely recognized for its ability to isolate the discretionary component of total accruals, thereby providing a robust measure of managerial accounting discretion. The estimation equation is expressed as follows:</w:t>
      </w:r>
    </w:p>
    <w:p w14:paraId="4F9D75BA" w14:textId="6743097A" w:rsidR="00EB66D7" w:rsidRPr="00527C38"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TA</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REC</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PPE</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sSub>
                <m:sSubPr>
                  <m:ctrlPr>
                    <w:rPr>
                      <w:rFonts w:ascii="Cambria Math" w:hAnsi="Cambria Math"/>
                    </w:rPr>
                  </m:ctrlPr>
                </m:sSubPr>
                <m:e>
                  <m:r>
                    <w:rPr>
                      <w:rFonts w:ascii="Cambria Math" w:hAnsi="Cambria Math"/>
                    </w:rPr>
                    <m:t>ROA</m:t>
                  </m:r>
                </m:e>
                <m:sub>
                  <m:r>
                    <w:rPr>
                      <w:rFonts w:ascii="Cambria Math" w:hAnsi="Cambria Math"/>
                    </w:rPr>
                    <m:t>it</m:t>
                  </m:r>
                  <m:r>
                    <m:rPr>
                      <m:sty m:val="p"/>
                    </m:rPr>
                    <w:rPr>
                      <w:rFonts w:ascii="Cambria Math" w:hAnsi="Cambria Math"/>
                    </w:rPr>
                    <m:t xml:space="preserve"> (</m:t>
                  </m:r>
                  <m:r>
                    <w:rPr>
                      <w:rFonts w:ascii="Cambria Math" w:hAnsi="Cambria Math"/>
                    </w:rPr>
                    <m:t>it</m:t>
                  </m:r>
                  <m:r>
                    <m:rPr>
                      <m:sty m:val="p"/>
                    </m:rPr>
                    <w:rPr>
                      <w:rFonts w:ascii="Cambria Math" w:hAnsi="Cambria Math"/>
                    </w:rPr>
                    <m:t>-1)</m:t>
                  </m:r>
                </m:sub>
              </m:sSub>
              <m:r>
                <m:rPr>
                  <m:sty m:val="p"/>
                </m:rPr>
                <w:rPr>
                  <w:rFonts w:ascii="Cambria Math" w:hAnsi="Cambria Math"/>
                </w:rPr>
                <m:t>+</m:t>
              </m:r>
              <m:r>
                <w:rPr>
                  <w:rFonts w:ascii="Cambria Math" w:hAnsi="Cambria Math"/>
                </w:rPr>
                <m:t>ε</m:t>
              </m:r>
            </m:e>
            <m:sub>
              <m:r>
                <w:rPr>
                  <w:rFonts w:ascii="Cambria Math" w:hAnsi="Cambria Math"/>
                </w:rPr>
                <m:t>it</m:t>
              </m:r>
            </m:sub>
          </m:sSub>
        </m:oMath>
      </m:oMathPara>
    </w:p>
    <w:p w14:paraId="79875EF0" w14:textId="4BAF6EB9" w:rsidR="00AA5D9F" w:rsidRPr="00527C38" w:rsidRDefault="00DC58EA" w:rsidP="005E295C">
      <w:pPr>
        <w:pStyle w:val="Nidungbibo"/>
        <w:rPr>
          <w:lang w:val="en-US"/>
        </w:rPr>
      </w:pPr>
      <w:r w:rsidRPr="00527C38">
        <w:rPr>
          <w:lang w:val="en-US"/>
        </w:rPr>
        <w:t>Real earnings management (REM) is assessed through three distinct proxies</w:t>
      </w:r>
      <w:r w:rsidR="004C6136" w:rsidRPr="00527C38">
        <w:rPr>
          <w:lang w:val="en-US"/>
        </w:rPr>
        <w:t xml:space="preserve"> </w:t>
      </w:r>
      <w:r w:rsidRPr="00527C38">
        <w:rPr>
          <w:lang w:val="en-US"/>
        </w:rPr>
        <w:t>abnormal operating cash flows (AbCFO), abnormal production costs (AbPROD), and abnormal discretionary expenses (AbDISX)</w:t>
      </w:r>
      <w:r w:rsidR="004C6136" w:rsidRPr="00527C38">
        <w:rPr>
          <w:lang w:val="en-US"/>
        </w:rPr>
        <w:t xml:space="preserve"> </w:t>
      </w:r>
      <w:r w:rsidRPr="00527C38">
        <w:rPr>
          <w:lang w:val="en-US"/>
        </w:rPr>
        <w:t>following the framework proposed by Roychowdhury.</w:t>
      </w:r>
      <w:r w:rsidR="00DC1B20" w:rsidRPr="00527C38">
        <w:t xml:space="preserve"> </w:t>
      </w:r>
      <w:hyperlink w:anchor="_ENREF_9" w:tooltip="Roychowdhury, 2006 #4140" w:history="1">
        <w:r w:rsidR="00527C38" w:rsidRPr="00527C38">
          <w:rPr>
            <w:lang w:val="en-US"/>
          </w:rPr>
          <w:fldChar w:fldCharType="begin"/>
        </w:r>
        <w:r w:rsidR="00527C38" w:rsidRPr="00527C38">
          <w:rPr>
            <w:lang w:val="en-US"/>
          </w:rPr>
          <w:instrText xml:space="preserve"> ADDIN EN.CITE &lt;EndNote&gt;&lt;Cite&gt;&lt;Author&gt;Roychowdhury&lt;/Author&gt;&lt;Year&gt;2006&lt;/Year&gt;&lt;RecNum&gt;4140&lt;/RecNum&gt;&lt;DisplayText&gt;&lt;style face="superscript"&gt;9&lt;/style&gt;&lt;/DisplayText&gt;&lt;record&gt;&lt;rec-number&gt;4140&lt;/rec-number&gt;&lt;foreign-keys&gt;&lt;key app="EN" db-id="exevsxpvos5ep2ear9b5svvoeswxvzw2rs5p" timestamp="1662024165" guid="5d7f004f-3ef5-485d-baea-d1089ab2c18e"&gt;4140&lt;/key&gt;&lt;/foreign-keys&gt;&lt;ref-type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sidR="00527C38" w:rsidRPr="00527C38">
          <w:rPr>
            <w:lang w:val="en-US"/>
          </w:rPr>
          <w:fldChar w:fldCharType="separate"/>
        </w:r>
        <w:r w:rsidR="00527C38" w:rsidRPr="00527C38">
          <w:rPr>
            <w:vertAlign w:val="superscript"/>
          </w:rPr>
          <w:t>9</w:t>
        </w:r>
        <w:r w:rsidR="00527C38" w:rsidRPr="00527C38">
          <w:rPr>
            <w:lang w:val="en-US"/>
          </w:rPr>
          <w:fldChar w:fldCharType="end"/>
        </w:r>
      </w:hyperlink>
      <w:r w:rsidRPr="00527C38">
        <w:rPr>
          <w:lang w:val="en-US"/>
        </w:rPr>
        <w:t xml:space="preserve"> These measures capture deviations from firms’ normal operational behavior that are indicative of managerial intervention in real business activities to influence reported earnings. The following models are employed to estimate each component:</w:t>
      </w:r>
    </w:p>
    <w:p w14:paraId="080A63BE" w14:textId="11A12C32" w:rsidR="00EB66D7" w:rsidRPr="00527C38"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CFO</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1AF040BC" w14:textId="77777777" w:rsidR="00723865" w:rsidRPr="00527C38" w:rsidRDefault="00723865" w:rsidP="005E295C">
      <w:pPr>
        <w:pStyle w:val="Nidungbibo"/>
        <w:rPr>
          <w:lang w:val="en-US"/>
        </w:rPr>
      </w:pPr>
    </w:p>
    <w:p w14:paraId="0CC0A9BC" w14:textId="563C44D9" w:rsidR="00EB66D7" w:rsidRPr="00527C38"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PROD</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54B42A6A" w14:textId="77777777" w:rsidR="00723865" w:rsidRPr="00527C38" w:rsidRDefault="00723865" w:rsidP="005E295C">
      <w:pPr>
        <w:pStyle w:val="Nidungbibo"/>
        <w:rPr>
          <w:lang w:val="en-US"/>
        </w:rPr>
      </w:pPr>
    </w:p>
    <w:p w14:paraId="5BBDD4D8" w14:textId="1C9B5017" w:rsidR="00EB66D7" w:rsidRPr="00527C38"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DISEXP</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r>
            <w:rPr>
              <w:rFonts w:ascii="Cambria Math" w:hAnsi="Cambria Math"/>
            </w:rPr>
            <m:t>β</m:t>
          </m:r>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236E8C18" w14:textId="77777777" w:rsidR="00DC58EA" w:rsidRPr="00527C38" w:rsidRDefault="00DC58EA" w:rsidP="00DC6701">
      <w:pPr>
        <w:pStyle w:val="Nidungbibo"/>
        <w:rPr>
          <w:b/>
        </w:rPr>
      </w:pPr>
      <w:r w:rsidRPr="00527C38">
        <w:t>where i denotes the firm, t represents the time period, TA is total accruals, ΔREV is the change in net revenue, ΔREC is the change in accounts receivable, PPE denotes net property, plant, and equipment, ROA represents return on assets, and A is total assets. CFO refers to operating cash flow; PROD equals the sum of cost of goods sold (COGS) and the change in inventory (ΔINV); and DISEXP represents discretionary expenses, including selling, general, and administrative costs.</w:t>
      </w:r>
    </w:p>
    <w:p w14:paraId="0229E511" w14:textId="5A26F414" w:rsidR="000169CB" w:rsidRPr="00527C38" w:rsidRDefault="000169CB" w:rsidP="00DC58EA">
      <w:pPr>
        <w:pStyle w:val="Tiumc"/>
        <w:rPr>
          <w:rFonts w:asciiTheme="majorHAnsi" w:hAnsiTheme="majorHAnsi" w:cstheme="majorHAnsi"/>
        </w:rPr>
      </w:pPr>
      <w:r w:rsidRPr="00527C38">
        <w:rPr>
          <w:rFonts w:asciiTheme="majorHAnsi" w:hAnsiTheme="majorHAnsi" w:cstheme="majorHAnsi"/>
        </w:rPr>
        <w:t>3.</w:t>
      </w:r>
      <w:r w:rsidR="00EC53C1" w:rsidRPr="00527C38">
        <w:rPr>
          <w:rFonts w:asciiTheme="majorHAnsi" w:hAnsiTheme="majorHAnsi" w:cstheme="majorHAnsi"/>
        </w:rPr>
        <w:t>3</w:t>
      </w:r>
      <w:r w:rsidRPr="00527C38">
        <w:rPr>
          <w:rFonts w:asciiTheme="majorHAnsi" w:hAnsiTheme="majorHAnsi" w:cstheme="majorHAnsi"/>
        </w:rPr>
        <w:t>.</w:t>
      </w:r>
      <w:r w:rsidR="00EC53C1" w:rsidRPr="00527C38">
        <w:rPr>
          <w:rFonts w:asciiTheme="majorHAnsi" w:hAnsiTheme="majorHAnsi" w:cstheme="majorHAnsi"/>
        </w:rPr>
        <w:t>2.</w:t>
      </w:r>
      <w:r w:rsidR="0075086F" w:rsidRPr="00527C38">
        <w:rPr>
          <w:rFonts w:asciiTheme="majorHAnsi" w:hAnsiTheme="majorHAnsi" w:cstheme="majorHAnsi"/>
        </w:rPr>
        <w:t xml:space="preserve"> Financial Distress</w:t>
      </w:r>
    </w:p>
    <w:p w14:paraId="4B69AD1C" w14:textId="0340C83D" w:rsidR="0045421E" w:rsidRPr="00527C38" w:rsidRDefault="00193347" w:rsidP="00DE5C94">
      <w:pPr>
        <w:pStyle w:val="Nidungbibo"/>
        <w:rPr>
          <w:lang w:val="en-US"/>
        </w:rPr>
      </w:pPr>
      <w:r w:rsidRPr="00527C38">
        <w:rPr>
          <w:lang w:val="en-US"/>
        </w:rPr>
        <w:t>F</w:t>
      </w:r>
      <w:r w:rsidR="00DC58EA" w:rsidRPr="00527C38">
        <w:rPr>
          <w:lang w:val="en-US"/>
        </w:rPr>
        <w:t>inancial distress is proxied by the Altman Z-score, a widely adopted model developed by Altman to evaluate a firm’s likelihood of financial failure.</w:t>
      </w:r>
      <w:hyperlink w:anchor="_ENREF_15" w:tooltip="Altman, 2000 #13090" w:history="1">
        <w:r w:rsidR="00527C38" w:rsidRPr="00527C38">
          <w:fldChar w:fldCharType="begin"/>
        </w:r>
        <w:r w:rsidR="00527C38" w:rsidRPr="00527C38">
          <w:instrText xml:space="preserve"> ADDIN EN.CITE &lt;EndNote&gt;&lt;Cite&gt;&lt;Author&gt;Altman&lt;/Author&gt;&lt;Year&gt;2000&lt;/Year&gt;&lt;RecNum&gt;13090&lt;/RecNum&gt;&lt;DisplayText&gt;&lt;style face="superscript"&gt;15&lt;/style&gt;&lt;/DisplayText&gt;&lt;record&gt;&lt;rec-number&gt;13090&lt;/rec-number&gt;&lt;foreign-keys&gt;&lt;key app="EN" db-id="exevsxpvos5ep2ear9b5svvoeswxvzw2rs5p" timestamp="1691038360" guid="20c1fbba-390e-402b-9c4b-2316e26f50ab"&gt;13090&lt;/key&gt;&lt;/foreign-keys&gt;&lt;ref-type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pages&gt;428-456&lt;/pages&gt;&lt;volume&gt;5&lt;/volume&gt;&lt;dates&gt;&lt;year&gt;2000&lt;/year&gt;&lt;pub-dates&gt;&lt;date&gt;09/29&lt;/date&gt;&lt;/pub-dates&gt;&lt;/dates&gt;&lt;urls&gt;&lt;/urls&gt;&lt;electronic-resource-num&gt;10.4337/9780857936097.00027&lt;/electronic-resource-num&gt;&lt;/record&gt;&lt;/Cite&gt;&lt;/EndNote&gt;</w:instrText>
        </w:r>
        <w:r w:rsidR="00527C38" w:rsidRPr="00527C38">
          <w:fldChar w:fldCharType="separate"/>
        </w:r>
        <w:r w:rsidR="00527C38" w:rsidRPr="00527C38">
          <w:rPr>
            <w:vertAlign w:val="superscript"/>
          </w:rPr>
          <w:t>15</w:t>
        </w:r>
        <w:r w:rsidR="00527C38" w:rsidRPr="00527C38">
          <w:fldChar w:fldCharType="end"/>
        </w:r>
      </w:hyperlink>
      <w:r w:rsidR="00DC58EA" w:rsidRPr="00527C38">
        <w:rPr>
          <w:lang w:val="en-US"/>
        </w:rPr>
        <w:t xml:space="preserve"> The Z-score integrates profitability, liquidity, leverage, and efficiency indicators into a single composite measure of financial health, and is expressed as follows:</w:t>
      </w:r>
    </w:p>
    <w:p w14:paraId="6E384C91" w14:textId="40E666A7" w:rsidR="00EB66D7" w:rsidRPr="00527C38" w:rsidRDefault="00000000" w:rsidP="0045421E">
      <w:pPr>
        <w:pStyle w:val="Nidungbibo"/>
        <w:rPr>
          <w:rFonts w:eastAsiaTheme="minorEastAsia"/>
          <w:i/>
          <w:lang w:val="en-US"/>
        </w:rPr>
      </w:pPr>
      <m:oMathPara>
        <m:oMath>
          <m:sSub>
            <m:sSubPr>
              <m:ctrlPr>
                <w:rPr>
                  <w:rFonts w:ascii="Cambria Math" w:hAnsi="Cambria Math"/>
                </w:rPr>
              </m:ctrlPr>
            </m:sSubPr>
            <m:e>
              <m:r>
                <w:rPr>
                  <w:rFonts w:ascii="Cambria Math" w:hAnsi="Cambria Math"/>
                </w:rPr>
                <m:t>Z</m:t>
              </m:r>
              <m:r>
                <w:rPr>
                  <w:rFonts w:ascii="Cambria Math" w:hAnsi="Cambria Math"/>
                  <w:lang w:val="en-US"/>
                </w:rPr>
                <m:t>-score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.2X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.4X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3</m:t>
              </m:r>
              <m:r>
                <w:rPr>
                  <w:rFonts w:ascii="Cambria Math" w:hAnsi="Cambria Math"/>
                  <w:lang w:val="en-US"/>
                </w:rPr>
                <m:t>.3X</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0</m:t>
              </m:r>
              <m:r>
                <w:rPr>
                  <w:rFonts w:ascii="Cambria Math" w:hAnsi="Cambria Math"/>
                  <w:lang w:val="en-US"/>
                </w:rPr>
                <m:t>.6X</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.0X</m:t>
              </m:r>
            </m:e>
            <m:sub>
              <m:r>
                <w:rPr>
                  <w:rFonts w:ascii="Cambria Math" w:hAnsi="Cambria Math"/>
                </w:rPr>
                <m:t>5</m:t>
              </m:r>
            </m:sub>
          </m:sSub>
        </m:oMath>
      </m:oMathPara>
    </w:p>
    <w:p w14:paraId="3CEC2B58" w14:textId="18E3C069" w:rsidR="00EB66D7" w:rsidRPr="00527C38" w:rsidRDefault="00DC58EA" w:rsidP="00EB66D7">
      <w:pPr>
        <w:pStyle w:val="Nidungbibo"/>
        <w:rPr>
          <w:lang w:val="en-US"/>
        </w:rPr>
      </w:pPr>
      <w:r w:rsidRPr="00527C38">
        <w:rPr>
          <w:lang w:val="en-US"/>
        </w:rPr>
        <w:t>where X₁ represents working capital to total assets (a measure of short</w:t>
      </w:r>
      <w:r w:rsidR="004C6136" w:rsidRPr="00527C38">
        <w:rPr>
          <w:lang w:val="en-US"/>
        </w:rPr>
        <w:t xml:space="preserve"> </w:t>
      </w:r>
      <w:r w:rsidRPr="00527C38">
        <w:rPr>
          <w:lang w:val="en-US"/>
        </w:rPr>
        <w:t>term liquidity); X₂ denotes retained earnings to total assets (an indicator of profitability retention); X₃ is earnings before interest and taxes (EBIT) to total assets (reflecting operating efficiency); X₄ indicates the market value of equity to total liabilities (capturing leverage structure); and X₅ corresponds to sales to total assets (measuring asset turnover efficiency).</w:t>
      </w:r>
    </w:p>
    <w:p w14:paraId="53B8E5BB" w14:textId="5B2D1D7D" w:rsidR="00EC53C1" w:rsidRPr="00527C38" w:rsidRDefault="00EC53C1" w:rsidP="00EC53C1">
      <w:pPr>
        <w:pStyle w:val="Tiumc"/>
        <w:rPr>
          <w:rFonts w:asciiTheme="majorHAnsi" w:hAnsiTheme="majorHAnsi" w:cstheme="majorHAnsi"/>
          <w:b w:val="0"/>
          <w:bCs/>
          <w:i/>
          <w:iCs/>
        </w:rPr>
      </w:pPr>
      <w:r w:rsidRPr="00527C38">
        <w:rPr>
          <w:rFonts w:asciiTheme="majorHAnsi" w:hAnsiTheme="majorHAnsi" w:cstheme="majorHAnsi"/>
          <w:b w:val="0"/>
          <w:bCs/>
          <w:i/>
          <w:iCs/>
        </w:rPr>
        <w:t>3.3.3.</w:t>
      </w:r>
      <w:r w:rsidR="00DE16D2" w:rsidRPr="00527C38">
        <w:rPr>
          <w:rFonts w:asciiTheme="majorHAnsi" w:hAnsiTheme="majorHAnsi" w:cstheme="majorHAnsi"/>
          <w:b w:val="0"/>
          <w:bCs/>
          <w:i/>
          <w:iCs/>
        </w:rPr>
        <w:t xml:space="preserve"> Control Variables</w:t>
      </w:r>
    </w:p>
    <w:p w14:paraId="662C82A9" w14:textId="56B3962A" w:rsidR="004507BC" w:rsidRPr="00527C38" w:rsidRDefault="00DC58EA" w:rsidP="00EB66D7">
      <w:pPr>
        <w:pStyle w:val="Nidungbibo"/>
        <w:rPr>
          <w:lang w:val="en-US"/>
        </w:rPr>
      </w:pPr>
      <w:r w:rsidRPr="00527C38">
        <w:rPr>
          <w:lang w:val="en-US"/>
        </w:rPr>
        <w:t>Control variables are incorporated into the empirical model to capture firm</w:t>
      </w:r>
      <w:r w:rsidR="004C6136" w:rsidRPr="00527C38">
        <w:rPr>
          <w:lang w:val="en-US"/>
        </w:rPr>
        <w:t xml:space="preserve"> </w:t>
      </w:r>
      <w:r w:rsidRPr="00527C38">
        <w:rPr>
          <w:lang w:val="en-US"/>
        </w:rPr>
        <w:t>specific characteristics related to financial structure, liquidity, and debt</w:t>
      </w:r>
      <w:r w:rsidR="004C6136" w:rsidRPr="00527C38">
        <w:rPr>
          <w:lang w:val="en-US"/>
        </w:rPr>
        <w:t xml:space="preserve"> </w:t>
      </w:r>
      <w:r w:rsidRPr="00527C38">
        <w:rPr>
          <w:lang w:val="en-US"/>
        </w:rPr>
        <w:t>servicing capacity that may affect earnings management behavior. Including these controls helps isolate the impact of financial distress from other financial and operational factors that could influence managerial discretion in financial reporting.</w:t>
      </w:r>
    </w:p>
    <w:p w14:paraId="7E3EB5F2" w14:textId="724D0068" w:rsidR="00A100C4" w:rsidRPr="00527C38" w:rsidRDefault="004507BC" w:rsidP="00A100C4">
      <w:pPr>
        <w:pStyle w:val="Tnbng"/>
        <w:rPr>
          <w:b w:val="0"/>
          <w:bCs w:val="0"/>
          <w:lang w:val="en-US"/>
        </w:rPr>
      </w:pPr>
      <w:r w:rsidRPr="00527C38">
        <w:rPr>
          <w:lang w:val="en-US"/>
        </w:rPr>
        <w:t>Table</w:t>
      </w:r>
      <w:r w:rsidR="00A100C4" w:rsidRPr="00527C38">
        <w:rPr>
          <w:lang w:val="en-US"/>
        </w:rPr>
        <w:t xml:space="preserve"> 2. </w:t>
      </w:r>
      <w:r w:rsidR="00DC58EA" w:rsidRPr="00527C38">
        <w:rPr>
          <w:b w:val="0"/>
          <w:bCs w:val="0"/>
          <w:lang w:val="en-US"/>
        </w:rPr>
        <w:t>Definitions and expected signs of control variables</w:t>
      </w:r>
    </w:p>
    <w:tbl>
      <w:tblPr>
        <w:tblStyle w:val="PlainTable2"/>
        <w:tblW w:w="0" w:type="auto"/>
        <w:tblLook w:val="04A0" w:firstRow="1" w:lastRow="0" w:firstColumn="1" w:lastColumn="0" w:noHBand="0" w:noVBand="1"/>
      </w:tblPr>
      <w:tblGrid>
        <w:gridCol w:w="1063"/>
        <w:gridCol w:w="714"/>
        <w:gridCol w:w="1608"/>
        <w:gridCol w:w="938"/>
      </w:tblGrid>
      <w:tr w:rsidR="00207AC1" w:rsidRPr="00527C38" w14:paraId="275CE111" w14:textId="77777777" w:rsidTr="00410F0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AF2490" w14:textId="77777777" w:rsidR="00410F03" w:rsidRPr="00527C38" w:rsidRDefault="00410F03" w:rsidP="00410F03">
            <w:pPr>
              <w:pStyle w:val="Tnbng"/>
              <w:jc w:val="center"/>
              <w:rPr>
                <w:sz w:val="16"/>
                <w:szCs w:val="16"/>
              </w:rPr>
            </w:pPr>
            <w:r w:rsidRPr="00527C38">
              <w:rPr>
                <w:sz w:val="16"/>
                <w:szCs w:val="16"/>
              </w:rPr>
              <w:t>Variable</w:t>
            </w:r>
          </w:p>
        </w:tc>
        <w:tc>
          <w:tcPr>
            <w:tcW w:w="0" w:type="auto"/>
            <w:vAlign w:val="center"/>
            <w:hideMark/>
          </w:tcPr>
          <w:p w14:paraId="161AA2F9" w14:textId="77777777" w:rsidR="00410F03" w:rsidRPr="00527C38"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527C38">
              <w:rPr>
                <w:sz w:val="16"/>
                <w:szCs w:val="16"/>
              </w:rPr>
              <w:t>Symbol</w:t>
            </w:r>
          </w:p>
        </w:tc>
        <w:tc>
          <w:tcPr>
            <w:tcW w:w="0" w:type="auto"/>
            <w:vAlign w:val="center"/>
            <w:hideMark/>
          </w:tcPr>
          <w:p w14:paraId="16EAEB46" w14:textId="77777777" w:rsidR="00410F03" w:rsidRPr="00527C38"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527C38">
              <w:rPr>
                <w:sz w:val="16"/>
                <w:szCs w:val="16"/>
              </w:rPr>
              <w:t>Measurement</w:t>
            </w:r>
          </w:p>
        </w:tc>
        <w:tc>
          <w:tcPr>
            <w:tcW w:w="0" w:type="auto"/>
            <w:vAlign w:val="center"/>
            <w:hideMark/>
          </w:tcPr>
          <w:p w14:paraId="4D50947A" w14:textId="77777777" w:rsidR="00410F03" w:rsidRPr="00527C38"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527C38">
              <w:rPr>
                <w:sz w:val="16"/>
                <w:szCs w:val="16"/>
              </w:rPr>
              <w:t>Expected Sign</w:t>
            </w:r>
          </w:p>
        </w:tc>
      </w:tr>
      <w:tr w:rsidR="00207AC1" w:rsidRPr="00527C38" w14:paraId="25175F67" w14:textId="77777777" w:rsidTr="00410F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330D5D" w14:textId="77777777" w:rsidR="00410F03" w:rsidRPr="00527C38" w:rsidRDefault="00410F03" w:rsidP="00410F03">
            <w:pPr>
              <w:pStyle w:val="Tnbng"/>
              <w:rPr>
                <w:sz w:val="16"/>
                <w:szCs w:val="16"/>
              </w:rPr>
            </w:pPr>
            <w:r w:rsidRPr="00527C38">
              <w:rPr>
                <w:sz w:val="16"/>
                <w:szCs w:val="16"/>
              </w:rPr>
              <w:t>Financial Leverage</w:t>
            </w:r>
          </w:p>
        </w:tc>
        <w:tc>
          <w:tcPr>
            <w:tcW w:w="0" w:type="auto"/>
            <w:vAlign w:val="center"/>
            <w:hideMark/>
          </w:tcPr>
          <w:p w14:paraId="0E946781" w14:textId="77777777" w:rsidR="00410F03" w:rsidRPr="00527C38"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FS</w:t>
            </w:r>
          </w:p>
        </w:tc>
        <w:tc>
          <w:tcPr>
            <w:tcW w:w="0" w:type="auto"/>
            <w:vAlign w:val="center"/>
            <w:hideMark/>
          </w:tcPr>
          <w:p w14:paraId="6E53749C" w14:textId="77777777" w:rsidR="00410F03" w:rsidRPr="00527C38" w:rsidRDefault="00410F03" w:rsidP="00410F03">
            <w:pPr>
              <w:pStyle w:val="Tnbng"/>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Total Liabilities / Total Assets</w:t>
            </w:r>
          </w:p>
        </w:tc>
        <w:tc>
          <w:tcPr>
            <w:tcW w:w="0" w:type="auto"/>
            <w:vAlign w:val="center"/>
            <w:hideMark/>
          </w:tcPr>
          <w:p w14:paraId="12AD8015" w14:textId="77777777" w:rsidR="00410F03" w:rsidRPr="00527C38"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w:t>
            </w:r>
          </w:p>
        </w:tc>
      </w:tr>
      <w:tr w:rsidR="00207AC1" w:rsidRPr="00527C38" w14:paraId="06513B25" w14:textId="77777777" w:rsidTr="00410F0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B3A79F" w14:textId="77777777" w:rsidR="00410F03" w:rsidRPr="00527C38" w:rsidRDefault="00410F03" w:rsidP="00410F03">
            <w:pPr>
              <w:pStyle w:val="Tnbng"/>
              <w:rPr>
                <w:sz w:val="16"/>
                <w:szCs w:val="16"/>
              </w:rPr>
            </w:pPr>
            <w:r w:rsidRPr="00527C38">
              <w:rPr>
                <w:sz w:val="16"/>
                <w:szCs w:val="16"/>
              </w:rPr>
              <w:t>Liquidity</w:t>
            </w:r>
          </w:p>
        </w:tc>
        <w:tc>
          <w:tcPr>
            <w:tcW w:w="0" w:type="auto"/>
            <w:vAlign w:val="center"/>
            <w:hideMark/>
          </w:tcPr>
          <w:p w14:paraId="633230E3" w14:textId="77777777" w:rsidR="00410F03" w:rsidRPr="00527C38"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CR</w:t>
            </w:r>
          </w:p>
        </w:tc>
        <w:tc>
          <w:tcPr>
            <w:tcW w:w="0" w:type="auto"/>
            <w:vAlign w:val="center"/>
            <w:hideMark/>
          </w:tcPr>
          <w:p w14:paraId="178A622A" w14:textId="77777777" w:rsidR="00410F03" w:rsidRPr="00527C38" w:rsidRDefault="00410F03" w:rsidP="00410F03">
            <w:pPr>
              <w:pStyle w:val="Tnbng"/>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Current Assets / Current Liabilities</w:t>
            </w:r>
          </w:p>
        </w:tc>
        <w:tc>
          <w:tcPr>
            <w:tcW w:w="0" w:type="auto"/>
            <w:vAlign w:val="center"/>
            <w:hideMark/>
          </w:tcPr>
          <w:p w14:paraId="32E495BD" w14:textId="77777777" w:rsidR="00410F03" w:rsidRPr="00527C38"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 / –)</w:t>
            </w:r>
          </w:p>
        </w:tc>
      </w:tr>
      <w:tr w:rsidR="00207AC1" w:rsidRPr="00527C38" w14:paraId="4EACAC6D" w14:textId="77777777" w:rsidTr="00410F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56B8DB" w14:textId="77777777" w:rsidR="00410F03" w:rsidRPr="00527C38" w:rsidRDefault="00410F03" w:rsidP="00410F03">
            <w:pPr>
              <w:pStyle w:val="Tnbng"/>
              <w:rPr>
                <w:sz w:val="16"/>
                <w:szCs w:val="16"/>
              </w:rPr>
            </w:pPr>
            <w:r w:rsidRPr="00527C38">
              <w:rPr>
                <w:sz w:val="16"/>
                <w:szCs w:val="16"/>
              </w:rPr>
              <w:t>Interest Coverage</w:t>
            </w:r>
          </w:p>
        </w:tc>
        <w:tc>
          <w:tcPr>
            <w:tcW w:w="0" w:type="auto"/>
            <w:vAlign w:val="center"/>
            <w:hideMark/>
          </w:tcPr>
          <w:p w14:paraId="1AFE8F2A" w14:textId="77777777" w:rsidR="00410F03" w:rsidRPr="00527C38"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IC</w:t>
            </w:r>
          </w:p>
        </w:tc>
        <w:tc>
          <w:tcPr>
            <w:tcW w:w="0" w:type="auto"/>
            <w:vAlign w:val="center"/>
            <w:hideMark/>
          </w:tcPr>
          <w:p w14:paraId="32C6FD6C" w14:textId="77777777" w:rsidR="00410F03" w:rsidRPr="00527C38" w:rsidRDefault="00410F03" w:rsidP="00410F03">
            <w:pPr>
              <w:pStyle w:val="Tnbng"/>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EBIT / Interest Expense</w:t>
            </w:r>
          </w:p>
        </w:tc>
        <w:tc>
          <w:tcPr>
            <w:tcW w:w="0" w:type="auto"/>
            <w:vAlign w:val="center"/>
            <w:hideMark/>
          </w:tcPr>
          <w:p w14:paraId="16F4F6CC" w14:textId="77777777" w:rsidR="00410F03" w:rsidRPr="00527C38"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527C38">
              <w:rPr>
                <w:b w:val="0"/>
                <w:bCs w:val="0"/>
                <w:sz w:val="16"/>
                <w:szCs w:val="16"/>
              </w:rPr>
              <w:t>(–)</w:t>
            </w:r>
          </w:p>
        </w:tc>
      </w:tr>
      <w:tr w:rsidR="00207AC1" w:rsidRPr="00527C38" w14:paraId="206865D6" w14:textId="77777777" w:rsidTr="00410F0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5FB3E7" w14:textId="77777777" w:rsidR="00410F03" w:rsidRPr="00527C38" w:rsidRDefault="00410F03" w:rsidP="00410F03">
            <w:pPr>
              <w:pStyle w:val="Tnbng"/>
              <w:rPr>
                <w:sz w:val="16"/>
                <w:szCs w:val="16"/>
              </w:rPr>
            </w:pPr>
            <w:r w:rsidRPr="00527C38">
              <w:rPr>
                <w:sz w:val="16"/>
                <w:szCs w:val="16"/>
              </w:rPr>
              <w:t>Cash Flow to Debt</w:t>
            </w:r>
          </w:p>
        </w:tc>
        <w:tc>
          <w:tcPr>
            <w:tcW w:w="0" w:type="auto"/>
            <w:vAlign w:val="center"/>
            <w:hideMark/>
          </w:tcPr>
          <w:p w14:paraId="5F858ABE" w14:textId="77777777" w:rsidR="00410F03" w:rsidRPr="00527C38"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CFD</w:t>
            </w:r>
          </w:p>
        </w:tc>
        <w:tc>
          <w:tcPr>
            <w:tcW w:w="0" w:type="auto"/>
            <w:vAlign w:val="center"/>
            <w:hideMark/>
          </w:tcPr>
          <w:p w14:paraId="21289575" w14:textId="77777777" w:rsidR="00410F03" w:rsidRPr="00527C38" w:rsidRDefault="00410F03" w:rsidP="00410F03">
            <w:pPr>
              <w:pStyle w:val="Tnbng"/>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Operating Cash Flow / Total Debt</w:t>
            </w:r>
          </w:p>
        </w:tc>
        <w:tc>
          <w:tcPr>
            <w:tcW w:w="0" w:type="auto"/>
            <w:vAlign w:val="center"/>
            <w:hideMark/>
          </w:tcPr>
          <w:p w14:paraId="2CFA7BB4" w14:textId="77777777" w:rsidR="00410F03" w:rsidRPr="00527C38"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527C38">
              <w:rPr>
                <w:b w:val="0"/>
                <w:bCs w:val="0"/>
                <w:sz w:val="16"/>
                <w:szCs w:val="16"/>
              </w:rPr>
              <w:t>(–)</w:t>
            </w:r>
          </w:p>
        </w:tc>
      </w:tr>
    </w:tbl>
    <w:p w14:paraId="64307388" w14:textId="00BD9A86" w:rsidR="00A100C4" w:rsidRPr="00527C38" w:rsidRDefault="00A100C4" w:rsidP="00A100C4">
      <w:pPr>
        <w:pStyle w:val="Tiumc"/>
        <w:rPr>
          <w:rFonts w:asciiTheme="majorHAnsi" w:hAnsiTheme="majorHAnsi" w:cstheme="majorHAnsi"/>
        </w:rPr>
      </w:pPr>
      <w:r w:rsidRPr="00527C38">
        <w:rPr>
          <w:rFonts w:asciiTheme="majorHAnsi" w:hAnsiTheme="majorHAnsi" w:cstheme="majorHAnsi"/>
        </w:rPr>
        <w:t>3.4.</w:t>
      </w:r>
      <w:r w:rsidR="00326CB9" w:rsidRPr="00527C38">
        <w:rPr>
          <w:rFonts w:asciiTheme="majorHAnsi" w:hAnsiTheme="majorHAnsi" w:cstheme="majorHAnsi"/>
        </w:rPr>
        <w:t xml:space="preserve"> Estimation Method and Model Testing</w:t>
      </w:r>
    </w:p>
    <w:p w14:paraId="3A77AA24" w14:textId="7E2B4C44" w:rsidR="00DC58EA" w:rsidRPr="00527C38" w:rsidRDefault="00DC58EA" w:rsidP="00DC58EA">
      <w:pPr>
        <w:pStyle w:val="Nidungbibo"/>
        <w:rPr>
          <w:lang w:val="en-US"/>
        </w:rPr>
      </w:pPr>
      <w:r w:rsidRPr="00527C38">
        <w:rPr>
          <w:lang w:val="en-US"/>
        </w:rPr>
        <w:t>Earnings management is shaped by a combination of internal managerial incentives and external financial conditions, with financial distress potentially acting as both a determinant and a consequence of such behavior. This reciprocal relationship introduces an endogeneity problem in the estimation process. Furthermore, earnings management often demonstrates dynamic persistence, as current manipulation practices are influenced by prior</w:t>
      </w:r>
      <w:r w:rsidR="004C6136" w:rsidRPr="00527C38">
        <w:rPr>
          <w:lang w:val="en-US"/>
        </w:rPr>
        <w:t xml:space="preserve"> </w:t>
      </w:r>
      <w:r w:rsidRPr="00527C38">
        <w:rPr>
          <w:lang w:val="en-US"/>
        </w:rPr>
        <w:t>period adjustments and firm</w:t>
      </w:r>
      <w:r w:rsidR="004C6136" w:rsidRPr="00527C38">
        <w:rPr>
          <w:lang w:val="en-US"/>
        </w:rPr>
        <w:t xml:space="preserve"> </w:t>
      </w:r>
      <w:r w:rsidRPr="00527C38">
        <w:rPr>
          <w:lang w:val="en-US"/>
        </w:rPr>
        <w:t>specific characteristics.</w:t>
      </w:r>
    </w:p>
    <w:p w14:paraId="3E7AF353" w14:textId="6019CC11" w:rsidR="000169CB" w:rsidRPr="00527C38" w:rsidRDefault="00DC58EA" w:rsidP="00DC58EA">
      <w:pPr>
        <w:pStyle w:val="Nidungbibo"/>
        <w:rPr>
          <w:lang w:val="en-US"/>
        </w:rPr>
      </w:pPr>
      <w:r w:rsidRPr="00527C38">
        <w:rPr>
          <w:lang w:val="en-US"/>
        </w:rPr>
        <w:t>To address these econometric challenges, this study adopts the Generalized Method of Moments (GMM) approach for dynamic panel estimation. Both the Difference GMM (Arellano &amp; Bond, 1991) and the System GMM (Blundell &amp; Bond, 1998) estimators are initially considered. Following the diagnostic framework proposed by Bond (2002), the two</w:t>
      </w:r>
      <w:r w:rsidR="004C6136" w:rsidRPr="00527C38">
        <w:rPr>
          <w:lang w:val="en-US"/>
        </w:rPr>
        <w:t xml:space="preserve"> </w:t>
      </w:r>
      <w:r w:rsidRPr="00527C38">
        <w:rPr>
          <w:lang w:val="en-US"/>
        </w:rPr>
        <w:t xml:space="preserve">step System </w:t>
      </w:r>
      <w:r w:rsidRPr="00527C38">
        <w:rPr>
          <w:lang w:val="en-US"/>
        </w:rPr>
        <w:lastRenderedPageBreak/>
        <w:t>GMM estimator is selected, as it is particularly well</w:t>
      </w:r>
      <w:r w:rsidR="004C6136" w:rsidRPr="00527C38">
        <w:rPr>
          <w:lang w:val="en-US"/>
        </w:rPr>
        <w:t xml:space="preserve"> </w:t>
      </w:r>
      <w:r w:rsidRPr="00527C38">
        <w:rPr>
          <w:lang w:val="en-US"/>
        </w:rPr>
        <w:t>suited for large panel datasets and offers greater robustness in mitigating endogeneity, heteroskedasticity, and autocorrelation biases.</w:t>
      </w:r>
    </w:p>
    <w:p w14:paraId="4301B597" w14:textId="2FB8782B" w:rsidR="000169CB" w:rsidRPr="00527C38" w:rsidRDefault="00C57ABD" w:rsidP="000169CB">
      <w:pPr>
        <w:pStyle w:val="Tiumc"/>
        <w:rPr>
          <w:rFonts w:asciiTheme="majorHAnsi" w:hAnsiTheme="majorHAnsi" w:cstheme="majorHAnsi"/>
        </w:rPr>
      </w:pPr>
      <w:r w:rsidRPr="00527C38">
        <w:rPr>
          <w:rFonts w:asciiTheme="majorHAnsi" w:hAnsiTheme="majorHAnsi" w:cstheme="majorHAnsi"/>
        </w:rPr>
        <w:t>4. RESULTS</w:t>
      </w:r>
    </w:p>
    <w:p w14:paraId="0BBEB4CD" w14:textId="0E679A98" w:rsidR="00EB66D7" w:rsidRPr="00527C38" w:rsidRDefault="00EB66D7" w:rsidP="000169CB">
      <w:pPr>
        <w:pStyle w:val="Tiumc"/>
        <w:rPr>
          <w:rFonts w:asciiTheme="majorHAnsi" w:hAnsiTheme="majorHAnsi" w:cstheme="majorHAnsi"/>
          <w:noProof/>
        </w:rPr>
      </w:pPr>
      <w:r w:rsidRPr="00527C38">
        <w:rPr>
          <w:rFonts w:asciiTheme="majorHAnsi" w:hAnsiTheme="majorHAnsi" w:cstheme="majorHAnsi"/>
          <w:noProof/>
        </w:rPr>
        <w:t>4.1.</w:t>
      </w:r>
      <w:r w:rsidR="00476AA6" w:rsidRPr="00527C38">
        <w:rPr>
          <w:rFonts w:asciiTheme="majorHAnsi" w:hAnsiTheme="majorHAnsi" w:cstheme="majorHAnsi"/>
          <w:noProof/>
        </w:rPr>
        <w:t xml:space="preserve"> Descriptive Statistics</w:t>
      </w:r>
    </w:p>
    <w:p w14:paraId="26083776" w14:textId="1D5C9EB0" w:rsidR="00DC58EA" w:rsidRPr="00527C38" w:rsidRDefault="00DC58EA" w:rsidP="00DC58EA">
      <w:pPr>
        <w:pStyle w:val="Nidungbibo"/>
        <w:rPr>
          <w:noProof/>
          <w:lang w:val="en-US"/>
        </w:rPr>
      </w:pPr>
      <w:r w:rsidRPr="00527C38">
        <w:rPr>
          <w:noProof/>
          <w:lang w:val="en-US"/>
        </w:rPr>
        <w:t>As reported in Table 3, the discretionary accruals variable (DA) exhibits a mean value of 0.17, indicating a moderate degree of accrual</w:t>
      </w:r>
      <w:r w:rsidR="004C6136" w:rsidRPr="00527C38">
        <w:rPr>
          <w:noProof/>
          <w:lang w:val="en-US"/>
        </w:rPr>
        <w:t xml:space="preserve"> </w:t>
      </w:r>
      <w:r w:rsidRPr="00527C38">
        <w:rPr>
          <w:noProof/>
          <w:lang w:val="en-US"/>
        </w:rPr>
        <w:t>based earnings management among the sampled firms. The wide range of DA values</w:t>
      </w:r>
      <w:r w:rsidR="004C6136" w:rsidRPr="00527C38">
        <w:rPr>
          <w:noProof/>
          <w:lang w:val="en-US"/>
        </w:rPr>
        <w:t xml:space="preserve"> </w:t>
      </w:r>
      <w:r w:rsidRPr="00527C38">
        <w:rPr>
          <w:noProof/>
          <w:lang w:val="en-US"/>
        </w:rPr>
        <w:t>from 0 to 3.51</w:t>
      </w:r>
      <w:r w:rsidR="004C6136" w:rsidRPr="00527C38">
        <w:rPr>
          <w:noProof/>
          <w:lang w:val="en-US"/>
        </w:rPr>
        <w:t xml:space="preserve"> </w:t>
      </w:r>
      <w:r w:rsidRPr="00527C38">
        <w:rPr>
          <w:noProof/>
          <w:lang w:val="en-US"/>
        </w:rPr>
        <w:t>reflects substantial heterogeneity in the extent of managerial discretion across companies.</w:t>
      </w:r>
    </w:p>
    <w:p w14:paraId="6F41D92E" w14:textId="73E8E8B7" w:rsidR="00DC58EA" w:rsidRPr="00527C38" w:rsidRDefault="00DC58EA" w:rsidP="00DC58EA">
      <w:pPr>
        <w:pStyle w:val="Nidungbibo"/>
        <w:rPr>
          <w:noProof/>
          <w:lang w:val="en-US"/>
        </w:rPr>
      </w:pPr>
      <w:r w:rsidRPr="00527C38">
        <w:rPr>
          <w:noProof/>
          <w:lang w:val="en-US"/>
        </w:rPr>
        <w:t>For real earnings management, the mean of AbCFO is –0.01, while AbPROD and AbSGA both center around zero. This pattern suggests that firms, on average, do not exhibit systematic tendencies toward either upward or downward manipulation through real activities. In essence, the degree of real activity manipulation appears limited and relatively balanced within the sample.</w:t>
      </w:r>
    </w:p>
    <w:p w14:paraId="413619B1" w14:textId="74320C77" w:rsidR="00DC58EA" w:rsidRPr="00527C38" w:rsidRDefault="00DC58EA" w:rsidP="00DC58EA">
      <w:pPr>
        <w:pStyle w:val="Nidungbibo"/>
        <w:rPr>
          <w:noProof/>
          <w:lang w:val="en-US"/>
        </w:rPr>
      </w:pPr>
      <w:r w:rsidRPr="00527C38">
        <w:rPr>
          <w:noProof/>
          <w:lang w:val="en-US"/>
        </w:rPr>
        <w:t>The Z-score, used to measure financial distress, has a mean of 2.12, placing most firms within Altman’s “gray zone”</w:t>
      </w:r>
      <w:r w:rsidR="00DC1B20" w:rsidRPr="00527C38">
        <w:rPr>
          <w:noProof/>
          <w:lang w:val="en-US"/>
        </w:rPr>
        <w:t>.</w:t>
      </w:r>
      <w:hyperlink w:anchor="_ENREF_15" w:tooltip="Altman, 2000 #13090" w:history="1">
        <w:r w:rsidR="00527C38" w:rsidRPr="00527C38">
          <w:fldChar w:fldCharType="begin"/>
        </w:r>
        <w:r w:rsidR="00527C38" w:rsidRPr="00527C38">
          <w:instrText xml:space="preserve"> ADDIN EN.CITE &lt;EndNote&gt;&lt;Cite&gt;&lt;Author&gt;Altman&lt;/Author&gt;&lt;Year&gt;2000&lt;/Year&gt;&lt;RecNum&gt;13090&lt;/RecNum&gt;&lt;DisplayText&gt;&lt;style face="superscript"&gt;15&lt;/style&gt;&lt;/DisplayText&gt;&lt;record&gt;&lt;rec-number&gt;13090&lt;/rec-number&gt;&lt;foreign-keys&gt;&lt;key app="EN" db-id="exevsxpvos5ep2ear9b5svvoeswxvzw2rs5p" timestamp="1691038360" guid="20c1fbba-390e-402b-9c4b-2316e26f50ab"&gt;13090&lt;/key&gt;&lt;/foreign-keys&gt;&lt;ref-type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pages&gt;428-456&lt;/pages&gt;&lt;volume&gt;5&lt;/volume&gt;&lt;dates&gt;&lt;year&gt;2000&lt;/year&gt;&lt;pub-dates&gt;&lt;date&gt;09/29&lt;/date&gt;&lt;/pub-dates&gt;&lt;/dates&gt;&lt;urls&gt;&lt;/urls&gt;&lt;electronic-resource-num&gt;10.4337/9780857936097.00027&lt;/electronic-resource-num&gt;&lt;/record&gt;&lt;/Cite&gt;&lt;/EndNote&gt;</w:instrText>
        </w:r>
        <w:r w:rsidR="00527C38" w:rsidRPr="00527C38">
          <w:fldChar w:fldCharType="separate"/>
        </w:r>
        <w:r w:rsidR="00527C38" w:rsidRPr="00527C38">
          <w:rPr>
            <w:vertAlign w:val="superscript"/>
          </w:rPr>
          <w:t>15</w:t>
        </w:r>
        <w:r w:rsidR="00527C38" w:rsidRPr="00527C38">
          <w:fldChar w:fldCharType="end"/>
        </w:r>
      </w:hyperlink>
      <w:r w:rsidRPr="00527C38">
        <w:rPr>
          <w:noProof/>
          <w:lang w:val="en-US"/>
        </w:rPr>
        <w:t xml:space="preserve"> This indicates that, on average, listed firms are not yet in acute financial distress but remain exposed to moderate solvency risks.</w:t>
      </w:r>
    </w:p>
    <w:p w14:paraId="1CF047D8" w14:textId="1A514BA0" w:rsidR="00DC58EA" w:rsidRPr="00527C38" w:rsidRDefault="00DC58EA" w:rsidP="00DC58EA">
      <w:pPr>
        <w:pStyle w:val="Nidungbibo"/>
        <w:rPr>
          <w:noProof/>
          <w:lang w:val="en-US"/>
        </w:rPr>
      </w:pPr>
      <w:r w:rsidRPr="00527C38">
        <w:rPr>
          <w:noProof/>
          <w:lang w:val="en-US"/>
        </w:rPr>
        <w:t>Regarding control variables, the financial leverage ratio (FS) averages 0.55, consistent with a sample comprising primarily medium and large</w:t>
      </w:r>
      <w:r w:rsidR="004C6136" w:rsidRPr="00527C38">
        <w:rPr>
          <w:noProof/>
          <w:lang w:val="en-US"/>
        </w:rPr>
        <w:t xml:space="preserve"> </w:t>
      </w:r>
      <w:r w:rsidRPr="00527C38">
        <w:rPr>
          <w:noProof/>
          <w:lang w:val="en-US"/>
        </w:rPr>
        <w:t>sized enterprises. The current ratio (CR) averages 2.24, reflecting generally sound short</w:t>
      </w:r>
      <w:r w:rsidR="004C6136" w:rsidRPr="00527C38">
        <w:rPr>
          <w:noProof/>
          <w:lang w:val="en-US"/>
        </w:rPr>
        <w:t xml:space="preserve"> </w:t>
      </w:r>
      <w:r w:rsidRPr="00527C38">
        <w:rPr>
          <w:noProof/>
          <w:lang w:val="en-US"/>
        </w:rPr>
        <w:t>term liquidity positions. In contrast, the interest coverage ratio (IC) displays substantial variability, with a mean of –52.63, implying that several firms incur high interest expenses or experience insufficient operating income. Finally, the cash flow to debt ratio (CFD) averages 0.24, suggesting that firms can cover approximately one</w:t>
      </w:r>
      <w:r w:rsidR="004C6136" w:rsidRPr="00527C38">
        <w:rPr>
          <w:noProof/>
          <w:lang w:val="en-US"/>
        </w:rPr>
        <w:t xml:space="preserve"> </w:t>
      </w:r>
      <w:r w:rsidRPr="00527C38">
        <w:rPr>
          <w:noProof/>
          <w:lang w:val="en-US"/>
        </w:rPr>
        <w:t>quarter of their total debt obligations from operating cash flows</w:t>
      </w:r>
      <w:r w:rsidR="004C6136" w:rsidRPr="00527C38">
        <w:rPr>
          <w:noProof/>
          <w:lang w:val="en-US"/>
        </w:rPr>
        <w:t xml:space="preserve"> </w:t>
      </w:r>
      <w:r w:rsidRPr="00527C38">
        <w:rPr>
          <w:noProof/>
          <w:lang w:val="en-US"/>
        </w:rPr>
        <w:t>indicating moderate liquidity pressure.</w:t>
      </w:r>
      <w:r w:rsidR="003A295F" w:rsidRPr="00527C38">
        <w:t xml:space="preserve"> </w:t>
      </w:r>
      <w:r w:rsidR="003A295F" w:rsidRPr="00527C38">
        <w:rPr>
          <w:noProof/>
          <w:highlight w:val="yellow"/>
          <w:lang w:val="en-US"/>
        </w:rPr>
        <w:t>Notably, the Interest Coverage (IC) ratio shows an extreme minimum of -9,102.16, reflecting firms in severe distress. These observations were retained to capture the full spectrum of financial health but were winsorized at the 1st and 99th percentiles to ensure estimation stability.</w:t>
      </w:r>
    </w:p>
    <w:p w14:paraId="046406B6" w14:textId="3F3961EA" w:rsidR="00DC58EA" w:rsidRPr="00527C38" w:rsidRDefault="00DC58EA" w:rsidP="00D96F70">
      <w:pPr>
        <w:pStyle w:val="Nidungbibo"/>
        <w:rPr>
          <w:noProof/>
          <w:lang w:val="en-US"/>
        </w:rPr>
      </w:pPr>
      <w:r w:rsidRPr="00527C38">
        <w:rPr>
          <w:noProof/>
          <w:lang w:val="en-US"/>
        </w:rPr>
        <w:t>Overall, the descriptive statistics reveal considerable variation in earnings management practices, financial health, and liquidity conditions among Vietnamese listed firms, underscoring the diversity of financial strategies and operational efficiency within the sample.</w:t>
      </w:r>
    </w:p>
    <w:p w14:paraId="38E809DC" w14:textId="219C0BC3" w:rsidR="000A1478" w:rsidRPr="00527C38" w:rsidRDefault="000A1478" w:rsidP="00325795">
      <w:pPr>
        <w:pStyle w:val="Nidungbibo"/>
        <w:rPr>
          <w:noProof/>
          <w:lang w:val="en-US"/>
        </w:rPr>
        <w:sectPr w:rsidR="000A1478" w:rsidRPr="00527C38" w:rsidSect="00EB66D7">
          <w:type w:val="continuous"/>
          <w:pgSz w:w="11906" w:h="16838"/>
          <w:pgMar w:top="1134" w:right="1134" w:bottom="1134" w:left="1418" w:header="709" w:footer="709" w:gutter="0"/>
          <w:cols w:num="2" w:space="708"/>
          <w:docGrid w:linePitch="360"/>
        </w:sectPr>
      </w:pPr>
    </w:p>
    <w:p w14:paraId="61404A6C" w14:textId="267349EF" w:rsidR="00EB66D7" w:rsidRPr="00527C38" w:rsidRDefault="00325795" w:rsidP="009E389E">
      <w:pPr>
        <w:pStyle w:val="Tnbng"/>
        <w:jc w:val="center"/>
        <w:rPr>
          <w:lang w:val="en-US"/>
        </w:rPr>
      </w:pPr>
      <w:r w:rsidRPr="00527C38">
        <w:rPr>
          <w:lang w:val="en-US"/>
        </w:rPr>
        <w:t>Table</w:t>
      </w:r>
      <w:r w:rsidR="00EB66D7" w:rsidRPr="00527C38">
        <w:rPr>
          <w:lang w:val="en-US"/>
        </w:rPr>
        <w:t xml:space="preserve"> </w:t>
      </w:r>
      <w:r w:rsidR="001F2DC3" w:rsidRPr="00527C38">
        <w:rPr>
          <w:lang w:val="en-US"/>
        </w:rPr>
        <w:t>3</w:t>
      </w:r>
      <w:r w:rsidR="00EB66D7" w:rsidRPr="00527C38">
        <w:rPr>
          <w:lang w:val="en-US"/>
        </w:rPr>
        <w:t xml:space="preserve">. </w:t>
      </w:r>
      <w:r w:rsidRPr="00527C38">
        <w:rPr>
          <w:b w:val="0"/>
          <w:bCs w:val="0"/>
          <w:lang w:val="en-US"/>
        </w:rPr>
        <w:t>Descriptive Statistics</w:t>
      </w:r>
    </w:p>
    <w:tbl>
      <w:tblPr>
        <w:tblStyle w:val="TableGridLight"/>
        <w:tblW w:w="0" w:type="auto"/>
        <w:jc w:val="center"/>
        <w:tblLook w:val="04A0" w:firstRow="1" w:lastRow="0" w:firstColumn="1" w:lastColumn="0" w:noHBand="0" w:noVBand="1"/>
      </w:tblPr>
      <w:tblGrid>
        <w:gridCol w:w="1072"/>
        <w:gridCol w:w="1377"/>
        <w:gridCol w:w="821"/>
        <w:gridCol w:w="1096"/>
        <w:gridCol w:w="821"/>
        <w:gridCol w:w="889"/>
        <w:gridCol w:w="711"/>
        <w:gridCol w:w="821"/>
      </w:tblGrid>
      <w:tr w:rsidR="00207AC1" w:rsidRPr="00527C38" w14:paraId="1C1D36A8" w14:textId="77777777" w:rsidTr="009E389E">
        <w:trPr>
          <w:trHeight w:val="20"/>
          <w:jc w:val="center"/>
        </w:trPr>
        <w:tc>
          <w:tcPr>
            <w:tcW w:w="0" w:type="auto"/>
            <w:tcBorders>
              <w:top w:val="single" w:sz="4" w:space="0" w:color="auto"/>
              <w:bottom w:val="single" w:sz="4" w:space="0" w:color="auto"/>
            </w:tcBorders>
            <w:hideMark/>
          </w:tcPr>
          <w:p w14:paraId="6D41AB93"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Variable</w:t>
            </w:r>
          </w:p>
        </w:tc>
        <w:tc>
          <w:tcPr>
            <w:tcW w:w="0" w:type="auto"/>
            <w:tcBorders>
              <w:top w:val="single" w:sz="4" w:space="0" w:color="auto"/>
              <w:bottom w:val="single" w:sz="4" w:space="0" w:color="auto"/>
            </w:tcBorders>
            <w:hideMark/>
          </w:tcPr>
          <w:p w14:paraId="0B600B8F"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Observations</w:t>
            </w:r>
          </w:p>
        </w:tc>
        <w:tc>
          <w:tcPr>
            <w:tcW w:w="0" w:type="auto"/>
            <w:tcBorders>
              <w:top w:val="single" w:sz="4" w:space="0" w:color="auto"/>
              <w:bottom w:val="single" w:sz="4" w:space="0" w:color="auto"/>
            </w:tcBorders>
            <w:hideMark/>
          </w:tcPr>
          <w:p w14:paraId="7EA828D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Mean</w:t>
            </w:r>
          </w:p>
        </w:tc>
        <w:tc>
          <w:tcPr>
            <w:tcW w:w="0" w:type="auto"/>
            <w:tcBorders>
              <w:top w:val="single" w:sz="4" w:space="0" w:color="auto"/>
              <w:bottom w:val="single" w:sz="4" w:space="0" w:color="auto"/>
            </w:tcBorders>
            <w:hideMark/>
          </w:tcPr>
          <w:p w14:paraId="1432B8C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Min</w:t>
            </w:r>
          </w:p>
        </w:tc>
        <w:tc>
          <w:tcPr>
            <w:tcW w:w="0" w:type="auto"/>
            <w:tcBorders>
              <w:top w:val="single" w:sz="4" w:space="0" w:color="auto"/>
              <w:bottom w:val="single" w:sz="4" w:space="0" w:color="auto"/>
            </w:tcBorders>
            <w:hideMark/>
          </w:tcPr>
          <w:p w14:paraId="78E7CF5B"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p25</w:t>
            </w:r>
          </w:p>
        </w:tc>
        <w:tc>
          <w:tcPr>
            <w:tcW w:w="0" w:type="auto"/>
            <w:tcBorders>
              <w:top w:val="single" w:sz="4" w:space="0" w:color="auto"/>
              <w:bottom w:val="single" w:sz="4" w:space="0" w:color="auto"/>
            </w:tcBorders>
            <w:hideMark/>
          </w:tcPr>
          <w:p w14:paraId="700ADC2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Median</w:t>
            </w:r>
          </w:p>
        </w:tc>
        <w:tc>
          <w:tcPr>
            <w:tcW w:w="0" w:type="auto"/>
            <w:tcBorders>
              <w:top w:val="single" w:sz="4" w:space="0" w:color="auto"/>
              <w:bottom w:val="single" w:sz="4" w:space="0" w:color="auto"/>
            </w:tcBorders>
            <w:hideMark/>
          </w:tcPr>
          <w:p w14:paraId="6BADAFF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p75</w:t>
            </w:r>
          </w:p>
        </w:tc>
        <w:tc>
          <w:tcPr>
            <w:tcW w:w="0" w:type="auto"/>
            <w:tcBorders>
              <w:top w:val="single" w:sz="4" w:space="0" w:color="auto"/>
              <w:bottom w:val="single" w:sz="4" w:space="0" w:color="auto"/>
            </w:tcBorders>
            <w:hideMark/>
          </w:tcPr>
          <w:p w14:paraId="0143ABA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Max</w:t>
            </w:r>
          </w:p>
        </w:tc>
      </w:tr>
      <w:tr w:rsidR="00207AC1" w:rsidRPr="00527C38" w14:paraId="0B34C070" w14:textId="77777777" w:rsidTr="009E389E">
        <w:trPr>
          <w:trHeight w:val="20"/>
          <w:jc w:val="center"/>
        </w:trPr>
        <w:tc>
          <w:tcPr>
            <w:tcW w:w="0" w:type="auto"/>
            <w:tcBorders>
              <w:top w:val="single" w:sz="4" w:space="0" w:color="auto"/>
            </w:tcBorders>
            <w:hideMark/>
          </w:tcPr>
          <w:p w14:paraId="27C690B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DA</w:t>
            </w:r>
          </w:p>
        </w:tc>
        <w:tc>
          <w:tcPr>
            <w:tcW w:w="0" w:type="auto"/>
            <w:tcBorders>
              <w:top w:val="single" w:sz="4" w:space="0" w:color="auto"/>
            </w:tcBorders>
            <w:hideMark/>
          </w:tcPr>
          <w:p w14:paraId="07AA9EF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7,568</w:t>
            </w:r>
          </w:p>
        </w:tc>
        <w:tc>
          <w:tcPr>
            <w:tcW w:w="0" w:type="auto"/>
            <w:tcBorders>
              <w:top w:val="single" w:sz="4" w:space="0" w:color="auto"/>
            </w:tcBorders>
            <w:hideMark/>
          </w:tcPr>
          <w:p w14:paraId="37A19A8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0.17</w:t>
            </w:r>
          </w:p>
        </w:tc>
        <w:tc>
          <w:tcPr>
            <w:tcW w:w="0" w:type="auto"/>
            <w:tcBorders>
              <w:top w:val="single" w:sz="4" w:space="0" w:color="auto"/>
            </w:tcBorders>
            <w:hideMark/>
          </w:tcPr>
          <w:p w14:paraId="4DB1E3A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0.00</w:t>
            </w:r>
          </w:p>
        </w:tc>
        <w:tc>
          <w:tcPr>
            <w:tcW w:w="0" w:type="auto"/>
            <w:tcBorders>
              <w:top w:val="single" w:sz="4" w:space="0" w:color="auto"/>
            </w:tcBorders>
            <w:hideMark/>
          </w:tcPr>
          <w:p w14:paraId="3C766AA9"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0.04</w:t>
            </w:r>
          </w:p>
        </w:tc>
        <w:tc>
          <w:tcPr>
            <w:tcW w:w="0" w:type="auto"/>
            <w:tcBorders>
              <w:top w:val="single" w:sz="4" w:space="0" w:color="auto"/>
            </w:tcBorders>
            <w:hideMark/>
          </w:tcPr>
          <w:p w14:paraId="25E6A0B3"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0.08</w:t>
            </w:r>
          </w:p>
        </w:tc>
        <w:tc>
          <w:tcPr>
            <w:tcW w:w="0" w:type="auto"/>
            <w:tcBorders>
              <w:top w:val="single" w:sz="4" w:space="0" w:color="auto"/>
            </w:tcBorders>
            <w:hideMark/>
          </w:tcPr>
          <w:p w14:paraId="1BAFBB8F"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0.17</w:t>
            </w:r>
          </w:p>
        </w:tc>
        <w:tc>
          <w:tcPr>
            <w:tcW w:w="0" w:type="auto"/>
            <w:tcBorders>
              <w:top w:val="single" w:sz="4" w:space="0" w:color="auto"/>
            </w:tcBorders>
            <w:hideMark/>
          </w:tcPr>
          <w:p w14:paraId="3FBB303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3.51</w:t>
            </w:r>
          </w:p>
        </w:tc>
      </w:tr>
      <w:tr w:rsidR="00207AC1" w:rsidRPr="00527C38" w14:paraId="7C5A256C" w14:textId="77777777" w:rsidTr="009E389E">
        <w:trPr>
          <w:trHeight w:val="20"/>
          <w:jc w:val="center"/>
        </w:trPr>
        <w:tc>
          <w:tcPr>
            <w:tcW w:w="0" w:type="auto"/>
            <w:hideMark/>
          </w:tcPr>
          <w:p w14:paraId="01C74D1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AbCFO</w:t>
            </w:r>
          </w:p>
        </w:tc>
        <w:tc>
          <w:tcPr>
            <w:tcW w:w="0" w:type="auto"/>
            <w:hideMark/>
          </w:tcPr>
          <w:p w14:paraId="55E58BB3"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7,580</w:t>
            </w:r>
          </w:p>
        </w:tc>
        <w:tc>
          <w:tcPr>
            <w:tcW w:w="0" w:type="auto"/>
            <w:hideMark/>
          </w:tcPr>
          <w:p w14:paraId="622D4724"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–0.01</w:t>
            </w:r>
          </w:p>
        </w:tc>
        <w:tc>
          <w:tcPr>
            <w:tcW w:w="0" w:type="auto"/>
            <w:hideMark/>
          </w:tcPr>
          <w:p w14:paraId="7E0F1D3F"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–1.09</w:t>
            </w:r>
          </w:p>
        </w:tc>
        <w:tc>
          <w:tcPr>
            <w:tcW w:w="0" w:type="auto"/>
            <w:hideMark/>
          </w:tcPr>
          <w:p w14:paraId="24E1ECAE"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–0.09</w:t>
            </w:r>
          </w:p>
        </w:tc>
        <w:tc>
          <w:tcPr>
            <w:tcW w:w="0" w:type="auto"/>
            <w:hideMark/>
          </w:tcPr>
          <w:p w14:paraId="0A418D2E"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0.00</w:t>
            </w:r>
          </w:p>
        </w:tc>
        <w:tc>
          <w:tcPr>
            <w:tcW w:w="0" w:type="auto"/>
            <w:hideMark/>
          </w:tcPr>
          <w:p w14:paraId="0FD1D98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0.08</w:t>
            </w:r>
          </w:p>
        </w:tc>
        <w:tc>
          <w:tcPr>
            <w:tcW w:w="0" w:type="auto"/>
            <w:hideMark/>
          </w:tcPr>
          <w:p w14:paraId="009201C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0.81</w:t>
            </w:r>
          </w:p>
        </w:tc>
      </w:tr>
      <w:tr w:rsidR="00207AC1" w:rsidRPr="00527C38" w14:paraId="083154AA" w14:textId="77777777" w:rsidTr="009E389E">
        <w:trPr>
          <w:trHeight w:val="20"/>
          <w:jc w:val="center"/>
        </w:trPr>
        <w:tc>
          <w:tcPr>
            <w:tcW w:w="0" w:type="auto"/>
            <w:hideMark/>
          </w:tcPr>
          <w:p w14:paraId="295A980C"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AbPROD</w:t>
            </w:r>
          </w:p>
        </w:tc>
        <w:tc>
          <w:tcPr>
            <w:tcW w:w="0" w:type="auto"/>
            <w:hideMark/>
          </w:tcPr>
          <w:p w14:paraId="1387D47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7,059</w:t>
            </w:r>
          </w:p>
        </w:tc>
        <w:tc>
          <w:tcPr>
            <w:tcW w:w="0" w:type="auto"/>
            <w:hideMark/>
          </w:tcPr>
          <w:p w14:paraId="5CEE6D03"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0.00</w:t>
            </w:r>
          </w:p>
        </w:tc>
        <w:tc>
          <w:tcPr>
            <w:tcW w:w="0" w:type="auto"/>
            <w:hideMark/>
          </w:tcPr>
          <w:p w14:paraId="41D8E42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–1.28</w:t>
            </w:r>
          </w:p>
        </w:tc>
        <w:tc>
          <w:tcPr>
            <w:tcW w:w="0" w:type="auto"/>
            <w:hideMark/>
          </w:tcPr>
          <w:p w14:paraId="38B4B03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–0.09</w:t>
            </w:r>
          </w:p>
        </w:tc>
        <w:tc>
          <w:tcPr>
            <w:tcW w:w="0" w:type="auto"/>
            <w:hideMark/>
          </w:tcPr>
          <w:p w14:paraId="06D9DD5E"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0.01</w:t>
            </w:r>
          </w:p>
        </w:tc>
        <w:tc>
          <w:tcPr>
            <w:tcW w:w="0" w:type="auto"/>
            <w:hideMark/>
          </w:tcPr>
          <w:p w14:paraId="6F0E246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0.10</w:t>
            </w:r>
          </w:p>
        </w:tc>
        <w:tc>
          <w:tcPr>
            <w:tcW w:w="0" w:type="auto"/>
            <w:hideMark/>
          </w:tcPr>
          <w:p w14:paraId="0C96972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2.59</w:t>
            </w:r>
          </w:p>
        </w:tc>
      </w:tr>
      <w:tr w:rsidR="00207AC1" w:rsidRPr="00527C38" w14:paraId="06F6B926" w14:textId="77777777" w:rsidTr="009E389E">
        <w:trPr>
          <w:trHeight w:val="20"/>
          <w:jc w:val="center"/>
        </w:trPr>
        <w:tc>
          <w:tcPr>
            <w:tcW w:w="0" w:type="auto"/>
            <w:hideMark/>
          </w:tcPr>
          <w:p w14:paraId="6789B8A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AbSGA</w:t>
            </w:r>
          </w:p>
        </w:tc>
        <w:tc>
          <w:tcPr>
            <w:tcW w:w="0" w:type="auto"/>
            <w:hideMark/>
          </w:tcPr>
          <w:p w14:paraId="297DAFAB"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7,673</w:t>
            </w:r>
          </w:p>
        </w:tc>
        <w:tc>
          <w:tcPr>
            <w:tcW w:w="0" w:type="auto"/>
            <w:hideMark/>
          </w:tcPr>
          <w:p w14:paraId="55C8F42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0.00</w:t>
            </w:r>
          </w:p>
        </w:tc>
        <w:tc>
          <w:tcPr>
            <w:tcW w:w="0" w:type="auto"/>
            <w:hideMark/>
          </w:tcPr>
          <w:p w14:paraId="194B95D9"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–0.88</w:t>
            </w:r>
          </w:p>
        </w:tc>
        <w:tc>
          <w:tcPr>
            <w:tcW w:w="0" w:type="auto"/>
            <w:hideMark/>
          </w:tcPr>
          <w:p w14:paraId="03C06E37"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–0.06</w:t>
            </w:r>
          </w:p>
        </w:tc>
        <w:tc>
          <w:tcPr>
            <w:tcW w:w="0" w:type="auto"/>
            <w:hideMark/>
          </w:tcPr>
          <w:p w14:paraId="0850F94B"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0.02</w:t>
            </w:r>
          </w:p>
        </w:tc>
        <w:tc>
          <w:tcPr>
            <w:tcW w:w="0" w:type="auto"/>
            <w:hideMark/>
          </w:tcPr>
          <w:p w14:paraId="2578666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0.05</w:t>
            </w:r>
          </w:p>
        </w:tc>
        <w:tc>
          <w:tcPr>
            <w:tcW w:w="0" w:type="auto"/>
            <w:hideMark/>
          </w:tcPr>
          <w:p w14:paraId="16FD1AB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1.90</w:t>
            </w:r>
          </w:p>
        </w:tc>
      </w:tr>
      <w:tr w:rsidR="00207AC1" w:rsidRPr="00527C38" w14:paraId="077ECDF3" w14:textId="77777777" w:rsidTr="009E389E">
        <w:trPr>
          <w:trHeight w:val="20"/>
          <w:jc w:val="center"/>
        </w:trPr>
        <w:tc>
          <w:tcPr>
            <w:tcW w:w="0" w:type="auto"/>
            <w:hideMark/>
          </w:tcPr>
          <w:p w14:paraId="4229920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Z-score</w:t>
            </w:r>
          </w:p>
        </w:tc>
        <w:tc>
          <w:tcPr>
            <w:tcW w:w="0" w:type="auto"/>
            <w:hideMark/>
          </w:tcPr>
          <w:p w14:paraId="4FD45C0E"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7,476</w:t>
            </w:r>
          </w:p>
        </w:tc>
        <w:tc>
          <w:tcPr>
            <w:tcW w:w="0" w:type="auto"/>
            <w:hideMark/>
          </w:tcPr>
          <w:p w14:paraId="20DC576F"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2.12</w:t>
            </w:r>
          </w:p>
        </w:tc>
        <w:tc>
          <w:tcPr>
            <w:tcW w:w="0" w:type="auto"/>
            <w:hideMark/>
          </w:tcPr>
          <w:p w14:paraId="401308B4"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–0.81</w:t>
            </w:r>
          </w:p>
        </w:tc>
        <w:tc>
          <w:tcPr>
            <w:tcW w:w="0" w:type="auto"/>
            <w:hideMark/>
          </w:tcPr>
          <w:p w14:paraId="3541B0E4"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1.07</w:t>
            </w:r>
          </w:p>
        </w:tc>
        <w:tc>
          <w:tcPr>
            <w:tcW w:w="0" w:type="auto"/>
            <w:hideMark/>
          </w:tcPr>
          <w:p w14:paraId="342BE9F4"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1.81</w:t>
            </w:r>
          </w:p>
        </w:tc>
        <w:tc>
          <w:tcPr>
            <w:tcW w:w="0" w:type="auto"/>
            <w:hideMark/>
          </w:tcPr>
          <w:p w14:paraId="13BB084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2.80</w:t>
            </w:r>
          </w:p>
        </w:tc>
        <w:tc>
          <w:tcPr>
            <w:tcW w:w="0" w:type="auto"/>
            <w:hideMark/>
          </w:tcPr>
          <w:p w14:paraId="0939BFC6"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12.84</w:t>
            </w:r>
          </w:p>
        </w:tc>
      </w:tr>
      <w:tr w:rsidR="00207AC1" w:rsidRPr="00527C38" w14:paraId="6B686C8F" w14:textId="77777777" w:rsidTr="009E389E">
        <w:trPr>
          <w:trHeight w:val="20"/>
          <w:jc w:val="center"/>
        </w:trPr>
        <w:tc>
          <w:tcPr>
            <w:tcW w:w="0" w:type="auto"/>
            <w:hideMark/>
          </w:tcPr>
          <w:p w14:paraId="26AF8D8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FS</w:t>
            </w:r>
          </w:p>
        </w:tc>
        <w:tc>
          <w:tcPr>
            <w:tcW w:w="0" w:type="auto"/>
            <w:hideMark/>
          </w:tcPr>
          <w:p w14:paraId="37D5ABB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7,709</w:t>
            </w:r>
          </w:p>
        </w:tc>
        <w:tc>
          <w:tcPr>
            <w:tcW w:w="0" w:type="auto"/>
            <w:hideMark/>
          </w:tcPr>
          <w:p w14:paraId="1B2886DC"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0.55</w:t>
            </w:r>
          </w:p>
        </w:tc>
        <w:tc>
          <w:tcPr>
            <w:tcW w:w="0" w:type="auto"/>
            <w:hideMark/>
          </w:tcPr>
          <w:p w14:paraId="7CCA6C6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0.01</w:t>
            </w:r>
          </w:p>
        </w:tc>
        <w:tc>
          <w:tcPr>
            <w:tcW w:w="0" w:type="auto"/>
            <w:hideMark/>
          </w:tcPr>
          <w:p w14:paraId="7CAE8EE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0.32</w:t>
            </w:r>
          </w:p>
        </w:tc>
        <w:tc>
          <w:tcPr>
            <w:tcW w:w="0" w:type="auto"/>
            <w:hideMark/>
          </w:tcPr>
          <w:p w14:paraId="4FAC1C3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0.53</w:t>
            </w:r>
          </w:p>
        </w:tc>
        <w:tc>
          <w:tcPr>
            <w:tcW w:w="0" w:type="auto"/>
            <w:hideMark/>
          </w:tcPr>
          <w:p w14:paraId="18C23E2C"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0.75</w:t>
            </w:r>
          </w:p>
        </w:tc>
        <w:tc>
          <w:tcPr>
            <w:tcW w:w="0" w:type="auto"/>
            <w:hideMark/>
          </w:tcPr>
          <w:p w14:paraId="6ED7E49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3.72</w:t>
            </w:r>
          </w:p>
        </w:tc>
      </w:tr>
      <w:tr w:rsidR="00207AC1" w:rsidRPr="00527C38" w14:paraId="5D3E48E4" w14:textId="77777777" w:rsidTr="009E389E">
        <w:trPr>
          <w:trHeight w:val="20"/>
          <w:jc w:val="center"/>
        </w:trPr>
        <w:tc>
          <w:tcPr>
            <w:tcW w:w="0" w:type="auto"/>
            <w:hideMark/>
          </w:tcPr>
          <w:p w14:paraId="20199AB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CR</w:t>
            </w:r>
          </w:p>
        </w:tc>
        <w:tc>
          <w:tcPr>
            <w:tcW w:w="0" w:type="auto"/>
            <w:hideMark/>
          </w:tcPr>
          <w:p w14:paraId="1151468F"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8,351</w:t>
            </w:r>
          </w:p>
        </w:tc>
        <w:tc>
          <w:tcPr>
            <w:tcW w:w="0" w:type="auto"/>
            <w:hideMark/>
          </w:tcPr>
          <w:p w14:paraId="760C9AE3"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2.24</w:t>
            </w:r>
          </w:p>
        </w:tc>
        <w:tc>
          <w:tcPr>
            <w:tcW w:w="0" w:type="auto"/>
            <w:hideMark/>
          </w:tcPr>
          <w:p w14:paraId="5C9EE67B"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0.03</w:t>
            </w:r>
          </w:p>
        </w:tc>
        <w:tc>
          <w:tcPr>
            <w:tcW w:w="0" w:type="auto"/>
            <w:hideMark/>
          </w:tcPr>
          <w:p w14:paraId="56FCEBC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1.11</w:t>
            </w:r>
          </w:p>
        </w:tc>
        <w:tc>
          <w:tcPr>
            <w:tcW w:w="0" w:type="auto"/>
            <w:hideMark/>
          </w:tcPr>
          <w:p w14:paraId="3FEEFFA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1.48</w:t>
            </w:r>
          </w:p>
        </w:tc>
        <w:tc>
          <w:tcPr>
            <w:tcW w:w="0" w:type="auto"/>
            <w:hideMark/>
          </w:tcPr>
          <w:p w14:paraId="4ED1630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2.39</w:t>
            </w:r>
          </w:p>
        </w:tc>
        <w:tc>
          <w:tcPr>
            <w:tcW w:w="0" w:type="auto"/>
            <w:hideMark/>
          </w:tcPr>
          <w:p w14:paraId="51D115C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83.24</w:t>
            </w:r>
          </w:p>
        </w:tc>
      </w:tr>
      <w:tr w:rsidR="00207AC1" w:rsidRPr="00527C38" w14:paraId="760016D3" w14:textId="77777777" w:rsidTr="009E389E">
        <w:trPr>
          <w:trHeight w:val="20"/>
          <w:jc w:val="center"/>
        </w:trPr>
        <w:tc>
          <w:tcPr>
            <w:tcW w:w="0" w:type="auto"/>
            <w:hideMark/>
          </w:tcPr>
          <w:p w14:paraId="397F307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IC</w:t>
            </w:r>
          </w:p>
        </w:tc>
        <w:tc>
          <w:tcPr>
            <w:tcW w:w="0" w:type="auto"/>
            <w:hideMark/>
          </w:tcPr>
          <w:p w14:paraId="5F74073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7,335</w:t>
            </w:r>
          </w:p>
        </w:tc>
        <w:tc>
          <w:tcPr>
            <w:tcW w:w="0" w:type="auto"/>
            <w:hideMark/>
          </w:tcPr>
          <w:p w14:paraId="0144F69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–52.63</w:t>
            </w:r>
          </w:p>
        </w:tc>
        <w:tc>
          <w:tcPr>
            <w:tcW w:w="0" w:type="auto"/>
            <w:hideMark/>
          </w:tcPr>
          <w:p w14:paraId="4DB3AD4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–9,102.16</w:t>
            </w:r>
          </w:p>
        </w:tc>
        <w:tc>
          <w:tcPr>
            <w:tcW w:w="0" w:type="auto"/>
            <w:hideMark/>
          </w:tcPr>
          <w:p w14:paraId="010B7B2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–16.00</w:t>
            </w:r>
          </w:p>
        </w:tc>
        <w:tc>
          <w:tcPr>
            <w:tcW w:w="0" w:type="auto"/>
            <w:hideMark/>
          </w:tcPr>
          <w:p w14:paraId="307F430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–2.93</w:t>
            </w:r>
          </w:p>
        </w:tc>
        <w:tc>
          <w:tcPr>
            <w:tcW w:w="0" w:type="auto"/>
            <w:hideMark/>
          </w:tcPr>
          <w:p w14:paraId="1D3A690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–0.21</w:t>
            </w:r>
          </w:p>
        </w:tc>
        <w:tc>
          <w:tcPr>
            <w:tcW w:w="0" w:type="auto"/>
            <w:hideMark/>
          </w:tcPr>
          <w:p w14:paraId="64DC644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131.78</w:t>
            </w:r>
          </w:p>
        </w:tc>
      </w:tr>
      <w:tr w:rsidR="00F53C53" w:rsidRPr="00527C38" w14:paraId="20A134E0" w14:textId="77777777" w:rsidTr="009E389E">
        <w:trPr>
          <w:trHeight w:val="20"/>
          <w:jc w:val="center"/>
        </w:trPr>
        <w:tc>
          <w:tcPr>
            <w:tcW w:w="0" w:type="auto"/>
            <w:tcBorders>
              <w:bottom w:val="single" w:sz="4" w:space="0" w:color="auto"/>
            </w:tcBorders>
            <w:hideMark/>
          </w:tcPr>
          <w:p w14:paraId="7C789E20"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CFD</w:t>
            </w:r>
          </w:p>
        </w:tc>
        <w:tc>
          <w:tcPr>
            <w:tcW w:w="0" w:type="auto"/>
            <w:tcBorders>
              <w:bottom w:val="single" w:sz="4" w:space="0" w:color="auto"/>
            </w:tcBorders>
            <w:hideMark/>
          </w:tcPr>
          <w:p w14:paraId="3A572D0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8,147</w:t>
            </w:r>
          </w:p>
        </w:tc>
        <w:tc>
          <w:tcPr>
            <w:tcW w:w="0" w:type="auto"/>
            <w:tcBorders>
              <w:bottom w:val="single" w:sz="4" w:space="0" w:color="auto"/>
            </w:tcBorders>
            <w:hideMark/>
          </w:tcPr>
          <w:p w14:paraId="3D676C0A"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0.24</w:t>
            </w:r>
          </w:p>
        </w:tc>
        <w:tc>
          <w:tcPr>
            <w:tcW w:w="0" w:type="auto"/>
            <w:tcBorders>
              <w:bottom w:val="single" w:sz="4" w:space="0" w:color="auto"/>
            </w:tcBorders>
            <w:hideMark/>
          </w:tcPr>
          <w:p w14:paraId="43A89732"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–4.77</w:t>
            </w:r>
          </w:p>
        </w:tc>
        <w:tc>
          <w:tcPr>
            <w:tcW w:w="0" w:type="auto"/>
            <w:tcBorders>
              <w:bottom w:val="single" w:sz="4" w:space="0" w:color="auto"/>
            </w:tcBorders>
            <w:hideMark/>
          </w:tcPr>
          <w:p w14:paraId="35BD31A8"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–0.03</w:t>
            </w:r>
          </w:p>
        </w:tc>
        <w:tc>
          <w:tcPr>
            <w:tcW w:w="0" w:type="auto"/>
            <w:tcBorders>
              <w:bottom w:val="single" w:sz="4" w:space="0" w:color="auto"/>
            </w:tcBorders>
            <w:hideMark/>
          </w:tcPr>
          <w:p w14:paraId="3626C15D"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0.11</w:t>
            </w:r>
          </w:p>
        </w:tc>
        <w:tc>
          <w:tcPr>
            <w:tcW w:w="0" w:type="auto"/>
            <w:tcBorders>
              <w:bottom w:val="single" w:sz="4" w:space="0" w:color="auto"/>
            </w:tcBorders>
            <w:hideMark/>
          </w:tcPr>
          <w:p w14:paraId="07D4E3A1"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0.37</w:t>
            </w:r>
          </w:p>
        </w:tc>
        <w:tc>
          <w:tcPr>
            <w:tcW w:w="0" w:type="auto"/>
            <w:tcBorders>
              <w:bottom w:val="single" w:sz="4" w:space="0" w:color="auto"/>
            </w:tcBorders>
            <w:hideMark/>
          </w:tcPr>
          <w:p w14:paraId="0D2D5EF9" w14:textId="77777777" w:rsidR="00EF7557" w:rsidRPr="00527C38" w:rsidRDefault="00EF7557" w:rsidP="00EF7557">
            <w:pPr>
              <w:pStyle w:val="Tiumc"/>
              <w:jc w:val="center"/>
              <w:rPr>
                <w:rFonts w:asciiTheme="majorHAnsi" w:hAnsiTheme="majorHAnsi" w:cstheme="majorHAnsi"/>
                <w:b w:val="0"/>
                <w:noProof/>
                <w:lang w:val="vi-VN"/>
              </w:rPr>
            </w:pPr>
            <w:r w:rsidRPr="00527C38">
              <w:rPr>
                <w:rFonts w:asciiTheme="majorHAnsi" w:hAnsiTheme="majorHAnsi" w:cstheme="majorHAnsi"/>
                <w:b w:val="0"/>
                <w:noProof/>
                <w:lang w:val="vi-VN"/>
              </w:rPr>
              <w:t>13.64</w:t>
            </w:r>
          </w:p>
        </w:tc>
      </w:tr>
    </w:tbl>
    <w:p w14:paraId="3F379069" w14:textId="77777777" w:rsidR="00F03BF0" w:rsidRPr="00527C38" w:rsidRDefault="00F03BF0" w:rsidP="000169CB">
      <w:pPr>
        <w:pStyle w:val="Tiumc"/>
        <w:rPr>
          <w:rFonts w:asciiTheme="majorHAnsi" w:hAnsiTheme="majorHAnsi" w:cstheme="majorHAnsi"/>
          <w:noProof/>
        </w:rPr>
        <w:sectPr w:rsidR="00F03BF0" w:rsidRPr="00527C38" w:rsidSect="003205C1">
          <w:type w:val="continuous"/>
          <w:pgSz w:w="11906" w:h="16838"/>
          <w:pgMar w:top="1134" w:right="1134" w:bottom="1134" w:left="1418" w:header="709" w:footer="709" w:gutter="0"/>
          <w:cols w:space="708"/>
          <w:docGrid w:linePitch="360"/>
        </w:sectPr>
      </w:pPr>
    </w:p>
    <w:p w14:paraId="118F0479" w14:textId="2069658E" w:rsidR="00EB66D7" w:rsidRPr="00527C38" w:rsidRDefault="00EB66D7" w:rsidP="00F03BF0">
      <w:pPr>
        <w:pStyle w:val="Tiumc"/>
        <w:rPr>
          <w:rFonts w:asciiTheme="majorHAnsi" w:hAnsiTheme="majorHAnsi" w:cstheme="majorHAnsi"/>
          <w:noProof/>
        </w:rPr>
      </w:pPr>
      <w:r w:rsidRPr="00527C38">
        <w:rPr>
          <w:rFonts w:asciiTheme="majorHAnsi" w:hAnsiTheme="majorHAnsi" w:cstheme="majorHAnsi"/>
          <w:noProof/>
        </w:rPr>
        <w:t>4.2.</w:t>
      </w:r>
      <w:r w:rsidR="00F509F0" w:rsidRPr="00527C38">
        <w:rPr>
          <w:rFonts w:asciiTheme="majorHAnsi" w:hAnsiTheme="majorHAnsi" w:cstheme="majorHAnsi"/>
          <w:noProof/>
        </w:rPr>
        <w:t xml:space="preserve"> Regression Results of the Research Model</w:t>
      </w:r>
    </w:p>
    <w:p w14:paraId="70E38C2B" w14:textId="2A7B9D96" w:rsidR="00DC58EA" w:rsidRPr="00527C38" w:rsidRDefault="00DC58EA" w:rsidP="00DC58EA">
      <w:pPr>
        <w:pStyle w:val="Nidungbibo"/>
        <w:rPr>
          <w:noProof/>
          <w:lang w:val="en-US"/>
        </w:rPr>
      </w:pPr>
      <w:r w:rsidRPr="00527C38">
        <w:rPr>
          <w:noProof/>
          <w:lang w:val="en-US"/>
        </w:rPr>
        <w:t xml:space="preserve">Table 4 presents the empirical results examining the relationship between financial distress and earnings management among </w:t>
      </w:r>
      <w:r w:rsidRPr="00527C38">
        <w:rPr>
          <w:noProof/>
          <w:lang w:val="en-US"/>
        </w:rPr>
        <w:t>Vietnamese listed firms. The coefficient of the financial distress variable (Z-score) is positive and statistically significant at the 1% level in the accrual</w:t>
      </w:r>
      <w:r w:rsidR="004C6136" w:rsidRPr="00527C38">
        <w:rPr>
          <w:noProof/>
          <w:lang w:val="en-US"/>
        </w:rPr>
        <w:t xml:space="preserve"> </w:t>
      </w:r>
      <w:r w:rsidRPr="00527C38">
        <w:rPr>
          <w:noProof/>
          <w:lang w:val="en-US"/>
        </w:rPr>
        <w:t xml:space="preserve">based earnings management model (DA), </w:t>
      </w:r>
      <w:r w:rsidRPr="00527C38">
        <w:rPr>
          <w:noProof/>
          <w:lang w:val="en-US"/>
        </w:rPr>
        <w:lastRenderedPageBreak/>
        <w:t>while it is negative and significant across all real earnings management models (Ab_PROD, Ab_CFO, and Ab_SGA).</w:t>
      </w:r>
    </w:p>
    <w:p w14:paraId="69DEFFC6" w14:textId="6C2F8C85" w:rsidR="00DC58EA" w:rsidRPr="00527C38" w:rsidRDefault="00DC58EA" w:rsidP="00DC58EA">
      <w:pPr>
        <w:pStyle w:val="Nidungbibo"/>
        <w:rPr>
          <w:noProof/>
          <w:lang w:val="en-US"/>
        </w:rPr>
      </w:pPr>
      <w:r w:rsidRPr="00527C38">
        <w:rPr>
          <w:noProof/>
          <w:lang w:val="en-US"/>
        </w:rPr>
        <w:t>Specifically, in the DA model, the coefficient on Z-score (0.0188, p &lt; 0.01) indicates that firms with stronger financial positions</w:t>
      </w:r>
      <w:r w:rsidR="004C6136" w:rsidRPr="00527C38">
        <w:rPr>
          <w:noProof/>
          <w:lang w:val="en-US"/>
        </w:rPr>
        <w:t xml:space="preserve"> </w:t>
      </w:r>
      <w:r w:rsidRPr="00527C38">
        <w:rPr>
          <w:noProof/>
          <w:lang w:val="en-US"/>
        </w:rPr>
        <w:t>reflected by higher Z-scores</w:t>
      </w:r>
      <w:r w:rsidR="004C6136" w:rsidRPr="00527C38">
        <w:rPr>
          <w:noProof/>
          <w:lang w:val="en-US"/>
        </w:rPr>
        <w:t xml:space="preserve"> </w:t>
      </w:r>
      <w:r w:rsidRPr="00527C38">
        <w:rPr>
          <w:noProof/>
          <w:lang w:val="en-US"/>
        </w:rPr>
        <w:t>tend to engage more actively in accrual</w:t>
      </w:r>
      <w:r w:rsidR="004C6136" w:rsidRPr="00527C38">
        <w:rPr>
          <w:noProof/>
          <w:lang w:val="en-US"/>
        </w:rPr>
        <w:t xml:space="preserve"> </w:t>
      </w:r>
      <w:r w:rsidRPr="00527C38">
        <w:rPr>
          <w:noProof/>
          <w:lang w:val="en-US"/>
        </w:rPr>
        <w:t xml:space="preserve">based adjustments. In contrast, the negative coefficients in Ab_PROD (–0.0228, p &lt; 0.01), Ab_CFO (–0.0073, p &lt; 0.05), and Ab_SGA (–0.0073, p &lt; 0.01) imply that firms experiencing greater financial pressure (lower Z-scores) are more </w:t>
      </w:r>
      <w:r w:rsidRPr="00527C38">
        <w:rPr>
          <w:noProof/>
          <w:lang w:val="en-US"/>
        </w:rPr>
        <w:t>likely to manage earnings through real operational activities.</w:t>
      </w:r>
    </w:p>
    <w:p w14:paraId="51ABD6EC" w14:textId="62716918" w:rsidR="00F03BF0" w:rsidRPr="00527C38" w:rsidRDefault="00DC58EA" w:rsidP="00DC58EA">
      <w:pPr>
        <w:pStyle w:val="Nidungbibo"/>
        <w:rPr>
          <w:noProof/>
          <w:lang w:val="en-US"/>
        </w:rPr>
        <w:sectPr w:rsidR="00F03BF0" w:rsidRPr="00527C38" w:rsidSect="00F03BF0">
          <w:type w:val="continuous"/>
          <w:pgSz w:w="11906" w:h="16838"/>
          <w:pgMar w:top="1134" w:right="1134" w:bottom="1134" w:left="1418" w:header="709" w:footer="709" w:gutter="0"/>
          <w:cols w:num="2" w:space="708"/>
          <w:docGrid w:linePitch="360"/>
        </w:sectPr>
      </w:pPr>
      <w:r w:rsidRPr="00527C38">
        <w:rPr>
          <w:noProof/>
          <w:lang w:val="en-US"/>
        </w:rPr>
        <w:t>Taken together, these results suggest a substitution effect between accrual</w:t>
      </w:r>
      <w:r w:rsidR="004C6136" w:rsidRPr="00527C38">
        <w:rPr>
          <w:noProof/>
          <w:lang w:val="en-US"/>
        </w:rPr>
        <w:t xml:space="preserve"> </w:t>
      </w:r>
      <w:r w:rsidRPr="00527C38">
        <w:rPr>
          <w:noProof/>
          <w:lang w:val="en-US"/>
        </w:rPr>
        <w:t>based and real earnings management. Financially healthy firms tend to rely on accounting</w:t>
      </w:r>
      <w:r w:rsidR="004C6136" w:rsidRPr="00527C38">
        <w:rPr>
          <w:noProof/>
          <w:lang w:val="en-US"/>
        </w:rPr>
        <w:t xml:space="preserve"> </w:t>
      </w:r>
      <w:r w:rsidRPr="00527C38">
        <w:rPr>
          <w:noProof/>
          <w:lang w:val="en-US"/>
        </w:rPr>
        <w:t>based mechanisms, which are less disruptive to actual operations, whereas financially constrained firms manipulate real activities</w:t>
      </w:r>
      <w:r w:rsidR="004C6136" w:rsidRPr="00527C38">
        <w:rPr>
          <w:noProof/>
          <w:lang w:val="en-US"/>
        </w:rPr>
        <w:t xml:space="preserve"> </w:t>
      </w:r>
      <w:r w:rsidRPr="00527C38">
        <w:rPr>
          <w:noProof/>
          <w:lang w:val="en-US"/>
        </w:rPr>
        <w:t>such as production levels, sales policies, or discretionary expenditures</w:t>
      </w:r>
      <w:r w:rsidR="004C6136" w:rsidRPr="00527C38">
        <w:rPr>
          <w:noProof/>
          <w:lang w:val="en-US"/>
        </w:rPr>
        <w:t xml:space="preserve"> </w:t>
      </w:r>
      <w:r w:rsidRPr="00527C38">
        <w:rPr>
          <w:noProof/>
          <w:lang w:val="en-US"/>
        </w:rPr>
        <w:t>to sustain short</w:t>
      </w:r>
      <w:r w:rsidR="004C6136" w:rsidRPr="00527C38">
        <w:rPr>
          <w:noProof/>
          <w:lang w:val="en-US"/>
        </w:rPr>
        <w:t xml:space="preserve"> </w:t>
      </w:r>
      <w:r w:rsidRPr="00527C38">
        <w:rPr>
          <w:noProof/>
          <w:lang w:val="en-US"/>
        </w:rPr>
        <w:t>term profitability and convey a stable financial outlook to investors and creditors.</w:t>
      </w:r>
    </w:p>
    <w:p w14:paraId="607F6A96" w14:textId="77777777" w:rsidR="00F240B5" w:rsidRPr="00527C38" w:rsidRDefault="00F240B5" w:rsidP="005E295C">
      <w:pPr>
        <w:pStyle w:val="Tnbng"/>
        <w:rPr>
          <w:lang w:val="en-US"/>
        </w:rPr>
      </w:pPr>
    </w:p>
    <w:p w14:paraId="0C5D210C" w14:textId="16ACCC82" w:rsidR="003205C1" w:rsidRPr="00527C38" w:rsidRDefault="75F91E44" w:rsidP="004647A7">
      <w:pPr>
        <w:pStyle w:val="Tnbng"/>
        <w:jc w:val="center"/>
        <w:rPr>
          <w:lang w:val="en-US"/>
        </w:rPr>
      </w:pPr>
      <w:r w:rsidRPr="00527C38">
        <w:rPr>
          <w:lang w:val="en-US"/>
        </w:rPr>
        <w:t>Table 4.</w:t>
      </w:r>
      <w:r w:rsidR="003205C1" w:rsidRPr="00527C38">
        <w:rPr>
          <w:lang w:val="en-US"/>
        </w:rPr>
        <w:t xml:space="preserve"> </w:t>
      </w:r>
      <w:r w:rsidR="000430FD" w:rsidRPr="00527C38">
        <w:rPr>
          <w:noProof/>
        </w:rPr>
        <w:t>Regression Results</w:t>
      </w:r>
    </w:p>
    <w:tbl>
      <w:tblPr>
        <w:tblW w:w="5000" w:type="pct"/>
        <w:jc w:val="center"/>
        <w:tblCellMar>
          <w:left w:w="75" w:type="dxa"/>
          <w:right w:w="75" w:type="dxa"/>
        </w:tblCellMar>
        <w:tblLook w:val="0000" w:firstRow="0" w:lastRow="0" w:firstColumn="0" w:lastColumn="0" w:noHBand="0" w:noVBand="0"/>
      </w:tblPr>
      <w:tblGrid>
        <w:gridCol w:w="3336"/>
        <w:gridCol w:w="1609"/>
        <w:gridCol w:w="1401"/>
        <w:gridCol w:w="1474"/>
        <w:gridCol w:w="1534"/>
      </w:tblGrid>
      <w:tr w:rsidR="00207AC1" w:rsidRPr="00527C38" w14:paraId="082D3268" w14:textId="77777777" w:rsidTr="000A1478">
        <w:trPr>
          <w:tblHeader/>
          <w:jc w:val="center"/>
        </w:trPr>
        <w:tc>
          <w:tcPr>
            <w:tcW w:w="1783" w:type="pct"/>
            <w:tcBorders>
              <w:top w:val="single" w:sz="4" w:space="0" w:color="auto"/>
              <w:left w:val="nil"/>
              <w:bottom w:val="single" w:sz="6" w:space="0" w:color="auto"/>
              <w:right w:val="nil"/>
            </w:tcBorders>
          </w:tcPr>
          <w:p w14:paraId="5DDE97DD" w14:textId="3F98AF52" w:rsidR="000A1478" w:rsidRPr="00527C38" w:rsidRDefault="001E60B9" w:rsidP="000A1478">
            <w:pPr>
              <w:widowControl w:val="0"/>
              <w:autoSpaceDE w:val="0"/>
              <w:autoSpaceDN w:val="0"/>
              <w:adjustRightInd w:val="0"/>
              <w:spacing w:after="0" w:line="240" w:lineRule="auto"/>
              <w:rPr>
                <w:rFonts w:asciiTheme="majorHAnsi" w:hAnsiTheme="majorHAnsi" w:cstheme="majorHAnsi"/>
                <w:lang w:val="en-US"/>
              </w:rPr>
            </w:pPr>
            <w:r w:rsidRPr="00527C38">
              <w:rPr>
                <w:rFonts w:asciiTheme="majorHAnsi" w:hAnsiTheme="majorHAnsi" w:cstheme="majorHAnsi"/>
                <w:lang w:val="en-US"/>
              </w:rPr>
              <w:t>Variable</w:t>
            </w:r>
          </w:p>
        </w:tc>
        <w:tc>
          <w:tcPr>
            <w:tcW w:w="860" w:type="pct"/>
            <w:tcBorders>
              <w:top w:val="single" w:sz="4" w:space="0" w:color="auto"/>
              <w:left w:val="nil"/>
              <w:bottom w:val="single" w:sz="6" w:space="0" w:color="auto"/>
              <w:right w:val="nil"/>
            </w:tcBorders>
          </w:tcPr>
          <w:p w14:paraId="3F74DF1D"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DA</w:t>
            </w:r>
          </w:p>
        </w:tc>
        <w:tc>
          <w:tcPr>
            <w:tcW w:w="749" w:type="pct"/>
            <w:tcBorders>
              <w:top w:val="single" w:sz="4" w:space="0" w:color="auto"/>
              <w:left w:val="nil"/>
              <w:bottom w:val="single" w:sz="6" w:space="0" w:color="auto"/>
              <w:right w:val="nil"/>
            </w:tcBorders>
          </w:tcPr>
          <w:p w14:paraId="01A02F9C"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Ab_PROD</w:t>
            </w:r>
          </w:p>
        </w:tc>
        <w:tc>
          <w:tcPr>
            <w:tcW w:w="788" w:type="pct"/>
            <w:tcBorders>
              <w:top w:val="single" w:sz="4" w:space="0" w:color="auto"/>
              <w:left w:val="nil"/>
              <w:bottom w:val="single" w:sz="6" w:space="0" w:color="auto"/>
              <w:right w:val="nil"/>
            </w:tcBorders>
          </w:tcPr>
          <w:p w14:paraId="794F1F80"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Ab_CFO</w:t>
            </w:r>
          </w:p>
        </w:tc>
        <w:tc>
          <w:tcPr>
            <w:tcW w:w="820" w:type="pct"/>
            <w:tcBorders>
              <w:top w:val="single" w:sz="4" w:space="0" w:color="auto"/>
              <w:left w:val="nil"/>
              <w:bottom w:val="single" w:sz="6" w:space="0" w:color="auto"/>
              <w:right w:val="nil"/>
            </w:tcBorders>
          </w:tcPr>
          <w:p w14:paraId="6B787BAB"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Ab_SGA</w:t>
            </w:r>
          </w:p>
        </w:tc>
      </w:tr>
      <w:tr w:rsidR="00207AC1" w:rsidRPr="00527C38" w14:paraId="55EEBEA3" w14:textId="77777777" w:rsidTr="000A1478">
        <w:trPr>
          <w:jc w:val="center"/>
        </w:trPr>
        <w:tc>
          <w:tcPr>
            <w:tcW w:w="1783" w:type="pct"/>
            <w:tcBorders>
              <w:top w:val="nil"/>
              <w:left w:val="nil"/>
              <w:bottom w:val="nil"/>
              <w:right w:val="nil"/>
            </w:tcBorders>
          </w:tcPr>
          <w:p w14:paraId="48F366D2"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3CBC521E"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FA71BD9"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68E40A3A"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694E55"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0B8550FD" w14:textId="77777777" w:rsidTr="000A1478">
        <w:trPr>
          <w:jc w:val="center"/>
        </w:trPr>
        <w:tc>
          <w:tcPr>
            <w:tcW w:w="1783" w:type="pct"/>
            <w:tcBorders>
              <w:top w:val="nil"/>
              <w:left w:val="nil"/>
              <w:bottom w:val="nil"/>
              <w:right w:val="nil"/>
            </w:tcBorders>
          </w:tcPr>
          <w:p w14:paraId="4314500D"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L.DA</w:t>
            </w:r>
          </w:p>
        </w:tc>
        <w:tc>
          <w:tcPr>
            <w:tcW w:w="860" w:type="pct"/>
            <w:tcBorders>
              <w:top w:val="nil"/>
              <w:left w:val="nil"/>
              <w:bottom w:val="nil"/>
              <w:right w:val="nil"/>
            </w:tcBorders>
          </w:tcPr>
          <w:p w14:paraId="7D4FDE95" w14:textId="349DD320"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413***</w:t>
            </w:r>
          </w:p>
        </w:tc>
        <w:tc>
          <w:tcPr>
            <w:tcW w:w="749" w:type="pct"/>
            <w:tcBorders>
              <w:top w:val="nil"/>
              <w:left w:val="nil"/>
              <w:bottom w:val="nil"/>
              <w:right w:val="nil"/>
            </w:tcBorders>
          </w:tcPr>
          <w:p w14:paraId="7C1AEE7D"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03C350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10CC5FD6"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7C1867C8" w14:textId="77777777" w:rsidTr="000A1478">
        <w:trPr>
          <w:jc w:val="center"/>
        </w:trPr>
        <w:tc>
          <w:tcPr>
            <w:tcW w:w="1783" w:type="pct"/>
            <w:tcBorders>
              <w:top w:val="nil"/>
              <w:left w:val="nil"/>
              <w:bottom w:val="nil"/>
              <w:right w:val="nil"/>
            </w:tcBorders>
          </w:tcPr>
          <w:p w14:paraId="1480AEE3"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7C1FE0D" w14:textId="51555BC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(8</w:t>
            </w:r>
            <w:r w:rsidR="009E389E" w:rsidRPr="00527C38">
              <w:rPr>
                <w:rFonts w:asciiTheme="majorHAnsi" w:hAnsiTheme="majorHAnsi" w:cstheme="majorHAnsi"/>
                <w:highlight w:val="yellow"/>
              </w:rPr>
              <w:t>.</w:t>
            </w:r>
            <w:r w:rsidRPr="00527C38">
              <w:rPr>
                <w:rFonts w:asciiTheme="majorHAnsi" w:hAnsiTheme="majorHAnsi" w:cstheme="majorHAnsi"/>
              </w:rPr>
              <w:t>806)</w:t>
            </w:r>
          </w:p>
        </w:tc>
        <w:tc>
          <w:tcPr>
            <w:tcW w:w="749" w:type="pct"/>
            <w:tcBorders>
              <w:top w:val="nil"/>
              <w:left w:val="nil"/>
              <w:bottom w:val="nil"/>
              <w:right w:val="nil"/>
            </w:tcBorders>
          </w:tcPr>
          <w:p w14:paraId="583C0C6B"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12B53A98"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D9584E7"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0F460BA7" w14:textId="77777777" w:rsidTr="00C46488">
        <w:trPr>
          <w:jc w:val="center"/>
        </w:trPr>
        <w:tc>
          <w:tcPr>
            <w:tcW w:w="1783" w:type="pct"/>
            <w:tcBorders>
              <w:top w:val="nil"/>
              <w:left w:val="nil"/>
              <w:bottom w:val="nil"/>
              <w:right w:val="nil"/>
            </w:tcBorders>
          </w:tcPr>
          <w:p w14:paraId="74D772FA"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L.Ab_PROD</w:t>
            </w:r>
          </w:p>
        </w:tc>
        <w:tc>
          <w:tcPr>
            <w:tcW w:w="860" w:type="pct"/>
            <w:tcBorders>
              <w:top w:val="nil"/>
              <w:left w:val="nil"/>
              <w:bottom w:val="nil"/>
              <w:right w:val="nil"/>
            </w:tcBorders>
          </w:tcPr>
          <w:p w14:paraId="0862C5D4"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04C03CC" w14:textId="2602ED14"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0807*</w:t>
            </w:r>
          </w:p>
        </w:tc>
        <w:tc>
          <w:tcPr>
            <w:tcW w:w="788" w:type="pct"/>
            <w:tcBorders>
              <w:top w:val="nil"/>
              <w:left w:val="nil"/>
              <w:bottom w:val="nil"/>
              <w:right w:val="nil"/>
            </w:tcBorders>
          </w:tcPr>
          <w:p w14:paraId="0F3A8247"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52A4971D"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66D17CF5" w14:textId="77777777" w:rsidTr="00C46488">
        <w:trPr>
          <w:jc w:val="center"/>
        </w:trPr>
        <w:tc>
          <w:tcPr>
            <w:tcW w:w="1783" w:type="pct"/>
            <w:tcBorders>
              <w:top w:val="nil"/>
              <w:left w:val="nil"/>
              <w:bottom w:val="nil"/>
              <w:right w:val="nil"/>
            </w:tcBorders>
          </w:tcPr>
          <w:p w14:paraId="0D39D086"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E0169C3"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74349D0" w14:textId="1BE98308"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783)</w:t>
            </w:r>
          </w:p>
        </w:tc>
        <w:tc>
          <w:tcPr>
            <w:tcW w:w="788" w:type="pct"/>
            <w:tcBorders>
              <w:top w:val="nil"/>
              <w:left w:val="nil"/>
              <w:bottom w:val="nil"/>
              <w:right w:val="nil"/>
            </w:tcBorders>
          </w:tcPr>
          <w:p w14:paraId="0B7380AA"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691BB3E6"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561E057C" w14:textId="77777777" w:rsidTr="00C46488">
        <w:trPr>
          <w:jc w:val="center"/>
        </w:trPr>
        <w:tc>
          <w:tcPr>
            <w:tcW w:w="1783" w:type="pct"/>
            <w:tcBorders>
              <w:top w:val="nil"/>
              <w:left w:val="nil"/>
              <w:bottom w:val="nil"/>
              <w:right w:val="nil"/>
            </w:tcBorders>
          </w:tcPr>
          <w:p w14:paraId="0DB3AD41"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L.Ab_CFO</w:t>
            </w:r>
          </w:p>
        </w:tc>
        <w:tc>
          <w:tcPr>
            <w:tcW w:w="860" w:type="pct"/>
            <w:tcBorders>
              <w:top w:val="nil"/>
              <w:left w:val="nil"/>
              <w:bottom w:val="nil"/>
              <w:right w:val="nil"/>
            </w:tcBorders>
          </w:tcPr>
          <w:p w14:paraId="410A5FD2"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460AC086"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588A83A" w14:textId="0B9A52F1"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129***</w:t>
            </w:r>
          </w:p>
        </w:tc>
        <w:tc>
          <w:tcPr>
            <w:tcW w:w="820" w:type="pct"/>
            <w:tcBorders>
              <w:top w:val="nil"/>
              <w:left w:val="nil"/>
              <w:bottom w:val="nil"/>
              <w:right w:val="nil"/>
            </w:tcBorders>
          </w:tcPr>
          <w:p w14:paraId="06AA80DB"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2502570E" w14:textId="77777777" w:rsidTr="00C46488">
        <w:trPr>
          <w:jc w:val="center"/>
        </w:trPr>
        <w:tc>
          <w:tcPr>
            <w:tcW w:w="1783" w:type="pct"/>
            <w:tcBorders>
              <w:top w:val="nil"/>
              <w:left w:val="nil"/>
              <w:bottom w:val="nil"/>
              <w:right w:val="nil"/>
            </w:tcBorders>
          </w:tcPr>
          <w:p w14:paraId="58C53B2A"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17BA149"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EE73DFF"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8421643" w14:textId="749540ED"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(-7</w:t>
            </w:r>
            <w:r w:rsidR="009E389E" w:rsidRPr="00527C38">
              <w:rPr>
                <w:rFonts w:asciiTheme="majorHAnsi" w:hAnsiTheme="majorHAnsi" w:cstheme="majorHAnsi"/>
                <w:highlight w:val="yellow"/>
              </w:rPr>
              <w:t>.</w:t>
            </w:r>
            <w:r w:rsidRPr="00527C38">
              <w:rPr>
                <w:rFonts w:asciiTheme="majorHAnsi" w:hAnsiTheme="majorHAnsi" w:cstheme="majorHAnsi"/>
              </w:rPr>
              <w:t>192)</w:t>
            </w:r>
          </w:p>
        </w:tc>
        <w:tc>
          <w:tcPr>
            <w:tcW w:w="820" w:type="pct"/>
            <w:tcBorders>
              <w:top w:val="nil"/>
              <w:left w:val="nil"/>
              <w:bottom w:val="nil"/>
              <w:right w:val="nil"/>
            </w:tcBorders>
          </w:tcPr>
          <w:p w14:paraId="0A5CCBC7"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270BF52C" w14:textId="77777777" w:rsidTr="00C46488">
        <w:trPr>
          <w:jc w:val="center"/>
        </w:trPr>
        <w:tc>
          <w:tcPr>
            <w:tcW w:w="1783" w:type="pct"/>
            <w:tcBorders>
              <w:top w:val="nil"/>
              <w:left w:val="nil"/>
              <w:bottom w:val="nil"/>
              <w:right w:val="nil"/>
            </w:tcBorders>
          </w:tcPr>
          <w:p w14:paraId="65D26BAE"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L.Ab_SGA</w:t>
            </w:r>
          </w:p>
        </w:tc>
        <w:tc>
          <w:tcPr>
            <w:tcW w:w="860" w:type="pct"/>
            <w:tcBorders>
              <w:top w:val="nil"/>
              <w:left w:val="nil"/>
              <w:bottom w:val="nil"/>
              <w:right w:val="nil"/>
            </w:tcBorders>
          </w:tcPr>
          <w:p w14:paraId="5479E9DF"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640DECEC"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0546FC92"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54108F" w14:textId="27807E00"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747***</w:t>
            </w:r>
          </w:p>
        </w:tc>
      </w:tr>
      <w:tr w:rsidR="00207AC1" w:rsidRPr="00527C38" w14:paraId="53363FD6" w14:textId="77777777" w:rsidTr="00C46488">
        <w:trPr>
          <w:jc w:val="center"/>
        </w:trPr>
        <w:tc>
          <w:tcPr>
            <w:tcW w:w="1783" w:type="pct"/>
            <w:tcBorders>
              <w:top w:val="nil"/>
              <w:left w:val="nil"/>
              <w:bottom w:val="nil"/>
              <w:right w:val="nil"/>
            </w:tcBorders>
          </w:tcPr>
          <w:p w14:paraId="764903C8" w14:textId="77777777" w:rsidR="00344F33" w:rsidRPr="00527C38"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A22F6E8"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A6707CF"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DA36EC2" w14:textId="77777777"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1DCEB28" w14:textId="39757299" w:rsidR="00344F33" w:rsidRPr="00527C38" w:rsidRDefault="00344F33" w:rsidP="00C4648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(32</w:t>
            </w:r>
            <w:r w:rsidR="009E389E" w:rsidRPr="00527C38">
              <w:rPr>
                <w:rFonts w:asciiTheme="majorHAnsi" w:hAnsiTheme="majorHAnsi" w:cstheme="majorHAnsi"/>
                <w:highlight w:val="yellow"/>
              </w:rPr>
              <w:t>.</w:t>
            </w:r>
            <w:r w:rsidRPr="00527C38">
              <w:rPr>
                <w:rFonts w:asciiTheme="majorHAnsi" w:hAnsiTheme="majorHAnsi" w:cstheme="majorHAnsi"/>
              </w:rPr>
              <w:t>84)</w:t>
            </w:r>
          </w:p>
        </w:tc>
      </w:tr>
      <w:tr w:rsidR="00207AC1" w:rsidRPr="00527C38" w14:paraId="40E23D60" w14:textId="77777777" w:rsidTr="000A1478">
        <w:trPr>
          <w:jc w:val="center"/>
        </w:trPr>
        <w:tc>
          <w:tcPr>
            <w:tcW w:w="1783" w:type="pct"/>
            <w:tcBorders>
              <w:top w:val="nil"/>
              <w:left w:val="nil"/>
              <w:bottom w:val="nil"/>
              <w:right w:val="nil"/>
            </w:tcBorders>
          </w:tcPr>
          <w:p w14:paraId="4F526A01" w14:textId="7682395C"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Z</w:t>
            </w:r>
            <w:r w:rsidR="00C05DD4" w:rsidRPr="00527C38">
              <w:rPr>
                <w:rFonts w:asciiTheme="majorHAnsi" w:hAnsiTheme="majorHAnsi" w:cstheme="majorHAnsi"/>
                <w:lang w:val="en-US"/>
              </w:rPr>
              <w:t>-</w:t>
            </w:r>
            <w:r w:rsidRPr="00527C38">
              <w:rPr>
                <w:rFonts w:asciiTheme="majorHAnsi" w:hAnsiTheme="majorHAnsi" w:cstheme="majorHAnsi"/>
              </w:rPr>
              <w:t>score</w:t>
            </w:r>
          </w:p>
        </w:tc>
        <w:tc>
          <w:tcPr>
            <w:tcW w:w="860" w:type="pct"/>
            <w:tcBorders>
              <w:top w:val="nil"/>
              <w:left w:val="nil"/>
              <w:bottom w:val="nil"/>
              <w:right w:val="nil"/>
            </w:tcBorders>
          </w:tcPr>
          <w:p w14:paraId="27B97611" w14:textId="260139A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0188***</w:t>
            </w:r>
          </w:p>
        </w:tc>
        <w:tc>
          <w:tcPr>
            <w:tcW w:w="749" w:type="pct"/>
            <w:tcBorders>
              <w:top w:val="nil"/>
              <w:left w:val="nil"/>
              <w:bottom w:val="nil"/>
              <w:right w:val="nil"/>
            </w:tcBorders>
          </w:tcPr>
          <w:p w14:paraId="10F32B84" w14:textId="7D50104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0228***</w:t>
            </w:r>
          </w:p>
        </w:tc>
        <w:tc>
          <w:tcPr>
            <w:tcW w:w="788" w:type="pct"/>
            <w:tcBorders>
              <w:top w:val="nil"/>
              <w:left w:val="nil"/>
              <w:bottom w:val="nil"/>
              <w:right w:val="nil"/>
            </w:tcBorders>
          </w:tcPr>
          <w:p w14:paraId="5BD9296A" w14:textId="42153D8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00732**</w:t>
            </w:r>
          </w:p>
        </w:tc>
        <w:tc>
          <w:tcPr>
            <w:tcW w:w="820" w:type="pct"/>
            <w:tcBorders>
              <w:top w:val="nil"/>
              <w:left w:val="nil"/>
              <w:bottom w:val="nil"/>
              <w:right w:val="nil"/>
            </w:tcBorders>
          </w:tcPr>
          <w:p w14:paraId="3516A5C5" w14:textId="4EE4174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00732***</w:t>
            </w:r>
          </w:p>
        </w:tc>
      </w:tr>
      <w:tr w:rsidR="00207AC1" w:rsidRPr="00527C38" w14:paraId="473F8EF3" w14:textId="77777777" w:rsidTr="000A1478">
        <w:trPr>
          <w:jc w:val="center"/>
        </w:trPr>
        <w:tc>
          <w:tcPr>
            <w:tcW w:w="1783" w:type="pct"/>
            <w:tcBorders>
              <w:top w:val="nil"/>
              <w:left w:val="nil"/>
              <w:bottom w:val="nil"/>
              <w:right w:val="nil"/>
            </w:tcBorders>
          </w:tcPr>
          <w:p w14:paraId="4259584D"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89D664C" w14:textId="58E2E726"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(3</w:t>
            </w:r>
            <w:r w:rsidR="009E389E" w:rsidRPr="00527C38">
              <w:rPr>
                <w:rFonts w:asciiTheme="majorHAnsi" w:hAnsiTheme="majorHAnsi" w:cstheme="majorHAnsi"/>
                <w:highlight w:val="yellow"/>
              </w:rPr>
              <w:t>.</w:t>
            </w:r>
            <w:r w:rsidRPr="00527C38">
              <w:rPr>
                <w:rFonts w:asciiTheme="majorHAnsi" w:hAnsiTheme="majorHAnsi" w:cstheme="majorHAnsi"/>
              </w:rPr>
              <w:t>683)</w:t>
            </w:r>
          </w:p>
        </w:tc>
        <w:tc>
          <w:tcPr>
            <w:tcW w:w="749" w:type="pct"/>
            <w:tcBorders>
              <w:top w:val="nil"/>
              <w:left w:val="nil"/>
              <w:bottom w:val="nil"/>
              <w:right w:val="nil"/>
            </w:tcBorders>
          </w:tcPr>
          <w:p w14:paraId="496A7A21" w14:textId="584D9416"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878)</w:t>
            </w:r>
          </w:p>
        </w:tc>
        <w:tc>
          <w:tcPr>
            <w:tcW w:w="788" w:type="pct"/>
            <w:tcBorders>
              <w:top w:val="nil"/>
              <w:left w:val="nil"/>
              <w:bottom w:val="nil"/>
              <w:right w:val="nil"/>
            </w:tcBorders>
          </w:tcPr>
          <w:p w14:paraId="14DC1C08" w14:textId="60AC1466"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273)</w:t>
            </w:r>
          </w:p>
        </w:tc>
        <w:tc>
          <w:tcPr>
            <w:tcW w:w="820" w:type="pct"/>
            <w:tcBorders>
              <w:top w:val="nil"/>
              <w:left w:val="nil"/>
              <w:bottom w:val="nil"/>
              <w:right w:val="nil"/>
            </w:tcBorders>
          </w:tcPr>
          <w:p w14:paraId="5B2C22CA" w14:textId="7FB7CC5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w:t>
            </w:r>
            <w:r w:rsidR="009E389E" w:rsidRPr="00527C38">
              <w:rPr>
                <w:rFonts w:asciiTheme="majorHAnsi" w:hAnsiTheme="majorHAnsi" w:cstheme="majorHAnsi"/>
                <w:highlight w:val="yellow"/>
              </w:rPr>
              <w:t>.</w:t>
            </w:r>
            <w:r w:rsidRPr="00527C38">
              <w:rPr>
                <w:rFonts w:asciiTheme="majorHAnsi" w:hAnsiTheme="majorHAnsi" w:cstheme="majorHAnsi"/>
              </w:rPr>
              <w:t>648)</w:t>
            </w:r>
          </w:p>
        </w:tc>
      </w:tr>
      <w:tr w:rsidR="00207AC1" w:rsidRPr="00527C38" w14:paraId="0AEF2BE3" w14:textId="77777777" w:rsidTr="000A1478">
        <w:trPr>
          <w:jc w:val="center"/>
        </w:trPr>
        <w:tc>
          <w:tcPr>
            <w:tcW w:w="1783" w:type="pct"/>
            <w:tcBorders>
              <w:top w:val="nil"/>
              <w:left w:val="nil"/>
              <w:bottom w:val="nil"/>
              <w:right w:val="nil"/>
            </w:tcBorders>
          </w:tcPr>
          <w:p w14:paraId="6C5BEBDF"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FS</w:t>
            </w:r>
          </w:p>
        </w:tc>
        <w:tc>
          <w:tcPr>
            <w:tcW w:w="860" w:type="pct"/>
            <w:tcBorders>
              <w:top w:val="nil"/>
              <w:left w:val="nil"/>
              <w:bottom w:val="nil"/>
              <w:right w:val="nil"/>
            </w:tcBorders>
          </w:tcPr>
          <w:p w14:paraId="1D74C3EC" w14:textId="73B31D2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0949***</w:t>
            </w:r>
          </w:p>
        </w:tc>
        <w:tc>
          <w:tcPr>
            <w:tcW w:w="749" w:type="pct"/>
            <w:tcBorders>
              <w:top w:val="nil"/>
              <w:left w:val="nil"/>
              <w:bottom w:val="nil"/>
              <w:right w:val="nil"/>
            </w:tcBorders>
          </w:tcPr>
          <w:p w14:paraId="238CFC98" w14:textId="07B788E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183***</w:t>
            </w:r>
          </w:p>
        </w:tc>
        <w:tc>
          <w:tcPr>
            <w:tcW w:w="788" w:type="pct"/>
            <w:tcBorders>
              <w:top w:val="nil"/>
              <w:left w:val="nil"/>
              <w:bottom w:val="nil"/>
              <w:right w:val="nil"/>
            </w:tcBorders>
          </w:tcPr>
          <w:p w14:paraId="72C30E1C" w14:textId="724DC14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0424</w:t>
            </w:r>
          </w:p>
        </w:tc>
        <w:tc>
          <w:tcPr>
            <w:tcW w:w="820" w:type="pct"/>
            <w:tcBorders>
              <w:top w:val="nil"/>
              <w:left w:val="nil"/>
              <w:bottom w:val="nil"/>
              <w:right w:val="nil"/>
            </w:tcBorders>
          </w:tcPr>
          <w:p w14:paraId="40013F88" w14:textId="1A092DD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0280***</w:t>
            </w:r>
          </w:p>
        </w:tc>
      </w:tr>
      <w:tr w:rsidR="00207AC1" w:rsidRPr="00527C38" w14:paraId="713BC882" w14:textId="77777777" w:rsidTr="000A1478">
        <w:trPr>
          <w:jc w:val="center"/>
        </w:trPr>
        <w:tc>
          <w:tcPr>
            <w:tcW w:w="1783" w:type="pct"/>
            <w:tcBorders>
              <w:top w:val="nil"/>
              <w:left w:val="nil"/>
              <w:bottom w:val="nil"/>
              <w:right w:val="nil"/>
            </w:tcBorders>
          </w:tcPr>
          <w:p w14:paraId="14735106"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6F81771" w14:textId="213FBFD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(3</w:t>
            </w:r>
            <w:r w:rsidR="009E389E" w:rsidRPr="00527C38">
              <w:rPr>
                <w:rFonts w:asciiTheme="majorHAnsi" w:hAnsiTheme="majorHAnsi" w:cstheme="majorHAnsi"/>
                <w:highlight w:val="yellow"/>
              </w:rPr>
              <w:t>.</w:t>
            </w:r>
            <w:r w:rsidRPr="00527C38">
              <w:rPr>
                <w:rFonts w:asciiTheme="majorHAnsi" w:hAnsiTheme="majorHAnsi" w:cstheme="majorHAnsi"/>
              </w:rPr>
              <w:t>574)</w:t>
            </w:r>
          </w:p>
        </w:tc>
        <w:tc>
          <w:tcPr>
            <w:tcW w:w="749" w:type="pct"/>
            <w:tcBorders>
              <w:top w:val="nil"/>
              <w:left w:val="nil"/>
              <w:bottom w:val="nil"/>
              <w:right w:val="nil"/>
            </w:tcBorders>
          </w:tcPr>
          <w:p w14:paraId="16A80FBD" w14:textId="773D87F8"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(3</w:t>
            </w:r>
            <w:r w:rsidR="009E389E" w:rsidRPr="00527C38">
              <w:rPr>
                <w:rFonts w:asciiTheme="majorHAnsi" w:hAnsiTheme="majorHAnsi" w:cstheme="majorHAnsi"/>
                <w:highlight w:val="yellow"/>
              </w:rPr>
              <w:t>.</w:t>
            </w:r>
            <w:r w:rsidRPr="00527C38">
              <w:rPr>
                <w:rFonts w:asciiTheme="majorHAnsi" w:hAnsiTheme="majorHAnsi" w:cstheme="majorHAnsi"/>
              </w:rPr>
              <w:t>804)</w:t>
            </w:r>
          </w:p>
        </w:tc>
        <w:tc>
          <w:tcPr>
            <w:tcW w:w="788" w:type="pct"/>
            <w:tcBorders>
              <w:top w:val="nil"/>
              <w:left w:val="nil"/>
              <w:bottom w:val="nil"/>
              <w:right w:val="nil"/>
            </w:tcBorders>
          </w:tcPr>
          <w:p w14:paraId="4870764A" w14:textId="3364F7E9"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599)</w:t>
            </w:r>
          </w:p>
        </w:tc>
        <w:tc>
          <w:tcPr>
            <w:tcW w:w="820" w:type="pct"/>
            <w:tcBorders>
              <w:top w:val="nil"/>
              <w:left w:val="nil"/>
              <w:bottom w:val="nil"/>
              <w:right w:val="nil"/>
            </w:tcBorders>
          </w:tcPr>
          <w:p w14:paraId="1D76CA4E" w14:textId="3D164D8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353)</w:t>
            </w:r>
          </w:p>
        </w:tc>
      </w:tr>
      <w:tr w:rsidR="00207AC1" w:rsidRPr="00527C38" w14:paraId="2C9F1B84" w14:textId="77777777" w:rsidTr="000A1478">
        <w:trPr>
          <w:jc w:val="center"/>
        </w:trPr>
        <w:tc>
          <w:tcPr>
            <w:tcW w:w="1783" w:type="pct"/>
            <w:tcBorders>
              <w:top w:val="nil"/>
              <w:left w:val="nil"/>
              <w:bottom w:val="nil"/>
              <w:right w:val="nil"/>
            </w:tcBorders>
          </w:tcPr>
          <w:p w14:paraId="1D880995"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CR</w:t>
            </w:r>
          </w:p>
        </w:tc>
        <w:tc>
          <w:tcPr>
            <w:tcW w:w="860" w:type="pct"/>
            <w:tcBorders>
              <w:top w:val="nil"/>
              <w:left w:val="nil"/>
              <w:bottom w:val="nil"/>
              <w:right w:val="nil"/>
            </w:tcBorders>
          </w:tcPr>
          <w:p w14:paraId="06E45167" w14:textId="550CD0D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0112**</w:t>
            </w:r>
          </w:p>
        </w:tc>
        <w:tc>
          <w:tcPr>
            <w:tcW w:w="749" w:type="pct"/>
            <w:tcBorders>
              <w:top w:val="nil"/>
              <w:left w:val="nil"/>
              <w:bottom w:val="nil"/>
              <w:right w:val="nil"/>
            </w:tcBorders>
          </w:tcPr>
          <w:p w14:paraId="00139FB5" w14:textId="2F0DA5B8"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00977**</w:t>
            </w:r>
          </w:p>
        </w:tc>
        <w:tc>
          <w:tcPr>
            <w:tcW w:w="788" w:type="pct"/>
            <w:tcBorders>
              <w:top w:val="nil"/>
              <w:left w:val="nil"/>
              <w:bottom w:val="nil"/>
              <w:right w:val="nil"/>
            </w:tcBorders>
          </w:tcPr>
          <w:p w14:paraId="0BE29A94" w14:textId="166ECAE2"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0136</w:t>
            </w:r>
          </w:p>
        </w:tc>
        <w:tc>
          <w:tcPr>
            <w:tcW w:w="820" w:type="pct"/>
            <w:tcBorders>
              <w:top w:val="nil"/>
              <w:left w:val="nil"/>
              <w:bottom w:val="nil"/>
              <w:right w:val="nil"/>
            </w:tcBorders>
          </w:tcPr>
          <w:p w14:paraId="0F50DF9C" w14:textId="0178F48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00133</w:t>
            </w:r>
          </w:p>
        </w:tc>
      </w:tr>
      <w:tr w:rsidR="00207AC1" w:rsidRPr="00527C38" w14:paraId="4A4C6834" w14:textId="77777777" w:rsidTr="000A1478">
        <w:trPr>
          <w:jc w:val="center"/>
        </w:trPr>
        <w:tc>
          <w:tcPr>
            <w:tcW w:w="1783" w:type="pct"/>
            <w:tcBorders>
              <w:top w:val="nil"/>
              <w:left w:val="nil"/>
              <w:bottom w:val="nil"/>
              <w:right w:val="nil"/>
            </w:tcBorders>
          </w:tcPr>
          <w:p w14:paraId="6EEF4EF1"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DB45FD2" w14:textId="6908776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242)</w:t>
            </w:r>
          </w:p>
        </w:tc>
        <w:tc>
          <w:tcPr>
            <w:tcW w:w="749" w:type="pct"/>
            <w:tcBorders>
              <w:top w:val="nil"/>
              <w:left w:val="nil"/>
              <w:bottom w:val="nil"/>
              <w:right w:val="nil"/>
            </w:tcBorders>
          </w:tcPr>
          <w:p w14:paraId="3BCCE743" w14:textId="1619E45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024)</w:t>
            </w:r>
          </w:p>
        </w:tc>
        <w:tc>
          <w:tcPr>
            <w:tcW w:w="788" w:type="pct"/>
            <w:tcBorders>
              <w:top w:val="nil"/>
              <w:left w:val="nil"/>
              <w:bottom w:val="nil"/>
              <w:right w:val="nil"/>
            </w:tcBorders>
          </w:tcPr>
          <w:p w14:paraId="3ED0C570" w14:textId="4F3E161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642)</w:t>
            </w:r>
          </w:p>
        </w:tc>
        <w:tc>
          <w:tcPr>
            <w:tcW w:w="820" w:type="pct"/>
            <w:tcBorders>
              <w:top w:val="nil"/>
              <w:left w:val="nil"/>
              <w:bottom w:val="nil"/>
              <w:right w:val="nil"/>
            </w:tcBorders>
          </w:tcPr>
          <w:p w14:paraId="6A333A31" w14:textId="6D46865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156)</w:t>
            </w:r>
          </w:p>
        </w:tc>
      </w:tr>
      <w:tr w:rsidR="00207AC1" w:rsidRPr="00527C38" w14:paraId="5B497ED6" w14:textId="77777777" w:rsidTr="000A1478">
        <w:trPr>
          <w:jc w:val="center"/>
        </w:trPr>
        <w:tc>
          <w:tcPr>
            <w:tcW w:w="1783" w:type="pct"/>
            <w:tcBorders>
              <w:top w:val="nil"/>
              <w:left w:val="nil"/>
              <w:bottom w:val="nil"/>
              <w:right w:val="nil"/>
            </w:tcBorders>
          </w:tcPr>
          <w:p w14:paraId="70467D23"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IC</w:t>
            </w:r>
          </w:p>
        </w:tc>
        <w:tc>
          <w:tcPr>
            <w:tcW w:w="860" w:type="pct"/>
            <w:tcBorders>
              <w:top w:val="nil"/>
              <w:left w:val="nil"/>
              <w:bottom w:val="nil"/>
              <w:right w:val="nil"/>
            </w:tcBorders>
          </w:tcPr>
          <w:p w14:paraId="5B3B9748" w14:textId="012B544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w:t>
            </w:r>
            <w:r w:rsidR="009E389E" w:rsidRPr="00527C38">
              <w:rPr>
                <w:rFonts w:asciiTheme="majorHAnsi" w:hAnsiTheme="majorHAnsi" w:cstheme="majorHAnsi"/>
                <w:highlight w:val="yellow"/>
              </w:rPr>
              <w:t>.</w:t>
            </w:r>
            <w:r w:rsidRPr="00527C38">
              <w:rPr>
                <w:rFonts w:asciiTheme="majorHAnsi" w:hAnsiTheme="majorHAnsi" w:cstheme="majorHAnsi"/>
              </w:rPr>
              <w:t>03e-05***</w:t>
            </w:r>
          </w:p>
        </w:tc>
        <w:tc>
          <w:tcPr>
            <w:tcW w:w="749" w:type="pct"/>
            <w:tcBorders>
              <w:top w:val="nil"/>
              <w:left w:val="nil"/>
              <w:bottom w:val="nil"/>
              <w:right w:val="nil"/>
            </w:tcBorders>
          </w:tcPr>
          <w:p w14:paraId="182790D5" w14:textId="67BF1280"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89e-06</w:t>
            </w:r>
          </w:p>
        </w:tc>
        <w:tc>
          <w:tcPr>
            <w:tcW w:w="788" w:type="pct"/>
            <w:tcBorders>
              <w:top w:val="nil"/>
              <w:left w:val="nil"/>
              <w:bottom w:val="nil"/>
              <w:right w:val="nil"/>
            </w:tcBorders>
          </w:tcPr>
          <w:p w14:paraId="40EBEF87" w14:textId="2D947EB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-3</w:t>
            </w:r>
            <w:r w:rsidR="009E389E" w:rsidRPr="00527C38">
              <w:rPr>
                <w:rFonts w:asciiTheme="majorHAnsi" w:hAnsiTheme="majorHAnsi" w:cstheme="majorHAnsi"/>
                <w:highlight w:val="yellow"/>
              </w:rPr>
              <w:t>.</w:t>
            </w:r>
            <w:r w:rsidRPr="00527C38">
              <w:rPr>
                <w:rFonts w:asciiTheme="majorHAnsi" w:hAnsiTheme="majorHAnsi" w:cstheme="majorHAnsi"/>
              </w:rPr>
              <w:t>30e-05**</w:t>
            </w:r>
          </w:p>
        </w:tc>
        <w:tc>
          <w:tcPr>
            <w:tcW w:w="820" w:type="pct"/>
            <w:tcBorders>
              <w:top w:val="nil"/>
              <w:left w:val="nil"/>
              <w:bottom w:val="nil"/>
              <w:right w:val="nil"/>
            </w:tcBorders>
          </w:tcPr>
          <w:p w14:paraId="3650F811" w14:textId="02176BB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54e-06</w:t>
            </w:r>
          </w:p>
        </w:tc>
      </w:tr>
      <w:tr w:rsidR="00207AC1" w:rsidRPr="00527C38" w14:paraId="3E5BD856" w14:textId="77777777" w:rsidTr="000A1478">
        <w:trPr>
          <w:jc w:val="center"/>
        </w:trPr>
        <w:tc>
          <w:tcPr>
            <w:tcW w:w="1783" w:type="pct"/>
            <w:tcBorders>
              <w:top w:val="nil"/>
              <w:left w:val="nil"/>
              <w:bottom w:val="nil"/>
              <w:right w:val="nil"/>
            </w:tcBorders>
          </w:tcPr>
          <w:p w14:paraId="2D93CFB4"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1A93FED0" w14:textId="439835A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806)</w:t>
            </w:r>
          </w:p>
        </w:tc>
        <w:tc>
          <w:tcPr>
            <w:tcW w:w="749" w:type="pct"/>
            <w:tcBorders>
              <w:top w:val="nil"/>
              <w:left w:val="nil"/>
              <w:bottom w:val="nil"/>
              <w:right w:val="nil"/>
            </w:tcBorders>
          </w:tcPr>
          <w:p w14:paraId="3AA343E9" w14:textId="2CAFCAE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391)</w:t>
            </w:r>
          </w:p>
        </w:tc>
        <w:tc>
          <w:tcPr>
            <w:tcW w:w="788" w:type="pct"/>
            <w:tcBorders>
              <w:top w:val="nil"/>
              <w:left w:val="nil"/>
              <w:bottom w:val="nil"/>
              <w:right w:val="nil"/>
            </w:tcBorders>
          </w:tcPr>
          <w:p w14:paraId="24710D06" w14:textId="3B87A514"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176)</w:t>
            </w:r>
          </w:p>
        </w:tc>
        <w:tc>
          <w:tcPr>
            <w:tcW w:w="820" w:type="pct"/>
            <w:tcBorders>
              <w:top w:val="nil"/>
              <w:left w:val="nil"/>
              <w:bottom w:val="nil"/>
              <w:right w:val="nil"/>
            </w:tcBorders>
          </w:tcPr>
          <w:p w14:paraId="200D6EAE" w14:textId="46FE439E"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420)</w:t>
            </w:r>
          </w:p>
        </w:tc>
      </w:tr>
      <w:tr w:rsidR="00207AC1" w:rsidRPr="00527C38" w14:paraId="7C706E80" w14:textId="77777777" w:rsidTr="000A1478">
        <w:trPr>
          <w:jc w:val="center"/>
        </w:trPr>
        <w:tc>
          <w:tcPr>
            <w:tcW w:w="1783" w:type="pct"/>
            <w:tcBorders>
              <w:top w:val="nil"/>
              <w:left w:val="nil"/>
              <w:bottom w:val="nil"/>
              <w:right w:val="nil"/>
            </w:tcBorders>
          </w:tcPr>
          <w:p w14:paraId="64872DE3"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CFD</w:t>
            </w:r>
          </w:p>
        </w:tc>
        <w:tc>
          <w:tcPr>
            <w:tcW w:w="860" w:type="pct"/>
            <w:tcBorders>
              <w:top w:val="nil"/>
              <w:left w:val="nil"/>
              <w:bottom w:val="nil"/>
              <w:right w:val="nil"/>
            </w:tcBorders>
          </w:tcPr>
          <w:p w14:paraId="30F844B8" w14:textId="57F13FA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0394**</w:t>
            </w:r>
          </w:p>
        </w:tc>
        <w:tc>
          <w:tcPr>
            <w:tcW w:w="749" w:type="pct"/>
            <w:tcBorders>
              <w:top w:val="nil"/>
              <w:left w:val="nil"/>
              <w:bottom w:val="nil"/>
              <w:right w:val="nil"/>
            </w:tcBorders>
          </w:tcPr>
          <w:p w14:paraId="3F7105DC" w14:textId="2C5886F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0506***</w:t>
            </w:r>
          </w:p>
        </w:tc>
        <w:tc>
          <w:tcPr>
            <w:tcW w:w="788" w:type="pct"/>
            <w:tcBorders>
              <w:top w:val="nil"/>
              <w:left w:val="nil"/>
              <w:bottom w:val="nil"/>
              <w:right w:val="nil"/>
            </w:tcBorders>
          </w:tcPr>
          <w:p w14:paraId="6DFA998B" w14:textId="354D791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149***</w:t>
            </w:r>
          </w:p>
        </w:tc>
        <w:tc>
          <w:tcPr>
            <w:tcW w:w="820" w:type="pct"/>
            <w:tcBorders>
              <w:top w:val="nil"/>
              <w:left w:val="nil"/>
              <w:bottom w:val="nil"/>
              <w:right w:val="nil"/>
            </w:tcBorders>
          </w:tcPr>
          <w:p w14:paraId="41E1546B" w14:textId="21F47CA6"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00478</w:t>
            </w:r>
          </w:p>
        </w:tc>
      </w:tr>
      <w:tr w:rsidR="00207AC1" w:rsidRPr="00527C38" w14:paraId="3C13303E" w14:textId="77777777" w:rsidTr="000A1478">
        <w:trPr>
          <w:jc w:val="center"/>
        </w:trPr>
        <w:tc>
          <w:tcPr>
            <w:tcW w:w="1783" w:type="pct"/>
            <w:tcBorders>
              <w:top w:val="nil"/>
              <w:left w:val="nil"/>
              <w:bottom w:val="nil"/>
              <w:right w:val="nil"/>
            </w:tcBorders>
          </w:tcPr>
          <w:p w14:paraId="004C1858"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024E948E" w14:textId="3AB3EFD8"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(2</w:t>
            </w:r>
            <w:r w:rsidR="009E389E" w:rsidRPr="00527C38">
              <w:rPr>
                <w:rFonts w:asciiTheme="majorHAnsi" w:hAnsiTheme="majorHAnsi" w:cstheme="majorHAnsi"/>
                <w:highlight w:val="yellow"/>
              </w:rPr>
              <w:t>.</w:t>
            </w:r>
            <w:r w:rsidRPr="00527C38">
              <w:rPr>
                <w:rFonts w:asciiTheme="majorHAnsi" w:hAnsiTheme="majorHAnsi" w:cstheme="majorHAnsi"/>
              </w:rPr>
              <w:t>342)</w:t>
            </w:r>
          </w:p>
        </w:tc>
        <w:tc>
          <w:tcPr>
            <w:tcW w:w="749" w:type="pct"/>
            <w:tcBorders>
              <w:top w:val="nil"/>
              <w:left w:val="nil"/>
              <w:bottom w:val="nil"/>
              <w:right w:val="nil"/>
            </w:tcBorders>
          </w:tcPr>
          <w:p w14:paraId="1BA5C1FD" w14:textId="6DAA08BC"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w:t>
            </w:r>
            <w:r w:rsidR="009E389E" w:rsidRPr="00527C38">
              <w:rPr>
                <w:rFonts w:asciiTheme="majorHAnsi" w:hAnsiTheme="majorHAnsi" w:cstheme="majorHAnsi"/>
                <w:highlight w:val="yellow"/>
              </w:rPr>
              <w:t>.</w:t>
            </w:r>
            <w:r w:rsidRPr="00527C38">
              <w:rPr>
                <w:rFonts w:asciiTheme="majorHAnsi" w:hAnsiTheme="majorHAnsi" w:cstheme="majorHAnsi"/>
              </w:rPr>
              <w:t>040)</w:t>
            </w:r>
          </w:p>
        </w:tc>
        <w:tc>
          <w:tcPr>
            <w:tcW w:w="788" w:type="pct"/>
            <w:tcBorders>
              <w:top w:val="nil"/>
              <w:left w:val="nil"/>
              <w:bottom w:val="nil"/>
              <w:right w:val="nil"/>
            </w:tcBorders>
          </w:tcPr>
          <w:p w14:paraId="410FC3D1" w14:textId="2E5057E8"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w:t>
            </w:r>
            <w:r w:rsidR="009E389E" w:rsidRPr="00527C38">
              <w:rPr>
                <w:rFonts w:asciiTheme="majorHAnsi" w:hAnsiTheme="majorHAnsi" w:cstheme="majorHAnsi"/>
                <w:highlight w:val="yellow"/>
              </w:rPr>
              <w:t>.</w:t>
            </w:r>
            <w:r w:rsidRPr="00527C38">
              <w:rPr>
                <w:rFonts w:asciiTheme="majorHAnsi" w:hAnsiTheme="majorHAnsi" w:cstheme="majorHAnsi"/>
              </w:rPr>
              <w:t>003)</w:t>
            </w:r>
          </w:p>
        </w:tc>
        <w:tc>
          <w:tcPr>
            <w:tcW w:w="820" w:type="pct"/>
            <w:tcBorders>
              <w:top w:val="nil"/>
              <w:left w:val="nil"/>
              <w:bottom w:val="nil"/>
              <w:right w:val="nil"/>
            </w:tcBorders>
          </w:tcPr>
          <w:p w14:paraId="14D7F65E" w14:textId="203E6D2C"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387)</w:t>
            </w:r>
          </w:p>
        </w:tc>
      </w:tr>
      <w:tr w:rsidR="00207AC1" w:rsidRPr="00527C38" w14:paraId="5CE605D7" w14:textId="77777777" w:rsidTr="000A1478">
        <w:trPr>
          <w:jc w:val="center"/>
        </w:trPr>
        <w:tc>
          <w:tcPr>
            <w:tcW w:w="1783" w:type="pct"/>
            <w:tcBorders>
              <w:top w:val="nil"/>
              <w:left w:val="nil"/>
              <w:bottom w:val="nil"/>
              <w:right w:val="nil"/>
            </w:tcBorders>
          </w:tcPr>
          <w:p w14:paraId="62FD7F1A"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Constant</w:t>
            </w:r>
          </w:p>
        </w:tc>
        <w:tc>
          <w:tcPr>
            <w:tcW w:w="860" w:type="pct"/>
            <w:tcBorders>
              <w:top w:val="nil"/>
              <w:left w:val="nil"/>
              <w:bottom w:val="nil"/>
              <w:right w:val="nil"/>
            </w:tcBorders>
          </w:tcPr>
          <w:p w14:paraId="3201E4D5" w14:textId="0C2C0D19"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0393*</w:t>
            </w:r>
          </w:p>
        </w:tc>
        <w:tc>
          <w:tcPr>
            <w:tcW w:w="749" w:type="pct"/>
            <w:tcBorders>
              <w:top w:val="nil"/>
              <w:left w:val="nil"/>
              <w:bottom w:val="nil"/>
              <w:right w:val="nil"/>
            </w:tcBorders>
          </w:tcPr>
          <w:p w14:paraId="0DB497CC" w14:textId="29816FC0"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0615**</w:t>
            </w:r>
          </w:p>
        </w:tc>
        <w:tc>
          <w:tcPr>
            <w:tcW w:w="788" w:type="pct"/>
            <w:tcBorders>
              <w:top w:val="nil"/>
              <w:left w:val="nil"/>
              <w:bottom w:val="nil"/>
              <w:right w:val="nil"/>
            </w:tcBorders>
          </w:tcPr>
          <w:p w14:paraId="64302D79" w14:textId="1B55D4B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0138</w:t>
            </w:r>
          </w:p>
        </w:tc>
        <w:tc>
          <w:tcPr>
            <w:tcW w:w="820" w:type="pct"/>
            <w:tcBorders>
              <w:top w:val="nil"/>
              <w:left w:val="nil"/>
              <w:bottom w:val="nil"/>
              <w:right w:val="nil"/>
            </w:tcBorders>
          </w:tcPr>
          <w:p w14:paraId="274D55EC" w14:textId="6DB65AA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0277***</w:t>
            </w:r>
          </w:p>
        </w:tc>
      </w:tr>
      <w:tr w:rsidR="00207AC1" w:rsidRPr="00527C38" w14:paraId="6BAA8830" w14:textId="77777777" w:rsidTr="000A1478">
        <w:trPr>
          <w:jc w:val="center"/>
        </w:trPr>
        <w:tc>
          <w:tcPr>
            <w:tcW w:w="1783" w:type="pct"/>
            <w:tcBorders>
              <w:top w:val="nil"/>
              <w:left w:val="nil"/>
              <w:bottom w:val="nil"/>
              <w:right w:val="nil"/>
            </w:tcBorders>
          </w:tcPr>
          <w:p w14:paraId="7F7AF167"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A8BF6A1" w14:textId="63DA8F4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828)</w:t>
            </w:r>
          </w:p>
        </w:tc>
        <w:tc>
          <w:tcPr>
            <w:tcW w:w="749" w:type="pct"/>
            <w:tcBorders>
              <w:top w:val="nil"/>
              <w:left w:val="nil"/>
              <w:bottom w:val="nil"/>
              <w:right w:val="nil"/>
            </w:tcBorders>
          </w:tcPr>
          <w:p w14:paraId="56813BDA" w14:textId="79B55C2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979)</w:t>
            </w:r>
          </w:p>
        </w:tc>
        <w:tc>
          <w:tcPr>
            <w:tcW w:w="788" w:type="pct"/>
            <w:tcBorders>
              <w:top w:val="nil"/>
              <w:left w:val="nil"/>
              <w:bottom w:val="nil"/>
              <w:right w:val="nil"/>
            </w:tcBorders>
          </w:tcPr>
          <w:p w14:paraId="36E21155" w14:textId="6CD5138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542)</w:t>
            </w:r>
          </w:p>
        </w:tc>
        <w:tc>
          <w:tcPr>
            <w:tcW w:w="820" w:type="pct"/>
            <w:tcBorders>
              <w:top w:val="nil"/>
              <w:left w:val="nil"/>
              <w:bottom w:val="nil"/>
              <w:right w:val="nil"/>
            </w:tcBorders>
          </w:tcPr>
          <w:p w14:paraId="19BFBC61" w14:textId="2CE281F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w:t>
            </w:r>
            <w:r w:rsidR="009E389E" w:rsidRPr="00527C38">
              <w:rPr>
                <w:rFonts w:asciiTheme="majorHAnsi" w:hAnsiTheme="majorHAnsi" w:cstheme="majorHAnsi"/>
                <w:highlight w:val="yellow"/>
              </w:rPr>
              <w:t>.</w:t>
            </w:r>
            <w:r w:rsidRPr="00527C38">
              <w:rPr>
                <w:rFonts w:asciiTheme="majorHAnsi" w:hAnsiTheme="majorHAnsi" w:cstheme="majorHAnsi"/>
              </w:rPr>
              <w:t>769)</w:t>
            </w:r>
          </w:p>
        </w:tc>
      </w:tr>
      <w:tr w:rsidR="00207AC1" w:rsidRPr="00527C38" w14:paraId="42B1A868" w14:textId="77777777" w:rsidTr="000A1478">
        <w:trPr>
          <w:jc w:val="center"/>
        </w:trPr>
        <w:tc>
          <w:tcPr>
            <w:tcW w:w="1783" w:type="pct"/>
            <w:tcBorders>
              <w:top w:val="nil"/>
              <w:left w:val="nil"/>
              <w:bottom w:val="nil"/>
              <w:right w:val="nil"/>
            </w:tcBorders>
          </w:tcPr>
          <w:p w14:paraId="08378710"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55451A66"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7128DA0"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7DD01368"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32856648"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527C38" w14:paraId="32EA6640" w14:textId="77777777" w:rsidTr="000A1478">
        <w:trPr>
          <w:jc w:val="center"/>
        </w:trPr>
        <w:tc>
          <w:tcPr>
            <w:tcW w:w="1783" w:type="pct"/>
            <w:tcBorders>
              <w:top w:val="nil"/>
              <w:left w:val="nil"/>
              <w:bottom w:val="nil"/>
              <w:right w:val="nil"/>
            </w:tcBorders>
          </w:tcPr>
          <w:p w14:paraId="349665DD"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Observations</w:t>
            </w:r>
          </w:p>
        </w:tc>
        <w:tc>
          <w:tcPr>
            <w:tcW w:w="860" w:type="pct"/>
            <w:tcBorders>
              <w:top w:val="nil"/>
              <w:left w:val="nil"/>
              <w:bottom w:val="nil"/>
              <w:right w:val="nil"/>
            </w:tcBorders>
          </w:tcPr>
          <w:p w14:paraId="08CE9F16" w14:textId="4659DBE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w:t>
            </w:r>
            <w:r w:rsidR="009E389E" w:rsidRPr="00527C38">
              <w:rPr>
                <w:rFonts w:asciiTheme="majorHAnsi" w:hAnsiTheme="majorHAnsi" w:cstheme="majorHAnsi"/>
                <w:highlight w:val="yellow"/>
              </w:rPr>
              <w:t>.</w:t>
            </w:r>
            <w:r w:rsidRPr="00527C38">
              <w:rPr>
                <w:rFonts w:asciiTheme="majorHAnsi" w:hAnsiTheme="majorHAnsi" w:cstheme="majorHAnsi"/>
              </w:rPr>
              <w:t>149</w:t>
            </w:r>
          </w:p>
        </w:tc>
        <w:tc>
          <w:tcPr>
            <w:tcW w:w="749" w:type="pct"/>
            <w:tcBorders>
              <w:top w:val="nil"/>
              <w:left w:val="nil"/>
              <w:bottom w:val="nil"/>
              <w:right w:val="nil"/>
            </w:tcBorders>
          </w:tcPr>
          <w:p w14:paraId="79B9D3A0" w14:textId="12DA90F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w:t>
            </w:r>
            <w:r w:rsidR="009E389E" w:rsidRPr="00527C38">
              <w:rPr>
                <w:rFonts w:asciiTheme="majorHAnsi" w:hAnsiTheme="majorHAnsi" w:cstheme="majorHAnsi"/>
                <w:highlight w:val="yellow"/>
              </w:rPr>
              <w:t>.</w:t>
            </w:r>
            <w:r w:rsidRPr="00527C38">
              <w:rPr>
                <w:rFonts w:asciiTheme="majorHAnsi" w:hAnsiTheme="majorHAnsi" w:cstheme="majorHAnsi"/>
              </w:rPr>
              <w:t>703</w:t>
            </w:r>
          </w:p>
        </w:tc>
        <w:tc>
          <w:tcPr>
            <w:tcW w:w="788" w:type="pct"/>
            <w:tcBorders>
              <w:top w:val="nil"/>
              <w:left w:val="nil"/>
              <w:bottom w:val="nil"/>
              <w:right w:val="nil"/>
            </w:tcBorders>
          </w:tcPr>
          <w:p w14:paraId="68F889A6" w14:textId="25066CC6"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w:t>
            </w:r>
            <w:r w:rsidR="009E389E" w:rsidRPr="00527C38">
              <w:rPr>
                <w:rFonts w:asciiTheme="majorHAnsi" w:hAnsiTheme="majorHAnsi" w:cstheme="majorHAnsi"/>
                <w:highlight w:val="yellow"/>
              </w:rPr>
              <w:t>.</w:t>
            </w:r>
            <w:r w:rsidRPr="00527C38">
              <w:rPr>
                <w:rFonts w:asciiTheme="majorHAnsi" w:hAnsiTheme="majorHAnsi" w:cstheme="majorHAnsi"/>
              </w:rPr>
              <w:t>149</w:t>
            </w:r>
          </w:p>
        </w:tc>
        <w:tc>
          <w:tcPr>
            <w:tcW w:w="820" w:type="pct"/>
            <w:tcBorders>
              <w:top w:val="nil"/>
              <w:left w:val="nil"/>
              <w:bottom w:val="nil"/>
              <w:right w:val="nil"/>
            </w:tcBorders>
          </w:tcPr>
          <w:p w14:paraId="21C58E22" w14:textId="2C863B39"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w:t>
            </w:r>
            <w:r w:rsidR="009E389E" w:rsidRPr="00527C38">
              <w:rPr>
                <w:rFonts w:asciiTheme="majorHAnsi" w:hAnsiTheme="majorHAnsi" w:cstheme="majorHAnsi"/>
                <w:highlight w:val="yellow"/>
              </w:rPr>
              <w:t>.</w:t>
            </w:r>
            <w:r w:rsidRPr="00527C38">
              <w:rPr>
                <w:rFonts w:asciiTheme="majorHAnsi" w:hAnsiTheme="majorHAnsi" w:cstheme="majorHAnsi"/>
              </w:rPr>
              <w:t>217</w:t>
            </w:r>
          </w:p>
        </w:tc>
      </w:tr>
      <w:tr w:rsidR="00207AC1" w:rsidRPr="00527C38" w14:paraId="351F1F10" w14:textId="77777777" w:rsidTr="000A1478">
        <w:trPr>
          <w:jc w:val="center"/>
        </w:trPr>
        <w:tc>
          <w:tcPr>
            <w:tcW w:w="1783" w:type="pct"/>
            <w:tcBorders>
              <w:top w:val="nil"/>
              <w:left w:val="nil"/>
              <w:bottom w:val="nil"/>
              <w:right w:val="nil"/>
            </w:tcBorders>
          </w:tcPr>
          <w:p w14:paraId="65616C0E" w14:textId="2EFE7A79" w:rsidR="000A1478" w:rsidRPr="00527C38" w:rsidRDefault="000A1478" w:rsidP="000A1478">
            <w:pPr>
              <w:widowControl w:val="0"/>
              <w:autoSpaceDE w:val="0"/>
              <w:autoSpaceDN w:val="0"/>
              <w:adjustRightInd w:val="0"/>
              <w:spacing w:after="0" w:line="240" w:lineRule="auto"/>
              <w:rPr>
                <w:rFonts w:asciiTheme="majorHAnsi" w:hAnsiTheme="majorHAnsi" w:cstheme="majorHAnsi"/>
                <w:lang w:val="en-US"/>
              </w:rPr>
            </w:pPr>
            <w:r w:rsidRPr="00527C38">
              <w:rPr>
                <w:rFonts w:asciiTheme="majorHAnsi" w:hAnsiTheme="majorHAnsi" w:cstheme="majorHAnsi"/>
              </w:rPr>
              <w:t xml:space="preserve">Number of </w:t>
            </w:r>
            <w:r w:rsidR="00193347" w:rsidRPr="00527C38">
              <w:rPr>
                <w:rFonts w:asciiTheme="majorHAnsi" w:hAnsiTheme="majorHAnsi" w:cstheme="majorHAnsi"/>
                <w:lang w:val="en-US"/>
              </w:rPr>
              <w:t>firms</w:t>
            </w:r>
          </w:p>
        </w:tc>
        <w:tc>
          <w:tcPr>
            <w:tcW w:w="860" w:type="pct"/>
            <w:tcBorders>
              <w:top w:val="nil"/>
              <w:left w:val="nil"/>
              <w:bottom w:val="nil"/>
              <w:right w:val="nil"/>
            </w:tcBorders>
          </w:tcPr>
          <w:p w14:paraId="657B47E0"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c>
          <w:tcPr>
            <w:tcW w:w="749" w:type="pct"/>
            <w:tcBorders>
              <w:top w:val="nil"/>
              <w:left w:val="nil"/>
              <w:bottom w:val="nil"/>
              <w:right w:val="nil"/>
            </w:tcBorders>
          </w:tcPr>
          <w:p w14:paraId="458140B4"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570</w:t>
            </w:r>
          </w:p>
        </w:tc>
        <w:tc>
          <w:tcPr>
            <w:tcW w:w="788" w:type="pct"/>
            <w:tcBorders>
              <w:top w:val="nil"/>
              <w:left w:val="nil"/>
              <w:bottom w:val="nil"/>
              <w:right w:val="nil"/>
            </w:tcBorders>
          </w:tcPr>
          <w:p w14:paraId="0A9C1B8D"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c>
          <w:tcPr>
            <w:tcW w:w="820" w:type="pct"/>
            <w:tcBorders>
              <w:top w:val="nil"/>
              <w:left w:val="nil"/>
              <w:bottom w:val="nil"/>
              <w:right w:val="nil"/>
            </w:tcBorders>
          </w:tcPr>
          <w:p w14:paraId="21D9A1C1"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r>
      <w:tr w:rsidR="00207AC1" w:rsidRPr="00527C38" w14:paraId="32A9C063" w14:textId="77777777" w:rsidTr="000A1478">
        <w:trPr>
          <w:jc w:val="center"/>
        </w:trPr>
        <w:tc>
          <w:tcPr>
            <w:tcW w:w="1783" w:type="pct"/>
            <w:tcBorders>
              <w:top w:val="nil"/>
              <w:left w:val="nil"/>
              <w:bottom w:val="nil"/>
              <w:right w:val="nil"/>
            </w:tcBorders>
          </w:tcPr>
          <w:p w14:paraId="05F77A43"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Number of obs</w:t>
            </w:r>
          </w:p>
        </w:tc>
        <w:tc>
          <w:tcPr>
            <w:tcW w:w="860" w:type="pct"/>
            <w:tcBorders>
              <w:top w:val="nil"/>
              <w:left w:val="nil"/>
              <w:bottom w:val="nil"/>
              <w:right w:val="nil"/>
            </w:tcBorders>
          </w:tcPr>
          <w:p w14:paraId="021A20D4"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6149</w:t>
            </w:r>
          </w:p>
        </w:tc>
        <w:tc>
          <w:tcPr>
            <w:tcW w:w="749" w:type="pct"/>
            <w:tcBorders>
              <w:top w:val="nil"/>
              <w:left w:val="nil"/>
              <w:bottom w:val="nil"/>
              <w:right w:val="nil"/>
            </w:tcBorders>
          </w:tcPr>
          <w:p w14:paraId="3F6A193E"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5703</w:t>
            </w:r>
          </w:p>
        </w:tc>
        <w:tc>
          <w:tcPr>
            <w:tcW w:w="788" w:type="pct"/>
            <w:tcBorders>
              <w:top w:val="nil"/>
              <w:left w:val="nil"/>
              <w:bottom w:val="nil"/>
              <w:right w:val="nil"/>
            </w:tcBorders>
          </w:tcPr>
          <w:p w14:paraId="64572A27"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6149</w:t>
            </w:r>
          </w:p>
        </w:tc>
        <w:tc>
          <w:tcPr>
            <w:tcW w:w="820" w:type="pct"/>
            <w:tcBorders>
              <w:top w:val="nil"/>
              <w:left w:val="nil"/>
              <w:bottom w:val="nil"/>
              <w:right w:val="nil"/>
            </w:tcBorders>
          </w:tcPr>
          <w:p w14:paraId="7EF907B6"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6217</w:t>
            </w:r>
          </w:p>
        </w:tc>
      </w:tr>
      <w:tr w:rsidR="00207AC1" w:rsidRPr="00527C38" w14:paraId="5029B954" w14:textId="77777777" w:rsidTr="000A1478">
        <w:trPr>
          <w:jc w:val="center"/>
        </w:trPr>
        <w:tc>
          <w:tcPr>
            <w:tcW w:w="1783" w:type="pct"/>
            <w:tcBorders>
              <w:top w:val="nil"/>
              <w:left w:val="nil"/>
              <w:bottom w:val="nil"/>
              <w:right w:val="nil"/>
            </w:tcBorders>
          </w:tcPr>
          <w:p w14:paraId="354665C4"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Number of groups</w:t>
            </w:r>
          </w:p>
        </w:tc>
        <w:tc>
          <w:tcPr>
            <w:tcW w:w="860" w:type="pct"/>
            <w:tcBorders>
              <w:top w:val="nil"/>
              <w:left w:val="nil"/>
              <w:bottom w:val="nil"/>
              <w:right w:val="nil"/>
            </w:tcBorders>
          </w:tcPr>
          <w:p w14:paraId="68BAD4D6"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c>
          <w:tcPr>
            <w:tcW w:w="749" w:type="pct"/>
            <w:tcBorders>
              <w:top w:val="nil"/>
              <w:left w:val="nil"/>
              <w:bottom w:val="nil"/>
              <w:right w:val="nil"/>
            </w:tcBorders>
          </w:tcPr>
          <w:p w14:paraId="6283FE44"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570</w:t>
            </w:r>
          </w:p>
        </w:tc>
        <w:tc>
          <w:tcPr>
            <w:tcW w:w="788" w:type="pct"/>
            <w:tcBorders>
              <w:top w:val="nil"/>
              <w:left w:val="nil"/>
              <w:bottom w:val="nil"/>
              <w:right w:val="nil"/>
            </w:tcBorders>
          </w:tcPr>
          <w:p w14:paraId="7CBE5F73"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c>
          <w:tcPr>
            <w:tcW w:w="820" w:type="pct"/>
            <w:tcBorders>
              <w:top w:val="nil"/>
              <w:left w:val="nil"/>
              <w:bottom w:val="nil"/>
              <w:right w:val="nil"/>
            </w:tcBorders>
          </w:tcPr>
          <w:p w14:paraId="2E60BC6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575</w:t>
            </w:r>
          </w:p>
        </w:tc>
      </w:tr>
      <w:tr w:rsidR="00207AC1" w:rsidRPr="00527C38" w14:paraId="27E4AFBB" w14:textId="77777777" w:rsidTr="000A1478">
        <w:trPr>
          <w:jc w:val="center"/>
        </w:trPr>
        <w:tc>
          <w:tcPr>
            <w:tcW w:w="1783" w:type="pct"/>
            <w:tcBorders>
              <w:top w:val="nil"/>
              <w:left w:val="nil"/>
              <w:bottom w:val="nil"/>
              <w:right w:val="nil"/>
            </w:tcBorders>
          </w:tcPr>
          <w:p w14:paraId="6BB79E89"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Number of instruments</w:t>
            </w:r>
          </w:p>
        </w:tc>
        <w:tc>
          <w:tcPr>
            <w:tcW w:w="860" w:type="pct"/>
            <w:tcBorders>
              <w:top w:val="nil"/>
              <w:left w:val="nil"/>
              <w:bottom w:val="nil"/>
              <w:right w:val="nil"/>
            </w:tcBorders>
          </w:tcPr>
          <w:p w14:paraId="7E49D17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581</w:t>
            </w:r>
          </w:p>
        </w:tc>
        <w:tc>
          <w:tcPr>
            <w:tcW w:w="749" w:type="pct"/>
            <w:tcBorders>
              <w:top w:val="nil"/>
              <w:left w:val="nil"/>
              <w:bottom w:val="nil"/>
              <w:right w:val="nil"/>
            </w:tcBorders>
          </w:tcPr>
          <w:p w14:paraId="70F6EC58"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566</w:t>
            </w:r>
          </w:p>
        </w:tc>
        <w:tc>
          <w:tcPr>
            <w:tcW w:w="788" w:type="pct"/>
            <w:tcBorders>
              <w:top w:val="nil"/>
              <w:left w:val="nil"/>
              <w:bottom w:val="nil"/>
              <w:right w:val="nil"/>
            </w:tcBorders>
          </w:tcPr>
          <w:p w14:paraId="4BD5EBD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581</w:t>
            </w:r>
          </w:p>
        </w:tc>
        <w:tc>
          <w:tcPr>
            <w:tcW w:w="820" w:type="pct"/>
            <w:tcBorders>
              <w:top w:val="nil"/>
              <w:left w:val="nil"/>
              <w:bottom w:val="nil"/>
              <w:right w:val="nil"/>
            </w:tcBorders>
          </w:tcPr>
          <w:p w14:paraId="68C6A63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581</w:t>
            </w:r>
          </w:p>
        </w:tc>
      </w:tr>
      <w:tr w:rsidR="00207AC1" w:rsidRPr="00527C38" w14:paraId="77C181D4" w14:textId="77777777" w:rsidTr="000A1478">
        <w:trPr>
          <w:jc w:val="center"/>
        </w:trPr>
        <w:tc>
          <w:tcPr>
            <w:tcW w:w="1783" w:type="pct"/>
            <w:tcBorders>
              <w:top w:val="nil"/>
              <w:left w:val="nil"/>
              <w:bottom w:val="nil"/>
              <w:right w:val="nil"/>
            </w:tcBorders>
          </w:tcPr>
          <w:p w14:paraId="0B36618B"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Arellano-Bond test for AR(1)</w:t>
            </w:r>
          </w:p>
        </w:tc>
        <w:tc>
          <w:tcPr>
            <w:tcW w:w="860" w:type="pct"/>
            <w:tcBorders>
              <w:top w:val="nil"/>
              <w:left w:val="nil"/>
              <w:bottom w:val="nil"/>
              <w:right w:val="nil"/>
            </w:tcBorders>
          </w:tcPr>
          <w:p w14:paraId="4048C559" w14:textId="317C188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910</w:t>
            </w:r>
          </w:p>
        </w:tc>
        <w:tc>
          <w:tcPr>
            <w:tcW w:w="749" w:type="pct"/>
            <w:tcBorders>
              <w:top w:val="nil"/>
              <w:left w:val="nil"/>
              <w:bottom w:val="nil"/>
              <w:right w:val="nil"/>
            </w:tcBorders>
          </w:tcPr>
          <w:p w14:paraId="42C7B57B" w14:textId="191BE3D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102</w:t>
            </w:r>
          </w:p>
        </w:tc>
        <w:tc>
          <w:tcPr>
            <w:tcW w:w="788" w:type="pct"/>
            <w:tcBorders>
              <w:top w:val="nil"/>
              <w:left w:val="nil"/>
              <w:bottom w:val="nil"/>
              <w:right w:val="nil"/>
            </w:tcBorders>
          </w:tcPr>
          <w:p w14:paraId="028A1AD6" w14:textId="00F2B58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-8</w:t>
            </w:r>
            <w:r w:rsidR="009E389E" w:rsidRPr="00527C38">
              <w:rPr>
                <w:rFonts w:asciiTheme="majorHAnsi" w:hAnsiTheme="majorHAnsi" w:cstheme="majorHAnsi"/>
                <w:highlight w:val="yellow"/>
              </w:rPr>
              <w:t>.</w:t>
            </w:r>
            <w:r w:rsidRPr="00527C38">
              <w:rPr>
                <w:rFonts w:asciiTheme="majorHAnsi" w:hAnsiTheme="majorHAnsi" w:cstheme="majorHAnsi"/>
              </w:rPr>
              <w:t>469</w:t>
            </w:r>
          </w:p>
        </w:tc>
        <w:tc>
          <w:tcPr>
            <w:tcW w:w="820" w:type="pct"/>
            <w:tcBorders>
              <w:top w:val="nil"/>
              <w:left w:val="nil"/>
              <w:bottom w:val="nil"/>
              <w:right w:val="nil"/>
            </w:tcBorders>
          </w:tcPr>
          <w:p w14:paraId="07342D7B" w14:textId="326B25C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w:t>
            </w:r>
            <w:r w:rsidR="009E389E" w:rsidRPr="00527C38">
              <w:rPr>
                <w:rFonts w:asciiTheme="majorHAnsi" w:hAnsiTheme="majorHAnsi" w:cstheme="majorHAnsi"/>
                <w:highlight w:val="yellow"/>
              </w:rPr>
              <w:t>.</w:t>
            </w:r>
            <w:r w:rsidRPr="00527C38">
              <w:rPr>
                <w:rFonts w:asciiTheme="majorHAnsi" w:hAnsiTheme="majorHAnsi" w:cstheme="majorHAnsi"/>
              </w:rPr>
              <w:t>339</w:t>
            </w:r>
          </w:p>
        </w:tc>
      </w:tr>
      <w:tr w:rsidR="00207AC1" w:rsidRPr="00527C38" w14:paraId="18A7FEE3" w14:textId="77777777" w:rsidTr="000A1478">
        <w:trPr>
          <w:jc w:val="center"/>
        </w:trPr>
        <w:tc>
          <w:tcPr>
            <w:tcW w:w="1783" w:type="pct"/>
            <w:tcBorders>
              <w:top w:val="nil"/>
              <w:left w:val="nil"/>
              <w:bottom w:val="nil"/>
              <w:right w:val="nil"/>
            </w:tcBorders>
          </w:tcPr>
          <w:p w14:paraId="559E910D"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pAR(1)</w:t>
            </w:r>
          </w:p>
        </w:tc>
        <w:tc>
          <w:tcPr>
            <w:tcW w:w="860" w:type="pct"/>
            <w:tcBorders>
              <w:top w:val="nil"/>
              <w:left w:val="nil"/>
              <w:bottom w:val="nil"/>
              <w:right w:val="nil"/>
            </w:tcBorders>
          </w:tcPr>
          <w:p w14:paraId="3F2F71C5" w14:textId="0AD8E7D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9</w:t>
            </w:r>
            <w:r w:rsidR="009E389E" w:rsidRPr="00527C38">
              <w:rPr>
                <w:rFonts w:asciiTheme="majorHAnsi" w:hAnsiTheme="majorHAnsi" w:cstheme="majorHAnsi"/>
                <w:highlight w:val="yellow"/>
              </w:rPr>
              <w:t>.</w:t>
            </w:r>
            <w:r w:rsidRPr="00527C38">
              <w:rPr>
                <w:rFonts w:asciiTheme="majorHAnsi" w:hAnsiTheme="majorHAnsi" w:cstheme="majorHAnsi"/>
              </w:rPr>
              <w:t>09e-07</w:t>
            </w:r>
          </w:p>
        </w:tc>
        <w:tc>
          <w:tcPr>
            <w:tcW w:w="749" w:type="pct"/>
            <w:tcBorders>
              <w:top w:val="nil"/>
              <w:left w:val="nil"/>
              <w:bottom w:val="nil"/>
              <w:right w:val="nil"/>
            </w:tcBorders>
          </w:tcPr>
          <w:p w14:paraId="1A2C6870" w14:textId="0F2161C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10e-05</w:t>
            </w:r>
          </w:p>
        </w:tc>
        <w:tc>
          <w:tcPr>
            <w:tcW w:w="788" w:type="pct"/>
            <w:tcBorders>
              <w:top w:val="nil"/>
              <w:left w:val="nil"/>
              <w:bottom w:val="nil"/>
              <w:right w:val="nil"/>
            </w:tcBorders>
          </w:tcPr>
          <w:p w14:paraId="34AF4A4F"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p>
        </w:tc>
        <w:tc>
          <w:tcPr>
            <w:tcW w:w="820" w:type="pct"/>
            <w:tcBorders>
              <w:top w:val="nil"/>
              <w:left w:val="nil"/>
              <w:bottom w:val="nil"/>
              <w:right w:val="nil"/>
            </w:tcBorders>
          </w:tcPr>
          <w:p w14:paraId="43C28653" w14:textId="5077864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9</w:t>
            </w:r>
            <w:r w:rsidR="009E389E" w:rsidRPr="00527C38">
              <w:rPr>
                <w:rFonts w:asciiTheme="majorHAnsi" w:hAnsiTheme="majorHAnsi" w:cstheme="majorHAnsi"/>
                <w:highlight w:val="yellow"/>
              </w:rPr>
              <w:t>.</w:t>
            </w:r>
            <w:r w:rsidRPr="00527C38">
              <w:rPr>
                <w:rFonts w:asciiTheme="majorHAnsi" w:hAnsiTheme="majorHAnsi" w:cstheme="majorHAnsi"/>
              </w:rPr>
              <w:t>36e-08</w:t>
            </w:r>
          </w:p>
        </w:tc>
      </w:tr>
      <w:tr w:rsidR="00207AC1" w:rsidRPr="00527C38" w14:paraId="0B6FFE77" w14:textId="77777777" w:rsidTr="000A1478">
        <w:trPr>
          <w:jc w:val="center"/>
        </w:trPr>
        <w:tc>
          <w:tcPr>
            <w:tcW w:w="1783" w:type="pct"/>
            <w:tcBorders>
              <w:top w:val="nil"/>
              <w:left w:val="nil"/>
              <w:bottom w:val="nil"/>
              <w:right w:val="nil"/>
            </w:tcBorders>
          </w:tcPr>
          <w:p w14:paraId="7FEA110B"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Arellano-Bond test for AR(2)</w:t>
            </w:r>
          </w:p>
        </w:tc>
        <w:tc>
          <w:tcPr>
            <w:tcW w:w="860" w:type="pct"/>
            <w:tcBorders>
              <w:top w:val="nil"/>
              <w:left w:val="nil"/>
              <w:bottom w:val="nil"/>
              <w:right w:val="nil"/>
            </w:tcBorders>
          </w:tcPr>
          <w:p w14:paraId="519CD73E" w14:textId="548EBCB2"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336</w:t>
            </w:r>
          </w:p>
        </w:tc>
        <w:tc>
          <w:tcPr>
            <w:tcW w:w="749" w:type="pct"/>
            <w:tcBorders>
              <w:top w:val="nil"/>
              <w:left w:val="nil"/>
              <w:bottom w:val="nil"/>
              <w:right w:val="nil"/>
            </w:tcBorders>
          </w:tcPr>
          <w:p w14:paraId="08FA564B" w14:textId="60E11DA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1</w:t>
            </w:r>
            <w:r w:rsidR="009E389E" w:rsidRPr="00527C38">
              <w:rPr>
                <w:rFonts w:asciiTheme="majorHAnsi" w:hAnsiTheme="majorHAnsi" w:cstheme="majorHAnsi"/>
                <w:highlight w:val="yellow"/>
              </w:rPr>
              <w:t>.</w:t>
            </w:r>
            <w:r w:rsidRPr="00527C38">
              <w:rPr>
                <w:rFonts w:asciiTheme="majorHAnsi" w:hAnsiTheme="majorHAnsi" w:cstheme="majorHAnsi"/>
              </w:rPr>
              <w:t>197</w:t>
            </w:r>
          </w:p>
        </w:tc>
        <w:tc>
          <w:tcPr>
            <w:tcW w:w="788" w:type="pct"/>
            <w:tcBorders>
              <w:top w:val="nil"/>
              <w:left w:val="nil"/>
              <w:bottom w:val="nil"/>
              <w:right w:val="nil"/>
            </w:tcBorders>
          </w:tcPr>
          <w:p w14:paraId="06CD3CE3" w14:textId="7F0BF4B9"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437</w:t>
            </w:r>
          </w:p>
        </w:tc>
        <w:tc>
          <w:tcPr>
            <w:tcW w:w="820" w:type="pct"/>
            <w:tcBorders>
              <w:top w:val="nil"/>
              <w:left w:val="nil"/>
              <w:bottom w:val="nil"/>
              <w:right w:val="nil"/>
            </w:tcBorders>
          </w:tcPr>
          <w:p w14:paraId="0AA58871" w14:textId="23DBB73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674</w:t>
            </w:r>
          </w:p>
        </w:tc>
      </w:tr>
      <w:tr w:rsidR="00207AC1" w:rsidRPr="00527C38" w14:paraId="7667E68F" w14:textId="77777777" w:rsidTr="000A1478">
        <w:trPr>
          <w:jc w:val="center"/>
        </w:trPr>
        <w:tc>
          <w:tcPr>
            <w:tcW w:w="1783" w:type="pct"/>
            <w:tcBorders>
              <w:top w:val="nil"/>
              <w:left w:val="nil"/>
              <w:bottom w:val="nil"/>
              <w:right w:val="nil"/>
            </w:tcBorders>
          </w:tcPr>
          <w:p w14:paraId="6281E389"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pAR(2)</w:t>
            </w:r>
          </w:p>
        </w:tc>
        <w:tc>
          <w:tcPr>
            <w:tcW w:w="860" w:type="pct"/>
            <w:tcBorders>
              <w:top w:val="nil"/>
              <w:left w:val="nil"/>
              <w:bottom w:val="nil"/>
              <w:right w:val="nil"/>
            </w:tcBorders>
          </w:tcPr>
          <w:p w14:paraId="2C02E37A" w14:textId="6A67260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9</w:t>
            </w:r>
            <w:r w:rsidR="009E389E" w:rsidRPr="00527C38">
              <w:rPr>
                <w:rFonts w:asciiTheme="majorHAnsi" w:hAnsiTheme="majorHAnsi" w:cstheme="majorHAnsi"/>
                <w:highlight w:val="yellow"/>
              </w:rPr>
              <w:t>.</w:t>
            </w:r>
            <w:r w:rsidRPr="00527C38">
              <w:rPr>
                <w:rFonts w:asciiTheme="majorHAnsi" w:hAnsiTheme="majorHAnsi" w:cstheme="majorHAnsi"/>
              </w:rPr>
              <w:t>09e-07</w:t>
            </w:r>
          </w:p>
        </w:tc>
        <w:tc>
          <w:tcPr>
            <w:tcW w:w="749" w:type="pct"/>
            <w:tcBorders>
              <w:top w:val="nil"/>
              <w:left w:val="nil"/>
              <w:bottom w:val="nil"/>
              <w:right w:val="nil"/>
            </w:tcBorders>
          </w:tcPr>
          <w:p w14:paraId="05DD7798" w14:textId="21CEC27F"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4</w:t>
            </w:r>
            <w:r w:rsidR="009E389E" w:rsidRPr="00527C38">
              <w:rPr>
                <w:rFonts w:asciiTheme="majorHAnsi" w:hAnsiTheme="majorHAnsi" w:cstheme="majorHAnsi"/>
                <w:highlight w:val="yellow"/>
              </w:rPr>
              <w:t>.</w:t>
            </w:r>
            <w:r w:rsidRPr="00527C38">
              <w:rPr>
                <w:rFonts w:asciiTheme="majorHAnsi" w:hAnsiTheme="majorHAnsi" w:cstheme="majorHAnsi"/>
              </w:rPr>
              <w:t>10e-05</w:t>
            </w:r>
          </w:p>
        </w:tc>
        <w:tc>
          <w:tcPr>
            <w:tcW w:w="788" w:type="pct"/>
            <w:tcBorders>
              <w:top w:val="nil"/>
              <w:left w:val="nil"/>
              <w:bottom w:val="nil"/>
              <w:right w:val="nil"/>
            </w:tcBorders>
          </w:tcPr>
          <w:p w14:paraId="1C41C582"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p>
        </w:tc>
        <w:tc>
          <w:tcPr>
            <w:tcW w:w="820" w:type="pct"/>
            <w:tcBorders>
              <w:top w:val="nil"/>
              <w:left w:val="nil"/>
              <w:bottom w:val="nil"/>
              <w:right w:val="nil"/>
            </w:tcBorders>
          </w:tcPr>
          <w:p w14:paraId="2242C40D" w14:textId="1A343741"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9</w:t>
            </w:r>
            <w:r w:rsidR="009E389E" w:rsidRPr="00527C38">
              <w:rPr>
                <w:rFonts w:asciiTheme="majorHAnsi" w:hAnsiTheme="majorHAnsi" w:cstheme="majorHAnsi"/>
                <w:highlight w:val="yellow"/>
              </w:rPr>
              <w:t>.</w:t>
            </w:r>
            <w:r w:rsidRPr="00527C38">
              <w:rPr>
                <w:rFonts w:asciiTheme="majorHAnsi" w:hAnsiTheme="majorHAnsi" w:cstheme="majorHAnsi"/>
              </w:rPr>
              <w:t>36e-08</w:t>
            </w:r>
          </w:p>
        </w:tc>
      </w:tr>
      <w:tr w:rsidR="00207AC1" w:rsidRPr="00527C38" w14:paraId="78C07814" w14:textId="77777777" w:rsidTr="000A1478">
        <w:trPr>
          <w:jc w:val="center"/>
        </w:trPr>
        <w:tc>
          <w:tcPr>
            <w:tcW w:w="1783" w:type="pct"/>
            <w:tcBorders>
              <w:top w:val="nil"/>
              <w:left w:val="nil"/>
              <w:bottom w:val="nil"/>
              <w:right w:val="nil"/>
            </w:tcBorders>
          </w:tcPr>
          <w:p w14:paraId="0B04F2DD" w14:textId="77777777"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Hansen test</w:t>
            </w:r>
          </w:p>
        </w:tc>
        <w:tc>
          <w:tcPr>
            <w:tcW w:w="860" w:type="pct"/>
            <w:tcBorders>
              <w:top w:val="nil"/>
              <w:left w:val="nil"/>
              <w:bottom w:val="nil"/>
              <w:right w:val="nil"/>
            </w:tcBorders>
          </w:tcPr>
          <w:p w14:paraId="57E5C5F3" w14:textId="6F49E384"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572</w:t>
            </w:r>
            <w:r w:rsidR="009E389E" w:rsidRPr="00527C38">
              <w:rPr>
                <w:rFonts w:asciiTheme="majorHAnsi" w:hAnsiTheme="majorHAnsi" w:cstheme="majorHAnsi"/>
                <w:highlight w:val="yellow"/>
              </w:rPr>
              <w:t>.</w:t>
            </w:r>
            <w:r w:rsidRPr="00527C38">
              <w:rPr>
                <w:rFonts w:asciiTheme="majorHAnsi" w:hAnsiTheme="majorHAnsi" w:cstheme="majorHAnsi"/>
              </w:rPr>
              <w:t>2</w:t>
            </w:r>
          </w:p>
        </w:tc>
        <w:tc>
          <w:tcPr>
            <w:tcW w:w="749" w:type="pct"/>
            <w:tcBorders>
              <w:top w:val="nil"/>
              <w:left w:val="nil"/>
              <w:bottom w:val="nil"/>
              <w:right w:val="nil"/>
            </w:tcBorders>
          </w:tcPr>
          <w:p w14:paraId="24E7E7ED" w14:textId="1DA1DABA"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560</w:t>
            </w:r>
            <w:r w:rsidR="009E389E" w:rsidRPr="00527C38">
              <w:rPr>
                <w:rFonts w:asciiTheme="majorHAnsi" w:hAnsiTheme="majorHAnsi" w:cstheme="majorHAnsi"/>
                <w:highlight w:val="yellow"/>
              </w:rPr>
              <w:t>.</w:t>
            </w:r>
            <w:r w:rsidRPr="00527C38">
              <w:rPr>
                <w:rFonts w:asciiTheme="majorHAnsi" w:hAnsiTheme="majorHAnsi" w:cstheme="majorHAnsi"/>
              </w:rPr>
              <w:t>3</w:t>
            </w:r>
          </w:p>
        </w:tc>
        <w:tc>
          <w:tcPr>
            <w:tcW w:w="788" w:type="pct"/>
            <w:tcBorders>
              <w:top w:val="nil"/>
              <w:left w:val="nil"/>
              <w:bottom w:val="nil"/>
              <w:right w:val="nil"/>
            </w:tcBorders>
          </w:tcPr>
          <w:p w14:paraId="6FB9311B" w14:textId="695EBB1B"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570</w:t>
            </w:r>
            <w:r w:rsidR="009E389E" w:rsidRPr="00527C38">
              <w:rPr>
                <w:rFonts w:asciiTheme="majorHAnsi" w:hAnsiTheme="majorHAnsi" w:cstheme="majorHAnsi"/>
                <w:highlight w:val="yellow"/>
              </w:rPr>
              <w:t>.</w:t>
            </w:r>
            <w:r w:rsidRPr="00527C38">
              <w:rPr>
                <w:rFonts w:asciiTheme="majorHAnsi" w:hAnsiTheme="majorHAnsi" w:cstheme="majorHAnsi"/>
              </w:rPr>
              <w:t>9</w:t>
            </w:r>
          </w:p>
        </w:tc>
        <w:tc>
          <w:tcPr>
            <w:tcW w:w="820" w:type="pct"/>
            <w:tcBorders>
              <w:top w:val="nil"/>
              <w:left w:val="nil"/>
              <w:bottom w:val="nil"/>
              <w:right w:val="nil"/>
            </w:tcBorders>
          </w:tcPr>
          <w:p w14:paraId="2E9DD9FD" w14:textId="24408443"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563</w:t>
            </w:r>
            <w:r w:rsidR="009E389E" w:rsidRPr="00527C38">
              <w:rPr>
                <w:rFonts w:asciiTheme="majorHAnsi" w:hAnsiTheme="majorHAnsi" w:cstheme="majorHAnsi"/>
                <w:highlight w:val="yellow"/>
              </w:rPr>
              <w:t>.</w:t>
            </w:r>
            <w:r w:rsidRPr="00527C38">
              <w:rPr>
                <w:rFonts w:asciiTheme="majorHAnsi" w:hAnsiTheme="majorHAnsi" w:cstheme="majorHAnsi"/>
              </w:rPr>
              <w:t>9</w:t>
            </w:r>
          </w:p>
        </w:tc>
      </w:tr>
      <w:tr w:rsidR="00207AC1" w:rsidRPr="00527C38" w14:paraId="3C6B3E43" w14:textId="77777777" w:rsidTr="000A1478">
        <w:tblPrEx>
          <w:tblBorders>
            <w:bottom w:val="single" w:sz="6" w:space="0" w:color="auto"/>
          </w:tblBorders>
        </w:tblPrEx>
        <w:trPr>
          <w:jc w:val="center"/>
        </w:trPr>
        <w:tc>
          <w:tcPr>
            <w:tcW w:w="1783" w:type="pct"/>
            <w:tcBorders>
              <w:top w:val="nil"/>
              <w:left w:val="nil"/>
              <w:bottom w:val="single" w:sz="6" w:space="0" w:color="auto"/>
              <w:right w:val="nil"/>
            </w:tcBorders>
          </w:tcPr>
          <w:p w14:paraId="0ACB87D0" w14:textId="597D4911" w:rsidR="000A1478" w:rsidRPr="00527C38" w:rsidRDefault="000A1478" w:rsidP="000A1478">
            <w:pPr>
              <w:widowControl w:val="0"/>
              <w:autoSpaceDE w:val="0"/>
              <w:autoSpaceDN w:val="0"/>
              <w:adjustRightInd w:val="0"/>
              <w:spacing w:after="0" w:line="240" w:lineRule="auto"/>
              <w:rPr>
                <w:rFonts w:asciiTheme="majorHAnsi" w:hAnsiTheme="majorHAnsi" w:cstheme="majorHAnsi"/>
              </w:rPr>
            </w:pPr>
            <w:r w:rsidRPr="00527C38">
              <w:rPr>
                <w:rFonts w:asciiTheme="majorHAnsi" w:hAnsiTheme="majorHAnsi" w:cstheme="majorHAnsi"/>
              </w:rPr>
              <w:t>p</w:t>
            </w:r>
            <w:r w:rsidR="00193347" w:rsidRPr="00527C38">
              <w:rPr>
                <w:rFonts w:asciiTheme="majorHAnsi" w:hAnsiTheme="majorHAnsi" w:cstheme="majorHAnsi"/>
                <w:lang w:val="en-US"/>
              </w:rPr>
              <w:t>-</w:t>
            </w:r>
            <w:r w:rsidRPr="00527C38">
              <w:rPr>
                <w:rFonts w:asciiTheme="majorHAnsi" w:hAnsiTheme="majorHAnsi" w:cstheme="majorHAnsi"/>
              </w:rPr>
              <w:t>Hansen</w:t>
            </w:r>
          </w:p>
        </w:tc>
        <w:tc>
          <w:tcPr>
            <w:tcW w:w="860" w:type="pct"/>
            <w:tcBorders>
              <w:top w:val="nil"/>
              <w:left w:val="nil"/>
              <w:bottom w:val="single" w:sz="6" w:space="0" w:color="auto"/>
              <w:right w:val="nil"/>
            </w:tcBorders>
          </w:tcPr>
          <w:p w14:paraId="3D25E372" w14:textId="682ADE7D"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514</w:t>
            </w:r>
          </w:p>
        </w:tc>
        <w:tc>
          <w:tcPr>
            <w:tcW w:w="749" w:type="pct"/>
            <w:tcBorders>
              <w:top w:val="nil"/>
              <w:left w:val="nil"/>
              <w:bottom w:val="single" w:sz="6" w:space="0" w:color="auto"/>
              <w:right w:val="nil"/>
            </w:tcBorders>
          </w:tcPr>
          <w:p w14:paraId="71935EAF" w14:textId="3CB0D912"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477</w:t>
            </w:r>
          </w:p>
        </w:tc>
        <w:tc>
          <w:tcPr>
            <w:tcW w:w="788" w:type="pct"/>
            <w:tcBorders>
              <w:top w:val="nil"/>
              <w:left w:val="nil"/>
              <w:bottom w:val="single" w:sz="6" w:space="0" w:color="auto"/>
              <w:right w:val="nil"/>
            </w:tcBorders>
          </w:tcPr>
          <w:p w14:paraId="3DA44A59" w14:textId="5B56A665"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529</w:t>
            </w:r>
          </w:p>
        </w:tc>
        <w:tc>
          <w:tcPr>
            <w:tcW w:w="820" w:type="pct"/>
            <w:tcBorders>
              <w:top w:val="nil"/>
              <w:left w:val="nil"/>
              <w:bottom w:val="single" w:sz="6" w:space="0" w:color="auto"/>
              <w:right w:val="nil"/>
            </w:tcBorders>
          </w:tcPr>
          <w:p w14:paraId="62C50C06" w14:textId="2566D3C9"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0</w:t>
            </w:r>
            <w:r w:rsidR="009E389E" w:rsidRPr="00527C38">
              <w:rPr>
                <w:rFonts w:asciiTheme="majorHAnsi" w:hAnsiTheme="majorHAnsi" w:cstheme="majorHAnsi"/>
                <w:highlight w:val="yellow"/>
              </w:rPr>
              <w:t>.</w:t>
            </w:r>
            <w:r w:rsidRPr="00527C38">
              <w:rPr>
                <w:rFonts w:asciiTheme="majorHAnsi" w:hAnsiTheme="majorHAnsi" w:cstheme="majorHAnsi"/>
              </w:rPr>
              <w:t>610</w:t>
            </w:r>
          </w:p>
        </w:tc>
      </w:tr>
    </w:tbl>
    <w:p w14:paraId="1468F803"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z-statistics in parentheses</w:t>
      </w:r>
    </w:p>
    <w:p w14:paraId="19FF483C" w14:textId="77777777" w:rsidR="000A1478" w:rsidRPr="00527C38" w:rsidRDefault="000A1478" w:rsidP="000A1478">
      <w:pPr>
        <w:widowControl w:val="0"/>
        <w:autoSpaceDE w:val="0"/>
        <w:autoSpaceDN w:val="0"/>
        <w:adjustRightInd w:val="0"/>
        <w:spacing w:after="0" w:line="240" w:lineRule="auto"/>
        <w:jc w:val="center"/>
        <w:rPr>
          <w:rFonts w:asciiTheme="majorHAnsi" w:hAnsiTheme="majorHAnsi" w:cstheme="majorHAnsi"/>
        </w:rPr>
      </w:pPr>
      <w:r w:rsidRPr="00527C38">
        <w:rPr>
          <w:rFonts w:asciiTheme="majorHAnsi" w:hAnsiTheme="majorHAnsi" w:cstheme="majorHAnsi"/>
        </w:rPr>
        <w:t>*** p&lt;0.01, ** p&lt;0.05, * p&lt;0.1</w:t>
      </w:r>
    </w:p>
    <w:p w14:paraId="3E734A27" w14:textId="77777777" w:rsidR="003205C1" w:rsidRPr="00527C38" w:rsidRDefault="003205C1" w:rsidP="003205C1">
      <w:pPr>
        <w:pStyle w:val="Nidungbibo"/>
        <w:rPr>
          <w:lang w:val="en-US"/>
        </w:rPr>
        <w:sectPr w:rsidR="003205C1" w:rsidRPr="00527C38" w:rsidSect="003205C1">
          <w:type w:val="continuous"/>
          <w:pgSz w:w="11906" w:h="16838"/>
          <w:pgMar w:top="1134" w:right="1134" w:bottom="1134" w:left="1418" w:header="709" w:footer="709" w:gutter="0"/>
          <w:cols w:space="708"/>
          <w:docGrid w:linePitch="360"/>
        </w:sectPr>
      </w:pPr>
    </w:p>
    <w:p w14:paraId="0D6DA789" w14:textId="77777777" w:rsidR="00DC6701" w:rsidRPr="00527C38" w:rsidRDefault="00DC6701" w:rsidP="00DC6701">
      <w:pPr>
        <w:pStyle w:val="Nidungbibo"/>
        <w:rPr>
          <w:noProof/>
          <w:lang w:val="en-US"/>
        </w:rPr>
      </w:pPr>
      <w:r w:rsidRPr="00527C38">
        <w:rPr>
          <w:noProof/>
          <w:lang w:val="en-US"/>
        </w:rPr>
        <w:t xml:space="preserve">The analysis of control variables reveals that the financial leverage ratio (FS) exhibits a positive and statistically significant coefficient at the 1% level in both the DA and Ab_PROD models, indicating that firms with higher leverage </w:t>
      </w:r>
      <w:r w:rsidRPr="00527C38">
        <w:rPr>
          <w:noProof/>
          <w:lang w:val="en-US"/>
        </w:rPr>
        <w:t xml:space="preserve">are more likely to engage in earnings management. This evidence corroborates the Debt Covenant Hypothesis of Positive Accounting Theory,² which suggests that as leverage increases, managers face greater </w:t>
      </w:r>
      <w:r w:rsidRPr="00527C38">
        <w:rPr>
          <w:noProof/>
          <w:lang w:val="en-US"/>
        </w:rPr>
        <w:lastRenderedPageBreak/>
        <w:t>pressure to maintain accounting ratios within acceptable thresholds to avoid breaching loan covenants or being perceived as financially unstable.</w:t>
      </w:r>
    </w:p>
    <w:p w14:paraId="7E9581D0" w14:textId="1B822FB6" w:rsidR="00DC6701" w:rsidRPr="00527C38" w:rsidRDefault="00DC6701" w:rsidP="00DC6701">
      <w:pPr>
        <w:pStyle w:val="Nidungbibo"/>
        <w:rPr>
          <w:noProof/>
          <w:lang w:val="en-US"/>
        </w:rPr>
      </w:pPr>
      <w:r w:rsidRPr="00527C38">
        <w:rPr>
          <w:noProof/>
          <w:lang w:val="en-US"/>
        </w:rPr>
        <w:t>Given that bank credit remains the predominant source of financing for Vietnamese enterprises, the pressure to preserve a favorable financial image and sustain creditor confidence provides strong incentives for earnings manipulation. This result aligns with prior international findings from Spain, China, and New Zealand,</w:t>
      </w:r>
      <w:r w:rsidR="00DC1B20" w:rsidRPr="00527C38">
        <w:fldChar w:fldCharType="begin">
          <w:fldData xml:space="preserve">PEVuZE5vdGU+PENpdGU+PEF1dGhvcj5DYW1wYTwvQXV0aG9yPjxZZWFyPjIwMTU8L1llYXI+PFJl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</w:fldData>
        </w:fldChar>
      </w:r>
      <w:r w:rsidR="004647A7" w:rsidRPr="00527C38">
        <w:instrText xml:space="preserve"> ADDIN EN.CITE </w:instrText>
      </w:r>
      <w:r w:rsidR="004647A7" w:rsidRPr="00527C38">
        <w:fldChar w:fldCharType="begin">
          <w:fldData xml:space="preserve">PEVuZE5vdGU+PENpdGU+PEF1dGhvcj5DYW1wYTwvQXV0aG9yPjxZZWFyPjIwMTU8L1llYXI+PFJl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</w:fldData>
        </w:fldChar>
      </w:r>
      <w:r w:rsidR="004647A7" w:rsidRPr="00527C38">
        <w:instrText xml:space="preserve"> ADDIN EN.CITE.DATA </w:instrText>
      </w:r>
      <w:r w:rsidR="004647A7" w:rsidRPr="00527C38">
        <w:fldChar w:fldCharType="end"/>
      </w:r>
      <w:r w:rsidR="00DC1B20" w:rsidRPr="00527C38">
        <w:fldChar w:fldCharType="separate"/>
      </w:r>
      <w:hyperlink w:anchor="_ENREF_3" w:tooltip="Habib, 2013 #13074" w:history="1">
        <w:r w:rsidR="00527C38" w:rsidRPr="00527C38">
          <w:rPr>
            <w:vertAlign w:val="superscript"/>
          </w:rPr>
          <w:t>3</w:t>
        </w:r>
      </w:hyperlink>
      <w:r w:rsidR="00DC1B20" w:rsidRPr="00527C38">
        <w:rPr>
          <w:noProof/>
          <w:vertAlign w:val="superscript"/>
        </w:rPr>
        <w:t>,</w:t>
      </w:r>
      <w:hyperlink w:anchor="_ENREF_5" w:tooltip="Li, 2020 #2812" w:history="1">
        <w:r w:rsidR="00527C38" w:rsidRPr="00527C38">
          <w:rPr>
            <w:vertAlign w:val="superscript"/>
          </w:rPr>
          <w:t>5</w:t>
        </w:r>
      </w:hyperlink>
      <w:r w:rsidR="00DC1B20" w:rsidRPr="00527C38">
        <w:rPr>
          <w:noProof/>
          <w:vertAlign w:val="superscript"/>
        </w:rPr>
        <w:t>,</w:t>
      </w:r>
      <w:hyperlink w:anchor="_ENREF_16" w:tooltip="Campa, 2015 #1727" w:history="1">
        <w:r w:rsidR="00527C38" w:rsidRPr="00527C38">
          <w:rPr>
            <w:vertAlign w:val="superscript"/>
          </w:rPr>
          <w:t>16</w:t>
        </w:r>
      </w:hyperlink>
      <w:r w:rsidR="00DC1B20" w:rsidRPr="00527C38">
        <w:fldChar w:fldCharType="end"/>
      </w:r>
      <w:hyperlink w:anchor="_ENREF_5" w:tooltip="Li, 2020 #2812" w:history="1"/>
      <w:hyperlink w:anchor="_ENREF_3" w:tooltip="Habib, 2013 #13074" w:history="1"/>
      <w:r w:rsidRPr="00527C38">
        <w:rPr>
          <w:noProof/>
          <w:lang w:val="en-US"/>
        </w:rPr>
        <w:t xml:space="preserve"> which consistently report a positive association between leverage and the extent of earnings management.</w:t>
      </w:r>
    </w:p>
    <w:p w14:paraId="09BBAA06" w14:textId="7B3EA969" w:rsidR="00DC6701" w:rsidRPr="00527C38" w:rsidRDefault="00DC6701" w:rsidP="00DC6701">
      <w:pPr>
        <w:pStyle w:val="Nidungbibo"/>
        <w:rPr>
          <w:noProof/>
          <w:lang w:val="en-US"/>
        </w:rPr>
      </w:pPr>
      <w:r w:rsidRPr="00527C38">
        <w:rPr>
          <w:noProof/>
          <w:lang w:val="en-US"/>
        </w:rPr>
        <w:t>Other control variables offer complementary insights. The current ratio (CR) demonstrates a positive and significant relationship with earnings management, suggesting that firms with greater short</w:t>
      </w:r>
      <w:r w:rsidR="004C6136" w:rsidRPr="00527C38">
        <w:rPr>
          <w:noProof/>
          <w:lang w:val="en-US"/>
        </w:rPr>
        <w:t xml:space="preserve"> </w:t>
      </w:r>
      <w:r w:rsidRPr="00527C38">
        <w:rPr>
          <w:noProof/>
          <w:lang w:val="en-US"/>
        </w:rPr>
        <w:t>term liquidity may engage in mild earnings adjustments to signal financial stability, rather than resorting to aggressive manipulation to obscure risk. In contrast, the interest coverage ratio (IC) shows a negative and statistically significant coefficient in the DA model (–6.03e–05, p &lt; 0.01), implying that firms with stronger interest</w:t>
      </w:r>
      <w:r w:rsidR="004C6136" w:rsidRPr="00527C38">
        <w:rPr>
          <w:noProof/>
          <w:lang w:val="en-US"/>
        </w:rPr>
        <w:t xml:space="preserve"> </w:t>
      </w:r>
      <w:r w:rsidRPr="00527C38">
        <w:rPr>
          <w:noProof/>
          <w:lang w:val="en-US"/>
        </w:rPr>
        <w:t>paying capacity have less incentive to manage accruals.</w:t>
      </w:r>
    </w:p>
    <w:p w14:paraId="7CA9968D" w14:textId="04ABC065" w:rsidR="00DC6701" w:rsidRPr="00527C38" w:rsidRDefault="00DC6701" w:rsidP="00DC6701">
      <w:pPr>
        <w:pStyle w:val="Nidungbibo"/>
        <w:rPr>
          <w:noProof/>
          <w:lang w:val="en-US"/>
        </w:rPr>
      </w:pPr>
      <w:r w:rsidRPr="00527C38">
        <w:rPr>
          <w:noProof/>
          <w:lang w:val="en-US"/>
        </w:rPr>
        <w:t>The cash flow to debt ratio (CFD) exhibits mixed effects</w:t>
      </w:r>
      <w:r w:rsidR="004C6136" w:rsidRPr="00527C38">
        <w:rPr>
          <w:noProof/>
          <w:lang w:val="en-US"/>
        </w:rPr>
        <w:t xml:space="preserve"> </w:t>
      </w:r>
      <w:r w:rsidRPr="00527C38">
        <w:rPr>
          <w:noProof/>
          <w:lang w:val="en-US"/>
        </w:rPr>
        <w:t>positive on DA (0.0394, p &lt; 0.05) but strongly negative on Ab_PROD (–0.0506, p &lt; 0.01) and Ab_CFO (–0.149, p &lt; 0.01). These patterns suggest that firms with stable operating cash flows and stronger debt</w:t>
      </w:r>
      <w:r w:rsidR="004C6136" w:rsidRPr="00527C38">
        <w:rPr>
          <w:noProof/>
          <w:lang w:val="en-US"/>
        </w:rPr>
        <w:t xml:space="preserve"> </w:t>
      </w:r>
      <w:r w:rsidRPr="00527C38">
        <w:rPr>
          <w:noProof/>
          <w:lang w:val="en-US"/>
        </w:rPr>
        <w:t>servicing ability prefer accrual</w:t>
      </w:r>
      <w:r w:rsidR="004C6136" w:rsidRPr="00527C38">
        <w:rPr>
          <w:noProof/>
          <w:lang w:val="en-US"/>
        </w:rPr>
        <w:t xml:space="preserve"> </w:t>
      </w:r>
      <w:r w:rsidRPr="00527C38">
        <w:rPr>
          <w:noProof/>
          <w:lang w:val="en-US"/>
        </w:rPr>
        <w:t>based adjustments, whereas those with weaker cash positions rely more heavily on real activity manipulation to meet short</w:t>
      </w:r>
      <w:r w:rsidR="004C6136" w:rsidRPr="00527C38">
        <w:rPr>
          <w:noProof/>
          <w:lang w:val="en-US"/>
        </w:rPr>
        <w:t xml:space="preserve"> </w:t>
      </w:r>
      <w:r w:rsidRPr="00527C38">
        <w:rPr>
          <w:noProof/>
          <w:lang w:val="en-US"/>
        </w:rPr>
        <w:t>term earnings targets.</w:t>
      </w:r>
    </w:p>
    <w:p w14:paraId="04EF3A20" w14:textId="265CA135" w:rsidR="00DC6701" w:rsidRPr="00527C38" w:rsidRDefault="00DC6701" w:rsidP="00DC6701">
      <w:pPr>
        <w:pStyle w:val="Nidungbibo"/>
        <w:rPr>
          <w:noProof/>
          <w:lang w:val="en-US"/>
        </w:rPr>
      </w:pPr>
      <w:r w:rsidRPr="00527C38">
        <w:rPr>
          <w:noProof/>
          <w:lang w:val="en-US"/>
        </w:rPr>
        <w:t>From a statistical perspective, diagnostic tests confirm the robustness and validity of the two</w:t>
      </w:r>
      <w:r w:rsidR="004C6136" w:rsidRPr="00527C38">
        <w:rPr>
          <w:noProof/>
          <w:lang w:val="en-US"/>
        </w:rPr>
        <w:t xml:space="preserve"> </w:t>
      </w:r>
      <w:r w:rsidRPr="00527C38">
        <w:rPr>
          <w:noProof/>
          <w:lang w:val="en-US"/>
        </w:rPr>
        <w:t>step System GMM estimation. The Arellano–Bond AR(1) and AR(2) tests indicate the presence of first</w:t>
      </w:r>
      <w:r w:rsidR="004C6136" w:rsidRPr="00527C38">
        <w:rPr>
          <w:noProof/>
          <w:lang w:val="en-US"/>
        </w:rPr>
        <w:t xml:space="preserve"> </w:t>
      </w:r>
      <w:r w:rsidRPr="00527C38">
        <w:rPr>
          <w:noProof/>
          <w:lang w:val="en-US"/>
        </w:rPr>
        <w:t>order but not second</w:t>
      </w:r>
      <w:r w:rsidR="004C6136" w:rsidRPr="00527C38">
        <w:rPr>
          <w:noProof/>
          <w:lang w:val="en-US"/>
        </w:rPr>
        <w:t xml:space="preserve"> </w:t>
      </w:r>
      <w:r w:rsidRPr="00527C38">
        <w:rPr>
          <w:noProof/>
          <w:lang w:val="en-US"/>
        </w:rPr>
        <w:t>order autocorrelation (p&lt;sub&gt;AR(2)&lt;/sub&gt; &gt; 0.05), satisfying dynamic model requirements. Moreover, the Hansen test yields p-values between 0.48 and 0.61, confirming instrument validity and the absence of over</w:t>
      </w:r>
      <w:r w:rsidR="004C6136" w:rsidRPr="00527C38">
        <w:rPr>
          <w:noProof/>
          <w:lang w:val="en-US"/>
        </w:rPr>
        <w:t xml:space="preserve"> </w:t>
      </w:r>
      <w:r w:rsidRPr="00527C38">
        <w:rPr>
          <w:noProof/>
          <w:lang w:val="en-US"/>
        </w:rPr>
        <w:t>identification issues. Collectively, these results affirm that the two</w:t>
      </w:r>
      <w:r w:rsidR="004C6136" w:rsidRPr="00527C38">
        <w:rPr>
          <w:noProof/>
          <w:lang w:val="en-US"/>
        </w:rPr>
        <w:t xml:space="preserve"> </w:t>
      </w:r>
      <w:r w:rsidRPr="00527C38">
        <w:rPr>
          <w:noProof/>
          <w:lang w:val="en-US"/>
        </w:rPr>
        <w:t>step System GMM estimator provides consistent and reliable inference for the panel dataset.</w:t>
      </w:r>
    </w:p>
    <w:p w14:paraId="4E81B1E2" w14:textId="322365B6" w:rsidR="00DC6701" w:rsidRPr="00527C38" w:rsidRDefault="00DC6701" w:rsidP="00DC6701">
      <w:pPr>
        <w:pStyle w:val="Nidungbibo"/>
        <w:rPr>
          <w:noProof/>
          <w:lang w:val="en-US"/>
        </w:rPr>
      </w:pPr>
      <w:r w:rsidRPr="00527C38">
        <w:rPr>
          <w:noProof/>
          <w:lang w:val="en-US"/>
        </w:rPr>
        <w:t xml:space="preserve">From an academic standpoint, the findings extend the empirical literature on earnings management under financial distress in emerging </w:t>
      </w:r>
      <w:r w:rsidRPr="00527C38">
        <w:rPr>
          <w:noProof/>
          <w:lang w:val="en-US"/>
        </w:rPr>
        <w:t>markets. Unlike prior studies focusing solely on one form of manipulation, this study demonstrates that firms adopt strategically flexible approaches</w:t>
      </w:r>
      <w:r w:rsidR="004C6136" w:rsidRPr="00527C38">
        <w:rPr>
          <w:noProof/>
          <w:lang w:val="en-US"/>
        </w:rPr>
        <w:t xml:space="preserve"> </w:t>
      </w:r>
      <w:r w:rsidRPr="00527C38">
        <w:rPr>
          <w:noProof/>
          <w:lang w:val="en-US"/>
        </w:rPr>
        <w:t>choosing between accrual</w:t>
      </w:r>
      <w:r w:rsidR="004C6136" w:rsidRPr="00527C38">
        <w:rPr>
          <w:noProof/>
          <w:lang w:val="en-US"/>
        </w:rPr>
        <w:t xml:space="preserve"> </w:t>
      </w:r>
      <w:r w:rsidRPr="00527C38">
        <w:rPr>
          <w:noProof/>
          <w:lang w:val="en-US"/>
        </w:rPr>
        <w:t>based and real earnings management depending on their financial condition. Financially stable firms rely more on accounting</w:t>
      </w:r>
      <w:r w:rsidR="004C6136" w:rsidRPr="00527C38">
        <w:rPr>
          <w:noProof/>
          <w:lang w:val="en-US"/>
        </w:rPr>
        <w:t xml:space="preserve"> </w:t>
      </w:r>
      <w:r w:rsidRPr="00527C38">
        <w:rPr>
          <w:noProof/>
          <w:lang w:val="en-US"/>
        </w:rPr>
        <w:t>based adjustments, while financially constrained firms manipulate real operations to sustain profitability and signal resilience. These findings reinforce the Debt Covenant Hypothesis and highlight that earnings management should be viewed as a strategic adaptation to financial constraints rather than merely opportunistic behavior.</w:t>
      </w:r>
    </w:p>
    <w:p w14:paraId="5BEB8DB2" w14:textId="4C7A8EF7" w:rsidR="00DC6701" w:rsidRPr="00527C38" w:rsidRDefault="00DC6701" w:rsidP="00DC6701">
      <w:pPr>
        <w:pStyle w:val="Nidungbibo"/>
        <w:rPr>
          <w:noProof/>
          <w:lang w:val="en-US"/>
        </w:rPr>
      </w:pPr>
      <w:r w:rsidRPr="00527C38">
        <w:rPr>
          <w:noProof/>
          <w:lang w:val="en-US"/>
        </w:rPr>
        <w:t>From a practical perspective, the results yield several implications for policymakers, auditors, and investors. Financial supervisory authorities should broaden their focus beyond accrual</w:t>
      </w:r>
      <w:r w:rsidR="004C6136" w:rsidRPr="00527C38">
        <w:rPr>
          <w:noProof/>
          <w:lang w:val="en-US"/>
        </w:rPr>
        <w:t xml:space="preserve"> </w:t>
      </w:r>
      <w:r w:rsidRPr="00527C38">
        <w:rPr>
          <w:noProof/>
          <w:lang w:val="en-US"/>
        </w:rPr>
        <w:t>based indicators to include potential signs of real activity manipulation, such as abnormal shifts in production, inventory, or selling expenses. Auditors and investors are encouraged to assess both accrual</w:t>
      </w:r>
      <w:r w:rsidR="004C6136" w:rsidRPr="00527C38">
        <w:rPr>
          <w:noProof/>
          <w:lang w:val="en-US"/>
        </w:rPr>
        <w:t xml:space="preserve"> </w:t>
      </w:r>
      <w:r w:rsidRPr="00527C38">
        <w:rPr>
          <w:noProof/>
          <w:lang w:val="en-US"/>
        </w:rPr>
        <w:t>based and real earnings management jointly to obtain a more comprehensive view of earnings quality and long</w:t>
      </w:r>
      <w:r w:rsidR="004C6136" w:rsidRPr="00527C38">
        <w:rPr>
          <w:noProof/>
          <w:lang w:val="en-US"/>
        </w:rPr>
        <w:t xml:space="preserve"> </w:t>
      </w:r>
      <w:r w:rsidRPr="00527C38">
        <w:rPr>
          <w:noProof/>
          <w:lang w:val="en-US"/>
        </w:rPr>
        <w:t>term financial risk. Firms with high leverage or weak cash flow positions are particularly prone to manipulation, underscoring the importance of early detection mechanisms in credit assessment and investment decision</w:t>
      </w:r>
      <w:r w:rsidR="004C6136" w:rsidRPr="00527C38">
        <w:rPr>
          <w:noProof/>
          <w:lang w:val="en-US"/>
        </w:rPr>
        <w:t xml:space="preserve"> </w:t>
      </w:r>
      <w:r w:rsidRPr="00527C38">
        <w:rPr>
          <w:noProof/>
          <w:lang w:val="en-US"/>
        </w:rPr>
        <w:t>making.</w:t>
      </w:r>
    </w:p>
    <w:p w14:paraId="270769D0" w14:textId="20613BE3" w:rsidR="00F03BF0" w:rsidRPr="00527C38" w:rsidRDefault="00DC6701" w:rsidP="00DC6701">
      <w:pPr>
        <w:pStyle w:val="Nidungbibo"/>
        <w:rPr>
          <w:noProof/>
          <w:lang w:val="en-US"/>
        </w:rPr>
      </w:pPr>
      <w:r w:rsidRPr="00527C38">
        <w:rPr>
          <w:noProof/>
          <w:lang w:val="en-US"/>
        </w:rPr>
        <w:t>Overall, the empirical evidence confirms that financial distress and capital structure play significant roles in shaping earnings management behavior among Vietnamese listed firms. As leverage and liquidity pressures intensify, firms tend to adjust reported earnings to maintain financial stability and mitigate credit risk. However, the chosen form of manipulation depends critically on each firm’s financial capacity and operational characteristics. These findings provide valuable insights for enhancing financial oversight, corporate governance, and risk management within Vietnam’s evolving capital market.</w:t>
      </w:r>
    </w:p>
    <w:p w14:paraId="73836528" w14:textId="77777777" w:rsidR="00C05DD4" w:rsidRPr="00527C38" w:rsidRDefault="00C05DD4" w:rsidP="00C05DD4">
      <w:pPr>
        <w:pStyle w:val="Tiumc"/>
        <w:rPr>
          <w:rFonts w:asciiTheme="majorHAnsi" w:hAnsiTheme="majorHAnsi" w:cstheme="majorHAnsi"/>
          <w:noProof/>
          <w:highlight w:val="yellow"/>
        </w:rPr>
      </w:pPr>
      <w:r w:rsidRPr="00527C38">
        <w:rPr>
          <w:rFonts w:asciiTheme="majorHAnsi" w:hAnsiTheme="majorHAnsi" w:cstheme="majorHAnsi"/>
          <w:noProof/>
          <w:highlight w:val="yellow"/>
        </w:rPr>
        <w:t>4.3. Robustness Checks</w:t>
      </w:r>
    </w:p>
    <w:p w14:paraId="02C53719" w14:textId="4677CD83" w:rsidR="004647A7" w:rsidRPr="00527C38" w:rsidRDefault="001509AF" w:rsidP="001509AF">
      <w:pPr>
        <w:pStyle w:val="Nidungbibo"/>
        <w:rPr>
          <w:noProof/>
          <w:highlight w:val="yellow"/>
          <w:lang w:val="en-US"/>
        </w:rPr>
        <w:sectPr w:rsidR="004647A7" w:rsidRPr="00527C38" w:rsidSect="00C05DD4">
          <w:type w:val="continuous"/>
          <w:pgSz w:w="11906" w:h="16838"/>
          <w:pgMar w:top="1134" w:right="1134" w:bottom="1134" w:left="1418" w:header="709" w:footer="709" w:gutter="0"/>
          <w:cols w:num="2" w:space="708"/>
          <w:docGrid w:linePitch="360"/>
        </w:sectPr>
      </w:pPr>
      <w:r w:rsidRPr="00527C38">
        <w:rPr>
          <w:noProof/>
          <w:highlight w:val="yellow"/>
          <w:lang w:val="en-US"/>
        </w:rPr>
        <w:t>To validate the reliability of our primary findings, we performed a robustness check using the Zmijewski (1984) model as an alternative proxy for financial health, denoted as X-score in Table 5</w:t>
      </w:r>
      <w:r w:rsidR="004647A7" w:rsidRPr="00527C38">
        <w:rPr>
          <w:noProof/>
          <w:highlight w:val="yellow"/>
          <w:lang w:val="en-US"/>
        </w:rPr>
        <w:t>.</w:t>
      </w:r>
      <w:r w:rsidRPr="00527C38">
        <w:rPr>
          <w:noProof/>
          <w:highlight w:val="yellow"/>
          <w:lang w:val="en-US"/>
        </w:rPr>
        <w:t xml:space="preserve"> </w:t>
      </w:r>
      <w:r w:rsidRPr="00527C38">
        <w:rPr>
          <w:noProof/>
          <w:highlight w:val="yellow"/>
          <w:lang w:val="en-US"/>
        </w:rPr>
        <w:t xml:space="preserve">It is important to note that for consistency with the Z-score, we calculated the X-score such that a higher value indicates better financial health (lower risk of distress). The results reported in Table 5 show that the coefficients for the X-score are qualitatively </w:t>
      </w:r>
      <w:r w:rsidRPr="00527C38">
        <w:rPr>
          <w:noProof/>
          <w:highlight w:val="yellow"/>
          <w:lang w:val="en-US"/>
        </w:rPr>
        <w:lastRenderedPageBreak/>
        <w:t xml:space="preserve">similar to those of the Z-score in the baseline model. Specifically, the X-score exhibits a significant negative relationship with </w:t>
      </w:r>
      <w:r w:rsidRPr="00527C38">
        <w:rPr>
          <w:noProof/>
          <w:highlight w:val="yellow"/>
          <w:lang w:val="en-US"/>
        </w:rPr>
        <w:t>r</w:t>
      </w:r>
      <w:r w:rsidRPr="00527C38">
        <w:rPr>
          <w:noProof/>
          <w:highlight w:val="yellow"/>
          <w:lang w:val="en-US"/>
        </w:rPr>
        <w:t xml:space="preserve">eal </w:t>
      </w:r>
      <w:r w:rsidRPr="00527C38">
        <w:rPr>
          <w:noProof/>
          <w:highlight w:val="yellow"/>
          <w:lang w:val="en-US"/>
        </w:rPr>
        <w:t>e</w:t>
      </w:r>
      <w:r w:rsidRPr="00527C38">
        <w:rPr>
          <w:noProof/>
          <w:highlight w:val="yellow"/>
          <w:lang w:val="en-US"/>
        </w:rPr>
        <w:t xml:space="preserve">arnings </w:t>
      </w:r>
      <w:r w:rsidRPr="00527C38">
        <w:rPr>
          <w:noProof/>
          <w:highlight w:val="yellow"/>
          <w:lang w:val="en-US"/>
        </w:rPr>
        <w:t>m</w:t>
      </w:r>
      <w:r w:rsidRPr="00527C38">
        <w:rPr>
          <w:noProof/>
          <w:highlight w:val="yellow"/>
          <w:lang w:val="en-US"/>
        </w:rPr>
        <w:t xml:space="preserve">anagement and a positive relationship with </w:t>
      </w:r>
      <w:r w:rsidRPr="00527C38">
        <w:rPr>
          <w:noProof/>
          <w:highlight w:val="yellow"/>
          <w:lang w:val="en-US"/>
        </w:rPr>
        <w:t>a</w:t>
      </w:r>
      <w:r w:rsidRPr="00527C38">
        <w:rPr>
          <w:noProof/>
          <w:highlight w:val="yellow"/>
          <w:lang w:val="en-US"/>
        </w:rPr>
        <w:t xml:space="preserve">ccrual-based </w:t>
      </w:r>
      <w:r w:rsidRPr="00527C38">
        <w:rPr>
          <w:noProof/>
          <w:highlight w:val="yellow"/>
          <w:lang w:val="en-US"/>
        </w:rPr>
        <w:t>e</w:t>
      </w:r>
      <w:r w:rsidRPr="00527C38">
        <w:rPr>
          <w:noProof/>
          <w:highlight w:val="yellow"/>
          <w:lang w:val="en-US"/>
        </w:rPr>
        <w:t xml:space="preserve">arnings </w:t>
      </w:r>
      <w:r w:rsidRPr="00527C38">
        <w:rPr>
          <w:noProof/>
          <w:highlight w:val="yellow"/>
          <w:lang w:val="en-US"/>
        </w:rPr>
        <w:t>m</w:t>
      </w:r>
      <w:r w:rsidRPr="00527C38">
        <w:rPr>
          <w:noProof/>
          <w:highlight w:val="yellow"/>
          <w:lang w:val="en-US"/>
        </w:rPr>
        <w:t xml:space="preserve">anagement. This consistency reinforces our main conclusion </w:t>
      </w:r>
      <w:r w:rsidRPr="00527C38">
        <w:rPr>
          <w:noProof/>
          <w:highlight w:val="yellow"/>
          <w:lang w:val="en-US"/>
        </w:rPr>
        <w:t>regarding the substitution effect: as firms face greater financial distress (indicated by lower Z-score or X-score), they shift their earnings management strategy from accruals to real activity manipulation.</w:t>
      </w:r>
    </w:p>
    <w:p w14:paraId="67748221" w14:textId="77777777" w:rsidR="00C05DD4" w:rsidRPr="00527C38" w:rsidRDefault="00C05DD4" w:rsidP="00C05DD4">
      <w:pPr>
        <w:pStyle w:val="Tiumc"/>
        <w:rPr>
          <w:rFonts w:asciiTheme="majorHAnsi" w:hAnsiTheme="majorHAnsi" w:cstheme="majorHAnsi"/>
          <w:noProof/>
          <w:highlight w:val="yellow"/>
        </w:rPr>
      </w:pPr>
    </w:p>
    <w:p w14:paraId="69304011" w14:textId="1C37A25B" w:rsidR="00C05DD4" w:rsidRPr="00527C38" w:rsidRDefault="00C05DD4" w:rsidP="004647A7">
      <w:pPr>
        <w:pStyle w:val="Tnbng"/>
        <w:jc w:val="center"/>
        <w:rPr>
          <w:highlight w:val="yellow"/>
          <w:lang w:val="en-US"/>
        </w:rPr>
      </w:pPr>
      <w:r w:rsidRPr="00527C38">
        <w:rPr>
          <w:highlight w:val="yellow"/>
          <w:lang w:val="en-US"/>
        </w:rPr>
        <w:t xml:space="preserve">Table 5. </w:t>
      </w:r>
      <w:r w:rsidRPr="00527C38">
        <w:rPr>
          <w:noProof/>
          <w:highlight w:val="yellow"/>
        </w:rPr>
        <w:t>Robustness Checks</w:t>
      </w:r>
    </w:p>
    <w:tbl>
      <w:tblPr>
        <w:tblW w:w="5000" w:type="pct"/>
        <w:jc w:val="center"/>
        <w:tblCellMar>
          <w:left w:w="75" w:type="dxa"/>
          <w:right w:w="75" w:type="dxa"/>
        </w:tblCellMar>
        <w:tblLook w:val="0000" w:firstRow="0" w:lastRow="0" w:firstColumn="0" w:lastColumn="0" w:noHBand="0" w:noVBand="0"/>
      </w:tblPr>
      <w:tblGrid>
        <w:gridCol w:w="3336"/>
        <w:gridCol w:w="1609"/>
        <w:gridCol w:w="1401"/>
        <w:gridCol w:w="1474"/>
        <w:gridCol w:w="1534"/>
      </w:tblGrid>
      <w:tr w:rsidR="00C05DD4" w:rsidRPr="00527C38" w14:paraId="53EAAEEE" w14:textId="77777777" w:rsidTr="00C94941">
        <w:trPr>
          <w:tblHeader/>
          <w:jc w:val="center"/>
        </w:trPr>
        <w:tc>
          <w:tcPr>
            <w:tcW w:w="1783" w:type="pct"/>
            <w:tcBorders>
              <w:top w:val="single" w:sz="4" w:space="0" w:color="auto"/>
              <w:left w:val="nil"/>
              <w:bottom w:val="single" w:sz="6" w:space="0" w:color="auto"/>
              <w:right w:val="nil"/>
            </w:tcBorders>
          </w:tcPr>
          <w:p w14:paraId="7B16BA04" w14:textId="77777777" w:rsidR="00C05DD4" w:rsidRPr="00527C38" w:rsidRDefault="00C05DD4" w:rsidP="00C94941">
            <w:pPr>
              <w:widowControl w:val="0"/>
              <w:autoSpaceDE w:val="0"/>
              <w:autoSpaceDN w:val="0"/>
              <w:adjustRightInd w:val="0"/>
              <w:spacing w:after="0" w:line="240" w:lineRule="auto"/>
              <w:rPr>
                <w:rFonts w:asciiTheme="majorHAnsi" w:hAnsiTheme="majorHAnsi" w:cstheme="majorHAnsi"/>
                <w:highlight w:val="yellow"/>
                <w:lang w:val="en-US"/>
              </w:rPr>
            </w:pPr>
            <w:r w:rsidRPr="00527C38">
              <w:rPr>
                <w:rFonts w:asciiTheme="majorHAnsi" w:hAnsiTheme="majorHAnsi" w:cstheme="majorHAnsi"/>
                <w:highlight w:val="yellow"/>
                <w:lang w:val="en-US"/>
              </w:rPr>
              <w:t>Variable</w:t>
            </w:r>
          </w:p>
        </w:tc>
        <w:tc>
          <w:tcPr>
            <w:tcW w:w="860" w:type="pct"/>
            <w:tcBorders>
              <w:top w:val="single" w:sz="4" w:space="0" w:color="auto"/>
              <w:left w:val="nil"/>
              <w:bottom w:val="single" w:sz="6" w:space="0" w:color="auto"/>
              <w:right w:val="nil"/>
            </w:tcBorders>
          </w:tcPr>
          <w:p w14:paraId="31EB3699"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DA</w:t>
            </w:r>
          </w:p>
        </w:tc>
        <w:tc>
          <w:tcPr>
            <w:tcW w:w="749" w:type="pct"/>
            <w:tcBorders>
              <w:top w:val="single" w:sz="4" w:space="0" w:color="auto"/>
              <w:left w:val="nil"/>
              <w:bottom w:val="single" w:sz="6" w:space="0" w:color="auto"/>
              <w:right w:val="nil"/>
            </w:tcBorders>
          </w:tcPr>
          <w:p w14:paraId="279A4AE6"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Ab_PROD</w:t>
            </w:r>
          </w:p>
        </w:tc>
        <w:tc>
          <w:tcPr>
            <w:tcW w:w="788" w:type="pct"/>
            <w:tcBorders>
              <w:top w:val="single" w:sz="4" w:space="0" w:color="auto"/>
              <w:left w:val="nil"/>
              <w:bottom w:val="single" w:sz="6" w:space="0" w:color="auto"/>
              <w:right w:val="nil"/>
            </w:tcBorders>
          </w:tcPr>
          <w:p w14:paraId="65381FB0"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Ab_CFO</w:t>
            </w:r>
          </w:p>
        </w:tc>
        <w:tc>
          <w:tcPr>
            <w:tcW w:w="820" w:type="pct"/>
            <w:tcBorders>
              <w:top w:val="single" w:sz="4" w:space="0" w:color="auto"/>
              <w:left w:val="nil"/>
              <w:bottom w:val="single" w:sz="6" w:space="0" w:color="auto"/>
              <w:right w:val="nil"/>
            </w:tcBorders>
          </w:tcPr>
          <w:p w14:paraId="35247D60"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Ab_SGA</w:t>
            </w:r>
          </w:p>
        </w:tc>
      </w:tr>
      <w:tr w:rsidR="00C05DD4" w:rsidRPr="00527C38" w14:paraId="136D3A31" w14:textId="77777777" w:rsidTr="00C94941">
        <w:trPr>
          <w:jc w:val="center"/>
        </w:trPr>
        <w:tc>
          <w:tcPr>
            <w:tcW w:w="1783" w:type="pct"/>
            <w:tcBorders>
              <w:top w:val="nil"/>
              <w:left w:val="nil"/>
              <w:bottom w:val="nil"/>
              <w:right w:val="nil"/>
            </w:tcBorders>
          </w:tcPr>
          <w:p w14:paraId="6D45BF3E" w14:textId="77777777" w:rsidR="00C05DD4" w:rsidRPr="00527C38" w:rsidRDefault="00C05DD4" w:rsidP="00C94941">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27C6A51C"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0AB8F91E"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7539B47C"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41CDE8EA" w14:textId="77777777" w:rsidR="00C05DD4" w:rsidRPr="00527C38" w:rsidRDefault="00C05DD4" w:rsidP="00C94941">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3F7BDE93" w14:textId="77777777" w:rsidTr="00C94941">
        <w:trPr>
          <w:jc w:val="center"/>
        </w:trPr>
        <w:tc>
          <w:tcPr>
            <w:tcW w:w="1783" w:type="pct"/>
            <w:tcBorders>
              <w:top w:val="nil"/>
              <w:left w:val="nil"/>
              <w:bottom w:val="nil"/>
              <w:right w:val="nil"/>
            </w:tcBorders>
          </w:tcPr>
          <w:p w14:paraId="605E33D4"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L.DA</w:t>
            </w:r>
          </w:p>
        </w:tc>
        <w:tc>
          <w:tcPr>
            <w:tcW w:w="860" w:type="pct"/>
            <w:tcBorders>
              <w:top w:val="nil"/>
              <w:left w:val="nil"/>
              <w:bottom w:val="nil"/>
              <w:right w:val="nil"/>
            </w:tcBorders>
          </w:tcPr>
          <w:p w14:paraId="18F7378A" w14:textId="7798E89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0.418***</w:t>
            </w:r>
          </w:p>
        </w:tc>
        <w:tc>
          <w:tcPr>
            <w:tcW w:w="749" w:type="pct"/>
            <w:tcBorders>
              <w:top w:val="nil"/>
              <w:left w:val="nil"/>
              <w:bottom w:val="nil"/>
              <w:right w:val="nil"/>
            </w:tcBorders>
          </w:tcPr>
          <w:p w14:paraId="5F1A75B5"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15229306"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6A6F00BA"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5D4EC01C" w14:textId="77777777" w:rsidTr="00C94941">
        <w:trPr>
          <w:jc w:val="center"/>
        </w:trPr>
        <w:tc>
          <w:tcPr>
            <w:tcW w:w="1783" w:type="pct"/>
            <w:tcBorders>
              <w:top w:val="nil"/>
              <w:left w:val="nil"/>
              <w:bottom w:val="nil"/>
              <w:right w:val="nil"/>
            </w:tcBorders>
          </w:tcPr>
          <w:p w14:paraId="0E1682AD"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109FCF16" w14:textId="2187C9D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(9.263)</w:t>
            </w:r>
          </w:p>
        </w:tc>
        <w:tc>
          <w:tcPr>
            <w:tcW w:w="749" w:type="pct"/>
            <w:tcBorders>
              <w:top w:val="nil"/>
              <w:left w:val="nil"/>
              <w:bottom w:val="nil"/>
              <w:right w:val="nil"/>
            </w:tcBorders>
          </w:tcPr>
          <w:p w14:paraId="5DD84739"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4D313371"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738F58CE"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310E7BAF" w14:textId="77777777" w:rsidTr="00C94941">
        <w:trPr>
          <w:jc w:val="center"/>
        </w:trPr>
        <w:tc>
          <w:tcPr>
            <w:tcW w:w="1783" w:type="pct"/>
            <w:tcBorders>
              <w:top w:val="nil"/>
              <w:left w:val="nil"/>
              <w:bottom w:val="nil"/>
              <w:right w:val="nil"/>
            </w:tcBorders>
          </w:tcPr>
          <w:p w14:paraId="312CD3F4"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L.Ab_PROD</w:t>
            </w:r>
          </w:p>
        </w:tc>
        <w:tc>
          <w:tcPr>
            <w:tcW w:w="860" w:type="pct"/>
            <w:tcBorders>
              <w:top w:val="nil"/>
              <w:left w:val="nil"/>
              <w:bottom w:val="nil"/>
              <w:right w:val="nil"/>
            </w:tcBorders>
          </w:tcPr>
          <w:p w14:paraId="1FCC130E"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7303CAA3" w14:textId="49344BF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0.0514</w:t>
            </w:r>
          </w:p>
        </w:tc>
        <w:tc>
          <w:tcPr>
            <w:tcW w:w="788" w:type="pct"/>
            <w:tcBorders>
              <w:top w:val="nil"/>
              <w:left w:val="nil"/>
              <w:bottom w:val="nil"/>
              <w:right w:val="nil"/>
            </w:tcBorders>
          </w:tcPr>
          <w:p w14:paraId="7381C526"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54753F69"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32609E6B" w14:textId="77777777" w:rsidTr="00C94941">
        <w:trPr>
          <w:jc w:val="center"/>
        </w:trPr>
        <w:tc>
          <w:tcPr>
            <w:tcW w:w="1783" w:type="pct"/>
            <w:tcBorders>
              <w:top w:val="nil"/>
              <w:left w:val="nil"/>
              <w:bottom w:val="nil"/>
              <w:right w:val="nil"/>
            </w:tcBorders>
          </w:tcPr>
          <w:p w14:paraId="13ABA891"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3B6E7ACC"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1869BFD3" w14:textId="6B2BB95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(1.263)</w:t>
            </w:r>
          </w:p>
        </w:tc>
        <w:tc>
          <w:tcPr>
            <w:tcW w:w="788" w:type="pct"/>
            <w:tcBorders>
              <w:top w:val="nil"/>
              <w:left w:val="nil"/>
              <w:bottom w:val="nil"/>
              <w:right w:val="nil"/>
            </w:tcBorders>
          </w:tcPr>
          <w:p w14:paraId="2BF0C1B8"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4E446EEF"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7A3D27FE" w14:textId="77777777" w:rsidTr="00C94941">
        <w:trPr>
          <w:jc w:val="center"/>
        </w:trPr>
        <w:tc>
          <w:tcPr>
            <w:tcW w:w="1783" w:type="pct"/>
            <w:tcBorders>
              <w:top w:val="nil"/>
              <w:left w:val="nil"/>
              <w:bottom w:val="nil"/>
              <w:right w:val="nil"/>
            </w:tcBorders>
          </w:tcPr>
          <w:p w14:paraId="3FAA2F4F"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L.Ab_CFO</w:t>
            </w:r>
          </w:p>
        </w:tc>
        <w:tc>
          <w:tcPr>
            <w:tcW w:w="860" w:type="pct"/>
            <w:tcBorders>
              <w:top w:val="nil"/>
              <w:left w:val="nil"/>
              <w:bottom w:val="nil"/>
              <w:right w:val="nil"/>
            </w:tcBorders>
          </w:tcPr>
          <w:p w14:paraId="7EE5CBA1"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50C1C8D6"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3542A291" w14:textId="510C50C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-0.153***</w:t>
            </w:r>
          </w:p>
        </w:tc>
        <w:tc>
          <w:tcPr>
            <w:tcW w:w="820" w:type="pct"/>
            <w:tcBorders>
              <w:top w:val="nil"/>
              <w:left w:val="nil"/>
              <w:bottom w:val="nil"/>
              <w:right w:val="nil"/>
            </w:tcBorders>
          </w:tcPr>
          <w:p w14:paraId="586372EF"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7BCFD4B2" w14:textId="77777777" w:rsidTr="00C94941">
        <w:trPr>
          <w:jc w:val="center"/>
        </w:trPr>
        <w:tc>
          <w:tcPr>
            <w:tcW w:w="1783" w:type="pct"/>
            <w:tcBorders>
              <w:top w:val="nil"/>
              <w:left w:val="nil"/>
              <w:bottom w:val="nil"/>
              <w:right w:val="nil"/>
            </w:tcBorders>
          </w:tcPr>
          <w:p w14:paraId="17342E11"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47D80024"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448A473C"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07DBA0B1" w14:textId="1A81335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(-8.345)</w:t>
            </w:r>
          </w:p>
        </w:tc>
        <w:tc>
          <w:tcPr>
            <w:tcW w:w="820" w:type="pct"/>
            <w:tcBorders>
              <w:top w:val="nil"/>
              <w:left w:val="nil"/>
              <w:bottom w:val="nil"/>
              <w:right w:val="nil"/>
            </w:tcBorders>
          </w:tcPr>
          <w:p w14:paraId="0FB05C41"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0F2F5424" w14:textId="77777777" w:rsidTr="00C94941">
        <w:trPr>
          <w:jc w:val="center"/>
        </w:trPr>
        <w:tc>
          <w:tcPr>
            <w:tcW w:w="1783" w:type="pct"/>
            <w:tcBorders>
              <w:top w:val="nil"/>
              <w:left w:val="nil"/>
              <w:bottom w:val="nil"/>
              <w:right w:val="nil"/>
            </w:tcBorders>
          </w:tcPr>
          <w:p w14:paraId="6F1F9B82"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L.Ab_SGA</w:t>
            </w:r>
          </w:p>
        </w:tc>
        <w:tc>
          <w:tcPr>
            <w:tcW w:w="860" w:type="pct"/>
            <w:tcBorders>
              <w:top w:val="nil"/>
              <w:left w:val="nil"/>
              <w:bottom w:val="nil"/>
              <w:right w:val="nil"/>
            </w:tcBorders>
          </w:tcPr>
          <w:p w14:paraId="2A9DCB54"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028E2E29"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238D89CD"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07EC4C14" w14:textId="7F96449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0.747***</w:t>
            </w:r>
          </w:p>
        </w:tc>
      </w:tr>
      <w:tr w:rsidR="00C05DD4" w:rsidRPr="00527C38" w14:paraId="05F82413" w14:textId="77777777" w:rsidTr="00C94941">
        <w:trPr>
          <w:jc w:val="center"/>
        </w:trPr>
        <w:tc>
          <w:tcPr>
            <w:tcW w:w="1783" w:type="pct"/>
            <w:tcBorders>
              <w:top w:val="nil"/>
              <w:left w:val="nil"/>
              <w:bottom w:val="nil"/>
              <w:right w:val="nil"/>
            </w:tcBorders>
          </w:tcPr>
          <w:p w14:paraId="25BB9763"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28AB6E2F"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53AEC3E9"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729E9C61"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49E2342B" w14:textId="17A62E5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(32.77)</w:t>
            </w:r>
          </w:p>
        </w:tc>
      </w:tr>
      <w:tr w:rsidR="00C05DD4" w:rsidRPr="00527C38" w14:paraId="039B734C" w14:textId="77777777" w:rsidTr="00C94941">
        <w:trPr>
          <w:jc w:val="center"/>
        </w:trPr>
        <w:tc>
          <w:tcPr>
            <w:tcW w:w="1783" w:type="pct"/>
            <w:tcBorders>
              <w:top w:val="nil"/>
              <w:left w:val="nil"/>
              <w:bottom w:val="nil"/>
              <w:right w:val="nil"/>
            </w:tcBorders>
          </w:tcPr>
          <w:p w14:paraId="1B8CA733" w14:textId="3A3CEECE"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lang w:val="en-US"/>
              </w:rPr>
              <w:t>X-</w:t>
            </w:r>
            <w:r w:rsidRPr="00527C38">
              <w:rPr>
                <w:rFonts w:asciiTheme="majorHAnsi" w:hAnsiTheme="majorHAnsi" w:cstheme="majorHAnsi"/>
                <w:highlight w:val="yellow"/>
              </w:rPr>
              <w:t>score</w:t>
            </w:r>
          </w:p>
        </w:tc>
        <w:tc>
          <w:tcPr>
            <w:tcW w:w="860" w:type="pct"/>
            <w:tcBorders>
              <w:top w:val="nil"/>
              <w:left w:val="nil"/>
              <w:bottom w:val="nil"/>
              <w:right w:val="nil"/>
            </w:tcBorders>
          </w:tcPr>
          <w:p w14:paraId="7DF70F23" w14:textId="56F674A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0.101**</w:t>
            </w:r>
          </w:p>
        </w:tc>
        <w:tc>
          <w:tcPr>
            <w:tcW w:w="749" w:type="pct"/>
            <w:tcBorders>
              <w:top w:val="nil"/>
              <w:left w:val="nil"/>
              <w:bottom w:val="nil"/>
              <w:right w:val="nil"/>
            </w:tcBorders>
          </w:tcPr>
          <w:p w14:paraId="0A0CBA17" w14:textId="7E50AFE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-0.103***</w:t>
            </w:r>
          </w:p>
        </w:tc>
        <w:tc>
          <w:tcPr>
            <w:tcW w:w="788" w:type="pct"/>
            <w:tcBorders>
              <w:top w:val="nil"/>
              <w:left w:val="nil"/>
              <w:bottom w:val="nil"/>
              <w:right w:val="nil"/>
            </w:tcBorders>
          </w:tcPr>
          <w:p w14:paraId="254BA7F3" w14:textId="01D0B4C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-0.0833***</w:t>
            </w:r>
          </w:p>
        </w:tc>
        <w:tc>
          <w:tcPr>
            <w:tcW w:w="820" w:type="pct"/>
            <w:tcBorders>
              <w:top w:val="nil"/>
              <w:left w:val="nil"/>
              <w:bottom w:val="nil"/>
              <w:right w:val="nil"/>
            </w:tcBorders>
          </w:tcPr>
          <w:p w14:paraId="6276D377" w14:textId="2330F11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-0.0215***</w:t>
            </w:r>
          </w:p>
        </w:tc>
      </w:tr>
      <w:tr w:rsidR="00C05DD4" w:rsidRPr="00527C38" w14:paraId="50301C72" w14:textId="77777777" w:rsidTr="00C94941">
        <w:trPr>
          <w:jc w:val="center"/>
        </w:trPr>
        <w:tc>
          <w:tcPr>
            <w:tcW w:w="1783" w:type="pct"/>
            <w:tcBorders>
              <w:top w:val="nil"/>
              <w:left w:val="nil"/>
              <w:bottom w:val="nil"/>
              <w:right w:val="nil"/>
            </w:tcBorders>
          </w:tcPr>
          <w:p w14:paraId="7DA2CFC5"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6A09BC5D" w14:textId="67E546E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(2.520)</w:t>
            </w:r>
          </w:p>
        </w:tc>
        <w:tc>
          <w:tcPr>
            <w:tcW w:w="749" w:type="pct"/>
            <w:tcBorders>
              <w:top w:val="nil"/>
              <w:left w:val="nil"/>
              <w:bottom w:val="nil"/>
              <w:right w:val="nil"/>
            </w:tcBorders>
          </w:tcPr>
          <w:p w14:paraId="128C291C" w14:textId="34D371F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(-6.097)</w:t>
            </w:r>
          </w:p>
        </w:tc>
        <w:tc>
          <w:tcPr>
            <w:tcW w:w="788" w:type="pct"/>
            <w:tcBorders>
              <w:top w:val="nil"/>
              <w:left w:val="nil"/>
              <w:bottom w:val="nil"/>
              <w:right w:val="nil"/>
            </w:tcBorders>
          </w:tcPr>
          <w:p w14:paraId="2611CB2D" w14:textId="43DB331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(-3.271)</w:t>
            </w:r>
          </w:p>
        </w:tc>
        <w:tc>
          <w:tcPr>
            <w:tcW w:w="820" w:type="pct"/>
            <w:tcBorders>
              <w:top w:val="nil"/>
              <w:left w:val="nil"/>
              <w:bottom w:val="nil"/>
              <w:right w:val="nil"/>
            </w:tcBorders>
          </w:tcPr>
          <w:p w14:paraId="13AC3313" w14:textId="169F40C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(-3.074)</w:t>
            </w:r>
          </w:p>
        </w:tc>
      </w:tr>
      <w:tr w:rsidR="00C05DD4" w:rsidRPr="00527C38" w14:paraId="1A778F69" w14:textId="77777777" w:rsidTr="00C94941">
        <w:trPr>
          <w:jc w:val="center"/>
        </w:trPr>
        <w:tc>
          <w:tcPr>
            <w:tcW w:w="1783" w:type="pct"/>
            <w:tcBorders>
              <w:top w:val="nil"/>
              <w:left w:val="nil"/>
              <w:bottom w:val="nil"/>
              <w:right w:val="nil"/>
            </w:tcBorders>
          </w:tcPr>
          <w:p w14:paraId="60C01243"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FS</w:t>
            </w:r>
          </w:p>
        </w:tc>
        <w:tc>
          <w:tcPr>
            <w:tcW w:w="860" w:type="pct"/>
            <w:tcBorders>
              <w:top w:val="nil"/>
              <w:left w:val="nil"/>
              <w:bottom w:val="nil"/>
              <w:right w:val="nil"/>
            </w:tcBorders>
          </w:tcPr>
          <w:p w14:paraId="43896DCE" w14:textId="080FEB2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0.691***</w:t>
            </w:r>
          </w:p>
        </w:tc>
        <w:tc>
          <w:tcPr>
            <w:tcW w:w="749" w:type="pct"/>
            <w:tcBorders>
              <w:top w:val="nil"/>
              <w:left w:val="nil"/>
              <w:bottom w:val="nil"/>
              <w:right w:val="nil"/>
            </w:tcBorders>
          </w:tcPr>
          <w:p w14:paraId="0A464D08" w14:textId="25589C5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-0.433***</w:t>
            </w:r>
          </w:p>
        </w:tc>
        <w:tc>
          <w:tcPr>
            <w:tcW w:w="788" w:type="pct"/>
            <w:tcBorders>
              <w:top w:val="nil"/>
              <w:left w:val="nil"/>
              <w:bottom w:val="nil"/>
              <w:right w:val="nil"/>
            </w:tcBorders>
          </w:tcPr>
          <w:p w14:paraId="4605F38A" w14:textId="55502A7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-0.420***</w:t>
            </w:r>
          </w:p>
        </w:tc>
        <w:tc>
          <w:tcPr>
            <w:tcW w:w="820" w:type="pct"/>
            <w:tcBorders>
              <w:top w:val="nil"/>
              <w:left w:val="nil"/>
              <w:bottom w:val="nil"/>
              <w:right w:val="nil"/>
            </w:tcBorders>
          </w:tcPr>
          <w:p w14:paraId="6D5CC17B" w14:textId="68A54DC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-0.149***</w:t>
            </w:r>
          </w:p>
        </w:tc>
      </w:tr>
      <w:tr w:rsidR="00C05DD4" w:rsidRPr="00527C38" w14:paraId="1291F8C9" w14:textId="77777777" w:rsidTr="00C94941">
        <w:trPr>
          <w:jc w:val="center"/>
        </w:trPr>
        <w:tc>
          <w:tcPr>
            <w:tcW w:w="1783" w:type="pct"/>
            <w:tcBorders>
              <w:top w:val="nil"/>
              <w:left w:val="nil"/>
              <w:bottom w:val="nil"/>
              <w:right w:val="nil"/>
            </w:tcBorders>
          </w:tcPr>
          <w:p w14:paraId="77C56F35"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6C4829B4" w14:textId="1801D05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(2.923)</w:t>
            </w:r>
          </w:p>
        </w:tc>
        <w:tc>
          <w:tcPr>
            <w:tcW w:w="749" w:type="pct"/>
            <w:tcBorders>
              <w:top w:val="nil"/>
              <w:left w:val="nil"/>
              <w:bottom w:val="nil"/>
              <w:right w:val="nil"/>
            </w:tcBorders>
          </w:tcPr>
          <w:p w14:paraId="2774DC7F" w14:textId="0F3E301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(-4.266)</w:t>
            </w:r>
          </w:p>
        </w:tc>
        <w:tc>
          <w:tcPr>
            <w:tcW w:w="788" w:type="pct"/>
            <w:tcBorders>
              <w:top w:val="nil"/>
              <w:left w:val="nil"/>
              <w:bottom w:val="nil"/>
              <w:right w:val="nil"/>
            </w:tcBorders>
          </w:tcPr>
          <w:p w14:paraId="493BC296" w14:textId="263C73F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(-3.120)</w:t>
            </w:r>
          </w:p>
        </w:tc>
        <w:tc>
          <w:tcPr>
            <w:tcW w:w="820" w:type="pct"/>
            <w:tcBorders>
              <w:top w:val="nil"/>
              <w:left w:val="nil"/>
              <w:bottom w:val="nil"/>
              <w:right w:val="nil"/>
            </w:tcBorders>
          </w:tcPr>
          <w:p w14:paraId="14A4D527" w14:textId="2F5DC88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(-3.703)</w:t>
            </w:r>
          </w:p>
        </w:tc>
      </w:tr>
      <w:tr w:rsidR="00C05DD4" w:rsidRPr="00527C38" w14:paraId="5D33CD61" w14:textId="77777777" w:rsidTr="00C94941">
        <w:trPr>
          <w:jc w:val="center"/>
        </w:trPr>
        <w:tc>
          <w:tcPr>
            <w:tcW w:w="1783" w:type="pct"/>
            <w:tcBorders>
              <w:top w:val="nil"/>
              <w:left w:val="nil"/>
              <w:bottom w:val="nil"/>
              <w:right w:val="nil"/>
            </w:tcBorders>
          </w:tcPr>
          <w:p w14:paraId="0501F2AB"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CR</w:t>
            </w:r>
          </w:p>
        </w:tc>
        <w:tc>
          <w:tcPr>
            <w:tcW w:w="860" w:type="pct"/>
            <w:tcBorders>
              <w:top w:val="nil"/>
              <w:left w:val="nil"/>
              <w:bottom w:val="nil"/>
              <w:right w:val="nil"/>
            </w:tcBorders>
          </w:tcPr>
          <w:p w14:paraId="36C72DB7" w14:textId="656BE13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0.00964**</w:t>
            </w:r>
          </w:p>
        </w:tc>
        <w:tc>
          <w:tcPr>
            <w:tcW w:w="749" w:type="pct"/>
            <w:tcBorders>
              <w:top w:val="nil"/>
              <w:left w:val="nil"/>
              <w:bottom w:val="nil"/>
              <w:right w:val="nil"/>
            </w:tcBorders>
          </w:tcPr>
          <w:p w14:paraId="123183AD" w14:textId="4F7F8B9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0.0110**</w:t>
            </w:r>
          </w:p>
        </w:tc>
        <w:tc>
          <w:tcPr>
            <w:tcW w:w="788" w:type="pct"/>
            <w:tcBorders>
              <w:top w:val="nil"/>
              <w:left w:val="nil"/>
              <w:bottom w:val="nil"/>
              <w:right w:val="nil"/>
            </w:tcBorders>
          </w:tcPr>
          <w:p w14:paraId="10952E2F" w14:textId="647C68D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0.0163*</w:t>
            </w:r>
          </w:p>
        </w:tc>
        <w:tc>
          <w:tcPr>
            <w:tcW w:w="820" w:type="pct"/>
            <w:tcBorders>
              <w:top w:val="nil"/>
              <w:left w:val="nil"/>
              <w:bottom w:val="nil"/>
              <w:right w:val="nil"/>
            </w:tcBorders>
          </w:tcPr>
          <w:p w14:paraId="46198C9A" w14:textId="719A223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0.00101</w:t>
            </w:r>
          </w:p>
        </w:tc>
      </w:tr>
      <w:tr w:rsidR="00C05DD4" w:rsidRPr="00527C38" w14:paraId="6F28F428" w14:textId="77777777" w:rsidTr="00C94941">
        <w:trPr>
          <w:jc w:val="center"/>
        </w:trPr>
        <w:tc>
          <w:tcPr>
            <w:tcW w:w="1783" w:type="pct"/>
            <w:tcBorders>
              <w:top w:val="nil"/>
              <w:left w:val="nil"/>
              <w:bottom w:val="nil"/>
              <w:right w:val="nil"/>
            </w:tcBorders>
          </w:tcPr>
          <w:p w14:paraId="275AEF7C"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66A23B71" w14:textId="02A5AD7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(1.980)</w:t>
            </w:r>
          </w:p>
        </w:tc>
        <w:tc>
          <w:tcPr>
            <w:tcW w:w="749" w:type="pct"/>
            <w:tcBorders>
              <w:top w:val="nil"/>
              <w:left w:val="nil"/>
              <w:bottom w:val="nil"/>
              <w:right w:val="nil"/>
            </w:tcBorders>
          </w:tcPr>
          <w:p w14:paraId="78CF3E41" w14:textId="0770BCC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(2.204)</w:t>
            </w:r>
          </w:p>
        </w:tc>
        <w:tc>
          <w:tcPr>
            <w:tcW w:w="788" w:type="pct"/>
            <w:tcBorders>
              <w:top w:val="nil"/>
              <w:left w:val="nil"/>
              <w:bottom w:val="nil"/>
              <w:right w:val="nil"/>
            </w:tcBorders>
          </w:tcPr>
          <w:p w14:paraId="41944C82" w14:textId="3949DD1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(1.811)</w:t>
            </w:r>
          </w:p>
        </w:tc>
        <w:tc>
          <w:tcPr>
            <w:tcW w:w="820" w:type="pct"/>
            <w:tcBorders>
              <w:top w:val="nil"/>
              <w:left w:val="nil"/>
              <w:bottom w:val="nil"/>
              <w:right w:val="nil"/>
            </w:tcBorders>
          </w:tcPr>
          <w:p w14:paraId="7147EBAB" w14:textId="68D32B2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(0.912)</w:t>
            </w:r>
          </w:p>
        </w:tc>
      </w:tr>
      <w:tr w:rsidR="00C05DD4" w:rsidRPr="00527C38" w14:paraId="14BFED86" w14:textId="77777777" w:rsidTr="00C94941">
        <w:trPr>
          <w:jc w:val="center"/>
        </w:trPr>
        <w:tc>
          <w:tcPr>
            <w:tcW w:w="1783" w:type="pct"/>
            <w:tcBorders>
              <w:top w:val="nil"/>
              <w:left w:val="nil"/>
              <w:bottom w:val="nil"/>
              <w:right w:val="nil"/>
            </w:tcBorders>
          </w:tcPr>
          <w:p w14:paraId="112B983F"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IC</w:t>
            </w:r>
          </w:p>
        </w:tc>
        <w:tc>
          <w:tcPr>
            <w:tcW w:w="860" w:type="pct"/>
            <w:tcBorders>
              <w:top w:val="nil"/>
              <w:left w:val="nil"/>
              <w:bottom w:val="nil"/>
              <w:right w:val="nil"/>
            </w:tcBorders>
          </w:tcPr>
          <w:p w14:paraId="507C6A26" w14:textId="0D2F3CE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-5.87e-05***</w:t>
            </w:r>
          </w:p>
        </w:tc>
        <w:tc>
          <w:tcPr>
            <w:tcW w:w="749" w:type="pct"/>
            <w:tcBorders>
              <w:top w:val="nil"/>
              <w:left w:val="nil"/>
              <w:bottom w:val="nil"/>
              <w:right w:val="nil"/>
            </w:tcBorders>
          </w:tcPr>
          <w:p w14:paraId="500115A9" w14:textId="6576A01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-4.32e-06</w:t>
            </w:r>
          </w:p>
        </w:tc>
        <w:tc>
          <w:tcPr>
            <w:tcW w:w="788" w:type="pct"/>
            <w:tcBorders>
              <w:top w:val="nil"/>
              <w:left w:val="nil"/>
              <w:bottom w:val="nil"/>
              <w:right w:val="nil"/>
            </w:tcBorders>
          </w:tcPr>
          <w:p w14:paraId="54A8D6C6" w14:textId="76836EC0"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-3.68e-05**</w:t>
            </w:r>
          </w:p>
        </w:tc>
        <w:tc>
          <w:tcPr>
            <w:tcW w:w="820" w:type="pct"/>
            <w:tcBorders>
              <w:top w:val="nil"/>
              <w:left w:val="nil"/>
              <w:bottom w:val="nil"/>
              <w:right w:val="nil"/>
            </w:tcBorders>
          </w:tcPr>
          <w:p w14:paraId="6C4456B9" w14:textId="53F7D1E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1.66e-06</w:t>
            </w:r>
          </w:p>
        </w:tc>
      </w:tr>
      <w:tr w:rsidR="00C05DD4" w:rsidRPr="00527C38" w14:paraId="32D7B005" w14:textId="77777777" w:rsidTr="00C94941">
        <w:trPr>
          <w:jc w:val="center"/>
        </w:trPr>
        <w:tc>
          <w:tcPr>
            <w:tcW w:w="1783" w:type="pct"/>
            <w:tcBorders>
              <w:top w:val="nil"/>
              <w:left w:val="nil"/>
              <w:bottom w:val="nil"/>
              <w:right w:val="nil"/>
            </w:tcBorders>
          </w:tcPr>
          <w:p w14:paraId="2207D9F7"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2241999F" w14:textId="5C64B07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(-2.904)</w:t>
            </w:r>
          </w:p>
        </w:tc>
        <w:tc>
          <w:tcPr>
            <w:tcW w:w="749" w:type="pct"/>
            <w:tcBorders>
              <w:top w:val="nil"/>
              <w:left w:val="nil"/>
              <w:bottom w:val="nil"/>
              <w:right w:val="nil"/>
            </w:tcBorders>
          </w:tcPr>
          <w:p w14:paraId="49AF27C7" w14:textId="177CF1A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(-0.337)</w:t>
            </w:r>
          </w:p>
        </w:tc>
        <w:tc>
          <w:tcPr>
            <w:tcW w:w="788" w:type="pct"/>
            <w:tcBorders>
              <w:top w:val="nil"/>
              <w:left w:val="nil"/>
              <w:bottom w:val="nil"/>
              <w:right w:val="nil"/>
            </w:tcBorders>
          </w:tcPr>
          <w:p w14:paraId="5F95CDEA" w14:textId="00C1F0E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(-2.471)</w:t>
            </w:r>
          </w:p>
        </w:tc>
        <w:tc>
          <w:tcPr>
            <w:tcW w:w="820" w:type="pct"/>
            <w:tcBorders>
              <w:top w:val="nil"/>
              <w:left w:val="nil"/>
              <w:bottom w:val="nil"/>
              <w:right w:val="nil"/>
            </w:tcBorders>
          </w:tcPr>
          <w:p w14:paraId="110974EF" w14:textId="41C8AEB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(0.426)</w:t>
            </w:r>
          </w:p>
        </w:tc>
      </w:tr>
      <w:tr w:rsidR="00C05DD4" w:rsidRPr="00527C38" w14:paraId="2D01177E" w14:textId="77777777" w:rsidTr="00C94941">
        <w:trPr>
          <w:jc w:val="center"/>
        </w:trPr>
        <w:tc>
          <w:tcPr>
            <w:tcW w:w="1783" w:type="pct"/>
            <w:tcBorders>
              <w:top w:val="nil"/>
              <w:left w:val="nil"/>
              <w:bottom w:val="nil"/>
              <w:right w:val="nil"/>
            </w:tcBorders>
          </w:tcPr>
          <w:p w14:paraId="17887654"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CFD</w:t>
            </w:r>
          </w:p>
        </w:tc>
        <w:tc>
          <w:tcPr>
            <w:tcW w:w="860" w:type="pct"/>
            <w:tcBorders>
              <w:top w:val="nil"/>
              <w:left w:val="nil"/>
              <w:bottom w:val="nil"/>
              <w:right w:val="nil"/>
            </w:tcBorders>
          </w:tcPr>
          <w:p w14:paraId="69302511" w14:textId="12942978"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0.0346**</w:t>
            </w:r>
          </w:p>
        </w:tc>
        <w:tc>
          <w:tcPr>
            <w:tcW w:w="749" w:type="pct"/>
            <w:tcBorders>
              <w:top w:val="nil"/>
              <w:left w:val="nil"/>
              <w:bottom w:val="nil"/>
              <w:right w:val="nil"/>
            </w:tcBorders>
          </w:tcPr>
          <w:p w14:paraId="770AF1FC" w14:textId="121BCFF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-0.0448***</w:t>
            </w:r>
          </w:p>
        </w:tc>
        <w:tc>
          <w:tcPr>
            <w:tcW w:w="788" w:type="pct"/>
            <w:tcBorders>
              <w:top w:val="nil"/>
              <w:left w:val="nil"/>
              <w:bottom w:val="nil"/>
              <w:right w:val="nil"/>
            </w:tcBorders>
          </w:tcPr>
          <w:p w14:paraId="79F25791" w14:textId="1BF463C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-0.142***</w:t>
            </w:r>
          </w:p>
        </w:tc>
        <w:tc>
          <w:tcPr>
            <w:tcW w:w="820" w:type="pct"/>
            <w:tcBorders>
              <w:top w:val="nil"/>
              <w:left w:val="nil"/>
              <w:bottom w:val="nil"/>
              <w:right w:val="nil"/>
            </w:tcBorders>
          </w:tcPr>
          <w:p w14:paraId="61163BCD" w14:textId="1861934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-0.00416</w:t>
            </w:r>
          </w:p>
        </w:tc>
      </w:tr>
      <w:tr w:rsidR="00C05DD4" w:rsidRPr="00527C38" w14:paraId="208B56C8" w14:textId="77777777" w:rsidTr="00C94941">
        <w:trPr>
          <w:jc w:val="center"/>
        </w:trPr>
        <w:tc>
          <w:tcPr>
            <w:tcW w:w="1783" w:type="pct"/>
            <w:tcBorders>
              <w:top w:val="nil"/>
              <w:left w:val="nil"/>
              <w:bottom w:val="nil"/>
              <w:right w:val="nil"/>
            </w:tcBorders>
          </w:tcPr>
          <w:p w14:paraId="1DEF0575"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75B11452" w14:textId="5194597F"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(2.177)</w:t>
            </w:r>
          </w:p>
        </w:tc>
        <w:tc>
          <w:tcPr>
            <w:tcW w:w="749" w:type="pct"/>
            <w:tcBorders>
              <w:top w:val="nil"/>
              <w:left w:val="nil"/>
              <w:bottom w:val="nil"/>
              <w:right w:val="nil"/>
            </w:tcBorders>
          </w:tcPr>
          <w:p w14:paraId="25657E2F" w14:textId="2B7E64F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(-4.766)</w:t>
            </w:r>
          </w:p>
        </w:tc>
        <w:tc>
          <w:tcPr>
            <w:tcW w:w="788" w:type="pct"/>
            <w:tcBorders>
              <w:top w:val="nil"/>
              <w:left w:val="nil"/>
              <w:bottom w:val="nil"/>
              <w:right w:val="nil"/>
            </w:tcBorders>
          </w:tcPr>
          <w:p w14:paraId="41A6963C" w14:textId="50E560E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(-5.839)</w:t>
            </w:r>
          </w:p>
        </w:tc>
        <w:tc>
          <w:tcPr>
            <w:tcW w:w="820" w:type="pct"/>
            <w:tcBorders>
              <w:top w:val="nil"/>
              <w:left w:val="nil"/>
              <w:bottom w:val="nil"/>
              <w:right w:val="nil"/>
            </w:tcBorders>
          </w:tcPr>
          <w:p w14:paraId="2EDE4860" w14:textId="1757955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(-1.209)</w:t>
            </w:r>
          </w:p>
        </w:tc>
      </w:tr>
      <w:tr w:rsidR="00C05DD4" w:rsidRPr="00527C38" w14:paraId="5543F163" w14:textId="77777777" w:rsidTr="00C94941">
        <w:trPr>
          <w:jc w:val="center"/>
        </w:trPr>
        <w:tc>
          <w:tcPr>
            <w:tcW w:w="1783" w:type="pct"/>
            <w:tcBorders>
              <w:top w:val="nil"/>
              <w:left w:val="nil"/>
              <w:bottom w:val="nil"/>
              <w:right w:val="nil"/>
            </w:tcBorders>
          </w:tcPr>
          <w:p w14:paraId="1C8CEA36"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Constant</w:t>
            </w:r>
          </w:p>
        </w:tc>
        <w:tc>
          <w:tcPr>
            <w:tcW w:w="860" w:type="pct"/>
            <w:tcBorders>
              <w:top w:val="nil"/>
              <w:left w:val="nil"/>
              <w:bottom w:val="nil"/>
              <w:right w:val="nil"/>
            </w:tcBorders>
          </w:tcPr>
          <w:p w14:paraId="6501CBE4" w14:textId="6069F0FD"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-0.478**</w:t>
            </w:r>
          </w:p>
        </w:tc>
        <w:tc>
          <w:tcPr>
            <w:tcW w:w="749" w:type="pct"/>
            <w:tcBorders>
              <w:top w:val="nil"/>
              <w:left w:val="nil"/>
              <w:bottom w:val="nil"/>
              <w:right w:val="nil"/>
            </w:tcBorders>
          </w:tcPr>
          <w:p w14:paraId="10F7E577" w14:textId="02BB3275"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0.382***</w:t>
            </w:r>
          </w:p>
        </w:tc>
        <w:tc>
          <w:tcPr>
            <w:tcW w:w="788" w:type="pct"/>
            <w:tcBorders>
              <w:top w:val="nil"/>
              <w:left w:val="nil"/>
              <w:bottom w:val="nil"/>
              <w:right w:val="nil"/>
            </w:tcBorders>
          </w:tcPr>
          <w:p w14:paraId="112AAE78" w14:textId="15C0834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0.343***</w:t>
            </w:r>
          </w:p>
        </w:tc>
        <w:tc>
          <w:tcPr>
            <w:tcW w:w="820" w:type="pct"/>
            <w:tcBorders>
              <w:top w:val="nil"/>
              <w:left w:val="nil"/>
              <w:bottom w:val="nil"/>
              <w:right w:val="nil"/>
            </w:tcBorders>
          </w:tcPr>
          <w:p w14:paraId="2D73F9D3" w14:textId="7837F23D"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0.112***</w:t>
            </w:r>
          </w:p>
        </w:tc>
      </w:tr>
      <w:tr w:rsidR="00C05DD4" w:rsidRPr="00527C38" w14:paraId="7B18A194" w14:textId="77777777" w:rsidTr="00C94941">
        <w:trPr>
          <w:jc w:val="center"/>
        </w:trPr>
        <w:tc>
          <w:tcPr>
            <w:tcW w:w="1783" w:type="pct"/>
            <w:tcBorders>
              <w:top w:val="nil"/>
              <w:left w:val="nil"/>
              <w:bottom w:val="nil"/>
              <w:right w:val="nil"/>
            </w:tcBorders>
          </w:tcPr>
          <w:p w14:paraId="2A9045B9"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7BCF8D1D" w14:textId="79F8444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(-2.570)</w:t>
            </w:r>
          </w:p>
        </w:tc>
        <w:tc>
          <w:tcPr>
            <w:tcW w:w="749" w:type="pct"/>
            <w:tcBorders>
              <w:top w:val="nil"/>
              <w:left w:val="nil"/>
              <w:bottom w:val="nil"/>
              <w:right w:val="nil"/>
            </w:tcBorders>
          </w:tcPr>
          <w:p w14:paraId="6465999A" w14:textId="2033277F"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(4.978)</w:t>
            </w:r>
          </w:p>
        </w:tc>
        <w:tc>
          <w:tcPr>
            <w:tcW w:w="788" w:type="pct"/>
            <w:tcBorders>
              <w:top w:val="nil"/>
              <w:left w:val="nil"/>
              <w:bottom w:val="nil"/>
              <w:right w:val="nil"/>
            </w:tcBorders>
          </w:tcPr>
          <w:p w14:paraId="28C2A3C1" w14:textId="50DD8125"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(3.429)</w:t>
            </w:r>
          </w:p>
        </w:tc>
        <w:tc>
          <w:tcPr>
            <w:tcW w:w="820" w:type="pct"/>
            <w:tcBorders>
              <w:top w:val="nil"/>
              <w:left w:val="nil"/>
              <w:bottom w:val="nil"/>
              <w:right w:val="nil"/>
            </w:tcBorders>
          </w:tcPr>
          <w:p w14:paraId="4E10F1CA" w14:textId="730ADD6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(3.566)</w:t>
            </w:r>
          </w:p>
        </w:tc>
      </w:tr>
      <w:tr w:rsidR="00C05DD4" w:rsidRPr="00527C38" w14:paraId="6090E415" w14:textId="77777777" w:rsidTr="00C94941">
        <w:trPr>
          <w:jc w:val="center"/>
        </w:trPr>
        <w:tc>
          <w:tcPr>
            <w:tcW w:w="1783" w:type="pct"/>
            <w:tcBorders>
              <w:top w:val="nil"/>
              <w:left w:val="nil"/>
              <w:bottom w:val="nil"/>
              <w:right w:val="nil"/>
            </w:tcBorders>
          </w:tcPr>
          <w:p w14:paraId="7AFBAABD"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p>
        </w:tc>
        <w:tc>
          <w:tcPr>
            <w:tcW w:w="860" w:type="pct"/>
            <w:tcBorders>
              <w:top w:val="nil"/>
              <w:left w:val="nil"/>
              <w:bottom w:val="nil"/>
              <w:right w:val="nil"/>
            </w:tcBorders>
          </w:tcPr>
          <w:p w14:paraId="23D21E28"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49" w:type="pct"/>
            <w:tcBorders>
              <w:top w:val="nil"/>
              <w:left w:val="nil"/>
              <w:bottom w:val="nil"/>
              <w:right w:val="nil"/>
            </w:tcBorders>
          </w:tcPr>
          <w:p w14:paraId="4EDBA3FF"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788" w:type="pct"/>
            <w:tcBorders>
              <w:top w:val="nil"/>
              <w:left w:val="nil"/>
              <w:bottom w:val="nil"/>
              <w:right w:val="nil"/>
            </w:tcBorders>
          </w:tcPr>
          <w:p w14:paraId="5B2F41B4"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c>
          <w:tcPr>
            <w:tcW w:w="820" w:type="pct"/>
            <w:tcBorders>
              <w:top w:val="nil"/>
              <w:left w:val="nil"/>
              <w:bottom w:val="nil"/>
              <w:right w:val="nil"/>
            </w:tcBorders>
          </w:tcPr>
          <w:p w14:paraId="3EF88EF3" w14:textId="7777777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p>
        </w:tc>
      </w:tr>
      <w:tr w:rsidR="00C05DD4" w:rsidRPr="00527C38" w14:paraId="768E89B7" w14:textId="77777777" w:rsidTr="00C94941">
        <w:trPr>
          <w:jc w:val="center"/>
        </w:trPr>
        <w:tc>
          <w:tcPr>
            <w:tcW w:w="1783" w:type="pct"/>
            <w:tcBorders>
              <w:top w:val="nil"/>
              <w:left w:val="nil"/>
              <w:bottom w:val="nil"/>
              <w:right w:val="nil"/>
            </w:tcBorders>
          </w:tcPr>
          <w:p w14:paraId="318AD15F"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Observations</w:t>
            </w:r>
          </w:p>
        </w:tc>
        <w:tc>
          <w:tcPr>
            <w:tcW w:w="860" w:type="pct"/>
            <w:tcBorders>
              <w:top w:val="nil"/>
              <w:left w:val="nil"/>
              <w:bottom w:val="nil"/>
              <w:right w:val="nil"/>
            </w:tcBorders>
          </w:tcPr>
          <w:p w14:paraId="358EF7E3" w14:textId="4A15FD7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6.149</w:t>
            </w:r>
          </w:p>
        </w:tc>
        <w:tc>
          <w:tcPr>
            <w:tcW w:w="749" w:type="pct"/>
            <w:tcBorders>
              <w:top w:val="nil"/>
              <w:left w:val="nil"/>
              <w:bottom w:val="nil"/>
              <w:right w:val="nil"/>
            </w:tcBorders>
          </w:tcPr>
          <w:p w14:paraId="48C89927" w14:textId="423281C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5.703</w:t>
            </w:r>
          </w:p>
        </w:tc>
        <w:tc>
          <w:tcPr>
            <w:tcW w:w="788" w:type="pct"/>
            <w:tcBorders>
              <w:top w:val="nil"/>
              <w:left w:val="nil"/>
              <w:bottom w:val="nil"/>
              <w:right w:val="nil"/>
            </w:tcBorders>
          </w:tcPr>
          <w:p w14:paraId="52A85744" w14:textId="3B1F2AF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6.149</w:t>
            </w:r>
          </w:p>
        </w:tc>
        <w:tc>
          <w:tcPr>
            <w:tcW w:w="820" w:type="pct"/>
            <w:tcBorders>
              <w:top w:val="nil"/>
              <w:left w:val="nil"/>
              <w:bottom w:val="nil"/>
              <w:right w:val="nil"/>
            </w:tcBorders>
          </w:tcPr>
          <w:p w14:paraId="1F28AD56" w14:textId="10F32E47"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6.217</w:t>
            </w:r>
          </w:p>
        </w:tc>
      </w:tr>
      <w:tr w:rsidR="00C05DD4" w:rsidRPr="00527C38" w14:paraId="00DABE2F" w14:textId="77777777" w:rsidTr="00C94941">
        <w:trPr>
          <w:jc w:val="center"/>
        </w:trPr>
        <w:tc>
          <w:tcPr>
            <w:tcW w:w="1783" w:type="pct"/>
            <w:tcBorders>
              <w:top w:val="nil"/>
              <w:left w:val="nil"/>
              <w:bottom w:val="nil"/>
              <w:right w:val="nil"/>
            </w:tcBorders>
          </w:tcPr>
          <w:p w14:paraId="55462AA3"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lang w:val="en-US"/>
              </w:rPr>
            </w:pPr>
            <w:r w:rsidRPr="00527C38">
              <w:rPr>
                <w:rFonts w:asciiTheme="majorHAnsi" w:hAnsiTheme="majorHAnsi" w:cstheme="majorHAnsi"/>
                <w:highlight w:val="yellow"/>
              </w:rPr>
              <w:t xml:space="preserve">Number of </w:t>
            </w:r>
            <w:r w:rsidRPr="00527C38">
              <w:rPr>
                <w:rFonts w:asciiTheme="majorHAnsi" w:hAnsiTheme="majorHAnsi" w:cstheme="majorHAnsi"/>
                <w:highlight w:val="yellow"/>
                <w:lang w:val="en-US"/>
              </w:rPr>
              <w:t>firms</w:t>
            </w:r>
          </w:p>
        </w:tc>
        <w:tc>
          <w:tcPr>
            <w:tcW w:w="860" w:type="pct"/>
            <w:tcBorders>
              <w:top w:val="nil"/>
              <w:left w:val="nil"/>
              <w:bottom w:val="nil"/>
              <w:right w:val="nil"/>
            </w:tcBorders>
          </w:tcPr>
          <w:p w14:paraId="7FDEA479" w14:textId="02A5B97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c>
          <w:tcPr>
            <w:tcW w:w="749" w:type="pct"/>
            <w:tcBorders>
              <w:top w:val="nil"/>
              <w:left w:val="nil"/>
              <w:bottom w:val="nil"/>
              <w:right w:val="nil"/>
            </w:tcBorders>
          </w:tcPr>
          <w:p w14:paraId="1B58C06D" w14:textId="2AC7FC8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570</w:t>
            </w:r>
          </w:p>
        </w:tc>
        <w:tc>
          <w:tcPr>
            <w:tcW w:w="788" w:type="pct"/>
            <w:tcBorders>
              <w:top w:val="nil"/>
              <w:left w:val="nil"/>
              <w:bottom w:val="nil"/>
              <w:right w:val="nil"/>
            </w:tcBorders>
          </w:tcPr>
          <w:p w14:paraId="36DAE2DA" w14:textId="553027D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c>
          <w:tcPr>
            <w:tcW w:w="820" w:type="pct"/>
            <w:tcBorders>
              <w:top w:val="nil"/>
              <w:left w:val="nil"/>
              <w:bottom w:val="nil"/>
              <w:right w:val="nil"/>
            </w:tcBorders>
          </w:tcPr>
          <w:p w14:paraId="063D8317" w14:textId="3374DDDD"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r>
      <w:tr w:rsidR="00C05DD4" w:rsidRPr="00527C38" w14:paraId="7156FAD9" w14:textId="77777777" w:rsidTr="00C94941">
        <w:trPr>
          <w:jc w:val="center"/>
        </w:trPr>
        <w:tc>
          <w:tcPr>
            <w:tcW w:w="1783" w:type="pct"/>
            <w:tcBorders>
              <w:top w:val="nil"/>
              <w:left w:val="nil"/>
              <w:bottom w:val="nil"/>
              <w:right w:val="nil"/>
            </w:tcBorders>
          </w:tcPr>
          <w:p w14:paraId="62BEC6B9"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Number of obs</w:t>
            </w:r>
          </w:p>
        </w:tc>
        <w:tc>
          <w:tcPr>
            <w:tcW w:w="860" w:type="pct"/>
            <w:tcBorders>
              <w:top w:val="nil"/>
              <w:left w:val="nil"/>
              <w:bottom w:val="nil"/>
              <w:right w:val="nil"/>
            </w:tcBorders>
          </w:tcPr>
          <w:p w14:paraId="4BDA8325" w14:textId="257025B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6149</w:t>
            </w:r>
          </w:p>
        </w:tc>
        <w:tc>
          <w:tcPr>
            <w:tcW w:w="749" w:type="pct"/>
            <w:tcBorders>
              <w:top w:val="nil"/>
              <w:left w:val="nil"/>
              <w:bottom w:val="nil"/>
              <w:right w:val="nil"/>
            </w:tcBorders>
          </w:tcPr>
          <w:p w14:paraId="18E602E0" w14:textId="5A6329A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5703</w:t>
            </w:r>
          </w:p>
        </w:tc>
        <w:tc>
          <w:tcPr>
            <w:tcW w:w="788" w:type="pct"/>
            <w:tcBorders>
              <w:top w:val="nil"/>
              <w:left w:val="nil"/>
              <w:bottom w:val="nil"/>
              <w:right w:val="nil"/>
            </w:tcBorders>
          </w:tcPr>
          <w:p w14:paraId="4B091C72" w14:textId="2940EB05"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6149</w:t>
            </w:r>
          </w:p>
        </w:tc>
        <w:tc>
          <w:tcPr>
            <w:tcW w:w="820" w:type="pct"/>
            <w:tcBorders>
              <w:top w:val="nil"/>
              <w:left w:val="nil"/>
              <w:bottom w:val="nil"/>
              <w:right w:val="nil"/>
            </w:tcBorders>
          </w:tcPr>
          <w:p w14:paraId="37952FC9" w14:textId="3A84D70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6217</w:t>
            </w:r>
          </w:p>
        </w:tc>
      </w:tr>
      <w:tr w:rsidR="00C05DD4" w:rsidRPr="00527C38" w14:paraId="300938D2" w14:textId="77777777" w:rsidTr="00C94941">
        <w:trPr>
          <w:jc w:val="center"/>
        </w:trPr>
        <w:tc>
          <w:tcPr>
            <w:tcW w:w="1783" w:type="pct"/>
            <w:tcBorders>
              <w:top w:val="nil"/>
              <w:left w:val="nil"/>
              <w:bottom w:val="nil"/>
              <w:right w:val="nil"/>
            </w:tcBorders>
          </w:tcPr>
          <w:p w14:paraId="30E245F4"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Number of groups</w:t>
            </w:r>
          </w:p>
        </w:tc>
        <w:tc>
          <w:tcPr>
            <w:tcW w:w="860" w:type="pct"/>
            <w:tcBorders>
              <w:top w:val="nil"/>
              <w:left w:val="nil"/>
              <w:bottom w:val="nil"/>
              <w:right w:val="nil"/>
            </w:tcBorders>
          </w:tcPr>
          <w:p w14:paraId="73A26380" w14:textId="153970C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c>
          <w:tcPr>
            <w:tcW w:w="749" w:type="pct"/>
            <w:tcBorders>
              <w:top w:val="nil"/>
              <w:left w:val="nil"/>
              <w:bottom w:val="nil"/>
              <w:right w:val="nil"/>
            </w:tcBorders>
          </w:tcPr>
          <w:p w14:paraId="37D018BE" w14:textId="57A817DF"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570</w:t>
            </w:r>
          </w:p>
        </w:tc>
        <w:tc>
          <w:tcPr>
            <w:tcW w:w="788" w:type="pct"/>
            <w:tcBorders>
              <w:top w:val="nil"/>
              <w:left w:val="nil"/>
              <w:bottom w:val="nil"/>
              <w:right w:val="nil"/>
            </w:tcBorders>
          </w:tcPr>
          <w:p w14:paraId="4551F296" w14:textId="66A8ABD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c>
          <w:tcPr>
            <w:tcW w:w="820" w:type="pct"/>
            <w:tcBorders>
              <w:top w:val="nil"/>
              <w:left w:val="nil"/>
              <w:bottom w:val="nil"/>
              <w:right w:val="nil"/>
            </w:tcBorders>
          </w:tcPr>
          <w:p w14:paraId="73D43BDB" w14:textId="6FD52B2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575</w:t>
            </w:r>
          </w:p>
        </w:tc>
      </w:tr>
      <w:tr w:rsidR="00C05DD4" w:rsidRPr="00527C38" w14:paraId="3C767DD3" w14:textId="77777777" w:rsidTr="00C94941">
        <w:trPr>
          <w:jc w:val="center"/>
        </w:trPr>
        <w:tc>
          <w:tcPr>
            <w:tcW w:w="1783" w:type="pct"/>
            <w:tcBorders>
              <w:top w:val="nil"/>
              <w:left w:val="nil"/>
              <w:bottom w:val="nil"/>
              <w:right w:val="nil"/>
            </w:tcBorders>
          </w:tcPr>
          <w:p w14:paraId="6CD5984B"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Number of instruments</w:t>
            </w:r>
          </w:p>
        </w:tc>
        <w:tc>
          <w:tcPr>
            <w:tcW w:w="860" w:type="pct"/>
            <w:tcBorders>
              <w:top w:val="nil"/>
              <w:left w:val="nil"/>
              <w:bottom w:val="nil"/>
              <w:right w:val="nil"/>
            </w:tcBorders>
          </w:tcPr>
          <w:p w14:paraId="59406470" w14:textId="5FE62F8B"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581</w:t>
            </w:r>
          </w:p>
        </w:tc>
        <w:tc>
          <w:tcPr>
            <w:tcW w:w="749" w:type="pct"/>
            <w:tcBorders>
              <w:top w:val="nil"/>
              <w:left w:val="nil"/>
              <w:bottom w:val="nil"/>
              <w:right w:val="nil"/>
            </w:tcBorders>
          </w:tcPr>
          <w:p w14:paraId="165A0BCF" w14:textId="1CBACB6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566</w:t>
            </w:r>
          </w:p>
        </w:tc>
        <w:tc>
          <w:tcPr>
            <w:tcW w:w="788" w:type="pct"/>
            <w:tcBorders>
              <w:top w:val="nil"/>
              <w:left w:val="nil"/>
              <w:bottom w:val="nil"/>
              <w:right w:val="nil"/>
            </w:tcBorders>
          </w:tcPr>
          <w:p w14:paraId="1783C5FD" w14:textId="4519009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581</w:t>
            </w:r>
          </w:p>
        </w:tc>
        <w:tc>
          <w:tcPr>
            <w:tcW w:w="820" w:type="pct"/>
            <w:tcBorders>
              <w:top w:val="nil"/>
              <w:left w:val="nil"/>
              <w:bottom w:val="nil"/>
              <w:right w:val="nil"/>
            </w:tcBorders>
          </w:tcPr>
          <w:p w14:paraId="354F40D2" w14:textId="6B3844B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581</w:t>
            </w:r>
          </w:p>
        </w:tc>
      </w:tr>
      <w:tr w:rsidR="00C05DD4" w:rsidRPr="00527C38" w14:paraId="564FB39C" w14:textId="77777777" w:rsidTr="00C94941">
        <w:trPr>
          <w:jc w:val="center"/>
        </w:trPr>
        <w:tc>
          <w:tcPr>
            <w:tcW w:w="1783" w:type="pct"/>
            <w:tcBorders>
              <w:top w:val="nil"/>
              <w:left w:val="nil"/>
              <w:bottom w:val="nil"/>
              <w:right w:val="nil"/>
            </w:tcBorders>
          </w:tcPr>
          <w:p w14:paraId="28C5D0B6"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Arellano-Bond test for AR(1)</w:t>
            </w:r>
          </w:p>
        </w:tc>
        <w:tc>
          <w:tcPr>
            <w:tcW w:w="860" w:type="pct"/>
            <w:tcBorders>
              <w:top w:val="nil"/>
              <w:left w:val="nil"/>
              <w:bottom w:val="nil"/>
              <w:right w:val="nil"/>
            </w:tcBorders>
          </w:tcPr>
          <w:p w14:paraId="47E48D6A" w14:textId="15FBC3BD"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-5.052</w:t>
            </w:r>
          </w:p>
        </w:tc>
        <w:tc>
          <w:tcPr>
            <w:tcW w:w="749" w:type="pct"/>
            <w:tcBorders>
              <w:top w:val="nil"/>
              <w:left w:val="nil"/>
              <w:bottom w:val="nil"/>
              <w:right w:val="nil"/>
            </w:tcBorders>
          </w:tcPr>
          <w:p w14:paraId="2611F74C" w14:textId="2EE214F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-4.120</w:t>
            </w:r>
          </w:p>
        </w:tc>
        <w:tc>
          <w:tcPr>
            <w:tcW w:w="788" w:type="pct"/>
            <w:tcBorders>
              <w:top w:val="nil"/>
              <w:left w:val="nil"/>
              <w:bottom w:val="nil"/>
              <w:right w:val="nil"/>
            </w:tcBorders>
          </w:tcPr>
          <w:p w14:paraId="1A48E5A5" w14:textId="2BC08C2E"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-8.599</w:t>
            </w:r>
          </w:p>
        </w:tc>
        <w:tc>
          <w:tcPr>
            <w:tcW w:w="820" w:type="pct"/>
            <w:tcBorders>
              <w:top w:val="nil"/>
              <w:left w:val="nil"/>
              <w:bottom w:val="nil"/>
              <w:right w:val="nil"/>
            </w:tcBorders>
          </w:tcPr>
          <w:p w14:paraId="799EA5E8" w14:textId="523D453A"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-5.409</w:t>
            </w:r>
          </w:p>
        </w:tc>
      </w:tr>
      <w:tr w:rsidR="00C05DD4" w:rsidRPr="00527C38" w14:paraId="05B4BB9B" w14:textId="77777777" w:rsidTr="00C94941">
        <w:trPr>
          <w:jc w:val="center"/>
        </w:trPr>
        <w:tc>
          <w:tcPr>
            <w:tcW w:w="1783" w:type="pct"/>
            <w:tcBorders>
              <w:top w:val="nil"/>
              <w:left w:val="nil"/>
              <w:bottom w:val="nil"/>
              <w:right w:val="nil"/>
            </w:tcBorders>
          </w:tcPr>
          <w:p w14:paraId="4AAA4B1A"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pAR(1)</w:t>
            </w:r>
          </w:p>
        </w:tc>
        <w:tc>
          <w:tcPr>
            <w:tcW w:w="860" w:type="pct"/>
            <w:tcBorders>
              <w:top w:val="nil"/>
              <w:left w:val="nil"/>
              <w:bottom w:val="nil"/>
              <w:right w:val="nil"/>
            </w:tcBorders>
          </w:tcPr>
          <w:p w14:paraId="020FFFB6" w14:textId="6CA515A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4.37e-07</w:t>
            </w:r>
          </w:p>
        </w:tc>
        <w:tc>
          <w:tcPr>
            <w:tcW w:w="749" w:type="pct"/>
            <w:tcBorders>
              <w:top w:val="nil"/>
              <w:left w:val="nil"/>
              <w:bottom w:val="nil"/>
              <w:right w:val="nil"/>
            </w:tcBorders>
          </w:tcPr>
          <w:p w14:paraId="3AD1A5BC" w14:textId="7F193F00"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3.79e-05</w:t>
            </w:r>
          </w:p>
        </w:tc>
        <w:tc>
          <w:tcPr>
            <w:tcW w:w="788" w:type="pct"/>
            <w:tcBorders>
              <w:top w:val="nil"/>
              <w:left w:val="nil"/>
              <w:bottom w:val="nil"/>
              <w:right w:val="nil"/>
            </w:tcBorders>
          </w:tcPr>
          <w:p w14:paraId="17CFF51E" w14:textId="6325592F"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w:t>
            </w:r>
          </w:p>
        </w:tc>
        <w:tc>
          <w:tcPr>
            <w:tcW w:w="820" w:type="pct"/>
            <w:tcBorders>
              <w:top w:val="nil"/>
              <w:left w:val="nil"/>
              <w:bottom w:val="nil"/>
              <w:right w:val="nil"/>
            </w:tcBorders>
          </w:tcPr>
          <w:p w14:paraId="1FFB45E2" w14:textId="4D0BE916"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6.34e-08</w:t>
            </w:r>
          </w:p>
        </w:tc>
      </w:tr>
      <w:tr w:rsidR="00C05DD4" w:rsidRPr="00527C38" w14:paraId="629B258F" w14:textId="77777777" w:rsidTr="00C94941">
        <w:trPr>
          <w:jc w:val="center"/>
        </w:trPr>
        <w:tc>
          <w:tcPr>
            <w:tcW w:w="1783" w:type="pct"/>
            <w:tcBorders>
              <w:top w:val="nil"/>
              <w:left w:val="nil"/>
              <w:bottom w:val="nil"/>
              <w:right w:val="nil"/>
            </w:tcBorders>
          </w:tcPr>
          <w:p w14:paraId="018DEE3F"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Arellano-Bond test for AR(2)</w:t>
            </w:r>
          </w:p>
        </w:tc>
        <w:tc>
          <w:tcPr>
            <w:tcW w:w="860" w:type="pct"/>
            <w:tcBorders>
              <w:top w:val="nil"/>
              <w:left w:val="nil"/>
              <w:bottom w:val="nil"/>
              <w:right w:val="nil"/>
            </w:tcBorders>
          </w:tcPr>
          <w:p w14:paraId="3CF99E8F" w14:textId="778DAC0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0.293</w:t>
            </w:r>
          </w:p>
        </w:tc>
        <w:tc>
          <w:tcPr>
            <w:tcW w:w="749" w:type="pct"/>
            <w:tcBorders>
              <w:top w:val="nil"/>
              <w:left w:val="nil"/>
              <w:bottom w:val="nil"/>
              <w:right w:val="nil"/>
            </w:tcBorders>
          </w:tcPr>
          <w:p w14:paraId="4F44AC37" w14:textId="5BE5A79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1.212</w:t>
            </w:r>
          </w:p>
        </w:tc>
        <w:tc>
          <w:tcPr>
            <w:tcW w:w="788" w:type="pct"/>
            <w:tcBorders>
              <w:top w:val="nil"/>
              <w:left w:val="nil"/>
              <w:bottom w:val="nil"/>
              <w:right w:val="nil"/>
            </w:tcBorders>
          </w:tcPr>
          <w:p w14:paraId="188F9E3D" w14:textId="660F9371"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-4.712</w:t>
            </w:r>
          </w:p>
        </w:tc>
        <w:tc>
          <w:tcPr>
            <w:tcW w:w="820" w:type="pct"/>
            <w:tcBorders>
              <w:top w:val="nil"/>
              <w:left w:val="nil"/>
              <w:bottom w:val="nil"/>
              <w:right w:val="nil"/>
            </w:tcBorders>
          </w:tcPr>
          <w:p w14:paraId="58B63EFC" w14:textId="3185D79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0.690</w:t>
            </w:r>
          </w:p>
        </w:tc>
      </w:tr>
      <w:tr w:rsidR="00C05DD4" w:rsidRPr="00527C38" w14:paraId="181B51CD" w14:textId="77777777" w:rsidTr="00C94941">
        <w:trPr>
          <w:jc w:val="center"/>
        </w:trPr>
        <w:tc>
          <w:tcPr>
            <w:tcW w:w="1783" w:type="pct"/>
            <w:tcBorders>
              <w:top w:val="nil"/>
              <w:left w:val="nil"/>
              <w:bottom w:val="nil"/>
              <w:right w:val="nil"/>
            </w:tcBorders>
          </w:tcPr>
          <w:p w14:paraId="74FCBAE2"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pAR(2)</w:t>
            </w:r>
          </w:p>
        </w:tc>
        <w:tc>
          <w:tcPr>
            <w:tcW w:w="860" w:type="pct"/>
            <w:tcBorders>
              <w:top w:val="nil"/>
              <w:left w:val="nil"/>
              <w:bottom w:val="nil"/>
              <w:right w:val="nil"/>
            </w:tcBorders>
          </w:tcPr>
          <w:p w14:paraId="1E9A6B70" w14:textId="3FA52070"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4.37e-07</w:t>
            </w:r>
          </w:p>
        </w:tc>
        <w:tc>
          <w:tcPr>
            <w:tcW w:w="749" w:type="pct"/>
            <w:tcBorders>
              <w:top w:val="nil"/>
              <w:left w:val="nil"/>
              <w:bottom w:val="nil"/>
              <w:right w:val="nil"/>
            </w:tcBorders>
          </w:tcPr>
          <w:p w14:paraId="25185A91" w14:textId="199C24B9"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3.79e-05</w:t>
            </w:r>
          </w:p>
        </w:tc>
        <w:tc>
          <w:tcPr>
            <w:tcW w:w="788" w:type="pct"/>
            <w:tcBorders>
              <w:top w:val="nil"/>
              <w:left w:val="nil"/>
              <w:bottom w:val="nil"/>
              <w:right w:val="nil"/>
            </w:tcBorders>
          </w:tcPr>
          <w:p w14:paraId="32572CF7" w14:textId="66BD9685"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w:t>
            </w:r>
          </w:p>
        </w:tc>
        <w:tc>
          <w:tcPr>
            <w:tcW w:w="820" w:type="pct"/>
            <w:tcBorders>
              <w:top w:val="nil"/>
              <w:left w:val="nil"/>
              <w:bottom w:val="nil"/>
              <w:right w:val="nil"/>
            </w:tcBorders>
          </w:tcPr>
          <w:p w14:paraId="5564D3B9" w14:textId="3686513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6.34e-08</w:t>
            </w:r>
          </w:p>
        </w:tc>
      </w:tr>
      <w:tr w:rsidR="00C05DD4" w:rsidRPr="00527C38" w14:paraId="3B726EAD" w14:textId="77777777" w:rsidTr="00C94941">
        <w:trPr>
          <w:jc w:val="center"/>
        </w:trPr>
        <w:tc>
          <w:tcPr>
            <w:tcW w:w="1783" w:type="pct"/>
            <w:tcBorders>
              <w:top w:val="nil"/>
              <w:left w:val="nil"/>
              <w:bottom w:val="nil"/>
              <w:right w:val="nil"/>
            </w:tcBorders>
          </w:tcPr>
          <w:p w14:paraId="6B1DE708"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Hansen test</w:t>
            </w:r>
          </w:p>
        </w:tc>
        <w:tc>
          <w:tcPr>
            <w:tcW w:w="860" w:type="pct"/>
            <w:tcBorders>
              <w:top w:val="nil"/>
              <w:left w:val="nil"/>
              <w:bottom w:val="nil"/>
              <w:right w:val="nil"/>
            </w:tcBorders>
          </w:tcPr>
          <w:p w14:paraId="75351BA2" w14:textId="5E5C0DB0"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571.3</w:t>
            </w:r>
          </w:p>
        </w:tc>
        <w:tc>
          <w:tcPr>
            <w:tcW w:w="749" w:type="pct"/>
            <w:tcBorders>
              <w:top w:val="nil"/>
              <w:left w:val="nil"/>
              <w:bottom w:val="nil"/>
              <w:right w:val="nil"/>
            </w:tcBorders>
          </w:tcPr>
          <w:p w14:paraId="11720E44" w14:textId="0EAA9553"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558.7</w:t>
            </w:r>
          </w:p>
        </w:tc>
        <w:tc>
          <w:tcPr>
            <w:tcW w:w="788" w:type="pct"/>
            <w:tcBorders>
              <w:top w:val="nil"/>
              <w:left w:val="nil"/>
              <w:bottom w:val="nil"/>
              <w:right w:val="nil"/>
            </w:tcBorders>
          </w:tcPr>
          <w:p w14:paraId="5F99F648" w14:textId="4D0CAA4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568.8</w:t>
            </w:r>
          </w:p>
        </w:tc>
        <w:tc>
          <w:tcPr>
            <w:tcW w:w="820" w:type="pct"/>
            <w:tcBorders>
              <w:top w:val="nil"/>
              <w:left w:val="nil"/>
              <w:bottom w:val="nil"/>
              <w:right w:val="nil"/>
            </w:tcBorders>
          </w:tcPr>
          <w:p w14:paraId="308A0F1C" w14:textId="3CE0544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563.8</w:t>
            </w:r>
          </w:p>
        </w:tc>
      </w:tr>
      <w:tr w:rsidR="00C05DD4" w:rsidRPr="00527C38" w14:paraId="6EA6F184" w14:textId="77777777" w:rsidTr="00C94941">
        <w:tblPrEx>
          <w:tblBorders>
            <w:bottom w:val="single" w:sz="6" w:space="0" w:color="auto"/>
          </w:tblBorders>
        </w:tblPrEx>
        <w:trPr>
          <w:jc w:val="center"/>
        </w:trPr>
        <w:tc>
          <w:tcPr>
            <w:tcW w:w="1783" w:type="pct"/>
            <w:tcBorders>
              <w:top w:val="nil"/>
              <w:left w:val="nil"/>
              <w:bottom w:val="single" w:sz="6" w:space="0" w:color="auto"/>
              <w:right w:val="nil"/>
            </w:tcBorders>
          </w:tcPr>
          <w:p w14:paraId="300CC3F5" w14:textId="77777777" w:rsidR="00C05DD4" w:rsidRPr="00527C38" w:rsidRDefault="00C05DD4" w:rsidP="00C05DD4">
            <w:pPr>
              <w:widowControl w:val="0"/>
              <w:autoSpaceDE w:val="0"/>
              <w:autoSpaceDN w:val="0"/>
              <w:adjustRightInd w:val="0"/>
              <w:spacing w:after="0" w:line="240" w:lineRule="auto"/>
              <w:rPr>
                <w:rFonts w:asciiTheme="majorHAnsi" w:hAnsiTheme="majorHAnsi" w:cstheme="majorHAnsi"/>
                <w:highlight w:val="yellow"/>
              </w:rPr>
            </w:pPr>
            <w:r w:rsidRPr="00527C38">
              <w:rPr>
                <w:rFonts w:asciiTheme="majorHAnsi" w:hAnsiTheme="majorHAnsi" w:cstheme="majorHAnsi"/>
                <w:highlight w:val="yellow"/>
              </w:rPr>
              <w:t>p</w:t>
            </w:r>
            <w:r w:rsidRPr="00527C38">
              <w:rPr>
                <w:rFonts w:asciiTheme="majorHAnsi" w:hAnsiTheme="majorHAnsi" w:cstheme="majorHAnsi"/>
                <w:highlight w:val="yellow"/>
                <w:lang w:val="en-US"/>
              </w:rPr>
              <w:t>-</w:t>
            </w:r>
            <w:r w:rsidRPr="00527C38">
              <w:rPr>
                <w:rFonts w:asciiTheme="majorHAnsi" w:hAnsiTheme="majorHAnsi" w:cstheme="majorHAnsi"/>
                <w:highlight w:val="yellow"/>
              </w:rPr>
              <w:t>Hansen</w:t>
            </w:r>
          </w:p>
        </w:tc>
        <w:tc>
          <w:tcPr>
            <w:tcW w:w="860" w:type="pct"/>
            <w:tcBorders>
              <w:top w:val="nil"/>
              <w:left w:val="nil"/>
              <w:bottom w:val="single" w:sz="6" w:space="0" w:color="auto"/>
              <w:right w:val="nil"/>
            </w:tcBorders>
          </w:tcPr>
          <w:p w14:paraId="74C65110" w14:textId="662A5D0C"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0.524</w:t>
            </w:r>
          </w:p>
        </w:tc>
        <w:tc>
          <w:tcPr>
            <w:tcW w:w="749" w:type="pct"/>
            <w:tcBorders>
              <w:top w:val="nil"/>
              <w:left w:val="nil"/>
              <w:bottom w:val="single" w:sz="6" w:space="0" w:color="auto"/>
              <w:right w:val="nil"/>
            </w:tcBorders>
          </w:tcPr>
          <w:p w14:paraId="7720C274" w14:textId="0088E014"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0.495</w:t>
            </w:r>
          </w:p>
        </w:tc>
        <w:tc>
          <w:tcPr>
            <w:tcW w:w="788" w:type="pct"/>
            <w:tcBorders>
              <w:top w:val="nil"/>
              <w:left w:val="nil"/>
              <w:bottom w:val="single" w:sz="6" w:space="0" w:color="auto"/>
              <w:right w:val="nil"/>
            </w:tcBorders>
          </w:tcPr>
          <w:p w14:paraId="3ED0CEDB" w14:textId="5C23F71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0.553</w:t>
            </w:r>
          </w:p>
        </w:tc>
        <w:tc>
          <w:tcPr>
            <w:tcW w:w="820" w:type="pct"/>
            <w:tcBorders>
              <w:top w:val="nil"/>
              <w:left w:val="nil"/>
              <w:bottom w:val="single" w:sz="6" w:space="0" w:color="auto"/>
              <w:right w:val="nil"/>
            </w:tcBorders>
          </w:tcPr>
          <w:p w14:paraId="6B9C84FE" w14:textId="71304732"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0.612</w:t>
            </w:r>
          </w:p>
        </w:tc>
      </w:tr>
    </w:tbl>
    <w:p w14:paraId="029F0003" w14:textId="5348684C" w:rsidR="00527C38" w:rsidRPr="00527C38" w:rsidRDefault="00527C38" w:rsidP="00C05DD4">
      <w:pPr>
        <w:widowControl w:val="0"/>
        <w:autoSpaceDE w:val="0"/>
        <w:autoSpaceDN w:val="0"/>
        <w:adjustRightInd w:val="0"/>
        <w:spacing w:after="0" w:line="240" w:lineRule="auto"/>
        <w:jc w:val="center"/>
        <w:rPr>
          <w:rFonts w:asciiTheme="majorHAnsi" w:hAnsiTheme="majorHAnsi" w:cstheme="majorHAnsi"/>
          <w:highlight w:val="yellow"/>
          <w:lang w:val="en-US"/>
        </w:rPr>
      </w:pPr>
      <w:r w:rsidRPr="00527C38">
        <w:rPr>
          <w:rFonts w:asciiTheme="majorHAnsi" w:hAnsiTheme="majorHAnsi" w:cstheme="majorHAnsi"/>
          <w:highlight w:val="yellow"/>
          <w:lang w:val="en-US"/>
        </w:rPr>
        <w:t>X-score is calculated based on Zmijewski (1984)</w:t>
      </w:r>
      <w:hyperlink w:anchor="_ENREF_17" w:tooltip="Zmijewski, 1984 #13333" w:history="1">
        <w:r w:rsidRPr="00527C38">
          <w:rPr>
            <w:rFonts w:asciiTheme="majorHAnsi" w:hAnsiTheme="majorHAnsi" w:cstheme="majorHAnsi"/>
            <w:noProof/>
            <w:highlight w:val="yellow"/>
            <w:lang w:val="en-US"/>
          </w:rPr>
          <w:fldChar w:fldCharType="begin"/>
        </w:r>
        <w:r w:rsidRPr="00527C38">
          <w:rPr>
            <w:rFonts w:asciiTheme="majorHAnsi" w:hAnsiTheme="majorHAnsi" w:cstheme="majorHAnsi"/>
            <w:noProof/>
            <w:highlight w:val="yellow"/>
            <w:lang w:val="en-US"/>
          </w:rPr>
          <w:instrText xml:space="preserve"> ADDIN EN.CITE &lt;EndNote&gt;&lt;Cite&gt;&lt;Author&gt;Zmijewski&lt;/Author&gt;&lt;Year&gt;1984&lt;/Year&gt;&lt;RecNum&gt;13333&lt;/RecNum&gt;&lt;DisplayText&gt;&lt;style face="superscript"&gt;17&lt;/style&gt;&lt;/DisplayText&gt;&lt;record&gt;&lt;rec-number&gt;13333&lt;/rec-number&gt;&lt;foreign-keys&gt;&lt;key app="EN" db-id="exevsxpvos5ep2ear9b5svvoeswxvzw2rs5p" timestamp="1702843042" guid="2879b3f2-d78b-4879-ab4b-cebef984b96a"&gt;13333&lt;/key&gt;&lt;/foreign-keys&gt;&lt;ref-type name="Journal Article"&gt;17&lt;/ref-type&gt;&lt;contributors&gt;&lt;authors&gt;&lt;author&gt;Zmijewski, Mark E&lt;/author&gt;&lt;/authors&gt;&lt;/contributors&gt;&lt;titles&gt;&lt;title&gt;Methodological issues related to the estimation of financial distress prediction models&lt;/title&gt;&lt;secondary-title&gt;Journal of Accounting research&lt;/secondary-title&gt;&lt;/titles&gt;&lt;periodical&gt;&lt;full-title&gt;Journal of accounting research&lt;/full-title&gt;&lt;/periodical&gt;&lt;pages&gt;59–82&lt;/pages&gt;&lt;dates&gt;&lt;year&gt;1984&lt;/year&gt;&lt;/dates&gt;&lt;isbn&gt;0021-8456&lt;/isbn&gt;&lt;urls&gt;&lt;/urls&gt;&lt;/record&gt;&lt;/Cite&gt;&lt;/EndNote&gt;</w:instrText>
        </w:r>
        <w:r w:rsidRPr="00527C38">
          <w:rPr>
            <w:rFonts w:asciiTheme="majorHAnsi" w:hAnsiTheme="majorHAnsi" w:cstheme="majorHAnsi"/>
            <w:noProof/>
            <w:highlight w:val="yellow"/>
            <w:lang w:val="en-US"/>
          </w:rPr>
          <w:fldChar w:fldCharType="separate"/>
        </w:r>
        <w:r w:rsidRPr="00527C38">
          <w:rPr>
            <w:rFonts w:asciiTheme="majorHAnsi" w:hAnsiTheme="majorHAnsi" w:cstheme="majorHAnsi"/>
            <w:highlight w:val="yellow"/>
            <w:vertAlign w:val="superscript"/>
          </w:rPr>
          <w:t>17</w:t>
        </w:r>
        <w:r w:rsidRPr="00527C38">
          <w:rPr>
            <w:rFonts w:asciiTheme="majorHAnsi" w:hAnsiTheme="majorHAnsi" w:cstheme="majorHAnsi"/>
            <w:noProof/>
            <w:highlight w:val="yellow"/>
            <w:lang w:val="en-US"/>
          </w:rPr>
          <w:fldChar w:fldCharType="end"/>
        </w:r>
      </w:hyperlink>
    </w:p>
    <w:p w14:paraId="158C4EDD" w14:textId="4EED59E8"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highlight w:val="yellow"/>
        </w:rPr>
      </w:pPr>
      <w:r w:rsidRPr="00527C38">
        <w:rPr>
          <w:rFonts w:asciiTheme="majorHAnsi" w:hAnsiTheme="majorHAnsi" w:cstheme="majorHAnsi"/>
          <w:highlight w:val="yellow"/>
        </w:rPr>
        <w:t>z-statistics in parentheses</w:t>
      </w:r>
    </w:p>
    <w:p w14:paraId="1366310B" w14:textId="3D644085" w:rsidR="00C05DD4" w:rsidRPr="00527C38" w:rsidRDefault="00C05DD4" w:rsidP="00C05DD4">
      <w:pPr>
        <w:widowControl w:val="0"/>
        <w:autoSpaceDE w:val="0"/>
        <w:autoSpaceDN w:val="0"/>
        <w:adjustRightInd w:val="0"/>
        <w:spacing w:after="0" w:line="240" w:lineRule="auto"/>
        <w:jc w:val="center"/>
        <w:rPr>
          <w:rFonts w:asciiTheme="majorHAnsi" w:hAnsiTheme="majorHAnsi" w:cstheme="majorHAnsi"/>
          <w:lang w:val="en-US"/>
        </w:rPr>
      </w:pPr>
      <w:r w:rsidRPr="00527C38">
        <w:rPr>
          <w:rFonts w:asciiTheme="majorHAnsi" w:hAnsiTheme="majorHAnsi" w:cstheme="majorHAnsi"/>
          <w:highlight w:val="yellow"/>
        </w:rPr>
        <w:t>*** p&lt;0.01, ** p&lt;0.05, * p&lt;0.1</w:t>
      </w:r>
    </w:p>
    <w:p w14:paraId="7DA21255" w14:textId="77777777" w:rsidR="00C05DD4" w:rsidRPr="00527C38" w:rsidRDefault="00C05DD4" w:rsidP="00C05DD4">
      <w:pPr>
        <w:pStyle w:val="Nidungbibo"/>
        <w:rPr>
          <w:lang w:val="en-US"/>
        </w:rPr>
        <w:sectPr w:rsidR="00C05DD4" w:rsidRPr="00527C38" w:rsidSect="00C05DD4">
          <w:type w:val="continuous"/>
          <w:pgSz w:w="11906" w:h="16838"/>
          <w:pgMar w:top="1134" w:right="1134" w:bottom="1134" w:left="1418" w:header="709" w:footer="709" w:gutter="0"/>
          <w:cols w:space="708"/>
          <w:docGrid w:linePitch="360"/>
        </w:sectPr>
      </w:pPr>
    </w:p>
    <w:p w14:paraId="467FCFD4" w14:textId="70211F4C" w:rsidR="000169CB" w:rsidRPr="00527C38" w:rsidRDefault="000169CB" w:rsidP="00AE5C34">
      <w:pPr>
        <w:pStyle w:val="Tiumc"/>
        <w:tabs>
          <w:tab w:val="clear" w:pos="360"/>
          <w:tab w:val="clear" w:pos="9072"/>
        </w:tabs>
        <w:rPr>
          <w:rFonts w:asciiTheme="majorHAnsi" w:hAnsiTheme="majorHAnsi" w:cstheme="majorHAnsi"/>
          <w:noProof/>
        </w:rPr>
      </w:pPr>
      <w:r w:rsidRPr="00527C38">
        <w:rPr>
          <w:rFonts w:asciiTheme="majorHAnsi" w:hAnsiTheme="majorHAnsi" w:cstheme="majorHAnsi"/>
          <w:noProof/>
        </w:rPr>
        <w:t>5.</w:t>
      </w:r>
      <w:r w:rsidR="00FE6A33" w:rsidRPr="00527C38">
        <w:rPr>
          <w:rFonts w:asciiTheme="majorHAnsi" w:hAnsiTheme="majorHAnsi" w:cstheme="majorHAnsi"/>
          <w:noProof/>
        </w:rPr>
        <w:t xml:space="preserve"> </w:t>
      </w:r>
      <w:r w:rsidRPr="00527C38">
        <w:rPr>
          <w:rFonts w:asciiTheme="majorHAnsi" w:hAnsiTheme="majorHAnsi" w:cstheme="majorHAnsi"/>
          <w:noProof/>
        </w:rPr>
        <w:t xml:space="preserve"> </w:t>
      </w:r>
      <w:r w:rsidR="00F53C53" w:rsidRPr="00527C38">
        <w:rPr>
          <w:rFonts w:asciiTheme="majorHAnsi" w:hAnsiTheme="majorHAnsi" w:cstheme="majorHAnsi"/>
          <w:noProof/>
        </w:rPr>
        <w:t>CONCLUSION</w:t>
      </w:r>
      <w:r w:rsidR="000E5830" w:rsidRPr="00527C38">
        <w:rPr>
          <w:rFonts w:asciiTheme="majorHAnsi" w:hAnsiTheme="majorHAnsi" w:cstheme="majorHAnsi"/>
          <w:noProof/>
        </w:rPr>
        <w:t>S</w:t>
      </w:r>
    </w:p>
    <w:p w14:paraId="5420F1F0" w14:textId="42F83135" w:rsidR="00DC6701" w:rsidRPr="00527C38" w:rsidRDefault="00DC6701" w:rsidP="00DC6701">
      <w:pPr>
        <w:pStyle w:val="Nidungbibo"/>
        <w:rPr>
          <w:lang w:val="en-US"/>
        </w:rPr>
      </w:pPr>
      <w:r w:rsidRPr="00527C38">
        <w:rPr>
          <w:lang w:val="en-US"/>
        </w:rPr>
        <w:t>This study provides robust empirical evidence on the relationship between financial distress and earnings management among Vietnamese listed firms, while highlighting the roles of capital structure and liquidity in shaping managerial reporting behavior. Using a dynamic panel data model estimated via the two</w:t>
      </w:r>
      <w:r w:rsidR="004C6136" w:rsidRPr="00527C38">
        <w:rPr>
          <w:lang w:val="en-US"/>
        </w:rPr>
        <w:t xml:space="preserve"> </w:t>
      </w:r>
      <w:r w:rsidRPr="00527C38">
        <w:rPr>
          <w:lang w:val="en-US"/>
        </w:rPr>
        <w:t xml:space="preserve">step System Generalized Method of Moments (GMM), the analysis effectively mitigates endogeneity and captures the dynamic persistence of earnings </w:t>
      </w:r>
      <w:r w:rsidRPr="00527C38">
        <w:rPr>
          <w:lang w:val="en-US"/>
        </w:rPr>
        <w:t>management over time. The results show that financially sound firms (with higher Z-scores) tend to rely on accrual</w:t>
      </w:r>
      <w:r w:rsidR="004C6136" w:rsidRPr="00527C38">
        <w:rPr>
          <w:lang w:val="en-US"/>
        </w:rPr>
        <w:t xml:space="preserve"> </w:t>
      </w:r>
      <w:r w:rsidRPr="00527C38">
        <w:rPr>
          <w:lang w:val="en-US"/>
        </w:rPr>
        <w:t>based adjustments, whereas financially constrained firms (with lower Z-scores) are more likely to manipulate real operating activities to sustain short</w:t>
      </w:r>
      <w:r w:rsidR="004C6136" w:rsidRPr="00527C38">
        <w:rPr>
          <w:lang w:val="en-US"/>
        </w:rPr>
        <w:t xml:space="preserve"> </w:t>
      </w:r>
      <w:r w:rsidRPr="00527C38">
        <w:rPr>
          <w:lang w:val="en-US"/>
        </w:rPr>
        <w:t>term profitability. The positive association between leverage (FS) and earnings management supports the Debt Covenant Hypothesis, while the effects of liquidity indicators (CR, IC, CFD) explain cross</w:t>
      </w:r>
      <w:r w:rsidR="004C6136" w:rsidRPr="00527C38">
        <w:rPr>
          <w:lang w:val="en-US"/>
        </w:rPr>
        <w:t xml:space="preserve"> </w:t>
      </w:r>
      <w:r w:rsidRPr="00527C38">
        <w:rPr>
          <w:lang w:val="en-US"/>
        </w:rPr>
        <w:lastRenderedPageBreak/>
        <w:t>sectional variation in firms’ manipulation strategies.</w:t>
      </w:r>
    </w:p>
    <w:p w14:paraId="6AFE742D" w14:textId="26F82990" w:rsidR="00DC6701" w:rsidRPr="00527C38" w:rsidRDefault="00DC6701" w:rsidP="00DC6701">
      <w:pPr>
        <w:pStyle w:val="Nidungbibo"/>
        <w:rPr>
          <w:lang w:val="en-US"/>
        </w:rPr>
      </w:pPr>
      <w:r w:rsidRPr="00527C38">
        <w:rPr>
          <w:lang w:val="en-US"/>
        </w:rPr>
        <w:t>From an academic perspective, the study advances the understanding of earnings management in emerging markets, demonstrating that such behavior often represents an adaptive financial response to constraints rather than purely opportunistic or fraudulent conduct. From a practical standpoint, the findings underscore the need for regulators and auditors to broaden their oversight beyond accrual</w:t>
      </w:r>
      <w:r w:rsidR="004C6136" w:rsidRPr="00527C38">
        <w:rPr>
          <w:lang w:val="en-US"/>
        </w:rPr>
        <w:t xml:space="preserve"> </w:t>
      </w:r>
      <w:r w:rsidRPr="00527C38">
        <w:rPr>
          <w:lang w:val="en-US"/>
        </w:rPr>
        <w:t>based measures and to monitor potential signs of real activity manipulation, particularly among highly leveraged or liquidity</w:t>
      </w:r>
      <w:r w:rsidR="004C6136" w:rsidRPr="00527C38">
        <w:rPr>
          <w:lang w:val="en-US"/>
        </w:rPr>
        <w:t xml:space="preserve"> </w:t>
      </w:r>
      <w:r w:rsidRPr="00527C38">
        <w:rPr>
          <w:lang w:val="en-US"/>
        </w:rPr>
        <w:t xml:space="preserve">constrained firms. Investors are likewise encouraged to evaluate both accrual </w:t>
      </w:r>
      <w:r w:rsidRPr="00527C38">
        <w:rPr>
          <w:lang w:val="en-US"/>
        </w:rPr>
        <w:t>and real activity channels to obtain a more comprehensive assessment of earnings quality and financial risk.</w:t>
      </w:r>
    </w:p>
    <w:p w14:paraId="672E54AF" w14:textId="097C19D3" w:rsidR="006E4CEC" w:rsidRPr="00527C38" w:rsidRDefault="00DC6701" w:rsidP="00071D8E">
      <w:pPr>
        <w:pStyle w:val="Nidungbibo"/>
        <w:rPr>
          <w:lang w:val="en-US"/>
        </w:rPr>
        <w:sectPr w:rsidR="006E4CEC" w:rsidRPr="00527C38" w:rsidSect="00641758">
          <w:type w:val="continuous"/>
          <w:pgSz w:w="11906" w:h="16838"/>
          <w:pgMar w:top="1134" w:right="1134" w:bottom="1134" w:left="1418" w:header="709" w:footer="709" w:gutter="0"/>
          <w:cols w:num="2" w:space="567"/>
          <w:docGrid w:linePitch="360"/>
        </w:sectPr>
      </w:pPr>
      <w:r w:rsidRPr="00527C38">
        <w:rPr>
          <w:lang w:val="en-US"/>
        </w:rPr>
        <w:t>The study’s limitations primarily relate to the scope of the sample and the use of the Altman Z-score as the sole proxy for financial distress. Future research could enhance generalizability by incorporating alternative distress measures</w:t>
      </w:r>
      <w:r w:rsidR="004C6136" w:rsidRPr="00527C38">
        <w:rPr>
          <w:lang w:val="en-US"/>
        </w:rPr>
        <w:t xml:space="preserve"> </w:t>
      </w:r>
      <w:r w:rsidRPr="00527C38">
        <w:rPr>
          <w:lang w:val="en-US"/>
        </w:rPr>
        <w:t>such as the Ohlson O-score or Zmijewski index</w:t>
      </w:r>
      <w:r w:rsidR="004C6136" w:rsidRPr="00527C38">
        <w:rPr>
          <w:lang w:val="en-US"/>
        </w:rPr>
        <w:t xml:space="preserve"> </w:t>
      </w:r>
      <w:r w:rsidRPr="00527C38">
        <w:rPr>
          <w:lang w:val="en-US"/>
        </w:rPr>
        <w:t>and by integrating non</w:t>
      </w:r>
      <w:r w:rsidR="004C6136" w:rsidRPr="00527C38">
        <w:rPr>
          <w:lang w:val="en-US"/>
        </w:rPr>
        <w:t xml:space="preserve"> </w:t>
      </w:r>
      <w:r w:rsidRPr="00527C38">
        <w:rPr>
          <w:lang w:val="en-US"/>
        </w:rPr>
        <w:t>financial dimensions, including audit quality, ownership structure, and governance mechanisms. Such extensions would further clarify the complex interplay between financial distress, earnings management, and long</w:t>
      </w:r>
      <w:r w:rsidR="004C6136" w:rsidRPr="00527C38">
        <w:rPr>
          <w:lang w:val="en-US"/>
        </w:rPr>
        <w:t xml:space="preserve"> </w:t>
      </w:r>
      <w:r w:rsidRPr="00527C38">
        <w:rPr>
          <w:lang w:val="en-US"/>
        </w:rPr>
        <w:t>term firm performance in emerging market contexts.</w:t>
      </w:r>
    </w:p>
    <w:p w14:paraId="2F907011" w14:textId="77777777" w:rsidR="006E4CEC" w:rsidRPr="00527C38" w:rsidRDefault="006E4CEC" w:rsidP="006E4CEC">
      <w:pPr>
        <w:spacing w:after="0" w:line="240" w:lineRule="auto"/>
        <w:jc w:val="center"/>
        <w:rPr>
          <w:rFonts w:asciiTheme="majorHAnsi" w:eastAsia="Times New Roman" w:hAnsiTheme="majorHAnsi" w:cstheme="majorHAnsi"/>
          <w:b/>
          <w:bCs/>
          <w:sz w:val="20"/>
          <w:szCs w:val="20"/>
          <w:lang w:val="en-US"/>
        </w:rPr>
      </w:pPr>
    </w:p>
    <w:p w14:paraId="72C38EAE" w14:textId="6F34D894" w:rsidR="006E4CEC" w:rsidRPr="00527C38" w:rsidRDefault="00835032" w:rsidP="006E4CEC">
      <w:pPr>
        <w:spacing w:after="0" w:line="240" w:lineRule="auto"/>
        <w:jc w:val="center"/>
        <w:rPr>
          <w:rFonts w:asciiTheme="majorHAnsi" w:eastAsia="Times New Roman" w:hAnsiTheme="majorHAnsi" w:cstheme="majorHAnsi"/>
          <w:b/>
          <w:bCs/>
          <w:sz w:val="20"/>
          <w:szCs w:val="20"/>
          <w:lang w:val="en-US"/>
        </w:rPr>
      </w:pPr>
      <w:r w:rsidRPr="00527C38">
        <w:rPr>
          <w:rFonts w:asciiTheme="majorHAnsi" w:eastAsia="Times New Roman" w:hAnsiTheme="majorHAnsi" w:cstheme="majorHAnsi"/>
          <w:b/>
          <w:bCs/>
          <w:sz w:val="20"/>
          <w:szCs w:val="20"/>
        </w:rPr>
        <w:t>REFERENCES</w:t>
      </w:r>
    </w:p>
    <w:p w14:paraId="33169288" w14:textId="77777777" w:rsidR="006E4CEC" w:rsidRPr="00527C38" w:rsidRDefault="006E4CEC" w:rsidP="006E4CEC">
      <w:pPr>
        <w:spacing w:after="0" w:line="240" w:lineRule="auto"/>
        <w:jc w:val="center"/>
        <w:rPr>
          <w:rFonts w:asciiTheme="majorHAnsi" w:eastAsia="Times New Roman" w:hAnsiTheme="majorHAnsi" w:cstheme="majorHAnsi"/>
          <w:b/>
          <w:bCs/>
          <w:sz w:val="20"/>
          <w:szCs w:val="20"/>
          <w:lang w:val="en-US"/>
        </w:rPr>
      </w:pPr>
    </w:p>
    <w:p w14:paraId="77739DB4" w14:textId="53281171" w:rsidR="006E4CEC" w:rsidRPr="00527C38" w:rsidRDefault="006E4CEC" w:rsidP="006E4CEC">
      <w:pPr>
        <w:spacing w:after="0" w:line="240" w:lineRule="auto"/>
        <w:jc w:val="center"/>
        <w:rPr>
          <w:rFonts w:asciiTheme="majorHAnsi" w:eastAsia="Times New Roman" w:hAnsiTheme="majorHAnsi" w:cstheme="majorHAnsi"/>
          <w:b/>
          <w:bCs/>
          <w:sz w:val="20"/>
          <w:szCs w:val="20"/>
          <w:lang w:val="en-US"/>
        </w:rPr>
        <w:sectPr w:rsidR="006E4CEC" w:rsidRPr="00527C38" w:rsidSect="006E4CEC">
          <w:type w:val="continuous"/>
          <w:pgSz w:w="11906" w:h="16838"/>
          <w:pgMar w:top="1134" w:right="1134" w:bottom="1134" w:left="1418" w:header="709" w:footer="709" w:gutter="0"/>
          <w:cols w:space="567"/>
          <w:docGrid w:linePitch="360"/>
        </w:sectPr>
      </w:pPr>
    </w:p>
    <w:p w14:paraId="2636A905" w14:textId="77777777" w:rsidR="00527C38" w:rsidRPr="00527C38" w:rsidRDefault="00413D7E" w:rsidP="00527C38">
      <w:pPr>
        <w:pStyle w:val="EndNoteBibliography"/>
        <w:spacing w:after="0"/>
        <w:ind w:left="280" w:hanging="280"/>
      </w:pPr>
      <w:r w:rsidRPr="00527C38">
        <w:rPr>
          <w:rFonts w:asciiTheme="majorHAnsi" w:eastAsia="Times New Roman" w:hAnsiTheme="majorHAnsi" w:cstheme="majorHAnsi"/>
          <w:szCs w:val="20"/>
        </w:rPr>
        <w:fldChar w:fldCharType="begin"/>
      </w:r>
      <w:r w:rsidRPr="00527C38">
        <w:rPr>
          <w:rFonts w:asciiTheme="majorHAnsi" w:eastAsia="Times New Roman" w:hAnsiTheme="majorHAnsi" w:cstheme="majorHAnsi"/>
          <w:szCs w:val="20"/>
        </w:rPr>
        <w:instrText xml:space="preserve"> ADDIN EN.REFLIST </w:instrText>
      </w:r>
      <w:r w:rsidRPr="00527C38">
        <w:rPr>
          <w:rFonts w:asciiTheme="majorHAnsi" w:eastAsia="Times New Roman" w:hAnsiTheme="majorHAnsi" w:cstheme="majorHAnsi"/>
          <w:szCs w:val="20"/>
        </w:rPr>
        <w:fldChar w:fldCharType="separate"/>
      </w:r>
      <w:bookmarkStart w:id="0" w:name="_ENREF_1"/>
      <w:r w:rsidR="00527C38" w:rsidRPr="00527C38">
        <w:t>1.</w:t>
      </w:r>
      <w:r w:rsidR="00527C38" w:rsidRPr="00527C38">
        <w:tab/>
        <w:t xml:space="preserve">M. C. Jensen, W. H. Meckling. Theory of the firm: Managerial behavior, agency costs and ownership structure, </w:t>
      </w:r>
      <w:r w:rsidR="00527C38" w:rsidRPr="00527C38">
        <w:rPr>
          <w:i/>
        </w:rPr>
        <w:t>Journal of Financial Economics</w:t>
      </w:r>
      <w:r w:rsidR="00527C38" w:rsidRPr="00527C38">
        <w:t xml:space="preserve">, </w:t>
      </w:r>
      <w:r w:rsidR="00527C38" w:rsidRPr="00527C38">
        <w:rPr>
          <w:b/>
        </w:rPr>
        <w:t>1976</w:t>
      </w:r>
      <w:r w:rsidR="00527C38" w:rsidRPr="00527C38">
        <w:t xml:space="preserve">, </w:t>
      </w:r>
      <w:r w:rsidR="00527C38" w:rsidRPr="00527C38">
        <w:rPr>
          <w:i/>
        </w:rPr>
        <w:t>3</w:t>
      </w:r>
      <w:r w:rsidR="00527C38" w:rsidRPr="00527C38">
        <w:t>(4), 305–360.</w:t>
      </w:r>
      <w:bookmarkEnd w:id="0"/>
    </w:p>
    <w:p w14:paraId="5AD8CB88" w14:textId="77777777" w:rsidR="00527C38" w:rsidRPr="00527C38" w:rsidRDefault="00527C38" w:rsidP="00527C38">
      <w:pPr>
        <w:pStyle w:val="EndNoteBibliography"/>
        <w:spacing w:after="0"/>
        <w:ind w:left="280" w:hanging="280"/>
      </w:pPr>
      <w:bookmarkStart w:id="1" w:name="_ENREF_2"/>
      <w:r w:rsidRPr="00527C38">
        <w:t>2.</w:t>
      </w:r>
      <w:r w:rsidRPr="00527C38">
        <w:tab/>
        <w:t xml:space="preserve">R. L. Watts, J. L. Zimmerman. </w:t>
      </w:r>
      <w:r w:rsidRPr="00527C38">
        <w:rPr>
          <w:i/>
        </w:rPr>
        <w:t>Positive accounting theory</w:t>
      </w:r>
      <w:r w:rsidRPr="00527C38">
        <w:t>, Prentice-hall, Englewood Cliffs, N.J., 1986.</w:t>
      </w:r>
      <w:bookmarkEnd w:id="1"/>
    </w:p>
    <w:p w14:paraId="3B4EDC94" w14:textId="77777777" w:rsidR="00527C38" w:rsidRPr="00527C38" w:rsidRDefault="00527C38" w:rsidP="00527C38">
      <w:pPr>
        <w:pStyle w:val="EndNoteBibliography"/>
        <w:spacing w:after="0"/>
        <w:ind w:left="280" w:hanging="280"/>
      </w:pPr>
      <w:bookmarkStart w:id="2" w:name="_ENREF_3"/>
      <w:r w:rsidRPr="00527C38">
        <w:t>3.</w:t>
      </w:r>
      <w:r w:rsidRPr="00527C38">
        <w:tab/>
        <w:t xml:space="preserve">A. Habib, B. Uddin Bhuiyan, A. Islam. Financial distress, earnings management and market pricing of accruals during the global financial crisis, </w:t>
      </w:r>
      <w:r w:rsidRPr="00527C38">
        <w:rPr>
          <w:i/>
        </w:rPr>
        <w:t>Managerial Finance</w:t>
      </w:r>
      <w:r w:rsidRPr="00527C38">
        <w:t xml:space="preserve">, </w:t>
      </w:r>
      <w:r w:rsidRPr="00527C38">
        <w:rPr>
          <w:b/>
        </w:rPr>
        <w:t>2013</w:t>
      </w:r>
      <w:r w:rsidRPr="00527C38">
        <w:t xml:space="preserve">, </w:t>
      </w:r>
      <w:r w:rsidRPr="00527C38">
        <w:rPr>
          <w:i/>
        </w:rPr>
        <w:t>39</w:t>
      </w:r>
      <w:r w:rsidRPr="00527C38">
        <w:t>(2), 155–180.</w:t>
      </w:r>
      <w:bookmarkEnd w:id="2"/>
    </w:p>
    <w:p w14:paraId="437FCC41" w14:textId="77777777" w:rsidR="00527C38" w:rsidRPr="00527C38" w:rsidRDefault="00527C38" w:rsidP="00527C38">
      <w:pPr>
        <w:pStyle w:val="EndNoteBibliography"/>
        <w:spacing w:after="0"/>
        <w:ind w:left="280" w:hanging="280"/>
      </w:pPr>
      <w:bookmarkStart w:id="3" w:name="_ENREF_4"/>
      <w:r w:rsidRPr="00527C38">
        <w:t>4.</w:t>
      </w:r>
      <w:r w:rsidRPr="00527C38">
        <w:tab/>
        <w:t xml:space="preserve">D. Campa. Earnings management strategies during financial difficulties: A comparison between listed and unlisted French companies, </w:t>
      </w:r>
      <w:r w:rsidRPr="00527C38">
        <w:rPr>
          <w:i/>
        </w:rPr>
        <w:t>Research in International Business and Finance</w:t>
      </w:r>
      <w:r w:rsidRPr="00527C38">
        <w:t xml:space="preserve">, </w:t>
      </w:r>
      <w:r w:rsidRPr="00527C38">
        <w:rPr>
          <w:b/>
        </w:rPr>
        <w:t>2019</w:t>
      </w:r>
      <w:r w:rsidRPr="00527C38">
        <w:t xml:space="preserve">, </w:t>
      </w:r>
      <w:r w:rsidRPr="00527C38">
        <w:rPr>
          <w:i/>
        </w:rPr>
        <w:t>50</w:t>
      </w:r>
      <w:r w:rsidRPr="00527C38">
        <w:t>, 457–471.</w:t>
      </w:r>
      <w:bookmarkEnd w:id="3"/>
    </w:p>
    <w:p w14:paraId="7E464457" w14:textId="77777777" w:rsidR="00527C38" w:rsidRPr="00527C38" w:rsidRDefault="00527C38" w:rsidP="00527C38">
      <w:pPr>
        <w:pStyle w:val="EndNoteBibliography"/>
        <w:spacing w:after="0"/>
        <w:ind w:left="280" w:hanging="280"/>
      </w:pPr>
      <w:bookmarkStart w:id="4" w:name="_ENREF_5"/>
      <w:r w:rsidRPr="00527C38">
        <w:t>5.</w:t>
      </w:r>
      <w:r w:rsidRPr="00527C38">
        <w:tab/>
        <w:t xml:space="preserve">Y. Li, X. Li, E. Xiang, H. Geri Djajadikerta. Financial distress, internal control, and earnings management: Evidence from China, </w:t>
      </w:r>
      <w:r w:rsidRPr="00527C38">
        <w:rPr>
          <w:i/>
        </w:rPr>
        <w:t>Journal of Contemporary Accounting &amp; Economics</w:t>
      </w:r>
      <w:r w:rsidRPr="00527C38">
        <w:t xml:space="preserve">, </w:t>
      </w:r>
      <w:r w:rsidRPr="00527C38">
        <w:rPr>
          <w:b/>
        </w:rPr>
        <w:t>2020</w:t>
      </w:r>
      <w:r w:rsidRPr="00527C38">
        <w:t xml:space="preserve">, </w:t>
      </w:r>
      <w:r w:rsidRPr="00527C38">
        <w:rPr>
          <w:i/>
        </w:rPr>
        <w:t>16</w:t>
      </w:r>
      <w:r w:rsidRPr="00527C38">
        <w:t>(3), 100210.</w:t>
      </w:r>
      <w:bookmarkEnd w:id="4"/>
    </w:p>
    <w:p w14:paraId="12330D2B" w14:textId="77777777" w:rsidR="00527C38" w:rsidRPr="00527C38" w:rsidRDefault="00527C38" w:rsidP="00527C38">
      <w:pPr>
        <w:pStyle w:val="EndNoteBibliography"/>
        <w:spacing w:after="0"/>
        <w:ind w:left="280" w:hanging="280"/>
      </w:pPr>
      <w:bookmarkStart w:id="5" w:name="_ENREF_6"/>
      <w:r w:rsidRPr="00527C38">
        <w:t>6.</w:t>
      </w:r>
      <w:r w:rsidRPr="00527C38">
        <w:tab/>
        <w:t xml:space="preserve">D. B. C. Viana Jr, I. Lourenço, E. L. Black. Financial distress, earnings management and Big 4 auditors in emerging markets, </w:t>
      </w:r>
      <w:r w:rsidRPr="00527C38">
        <w:rPr>
          <w:i/>
        </w:rPr>
        <w:t>Accounting Research Journal</w:t>
      </w:r>
      <w:r w:rsidRPr="00527C38">
        <w:t xml:space="preserve">, </w:t>
      </w:r>
      <w:r w:rsidRPr="00527C38">
        <w:rPr>
          <w:b/>
        </w:rPr>
        <w:t>2022</w:t>
      </w:r>
      <w:r w:rsidRPr="00527C38">
        <w:t xml:space="preserve">, </w:t>
      </w:r>
      <w:r w:rsidRPr="00527C38">
        <w:rPr>
          <w:i/>
        </w:rPr>
        <w:t>35</w:t>
      </w:r>
      <w:r w:rsidRPr="00527C38">
        <w:t>(5), 660–675.</w:t>
      </w:r>
      <w:bookmarkEnd w:id="5"/>
    </w:p>
    <w:p w14:paraId="796D1181" w14:textId="77777777" w:rsidR="00527C38" w:rsidRPr="00527C38" w:rsidRDefault="00527C38" w:rsidP="00527C38">
      <w:pPr>
        <w:pStyle w:val="EndNoteBibliography"/>
        <w:spacing w:after="0"/>
        <w:ind w:left="280" w:hanging="280"/>
      </w:pPr>
      <w:bookmarkStart w:id="6" w:name="_ENREF_7"/>
      <w:r w:rsidRPr="00527C38">
        <w:t>7.</w:t>
      </w:r>
      <w:r w:rsidRPr="00527C38">
        <w:tab/>
        <w:t xml:space="preserve">M. Danella Rachel, S. Kim Sung. Impacts Of Financial Distress On Real And Accrual Earnings Management, </w:t>
      </w:r>
      <w:r w:rsidRPr="00527C38">
        <w:rPr>
          <w:i/>
        </w:rPr>
        <w:t>Jurnal Akuntansi</w:t>
      </w:r>
      <w:r w:rsidRPr="00527C38">
        <w:t xml:space="preserve">, </w:t>
      </w:r>
      <w:r w:rsidRPr="00527C38">
        <w:rPr>
          <w:b/>
        </w:rPr>
        <w:t>2018</w:t>
      </w:r>
      <w:r w:rsidRPr="00527C38">
        <w:t xml:space="preserve">, </w:t>
      </w:r>
      <w:r w:rsidRPr="00527C38">
        <w:rPr>
          <w:i/>
        </w:rPr>
        <w:t>22</w:t>
      </w:r>
      <w:r w:rsidRPr="00527C38">
        <w:t>(2), 222 – 238.</w:t>
      </w:r>
      <w:bookmarkEnd w:id="6"/>
    </w:p>
    <w:p w14:paraId="1846DA41" w14:textId="77777777" w:rsidR="00527C38" w:rsidRPr="00527C38" w:rsidRDefault="00527C38" w:rsidP="00527C38">
      <w:pPr>
        <w:pStyle w:val="EndNoteBibliography"/>
        <w:spacing w:after="0"/>
        <w:ind w:left="280" w:hanging="280"/>
      </w:pPr>
      <w:bookmarkStart w:id="7" w:name="_ENREF_8"/>
      <w:r w:rsidRPr="00527C38">
        <w:t>8.</w:t>
      </w:r>
      <w:r w:rsidRPr="00527C38">
        <w:tab/>
        <w:t xml:space="preserve">M. M. Humeedat. Earnings management to avoid financial distress and improve profitability: evidence from Jordan, </w:t>
      </w:r>
      <w:r w:rsidRPr="00527C38">
        <w:rPr>
          <w:i/>
        </w:rPr>
        <w:t>International Business Research</w:t>
      </w:r>
      <w:r w:rsidRPr="00527C38">
        <w:t xml:space="preserve">, </w:t>
      </w:r>
      <w:r w:rsidRPr="00527C38">
        <w:rPr>
          <w:b/>
        </w:rPr>
        <w:t>2018</w:t>
      </w:r>
      <w:r w:rsidRPr="00527C38">
        <w:t xml:space="preserve">, </w:t>
      </w:r>
      <w:r w:rsidRPr="00527C38">
        <w:rPr>
          <w:i/>
        </w:rPr>
        <w:t>11</w:t>
      </w:r>
      <w:r w:rsidRPr="00527C38">
        <w:t>(2), 222–230.</w:t>
      </w:r>
      <w:bookmarkEnd w:id="7"/>
    </w:p>
    <w:p w14:paraId="4AAA8560" w14:textId="77777777" w:rsidR="00527C38" w:rsidRPr="00527C38" w:rsidRDefault="00527C38" w:rsidP="00527C38">
      <w:pPr>
        <w:pStyle w:val="EndNoteBibliography"/>
        <w:spacing w:after="0"/>
        <w:ind w:left="280" w:hanging="280"/>
      </w:pPr>
      <w:bookmarkStart w:id="8" w:name="_ENREF_9"/>
      <w:r w:rsidRPr="00527C38">
        <w:t>9.</w:t>
      </w:r>
      <w:r w:rsidRPr="00527C38">
        <w:tab/>
        <w:t xml:space="preserve">S. Roychowdhury. Earnings management through real activities manipulation, </w:t>
      </w:r>
      <w:r w:rsidRPr="00527C38">
        <w:rPr>
          <w:i/>
        </w:rPr>
        <w:t>Journal of Accounting and Economics</w:t>
      </w:r>
      <w:r w:rsidRPr="00527C38">
        <w:t xml:space="preserve">, </w:t>
      </w:r>
      <w:r w:rsidRPr="00527C38">
        <w:rPr>
          <w:b/>
        </w:rPr>
        <w:t>2006</w:t>
      </w:r>
      <w:r w:rsidRPr="00527C38">
        <w:t xml:space="preserve">, </w:t>
      </w:r>
      <w:r w:rsidRPr="00527C38">
        <w:rPr>
          <w:i/>
        </w:rPr>
        <w:t>42</w:t>
      </w:r>
      <w:r w:rsidRPr="00527C38">
        <w:t>(3), 335–370.</w:t>
      </w:r>
      <w:bookmarkEnd w:id="8"/>
    </w:p>
    <w:p w14:paraId="13803BBD" w14:textId="25147458" w:rsidR="00527C38" w:rsidRPr="00527C38" w:rsidRDefault="00527C38" w:rsidP="00527C38">
      <w:pPr>
        <w:pStyle w:val="EndNoteBibliography"/>
        <w:spacing w:after="0"/>
        <w:ind w:left="280" w:hanging="280"/>
      </w:pPr>
      <w:bookmarkStart w:id="9" w:name="_ENREF_10"/>
      <w:r w:rsidRPr="00527C38">
        <w:t>10.</w:t>
      </w:r>
      <w:r w:rsidRPr="00527C38">
        <w:tab/>
      </w:r>
      <w:bookmarkEnd w:id="9"/>
      <w:r w:rsidR="00F86564" w:rsidRPr="00207AC1">
        <w:t xml:space="preserve">Nguyen, T. P. H. Analysis of earnings management levels of listed companies on the Vietnamese stock market using the modified Jones model. </w:t>
      </w:r>
      <w:r w:rsidR="00F86564" w:rsidRPr="00207AC1">
        <w:rPr>
          <w:i/>
          <w:iCs/>
        </w:rPr>
        <w:t>Journal of Economics &amp; Development</w:t>
      </w:r>
      <w:r w:rsidR="00F86564" w:rsidRPr="00207AC1">
        <w:t xml:space="preserve">, </w:t>
      </w:r>
      <w:r w:rsidR="00F86564" w:rsidRPr="00207AC1">
        <w:rPr>
          <w:b/>
          <w:bCs/>
        </w:rPr>
        <w:t>2017</w:t>
      </w:r>
      <w:r w:rsidR="00F86564" w:rsidRPr="00207AC1">
        <w:t xml:space="preserve">, </w:t>
      </w:r>
      <w:r w:rsidR="00F86564" w:rsidRPr="00207AC1">
        <w:rPr>
          <w:i/>
          <w:iCs/>
        </w:rPr>
        <w:t>245</w:t>
      </w:r>
      <w:r w:rsidR="00F86564" w:rsidRPr="00207AC1">
        <w:t>(11), 46–57.</w:t>
      </w:r>
    </w:p>
    <w:p w14:paraId="2C932342" w14:textId="7F5ADA4B" w:rsidR="00527C38" w:rsidRPr="00527C38" w:rsidRDefault="00527C38" w:rsidP="00527C38">
      <w:pPr>
        <w:pStyle w:val="EndNoteBibliography"/>
        <w:spacing w:after="0"/>
        <w:ind w:left="280" w:hanging="280"/>
      </w:pPr>
      <w:bookmarkStart w:id="10" w:name="_ENREF_11"/>
      <w:r w:rsidRPr="00527C38">
        <w:t>11.</w:t>
      </w:r>
      <w:bookmarkEnd w:id="10"/>
      <w:r w:rsidR="00F86564">
        <w:t xml:space="preserve"> </w:t>
      </w:r>
      <w:r w:rsidR="00F86564" w:rsidRPr="00207AC1">
        <w:t xml:space="preserve">Le, T. P. V. Financial distress and earnings management: Empirical evidence from listed companies in Vietnam. </w:t>
      </w:r>
      <w:r w:rsidR="00F86564" w:rsidRPr="00207AC1">
        <w:rPr>
          <w:i/>
          <w:iCs/>
        </w:rPr>
        <w:t>Journal of Asian Economic and Business Studies</w:t>
      </w:r>
      <w:r w:rsidR="00F86564" w:rsidRPr="00207AC1">
        <w:t xml:space="preserve">, </w:t>
      </w:r>
      <w:r w:rsidR="00F86564" w:rsidRPr="00207AC1">
        <w:rPr>
          <w:b/>
          <w:bCs/>
        </w:rPr>
        <w:t>2020</w:t>
      </w:r>
      <w:r w:rsidR="00F86564" w:rsidRPr="00207AC1">
        <w:t xml:space="preserve">, </w:t>
      </w:r>
      <w:r w:rsidR="00F86564" w:rsidRPr="00207AC1">
        <w:rPr>
          <w:i/>
          <w:iCs/>
        </w:rPr>
        <w:t>31</w:t>
      </w:r>
      <w:r w:rsidR="00F86564" w:rsidRPr="00207AC1">
        <w:t>(2)</w:t>
      </w:r>
      <w:r w:rsidR="00F86564">
        <w:t>, 22</w:t>
      </w:r>
      <w:r w:rsidR="00F86564" w:rsidRPr="00207AC1">
        <w:t>–</w:t>
      </w:r>
      <w:r w:rsidR="00F86564">
        <w:t>44.</w:t>
      </w:r>
    </w:p>
    <w:p w14:paraId="3851FF60" w14:textId="77777777" w:rsidR="00527C38" w:rsidRPr="00527C38" w:rsidRDefault="00527C38" w:rsidP="00527C38">
      <w:pPr>
        <w:pStyle w:val="EndNoteBibliography"/>
        <w:spacing w:after="0"/>
        <w:ind w:left="280" w:hanging="280"/>
      </w:pPr>
      <w:bookmarkStart w:id="11" w:name="_ENREF_12"/>
      <w:r w:rsidRPr="00527C38">
        <w:t>12.</w:t>
      </w:r>
      <w:r w:rsidRPr="00527C38">
        <w:tab/>
        <w:t xml:space="preserve">Q. Luu Thu. Impact of earning management and business strategy on financial distress risk of Vietnamese companies, </w:t>
      </w:r>
      <w:r w:rsidRPr="00527C38">
        <w:rPr>
          <w:i/>
        </w:rPr>
        <w:t>Cogent Economics &amp; Finance</w:t>
      </w:r>
      <w:r w:rsidRPr="00527C38">
        <w:t xml:space="preserve">, </w:t>
      </w:r>
      <w:r w:rsidRPr="00527C38">
        <w:rPr>
          <w:b/>
        </w:rPr>
        <w:t>2023</w:t>
      </w:r>
      <w:r w:rsidRPr="00527C38">
        <w:t xml:space="preserve">, </w:t>
      </w:r>
      <w:r w:rsidRPr="00527C38">
        <w:rPr>
          <w:i/>
        </w:rPr>
        <w:t>11</w:t>
      </w:r>
      <w:r w:rsidRPr="00527C38">
        <w:t>(1), 2183657.</w:t>
      </w:r>
      <w:bookmarkEnd w:id="11"/>
    </w:p>
    <w:p w14:paraId="00C76A99" w14:textId="77777777" w:rsidR="00527C38" w:rsidRPr="00527C38" w:rsidRDefault="00527C38" w:rsidP="00527C38">
      <w:pPr>
        <w:pStyle w:val="EndNoteBibliography"/>
        <w:spacing w:after="0"/>
        <w:ind w:left="280" w:hanging="280"/>
      </w:pPr>
      <w:bookmarkStart w:id="12" w:name="_ENREF_13"/>
      <w:r w:rsidRPr="00527C38">
        <w:t>13.</w:t>
      </w:r>
      <w:r w:rsidRPr="00527C38">
        <w:tab/>
        <w:t xml:space="preserve">J. J. Jones. Earnings Management During Import Relief Investigations, </w:t>
      </w:r>
      <w:r w:rsidRPr="00527C38">
        <w:rPr>
          <w:i/>
        </w:rPr>
        <w:t>Journal of Accounting Research</w:t>
      </w:r>
      <w:r w:rsidRPr="00527C38">
        <w:t xml:space="preserve">, </w:t>
      </w:r>
      <w:r w:rsidRPr="00527C38">
        <w:rPr>
          <w:b/>
        </w:rPr>
        <w:t>1991</w:t>
      </w:r>
      <w:r w:rsidRPr="00527C38">
        <w:t xml:space="preserve">, </w:t>
      </w:r>
      <w:r w:rsidRPr="00527C38">
        <w:rPr>
          <w:i/>
        </w:rPr>
        <w:t>29</w:t>
      </w:r>
      <w:r w:rsidRPr="00527C38">
        <w:t>(2), 193.</w:t>
      </w:r>
      <w:bookmarkEnd w:id="12"/>
    </w:p>
    <w:p w14:paraId="1AAE35C8" w14:textId="77777777" w:rsidR="00527C38" w:rsidRPr="00527C38" w:rsidRDefault="00527C38" w:rsidP="00527C38">
      <w:pPr>
        <w:pStyle w:val="EndNoteBibliography"/>
        <w:spacing w:after="0"/>
        <w:ind w:left="280" w:hanging="280"/>
      </w:pPr>
      <w:bookmarkStart w:id="13" w:name="_ENREF_14"/>
      <w:r w:rsidRPr="00527C38">
        <w:t>14.</w:t>
      </w:r>
      <w:r w:rsidRPr="00527C38">
        <w:tab/>
        <w:t xml:space="preserve">S. P. Kothari, A. J. Leone, C. E. Wasley. Performance matched discretionary accrual measures, </w:t>
      </w:r>
      <w:r w:rsidRPr="00527C38">
        <w:rPr>
          <w:i/>
        </w:rPr>
        <w:t>Journal of Accounting and Economics</w:t>
      </w:r>
      <w:r w:rsidRPr="00527C38">
        <w:t xml:space="preserve">, </w:t>
      </w:r>
      <w:r w:rsidRPr="00527C38">
        <w:rPr>
          <w:b/>
        </w:rPr>
        <w:t>2005</w:t>
      </w:r>
      <w:r w:rsidRPr="00527C38">
        <w:t xml:space="preserve">, </w:t>
      </w:r>
      <w:r w:rsidRPr="00527C38">
        <w:rPr>
          <w:i/>
        </w:rPr>
        <w:t>39</w:t>
      </w:r>
      <w:r w:rsidRPr="00527C38">
        <w:t>(1), 163–197.</w:t>
      </w:r>
      <w:bookmarkEnd w:id="13"/>
    </w:p>
    <w:p w14:paraId="6A05E2E4" w14:textId="77777777" w:rsidR="00527C38" w:rsidRPr="00527C38" w:rsidRDefault="00527C38" w:rsidP="00527C38">
      <w:pPr>
        <w:pStyle w:val="EndNoteBibliography"/>
        <w:spacing w:after="0"/>
        <w:ind w:left="280" w:hanging="280"/>
      </w:pPr>
      <w:bookmarkStart w:id="14" w:name="_ENREF_15"/>
      <w:r w:rsidRPr="00527C38">
        <w:t>15.</w:t>
      </w:r>
      <w:r w:rsidRPr="00527C38">
        <w:tab/>
        <w:t xml:space="preserve">E. Altman. Predicting Financial Distress Of Companies: Revisiting The Z-Score And Zeta, </w:t>
      </w:r>
      <w:r w:rsidRPr="00527C38">
        <w:rPr>
          <w:i/>
        </w:rPr>
        <w:t>Handbook of Research Methods and Applications in Empirical Finance</w:t>
      </w:r>
      <w:r w:rsidRPr="00527C38">
        <w:t xml:space="preserve">, </w:t>
      </w:r>
      <w:r w:rsidRPr="00527C38">
        <w:rPr>
          <w:b/>
        </w:rPr>
        <w:t>2000</w:t>
      </w:r>
      <w:r w:rsidRPr="00527C38">
        <w:t xml:space="preserve">, </w:t>
      </w:r>
      <w:r w:rsidRPr="00527C38">
        <w:rPr>
          <w:i/>
        </w:rPr>
        <w:t>5</w:t>
      </w:r>
      <w:r w:rsidRPr="00527C38">
        <w:t>, 428-456.</w:t>
      </w:r>
      <w:bookmarkEnd w:id="14"/>
    </w:p>
    <w:p w14:paraId="6D806CE6" w14:textId="77777777" w:rsidR="00527C38" w:rsidRPr="00527C38" w:rsidRDefault="00527C38" w:rsidP="00527C38">
      <w:pPr>
        <w:pStyle w:val="EndNoteBibliography"/>
        <w:spacing w:after="0"/>
        <w:ind w:left="280" w:hanging="280"/>
      </w:pPr>
      <w:bookmarkStart w:id="15" w:name="_ENREF_16"/>
      <w:r w:rsidRPr="00527C38">
        <w:t>16.</w:t>
      </w:r>
      <w:r w:rsidRPr="00527C38">
        <w:tab/>
        <w:t xml:space="preserve">D. Campa, M.-d.-M. Camacho-Miñano. The impact of SME’s pre-bankruptcy financial distress on earnings management tools, </w:t>
      </w:r>
      <w:r w:rsidRPr="00527C38">
        <w:rPr>
          <w:i/>
        </w:rPr>
        <w:t>International Review of Financial Analysis</w:t>
      </w:r>
      <w:r w:rsidRPr="00527C38">
        <w:t xml:space="preserve">, </w:t>
      </w:r>
      <w:r w:rsidRPr="00527C38">
        <w:rPr>
          <w:b/>
        </w:rPr>
        <w:t>2015</w:t>
      </w:r>
      <w:r w:rsidRPr="00527C38">
        <w:t xml:space="preserve">, </w:t>
      </w:r>
      <w:r w:rsidRPr="00527C38">
        <w:rPr>
          <w:i/>
        </w:rPr>
        <w:t>42</w:t>
      </w:r>
      <w:r w:rsidRPr="00527C38">
        <w:t>, 222–234.</w:t>
      </w:r>
      <w:bookmarkEnd w:id="15"/>
    </w:p>
    <w:p w14:paraId="42321C65" w14:textId="77777777" w:rsidR="00527C38" w:rsidRPr="00527C38" w:rsidRDefault="00527C38" w:rsidP="00527C38">
      <w:pPr>
        <w:pStyle w:val="EndNoteBibliography"/>
        <w:ind w:left="280" w:hanging="280"/>
      </w:pPr>
      <w:bookmarkStart w:id="16" w:name="_ENREF_17"/>
      <w:r w:rsidRPr="00527C38">
        <w:t>17.</w:t>
      </w:r>
      <w:r w:rsidRPr="00527C38">
        <w:tab/>
        <w:t xml:space="preserve">M. E. Zmijewski. Methodological issues related to the estimation of financial distress prediction models, </w:t>
      </w:r>
      <w:r w:rsidRPr="00527C38">
        <w:rPr>
          <w:i/>
        </w:rPr>
        <w:t>Journal of Accounting research</w:t>
      </w:r>
      <w:r w:rsidRPr="00527C38">
        <w:t xml:space="preserve">, </w:t>
      </w:r>
      <w:r w:rsidRPr="00527C38">
        <w:rPr>
          <w:b/>
        </w:rPr>
        <w:t>1984</w:t>
      </w:r>
      <w:r w:rsidRPr="00527C38">
        <w:t>, 59–82.</w:t>
      </w:r>
      <w:bookmarkEnd w:id="16"/>
    </w:p>
    <w:p w14:paraId="63B90964" w14:textId="6083FA9C" w:rsidR="006E4CEC" w:rsidRPr="00527C38" w:rsidRDefault="00413D7E" w:rsidP="009B0528">
      <w:pPr>
        <w:pStyle w:val="EndNoteBibliography"/>
        <w:rPr>
          <w:rFonts w:asciiTheme="majorHAnsi" w:eastAsia="Times New Roman" w:hAnsiTheme="majorHAnsi" w:cstheme="majorHAnsi"/>
          <w:szCs w:val="20"/>
        </w:rPr>
        <w:sectPr w:rsidR="006E4CEC" w:rsidRPr="00527C38" w:rsidSect="00641758">
          <w:type w:val="continuous"/>
          <w:pgSz w:w="11906" w:h="16838"/>
          <w:pgMar w:top="1134" w:right="1134" w:bottom="1134" w:left="1418" w:header="709" w:footer="709" w:gutter="0"/>
          <w:cols w:num="2" w:space="567"/>
          <w:docGrid w:linePitch="360"/>
        </w:sectPr>
      </w:pPr>
      <w:r w:rsidRPr="00527C38">
        <w:rPr>
          <w:rFonts w:asciiTheme="majorHAnsi" w:eastAsia="Times New Roman" w:hAnsiTheme="majorHAnsi" w:cstheme="majorHAnsi"/>
          <w:szCs w:val="20"/>
        </w:rPr>
        <w:fldChar w:fldCharType="end"/>
      </w:r>
    </w:p>
    <w:p w14:paraId="4410808A" w14:textId="4F94FA1F" w:rsidR="008F330F" w:rsidRPr="00527C38" w:rsidRDefault="008F330F" w:rsidP="00DC6701">
      <w:pPr>
        <w:pStyle w:val="EndNoteBibliography"/>
        <w:rPr>
          <w:rFonts w:asciiTheme="majorHAnsi" w:hAnsiTheme="majorHAnsi" w:cstheme="majorHAnsi"/>
          <w:b/>
          <w:bCs/>
          <w:szCs w:val="20"/>
        </w:rPr>
      </w:pPr>
    </w:p>
    <w:sectPr w:rsidR="008F330F" w:rsidRPr="00527C38" w:rsidSect="00B42F1B">
      <w:type w:val="continuous"/>
      <w:pgSz w:w="11906" w:h="16838"/>
      <w:pgMar w:top="1134" w:right="1134" w:bottom="1134" w:left="1418"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240"/>
    <w:multiLevelType w:val="multilevel"/>
    <w:tmpl w:val="1638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D764D"/>
    <w:multiLevelType w:val="multilevel"/>
    <w:tmpl w:val="529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A393A"/>
    <w:multiLevelType w:val="multilevel"/>
    <w:tmpl w:val="684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73960"/>
    <w:multiLevelType w:val="hybridMultilevel"/>
    <w:tmpl w:val="4B069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13046201">
    <w:abstractNumId w:val="2"/>
  </w:num>
  <w:num w:numId="2" w16cid:durableId="1408114060">
    <w:abstractNumId w:val="0"/>
  </w:num>
  <w:num w:numId="3" w16cid:durableId="1966886245">
    <w:abstractNumId w:val="1"/>
  </w:num>
  <w:num w:numId="4" w16cid:durableId="18262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QNU&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xevsxpvos5ep2ear9b5svvoeswxvzw2rs5p&quot;&gt;My EndNote Library-Converted-v21&lt;record-ids&gt;&lt;item&gt;59&lt;/item&gt;&lt;item&gt;274&lt;/item&gt;&lt;item&gt;282&lt;/item&gt;&lt;item&gt;1727&lt;/item&gt;&lt;item&gt;2812&lt;/item&gt;&lt;item&gt;3481&lt;/item&gt;&lt;item&gt;4140&lt;/item&gt;&lt;item&gt;4147&lt;/item&gt;&lt;item&gt;12232&lt;/item&gt;&lt;item&gt;13073&lt;/item&gt;&lt;item&gt;13074&lt;/item&gt;&lt;item&gt;13076&lt;/item&gt;&lt;item&gt;13090&lt;/item&gt;&lt;item&gt;13333&lt;/item&gt;&lt;item&gt;13337&lt;/item&gt;&lt;item&gt;13338&lt;/item&gt;&lt;item&gt;13339&lt;/item&gt;&lt;/record-ids&gt;&lt;/item&gt;&lt;/Libraries&gt;"/>
    <w:docVar w:name="EN.UseJSCitationFormat" w:val="False"/>
  </w:docVars>
  <w:rsids>
    <w:rsidRoot w:val="00482C8B"/>
    <w:rsid w:val="00002FD2"/>
    <w:rsid w:val="000169CB"/>
    <w:rsid w:val="000308A0"/>
    <w:rsid w:val="00040DDE"/>
    <w:rsid w:val="000430FD"/>
    <w:rsid w:val="00045CBC"/>
    <w:rsid w:val="00046D80"/>
    <w:rsid w:val="00052C03"/>
    <w:rsid w:val="00053F57"/>
    <w:rsid w:val="00056B62"/>
    <w:rsid w:val="00063EF2"/>
    <w:rsid w:val="00071D8E"/>
    <w:rsid w:val="00090C3F"/>
    <w:rsid w:val="00094070"/>
    <w:rsid w:val="000A05C9"/>
    <w:rsid w:val="000A1478"/>
    <w:rsid w:val="000A1CD5"/>
    <w:rsid w:val="000A364F"/>
    <w:rsid w:val="000A4F2D"/>
    <w:rsid w:val="000B07F1"/>
    <w:rsid w:val="000B1108"/>
    <w:rsid w:val="000C4830"/>
    <w:rsid w:val="000C575C"/>
    <w:rsid w:val="000E2F78"/>
    <w:rsid w:val="000E5830"/>
    <w:rsid w:val="000F28E9"/>
    <w:rsid w:val="00111008"/>
    <w:rsid w:val="001306BC"/>
    <w:rsid w:val="00140794"/>
    <w:rsid w:val="001475DD"/>
    <w:rsid w:val="00147AFB"/>
    <w:rsid w:val="001509AF"/>
    <w:rsid w:val="001559D9"/>
    <w:rsid w:val="00163E7D"/>
    <w:rsid w:val="001670B4"/>
    <w:rsid w:val="00172D5D"/>
    <w:rsid w:val="00172F86"/>
    <w:rsid w:val="0017301A"/>
    <w:rsid w:val="00183813"/>
    <w:rsid w:val="00184567"/>
    <w:rsid w:val="00193347"/>
    <w:rsid w:val="001968C9"/>
    <w:rsid w:val="001C6A9F"/>
    <w:rsid w:val="001D0C1C"/>
    <w:rsid w:val="001D27EB"/>
    <w:rsid w:val="001D3AE1"/>
    <w:rsid w:val="001E60B9"/>
    <w:rsid w:val="001F2DC3"/>
    <w:rsid w:val="00202F8F"/>
    <w:rsid w:val="00207AC1"/>
    <w:rsid w:val="00214026"/>
    <w:rsid w:val="002251BA"/>
    <w:rsid w:val="00227719"/>
    <w:rsid w:val="0023203F"/>
    <w:rsid w:val="0024247C"/>
    <w:rsid w:val="00243CE9"/>
    <w:rsid w:val="0025185C"/>
    <w:rsid w:val="002631A6"/>
    <w:rsid w:val="00277B0F"/>
    <w:rsid w:val="00292820"/>
    <w:rsid w:val="002A6BD0"/>
    <w:rsid w:val="002C0B35"/>
    <w:rsid w:val="002D1E9E"/>
    <w:rsid w:val="002E3612"/>
    <w:rsid w:val="002F0B0F"/>
    <w:rsid w:val="002F2290"/>
    <w:rsid w:val="002F3E04"/>
    <w:rsid w:val="002F6A78"/>
    <w:rsid w:val="003005AC"/>
    <w:rsid w:val="003123E4"/>
    <w:rsid w:val="00315288"/>
    <w:rsid w:val="003205C1"/>
    <w:rsid w:val="00321013"/>
    <w:rsid w:val="0032394F"/>
    <w:rsid w:val="00325795"/>
    <w:rsid w:val="00326CB9"/>
    <w:rsid w:val="00334784"/>
    <w:rsid w:val="003367FB"/>
    <w:rsid w:val="00344F33"/>
    <w:rsid w:val="00352BC5"/>
    <w:rsid w:val="00364AE3"/>
    <w:rsid w:val="00373364"/>
    <w:rsid w:val="00382C65"/>
    <w:rsid w:val="00386444"/>
    <w:rsid w:val="00395E1A"/>
    <w:rsid w:val="003A1F4E"/>
    <w:rsid w:val="003A295F"/>
    <w:rsid w:val="003A3145"/>
    <w:rsid w:val="003A60F5"/>
    <w:rsid w:val="003B4E10"/>
    <w:rsid w:val="003D395C"/>
    <w:rsid w:val="00410F03"/>
    <w:rsid w:val="00413D7E"/>
    <w:rsid w:val="00415D05"/>
    <w:rsid w:val="00423DD8"/>
    <w:rsid w:val="00427105"/>
    <w:rsid w:val="00433023"/>
    <w:rsid w:val="0043645C"/>
    <w:rsid w:val="00450279"/>
    <w:rsid w:val="004507BC"/>
    <w:rsid w:val="0045421E"/>
    <w:rsid w:val="004647A7"/>
    <w:rsid w:val="00472DA9"/>
    <w:rsid w:val="00476AA6"/>
    <w:rsid w:val="004772FE"/>
    <w:rsid w:val="00482C8B"/>
    <w:rsid w:val="00483C95"/>
    <w:rsid w:val="004A68D8"/>
    <w:rsid w:val="004C1DEC"/>
    <w:rsid w:val="004C6136"/>
    <w:rsid w:val="004E2DCB"/>
    <w:rsid w:val="004E5AF5"/>
    <w:rsid w:val="004E7612"/>
    <w:rsid w:val="004F0218"/>
    <w:rsid w:val="005059CA"/>
    <w:rsid w:val="0052022B"/>
    <w:rsid w:val="00527C38"/>
    <w:rsid w:val="00542F36"/>
    <w:rsid w:val="0055206A"/>
    <w:rsid w:val="00557053"/>
    <w:rsid w:val="00567B2A"/>
    <w:rsid w:val="00567F0D"/>
    <w:rsid w:val="005804CA"/>
    <w:rsid w:val="00596290"/>
    <w:rsid w:val="005C72AC"/>
    <w:rsid w:val="005D11DD"/>
    <w:rsid w:val="005E295C"/>
    <w:rsid w:val="005F5FF1"/>
    <w:rsid w:val="00601679"/>
    <w:rsid w:val="00602AB1"/>
    <w:rsid w:val="006061DF"/>
    <w:rsid w:val="00612914"/>
    <w:rsid w:val="006248D3"/>
    <w:rsid w:val="00641601"/>
    <w:rsid w:val="00641758"/>
    <w:rsid w:val="00643151"/>
    <w:rsid w:val="006602B0"/>
    <w:rsid w:val="0066624E"/>
    <w:rsid w:val="00673022"/>
    <w:rsid w:val="00673BA5"/>
    <w:rsid w:val="006872AB"/>
    <w:rsid w:val="006A06D9"/>
    <w:rsid w:val="006B4266"/>
    <w:rsid w:val="006C28FA"/>
    <w:rsid w:val="006C352B"/>
    <w:rsid w:val="006C3CAE"/>
    <w:rsid w:val="006C7DC3"/>
    <w:rsid w:val="006D5563"/>
    <w:rsid w:val="006E4CEC"/>
    <w:rsid w:val="006E6EAC"/>
    <w:rsid w:val="006E78CC"/>
    <w:rsid w:val="006F04D3"/>
    <w:rsid w:val="00703A4E"/>
    <w:rsid w:val="0071177F"/>
    <w:rsid w:val="00716EAB"/>
    <w:rsid w:val="00723107"/>
    <w:rsid w:val="00723865"/>
    <w:rsid w:val="007271AF"/>
    <w:rsid w:val="007309EC"/>
    <w:rsid w:val="00740C80"/>
    <w:rsid w:val="00743E15"/>
    <w:rsid w:val="00745B1D"/>
    <w:rsid w:val="0075086F"/>
    <w:rsid w:val="00767E3A"/>
    <w:rsid w:val="00770C41"/>
    <w:rsid w:val="00790B54"/>
    <w:rsid w:val="0079642A"/>
    <w:rsid w:val="0079740E"/>
    <w:rsid w:val="007A7C02"/>
    <w:rsid w:val="007D1BC1"/>
    <w:rsid w:val="007D4B38"/>
    <w:rsid w:val="007F5723"/>
    <w:rsid w:val="007F6DE1"/>
    <w:rsid w:val="00823D73"/>
    <w:rsid w:val="00827144"/>
    <w:rsid w:val="00830CA1"/>
    <w:rsid w:val="00835032"/>
    <w:rsid w:val="0084140B"/>
    <w:rsid w:val="00855E27"/>
    <w:rsid w:val="00887783"/>
    <w:rsid w:val="00892062"/>
    <w:rsid w:val="00893E0D"/>
    <w:rsid w:val="008B7B1C"/>
    <w:rsid w:val="008D2114"/>
    <w:rsid w:val="008F253A"/>
    <w:rsid w:val="008F308C"/>
    <w:rsid w:val="008F330F"/>
    <w:rsid w:val="008F55A3"/>
    <w:rsid w:val="00904FB6"/>
    <w:rsid w:val="00911C99"/>
    <w:rsid w:val="00913E7C"/>
    <w:rsid w:val="00917774"/>
    <w:rsid w:val="00941B6D"/>
    <w:rsid w:val="0094412F"/>
    <w:rsid w:val="00945C0C"/>
    <w:rsid w:val="00955764"/>
    <w:rsid w:val="00956207"/>
    <w:rsid w:val="00977396"/>
    <w:rsid w:val="00991D5F"/>
    <w:rsid w:val="00997E47"/>
    <w:rsid w:val="009B0528"/>
    <w:rsid w:val="009C2D0D"/>
    <w:rsid w:val="009C4DCA"/>
    <w:rsid w:val="009D478F"/>
    <w:rsid w:val="009E389E"/>
    <w:rsid w:val="009F1DBF"/>
    <w:rsid w:val="00A100C4"/>
    <w:rsid w:val="00A607BE"/>
    <w:rsid w:val="00A75F34"/>
    <w:rsid w:val="00A91FA9"/>
    <w:rsid w:val="00AA0CC4"/>
    <w:rsid w:val="00AA5D9F"/>
    <w:rsid w:val="00AB31C2"/>
    <w:rsid w:val="00AC23CD"/>
    <w:rsid w:val="00AD0CE4"/>
    <w:rsid w:val="00AD35FE"/>
    <w:rsid w:val="00AE5C34"/>
    <w:rsid w:val="00AF51D3"/>
    <w:rsid w:val="00AF7D8F"/>
    <w:rsid w:val="00B16255"/>
    <w:rsid w:val="00B16773"/>
    <w:rsid w:val="00B36AA7"/>
    <w:rsid w:val="00B42F1B"/>
    <w:rsid w:val="00B66ED2"/>
    <w:rsid w:val="00B92C93"/>
    <w:rsid w:val="00BA03C9"/>
    <w:rsid w:val="00BA6E9F"/>
    <w:rsid w:val="00BD4660"/>
    <w:rsid w:val="00BE57F6"/>
    <w:rsid w:val="00C05DD4"/>
    <w:rsid w:val="00C414BD"/>
    <w:rsid w:val="00C46488"/>
    <w:rsid w:val="00C57ABD"/>
    <w:rsid w:val="00C73C6B"/>
    <w:rsid w:val="00C76B66"/>
    <w:rsid w:val="00CB0CF4"/>
    <w:rsid w:val="00CC7786"/>
    <w:rsid w:val="00CD0AA3"/>
    <w:rsid w:val="00CF77A4"/>
    <w:rsid w:val="00D00C93"/>
    <w:rsid w:val="00D130F6"/>
    <w:rsid w:val="00D14B81"/>
    <w:rsid w:val="00D23A03"/>
    <w:rsid w:val="00D40747"/>
    <w:rsid w:val="00D460A6"/>
    <w:rsid w:val="00D60368"/>
    <w:rsid w:val="00D671C1"/>
    <w:rsid w:val="00D86AFD"/>
    <w:rsid w:val="00D96F70"/>
    <w:rsid w:val="00DC1B20"/>
    <w:rsid w:val="00DC3D7A"/>
    <w:rsid w:val="00DC58EA"/>
    <w:rsid w:val="00DC6701"/>
    <w:rsid w:val="00DD5326"/>
    <w:rsid w:val="00DD6E59"/>
    <w:rsid w:val="00DE16D2"/>
    <w:rsid w:val="00DE3DDF"/>
    <w:rsid w:val="00DE5C94"/>
    <w:rsid w:val="00E0197B"/>
    <w:rsid w:val="00E046B4"/>
    <w:rsid w:val="00E05422"/>
    <w:rsid w:val="00E135E8"/>
    <w:rsid w:val="00E15AEE"/>
    <w:rsid w:val="00E163EF"/>
    <w:rsid w:val="00E2092D"/>
    <w:rsid w:val="00E22BC8"/>
    <w:rsid w:val="00E24A85"/>
    <w:rsid w:val="00E2659E"/>
    <w:rsid w:val="00E44872"/>
    <w:rsid w:val="00E4778D"/>
    <w:rsid w:val="00E55E12"/>
    <w:rsid w:val="00E61D19"/>
    <w:rsid w:val="00E86C7D"/>
    <w:rsid w:val="00E91555"/>
    <w:rsid w:val="00E928A2"/>
    <w:rsid w:val="00E97343"/>
    <w:rsid w:val="00EA52B5"/>
    <w:rsid w:val="00EA5B5B"/>
    <w:rsid w:val="00EA5FFB"/>
    <w:rsid w:val="00EB3B90"/>
    <w:rsid w:val="00EB66D7"/>
    <w:rsid w:val="00EB6719"/>
    <w:rsid w:val="00EC01CE"/>
    <w:rsid w:val="00EC53C1"/>
    <w:rsid w:val="00EE681B"/>
    <w:rsid w:val="00EF7557"/>
    <w:rsid w:val="00F019FE"/>
    <w:rsid w:val="00F02525"/>
    <w:rsid w:val="00F03BF0"/>
    <w:rsid w:val="00F069C4"/>
    <w:rsid w:val="00F240B5"/>
    <w:rsid w:val="00F25857"/>
    <w:rsid w:val="00F30810"/>
    <w:rsid w:val="00F42949"/>
    <w:rsid w:val="00F43DF9"/>
    <w:rsid w:val="00F509F0"/>
    <w:rsid w:val="00F528FC"/>
    <w:rsid w:val="00F53C53"/>
    <w:rsid w:val="00F5508E"/>
    <w:rsid w:val="00F74505"/>
    <w:rsid w:val="00F75C4D"/>
    <w:rsid w:val="00F81664"/>
    <w:rsid w:val="00F86564"/>
    <w:rsid w:val="00FA1DEC"/>
    <w:rsid w:val="00FB2CA4"/>
    <w:rsid w:val="00FC19C6"/>
    <w:rsid w:val="00FD570C"/>
    <w:rsid w:val="00FD67AA"/>
    <w:rsid w:val="00FE6A33"/>
    <w:rsid w:val="00FF7E0F"/>
    <w:rsid w:val="11D7DDBA"/>
    <w:rsid w:val="13CE03C4"/>
    <w:rsid w:val="1C24AA7E"/>
    <w:rsid w:val="26EED429"/>
    <w:rsid w:val="2A3A5B5C"/>
    <w:rsid w:val="2F10853A"/>
    <w:rsid w:val="3D67EE1E"/>
    <w:rsid w:val="3D74C718"/>
    <w:rsid w:val="45D7F573"/>
    <w:rsid w:val="4B7F1DA5"/>
    <w:rsid w:val="56CF1724"/>
    <w:rsid w:val="5972905F"/>
    <w:rsid w:val="679F9F31"/>
    <w:rsid w:val="75F91E44"/>
    <w:rsid w:val="79BA6076"/>
    <w:rsid w:val="79D60E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08D8"/>
  <w15:chartTrackingRefBased/>
  <w15:docId w15:val="{84E8D10F-0F12-4EDC-8D7E-4C32A53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C2"/>
  </w:style>
  <w:style w:type="paragraph" w:styleId="Heading1">
    <w:name w:val="heading 1"/>
    <w:basedOn w:val="Normal"/>
    <w:next w:val="Normal"/>
    <w:link w:val="Heading1Char"/>
    <w:uiPriority w:val="9"/>
    <w:qFormat/>
    <w:rsid w:val="00AB31C2"/>
    <w:pPr>
      <w:keepNext/>
      <w:keepLines/>
      <w:spacing w:before="120" w:after="120" w:line="240" w:lineRule="auto"/>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AB31C2"/>
    <w:pPr>
      <w:keepNext/>
      <w:keepLines/>
      <w:spacing w:before="120" w:after="120" w:line="240" w:lineRule="auto"/>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482C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82C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82C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C2"/>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AB31C2"/>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482C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482C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482C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8B"/>
    <w:rPr>
      <w:rFonts w:eastAsiaTheme="majorEastAsia" w:cstheme="majorBidi"/>
      <w:color w:val="272727" w:themeColor="text1" w:themeTint="D8"/>
    </w:rPr>
  </w:style>
  <w:style w:type="paragraph" w:styleId="Title">
    <w:name w:val="Title"/>
    <w:basedOn w:val="Normal"/>
    <w:next w:val="Normal"/>
    <w:link w:val="TitleChar"/>
    <w:uiPriority w:val="10"/>
    <w:qFormat/>
    <w:rsid w:val="0048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8B"/>
    <w:pPr>
      <w:spacing w:before="160"/>
      <w:jc w:val="center"/>
    </w:pPr>
    <w:rPr>
      <w:i/>
      <w:iCs/>
      <w:color w:val="404040" w:themeColor="text1" w:themeTint="BF"/>
    </w:rPr>
  </w:style>
  <w:style w:type="character" w:customStyle="1" w:styleId="QuoteChar">
    <w:name w:val="Quote Char"/>
    <w:basedOn w:val="DefaultParagraphFont"/>
    <w:link w:val="Quote"/>
    <w:uiPriority w:val="29"/>
    <w:rsid w:val="00482C8B"/>
    <w:rPr>
      <w:i/>
      <w:iCs/>
      <w:color w:val="404040" w:themeColor="text1" w:themeTint="BF"/>
    </w:rPr>
  </w:style>
  <w:style w:type="paragraph" w:styleId="ListParagraph">
    <w:name w:val="List Paragraph"/>
    <w:basedOn w:val="Normal"/>
    <w:uiPriority w:val="34"/>
    <w:qFormat/>
    <w:rsid w:val="00482C8B"/>
    <w:pPr>
      <w:ind w:left="720"/>
      <w:contextualSpacing/>
    </w:pPr>
  </w:style>
  <w:style w:type="character" w:styleId="IntenseEmphasis">
    <w:name w:val="Intense Emphasis"/>
    <w:basedOn w:val="DefaultParagraphFont"/>
    <w:uiPriority w:val="21"/>
    <w:qFormat/>
    <w:rsid w:val="00482C8B"/>
    <w:rPr>
      <w:i/>
      <w:iCs/>
      <w:color w:val="2E74B5" w:themeColor="accent1" w:themeShade="BF"/>
    </w:rPr>
  </w:style>
  <w:style w:type="paragraph" w:styleId="IntenseQuote">
    <w:name w:val="Intense Quote"/>
    <w:basedOn w:val="Normal"/>
    <w:next w:val="Normal"/>
    <w:link w:val="IntenseQuoteChar"/>
    <w:uiPriority w:val="30"/>
    <w:qFormat/>
    <w:rsid w:val="00482C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2C8B"/>
    <w:rPr>
      <w:i/>
      <w:iCs/>
      <w:color w:val="2E74B5" w:themeColor="accent1" w:themeShade="BF"/>
    </w:rPr>
  </w:style>
  <w:style w:type="character" w:styleId="IntenseReference">
    <w:name w:val="Intense Reference"/>
    <w:basedOn w:val="DefaultParagraphFont"/>
    <w:uiPriority w:val="32"/>
    <w:qFormat/>
    <w:rsid w:val="00482C8B"/>
    <w:rPr>
      <w:b/>
      <w:bCs/>
      <w:smallCaps/>
      <w:color w:val="2E74B5" w:themeColor="accent1" w:themeShade="BF"/>
      <w:spacing w:val="5"/>
    </w:rPr>
  </w:style>
  <w:style w:type="paragraph" w:styleId="NormalWeb">
    <w:name w:val="Normal (Web)"/>
    <w:basedOn w:val="Normal"/>
    <w:uiPriority w:val="99"/>
    <w:unhideWhenUsed/>
    <w:rsid w:val="008F33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ath-inline">
    <w:name w:val="math-inline"/>
    <w:basedOn w:val="DefaultParagraphFont"/>
    <w:rsid w:val="008F330F"/>
  </w:style>
  <w:style w:type="character" w:styleId="Strong">
    <w:name w:val="Strong"/>
    <w:basedOn w:val="DefaultParagraphFont"/>
    <w:uiPriority w:val="22"/>
    <w:qFormat/>
    <w:rsid w:val="008F330F"/>
    <w:rPr>
      <w:b/>
      <w:bCs/>
    </w:rPr>
  </w:style>
  <w:style w:type="table" w:customStyle="1" w:styleId="TableGrid1">
    <w:name w:val="Table Grid1"/>
    <w:basedOn w:val="TableNormal"/>
    <w:next w:val="TableGrid"/>
    <w:uiPriority w:val="59"/>
    <w:rsid w:val="00090C3F"/>
    <w:pPr>
      <w:spacing w:after="0" w:line="240" w:lineRule="auto"/>
    </w:pPr>
    <w:rPr>
      <w:rFonts w:ascii="Times New Roman" w:hAnsi="Times New Roman" w:cs="Times New Roman"/>
      <w:sz w:val="24"/>
      <w:lang w:val="en-US"/>
    </w:rPr>
    <w:tblPr/>
  </w:style>
  <w:style w:type="table" w:styleId="TableGrid">
    <w:name w:val="Table Grid"/>
    <w:basedOn w:val="TableNormal"/>
    <w:uiPriority w:val="39"/>
    <w:rsid w:val="00090C3F"/>
    <w:pPr>
      <w:spacing w:after="0" w:line="240" w:lineRule="auto"/>
    </w:pPr>
    <w:tblPr/>
  </w:style>
  <w:style w:type="character" w:styleId="Hyperlink">
    <w:name w:val="Hyperlink"/>
    <w:basedOn w:val="DefaultParagraphFont"/>
    <w:uiPriority w:val="99"/>
    <w:unhideWhenUsed/>
    <w:rsid w:val="00183813"/>
    <w:rPr>
      <w:color w:val="0563C1" w:themeColor="hyperlink"/>
      <w:u w:val="single"/>
    </w:rPr>
  </w:style>
  <w:style w:type="character" w:styleId="UnresolvedMention">
    <w:name w:val="Unresolved Mention"/>
    <w:basedOn w:val="DefaultParagraphFont"/>
    <w:uiPriority w:val="99"/>
    <w:semiHidden/>
    <w:unhideWhenUsed/>
    <w:rsid w:val="00183813"/>
    <w:rPr>
      <w:color w:val="605E5C"/>
      <w:shd w:val="clear" w:color="auto" w:fill="E1DFDD"/>
    </w:rPr>
  </w:style>
  <w:style w:type="paragraph" w:customStyle="1" w:styleId="Nidungbibo">
    <w:name w:val="Nội dung bài báo"/>
    <w:basedOn w:val="Normal"/>
    <w:link w:val="NidungbiboChar"/>
    <w:qFormat/>
    <w:rsid w:val="005E295C"/>
    <w:pPr>
      <w:spacing w:before="120" w:after="120" w:line="240" w:lineRule="auto"/>
      <w:ind w:firstLine="567"/>
      <w:jc w:val="both"/>
    </w:pPr>
    <w:rPr>
      <w:rFonts w:asciiTheme="majorHAnsi" w:hAnsiTheme="majorHAnsi" w:cstheme="majorHAnsi"/>
    </w:rPr>
  </w:style>
  <w:style w:type="character" w:customStyle="1" w:styleId="NidungbiboChar">
    <w:name w:val="Nội dung bài báo Char"/>
    <w:basedOn w:val="DefaultParagraphFont"/>
    <w:link w:val="Nidungbibo"/>
    <w:rsid w:val="005E295C"/>
    <w:rPr>
      <w:rFonts w:asciiTheme="majorHAnsi" w:hAnsiTheme="majorHAnsi" w:cstheme="majorHAnsi"/>
    </w:rPr>
  </w:style>
  <w:style w:type="paragraph" w:customStyle="1" w:styleId="Normal-Italic">
    <w:name w:val="Normal - Italic"/>
    <w:link w:val="Normal-ItalicChar"/>
    <w:qFormat/>
    <w:rsid w:val="00AA5D9F"/>
    <w:pPr>
      <w:spacing w:after="0" w:line="360" w:lineRule="auto"/>
      <w:ind w:firstLine="720"/>
      <w:jc w:val="both"/>
    </w:pPr>
    <w:rPr>
      <w:rFonts w:ascii="Times New Roman" w:eastAsia="Calibri" w:hAnsi="Times New Roman" w:cs="Times New Roman"/>
      <w:i/>
      <w:sz w:val="26"/>
      <w:szCs w:val="26"/>
      <w:lang w:val="en-US"/>
    </w:rPr>
  </w:style>
  <w:style w:type="character" w:customStyle="1" w:styleId="Normal-ItalicChar">
    <w:name w:val="Normal - Italic Char"/>
    <w:link w:val="Normal-Italic"/>
    <w:rsid w:val="00AA5D9F"/>
    <w:rPr>
      <w:rFonts w:ascii="Times New Roman" w:eastAsia="Calibri" w:hAnsi="Times New Roman" w:cs="Times New Roman"/>
      <w:i/>
      <w:sz w:val="26"/>
      <w:szCs w:val="26"/>
      <w:lang w:val="en-US"/>
    </w:rPr>
  </w:style>
  <w:style w:type="paragraph" w:customStyle="1" w:styleId="Cngthc">
    <w:name w:val="Công thức"/>
    <w:basedOn w:val="Normal"/>
    <w:link w:val="CngthcChar"/>
    <w:qFormat/>
    <w:rsid w:val="00AA5D9F"/>
    <w:pPr>
      <w:tabs>
        <w:tab w:val="left" w:pos="425"/>
      </w:tabs>
      <w:spacing w:before="120" w:after="120" w:line="312" w:lineRule="auto"/>
      <w:jc w:val="center"/>
    </w:pPr>
    <w:rPr>
      <w:rFonts w:ascii="Cambria Math" w:eastAsia="Calibri" w:hAnsi="Cambria Math" w:cs="Times New Roman"/>
      <w:i/>
      <w:sz w:val="24"/>
      <w:szCs w:val="24"/>
      <w:lang w:val="en-US"/>
    </w:rPr>
  </w:style>
  <w:style w:type="character" w:customStyle="1" w:styleId="CngthcChar">
    <w:name w:val="Công thức Char"/>
    <w:link w:val="Cngthc"/>
    <w:rsid w:val="00AA5D9F"/>
    <w:rPr>
      <w:rFonts w:ascii="Cambria Math" w:eastAsia="Calibri" w:hAnsi="Cambria Math" w:cs="Times New Roman"/>
      <w:i/>
      <w:sz w:val="24"/>
      <w:szCs w:val="24"/>
      <w:lang w:val="en-US"/>
    </w:rPr>
  </w:style>
  <w:style w:type="paragraph" w:customStyle="1" w:styleId="Tiumc">
    <w:name w:val="Tiêu đề mục"/>
    <w:basedOn w:val="Normal"/>
    <w:link w:val="TiumcChar"/>
    <w:qFormat/>
    <w:rsid w:val="005E295C"/>
    <w:pPr>
      <w:tabs>
        <w:tab w:val="left" w:pos="360"/>
        <w:tab w:val="right" w:leader="hyphen" w:pos="9072"/>
      </w:tabs>
      <w:spacing w:before="120" w:after="120" w:line="240" w:lineRule="auto"/>
    </w:pPr>
    <w:rPr>
      <w:rFonts w:ascii="Times New Roman" w:eastAsia="Times New Roman" w:hAnsi="Times New Roman" w:cs="Times New Roman"/>
      <w:b/>
      <w:lang w:val="en-US"/>
    </w:rPr>
  </w:style>
  <w:style w:type="character" w:customStyle="1" w:styleId="TiumcChar">
    <w:name w:val="Tiêu đề mục Char"/>
    <w:basedOn w:val="DefaultParagraphFont"/>
    <w:link w:val="Tiumc"/>
    <w:rsid w:val="005E295C"/>
    <w:rPr>
      <w:rFonts w:ascii="Times New Roman" w:eastAsia="Times New Roman" w:hAnsi="Times New Roman" w:cs="Times New Roman"/>
      <w:b/>
      <w:lang w:val="en-US"/>
    </w:rPr>
  </w:style>
  <w:style w:type="paragraph" w:customStyle="1" w:styleId="EndNoteBibliographyTitle">
    <w:name w:val="EndNote Bibliography Title"/>
    <w:basedOn w:val="Normal"/>
    <w:link w:val="EndNoteBibliographyTitleChar"/>
    <w:rsid w:val="00AA5D9F"/>
    <w:pPr>
      <w:spacing w:after="0"/>
      <w:jc w:val="center"/>
    </w:pPr>
    <w:rPr>
      <w:rFonts w:ascii="Times New Roman" w:hAnsi="Times New Roman" w:cs="Times New Roman"/>
      <w:noProof/>
      <w:sz w:val="20"/>
      <w:lang w:val="en-US"/>
    </w:rPr>
  </w:style>
  <w:style w:type="character" w:customStyle="1" w:styleId="EndNoteBibliographyTitleChar">
    <w:name w:val="EndNote Bibliography Title Char"/>
    <w:basedOn w:val="NidungbiboChar"/>
    <w:link w:val="EndNoteBibliographyTitle"/>
    <w:rsid w:val="00AA5D9F"/>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AA5D9F"/>
    <w:pPr>
      <w:spacing w:line="240" w:lineRule="auto"/>
      <w:jc w:val="both"/>
    </w:pPr>
    <w:rPr>
      <w:rFonts w:ascii="Times New Roman" w:hAnsi="Times New Roman" w:cs="Times New Roman"/>
      <w:noProof/>
      <w:sz w:val="20"/>
      <w:lang w:val="en-US"/>
    </w:rPr>
  </w:style>
  <w:style w:type="character" w:customStyle="1" w:styleId="EndNoteBibliographyChar">
    <w:name w:val="EndNote Bibliography Char"/>
    <w:basedOn w:val="NidungbiboChar"/>
    <w:link w:val="EndNoteBibliography"/>
    <w:rsid w:val="00AA5D9F"/>
    <w:rPr>
      <w:rFonts w:ascii="Times New Roman" w:hAnsi="Times New Roman" w:cs="Times New Roman"/>
      <w:noProof/>
      <w:sz w:val="20"/>
      <w:lang w:val="en-US"/>
    </w:rPr>
  </w:style>
  <w:style w:type="paragraph" w:customStyle="1" w:styleId="Tnbng">
    <w:name w:val="Tên bảng"/>
    <w:basedOn w:val="Nidungbibo"/>
    <w:link w:val="TnbngChar"/>
    <w:qFormat/>
    <w:rsid w:val="005E295C"/>
    <w:pPr>
      <w:ind w:firstLine="0"/>
      <w:jc w:val="left"/>
    </w:pPr>
    <w:rPr>
      <w:b/>
      <w:bCs/>
    </w:rPr>
  </w:style>
  <w:style w:type="character" w:customStyle="1" w:styleId="TnbngChar">
    <w:name w:val="Tên bảng Char"/>
    <w:basedOn w:val="NidungbiboChar"/>
    <w:link w:val="Tnbng"/>
    <w:rsid w:val="005E295C"/>
    <w:rPr>
      <w:rFonts w:asciiTheme="majorHAnsi" w:hAnsiTheme="majorHAnsi" w:cstheme="majorHAnsi"/>
      <w:b/>
      <w:bCs/>
    </w:rPr>
  </w:style>
  <w:style w:type="table" w:styleId="PlainTable2">
    <w:name w:val="Plain Table 2"/>
    <w:basedOn w:val="TableNormal"/>
    <w:uiPriority w:val="42"/>
    <w:rsid w:val="00410F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F7557"/>
    <w:pPr>
      <w:spacing w:after="0" w:line="240" w:lineRule="auto"/>
    </w:pPr>
    <w:tblPr/>
  </w:style>
  <w:style w:type="table" w:styleId="GridTable1Light">
    <w:name w:val="Grid Table 1 Light"/>
    <w:basedOn w:val="TableNormal"/>
    <w:uiPriority w:val="46"/>
    <w:rsid w:val="00EF75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mnguyendinhtu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nguyendinhtuan@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2033-E363-4A3B-8D0E-665493C1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12</Pages>
  <Words>10257</Words>
  <Characters>58467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68587</CharactersWithSpaces>
  <SharedDoc>false</SharedDoc>
  <HLinks>
    <vt:vector size="156" baseType="variant">
      <vt:variant>
        <vt:i4>4456459</vt:i4>
      </vt:variant>
      <vt:variant>
        <vt:i4>145</vt:i4>
      </vt:variant>
      <vt:variant>
        <vt:i4>0</vt:i4>
      </vt:variant>
      <vt:variant>
        <vt:i4>5</vt:i4>
      </vt:variant>
      <vt:variant>
        <vt:lpwstr/>
      </vt:variant>
      <vt:variant>
        <vt:lpwstr>_ENREF_5</vt:lpwstr>
      </vt:variant>
      <vt:variant>
        <vt:i4>4325387</vt:i4>
      </vt:variant>
      <vt:variant>
        <vt:i4>139</vt:i4>
      </vt:variant>
      <vt:variant>
        <vt:i4>0</vt:i4>
      </vt:variant>
      <vt:variant>
        <vt:i4>5</vt:i4>
      </vt:variant>
      <vt:variant>
        <vt:lpwstr/>
      </vt:variant>
      <vt:variant>
        <vt:lpwstr>_ENREF_3</vt:lpwstr>
      </vt:variant>
      <vt:variant>
        <vt:i4>4390923</vt:i4>
      </vt:variant>
      <vt:variant>
        <vt:i4>133</vt:i4>
      </vt:variant>
      <vt:variant>
        <vt:i4>0</vt:i4>
      </vt:variant>
      <vt:variant>
        <vt:i4>5</vt:i4>
      </vt:variant>
      <vt:variant>
        <vt:lpwstr/>
      </vt:variant>
      <vt:variant>
        <vt:lpwstr>_ENREF_2</vt:lpwstr>
      </vt:variant>
      <vt:variant>
        <vt:i4>4194315</vt:i4>
      </vt:variant>
      <vt:variant>
        <vt:i4>127</vt:i4>
      </vt:variant>
      <vt:variant>
        <vt:i4>0</vt:i4>
      </vt:variant>
      <vt:variant>
        <vt:i4>5</vt:i4>
      </vt:variant>
      <vt:variant>
        <vt:lpwstr/>
      </vt:variant>
      <vt:variant>
        <vt:lpwstr>_ENREF_17</vt:lpwstr>
      </vt:variant>
      <vt:variant>
        <vt:i4>4194315</vt:i4>
      </vt:variant>
      <vt:variant>
        <vt:i4>121</vt:i4>
      </vt:variant>
      <vt:variant>
        <vt:i4>0</vt:i4>
      </vt:variant>
      <vt:variant>
        <vt:i4>5</vt:i4>
      </vt:variant>
      <vt:variant>
        <vt:lpwstr/>
      </vt:variant>
      <vt:variant>
        <vt:lpwstr>_ENREF_19</vt:lpwstr>
      </vt:variant>
      <vt:variant>
        <vt:i4>4194315</vt:i4>
      </vt:variant>
      <vt:variant>
        <vt:i4>115</vt:i4>
      </vt:variant>
      <vt:variant>
        <vt:i4>0</vt:i4>
      </vt:variant>
      <vt:variant>
        <vt:i4>5</vt:i4>
      </vt:variant>
      <vt:variant>
        <vt:lpwstr/>
      </vt:variant>
      <vt:variant>
        <vt:lpwstr>_ENREF_18</vt:lpwstr>
      </vt:variant>
      <vt:variant>
        <vt:i4>4194315</vt:i4>
      </vt:variant>
      <vt:variant>
        <vt:i4>109</vt:i4>
      </vt:variant>
      <vt:variant>
        <vt:i4>0</vt:i4>
      </vt:variant>
      <vt:variant>
        <vt:i4>5</vt:i4>
      </vt:variant>
      <vt:variant>
        <vt:lpwstr/>
      </vt:variant>
      <vt:variant>
        <vt:lpwstr>_ENREF_17</vt:lpwstr>
      </vt:variant>
      <vt:variant>
        <vt:i4>4718603</vt:i4>
      </vt:variant>
      <vt:variant>
        <vt:i4>103</vt:i4>
      </vt:variant>
      <vt:variant>
        <vt:i4>0</vt:i4>
      </vt:variant>
      <vt:variant>
        <vt:i4>5</vt:i4>
      </vt:variant>
      <vt:variant>
        <vt:lpwstr/>
      </vt:variant>
      <vt:variant>
        <vt:lpwstr>_ENREF_9</vt:lpwstr>
      </vt:variant>
      <vt:variant>
        <vt:i4>4194315</vt:i4>
      </vt:variant>
      <vt:variant>
        <vt:i4>99</vt:i4>
      </vt:variant>
      <vt:variant>
        <vt:i4>0</vt:i4>
      </vt:variant>
      <vt:variant>
        <vt:i4>5</vt:i4>
      </vt:variant>
      <vt:variant>
        <vt:lpwstr/>
      </vt:variant>
      <vt:variant>
        <vt:lpwstr>_ENREF_16</vt:lpwstr>
      </vt:variant>
      <vt:variant>
        <vt:i4>4194315</vt:i4>
      </vt:variant>
      <vt:variant>
        <vt:i4>96</vt:i4>
      </vt:variant>
      <vt:variant>
        <vt:i4>0</vt:i4>
      </vt:variant>
      <vt:variant>
        <vt:i4>5</vt:i4>
      </vt:variant>
      <vt:variant>
        <vt:lpwstr/>
      </vt:variant>
      <vt:variant>
        <vt:lpwstr>_ENREF_15</vt:lpwstr>
      </vt:variant>
      <vt:variant>
        <vt:i4>4194315</vt:i4>
      </vt:variant>
      <vt:variant>
        <vt:i4>86</vt:i4>
      </vt:variant>
      <vt:variant>
        <vt:i4>0</vt:i4>
      </vt:variant>
      <vt:variant>
        <vt:i4>5</vt:i4>
      </vt:variant>
      <vt:variant>
        <vt:lpwstr/>
      </vt:variant>
      <vt:variant>
        <vt:lpwstr>_ENREF_14</vt:lpwstr>
      </vt:variant>
      <vt:variant>
        <vt:i4>4194315</vt:i4>
      </vt:variant>
      <vt:variant>
        <vt:i4>80</vt:i4>
      </vt:variant>
      <vt:variant>
        <vt:i4>0</vt:i4>
      </vt:variant>
      <vt:variant>
        <vt:i4>5</vt:i4>
      </vt:variant>
      <vt:variant>
        <vt:lpwstr/>
      </vt:variant>
      <vt:variant>
        <vt:lpwstr>_ENREF_13</vt:lpwstr>
      </vt:variant>
      <vt:variant>
        <vt:i4>4194315</vt:i4>
      </vt:variant>
      <vt:variant>
        <vt:i4>74</vt:i4>
      </vt:variant>
      <vt:variant>
        <vt:i4>0</vt:i4>
      </vt:variant>
      <vt:variant>
        <vt:i4>5</vt:i4>
      </vt:variant>
      <vt:variant>
        <vt:lpwstr/>
      </vt:variant>
      <vt:variant>
        <vt:lpwstr>_ENREF_12</vt:lpwstr>
      </vt:variant>
      <vt:variant>
        <vt:i4>4194315</vt:i4>
      </vt:variant>
      <vt:variant>
        <vt:i4>70</vt:i4>
      </vt:variant>
      <vt:variant>
        <vt:i4>0</vt:i4>
      </vt:variant>
      <vt:variant>
        <vt:i4>5</vt:i4>
      </vt:variant>
      <vt:variant>
        <vt:lpwstr/>
      </vt:variant>
      <vt:variant>
        <vt:lpwstr>_ENREF_11</vt:lpwstr>
      </vt:variant>
      <vt:variant>
        <vt:i4>4456459</vt:i4>
      </vt:variant>
      <vt:variant>
        <vt:i4>67</vt:i4>
      </vt:variant>
      <vt:variant>
        <vt:i4>0</vt:i4>
      </vt:variant>
      <vt:variant>
        <vt:i4>5</vt:i4>
      </vt:variant>
      <vt:variant>
        <vt:lpwstr/>
      </vt:variant>
      <vt:variant>
        <vt:lpwstr>_ENREF_5</vt:lpwstr>
      </vt:variant>
      <vt:variant>
        <vt:i4>4194315</vt:i4>
      </vt:variant>
      <vt:variant>
        <vt:i4>57</vt:i4>
      </vt:variant>
      <vt:variant>
        <vt:i4>0</vt:i4>
      </vt:variant>
      <vt:variant>
        <vt:i4>5</vt:i4>
      </vt:variant>
      <vt:variant>
        <vt:lpwstr/>
      </vt:variant>
      <vt:variant>
        <vt:lpwstr>_ENREF_10</vt:lpwstr>
      </vt:variant>
      <vt:variant>
        <vt:i4>4718603</vt:i4>
      </vt:variant>
      <vt:variant>
        <vt:i4>51</vt:i4>
      </vt:variant>
      <vt:variant>
        <vt:i4>0</vt:i4>
      </vt:variant>
      <vt:variant>
        <vt:i4>5</vt:i4>
      </vt:variant>
      <vt:variant>
        <vt:lpwstr/>
      </vt:variant>
      <vt:variant>
        <vt:lpwstr>_ENREF_9</vt:lpwstr>
      </vt:variant>
      <vt:variant>
        <vt:i4>4784139</vt:i4>
      </vt:variant>
      <vt:variant>
        <vt:i4>45</vt:i4>
      </vt:variant>
      <vt:variant>
        <vt:i4>0</vt:i4>
      </vt:variant>
      <vt:variant>
        <vt:i4>5</vt:i4>
      </vt:variant>
      <vt:variant>
        <vt:lpwstr/>
      </vt:variant>
      <vt:variant>
        <vt:lpwstr>_ENREF_8</vt:lpwstr>
      </vt:variant>
      <vt:variant>
        <vt:i4>4587531</vt:i4>
      </vt:variant>
      <vt:variant>
        <vt:i4>39</vt:i4>
      </vt:variant>
      <vt:variant>
        <vt:i4>0</vt:i4>
      </vt:variant>
      <vt:variant>
        <vt:i4>5</vt:i4>
      </vt:variant>
      <vt:variant>
        <vt:lpwstr/>
      </vt:variant>
      <vt:variant>
        <vt:lpwstr>_ENREF_7</vt:lpwstr>
      </vt:variant>
      <vt:variant>
        <vt:i4>4653067</vt:i4>
      </vt:variant>
      <vt:variant>
        <vt:i4>33</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15</vt:i4>
      </vt:variant>
      <vt:variant>
        <vt:i4>0</vt:i4>
      </vt:variant>
      <vt:variant>
        <vt:i4>5</vt:i4>
      </vt:variant>
      <vt:variant>
        <vt:lpwstr/>
      </vt:variant>
      <vt:variant>
        <vt:lpwstr>_ENREF_3</vt:lpwstr>
      </vt:variant>
      <vt:variant>
        <vt:i4>4390923</vt:i4>
      </vt:variant>
      <vt:variant>
        <vt:i4>9</vt:i4>
      </vt:variant>
      <vt:variant>
        <vt:i4>0</vt:i4>
      </vt:variant>
      <vt:variant>
        <vt:i4>5</vt:i4>
      </vt:variant>
      <vt:variant>
        <vt:lpwstr/>
      </vt:variant>
      <vt:variant>
        <vt:lpwstr>_ENREF_2</vt:lpwstr>
      </vt:variant>
      <vt:variant>
        <vt:i4>4194315</vt:i4>
      </vt:variant>
      <vt:variant>
        <vt:i4>3</vt:i4>
      </vt:variant>
      <vt:variant>
        <vt:i4>0</vt:i4>
      </vt:variant>
      <vt:variant>
        <vt:i4>5</vt:i4>
      </vt:variant>
      <vt:variant>
        <vt:lpwstr/>
      </vt:variant>
      <vt:variant>
        <vt:lpwstr>_ENREF_1</vt:lpwstr>
      </vt:variant>
      <vt:variant>
        <vt:i4>3539015</vt:i4>
      </vt:variant>
      <vt:variant>
        <vt:i4>0</vt:i4>
      </vt:variant>
      <vt:variant>
        <vt:i4>0</vt:i4>
      </vt:variant>
      <vt:variant>
        <vt:i4>5</vt:i4>
      </vt:variant>
      <vt:variant>
        <vt:lpwstr>mailto:phamnguyendinhtuan@qnu.edu.vn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Duyen - QNU</dc:creator>
  <cp:keywords/>
  <dc:description/>
  <cp:lastModifiedBy>Pham Nguyen Dinh Tuan - QNU</cp:lastModifiedBy>
  <cp:revision>241</cp:revision>
  <dcterms:created xsi:type="dcterms:W3CDTF">2025-10-27T21:25:00Z</dcterms:created>
  <dcterms:modified xsi:type="dcterms:W3CDTF">2025-11-21T03:41:00Z</dcterms:modified>
</cp:coreProperties>
</file>