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3C2F" w14:textId="77777777" w:rsidR="00B96B48" w:rsidRPr="00B96B48" w:rsidRDefault="00B96B48" w:rsidP="00B96B48">
      <w:r w:rsidRPr="00B96B48">
        <w:rPr>
          <w:b/>
          <w:bCs/>
        </w:rPr>
        <w:t>RESPONSE TO REVIEWERS</w:t>
      </w:r>
    </w:p>
    <w:p w14:paraId="294F82FC" w14:textId="77777777" w:rsidR="00B96B48" w:rsidRPr="00B96B48" w:rsidRDefault="00B96B48" w:rsidP="00B96B48">
      <w:r w:rsidRPr="00B96B48">
        <w:rPr>
          <w:b/>
          <w:bCs/>
        </w:rPr>
        <w:t>Manuscript ID:</w:t>
      </w:r>
      <w:r w:rsidRPr="00B96B48">
        <w:t xml:space="preserve"> QNUJS-A2550 </w:t>
      </w:r>
      <w:r w:rsidRPr="00B96B48">
        <w:rPr>
          <w:b/>
          <w:bCs/>
        </w:rPr>
        <w:t>Title:</w:t>
      </w:r>
      <w:r w:rsidRPr="00B96B48">
        <w:t xml:space="preserve"> Earnings Management during Financial Distress: Evidence from Listed Companies on the Vietnamese Stock Market</w:t>
      </w:r>
    </w:p>
    <w:p w14:paraId="6A60C1F4" w14:textId="77777777" w:rsidR="00B96B48" w:rsidRPr="00B96B48" w:rsidRDefault="00B96B48" w:rsidP="00B96B48">
      <w:r w:rsidRPr="00B96B48">
        <w:t>We would like to express our sincere gratitude to the reviewers for their insightful comments. These contributions have been invaluable in improving the quality and rigor of our manuscript. Below is our point-by-point response.</w:t>
      </w:r>
    </w:p>
    <w:p w14:paraId="1CFDA7A0" w14:textId="77777777" w:rsidR="00B96B48" w:rsidRPr="00B96B48" w:rsidRDefault="00B96B48" w:rsidP="00B96B48">
      <w:r w:rsidRPr="00B96B48">
        <w:pict w14:anchorId="4AC7F375">
          <v:rect id="_x0000_i1043" style="width:0;height:1.5pt" o:hralign="center" o:hrstd="t" o:hr="t" fillcolor="#a0a0a0" stroked="f"/>
        </w:pict>
      </w:r>
    </w:p>
    <w:p w14:paraId="4A1473E0" w14:textId="77777777" w:rsidR="00B96B48" w:rsidRPr="00B96B48" w:rsidRDefault="00B96B48" w:rsidP="00B96B48">
      <w:pPr>
        <w:rPr>
          <w:b/>
          <w:bCs/>
        </w:rPr>
      </w:pPr>
      <w:r w:rsidRPr="00B96B48">
        <w:rPr>
          <w:b/>
          <w:bCs/>
        </w:rPr>
        <w:t>Response to Reviewer 1</w:t>
      </w:r>
    </w:p>
    <w:p w14:paraId="0DAE2E8C" w14:textId="77777777" w:rsidR="00B96B48" w:rsidRPr="00B96B48" w:rsidRDefault="00B96B48" w:rsidP="00B96B48">
      <w:r w:rsidRPr="00B96B48">
        <w:t>We are grateful for the reviewer’s positive assessment of our work, particularly the recognition of our contribution regarding the combined analysis of accrual-based and real earnings management.</w:t>
      </w:r>
    </w:p>
    <w:p w14:paraId="6E3C5FFD" w14:textId="77777777" w:rsidR="00B96B48" w:rsidRPr="00B96B48" w:rsidRDefault="00B96B48" w:rsidP="00B96B48">
      <w:r w:rsidRPr="00B96B48">
        <w:pict w14:anchorId="73D39ACE">
          <v:rect id="_x0000_i1044" style="width:0;height:1.5pt" o:hralign="center" o:hrstd="t" o:hr="t" fillcolor="#a0a0a0" stroked="f"/>
        </w:pict>
      </w:r>
    </w:p>
    <w:p w14:paraId="1D3B506B" w14:textId="77777777" w:rsidR="00B96B48" w:rsidRPr="00B96B48" w:rsidRDefault="00B96B48" w:rsidP="00B96B48">
      <w:pPr>
        <w:rPr>
          <w:b/>
          <w:bCs/>
        </w:rPr>
      </w:pPr>
      <w:r w:rsidRPr="00B96B48">
        <w:rPr>
          <w:b/>
          <w:bCs/>
        </w:rPr>
        <w:t>Response to Reviewer 2</w:t>
      </w:r>
    </w:p>
    <w:p w14:paraId="0788D4BE" w14:textId="77777777" w:rsidR="00B96B48" w:rsidRPr="00B96B48" w:rsidRDefault="00B96B48" w:rsidP="00B96B48">
      <w:r w:rsidRPr="00B96B48">
        <w:rPr>
          <w:b/>
          <w:bCs/>
        </w:rPr>
        <w:t>Comment 1: Robustness Check.</w:t>
      </w:r>
      <w:r w:rsidRPr="00B96B48">
        <w:t xml:space="preserve"> The reviewer suggested that using only the Altman Z-score might not be sufficient and recommended robustness checks using other models like Ohlson O-score or Zmijewski. </w:t>
      </w:r>
      <w:r w:rsidRPr="00B96B48">
        <w:rPr>
          <w:b/>
          <w:bCs/>
        </w:rPr>
        <w:t>Response:</w:t>
      </w:r>
      <w:r w:rsidRPr="00B96B48">
        <w:t xml:space="preserve"> </w:t>
      </w:r>
      <w:r w:rsidRPr="00B96B48">
        <w:rPr>
          <w:b/>
          <w:bCs/>
        </w:rPr>
        <w:t>We agree with this suggestion.</w:t>
      </w:r>
      <w:r w:rsidRPr="00B96B48">
        <w:t xml:space="preserve"> To address this, we have added a new section, </w:t>
      </w:r>
      <w:r w:rsidRPr="00B96B48">
        <w:rPr>
          <w:b/>
          <w:bCs/>
        </w:rPr>
        <w:t>“4.3. Robustness Checks,”</w:t>
      </w:r>
      <w:r w:rsidRPr="00B96B48">
        <w:t xml:space="preserve"> and </w:t>
      </w:r>
      <w:r w:rsidRPr="00B96B48">
        <w:rPr>
          <w:b/>
          <w:bCs/>
        </w:rPr>
        <w:t>Table 5</w:t>
      </w:r>
      <w:r w:rsidRPr="00B96B48">
        <w:t xml:space="preserve"> to the manuscript. In this section, we employ the </w:t>
      </w:r>
      <w:r w:rsidRPr="00B96B48">
        <w:rPr>
          <w:b/>
          <w:bCs/>
        </w:rPr>
        <w:t>Zmijewski (1984)</w:t>
      </w:r>
      <w:r w:rsidRPr="00B96B48">
        <w:t xml:space="preserve"> model (denoted as X-score) as an alternative proxy for financial health. The results confirm that the substitution effect is driven by the underlying economic condition of distress rather than the specific choice of measurement model.</w:t>
      </w:r>
    </w:p>
    <w:p w14:paraId="27563585" w14:textId="77777777" w:rsidR="00B96B48" w:rsidRPr="00B96B48" w:rsidRDefault="00B96B48" w:rsidP="00B96B48">
      <w:r w:rsidRPr="00B96B48">
        <w:rPr>
          <w:b/>
          <w:bCs/>
        </w:rPr>
        <w:t>Comment 2: Update References.</w:t>
      </w:r>
      <w:r w:rsidRPr="00B96B48">
        <w:t xml:space="preserve"> The reviewer pointed out the need to include more recent Vietnamese and international studies (2022-2024) to improve timeliness. </w:t>
      </w:r>
      <w:r w:rsidRPr="00B96B48">
        <w:rPr>
          <w:b/>
          <w:bCs/>
        </w:rPr>
        <w:t>Response:</w:t>
      </w:r>
      <w:r w:rsidRPr="00B96B48">
        <w:t xml:space="preserve"> </w:t>
      </w:r>
      <w:r w:rsidRPr="00B96B48">
        <w:rPr>
          <w:b/>
          <w:bCs/>
        </w:rPr>
        <w:t>We have carefully considered this suggestion.</w:t>
      </w:r>
      <w:r w:rsidRPr="00B96B48">
        <w:t xml:space="preserve"> We reviewed recent domestic literature regarding earnings management. However, we observed that most recent studies in Vietnam typically employ static models or focus on single aspects of earnings management, which differ significantly from the dynamic "substitution effect" framework grounded in foundational theories (such as Agency Theory and Prospect Theory) used in our research. We believe that introducing peripheral studies that do not share the same theoretical basis might dilute the coherence of our argument. Therefore, </w:t>
      </w:r>
      <w:r w:rsidRPr="00B96B48">
        <w:rPr>
          <w:b/>
          <w:bCs/>
        </w:rPr>
        <w:t>we have decided to retain our core list of references</w:t>
      </w:r>
      <w:r w:rsidRPr="00B96B48">
        <w:t>, as they provide the most accurate and robust theoretical foundation for the specific research questions and dynamic methodology addressed in this study.</w:t>
      </w:r>
    </w:p>
    <w:p w14:paraId="31500782" w14:textId="77777777" w:rsidR="00B96B48" w:rsidRPr="00B96B48" w:rsidRDefault="00B96B48" w:rsidP="00B96B48">
      <w:r w:rsidRPr="00B96B48">
        <w:rPr>
          <w:b/>
          <w:bCs/>
        </w:rPr>
        <w:t>Comment 3: Discussion Depth.</w:t>
      </w:r>
      <w:r w:rsidRPr="00B96B48">
        <w:t xml:space="preserve"> The reviewer recommended deepening the discussion and interpretation of results. </w:t>
      </w:r>
      <w:r w:rsidRPr="00B96B48">
        <w:rPr>
          <w:b/>
          <w:bCs/>
        </w:rPr>
        <w:t>Response:</w:t>
      </w:r>
      <w:r w:rsidRPr="00B96B48">
        <w:t xml:space="preserve"> </w:t>
      </w:r>
      <w:r w:rsidRPr="00B96B48">
        <w:rPr>
          <w:b/>
          <w:bCs/>
        </w:rPr>
        <w:t xml:space="preserve">We have revised Section 4.2 </w:t>
      </w:r>
      <w:r w:rsidRPr="00B96B48">
        <w:rPr>
          <w:b/>
          <w:bCs/>
        </w:rPr>
        <w:lastRenderedPageBreak/>
        <w:t>(Discussion).</w:t>
      </w:r>
      <w:r w:rsidRPr="00B96B48">
        <w:t xml:space="preserve"> We explicitly interpreted the "substitution effect" where distressed firms shift from AEM to REM due to heightened scrutiny. We have incorporated comparisons with international evidence (e.g., Campa, 2019; Viana Jr, 2022) to provide a stronger theoretical explanation for this behavior.</w:t>
      </w:r>
    </w:p>
    <w:p w14:paraId="663CD80C" w14:textId="77777777" w:rsidR="00B96B48" w:rsidRPr="00B96B48" w:rsidRDefault="00B96B48" w:rsidP="00B96B48">
      <w:r w:rsidRPr="00B96B48">
        <w:rPr>
          <w:b/>
          <w:bCs/>
        </w:rPr>
        <w:t>Comment 4: Data Outliers (Interest Coverage).</w:t>
      </w:r>
      <w:r w:rsidRPr="00B96B48">
        <w:t xml:space="preserve"> The reviewer raised a concern about the extreme negative value of the Interest Coverage ratio. </w:t>
      </w:r>
      <w:r w:rsidRPr="00B96B48">
        <w:rPr>
          <w:b/>
          <w:bCs/>
        </w:rPr>
        <w:t>Response:</w:t>
      </w:r>
      <w:r w:rsidRPr="00B96B48">
        <w:t xml:space="preserve"> </w:t>
      </w:r>
      <w:r w:rsidRPr="00B96B48">
        <w:rPr>
          <w:b/>
          <w:bCs/>
        </w:rPr>
        <w:t>We have clarified this in Section 3.2 (Data) and Section 4.1 (Descriptive Statistics).</w:t>
      </w:r>
      <w:r w:rsidRPr="00B96B48">
        <w:t xml:space="preserve"> We explained that these extreme values authentically reflect firms in severe distress (negative EBIT but high interest expenses). We clarified that these observations were retained to capture the full spectrum of distress but were </w:t>
      </w:r>
      <w:r w:rsidRPr="00B96B48">
        <w:rPr>
          <w:b/>
          <w:bCs/>
        </w:rPr>
        <w:t>winsorized at the 1st and 99th percentiles</w:t>
      </w:r>
      <w:r w:rsidRPr="00B96B48">
        <w:t xml:space="preserve"> to prevent statistical bias.</w:t>
      </w:r>
    </w:p>
    <w:p w14:paraId="47392BAF" w14:textId="77777777" w:rsidR="00B96B48" w:rsidRPr="00B96B48" w:rsidRDefault="00B96B48" w:rsidP="00B96B48">
      <w:r w:rsidRPr="00B96B48">
        <w:rPr>
          <w:b/>
          <w:bCs/>
        </w:rPr>
        <w:t>Comment 5: Methodology details.</w:t>
      </w:r>
      <w:r w:rsidRPr="00B96B48">
        <w:t xml:space="preserve"> The reviewer asked for clarification on the GMM estimation and instrument validity. </w:t>
      </w:r>
      <w:r w:rsidRPr="00B96B48">
        <w:rPr>
          <w:b/>
          <w:bCs/>
        </w:rPr>
        <w:t>Response:</w:t>
      </w:r>
      <w:r w:rsidRPr="00B96B48">
        <w:t xml:space="preserve"> </w:t>
      </w:r>
      <w:r w:rsidRPr="00B96B48">
        <w:rPr>
          <w:b/>
          <w:bCs/>
        </w:rPr>
        <w:t>We have expanded Section 3.4.</w:t>
      </w:r>
      <w:r w:rsidRPr="00B96B48">
        <w:t xml:space="preserve"> We added details explaining that we verified the validity of instruments using the </w:t>
      </w:r>
      <w:r w:rsidRPr="00B96B48">
        <w:rPr>
          <w:b/>
          <w:bCs/>
        </w:rPr>
        <w:t>Hansen J-test</w:t>
      </w:r>
      <w:r w:rsidRPr="00B96B48">
        <w:t xml:space="preserve"> and </w:t>
      </w:r>
      <w:r w:rsidRPr="00B96B48">
        <w:rPr>
          <w:b/>
          <w:bCs/>
        </w:rPr>
        <w:t>Arellano-Bond AR(2) test</w:t>
      </w:r>
      <w:r w:rsidRPr="00B96B48">
        <w:t>, ensuring the reliability of our parameters.</w:t>
      </w:r>
    </w:p>
    <w:p w14:paraId="774DC4EB" w14:textId="77777777" w:rsidR="00B96B48" w:rsidRPr="00B96B48" w:rsidRDefault="00B96B48" w:rsidP="00B96B48">
      <w:r w:rsidRPr="00B96B48">
        <w:rPr>
          <w:b/>
          <w:bCs/>
        </w:rPr>
        <w:t>Comment 6: Practical Implications.</w:t>
      </w:r>
      <w:r w:rsidRPr="00B96B48">
        <w:t xml:space="preserve"> The reviewer suggested specifying implications for investors and auditors. </w:t>
      </w:r>
      <w:r w:rsidRPr="00B96B48">
        <w:rPr>
          <w:b/>
          <w:bCs/>
        </w:rPr>
        <w:t>Response:</w:t>
      </w:r>
      <w:r w:rsidRPr="00B96B48">
        <w:t xml:space="preserve"> </w:t>
      </w:r>
      <w:r w:rsidRPr="00B96B48">
        <w:rPr>
          <w:b/>
          <w:bCs/>
        </w:rPr>
        <w:t>We have rewritten the implications in Section 5 (Conclusions).</w:t>
      </w:r>
      <w:r w:rsidRPr="00B96B48">
        <w:t xml:space="preserve"> We now provide specific advice for:</w:t>
      </w:r>
    </w:p>
    <w:p w14:paraId="7D885E3C" w14:textId="77777777" w:rsidR="00B96B48" w:rsidRPr="00B96B48" w:rsidRDefault="00B96B48" w:rsidP="00B96B48">
      <w:pPr>
        <w:numPr>
          <w:ilvl w:val="0"/>
          <w:numId w:val="1"/>
        </w:numPr>
      </w:pPr>
      <w:r w:rsidRPr="00B96B48">
        <w:rPr>
          <w:b/>
          <w:bCs/>
        </w:rPr>
        <w:t>Investors:</w:t>
      </w:r>
      <w:r w:rsidRPr="00B96B48">
        <w:t xml:space="preserve"> To scrutinize abnormal cuts in R&amp;D/SG&amp;A expenses in distressed firms.</w:t>
      </w:r>
    </w:p>
    <w:p w14:paraId="73940F2B" w14:textId="77777777" w:rsidR="00B96B48" w:rsidRPr="00B96B48" w:rsidRDefault="00B96B48" w:rsidP="00B96B48">
      <w:pPr>
        <w:numPr>
          <w:ilvl w:val="0"/>
          <w:numId w:val="1"/>
        </w:numPr>
      </w:pPr>
      <w:r w:rsidRPr="00B96B48">
        <w:rPr>
          <w:b/>
          <w:bCs/>
        </w:rPr>
        <w:t>Auditors/Regulators:</w:t>
      </w:r>
      <w:r w:rsidRPr="00B96B48">
        <w:t xml:space="preserve"> To expand oversight beyond accruals to include real activity manipulation, especially during periods of credit tightening.</w:t>
      </w:r>
    </w:p>
    <w:p w14:paraId="1216C9B4" w14:textId="77777777" w:rsidR="00B96B48" w:rsidRPr="00B96B48" w:rsidRDefault="00B96B48" w:rsidP="00B96B48">
      <w:r w:rsidRPr="00B96B48">
        <w:pict w14:anchorId="17E6BFBC">
          <v:rect id="_x0000_i1045" style="width:0;height:1.5pt" o:hralign="center" o:hrstd="t" o:hr="t" fillcolor="#a0a0a0" stroked="f"/>
        </w:pict>
      </w:r>
    </w:p>
    <w:p w14:paraId="0F44B338" w14:textId="77777777" w:rsidR="00B96B48" w:rsidRPr="00B96B48" w:rsidRDefault="00B96B48" w:rsidP="00B96B48">
      <w:r w:rsidRPr="00B96B48">
        <w:t>Once again, we thank the reviewers for their time and effort in reviewing our manuscript.</w:t>
      </w:r>
    </w:p>
    <w:p w14:paraId="599C20FE" w14:textId="77777777" w:rsidR="00B96B48" w:rsidRPr="00B96B48" w:rsidRDefault="00B96B48" w:rsidP="00B96B48">
      <w:r w:rsidRPr="00B96B48">
        <w:t xml:space="preserve">Sincerely, </w:t>
      </w:r>
      <w:r w:rsidRPr="00B96B48">
        <w:rPr>
          <w:b/>
          <w:bCs/>
        </w:rPr>
        <w:t>The Authors</w:t>
      </w:r>
    </w:p>
    <w:p w14:paraId="28C3ABA6" w14:textId="77777777" w:rsidR="00425039" w:rsidRDefault="00425039"/>
    <w:sectPr w:rsidR="004250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314D7"/>
    <w:multiLevelType w:val="multilevel"/>
    <w:tmpl w:val="456A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2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4B"/>
    <w:rsid w:val="00425039"/>
    <w:rsid w:val="00542F36"/>
    <w:rsid w:val="007546FC"/>
    <w:rsid w:val="009B1D4B"/>
    <w:rsid w:val="00B96B48"/>
    <w:rsid w:val="00C56F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9E9DC-6A32-4ECF-8FA4-E0CB1A9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D4B"/>
    <w:rPr>
      <w:rFonts w:eastAsiaTheme="majorEastAsia" w:cstheme="majorBidi"/>
      <w:color w:val="272727" w:themeColor="text1" w:themeTint="D8"/>
    </w:rPr>
  </w:style>
  <w:style w:type="paragraph" w:styleId="Title">
    <w:name w:val="Title"/>
    <w:basedOn w:val="Normal"/>
    <w:next w:val="Normal"/>
    <w:link w:val="TitleChar"/>
    <w:uiPriority w:val="10"/>
    <w:qFormat/>
    <w:rsid w:val="009B1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D4B"/>
    <w:pPr>
      <w:spacing w:before="160"/>
      <w:jc w:val="center"/>
    </w:pPr>
    <w:rPr>
      <w:i/>
      <w:iCs/>
      <w:color w:val="404040" w:themeColor="text1" w:themeTint="BF"/>
    </w:rPr>
  </w:style>
  <w:style w:type="character" w:customStyle="1" w:styleId="QuoteChar">
    <w:name w:val="Quote Char"/>
    <w:basedOn w:val="DefaultParagraphFont"/>
    <w:link w:val="Quote"/>
    <w:uiPriority w:val="29"/>
    <w:rsid w:val="009B1D4B"/>
    <w:rPr>
      <w:i/>
      <w:iCs/>
      <w:color w:val="404040" w:themeColor="text1" w:themeTint="BF"/>
    </w:rPr>
  </w:style>
  <w:style w:type="paragraph" w:styleId="ListParagraph">
    <w:name w:val="List Paragraph"/>
    <w:basedOn w:val="Normal"/>
    <w:uiPriority w:val="34"/>
    <w:qFormat/>
    <w:rsid w:val="009B1D4B"/>
    <w:pPr>
      <w:ind w:left="720"/>
      <w:contextualSpacing/>
    </w:pPr>
  </w:style>
  <w:style w:type="character" w:styleId="IntenseEmphasis">
    <w:name w:val="Intense Emphasis"/>
    <w:basedOn w:val="DefaultParagraphFont"/>
    <w:uiPriority w:val="21"/>
    <w:qFormat/>
    <w:rsid w:val="009B1D4B"/>
    <w:rPr>
      <w:i/>
      <w:iCs/>
      <w:color w:val="0F4761" w:themeColor="accent1" w:themeShade="BF"/>
    </w:rPr>
  </w:style>
  <w:style w:type="paragraph" w:styleId="IntenseQuote">
    <w:name w:val="Intense Quote"/>
    <w:basedOn w:val="Normal"/>
    <w:next w:val="Normal"/>
    <w:link w:val="IntenseQuoteChar"/>
    <w:uiPriority w:val="30"/>
    <w:qFormat/>
    <w:rsid w:val="009B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D4B"/>
    <w:rPr>
      <w:i/>
      <w:iCs/>
      <w:color w:val="0F4761" w:themeColor="accent1" w:themeShade="BF"/>
    </w:rPr>
  </w:style>
  <w:style w:type="character" w:styleId="IntenseReference">
    <w:name w:val="Intense Reference"/>
    <w:basedOn w:val="DefaultParagraphFont"/>
    <w:uiPriority w:val="32"/>
    <w:qFormat/>
    <w:rsid w:val="009B1D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Nguyen Dinh Tuan - QNU</dc:creator>
  <cp:keywords/>
  <dc:description/>
  <cp:lastModifiedBy>Pham Nguyen Dinh Tuan - QNU</cp:lastModifiedBy>
  <cp:revision>3</cp:revision>
  <dcterms:created xsi:type="dcterms:W3CDTF">2025-11-21T03:45:00Z</dcterms:created>
  <dcterms:modified xsi:type="dcterms:W3CDTF">2025-11-21T03:45:00Z</dcterms:modified>
</cp:coreProperties>
</file>