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3" w:type="dxa"/>
        <w:jc w:val="center"/>
        <w:tblLook w:val="04A0" w:firstRow="1" w:lastRow="0" w:firstColumn="1" w:lastColumn="0" w:noHBand="0" w:noVBand="1"/>
      </w:tblPr>
      <w:tblGrid>
        <w:gridCol w:w="6004"/>
        <w:gridCol w:w="4269"/>
      </w:tblGrid>
      <w:tr w:rsidR="004574D4" w:rsidRPr="00684CAA" w14:paraId="7FC89CD2" w14:textId="77777777" w:rsidTr="007C708D">
        <w:trPr>
          <w:jc w:val="center"/>
        </w:trPr>
        <w:tc>
          <w:tcPr>
            <w:tcW w:w="6004" w:type="dxa"/>
          </w:tcPr>
          <w:p w14:paraId="31472AC6" w14:textId="77777777" w:rsidR="004574D4" w:rsidRPr="00684CAA" w:rsidRDefault="004574D4" w:rsidP="004574D4">
            <w:pPr>
              <w:jc w:val="center"/>
              <w:rPr>
                <w:b/>
                <w:bCs/>
              </w:rPr>
            </w:pPr>
          </w:p>
        </w:tc>
        <w:tc>
          <w:tcPr>
            <w:tcW w:w="4269" w:type="dxa"/>
          </w:tcPr>
          <w:p w14:paraId="7D88AFAE" w14:textId="6CBEF8BF" w:rsidR="004574D4" w:rsidRPr="00684CAA" w:rsidRDefault="004574D4" w:rsidP="007C708D">
            <w:pPr>
              <w:jc w:val="center"/>
              <w:rPr>
                <w:b/>
                <w:bCs/>
              </w:rPr>
            </w:pPr>
          </w:p>
        </w:tc>
      </w:tr>
    </w:tbl>
    <w:p w14:paraId="009A7B7B" w14:textId="6DC0C37A" w:rsidR="004574D4" w:rsidRPr="00684CAA" w:rsidRDefault="006433EA" w:rsidP="006433EA">
      <w:pPr>
        <w:spacing w:before="120" w:after="120" w:line="312" w:lineRule="auto"/>
        <w:jc w:val="center"/>
        <w:rPr>
          <w:b/>
          <w:bCs/>
          <w:lang w:val="vi-VN"/>
        </w:rPr>
      </w:pPr>
      <w:r w:rsidRPr="00684CAA">
        <w:rPr>
          <w:b/>
          <w:bCs/>
        </w:rPr>
        <w:t>GIẢI</w:t>
      </w:r>
      <w:r w:rsidRPr="00684CAA">
        <w:rPr>
          <w:b/>
          <w:bCs/>
          <w:lang w:val="vi-VN"/>
        </w:rPr>
        <w:t xml:space="preserve"> TRÌNH, BỔ SUNG, CHỈNH SỬA </w:t>
      </w:r>
      <w:r w:rsidR="004574D4" w:rsidRPr="00684CAA">
        <w:rPr>
          <w:b/>
          <w:bCs/>
        </w:rPr>
        <w:t>BÀI BÁO</w:t>
      </w:r>
    </w:p>
    <w:p w14:paraId="0E2F348E" w14:textId="101A7F29" w:rsidR="00FE5484" w:rsidRPr="00684CAA" w:rsidRDefault="00FE5484" w:rsidP="004574D4">
      <w:pPr>
        <w:spacing w:before="120" w:after="120" w:line="312" w:lineRule="auto"/>
        <w:jc w:val="center"/>
        <w:rPr>
          <w:b/>
          <w:bCs/>
        </w:rPr>
      </w:pPr>
      <w:r w:rsidRPr="00684CAA">
        <w:rPr>
          <w:b/>
          <w:bCs/>
        </w:rPr>
        <w:t xml:space="preserve">Tên bài báo </w:t>
      </w:r>
    </w:p>
    <w:p w14:paraId="24DE1C27" w14:textId="60EF2C9F" w:rsidR="008B31FA" w:rsidRPr="0090509F" w:rsidRDefault="008C6A41" w:rsidP="008B31FA">
      <w:pPr>
        <w:jc w:val="center"/>
        <w:rPr>
          <w:rFonts w:ascii="Arial" w:hAnsi="Arial" w:cs="Arial"/>
          <w:b/>
          <w:bCs/>
          <w:color w:val="000000"/>
          <w:sz w:val="32"/>
          <w:szCs w:val="32"/>
        </w:rPr>
      </w:pPr>
      <w:r w:rsidRPr="00123115">
        <w:rPr>
          <w:rFonts w:ascii="Arial" w:hAnsi="Arial" w:cs="Arial"/>
          <w:sz w:val="32"/>
          <w:szCs w:val="32"/>
        </w:rPr>
        <w:t xml:space="preserve">Optimization of </w:t>
      </w:r>
      <w:r>
        <w:rPr>
          <w:rFonts w:ascii="Arial" w:hAnsi="Arial" w:cs="Arial"/>
          <w:sz w:val="32"/>
          <w:szCs w:val="32"/>
        </w:rPr>
        <w:t>c</w:t>
      </w:r>
      <w:r w:rsidRPr="00123115">
        <w:rPr>
          <w:rFonts w:ascii="Arial" w:hAnsi="Arial" w:cs="Arial"/>
          <w:sz w:val="32"/>
          <w:szCs w:val="32"/>
        </w:rPr>
        <w:t xml:space="preserve">ongo red degradation performance on </w:t>
      </w:r>
      <w:r>
        <w:rPr>
          <w:rFonts w:ascii="Arial" w:hAnsi="Arial" w:cs="Arial"/>
          <w:sz w:val="32"/>
          <w:szCs w:val="32"/>
        </w:rPr>
        <w:t>d</w:t>
      </w:r>
      <w:r w:rsidRPr="00123115">
        <w:rPr>
          <w:rFonts w:ascii="Arial" w:hAnsi="Arial" w:cs="Arial"/>
          <w:sz w:val="32"/>
          <w:szCs w:val="32"/>
        </w:rPr>
        <w:t xml:space="preserve">iatomaceous </w:t>
      </w:r>
      <w:r>
        <w:rPr>
          <w:rFonts w:ascii="Arial" w:hAnsi="Arial" w:cs="Arial"/>
          <w:sz w:val="32"/>
          <w:szCs w:val="32"/>
        </w:rPr>
        <w:t>e</w:t>
      </w:r>
      <w:r w:rsidRPr="00123115">
        <w:rPr>
          <w:rFonts w:ascii="Arial" w:hAnsi="Arial" w:cs="Arial"/>
          <w:sz w:val="32"/>
          <w:szCs w:val="32"/>
        </w:rPr>
        <w:t>arth catalyst using Box-Behnken design</w:t>
      </w:r>
    </w:p>
    <w:p w14:paraId="428BED15" w14:textId="77777777" w:rsidR="003213AC" w:rsidRPr="00684CAA" w:rsidRDefault="003213AC" w:rsidP="003213AC">
      <w:pPr>
        <w:autoSpaceDE w:val="0"/>
        <w:autoSpaceDN w:val="0"/>
        <w:adjustRightInd w:val="0"/>
        <w:jc w:val="center"/>
        <w:rPr>
          <w:rFonts w:ascii="Segoe UI Light" w:hAnsi="Segoe UI Light" w:cs="Segoe UI Light"/>
          <w:b/>
        </w:rPr>
      </w:pPr>
    </w:p>
    <w:p w14:paraId="5B330C79" w14:textId="00F098C2" w:rsidR="006433EA" w:rsidRPr="00684CAA" w:rsidRDefault="006433EA" w:rsidP="006433EA">
      <w:pPr>
        <w:spacing w:before="120" w:after="120" w:line="312" w:lineRule="auto"/>
        <w:ind w:firstLine="720"/>
        <w:jc w:val="both"/>
        <w:rPr>
          <w:lang w:val="vi-VN"/>
        </w:rPr>
      </w:pPr>
      <w:r w:rsidRPr="00684CAA">
        <w:rPr>
          <w:lang w:val="vi-VN"/>
        </w:rPr>
        <w:t xml:space="preserve">Căn cứ vào nhận </w:t>
      </w:r>
      <w:r w:rsidR="006A234C" w:rsidRPr="00684CAA">
        <w:rPr>
          <w:lang w:val="vi-VN"/>
        </w:rPr>
        <w:t>xét phản biện</w:t>
      </w:r>
      <w:r w:rsidRPr="00684CAA">
        <w:rPr>
          <w:lang w:val="vi-VN"/>
        </w:rPr>
        <w:t xml:space="preserve">, </w:t>
      </w:r>
      <w:r w:rsidR="008C6A41">
        <w:t xml:space="preserve">nhóm </w:t>
      </w:r>
      <w:r w:rsidRPr="00684CAA">
        <w:rPr>
          <w:lang w:val="vi-VN"/>
        </w:rPr>
        <w:t xml:space="preserve">tác giả xin gửi bản </w:t>
      </w:r>
      <w:r w:rsidRPr="00684CAA">
        <w:t>giải</w:t>
      </w:r>
      <w:r w:rsidRPr="00684CAA">
        <w:rPr>
          <w:lang w:val="vi-VN"/>
        </w:rPr>
        <w:t xml:space="preserve"> trình, bổ sung, chỉnh sửa </w:t>
      </w:r>
      <w:r w:rsidRPr="00684CAA">
        <w:t>bài báo</w:t>
      </w:r>
      <w:r w:rsidRPr="00684CAA">
        <w:rPr>
          <w:lang w:val="vi-VN"/>
        </w:rPr>
        <w:t xml:space="preserve"> như sau:</w:t>
      </w:r>
    </w:p>
    <w:tbl>
      <w:tblPr>
        <w:tblStyle w:val="TableGrid"/>
        <w:tblW w:w="9821" w:type="dxa"/>
        <w:tblLook w:val="04A0" w:firstRow="1" w:lastRow="0" w:firstColumn="1" w:lastColumn="0" w:noHBand="0" w:noVBand="1"/>
      </w:tblPr>
      <w:tblGrid>
        <w:gridCol w:w="537"/>
        <w:gridCol w:w="3682"/>
        <w:gridCol w:w="5602"/>
      </w:tblGrid>
      <w:tr w:rsidR="006433EA" w:rsidRPr="00D55AFA" w14:paraId="0B6C9DB6" w14:textId="77777777" w:rsidTr="008C6A41">
        <w:tc>
          <w:tcPr>
            <w:tcW w:w="537" w:type="dxa"/>
          </w:tcPr>
          <w:p w14:paraId="34782884" w14:textId="196E5A6E" w:rsidR="006433EA" w:rsidRPr="00684CAA" w:rsidRDefault="006433EA" w:rsidP="002759C1">
            <w:pPr>
              <w:jc w:val="center"/>
              <w:rPr>
                <w:b/>
                <w:bCs/>
                <w:lang w:val="vi-VN"/>
              </w:rPr>
            </w:pPr>
            <w:r w:rsidRPr="00684CAA">
              <w:rPr>
                <w:b/>
                <w:bCs/>
                <w:lang w:val="vi-VN"/>
              </w:rPr>
              <w:t>TT</w:t>
            </w:r>
          </w:p>
        </w:tc>
        <w:tc>
          <w:tcPr>
            <w:tcW w:w="3682" w:type="dxa"/>
          </w:tcPr>
          <w:p w14:paraId="0F72F1BF" w14:textId="7079D3FC" w:rsidR="006433EA" w:rsidRPr="00684CAA" w:rsidRDefault="006433EA" w:rsidP="002759C1">
            <w:pPr>
              <w:rPr>
                <w:b/>
                <w:bCs/>
                <w:lang w:val="vi-VN"/>
              </w:rPr>
            </w:pPr>
            <w:r w:rsidRPr="00684CAA">
              <w:rPr>
                <w:b/>
                <w:bCs/>
                <w:lang w:val="vi-VN"/>
              </w:rPr>
              <w:t>Nội dung nhận xét của phản biện</w:t>
            </w:r>
          </w:p>
        </w:tc>
        <w:tc>
          <w:tcPr>
            <w:tcW w:w="5602" w:type="dxa"/>
          </w:tcPr>
          <w:p w14:paraId="00B719FD" w14:textId="628C8CD5" w:rsidR="006433EA" w:rsidRPr="00684CAA" w:rsidRDefault="006433EA" w:rsidP="002759C1">
            <w:pPr>
              <w:rPr>
                <w:b/>
                <w:bCs/>
                <w:lang w:val="vi-VN"/>
              </w:rPr>
            </w:pPr>
            <w:r w:rsidRPr="00684CAA">
              <w:rPr>
                <w:b/>
                <w:bCs/>
                <w:lang w:val="vi-VN"/>
              </w:rPr>
              <w:t>Giải trình, chỉnh sửa, bổ sung của nhóm tác giả</w:t>
            </w:r>
          </w:p>
        </w:tc>
      </w:tr>
      <w:tr w:rsidR="00DE5093" w:rsidRPr="00684CAA" w14:paraId="7279BFB0" w14:textId="77777777" w:rsidTr="008C6A41">
        <w:tc>
          <w:tcPr>
            <w:tcW w:w="537" w:type="dxa"/>
          </w:tcPr>
          <w:p w14:paraId="46DADBFE" w14:textId="77777777" w:rsidR="00DE5093" w:rsidRPr="00684CAA" w:rsidRDefault="00DE5093" w:rsidP="002759C1">
            <w:pPr>
              <w:jc w:val="center"/>
              <w:rPr>
                <w:b/>
                <w:bCs/>
                <w:lang w:val="vi-VN"/>
              </w:rPr>
            </w:pPr>
          </w:p>
        </w:tc>
        <w:tc>
          <w:tcPr>
            <w:tcW w:w="3682" w:type="dxa"/>
          </w:tcPr>
          <w:p w14:paraId="55367657" w14:textId="79AC952E" w:rsidR="00DE5093" w:rsidRPr="00DE5093" w:rsidRDefault="00DE5093" w:rsidP="002759C1">
            <w:pPr>
              <w:rPr>
                <w:b/>
                <w:bCs/>
              </w:rPr>
            </w:pPr>
            <w:r>
              <w:rPr>
                <w:b/>
                <w:bCs/>
              </w:rPr>
              <w:t>Phản biện 1</w:t>
            </w:r>
          </w:p>
        </w:tc>
        <w:tc>
          <w:tcPr>
            <w:tcW w:w="5602" w:type="dxa"/>
          </w:tcPr>
          <w:p w14:paraId="2566C3FE" w14:textId="77777777" w:rsidR="00DE5093" w:rsidRPr="00684CAA" w:rsidRDefault="00DE5093" w:rsidP="002759C1">
            <w:pPr>
              <w:rPr>
                <w:b/>
                <w:bCs/>
                <w:lang w:val="vi-VN"/>
              </w:rPr>
            </w:pPr>
          </w:p>
        </w:tc>
      </w:tr>
      <w:tr w:rsidR="006433EA" w:rsidRPr="00684CAA" w14:paraId="19B5D3C2" w14:textId="77777777" w:rsidTr="008C6A41">
        <w:tc>
          <w:tcPr>
            <w:tcW w:w="537" w:type="dxa"/>
          </w:tcPr>
          <w:p w14:paraId="60EAF555" w14:textId="4339DA1A" w:rsidR="006433EA" w:rsidRPr="00684CAA" w:rsidRDefault="00FF253C" w:rsidP="002759C1">
            <w:pPr>
              <w:jc w:val="center"/>
              <w:rPr>
                <w:bCs/>
              </w:rPr>
            </w:pPr>
            <w:r w:rsidRPr="00684CAA">
              <w:rPr>
                <w:bCs/>
              </w:rPr>
              <w:t>1</w:t>
            </w:r>
          </w:p>
        </w:tc>
        <w:tc>
          <w:tcPr>
            <w:tcW w:w="3682" w:type="dxa"/>
          </w:tcPr>
          <w:p w14:paraId="67D68F77" w14:textId="36BE6ECF" w:rsidR="006433EA" w:rsidRPr="00B214DC" w:rsidRDefault="008C6A41" w:rsidP="002759C1">
            <w:pPr>
              <w:tabs>
                <w:tab w:val="left" w:leader="dot" w:pos="9459"/>
              </w:tabs>
            </w:pPr>
            <w:r>
              <w:t>The decimal point in the Vietnamese abstract needs to be adjusted.</w:t>
            </w:r>
          </w:p>
        </w:tc>
        <w:tc>
          <w:tcPr>
            <w:tcW w:w="5602" w:type="dxa"/>
          </w:tcPr>
          <w:p w14:paraId="30D29549" w14:textId="73357841" w:rsidR="00657E85" w:rsidRPr="00684CAA" w:rsidRDefault="00FC75FE" w:rsidP="002759C1">
            <w:pPr>
              <w:rPr>
                <w:bCs/>
              </w:rPr>
            </w:pPr>
            <w:r w:rsidRPr="00FC75FE">
              <w:rPr>
                <w:bCs/>
              </w:rPr>
              <w:t>Thanks for pointing that out. This has been edited</w:t>
            </w:r>
            <w:r>
              <w:rPr>
                <w:bCs/>
              </w:rPr>
              <w:t>.</w:t>
            </w:r>
          </w:p>
        </w:tc>
      </w:tr>
      <w:tr w:rsidR="006433EA" w:rsidRPr="00684CAA" w14:paraId="348804AD" w14:textId="77777777" w:rsidTr="008C6A41">
        <w:tc>
          <w:tcPr>
            <w:tcW w:w="537" w:type="dxa"/>
          </w:tcPr>
          <w:p w14:paraId="6F8982D4" w14:textId="1AE480E3" w:rsidR="006433EA" w:rsidRPr="00684CAA" w:rsidRDefault="00630795" w:rsidP="002759C1">
            <w:pPr>
              <w:jc w:val="center"/>
              <w:rPr>
                <w:bCs/>
              </w:rPr>
            </w:pPr>
            <w:r w:rsidRPr="00684CAA">
              <w:rPr>
                <w:bCs/>
              </w:rPr>
              <w:t>2</w:t>
            </w:r>
          </w:p>
        </w:tc>
        <w:tc>
          <w:tcPr>
            <w:tcW w:w="3682" w:type="dxa"/>
          </w:tcPr>
          <w:p w14:paraId="23B9B865" w14:textId="3FFF5A2C" w:rsidR="00543635" w:rsidRPr="00DE5093" w:rsidRDefault="008C6A41" w:rsidP="002759C1">
            <w:r>
              <w:t>The comparison of results with previous studies needs to be supplemented, and additional references added.</w:t>
            </w:r>
          </w:p>
        </w:tc>
        <w:tc>
          <w:tcPr>
            <w:tcW w:w="5602" w:type="dxa"/>
          </w:tcPr>
          <w:p w14:paraId="096CF88E" w14:textId="394217BC" w:rsidR="00B664F9" w:rsidRPr="00F22F56" w:rsidRDefault="008D4240" w:rsidP="002759C1">
            <w:pPr>
              <w:rPr>
                <w:bCs/>
              </w:rPr>
            </w:pPr>
            <w:r w:rsidRPr="00F22F56">
              <w:t xml:space="preserve">A comparison table of CR degradation performance of some catalysts added to revised MS (Table </w:t>
            </w:r>
            <w:r w:rsidR="00A47EAA" w:rsidRPr="00F22F56">
              <w:t>4</w:t>
            </w:r>
            <w:r w:rsidR="00D50AA4">
              <w:t>, page 8</w:t>
            </w:r>
            <w:r w:rsidRPr="00F22F56">
              <w:t>).</w:t>
            </w:r>
          </w:p>
        </w:tc>
      </w:tr>
      <w:tr w:rsidR="006433EA" w:rsidRPr="00684CAA" w14:paraId="28ADF3FC" w14:textId="77777777" w:rsidTr="008C6A41">
        <w:tc>
          <w:tcPr>
            <w:tcW w:w="537" w:type="dxa"/>
          </w:tcPr>
          <w:p w14:paraId="61283750" w14:textId="4E5A2A35" w:rsidR="006433EA" w:rsidRPr="00684CAA" w:rsidRDefault="00684CAA" w:rsidP="002759C1">
            <w:pPr>
              <w:jc w:val="center"/>
              <w:rPr>
                <w:bCs/>
              </w:rPr>
            </w:pPr>
            <w:r>
              <w:rPr>
                <w:bCs/>
              </w:rPr>
              <w:t>3</w:t>
            </w:r>
          </w:p>
        </w:tc>
        <w:tc>
          <w:tcPr>
            <w:tcW w:w="3682" w:type="dxa"/>
          </w:tcPr>
          <w:p w14:paraId="08808F14" w14:textId="5CA3C340" w:rsidR="006433EA" w:rsidRPr="00DE5093" w:rsidRDefault="008C6A41" w:rsidP="002759C1">
            <w:pPr>
              <w:tabs>
                <w:tab w:val="left" w:leader="dot" w:pos="9459"/>
              </w:tabs>
            </w:pPr>
            <w:r>
              <w:t>The novelty of the research needs to be presented more clearly.</w:t>
            </w:r>
          </w:p>
        </w:tc>
        <w:tc>
          <w:tcPr>
            <w:tcW w:w="5602" w:type="dxa"/>
          </w:tcPr>
          <w:p w14:paraId="5EDEE96D" w14:textId="69856B8E" w:rsidR="00850FFB" w:rsidRPr="00353EAB" w:rsidRDefault="00D709AF" w:rsidP="002759C1">
            <w:pPr>
              <w:rPr>
                <w:bCs/>
              </w:rPr>
            </w:pPr>
            <w:r w:rsidRPr="00353EAB">
              <w:rPr>
                <w:bCs/>
              </w:rPr>
              <w:t>Thank you for bringing that to our attention. The novelty of this work was added and highlighted in red in the revised MS (</w:t>
            </w:r>
            <w:r w:rsidR="00D50AA4" w:rsidRPr="00FC75FE">
              <w:rPr>
                <w:bCs/>
              </w:rPr>
              <w:t>highlighted in red</w:t>
            </w:r>
            <w:r w:rsidR="00D50AA4">
              <w:rPr>
                <w:bCs/>
              </w:rPr>
              <w:t xml:space="preserve">, </w:t>
            </w:r>
            <w:r w:rsidRPr="00353EAB">
              <w:rPr>
                <w:bCs/>
              </w:rPr>
              <w:t>page 3)</w:t>
            </w:r>
          </w:p>
        </w:tc>
      </w:tr>
      <w:tr w:rsidR="008B31FA" w:rsidRPr="00684CAA" w14:paraId="769ED8C3" w14:textId="77777777" w:rsidTr="008C6A41">
        <w:tc>
          <w:tcPr>
            <w:tcW w:w="537" w:type="dxa"/>
          </w:tcPr>
          <w:p w14:paraId="672BC425" w14:textId="77777777" w:rsidR="008B31FA" w:rsidRDefault="008B31FA" w:rsidP="002759C1">
            <w:pPr>
              <w:jc w:val="center"/>
              <w:rPr>
                <w:bCs/>
              </w:rPr>
            </w:pPr>
          </w:p>
        </w:tc>
        <w:tc>
          <w:tcPr>
            <w:tcW w:w="3682" w:type="dxa"/>
          </w:tcPr>
          <w:p w14:paraId="1510BB4D" w14:textId="2EF39E45" w:rsidR="008B31FA" w:rsidRPr="008B31FA" w:rsidRDefault="008B31FA" w:rsidP="002759C1">
            <w:pPr>
              <w:rPr>
                <w:b/>
              </w:rPr>
            </w:pPr>
            <w:r w:rsidRPr="008B31FA">
              <w:rPr>
                <w:b/>
              </w:rPr>
              <w:t>P</w:t>
            </w:r>
            <w:r w:rsidR="008C6A41">
              <w:rPr>
                <w:b/>
              </w:rPr>
              <w:t xml:space="preserve">hản biện </w:t>
            </w:r>
            <w:r w:rsidRPr="008B31FA">
              <w:rPr>
                <w:b/>
              </w:rPr>
              <w:t>2</w:t>
            </w:r>
          </w:p>
        </w:tc>
        <w:tc>
          <w:tcPr>
            <w:tcW w:w="5602" w:type="dxa"/>
          </w:tcPr>
          <w:p w14:paraId="3DEE361D" w14:textId="77777777" w:rsidR="008B31FA" w:rsidRPr="00353EAB" w:rsidRDefault="008B31FA" w:rsidP="002759C1">
            <w:pPr>
              <w:rPr>
                <w:bCs/>
              </w:rPr>
            </w:pPr>
          </w:p>
        </w:tc>
      </w:tr>
      <w:tr w:rsidR="00081C5F" w:rsidRPr="00684CAA" w14:paraId="3DC0109B" w14:textId="77777777" w:rsidTr="008C6A41">
        <w:tc>
          <w:tcPr>
            <w:tcW w:w="537" w:type="dxa"/>
          </w:tcPr>
          <w:p w14:paraId="6306D9BC" w14:textId="6A9B23ED" w:rsidR="00081C5F" w:rsidRDefault="008B31FA" w:rsidP="002759C1">
            <w:pPr>
              <w:jc w:val="center"/>
              <w:rPr>
                <w:bCs/>
              </w:rPr>
            </w:pPr>
            <w:r>
              <w:rPr>
                <w:bCs/>
              </w:rPr>
              <w:t>1</w:t>
            </w:r>
          </w:p>
        </w:tc>
        <w:tc>
          <w:tcPr>
            <w:tcW w:w="3682" w:type="dxa"/>
          </w:tcPr>
          <w:p w14:paraId="18DBDC56" w14:textId="705B2A13" w:rsidR="00081C5F" w:rsidRDefault="008C6A41" w:rsidP="002759C1">
            <w:r>
              <w:t>Ensured acronyms (COD, CR, RSM,…) are expanded only at first mention.</w:t>
            </w:r>
          </w:p>
        </w:tc>
        <w:tc>
          <w:tcPr>
            <w:tcW w:w="5602" w:type="dxa"/>
          </w:tcPr>
          <w:p w14:paraId="45A09D51" w14:textId="659C92A5" w:rsidR="00015E7F" w:rsidRPr="00353EAB" w:rsidRDefault="00FC75FE" w:rsidP="002759C1">
            <w:pPr>
              <w:rPr>
                <w:bCs/>
              </w:rPr>
            </w:pPr>
            <w:r w:rsidRPr="00353EAB">
              <w:rPr>
                <w:bCs/>
              </w:rPr>
              <w:t>Done.</w:t>
            </w:r>
          </w:p>
        </w:tc>
      </w:tr>
      <w:tr w:rsidR="00081C5F" w:rsidRPr="00684CAA" w14:paraId="69B5F512" w14:textId="77777777" w:rsidTr="008C6A41">
        <w:tc>
          <w:tcPr>
            <w:tcW w:w="537" w:type="dxa"/>
          </w:tcPr>
          <w:p w14:paraId="29DBDA60" w14:textId="47D1A262" w:rsidR="00081C5F" w:rsidRDefault="008B31FA" w:rsidP="002759C1">
            <w:pPr>
              <w:jc w:val="center"/>
              <w:rPr>
                <w:bCs/>
              </w:rPr>
            </w:pPr>
            <w:r>
              <w:rPr>
                <w:bCs/>
              </w:rPr>
              <w:t>2</w:t>
            </w:r>
          </w:p>
        </w:tc>
        <w:tc>
          <w:tcPr>
            <w:tcW w:w="3682" w:type="dxa"/>
          </w:tcPr>
          <w:p w14:paraId="725550E4" w14:textId="48FB0FBB" w:rsidR="00081C5F" w:rsidRDefault="008C6A41" w:rsidP="002759C1">
            <w:r>
              <w:t>In section “introduction”, the authors should remove the paragraph “CR is known to be a highly toxic secondary diazo dye, with very small amounts of CR in the environment also being carcinogenic and mutagenic to aquatic organisms due to the conversion of CR to benzidine” to the first paragraph “Dye are commonly used to color goods in many….creating secondary waste”. Besides, the Box-Behnken design should be mentioned.</w:t>
            </w:r>
          </w:p>
        </w:tc>
        <w:tc>
          <w:tcPr>
            <w:tcW w:w="5602" w:type="dxa"/>
          </w:tcPr>
          <w:p w14:paraId="60F72538" w14:textId="533A5E68" w:rsidR="004C0B5C" w:rsidRPr="00353EAB" w:rsidRDefault="00791C97" w:rsidP="002759C1">
            <w:r w:rsidRPr="00353EAB">
              <w:t>Thank you for your suggestion. These paragraphs have been moved.</w:t>
            </w:r>
          </w:p>
          <w:p w14:paraId="4E0D27A0" w14:textId="65533A04" w:rsidR="00353EAB" w:rsidRPr="00353EAB" w:rsidRDefault="00353EAB" w:rsidP="002759C1">
            <w:pPr>
              <w:rPr>
                <w:bCs/>
              </w:rPr>
            </w:pPr>
            <w:r w:rsidRPr="00353EAB">
              <w:rPr>
                <w:bCs/>
              </w:rPr>
              <w:t xml:space="preserve">Response surface methodology and </w:t>
            </w:r>
            <w:r w:rsidRPr="00353EAB">
              <w:t>Box-Behnken</w:t>
            </w:r>
            <w:r w:rsidRPr="00353EAB">
              <w:rPr>
                <w:bCs/>
              </w:rPr>
              <w:t xml:space="preserve"> experimental design are further presented in the "Introduction" section</w:t>
            </w:r>
            <w:r>
              <w:rPr>
                <w:bCs/>
              </w:rPr>
              <w:t xml:space="preserve"> (</w:t>
            </w:r>
            <w:r w:rsidR="003347D8" w:rsidRPr="00FC75FE">
              <w:rPr>
                <w:bCs/>
              </w:rPr>
              <w:t>highlighted in red</w:t>
            </w:r>
            <w:r w:rsidR="003347D8">
              <w:rPr>
                <w:bCs/>
              </w:rPr>
              <w:t xml:space="preserve">, </w:t>
            </w:r>
            <w:r>
              <w:rPr>
                <w:bCs/>
              </w:rPr>
              <w:t>page 3)</w:t>
            </w:r>
          </w:p>
        </w:tc>
      </w:tr>
      <w:tr w:rsidR="00081C5F" w:rsidRPr="00684CAA" w14:paraId="2EAB7966" w14:textId="77777777" w:rsidTr="008C6A41">
        <w:tc>
          <w:tcPr>
            <w:tcW w:w="537" w:type="dxa"/>
          </w:tcPr>
          <w:p w14:paraId="384A63EA" w14:textId="722A249C" w:rsidR="00081C5F" w:rsidRDefault="008B31FA" w:rsidP="002759C1">
            <w:pPr>
              <w:jc w:val="center"/>
              <w:rPr>
                <w:bCs/>
              </w:rPr>
            </w:pPr>
            <w:r>
              <w:rPr>
                <w:bCs/>
              </w:rPr>
              <w:t>3</w:t>
            </w:r>
          </w:p>
        </w:tc>
        <w:tc>
          <w:tcPr>
            <w:tcW w:w="3682" w:type="dxa"/>
          </w:tcPr>
          <w:p w14:paraId="18E7CBD2" w14:textId="282EB06A" w:rsidR="00081C5F" w:rsidRDefault="008C6A41" w:rsidP="002759C1">
            <w:r>
              <w:t>Mechanistic explanation clarified to confirm radical involvement when using DE as a heterogeneous catalyst.</w:t>
            </w:r>
          </w:p>
        </w:tc>
        <w:tc>
          <w:tcPr>
            <w:tcW w:w="5602" w:type="dxa"/>
          </w:tcPr>
          <w:p w14:paraId="0F82F987" w14:textId="6907390C" w:rsidR="00081C5F" w:rsidRPr="00B26178" w:rsidRDefault="00C254CE" w:rsidP="002759C1">
            <w:pPr>
              <w:rPr>
                <w:bCs/>
                <w:color w:val="FF0000"/>
              </w:rPr>
            </w:pPr>
            <w:r w:rsidRPr="003220A8">
              <w:rPr>
                <w:shd w:val="clear" w:color="auto" w:fill="FFFFFF"/>
              </w:rPr>
              <w:t xml:space="preserve">Thanks for pointing this out. </w:t>
            </w:r>
            <w:r w:rsidRPr="00C254CE">
              <w:rPr>
                <w:shd w:val="clear" w:color="auto" w:fill="FFFFFF"/>
              </w:rPr>
              <w:t>To propose a heterogeneous catalytic mechanism, it is necessary to determine the oxidation state of the metals on DE. The active free radical species generated in the reaction system also need to be determined.</w:t>
            </w:r>
            <w:r>
              <w:rPr>
                <w:shd w:val="clear" w:color="auto" w:fill="FFFFFF"/>
              </w:rPr>
              <w:t xml:space="preserve"> </w:t>
            </w:r>
            <w:r w:rsidRPr="00C254CE">
              <w:rPr>
                <w:shd w:val="clear" w:color="auto" w:fill="FFFFFF"/>
              </w:rPr>
              <w:t>Due to limited research conditions, this issue will be considered for future research.</w:t>
            </w:r>
          </w:p>
        </w:tc>
      </w:tr>
      <w:tr w:rsidR="00DE5093" w:rsidRPr="00684CAA" w14:paraId="4E39E605" w14:textId="77777777" w:rsidTr="008C6A41">
        <w:tc>
          <w:tcPr>
            <w:tcW w:w="537" w:type="dxa"/>
          </w:tcPr>
          <w:p w14:paraId="2C816D40" w14:textId="32B486A1" w:rsidR="00DE5093" w:rsidRDefault="008B31FA" w:rsidP="002759C1">
            <w:pPr>
              <w:jc w:val="center"/>
              <w:rPr>
                <w:bCs/>
              </w:rPr>
            </w:pPr>
            <w:r>
              <w:rPr>
                <w:bCs/>
              </w:rPr>
              <w:t>4</w:t>
            </w:r>
          </w:p>
        </w:tc>
        <w:tc>
          <w:tcPr>
            <w:tcW w:w="3682" w:type="dxa"/>
          </w:tcPr>
          <w:p w14:paraId="7C48FAF3" w14:textId="1D21A3EE" w:rsidR="00DE5093" w:rsidRPr="00DE5093" w:rsidRDefault="008C6A41" w:rsidP="002759C1">
            <w:pPr>
              <w:tabs>
                <w:tab w:val="left" w:leader="dot" w:pos="9459"/>
              </w:tabs>
            </w:pPr>
            <w:r>
              <w:t xml:space="preserve">In section 2.3, why did authors choose three process factors on the degradation efficiency of CR by H2O2 on DE catalyst (under the </w:t>
            </w:r>
            <w:r>
              <w:lastRenderedPageBreak/>
              <w:t>conditions: DE 1.2 g/L and H2O2 6.5 g/L)?</w:t>
            </w:r>
          </w:p>
        </w:tc>
        <w:tc>
          <w:tcPr>
            <w:tcW w:w="5602" w:type="dxa"/>
          </w:tcPr>
          <w:p w14:paraId="454C055F" w14:textId="77777777" w:rsidR="00D14F30" w:rsidRDefault="00E05359" w:rsidP="00E05359">
            <w:pPr>
              <w:pStyle w:val="EndNoteBibliography"/>
              <w:spacing w:after="0"/>
              <w:ind w:left="33"/>
              <w:jc w:val="left"/>
              <w:rPr>
                <w:rFonts w:ascii="Times New Roman" w:hAnsi="Times New Roman" w:cs="Times New Roman"/>
                <w:bCs/>
              </w:rPr>
            </w:pPr>
            <w:r w:rsidRPr="00E05359">
              <w:rPr>
                <w:rFonts w:ascii="Times New Roman" w:hAnsi="Times New Roman" w:cs="Times New Roman"/>
                <w:bCs/>
              </w:rPr>
              <w:lastRenderedPageBreak/>
              <w:t xml:space="preserve">According to Box-Behnken design, if we examine 3 factors, the number of experiments needed is 15. If we increase the number of factors to be examined, the number of experiments will increase significantly, for example, if we </w:t>
            </w:r>
            <w:r w:rsidRPr="00E05359">
              <w:rPr>
                <w:rFonts w:ascii="Times New Roman" w:hAnsi="Times New Roman" w:cs="Times New Roman"/>
                <w:bCs/>
              </w:rPr>
              <w:lastRenderedPageBreak/>
              <w:t>examine 4 factors, the number of experiments needed is 25. Due to limited experimental time, we chose a 3-factor design for evaluation.</w:t>
            </w:r>
          </w:p>
          <w:p w14:paraId="24899FA3" w14:textId="3107403A" w:rsidR="00B215B6" w:rsidRDefault="00B215B6" w:rsidP="00F1770D">
            <w:pPr>
              <w:pStyle w:val="EndNoteBibliography"/>
              <w:spacing w:after="0"/>
              <w:ind w:left="33"/>
              <w:jc w:val="left"/>
              <w:rPr>
                <w:rFonts w:ascii="Times New Roman" w:hAnsi="Times New Roman" w:cs="Times New Roman"/>
                <w:bCs/>
              </w:rPr>
            </w:pPr>
            <w:r w:rsidRPr="00B215B6">
              <w:rPr>
                <w:rFonts w:ascii="Times New Roman" w:hAnsi="Times New Roman" w:cs="Times New Roman"/>
                <w:bCs/>
              </w:rPr>
              <w:t>The catalytic efficiency of Fenton-type processes often depends on many factors such as solution pH, catalyst dosage, excess H</w:t>
            </w:r>
            <w:r w:rsidRPr="00480774">
              <w:rPr>
                <w:rFonts w:ascii="Times New Roman" w:hAnsi="Times New Roman" w:cs="Times New Roman"/>
                <w:bCs/>
                <w:vertAlign w:val="subscript"/>
              </w:rPr>
              <w:t>2</w:t>
            </w:r>
            <w:r w:rsidRPr="00B215B6">
              <w:rPr>
                <w:rFonts w:ascii="Times New Roman" w:hAnsi="Times New Roman" w:cs="Times New Roman"/>
                <w:bCs/>
              </w:rPr>
              <w:t>O</w:t>
            </w:r>
            <w:r w:rsidRPr="00480774">
              <w:rPr>
                <w:rFonts w:ascii="Times New Roman" w:hAnsi="Times New Roman" w:cs="Times New Roman"/>
                <w:bCs/>
                <w:vertAlign w:val="subscript"/>
              </w:rPr>
              <w:t>2</w:t>
            </w:r>
            <w:r w:rsidRPr="00B215B6">
              <w:rPr>
                <w:rFonts w:ascii="Times New Roman" w:hAnsi="Times New Roman" w:cs="Times New Roman"/>
                <w:bCs/>
              </w:rPr>
              <w:t>, temperature, reactant concentration, reaction time, etc.</w:t>
            </w:r>
            <w:r w:rsidR="00480774">
              <w:rPr>
                <w:rFonts w:ascii="Times New Roman" w:hAnsi="Times New Roman" w:cs="Times New Roman"/>
                <w:bCs/>
              </w:rPr>
              <w:t xml:space="preserve"> </w:t>
            </w:r>
            <w:r w:rsidR="00480774" w:rsidRPr="00480774">
              <w:rPr>
                <w:rFonts w:ascii="Times New Roman" w:hAnsi="Times New Roman" w:cs="Times New Roman"/>
                <w:bCs/>
              </w:rPr>
              <w:t>Based on the initial investigations, it was found that the CR decomposition process on DE catalyst is less dependent on pH, and the solution pH of 6 was selected. To limit the number of factors in the experimental design, the excess H</w:t>
            </w:r>
            <w:r w:rsidR="00480774" w:rsidRPr="00480774">
              <w:rPr>
                <w:rFonts w:ascii="Times New Roman" w:hAnsi="Times New Roman" w:cs="Times New Roman"/>
                <w:bCs/>
                <w:vertAlign w:val="subscript"/>
              </w:rPr>
              <w:t>2</w:t>
            </w:r>
            <w:r w:rsidR="00480774" w:rsidRPr="00480774">
              <w:rPr>
                <w:rFonts w:ascii="Times New Roman" w:hAnsi="Times New Roman" w:cs="Times New Roman"/>
                <w:bCs/>
              </w:rPr>
              <w:t>O</w:t>
            </w:r>
            <w:r w:rsidR="00480774" w:rsidRPr="00480774">
              <w:rPr>
                <w:rFonts w:ascii="Times New Roman" w:hAnsi="Times New Roman" w:cs="Times New Roman"/>
                <w:bCs/>
                <w:vertAlign w:val="subscript"/>
              </w:rPr>
              <w:t>2</w:t>
            </w:r>
            <w:r w:rsidR="00480774" w:rsidRPr="00480774">
              <w:rPr>
                <w:rFonts w:ascii="Times New Roman" w:hAnsi="Times New Roman" w:cs="Times New Roman"/>
                <w:bCs/>
              </w:rPr>
              <w:t xml:space="preserve"> concentration (6.5 g/L) was chosen so as not to affect the reaction rate. The dosage of DE catalyst was also fixed based on some initial investigations so that the CR decomposition efficiency was sufficiently large.</w:t>
            </w:r>
          </w:p>
          <w:p w14:paraId="16D04027" w14:textId="7E37BF97" w:rsidR="00E05359" w:rsidRPr="00E05359" w:rsidRDefault="008C0212" w:rsidP="00F1770D">
            <w:pPr>
              <w:pStyle w:val="EndNoteBibliography"/>
              <w:spacing w:after="0"/>
              <w:ind w:left="33"/>
              <w:jc w:val="left"/>
              <w:rPr>
                <w:rFonts w:ascii="Times New Roman" w:hAnsi="Times New Roman" w:cs="Times New Roman"/>
                <w:bCs/>
              </w:rPr>
            </w:pPr>
            <w:r w:rsidRPr="008C0212">
              <w:rPr>
                <w:rFonts w:ascii="Times New Roman" w:hAnsi="Times New Roman" w:cs="Times New Roman"/>
                <w:bCs/>
              </w:rPr>
              <w:t>Therefore, these factors were fixed, and the Box-Behnken design was performed according to the other 3 factors, including CR concentration, temperature and reaction time.</w:t>
            </w:r>
          </w:p>
        </w:tc>
      </w:tr>
      <w:tr w:rsidR="00DE5093" w:rsidRPr="00684CAA" w14:paraId="08477718" w14:textId="77777777" w:rsidTr="008C6A41">
        <w:tc>
          <w:tcPr>
            <w:tcW w:w="537" w:type="dxa"/>
          </w:tcPr>
          <w:p w14:paraId="09630B43" w14:textId="5103579C" w:rsidR="00DE5093" w:rsidRDefault="008B31FA" w:rsidP="002759C1">
            <w:pPr>
              <w:jc w:val="center"/>
              <w:rPr>
                <w:bCs/>
              </w:rPr>
            </w:pPr>
            <w:r>
              <w:rPr>
                <w:bCs/>
              </w:rPr>
              <w:lastRenderedPageBreak/>
              <w:t>5</w:t>
            </w:r>
          </w:p>
        </w:tc>
        <w:tc>
          <w:tcPr>
            <w:tcW w:w="3682" w:type="dxa"/>
          </w:tcPr>
          <w:p w14:paraId="37B3B3D3" w14:textId="2117EDB1" w:rsidR="00DE5093" w:rsidRPr="006365E6" w:rsidRDefault="008C6A41" w:rsidP="002759C1">
            <w:pPr>
              <w:tabs>
                <w:tab w:val="left" w:leader="dot" w:pos="9459"/>
              </w:tabs>
            </w:pPr>
            <w:r>
              <w:t>Did the authors try to reuse DE after  handling CR? If so, please include the results in the manuscript.</w:t>
            </w:r>
          </w:p>
        </w:tc>
        <w:tc>
          <w:tcPr>
            <w:tcW w:w="5602" w:type="dxa"/>
          </w:tcPr>
          <w:p w14:paraId="04067F1F" w14:textId="0E64BF84" w:rsidR="00926376" w:rsidRPr="003347D8" w:rsidRDefault="00F22F56" w:rsidP="00F22F56">
            <w:pPr>
              <w:pStyle w:val="EndNoteBibliography"/>
              <w:spacing w:after="0"/>
              <w:ind w:left="33"/>
              <w:rPr>
                <w:rFonts w:ascii="Times New Roman" w:hAnsi="Times New Roman" w:cs="Times New Roman"/>
                <w:bCs/>
                <w:sz w:val="24"/>
                <w:szCs w:val="24"/>
              </w:rPr>
            </w:pPr>
            <w:r w:rsidRPr="003347D8">
              <w:rPr>
                <w:rFonts w:ascii="Times New Roman" w:hAnsi="Times New Roman" w:cs="Times New Roman"/>
                <w:bCs/>
                <w:sz w:val="24"/>
                <w:szCs w:val="24"/>
              </w:rPr>
              <w:t xml:space="preserve">The recyclability of DE catalyst was additionally investigated and added </w:t>
            </w:r>
            <w:r w:rsidRPr="003347D8">
              <w:rPr>
                <w:rFonts w:ascii="Times New Roman" w:hAnsi="Times New Roman" w:cs="Times New Roman"/>
                <w:sz w:val="24"/>
                <w:szCs w:val="24"/>
              </w:rPr>
              <w:t>to revised MS</w:t>
            </w:r>
            <w:r w:rsidRPr="003347D8">
              <w:rPr>
                <w:rFonts w:ascii="Times New Roman" w:hAnsi="Times New Roman" w:cs="Times New Roman"/>
                <w:bCs/>
                <w:sz w:val="24"/>
                <w:szCs w:val="24"/>
              </w:rPr>
              <w:t xml:space="preserve"> (Fig. 6)</w:t>
            </w:r>
            <w:r w:rsidR="003347D8" w:rsidRPr="003347D8">
              <w:rPr>
                <w:rFonts w:ascii="Times New Roman" w:hAnsi="Times New Roman" w:cs="Times New Roman"/>
                <w:bCs/>
                <w:sz w:val="24"/>
                <w:szCs w:val="24"/>
              </w:rPr>
              <w:t xml:space="preserve"> (highlighted in red)</w:t>
            </w:r>
            <w:r w:rsidR="003347D8">
              <w:rPr>
                <w:rFonts w:ascii="Times New Roman" w:hAnsi="Times New Roman" w:cs="Times New Roman"/>
                <w:bCs/>
                <w:sz w:val="24"/>
                <w:szCs w:val="24"/>
              </w:rPr>
              <w:t>.</w:t>
            </w:r>
          </w:p>
        </w:tc>
      </w:tr>
    </w:tbl>
    <w:p w14:paraId="0F1A3BEC" w14:textId="5072722C" w:rsidR="006433EA" w:rsidRPr="00684CAA" w:rsidRDefault="006433EA" w:rsidP="007C708D">
      <w:pPr>
        <w:spacing w:before="120"/>
        <w:ind w:left="720"/>
        <w:rPr>
          <w:b/>
          <w:bCs/>
          <w:lang w:val="vi-VN"/>
        </w:rPr>
      </w:pPr>
    </w:p>
    <w:p w14:paraId="1D983E76" w14:textId="20FDE9D5" w:rsidR="004574D4" w:rsidRPr="008C6A41" w:rsidRDefault="004574D4" w:rsidP="007C708D">
      <w:pPr>
        <w:spacing w:before="120"/>
        <w:ind w:left="720"/>
        <w:rPr>
          <w:iCs/>
          <w:lang w:val="vi-VN"/>
        </w:rPr>
      </w:pPr>
      <w:r w:rsidRPr="008C6A41">
        <w:rPr>
          <w:iCs/>
          <w:lang w:val="vi-VN"/>
        </w:rPr>
        <w:t>Xin trân trọng cảm ơn!</w:t>
      </w:r>
    </w:p>
    <w:p w14:paraId="74A0EE56" w14:textId="0F260F0D" w:rsidR="004574D4" w:rsidRPr="008C6A41" w:rsidRDefault="004574D4" w:rsidP="004574D4">
      <w:pPr>
        <w:spacing w:before="120"/>
        <w:ind w:left="3261" w:firstLine="720"/>
        <w:rPr>
          <w:lang w:val="vi-VN"/>
        </w:rPr>
      </w:pPr>
      <w:r w:rsidRPr="008C6A41">
        <w:rPr>
          <w:lang w:val="vi-VN"/>
        </w:rPr>
        <w:t xml:space="preserve">              </w:t>
      </w:r>
      <w:r w:rsidR="006433EA" w:rsidRPr="00684CAA">
        <w:rPr>
          <w:lang w:val="vi-VN"/>
        </w:rPr>
        <w:t xml:space="preserve">        </w:t>
      </w:r>
      <w:r w:rsidRPr="008C6A41">
        <w:rPr>
          <w:lang w:val="vi-VN"/>
        </w:rPr>
        <w:t xml:space="preserve"> </w:t>
      </w:r>
      <w:r w:rsidR="006433EA" w:rsidRPr="00684CAA">
        <w:rPr>
          <w:lang w:val="vi-VN"/>
        </w:rPr>
        <w:t>N</w:t>
      </w:r>
      <w:r w:rsidR="00665009" w:rsidRPr="008C6A41">
        <w:rPr>
          <w:lang w:val="vi-VN"/>
        </w:rPr>
        <w:t xml:space="preserve">gày </w:t>
      </w:r>
      <w:r w:rsidR="008C6A41" w:rsidRPr="008C6A41">
        <w:rPr>
          <w:lang w:val="vi-VN"/>
        </w:rPr>
        <w:t>0</w:t>
      </w:r>
      <w:r w:rsidR="00D55AFA">
        <w:t>2</w:t>
      </w:r>
      <w:r w:rsidRPr="008C6A41">
        <w:rPr>
          <w:lang w:val="vi-VN"/>
        </w:rPr>
        <w:t xml:space="preserve"> tháng</w:t>
      </w:r>
      <w:r w:rsidR="00044FEB" w:rsidRPr="008C6A41">
        <w:rPr>
          <w:lang w:val="vi-VN"/>
        </w:rPr>
        <w:t xml:space="preserve"> </w:t>
      </w:r>
      <w:r w:rsidR="008C6A41" w:rsidRPr="008C6A41">
        <w:rPr>
          <w:lang w:val="vi-VN"/>
        </w:rPr>
        <w:t>11</w:t>
      </w:r>
      <w:r w:rsidR="003D78B5" w:rsidRPr="008C6A41">
        <w:rPr>
          <w:lang w:val="vi-VN"/>
        </w:rPr>
        <w:t xml:space="preserve"> </w:t>
      </w:r>
      <w:r w:rsidRPr="008C6A41">
        <w:rPr>
          <w:lang w:val="vi-VN"/>
        </w:rPr>
        <w:t xml:space="preserve"> năm 20</w:t>
      </w:r>
      <w:r w:rsidR="00B00257" w:rsidRPr="008C6A41">
        <w:rPr>
          <w:lang w:val="vi-VN"/>
        </w:rPr>
        <w:t>2</w:t>
      </w:r>
      <w:r w:rsidR="00E6393E" w:rsidRPr="008C6A41">
        <w:rPr>
          <w:lang w:val="vi-VN"/>
        </w:rPr>
        <w:t>5</w:t>
      </w:r>
    </w:p>
    <w:p w14:paraId="25C9D3E2" w14:textId="06654EEA" w:rsidR="008C4F43" w:rsidRPr="00684CAA" w:rsidRDefault="004574D4" w:rsidP="00690016">
      <w:pPr>
        <w:spacing w:before="120"/>
        <w:ind w:left="2880" w:firstLine="720"/>
        <w:rPr>
          <w:b/>
          <w:bCs/>
          <w:lang w:val="vi-VN"/>
        </w:rPr>
      </w:pPr>
      <w:r w:rsidRPr="008C6A41">
        <w:rPr>
          <w:b/>
          <w:bCs/>
          <w:lang w:val="vi-VN"/>
        </w:rPr>
        <w:t xml:space="preserve">                                </w:t>
      </w:r>
      <w:r w:rsidR="006433EA" w:rsidRPr="00684CAA">
        <w:rPr>
          <w:b/>
          <w:bCs/>
          <w:lang w:val="vi-VN"/>
        </w:rPr>
        <w:t>NHÓM TÁC GIẢ</w:t>
      </w:r>
    </w:p>
    <w:p w14:paraId="6C29697E" w14:textId="0BC102EF" w:rsidR="00DE69EA" w:rsidRPr="008C6A41" w:rsidRDefault="00DE69EA" w:rsidP="00690016">
      <w:pPr>
        <w:spacing w:before="120"/>
        <w:ind w:left="2880" w:firstLine="720"/>
        <w:rPr>
          <w:b/>
          <w:bCs/>
          <w:lang w:val="vi-VN"/>
        </w:rPr>
      </w:pPr>
    </w:p>
    <w:sectPr w:rsidR="00DE69EA" w:rsidRPr="008C6A41" w:rsidSect="007C708D">
      <w:footerReference w:type="even" r:id="rId8"/>
      <w:pgSz w:w="11909" w:h="16834" w:code="9"/>
      <w:pgMar w:top="1008" w:right="1008" w:bottom="1008"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F6EC" w14:textId="77777777" w:rsidR="00E724EE" w:rsidRDefault="00E724EE">
      <w:r>
        <w:separator/>
      </w:r>
    </w:p>
  </w:endnote>
  <w:endnote w:type="continuationSeparator" w:id="0">
    <w:p w14:paraId="4D498C59" w14:textId="77777777" w:rsidR="00E724EE" w:rsidRDefault="00E7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007B" w14:textId="77777777" w:rsidR="007C708D" w:rsidRDefault="007C708D" w:rsidP="007C7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F93A4A" w14:textId="77777777" w:rsidR="007C708D" w:rsidRDefault="007C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71AE" w14:textId="77777777" w:rsidR="00E724EE" w:rsidRDefault="00E724EE">
      <w:r>
        <w:separator/>
      </w:r>
    </w:p>
  </w:footnote>
  <w:footnote w:type="continuationSeparator" w:id="0">
    <w:p w14:paraId="4D30F0D6" w14:textId="77777777" w:rsidR="00E724EE" w:rsidRDefault="00E72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F93"/>
    <w:multiLevelType w:val="hybridMultilevel"/>
    <w:tmpl w:val="02EC8F76"/>
    <w:lvl w:ilvl="0" w:tplc="D28030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73368"/>
    <w:multiLevelType w:val="hybridMultilevel"/>
    <w:tmpl w:val="B0C0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7251C"/>
    <w:multiLevelType w:val="hybridMultilevel"/>
    <w:tmpl w:val="9A960142"/>
    <w:lvl w:ilvl="0" w:tplc="A0F21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F05E0"/>
    <w:multiLevelType w:val="multilevel"/>
    <w:tmpl w:val="1E2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800D7"/>
    <w:multiLevelType w:val="hybridMultilevel"/>
    <w:tmpl w:val="4516B114"/>
    <w:lvl w:ilvl="0" w:tplc="CF28C97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E79626F"/>
    <w:multiLevelType w:val="hybridMultilevel"/>
    <w:tmpl w:val="21BED296"/>
    <w:lvl w:ilvl="0" w:tplc="FE1E61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495165">
    <w:abstractNumId w:val="4"/>
  </w:num>
  <w:num w:numId="2" w16cid:durableId="1489714199">
    <w:abstractNumId w:val="1"/>
  </w:num>
  <w:num w:numId="3" w16cid:durableId="252277815">
    <w:abstractNumId w:val="0"/>
  </w:num>
  <w:num w:numId="4" w16cid:durableId="1250433542">
    <w:abstractNumId w:val="5"/>
  </w:num>
  <w:num w:numId="5" w16cid:durableId="1402948944">
    <w:abstractNumId w:val="2"/>
  </w:num>
  <w:num w:numId="6" w16cid:durableId="1829319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M0srA0szAzNje2MDdS0lEKTi0uzszPAykwNKoFAFW91LUtAAAA"/>
  </w:docVars>
  <w:rsids>
    <w:rsidRoot w:val="004574D4"/>
    <w:rsid w:val="000012A3"/>
    <w:rsid w:val="0000717A"/>
    <w:rsid w:val="00015E7F"/>
    <w:rsid w:val="00021579"/>
    <w:rsid w:val="00034734"/>
    <w:rsid w:val="00034D99"/>
    <w:rsid w:val="00043CD7"/>
    <w:rsid w:val="000446C3"/>
    <w:rsid w:val="00044FEB"/>
    <w:rsid w:val="00051B43"/>
    <w:rsid w:val="00054D33"/>
    <w:rsid w:val="00061C2B"/>
    <w:rsid w:val="00064245"/>
    <w:rsid w:val="00064773"/>
    <w:rsid w:val="000701B7"/>
    <w:rsid w:val="000757E6"/>
    <w:rsid w:val="000776A2"/>
    <w:rsid w:val="00081C5F"/>
    <w:rsid w:val="00086635"/>
    <w:rsid w:val="00091597"/>
    <w:rsid w:val="000A7667"/>
    <w:rsid w:val="000C3659"/>
    <w:rsid w:val="000F14A0"/>
    <w:rsid w:val="000F4DF6"/>
    <w:rsid w:val="001003C3"/>
    <w:rsid w:val="00106530"/>
    <w:rsid w:val="00112FB7"/>
    <w:rsid w:val="00136F6B"/>
    <w:rsid w:val="00137C0B"/>
    <w:rsid w:val="0014495A"/>
    <w:rsid w:val="00145DC3"/>
    <w:rsid w:val="001472D3"/>
    <w:rsid w:val="00153002"/>
    <w:rsid w:val="00153451"/>
    <w:rsid w:val="00160FBD"/>
    <w:rsid w:val="00171785"/>
    <w:rsid w:val="00183447"/>
    <w:rsid w:val="00192985"/>
    <w:rsid w:val="00195A83"/>
    <w:rsid w:val="001A0804"/>
    <w:rsid w:val="001A2B11"/>
    <w:rsid w:val="001A41EE"/>
    <w:rsid w:val="001A4483"/>
    <w:rsid w:val="001A50E7"/>
    <w:rsid w:val="001C02F5"/>
    <w:rsid w:val="001C395C"/>
    <w:rsid w:val="001C77E0"/>
    <w:rsid w:val="001D1ACF"/>
    <w:rsid w:val="001E683E"/>
    <w:rsid w:val="001F6ACE"/>
    <w:rsid w:val="0020074E"/>
    <w:rsid w:val="002011D9"/>
    <w:rsid w:val="00204F88"/>
    <w:rsid w:val="0021668B"/>
    <w:rsid w:val="00217C3F"/>
    <w:rsid w:val="00217D59"/>
    <w:rsid w:val="00224A7E"/>
    <w:rsid w:val="00260C63"/>
    <w:rsid w:val="002638FD"/>
    <w:rsid w:val="002759C1"/>
    <w:rsid w:val="00287AD7"/>
    <w:rsid w:val="00287C91"/>
    <w:rsid w:val="00291EF5"/>
    <w:rsid w:val="002A7322"/>
    <w:rsid w:val="002C6F57"/>
    <w:rsid w:val="002D3CE1"/>
    <w:rsid w:val="002E6B6B"/>
    <w:rsid w:val="002F74C1"/>
    <w:rsid w:val="00301A46"/>
    <w:rsid w:val="003031DF"/>
    <w:rsid w:val="00303ABF"/>
    <w:rsid w:val="00321301"/>
    <w:rsid w:val="003213AC"/>
    <w:rsid w:val="003347D8"/>
    <w:rsid w:val="00340DB8"/>
    <w:rsid w:val="00343CC4"/>
    <w:rsid w:val="00351B1B"/>
    <w:rsid w:val="00352DF8"/>
    <w:rsid w:val="00353EAB"/>
    <w:rsid w:val="003550D5"/>
    <w:rsid w:val="00366BDC"/>
    <w:rsid w:val="003701BB"/>
    <w:rsid w:val="00370A8B"/>
    <w:rsid w:val="00375D38"/>
    <w:rsid w:val="003812D5"/>
    <w:rsid w:val="003816DD"/>
    <w:rsid w:val="003A52FB"/>
    <w:rsid w:val="003A57BA"/>
    <w:rsid w:val="003A70A0"/>
    <w:rsid w:val="003C1126"/>
    <w:rsid w:val="003C214C"/>
    <w:rsid w:val="003D6304"/>
    <w:rsid w:val="003D78B5"/>
    <w:rsid w:val="003E13A3"/>
    <w:rsid w:val="003F3CB1"/>
    <w:rsid w:val="003F6525"/>
    <w:rsid w:val="00420D0D"/>
    <w:rsid w:val="004235DA"/>
    <w:rsid w:val="004237D1"/>
    <w:rsid w:val="004259E5"/>
    <w:rsid w:val="004475D1"/>
    <w:rsid w:val="004500F3"/>
    <w:rsid w:val="004574D4"/>
    <w:rsid w:val="00457BF3"/>
    <w:rsid w:val="00480774"/>
    <w:rsid w:val="00482D45"/>
    <w:rsid w:val="00484FD2"/>
    <w:rsid w:val="00485D1B"/>
    <w:rsid w:val="00486242"/>
    <w:rsid w:val="004A2357"/>
    <w:rsid w:val="004A7B96"/>
    <w:rsid w:val="004B1E11"/>
    <w:rsid w:val="004B46BB"/>
    <w:rsid w:val="004B6D6B"/>
    <w:rsid w:val="004B7A0A"/>
    <w:rsid w:val="004C0B5C"/>
    <w:rsid w:val="004C0C46"/>
    <w:rsid w:val="004C25CE"/>
    <w:rsid w:val="004D0299"/>
    <w:rsid w:val="004E0C9A"/>
    <w:rsid w:val="004E6BB2"/>
    <w:rsid w:val="004E7491"/>
    <w:rsid w:val="004E78CC"/>
    <w:rsid w:val="004F445E"/>
    <w:rsid w:val="004F536E"/>
    <w:rsid w:val="00500866"/>
    <w:rsid w:val="0050459C"/>
    <w:rsid w:val="00505A74"/>
    <w:rsid w:val="00506282"/>
    <w:rsid w:val="0053280F"/>
    <w:rsid w:val="00543635"/>
    <w:rsid w:val="005854EE"/>
    <w:rsid w:val="00591181"/>
    <w:rsid w:val="005935B4"/>
    <w:rsid w:val="005A74AC"/>
    <w:rsid w:val="005B471D"/>
    <w:rsid w:val="005D5881"/>
    <w:rsid w:val="005D5AD1"/>
    <w:rsid w:val="005D67C9"/>
    <w:rsid w:val="005D6D79"/>
    <w:rsid w:val="005F3882"/>
    <w:rsid w:val="006031DD"/>
    <w:rsid w:val="00603288"/>
    <w:rsid w:val="00607CC5"/>
    <w:rsid w:val="0061080B"/>
    <w:rsid w:val="006253D0"/>
    <w:rsid w:val="00630795"/>
    <w:rsid w:val="0063686A"/>
    <w:rsid w:val="006425A7"/>
    <w:rsid w:val="006433EA"/>
    <w:rsid w:val="00657E85"/>
    <w:rsid w:val="00660266"/>
    <w:rsid w:val="00660E4F"/>
    <w:rsid w:val="0066108B"/>
    <w:rsid w:val="00665009"/>
    <w:rsid w:val="006663A5"/>
    <w:rsid w:val="0067024C"/>
    <w:rsid w:val="00684CAA"/>
    <w:rsid w:val="00690016"/>
    <w:rsid w:val="006A234C"/>
    <w:rsid w:val="006B236C"/>
    <w:rsid w:val="006B3DAC"/>
    <w:rsid w:val="006B5324"/>
    <w:rsid w:val="006B7C41"/>
    <w:rsid w:val="006C21CA"/>
    <w:rsid w:val="006C4DAC"/>
    <w:rsid w:val="006C75CF"/>
    <w:rsid w:val="006D58B8"/>
    <w:rsid w:val="006D74B6"/>
    <w:rsid w:val="006F00D2"/>
    <w:rsid w:val="006F3698"/>
    <w:rsid w:val="006F3AF1"/>
    <w:rsid w:val="006F57F0"/>
    <w:rsid w:val="007041ED"/>
    <w:rsid w:val="007145D3"/>
    <w:rsid w:val="0072032D"/>
    <w:rsid w:val="00733B6E"/>
    <w:rsid w:val="00734EFC"/>
    <w:rsid w:val="0073678B"/>
    <w:rsid w:val="00737ADC"/>
    <w:rsid w:val="00760B72"/>
    <w:rsid w:val="007633C3"/>
    <w:rsid w:val="007637FC"/>
    <w:rsid w:val="00767724"/>
    <w:rsid w:val="007678C1"/>
    <w:rsid w:val="0077360B"/>
    <w:rsid w:val="007877C8"/>
    <w:rsid w:val="007901B2"/>
    <w:rsid w:val="00791024"/>
    <w:rsid w:val="00791C97"/>
    <w:rsid w:val="007964BB"/>
    <w:rsid w:val="00797BDC"/>
    <w:rsid w:val="007A2621"/>
    <w:rsid w:val="007A4664"/>
    <w:rsid w:val="007A6E0C"/>
    <w:rsid w:val="007B1D72"/>
    <w:rsid w:val="007B72D6"/>
    <w:rsid w:val="007C6B4D"/>
    <w:rsid w:val="007C708D"/>
    <w:rsid w:val="007D67B5"/>
    <w:rsid w:val="007E32B9"/>
    <w:rsid w:val="007E49B2"/>
    <w:rsid w:val="00801230"/>
    <w:rsid w:val="0080223A"/>
    <w:rsid w:val="00803209"/>
    <w:rsid w:val="0080719C"/>
    <w:rsid w:val="00810577"/>
    <w:rsid w:val="00812FF6"/>
    <w:rsid w:val="00823079"/>
    <w:rsid w:val="0084415E"/>
    <w:rsid w:val="00844BD0"/>
    <w:rsid w:val="008508DB"/>
    <w:rsid w:val="00850FFB"/>
    <w:rsid w:val="00857628"/>
    <w:rsid w:val="00862FC7"/>
    <w:rsid w:val="00864AD9"/>
    <w:rsid w:val="00872063"/>
    <w:rsid w:val="008745AA"/>
    <w:rsid w:val="00883C77"/>
    <w:rsid w:val="008919F1"/>
    <w:rsid w:val="008A7306"/>
    <w:rsid w:val="008B0B50"/>
    <w:rsid w:val="008B31FA"/>
    <w:rsid w:val="008C0212"/>
    <w:rsid w:val="008C4F43"/>
    <w:rsid w:val="008C6A41"/>
    <w:rsid w:val="008C749F"/>
    <w:rsid w:val="008D0AAB"/>
    <w:rsid w:val="008D4240"/>
    <w:rsid w:val="008D5388"/>
    <w:rsid w:val="008D609F"/>
    <w:rsid w:val="008E1DE8"/>
    <w:rsid w:val="00905A22"/>
    <w:rsid w:val="0091278C"/>
    <w:rsid w:val="009142C0"/>
    <w:rsid w:val="00916541"/>
    <w:rsid w:val="009215FB"/>
    <w:rsid w:val="00924400"/>
    <w:rsid w:val="00924E86"/>
    <w:rsid w:val="00926376"/>
    <w:rsid w:val="00944822"/>
    <w:rsid w:val="00952283"/>
    <w:rsid w:val="00957668"/>
    <w:rsid w:val="00971794"/>
    <w:rsid w:val="00976272"/>
    <w:rsid w:val="0098177D"/>
    <w:rsid w:val="009A2462"/>
    <w:rsid w:val="009B24E8"/>
    <w:rsid w:val="009D33F6"/>
    <w:rsid w:val="009D3BF7"/>
    <w:rsid w:val="009D6E34"/>
    <w:rsid w:val="009E1D84"/>
    <w:rsid w:val="009F20F9"/>
    <w:rsid w:val="009F7236"/>
    <w:rsid w:val="00A019BD"/>
    <w:rsid w:val="00A14BDC"/>
    <w:rsid w:val="00A159C0"/>
    <w:rsid w:val="00A15EC9"/>
    <w:rsid w:val="00A22472"/>
    <w:rsid w:val="00A27011"/>
    <w:rsid w:val="00A31E61"/>
    <w:rsid w:val="00A37F32"/>
    <w:rsid w:val="00A47EAA"/>
    <w:rsid w:val="00A51328"/>
    <w:rsid w:val="00A52DF3"/>
    <w:rsid w:val="00A5686C"/>
    <w:rsid w:val="00A66B21"/>
    <w:rsid w:val="00A672D9"/>
    <w:rsid w:val="00A72C11"/>
    <w:rsid w:val="00A74146"/>
    <w:rsid w:val="00A758D3"/>
    <w:rsid w:val="00A77117"/>
    <w:rsid w:val="00A91610"/>
    <w:rsid w:val="00AA0F38"/>
    <w:rsid w:val="00AB534E"/>
    <w:rsid w:val="00AC597E"/>
    <w:rsid w:val="00AD07D0"/>
    <w:rsid w:val="00AD312F"/>
    <w:rsid w:val="00AE1639"/>
    <w:rsid w:val="00AE28B4"/>
    <w:rsid w:val="00AF1CBA"/>
    <w:rsid w:val="00AF2E98"/>
    <w:rsid w:val="00B00257"/>
    <w:rsid w:val="00B00AE5"/>
    <w:rsid w:val="00B14E24"/>
    <w:rsid w:val="00B214DC"/>
    <w:rsid w:val="00B215B6"/>
    <w:rsid w:val="00B21AA0"/>
    <w:rsid w:val="00B235B9"/>
    <w:rsid w:val="00B26178"/>
    <w:rsid w:val="00B43B10"/>
    <w:rsid w:val="00B539F1"/>
    <w:rsid w:val="00B664F9"/>
    <w:rsid w:val="00B713DD"/>
    <w:rsid w:val="00B748C2"/>
    <w:rsid w:val="00B75544"/>
    <w:rsid w:val="00B7640E"/>
    <w:rsid w:val="00B86753"/>
    <w:rsid w:val="00B86CE6"/>
    <w:rsid w:val="00B93FEB"/>
    <w:rsid w:val="00B97E66"/>
    <w:rsid w:val="00BB232E"/>
    <w:rsid w:val="00BB67DB"/>
    <w:rsid w:val="00BC2087"/>
    <w:rsid w:val="00BC6417"/>
    <w:rsid w:val="00BD0251"/>
    <w:rsid w:val="00BD2CAD"/>
    <w:rsid w:val="00BD53FF"/>
    <w:rsid w:val="00BD55C3"/>
    <w:rsid w:val="00BE139E"/>
    <w:rsid w:val="00BE491E"/>
    <w:rsid w:val="00BF1690"/>
    <w:rsid w:val="00BF189A"/>
    <w:rsid w:val="00BF3BF3"/>
    <w:rsid w:val="00BF4BD1"/>
    <w:rsid w:val="00BF6261"/>
    <w:rsid w:val="00C00EED"/>
    <w:rsid w:val="00C01B16"/>
    <w:rsid w:val="00C04854"/>
    <w:rsid w:val="00C137D7"/>
    <w:rsid w:val="00C15B17"/>
    <w:rsid w:val="00C20CE2"/>
    <w:rsid w:val="00C23481"/>
    <w:rsid w:val="00C254CE"/>
    <w:rsid w:val="00C45800"/>
    <w:rsid w:val="00C55E9B"/>
    <w:rsid w:val="00C804E8"/>
    <w:rsid w:val="00C940DC"/>
    <w:rsid w:val="00C942D4"/>
    <w:rsid w:val="00CA2AAB"/>
    <w:rsid w:val="00CB05C4"/>
    <w:rsid w:val="00CB5CE0"/>
    <w:rsid w:val="00CC5B18"/>
    <w:rsid w:val="00CD23C6"/>
    <w:rsid w:val="00CE29F4"/>
    <w:rsid w:val="00CF7E15"/>
    <w:rsid w:val="00D00222"/>
    <w:rsid w:val="00D03025"/>
    <w:rsid w:val="00D116B4"/>
    <w:rsid w:val="00D14F30"/>
    <w:rsid w:val="00D4388E"/>
    <w:rsid w:val="00D44831"/>
    <w:rsid w:val="00D46CE6"/>
    <w:rsid w:val="00D50AA4"/>
    <w:rsid w:val="00D52936"/>
    <w:rsid w:val="00D55AFA"/>
    <w:rsid w:val="00D5704B"/>
    <w:rsid w:val="00D602DE"/>
    <w:rsid w:val="00D61F15"/>
    <w:rsid w:val="00D664E3"/>
    <w:rsid w:val="00D66D1F"/>
    <w:rsid w:val="00D709AF"/>
    <w:rsid w:val="00D713C4"/>
    <w:rsid w:val="00D770DD"/>
    <w:rsid w:val="00D8042E"/>
    <w:rsid w:val="00D80963"/>
    <w:rsid w:val="00D85F49"/>
    <w:rsid w:val="00DA5E76"/>
    <w:rsid w:val="00DB587D"/>
    <w:rsid w:val="00DC0889"/>
    <w:rsid w:val="00DC4919"/>
    <w:rsid w:val="00DC6B8C"/>
    <w:rsid w:val="00DE5093"/>
    <w:rsid w:val="00DE69EA"/>
    <w:rsid w:val="00E05359"/>
    <w:rsid w:val="00E1116E"/>
    <w:rsid w:val="00E30554"/>
    <w:rsid w:val="00E3725C"/>
    <w:rsid w:val="00E40006"/>
    <w:rsid w:val="00E42C37"/>
    <w:rsid w:val="00E547A3"/>
    <w:rsid w:val="00E5659E"/>
    <w:rsid w:val="00E6393E"/>
    <w:rsid w:val="00E65C43"/>
    <w:rsid w:val="00E724EE"/>
    <w:rsid w:val="00E73D11"/>
    <w:rsid w:val="00E76A76"/>
    <w:rsid w:val="00E803CA"/>
    <w:rsid w:val="00E80810"/>
    <w:rsid w:val="00E83155"/>
    <w:rsid w:val="00E91324"/>
    <w:rsid w:val="00E91D4B"/>
    <w:rsid w:val="00E928D7"/>
    <w:rsid w:val="00EA32A9"/>
    <w:rsid w:val="00EA3532"/>
    <w:rsid w:val="00EC4D7D"/>
    <w:rsid w:val="00ED124E"/>
    <w:rsid w:val="00ED59CF"/>
    <w:rsid w:val="00EE6570"/>
    <w:rsid w:val="00EE7101"/>
    <w:rsid w:val="00EF0CC7"/>
    <w:rsid w:val="00F03D52"/>
    <w:rsid w:val="00F11496"/>
    <w:rsid w:val="00F17543"/>
    <w:rsid w:val="00F1770D"/>
    <w:rsid w:val="00F22F56"/>
    <w:rsid w:val="00F32163"/>
    <w:rsid w:val="00F429E3"/>
    <w:rsid w:val="00F517BA"/>
    <w:rsid w:val="00F51E9E"/>
    <w:rsid w:val="00F5454C"/>
    <w:rsid w:val="00F62B90"/>
    <w:rsid w:val="00F63F21"/>
    <w:rsid w:val="00F64E9A"/>
    <w:rsid w:val="00F73FA4"/>
    <w:rsid w:val="00F748B1"/>
    <w:rsid w:val="00F77193"/>
    <w:rsid w:val="00F82BD5"/>
    <w:rsid w:val="00F82E18"/>
    <w:rsid w:val="00F90543"/>
    <w:rsid w:val="00FA2BD6"/>
    <w:rsid w:val="00FB29E2"/>
    <w:rsid w:val="00FB4818"/>
    <w:rsid w:val="00FC75FE"/>
    <w:rsid w:val="00FE5484"/>
    <w:rsid w:val="00FE59C2"/>
    <w:rsid w:val="00FF02EB"/>
    <w:rsid w:val="00FF253C"/>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95FC"/>
  <w15:docId w15:val="{C3B72CC6-5D7E-463C-B9F5-9841059C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D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913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D4"/>
    <w:pPr>
      <w:tabs>
        <w:tab w:val="center" w:pos="4320"/>
        <w:tab w:val="right" w:pos="8640"/>
      </w:tabs>
    </w:pPr>
  </w:style>
  <w:style w:type="character" w:customStyle="1" w:styleId="FooterChar">
    <w:name w:val="Footer Char"/>
    <w:basedOn w:val="DefaultParagraphFont"/>
    <w:link w:val="Footer"/>
    <w:rsid w:val="004574D4"/>
    <w:rPr>
      <w:rFonts w:ascii="Times New Roman" w:eastAsia="Times New Roman" w:hAnsi="Times New Roman" w:cs="Times New Roman"/>
      <w:sz w:val="24"/>
      <w:szCs w:val="24"/>
    </w:rPr>
  </w:style>
  <w:style w:type="character" w:styleId="PageNumber">
    <w:name w:val="page number"/>
    <w:basedOn w:val="DefaultParagraphFont"/>
    <w:rsid w:val="004574D4"/>
  </w:style>
  <w:style w:type="paragraph" w:styleId="BodyText">
    <w:name w:val="Body Text"/>
    <w:basedOn w:val="Normal"/>
    <w:link w:val="BodyTextChar"/>
    <w:uiPriority w:val="99"/>
    <w:unhideWhenUsed/>
    <w:rsid w:val="004574D4"/>
    <w:pPr>
      <w:spacing w:before="120" w:after="120" w:line="288" w:lineRule="auto"/>
      <w:jc w:val="both"/>
    </w:pPr>
    <w:rPr>
      <w:rFonts w:eastAsia="Calibri"/>
      <w:sz w:val="26"/>
      <w:szCs w:val="22"/>
      <w:lang w:val="x-none" w:eastAsia="x-none"/>
    </w:rPr>
  </w:style>
  <w:style w:type="character" w:customStyle="1" w:styleId="BodyTextChar">
    <w:name w:val="Body Text Char"/>
    <w:basedOn w:val="DefaultParagraphFont"/>
    <w:link w:val="BodyText"/>
    <w:uiPriority w:val="99"/>
    <w:rsid w:val="004574D4"/>
    <w:rPr>
      <w:rFonts w:ascii="Times New Roman" w:eastAsia="Calibri" w:hAnsi="Times New Roman" w:cs="Times New Roman"/>
      <w:sz w:val="26"/>
      <w:lang w:val="x-none" w:eastAsia="x-none"/>
    </w:rPr>
  </w:style>
  <w:style w:type="paragraph" w:styleId="ListParagraph">
    <w:name w:val="List Paragraph"/>
    <w:basedOn w:val="Normal"/>
    <w:uiPriority w:val="34"/>
    <w:qFormat/>
    <w:rsid w:val="004574D4"/>
    <w:pPr>
      <w:ind w:left="720"/>
      <w:contextualSpacing/>
    </w:pPr>
  </w:style>
  <w:style w:type="table" w:styleId="TableGrid">
    <w:name w:val="Table Grid"/>
    <w:basedOn w:val="TableNormal"/>
    <w:uiPriority w:val="39"/>
    <w:rsid w:val="00643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B67DB"/>
    <w:rPr>
      <w:sz w:val="16"/>
      <w:szCs w:val="16"/>
    </w:rPr>
  </w:style>
  <w:style w:type="paragraph" w:styleId="CommentText">
    <w:name w:val="annotation text"/>
    <w:basedOn w:val="Normal"/>
    <w:link w:val="CommentTextChar"/>
    <w:semiHidden/>
    <w:rsid w:val="00BB67DB"/>
    <w:rPr>
      <w:sz w:val="20"/>
      <w:szCs w:val="20"/>
    </w:rPr>
  </w:style>
  <w:style w:type="character" w:customStyle="1" w:styleId="CommentTextChar">
    <w:name w:val="Comment Text Char"/>
    <w:basedOn w:val="DefaultParagraphFont"/>
    <w:link w:val="CommentText"/>
    <w:semiHidden/>
    <w:rsid w:val="00BB67D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6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DB"/>
    <w:rPr>
      <w:rFonts w:ascii="Segoe UI" w:eastAsia="Times New Roman" w:hAnsi="Segoe UI" w:cs="Segoe UI"/>
      <w:sz w:val="18"/>
      <w:szCs w:val="18"/>
    </w:rPr>
  </w:style>
  <w:style w:type="character" w:styleId="Hyperlink">
    <w:name w:val="Hyperlink"/>
    <w:basedOn w:val="DefaultParagraphFont"/>
    <w:uiPriority w:val="99"/>
    <w:semiHidden/>
    <w:unhideWhenUsed/>
    <w:rsid w:val="00E91324"/>
    <w:rPr>
      <w:color w:val="0000FF"/>
      <w:u w:val="single"/>
    </w:rPr>
  </w:style>
  <w:style w:type="character" w:customStyle="1" w:styleId="Heading1Char">
    <w:name w:val="Heading 1 Char"/>
    <w:basedOn w:val="DefaultParagraphFont"/>
    <w:link w:val="Heading1"/>
    <w:uiPriority w:val="9"/>
    <w:rsid w:val="00E91324"/>
    <w:rPr>
      <w:rFonts w:ascii="Times New Roman" w:eastAsia="Times New Roman" w:hAnsi="Times New Roman" w:cs="Times New Roman"/>
      <w:b/>
      <w:bCs/>
      <w:kern w:val="36"/>
      <w:sz w:val="48"/>
      <w:szCs w:val="48"/>
    </w:rPr>
  </w:style>
  <w:style w:type="paragraph" w:customStyle="1" w:styleId="EndNoteBibliography">
    <w:name w:val="EndNote Bibliography"/>
    <w:basedOn w:val="Normal"/>
    <w:link w:val="EndNoteBibliographyChar"/>
    <w:rsid w:val="00AB534E"/>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AB534E"/>
    <w:rPr>
      <w:rFonts w:ascii="Calibri" w:hAnsi="Calibri" w:cs="Calibri"/>
      <w:noProof/>
    </w:rPr>
  </w:style>
  <w:style w:type="character" w:customStyle="1" w:styleId="fontstyle01">
    <w:name w:val="fontstyle01"/>
    <w:basedOn w:val="DefaultParagraphFont"/>
    <w:rsid w:val="008B0B50"/>
    <w:rPr>
      <w:rFonts w:ascii="SegoeUI-Light" w:hAnsi="SegoeUI-Light" w:hint="default"/>
      <w:b w:val="0"/>
      <w:bCs w:val="0"/>
      <w:i w:val="0"/>
      <w:iCs w:val="0"/>
      <w:color w:val="000000"/>
      <w:sz w:val="20"/>
      <w:szCs w:val="20"/>
    </w:rPr>
  </w:style>
  <w:style w:type="character" w:customStyle="1" w:styleId="a">
    <w:name w:val="_"/>
    <w:basedOn w:val="DefaultParagraphFont"/>
    <w:rsid w:val="00D66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546">
      <w:bodyDiv w:val="1"/>
      <w:marLeft w:val="0"/>
      <w:marRight w:val="0"/>
      <w:marTop w:val="0"/>
      <w:marBottom w:val="0"/>
      <w:divBdr>
        <w:top w:val="none" w:sz="0" w:space="0" w:color="auto"/>
        <w:left w:val="none" w:sz="0" w:space="0" w:color="auto"/>
        <w:bottom w:val="none" w:sz="0" w:space="0" w:color="auto"/>
        <w:right w:val="none" w:sz="0" w:space="0" w:color="auto"/>
      </w:divBdr>
    </w:div>
    <w:div w:id="76290792">
      <w:bodyDiv w:val="1"/>
      <w:marLeft w:val="0"/>
      <w:marRight w:val="0"/>
      <w:marTop w:val="0"/>
      <w:marBottom w:val="0"/>
      <w:divBdr>
        <w:top w:val="none" w:sz="0" w:space="0" w:color="auto"/>
        <w:left w:val="none" w:sz="0" w:space="0" w:color="auto"/>
        <w:bottom w:val="none" w:sz="0" w:space="0" w:color="auto"/>
        <w:right w:val="none" w:sz="0" w:space="0" w:color="auto"/>
      </w:divBdr>
    </w:div>
    <w:div w:id="436220603">
      <w:bodyDiv w:val="1"/>
      <w:marLeft w:val="0"/>
      <w:marRight w:val="0"/>
      <w:marTop w:val="0"/>
      <w:marBottom w:val="0"/>
      <w:divBdr>
        <w:top w:val="none" w:sz="0" w:space="0" w:color="auto"/>
        <w:left w:val="none" w:sz="0" w:space="0" w:color="auto"/>
        <w:bottom w:val="none" w:sz="0" w:space="0" w:color="auto"/>
        <w:right w:val="none" w:sz="0" w:space="0" w:color="auto"/>
      </w:divBdr>
    </w:div>
    <w:div w:id="841818307">
      <w:bodyDiv w:val="1"/>
      <w:marLeft w:val="0"/>
      <w:marRight w:val="0"/>
      <w:marTop w:val="0"/>
      <w:marBottom w:val="0"/>
      <w:divBdr>
        <w:top w:val="none" w:sz="0" w:space="0" w:color="auto"/>
        <w:left w:val="none" w:sz="0" w:space="0" w:color="auto"/>
        <w:bottom w:val="none" w:sz="0" w:space="0" w:color="auto"/>
        <w:right w:val="none" w:sz="0" w:space="0" w:color="auto"/>
      </w:divBdr>
    </w:div>
    <w:div w:id="1116829082">
      <w:bodyDiv w:val="1"/>
      <w:marLeft w:val="0"/>
      <w:marRight w:val="0"/>
      <w:marTop w:val="0"/>
      <w:marBottom w:val="0"/>
      <w:divBdr>
        <w:top w:val="none" w:sz="0" w:space="0" w:color="auto"/>
        <w:left w:val="none" w:sz="0" w:space="0" w:color="auto"/>
        <w:bottom w:val="none" w:sz="0" w:space="0" w:color="auto"/>
        <w:right w:val="none" w:sz="0" w:space="0" w:color="auto"/>
      </w:divBdr>
    </w:div>
    <w:div w:id="1161651772">
      <w:bodyDiv w:val="1"/>
      <w:marLeft w:val="0"/>
      <w:marRight w:val="0"/>
      <w:marTop w:val="0"/>
      <w:marBottom w:val="0"/>
      <w:divBdr>
        <w:top w:val="none" w:sz="0" w:space="0" w:color="auto"/>
        <w:left w:val="none" w:sz="0" w:space="0" w:color="auto"/>
        <w:bottom w:val="none" w:sz="0" w:space="0" w:color="auto"/>
        <w:right w:val="none" w:sz="0" w:space="0" w:color="auto"/>
      </w:divBdr>
    </w:div>
    <w:div w:id="1190988207">
      <w:bodyDiv w:val="1"/>
      <w:marLeft w:val="0"/>
      <w:marRight w:val="0"/>
      <w:marTop w:val="0"/>
      <w:marBottom w:val="0"/>
      <w:divBdr>
        <w:top w:val="none" w:sz="0" w:space="0" w:color="auto"/>
        <w:left w:val="none" w:sz="0" w:space="0" w:color="auto"/>
        <w:bottom w:val="none" w:sz="0" w:space="0" w:color="auto"/>
        <w:right w:val="none" w:sz="0" w:space="0" w:color="auto"/>
      </w:divBdr>
    </w:div>
    <w:div w:id="1220173240">
      <w:bodyDiv w:val="1"/>
      <w:marLeft w:val="0"/>
      <w:marRight w:val="0"/>
      <w:marTop w:val="0"/>
      <w:marBottom w:val="0"/>
      <w:divBdr>
        <w:top w:val="none" w:sz="0" w:space="0" w:color="auto"/>
        <w:left w:val="none" w:sz="0" w:space="0" w:color="auto"/>
        <w:bottom w:val="none" w:sz="0" w:space="0" w:color="auto"/>
        <w:right w:val="none" w:sz="0" w:space="0" w:color="auto"/>
      </w:divBdr>
    </w:div>
    <w:div w:id="15137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1ADFA-3C8A-49EC-A240-DF00F123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Hong Phuong</dc:creator>
  <cp:lastModifiedBy>LENOVO</cp:lastModifiedBy>
  <cp:revision>24</cp:revision>
  <dcterms:created xsi:type="dcterms:W3CDTF">2025-04-11T08:36:00Z</dcterms:created>
  <dcterms:modified xsi:type="dcterms:W3CDTF">2025-11-02T00:32:00Z</dcterms:modified>
</cp:coreProperties>
</file>