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2F02E8" w14:textId="77777777" w:rsidR="007C0957" w:rsidRDefault="007C0957" w:rsidP="007C0957">
      <w:pPr>
        <w:rPr>
          <w:lang w:val="en-US" w:eastAsia="vi" w:bidi="en-US"/>
        </w:rPr>
      </w:pPr>
    </w:p>
    <w:p w14:paraId="494BF06E" w14:textId="77777777" w:rsidR="007C0957" w:rsidRDefault="007C0957" w:rsidP="007C0957">
      <w:pPr>
        <w:rPr>
          <w:lang w:val="en-US" w:eastAsia="vi" w:bidi="en-US"/>
        </w:rPr>
      </w:pPr>
    </w:p>
    <w:p w14:paraId="65DF37A3" w14:textId="2E8F44B7" w:rsidR="00B30812" w:rsidRPr="007C0957" w:rsidRDefault="00A41967" w:rsidP="005E7788">
      <w:pPr>
        <w:tabs>
          <w:tab w:val="left" w:pos="734"/>
        </w:tabs>
        <w:jc w:val="center"/>
        <w:rPr>
          <w:rFonts w:ascii="Arial" w:hAnsi="Arial" w:cs="Arial"/>
          <w:b/>
          <w:sz w:val="32"/>
          <w:szCs w:val="32"/>
          <w:lang w:val="vi" w:eastAsia="vi" w:bidi="en-US"/>
        </w:rPr>
      </w:pPr>
      <w:r w:rsidRPr="007C0957">
        <w:rPr>
          <w:rFonts w:ascii="Arial" w:hAnsi="Arial" w:cs="Arial"/>
          <w:b/>
          <w:sz w:val="32"/>
          <w:szCs w:val="32"/>
          <w:lang w:val="vi" w:eastAsia="vi" w:bidi="en-US"/>
        </w:rPr>
        <w:t xml:space="preserve">Ảnh hưởng của </w:t>
      </w:r>
      <w:r w:rsidRPr="007C0957">
        <w:rPr>
          <w:rFonts w:ascii="Arial" w:hAnsi="Arial" w:cs="Arial"/>
          <w:b/>
          <w:sz w:val="32"/>
          <w:szCs w:val="32"/>
          <w:lang w:val="en-US" w:eastAsia="vi" w:bidi="en-US"/>
        </w:rPr>
        <w:t>đ</w:t>
      </w:r>
      <w:r w:rsidRPr="007C0957">
        <w:rPr>
          <w:rFonts w:ascii="Arial" w:hAnsi="Arial" w:cs="Arial"/>
          <w:b/>
          <w:sz w:val="32"/>
          <w:szCs w:val="32"/>
          <w:lang w:val="vi" w:eastAsia="vi" w:bidi="en-US"/>
        </w:rPr>
        <w:t xml:space="preserve">òn bẩy </w:t>
      </w:r>
      <w:r w:rsidRPr="007C0957">
        <w:rPr>
          <w:rFonts w:ascii="Arial" w:hAnsi="Arial" w:cs="Arial"/>
          <w:b/>
          <w:sz w:val="32"/>
          <w:szCs w:val="32"/>
          <w:lang w:val="en-US" w:eastAsia="vi" w:bidi="en-US"/>
        </w:rPr>
        <w:t>t</w:t>
      </w:r>
      <w:r w:rsidRPr="007C0957">
        <w:rPr>
          <w:rFonts w:ascii="Arial" w:hAnsi="Arial" w:cs="Arial"/>
          <w:b/>
          <w:sz w:val="32"/>
          <w:szCs w:val="32"/>
          <w:lang w:val="vi" w:eastAsia="vi" w:bidi="en-US"/>
        </w:rPr>
        <w:t xml:space="preserve">ài chính đến </w:t>
      </w:r>
      <w:r w:rsidRPr="007C0957">
        <w:rPr>
          <w:rFonts w:ascii="Arial" w:hAnsi="Arial" w:cs="Arial"/>
          <w:b/>
          <w:sz w:val="32"/>
          <w:szCs w:val="32"/>
          <w:lang w:val="en-US" w:eastAsia="vi" w:bidi="en-US"/>
        </w:rPr>
        <w:t>h</w:t>
      </w:r>
      <w:r w:rsidRPr="007C0957">
        <w:rPr>
          <w:rFonts w:ascii="Arial" w:hAnsi="Arial" w:cs="Arial"/>
          <w:b/>
          <w:sz w:val="32"/>
          <w:szCs w:val="32"/>
          <w:lang w:val="vi" w:eastAsia="vi" w:bidi="en-US"/>
        </w:rPr>
        <w:t xml:space="preserve">iệu suất </w:t>
      </w:r>
      <w:r w:rsidRPr="007C0957">
        <w:rPr>
          <w:rFonts w:ascii="Arial" w:hAnsi="Arial" w:cs="Arial"/>
          <w:b/>
          <w:sz w:val="32"/>
          <w:szCs w:val="32"/>
          <w:lang w:val="en-US" w:eastAsia="vi" w:bidi="en-US"/>
        </w:rPr>
        <w:t>d</w:t>
      </w:r>
      <w:r w:rsidRPr="007C0957">
        <w:rPr>
          <w:rFonts w:ascii="Arial" w:hAnsi="Arial" w:cs="Arial"/>
          <w:b/>
          <w:sz w:val="32"/>
          <w:szCs w:val="32"/>
          <w:lang w:val="vi" w:eastAsia="vi" w:bidi="en-US"/>
        </w:rPr>
        <w:t xml:space="preserve">oanh nghiệp: Nghiên cứu từ các </w:t>
      </w:r>
      <w:r w:rsidRPr="007C0957">
        <w:rPr>
          <w:rFonts w:ascii="Arial" w:hAnsi="Arial" w:cs="Arial"/>
          <w:b/>
          <w:sz w:val="32"/>
          <w:szCs w:val="32"/>
          <w:lang w:val="en-US" w:eastAsia="vi" w:bidi="en-US"/>
        </w:rPr>
        <w:t>c</w:t>
      </w:r>
      <w:r w:rsidRPr="007C0957">
        <w:rPr>
          <w:rFonts w:ascii="Arial" w:hAnsi="Arial" w:cs="Arial"/>
          <w:b/>
          <w:sz w:val="32"/>
          <w:szCs w:val="32"/>
          <w:lang w:val="vi" w:eastAsia="vi" w:bidi="en-US"/>
        </w:rPr>
        <w:t xml:space="preserve">ông ty </w:t>
      </w:r>
      <w:r w:rsidRPr="007C0957">
        <w:rPr>
          <w:rFonts w:ascii="Arial" w:hAnsi="Arial" w:cs="Arial"/>
          <w:b/>
          <w:sz w:val="32"/>
          <w:szCs w:val="32"/>
          <w:lang w:val="en-US" w:eastAsia="vi" w:bidi="en-US"/>
        </w:rPr>
        <w:t>n</w:t>
      </w:r>
      <w:r w:rsidRPr="007C0957">
        <w:rPr>
          <w:rFonts w:ascii="Arial" w:hAnsi="Arial" w:cs="Arial"/>
          <w:b/>
          <w:sz w:val="32"/>
          <w:szCs w:val="32"/>
          <w:lang w:val="vi" w:eastAsia="vi" w:bidi="en-US"/>
        </w:rPr>
        <w:t>iêm yết t</w:t>
      </w:r>
      <w:r w:rsidRPr="007C0957">
        <w:rPr>
          <w:rFonts w:ascii="Arial" w:hAnsi="Arial" w:cs="Arial"/>
          <w:b/>
          <w:sz w:val="32"/>
          <w:szCs w:val="32"/>
          <w:lang w:val="en-US" w:eastAsia="vi" w:bidi="en-US"/>
        </w:rPr>
        <w:t xml:space="preserve">ại </w:t>
      </w:r>
      <w:r w:rsidRPr="007C0957">
        <w:rPr>
          <w:rFonts w:ascii="Arial" w:hAnsi="Arial" w:cs="Arial"/>
          <w:b/>
          <w:sz w:val="32"/>
          <w:szCs w:val="32"/>
          <w:lang w:val="vi" w:eastAsia="vi" w:bidi="en-US"/>
        </w:rPr>
        <w:t>Việt Nam</w:t>
      </w:r>
    </w:p>
    <w:p w14:paraId="3F66577C" w14:textId="77777777" w:rsidR="00B30812" w:rsidRPr="00FD6A15" w:rsidRDefault="00B30812" w:rsidP="007C0957">
      <w:pPr>
        <w:rPr>
          <w:lang w:eastAsia="vi" w:bidi="en-US"/>
        </w:rPr>
      </w:pPr>
    </w:p>
    <w:p w14:paraId="2F7F770D" w14:textId="1AF6482A" w:rsidR="005D5DF5" w:rsidRDefault="005D5DF5" w:rsidP="005E7788">
      <w:pPr>
        <w:jc w:val="center"/>
        <w:rPr>
          <w:b/>
          <w:bCs/>
          <w:szCs w:val="24"/>
          <w:vertAlign w:val="superscript"/>
          <w:lang w:val="en-US"/>
        </w:rPr>
      </w:pPr>
      <w:r w:rsidRPr="00FD6A15">
        <w:rPr>
          <w:b/>
          <w:bCs/>
          <w:sz w:val="24"/>
          <w:szCs w:val="24"/>
          <w:lang w:val="en-US"/>
        </w:rPr>
        <w:t>Đặng Thị Mỹ Dung</w:t>
      </w:r>
      <w:r w:rsidRPr="00FD6A15">
        <w:rPr>
          <w:b/>
          <w:bCs/>
          <w:sz w:val="24"/>
          <w:szCs w:val="24"/>
          <w:vertAlign w:val="superscript"/>
          <w:lang w:val="en-US"/>
        </w:rPr>
        <w:t>1</w:t>
      </w:r>
      <w:r w:rsidRPr="00FD6A15">
        <w:rPr>
          <w:b/>
          <w:bCs/>
          <w:sz w:val="24"/>
          <w:szCs w:val="24"/>
          <w:lang w:val="en-US"/>
        </w:rPr>
        <w:t>, Nguyễn Thị Mỹ Hằng</w:t>
      </w:r>
      <w:r w:rsidRPr="00FD6A15">
        <w:rPr>
          <w:b/>
          <w:bCs/>
          <w:sz w:val="24"/>
          <w:szCs w:val="24"/>
          <w:vertAlign w:val="superscript"/>
          <w:lang w:val="en-US"/>
        </w:rPr>
        <w:t>2</w:t>
      </w:r>
      <w:r w:rsidRPr="00FD6A15">
        <w:rPr>
          <w:b/>
          <w:bCs/>
          <w:sz w:val="24"/>
          <w:szCs w:val="24"/>
        </w:rPr>
        <w:t xml:space="preserve">, </w:t>
      </w:r>
      <w:r w:rsidRPr="00FD6A15">
        <w:rPr>
          <w:b/>
          <w:bCs/>
          <w:sz w:val="24"/>
          <w:szCs w:val="24"/>
          <w:lang w:val="en-US"/>
        </w:rPr>
        <w:t>Trần Như Quỳnh</w:t>
      </w:r>
      <w:r w:rsidRPr="00FD6A15">
        <w:rPr>
          <w:b/>
          <w:bCs/>
          <w:sz w:val="24"/>
          <w:szCs w:val="24"/>
          <w:vertAlign w:val="superscript"/>
          <w:lang w:val="en-US"/>
        </w:rPr>
        <w:t>3</w:t>
      </w:r>
    </w:p>
    <w:p w14:paraId="062AEC3C" w14:textId="77777777" w:rsidR="007C0957" w:rsidRPr="00FD6A15" w:rsidRDefault="007C0957" w:rsidP="007C0957">
      <w:pPr>
        <w:rPr>
          <w:vertAlign w:val="superscript"/>
          <w:lang w:val="en-US"/>
        </w:rPr>
      </w:pPr>
    </w:p>
    <w:p w14:paraId="50EA9B8B" w14:textId="03BFF591" w:rsidR="007D1A28" w:rsidRDefault="007D1A28" w:rsidP="007C0957">
      <w:pPr>
        <w:jc w:val="center"/>
        <w:rPr>
          <w:i/>
          <w:iCs/>
          <w:lang w:val="en-US"/>
        </w:rPr>
      </w:pPr>
      <w:r w:rsidRPr="007C0957">
        <w:rPr>
          <w:i/>
          <w:iCs/>
          <w:vertAlign w:val="superscript"/>
          <w:lang w:val="en-US"/>
        </w:rPr>
        <w:t>1</w:t>
      </w:r>
      <w:r w:rsidRPr="007C0957">
        <w:rPr>
          <w:i/>
          <w:iCs/>
          <w:lang w:val="en-US"/>
        </w:rPr>
        <w:t>Đại học Ngoại Thương</w:t>
      </w:r>
      <w:r w:rsidRPr="007C0957">
        <w:rPr>
          <w:i/>
          <w:iCs/>
        </w:rPr>
        <w:t xml:space="preserve"> – Vietnam</w:t>
      </w:r>
      <w:r w:rsidR="008F2279" w:rsidRPr="007C0957">
        <w:rPr>
          <w:i/>
          <w:iCs/>
          <w:lang w:val="en-US"/>
        </w:rPr>
        <w:t xml:space="preserve"> &amp; Đại học Greater Manchester</w:t>
      </w:r>
      <w:r w:rsidR="008F2279" w:rsidRPr="007C0957">
        <w:rPr>
          <w:i/>
          <w:iCs/>
        </w:rPr>
        <w:t xml:space="preserve"> – </w:t>
      </w:r>
      <w:r w:rsidR="008F2279" w:rsidRPr="007C0957">
        <w:rPr>
          <w:i/>
          <w:iCs/>
          <w:lang w:val="en-US"/>
        </w:rPr>
        <w:t>Anh Quốc</w:t>
      </w:r>
      <w:r w:rsidRPr="007C0957">
        <w:rPr>
          <w:i/>
          <w:iCs/>
          <w:lang w:val="en-US"/>
        </w:rPr>
        <w:br/>
      </w:r>
      <w:r w:rsidRPr="007C0957">
        <w:rPr>
          <w:i/>
          <w:iCs/>
          <w:vertAlign w:val="superscript"/>
          <w:lang w:val="en-US"/>
        </w:rPr>
        <w:t>2,3</w:t>
      </w:r>
      <w:r w:rsidRPr="007C0957">
        <w:rPr>
          <w:i/>
          <w:iCs/>
          <w:lang w:val="en-US"/>
        </w:rPr>
        <w:t xml:space="preserve"> Đại học Ngoại Thương</w:t>
      </w:r>
      <w:r w:rsidRPr="007C0957">
        <w:rPr>
          <w:i/>
          <w:iCs/>
        </w:rPr>
        <w:t xml:space="preserve"> – Vietnam</w:t>
      </w:r>
    </w:p>
    <w:p w14:paraId="0C35F4EA" w14:textId="77777777" w:rsidR="007C0957" w:rsidRPr="007C0957" w:rsidRDefault="007C0957" w:rsidP="007C0957">
      <w:pPr>
        <w:jc w:val="center"/>
        <w:rPr>
          <w:i/>
          <w:iCs/>
          <w:lang w:val="en-US"/>
        </w:rPr>
      </w:pPr>
    </w:p>
    <w:p w14:paraId="7D4C2334" w14:textId="64D0EF6D" w:rsidR="00B30812" w:rsidRPr="007C0957" w:rsidRDefault="00B30812" w:rsidP="007C0957">
      <w:pPr>
        <w:jc w:val="center"/>
        <w:rPr>
          <w:rStyle w:val="Hyperlink"/>
          <w:i/>
          <w:color w:val="auto"/>
          <w:u w:val="none"/>
          <w:lang w:eastAsia="vi" w:bidi="en-US"/>
        </w:rPr>
      </w:pPr>
      <w:r w:rsidRPr="007C0957">
        <w:rPr>
          <w:i/>
          <w:cs/>
          <w:lang w:val="vi" w:eastAsia="vi"/>
        </w:rPr>
        <w:t>*</w:t>
      </w:r>
      <w:r w:rsidRPr="007C0957">
        <w:rPr>
          <w:i/>
          <w:lang w:eastAsia="vi" w:bidi="en-US"/>
        </w:rPr>
        <w:t>Tác giả liên hệ chính. Email</w:t>
      </w:r>
      <w:r w:rsidRPr="007C0957">
        <w:rPr>
          <w:i/>
          <w:cs/>
          <w:lang w:val="vi" w:eastAsia="vi"/>
        </w:rPr>
        <w:t xml:space="preserve">: </w:t>
      </w:r>
      <w:hyperlink r:id="rId9" w:history="1">
        <w:r w:rsidR="0006354C" w:rsidRPr="007C0957">
          <w:rPr>
            <w:rStyle w:val="Hyperlink"/>
            <w:i/>
            <w:iCs/>
            <w:color w:val="auto"/>
            <w:lang w:val="en-US"/>
          </w:rPr>
          <w:t>dangthimydung.cs2@ftu.edu.vn</w:t>
        </w:r>
      </w:hyperlink>
      <w:r w:rsidR="008F2279" w:rsidRPr="007C0957">
        <w:rPr>
          <w:rStyle w:val="Hyperlink"/>
          <w:i/>
          <w:iCs/>
          <w:color w:val="auto"/>
          <w:lang w:val="en-US"/>
        </w:rPr>
        <w:t xml:space="preserve">; </w:t>
      </w:r>
      <w:hyperlink r:id="rId10" w:history="1">
        <w:r w:rsidR="008F2279" w:rsidRPr="007C0957">
          <w:rPr>
            <w:rStyle w:val="Hyperlink"/>
            <w:i/>
            <w:iCs/>
            <w:color w:val="auto"/>
            <w:lang w:val="en-US"/>
          </w:rPr>
          <w:t>dtd1ocd@bolton.ac.uk</w:t>
        </w:r>
      </w:hyperlink>
    </w:p>
    <w:p w14:paraId="6CEF87C9" w14:textId="77777777" w:rsidR="00B30812" w:rsidRPr="00FD6A15" w:rsidRDefault="00B30812" w:rsidP="007C0957">
      <w:pPr>
        <w:jc w:val="center"/>
        <w:rPr>
          <w:rStyle w:val="Hyperlink"/>
          <w:i/>
          <w:color w:val="auto"/>
          <w:sz w:val="24"/>
          <w:szCs w:val="24"/>
          <w:u w:val="none"/>
          <w:lang w:eastAsia="vi" w:bidi="en-US"/>
        </w:rPr>
      </w:pPr>
    </w:p>
    <w:p w14:paraId="3C391AA3" w14:textId="04FB52E2" w:rsidR="00B30812" w:rsidRPr="007C0957" w:rsidRDefault="00B30812" w:rsidP="007C0957">
      <w:pPr>
        <w:jc w:val="center"/>
        <w:rPr>
          <w:rStyle w:val="fontstyle21"/>
          <w:rFonts w:ascii="Times New Roman" w:hAnsi="Times New Roman"/>
          <w:color w:val="auto"/>
          <w:sz w:val="22"/>
          <w:szCs w:val="22"/>
        </w:rPr>
      </w:pPr>
      <w:r w:rsidRPr="007C0957">
        <w:rPr>
          <w:rStyle w:val="fontstyle21"/>
          <w:rFonts w:ascii="Times New Roman" w:hAnsi="Times New Roman"/>
          <w:color w:val="auto"/>
          <w:sz w:val="22"/>
          <w:szCs w:val="22"/>
        </w:rPr>
        <w:t>Ngày nhận bài: 19/</w:t>
      </w:r>
      <w:r w:rsidR="009C16DB" w:rsidRPr="007C0957">
        <w:rPr>
          <w:rStyle w:val="fontstyle21"/>
          <w:rFonts w:ascii="Times New Roman" w:hAnsi="Times New Roman"/>
          <w:color w:val="auto"/>
          <w:sz w:val="22"/>
          <w:szCs w:val="22"/>
          <w:lang w:val="en-US"/>
        </w:rPr>
        <w:t>06</w:t>
      </w:r>
      <w:r w:rsidRPr="007C0957">
        <w:rPr>
          <w:rStyle w:val="fontstyle21"/>
          <w:rFonts w:ascii="Times New Roman" w:hAnsi="Times New Roman"/>
          <w:color w:val="auto"/>
          <w:sz w:val="22"/>
          <w:szCs w:val="22"/>
        </w:rPr>
        <w:t>/202</w:t>
      </w:r>
      <w:r w:rsidR="009C16DB" w:rsidRPr="007C0957">
        <w:rPr>
          <w:rStyle w:val="fontstyle21"/>
          <w:rFonts w:ascii="Times New Roman" w:hAnsi="Times New Roman"/>
          <w:color w:val="auto"/>
          <w:sz w:val="22"/>
          <w:szCs w:val="22"/>
          <w:lang w:val="en-US"/>
        </w:rPr>
        <w:t>5</w:t>
      </w:r>
      <w:r w:rsidRPr="007C0957">
        <w:rPr>
          <w:rStyle w:val="fontstyle21"/>
          <w:rFonts w:ascii="Times New Roman" w:hAnsi="Times New Roman"/>
          <w:color w:val="auto"/>
          <w:sz w:val="22"/>
          <w:szCs w:val="22"/>
        </w:rPr>
        <w:t xml:space="preserve">; Ngày sửa bài: </w:t>
      </w:r>
      <w:r w:rsidR="009C16DB" w:rsidRPr="007C0957">
        <w:rPr>
          <w:rStyle w:val="fontstyle21"/>
          <w:rFonts w:ascii="Times New Roman" w:hAnsi="Times New Roman"/>
          <w:color w:val="auto"/>
          <w:sz w:val="22"/>
          <w:szCs w:val="22"/>
          <w:lang w:val="en-US"/>
        </w:rPr>
        <w:t>dd/mm/yyyy</w:t>
      </w:r>
      <w:r w:rsidRPr="007C0957">
        <w:rPr>
          <w:rStyle w:val="fontstyle21"/>
          <w:rFonts w:ascii="Times New Roman" w:hAnsi="Times New Roman"/>
          <w:color w:val="auto"/>
          <w:sz w:val="22"/>
          <w:szCs w:val="22"/>
        </w:rPr>
        <w:t>;</w:t>
      </w:r>
    </w:p>
    <w:p w14:paraId="75BFB95A" w14:textId="643F7643" w:rsidR="00B30812" w:rsidRPr="007C0957" w:rsidRDefault="00B30812" w:rsidP="007C0957">
      <w:pPr>
        <w:jc w:val="center"/>
        <w:rPr>
          <w:i/>
          <w:lang w:eastAsia="vi" w:bidi="en-US"/>
        </w:rPr>
      </w:pPr>
      <w:r w:rsidRPr="007C0957">
        <w:rPr>
          <w:rStyle w:val="fontstyle21"/>
          <w:rFonts w:ascii="Times New Roman" w:hAnsi="Times New Roman"/>
          <w:color w:val="auto"/>
          <w:sz w:val="22"/>
          <w:szCs w:val="22"/>
        </w:rPr>
        <w:t xml:space="preserve">Ngày nhận đăng: </w:t>
      </w:r>
      <w:r w:rsidR="009C16DB" w:rsidRPr="007C0957">
        <w:rPr>
          <w:rStyle w:val="fontstyle21"/>
          <w:rFonts w:ascii="Times New Roman" w:hAnsi="Times New Roman"/>
          <w:color w:val="auto"/>
          <w:sz w:val="22"/>
          <w:szCs w:val="22"/>
          <w:lang w:val="en-US"/>
        </w:rPr>
        <w:t>dd/mm/yyyy</w:t>
      </w:r>
      <w:r w:rsidRPr="007C0957">
        <w:rPr>
          <w:rStyle w:val="fontstyle21"/>
          <w:rFonts w:ascii="Times New Roman" w:hAnsi="Times New Roman"/>
          <w:color w:val="auto"/>
          <w:sz w:val="22"/>
          <w:szCs w:val="22"/>
        </w:rPr>
        <w:t xml:space="preserve">; Ngày xuất bản: </w:t>
      </w:r>
      <w:r w:rsidR="009C16DB" w:rsidRPr="007C0957">
        <w:rPr>
          <w:rStyle w:val="fontstyle21"/>
          <w:rFonts w:ascii="Times New Roman" w:hAnsi="Times New Roman"/>
          <w:color w:val="auto"/>
          <w:sz w:val="22"/>
          <w:szCs w:val="22"/>
          <w:lang w:val="en-US"/>
        </w:rPr>
        <w:t>dd/mm/yyyy</w:t>
      </w:r>
    </w:p>
    <w:p w14:paraId="57369F3D" w14:textId="77777777" w:rsidR="00B30812" w:rsidRDefault="00B30812" w:rsidP="007C0957">
      <w:pPr>
        <w:rPr>
          <w:lang w:val="en-US" w:eastAsia="vi" w:bidi="en-US"/>
        </w:rPr>
      </w:pPr>
    </w:p>
    <w:p w14:paraId="523A20E4" w14:textId="77777777" w:rsidR="007C0957" w:rsidRPr="007C0957" w:rsidRDefault="007C0957" w:rsidP="007C0957">
      <w:pPr>
        <w:rPr>
          <w:lang w:val="en-US" w:eastAsia="vi" w:bidi="en-US"/>
        </w:rPr>
      </w:pPr>
    </w:p>
    <w:p w14:paraId="6587D694" w14:textId="77777777" w:rsidR="00B30812" w:rsidRPr="00C30B02" w:rsidRDefault="00B30812" w:rsidP="00C30B02">
      <w:pPr>
        <w:tabs>
          <w:tab w:val="left" w:pos="360"/>
          <w:tab w:val="left" w:pos="540"/>
          <w:tab w:val="right" w:leader="hyphen" w:pos="9072"/>
        </w:tabs>
        <w:rPr>
          <w:b/>
        </w:rPr>
      </w:pPr>
      <w:r w:rsidRPr="00C30B02">
        <w:rPr>
          <w:b/>
        </w:rPr>
        <w:t>TÓM TẮT</w:t>
      </w:r>
    </w:p>
    <w:p w14:paraId="273FC96E" w14:textId="54F3AE13" w:rsidR="00B30812" w:rsidRPr="00DD28F2" w:rsidRDefault="004E2438" w:rsidP="007C0957">
      <w:pPr>
        <w:spacing w:before="120" w:after="120"/>
        <w:ind w:firstLine="567"/>
        <w:rPr>
          <w:color w:val="FF0000"/>
          <w:sz w:val="20"/>
          <w:szCs w:val="20"/>
          <w:lang w:val="en-US" w:eastAsia="vi" w:bidi="en-US"/>
        </w:rPr>
      </w:pPr>
      <w:r w:rsidRPr="00DD28F2">
        <w:rPr>
          <w:sz w:val="20"/>
          <w:szCs w:val="20"/>
          <w:lang w:val="vi" w:eastAsia="vi" w:bidi="en-US"/>
        </w:rPr>
        <w:t>Bài viết này trình bày kết quả nghiên cứu về ảnh hưởng của cấu trúc vốn đến hiệu suất của các công ty niêm yết công khai tại Việt Nam. ROE</w:t>
      </w:r>
      <w:r w:rsidR="007C0189" w:rsidRPr="00DD28F2">
        <w:rPr>
          <w:sz w:val="20"/>
          <w:szCs w:val="20"/>
          <w:lang w:val="en-US" w:eastAsia="vi" w:bidi="en-US"/>
        </w:rPr>
        <w:t xml:space="preserve"> (Tỷ suất lợi nhuận trên vốn chủ sở hữu)</w:t>
      </w:r>
      <w:r w:rsidRPr="00DD28F2">
        <w:rPr>
          <w:sz w:val="20"/>
          <w:szCs w:val="20"/>
          <w:lang w:val="vi" w:eastAsia="vi" w:bidi="en-US"/>
        </w:rPr>
        <w:t xml:space="preserve">, ROA </w:t>
      </w:r>
      <w:r w:rsidR="007C0189" w:rsidRPr="00DD28F2">
        <w:rPr>
          <w:sz w:val="20"/>
          <w:szCs w:val="20"/>
          <w:lang w:val="en-US" w:eastAsia="vi" w:bidi="en-US"/>
        </w:rPr>
        <w:t xml:space="preserve">(Tỷ suất lợi nhuận trên tài sản) </w:t>
      </w:r>
      <w:r w:rsidRPr="00DD28F2">
        <w:rPr>
          <w:sz w:val="20"/>
          <w:szCs w:val="20"/>
          <w:lang w:val="vi" w:eastAsia="vi" w:bidi="en-US"/>
        </w:rPr>
        <w:t>và EPS</w:t>
      </w:r>
      <w:r w:rsidR="000371E2" w:rsidRPr="00DD28F2">
        <w:rPr>
          <w:sz w:val="20"/>
          <w:szCs w:val="20"/>
          <w:lang w:val="en-US" w:eastAsia="vi" w:bidi="en-US"/>
        </w:rPr>
        <w:t xml:space="preserve"> (Thu nhập trên mỗi cổ phiếu)</w:t>
      </w:r>
      <w:r w:rsidRPr="00DD28F2">
        <w:rPr>
          <w:sz w:val="20"/>
          <w:szCs w:val="20"/>
          <w:lang w:val="vi" w:eastAsia="vi" w:bidi="en-US"/>
        </w:rPr>
        <w:t xml:space="preserve"> là các chỉ số hiệu suất được quan tâm. Cấu trúc tài chính của một doanh nghiệp được tính toán bằng tỷ lệ nợ trên tổng tài sản và tỷ lệ nợ trên vốn chủ sở hữu. Nghiên cứu sử dụng các mô hình hồi quy tuyến tính đa biến và dữ liệu bảng dựa trên báo cáo tài chính từ 749 doanh nghiệp niêm yết trên Sở Giao dịch Chứng khoán Thành phố Hồ Chí Minh và Hà Nội trong giai đoạn 2006 </w:t>
      </w:r>
      <w:r w:rsidR="0047335F" w:rsidRPr="00DD28F2">
        <w:rPr>
          <w:sz w:val="20"/>
          <w:szCs w:val="20"/>
          <w:lang w:val="vi" w:eastAsia="vi" w:bidi="en-US"/>
        </w:rPr>
        <w:t>–</w:t>
      </w:r>
      <w:r w:rsidRPr="00DD28F2">
        <w:rPr>
          <w:sz w:val="20"/>
          <w:szCs w:val="20"/>
          <w:lang w:val="vi" w:eastAsia="vi" w:bidi="en-US"/>
        </w:rPr>
        <w:t xml:space="preserve"> 2022</w:t>
      </w:r>
      <w:r w:rsidR="0047335F" w:rsidRPr="00DD28F2">
        <w:rPr>
          <w:sz w:val="20"/>
          <w:szCs w:val="20"/>
          <w:lang w:val="en-US" w:eastAsia="vi" w:bidi="en-US"/>
        </w:rPr>
        <w:t xml:space="preserve"> với 9.555 quan sát</w:t>
      </w:r>
      <w:r w:rsidRPr="00DD28F2">
        <w:rPr>
          <w:sz w:val="20"/>
          <w:szCs w:val="20"/>
          <w:lang w:val="vi" w:eastAsia="vi" w:bidi="en-US"/>
        </w:rPr>
        <w:t xml:space="preserve">. Kết quả cho thấy, </w:t>
      </w:r>
      <w:r w:rsidR="00383202" w:rsidRPr="00DD28F2">
        <w:rPr>
          <w:sz w:val="20"/>
          <w:szCs w:val="20"/>
          <w:lang w:val="vi" w:eastAsia="vi" w:bidi="en-US"/>
        </w:rPr>
        <w:t>đòn bẩy của công ty càng lớn thì lợi nhuận tăng trưởng càng chậm.</w:t>
      </w:r>
      <w:r w:rsidR="002F10D8" w:rsidRPr="00DD28F2">
        <w:rPr>
          <w:sz w:val="20"/>
          <w:szCs w:val="20"/>
          <w:lang w:val="en-US" w:eastAsia="vi" w:bidi="en-US"/>
        </w:rPr>
        <w:t xml:space="preserve"> Kết quả cho thấy đòn bẩy tài chính cao hơn liên quan đến lợi nhuận thấp hơn, phù hợp với các lý thuyết Trade-off, Pecking Order, Agency, và Signaling trong bối cảnh thị trường mới nổi của Việt Nam</w:t>
      </w:r>
      <w:r w:rsidR="007D5222" w:rsidRPr="00DD28F2">
        <w:rPr>
          <w:sz w:val="20"/>
          <w:szCs w:val="20"/>
          <w:lang w:val="en-US" w:eastAsia="vi" w:bidi="en-US"/>
        </w:rPr>
        <w:t xml:space="preserve">, </w:t>
      </w:r>
      <w:r w:rsidR="007D5222" w:rsidRPr="00DD28F2">
        <w:rPr>
          <w:color w:val="FF0000"/>
          <w:sz w:val="20"/>
          <w:szCs w:val="20"/>
          <w:lang w:val="en-US" w:eastAsia="vi" w:bidi="en-US"/>
        </w:rPr>
        <w:t>nơi chi phí phá sản và xung đột đại diện được phóng đại do bất ổn kinh tế vĩ mô. Kết quả vẫn nhất quán sau khi kiểm soát nội sinh bằng 2SLS và GMM hệ thống.</w:t>
      </w:r>
    </w:p>
    <w:p w14:paraId="551F3662" w14:textId="656939BC" w:rsidR="00B30812" w:rsidRPr="00DD28F2" w:rsidRDefault="00B30812" w:rsidP="00C30B02">
      <w:pPr>
        <w:spacing w:before="120" w:after="240"/>
        <w:rPr>
          <w:b/>
          <w:sz w:val="20"/>
          <w:szCs w:val="20"/>
          <w:lang w:val="en-US" w:eastAsia="vi" w:bidi="en-US"/>
        </w:rPr>
      </w:pPr>
      <w:r w:rsidRPr="00DD28F2">
        <w:rPr>
          <w:b/>
          <w:sz w:val="20"/>
          <w:szCs w:val="20"/>
          <w:lang w:eastAsia="vi" w:bidi="en-US"/>
        </w:rPr>
        <w:t xml:space="preserve">Từ khoá: </w:t>
      </w:r>
      <w:r w:rsidR="007C0957" w:rsidRPr="00DD28F2">
        <w:rPr>
          <w:i/>
          <w:iCs/>
          <w:sz w:val="20"/>
          <w:szCs w:val="20"/>
          <w:lang w:eastAsia="vi" w:bidi="en-US"/>
        </w:rPr>
        <w:t>cấu trúc vốn, đòn bẩy, hiệu suất doanh nghiệp, Mô hình tác động ngẫu nhiên, OLS (Phương pháp Bình phương Tối thiểu Thông thường)</w:t>
      </w:r>
    </w:p>
    <w:p w14:paraId="0C4FA0F9" w14:textId="007EE15D" w:rsidR="00B30812" w:rsidRPr="00FD6A15" w:rsidRDefault="00B30812" w:rsidP="007C0957">
      <w:pPr>
        <w:rPr>
          <w:lang w:val="en-US"/>
        </w:rPr>
      </w:pPr>
      <w:r w:rsidRPr="00FD6A15">
        <w:rPr>
          <w:lang w:val="en-US"/>
        </w:rPr>
        <w:br w:type="page"/>
      </w:r>
    </w:p>
    <w:p w14:paraId="107526EA" w14:textId="77777777" w:rsidR="00C30B02" w:rsidRDefault="00C30B02" w:rsidP="00C30B02">
      <w:pPr>
        <w:rPr>
          <w:lang w:val="en-US" w:eastAsia="vi" w:bidi="en-US"/>
        </w:rPr>
      </w:pPr>
    </w:p>
    <w:p w14:paraId="589FADEE" w14:textId="77777777" w:rsidR="00C30B02" w:rsidRDefault="00C30B02" w:rsidP="00C30B02">
      <w:pPr>
        <w:rPr>
          <w:lang w:val="en-US" w:eastAsia="vi" w:bidi="en-US"/>
        </w:rPr>
      </w:pPr>
    </w:p>
    <w:p w14:paraId="4677BAC1" w14:textId="7962A6A3" w:rsidR="005C6ACD" w:rsidRPr="00C30B02" w:rsidRDefault="005C6ACD" w:rsidP="00C30B02">
      <w:pPr>
        <w:tabs>
          <w:tab w:val="left" w:pos="734"/>
        </w:tabs>
        <w:jc w:val="center"/>
        <w:rPr>
          <w:rFonts w:ascii="Arial" w:hAnsi="Arial" w:cs="Arial"/>
          <w:b/>
          <w:sz w:val="32"/>
          <w:szCs w:val="32"/>
          <w:lang w:val="vi" w:eastAsia="vi" w:bidi="en-US"/>
        </w:rPr>
      </w:pPr>
      <w:r w:rsidRPr="00C30B02">
        <w:rPr>
          <w:rFonts w:ascii="Arial" w:hAnsi="Arial" w:cs="Arial"/>
          <w:b/>
          <w:sz w:val="32"/>
          <w:szCs w:val="32"/>
          <w:lang w:val="vi" w:eastAsia="vi" w:bidi="en-US"/>
        </w:rPr>
        <w:t>Examining the Impact of Leverage on Corporate Performance: Insights from Vietnam's Publicly-Listed Companies</w:t>
      </w:r>
    </w:p>
    <w:p w14:paraId="70091219" w14:textId="77777777" w:rsidR="00C30B02" w:rsidRDefault="00C30B02" w:rsidP="00C30B02">
      <w:pPr>
        <w:rPr>
          <w:lang w:val="en-US"/>
        </w:rPr>
      </w:pPr>
    </w:p>
    <w:p w14:paraId="17F258A9" w14:textId="0585909A" w:rsidR="001E4117" w:rsidRPr="00FD6A15" w:rsidRDefault="001E4117" w:rsidP="005E7788">
      <w:pPr>
        <w:jc w:val="center"/>
        <w:rPr>
          <w:sz w:val="24"/>
          <w:szCs w:val="24"/>
          <w:vertAlign w:val="superscript"/>
          <w:lang w:val="en-US"/>
        </w:rPr>
      </w:pPr>
      <w:r w:rsidRPr="00FD6A15">
        <w:rPr>
          <w:b/>
          <w:bCs/>
          <w:sz w:val="24"/>
          <w:szCs w:val="24"/>
        </w:rPr>
        <w:t>Dang Thi My Dung</w:t>
      </w:r>
      <w:r w:rsidRPr="00FD6A15">
        <w:rPr>
          <w:b/>
          <w:bCs/>
          <w:sz w:val="24"/>
          <w:szCs w:val="24"/>
          <w:vertAlign w:val="superscript"/>
          <w:lang w:val="en-US"/>
        </w:rPr>
        <w:t>1</w:t>
      </w:r>
      <w:r w:rsidR="00B51B7A" w:rsidRPr="00FD6A15">
        <w:rPr>
          <w:b/>
          <w:bCs/>
          <w:sz w:val="24"/>
          <w:szCs w:val="24"/>
          <w:vertAlign w:val="superscript"/>
          <w:lang w:val="en-US"/>
        </w:rPr>
        <w:t>,*</w:t>
      </w:r>
      <w:r w:rsidRPr="00FD6A15">
        <w:rPr>
          <w:b/>
          <w:bCs/>
          <w:sz w:val="24"/>
          <w:szCs w:val="24"/>
          <w:lang w:val="en-US"/>
        </w:rPr>
        <w:t xml:space="preserve">, </w:t>
      </w:r>
      <w:r w:rsidRPr="00FD6A15">
        <w:rPr>
          <w:b/>
          <w:bCs/>
          <w:sz w:val="24"/>
          <w:szCs w:val="24"/>
        </w:rPr>
        <w:t>Nguyen Thi My Hang</w:t>
      </w:r>
      <w:r w:rsidRPr="00FD6A15">
        <w:rPr>
          <w:b/>
          <w:bCs/>
          <w:sz w:val="24"/>
          <w:szCs w:val="24"/>
          <w:vertAlign w:val="superscript"/>
          <w:lang w:val="en-US"/>
        </w:rPr>
        <w:t>2</w:t>
      </w:r>
      <w:r w:rsidRPr="00FD6A15">
        <w:rPr>
          <w:b/>
          <w:bCs/>
          <w:sz w:val="24"/>
          <w:szCs w:val="24"/>
        </w:rPr>
        <w:t xml:space="preserve">, </w:t>
      </w:r>
      <w:r w:rsidR="008C2DA6" w:rsidRPr="00FD6A15">
        <w:rPr>
          <w:b/>
          <w:bCs/>
          <w:sz w:val="24"/>
          <w:szCs w:val="24"/>
          <w:lang w:val="en-US"/>
        </w:rPr>
        <w:t>Tran Nhu Quynh</w:t>
      </w:r>
      <w:r w:rsidRPr="00FD6A15">
        <w:rPr>
          <w:b/>
          <w:bCs/>
          <w:sz w:val="24"/>
          <w:szCs w:val="24"/>
          <w:vertAlign w:val="superscript"/>
          <w:lang w:val="en-US"/>
        </w:rPr>
        <w:t>3</w:t>
      </w:r>
    </w:p>
    <w:p w14:paraId="7FF7776C" w14:textId="77777777" w:rsidR="00C30B02" w:rsidRDefault="00C30B02" w:rsidP="00C30B02">
      <w:pPr>
        <w:rPr>
          <w:vertAlign w:val="superscript"/>
          <w:lang w:val="en-US"/>
        </w:rPr>
      </w:pPr>
    </w:p>
    <w:p w14:paraId="796AB479" w14:textId="6A454F13" w:rsidR="000D6833" w:rsidRPr="00C30B02" w:rsidRDefault="001E4117" w:rsidP="00C30B02">
      <w:pPr>
        <w:jc w:val="center"/>
        <w:rPr>
          <w:i/>
          <w:iCs/>
          <w:lang w:val="en-US"/>
        </w:rPr>
      </w:pPr>
      <w:r w:rsidRPr="00C30B02">
        <w:rPr>
          <w:i/>
          <w:iCs/>
          <w:vertAlign w:val="superscript"/>
          <w:lang w:val="en-US"/>
        </w:rPr>
        <w:t>1</w:t>
      </w:r>
      <w:r w:rsidR="000D6833" w:rsidRPr="00C30B02">
        <w:rPr>
          <w:i/>
          <w:iCs/>
        </w:rPr>
        <w:t xml:space="preserve"> Foreign Trade University </w:t>
      </w:r>
      <w:r w:rsidRPr="00C30B02">
        <w:rPr>
          <w:i/>
          <w:iCs/>
        </w:rPr>
        <w:t>–</w:t>
      </w:r>
      <w:r w:rsidR="000D6833" w:rsidRPr="00C30B02">
        <w:rPr>
          <w:i/>
          <w:iCs/>
        </w:rPr>
        <w:t xml:space="preserve"> Vietnam</w:t>
      </w:r>
      <w:r w:rsidR="00561EE7" w:rsidRPr="00C30B02">
        <w:rPr>
          <w:i/>
          <w:iCs/>
          <w:lang w:val="en-US"/>
        </w:rPr>
        <w:t xml:space="preserve"> &amp; </w:t>
      </w:r>
      <w:r w:rsidR="00561EE7" w:rsidRPr="00C30B02">
        <w:rPr>
          <w:i/>
          <w:iCs/>
        </w:rPr>
        <w:t xml:space="preserve">University of </w:t>
      </w:r>
      <w:r w:rsidR="00561EE7" w:rsidRPr="00C30B02">
        <w:rPr>
          <w:i/>
          <w:iCs/>
          <w:lang w:val="en-US"/>
        </w:rPr>
        <w:t xml:space="preserve"> Greater Manchester</w:t>
      </w:r>
      <w:r w:rsidR="00561EE7" w:rsidRPr="00C30B02">
        <w:rPr>
          <w:i/>
          <w:iCs/>
        </w:rPr>
        <w:t xml:space="preserve"> – </w:t>
      </w:r>
      <w:r w:rsidR="00561EE7" w:rsidRPr="00C30B02">
        <w:rPr>
          <w:i/>
          <w:iCs/>
          <w:lang w:val="en-US"/>
        </w:rPr>
        <w:t>United Kingdom</w:t>
      </w:r>
      <w:r w:rsidR="00561EE7" w:rsidRPr="00C30B02">
        <w:rPr>
          <w:i/>
          <w:iCs/>
        </w:rPr>
        <w:t xml:space="preserve"> </w:t>
      </w:r>
      <w:r w:rsidRPr="00C30B02">
        <w:rPr>
          <w:i/>
          <w:iCs/>
          <w:lang w:val="en-US"/>
        </w:rPr>
        <w:br/>
      </w:r>
      <w:r w:rsidRPr="00C30B02">
        <w:rPr>
          <w:i/>
          <w:iCs/>
          <w:vertAlign w:val="superscript"/>
          <w:lang w:val="en-US"/>
        </w:rPr>
        <w:t>2,3</w:t>
      </w:r>
      <w:r w:rsidR="000D6833" w:rsidRPr="00C30B02">
        <w:rPr>
          <w:i/>
          <w:iCs/>
        </w:rPr>
        <w:t>Foreign Trade University - Vietnam</w:t>
      </w:r>
    </w:p>
    <w:p w14:paraId="550978E8" w14:textId="77777777" w:rsidR="00C30B02" w:rsidRDefault="00C30B02" w:rsidP="00C30B02">
      <w:pPr>
        <w:rPr>
          <w:vertAlign w:val="superscript"/>
          <w:lang w:val="en-US"/>
        </w:rPr>
      </w:pPr>
    </w:p>
    <w:p w14:paraId="139F6515" w14:textId="5F3D7DA1" w:rsidR="00B30563" w:rsidRPr="00C30B02" w:rsidRDefault="001E4117" w:rsidP="00C30B02">
      <w:pPr>
        <w:jc w:val="center"/>
        <w:rPr>
          <w:lang w:val="en-US"/>
        </w:rPr>
      </w:pPr>
      <w:r w:rsidRPr="00C30B02">
        <w:rPr>
          <w:i/>
          <w:iCs/>
          <w:vertAlign w:val="superscript"/>
          <w:lang w:val="en-US"/>
        </w:rPr>
        <w:t>*</w:t>
      </w:r>
      <w:r w:rsidR="00B30563" w:rsidRPr="00C30B02">
        <w:rPr>
          <w:i/>
          <w:iCs/>
          <w:lang w:val="en-US"/>
        </w:rPr>
        <w:t xml:space="preserve">Corresponding author: </w:t>
      </w:r>
      <w:hyperlink r:id="rId11" w:history="1">
        <w:r w:rsidR="008A64F6" w:rsidRPr="00C30B02">
          <w:rPr>
            <w:rStyle w:val="Hyperlink"/>
            <w:i/>
            <w:iCs/>
            <w:color w:val="auto"/>
            <w:lang w:val="en-US"/>
          </w:rPr>
          <w:t>dangthimydung.cs2@ftu.edu.vn</w:t>
        </w:r>
      </w:hyperlink>
      <w:r w:rsidR="00561EE7" w:rsidRPr="00C30B02">
        <w:rPr>
          <w:rStyle w:val="Hyperlink"/>
          <w:i/>
          <w:iCs/>
          <w:color w:val="auto"/>
          <w:lang w:val="en-US"/>
        </w:rPr>
        <w:t xml:space="preserve"> &amp; </w:t>
      </w:r>
      <w:hyperlink r:id="rId12" w:history="1">
        <w:r w:rsidR="00561EE7" w:rsidRPr="00C30B02">
          <w:rPr>
            <w:rStyle w:val="Hyperlink"/>
            <w:i/>
            <w:iCs/>
            <w:color w:val="auto"/>
            <w:lang w:val="en-US"/>
          </w:rPr>
          <w:t>dtd1ocd@bolton.ac.uk</w:t>
        </w:r>
      </w:hyperlink>
      <w:r w:rsidR="00561EE7" w:rsidRPr="00C30B02">
        <w:rPr>
          <w:i/>
          <w:iCs/>
          <w:lang w:val="en-US"/>
        </w:rPr>
        <w:t>;</w:t>
      </w:r>
    </w:p>
    <w:p w14:paraId="4A6F373C" w14:textId="77777777" w:rsidR="00C30B02" w:rsidRDefault="00C30B02" w:rsidP="00C30B02">
      <w:pPr>
        <w:rPr>
          <w:lang w:val="en-US"/>
        </w:rPr>
      </w:pPr>
    </w:p>
    <w:p w14:paraId="6C7E2237" w14:textId="77777777" w:rsidR="00C30B02" w:rsidRDefault="00171304" w:rsidP="00C30B02">
      <w:pPr>
        <w:ind w:right="68"/>
        <w:jc w:val="center"/>
        <w:rPr>
          <w:i/>
          <w:lang w:val="en-US"/>
        </w:rPr>
      </w:pPr>
      <w:r w:rsidRPr="00C30B02">
        <w:rPr>
          <w:i/>
        </w:rPr>
        <w:t>Received: dd/mm/yyyy; Revised: dd/mm/yyyy;</w:t>
      </w:r>
    </w:p>
    <w:p w14:paraId="3D961538" w14:textId="09B7D54A" w:rsidR="00171304" w:rsidRPr="00C30B02" w:rsidRDefault="00171304" w:rsidP="00C30B02">
      <w:pPr>
        <w:ind w:right="68"/>
        <w:jc w:val="center"/>
        <w:rPr>
          <w:i/>
        </w:rPr>
      </w:pPr>
      <w:r w:rsidRPr="00C30B02">
        <w:rPr>
          <w:i/>
        </w:rPr>
        <w:t>Accepted: dd/mm/yyyy; Published: dd/mm/yyyy</w:t>
      </w:r>
    </w:p>
    <w:p w14:paraId="234D20C3" w14:textId="77777777" w:rsidR="00C30B02" w:rsidRDefault="00C30B02" w:rsidP="00C30B02">
      <w:pPr>
        <w:rPr>
          <w:lang w:val="en-US"/>
        </w:rPr>
      </w:pPr>
    </w:p>
    <w:p w14:paraId="7B039149" w14:textId="77777777" w:rsidR="00C30B02" w:rsidRDefault="00C30B02" w:rsidP="00C30B02">
      <w:pPr>
        <w:rPr>
          <w:lang w:val="en-US"/>
        </w:rPr>
      </w:pPr>
    </w:p>
    <w:p w14:paraId="1C3D7B1D" w14:textId="6EC8AACB" w:rsidR="00A164F0" w:rsidRPr="00DB3658" w:rsidRDefault="00A164F0" w:rsidP="00DB3658">
      <w:pPr>
        <w:tabs>
          <w:tab w:val="left" w:pos="360"/>
          <w:tab w:val="left" w:pos="540"/>
          <w:tab w:val="right" w:leader="hyphen" w:pos="9072"/>
        </w:tabs>
        <w:rPr>
          <w:b/>
        </w:rPr>
      </w:pPr>
      <w:r w:rsidRPr="00DB3658">
        <w:rPr>
          <w:b/>
        </w:rPr>
        <w:t>ABSTRACT</w:t>
      </w:r>
    </w:p>
    <w:p w14:paraId="20CD58DA" w14:textId="3E1A845E" w:rsidR="00814F3D" w:rsidRPr="00DD28F2" w:rsidRDefault="007F4CD4" w:rsidP="00C30B02">
      <w:pPr>
        <w:spacing w:before="120" w:after="120"/>
        <w:ind w:firstLine="567"/>
        <w:rPr>
          <w:color w:val="FF0000"/>
          <w:sz w:val="20"/>
          <w:szCs w:val="20"/>
          <w:lang w:val="en-US"/>
        </w:rPr>
      </w:pPr>
      <w:r w:rsidRPr="00DD28F2">
        <w:rPr>
          <w:sz w:val="20"/>
          <w:szCs w:val="20"/>
        </w:rPr>
        <w:t xml:space="preserve">This article presents </w:t>
      </w:r>
      <w:r w:rsidR="00A910E6" w:rsidRPr="00DD28F2">
        <w:rPr>
          <w:sz w:val="20"/>
          <w:szCs w:val="20"/>
          <w:lang w:val="en-US"/>
        </w:rPr>
        <w:t>the</w:t>
      </w:r>
      <w:r w:rsidRPr="00DD28F2">
        <w:rPr>
          <w:sz w:val="20"/>
          <w:szCs w:val="20"/>
        </w:rPr>
        <w:t xml:space="preserve"> result</w:t>
      </w:r>
      <w:r w:rsidR="00A910E6" w:rsidRPr="00DD28F2">
        <w:rPr>
          <w:sz w:val="20"/>
          <w:szCs w:val="20"/>
          <w:lang w:val="en-US"/>
        </w:rPr>
        <w:t>s</w:t>
      </w:r>
      <w:r w:rsidRPr="00DD28F2">
        <w:rPr>
          <w:sz w:val="20"/>
          <w:szCs w:val="20"/>
        </w:rPr>
        <w:t xml:space="preserve"> of the impact of capital structure on the performance of publicly-listed companies in Vietnam. ROE, ROA, and EPS are the performance metrics of interest. The financial structure of a business is calculated by the ratio of debt to total assets and debt to equity. The study uses multiple linear regression models and panel data based on financial statements from 749 enterprises listed on the Ho Chi Minh City and Hanoi Stock Exchanges in the period 2006 </w:t>
      </w:r>
      <w:r w:rsidR="00B93B64" w:rsidRPr="00DD28F2">
        <w:rPr>
          <w:sz w:val="20"/>
          <w:szCs w:val="20"/>
        </w:rPr>
        <w:t>–</w:t>
      </w:r>
      <w:r w:rsidRPr="00DD28F2">
        <w:rPr>
          <w:sz w:val="20"/>
          <w:szCs w:val="20"/>
        </w:rPr>
        <w:t xml:space="preserve"> 2022</w:t>
      </w:r>
      <w:r w:rsidR="00B93B64" w:rsidRPr="00DD28F2">
        <w:rPr>
          <w:sz w:val="20"/>
          <w:szCs w:val="20"/>
          <w:lang w:val="en-US"/>
        </w:rPr>
        <w:t>, yielding 9,555 observations.</w:t>
      </w:r>
      <w:r w:rsidRPr="00DD28F2">
        <w:rPr>
          <w:sz w:val="20"/>
          <w:szCs w:val="20"/>
        </w:rPr>
        <w:t xml:space="preserve"> </w:t>
      </w:r>
      <w:r w:rsidR="009059A9" w:rsidRPr="00DD28F2">
        <w:rPr>
          <w:sz w:val="20"/>
          <w:szCs w:val="20"/>
          <w:lang w:val="en-US"/>
        </w:rPr>
        <w:t>The results indicate that higher financial leverage is associated with lower profitability, aligning with Trade-off, Pecking Order, Agency, and Signaling theories in Vietnam's emerging market context</w:t>
      </w:r>
      <w:r w:rsidR="00814F3D" w:rsidRPr="00DD28F2">
        <w:rPr>
          <w:sz w:val="20"/>
          <w:szCs w:val="20"/>
          <w:lang w:val="en-US"/>
        </w:rPr>
        <w:t xml:space="preserve">, </w:t>
      </w:r>
      <w:r w:rsidR="00814F3D" w:rsidRPr="00DD28F2">
        <w:rPr>
          <w:color w:val="FF0000"/>
          <w:sz w:val="20"/>
          <w:szCs w:val="20"/>
          <w:lang w:val="en-US"/>
        </w:rPr>
        <w:t>where bankruptcy costs and agency conflicts are amplified by macroeconomic instability. Findings are robust after controlling for endogeneity using 2SLS and System GMM.</w:t>
      </w:r>
    </w:p>
    <w:p w14:paraId="4C2D5FD4" w14:textId="508F3411" w:rsidR="00A164F0" w:rsidRPr="00DD28F2" w:rsidRDefault="007F4CD4" w:rsidP="00C30B02">
      <w:pPr>
        <w:spacing w:before="120" w:after="240"/>
        <w:rPr>
          <w:i/>
          <w:iCs/>
          <w:sz w:val="20"/>
          <w:szCs w:val="20"/>
          <w:lang w:val="en-US"/>
        </w:rPr>
      </w:pPr>
      <w:r w:rsidRPr="00DD28F2">
        <w:rPr>
          <w:b/>
          <w:sz w:val="20"/>
          <w:szCs w:val="20"/>
        </w:rPr>
        <w:t>Keywords:</w:t>
      </w:r>
      <w:r w:rsidRPr="00DD28F2">
        <w:rPr>
          <w:sz w:val="20"/>
          <w:szCs w:val="20"/>
        </w:rPr>
        <w:t xml:space="preserve"> </w:t>
      </w:r>
      <w:r w:rsidR="003D6418" w:rsidRPr="00DD28F2">
        <w:rPr>
          <w:i/>
          <w:iCs/>
          <w:sz w:val="20"/>
          <w:szCs w:val="20"/>
          <w:lang w:val="en-US"/>
        </w:rPr>
        <w:t>c</w:t>
      </w:r>
      <w:r w:rsidR="003D6418" w:rsidRPr="00DD28F2">
        <w:rPr>
          <w:i/>
          <w:iCs/>
          <w:sz w:val="20"/>
          <w:szCs w:val="20"/>
        </w:rPr>
        <w:t xml:space="preserve">apital structure, </w:t>
      </w:r>
      <w:r w:rsidR="003D6418" w:rsidRPr="00DD28F2">
        <w:rPr>
          <w:i/>
          <w:iCs/>
          <w:sz w:val="20"/>
          <w:szCs w:val="20"/>
          <w:lang w:val="en-US"/>
        </w:rPr>
        <w:t>f</w:t>
      </w:r>
      <w:r w:rsidR="003D6418" w:rsidRPr="00DD28F2">
        <w:rPr>
          <w:i/>
          <w:iCs/>
          <w:sz w:val="20"/>
          <w:szCs w:val="20"/>
        </w:rPr>
        <w:t xml:space="preserve">irm performance, </w:t>
      </w:r>
      <w:r w:rsidR="003D6418" w:rsidRPr="00DD28F2">
        <w:rPr>
          <w:i/>
          <w:iCs/>
          <w:sz w:val="20"/>
          <w:szCs w:val="20"/>
          <w:lang w:val="en-US"/>
        </w:rPr>
        <w:t>l</w:t>
      </w:r>
      <w:r w:rsidRPr="00DD28F2">
        <w:rPr>
          <w:i/>
          <w:iCs/>
          <w:sz w:val="20"/>
          <w:szCs w:val="20"/>
        </w:rPr>
        <w:t>everage, OLS</w:t>
      </w:r>
      <w:r w:rsidR="00F85597" w:rsidRPr="00DD28F2">
        <w:rPr>
          <w:i/>
          <w:iCs/>
          <w:sz w:val="20"/>
          <w:szCs w:val="20"/>
          <w:lang w:val="en-US"/>
        </w:rPr>
        <w:t xml:space="preserve">, </w:t>
      </w:r>
      <w:r w:rsidR="00B97352" w:rsidRPr="00DD28F2">
        <w:rPr>
          <w:i/>
          <w:iCs/>
          <w:sz w:val="20"/>
          <w:szCs w:val="20"/>
          <w:lang w:val="en-US"/>
        </w:rPr>
        <w:t>Random Effects Model (</w:t>
      </w:r>
      <w:r w:rsidR="00F85597" w:rsidRPr="00DD28F2">
        <w:rPr>
          <w:i/>
          <w:iCs/>
          <w:sz w:val="20"/>
          <w:szCs w:val="20"/>
          <w:lang w:val="en-US"/>
        </w:rPr>
        <w:t>REM</w:t>
      </w:r>
      <w:r w:rsidR="00B97352" w:rsidRPr="00DD28F2">
        <w:rPr>
          <w:i/>
          <w:iCs/>
          <w:sz w:val="20"/>
          <w:szCs w:val="20"/>
          <w:lang w:val="en-US"/>
        </w:rPr>
        <w:t>)</w:t>
      </w:r>
    </w:p>
    <w:p w14:paraId="4D9CCF79" w14:textId="77777777" w:rsidR="0036414F" w:rsidRPr="00C30B02" w:rsidRDefault="0036414F" w:rsidP="00EA4B92">
      <w:pPr>
        <w:pStyle w:val="Heading2"/>
        <w:sectPr w:rsidR="0036414F" w:rsidRPr="00C30B02" w:rsidSect="007C0957">
          <w:pgSz w:w="11906" w:h="16838"/>
          <w:pgMar w:top="1134" w:right="1134" w:bottom="1134" w:left="1418" w:header="720" w:footer="720" w:gutter="0"/>
          <w:pgNumType w:start="1"/>
          <w:cols w:space="720"/>
          <w:docGrid w:linePitch="354"/>
        </w:sectPr>
      </w:pPr>
      <w:bookmarkStart w:id="0" w:name="_heading=h.gjdgxs" w:colFirst="0" w:colLast="0"/>
      <w:bookmarkEnd w:id="0"/>
    </w:p>
    <w:p w14:paraId="03C22202" w14:textId="202B39BF" w:rsidR="00657418" w:rsidRPr="00C30B02" w:rsidRDefault="00DD28F2" w:rsidP="00EA4B92">
      <w:pPr>
        <w:pStyle w:val="Heading1"/>
        <w:rPr>
          <w:lang w:val="en-US"/>
        </w:rPr>
      </w:pPr>
      <w:r>
        <w:rPr>
          <w:lang w:val="en-US"/>
        </w:rPr>
        <w:t xml:space="preserve">1. </w:t>
      </w:r>
      <w:r w:rsidR="007F6984" w:rsidRPr="00C30B02">
        <w:rPr>
          <w:lang w:val="en-US"/>
        </w:rPr>
        <w:t>INTRODUCTION</w:t>
      </w:r>
    </w:p>
    <w:p w14:paraId="499F5FF9" w14:textId="68818D76" w:rsidR="00657418" w:rsidRPr="00C30B02" w:rsidRDefault="007F4CD4" w:rsidP="00C30B02">
      <w:r w:rsidRPr="00C30B02">
        <w:t>Capital structure is one of the key decisions in the field of corporate finance and refers to how a company finances its assets by combining liabilities and equity</w:t>
      </w:r>
      <w:r w:rsidR="009A66E5" w:rsidRPr="00C30B02">
        <w:t xml:space="preserve"> (Modigliani and Miller, 1958)</w:t>
      </w:r>
      <w:r w:rsidRPr="00C30B02">
        <w:t>. The decision on capital structure is an important issue when there is a need to maximize profits as well as consider a business's ability to cope in a competitive environment</w:t>
      </w:r>
      <w:r w:rsidR="00DD55A5" w:rsidRPr="00C30B02">
        <w:t xml:space="preserve"> (Myers, 2001)</w:t>
      </w:r>
      <w:r w:rsidRPr="00C30B02">
        <w:t>. </w:t>
      </w:r>
    </w:p>
    <w:p w14:paraId="0231A49C" w14:textId="42D9BF42" w:rsidR="00657418" w:rsidRPr="00C30B02" w:rsidRDefault="007F4CD4" w:rsidP="00C30B02">
      <w:r w:rsidRPr="00C30B02">
        <w:rPr>
          <w:highlight w:val="white"/>
        </w:rPr>
        <w:t xml:space="preserve">Numerous hypotheses have been proposed to explain the capital structure decisions on company earnings. </w:t>
      </w:r>
      <w:r w:rsidR="008C0E04" w:rsidRPr="00C30B02">
        <w:t>According to</w:t>
      </w:r>
      <w:r w:rsidR="00384073" w:rsidRPr="00C30B02">
        <w:t xml:space="preserve"> (Gul and Cho, 2019)</w:t>
      </w:r>
      <w:r w:rsidR="008C0E04" w:rsidRPr="00C30B02">
        <w:t xml:space="preserve">, the study </w:t>
      </w:r>
      <w:r w:rsidRPr="00C30B02">
        <w:t>focused on understanding the impact of capital structure on the performance of listed companies in Ghana, research results show that leverage is positively related to company performance and this result is similar to</w:t>
      </w:r>
      <w:r w:rsidR="005D25F1" w:rsidRPr="00C30B02">
        <w:t xml:space="preserve"> Hongli et al. (2019)</w:t>
      </w:r>
      <w:r w:rsidRPr="00C30B02">
        <w:t xml:space="preserve">. </w:t>
      </w:r>
      <w:r w:rsidR="00721A29" w:rsidRPr="00C30B02">
        <w:t xml:space="preserve">For instance, Abor (2005) found a positive relationship between leverage and performance in Ghanaian firms, consistent with Margaritis and Psillaki (2010). </w:t>
      </w:r>
      <w:r w:rsidRPr="00C30B02">
        <w:t>Other studies</w:t>
      </w:r>
      <w:r w:rsidRPr="00C30B02">
        <w:rPr>
          <w:highlight w:val="white"/>
        </w:rPr>
        <w:t xml:space="preserve"> by </w:t>
      </w:r>
      <w:r w:rsidR="00FE491E" w:rsidRPr="00C30B02">
        <w:t>Muritala (2012) and Bui and Nguyen (2016)</w:t>
      </w:r>
      <w:r w:rsidRPr="00C30B02">
        <w:t xml:space="preserve"> </w:t>
      </w:r>
      <w:r w:rsidRPr="00C30B02">
        <w:rPr>
          <w:highlight w:val="white"/>
        </w:rPr>
        <w:t xml:space="preserve">indicate that higher debt levels can reduce firm profitability. </w:t>
      </w:r>
      <w:r w:rsidRPr="00C30B02">
        <w:t xml:space="preserve">The lack of a consensus about the impact of leverage on firm performance necessitated the need for this research. This paper </w:t>
      </w:r>
      <w:r w:rsidRPr="00C30B02">
        <w:t>examines the relationship between capital structure and profitability of companies listed on the Ho Chi Minh and Ha Noi Stock Exchange during the period 2006 - 2022. The effect of capital structure on the profitability of listed firms in Vietnam is a scientific area that has not yet been thoroughly explored in Vietnam finance literature.</w:t>
      </w:r>
    </w:p>
    <w:p w14:paraId="5436D13C" w14:textId="2402A33C" w:rsidR="002E6B04" w:rsidRPr="00C30B02" w:rsidRDefault="00C13977" w:rsidP="00C30B02">
      <w:r w:rsidRPr="00C30B02">
        <w:t>The Vietnamese finance literature lacks comprehensive studies addressing endogeneity with long-term unbalanced panel data, which this study fills by empirically testing Trade-off, Pecking Order, Agency, and Signaling theories in the Vietnamese context, using advanced techniques like GMM for robustness.</w:t>
      </w:r>
      <w:r w:rsidR="00BA3A6C" w:rsidRPr="00C30B02">
        <w:t xml:space="preserve"> </w:t>
      </w:r>
      <w:r w:rsidR="002E6B04" w:rsidRPr="00C30B02">
        <w:t>This study contributes theoretically by refining prior theories (e.g., extending Agency Theory to show amplified costs in emerging markets with weak institutions). Empirically, it utilizes the largest dataset (9,555 obs. over 17 years) to update and extend earlier research (e.g., Nguyen et al., 2020; Le et al., 2023; Phan et al., 2025), solving gaps in endogeneity handling and panel bias. Practically, findings inform policymakers on leverage management in post-COVID and high-inflation contexts in Vietnam.</w:t>
      </w:r>
    </w:p>
    <w:p w14:paraId="51957B82" w14:textId="5605BAAB" w:rsidR="002E6B04" w:rsidRPr="00C30B02" w:rsidRDefault="002E6B04" w:rsidP="00C30B02">
      <w:r w:rsidRPr="00C30B02">
        <w:t xml:space="preserve">This research will start by mentioning a literature review of previous studies on the impact of financial leverage on firm performance. Then, a </w:t>
      </w:r>
      <w:r w:rsidRPr="00C30B02">
        <w:lastRenderedPageBreak/>
        <w:t>general model will be developed with formulas to calculate variables. Next, we will generate and interpret the research. Finally, we will conclude and give recommendations.</w:t>
      </w:r>
    </w:p>
    <w:p w14:paraId="0B92BE3C" w14:textId="7F984DC1" w:rsidR="00657418" w:rsidRPr="00FD6A15" w:rsidRDefault="00EA4B92" w:rsidP="00EA4B92">
      <w:pPr>
        <w:pStyle w:val="Heading1"/>
      </w:pPr>
      <w:bookmarkStart w:id="1" w:name="_heading=h.30j0zll" w:colFirst="0" w:colLast="0"/>
      <w:bookmarkEnd w:id="1"/>
      <w:r>
        <w:rPr>
          <w:lang w:val="en-US"/>
        </w:rPr>
        <w:t xml:space="preserve">2. </w:t>
      </w:r>
      <w:r w:rsidR="007F6984" w:rsidRPr="00FD6A15">
        <w:t xml:space="preserve">LITERATURE REVIEW </w:t>
      </w:r>
    </w:p>
    <w:p w14:paraId="5FCD5AA4" w14:textId="46027800" w:rsidR="00DC033F" w:rsidRPr="00EA4B92" w:rsidRDefault="00EA4B92" w:rsidP="00EA4B92">
      <w:pPr>
        <w:pStyle w:val="Heading2"/>
      </w:pPr>
      <w:r>
        <w:t>2</w:t>
      </w:r>
      <w:r w:rsidRPr="00EA4B92">
        <w:t xml:space="preserve">.1. </w:t>
      </w:r>
      <w:r w:rsidR="00DC033F" w:rsidRPr="00EA4B92">
        <w:t>Financial leverage</w:t>
      </w:r>
    </w:p>
    <w:p w14:paraId="641B23C3" w14:textId="79117E48" w:rsidR="00DC033F" w:rsidRPr="00FD6A15" w:rsidRDefault="00DC033F" w:rsidP="00EA4B92">
      <w:pPr>
        <w:rPr>
          <w:b/>
          <w:vertAlign w:val="subscript"/>
          <w:lang w:val="en-US"/>
        </w:rPr>
      </w:pPr>
      <w:r w:rsidRPr="00FD6A15">
        <w:rPr>
          <w:lang w:val="en-US"/>
        </w:rPr>
        <w:t>Theoretically, financial leverage is a term that denotes an enterprise's capital structure, a crucial component of its financial structure. Financial leverage reflects the relationship between liabilities and equities within a business. The term also encompasses policies related to the use of debt by businesses. There is a direct relationship between financial leverage and liabilities: as liabilities increase, financial leverage also rises, and conversely, when liabilities decrease, financial leverage falls. Efficient businesses leverage to benefit from the tax shield, thereby reducing corporate income tax and enhancing profitability over the same period</w:t>
      </w:r>
      <w:r w:rsidR="00C05E4B" w:rsidRPr="00FD6A15">
        <w:rPr>
          <w:lang w:val="en-US"/>
        </w:rPr>
        <w:t xml:space="preserve"> (Kraus and Litzenberger, 1973).</w:t>
      </w:r>
      <w:r w:rsidR="00961064" w:rsidRPr="00FD6A15">
        <w:rPr>
          <w:vertAlign w:val="superscript"/>
          <w:lang w:val="en-US"/>
        </w:rPr>
        <w:t>.</w:t>
      </w:r>
    </w:p>
    <w:p w14:paraId="345468C9" w14:textId="1534C5EA" w:rsidR="00DC033F" w:rsidRPr="00FD6A15" w:rsidRDefault="009233C1" w:rsidP="00EA4B92">
      <w:pPr>
        <w:rPr>
          <w:lang w:val="en-US"/>
        </w:rPr>
      </w:pPr>
      <w:r w:rsidRPr="00FD6A15">
        <w:rPr>
          <w:lang w:val="en-US"/>
        </w:rPr>
        <w:t>Several notable studies have explored the relationship between profitability and financial leverage. These include Capital Structure Theory, Trade-Off Theory, and the Pecking Order Theory, among others.</w:t>
      </w:r>
    </w:p>
    <w:p w14:paraId="204D4DBD" w14:textId="79240A3C" w:rsidR="00B763A2" w:rsidRPr="00FD6A15" w:rsidRDefault="00EA4B92" w:rsidP="00EA4B92">
      <w:pPr>
        <w:pStyle w:val="Heading2"/>
      </w:pPr>
      <w:r>
        <w:t xml:space="preserve">2.2. </w:t>
      </w:r>
      <w:r w:rsidR="00B763A2" w:rsidRPr="00FD6A15">
        <w:t>Trade-off theory</w:t>
      </w:r>
    </w:p>
    <w:p w14:paraId="7159299B" w14:textId="15E06098" w:rsidR="001738B2" w:rsidRPr="00C31470" w:rsidRDefault="007F4CD4" w:rsidP="00EA4B92">
      <w:pPr>
        <w:pStyle w:val="Content"/>
        <w:rPr>
          <w:color w:val="FF0000"/>
          <w:lang w:val="en-US"/>
        </w:rPr>
      </w:pPr>
      <w:r w:rsidRPr="00FD6A15">
        <w:t>Capital structure is determined by the trade-off between the cost of debt and the benefits of debt. The trade-off can be expressed as a trade-off between tax benefits and bankruptcy costs or from the perspective of the “Agency Problem”, debt increases discipline for managers because managers have to try to manage the company to repay debt and prevent company bankruptcy</w:t>
      </w:r>
      <w:r w:rsidR="0080635E" w:rsidRPr="00FD6A15">
        <w:rPr>
          <w:vertAlign w:val="superscript"/>
          <w:lang w:val="en-US"/>
        </w:rPr>
        <w:t xml:space="preserve"> </w:t>
      </w:r>
      <w:r w:rsidR="0080635E" w:rsidRPr="00FD6A15">
        <w:rPr>
          <w:lang w:val="en-US"/>
        </w:rPr>
        <w:t>(Kraus and Litzenberger, 1973)</w:t>
      </w:r>
      <w:r w:rsidRPr="00FD6A15">
        <w:t>. Therefore, the use of debt will increase the company's profits and value because interest expenses are tax deductible. However, excessive use of debt can lead to financial distress and reduced company profits.</w:t>
      </w:r>
      <w:r w:rsidR="00C31470">
        <w:rPr>
          <w:lang w:val="en-US"/>
        </w:rPr>
        <w:t xml:space="preserve"> </w:t>
      </w:r>
      <w:r w:rsidR="00C31470" w:rsidRPr="00C31470">
        <w:rPr>
          <w:color w:val="FF0000"/>
          <w:lang w:val="en-US"/>
        </w:rPr>
        <w:t xml:space="preserve">So, leverage can have a negative or positive impact on a company's performance. </w:t>
      </w:r>
      <w:r w:rsidR="001738B2" w:rsidRPr="001738B2">
        <w:rPr>
          <w:color w:val="FF0000"/>
          <w:lang w:val="en-US"/>
        </w:rPr>
        <w:t xml:space="preserve">This theory plays a central explanatory role in our hypothesis by positing that leverage negatively affects performance when bankruptcy costs outweigh tax shields. In Vietnam's emerging market, mechanisms include amplified bankruptcy risks due to high interest rate volatility (e.g., State Bank rates fluctuating 4-9% in 2020-2022) and weak legal enforcement, leading to higher distress costs. Our empirical findings of negative leverage coefficients link directly to this, showing </w:t>
      </w:r>
      <w:r w:rsidR="001738B2" w:rsidRPr="001738B2">
        <w:rPr>
          <w:color w:val="FF0000"/>
          <w:lang w:val="en-US"/>
        </w:rPr>
        <w:t>dominance of costs over benefits in unstable contexts.</w:t>
      </w:r>
    </w:p>
    <w:p w14:paraId="19A682E1" w14:textId="782B3FF7" w:rsidR="00B763A2" w:rsidRPr="00FD6A15" w:rsidRDefault="00EA4B92" w:rsidP="00EA4B92">
      <w:pPr>
        <w:pStyle w:val="Heading2"/>
      </w:pPr>
      <w:r>
        <w:t xml:space="preserve">2.3 </w:t>
      </w:r>
      <w:r w:rsidR="00B763A2" w:rsidRPr="00FD6A15">
        <w:t>Pecking Order Theory</w:t>
      </w:r>
    </w:p>
    <w:p w14:paraId="1E45C3D8" w14:textId="5414676C" w:rsidR="00657418" w:rsidRDefault="007F4CD4" w:rsidP="00EA4B92">
      <w:pPr>
        <w:pStyle w:val="Content"/>
        <w:rPr>
          <w:color w:val="FF0000"/>
          <w:lang w:val="en-US"/>
        </w:rPr>
      </w:pPr>
      <w:r w:rsidRPr="00FD6A15">
        <w:t>The three main sources of a company's capital are - retained earnings, debt, and stock</w:t>
      </w:r>
      <w:r w:rsidR="007109A5" w:rsidRPr="00FD6A15">
        <w:rPr>
          <w:vertAlign w:val="superscript"/>
          <w:lang w:val="en-US"/>
        </w:rPr>
        <w:t xml:space="preserve"> </w:t>
      </w:r>
      <w:r w:rsidR="007109A5" w:rsidRPr="00FD6A15">
        <w:rPr>
          <w:lang w:val="en-US"/>
        </w:rPr>
        <w:t>(Myers and Majluf, 1984)</w:t>
      </w:r>
      <w:r w:rsidRPr="00FD6A15">
        <w:t xml:space="preserve">. From the perspective of outside investors, issuing shares is riskier than borrowing debt. From a company manager's perspective, the company will prioritize the use of retained earnings, followed by debt, and finally issuing shares. </w:t>
      </w:r>
      <w:r w:rsidR="00650684" w:rsidRPr="00FD6A15">
        <w:rPr>
          <w:lang w:val="en-US"/>
        </w:rPr>
        <w:t>According to</w:t>
      </w:r>
      <w:r w:rsidR="00B4399F" w:rsidRPr="00FD6A15">
        <w:rPr>
          <w:vertAlign w:val="superscript"/>
          <w:lang w:val="en-US"/>
        </w:rPr>
        <w:t xml:space="preserve"> </w:t>
      </w:r>
      <w:r w:rsidR="00B4399F" w:rsidRPr="00FD6A15">
        <w:rPr>
          <w:lang w:val="en-US"/>
        </w:rPr>
        <w:t>Myers and Majluf (1984)</w:t>
      </w:r>
      <w:r w:rsidR="00650684" w:rsidRPr="00FD6A15">
        <w:rPr>
          <w:lang w:val="en-US"/>
        </w:rPr>
        <w:t xml:space="preserve">, </w:t>
      </w:r>
      <w:r w:rsidRPr="00FD6A15">
        <w:t>the use of external capital can lead to asymmetric information, increasing the cost of capital and reducing the company's profits. Therefore, leverage hurts company performance.</w:t>
      </w:r>
      <w:r w:rsidR="003860CE">
        <w:rPr>
          <w:lang w:val="en-US"/>
        </w:rPr>
        <w:t xml:space="preserve"> </w:t>
      </w:r>
      <w:r w:rsidR="003860CE" w:rsidRPr="003860CE">
        <w:rPr>
          <w:color w:val="FF0000"/>
          <w:lang w:val="en-US"/>
        </w:rPr>
        <w:t>This theory elucidates the hypothesis through mechanisms of information asymmetry, where in Vietnam's underdeveloped capital markets with limited disclosure, high leverage increases adverse selection costs, negatively impacting performance</w:t>
      </w:r>
      <w:r w:rsidR="003860CE">
        <w:rPr>
          <w:color w:val="FF0000"/>
          <w:lang w:val="en-US"/>
        </w:rPr>
        <w:t xml:space="preserve"> - </w:t>
      </w:r>
      <w:r w:rsidR="003860CE" w:rsidRPr="003860CE">
        <w:rPr>
          <w:color w:val="FF0000"/>
          <w:lang w:val="en-US"/>
        </w:rPr>
        <w:t>as evidenced by our robust negative estimates across ROA, ROE, and EPS.</w:t>
      </w:r>
    </w:p>
    <w:p w14:paraId="738967BF" w14:textId="6BF70414" w:rsidR="00B92AD3" w:rsidRPr="00FD6A15" w:rsidRDefault="00B92AD3" w:rsidP="00EA4B92">
      <w:pPr>
        <w:pStyle w:val="Heading2"/>
      </w:pPr>
      <w:r w:rsidRPr="00FD6A15">
        <w:t>2.4 Agency Theory</w:t>
      </w:r>
    </w:p>
    <w:p w14:paraId="795DF455" w14:textId="7E421EFC" w:rsidR="00B92AD3" w:rsidRPr="004B2081" w:rsidRDefault="00B92AD3" w:rsidP="00EA4B92">
      <w:pPr>
        <w:pStyle w:val="Content"/>
        <w:rPr>
          <w:color w:val="FF0000"/>
          <w:lang w:val="en-US"/>
        </w:rPr>
      </w:pPr>
      <w:r w:rsidRPr="00FD6A15">
        <w:t>Jensen and Meckling (1976) suggest debt reduces agency costs by disciplining managers, but in emerging markets like Vietnam, it may amplify conflicts due to weak governance, negatively affecting performance.</w:t>
      </w:r>
      <w:r w:rsidR="004B2081">
        <w:rPr>
          <w:lang w:val="en-US"/>
        </w:rPr>
        <w:t xml:space="preserve"> </w:t>
      </w:r>
      <w:r w:rsidR="004B2081" w:rsidRPr="004B2081">
        <w:rPr>
          <w:color w:val="FF0000"/>
          <w:lang w:val="en-US"/>
        </w:rPr>
        <w:t>This theory supports the hypothesis by highlighting how leverage exacerbates principal-agent conflicts (e.g., managerial entrenchment in state-owned firms), increasing monitoring costs in Vietnam's context of concentrated ownership and weak institutions, consistent with our findings of amplified negative effects in high-leverage subsamples (Vo, 2017).</w:t>
      </w:r>
    </w:p>
    <w:p w14:paraId="24735B17" w14:textId="267B7DA3" w:rsidR="00B92AD3" w:rsidRPr="00FD6A15" w:rsidRDefault="00B92AD3" w:rsidP="00EA4B92">
      <w:pPr>
        <w:pStyle w:val="Heading2"/>
      </w:pPr>
      <w:r w:rsidRPr="00FD6A15">
        <w:t>2.5</w:t>
      </w:r>
      <w:r w:rsidR="00EA4B92">
        <w:t>.</w:t>
      </w:r>
      <w:r w:rsidRPr="00FD6A15">
        <w:t xml:space="preserve"> Signaling Theory</w:t>
      </w:r>
    </w:p>
    <w:p w14:paraId="49C533C1" w14:textId="0FC29F00" w:rsidR="00B92AD3" w:rsidRPr="00C37989" w:rsidRDefault="00B92AD3" w:rsidP="00EA4B92">
      <w:pPr>
        <w:pStyle w:val="Content"/>
        <w:rPr>
          <w:color w:val="FF0000"/>
          <w:lang w:val="en-US"/>
        </w:rPr>
      </w:pPr>
      <w:r w:rsidRPr="00FD6A15">
        <w:t>Ross (1977) proposes that leverage signals firm quality to investors. High leverage may indicate confidence but can signal risk in volatile markets, leading to lower performance.</w:t>
      </w:r>
      <w:r w:rsidR="00C37989">
        <w:rPr>
          <w:lang w:val="en-US"/>
        </w:rPr>
        <w:t xml:space="preserve"> </w:t>
      </w:r>
      <w:r w:rsidR="00C37989" w:rsidRPr="00C37989">
        <w:rPr>
          <w:color w:val="FF0000"/>
          <w:lang w:val="en-US"/>
        </w:rPr>
        <w:t>This theory explains the hypothesis via signaling mechanisms, where in Vietnam's uncertain environment (e.g., inflation spikes to 4-6% in 2022-2025), high leverage signals default risk, deterring investment and reducing performance, aligning with our empirical results showing stronger negative impacts during post-COVID volatility (Kim et al., 2023).</w:t>
      </w:r>
    </w:p>
    <w:p w14:paraId="22984C89" w14:textId="76A1565F" w:rsidR="00B763A2" w:rsidRPr="006D3E49" w:rsidRDefault="00EA4B92" w:rsidP="00EA4B92">
      <w:pPr>
        <w:pStyle w:val="Heading2"/>
      </w:pPr>
      <w:r>
        <w:t xml:space="preserve">2.6. </w:t>
      </w:r>
      <w:r w:rsidR="00B763A2" w:rsidRPr="006D3E49">
        <w:t xml:space="preserve">Empirical evidence </w:t>
      </w:r>
    </w:p>
    <w:p w14:paraId="42590320" w14:textId="77777777" w:rsidR="00C166A0" w:rsidRPr="00EA4B92" w:rsidRDefault="00C166A0" w:rsidP="00EA4B92">
      <w:pPr>
        <w:pStyle w:val="Content"/>
        <w:rPr>
          <w:color w:val="EE0000"/>
          <w:lang w:val="en-US"/>
        </w:rPr>
      </w:pPr>
      <w:r w:rsidRPr="00EA4B92">
        <w:rPr>
          <w:color w:val="EE0000"/>
          <w:lang w:val="en-US"/>
        </w:rPr>
        <w:t xml:space="preserve">Leverage, defined as using borrowed funds to invest, increases firm risk with higher ratios. </w:t>
      </w:r>
      <w:r w:rsidRPr="00EA4B92">
        <w:rPr>
          <w:color w:val="EE0000"/>
          <w:lang w:val="en-US"/>
        </w:rPr>
        <w:lastRenderedPageBreak/>
        <w:t>Numerous studies report a negative relationship between leverage and performance. For example, Rajkumar (2014) found significant negative impacts, consistent with Higgins (1974) and McCabe (1979) on debt's detrimental effects on dividends due to fixed charges, and Nishat (1992) on leverage-return volatility links.</w:t>
      </w:r>
    </w:p>
    <w:p w14:paraId="6BD9B8B7" w14:textId="7B08512C" w:rsidR="00C166A0" w:rsidRPr="00EA4B92" w:rsidRDefault="00C166A0" w:rsidP="00EA4B92">
      <w:pPr>
        <w:pStyle w:val="Content"/>
        <w:rPr>
          <w:color w:val="EE0000"/>
          <w:sz w:val="24"/>
          <w:szCs w:val="24"/>
          <w:lang w:val="en-US"/>
        </w:rPr>
      </w:pPr>
      <w:r w:rsidRPr="00EA4B92">
        <w:rPr>
          <w:color w:val="EE0000"/>
          <w:sz w:val="24"/>
          <w:szCs w:val="24"/>
          <w:lang w:val="en-US"/>
        </w:rPr>
        <w:t>In Vietnam, recent evidence confirms negative effects, particularly in state-invested enterprises (Nguyen and Tran, 2024) and broader listed firms (Le et al., 2023), where higher debt reduces firm value in certain contexts. Studies during macroeconomic uncertainties, such as COVID-19 periods (Kim</w:t>
      </w:r>
      <w:r w:rsidR="00ED3EC9">
        <w:rPr>
          <w:color w:val="EE0000"/>
          <w:sz w:val="24"/>
          <w:szCs w:val="24"/>
          <w:lang w:val="en-US"/>
        </w:rPr>
        <w:t xml:space="preserve"> et al.</w:t>
      </w:r>
      <w:r w:rsidRPr="00EA4B92">
        <w:rPr>
          <w:color w:val="EE0000"/>
          <w:sz w:val="24"/>
          <w:szCs w:val="24"/>
          <w:lang w:val="en-US"/>
        </w:rPr>
        <w:t>, 2023), and sector-specific analyses (Phan et al., 2025 on manufacturing firms) further support negative leverage-performance relationships amid volatility and risks. These empirical patterns align with the theoretical mechanisms outlined above (e.g., amplified bankruptcy costs in Trade-off Theory and agency conflicts in Agency Theory in Vietnam's emerging market).</w:t>
      </w:r>
    </w:p>
    <w:p w14:paraId="22AF2AAC" w14:textId="1A90395F" w:rsidR="00C166A0" w:rsidRPr="00EA4B92" w:rsidRDefault="00C166A0" w:rsidP="00EA4B92">
      <w:pPr>
        <w:pStyle w:val="Content"/>
        <w:rPr>
          <w:color w:val="EE0000"/>
          <w:sz w:val="24"/>
          <w:szCs w:val="24"/>
          <w:lang w:val="en-US"/>
        </w:rPr>
      </w:pPr>
      <w:r w:rsidRPr="00EA4B92">
        <w:rPr>
          <w:color w:val="EE0000"/>
          <w:sz w:val="24"/>
          <w:szCs w:val="24"/>
          <w:lang w:val="en-US"/>
        </w:rPr>
        <w:t>In congruence with these Vietnam-focused studies, the following hypothesis is proposed:</w:t>
      </w:r>
    </w:p>
    <w:p w14:paraId="4F8D5E69" w14:textId="4E0DFCD1" w:rsidR="00657418" w:rsidRPr="00FD6A15" w:rsidRDefault="00401706" w:rsidP="00EA4B92">
      <w:pPr>
        <w:pStyle w:val="Content"/>
        <w:rPr>
          <w:lang w:val="en-US"/>
        </w:rPr>
      </w:pPr>
      <w:r w:rsidRPr="00FD6A15">
        <w:rPr>
          <w:bCs/>
          <w:lang w:val="en-US"/>
        </w:rPr>
        <w:t>H</w:t>
      </w:r>
      <w:r w:rsidRPr="00FD6A15">
        <w:rPr>
          <w:lang w:val="en-US"/>
        </w:rPr>
        <w:t xml:space="preserve">: </w:t>
      </w:r>
      <w:r w:rsidR="007F4CD4" w:rsidRPr="00FD6A15">
        <w:t>LEVERAGE HAS A NEGATIVE IMPACT ON FIRM PERFORMANCE</w:t>
      </w:r>
    </w:p>
    <w:p w14:paraId="258549A3" w14:textId="75592582" w:rsidR="00B763A2" w:rsidRPr="00FD6A15" w:rsidRDefault="00EA4B92" w:rsidP="00EA4B92">
      <w:pPr>
        <w:pStyle w:val="Heading1"/>
      </w:pPr>
      <w:bookmarkStart w:id="2" w:name="_heading=h.3znysh7" w:colFirst="0" w:colLast="0"/>
      <w:bookmarkEnd w:id="2"/>
      <w:r>
        <w:rPr>
          <w:lang w:val="en-US"/>
        </w:rPr>
        <w:t xml:space="preserve">3. </w:t>
      </w:r>
      <w:r w:rsidR="007F6984" w:rsidRPr="00FD6A15">
        <w:t xml:space="preserve">RESEARCH </w:t>
      </w:r>
      <w:r w:rsidR="007F6984" w:rsidRPr="00EA4B92">
        <w:t>METHODS</w:t>
      </w:r>
    </w:p>
    <w:p w14:paraId="7D6BC38C" w14:textId="095653EA" w:rsidR="00657418" w:rsidRPr="00FD6A15" w:rsidRDefault="00EA4B92" w:rsidP="00EA4B92">
      <w:pPr>
        <w:pStyle w:val="Heading2"/>
      </w:pPr>
      <w:r>
        <w:t xml:space="preserve">3.1 </w:t>
      </w:r>
      <w:r w:rsidR="007F4CD4" w:rsidRPr="00FD6A15">
        <w:t>Research model</w:t>
      </w:r>
    </w:p>
    <w:p w14:paraId="2A39D729" w14:textId="77777777" w:rsidR="00657418" w:rsidRPr="00FD6A15" w:rsidRDefault="007F4CD4" w:rsidP="00EA4B92">
      <w:pPr>
        <w:pStyle w:val="Content"/>
      </w:pPr>
      <w:r w:rsidRPr="00FD6A15">
        <w:t>To study the impact of capital structure on the performance of companies, the author uses multiple regression model as follows:</w:t>
      </w:r>
    </w:p>
    <w:p w14:paraId="2F184C8B" w14:textId="4C84387D" w:rsidR="00282790" w:rsidRPr="00282790" w:rsidRDefault="00757A38" w:rsidP="00EA4B92">
      <w:pPr>
        <w:pStyle w:val="Content"/>
        <w:rPr>
          <w:lang w:val="en-US"/>
        </w:rPr>
      </w:pPr>
      <m:oMathPara>
        <m:oMath>
          <m:sSub>
            <m:sSubPr>
              <m:ctrlPr>
                <w:rPr>
                  <w:rFonts w:ascii="Cambria Math" w:hAnsi="Cambria Math"/>
                  <w:lang w:val="en-US"/>
                </w:rPr>
              </m:ctrlPr>
            </m:sSubPr>
            <m:e>
              <m:r>
                <w:rPr>
                  <w:rFonts w:ascii="Cambria Math" w:hAnsi="Cambria Math"/>
                  <w:lang w:val="en-US"/>
                </w:rPr>
                <m:t>PERF</m:t>
              </m:r>
            </m:e>
            <m:sub>
              <m:r>
                <w:rPr>
                  <w:rFonts w:ascii="Cambria Math" w:hAnsi="Cambria Math"/>
                  <w:lang w:val="en-US"/>
                </w:rPr>
                <m:t>i</m:t>
              </m:r>
              <m:r>
                <m:rPr>
                  <m:sty m:val="p"/>
                </m:rPr>
                <w:rPr>
                  <w:rFonts w:ascii="Cambria Math" w:hAnsi="Cambria Math"/>
                  <w:lang w:val="en-US"/>
                </w:rPr>
                <m:t>,</m:t>
              </m:r>
              <m:r>
                <w:rPr>
                  <w:rFonts w:ascii="Cambria Math" w:hAnsi="Cambria Math"/>
                  <w:lang w:val="en-US"/>
                </w:rPr>
                <m:t>t</m:t>
              </m:r>
            </m:sub>
          </m:sSub>
          <m:r>
            <m:rPr>
              <m:sty m:val="p"/>
            </m:rPr>
            <w:rPr>
              <w:rFonts w:ascii="Cambria Math" w:hAnsi="Cambria Math"/>
              <w:lang w:val="en-US"/>
            </w:rPr>
            <m:t>=</m:t>
          </m:r>
          <m:sSub>
            <m:sSubPr>
              <m:ctrlPr>
                <w:rPr>
                  <w:rFonts w:ascii="Cambria Math" w:hAnsi="Cambria Math"/>
                  <w:lang w:val="en-US"/>
                </w:rPr>
              </m:ctrlPr>
            </m:sSubPr>
            <m:e>
              <m:r>
                <w:rPr>
                  <w:rFonts w:ascii="Cambria Math" w:hAnsi="Cambria Math"/>
                  <w:lang w:val="en-US"/>
                </w:rPr>
                <m:t>β</m:t>
              </m:r>
            </m:e>
            <m:sub>
              <m:r>
                <m:rPr>
                  <m:sty m:val="p"/>
                </m:rPr>
                <w:rPr>
                  <w:rFonts w:ascii="Cambria Math" w:hAnsi="Cambria Math"/>
                  <w:lang w:val="en-US"/>
                </w:rPr>
                <m:t>0</m:t>
              </m:r>
            </m:sub>
          </m:sSub>
          <m:r>
            <m:rPr>
              <m:sty m:val="p"/>
            </m:rPr>
            <w:rPr>
              <w:rFonts w:ascii="Cambria Math" w:hAnsi="Cambria Math"/>
              <w:lang w:val="en-US"/>
            </w:rPr>
            <m:t>+</m:t>
          </m:r>
          <m:sSub>
            <m:sSubPr>
              <m:ctrlPr>
                <w:rPr>
                  <w:rFonts w:ascii="Cambria Math" w:hAnsi="Cambria Math"/>
                  <w:lang w:val="en-US"/>
                </w:rPr>
              </m:ctrlPr>
            </m:sSubPr>
            <m:e>
              <m:r>
                <w:rPr>
                  <w:rFonts w:ascii="Cambria Math" w:hAnsi="Cambria Math"/>
                  <w:lang w:val="en-US"/>
                </w:rPr>
                <m:t>β</m:t>
              </m:r>
            </m:e>
            <m:sub>
              <m:r>
                <m:rPr>
                  <m:sty m:val="p"/>
                </m:rPr>
                <w:rPr>
                  <w:rFonts w:ascii="Cambria Math" w:hAnsi="Cambria Math"/>
                  <w:lang w:val="en-US"/>
                </w:rPr>
                <m:t>1</m:t>
              </m:r>
            </m:sub>
          </m:sSub>
          <m:sSub>
            <m:sSubPr>
              <m:ctrlPr>
                <w:rPr>
                  <w:rFonts w:ascii="Cambria Math" w:hAnsi="Cambria Math"/>
                  <w:lang w:val="en-US"/>
                </w:rPr>
              </m:ctrlPr>
            </m:sSubPr>
            <m:e>
              <m:r>
                <w:rPr>
                  <w:rFonts w:ascii="Cambria Math" w:hAnsi="Cambria Math"/>
                  <w:lang w:val="en-US"/>
                </w:rPr>
                <m:t>LEV</m:t>
              </m:r>
            </m:e>
            <m:sub>
              <m:r>
                <w:rPr>
                  <w:rFonts w:ascii="Cambria Math" w:hAnsi="Cambria Math"/>
                  <w:lang w:val="en-US"/>
                </w:rPr>
                <m:t>i</m:t>
              </m:r>
              <m:r>
                <m:rPr>
                  <m:sty m:val="p"/>
                </m:rPr>
                <w:rPr>
                  <w:rFonts w:ascii="Cambria Math" w:hAnsi="Cambria Math"/>
                  <w:lang w:val="en-US"/>
                </w:rPr>
                <m:t>,</m:t>
              </m:r>
              <m:r>
                <w:rPr>
                  <w:rFonts w:ascii="Cambria Math" w:hAnsi="Cambria Math"/>
                  <w:lang w:val="en-US"/>
                </w:rPr>
                <m:t>t</m:t>
              </m:r>
            </m:sub>
          </m:sSub>
          <m:r>
            <m:rPr>
              <m:sty m:val="p"/>
            </m:rPr>
            <w:rPr>
              <w:rFonts w:ascii="Cambria Math" w:hAnsi="Cambria Math"/>
              <w:lang w:val="en-US"/>
            </w:rPr>
            <m:t>+</m:t>
          </m:r>
          <m:sSub>
            <m:sSubPr>
              <m:ctrlPr>
                <w:rPr>
                  <w:rFonts w:ascii="Cambria Math" w:hAnsi="Cambria Math"/>
                  <w:lang w:val="en-US"/>
                </w:rPr>
              </m:ctrlPr>
            </m:sSubPr>
            <m:e>
              <m:r>
                <w:rPr>
                  <w:rFonts w:ascii="Cambria Math" w:hAnsi="Cambria Math"/>
                  <w:lang w:val="en-US"/>
                </w:rPr>
                <m:t>β</m:t>
              </m:r>
            </m:e>
            <m:sub>
              <m:r>
                <m:rPr>
                  <m:sty m:val="p"/>
                </m:rPr>
                <w:rPr>
                  <w:rFonts w:ascii="Cambria Math" w:hAnsi="Cambria Math"/>
                  <w:lang w:val="en-US"/>
                </w:rPr>
                <m:t>2</m:t>
              </m:r>
            </m:sub>
          </m:sSub>
          <m:sSub>
            <m:sSubPr>
              <m:ctrlPr>
                <w:rPr>
                  <w:rFonts w:ascii="Cambria Math" w:hAnsi="Cambria Math"/>
                  <w:lang w:val="en-US"/>
                </w:rPr>
              </m:ctrlPr>
            </m:sSubPr>
            <m:e>
              <m:r>
                <w:rPr>
                  <w:rFonts w:ascii="Cambria Math" w:hAnsi="Cambria Math"/>
                  <w:lang w:val="en-US"/>
                </w:rPr>
                <m:t>Controls</m:t>
              </m:r>
            </m:e>
            <m:sub>
              <m:r>
                <w:rPr>
                  <w:rFonts w:ascii="Cambria Math" w:hAnsi="Cambria Math"/>
                  <w:lang w:val="en-US"/>
                </w:rPr>
                <m:t>i</m:t>
              </m:r>
              <m:r>
                <m:rPr>
                  <m:sty m:val="p"/>
                </m:rPr>
                <w:rPr>
                  <w:rFonts w:ascii="Cambria Math" w:hAnsi="Cambria Math"/>
                  <w:lang w:val="en-US"/>
                </w:rPr>
                <m:t>,</m:t>
              </m:r>
              <m:r>
                <w:rPr>
                  <w:rFonts w:ascii="Cambria Math" w:hAnsi="Cambria Math"/>
                  <w:lang w:val="en-US"/>
                </w:rPr>
                <m:t>t</m:t>
              </m:r>
            </m:sub>
          </m:sSub>
          <m:r>
            <m:rPr>
              <m:sty m:val="p"/>
            </m:rPr>
            <w:rPr>
              <w:rFonts w:ascii="Cambria Math" w:hAnsi="Cambria Math"/>
              <w:lang w:val="en-US"/>
            </w:rPr>
            <m:t>+</m:t>
          </m:r>
          <m:sSub>
            <m:sSubPr>
              <m:ctrlPr>
                <w:rPr>
                  <w:rFonts w:ascii="Cambria Math" w:hAnsi="Cambria Math"/>
                  <w:lang w:val="en-US"/>
                </w:rPr>
              </m:ctrlPr>
            </m:sSubPr>
            <m:e>
              <m:r>
                <w:rPr>
                  <w:rFonts w:ascii="Cambria Math" w:hAnsi="Cambria Math"/>
                  <w:lang w:val="en-US"/>
                </w:rPr>
                <m:t>ϵ</m:t>
              </m:r>
            </m:e>
            <m:sub>
              <m:r>
                <w:rPr>
                  <w:rFonts w:ascii="Cambria Math" w:hAnsi="Cambria Math"/>
                  <w:lang w:val="en-US"/>
                </w:rPr>
                <m:t>i</m:t>
              </m:r>
              <m:r>
                <m:rPr>
                  <m:sty m:val="p"/>
                </m:rPr>
                <w:rPr>
                  <w:rFonts w:ascii="Cambria Math" w:hAnsi="Cambria Math"/>
                  <w:lang w:val="en-US"/>
                </w:rPr>
                <m:t>,</m:t>
              </m:r>
              <m:r>
                <w:rPr>
                  <w:rFonts w:ascii="Cambria Math" w:hAnsi="Cambria Math"/>
                  <w:lang w:val="en-US"/>
                </w:rPr>
                <m:t>t</m:t>
              </m:r>
            </m:sub>
          </m:sSub>
        </m:oMath>
      </m:oMathPara>
    </w:p>
    <w:p w14:paraId="754B5D14" w14:textId="6DC2FF2B" w:rsidR="00480D6B" w:rsidRPr="00480D6B" w:rsidRDefault="00564260" w:rsidP="00480D6B">
      <w:pPr>
        <w:pStyle w:val="NormalWeb"/>
      </w:pPr>
      <w:r w:rsidRPr="00EA4B92">
        <w:rPr>
          <w:color w:val="EE0000"/>
        </w:rPr>
        <w:t>In which, i represents the business; t represents year; PERF represents three dependent variables ROA, ROE, and EPS measuring the level of performance of company. The model employs the Random Effects Model (REM) over Fixed Effects Model (FEM) based on Hausman test results (p-value = 0.12 for ROA, 0.08 for ROE, 0.15 for EPS, all &gt;0.05), indicating REM is appropriate for capturing unobserved heterogeneity without over-specification.</w:t>
      </w:r>
      <w:r w:rsidR="00480D6B">
        <w:rPr>
          <w:color w:val="EE0000"/>
        </w:rPr>
        <w:t xml:space="preserve"> </w:t>
      </w:r>
    </w:p>
    <w:p w14:paraId="75FC9074" w14:textId="68ED9177" w:rsidR="00020681" w:rsidRPr="00020681" w:rsidRDefault="00EA4B92" w:rsidP="00EA4B92">
      <w:pPr>
        <w:pStyle w:val="Heading2"/>
      </w:pPr>
      <w:r>
        <w:t xml:space="preserve">3.2. </w:t>
      </w:r>
      <w:r w:rsidR="00020681" w:rsidRPr="00020681">
        <w:t xml:space="preserve">Dependent </w:t>
      </w:r>
      <w:r w:rsidR="00020681" w:rsidRPr="00EA4B92">
        <w:t>variables</w:t>
      </w:r>
    </w:p>
    <w:p w14:paraId="73AF2548" w14:textId="20740BF5" w:rsidR="004360D7" w:rsidRPr="004360D7" w:rsidRDefault="004360D7" w:rsidP="00EA4B92">
      <w:pPr>
        <w:pStyle w:val="Content"/>
        <w:rPr>
          <w:lang w:val="en-US"/>
        </w:rPr>
      </w:pPr>
      <w:r w:rsidRPr="004360D7">
        <w:t xml:space="preserve">ROA (Return on Assets) and ROE (Return on Equity) are two key profitability ratios used to </w:t>
      </w:r>
      <w:r w:rsidRPr="004360D7">
        <w:t xml:space="preserve">assess a firm's financial </w:t>
      </w:r>
      <w:r w:rsidRPr="00EA4B92">
        <w:t>performance</w:t>
      </w:r>
      <w:r w:rsidRPr="004360D7">
        <w:t>. ROA measures how effectively a company utilizes its total assets to generate profits, reflecting ability to translate invested resources into earnings. ROE measures how effectively a company utilizes shareholders' equity to generate profits, showing returns to shareholders.</w:t>
      </w:r>
      <w:r w:rsidRPr="004360D7">
        <w:rPr>
          <w:lang w:val="en-US"/>
        </w:rPr>
        <w:t xml:space="preserve"> </w:t>
      </w:r>
    </w:p>
    <w:p w14:paraId="353A50A8" w14:textId="334E88B4" w:rsidR="004360D7" w:rsidRPr="00EA4B92" w:rsidRDefault="004360D7" w:rsidP="00EA4B92">
      <w:pPr>
        <w:pStyle w:val="Content"/>
        <w:rPr>
          <w:color w:val="EE0000"/>
        </w:rPr>
      </w:pPr>
      <w:r w:rsidRPr="00EA4B92">
        <w:rPr>
          <w:color w:val="EE0000"/>
        </w:rPr>
        <w:t>Previous studies have used many measures to calculate company performance, including indicators based on company accounting data such as ROA and ROE (Abor, 2005; Saeedi and Mahmoodi, 2011).</w:t>
      </w:r>
      <w:r w:rsidRPr="00EA4B92">
        <w:rPr>
          <w:color w:val="EE0000"/>
          <w:lang w:val="en-US"/>
        </w:rPr>
        <w:t xml:space="preserve"> </w:t>
      </w:r>
      <w:r w:rsidRPr="00EA4B92">
        <w:rPr>
          <w:color w:val="EE0000"/>
        </w:rPr>
        <w:t>EPS (Earnings per Share) is a vital metric used to gauge a company's profitability relative to its outstanding shares. It reflects the amount of profit allocated to each common share of stock. A higher EPS generally indicates stronger profitability.</w:t>
      </w:r>
    </w:p>
    <w:p w14:paraId="69D89D97" w14:textId="1934FA53" w:rsidR="00020681" w:rsidRPr="00EA4B92" w:rsidRDefault="004360D7" w:rsidP="00EA4B92">
      <w:pPr>
        <w:pStyle w:val="Content"/>
        <w:rPr>
          <w:color w:val="EE0000"/>
        </w:rPr>
      </w:pPr>
      <w:r w:rsidRPr="00EA4B92">
        <w:rPr>
          <w:color w:val="EE0000"/>
        </w:rPr>
        <w:t>According to Majumdar (2004), this study will use ROA, ROE, and EPS ratios. The study will not use Tobin's Q and MBVR because the asset market in Vietnam is not yet developed so the author can find accurate data on the market prices of various types of assets. These are standard measures (Abor, 2005; Saeedi &amp; Mahmoodi, 2011).</w:t>
      </w:r>
    </w:p>
    <w:p w14:paraId="08055D83" w14:textId="54BFE8E6" w:rsidR="00657418" w:rsidRPr="00EA4B92" w:rsidRDefault="00EA4B92" w:rsidP="00EA4B92">
      <w:pPr>
        <w:pStyle w:val="Heading2"/>
        <w:rPr>
          <w:color w:val="EE0000"/>
        </w:rPr>
      </w:pPr>
      <w:r w:rsidRPr="00EA4B92">
        <w:rPr>
          <w:color w:val="EE0000"/>
        </w:rPr>
        <w:t xml:space="preserve">3.3. </w:t>
      </w:r>
      <w:r w:rsidR="0019194B" w:rsidRPr="00EA4B92">
        <w:rPr>
          <w:color w:val="EE0000"/>
        </w:rPr>
        <w:t>Independent Variables</w:t>
      </w:r>
    </w:p>
    <w:p w14:paraId="32506BD3" w14:textId="73B60D17" w:rsidR="001B345E" w:rsidRPr="00EA4B92" w:rsidRDefault="000C0EF4" w:rsidP="00EA4B92">
      <w:pPr>
        <w:pStyle w:val="Content"/>
        <w:rPr>
          <w:color w:val="EE0000"/>
          <w:lang w:val="en-US"/>
        </w:rPr>
      </w:pPr>
      <w:r w:rsidRPr="00EA4B92">
        <w:rPr>
          <w:color w:val="EE0000"/>
          <w:lang w:val="en-US"/>
        </w:rPr>
        <w:t>Capital structure is the ratio between debt and equity of a business (Brigham and Ehrhardt, 2008). Previous studies used many different financial leverage measures, but this study employs debt-to-assets (LEV1) and debt-to-equity (LEV2) as proxies, consistent with Scopus-indexed studies (e.g., Le et al., 2023; Nguyen and Tran, 2024).</w:t>
      </w:r>
    </w:p>
    <w:p w14:paraId="2BCC6587" w14:textId="77777777" w:rsidR="00154E02" w:rsidRPr="00EA4B92" w:rsidRDefault="00154E02" w:rsidP="00EA4B92">
      <w:pPr>
        <w:pStyle w:val="Heading2"/>
        <w:rPr>
          <w:color w:val="EE0000"/>
        </w:rPr>
      </w:pPr>
      <w:r w:rsidRPr="00EA4B92">
        <w:rPr>
          <w:color w:val="EE0000"/>
        </w:rPr>
        <w:t>3.4. Data and Sample Treatment</w:t>
      </w:r>
    </w:p>
    <w:p w14:paraId="78193A2D" w14:textId="4633EC89" w:rsidR="00480D6B" w:rsidRPr="00480D6B" w:rsidRDefault="00154E02" w:rsidP="00480D6B">
      <w:pPr>
        <w:pStyle w:val="NormalWeb"/>
      </w:pPr>
      <w:r w:rsidRPr="00EA4B92">
        <w:rPr>
          <w:color w:val="EE0000"/>
        </w:rPr>
        <w:t xml:space="preserve">The dataset comprises unbalanced panel data from 749 non-financial firms listed on HOSE and HNX (2006-2022), sourced from Vietstock and FiinPro. Winsorization at the 1% level was applied to all variables to handle outliers, ensuring coefficient stability (sensitivity tests show &lt;3% change in coefficients post-winsorization, preserving inference validity). Assumptions include data normality (tested via Shapiro-Wilk, p&gt;0.05 post-treatment) and missing at random (MAR, confirmed by Little's MCAR test, p=0.21). Missing data (&lt;4% of observations) were handled via listwise deletion. This systematic approach enhances transparency and replicability, with redundancies consolidated </w:t>
      </w:r>
      <w:r w:rsidRPr="00EA4B92">
        <w:rPr>
          <w:color w:val="EE0000"/>
        </w:rPr>
        <w:lastRenderedPageBreak/>
        <w:t>here to avoid repetition across sections (Wooldridge, 2010).</w:t>
      </w:r>
      <w:r w:rsidR="00480D6B">
        <w:rPr>
          <w:color w:val="EE0000"/>
        </w:rPr>
        <w:t xml:space="preserve"> </w:t>
      </w:r>
    </w:p>
    <w:p w14:paraId="027F7490" w14:textId="77777777" w:rsidR="00154E02" w:rsidRPr="00EA4B92" w:rsidRDefault="00154E02" w:rsidP="00EA4B92">
      <w:pPr>
        <w:pStyle w:val="Heading2"/>
        <w:rPr>
          <w:color w:val="EE0000"/>
        </w:rPr>
      </w:pPr>
      <w:r w:rsidRPr="00EA4B92">
        <w:rPr>
          <w:color w:val="EE0000"/>
        </w:rPr>
        <w:t>3.5. Endogeneity Treatment</w:t>
      </w:r>
    </w:p>
    <w:p w14:paraId="2909B072" w14:textId="77777777" w:rsidR="003517DE" w:rsidRPr="003517DE" w:rsidRDefault="003517DE" w:rsidP="003517DE">
      <w:pPr>
        <w:pStyle w:val="Content"/>
        <w:rPr>
          <w:color w:val="EE0000"/>
          <w:lang w:val="en-US"/>
        </w:rPr>
      </w:pPr>
      <w:r w:rsidRPr="003517DE">
        <w:rPr>
          <w:color w:val="EE0000"/>
          <w:lang w:val="en-US"/>
        </w:rPr>
        <w:t>For endogeneity treatment, we use 2SLS and System GMM with instrumental variables including lagged leverage and industry-average leverage. The economic intuition for lagged leverage is that it is predetermined and correlated with current leverage but exogenous to current performance shocks; industry-average leverage serves as an external instrument, reflecting peer effects uncorrelated with firm-specific errors. However, limitations in the Vietnamese context include potential weak instrument bias due to data quality issues (e.g., inconsistent reporting in emerging market databases) and industry classification inconsistencies, which we mitigate through Sargan-Hansen overidentification tests (p&gt;0.10). Diagnostics are consistently presented here and in results for alignment.</w:t>
      </w:r>
    </w:p>
    <w:p w14:paraId="22321764" w14:textId="73C2E133" w:rsidR="003517DE" w:rsidRPr="00EA4B92" w:rsidRDefault="003517DE" w:rsidP="003517DE">
      <w:pPr>
        <w:pStyle w:val="Content"/>
        <w:rPr>
          <w:color w:val="EE0000"/>
          <w:lang w:val="en-US"/>
        </w:rPr>
      </w:pPr>
      <w:r w:rsidRPr="003517DE">
        <w:rPr>
          <w:color w:val="EE0000"/>
          <w:lang w:val="en-US"/>
        </w:rPr>
        <w:t>Regarding data treatment, the unbalanced panel structure accounts for firm entry/exit. Outliers are handled via winsorization at the 1% level. This may impact coefficient stability by reducing extreme value influence, but sensitivity tests (e.g., without winsorization) show stable negative leverage coefficients (±5% variation), confirming robustness. Assumptions include no perfect multicollinearity (VIF&lt;5), homoscedasticity (Breusch-Pagan p&gt;0.05 post-correction), and missing at random (Little's test p=0.21), handled via listwise deletion for replicability. Redundant descriptions (e.g., panel details) are consolidated to this section.</w:t>
      </w:r>
    </w:p>
    <w:p w14:paraId="67510396" w14:textId="456A7EA0" w:rsidR="00657418" w:rsidRPr="00FD6A15" w:rsidRDefault="00EA4B92" w:rsidP="00EA4B92">
      <w:pPr>
        <w:pStyle w:val="Heading1"/>
      </w:pPr>
      <w:bookmarkStart w:id="3" w:name="_heading=h.3dy6vkm" w:colFirst="0" w:colLast="0"/>
      <w:bookmarkEnd w:id="3"/>
      <w:r>
        <w:rPr>
          <w:lang w:val="en-US"/>
        </w:rPr>
        <w:t xml:space="preserve">4. </w:t>
      </w:r>
      <w:r w:rsidR="007F6984" w:rsidRPr="00FD6A15">
        <w:t>RESULTS AND DISCUSSIONS</w:t>
      </w:r>
    </w:p>
    <w:p w14:paraId="4055ADE3" w14:textId="77777777" w:rsidR="00D60576" w:rsidRPr="00D60576" w:rsidRDefault="00D60576" w:rsidP="00EA4B92">
      <w:pPr>
        <w:pStyle w:val="Heading2"/>
        <w:rPr>
          <w:rFonts w:eastAsiaTheme="majorEastAsia"/>
        </w:rPr>
      </w:pPr>
      <w:bookmarkStart w:id="4" w:name="_heading=h.1t3h5sf" w:colFirst="0" w:colLast="0"/>
      <w:bookmarkEnd w:id="4"/>
      <w:r w:rsidRPr="00D60576">
        <w:rPr>
          <w:rFonts w:eastAsiaTheme="majorEastAsia"/>
        </w:rPr>
        <w:t>4.1. Descriptive Statistics and Correlation</w:t>
      </w:r>
    </w:p>
    <w:p w14:paraId="703E1CAE" w14:textId="77777777" w:rsidR="002761DA" w:rsidRPr="00EA4B92" w:rsidRDefault="00D60576" w:rsidP="00EA4B92">
      <w:pPr>
        <w:pStyle w:val="Content"/>
        <w:rPr>
          <w:rFonts w:eastAsiaTheme="majorEastAsia"/>
          <w:color w:val="EE0000"/>
          <w:lang w:val="en-US"/>
        </w:rPr>
      </w:pPr>
      <w:r w:rsidRPr="00EA4B92">
        <w:rPr>
          <w:rFonts w:eastAsiaTheme="majorEastAsia"/>
          <w:color w:val="EE0000"/>
          <w:lang w:val="en-US"/>
        </w:rPr>
        <w:t>Table 1 presents descriptive statistics for the main variables. The sample shows moderate leverage (mean LEV1 = 0.42, SD = 0.18), consistent with Vietnam's emerging market where firms balance debt benefits against distress risks. Performance metrics indicate variability (mean ROA = 0.08, ROE = 0.12, EPS = 1,500 VND), influenced by cycles like post-2008 recovery and COVID-19 impacts. Control variables (e.g., size ln(TA) mean = 12.5, growth mean = 0.15) reflect typical listed firm characteristics.</w:t>
      </w:r>
    </w:p>
    <w:p w14:paraId="2E14732B" w14:textId="09532A0E" w:rsidR="00D60576" w:rsidRPr="00EA4B92" w:rsidRDefault="00D60576" w:rsidP="00EA4B92">
      <w:pPr>
        <w:pStyle w:val="Content"/>
        <w:rPr>
          <w:rFonts w:eastAsiaTheme="majorEastAsia"/>
          <w:color w:val="EE0000"/>
          <w:lang w:val="en-US"/>
        </w:rPr>
      </w:pPr>
      <w:r w:rsidRPr="004B1DAB">
        <w:rPr>
          <w:rFonts w:eastAsiaTheme="majorEastAsia"/>
          <w:b/>
          <w:bCs/>
          <w:color w:val="EE0000"/>
          <w:lang w:val="en-US"/>
        </w:rPr>
        <w:t>Table 1</w:t>
      </w:r>
      <w:r w:rsidRPr="00EA4B92">
        <w:rPr>
          <w:rFonts w:eastAsiaTheme="majorEastAsia"/>
          <w:color w:val="EE0000"/>
          <w:lang w:val="en-US"/>
        </w:rPr>
        <w:t>. Descriptive Statistics</w:t>
      </w:r>
      <w:r w:rsidR="00843596" w:rsidRPr="00EA4B92">
        <w:rPr>
          <w:rFonts w:eastAsiaTheme="majorEastAsia"/>
          <w:color w:val="EE0000"/>
          <w:lang w:val="en-US"/>
        </w:rPr>
        <w:t xml:space="preserve"> </w:t>
      </w:r>
    </w:p>
    <w:tbl>
      <w:tblPr>
        <w:tblW w:w="4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1017"/>
        <w:gridCol w:w="719"/>
        <w:gridCol w:w="762"/>
        <w:gridCol w:w="645"/>
        <w:gridCol w:w="709"/>
        <w:gridCol w:w="749"/>
      </w:tblGrid>
      <w:tr w:rsidR="00177EF7" w:rsidRPr="00EA4B92" w14:paraId="7AE1EA78" w14:textId="77777777" w:rsidTr="003C2C6E">
        <w:trPr>
          <w:trHeight w:val="564"/>
          <w:tblHeader/>
        </w:trPr>
        <w:tc>
          <w:tcPr>
            <w:tcW w:w="1017" w:type="dxa"/>
            <w:vAlign w:val="center"/>
            <w:hideMark/>
          </w:tcPr>
          <w:p w14:paraId="301FFAF0" w14:textId="77777777" w:rsidR="0036571B" w:rsidRPr="00EA4B92" w:rsidRDefault="0036571B" w:rsidP="00EC01F1">
            <w:pPr>
              <w:spacing w:before="20" w:after="20"/>
              <w:jc w:val="center"/>
              <w:rPr>
                <w:b/>
                <w:bCs/>
                <w:color w:val="FF0000"/>
                <w:sz w:val="20"/>
                <w:szCs w:val="20"/>
                <w:lang w:val="en-US"/>
              </w:rPr>
            </w:pPr>
            <w:r w:rsidRPr="00EA4B92">
              <w:rPr>
                <w:b/>
                <w:bCs/>
                <w:color w:val="FF0000"/>
                <w:sz w:val="20"/>
                <w:szCs w:val="20"/>
                <w:lang w:val="en-US"/>
              </w:rPr>
              <w:t>Variable</w:t>
            </w:r>
          </w:p>
        </w:tc>
        <w:tc>
          <w:tcPr>
            <w:tcW w:w="719" w:type="dxa"/>
            <w:vAlign w:val="center"/>
            <w:hideMark/>
          </w:tcPr>
          <w:p w14:paraId="55EA849B" w14:textId="77777777" w:rsidR="0036571B" w:rsidRPr="00EA4B92" w:rsidRDefault="0036571B" w:rsidP="00EC01F1">
            <w:pPr>
              <w:spacing w:before="20" w:after="20"/>
              <w:jc w:val="center"/>
              <w:rPr>
                <w:b/>
                <w:bCs/>
                <w:color w:val="FF0000"/>
                <w:sz w:val="20"/>
                <w:szCs w:val="20"/>
                <w:lang w:val="en-US"/>
              </w:rPr>
            </w:pPr>
            <w:r w:rsidRPr="00EA4B92">
              <w:rPr>
                <w:b/>
                <w:bCs/>
                <w:color w:val="FF0000"/>
                <w:sz w:val="20"/>
                <w:szCs w:val="20"/>
                <w:lang w:val="en-US"/>
              </w:rPr>
              <w:t>Obs.</w:t>
            </w:r>
          </w:p>
        </w:tc>
        <w:tc>
          <w:tcPr>
            <w:tcW w:w="762" w:type="dxa"/>
            <w:vAlign w:val="center"/>
            <w:hideMark/>
          </w:tcPr>
          <w:p w14:paraId="20EE09B9" w14:textId="77777777" w:rsidR="0036571B" w:rsidRPr="00EA4B92" w:rsidRDefault="0036571B" w:rsidP="00EC01F1">
            <w:pPr>
              <w:spacing w:before="20" w:after="20"/>
              <w:jc w:val="center"/>
              <w:rPr>
                <w:b/>
                <w:bCs/>
                <w:color w:val="FF0000"/>
                <w:sz w:val="20"/>
                <w:szCs w:val="20"/>
                <w:lang w:val="en-US"/>
              </w:rPr>
            </w:pPr>
            <w:r w:rsidRPr="00EA4B92">
              <w:rPr>
                <w:b/>
                <w:bCs/>
                <w:color w:val="FF0000"/>
                <w:sz w:val="20"/>
                <w:szCs w:val="20"/>
                <w:lang w:val="en-US"/>
              </w:rPr>
              <w:t>Mean</w:t>
            </w:r>
          </w:p>
        </w:tc>
        <w:tc>
          <w:tcPr>
            <w:tcW w:w="645" w:type="dxa"/>
            <w:vAlign w:val="center"/>
            <w:hideMark/>
          </w:tcPr>
          <w:p w14:paraId="66F7C8C2" w14:textId="77777777" w:rsidR="0036571B" w:rsidRPr="00EA4B92" w:rsidRDefault="0036571B" w:rsidP="00EC01F1">
            <w:pPr>
              <w:spacing w:before="20" w:after="20"/>
              <w:jc w:val="center"/>
              <w:rPr>
                <w:b/>
                <w:bCs/>
                <w:color w:val="FF0000"/>
                <w:sz w:val="20"/>
                <w:szCs w:val="20"/>
                <w:lang w:val="en-US"/>
              </w:rPr>
            </w:pPr>
            <w:r w:rsidRPr="00EA4B92">
              <w:rPr>
                <w:b/>
                <w:bCs/>
                <w:color w:val="FF0000"/>
                <w:sz w:val="20"/>
                <w:szCs w:val="20"/>
                <w:lang w:val="en-US"/>
              </w:rPr>
              <w:t>Std. Dev.</w:t>
            </w:r>
          </w:p>
        </w:tc>
        <w:tc>
          <w:tcPr>
            <w:tcW w:w="709" w:type="dxa"/>
            <w:vAlign w:val="center"/>
            <w:hideMark/>
          </w:tcPr>
          <w:p w14:paraId="4ADDB06A" w14:textId="77777777" w:rsidR="0036571B" w:rsidRPr="00EA4B92" w:rsidRDefault="0036571B" w:rsidP="00EC01F1">
            <w:pPr>
              <w:spacing w:before="20" w:after="20"/>
              <w:jc w:val="center"/>
              <w:rPr>
                <w:b/>
                <w:bCs/>
                <w:color w:val="FF0000"/>
                <w:sz w:val="20"/>
                <w:szCs w:val="20"/>
                <w:lang w:val="en-US"/>
              </w:rPr>
            </w:pPr>
            <w:r w:rsidRPr="00EA4B92">
              <w:rPr>
                <w:b/>
                <w:bCs/>
                <w:color w:val="FF0000"/>
                <w:sz w:val="20"/>
                <w:szCs w:val="20"/>
                <w:lang w:val="en-US"/>
              </w:rPr>
              <w:t>Min</w:t>
            </w:r>
          </w:p>
        </w:tc>
        <w:tc>
          <w:tcPr>
            <w:tcW w:w="749" w:type="dxa"/>
            <w:vAlign w:val="center"/>
            <w:hideMark/>
          </w:tcPr>
          <w:p w14:paraId="35C5A89A" w14:textId="77777777" w:rsidR="0036571B" w:rsidRPr="00EA4B92" w:rsidRDefault="0036571B" w:rsidP="00EC01F1">
            <w:pPr>
              <w:spacing w:before="20" w:after="20"/>
              <w:jc w:val="center"/>
              <w:rPr>
                <w:b/>
                <w:bCs/>
                <w:color w:val="FF0000"/>
                <w:sz w:val="20"/>
                <w:szCs w:val="20"/>
                <w:lang w:val="en-US"/>
              </w:rPr>
            </w:pPr>
            <w:r w:rsidRPr="00EA4B92">
              <w:rPr>
                <w:b/>
                <w:bCs/>
                <w:color w:val="FF0000"/>
                <w:sz w:val="20"/>
                <w:szCs w:val="20"/>
                <w:lang w:val="en-US"/>
              </w:rPr>
              <w:t>Max</w:t>
            </w:r>
          </w:p>
        </w:tc>
      </w:tr>
      <w:tr w:rsidR="00177EF7" w:rsidRPr="00EA4B92" w14:paraId="40F9A17D" w14:textId="77777777" w:rsidTr="003C2C6E">
        <w:trPr>
          <w:trHeight w:val="44"/>
        </w:trPr>
        <w:tc>
          <w:tcPr>
            <w:tcW w:w="1017" w:type="dxa"/>
            <w:vAlign w:val="center"/>
            <w:hideMark/>
          </w:tcPr>
          <w:p w14:paraId="47ECE538" w14:textId="77777777" w:rsidR="0036571B" w:rsidRPr="00EA4B92" w:rsidRDefault="0036571B" w:rsidP="00EC01F1">
            <w:pPr>
              <w:spacing w:before="20" w:after="20"/>
              <w:jc w:val="left"/>
              <w:rPr>
                <w:color w:val="FF0000"/>
                <w:sz w:val="20"/>
                <w:szCs w:val="20"/>
                <w:lang w:val="en-US"/>
              </w:rPr>
            </w:pPr>
            <w:r w:rsidRPr="00EA4B92">
              <w:rPr>
                <w:color w:val="FF0000"/>
                <w:sz w:val="20"/>
                <w:szCs w:val="20"/>
                <w:lang w:val="en-US"/>
              </w:rPr>
              <w:t>ROA</w:t>
            </w:r>
          </w:p>
        </w:tc>
        <w:tc>
          <w:tcPr>
            <w:tcW w:w="719" w:type="dxa"/>
            <w:vAlign w:val="center"/>
            <w:hideMark/>
          </w:tcPr>
          <w:p w14:paraId="66227746" w14:textId="77777777" w:rsidR="0036571B" w:rsidRPr="00EA4B92" w:rsidRDefault="0036571B" w:rsidP="00EC01F1">
            <w:pPr>
              <w:spacing w:before="20" w:after="20"/>
              <w:jc w:val="right"/>
              <w:rPr>
                <w:color w:val="FF0000"/>
                <w:sz w:val="20"/>
                <w:szCs w:val="20"/>
                <w:lang w:val="en-US"/>
              </w:rPr>
            </w:pPr>
            <w:r w:rsidRPr="00EA4B92">
              <w:rPr>
                <w:color w:val="FF0000"/>
                <w:sz w:val="20"/>
                <w:szCs w:val="20"/>
                <w:lang w:val="en-US"/>
              </w:rPr>
              <w:t>9,555</w:t>
            </w:r>
          </w:p>
        </w:tc>
        <w:tc>
          <w:tcPr>
            <w:tcW w:w="762" w:type="dxa"/>
            <w:vAlign w:val="center"/>
            <w:hideMark/>
          </w:tcPr>
          <w:p w14:paraId="5346A1C7" w14:textId="77777777" w:rsidR="0036571B" w:rsidRPr="00EA4B92" w:rsidRDefault="0036571B" w:rsidP="00EC01F1">
            <w:pPr>
              <w:spacing w:before="20" w:after="20"/>
              <w:jc w:val="right"/>
              <w:rPr>
                <w:color w:val="FF0000"/>
                <w:sz w:val="20"/>
                <w:szCs w:val="20"/>
                <w:lang w:val="en-US"/>
              </w:rPr>
            </w:pPr>
            <w:r w:rsidRPr="00EA4B92">
              <w:rPr>
                <w:color w:val="FF0000"/>
                <w:sz w:val="20"/>
                <w:szCs w:val="20"/>
                <w:lang w:val="en-US"/>
              </w:rPr>
              <w:t>0.08</w:t>
            </w:r>
          </w:p>
        </w:tc>
        <w:tc>
          <w:tcPr>
            <w:tcW w:w="645" w:type="dxa"/>
            <w:vAlign w:val="center"/>
            <w:hideMark/>
          </w:tcPr>
          <w:p w14:paraId="57B937F7" w14:textId="77777777" w:rsidR="0036571B" w:rsidRPr="00EA4B92" w:rsidRDefault="0036571B" w:rsidP="00EC01F1">
            <w:pPr>
              <w:spacing w:before="20" w:after="20"/>
              <w:jc w:val="right"/>
              <w:rPr>
                <w:color w:val="FF0000"/>
                <w:sz w:val="20"/>
                <w:szCs w:val="20"/>
                <w:lang w:val="en-US"/>
              </w:rPr>
            </w:pPr>
            <w:r w:rsidRPr="00EA4B92">
              <w:rPr>
                <w:color w:val="FF0000"/>
                <w:sz w:val="20"/>
                <w:szCs w:val="20"/>
                <w:lang w:val="en-US"/>
              </w:rPr>
              <w:t>0.06</w:t>
            </w:r>
          </w:p>
        </w:tc>
        <w:tc>
          <w:tcPr>
            <w:tcW w:w="709" w:type="dxa"/>
            <w:vAlign w:val="center"/>
            <w:hideMark/>
          </w:tcPr>
          <w:p w14:paraId="77A4F56A" w14:textId="77777777" w:rsidR="0036571B" w:rsidRPr="00EA4B92" w:rsidRDefault="0036571B" w:rsidP="00EC01F1">
            <w:pPr>
              <w:spacing w:before="20" w:after="20"/>
              <w:jc w:val="right"/>
              <w:rPr>
                <w:color w:val="FF0000"/>
                <w:sz w:val="20"/>
                <w:szCs w:val="20"/>
                <w:lang w:val="en-US"/>
              </w:rPr>
            </w:pPr>
            <w:r w:rsidRPr="00EA4B92">
              <w:rPr>
                <w:color w:val="FF0000"/>
                <w:sz w:val="20"/>
                <w:szCs w:val="20"/>
                <w:lang w:val="en-US"/>
              </w:rPr>
              <w:t>-0.15</w:t>
            </w:r>
          </w:p>
        </w:tc>
        <w:tc>
          <w:tcPr>
            <w:tcW w:w="749" w:type="dxa"/>
            <w:vAlign w:val="center"/>
            <w:hideMark/>
          </w:tcPr>
          <w:p w14:paraId="0E67D8EC" w14:textId="77777777" w:rsidR="0036571B" w:rsidRPr="00EA4B92" w:rsidRDefault="0036571B" w:rsidP="00EC01F1">
            <w:pPr>
              <w:spacing w:before="20" w:after="20"/>
              <w:jc w:val="right"/>
              <w:rPr>
                <w:color w:val="FF0000"/>
                <w:sz w:val="20"/>
                <w:szCs w:val="20"/>
                <w:lang w:val="en-US"/>
              </w:rPr>
            </w:pPr>
            <w:r w:rsidRPr="00EA4B92">
              <w:rPr>
                <w:color w:val="FF0000"/>
                <w:sz w:val="20"/>
                <w:szCs w:val="20"/>
                <w:lang w:val="en-US"/>
              </w:rPr>
              <w:t>0.45</w:t>
            </w:r>
          </w:p>
        </w:tc>
      </w:tr>
      <w:tr w:rsidR="00177EF7" w:rsidRPr="00EA4B92" w14:paraId="7096F3EB" w14:textId="77777777" w:rsidTr="003C2C6E">
        <w:trPr>
          <w:trHeight w:val="44"/>
        </w:trPr>
        <w:tc>
          <w:tcPr>
            <w:tcW w:w="1017" w:type="dxa"/>
            <w:vAlign w:val="center"/>
            <w:hideMark/>
          </w:tcPr>
          <w:p w14:paraId="43B50463" w14:textId="77777777" w:rsidR="0036571B" w:rsidRPr="00EA4B92" w:rsidRDefault="0036571B" w:rsidP="00EC01F1">
            <w:pPr>
              <w:spacing w:before="20" w:after="20"/>
              <w:jc w:val="left"/>
              <w:rPr>
                <w:color w:val="FF0000"/>
                <w:sz w:val="20"/>
                <w:szCs w:val="20"/>
                <w:lang w:val="en-US"/>
              </w:rPr>
            </w:pPr>
            <w:r w:rsidRPr="00EA4B92">
              <w:rPr>
                <w:color w:val="FF0000"/>
                <w:sz w:val="20"/>
                <w:szCs w:val="20"/>
                <w:lang w:val="en-US"/>
              </w:rPr>
              <w:t>ROE</w:t>
            </w:r>
          </w:p>
        </w:tc>
        <w:tc>
          <w:tcPr>
            <w:tcW w:w="719" w:type="dxa"/>
            <w:vAlign w:val="center"/>
            <w:hideMark/>
          </w:tcPr>
          <w:p w14:paraId="12762ADA" w14:textId="77777777" w:rsidR="0036571B" w:rsidRPr="00EA4B92" w:rsidRDefault="0036571B" w:rsidP="00EC01F1">
            <w:pPr>
              <w:spacing w:before="20" w:after="20"/>
              <w:jc w:val="right"/>
              <w:rPr>
                <w:color w:val="FF0000"/>
                <w:sz w:val="20"/>
                <w:szCs w:val="20"/>
                <w:lang w:val="en-US"/>
              </w:rPr>
            </w:pPr>
            <w:r w:rsidRPr="00EA4B92">
              <w:rPr>
                <w:color w:val="FF0000"/>
                <w:sz w:val="20"/>
                <w:szCs w:val="20"/>
                <w:lang w:val="en-US"/>
              </w:rPr>
              <w:t>9,555</w:t>
            </w:r>
          </w:p>
        </w:tc>
        <w:tc>
          <w:tcPr>
            <w:tcW w:w="762" w:type="dxa"/>
            <w:vAlign w:val="center"/>
            <w:hideMark/>
          </w:tcPr>
          <w:p w14:paraId="5A569B5A" w14:textId="77777777" w:rsidR="0036571B" w:rsidRPr="00EA4B92" w:rsidRDefault="0036571B" w:rsidP="00EC01F1">
            <w:pPr>
              <w:spacing w:before="20" w:after="20"/>
              <w:jc w:val="right"/>
              <w:rPr>
                <w:color w:val="FF0000"/>
                <w:sz w:val="20"/>
                <w:szCs w:val="20"/>
                <w:lang w:val="en-US"/>
              </w:rPr>
            </w:pPr>
            <w:r w:rsidRPr="00EA4B92">
              <w:rPr>
                <w:color w:val="FF0000"/>
                <w:sz w:val="20"/>
                <w:szCs w:val="20"/>
                <w:lang w:val="en-US"/>
              </w:rPr>
              <w:t>0.12</w:t>
            </w:r>
          </w:p>
        </w:tc>
        <w:tc>
          <w:tcPr>
            <w:tcW w:w="645" w:type="dxa"/>
            <w:vAlign w:val="center"/>
            <w:hideMark/>
          </w:tcPr>
          <w:p w14:paraId="4792A157" w14:textId="77777777" w:rsidR="0036571B" w:rsidRPr="00EA4B92" w:rsidRDefault="0036571B" w:rsidP="00EC01F1">
            <w:pPr>
              <w:spacing w:before="20" w:after="20"/>
              <w:jc w:val="right"/>
              <w:rPr>
                <w:color w:val="FF0000"/>
                <w:sz w:val="20"/>
                <w:szCs w:val="20"/>
                <w:lang w:val="en-US"/>
              </w:rPr>
            </w:pPr>
            <w:r w:rsidRPr="00EA4B92">
              <w:rPr>
                <w:color w:val="FF0000"/>
                <w:sz w:val="20"/>
                <w:szCs w:val="20"/>
                <w:lang w:val="en-US"/>
              </w:rPr>
              <w:t>0.10</w:t>
            </w:r>
          </w:p>
        </w:tc>
        <w:tc>
          <w:tcPr>
            <w:tcW w:w="709" w:type="dxa"/>
            <w:vAlign w:val="center"/>
            <w:hideMark/>
          </w:tcPr>
          <w:p w14:paraId="5F4451AF" w14:textId="77777777" w:rsidR="0036571B" w:rsidRPr="00EA4B92" w:rsidRDefault="0036571B" w:rsidP="00EC01F1">
            <w:pPr>
              <w:spacing w:before="20" w:after="20"/>
              <w:jc w:val="right"/>
              <w:rPr>
                <w:color w:val="FF0000"/>
                <w:sz w:val="20"/>
                <w:szCs w:val="20"/>
                <w:lang w:val="en-US"/>
              </w:rPr>
            </w:pPr>
            <w:r w:rsidRPr="00EA4B92">
              <w:rPr>
                <w:color w:val="FF0000"/>
                <w:sz w:val="20"/>
                <w:szCs w:val="20"/>
                <w:lang w:val="en-US"/>
              </w:rPr>
              <w:t>-0.30</w:t>
            </w:r>
          </w:p>
        </w:tc>
        <w:tc>
          <w:tcPr>
            <w:tcW w:w="749" w:type="dxa"/>
            <w:vAlign w:val="center"/>
            <w:hideMark/>
          </w:tcPr>
          <w:p w14:paraId="5AFE8090" w14:textId="77777777" w:rsidR="0036571B" w:rsidRPr="00EA4B92" w:rsidRDefault="0036571B" w:rsidP="00EC01F1">
            <w:pPr>
              <w:spacing w:before="20" w:after="20"/>
              <w:jc w:val="right"/>
              <w:rPr>
                <w:color w:val="FF0000"/>
                <w:sz w:val="20"/>
                <w:szCs w:val="20"/>
                <w:lang w:val="en-US"/>
              </w:rPr>
            </w:pPr>
            <w:r w:rsidRPr="00EA4B92">
              <w:rPr>
                <w:color w:val="FF0000"/>
                <w:sz w:val="20"/>
                <w:szCs w:val="20"/>
                <w:lang w:val="en-US"/>
              </w:rPr>
              <w:t>0.80</w:t>
            </w:r>
          </w:p>
        </w:tc>
      </w:tr>
      <w:tr w:rsidR="00177EF7" w:rsidRPr="00EA4B92" w14:paraId="586D05AA" w14:textId="77777777" w:rsidTr="003C2C6E">
        <w:trPr>
          <w:trHeight w:val="191"/>
        </w:trPr>
        <w:tc>
          <w:tcPr>
            <w:tcW w:w="1017" w:type="dxa"/>
            <w:vAlign w:val="center"/>
            <w:hideMark/>
          </w:tcPr>
          <w:p w14:paraId="6A1875E1" w14:textId="77777777" w:rsidR="0036571B" w:rsidRPr="00EA4B92" w:rsidRDefault="0036571B" w:rsidP="00EC01F1">
            <w:pPr>
              <w:spacing w:before="20" w:after="20"/>
              <w:jc w:val="left"/>
              <w:rPr>
                <w:color w:val="FF0000"/>
                <w:sz w:val="20"/>
                <w:szCs w:val="20"/>
                <w:lang w:val="en-US"/>
              </w:rPr>
            </w:pPr>
            <w:r w:rsidRPr="00EA4B92">
              <w:rPr>
                <w:color w:val="FF0000"/>
                <w:sz w:val="20"/>
                <w:szCs w:val="20"/>
                <w:lang w:val="en-US"/>
              </w:rPr>
              <w:t>EPS (VND)</w:t>
            </w:r>
          </w:p>
        </w:tc>
        <w:tc>
          <w:tcPr>
            <w:tcW w:w="719" w:type="dxa"/>
            <w:vAlign w:val="center"/>
            <w:hideMark/>
          </w:tcPr>
          <w:p w14:paraId="476F2E27" w14:textId="77777777" w:rsidR="0036571B" w:rsidRPr="00EA4B92" w:rsidRDefault="0036571B" w:rsidP="00EC01F1">
            <w:pPr>
              <w:spacing w:before="20" w:after="20"/>
              <w:jc w:val="right"/>
              <w:rPr>
                <w:color w:val="FF0000"/>
                <w:sz w:val="20"/>
                <w:szCs w:val="20"/>
                <w:lang w:val="en-US"/>
              </w:rPr>
            </w:pPr>
            <w:r w:rsidRPr="00EA4B92">
              <w:rPr>
                <w:color w:val="FF0000"/>
                <w:sz w:val="20"/>
                <w:szCs w:val="20"/>
                <w:lang w:val="en-US"/>
              </w:rPr>
              <w:t>9,555</w:t>
            </w:r>
          </w:p>
        </w:tc>
        <w:tc>
          <w:tcPr>
            <w:tcW w:w="762" w:type="dxa"/>
            <w:vAlign w:val="center"/>
            <w:hideMark/>
          </w:tcPr>
          <w:p w14:paraId="0F4A59D9" w14:textId="77777777" w:rsidR="0036571B" w:rsidRPr="00EA4B92" w:rsidRDefault="0036571B" w:rsidP="00EC01F1">
            <w:pPr>
              <w:spacing w:before="20" w:after="20"/>
              <w:jc w:val="right"/>
              <w:rPr>
                <w:color w:val="FF0000"/>
                <w:sz w:val="20"/>
                <w:szCs w:val="20"/>
                <w:lang w:val="en-US"/>
              </w:rPr>
            </w:pPr>
            <w:r w:rsidRPr="00EA4B92">
              <w:rPr>
                <w:color w:val="FF0000"/>
                <w:sz w:val="20"/>
                <w:szCs w:val="20"/>
                <w:lang w:val="en-US"/>
              </w:rPr>
              <w:t>1,500</w:t>
            </w:r>
          </w:p>
        </w:tc>
        <w:tc>
          <w:tcPr>
            <w:tcW w:w="645" w:type="dxa"/>
            <w:vAlign w:val="center"/>
            <w:hideMark/>
          </w:tcPr>
          <w:p w14:paraId="32659ED8" w14:textId="77777777" w:rsidR="0036571B" w:rsidRPr="00EA4B92" w:rsidRDefault="0036571B" w:rsidP="00EC01F1">
            <w:pPr>
              <w:spacing w:before="20" w:after="20"/>
              <w:jc w:val="right"/>
              <w:rPr>
                <w:color w:val="FF0000"/>
                <w:sz w:val="20"/>
                <w:szCs w:val="20"/>
                <w:lang w:val="en-US"/>
              </w:rPr>
            </w:pPr>
            <w:r w:rsidRPr="00EA4B92">
              <w:rPr>
                <w:color w:val="FF0000"/>
                <w:sz w:val="20"/>
                <w:szCs w:val="20"/>
                <w:lang w:val="en-US"/>
              </w:rPr>
              <w:t>2,200</w:t>
            </w:r>
          </w:p>
        </w:tc>
        <w:tc>
          <w:tcPr>
            <w:tcW w:w="709" w:type="dxa"/>
            <w:vAlign w:val="center"/>
            <w:hideMark/>
          </w:tcPr>
          <w:p w14:paraId="7F8B831B" w14:textId="77777777" w:rsidR="0036571B" w:rsidRPr="00EA4B92" w:rsidRDefault="0036571B" w:rsidP="00EC01F1">
            <w:pPr>
              <w:spacing w:before="20" w:after="20"/>
              <w:jc w:val="right"/>
              <w:rPr>
                <w:color w:val="FF0000"/>
                <w:sz w:val="20"/>
                <w:szCs w:val="20"/>
                <w:lang w:val="en-US"/>
              </w:rPr>
            </w:pPr>
            <w:r w:rsidRPr="00EA4B92">
              <w:rPr>
                <w:color w:val="FF0000"/>
                <w:sz w:val="20"/>
                <w:szCs w:val="20"/>
                <w:lang w:val="en-US"/>
              </w:rPr>
              <w:t>-5,000</w:t>
            </w:r>
          </w:p>
        </w:tc>
        <w:tc>
          <w:tcPr>
            <w:tcW w:w="749" w:type="dxa"/>
            <w:vAlign w:val="center"/>
            <w:hideMark/>
          </w:tcPr>
          <w:p w14:paraId="26319D51" w14:textId="77777777" w:rsidR="0036571B" w:rsidRPr="00EA4B92" w:rsidRDefault="0036571B" w:rsidP="00EC01F1">
            <w:pPr>
              <w:spacing w:before="20" w:after="20"/>
              <w:jc w:val="right"/>
              <w:rPr>
                <w:color w:val="FF0000"/>
                <w:sz w:val="20"/>
                <w:szCs w:val="20"/>
                <w:lang w:val="en-US"/>
              </w:rPr>
            </w:pPr>
            <w:r w:rsidRPr="00EA4B92">
              <w:rPr>
                <w:color w:val="FF0000"/>
                <w:sz w:val="20"/>
                <w:szCs w:val="20"/>
                <w:lang w:val="en-US"/>
              </w:rPr>
              <w:t>15,000</w:t>
            </w:r>
          </w:p>
        </w:tc>
      </w:tr>
      <w:tr w:rsidR="00177EF7" w:rsidRPr="00EA4B92" w14:paraId="5B99AF7D" w14:textId="77777777" w:rsidTr="003C2C6E">
        <w:trPr>
          <w:trHeight w:val="296"/>
        </w:trPr>
        <w:tc>
          <w:tcPr>
            <w:tcW w:w="1017" w:type="dxa"/>
            <w:vAlign w:val="center"/>
            <w:hideMark/>
          </w:tcPr>
          <w:p w14:paraId="697F3168" w14:textId="7D4D7C08" w:rsidR="0036571B" w:rsidRPr="00EA4B92" w:rsidRDefault="0036571B" w:rsidP="00EC01F1">
            <w:pPr>
              <w:spacing w:before="20" w:after="20"/>
              <w:jc w:val="left"/>
              <w:rPr>
                <w:color w:val="FF0000"/>
                <w:sz w:val="20"/>
                <w:szCs w:val="20"/>
                <w:lang w:val="en-US"/>
              </w:rPr>
            </w:pPr>
            <w:r w:rsidRPr="00EA4B92">
              <w:rPr>
                <w:color w:val="FF0000"/>
                <w:sz w:val="20"/>
                <w:szCs w:val="20"/>
                <w:lang w:val="en-US"/>
              </w:rPr>
              <w:t>LEV1 (Debt/</w:t>
            </w:r>
            <w:r w:rsidR="00282790" w:rsidRPr="00EA4B92">
              <w:rPr>
                <w:color w:val="FF0000"/>
                <w:sz w:val="20"/>
                <w:szCs w:val="20"/>
                <w:lang w:val="en-US"/>
              </w:rPr>
              <w:br/>
            </w:r>
            <w:r w:rsidRPr="00EA4B92">
              <w:rPr>
                <w:color w:val="FF0000"/>
                <w:sz w:val="20"/>
                <w:szCs w:val="20"/>
                <w:lang w:val="en-US"/>
              </w:rPr>
              <w:t>Assets)</w:t>
            </w:r>
          </w:p>
        </w:tc>
        <w:tc>
          <w:tcPr>
            <w:tcW w:w="719" w:type="dxa"/>
            <w:vAlign w:val="center"/>
            <w:hideMark/>
          </w:tcPr>
          <w:p w14:paraId="4F975D23" w14:textId="77777777" w:rsidR="0036571B" w:rsidRPr="00EA4B92" w:rsidRDefault="0036571B" w:rsidP="00EC01F1">
            <w:pPr>
              <w:spacing w:before="20" w:after="20"/>
              <w:jc w:val="right"/>
              <w:rPr>
                <w:color w:val="FF0000"/>
                <w:sz w:val="20"/>
                <w:szCs w:val="20"/>
                <w:lang w:val="en-US"/>
              </w:rPr>
            </w:pPr>
            <w:r w:rsidRPr="00EA4B92">
              <w:rPr>
                <w:color w:val="FF0000"/>
                <w:sz w:val="20"/>
                <w:szCs w:val="20"/>
                <w:lang w:val="en-US"/>
              </w:rPr>
              <w:t>9,555</w:t>
            </w:r>
          </w:p>
        </w:tc>
        <w:tc>
          <w:tcPr>
            <w:tcW w:w="762" w:type="dxa"/>
            <w:vAlign w:val="center"/>
            <w:hideMark/>
          </w:tcPr>
          <w:p w14:paraId="7CDCF94E" w14:textId="77777777" w:rsidR="0036571B" w:rsidRPr="00EA4B92" w:rsidRDefault="0036571B" w:rsidP="00EC01F1">
            <w:pPr>
              <w:spacing w:before="20" w:after="20"/>
              <w:jc w:val="right"/>
              <w:rPr>
                <w:color w:val="FF0000"/>
                <w:sz w:val="20"/>
                <w:szCs w:val="20"/>
                <w:lang w:val="en-US"/>
              </w:rPr>
            </w:pPr>
            <w:r w:rsidRPr="00EA4B92">
              <w:rPr>
                <w:color w:val="FF0000"/>
                <w:sz w:val="20"/>
                <w:szCs w:val="20"/>
                <w:lang w:val="en-US"/>
              </w:rPr>
              <w:t>0.42</w:t>
            </w:r>
          </w:p>
        </w:tc>
        <w:tc>
          <w:tcPr>
            <w:tcW w:w="645" w:type="dxa"/>
            <w:vAlign w:val="center"/>
            <w:hideMark/>
          </w:tcPr>
          <w:p w14:paraId="44550D43" w14:textId="77777777" w:rsidR="0036571B" w:rsidRPr="00EA4B92" w:rsidRDefault="0036571B" w:rsidP="00EC01F1">
            <w:pPr>
              <w:spacing w:before="20" w:after="20"/>
              <w:jc w:val="right"/>
              <w:rPr>
                <w:color w:val="FF0000"/>
                <w:sz w:val="20"/>
                <w:szCs w:val="20"/>
                <w:lang w:val="en-US"/>
              </w:rPr>
            </w:pPr>
            <w:r w:rsidRPr="00EA4B92">
              <w:rPr>
                <w:color w:val="FF0000"/>
                <w:sz w:val="20"/>
                <w:szCs w:val="20"/>
                <w:lang w:val="en-US"/>
              </w:rPr>
              <w:t>0.18</w:t>
            </w:r>
          </w:p>
        </w:tc>
        <w:tc>
          <w:tcPr>
            <w:tcW w:w="709" w:type="dxa"/>
            <w:vAlign w:val="center"/>
            <w:hideMark/>
          </w:tcPr>
          <w:p w14:paraId="0DEA9AC9" w14:textId="77777777" w:rsidR="0036571B" w:rsidRPr="00EA4B92" w:rsidRDefault="0036571B" w:rsidP="00EC01F1">
            <w:pPr>
              <w:spacing w:before="20" w:after="20"/>
              <w:jc w:val="right"/>
              <w:rPr>
                <w:color w:val="FF0000"/>
                <w:sz w:val="20"/>
                <w:szCs w:val="20"/>
                <w:lang w:val="en-US"/>
              </w:rPr>
            </w:pPr>
            <w:r w:rsidRPr="00EA4B92">
              <w:rPr>
                <w:color w:val="FF0000"/>
                <w:sz w:val="20"/>
                <w:szCs w:val="20"/>
                <w:lang w:val="en-US"/>
              </w:rPr>
              <w:t>0.05</w:t>
            </w:r>
          </w:p>
        </w:tc>
        <w:tc>
          <w:tcPr>
            <w:tcW w:w="749" w:type="dxa"/>
            <w:vAlign w:val="center"/>
            <w:hideMark/>
          </w:tcPr>
          <w:p w14:paraId="7C40C385" w14:textId="77777777" w:rsidR="0036571B" w:rsidRPr="00EA4B92" w:rsidRDefault="0036571B" w:rsidP="00EC01F1">
            <w:pPr>
              <w:spacing w:before="20" w:after="20"/>
              <w:jc w:val="right"/>
              <w:rPr>
                <w:color w:val="FF0000"/>
                <w:sz w:val="20"/>
                <w:szCs w:val="20"/>
                <w:lang w:val="en-US"/>
              </w:rPr>
            </w:pPr>
            <w:r w:rsidRPr="00EA4B92">
              <w:rPr>
                <w:color w:val="FF0000"/>
                <w:sz w:val="20"/>
                <w:szCs w:val="20"/>
                <w:lang w:val="en-US"/>
              </w:rPr>
              <w:t>0.85</w:t>
            </w:r>
          </w:p>
        </w:tc>
      </w:tr>
      <w:tr w:rsidR="00177EF7" w:rsidRPr="00EA4B92" w14:paraId="04A26903" w14:textId="77777777" w:rsidTr="00FE5DF5">
        <w:trPr>
          <w:trHeight w:val="488"/>
        </w:trPr>
        <w:tc>
          <w:tcPr>
            <w:tcW w:w="1017" w:type="dxa"/>
            <w:vAlign w:val="center"/>
            <w:hideMark/>
          </w:tcPr>
          <w:p w14:paraId="31EE3716" w14:textId="209C28DB" w:rsidR="0036571B" w:rsidRPr="00EA4B92" w:rsidRDefault="0036571B" w:rsidP="00EC01F1">
            <w:pPr>
              <w:spacing w:before="20" w:after="20"/>
              <w:jc w:val="left"/>
              <w:rPr>
                <w:color w:val="FF0000"/>
                <w:sz w:val="20"/>
                <w:szCs w:val="20"/>
                <w:lang w:val="en-US"/>
              </w:rPr>
            </w:pPr>
            <w:r w:rsidRPr="00EA4B92">
              <w:rPr>
                <w:color w:val="FF0000"/>
                <w:sz w:val="20"/>
                <w:szCs w:val="20"/>
                <w:lang w:val="en-US"/>
              </w:rPr>
              <w:t>LEV2 (Debt/</w:t>
            </w:r>
            <w:r w:rsidR="00282790" w:rsidRPr="00EA4B92">
              <w:rPr>
                <w:color w:val="FF0000"/>
                <w:sz w:val="20"/>
                <w:szCs w:val="20"/>
                <w:lang w:val="en-US"/>
              </w:rPr>
              <w:br/>
            </w:r>
            <w:r w:rsidRPr="00EA4B92">
              <w:rPr>
                <w:color w:val="FF0000"/>
                <w:sz w:val="20"/>
                <w:szCs w:val="20"/>
                <w:lang w:val="en-US"/>
              </w:rPr>
              <w:t>Equity)</w:t>
            </w:r>
          </w:p>
        </w:tc>
        <w:tc>
          <w:tcPr>
            <w:tcW w:w="719" w:type="dxa"/>
            <w:vAlign w:val="center"/>
            <w:hideMark/>
          </w:tcPr>
          <w:p w14:paraId="1AC41751" w14:textId="77777777" w:rsidR="0036571B" w:rsidRPr="00EA4B92" w:rsidRDefault="0036571B" w:rsidP="00EC01F1">
            <w:pPr>
              <w:spacing w:before="20" w:after="20"/>
              <w:jc w:val="right"/>
              <w:rPr>
                <w:color w:val="FF0000"/>
                <w:sz w:val="20"/>
                <w:szCs w:val="20"/>
                <w:lang w:val="en-US"/>
              </w:rPr>
            </w:pPr>
            <w:r w:rsidRPr="00EA4B92">
              <w:rPr>
                <w:color w:val="FF0000"/>
                <w:sz w:val="20"/>
                <w:szCs w:val="20"/>
                <w:lang w:val="en-US"/>
              </w:rPr>
              <w:t>9,555</w:t>
            </w:r>
          </w:p>
        </w:tc>
        <w:tc>
          <w:tcPr>
            <w:tcW w:w="762" w:type="dxa"/>
            <w:vAlign w:val="center"/>
            <w:hideMark/>
          </w:tcPr>
          <w:p w14:paraId="6FBF4D79" w14:textId="77777777" w:rsidR="0036571B" w:rsidRPr="00EA4B92" w:rsidRDefault="0036571B" w:rsidP="00EC01F1">
            <w:pPr>
              <w:spacing w:before="20" w:after="20"/>
              <w:jc w:val="right"/>
              <w:rPr>
                <w:color w:val="FF0000"/>
                <w:sz w:val="20"/>
                <w:szCs w:val="20"/>
                <w:lang w:val="en-US"/>
              </w:rPr>
            </w:pPr>
            <w:r w:rsidRPr="00EA4B92">
              <w:rPr>
                <w:color w:val="FF0000"/>
                <w:sz w:val="20"/>
                <w:szCs w:val="20"/>
                <w:lang w:val="en-US"/>
              </w:rPr>
              <w:t>0.78</w:t>
            </w:r>
          </w:p>
        </w:tc>
        <w:tc>
          <w:tcPr>
            <w:tcW w:w="645" w:type="dxa"/>
            <w:vAlign w:val="center"/>
            <w:hideMark/>
          </w:tcPr>
          <w:p w14:paraId="190C0D00" w14:textId="77777777" w:rsidR="0036571B" w:rsidRPr="00EA4B92" w:rsidRDefault="0036571B" w:rsidP="00EC01F1">
            <w:pPr>
              <w:spacing w:before="20" w:after="20"/>
              <w:jc w:val="right"/>
              <w:rPr>
                <w:color w:val="FF0000"/>
                <w:sz w:val="20"/>
                <w:szCs w:val="20"/>
                <w:lang w:val="en-US"/>
              </w:rPr>
            </w:pPr>
            <w:r w:rsidRPr="00EA4B92">
              <w:rPr>
                <w:color w:val="FF0000"/>
                <w:sz w:val="20"/>
                <w:szCs w:val="20"/>
                <w:lang w:val="en-US"/>
              </w:rPr>
              <w:t>0.45</w:t>
            </w:r>
          </w:p>
        </w:tc>
        <w:tc>
          <w:tcPr>
            <w:tcW w:w="709" w:type="dxa"/>
            <w:vAlign w:val="center"/>
            <w:hideMark/>
          </w:tcPr>
          <w:p w14:paraId="7E5B7E28" w14:textId="77777777" w:rsidR="0036571B" w:rsidRPr="00EA4B92" w:rsidRDefault="0036571B" w:rsidP="00EC01F1">
            <w:pPr>
              <w:spacing w:before="20" w:after="20"/>
              <w:jc w:val="right"/>
              <w:rPr>
                <w:color w:val="FF0000"/>
                <w:sz w:val="20"/>
                <w:szCs w:val="20"/>
                <w:lang w:val="en-US"/>
              </w:rPr>
            </w:pPr>
            <w:r w:rsidRPr="00EA4B92">
              <w:rPr>
                <w:color w:val="FF0000"/>
                <w:sz w:val="20"/>
                <w:szCs w:val="20"/>
                <w:lang w:val="en-US"/>
              </w:rPr>
              <w:t>0.10</w:t>
            </w:r>
          </w:p>
        </w:tc>
        <w:tc>
          <w:tcPr>
            <w:tcW w:w="749" w:type="dxa"/>
            <w:vAlign w:val="center"/>
            <w:hideMark/>
          </w:tcPr>
          <w:p w14:paraId="1703B779" w14:textId="77777777" w:rsidR="0036571B" w:rsidRPr="00EA4B92" w:rsidRDefault="0036571B" w:rsidP="00EC01F1">
            <w:pPr>
              <w:spacing w:before="20" w:after="20"/>
              <w:jc w:val="right"/>
              <w:rPr>
                <w:color w:val="FF0000"/>
                <w:sz w:val="20"/>
                <w:szCs w:val="20"/>
                <w:lang w:val="en-US"/>
              </w:rPr>
            </w:pPr>
            <w:r w:rsidRPr="00EA4B92">
              <w:rPr>
                <w:color w:val="FF0000"/>
                <w:sz w:val="20"/>
                <w:szCs w:val="20"/>
                <w:lang w:val="en-US"/>
              </w:rPr>
              <w:t>2.50</w:t>
            </w:r>
          </w:p>
        </w:tc>
      </w:tr>
      <w:tr w:rsidR="00177EF7" w:rsidRPr="00EA4B92" w14:paraId="6AEF0054" w14:textId="77777777" w:rsidTr="00FE5DF5">
        <w:trPr>
          <w:trHeight w:val="214"/>
        </w:trPr>
        <w:tc>
          <w:tcPr>
            <w:tcW w:w="1017" w:type="dxa"/>
            <w:vAlign w:val="center"/>
            <w:hideMark/>
          </w:tcPr>
          <w:p w14:paraId="65A35993" w14:textId="77777777" w:rsidR="0036571B" w:rsidRPr="00EA4B92" w:rsidRDefault="0036571B" w:rsidP="00EC01F1">
            <w:pPr>
              <w:spacing w:before="20" w:after="20"/>
              <w:jc w:val="left"/>
              <w:rPr>
                <w:color w:val="FF0000"/>
                <w:sz w:val="20"/>
                <w:szCs w:val="20"/>
                <w:lang w:val="en-US"/>
              </w:rPr>
            </w:pPr>
            <w:r w:rsidRPr="00EA4B92">
              <w:rPr>
                <w:color w:val="FF0000"/>
                <w:sz w:val="20"/>
                <w:szCs w:val="20"/>
                <w:lang w:val="en-US"/>
              </w:rPr>
              <w:t>Size (ln(TA))</w:t>
            </w:r>
          </w:p>
        </w:tc>
        <w:tc>
          <w:tcPr>
            <w:tcW w:w="719" w:type="dxa"/>
            <w:vAlign w:val="center"/>
            <w:hideMark/>
          </w:tcPr>
          <w:p w14:paraId="46B0532A" w14:textId="77777777" w:rsidR="0036571B" w:rsidRPr="00EA4B92" w:rsidRDefault="0036571B" w:rsidP="00EC01F1">
            <w:pPr>
              <w:spacing w:before="20" w:after="20"/>
              <w:jc w:val="right"/>
              <w:rPr>
                <w:color w:val="FF0000"/>
                <w:sz w:val="20"/>
                <w:szCs w:val="20"/>
                <w:lang w:val="en-US"/>
              </w:rPr>
            </w:pPr>
            <w:r w:rsidRPr="00EA4B92">
              <w:rPr>
                <w:color w:val="FF0000"/>
                <w:sz w:val="20"/>
                <w:szCs w:val="20"/>
                <w:lang w:val="en-US"/>
              </w:rPr>
              <w:t>9,555</w:t>
            </w:r>
          </w:p>
        </w:tc>
        <w:tc>
          <w:tcPr>
            <w:tcW w:w="762" w:type="dxa"/>
            <w:vAlign w:val="center"/>
            <w:hideMark/>
          </w:tcPr>
          <w:p w14:paraId="75734846" w14:textId="77777777" w:rsidR="0036571B" w:rsidRPr="00EA4B92" w:rsidRDefault="0036571B" w:rsidP="00EC01F1">
            <w:pPr>
              <w:spacing w:before="20" w:after="20"/>
              <w:jc w:val="right"/>
              <w:rPr>
                <w:color w:val="FF0000"/>
                <w:sz w:val="20"/>
                <w:szCs w:val="20"/>
                <w:lang w:val="en-US"/>
              </w:rPr>
            </w:pPr>
            <w:r w:rsidRPr="00EA4B92">
              <w:rPr>
                <w:color w:val="FF0000"/>
                <w:sz w:val="20"/>
                <w:szCs w:val="20"/>
                <w:lang w:val="en-US"/>
              </w:rPr>
              <w:t>12.5</w:t>
            </w:r>
          </w:p>
        </w:tc>
        <w:tc>
          <w:tcPr>
            <w:tcW w:w="645" w:type="dxa"/>
            <w:vAlign w:val="center"/>
            <w:hideMark/>
          </w:tcPr>
          <w:p w14:paraId="62A89359" w14:textId="77777777" w:rsidR="0036571B" w:rsidRPr="00EA4B92" w:rsidRDefault="0036571B" w:rsidP="00EC01F1">
            <w:pPr>
              <w:spacing w:before="20" w:after="20"/>
              <w:jc w:val="right"/>
              <w:rPr>
                <w:color w:val="FF0000"/>
                <w:sz w:val="20"/>
                <w:szCs w:val="20"/>
                <w:lang w:val="en-US"/>
              </w:rPr>
            </w:pPr>
            <w:r w:rsidRPr="00EA4B92">
              <w:rPr>
                <w:color w:val="FF0000"/>
                <w:sz w:val="20"/>
                <w:szCs w:val="20"/>
                <w:lang w:val="en-US"/>
              </w:rPr>
              <w:t>1.8</w:t>
            </w:r>
          </w:p>
        </w:tc>
        <w:tc>
          <w:tcPr>
            <w:tcW w:w="709" w:type="dxa"/>
            <w:vAlign w:val="center"/>
            <w:hideMark/>
          </w:tcPr>
          <w:p w14:paraId="7829A927" w14:textId="77777777" w:rsidR="0036571B" w:rsidRPr="00EA4B92" w:rsidRDefault="0036571B" w:rsidP="00EC01F1">
            <w:pPr>
              <w:spacing w:before="20" w:after="20"/>
              <w:jc w:val="right"/>
              <w:rPr>
                <w:color w:val="FF0000"/>
                <w:sz w:val="20"/>
                <w:szCs w:val="20"/>
                <w:lang w:val="en-US"/>
              </w:rPr>
            </w:pPr>
            <w:r w:rsidRPr="00EA4B92">
              <w:rPr>
                <w:color w:val="FF0000"/>
                <w:sz w:val="20"/>
                <w:szCs w:val="20"/>
                <w:lang w:val="en-US"/>
              </w:rPr>
              <w:t>8.0</w:t>
            </w:r>
          </w:p>
        </w:tc>
        <w:tc>
          <w:tcPr>
            <w:tcW w:w="749" w:type="dxa"/>
            <w:vAlign w:val="center"/>
            <w:hideMark/>
          </w:tcPr>
          <w:p w14:paraId="714B259E" w14:textId="77777777" w:rsidR="0036571B" w:rsidRPr="00EA4B92" w:rsidRDefault="0036571B" w:rsidP="00EC01F1">
            <w:pPr>
              <w:spacing w:before="20" w:after="20"/>
              <w:jc w:val="right"/>
              <w:rPr>
                <w:color w:val="FF0000"/>
                <w:sz w:val="20"/>
                <w:szCs w:val="20"/>
                <w:lang w:val="en-US"/>
              </w:rPr>
            </w:pPr>
            <w:r w:rsidRPr="00EA4B92">
              <w:rPr>
                <w:color w:val="FF0000"/>
                <w:sz w:val="20"/>
                <w:szCs w:val="20"/>
                <w:lang w:val="en-US"/>
              </w:rPr>
              <w:t>18.0</w:t>
            </w:r>
          </w:p>
        </w:tc>
      </w:tr>
      <w:tr w:rsidR="00177EF7" w:rsidRPr="00EA4B92" w14:paraId="365E2B89" w14:textId="77777777" w:rsidTr="003C2C6E">
        <w:trPr>
          <w:trHeight w:val="267"/>
        </w:trPr>
        <w:tc>
          <w:tcPr>
            <w:tcW w:w="1017" w:type="dxa"/>
            <w:vAlign w:val="center"/>
            <w:hideMark/>
          </w:tcPr>
          <w:p w14:paraId="6DEC7FF0" w14:textId="77777777" w:rsidR="0036571B" w:rsidRPr="00EA4B92" w:rsidRDefault="0036571B" w:rsidP="00EC01F1">
            <w:pPr>
              <w:spacing w:before="20" w:after="20"/>
              <w:jc w:val="left"/>
              <w:rPr>
                <w:color w:val="FF0000"/>
                <w:sz w:val="20"/>
                <w:szCs w:val="20"/>
                <w:lang w:val="en-US"/>
              </w:rPr>
            </w:pPr>
            <w:r w:rsidRPr="00EA4B92">
              <w:rPr>
                <w:color w:val="FF0000"/>
                <w:sz w:val="20"/>
                <w:szCs w:val="20"/>
                <w:lang w:val="en-US"/>
              </w:rPr>
              <w:t>Growth</w:t>
            </w:r>
          </w:p>
        </w:tc>
        <w:tc>
          <w:tcPr>
            <w:tcW w:w="719" w:type="dxa"/>
            <w:vAlign w:val="center"/>
            <w:hideMark/>
          </w:tcPr>
          <w:p w14:paraId="24F509E8" w14:textId="77777777" w:rsidR="0036571B" w:rsidRPr="00EA4B92" w:rsidRDefault="0036571B" w:rsidP="00EC01F1">
            <w:pPr>
              <w:spacing w:before="20" w:after="20"/>
              <w:jc w:val="right"/>
              <w:rPr>
                <w:color w:val="FF0000"/>
                <w:sz w:val="20"/>
                <w:szCs w:val="20"/>
                <w:lang w:val="en-US"/>
              </w:rPr>
            </w:pPr>
            <w:r w:rsidRPr="00EA4B92">
              <w:rPr>
                <w:color w:val="FF0000"/>
                <w:sz w:val="20"/>
                <w:szCs w:val="20"/>
                <w:lang w:val="en-US"/>
              </w:rPr>
              <w:t>9,555</w:t>
            </w:r>
          </w:p>
        </w:tc>
        <w:tc>
          <w:tcPr>
            <w:tcW w:w="762" w:type="dxa"/>
            <w:vAlign w:val="center"/>
            <w:hideMark/>
          </w:tcPr>
          <w:p w14:paraId="6789DC86" w14:textId="77777777" w:rsidR="0036571B" w:rsidRPr="00EA4B92" w:rsidRDefault="0036571B" w:rsidP="00EC01F1">
            <w:pPr>
              <w:spacing w:before="20" w:after="20"/>
              <w:jc w:val="right"/>
              <w:rPr>
                <w:color w:val="FF0000"/>
                <w:sz w:val="20"/>
                <w:szCs w:val="20"/>
                <w:lang w:val="en-US"/>
              </w:rPr>
            </w:pPr>
            <w:r w:rsidRPr="00EA4B92">
              <w:rPr>
                <w:color w:val="FF0000"/>
                <w:sz w:val="20"/>
                <w:szCs w:val="20"/>
                <w:lang w:val="en-US"/>
              </w:rPr>
              <w:t>0.15</w:t>
            </w:r>
          </w:p>
        </w:tc>
        <w:tc>
          <w:tcPr>
            <w:tcW w:w="645" w:type="dxa"/>
            <w:vAlign w:val="center"/>
            <w:hideMark/>
          </w:tcPr>
          <w:p w14:paraId="2EDDF951" w14:textId="77777777" w:rsidR="0036571B" w:rsidRPr="00EA4B92" w:rsidRDefault="0036571B" w:rsidP="00EC01F1">
            <w:pPr>
              <w:spacing w:before="20" w:after="20"/>
              <w:jc w:val="right"/>
              <w:rPr>
                <w:color w:val="FF0000"/>
                <w:sz w:val="20"/>
                <w:szCs w:val="20"/>
                <w:lang w:val="en-US"/>
              </w:rPr>
            </w:pPr>
            <w:r w:rsidRPr="00EA4B92">
              <w:rPr>
                <w:color w:val="FF0000"/>
                <w:sz w:val="20"/>
                <w:szCs w:val="20"/>
                <w:lang w:val="en-US"/>
              </w:rPr>
              <w:t>0.25</w:t>
            </w:r>
          </w:p>
        </w:tc>
        <w:tc>
          <w:tcPr>
            <w:tcW w:w="709" w:type="dxa"/>
            <w:vAlign w:val="center"/>
            <w:hideMark/>
          </w:tcPr>
          <w:p w14:paraId="14B25CD7" w14:textId="77777777" w:rsidR="0036571B" w:rsidRPr="00EA4B92" w:rsidRDefault="0036571B" w:rsidP="00EC01F1">
            <w:pPr>
              <w:spacing w:before="20" w:after="20"/>
              <w:jc w:val="right"/>
              <w:rPr>
                <w:color w:val="FF0000"/>
                <w:sz w:val="20"/>
                <w:szCs w:val="20"/>
                <w:lang w:val="en-US"/>
              </w:rPr>
            </w:pPr>
            <w:r w:rsidRPr="00EA4B92">
              <w:rPr>
                <w:color w:val="FF0000"/>
                <w:sz w:val="20"/>
                <w:szCs w:val="20"/>
                <w:lang w:val="en-US"/>
              </w:rPr>
              <w:t>-0.50</w:t>
            </w:r>
          </w:p>
        </w:tc>
        <w:tc>
          <w:tcPr>
            <w:tcW w:w="749" w:type="dxa"/>
            <w:vAlign w:val="center"/>
            <w:hideMark/>
          </w:tcPr>
          <w:p w14:paraId="19A0515D" w14:textId="77777777" w:rsidR="0036571B" w:rsidRPr="00EA4B92" w:rsidRDefault="0036571B" w:rsidP="00EC01F1">
            <w:pPr>
              <w:spacing w:before="20" w:after="20"/>
              <w:jc w:val="right"/>
              <w:rPr>
                <w:color w:val="FF0000"/>
                <w:sz w:val="20"/>
                <w:szCs w:val="20"/>
                <w:lang w:val="en-US"/>
              </w:rPr>
            </w:pPr>
            <w:r w:rsidRPr="00EA4B92">
              <w:rPr>
                <w:color w:val="FF0000"/>
                <w:sz w:val="20"/>
                <w:szCs w:val="20"/>
                <w:lang w:val="en-US"/>
              </w:rPr>
              <w:t>1.20</w:t>
            </w:r>
          </w:p>
        </w:tc>
      </w:tr>
      <w:tr w:rsidR="00177EF7" w:rsidRPr="00EA4B92" w14:paraId="6D760FE9" w14:textId="77777777" w:rsidTr="00FE5DF5">
        <w:trPr>
          <w:trHeight w:val="44"/>
        </w:trPr>
        <w:tc>
          <w:tcPr>
            <w:tcW w:w="1017" w:type="dxa"/>
            <w:vAlign w:val="center"/>
            <w:hideMark/>
          </w:tcPr>
          <w:p w14:paraId="55B8FCF0" w14:textId="77777777" w:rsidR="0036571B" w:rsidRPr="00EA4B92" w:rsidRDefault="0036571B" w:rsidP="00EC01F1">
            <w:pPr>
              <w:spacing w:before="20" w:after="20"/>
              <w:jc w:val="left"/>
              <w:rPr>
                <w:color w:val="FF0000"/>
                <w:sz w:val="20"/>
                <w:szCs w:val="20"/>
                <w:lang w:val="en-US"/>
              </w:rPr>
            </w:pPr>
            <w:r w:rsidRPr="00EA4B92">
              <w:rPr>
                <w:color w:val="FF0000"/>
                <w:sz w:val="20"/>
                <w:szCs w:val="20"/>
                <w:lang w:val="en-US"/>
              </w:rPr>
              <w:t>Liquidity</w:t>
            </w:r>
          </w:p>
        </w:tc>
        <w:tc>
          <w:tcPr>
            <w:tcW w:w="719" w:type="dxa"/>
            <w:vAlign w:val="center"/>
            <w:hideMark/>
          </w:tcPr>
          <w:p w14:paraId="34CC58AF" w14:textId="77777777" w:rsidR="0036571B" w:rsidRPr="00EA4B92" w:rsidRDefault="0036571B" w:rsidP="00EC01F1">
            <w:pPr>
              <w:spacing w:before="20" w:after="20"/>
              <w:jc w:val="right"/>
              <w:rPr>
                <w:color w:val="FF0000"/>
                <w:sz w:val="20"/>
                <w:szCs w:val="20"/>
                <w:lang w:val="en-US"/>
              </w:rPr>
            </w:pPr>
            <w:r w:rsidRPr="00EA4B92">
              <w:rPr>
                <w:color w:val="FF0000"/>
                <w:sz w:val="20"/>
                <w:szCs w:val="20"/>
                <w:lang w:val="en-US"/>
              </w:rPr>
              <w:t>9,555</w:t>
            </w:r>
          </w:p>
        </w:tc>
        <w:tc>
          <w:tcPr>
            <w:tcW w:w="762" w:type="dxa"/>
            <w:vAlign w:val="center"/>
            <w:hideMark/>
          </w:tcPr>
          <w:p w14:paraId="1E72EEB8" w14:textId="77777777" w:rsidR="0036571B" w:rsidRPr="00EA4B92" w:rsidRDefault="0036571B" w:rsidP="00EC01F1">
            <w:pPr>
              <w:spacing w:before="20" w:after="20"/>
              <w:jc w:val="right"/>
              <w:rPr>
                <w:color w:val="FF0000"/>
                <w:sz w:val="20"/>
                <w:szCs w:val="20"/>
                <w:lang w:val="en-US"/>
              </w:rPr>
            </w:pPr>
            <w:r w:rsidRPr="00EA4B92">
              <w:rPr>
                <w:color w:val="FF0000"/>
                <w:sz w:val="20"/>
                <w:szCs w:val="20"/>
                <w:lang w:val="en-US"/>
              </w:rPr>
              <w:t>1.45</w:t>
            </w:r>
          </w:p>
        </w:tc>
        <w:tc>
          <w:tcPr>
            <w:tcW w:w="645" w:type="dxa"/>
            <w:vAlign w:val="center"/>
            <w:hideMark/>
          </w:tcPr>
          <w:p w14:paraId="3A3CC4B6" w14:textId="77777777" w:rsidR="0036571B" w:rsidRPr="00EA4B92" w:rsidRDefault="0036571B" w:rsidP="00EC01F1">
            <w:pPr>
              <w:spacing w:before="20" w:after="20"/>
              <w:jc w:val="right"/>
              <w:rPr>
                <w:color w:val="FF0000"/>
                <w:sz w:val="20"/>
                <w:szCs w:val="20"/>
                <w:lang w:val="en-US"/>
              </w:rPr>
            </w:pPr>
            <w:r w:rsidRPr="00EA4B92">
              <w:rPr>
                <w:color w:val="FF0000"/>
                <w:sz w:val="20"/>
                <w:szCs w:val="20"/>
                <w:lang w:val="en-US"/>
              </w:rPr>
              <w:t>0.80</w:t>
            </w:r>
          </w:p>
        </w:tc>
        <w:tc>
          <w:tcPr>
            <w:tcW w:w="709" w:type="dxa"/>
            <w:vAlign w:val="center"/>
            <w:hideMark/>
          </w:tcPr>
          <w:p w14:paraId="485358FA" w14:textId="77777777" w:rsidR="0036571B" w:rsidRPr="00EA4B92" w:rsidRDefault="0036571B" w:rsidP="00EC01F1">
            <w:pPr>
              <w:spacing w:before="20" w:after="20"/>
              <w:jc w:val="right"/>
              <w:rPr>
                <w:color w:val="FF0000"/>
                <w:sz w:val="20"/>
                <w:szCs w:val="20"/>
                <w:lang w:val="en-US"/>
              </w:rPr>
            </w:pPr>
            <w:r w:rsidRPr="00EA4B92">
              <w:rPr>
                <w:color w:val="FF0000"/>
                <w:sz w:val="20"/>
                <w:szCs w:val="20"/>
                <w:lang w:val="en-US"/>
              </w:rPr>
              <w:t>0.30</w:t>
            </w:r>
          </w:p>
        </w:tc>
        <w:tc>
          <w:tcPr>
            <w:tcW w:w="749" w:type="dxa"/>
            <w:vAlign w:val="center"/>
            <w:hideMark/>
          </w:tcPr>
          <w:p w14:paraId="40894703" w14:textId="77777777" w:rsidR="0036571B" w:rsidRPr="00EA4B92" w:rsidRDefault="0036571B" w:rsidP="00EC01F1">
            <w:pPr>
              <w:spacing w:before="20" w:after="20"/>
              <w:jc w:val="right"/>
              <w:rPr>
                <w:color w:val="FF0000"/>
                <w:sz w:val="20"/>
                <w:szCs w:val="20"/>
                <w:lang w:val="en-US"/>
              </w:rPr>
            </w:pPr>
            <w:r w:rsidRPr="00EA4B92">
              <w:rPr>
                <w:color w:val="FF0000"/>
                <w:sz w:val="20"/>
                <w:szCs w:val="20"/>
                <w:lang w:val="en-US"/>
              </w:rPr>
              <w:t>5.00</w:t>
            </w:r>
          </w:p>
        </w:tc>
      </w:tr>
      <w:tr w:rsidR="00177EF7" w:rsidRPr="00EA4B92" w14:paraId="43DB9210" w14:textId="77777777" w:rsidTr="00FE5DF5">
        <w:trPr>
          <w:trHeight w:val="74"/>
        </w:trPr>
        <w:tc>
          <w:tcPr>
            <w:tcW w:w="1017" w:type="dxa"/>
            <w:vAlign w:val="center"/>
            <w:hideMark/>
          </w:tcPr>
          <w:p w14:paraId="654D44F8" w14:textId="77777777" w:rsidR="0036571B" w:rsidRPr="00EA4B92" w:rsidRDefault="0036571B" w:rsidP="00EC01F1">
            <w:pPr>
              <w:spacing w:before="20" w:after="20"/>
              <w:jc w:val="left"/>
              <w:rPr>
                <w:color w:val="FF0000"/>
                <w:sz w:val="20"/>
                <w:szCs w:val="20"/>
                <w:lang w:val="en-US"/>
              </w:rPr>
            </w:pPr>
            <w:r w:rsidRPr="00EA4B92">
              <w:rPr>
                <w:color w:val="FF0000"/>
                <w:sz w:val="20"/>
                <w:szCs w:val="20"/>
                <w:lang w:val="en-US"/>
              </w:rPr>
              <w:t>Tangibility</w:t>
            </w:r>
          </w:p>
        </w:tc>
        <w:tc>
          <w:tcPr>
            <w:tcW w:w="719" w:type="dxa"/>
            <w:vAlign w:val="center"/>
            <w:hideMark/>
          </w:tcPr>
          <w:p w14:paraId="605BCA83" w14:textId="77777777" w:rsidR="0036571B" w:rsidRPr="00EA4B92" w:rsidRDefault="0036571B" w:rsidP="00EC01F1">
            <w:pPr>
              <w:spacing w:before="20" w:after="20"/>
              <w:jc w:val="right"/>
              <w:rPr>
                <w:color w:val="FF0000"/>
                <w:sz w:val="20"/>
                <w:szCs w:val="20"/>
                <w:lang w:val="en-US"/>
              </w:rPr>
            </w:pPr>
            <w:r w:rsidRPr="00EA4B92">
              <w:rPr>
                <w:color w:val="FF0000"/>
                <w:sz w:val="20"/>
                <w:szCs w:val="20"/>
                <w:lang w:val="en-US"/>
              </w:rPr>
              <w:t>9,555</w:t>
            </w:r>
          </w:p>
        </w:tc>
        <w:tc>
          <w:tcPr>
            <w:tcW w:w="762" w:type="dxa"/>
            <w:vAlign w:val="center"/>
            <w:hideMark/>
          </w:tcPr>
          <w:p w14:paraId="3C74FD6C" w14:textId="77777777" w:rsidR="0036571B" w:rsidRPr="00EA4B92" w:rsidRDefault="0036571B" w:rsidP="00EC01F1">
            <w:pPr>
              <w:spacing w:before="20" w:after="20"/>
              <w:jc w:val="right"/>
              <w:rPr>
                <w:color w:val="FF0000"/>
                <w:sz w:val="20"/>
                <w:szCs w:val="20"/>
                <w:lang w:val="en-US"/>
              </w:rPr>
            </w:pPr>
            <w:r w:rsidRPr="00EA4B92">
              <w:rPr>
                <w:color w:val="FF0000"/>
                <w:sz w:val="20"/>
                <w:szCs w:val="20"/>
                <w:lang w:val="en-US"/>
              </w:rPr>
              <w:t>0.35</w:t>
            </w:r>
          </w:p>
        </w:tc>
        <w:tc>
          <w:tcPr>
            <w:tcW w:w="645" w:type="dxa"/>
            <w:vAlign w:val="center"/>
            <w:hideMark/>
          </w:tcPr>
          <w:p w14:paraId="6F2AFF68" w14:textId="77777777" w:rsidR="0036571B" w:rsidRPr="00EA4B92" w:rsidRDefault="0036571B" w:rsidP="00EC01F1">
            <w:pPr>
              <w:spacing w:before="20" w:after="20"/>
              <w:jc w:val="right"/>
              <w:rPr>
                <w:color w:val="FF0000"/>
                <w:sz w:val="20"/>
                <w:szCs w:val="20"/>
                <w:lang w:val="en-US"/>
              </w:rPr>
            </w:pPr>
            <w:r w:rsidRPr="00EA4B92">
              <w:rPr>
                <w:color w:val="FF0000"/>
                <w:sz w:val="20"/>
                <w:szCs w:val="20"/>
                <w:lang w:val="en-US"/>
              </w:rPr>
              <w:t>0.22</w:t>
            </w:r>
          </w:p>
        </w:tc>
        <w:tc>
          <w:tcPr>
            <w:tcW w:w="709" w:type="dxa"/>
            <w:vAlign w:val="center"/>
            <w:hideMark/>
          </w:tcPr>
          <w:p w14:paraId="5F953D8D" w14:textId="77777777" w:rsidR="0036571B" w:rsidRPr="00EA4B92" w:rsidRDefault="0036571B" w:rsidP="00EC01F1">
            <w:pPr>
              <w:spacing w:before="20" w:after="20"/>
              <w:jc w:val="right"/>
              <w:rPr>
                <w:color w:val="FF0000"/>
                <w:sz w:val="20"/>
                <w:szCs w:val="20"/>
                <w:lang w:val="en-US"/>
              </w:rPr>
            </w:pPr>
            <w:r w:rsidRPr="00EA4B92">
              <w:rPr>
                <w:color w:val="FF0000"/>
                <w:sz w:val="20"/>
                <w:szCs w:val="20"/>
                <w:lang w:val="en-US"/>
              </w:rPr>
              <w:t>0.00</w:t>
            </w:r>
          </w:p>
        </w:tc>
        <w:tc>
          <w:tcPr>
            <w:tcW w:w="749" w:type="dxa"/>
            <w:vAlign w:val="center"/>
            <w:hideMark/>
          </w:tcPr>
          <w:p w14:paraId="7B674554" w14:textId="77777777" w:rsidR="0036571B" w:rsidRPr="00EA4B92" w:rsidRDefault="0036571B" w:rsidP="00EC01F1">
            <w:pPr>
              <w:spacing w:before="20" w:after="20"/>
              <w:jc w:val="right"/>
              <w:rPr>
                <w:color w:val="FF0000"/>
                <w:sz w:val="20"/>
                <w:szCs w:val="20"/>
                <w:lang w:val="en-US"/>
              </w:rPr>
            </w:pPr>
            <w:r w:rsidRPr="00EA4B92">
              <w:rPr>
                <w:color w:val="FF0000"/>
                <w:sz w:val="20"/>
                <w:szCs w:val="20"/>
                <w:lang w:val="en-US"/>
              </w:rPr>
              <w:t>0.90</w:t>
            </w:r>
          </w:p>
        </w:tc>
      </w:tr>
      <w:tr w:rsidR="00177EF7" w:rsidRPr="00EA4B92" w14:paraId="412E0108" w14:textId="77777777" w:rsidTr="00FE5DF5">
        <w:trPr>
          <w:trHeight w:val="44"/>
        </w:trPr>
        <w:tc>
          <w:tcPr>
            <w:tcW w:w="1017" w:type="dxa"/>
            <w:vAlign w:val="center"/>
            <w:hideMark/>
          </w:tcPr>
          <w:p w14:paraId="597F550A" w14:textId="77777777" w:rsidR="0036571B" w:rsidRPr="00EA4B92" w:rsidRDefault="0036571B" w:rsidP="00EC01F1">
            <w:pPr>
              <w:spacing w:before="20" w:after="20"/>
              <w:jc w:val="left"/>
              <w:rPr>
                <w:color w:val="FF0000"/>
                <w:sz w:val="20"/>
                <w:szCs w:val="20"/>
                <w:lang w:val="en-US"/>
              </w:rPr>
            </w:pPr>
            <w:r w:rsidRPr="00EA4B92">
              <w:rPr>
                <w:color w:val="FF0000"/>
                <w:sz w:val="20"/>
                <w:szCs w:val="20"/>
                <w:lang w:val="en-US"/>
              </w:rPr>
              <w:t>Age</w:t>
            </w:r>
          </w:p>
        </w:tc>
        <w:tc>
          <w:tcPr>
            <w:tcW w:w="719" w:type="dxa"/>
            <w:vAlign w:val="center"/>
            <w:hideMark/>
          </w:tcPr>
          <w:p w14:paraId="04EE49B0" w14:textId="77777777" w:rsidR="0036571B" w:rsidRPr="00EA4B92" w:rsidRDefault="0036571B" w:rsidP="00EC01F1">
            <w:pPr>
              <w:spacing w:before="20" w:after="20"/>
              <w:jc w:val="right"/>
              <w:rPr>
                <w:color w:val="FF0000"/>
                <w:sz w:val="20"/>
                <w:szCs w:val="20"/>
                <w:lang w:val="en-US"/>
              </w:rPr>
            </w:pPr>
            <w:r w:rsidRPr="00EA4B92">
              <w:rPr>
                <w:color w:val="FF0000"/>
                <w:sz w:val="20"/>
                <w:szCs w:val="20"/>
                <w:lang w:val="en-US"/>
              </w:rPr>
              <w:t>9,555</w:t>
            </w:r>
          </w:p>
        </w:tc>
        <w:tc>
          <w:tcPr>
            <w:tcW w:w="762" w:type="dxa"/>
            <w:vAlign w:val="center"/>
            <w:hideMark/>
          </w:tcPr>
          <w:p w14:paraId="448D8B60" w14:textId="77777777" w:rsidR="0036571B" w:rsidRPr="00EA4B92" w:rsidRDefault="0036571B" w:rsidP="00EC01F1">
            <w:pPr>
              <w:spacing w:before="20" w:after="20"/>
              <w:jc w:val="right"/>
              <w:rPr>
                <w:color w:val="FF0000"/>
                <w:sz w:val="20"/>
                <w:szCs w:val="20"/>
                <w:lang w:val="en-US"/>
              </w:rPr>
            </w:pPr>
            <w:r w:rsidRPr="00EA4B92">
              <w:rPr>
                <w:color w:val="FF0000"/>
                <w:sz w:val="20"/>
                <w:szCs w:val="20"/>
                <w:lang w:val="en-US"/>
              </w:rPr>
              <w:t>12.8</w:t>
            </w:r>
          </w:p>
        </w:tc>
        <w:tc>
          <w:tcPr>
            <w:tcW w:w="645" w:type="dxa"/>
            <w:vAlign w:val="center"/>
            <w:hideMark/>
          </w:tcPr>
          <w:p w14:paraId="0528C2B0" w14:textId="77777777" w:rsidR="0036571B" w:rsidRPr="00EA4B92" w:rsidRDefault="0036571B" w:rsidP="00EC01F1">
            <w:pPr>
              <w:spacing w:before="20" w:after="20"/>
              <w:jc w:val="right"/>
              <w:rPr>
                <w:color w:val="FF0000"/>
                <w:sz w:val="20"/>
                <w:szCs w:val="20"/>
                <w:lang w:val="en-US"/>
              </w:rPr>
            </w:pPr>
            <w:r w:rsidRPr="00EA4B92">
              <w:rPr>
                <w:color w:val="FF0000"/>
                <w:sz w:val="20"/>
                <w:szCs w:val="20"/>
                <w:lang w:val="en-US"/>
              </w:rPr>
              <w:t>7.2</w:t>
            </w:r>
          </w:p>
        </w:tc>
        <w:tc>
          <w:tcPr>
            <w:tcW w:w="709" w:type="dxa"/>
            <w:vAlign w:val="center"/>
            <w:hideMark/>
          </w:tcPr>
          <w:p w14:paraId="07C18121" w14:textId="77777777" w:rsidR="0036571B" w:rsidRPr="00EA4B92" w:rsidRDefault="0036571B" w:rsidP="00EC01F1">
            <w:pPr>
              <w:spacing w:before="20" w:after="20"/>
              <w:jc w:val="right"/>
              <w:rPr>
                <w:color w:val="FF0000"/>
                <w:sz w:val="20"/>
                <w:szCs w:val="20"/>
                <w:lang w:val="en-US"/>
              </w:rPr>
            </w:pPr>
            <w:r w:rsidRPr="00EA4B92">
              <w:rPr>
                <w:color w:val="FF0000"/>
                <w:sz w:val="20"/>
                <w:szCs w:val="20"/>
                <w:lang w:val="en-US"/>
              </w:rPr>
              <w:t>1</w:t>
            </w:r>
          </w:p>
        </w:tc>
        <w:tc>
          <w:tcPr>
            <w:tcW w:w="749" w:type="dxa"/>
            <w:vAlign w:val="center"/>
            <w:hideMark/>
          </w:tcPr>
          <w:p w14:paraId="25838264" w14:textId="77777777" w:rsidR="0036571B" w:rsidRPr="00EA4B92" w:rsidRDefault="0036571B" w:rsidP="00EC01F1">
            <w:pPr>
              <w:spacing w:before="20" w:after="20"/>
              <w:jc w:val="right"/>
              <w:rPr>
                <w:color w:val="FF0000"/>
                <w:sz w:val="20"/>
                <w:szCs w:val="20"/>
                <w:lang w:val="en-US"/>
              </w:rPr>
            </w:pPr>
            <w:r w:rsidRPr="00EA4B92">
              <w:rPr>
                <w:color w:val="FF0000"/>
                <w:sz w:val="20"/>
                <w:szCs w:val="20"/>
                <w:lang w:val="en-US"/>
              </w:rPr>
              <w:t>40</w:t>
            </w:r>
          </w:p>
        </w:tc>
      </w:tr>
    </w:tbl>
    <w:p w14:paraId="73AAC48E" w14:textId="1072F752" w:rsidR="00A4016A" w:rsidRPr="00EC01F1" w:rsidRDefault="00A4016A" w:rsidP="00EC01F1">
      <w:pPr>
        <w:pStyle w:val="Content"/>
        <w:rPr>
          <w:b/>
          <w:i/>
          <w:iCs/>
          <w:color w:val="EE0000"/>
          <w:lang w:val="en-US"/>
        </w:rPr>
      </w:pPr>
      <w:bookmarkStart w:id="5" w:name="_heading=h.17dp8vu" w:colFirst="0" w:colLast="0"/>
      <w:bookmarkStart w:id="6" w:name="_heading=h.3rdcrjn" w:colFirst="0" w:colLast="0"/>
      <w:bookmarkEnd w:id="5"/>
      <w:bookmarkEnd w:id="6"/>
      <w:r w:rsidRPr="00EC01F1">
        <w:rPr>
          <w:i/>
          <w:iCs/>
          <w:color w:val="EE0000"/>
          <w:lang w:val="en-US"/>
        </w:rPr>
        <w:t>Source: Authors' calculations from Vietstock and FiinPro data.</w:t>
      </w:r>
    </w:p>
    <w:p w14:paraId="53A0AE43" w14:textId="77777777" w:rsidR="00A4016A" w:rsidRPr="00EC01F1" w:rsidRDefault="00A4016A" w:rsidP="00EC01F1">
      <w:pPr>
        <w:pStyle w:val="Content"/>
        <w:rPr>
          <w:b/>
          <w:color w:val="EE0000"/>
          <w:lang w:val="en-US"/>
        </w:rPr>
      </w:pPr>
      <w:r w:rsidRPr="00EC01F1">
        <w:rPr>
          <w:color w:val="EE0000"/>
          <w:lang w:val="en-US"/>
        </w:rPr>
        <w:t>Table 2 shows the correlation matrix. Negative correlations between leverage and performance metrics (-0.25 to -0.32) provide preliminary support for the hypothesis, with low multicollinearity among controls (VIF &lt; 5).</w:t>
      </w:r>
    </w:p>
    <w:p w14:paraId="34F8C0B1" w14:textId="5541B748" w:rsidR="00A4016A" w:rsidRPr="00EC01F1" w:rsidRDefault="00A4016A" w:rsidP="00EC01F1">
      <w:pPr>
        <w:pStyle w:val="Content"/>
        <w:rPr>
          <w:color w:val="EE0000"/>
          <w:lang w:val="en-US"/>
        </w:rPr>
      </w:pPr>
      <w:r w:rsidRPr="004B1DAB">
        <w:rPr>
          <w:b/>
          <w:bCs/>
          <w:color w:val="EE0000"/>
          <w:lang w:val="en-US"/>
        </w:rPr>
        <w:t>Table 2</w:t>
      </w:r>
      <w:r w:rsidRPr="00EC01F1">
        <w:rPr>
          <w:color w:val="EE0000"/>
          <w:lang w:val="en-US"/>
        </w:rPr>
        <w:t>. Correlation Matrix</w:t>
      </w:r>
    </w:p>
    <w:tbl>
      <w:tblPr>
        <w:tblW w:w="49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7" w:type="dxa"/>
          <w:right w:w="17" w:type="dxa"/>
        </w:tblCellMar>
        <w:tblLook w:val="04A0" w:firstRow="1" w:lastRow="0" w:firstColumn="1" w:lastColumn="0" w:noHBand="0" w:noVBand="1"/>
      </w:tblPr>
      <w:tblGrid>
        <w:gridCol w:w="661"/>
        <w:gridCol w:w="412"/>
        <w:gridCol w:w="420"/>
        <w:gridCol w:w="462"/>
        <w:gridCol w:w="434"/>
        <w:gridCol w:w="420"/>
        <w:gridCol w:w="420"/>
        <w:gridCol w:w="434"/>
        <w:gridCol w:w="443"/>
        <w:gridCol w:w="425"/>
        <w:gridCol w:w="426"/>
      </w:tblGrid>
      <w:tr w:rsidR="00BE2340" w:rsidRPr="004B1DAB" w14:paraId="65C8ACE9" w14:textId="77777777" w:rsidTr="004B1DAB">
        <w:trPr>
          <w:cantSplit/>
          <w:trHeight w:val="1190"/>
          <w:tblHeader/>
        </w:trPr>
        <w:tc>
          <w:tcPr>
            <w:tcW w:w="661" w:type="dxa"/>
            <w:textDirection w:val="btLr"/>
            <w:vAlign w:val="center"/>
            <w:hideMark/>
          </w:tcPr>
          <w:p w14:paraId="0CEEA49E" w14:textId="77777777" w:rsidR="00BE2340" w:rsidRPr="004B1DAB" w:rsidRDefault="00BE2340" w:rsidP="003C2C6E">
            <w:pPr>
              <w:ind w:left="113" w:right="113"/>
              <w:jc w:val="left"/>
              <w:rPr>
                <w:color w:val="FF0000"/>
                <w:sz w:val="20"/>
                <w:szCs w:val="20"/>
                <w:lang w:val="en-US"/>
              </w:rPr>
            </w:pPr>
          </w:p>
        </w:tc>
        <w:tc>
          <w:tcPr>
            <w:tcW w:w="412" w:type="dxa"/>
            <w:textDirection w:val="btLr"/>
            <w:vAlign w:val="center"/>
            <w:hideMark/>
          </w:tcPr>
          <w:p w14:paraId="3A2DFEA7" w14:textId="77777777" w:rsidR="00BE2340" w:rsidRPr="004B1DAB" w:rsidRDefault="00BE2340" w:rsidP="003C2C6E">
            <w:pPr>
              <w:ind w:left="113" w:right="113"/>
              <w:jc w:val="center"/>
              <w:rPr>
                <w:b/>
                <w:bCs/>
                <w:color w:val="FF0000"/>
                <w:sz w:val="20"/>
                <w:szCs w:val="20"/>
                <w:lang w:val="en-US"/>
              </w:rPr>
            </w:pPr>
            <w:r w:rsidRPr="004B1DAB">
              <w:rPr>
                <w:b/>
                <w:bCs/>
                <w:color w:val="FF0000"/>
                <w:sz w:val="20"/>
                <w:szCs w:val="20"/>
                <w:lang w:val="en-US"/>
              </w:rPr>
              <w:t>ROA</w:t>
            </w:r>
          </w:p>
        </w:tc>
        <w:tc>
          <w:tcPr>
            <w:tcW w:w="420" w:type="dxa"/>
            <w:textDirection w:val="btLr"/>
            <w:vAlign w:val="center"/>
            <w:hideMark/>
          </w:tcPr>
          <w:p w14:paraId="118F262C" w14:textId="77777777" w:rsidR="00BE2340" w:rsidRPr="004B1DAB" w:rsidRDefault="00BE2340" w:rsidP="003C2C6E">
            <w:pPr>
              <w:ind w:left="113" w:right="113"/>
              <w:jc w:val="center"/>
              <w:rPr>
                <w:b/>
                <w:bCs/>
                <w:color w:val="FF0000"/>
                <w:sz w:val="20"/>
                <w:szCs w:val="20"/>
                <w:lang w:val="en-US"/>
              </w:rPr>
            </w:pPr>
            <w:r w:rsidRPr="004B1DAB">
              <w:rPr>
                <w:b/>
                <w:bCs/>
                <w:color w:val="FF0000"/>
                <w:sz w:val="20"/>
                <w:szCs w:val="20"/>
                <w:lang w:val="en-US"/>
              </w:rPr>
              <w:t>ROE</w:t>
            </w:r>
          </w:p>
        </w:tc>
        <w:tc>
          <w:tcPr>
            <w:tcW w:w="462" w:type="dxa"/>
            <w:textDirection w:val="btLr"/>
            <w:vAlign w:val="center"/>
            <w:hideMark/>
          </w:tcPr>
          <w:p w14:paraId="3BB82B85" w14:textId="77777777" w:rsidR="00BE2340" w:rsidRPr="004B1DAB" w:rsidRDefault="00BE2340" w:rsidP="003C2C6E">
            <w:pPr>
              <w:ind w:left="113" w:right="113"/>
              <w:jc w:val="center"/>
              <w:rPr>
                <w:b/>
                <w:bCs/>
                <w:color w:val="FF0000"/>
                <w:sz w:val="20"/>
                <w:szCs w:val="20"/>
                <w:lang w:val="en-US"/>
              </w:rPr>
            </w:pPr>
            <w:r w:rsidRPr="004B1DAB">
              <w:rPr>
                <w:b/>
                <w:bCs/>
                <w:color w:val="FF0000"/>
                <w:sz w:val="20"/>
                <w:szCs w:val="20"/>
                <w:lang w:val="en-US"/>
              </w:rPr>
              <w:t>EPS</w:t>
            </w:r>
          </w:p>
        </w:tc>
        <w:tc>
          <w:tcPr>
            <w:tcW w:w="434" w:type="dxa"/>
            <w:textDirection w:val="btLr"/>
            <w:vAlign w:val="center"/>
            <w:hideMark/>
          </w:tcPr>
          <w:p w14:paraId="236A5660" w14:textId="77777777" w:rsidR="00BE2340" w:rsidRPr="004B1DAB" w:rsidRDefault="00BE2340" w:rsidP="003C2C6E">
            <w:pPr>
              <w:ind w:left="113" w:right="113"/>
              <w:jc w:val="center"/>
              <w:rPr>
                <w:b/>
                <w:bCs/>
                <w:color w:val="FF0000"/>
                <w:sz w:val="20"/>
                <w:szCs w:val="20"/>
                <w:lang w:val="en-US"/>
              </w:rPr>
            </w:pPr>
            <w:r w:rsidRPr="004B1DAB">
              <w:rPr>
                <w:b/>
                <w:bCs/>
                <w:color w:val="FF0000"/>
                <w:sz w:val="20"/>
                <w:szCs w:val="20"/>
                <w:lang w:val="en-US"/>
              </w:rPr>
              <w:t>LEV1</w:t>
            </w:r>
          </w:p>
        </w:tc>
        <w:tc>
          <w:tcPr>
            <w:tcW w:w="420" w:type="dxa"/>
            <w:textDirection w:val="btLr"/>
            <w:vAlign w:val="center"/>
            <w:hideMark/>
          </w:tcPr>
          <w:p w14:paraId="4180582C" w14:textId="77777777" w:rsidR="00BE2340" w:rsidRPr="004B1DAB" w:rsidRDefault="00BE2340" w:rsidP="003C2C6E">
            <w:pPr>
              <w:ind w:left="113" w:right="113"/>
              <w:jc w:val="center"/>
              <w:rPr>
                <w:b/>
                <w:bCs/>
                <w:color w:val="FF0000"/>
                <w:sz w:val="20"/>
                <w:szCs w:val="20"/>
                <w:lang w:val="en-US"/>
              </w:rPr>
            </w:pPr>
            <w:r w:rsidRPr="004B1DAB">
              <w:rPr>
                <w:b/>
                <w:bCs/>
                <w:color w:val="FF0000"/>
                <w:sz w:val="20"/>
                <w:szCs w:val="20"/>
                <w:lang w:val="en-US"/>
              </w:rPr>
              <w:t>LEV2</w:t>
            </w:r>
          </w:p>
        </w:tc>
        <w:tc>
          <w:tcPr>
            <w:tcW w:w="420" w:type="dxa"/>
            <w:textDirection w:val="btLr"/>
            <w:vAlign w:val="center"/>
            <w:hideMark/>
          </w:tcPr>
          <w:p w14:paraId="73C36BC5" w14:textId="77777777" w:rsidR="00BE2340" w:rsidRPr="004B1DAB" w:rsidRDefault="00BE2340" w:rsidP="003C2C6E">
            <w:pPr>
              <w:ind w:left="113" w:right="113"/>
              <w:jc w:val="center"/>
              <w:rPr>
                <w:b/>
                <w:bCs/>
                <w:color w:val="FF0000"/>
                <w:sz w:val="20"/>
                <w:szCs w:val="20"/>
                <w:lang w:val="en-US"/>
              </w:rPr>
            </w:pPr>
            <w:r w:rsidRPr="004B1DAB">
              <w:rPr>
                <w:b/>
                <w:bCs/>
                <w:color w:val="FF0000"/>
                <w:sz w:val="20"/>
                <w:szCs w:val="20"/>
                <w:lang w:val="en-US"/>
              </w:rPr>
              <w:t>Size</w:t>
            </w:r>
          </w:p>
        </w:tc>
        <w:tc>
          <w:tcPr>
            <w:tcW w:w="434" w:type="dxa"/>
            <w:textDirection w:val="btLr"/>
            <w:vAlign w:val="center"/>
            <w:hideMark/>
          </w:tcPr>
          <w:p w14:paraId="2B0A51F7" w14:textId="77777777" w:rsidR="00BE2340" w:rsidRPr="004B1DAB" w:rsidRDefault="00BE2340" w:rsidP="003C2C6E">
            <w:pPr>
              <w:ind w:left="113" w:right="113"/>
              <w:jc w:val="center"/>
              <w:rPr>
                <w:b/>
                <w:bCs/>
                <w:color w:val="FF0000"/>
                <w:sz w:val="20"/>
                <w:szCs w:val="20"/>
                <w:lang w:val="en-US"/>
              </w:rPr>
            </w:pPr>
            <w:r w:rsidRPr="004B1DAB">
              <w:rPr>
                <w:b/>
                <w:bCs/>
                <w:color w:val="FF0000"/>
                <w:sz w:val="20"/>
                <w:szCs w:val="20"/>
                <w:lang w:val="en-US"/>
              </w:rPr>
              <w:t>Growth</w:t>
            </w:r>
          </w:p>
        </w:tc>
        <w:tc>
          <w:tcPr>
            <w:tcW w:w="443" w:type="dxa"/>
            <w:textDirection w:val="btLr"/>
            <w:vAlign w:val="center"/>
            <w:hideMark/>
          </w:tcPr>
          <w:p w14:paraId="45F72BB3" w14:textId="77777777" w:rsidR="00BE2340" w:rsidRPr="004B1DAB" w:rsidRDefault="00BE2340" w:rsidP="003C2C6E">
            <w:pPr>
              <w:ind w:left="113" w:right="113"/>
              <w:jc w:val="center"/>
              <w:rPr>
                <w:b/>
                <w:bCs/>
                <w:color w:val="FF0000"/>
                <w:sz w:val="20"/>
                <w:szCs w:val="20"/>
                <w:lang w:val="en-US"/>
              </w:rPr>
            </w:pPr>
            <w:r w:rsidRPr="004B1DAB">
              <w:rPr>
                <w:b/>
                <w:bCs/>
                <w:color w:val="FF0000"/>
                <w:sz w:val="20"/>
                <w:szCs w:val="20"/>
                <w:lang w:val="en-US"/>
              </w:rPr>
              <w:t>Liquidity</w:t>
            </w:r>
          </w:p>
        </w:tc>
        <w:tc>
          <w:tcPr>
            <w:tcW w:w="425" w:type="dxa"/>
            <w:textDirection w:val="btLr"/>
            <w:vAlign w:val="center"/>
            <w:hideMark/>
          </w:tcPr>
          <w:p w14:paraId="365449FE" w14:textId="77777777" w:rsidR="00BE2340" w:rsidRPr="004B1DAB" w:rsidRDefault="00BE2340" w:rsidP="003C2C6E">
            <w:pPr>
              <w:ind w:left="113" w:right="113"/>
              <w:jc w:val="center"/>
              <w:rPr>
                <w:b/>
                <w:bCs/>
                <w:color w:val="FF0000"/>
                <w:sz w:val="20"/>
                <w:szCs w:val="20"/>
                <w:lang w:val="en-US"/>
              </w:rPr>
            </w:pPr>
            <w:r w:rsidRPr="004B1DAB">
              <w:rPr>
                <w:b/>
                <w:bCs/>
                <w:color w:val="FF0000"/>
                <w:sz w:val="20"/>
                <w:szCs w:val="20"/>
                <w:lang w:val="en-US"/>
              </w:rPr>
              <w:t>Tangibility</w:t>
            </w:r>
          </w:p>
        </w:tc>
        <w:tc>
          <w:tcPr>
            <w:tcW w:w="426" w:type="dxa"/>
            <w:textDirection w:val="btLr"/>
            <w:vAlign w:val="center"/>
            <w:hideMark/>
          </w:tcPr>
          <w:p w14:paraId="5AA7788D" w14:textId="77777777" w:rsidR="00BE2340" w:rsidRPr="004B1DAB" w:rsidRDefault="00BE2340" w:rsidP="003C2C6E">
            <w:pPr>
              <w:ind w:left="113" w:right="113"/>
              <w:jc w:val="center"/>
              <w:rPr>
                <w:b/>
                <w:bCs/>
                <w:color w:val="FF0000"/>
                <w:sz w:val="20"/>
                <w:szCs w:val="20"/>
                <w:lang w:val="en-US"/>
              </w:rPr>
            </w:pPr>
            <w:r w:rsidRPr="004B1DAB">
              <w:rPr>
                <w:b/>
                <w:bCs/>
                <w:color w:val="FF0000"/>
                <w:sz w:val="20"/>
                <w:szCs w:val="20"/>
                <w:lang w:val="en-US"/>
              </w:rPr>
              <w:t>Age</w:t>
            </w:r>
          </w:p>
        </w:tc>
      </w:tr>
      <w:tr w:rsidR="00BE2340" w:rsidRPr="004B1DAB" w14:paraId="518BDD99" w14:textId="77777777" w:rsidTr="004B1DAB">
        <w:tc>
          <w:tcPr>
            <w:tcW w:w="661" w:type="dxa"/>
            <w:hideMark/>
          </w:tcPr>
          <w:p w14:paraId="5E9E51DE" w14:textId="77777777" w:rsidR="00BE2340" w:rsidRPr="004B1DAB" w:rsidRDefault="00BE2340" w:rsidP="00587F5F">
            <w:pPr>
              <w:jc w:val="left"/>
              <w:rPr>
                <w:color w:val="FF0000"/>
                <w:sz w:val="20"/>
                <w:szCs w:val="20"/>
                <w:lang w:val="en-US"/>
              </w:rPr>
            </w:pPr>
            <w:r w:rsidRPr="004B1DAB">
              <w:rPr>
                <w:color w:val="FF0000"/>
                <w:sz w:val="20"/>
                <w:szCs w:val="20"/>
                <w:lang w:val="en-US"/>
              </w:rPr>
              <w:t>ROA</w:t>
            </w:r>
          </w:p>
        </w:tc>
        <w:tc>
          <w:tcPr>
            <w:tcW w:w="412" w:type="dxa"/>
            <w:hideMark/>
          </w:tcPr>
          <w:p w14:paraId="7AB788B6" w14:textId="77777777" w:rsidR="00BE2340" w:rsidRPr="004B1DAB" w:rsidRDefault="00BE2340" w:rsidP="00587F5F">
            <w:pPr>
              <w:jc w:val="right"/>
              <w:rPr>
                <w:color w:val="FF0000"/>
                <w:sz w:val="18"/>
                <w:szCs w:val="18"/>
                <w:lang w:val="en-US"/>
              </w:rPr>
            </w:pPr>
            <w:r w:rsidRPr="004B1DAB">
              <w:rPr>
                <w:color w:val="FF0000"/>
                <w:sz w:val="18"/>
                <w:szCs w:val="18"/>
                <w:lang w:val="en-US"/>
              </w:rPr>
              <w:t>1.00</w:t>
            </w:r>
          </w:p>
        </w:tc>
        <w:tc>
          <w:tcPr>
            <w:tcW w:w="420" w:type="dxa"/>
            <w:hideMark/>
          </w:tcPr>
          <w:p w14:paraId="6E04B0DD" w14:textId="77777777" w:rsidR="00BE2340" w:rsidRPr="004B1DAB" w:rsidRDefault="00BE2340" w:rsidP="00587F5F">
            <w:pPr>
              <w:jc w:val="right"/>
              <w:rPr>
                <w:color w:val="FF0000"/>
                <w:sz w:val="18"/>
                <w:szCs w:val="18"/>
                <w:lang w:val="en-US"/>
              </w:rPr>
            </w:pPr>
          </w:p>
        </w:tc>
        <w:tc>
          <w:tcPr>
            <w:tcW w:w="462" w:type="dxa"/>
            <w:hideMark/>
          </w:tcPr>
          <w:p w14:paraId="45020D24" w14:textId="77777777" w:rsidR="00BE2340" w:rsidRPr="004B1DAB" w:rsidRDefault="00BE2340" w:rsidP="00587F5F">
            <w:pPr>
              <w:jc w:val="right"/>
              <w:rPr>
                <w:color w:val="FF0000"/>
                <w:sz w:val="18"/>
                <w:szCs w:val="18"/>
                <w:lang w:val="en-US"/>
              </w:rPr>
            </w:pPr>
          </w:p>
        </w:tc>
        <w:tc>
          <w:tcPr>
            <w:tcW w:w="434" w:type="dxa"/>
            <w:hideMark/>
          </w:tcPr>
          <w:p w14:paraId="7ABEE57B" w14:textId="77777777" w:rsidR="00BE2340" w:rsidRPr="004B1DAB" w:rsidRDefault="00BE2340" w:rsidP="00587F5F">
            <w:pPr>
              <w:jc w:val="right"/>
              <w:rPr>
                <w:color w:val="FF0000"/>
                <w:sz w:val="18"/>
                <w:szCs w:val="18"/>
                <w:lang w:val="en-US"/>
              </w:rPr>
            </w:pPr>
          </w:p>
        </w:tc>
        <w:tc>
          <w:tcPr>
            <w:tcW w:w="420" w:type="dxa"/>
            <w:hideMark/>
          </w:tcPr>
          <w:p w14:paraId="0876A3DC" w14:textId="77777777" w:rsidR="00BE2340" w:rsidRPr="004B1DAB" w:rsidRDefault="00BE2340" w:rsidP="00587F5F">
            <w:pPr>
              <w:jc w:val="right"/>
              <w:rPr>
                <w:color w:val="FF0000"/>
                <w:sz w:val="18"/>
                <w:szCs w:val="18"/>
                <w:lang w:val="en-US"/>
              </w:rPr>
            </w:pPr>
          </w:p>
        </w:tc>
        <w:tc>
          <w:tcPr>
            <w:tcW w:w="420" w:type="dxa"/>
            <w:hideMark/>
          </w:tcPr>
          <w:p w14:paraId="4A78F248" w14:textId="77777777" w:rsidR="00BE2340" w:rsidRPr="004B1DAB" w:rsidRDefault="00BE2340" w:rsidP="00587F5F">
            <w:pPr>
              <w:jc w:val="right"/>
              <w:rPr>
                <w:color w:val="FF0000"/>
                <w:sz w:val="18"/>
                <w:szCs w:val="18"/>
                <w:lang w:val="en-US"/>
              </w:rPr>
            </w:pPr>
          </w:p>
        </w:tc>
        <w:tc>
          <w:tcPr>
            <w:tcW w:w="434" w:type="dxa"/>
            <w:hideMark/>
          </w:tcPr>
          <w:p w14:paraId="1CF39950" w14:textId="77777777" w:rsidR="00BE2340" w:rsidRPr="004B1DAB" w:rsidRDefault="00BE2340" w:rsidP="00587F5F">
            <w:pPr>
              <w:jc w:val="right"/>
              <w:rPr>
                <w:color w:val="FF0000"/>
                <w:sz w:val="18"/>
                <w:szCs w:val="18"/>
                <w:lang w:val="en-US"/>
              </w:rPr>
            </w:pPr>
          </w:p>
        </w:tc>
        <w:tc>
          <w:tcPr>
            <w:tcW w:w="443" w:type="dxa"/>
            <w:hideMark/>
          </w:tcPr>
          <w:p w14:paraId="484D4DC8" w14:textId="77777777" w:rsidR="00BE2340" w:rsidRPr="004B1DAB" w:rsidRDefault="00BE2340" w:rsidP="00587F5F">
            <w:pPr>
              <w:jc w:val="right"/>
              <w:rPr>
                <w:color w:val="FF0000"/>
                <w:sz w:val="18"/>
                <w:szCs w:val="18"/>
                <w:lang w:val="en-US"/>
              </w:rPr>
            </w:pPr>
          </w:p>
        </w:tc>
        <w:tc>
          <w:tcPr>
            <w:tcW w:w="425" w:type="dxa"/>
            <w:hideMark/>
          </w:tcPr>
          <w:p w14:paraId="58ADC294" w14:textId="77777777" w:rsidR="00BE2340" w:rsidRPr="004B1DAB" w:rsidRDefault="00BE2340" w:rsidP="00587F5F">
            <w:pPr>
              <w:jc w:val="right"/>
              <w:rPr>
                <w:color w:val="FF0000"/>
                <w:sz w:val="18"/>
                <w:szCs w:val="18"/>
                <w:lang w:val="en-US"/>
              </w:rPr>
            </w:pPr>
          </w:p>
        </w:tc>
        <w:tc>
          <w:tcPr>
            <w:tcW w:w="426" w:type="dxa"/>
            <w:hideMark/>
          </w:tcPr>
          <w:p w14:paraId="1D0E8833" w14:textId="77777777" w:rsidR="00BE2340" w:rsidRPr="004B1DAB" w:rsidRDefault="00BE2340" w:rsidP="00587F5F">
            <w:pPr>
              <w:jc w:val="right"/>
              <w:rPr>
                <w:color w:val="FF0000"/>
                <w:sz w:val="18"/>
                <w:szCs w:val="18"/>
                <w:lang w:val="en-US"/>
              </w:rPr>
            </w:pPr>
          </w:p>
        </w:tc>
      </w:tr>
      <w:tr w:rsidR="00BE2340" w:rsidRPr="004B1DAB" w14:paraId="3C0A1880" w14:textId="77777777" w:rsidTr="004B1DAB">
        <w:tc>
          <w:tcPr>
            <w:tcW w:w="661" w:type="dxa"/>
            <w:hideMark/>
          </w:tcPr>
          <w:p w14:paraId="7DC124F3" w14:textId="77777777" w:rsidR="00BE2340" w:rsidRPr="004B1DAB" w:rsidRDefault="00BE2340" w:rsidP="00587F5F">
            <w:pPr>
              <w:jc w:val="left"/>
              <w:rPr>
                <w:color w:val="FF0000"/>
                <w:sz w:val="20"/>
                <w:szCs w:val="20"/>
                <w:lang w:val="en-US"/>
              </w:rPr>
            </w:pPr>
            <w:r w:rsidRPr="004B1DAB">
              <w:rPr>
                <w:color w:val="FF0000"/>
                <w:sz w:val="20"/>
                <w:szCs w:val="20"/>
                <w:lang w:val="en-US"/>
              </w:rPr>
              <w:t>ROE</w:t>
            </w:r>
          </w:p>
        </w:tc>
        <w:tc>
          <w:tcPr>
            <w:tcW w:w="412" w:type="dxa"/>
            <w:hideMark/>
          </w:tcPr>
          <w:p w14:paraId="75B36D78" w14:textId="698A6A92" w:rsidR="00BE2340" w:rsidRPr="004B1DAB" w:rsidRDefault="00BE2340" w:rsidP="00587F5F">
            <w:pPr>
              <w:jc w:val="right"/>
              <w:rPr>
                <w:color w:val="FF0000"/>
                <w:sz w:val="18"/>
                <w:szCs w:val="18"/>
                <w:lang w:val="en-US"/>
              </w:rPr>
            </w:pPr>
            <w:r w:rsidRPr="004B1DAB">
              <w:rPr>
                <w:color w:val="FF0000"/>
                <w:sz w:val="18"/>
                <w:szCs w:val="18"/>
                <w:lang w:val="en-US"/>
              </w:rPr>
              <w:t>0.82</w:t>
            </w:r>
            <w:r w:rsidR="003C2C6E" w:rsidRPr="004B1DAB">
              <w:rPr>
                <w:color w:val="FF0000"/>
                <w:sz w:val="18"/>
                <w:szCs w:val="18"/>
                <w:lang w:val="en-US"/>
              </w:rPr>
              <w:br/>
            </w:r>
            <w:r w:rsidRPr="004B1DAB">
              <w:rPr>
                <w:color w:val="FF0000"/>
                <w:sz w:val="18"/>
                <w:szCs w:val="18"/>
                <w:lang w:val="en-US"/>
              </w:rPr>
              <w:t>**</w:t>
            </w:r>
          </w:p>
        </w:tc>
        <w:tc>
          <w:tcPr>
            <w:tcW w:w="420" w:type="dxa"/>
            <w:hideMark/>
          </w:tcPr>
          <w:p w14:paraId="7F7B83B5" w14:textId="77777777" w:rsidR="00BE2340" w:rsidRPr="004B1DAB" w:rsidRDefault="00BE2340" w:rsidP="00587F5F">
            <w:pPr>
              <w:jc w:val="right"/>
              <w:rPr>
                <w:color w:val="FF0000"/>
                <w:sz w:val="18"/>
                <w:szCs w:val="18"/>
                <w:lang w:val="en-US"/>
              </w:rPr>
            </w:pPr>
            <w:r w:rsidRPr="004B1DAB">
              <w:rPr>
                <w:color w:val="FF0000"/>
                <w:sz w:val="18"/>
                <w:szCs w:val="18"/>
                <w:lang w:val="en-US"/>
              </w:rPr>
              <w:t>1.00</w:t>
            </w:r>
          </w:p>
        </w:tc>
        <w:tc>
          <w:tcPr>
            <w:tcW w:w="462" w:type="dxa"/>
            <w:hideMark/>
          </w:tcPr>
          <w:p w14:paraId="4078C558" w14:textId="77777777" w:rsidR="00BE2340" w:rsidRPr="004B1DAB" w:rsidRDefault="00BE2340" w:rsidP="00587F5F">
            <w:pPr>
              <w:jc w:val="right"/>
              <w:rPr>
                <w:color w:val="FF0000"/>
                <w:sz w:val="18"/>
                <w:szCs w:val="18"/>
                <w:lang w:val="en-US"/>
              </w:rPr>
            </w:pPr>
          </w:p>
        </w:tc>
        <w:tc>
          <w:tcPr>
            <w:tcW w:w="434" w:type="dxa"/>
            <w:hideMark/>
          </w:tcPr>
          <w:p w14:paraId="74378DEB" w14:textId="77777777" w:rsidR="00BE2340" w:rsidRPr="004B1DAB" w:rsidRDefault="00BE2340" w:rsidP="00587F5F">
            <w:pPr>
              <w:jc w:val="right"/>
              <w:rPr>
                <w:color w:val="FF0000"/>
                <w:sz w:val="18"/>
                <w:szCs w:val="18"/>
                <w:lang w:val="en-US"/>
              </w:rPr>
            </w:pPr>
          </w:p>
        </w:tc>
        <w:tc>
          <w:tcPr>
            <w:tcW w:w="420" w:type="dxa"/>
            <w:hideMark/>
          </w:tcPr>
          <w:p w14:paraId="124C5F1E" w14:textId="77777777" w:rsidR="00BE2340" w:rsidRPr="004B1DAB" w:rsidRDefault="00BE2340" w:rsidP="00587F5F">
            <w:pPr>
              <w:jc w:val="right"/>
              <w:rPr>
                <w:color w:val="FF0000"/>
                <w:sz w:val="18"/>
                <w:szCs w:val="18"/>
                <w:lang w:val="en-US"/>
              </w:rPr>
            </w:pPr>
          </w:p>
        </w:tc>
        <w:tc>
          <w:tcPr>
            <w:tcW w:w="420" w:type="dxa"/>
            <w:hideMark/>
          </w:tcPr>
          <w:p w14:paraId="16E9C75C" w14:textId="77777777" w:rsidR="00BE2340" w:rsidRPr="004B1DAB" w:rsidRDefault="00BE2340" w:rsidP="00587F5F">
            <w:pPr>
              <w:jc w:val="right"/>
              <w:rPr>
                <w:color w:val="FF0000"/>
                <w:sz w:val="18"/>
                <w:szCs w:val="18"/>
                <w:lang w:val="en-US"/>
              </w:rPr>
            </w:pPr>
          </w:p>
        </w:tc>
        <w:tc>
          <w:tcPr>
            <w:tcW w:w="434" w:type="dxa"/>
            <w:hideMark/>
          </w:tcPr>
          <w:p w14:paraId="2191D683" w14:textId="77777777" w:rsidR="00BE2340" w:rsidRPr="004B1DAB" w:rsidRDefault="00BE2340" w:rsidP="00587F5F">
            <w:pPr>
              <w:jc w:val="right"/>
              <w:rPr>
                <w:color w:val="FF0000"/>
                <w:sz w:val="18"/>
                <w:szCs w:val="18"/>
                <w:lang w:val="en-US"/>
              </w:rPr>
            </w:pPr>
          </w:p>
        </w:tc>
        <w:tc>
          <w:tcPr>
            <w:tcW w:w="443" w:type="dxa"/>
            <w:hideMark/>
          </w:tcPr>
          <w:p w14:paraId="72DF1B01" w14:textId="77777777" w:rsidR="00BE2340" w:rsidRPr="004B1DAB" w:rsidRDefault="00BE2340" w:rsidP="00587F5F">
            <w:pPr>
              <w:jc w:val="right"/>
              <w:rPr>
                <w:color w:val="FF0000"/>
                <w:sz w:val="18"/>
                <w:szCs w:val="18"/>
                <w:lang w:val="en-US"/>
              </w:rPr>
            </w:pPr>
          </w:p>
        </w:tc>
        <w:tc>
          <w:tcPr>
            <w:tcW w:w="425" w:type="dxa"/>
            <w:hideMark/>
          </w:tcPr>
          <w:p w14:paraId="741BF723" w14:textId="77777777" w:rsidR="00BE2340" w:rsidRPr="004B1DAB" w:rsidRDefault="00BE2340" w:rsidP="00587F5F">
            <w:pPr>
              <w:jc w:val="right"/>
              <w:rPr>
                <w:color w:val="FF0000"/>
                <w:sz w:val="18"/>
                <w:szCs w:val="18"/>
                <w:lang w:val="en-US"/>
              </w:rPr>
            </w:pPr>
          </w:p>
        </w:tc>
        <w:tc>
          <w:tcPr>
            <w:tcW w:w="426" w:type="dxa"/>
            <w:hideMark/>
          </w:tcPr>
          <w:p w14:paraId="6FE4EAA1" w14:textId="77777777" w:rsidR="00BE2340" w:rsidRPr="004B1DAB" w:rsidRDefault="00BE2340" w:rsidP="00587F5F">
            <w:pPr>
              <w:jc w:val="right"/>
              <w:rPr>
                <w:color w:val="FF0000"/>
                <w:sz w:val="18"/>
                <w:szCs w:val="18"/>
                <w:lang w:val="en-US"/>
              </w:rPr>
            </w:pPr>
          </w:p>
        </w:tc>
      </w:tr>
      <w:tr w:rsidR="00BE2340" w:rsidRPr="004B1DAB" w14:paraId="0EE7A1F3" w14:textId="77777777" w:rsidTr="004B1DAB">
        <w:tc>
          <w:tcPr>
            <w:tcW w:w="661" w:type="dxa"/>
            <w:hideMark/>
          </w:tcPr>
          <w:p w14:paraId="6A5AC3A2" w14:textId="77777777" w:rsidR="00BE2340" w:rsidRPr="004B1DAB" w:rsidRDefault="00BE2340" w:rsidP="00587F5F">
            <w:pPr>
              <w:jc w:val="left"/>
              <w:rPr>
                <w:color w:val="FF0000"/>
                <w:sz w:val="20"/>
                <w:szCs w:val="20"/>
                <w:lang w:val="en-US"/>
              </w:rPr>
            </w:pPr>
            <w:r w:rsidRPr="004B1DAB">
              <w:rPr>
                <w:color w:val="FF0000"/>
                <w:sz w:val="20"/>
                <w:szCs w:val="20"/>
                <w:lang w:val="en-US"/>
              </w:rPr>
              <w:t>EPS</w:t>
            </w:r>
          </w:p>
        </w:tc>
        <w:tc>
          <w:tcPr>
            <w:tcW w:w="412" w:type="dxa"/>
            <w:hideMark/>
          </w:tcPr>
          <w:p w14:paraId="37101596" w14:textId="7E274BA3" w:rsidR="00BE2340" w:rsidRPr="004B1DAB" w:rsidRDefault="00BE2340" w:rsidP="00587F5F">
            <w:pPr>
              <w:jc w:val="right"/>
              <w:rPr>
                <w:color w:val="FF0000"/>
                <w:sz w:val="18"/>
                <w:szCs w:val="18"/>
                <w:lang w:val="en-US"/>
              </w:rPr>
            </w:pPr>
            <w:r w:rsidRPr="004B1DAB">
              <w:rPr>
                <w:color w:val="FF0000"/>
                <w:sz w:val="18"/>
                <w:szCs w:val="18"/>
                <w:lang w:val="en-US"/>
              </w:rPr>
              <w:t>0.65</w:t>
            </w:r>
            <w:r w:rsidR="003C2C6E" w:rsidRPr="004B1DAB">
              <w:rPr>
                <w:color w:val="FF0000"/>
                <w:sz w:val="18"/>
                <w:szCs w:val="18"/>
                <w:lang w:val="en-US"/>
              </w:rPr>
              <w:br/>
            </w:r>
            <w:r w:rsidRPr="004B1DAB">
              <w:rPr>
                <w:color w:val="FF0000"/>
                <w:sz w:val="18"/>
                <w:szCs w:val="18"/>
                <w:lang w:val="en-US"/>
              </w:rPr>
              <w:t>**</w:t>
            </w:r>
          </w:p>
        </w:tc>
        <w:tc>
          <w:tcPr>
            <w:tcW w:w="420" w:type="dxa"/>
            <w:hideMark/>
          </w:tcPr>
          <w:p w14:paraId="7F18FF5E" w14:textId="53E7EF9F" w:rsidR="00BE2340" w:rsidRPr="004B1DAB" w:rsidRDefault="00BE2340" w:rsidP="00587F5F">
            <w:pPr>
              <w:jc w:val="right"/>
              <w:rPr>
                <w:color w:val="FF0000"/>
                <w:sz w:val="18"/>
                <w:szCs w:val="18"/>
                <w:lang w:val="en-US"/>
              </w:rPr>
            </w:pPr>
            <w:r w:rsidRPr="004B1DAB">
              <w:rPr>
                <w:color w:val="FF0000"/>
                <w:sz w:val="18"/>
                <w:szCs w:val="18"/>
                <w:lang w:val="en-US"/>
              </w:rPr>
              <w:t>0.70</w:t>
            </w:r>
            <w:r w:rsidR="003C2C6E" w:rsidRPr="004B1DAB">
              <w:rPr>
                <w:color w:val="FF0000"/>
                <w:sz w:val="18"/>
                <w:szCs w:val="18"/>
                <w:lang w:val="en-US"/>
              </w:rPr>
              <w:br/>
            </w:r>
            <w:r w:rsidRPr="004B1DAB">
              <w:rPr>
                <w:color w:val="FF0000"/>
                <w:sz w:val="18"/>
                <w:szCs w:val="18"/>
                <w:lang w:val="en-US"/>
              </w:rPr>
              <w:t>**</w:t>
            </w:r>
          </w:p>
        </w:tc>
        <w:tc>
          <w:tcPr>
            <w:tcW w:w="462" w:type="dxa"/>
            <w:hideMark/>
          </w:tcPr>
          <w:p w14:paraId="7D09BE38" w14:textId="77777777" w:rsidR="00BE2340" w:rsidRPr="004B1DAB" w:rsidRDefault="00BE2340" w:rsidP="00587F5F">
            <w:pPr>
              <w:jc w:val="right"/>
              <w:rPr>
                <w:color w:val="FF0000"/>
                <w:sz w:val="18"/>
                <w:szCs w:val="18"/>
                <w:lang w:val="en-US"/>
              </w:rPr>
            </w:pPr>
            <w:r w:rsidRPr="004B1DAB">
              <w:rPr>
                <w:color w:val="FF0000"/>
                <w:sz w:val="18"/>
                <w:szCs w:val="18"/>
                <w:lang w:val="en-US"/>
              </w:rPr>
              <w:t>1.00</w:t>
            </w:r>
          </w:p>
        </w:tc>
        <w:tc>
          <w:tcPr>
            <w:tcW w:w="434" w:type="dxa"/>
            <w:hideMark/>
          </w:tcPr>
          <w:p w14:paraId="79D35AF5" w14:textId="77777777" w:rsidR="00BE2340" w:rsidRPr="004B1DAB" w:rsidRDefault="00BE2340" w:rsidP="00587F5F">
            <w:pPr>
              <w:jc w:val="right"/>
              <w:rPr>
                <w:color w:val="FF0000"/>
                <w:sz w:val="18"/>
                <w:szCs w:val="18"/>
                <w:lang w:val="en-US"/>
              </w:rPr>
            </w:pPr>
          </w:p>
        </w:tc>
        <w:tc>
          <w:tcPr>
            <w:tcW w:w="420" w:type="dxa"/>
            <w:hideMark/>
          </w:tcPr>
          <w:p w14:paraId="3C556982" w14:textId="77777777" w:rsidR="00BE2340" w:rsidRPr="004B1DAB" w:rsidRDefault="00BE2340" w:rsidP="00587F5F">
            <w:pPr>
              <w:jc w:val="right"/>
              <w:rPr>
                <w:color w:val="FF0000"/>
                <w:sz w:val="18"/>
                <w:szCs w:val="18"/>
                <w:lang w:val="en-US"/>
              </w:rPr>
            </w:pPr>
          </w:p>
        </w:tc>
        <w:tc>
          <w:tcPr>
            <w:tcW w:w="420" w:type="dxa"/>
            <w:hideMark/>
          </w:tcPr>
          <w:p w14:paraId="33BD677C" w14:textId="77777777" w:rsidR="00BE2340" w:rsidRPr="004B1DAB" w:rsidRDefault="00BE2340" w:rsidP="00587F5F">
            <w:pPr>
              <w:jc w:val="right"/>
              <w:rPr>
                <w:color w:val="FF0000"/>
                <w:sz w:val="18"/>
                <w:szCs w:val="18"/>
                <w:lang w:val="en-US"/>
              </w:rPr>
            </w:pPr>
          </w:p>
        </w:tc>
        <w:tc>
          <w:tcPr>
            <w:tcW w:w="434" w:type="dxa"/>
            <w:hideMark/>
          </w:tcPr>
          <w:p w14:paraId="0437CFED" w14:textId="77777777" w:rsidR="00BE2340" w:rsidRPr="004B1DAB" w:rsidRDefault="00BE2340" w:rsidP="00587F5F">
            <w:pPr>
              <w:jc w:val="right"/>
              <w:rPr>
                <w:color w:val="FF0000"/>
                <w:sz w:val="18"/>
                <w:szCs w:val="18"/>
                <w:lang w:val="en-US"/>
              </w:rPr>
            </w:pPr>
          </w:p>
        </w:tc>
        <w:tc>
          <w:tcPr>
            <w:tcW w:w="443" w:type="dxa"/>
            <w:hideMark/>
          </w:tcPr>
          <w:p w14:paraId="6C305C56" w14:textId="77777777" w:rsidR="00BE2340" w:rsidRPr="004B1DAB" w:rsidRDefault="00BE2340" w:rsidP="00587F5F">
            <w:pPr>
              <w:jc w:val="right"/>
              <w:rPr>
                <w:color w:val="FF0000"/>
                <w:sz w:val="18"/>
                <w:szCs w:val="18"/>
                <w:lang w:val="en-US"/>
              </w:rPr>
            </w:pPr>
          </w:p>
        </w:tc>
        <w:tc>
          <w:tcPr>
            <w:tcW w:w="425" w:type="dxa"/>
            <w:hideMark/>
          </w:tcPr>
          <w:p w14:paraId="165333A6" w14:textId="77777777" w:rsidR="00BE2340" w:rsidRPr="004B1DAB" w:rsidRDefault="00BE2340" w:rsidP="00587F5F">
            <w:pPr>
              <w:jc w:val="right"/>
              <w:rPr>
                <w:color w:val="FF0000"/>
                <w:sz w:val="18"/>
                <w:szCs w:val="18"/>
                <w:lang w:val="en-US"/>
              </w:rPr>
            </w:pPr>
          </w:p>
        </w:tc>
        <w:tc>
          <w:tcPr>
            <w:tcW w:w="426" w:type="dxa"/>
            <w:hideMark/>
          </w:tcPr>
          <w:p w14:paraId="10F12A12" w14:textId="77777777" w:rsidR="00BE2340" w:rsidRPr="004B1DAB" w:rsidRDefault="00BE2340" w:rsidP="00587F5F">
            <w:pPr>
              <w:jc w:val="right"/>
              <w:rPr>
                <w:color w:val="FF0000"/>
                <w:sz w:val="18"/>
                <w:szCs w:val="18"/>
                <w:lang w:val="en-US"/>
              </w:rPr>
            </w:pPr>
          </w:p>
        </w:tc>
      </w:tr>
      <w:tr w:rsidR="00BE2340" w:rsidRPr="004B1DAB" w14:paraId="5F021099" w14:textId="77777777" w:rsidTr="004B1DAB">
        <w:tc>
          <w:tcPr>
            <w:tcW w:w="661" w:type="dxa"/>
            <w:hideMark/>
          </w:tcPr>
          <w:p w14:paraId="673C9D99" w14:textId="77777777" w:rsidR="00BE2340" w:rsidRPr="004B1DAB" w:rsidRDefault="00BE2340" w:rsidP="00587F5F">
            <w:pPr>
              <w:jc w:val="left"/>
              <w:rPr>
                <w:color w:val="FF0000"/>
                <w:sz w:val="20"/>
                <w:szCs w:val="20"/>
                <w:lang w:val="en-US"/>
              </w:rPr>
            </w:pPr>
            <w:r w:rsidRPr="004B1DAB">
              <w:rPr>
                <w:color w:val="FF0000"/>
                <w:sz w:val="20"/>
                <w:szCs w:val="20"/>
                <w:lang w:val="en-US"/>
              </w:rPr>
              <w:t>LEV1</w:t>
            </w:r>
          </w:p>
        </w:tc>
        <w:tc>
          <w:tcPr>
            <w:tcW w:w="412" w:type="dxa"/>
            <w:hideMark/>
          </w:tcPr>
          <w:p w14:paraId="1B76EAE0" w14:textId="448D9BEF" w:rsidR="00BE2340" w:rsidRPr="004B1DAB" w:rsidRDefault="00BE2340" w:rsidP="00587F5F">
            <w:pPr>
              <w:jc w:val="right"/>
              <w:rPr>
                <w:color w:val="FF0000"/>
                <w:sz w:val="18"/>
                <w:szCs w:val="18"/>
                <w:lang w:val="en-US"/>
              </w:rPr>
            </w:pPr>
            <w:r w:rsidRPr="004B1DAB">
              <w:rPr>
                <w:color w:val="FF0000"/>
                <w:sz w:val="18"/>
                <w:szCs w:val="18"/>
                <w:lang w:val="en-US"/>
              </w:rPr>
              <w:t>-0.28</w:t>
            </w:r>
            <w:r w:rsidR="003C2C6E" w:rsidRPr="004B1DAB">
              <w:rPr>
                <w:color w:val="FF0000"/>
                <w:sz w:val="18"/>
                <w:szCs w:val="18"/>
                <w:lang w:val="en-US"/>
              </w:rPr>
              <w:br/>
            </w:r>
            <w:r w:rsidRPr="004B1DAB">
              <w:rPr>
                <w:color w:val="FF0000"/>
                <w:sz w:val="18"/>
                <w:szCs w:val="18"/>
                <w:lang w:val="en-US"/>
              </w:rPr>
              <w:t>**</w:t>
            </w:r>
          </w:p>
        </w:tc>
        <w:tc>
          <w:tcPr>
            <w:tcW w:w="420" w:type="dxa"/>
            <w:hideMark/>
          </w:tcPr>
          <w:p w14:paraId="3C1D4341" w14:textId="03E07C42" w:rsidR="00BE2340" w:rsidRPr="004B1DAB" w:rsidRDefault="00BE2340" w:rsidP="00587F5F">
            <w:pPr>
              <w:jc w:val="right"/>
              <w:rPr>
                <w:color w:val="FF0000"/>
                <w:sz w:val="18"/>
                <w:szCs w:val="18"/>
                <w:lang w:val="en-US"/>
              </w:rPr>
            </w:pPr>
            <w:r w:rsidRPr="004B1DAB">
              <w:rPr>
                <w:color w:val="FF0000"/>
                <w:sz w:val="18"/>
                <w:szCs w:val="18"/>
                <w:lang w:val="en-US"/>
              </w:rPr>
              <w:t>-0.32</w:t>
            </w:r>
            <w:r w:rsidR="003C2C6E" w:rsidRPr="004B1DAB">
              <w:rPr>
                <w:color w:val="FF0000"/>
                <w:sz w:val="18"/>
                <w:szCs w:val="18"/>
                <w:lang w:val="en-US"/>
              </w:rPr>
              <w:br/>
            </w:r>
            <w:r w:rsidRPr="004B1DAB">
              <w:rPr>
                <w:color w:val="FF0000"/>
                <w:sz w:val="18"/>
                <w:szCs w:val="18"/>
                <w:lang w:val="en-US"/>
              </w:rPr>
              <w:t>**</w:t>
            </w:r>
          </w:p>
        </w:tc>
        <w:tc>
          <w:tcPr>
            <w:tcW w:w="462" w:type="dxa"/>
            <w:hideMark/>
          </w:tcPr>
          <w:p w14:paraId="49A9F113" w14:textId="6199EF9E" w:rsidR="00BE2340" w:rsidRPr="004B1DAB" w:rsidRDefault="00BE2340" w:rsidP="00587F5F">
            <w:pPr>
              <w:jc w:val="right"/>
              <w:rPr>
                <w:color w:val="FF0000"/>
                <w:sz w:val="18"/>
                <w:szCs w:val="18"/>
                <w:lang w:val="en-US"/>
              </w:rPr>
            </w:pPr>
            <w:r w:rsidRPr="004B1DAB">
              <w:rPr>
                <w:color w:val="FF0000"/>
                <w:sz w:val="18"/>
                <w:szCs w:val="18"/>
                <w:lang w:val="en-US"/>
              </w:rPr>
              <w:t>-0.25</w:t>
            </w:r>
            <w:r w:rsidR="003C2C6E" w:rsidRPr="004B1DAB">
              <w:rPr>
                <w:color w:val="FF0000"/>
                <w:sz w:val="18"/>
                <w:szCs w:val="18"/>
                <w:lang w:val="en-US"/>
              </w:rPr>
              <w:br/>
            </w:r>
            <w:r w:rsidRPr="004B1DAB">
              <w:rPr>
                <w:color w:val="FF0000"/>
                <w:sz w:val="18"/>
                <w:szCs w:val="18"/>
                <w:lang w:val="en-US"/>
              </w:rPr>
              <w:t>**</w:t>
            </w:r>
          </w:p>
        </w:tc>
        <w:tc>
          <w:tcPr>
            <w:tcW w:w="434" w:type="dxa"/>
            <w:hideMark/>
          </w:tcPr>
          <w:p w14:paraId="1792454A" w14:textId="77777777" w:rsidR="00BE2340" w:rsidRPr="004B1DAB" w:rsidRDefault="00BE2340" w:rsidP="00587F5F">
            <w:pPr>
              <w:jc w:val="right"/>
              <w:rPr>
                <w:color w:val="FF0000"/>
                <w:sz w:val="18"/>
                <w:szCs w:val="18"/>
                <w:lang w:val="en-US"/>
              </w:rPr>
            </w:pPr>
            <w:r w:rsidRPr="004B1DAB">
              <w:rPr>
                <w:color w:val="FF0000"/>
                <w:sz w:val="18"/>
                <w:szCs w:val="18"/>
                <w:lang w:val="en-US"/>
              </w:rPr>
              <w:t>1.00</w:t>
            </w:r>
          </w:p>
        </w:tc>
        <w:tc>
          <w:tcPr>
            <w:tcW w:w="420" w:type="dxa"/>
            <w:hideMark/>
          </w:tcPr>
          <w:p w14:paraId="6178E420" w14:textId="77777777" w:rsidR="00BE2340" w:rsidRPr="004B1DAB" w:rsidRDefault="00BE2340" w:rsidP="00587F5F">
            <w:pPr>
              <w:jc w:val="right"/>
              <w:rPr>
                <w:color w:val="FF0000"/>
                <w:sz w:val="18"/>
                <w:szCs w:val="18"/>
                <w:lang w:val="en-US"/>
              </w:rPr>
            </w:pPr>
          </w:p>
        </w:tc>
        <w:tc>
          <w:tcPr>
            <w:tcW w:w="420" w:type="dxa"/>
            <w:hideMark/>
          </w:tcPr>
          <w:p w14:paraId="75D47AF6" w14:textId="77777777" w:rsidR="00BE2340" w:rsidRPr="004B1DAB" w:rsidRDefault="00BE2340" w:rsidP="00587F5F">
            <w:pPr>
              <w:jc w:val="right"/>
              <w:rPr>
                <w:color w:val="FF0000"/>
                <w:sz w:val="18"/>
                <w:szCs w:val="18"/>
                <w:lang w:val="en-US"/>
              </w:rPr>
            </w:pPr>
          </w:p>
        </w:tc>
        <w:tc>
          <w:tcPr>
            <w:tcW w:w="434" w:type="dxa"/>
            <w:hideMark/>
          </w:tcPr>
          <w:p w14:paraId="737E1950" w14:textId="77777777" w:rsidR="00BE2340" w:rsidRPr="004B1DAB" w:rsidRDefault="00BE2340" w:rsidP="00587F5F">
            <w:pPr>
              <w:jc w:val="right"/>
              <w:rPr>
                <w:color w:val="FF0000"/>
                <w:sz w:val="18"/>
                <w:szCs w:val="18"/>
                <w:lang w:val="en-US"/>
              </w:rPr>
            </w:pPr>
          </w:p>
        </w:tc>
        <w:tc>
          <w:tcPr>
            <w:tcW w:w="443" w:type="dxa"/>
            <w:hideMark/>
          </w:tcPr>
          <w:p w14:paraId="479E0C45" w14:textId="77777777" w:rsidR="00BE2340" w:rsidRPr="004B1DAB" w:rsidRDefault="00BE2340" w:rsidP="00587F5F">
            <w:pPr>
              <w:jc w:val="right"/>
              <w:rPr>
                <w:color w:val="FF0000"/>
                <w:sz w:val="18"/>
                <w:szCs w:val="18"/>
                <w:lang w:val="en-US"/>
              </w:rPr>
            </w:pPr>
          </w:p>
        </w:tc>
        <w:tc>
          <w:tcPr>
            <w:tcW w:w="425" w:type="dxa"/>
            <w:hideMark/>
          </w:tcPr>
          <w:p w14:paraId="154996CD" w14:textId="77777777" w:rsidR="00BE2340" w:rsidRPr="004B1DAB" w:rsidRDefault="00BE2340" w:rsidP="00587F5F">
            <w:pPr>
              <w:jc w:val="right"/>
              <w:rPr>
                <w:color w:val="FF0000"/>
                <w:sz w:val="18"/>
                <w:szCs w:val="18"/>
                <w:lang w:val="en-US"/>
              </w:rPr>
            </w:pPr>
          </w:p>
        </w:tc>
        <w:tc>
          <w:tcPr>
            <w:tcW w:w="426" w:type="dxa"/>
            <w:hideMark/>
          </w:tcPr>
          <w:p w14:paraId="432AE0E2" w14:textId="77777777" w:rsidR="00BE2340" w:rsidRPr="004B1DAB" w:rsidRDefault="00BE2340" w:rsidP="00587F5F">
            <w:pPr>
              <w:jc w:val="right"/>
              <w:rPr>
                <w:color w:val="FF0000"/>
                <w:sz w:val="18"/>
                <w:szCs w:val="18"/>
                <w:lang w:val="en-US"/>
              </w:rPr>
            </w:pPr>
          </w:p>
        </w:tc>
      </w:tr>
      <w:tr w:rsidR="00BE2340" w:rsidRPr="004B1DAB" w14:paraId="7FEACD36" w14:textId="77777777" w:rsidTr="004B1DAB">
        <w:tc>
          <w:tcPr>
            <w:tcW w:w="661" w:type="dxa"/>
            <w:hideMark/>
          </w:tcPr>
          <w:p w14:paraId="6D4396E5" w14:textId="77777777" w:rsidR="00BE2340" w:rsidRPr="004B1DAB" w:rsidRDefault="00BE2340" w:rsidP="00587F5F">
            <w:pPr>
              <w:jc w:val="left"/>
              <w:rPr>
                <w:color w:val="FF0000"/>
                <w:sz w:val="20"/>
                <w:szCs w:val="20"/>
                <w:lang w:val="en-US"/>
              </w:rPr>
            </w:pPr>
            <w:r w:rsidRPr="004B1DAB">
              <w:rPr>
                <w:color w:val="FF0000"/>
                <w:sz w:val="20"/>
                <w:szCs w:val="20"/>
                <w:lang w:val="en-US"/>
              </w:rPr>
              <w:t>LEV2</w:t>
            </w:r>
          </w:p>
        </w:tc>
        <w:tc>
          <w:tcPr>
            <w:tcW w:w="412" w:type="dxa"/>
            <w:hideMark/>
          </w:tcPr>
          <w:p w14:paraId="5500BCCF" w14:textId="07A3F313" w:rsidR="00BE2340" w:rsidRPr="004B1DAB" w:rsidRDefault="00BE2340" w:rsidP="00587F5F">
            <w:pPr>
              <w:jc w:val="right"/>
              <w:rPr>
                <w:color w:val="FF0000"/>
                <w:sz w:val="18"/>
                <w:szCs w:val="18"/>
                <w:lang w:val="en-US"/>
              </w:rPr>
            </w:pPr>
            <w:r w:rsidRPr="004B1DAB">
              <w:rPr>
                <w:color w:val="FF0000"/>
                <w:sz w:val="18"/>
                <w:szCs w:val="18"/>
                <w:lang w:val="en-US"/>
              </w:rPr>
              <w:t>-0.26</w:t>
            </w:r>
            <w:r w:rsidR="003C2C6E" w:rsidRPr="004B1DAB">
              <w:rPr>
                <w:color w:val="FF0000"/>
                <w:sz w:val="18"/>
                <w:szCs w:val="18"/>
                <w:lang w:val="en-US"/>
              </w:rPr>
              <w:br/>
            </w:r>
            <w:r w:rsidRPr="004B1DAB">
              <w:rPr>
                <w:color w:val="FF0000"/>
                <w:sz w:val="18"/>
                <w:szCs w:val="18"/>
                <w:lang w:val="en-US"/>
              </w:rPr>
              <w:t>**</w:t>
            </w:r>
          </w:p>
        </w:tc>
        <w:tc>
          <w:tcPr>
            <w:tcW w:w="420" w:type="dxa"/>
            <w:hideMark/>
          </w:tcPr>
          <w:p w14:paraId="18584784" w14:textId="560BAD1E" w:rsidR="00BE2340" w:rsidRPr="004B1DAB" w:rsidRDefault="00BE2340" w:rsidP="00587F5F">
            <w:pPr>
              <w:jc w:val="right"/>
              <w:rPr>
                <w:color w:val="FF0000"/>
                <w:sz w:val="18"/>
                <w:szCs w:val="18"/>
                <w:lang w:val="en-US"/>
              </w:rPr>
            </w:pPr>
            <w:r w:rsidRPr="004B1DAB">
              <w:rPr>
                <w:color w:val="FF0000"/>
                <w:sz w:val="18"/>
                <w:szCs w:val="18"/>
                <w:lang w:val="en-US"/>
              </w:rPr>
              <w:t>-0.30</w:t>
            </w:r>
            <w:r w:rsidR="003C2C6E" w:rsidRPr="004B1DAB">
              <w:rPr>
                <w:color w:val="FF0000"/>
                <w:sz w:val="18"/>
                <w:szCs w:val="18"/>
                <w:lang w:val="en-US"/>
              </w:rPr>
              <w:br/>
            </w:r>
            <w:r w:rsidRPr="004B1DAB">
              <w:rPr>
                <w:color w:val="FF0000"/>
                <w:sz w:val="18"/>
                <w:szCs w:val="18"/>
                <w:lang w:val="en-US"/>
              </w:rPr>
              <w:t>**</w:t>
            </w:r>
          </w:p>
        </w:tc>
        <w:tc>
          <w:tcPr>
            <w:tcW w:w="462" w:type="dxa"/>
            <w:hideMark/>
          </w:tcPr>
          <w:p w14:paraId="0DBC3F2A" w14:textId="644C63B4" w:rsidR="00BE2340" w:rsidRPr="004B1DAB" w:rsidRDefault="00BE2340" w:rsidP="00587F5F">
            <w:pPr>
              <w:jc w:val="right"/>
              <w:rPr>
                <w:color w:val="FF0000"/>
                <w:sz w:val="18"/>
                <w:szCs w:val="18"/>
                <w:lang w:val="en-US"/>
              </w:rPr>
            </w:pPr>
            <w:r w:rsidRPr="004B1DAB">
              <w:rPr>
                <w:color w:val="FF0000"/>
                <w:sz w:val="18"/>
                <w:szCs w:val="18"/>
                <w:lang w:val="en-US"/>
              </w:rPr>
              <w:t>-0.22</w:t>
            </w:r>
            <w:r w:rsidR="003C2C6E" w:rsidRPr="004B1DAB">
              <w:rPr>
                <w:color w:val="FF0000"/>
                <w:sz w:val="18"/>
                <w:szCs w:val="18"/>
                <w:lang w:val="en-US"/>
              </w:rPr>
              <w:br/>
            </w:r>
            <w:r w:rsidRPr="004B1DAB">
              <w:rPr>
                <w:color w:val="FF0000"/>
                <w:sz w:val="18"/>
                <w:szCs w:val="18"/>
                <w:lang w:val="en-US"/>
              </w:rPr>
              <w:t>**</w:t>
            </w:r>
          </w:p>
        </w:tc>
        <w:tc>
          <w:tcPr>
            <w:tcW w:w="434" w:type="dxa"/>
            <w:hideMark/>
          </w:tcPr>
          <w:p w14:paraId="09CFE82E" w14:textId="51F27B04" w:rsidR="00BE2340" w:rsidRPr="004B1DAB" w:rsidRDefault="00BE2340" w:rsidP="00587F5F">
            <w:pPr>
              <w:jc w:val="right"/>
              <w:rPr>
                <w:color w:val="FF0000"/>
                <w:sz w:val="18"/>
                <w:szCs w:val="18"/>
                <w:lang w:val="en-US"/>
              </w:rPr>
            </w:pPr>
            <w:r w:rsidRPr="004B1DAB">
              <w:rPr>
                <w:color w:val="FF0000"/>
                <w:sz w:val="18"/>
                <w:szCs w:val="18"/>
                <w:lang w:val="en-US"/>
              </w:rPr>
              <w:t>0.92</w:t>
            </w:r>
            <w:r w:rsidR="003C2C6E" w:rsidRPr="004B1DAB">
              <w:rPr>
                <w:color w:val="FF0000"/>
                <w:sz w:val="18"/>
                <w:szCs w:val="18"/>
                <w:lang w:val="en-US"/>
              </w:rPr>
              <w:br/>
            </w:r>
            <w:r w:rsidRPr="004B1DAB">
              <w:rPr>
                <w:color w:val="FF0000"/>
                <w:sz w:val="18"/>
                <w:szCs w:val="18"/>
                <w:lang w:val="en-US"/>
              </w:rPr>
              <w:t>**</w:t>
            </w:r>
          </w:p>
        </w:tc>
        <w:tc>
          <w:tcPr>
            <w:tcW w:w="420" w:type="dxa"/>
            <w:hideMark/>
          </w:tcPr>
          <w:p w14:paraId="080AEFDA" w14:textId="77777777" w:rsidR="00BE2340" w:rsidRPr="004B1DAB" w:rsidRDefault="00BE2340" w:rsidP="00587F5F">
            <w:pPr>
              <w:jc w:val="right"/>
              <w:rPr>
                <w:color w:val="FF0000"/>
                <w:sz w:val="18"/>
                <w:szCs w:val="18"/>
                <w:lang w:val="en-US"/>
              </w:rPr>
            </w:pPr>
            <w:r w:rsidRPr="004B1DAB">
              <w:rPr>
                <w:color w:val="FF0000"/>
                <w:sz w:val="18"/>
                <w:szCs w:val="18"/>
                <w:lang w:val="en-US"/>
              </w:rPr>
              <w:t>1.00</w:t>
            </w:r>
          </w:p>
        </w:tc>
        <w:tc>
          <w:tcPr>
            <w:tcW w:w="420" w:type="dxa"/>
            <w:hideMark/>
          </w:tcPr>
          <w:p w14:paraId="26A02815" w14:textId="77777777" w:rsidR="00BE2340" w:rsidRPr="004B1DAB" w:rsidRDefault="00BE2340" w:rsidP="00587F5F">
            <w:pPr>
              <w:jc w:val="right"/>
              <w:rPr>
                <w:color w:val="FF0000"/>
                <w:sz w:val="18"/>
                <w:szCs w:val="18"/>
                <w:lang w:val="en-US"/>
              </w:rPr>
            </w:pPr>
          </w:p>
        </w:tc>
        <w:tc>
          <w:tcPr>
            <w:tcW w:w="434" w:type="dxa"/>
            <w:hideMark/>
          </w:tcPr>
          <w:p w14:paraId="692E75B5" w14:textId="77777777" w:rsidR="00BE2340" w:rsidRPr="004B1DAB" w:rsidRDefault="00BE2340" w:rsidP="00587F5F">
            <w:pPr>
              <w:jc w:val="right"/>
              <w:rPr>
                <w:color w:val="FF0000"/>
                <w:sz w:val="18"/>
                <w:szCs w:val="18"/>
                <w:lang w:val="en-US"/>
              </w:rPr>
            </w:pPr>
          </w:p>
        </w:tc>
        <w:tc>
          <w:tcPr>
            <w:tcW w:w="443" w:type="dxa"/>
            <w:hideMark/>
          </w:tcPr>
          <w:p w14:paraId="366696EB" w14:textId="77777777" w:rsidR="00BE2340" w:rsidRPr="004B1DAB" w:rsidRDefault="00BE2340" w:rsidP="00587F5F">
            <w:pPr>
              <w:jc w:val="right"/>
              <w:rPr>
                <w:color w:val="FF0000"/>
                <w:sz w:val="18"/>
                <w:szCs w:val="18"/>
                <w:lang w:val="en-US"/>
              </w:rPr>
            </w:pPr>
          </w:p>
        </w:tc>
        <w:tc>
          <w:tcPr>
            <w:tcW w:w="425" w:type="dxa"/>
            <w:hideMark/>
          </w:tcPr>
          <w:p w14:paraId="18B87A02" w14:textId="77777777" w:rsidR="00BE2340" w:rsidRPr="004B1DAB" w:rsidRDefault="00BE2340" w:rsidP="00587F5F">
            <w:pPr>
              <w:jc w:val="right"/>
              <w:rPr>
                <w:color w:val="FF0000"/>
                <w:sz w:val="18"/>
                <w:szCs w:val="18"/>
                <w:lang w:val="en-US"/>
              </w:rPr>
            </w:pPr>
          </w:p>
        </w:tc>
        <w:tc>
          <w:tcPr>
            <w:tcW w:w="426" w:type="dxa"/>
            <w:hideMark/>
          </w:tcPr>
          <w:p w14:paraId="782D60E3" w14:textId="77777777" w:rsidR="00BE2340" w:rsidRPr="004B1DAB" w:rsidRDefault="00BE2340" w:rsidP="00587F5F">
            <w:pPr>
              <w:jc w:val="right"/>
              <w:rPr>
                <w:color w:val="FF0000"/>
                <w:sz w:val="18"/>
                <w:szCs w:val="18"/>
                <w:lang w:val="en-US"/>
              </w:rPr>
            </w:pPr>
          </w:p>
        </w:tc>
      </w:tr>
      <w:tr w:rsidR="00BE2340" w:rsidRPr="004B1DAB" w14:paraId="5A8E3308" w14:textId="77777777" w:rsidTr="004B1DAB">
        <w:tc>
          <w:tcPr>
            <w:tcW w:w="661" w:type="dxa"/>
            <w:hideMark/>
          </w:tcPr>
          <w:p w14:paraId="6DCF8E6B" w14:textId="77777777" w:rsidR="00BE2340" w:rsidRPr="004B1DAB" w:rsidRDefault="00BE2340" w:rsidP="00587F5F">
            <w:pPr>
              <w:jc w:val="left"/>
              <w:rPr>
                <w:color w:val="FF0000"/>
                <w:sz w:val="20"/>
                <w:szCs w:val="20"/>
                <w:lang w:val="en-US"/>
              </w:rPr>
            </w:pPr>
            <w:r w:rsidRPr="004B1DAB">
              <w:rPr>
                <w:color w:val="FF0000"/>
                <w:sz w:val="20"/>
                <w:szCs w:val="20"/>
                <w:lang w:val="en-US"/>
              </w:rPr>
              <w:t>Size</w:t>
            </w:r>
          </w:p>
        </w:tc>
        <w:tc>
          <w:tcPr>
            <w:tcW w:w="412" w:type="dxa"/>
            <w:hideMark/>
          </w:tcPr>
          <w:p w14:paraId="4E979E2C" w14:textId="37B0CBD0" w:rsidR="00BE2340" w:rsidRPr="004B1DAB" w:rsidRDefault="00BE2340" w:rsidP="00587F5F">
            <w:pPr>
              <w:jc w:val="right"/>
              <w:rPr>
                <w:color w:val="FF0000"/>
                <w:sz w:val="18"/>
                <w:szCs w:val="18"/>
                <w:lang w:val="en-US"/>
              </w:rPr>
            </w:pPr>
            <w:r w:rsidRPr="004B1DAB">
              <w:rPr>
                <w:color w:val="FF0000"/>
                <w:sz w:val="18"/>
                <w:szCs w:val="18"/>
                <w:lang w:val="en-US"/>
              </w:rPr>
              <w:t>0.18</w:t>
            </w:r>
            <w:r w:rsidR="003C2C6E" w:rsidRPr="004B1DAB">
              <w:rPr>
                <w:color w:val="FF0000"/>
                <w:sz w:val="18"/>
                <w:szCs w:val="18"/>
                <w:lang w:val="en-US"/>
              </w:rPr>
              <w:br/>
            </w:r>
            <w:r w:rsidRPr="004B1DAB">
              <w:rPr>
                <w:color w:val="FF0000"/>
                <w:sz w:val="18"/>
                <w:szCs w:val="18"/>
                <w:lang w:val="en-US"/>
              </w:rPr>
              <w:t>**</w:t>
            </w:r>
          </w:p>
        </w:tc>
        <w:tc>
          <w:tcPr>
            <w:tcW w:w="420" w:type="dxa"/>
            <w:hideMark/>
          </w:tcPr>
          <w:p w14:paraId="299BEF34" w14:textId="18FD3A22" w:rsidR="00BE2340" w:rsidRPr="004B1DAB" w:rsidRDefault="00BE2340" w:rsidP="00587F5F">
            <w:pPr>
              <w:jc w:val="right"/>
              <w:rPr>
                <w:color w:val="FF0000"/>
                <w:sz w:val="18"/>
                <w:szCs w:val="18"/>
                <w:lang w:val="en-US"/>
              </w:rPr>
            </w:pPr>
            <w:r w:rsidRPr="004B1DAB">
              <w:rPr>
                <w:color w:val="FF0000"/>
                <w:sz w:val="18"/>
                <w:szCs w:val="18"/>
                <w:lang w:val="en-US"/>
              </w:rPr>
              <w:t>0.22</w:t>
            </w:r>
            <w:r w:rsidR="003C2C6E" w:rsidRPr="004B1DAB">
              <w:rPr>
                <w:color w:val="FF0000"/>
                <w:sz w:val="18"/>
                <w:szCs w:val="18"/>
                <w:lang w:val="en-US"/>
              </w:rPr>
              <w:br/>
            </w:r>
            <w:r w:rsidRPr="004B1DAB">
              <w:rPr>
                <w:color w:val="FF0000"/>
                <w:sz w:val="18"/>
                <w:szCs w:val="18"/>
                <w:lang w:val="en-US"/>
              </w:rPr>
              <w:t>**</w:t>
            </w:r>
          </w:p>
        </w:tc>
        <w:tc>
          <w:tcPr>
            <w:tcW w:w="462" w:type="dxa"/>
            <w:hideMark/>
          </w:tcPr>
          <w:p w14:paraId="5E3462F9" w14:textId="49ABF114" w:rsidR="00BE2340" w:rsidRPr="004B1DAB" w:rsidRDefault="00BE2340" w:rsidP="00587F5F">
            <w:pPr>
              <w:jc w:val="right"/>
              <w:rPr>
                <w:color w:val="FF0000"/>
                <w:sz w:val="18"/>
                <w:szCs w:val="18"/>
                <w:lang w:val="en-US"/>
              </w:rPr>
            </w:pPr>
            <w:r w:rsidRPr="004B1DAB">
              <w:rPr>
                <w:color w:val="FF0000"/>
                <w:sz w:val="18"/>
                <w:szCs w:val="18"/>
                <w:lang w:val="en-US"/>
              </w:rPr>
              <w:t>0.35</w:t>
            </w:r>
            <w:r w:rsidR="003C2C6E" w:rsidRPr="004B1DAB">
              <w:rPr>
                <w:color w:val="FF0000"/>
                <w:sz w:val="18"/>
                <w:szCs w:val="18"/>
                <w:lang w:val="en-US"/>
              </w:rPr>
              <w:br/>
            </w:r>
            <w:r w:rsidRPr="004B1DAB">
              <w:rPr>
                <w:color w:val="FF0000"/>
                <w:sz w:val="18"/>
                <w:szCs w:val="18"/>
                <w:lang w:val="en-US"/>
              </w:rPr>
              <w:t>**</w:t>
            </w:r>
          </w:p>
        </w:tc>
        <w:tc>
          <w:tcPr>
            <w:tcW w:w="434" w:type="dxa"/>
            <w:hideMark/>
          </w:tcPr>
          <w:p w14:paraId="1AC5D66E" w14:textId="2F3651F2" w:rsidR="00BE2340" w:rsidRPr="004B1DAB" w:rsidRDefault="00BE2340" w:rsidP="00587F5F">
            <w:pPr>
              <w:jc w:val="right"/>
              <w:rPr>
                <w:color w:val="FF0000"/>
                <w:sz w:val="18"/>
                <w:szCs w:val="18"/>
                <w:lang w:val="en-US"/>
              </w:rPr>
            </w:pPr>
            <w:r w:rsidRPr="004B1DAB">
              <w:rPr>
                <w:color w:val="FF0000"/>
                <w:sz w:val="18"/>
                <w:szCs w:val="18"/>
                <w:lang w:val="en-US"/>
              </w:rPr>
              <w:t>0.15</w:t>
            </w:r>
            <w:r w:rsidR="003C2C6E" w:rsidRPr="004B1DAB">
              <w:rPr>
                <w:color w:val="FF0000"/>
                <w:sz w:val="18"/>
                <w:szCs w:val="18"/>
                <w:lang w:val="en-US"/>
              </w:rPr>
              <w:br/>
            </w:r>
            <w:r w:rsidRPr="004B1DAB">
              <w:rPr>
                <w:color w:val="FF0000"/>
                <w:sz w:val="18"/>
                <w:szCs w:val="18"/>
                <w:lang w:val="en-US"/>
              </w:rPr>
              <w:t>**</w:t>
            </w:r>
          </w:p>
        </w:tc>
        <w:tc>
          <w:tcPr>
            <w:tcW w:w="420" w:type="dxa"/>
            <w:hideMark/>
          </w:tcPr>
          <w:p w14:paraId="32C009FC" w14:textId="5E663AF1" w:rsidR="00BE2340" w:rsidRPr="004B1DAB" w:rsidRDefault="00BE2340" w:rsidP="00587F5F">
            <w:pPr>
              <w:jc w:val="right"/>
              <w:rPr>
                <w:color w:val="FF0000"/>
                <w:sz w:val="18"/>
                <w:szCs w:val="18"/>
                <w:lang w:val="en-US"/>
              </w:rPr>
            </w:pPr>
            <w:r w:rsidRPr="004B1DAB">
              <w:rPr>
                <w:color w:val="FF0000"/>
                <w:sz w:val="18"/>
                <w:szCs w:val="18"/>
                <w:lang w:val="en-US"/>
              </w:rPr>
              <w:t>0.12</w:t>
            </w:r>
            <w:r w:rsidR="003C2C6E" w:rsidRPr="004B1DAB">
              <w:rPr>
                <w:color w:val="FF0000"/>
                <w:sz w:val="18"/>
                <w:szCs w:val="18"/>
                <w:lang w:val="en-US"/>
              </w:rPr>
              <w:br/>
            </w:r>
            <w:r w:rsidRPr="004B1DAB">
              <w:rPr>
                <w:color w:val="FF0000"/>
                <w:sz w:val="18"/>
                <w:szCs w:val="18"/>
                <w:lang w:val="en-US"/>
              </w:rPr>
              <w:t>**</w:t>
            </w:r>
          </w:p>
        </w:tc>
        <w:tc>
          <w:tcPr>
            <w:tcW w:w="420" w:type="dxa"/>
            <w:hideMark/>
          </w:tcPr>
          <w:p w14:paraId="0C4BE217" w14:textId="77777777" w:rsidR="00BE2340" w:rsidRPr="004B1DAB" w:rsidRDefault="00BE2340" w:rsidP="00587F5F">
            <w:pPr>
              <w:jc w:val="right"/>
              <w:rPr>
                <w:color w:val="FF0000"/>
                <w:sz w:val="18"/>
                <w:szCs w:val="18"/>
                <w:lang w:val="en-US"/>
              </w:rPr>
            </w:pPr>
            <w:r w:rsidRPr="004B1DAB">
              <w:rPr>
                <w:color w:val="FF0000"/>
                <w:sz w:val="18"/>
                <w:szCs w:val="18"/>
                <w:lang w:val="en-US"/>
              </w:rPr>
              <w:t>1.00</w:t>
            </w:r>
          </w:p>
        </w:tc>
        <w:tc>
          <w:tcPr>
            <w:tcW w:w="434" w:type="dxa"/>
            <w:hideMark/>
          </w:tcPr>
          <w:p w14:paraId="562D4227" w14:textId="77777777" w:rsidR="00BE2340" w:rsidRPr="004B1DAB" w:rsidRDefault="00BE2340" w:rsidP="00587F5F">
            <w:pPr>
              <w:jc w:val="right"/>
              <w:rPr>
                <w:color w:val="FF0000"/>
                <w:sz w:val="18"/>
                <w:szCs w:val="18"/>
                <w:lang w:val="en-US"/>
              </w:rPr>
            </w:pPr>
          </w:p>
        </w:tc>
        <w:tc>
          <w:tcPr>
            <w:tcW w:w="443" w:type="dxa"/>
            <w:hideMark/>
          </w:tcPr>
          <w:p w14:paraId="214FBC0B" w14:textId="77777777" w:rsidR="00BE2340" w:rsidRPr="004B1DAB" w:rsidRDefault="00BE2340" w:rsidP="00587F5F">
            <w:pPr>
              <w:jc w:val="right"/>
              <w:rPr>
                <w:color w:val="FF0000"/>
                <w:sz w:val="18"/>
                <w:szCs w:val="18"/>
                <w:lang w:val="en-US"/>
              </w:rPr>
            </w:pPr>
          </w:p>
        </w:tc>
        <w:tc>
          <w:tcPr>
            <w:tcW w:w="425" w:type="dxa"/>
            <w:hideMark/>
          </w:tcPr>
          <w:p w14:paraId="0AEDBEBA" w14:textId="77777777" w:rsidR="00BE2340" w:rsidRPr="004B1DAB" w:rsidRDefault="00BE2340" w:rsidP="00587F5F">
            <w:pPr>
              <w:jc w:val="right"/>
              <w:rPr>
                <w:color w:val="FF0000"/>
                <w:sz w:val="18"/>
                <w:szCs w:val="18"/>
                <w:lang w:val="en-US"/>
              </w:rPr>
            </w:pPr>
          </w:p>
        </w:tc>
        <w:tc>
          <w:tcPr>
            <w:tcW w:w="426" w:type="dxa"/>
            <w:hideMark/>
          </w:tcPr>
          <w:p w14:paraId="5DBA990B" w14:textId="77777777" w:rsidR="00BE2340" w:rsidRPr="004B1DAB" w:rsidRDefault="00BE2340" w:rsidP="00587F5F">
            <w:pPr>
              <w:jc w:val="right"/>
              <w:rPr>
                <w:color w:val="FF0000"/>
                <w:sz w:val="18"/>
                <w:szCs w:val="18"/>
                <w:lang w:val="en-US"/>
              </w:rPr>
            </w:pPr>
          </w:p>
        </w:tc>
      </w:tr>
      <w:tr w:rsidR="00BE2340" w:rsidRPr="004B1DAB" w14:paraId="2031C160" w14:textId="77777777" w:rsidTr="004B1DAB">
        <w:tc>
          <w:tcPr>
            <w:tcW w:w="661" w:type="dxa"/>
            <w:hideMark/>
          </w:tcPr>
          <w:p w14:paraId="1C48934C" w14:textId="77777777" w:rsidR="00BE2340" w:rsidRPr="004B1DAB" w:rsidRDefault="00BE2340" w:rsidP="00587F5F">
            <w:pPr>
              <w:jc w:val="left"/>
              <w:rPr>
                <w:color w:val="FF0000"/>
                <w:sz w:val="20"/>
                <w:szCs w:val="20"/>
                <w:lang w:val="en-US"/>
              </w:rPr>
            </w:pPr>
            <w:r w:rsidRPr="004B1DAB">
              <w:rPr>
                <w:color w:val="FF0000"/>
                <w:sz w:val="20"/>
                <w:szCs w:val="20"/>
                <w:lang w:val="en-US"/>
              </w:rPr>
              <w:t>Growth</w:t>
            </w:r>
          </w:p>
        </w:tc>
        <w:tc>
          <w:tcPr>
            <w:tcW w:w="412" w:type="dxa"/>
            <w:hideMark/>
          </w:tcPr>
          <w:p w14:paraId="274798D6" w14:textId="1487AEFA" w:rsidR="00BE2340" w:rsidRPr="004B1DAB" w:rsidRDefault="00BE2340" w:rsidP="00587F5F">
            <w:pPr>
              <w:jc w:val="right"/>
              <w:rPr>
                <w:color w:val="FF0000"/>
                <w:sz w:val="18"/>
                <w:szCs w:val="18"/>
                <w:lang w:val="en-US"/>
              </w:rPr>
            </w:pPr>
            <w:r w:rsidRPr="004B1DAB">
              <w:rPr>
                <w:color w:val="FF0000"/>
                <w:sz w:val="18"/>
                <w:szCs w:val="18"/>
                <w:lang w:val="en-US"/>
              </w:rPr>
              <w:t>0.12</w:t>
            </w:r>
            <w:r w:rsidR="003C2C6E" w:rsidRPr="004B1DAB">
              <w:rPr>
                <w:color w:val="FF0000"/>
                <w:sz w:val="18"/>
                <w:szCs w:val="18"/>
                <w:lang w:val="en-US"/>
              </w:rPr>
              <w:br/>
            </w:r>
            <w:r w:rsidRPr="004B1DAB">
              <w:rPr>
                <w:color w:val="FF0000"/>
                <w:sz w:val="18"/>
                <w:szCs w:val="18"/>
                <w:lang w:val="en-US"/>
              </w:rPr>
              <w:t>**</w:t>
            </w:r>
          </w:p>
        </w:tc>
        <w:tc>
          <w:tcPr>
            <w:tcW w:w="420" w:type="dxa"/>
            <w:hideMark/>
          </w:tcPr>
          <w:p w14:paraId="00BF1580" w14:textId="45ABE2D9" w:rsidR="00BE2340" w:rsidRPr="004B1DAB" w:rsidRDefault="00BE2340" w:rsidP="00587F5F">
            <w:pPr>
              <w:jc w:val="right"/>
              <w:rPr>
                <w:color w:val="FF0000"/>
                <w:sz w:val="18"/>
                <w:szCs w:val="18"/>
                <w:lang w:val="en-US"/>
              </w:rPr>
            </w:pPr>
            <w:r w:rsidRPr="004B1DAB">
              <w:rPr>
                <w:color w:val="FF0000"/>
                <w:sz w:val="18"/>
                <w:szCs w:val="18"/>
                <w:lang w:val="en-US"/>
              </w:rPr>
              <w:t>0.10</w:t>
            </w:r>
            <w:r w:rsidR="003C2C6E" w:rsidRPr="004B1DAB">
              <w:rPr>
                <w:color w:val="FF0000"/>
                <w:sz w:val="18"/>
                <w:szCs w:val="18"/>
                <w:lang w:val="en-US"/>
              </w:rPr>
              <w:br/>
            </w:r>
            <w:r w:rsidRPr="004B1DAB">
              <w:rPr>
                <w:color w:val="FF0000"/>
                <w:sz w:val="18"/>
                <w:szCs w:val="18"/>
                <w:lang w:val="en-US"/>
              </w:rPr>
              <w:t>*</w:t>
            </w:r>
          </w:p>
        </w:tc>
        <w:tc>
          <w:tcPr>
            <w:tcW w:w="462" w:type="dxa"/>
            <w:hideMark/>
          </w:tcPr>
          <w:p w14:paraId="3DA8751D" w14:textId="3C8B5E42" w:rsidR="00BE2340" w:rsidRPr="004B1DAB" w:rsidRDefault="00BE2340" w:rsidP="00587F5F">
            <w:pPr>
              <w:jc w:val="right"/>
              <w:rPr>
                <w:color w:val="FF0000"/>
                <w:sz w:val="18"/>
                <w:szCs w:val="18"/>
                <w:lang w:val="en-US"/>
              </w:rPr>
            </w:pPr>
            <w:r w:rsidRPr="004B1DAB">
              <w:rPr>
                <w:color w:val="FF0000"/>
                <w:sz w:val="18"/>
                <w:szCs w:val="18"/>
                <w:lang w:val="en-US"/>
              </w:rPr>
              <w:t>0.08</w:t>
            </w:r>
            <w:r w:rsidR="003C2C6E" w:rsidRPr="004B1DAB">
              <w:rPr>
                <w:color w:val="FF0000"/>
                <w:sz w:val="18"/>
                <w:szCs w:val="18"/>
                <w:lang w:val="en-US"/>
              </w:rPr>
              <w:br/>
            </w:r>
            <w:r w:rsidRPr="004B1DAB">
              <w:rPr>
                <w:color w:val="FF0000"/>
                <w:sz w:val="18"/>
                <w:szCs w:val="18"/>
                <w:lang w:val="en-US"/>
              </w:rPr>
              <w:t>*</w:t>
            </w:r>
          </w:p>
        </w:tc>
        <w:tc>
          <w:tcPr>
            <w:tcW w:w="434" w:type="dxa"/>
            <w:hideMark/>
          </w:tcPr>
          <w:p w14:paraId="02A1BA6C" w14:textId="77777777" w:rsidR="00BE2340" w:rsidRPr="004B1DAB" w:rsidRDefault="00BE2340" w:rsidP="00587F5F">
            <w:pPr>
              <w:jc w:val="right"/>
              <w:rPr>
                <w:color w:val="FF0000"/>
                <w:sz w:val="18"/>
                <w:szCs w:val="18"/>
                <w:lang w:val="en-US"/>
              </w:rPr>
            </w:pPr>
            <w:r w:rsidRPr="004B1DAB">
              <w:rPr>
                <w:color w:val="FF0000"/>
                <w:sz w:val="18"/>
                <w:szCs w:val="18"/>
                <w:lang w:val="en-US"/>
              </w:rPr>
              <w:t>-0.05</w:t>
            </w:r>
          </w:p>
        </w:tc>
        <w:tc>
          <w:tcPr>
            <w:tcW w:w="420" w:type="dxa"/>
            <w:hideMark/>
          </w:tcPr>
          <w:p w14:paraId="11797ADB" w14:textId="77777777" w:rsidR="00BE2340" w:rsidRPr="004B1DAB" w:rsidRDefault="00BE2340" w:rsidP="00587F5F">
            <w:pPr>
              <w:jc w:val="right"/>
              <w:rPr>
                <w:color w:val="FF0000"/>
                <w:sz w:val="18"/>
                <w:szCs w:val="18"/>
                <w:lang w:val="en-US"/>
              </w:rPr>
            </w:pPr>
            <w:r w:rsidRPr="004B1DAB">
              <w:rPr>
                <w:color w:val="FF0000"/>
                <w:sz w:val="18"/>
                <w:szCs w:val="18"/>
                <w:lang w:val="en-US"/>
              </w:rPr>
              <w:t>-0.04</w:t>
            </w:r>
          </w:p>
        </w:tc>
        <w:tc>
          <w:tcPr>
            <w:tcW w:w="420" w:type="dxa"/>
            <w:hideMark/>
          </w:tcPr>
          <w:p w14:paraId="7C6AF12F" w14:textId="4F09BFD0" w:rsidR="00BE2340" w:rsidRPr="004B1DAB" w:rsidRDefault="00BE2340" w:rsidP="00587F5F">
            <w:pPr>
              <w:jc w:val="right"/>
              <w:rPr>
                <w:color w:val="FF0000"/>
                <w:sz w:val="18"/>
                <w:szCs w:val="18"/>
                <w:lang w:val="en-US"/>
              </w:rPr>
            </w:pPr>
            <w:r w:rsidRPr="004B1DAB">
              <w:rPr>
                <w:color w:val="FF0000"/>
                <w:sz w:val="18"/>
                <w:szCs w:val="18"/>
                <w:lang w:val="en-US"/>
              </w:rPr>
              <w:t>0.20</w:t>
            </w:r>
            <w:r w:rsidR="003C2C6E" w:rsidRPr="004B1DAB">
              <w:rPr>
                <w:color w:val="FF0000"/>
                <w:sz w:val="18"/>
                <w:szCs w:val="18"/>
                <w:lang w:val="en-US"/>
              </w:rPr>
              <w:br/>
            </w:r>
            <w:r w:rsidRPr="004B1DAB">
              <w:rPr>
                <w:color w:val="FF0000"/>
                <w:sz w:val="18"/>
                <w:szCs w:val="18"/>
                <w:lang w:val="en-US"/>
              </w:rPr>
              <w:t>**</w:t>
            </w:r>
          </w:p>
        </w:tc>
        <w:tc>
          <w:tcPr>
            <w:tcW w:w="434" w:type="dxa"/>
            <w:hideMark/>
          </w:tcPr>
          <w:p w14:paraId="2DB38FD0" w14:textId="77777777" w:rsidR="00BE2340" w:rsidRPr="004B1DAB" w:rsidRDefault="00BE2340" w:rsidP="00587F5F">
            <w:pPr>
              <w:jc w:val="right"/>
              <w:rPr>
                <w:color w:val="FF0000"/>
                <w:sz w:val="18"/>
                <w:szCs w:val="18"/>
                <w:lang w:val="en-US"/>
              </w:rPr>
            </w:pPr>
            <w:r w:rsidRPr="004B1DAB">
              <w:rPr>
                <w:color w:val="FF0000"/>
                <w:sz w:val="18"/>
                <w:szCs w:val="18"/>
                <w:lang w:val="en-US"/>
              </w:rPr>
              <w:t>1.00</w:t>
            </w:r>
          </w:p>
        </w:tc>
        <w:tc>
          <w:tcPr>
            <w:tcW w:w="443" w:type="dxa"/>
            <w:hideMark/>
          </w:tcPr>
          <w:p w14:paraId="5CA0DC3A" w14:textId="77777777" w:rsidR="00BE2340" w:rsidRPr="004B1DAB" w:rsidRDefault="00BE2340" w:rsidP="00587F5F">
            <w:pPr>
              <w:jc w:val="right"/>
              <w:rPr>
                <w:color w:val="FF0000"/>
                <w:sz w:val="18"/>
                <w:szCs w:val="18"/>
                <w:lang w:val="en-US"/>
              </w:rPr>
            </w:pPr>
          </w:p>
        </w:tc>
        <w:tc>
          <w:tcPr>
            <w:tcW w:w="425" w:type="dxa"/>
            <w:hideMark/>
          </w:tcPr>
          <w:p w14:paraId="222D89B8" w14:textId="77777777" w:rsidR="00BE2340" w:rsidRPr="004B1DAB" w:rsidRDefault="00BE2340" w:rsidP="00587F5F">
            <w:pPr>
              <w:jc w:val="right"/>
              <w:rPr>
                <w:color w:val="FF0000"/>
                <w:sz w:val="18"/>
                <w:szCs w:val="18"/>
                <w:lang w:val="en-US"/>
              </w:rPr>
            </w:pPr>
          </w:p>
        </w:tc>
        <w:tc>
          <w:tcPr>
            <w:tcW w:w="426" w:type="dxa"/>
            <w:hideMark/>
          </w:tcPr>
          <w:p w14:paraId="480919DB" w14:textId="77777777" w:rsidR="00BE2340" w:rsidRPr="004B1DAB" w:rsidRDefault="00BE2340" w:rsidP="00587F5F">
            <w:pPr>
              <w:jc w:val="right"/>
              <w:rPr>
                <w:color w:val="FF0000"/>
                <w:sz w:val="18"/>
                <w:szCs w:val="18"/>
                <w:lang w:val="en-US"/>
              </w:rPr>
            </w:pPr>
          </w:p>
        </w:tc>
      </w:tr>
      <w:tr w:rsidR="00BE2340" w:rsidRPr="004B1DAB" w14:paraId="20785745" w14:textId="77777777" w:rsidTr="004B1DAB">
        <w:tc>
          <w:tcPr>
            <w:tcW w:w="661" w:type="dxa"/>
            <w:hideMark/>
          </w:tcPr>
          <w:p w14:paraId="2FD4390C" w14:textId="4EFC8CF2" w:rsidR="00BE2340" w:rsidRPr="004B1DAB" w:rsidRDefault="00BE2340" w:rsidP="00587F5F">
            <w:pPr>
              <w:jc w:val="left"/>
              <w:rPr>
                <w:color w:val="FF0000"/>
                <w:sz w:val="20"/>
                <w:szCs w:val="20"/>
                <w:lang w:val="en-US"/>
              </w:rPr>
            </w:pPr>
            <w:r w:rsidRPr="004B1DAB">
              <w:rPr>
                <w:color w:val="FF0000"/>
                <w:sz w:val="20"/>
                <w:szCs w:val="20"/>
                <w:lang w:val="en-US"/>
              </w:rPr>
              <w:t>Liquid</w:t>
            </w:r>
            <w:r w:rsidR="00587F5F" w:rsidRPr="004B1DAB">
              <w:rPr>
                <w:color w:val="FF0000"/>
                <w:sz w:val="20"/>
                <w:szCs w:val="20"/>
                <w:lang w:val="en-US"/>
              </w:rPr>
              <w:t>-</w:t>
            </w:r>
            <w:r w:rsidRPr="004B1DAB">
              <w:rPr>
                <w:color w:val="FF0000"/>
                <w:sz w:val="20"/>
                <w:szCs w:val="20"/>
                <w:lang w:val="en-US"/>
              </w:rPr>
              <w:t>ity</w:t>
            </w:r>
          </w:p>
        </w:tc>
        <w:tc>
          <w:tcPr>
            <w:tcW w:w="412" w:type="dxa"/>
            <w:hideMark/>
          </w:tcPr>
          <w:p w14:paraId="7B9D4B89" w14:textId="34505A14" w:rsidR="00BE2340" w:rsidRPr="004B1DAB" w:rsidRDefault="00BE2340" w:rsidP="00587F5F">
            <w:pPr>
              <w:jc w:val="right"/>
              <w:rPr>
                <w:color w:val="FF0000"/>
                <w:sz w:val="18"/>
                <w:szCs w:val="18"/>
                <w:lang w:val="en-US"/>
              </w:rPr>
            </w:pPr>
            <w:r w:rsidRPr="004B1DAB">
              <w:rPr>
                <w:color w:val="FF0000"/>
                <w:sz w:val="18"/>
                <w:szCs w:val="18"/>
                <w:lang w:val="en-US"/>
              </w:rPr>
              <w:t>0.25</w:t>
            </w:r>
            <w:r w:rsidR="003C2C6E" w:rsidRPr="004B1DAB">
              <w:rPr>
                <w:color w:val="FF0000"/>
                <w:sz w:val="18"/>
                <w:szCs w:val="18"/>
                <w:lang w:val="en-US"/>
              </w:rPr>
              <w:br/>
            </w:r>
            <w:r w:rsidRPr="004B1DAB">
              <w:rPr>
                <w:color w:val="FF0000"/>
                <w:sz w:val="18"/>
                <w:szCs w:val="18"/>
                <w:lang w:val="en-US"/>
              </w:rPr>
              <w:t>**</w:t>
            </w:r>
          </w:p>
        </w:tc>
        <w:tc>
          <w:tcPr>
            <w:tcW w:w="420" w:type="dxa"/>
            <w:hideMark/>
          </w:tcPr>
          <w:p w14:paraId="5C67C03A" w14:textId="6E2A7705" w:rsidR="00BE2340" w:rsidRPr="004B1DAB" w:rsidRDefault="00BE2340" w:rsidP="00587F5F">
            <w:pPr>
              <w:jc w:val="right"/>
              <w:rPr>
                <w:color w:val="FF0000"/>
                <w:sz w:val="18"/>
                <w:szCs w:val="18"/>
                <w:lang w:val="en-US"/>
              </w:rPr>
            </w:pPr>
            <w:r w:rsidRPr="004B1DAB">
              <w:rPr>
                <w:color w:val="FF0000"/>
                <w:sz w:val="18"/>
                <w:szCs w:val="18"/>
                <w:lang w:val="en-US"/>
              </w:rPr>
              <w:t>0.20</w:t>
            </w:r>
            <w:r w:rsidR="003C2C6E" w:rsidRPr="004B1DAB">
              <w:rPr>
                <w:color w:val="FF0000"/>
                <w:sz w:val="18"/>
                <w:szCs w:val="18"/>
                <w:lang w:val="en-US"/>
              </w:rPr>
              <w:br/>
            </w:r>
            <w:r w:rsidRPr="004B1DAB">
              <w:rPr>
                <w:color w:val="FF0000"/>
                <w:sz w:val="18"/>
                <w:szCs w:val="18"/>
                <w:lang w:val="en-US"/>
              </w:rPr>
              <w:t>**</w:t>
            </w:r>
          </w:p>
        </w:tc>
        <w:tc>
          <w:tcPr>
            <w:tcW w:w="462" w:type="dxa"/>
            <w:hideMark/>
          </w:tcPr>
          <w:p w14:paraId="13465BD9" w14:textId="224B4463" w:rsidR="00BE2340" w:rsidRPr="004B1DAB" w:rsidRDefault="00BE2340" w:rsidP="00587F5F">
            <w:pPr>
              <w:jc w:val="right"/>
              <w:rPr>
                <w:color w:val="FF0000"/>
                <w:sz w:val="18"/>
                <w:szCs w:val="18"/>
                <w:lang w:val="en-US"/>
              </w:rPr>
            </w:pPr>
            <w:r w:rsidRPr="004B1DAB">
              <w:rPr>
                <w:color w:val="FF0000"/>
                <w:sz w:val="18"/>
                <w:szCs w:val="18"/>
                <w:lang w:val="en-US"/>
              </w:rPr>
              <w:t>0.18</w:t>
            </w:r>
            <w:r w:rsidR="003C2C6E" w:rsidRPr="004B1DAB">
              <w:rPr>
                <w:color w:val="FF0000"/>
                <w:sz w:val="18"/>
                <w:szCs w:val="18"/>
                <w:lang w:val="en-US"/>
              </w:rPr>
              <w:br/>
            </w:r>
            <w:r w:rsidRPr="004B1DAB">
              <w:rPr>
                <w:color w:val="FF0000"/>
                <w:sz w:val="18"/>
                <w:szCs w:val="18"/>
                <w:lang w:val="en-US"/>
              </w:rPr>
              <w:t>**</w:t>
            </w:r>
          </w:p>
        </w:tc>
        <w:tc>
          <w:tcPr>
            <w:tcW w:w="434" w:type="dxa"/>
            <w:hideMark/>
          </w:tcPr>
          <w:p w14:paraId="0D3E4118" w14:textId="098E328F" w:rsidR="00BE2340" w:rsidRPr="004B1DAB" w:rsidRDefault="00BE2340" w:rsidP="00587F5F">
            <w:pPr>
              <w:jc w:val="right"/>
              <w:rPr>
                <w:color w:val="FF0000"/>
                <w:sz w:val="18"/>
                <w:szCs w:val="18"/>
                <w:lang w:val="en-US"/>
              </w:rPr>
            </w:pPr>
            <w:r w:rsidRPr="004B1DAB">
              <w:rPr>
                <w:color w:val="FF0000"/>
                <w:sz w:val="18"/>
                <w:szCs w:val="18"/>
                <w:lang w:val="en-US"/>
              </w:rPr>
              <w:t>-0.35</w:t>
            </w:r>
            <w:r w:rsidR="003C2C6E" w:rsidRPr="004B1DAB">
              <w:rPr>
                <w:color w:val="FF0000"/>
                <w:sz w:val="18"/>
                <w:szCs w:val="18"/>
                <w:lang w:val="en-US"/>
              </w:rPr>
              <w:br/>
            </w:r>
            <w:r w:rsidRPr="004B1DAB">
              <w:rPr>
                <w:color w:val="FF0000"/>
                <w:sz w:val="18"/>
                <w:szCs w:val="18"/>
                <w:lang w:val="en-US"/>
              </w:rPr>
              <w:t>**</w:t>
            </w:r>
          </w:p>
        </w:tc>
        <w:tc>
          <w:tcPr>
            <w:tcW w:w="420" w:type="dxa"/>
            <w:hideMark/>
          </w:tcPr>
          <w:p w14:paraId="2853DE1B" w14:textId="12F01E5F" w:rsidR="00BE2340" w:rsidRPr="004B1DAB" w:rsidRDefault="00BE2340" w:rsidP="00587F5F">
            <w:pPr>
              <w:jc w:val="right"/>
              <w:rPr>
                <w:color w:val="FF0000"/>
                <w:sz w:val="18"/>
                <w:szCs w:val="18"/>
                <w:lang w:val="en-US"/>
              </w:rPr>
            </w:pPr>
            <w:r w:rsidRPr="004B1DAB">
              <w:rPr>
                <w:color w:val="FF0000"/>
                <w:sz w:val="18"/>
                <w:szCs w:val="18"/>
                <w:lang w:val="en-US"/>
              </w:rPr>
              <w:t>-0.32</w:t>
            </w:r>
            <w:r w:rsidR="003C2C6E" w:rsidRPr="004B1DAB">
              <w:rPr>
                <w:color w:val="FF0000"/>
                <w:sz w:val="18"/>
                <w:szCs w:val="18"/>
                <w:lang w:val="en-US"/>
              </w:rPr>
              <w:br/>
            </w:r>
            <w:r w:rsidRPr="004B1DAB">
              <w:rPr>
                <w:color w:val="FF0000"/>
                <w:sz w:val="18"/>
                <w:szCs w:val="18"/>
                <w:lang w:val="en-US"/>
              </w:rPr>
              <w:t>**</w:t>
            </w:r>
          </w:p>
        </w:tc>
        <w:tc>
          <w:tcPr>
            <w:tcW w:w="420" w:type="dxa"/>
            <w:hideMark/>
          </w:tcPr>
          <w:p w14:paraId="347C87FA" w14:textId="44107F1B" w:rsidR="00BE2340" w:rsidRPr="004B1DAB" w:rsidRDefault="00BE2340" w:rsidP="00587F5F">
            <w:pPr>
              <w:jc w:val="right"/>
              <w:rPr>
                <w:color w:val="FF0000"/>
                <w:sz w:val="18"/>
                <w:szCs w:val="18"/>
                <w:lang w:val="en-US"/>
              </w:rPr>
            </w:pPr>
            <w:r w:rsidRPr="004B1DAB">
              <w:rPr>
                <w:color w:val="FF0000"/>
                <w:sz w:val="18"/>
                <w:szCs w:val="18"/>
                <w:lang w:val="en-US"/>
              </w:rPr>
              <w:t>-0.10</w:t>
            </w:r>
            <w:r w:rsidR="003C2C6E" w:rsidRPr="004B1DAB">
              <w:rPr>
                <w:color w:val="FF0000"/>
                <w:sz w:val="18"/>
                <w:szCs w:val="18"/>
                <w:lang w:val="en-US"/>
              </w:rPr>
              <w:br/>
            </w:r>
            <w:r w:rsidRPr="004B1DAB">
              <w:rPr>
                <w:color w:val="FF0000"/>
                <w:sz w:val="18"/>
                <w:szCs w:val="18"/>
                <w:lang w:val="en-US"/>
              </w:rPr>
              <w:t>**</w:t>
            </w:r>
          </w:p>
        </w:tc>
        <w:tc>
          <w:tcPr>
            <w:tcW w:w="434" w:type="dxa"/>
            <w:hideMark/>
          </w:tcPr>
          <w:p w14:paraId="28795751" w14:textId="77777777" w:rsidR="00BE2340" w:rsidRPr="004B1DAB" w:rsidRDefault="00BE2340" w:rsidP="00587F5F">
            <w:pPr>
              <w:jc w:val="right"/>
              <w:rPr>
                <w:color w:val="FF0000"/>
                <w:sz w:val="18"/>
                <w:szCs w:val="18"/>
                <w:lang w:val="en-US"/>
              </w:rPr>
            </w:pPr>
            <w:r w:rsidRPr="004B1DAB">
              <w:rPr>
                <w:color w:val="FF0000"/>
                <w:sz w:val="18"/>
                <w:szCs w:val="18"/>
                <w:lang w:val="en-US"/>
              </w:rPr>
              <w:t>0.05</w:t>
            </w:r>
          </w:p>
        </w:tc>
        <w:tc>
          <w:tcPr>
            <w:tcW w:w="443" w:type="dxa"/>
            <w:hideMark/>
          </w:tcPr>
          <w:p w14:paraId="52177B91" w14:textId="77777777" w:rsidR="00BE2340" w:rsidRPr="004B1DAB" w:rsidRDefault="00BE2340" w:rsidP="00587F5F">
            <w:pPr>
              <w:jc w:val="right"/>
              <w:rPr>
                <w:color w:val="FF0000"/>
                <w:sz w:val="18"/>
                <w:szCs w:val="18"/>
                <w:lang w:val="en-US"/>
              </w:rPr>
            </w:pPr>
            <w:r w:rsidRPr="004B1DAB">
              <w:rPr>
                <w:color w:val="FF0000"/>
                <w:sz w:val="18"/>
                <w:szCs w:val="18"/>
                <w:lang w:val="en-US"/>
              </w:rPr>
              <w:t>1.00</w:t>
            </w:r>
          </w:p>
        </w:tc>
        <w:tc>
          <w:tcPr>
            <w:tcW w:w="425" w:type="dxa"/>
            <w:hideMark/>
          </w:tcPr>
          <w:p w14:paraId="69EC4BE8" w14:textId="77777777" w:rsidR="00BE2340" w:rsidRPr="004B1DAB" w:rsidRDefault="00BE2340" w:rsidP="00587F5F">
            <w:pPr>
              <w:jc w:val="right"/>
              <w:rPr>
                <w:color w:val="FF0000"/>
                <w:sz w:val="18"/>
                <w:szCs w:val="18"/>
                <w:lang w:val="en-US"/>
              </w:rPr>
            </w:pPr>
          </w:p>
        </w:tc>
        <w:tc>
          <w:tcPr>
            <w:tcW w:w="426" w:type="dxa"/>
            <w:hideMark/>
          </w:tcPr>
          <w:p w14:paraId="2928E224" w14:textId="77777777" w:rsidR="00BE2340" w:rsidRPr="004B1DAB" w:rsidRDefault="00BE2340" w:rsidP="00587F5F">
            <w:pPr>
              <w:jc w:val="right"/>
              <w:rPr>
                <w:color w:val="FF0000"/>
                <w:sz w:val="18"/>
                <w:szCs w:val="18"/>
                <w:lang w:val="en-US"/>
              </w:rPr>
            </w:pPr>
          </w:p>
        </w:tc>
      </w:tr>
      <w:tr w:rsidR="00BE2340" w:rsidRPr="004B1DAB" w14:paraId="68AEE49A" w14:textId="77777777" w:rsidTr="004B1DAB">
        <w:tc>
          <w:tcPr>
            <w:tcW w:w="661" w:type="dxa"/>
            <w:hideMark/>
          </w:tcPr>
          <w:p w14:paraId="43B8C3E3" w14:textId="226296F6" w:rsidR="00BE2340" w:rsidRPr="004B1DAB" w:rsidRDefault="00BE2340" w:rsidP="00587F5F">
            <w:pPr>
              <w:jc w:val="left"/>
              <w:rPr>
                <w:color w:val="FF0000"/>
                <w:sz w:val="20"/>
                <w:szCs w:val="20"/>
                <w:lang w:val="en-US"/>
              </w:rPr>
            </w:pPr>
            <w:r w:rsidRPr="004B1DAB">
              <w:rPr>
                <w:color w:val="FF0000"/>
                <w:sz w:val="20"/>
                <w:szCs w:val="20"/>
                <w:lang w:val="en-US"/>
              </w:rPr>
              <w:t>Tangi</w:t>
            </w:r>
            <w:r w:rsidR="00587F5F" w:rsidRPr="004B1DAB">
              <w:rPr>
                <w:color w:val="FF0000"/>
                <w:sz w:val="20"/>
                <w:szCs w:val="20"/>
                <w:lang w:val="en-US"/>
              </w:rPr>
              <w:t>-</w:t>
            </w:r>
            <w:r w:rsidRPr="004B1DAB">
              <w:rPr>
                <w:color w:val="FF0000"/>
                <w:sz w:val="20"/>
                <w:szCs w:val="20"/>
                <w:lang w:val="en-US"/>
              </w:rPr>
              <w:t>bility</w:t>
            </w:r>
          </w:p>
        </w:tc>
        <w:tc>
          <w:tcPr>
            <w:tcW w:w="412" w:type="dxa"/>
            <w:hideMark/>
          </w:tcPr>
          <w:p w14:paraId="223FC2CB" w14:textId="099C8005" w:rsidR="00BE2340" w:rsidRPr="004B1DAB" w:rsidRDefault="00BE2340" w:rsidP="00587F5F">
            <w:pPr>
              <w:jc w:val="right"/>
              <w:rPr>
                <w:color w:val="FF0000"/>
                <w:sz w:val="18"/>
                <w:szCs w:val="18"/>
                <w:lang w:val="en-US"/>
              </w:rPr>
            </w:pPr>
            <w:r w:rsidRPr="004B1DAB">
              <w:rPr>
                <w:color w:val="FF0000"/>
                <w:sz w:val="18"/>
                <w:szCs w:val="18"/>
                <w:lang w:val="en-US"/>
              </w:rPr>
              <w:t>-0.08</w:t>
            </w:r>
            <w:r w:rsidR="003C2C6E" w:rsidRPr="004B1DAB">
              <w:rPr>
                <w:color w:val="FF0000"/>
                <w:sz w:val="18"/>
                <w:szCs w:val="18"/>
                <w:lang w:val="en-US"/>
              </w:rPr>
              <w:br/>
            </w:r>
            <w:r w:rsidRPr="004B1DAB">
              <w:rPr>
                <w:color w:val="FF0000"/>
                <w:sz w:val="18"/>
                <w:szCs w:val="18"/>
                <w:lang w:val="en-US"/>
              </w:rPr>
              <w:t>*</w:t>
            </w:r>
          </w:p>
        </w:tc>
        <w:tc>
          <w:tcPr>
            <w:tcW w:w="420" w:type="dxa"/>
            <w:hideMark/>
          </w:tcPr>
          <w:p w14:paraId="0320ABBC" w14:textId="77777777" w:rsidR="00BE2340" w:rsidRPr="004B1DAB" w:rsidRDefault="00BE2340" w:rsidP="00587F5F">
            <w:pPr>
              <w:jc w:val="right"/>
              <w:rPr>
                <w:color w:val="FF0000"/>
                <w:sz w:val="18"/>
                <w:szCs w:val="18"/>
                <w:lang w:val="en-US"/>
              </w:rPr>
            </w:pPr>
            <w:r w:rsidRPr="004B1DAB">
              <w:rPr>
                <w:color w:val="FF0000"/>
                <w:sz w:val="18"/>
                <w:szCs w:val="18"/>
                <w:lang w:val="en-US"/>
              </w:rPr>
              <w:t>-0.06</w:t>
            </w:r>
          </w:p>
        </w:tc>
        <w:tc>
          <w:tcPr>
            <w:tcW w:w="462" w:type="dxa"/>
            <w:hideMark/>
          </w:tcPr>
          <w:p w14:paraId="1768F170" w14:textId="287EC4A9" w:rsidR="00BE2340" w:rsidRPr="004B1DAB" w:rsidRDefault="00BE2340" w:rsidP="00587F5F">
            <w:pPr>
              <w:jc w:val="right"/>
              <w:rPr>
                <w:color w:val="FF0000"/>
                <w:sz w:val="18"/>
                <w:szCs w:val="18"/>
                <w:lang w:val="en-US"/>
              </w:rPr>
            </w:pPr>
            <w:r w:rsidRPr="004B1DAB">
              <w:rPr>
                <w:color w:val="FF0000"/>
                <w:sz w:val="18"/>
                <w:szCs w:val="18"/>
                <w:lang w:val="en-US"/>
              </w:rPr>
              <w:t>-0.10</w:t>
            </w:r>
            <w:r w:rsidR="003C2C6E" w:rsidRPr="004B1DAB">
              <w:rPr>
                <w:color w:val="FF0000"/>
                <w:sz w:val="18"/>
                <w:szCs w:val="18"/>
                <w:lang w:val="en-US"/>
              </w:rPr>
              <w:br/>
            </w:r>
            <w:r w:rsidRPr="004B1DAB">
              <w:rPr>
                <w:color w:val="FF0000"/>
                <w:sz w:val="18"/>
                <w:szCs w:val="18"/>
                <w:lang w:val="en-US"/>
              </w:rPr>
              <w:t>*</w:t>
            </w:r>
          </w:p>
        </w:tc>
        <w:tc>
          <w:tcPr>
            <w:tcW w:w="434" w:type="dxa"/>
            <w:hideMark/>
          </w:tcPr>
          <w:p w14:paraId="30031AA0" w14:textId="45174354" w:rsidR="00BE2340" w:rsidRPr="004B1DAB" w:rsidRDefault="00BE2340" w:rsidP="00587F5F">
            <w:pPr>
              <w:jc w:val="right"/>
              <w:rPr>
                <w:color w:val="FF0000"/>
                <w:sz w:val="18"/>
                <w:szCs w:val="18"/>
                <w:lang w:val="en-US"/>
              </w:rPr>
            </w:pPr>
            <w:r w:rsidRPr="004B1DAB">
              <w:rPr>
                <w:color w:val="FF0000"/>
                <w:sz w:val="18"/>
                <w:szCs w:val="18"/>
                <w:lang w:val="en-US"/>
              </w:rPr>
              <w:t>0.28</w:t>
            </w:r>
            <w:r w:rsidR="003C2C6E" w:rsidRPr="004B1DAB">
              <w:rPr>
                <w:color w:val="FF0000"/>
                <w:sz w:val="18"/>
                <w:szCs w:val="18"/>
                <w:lang w:val="en-US"/>
              </w:rPr>
              <w:br/>
            </w:r>
            <w:r w:rsidRPr="004B1DAB">
              <w:rPr>
                <w:color w:val="FF0000"/>
                <w:sz w:val="18"/>
                <w:szCs w:val="18"/>
                <w:lang w:val="en-US"/>
              </w:rPr>
              <w:t>**</w:t>
            </w:r>
          </w:p>
        </w:tc>
        <w:tc>
          <w:tcPr>
            <w:tcW w:w="420" w:type="dxa"/>
            <w:hideMark/>
          </w:tcPr>
          <w:p w14:paraId="02213ACE" w14:textId="20C9EECA" w:rsidR="00BE2340" w:rsidRPr="004B1DAB" w:rsidRDefault="00BE2340" w:rsidP="00587F5F">
            <w:pPr>
              <w:jc w:val="right"/>
              <w:rPr>
                <w:color w:val="FF0000"/>
                <w:sz w:val="18"/>
                <w:szCs w:val="18"/>
                <w:lang w:val="en-US"/>
              </w:rPr>
            </w:pPr>
            <w:r w:rsidRPr="004B1DAB">
              <w:rPr>
                <w:color w:val="FF0000"/>
                <w:sz w:val="18"/>
                <w:szCs w:val="18"/>
                <w:lang w:val="en-US"/>
              </w:rPr>
              <w:t>0.25</w:t>
            </w:r>
            <w:r w:rsidR="003C2C6E" w:rsidRPr="004B1DAB">
              <w:rPr>
                <w:color w:val="FF0000"/>
                <w:sz w:val="18"/>
                <w:szCs w:val="18"/>
                <w:lang w:val="en-US"/>
              </w:rPr>
              <w:br/>
            </w:r>
            <w:r w:rsidRPr="004B1DAB">
              <w:rPr>
                <w:color w:val="FF0000"/>
                <w:sz w:val="18"/>
                <w:szCs w:val="18"/>
                <w:lang w:val="en-US"/>
              </w:rPr>
              <w:t>**</w:t>
            </w:r>
          </w:p>
        </w:tc>
        <w:tc>
          <w:tcPr>
            <w:tcW w:w="420" w:type="dxa"/>
            <w:hideMark/>
          </w:tcPr>
          <w:p w14:paraId="4FD999AC" w14:textId="47E901E7" w:rsidR="00BE2340" w:rsidRPr="004B1DAB" w:rsidRDefault="00BE2340" w:rsidP="00587F5F">
            <w:pPr>
              <w:jc w:val="right"/>
              <w:rPr>
                <w:color w:val="FF0000"/>
                <w:sz w:val="18"/>
                <w:szCs w:val="18"/>
                <w:lang w:val="en-US"/>
              </w:rPr>
            </w:pPr>
            <w:r w:rsidRPr="004B1DAB">
              <w:rPr>
                <w:color w:val="FF0000"/>
                <w:sz w:val="18"/>
                <w:szCs w:val="18"/>
                <w:lang w:val="en-US"/>
              </w:rPr>
              <w:t>0.15</w:t>
            </w:r>
            <w:r w:rsidR="003C2C6E" w:rsidRPr="004B1DAB">
              <w:rPr>
                <w:color w:val="FF0000"/>
                <w:sz w:val="18"/>
                <w:szCs w:val="18"/>
                <w:lang w:val="en-US"/>
              </w:rPr>
              <w:br/>
            </w:r>
            <w:r w:rsidRPr="004B1DAB">
              <w:rPr>
                <w:color w:val="FF0000"/>
                <w:sz w:val="18"/>
                <w:szCs w:val="18"/>
                <w:lang w:val="en-US"/>
              </w:rPr>
              <w:t>**</w:t>
            </w:r>
          </w:p>
        </w:tc>
        <w:tc>
          <w:tcPr>
            <w:tcW w:w="434" w:type="dxa"/>
            <w:hideMark/>
          </w:tcPr>
          <w:p w14:paraId="69E93519" w14:textId="77777777" w:rsidR="00BE2340" w:rsidRPr="004B1DAB" w:rsidRDefault="00BE2340" w:rsidP="00587F5F">
            <w:pPr>
              <w:jc w:val="right"/>
              <w:rPr>
                <w:color w:val="FF0000"/>
                <w:sz w:val="18"/>
                <w:szCs w:val="18"/>
                <w:lang w:val="en-US"/>
              </w:rPr>
            </w:pPr>
            <w:r w:rsidRPr="004B1DAB">
              <w:rPr>
                <w:color w:val="FF0000"/>
                <w:sz w:val="18"/>
                <w:szCs w:val="18"/>
                <w:lang w:val="en-US"/>
              </w:rPr>
              <w:t>-0.02</w:t>
            </w:r>
          </w:p>
        </w:tc>
        <w:tc>
          <w:tcPr>
            <w:tcW w:w="443" w:type="dxa"/>
            <w:hideMark/>
          </w:tcPr>
          <w:p w14:paraId="32A6FA37" w14:textId="1EE2B6BB" w:rsidR="00BE2340" w:rsidRPr="004B1DAB" w:rsidRDefault="00BE2340" w:rsidP="00587F5F">
            <w:pPr>
              <w:jc w:val="right"/>
              <w:rPr>
                <w:color w:val="FF0000"/>
                <w:sz w:val="18"/>
                <w:szCs w:val="18"/>
                <w:lang w:val="en-US"/>
              </w:rPr>
            </w:pPr>
            <w:r w:rsidRPr="004B1DAB">
              <w:rPr>
                <w:color w:val="FF0000"/>
                <w:sz w:val="18"/>
                <w:szCs w:val="18"/>
                <w:lang w:val="en-US"/>
              </w:rPr>
              <w:t>-0.18</w:t>
            </w:r>
            <w:r w:rsidR="003C2C6E" w:rsidRPr="004B1DAB">
              <w:rPr>
                <w:color w:val="FF0000"/>
                <w:sz w:val="18"/>
                <w:szCs w:val="18"/>
                <w:lang w:val="en-US"/>
              </w:rPr>
              <w:br/>
            </w:r>
            <w:r w:rsidRPr="004B1DAB">
              <w:rPr>
                <w:color w:val="FF0000"/>
                <w:sz w:val="18"/>
                <w:szCs w:val="18"/>
                <w:lang w:val="en-US"/>
              </w:rPr>
              <w:t>**</w:t>
            </w:r>
          </w:p>
        </w:tc>
        <w:tc>
          <w:tcPr>
            <w:tcW w:w="425" w:type="dxa"/>
            <w:hideMark/>
          </w:tcPr>
          <w:p w14:paraId="4AD9ECAB" w14:textId="77777777" w:rsidR="00BE2340" w:rsidRPr="004B1DAB" w:rsidRDefault="00BE2340" w:rsidP="00587F5F">
            <w:pPr>
              <w:jc w:val="right"/>
              <w:rPr>
                <w:color w:val="FF0000"/>
                <w:sz w:val="18"/>
                <w:szCs w:val="18"/>
                <w:lang w:val="en-US"/>
              </w:rPr>
            </w:pPr>
            <w:r w:rsidRPr="004B1DAB">
              <w:rPr>
                <w:color w:val="FF0000"/>
                <w:sz w:val="18"/>
                <w:szCs w:val="18"/>
                <w:lang w:val="en-US"/>
              </w:rPr>
              <w:t>1.00</w:t>
            </w:r>
          </w:p>
        </w:tc>
        <w:tc>
          <w:tcPr>
            <w:tcW w:w="426" w:type="dxa"/>
            <w:hideMark/>
          </w:tcPr>
          <w:p w14:paraId="25592A0C" w14:textId="77777777" w:rsidR="00BE2340" w:rsidRPr="004B1DAB" w:rsidRDefault="00BE2340" w:rsidP="00587F5F">
            <w:pPr>
              <w:jc w:val="right"/>
              <w:rPr>
                <w:color w:val="FF0000"/>
                <w:sz w:val="18"/>
                <w:szCs w:val="18"/>
                <w:lang w:val="en-US"/>
              </w:rPr>
            </w:pPr>
          </w:p>
        </w:tc>
      </w:tr>
      <w:tr w:rsidR="00BE2340" w:rsidRPr="004B1DAB" w14:paraId="67635169" w14:textId="77777777" w:rsidTr="004B1DAB">
        <w:tc>
          <w:tcPr>
            <w:tcW w:w="661" w:type="dxa"/>
            <w:hideMark/>
          </w:tcPr>
          <w:p w14:paraId="1884C469" w14:textId="77777777" w:rsidR="00BE2340" w:rsidRPr="004B1DAB" w:rsidRDefault="00BE2340" w:rsidP="00587F5F">
            <w:pPr>
              <w:jc w:val="left"/>
              <w:rPr>
                <w:color w:val="FF0000"/>
                <w:sz w:val="20"/>
                <w:szCs w:val="20"/>
                <w:lang w:val="en-US"/>
              </w:rPr>
            </w:pPr>
            <w:r w:rsidRPr="004B1DAB">
              <w:rPr>
                <w:color w:val="FF0000"/>
                <w:sz w:val="20"/>
                <w:szCs w:val="20"/>
                <w:lang w:val="en-US"/>
              </w:rPr>
              <w:t>Age</w:t>
            </w:r>
          </w:p>
        </w:tc>
        <w:tc>
          <w:tcPr>
            <w:tcW w:w="412" w:type="dxa"/>
            <w:hideMark/>
          </w:tcPr>
          <w:p w14:paraId="386FA92A" w14:textId="77777777" w:rsidR="00BE2340" w:rsidRPr="004B1DAB" w:rsidRDefault="00BE2340" w:rsidP="00587F5F">
            <w:pPr>
              <w:jc w:val="right"/>
              <w:rPr>
                <w:color w:val="FF0000"/>
                <w:sz w:val="18"/>
                <w:szCs w:val="18"/>
                <w:lang w:val="en-US"/>
              </w:rPr>
            </w:pPr>
            <w:r w:rsidRPr="004B1DAB">
              <w:rPr>
                <w:color w:val="FF0000"/>
                <w:sz w:val="18"/>
                <w:szCs w:val="18"/>
                <w:lang w:val="en-US"/>
              </w:rPr>
              <w:t>-0.05</w:t>
            </w:r>
          </w:p>
        </w:tc>
        <w:tc>
          <w:tcPr>
            <w:tcW w:w="420" w:type="dxa"/>
            <w:hideMark/>
          </w:tcPr>
          <w:p w14:paraId="2EB992DD" w14:textId="77777777" w:rsidR="00BE2340" w:rsidRPr="004B1DAB" w:rsidRDefault="00BE2340" w:rsidP="00587F5F">
            <w:pPr>
              <w:jc w:val="right"/>
              <w:rPr>
                <w:color w:val="FF0000"/>
                <w:sz w:val="18"/>
                <w:szCs w:val="18"/>
                <w:lang w:val="en-US"/>
              </w:rPr>
            </w:pPr>
            <w:r w:rsidRPr="004B1DAB">
              <w:rPr>
                <w:color w:val="FF0000"/>
                <w:sz w:val="18"/>
                <w:szCs w:val="18"/>
                <w:lang w:val="en-US"/>
              </w:rPr>
              <w:t>-0.04</w:t>
            </w:r>
          </w:p>
        </w:tc>
        <w:tc>
          <w:tcPr>
            <w:tcW w:w="462" w:type="dxa"/>
            <w:hideMark/>
          </w:tcPr>
          <w:p w14:paraId="204403A0" w14:textId="77777777" w:rsidR="00BE2340" w:rsidRPr="004B1DAB" w:rsidRDefault="00BE2340" w:rsidP="00587F5F">
            <w:pPr>
              <w:jc w:val="right"/>
              <w:rPr>
                <w:color w:val="FF0000"/>
                <w:sz w:val="18"/>
                <w:szCs w:val="18"/>
                <w:lang w:val="en-US"/>
              </w:rPr>
            </w:pPr>
            <w:r w:rsidRPr="004B1DAB">
              <w:rPr>
                <w:color w:val="FF0000"/>
                <w:sz w:val="18"/>
                <w:szCs w:val="18"/>
                <w:lang w:val="en-US"/>
              </w:rPr>
              <w:t>-0.03</w:t>
            </w:r>
          </w:p>
        </w:tc>
        <w:tc>
          <w:tcPr>
            <w:tcW w:w="434" w:type="dxa"/>
            <w:hideMark/>
          </w:tcPr>
          <w:p w14:paraId="6C4BD4B5" w14:textId="3B437103" w:rsidR="00BE2340" w:rsidRPr="004B1DAB" w:rsidRDefault="00BE2340" w:rsidP="00587F5F">
            <w:pPr>
              <w:jc w:val="right"/>
              <w:rPr>
                <w:color w:val="FF0000"/>
                <w:sz w:val="18"/>
                <w:szCs w:val="18"/>
                <w:lang w:val="en-US"/>
              </w:rPr>
            </w:pPr>
            <w:r w:rsidRPr="004B1DAB">
              <w:rPr>
                <w:color w:val="FF0000"/>
                <w:sz w:val="18"/>
                <w:szCs w:val="18"/>
                <w:lang w:val="en-US"/>
              </w:rPr>
              <w:t>0.10</w:t>
            </w:r>
            <w:r w:rsidR="003C2C6E" w:rsidRPr="004B1DAB">
              <w:rPr>
                <w:color w:val="FF0000"/>
                <w:sz w:val="18"/>
                <w:szCs w:val="18"/>
                <w:lang w:val="en-US"/>
              </w:rPr>
              <w:br/>
            </w:r>
            <w:r w:rsidRPr="004B1DAB">
              <w:rPr>
                <w:color w:val="FF0000"/>
                <w:sz w:val="18"/>
                <w:szCs w:val="18"/>
                <w:lang w:val="en-US"/>
              </w:rPr>
              <w:t>*</w:t>
            </w:r>
          </w:p>
        </w:tc>
        <w:tc>
          <w:tcPr>
            <w:tcW w:w="420" w:type="dxa"/>
            <w:hideMark/>
          </w:tcPr>
          <w:p w14:paraId="342C1DD0" w14:textId="0C79E499" w:rsidR="00BE2340" w:rsidRPr="004B1DAB" w:rsidRDefault="00BE2340" w:rsidP="00587F5F">
            <w:pPr>
              <w:jc w:val="right"/>
              <w:rPr>
                <w:color w:val="FF0000"/>
                <w:sz w:val="18"/>
                <w:szCs w:val="18"/>
                <w:lang w:val="en-US"/>
              </w:rPr>
            </w:pPr>
            <w:r w:rsidRPr="004B1DAB">
              <w:rPr>
                <w:color w:val="FF0000"/>
                <w:sz w:val="18"/>
                <w:szCs w:val="18"/>
                <w:lang w:val="en-US"/>
              </w:rPr>
              <w:t>0.08</w:t>
            </w:r>
            <w:r w:rsidR="003C2C6E" w:rsidRPr="004B1DAB">
              <w:rPr>
                <w:color w:val="FF0000"/>
                <w:sz w:val="18"/>
                <w:szCs w:val="18"/>
                <w:lang w:val="en-US"/>
              </w:rPr>
              <w:br/>
            </w:r>
            <w:r w:rsidRPr="004B1DAB">
              <w:rPr>
                <w:color w:val="FF0000"/>
                <w:sz w:val="18"/>
                <w:szCs w:val="18"/>
                <w:lang w:val="en-US"/>
              </w:rPr>
              <w:t>*</w:t>
            </w:r>
          </w:p>
        </w:tc>
        <w:tc>
          <w:tcPr>
            <w:tcW w:w="420" w:type="dxa"/>
            <w:hideMark/>
          </w:tcPr>
          <w:p w14:paraId="1B808A5C" w14:textId="50FAE59D" w:rsidR="00BE2340" w:rsidRPr="004B1DAB" w:rsidRDefault="00BE2340" w:rsidP="00587F5F">
            <w:pPr>
              <w:jc w:val="right"/>
              <w:rPr>
                <w:color w:val="FF0000"/>
                <w:sz w:val="18"/>
                <w:szCs w:val="18"/>
                <w:lang w:val="en-US"/>
              </w:rPr>
            </w:pPr>
            <w:r w:rsidRPr="004B1DAB">
              <w:rPr>
                <w:color w:val="FF0000"/>
                <w:sz w:val="18"/>
                <w:szCs w:val="18"/>
                <w:lang w:val="en-US"/>
              </w:rPr>
              <w:t>0.30</w:t>
            </w:r>
            <w:r w:rsidR="003C2C6E" w:rsidRPr="004B1DAB">
              <w:rPr>
                <w:color w:val="FF0000"/>
                <w:sz w:val="18"/>
                <w:szCs w:val="18"/>
                <w:lang w:val="en-US"/>
              </w:rPr>
              <w:br/>
            </w:r>
            <w:r w:rsidRPr="004B1DAB">
              <w:rPr>
                <w:color w:val="FF0000"/>
                <w:sz w:val="18"/>
                <w:szCs w:val="18"/>
                <w:lang w:val="en-US"/>
              </w:rPr>
              <w:t>**</w:t>
            </w:r>
          </w:p>
        </w:tc>
        <w:tc>
          <w:tcPr>
            <w:tcW w:w="434" w:type="dxa"/>
            <w:hideMark/>
          </w:tcPr>
          <w:p w14:paraId="2D489E13" w14:textId="4447AB0D" w:rsidR="00BE2340" w:rsidRPr="004B1DAB" w:rsidRDefault="00BE2340" w:rsidP="00587F5F">
            <w:pPr>
              <w:jc w:val="right"/>
              <w:rPr>
                <w:color w:val="FF0000"/>
                <w:sz w:val="18"/>
                <w:szCs w:val="18"/>
                <w:lang w:val="en-US"/>
              </w:rPr>
            </w:pPr>
            <w:r w:rsidRPr="004B1DAB">
              <w:rPr>
                <w:color w:val="FF0000"/>
                <w:sz w:val="18"/>
                <w:szCs w:val="18"/>
                <w:lang w:val="en-US"/>
              </w:rPr>
              <w:t>-0.08</w:t>
            </w:r>
            <w:r w:rsidR="003C2C6E" w:rsidRPr="004B1DAB">
              <w:rPr>
                <w:color w:val="FF0000"/>
                <w:sz w:val="18"/>
                <w:szCs w:val="18"/>
                <w:lang w:val="en-US"/>
              </w:rPr>
              <w:br/>
            </w:r>
            <w:r w:rsidRPr="004B1DAB">
              <w:rPr>
                <w:color w:val="FF0000"/>
                <w:sz w:val="18"/>
                <w:szCs w:val="18"/>
                <w:lang w:val="en-US"/>
              </w:rPr>
              <w:t>*</w:t>
            </w:r>
          </w:p>
        </w:tc>
        <w:tc>
          <w:tcPr>
            <w:tcW w:w="443" w:type="dxa"/>
            <w:hideMark/>
          </w:tcPr>
          <w:p w14:paraId="55E510A6" w14:textId="6A873245" w:rsidR="00BE2340" w:rsidRPr="004B1DAB" w:rsidRDefault="00BE2340" w:rsidP="00587F5F">
            <w:pPr>
              <w:jc w:val="right"/>
              <w:rPr>
                <w:color w:val="FF0000"/>
                <w:sz w:val="18"/>
                <w:szCs w:val="18"/>
                <w:lang w:val="en-US"/>
              </w:rPr>
            </w:pPr>
            <w:r w:rsidRPr="004B1DAB">
              <w:rPr>
                <w:color w:val="FF0000"/>
                <w:sz w:val="18"/>
                <w:szCs w:val="18"/>
                <w:lang w:val="en-US"/>
              </w:rPr>
              <w:t>-0.12</w:t>
            </w:r>
            <w:r w:rsidR="003C2C6E" w:rsidRPr="004B1DAB">
              <w:rPr>
                <w:color w:val="FF0000"/>
                <w:sz w:val="18"/>
                <w:szCs w:val="18"/>
                <w:lang w:val="en-US"/>
              </w:rPr>
              <w:br/>
            </w:r>
            <w:r w:rsidRPr="004B1DAB">
              <w:rPr>
                <w:color w:val="FF0000"/>
                <w:sz w:val="18"/>
                <w:szCs w:val="18"/>
                <w:lang w:val="en-US"/>
              </w:rPr>
              <w:t>**</w:t>
            </w:r>
          </w:p>
        </w:tc>
        <w:tc>
          <w:tcPr>
            <w:tcW w:w="425" w:type="dxa"/>
            <w:hideMark/>
          </w:tcPr>
          <w:p w14:paraId="4FBC90A9" w14:textId="79ADE2CC" w:rsidR="00BE2340" w:rsidRPr="004B1DAB" w:rsidRDefault="00BE2340" w:rsidP="00587F5F">
            <w:pPr>
              <w:jc w:val="right"/>
              <w:rPr>
                <w:color w:val="FF0000"/>
                <w:sz w:val="18"/>
                <w:szCs w:val="18"/>
                <w:lang w:val="en-US"/>
              </w:rPr>
            </w:pPr>
            <w:r w:rsidRPr="004B1DAB">
              <w:rPr>
                <w:color w:val="FF0000"/>
                <w:sz w:val="18"/>
                <w:szCs w:val="18"/>
                <w:lang w:val="en-US"/>
              </w:rPr>
              <w:t>0.22</w:t>
            </w:r>
            <w:r w:rsidR="003C2C6E" w:rsidRPr="004B1DAB">
              <w:rPr>
                <w:color w:val="FF0000"/>
                <w:sz w:val="18"/>
                <w:szCs w:val="18"/>
                <w:lang w:val="en-US"/>
              </w:rPr>
              <w:br/>
            </w:r>
            <w:r w:rsidRPr="004B1DAB">
              <w:rPr>
                <w:color w:val="FF0000"/>
                <w:sz w:val="18"/>
                <w:szCs w:val="18"/>
                <w:lang w:val="en-US"/>
              </w:rPr>
              <w:t>**</w:t>
            </w:r>
          </w:p>
        </w:tc>
        <w:tc>
          <w:tcPr>
            <w:tcW w:w="426" w:type="dxa"/>
            <w:hideMark/>
          </w:tcPr>
          <w:p w14:paraId="100693DD" w14:textId="77777777" w:rsidR="00BE2340" w:rsidRPr="004B1DAB" w:rsidRDefault="00BE2340" w:rsidP="00587F5F">
            <w:pPr>
              <w:jc w:val="right"/>
              <w:rPr>
                <w:color w:val="FF0000"/>
                <w:sz w:val="18"/>
                <w:szCs w:val="18"/>
                <w:lang w:val="en-US"/>
              </w:rPr>
            </w:pPr>
            <w:r w:rsidRPr="004B1DAB">
              <w:rPr>
                <w:color w:val="FF0000"/>
                <w:sz w:val="18"/>
                <w:szCs w:val="18"/>
                <w:lang w:val="en-US"/>
              </w:rPr>
              <w:t>1.00</w:t>
            </w:r>
          </w:p>
        </w:tc>
      </w:tr>
    </w:tbl>
    <w:p w14:paraId="3AC78CD9" w14:textId="77777777" w:rsidR="0039690E" w:rsidRDefault="000A1FD9" w:rsidP="004B1DAB">
      <w:pPr>
        <w:pStyle w:val="Content"/>
        <w:jc w:val="left"/>
        <w:rPr>
          <w:i/>
          <w:iCs/>
          <w:color w:val="EE0000"/>
          <w:lang w:val="en-US"/>
        </w:rPr>
      </w:pPr>
      <w:r w:rsidRPr="004B1DAB">
        <w:rPr>
          <w:i/>
          <w:iCs/>
          <w:color w:val="EE0000"/>
          <w:lang w:val="en-US"/>
        </w:rPr>
        <w:t xml:space="preserve">**Notes: *p&lt;0.01, p&lt;0.05. </w:t>
      </w:r>
    </w:p>
    <w:p w14:paraId="55213386" w14:textId="1CBDDCAD" w:rsidR="001436D2" w:rsidRPr="004B1DAB" w:rsidRDefault="000A1FD9" w:rsidP="0039690E">
      <w:pPr>
        <w:pStyle w:val="Content"/>
        <w:jc w:val="right"/>
        <w:rPr>
          <w:i/>
          <w:iCs/>
          <w:color w:val="EE0000"/>
          <w:lang w:val="en-US"/>
        </w:rPr>
      </w:pPr>
      <w:r w:rsidRPr="004B1DAB">
        <w:rPr>
          <w:i/>
          <w:iCs/>
          <w:color w:val="EE0000"/>
          <w:lang w:val="en-US"/>
        </w:rPr>
        <w:t>Source: Authors' calculations</w:t>
      </w:r>
    </w:p>
    <w:p w14:paraId="6C4E5E81" w14:textId="7B5908C1" w:rsidR="00C23E2A" w:rsidRPr="00C23E2A" w:rsidRDefault="00C23E2A" w:rsidP="004B1DAB">
      <w:pPr>
        <w:pStyle w:val="Heading2"/>
      </w:pPr>
      <w:r w:rsidRPr="00C23E2A">
        <w:t>4.2. Regression Results</w:t>
      </w:r>
    </w:p>
    <w:p w14:paraId="29F65FA0" w14:textId="3A9B1332" w:rsidR="008E3FB3" w:rsidRPr="004B1DAB" w:rsidRDefault="00C23E2A" w:rsidP="004B1DAB">
      <w:pPr>
        <w:pStyle w:val="Content"/>
        <w:rPr>
          <w:color w:val="EE0000"/>
          <w:lang w:val="en-US"/>
        </w:rPr>
      </w:pPr>
      <w:r w:rsidRPr="004B1DAB">
        <w:rPr>
          <w:color w:val="EE0000"/>
          <w:lang w:val="en-US"/>
        </w:rPr>
        <w:t xml:space="preserve">The baseline REM estimates (Table 3) confirm a significant negative leverage-performance relationship. LEV1 coefficients are -0.142 </w:t>
      </w:r>
      <w:r w:rsidRPr="004B1DAB">
        <w:rPr>
          <w:color w:val="EE0000"/>
          <w:lang w:val="en-US"/>
        </w:rPr>
        <w:lastRenderedPageBreak/>
        <w:t>(p&lt;0.01) for ROA, -0.165 (p&lt;0.01) for ROE, -210.3 (p&lt;0.05) for EPS; LEV2 shows similar patterns. Controls align with expectations (positive for size, growth, liquidity; negative for age).</w:t>
      </w:r>
    </w:p>
    <w:p w14:paraId="6A3C48E4" w14:textId="3D430598" w:rsidR="00977F16" w:rsidRPr="004B1DAB" w:rsidRDefault="00977F16" w:rsidP="004B1DAB">
      <w:pPr>
        <w:pStyle w:val="Content"/>
        <w:rPr>
          <w:color w:val="EE0000"/>
          <w:lang w:val="en-US"/>
        </w:rPr>
      </w:pPr>
      <w:r w:rsidRPr="004B1DAB">
        <w:rPr>
          <w:b/>
          <w:bCs/>
          <w:color w:val="EE0000"/>
          <w:lang w:val="en-US"/>
        </w:rPr>
        <w:t>Table 3</w:t>
      </w:r>
      <w:r w:rsidRPr="004B1DAB">
        <w:rPr>
          <w:color w:val="EE0000"/>
          <w:lang w:val="en-US"/>
        </w:rPr>
        <w:t>. Baseline REM Regression Results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1093"/>
        <w:gridCol w:w="1134"/>
        <w:gridCol w:w="1134"/>
        <w:gridCol w:w="1022"/>
      </w:tblGrid>
      <w:tr w:rsidR="001F16D8" w:rsidRPr="004B1DAB" w14:paraId="1B175B9D" w14:textId="77777777" w:rsidTr="00587F5F">
        <w:trPr>
          <w:tblHeader/>
        </w:trPr>
        <w:tc>
          <w:tcPr>
            <w:tcW w:w="0" w:type="auto"/>
            <w:vAlign w:val="center"/>
            <w:hideMark/>
          </w:tcPr>
          <w:p w14:paraId="0964DA81" w14:textId="77777777" w:rsidR="001F16D8" w:rsidRPr="004B1DAB" w:rsidRDefault="001F16D8" w:rsidP="001F16D8">
            <w:pPr>
              <w:jc w:val="center"/>
              <w:rPr>
                <w:b/>
                <w:bCs/>
                <w:color w:val="FF0000"/>
                <w:lang w:val="en-US"/>
              </w:rPr>
            </w:pPr>
            <w:r w:rsidRPr="004B1DAB">
              <w:rPr>
                <w:b/>
                <w:bCs/>
                <w:color w:val="FF0000"/>
                <w:lang w:val="en-US"/>
              </w:rPr>
              <w:t>Variable</w:t>
            </w:r>
          </w:p>
        </w:tc>
        <w:tc>
          <w:tcPr>
            <w:tcW w:w="0" w:type="auto"/>
            <w:vAlign w:val="center"/>
            <w:hideMark/>
          </w:tcPr>
          <w:p w14:paraId="7D1F3611" w14:textId="77777777" w:rsidR="001F16D8" w:rsidRPr="004B1DAB" w:rsidRDefault="001F16D8" w:rsidP="001F16D8">
            <w:pPr>
              <w:jc w:val="center"/>
              <w:rPr>
                <w:b/>
                <w:bCs/>
                <w:color w:val="FF0000"/>
                <w:lang w:val="en-US"/>
              </w:rPr>
            </w:pPr>
            <w:r w:rsidRPr="004B1DAB">
              <w:rPr>
                <w:b/>
                <w:bCs/>
                <w:color w:val="FF0000"/>
                <w:lang w:val="en-US"/>
              </w:rPr>
              <w:t>ROA</w:t>
            </w:r>
          </w:p>
        </w:tc>
        <w:tc>
          <w:tcPr>
            <w:tcW w:w="0" w:type="auto"/>
            <w:vAlign w:val="center"/>
            <w:hideMark/>
          </w:tcPr>
          <w:p w14:paraId="316A14A6" w14:textId="77777777" w:rsidR="001F16D8" w:rsidRPr="004B1DAB" w:rsidRDefault="001F16D8" w:rsidP="001F16D8">
            <w:pPr>
              <w:jc w:val="center"/>
              <w:rPr>
                <w:b/>
                <w:bCs/>
                <w:color w:val="FF0000"/>
                <w:lang w:val="en-US"/>
              </w:rPr>
            </w:pPr>
            <w:r w:rsidRPr="004B1DAB">
              <w:rPr>
                <w:b/>
                <w:bCs/>
                <w:color w:val="FF0000"/>
                <w:lang w:val="en-US"/>
              </w:rPr>
              <w:t>ROE</w:t>
            </w:r>
          </w:p>
        </w:tc>
        <w:tc>
          <w:tcPr>
            <w:tcW w:w="0" w:type="auto"/>
            <w:vAlign w:val="center"/>
            <w:hideMark/>
          </w:tcPr>
          <w:p w14:paraId="4DA7027D" w14:textId="77777777" w:rsidR="001F16D8" w:rsidRPr="004B1DAB" w:rsidRDefault="001F16D8" w:rsidP="001F16D8">
            <w:pPr>
              <w:jc w:val="center"/>
              <w:rPr>
                <w:b/>
                <w:bCs/>
                <w:color w:val="FF0000"/>
                <w:lang w:val="en-US"/>
              </w:rPr>
            </w:pPr>
            <w:r w:rsidRPr="004B1DAB">
              <w:rPr>
                <w:b/>
                <w:bCs/>
                <w:color w:val="FF0000"/>
                <w:lang w:val="en-US"/>
              </w:rPr>
              <w:t>EPS</w:t>
            </w:r>
          </w:p>
        </w:tc>
      </w:tr>
      <w:tr w:rsidR="001F16D8" w:rsidRPr="004B1DAB" w14:paraId="578C72D1" w14:textId="77777777" w:rsidTr="00587F5F">
        <w:tc>
          <w:tcPr>
            <w:tcW w:w="0" w:type="auto"/>
            <w:vAlign w:val="center"/>
            <w:hideMark/>
          </w:tcPr>
          <w:p w14:paraId="6A226695" w14:textId="77777777" w:rsidR="001F16D8" w:rsidRPr="004B1DAB" w:rsidRDefault="001F16D8" w:rsidP="001F16D8">
            <w:pPr>
              <w:jc w:val="left"/>
              <w:rPr>
                <w:color w:val="FF0000"/>
                <w:lang w:val="en-US"/>
              </w:rPr>
            </w:pPr>
            <w:r w:rsidRPr="004B1DAB">
              <w:rPr>
                <w:color w:val="FF0000"/>
                <w:lang w:val="en-US"/>
              </w:rPr>
              <w:t>LEV1</w:t>
            </w:r>
          </w:p>
        </w:tc>
        <w:tc>
          <w:tcPr>
            <w:tcW w:w="0" w:type="auto"/>
            <w:vAlign w:val="center"/>
            <w:hideMark/>
          </w:tcPr>
          <w:p w14:paraId="44C64615" w14:textId="77777777" w:rsidR="001F16D8" w:rsidRPr="004B1DAB" w:rsidRDefault="001F16D8" w:rsidP="00587F5F">
            <w:pPr>
              <w:jc w:val="right"/>
              <w:rPr>
                <w:color w:val="FF0000"/>
                <w:lang w:val="en-US"/>
              </w:rPr>
            </w:pPr>
            <w:r w:rsidRPr="004B1DAB">
              <w:rPr>
                <w:b/>
                <w:bCs/>
                <w:color w:val="FF0000"/>
                <w:lang w:val="en-US"/>
              </w:rPr>
              <w:t>-0.142</w:t>
            </w:r>
            <w:r w:rsidRPr="004B1DAB">
              <w:rPr>
                <w:color w:val="FF0000"/>
                <w:lang w:val="en-US"/>
              </w:rPr>
              <w:t>* (0.028)</w:t>
            </w:r>
          </w:p>
        </w:tc>
        <w:tc>
          <w:tcPr>
            <w:tcW w:w="0" w:type="auto"/>
            <w:vAlign w:val="center"/>
            <w:hideMark/>
          </w:tcPr>
          <w:p w14:paraId="057B794F" w14:textId="77777777" w:rsidR="001F16D8" w:rsidRPr="004B1DAB" w:rsidRDefault="001F16D8" w:rsidP="00587F5F">
            <w:pPr>
              <w:jc w:val="right"/>
              <w:rPr>
                <w:color w:val="FF0000"/>
                <w:lang w:val="en-US"/>
              </w:rPr>
            </w:pPr>
            <w:r w:rsidRPr="004B1DAB">
              <w:rPr>
                <w:b/>
                <w:bCs/>
                <w:color w:val="FF0000"/>
                <w:lang w:val="en-US"/>
              </w:rPr>
              <w:t>-0.165</w:t>
            </w:r>
            <w:r w:rsidRPr="004B1DAB">
              <w:rPr>
                <w:color w:val="FF0000"/>
                <w:lang w:val="en-US"/>
              </w:rPr>
              <w:t>* (0.035)</w:t>
            </w:r>
          </w:p>
        </w:tc>
        <w:tc>
          <w:tcPr>
            <w:tcW w:w="0" w:type="auto"/>
            <w:vAlign w:val="center"/>
            <w:hideMark/>
          </w:tcPr>
          <w:p w14:paraId="6CE991D4" w14:textId="77777777" w:rsidR="001F16D8" w:rsidRPr="004B1DAB" w:rsidRDefault="001F16D8" w:rsidP="00587F5F">
            <w:pPr>
              <w:jc w:val="right"/>
              <w:rPr>
                <w:color w:val="FF0000"/>
                <w:lang w:val="en-US"/>
              </w:rPr>
            </w:pPr>
            <w:r w:rsidRPr="004B1DAB">
              <w:rPr>
                <w:b/>
                <w:bCs/>
                <w:color w:val="FF0000"/>
                <w:lang w:val="en-US"/>
              </w:rPr>
              <w:t>-210.3</w:t>
            </w:r>
            <w:r w:rsidRPr="004B1DAB">
              <w:rPr>
                <w:color w:val="FF0000"/>
                <w:lang w:val="en-US"/>
              </w:rPr>
              <w:t xml:space="preserve"> (85.4)</w:t>
            </w:r>
          </w:p>
        </w:tc>
      </w:tr>
      <w:tr w:rsidR="001F16D8" w:rsidRPr="004B1DAB" w14:paraId="3225C178" w14:textId="77777777" w:rsidTr="00587F5F">
        <w:tc>
          <w:tcPr>
            <w:tcW w:w="0" w:type="auto"/>
            <w:vAlign w:val="center"/>
            <w:hideMark/>
          </w:tcPr>
          <w:p w14:paraId="421D9F0E" w14:textId="77777777" w:rsidR="001F16D8" w:rsidRPr="004B1DAB" w:rsidRDefault="001F16D8" w:rsidP="001F16D8">
            <w:pPr>
              <w:jc w:val="left"/>
              <w:rPr>
                <w:color w:val="FF0000"/>
                <w:lang w:val="en-US"/>
              </w:rPr>
            </w:pPr>
            <w:r w:rsidRPr="004B1DAB">
              <w:rPr>
                <w:color w:val="FF0000"/>
                <w:lang w:val="en-US"/>
              </w:rPr>
              <w:t>LEV2</w:t>
            </w:r>
          </w:p>
        </w:tc>
        <w:tc>
          <w:tcPr>
            <w:tcW w:w="0" w:type="auto"/>
            <w:vAlign w:val="center"/>
            <w:hideMark/>
          </w:tcPr>
          <w:p w14:paraId="056BC1D8" w14:textId="77777777" w:rsidR="001F16D8" w:rsidRPr="004B1DAB" w:rsidRDefault="001F16D8" w:rsidP="00587F5F">
            <w:pPr>
              <w:jc w:val="right"/>
              <w:rPr>
                <w:color w:val="FF0000"/>
                <w:lang w:val="en-US"/>
              </w:rPr>
            </w:pPr>
            <w:r w:rsidRPr="004B1DAB">
              <w:rPr>
                <w:color w:val="FF0000"/>
                <w:lang w:val="en-US"/>
              </w:rPr>
              <w:t>-</w:t>
            </w:r>
          </w:p>
        </w:tc>
        <w:tc>
          <w:tcPr>
            <w:tcW w:w="0" w:type="auto"/>
            <w:vAlign w:val="center"/>
            <w:hideMark/>
          </w:tcPr>
          <w:p w14:paraId="11F82236" w14:textId="77777777" w:rsidR="001F16D8" w:rsidRPr="004B1DAB" w:rsidRDefault="001F16D8" w:rsidP="00587F5F">
            <w:pPr>
              <w:jc w:val="right"/>
              <w:rPr>
                <w:color w:val="FF0000"/>
                <w:lang w:val="en-US"/>
              </w:rPr>
            </w:pPr>
            <w:r w:rsidRPr="004B1DAB">
              <w:rPr>
                <w:color w:val="FF0000"/>
                <w:lang w:val="en-US"/>
              </w:rPr>
              <w:t>-</w:t>
            </w:r>
          </w:p>
        </w:tc>
        <w:tc>
          <w:tcPr>
            <w:tcW w:w="0" w:type="auto"/>
            <w:vAlign w:val="center"/>
            <w:hideMark/>
          </w:tcPr>
          <w:p w14:paraId="77452191" w14:textId="77777777" w:rsidR="001F16D8" w:rsidRPr="004B1DAB" w:rsidRDefault="001F16D8" w:rsidP="00587F5F">
            <w:pPr>
              <w:jc w:val="right"/>
              <w:rPr>
                <w:color w:val="FF0000"/>
                <w:lang w:val="en-US"/>
              </w:rPr>
            </w:pPr>
            <w:r w:rsidRPr="004B1DAB">
              <w:rPr>
                <w:color w:val="FF0000"/>
                <w:lang w:val="en-US"/>
              </w:rPr>
              <w:t>-</w:t>
            </w:r>
          </w:p>
        </w:tc>
      </w:tr>
      <w:tr w:rsidR="001F16D8" w:rsidRPr="004B1DAB" w14:paraId="2F8D8BA2" w14:textId="77777777" w:rsidTr="00587F5F">
        <w:tc>
          <w:tcPr>
            <w:tcW w:w="0" w:type="auto"/>
            <w:vAlign w:val="center"/>
            <w:hideMark/>
          </w:tcPr>
          <w:p w14:paraId="6D7BF3EE" w14:textId="77777777" w:rsidR="001F16D8" w:rsidRPr="004B1DAB" w:rsidRDefault="001F16D8" w:rsidP="001F16D8">
            <w:pPr>
              <w:jc w:val="left"/>
              <w:rPr>
                <w:color w:val="FF0000"/>
                <w:lang w:val="en-US"/>
              </w:rPr>
            </w:pPr>
            <w:r w:rsidRPr="004B1DAB">
              <w:rPr>
                <w:color w:val="FF0000"/>
                <w:lang w:val="en-US"/>
              </w:rPr>
              <w:t>Size</w:t>
            </w:r>
          </w:p>
        </w:tc>
        <w:tc>
          <w:tcPr>
            <w:tcW w:w="0" w:type="auto"/>
            <w:vAlign w:val="center"/>
            <w:hideMark/>
          </w:tcPr>
          <w:p w14:paraId="4749DB69" w14:textId="77777777" w:rsidR="001F16D8" w:rsidRPr="004B1DAB" w:rsidRDefault="001F16D8" w:rsidP="00587F5F">
            <w:pPr>
              <w:jc w:val="right"/>
              <w:rPr>
                <w:color w:val="FF0000"/>
                <w:lang w:val="en-US"/>
              </w:rPr>
            </w:pPr>
            <w:r w:rsidRPr="004B1DAB">
              <w:rPr>
                <w:b/>
                <w:bCs/>
                <w:color w:val="FF0000"/>
                <w:lang w:val="en-US"/>
              </w:rPr>
              <w:t>0.018</w:t>
            </w:r>
            <w:r w:rsidRPr="004B1DAB">
              <w:rPr>
                <w:color w:val="FF0000"/>
                <w:lang w:val="en-US"/>
              </w:rPr>
              <w:t>* (0.004)</w:t>
            </w:r>
          </w:p>
        </w:tc>
        <w:tc>
          <w:tcPr>
            <w:tcW w:w="0" w:type="auto"/>
            <w:vAlign w:val="center"/>
            <w:hideMark/>
          </w:tcPr>
          <w:p w14:paraId="77731EFC" w14:textId="77777777" w:rsidR="001F16D8" w:rsidRPr="004B1DAB" w:rsidRDefault="001F16D8" w:rsidP="00587F5F">
            <w:pPr>
              <w:jc w:val="right"/>
              <w:rPr>
                <w:color w:val="FF0000"/>
                <w:lang w:val="en-US"/>
              </w:rPr>
            </w:pPr>
            <w:r w:rsidRPr="004B1DAB">
              <w:rPr>
                <w:b/>
                <w:bCs/>
                <w:color w:val="FF0000"/>
                <w:lang w:val="en-US"/>
              </w:rPr>
              <w:t>0.022</w:t>
            </w:r>
            <w:r w:rsidRPr="004B1DAB">
              <w:rPr>
                <w:color w:val="FF0000"/>
                <w:lang w:val="en-US"/>
              </w:rPr>
              <w:t>* (0.005)</w:t>
            </w:r>
          </w:p>
        </w:tc>
        <w:tc>
          <w:tcPr>
            <w:tcW w:w="0" w:type="auto"/>
            <w:vAlign w:val="center"/>
            <w:hideMark/>
          </w:tcPr>
          <w:p w14:paraId="1678B391" w14:textId="77777777" w:rsidR="001F16D8" w:rsidRPr="004B1DAB" w:rsidRDefault="001F16D8" w:rsidP="00587F5F">
            <w:pPr>
              <w:jc w:val="right"/>
              <w:rPr>
                <w:color w:val="FF0000"/>
                <w:lang w:val="en-US"/>
              </w:rPr>
            </w:pPr>
            <w:r w:rsidRPr="004B1DAB">
              <w:rPr>
                <w:b/>
                <w:bCs/>
                <w:color w:val="FF0000"/>
                <w:lang w:val="en-US"/>
              </w:rPr>
              <w:t>45.6</w:t>
            </w:r>
            <w:r w:rsidRPr="004B1DAB">
              <w:rPr>
                <w:color w:val="FF0000"/>
                <w:lang w:val="en-US"/>
              </w:rPr>
              <w:t>* (12.3)</w:t>
            </w:r>
          </w:p>
        </w:tc>
      </w:tr>
      <w:tr w:rsidR="001F16D8" w:rsidRPr="004B1DAB" w14:paraId="24B2818C" w14:textId="77777777" w:rsidTr="00587F5F">
        <w:tc>
          <w:tcPr>
            <w:tcW w:w="0" w:type="auto"/>
            <w:vAlign w:val="center"/>
            <w:hideMark/>
          </w:tcPr>
          <w:p w14:paraId="6432840A" w14:textId="77777777" w:rsidR="001F16D8" w:rsidRPr="004B1DAB" w:rsidRDefault="001F16D8" w:rsidP="001F16D8">
            <w:pPr>
              <w:jc w:val="left"/>
              <w:rPr>
                <w:color w:val="FF0000"/>
                <w:lang w:val="en-US"/>
              </w:rPr>
            </w:pPr>
            <w:r w:rsidRPr="004B1DAB">
              <w:rPr>
                <w:color w:val="FF0000"/>
                <w:lang w:val="en-US"/>
              </w:rPr>
              <w:t>Growth</w:t>
            </w:r>
          </w:p>
        </w:tc>
        <w:tc>
          <w:tcPr>
            <w:tcW w:w="0" w:type="auto"/>
            <w:vAlign w:val="center"/>
            <w:hideMark/>
          </w:tcPr>
          <w:p w14:paraId="01006AB3" w14:textId="77777777" w:rsidR="001F16D8" w:rsidRPr="004B1DAB" w:rsidRDefault="001F16D8" w:rsidP="00587F5F">
            <w:pPr>
              <w:jc w:val="right"/>
              <w:rPr>
                <w:color w:val="FF0000"/>
                <w:lang w:val="en-US"/>
              </w:rPr>
            </w:pPr>
            <w:r w:rsidRPr="004B1DAB">
              <w:rPr>
                <w:b/>
                <w:bCs/>
                <w:color w:val="FF0000"/>
                <w:lang w:val="en-US"/>
              </w:rPr>
              <w:t>0.032</w:t>
            </w:r>
            <w:r w:rsidRPr="004B1DAB">
              <w:rPr>
                <w:color w:val="FF0000"/>
                <w:lang w:val="en-US"/>
              </w:rPr>
              <w:t>* (0.008)</w:t>
            </w:r>
          </w:p>
        </w:tc>
        <w:tc>
          <w:tcPr>
            <w:tcW w:w="0" w:type="auto"/>
            <w:vAlign w:val="center"/>
            <w:hideMark/>
          </w:tcPr>
          <w:p w14:paraId="0809FA32" w14:textId="77777777" w:rsidR="001F16D8" w:rsidRPr="004B1DAB" w:rsidRDefault="001F16D8" w:rsidP="00587F5F">
            <w:pPr>
              <w:jc w:val="right"/>
              <w:rPr>
                <w:color w:val="FF0000"/>
                <w:lang w:val="en-US"/>
              </w:rPr>
            </w:pPr>
            <w:r w:rsidRPr="004B1DAB">
              <w:rPr>
                <w:b/>
                <w:bCs/>
                <w:color w:val="FF0000"/>
                <w:lang w:val="en-US"/>
              </w:rPr>
              <w:t>0.028</w:t>
            </w:r>
            <w:r w:rsidRPr="004B1DAB">
              <w:rPr>
                <w:color w:val="FF0000"/>
                <w:lang w:val="en-US"/>
              </w:rPr>
              <w:t>* (0.010)</w:t>
            </w:r>
          </w:p>
        </w:tc>
        <w:tc>
          <w:tcPr>
            <w:tcW w:w="0" w:type="auto"/>
            <w:vAlign w:val="center"/>
            <w:hideMark/>
          </w:tcPr>
          <w:p w14:paraId="01D0073E" w14:textId="77777777" w:rsidR="001F16D8" w:rsidRPr="004B1DAB" w:rsidRDefault="001F16D8" w:rsidP="00587F5F">
            <w:pPr>
              <w:jc w:val="right"/>
              <w:rPr>
                <w:color w:val="FF0000"/>
                <w:lang w:val="en-US"/>
              </w:rPr>
            </w:pPr>
            <w:r w:rsidRPr="004B1DAB">
              <w:rPr>
                <w:b/>
                <w:bCs/>
                <w:color w:val="FF0000"/>
                <w:lang w:val="en-US"/>
              </w:rPr>
              <w:t>120.5</w:t>
            </w:r>
            <w:r w:rsidRPr="004B1DAB">
              <w:rPr>
                <w:color w:val="FF0000"/>
                <w:lang w:val="en-US"/>
              </w:rPr>
              <w:t>* (35.2)</w:t>
            </w:r>
          </w:p>
        </w:tc>
      </w:tr>
      <w:tr w:rsidR="001F16D8" w:rsidRPr="004B1DAB" w14:paraId="076F960D" w14:textId="77777777" w:rsidTr="00587F5F">
        <w:tc>
          <w:tcPr>
            <w:tcW w:w="0" w:type="auto"/>
            <w:vAlign w:val="center"/>
            <w:hideMark/>
          </w:tcPr>
          <w:p w14:paraId="6F20938A" w14:textId="77777777" w:rsidR="001F16D8" w:rsidRPr="004B1DAB" w:rsidRDefault="001F16D8" w:rsidP="001F16D8">
            <w:pPr>
              <w:jc w:val="left"/>
              <w:rPr>
                <w:color w:val="FF0000"/>
                <w:lang w:val="en-US"/>
              </w:rPr>
            </w:pPr>
            <w:r w:rsidRPr="004B1DAB">
              <w:rPr>
                <w:color w:val="FF0000"/>
                <w:lang w:val="en-US"/>
              </w:rPr>
              <w:t>Liquidity</w:t>
            </w:r>
          </w:p>
        </w:tc>
        <w:tc>
          <w:tcPr>
            <w:tcW w:w="0" w:type="auto"/>
            <w:vAlign w:val="center"/>
            <w:hideMark/>
          </w:tcPr>
          <w:p w14:paraId="4FC90CC1" w14:textId="77777777" w:rsidR="001F16D8" w:rsidRPr="004B1DAB" w:rsidRDefault="001F16D8" w:rsidP="00587F5F">
            <w:pPr>
              <w:jc w:val="right"/>
              <w:rPr>
                <w:color w:val="FF0000"/>
                <w:lang w:val="en-US"/>
              </w:rPr>
            </w:pPr>
            <w:r w:rsidRPr="004B1DAB">
              <w:rPr>
                <w:b/>
                <w:bCs/>
                <w:color w:val="FF0000"/>
                <w:lang w:val="en-US"/>
              </w:rPr>
              <w:t>0.025</w:t>
            </w:r>
            <w:r w:rsidRPr="004B1DAB">
              <w:rPr>
                <w:color w:val="FF0000"/>
                <w:lang w:val="en-US"/>
              </w:rPr>
              <w:t>* (0.006)</w:t>
            </w:r>
          </w:p>
        </w:tc>
        <w:tc>
          <w:tcPr>
            <w:tcW w:w="0" w:type="auto"/>
            <w:vAlign w:val="center"/>
            <w:hideMark/>
          </w:tcPr>
          <w:p w14:paraId="6EFB34D5" w14:textId="77777777" w:rsidR="001F16D8" w:rsidRPr="004B1DAB" w:rsidRDefault="001F16D8" w:rsidP="00587F5F">
            <w:pPr>
              <w:jc w:val="right"/>
              <w:rPr>
                <w:color w:val="FF0000"/>
                <w:lang w:val="en-US"/>
              </w:rPr>
            </w:pPr>
            <w:r w:rsidRPr="004B1DAB">
              <w:rPr>
                <w:b/>
                <w:bCs/>
                <w:color w:val="FF0000"/>
                <w:lang w:val="en-US"/>
              </w:rPr>
              <w:t>0.020</w:t>
            </w:r>
            <w:r w:rsidRPr="004B1DAB">
              <w:rPr>
                <w:color w:val="FF0000"/>
                <w:lang w:val="en-US"/>
              </w:rPr>
              <w:t>* (0.007)</w:t>
            </w:r>
          </w:p>
        </w:tc>
        <w:tc>
          <w:tcPr>
            <w:tcW w:w="0" w:type="auto"/>
            <w:vAlign w:val="center"/>
            <w:hideMark/>
          </w:tcPr>
          <w:p w14:paraId="3626BEB9" w14:textId="77777777" w:rsidR="001F16D8" w:rsidRPr="004B1DAB" w:rsidRDefault="001F16D8" w:rsidP="00587F5F">
            <w:pPr>
              <w:jc w:val="right"/>
              <w:rPr>
                <w:color w:val="FF0000"/>
                <w:lang w:val="en-US"/>
              </w:rPr>
            </w:pPr>
            <w:r w:rsidRPr="004B1DAB">
              <w:rPr>
                <w:b/>
                <w:bCs/>
                <w:color w:val="FF0000"/>
                <w:lang w:val="en-US"/>
              </w:rPr>
              <w:t>80.1</w:t>
            </w:r>
            <w:r w:rsidRPr="004B1DAB">
              <w:rPr>
                <w:color w:val="FF0000"/>
                <w:lang w:val="en-US"/>
              </w:rPr>
              <w:t>* (22.4)</w:t>
            </w:r>
          </w:p>
        </w:tc>
      </w:tr>
      <w:tr w:rsidR="001F16D8" w:rsidRPr="004B1DAB" w14:paraId="763F00DA" w14:textId="77777777" w:rsidTr="00587F5F">
        <w:tc>
          <w:tcPr>
            <w:tcW w:w="0" w:type="auto"/>
            <w:vAlign w:val="center"/>
            <w:hideMark/>
          </w:tcPr>
          <w:p w14:paraId="5EDC3834" w14:textId="77777777" w:rsidR="001F16D8" w:rsidRPr="004B1DAB" w:rsidRDefault="001F16D8" w:rsidP="001F16D8">
            <w:pPr>
              <w:jc w:val="left"/>
              <w:rPr>
                <w:color w:val="FF0000"/>
                <w:lang w:val="en-US"/>
              </w:rPr>
            </w:pPr>
            <w:r w:rsidRPr="004B1DAB">
              <w:rPr>
                <w:color w:val="FF0000"/>
                <w:lang w:val="en-US"/>
              </w:rPr>
              <w:t>Tangibility</w:t>
            </w:r>
          </w:p>
        </w:tc>
        <w:tc>
          <w:tcPr>
            <w:tcW w:w="0" w:type="auto"/>
            <w:vAlign w:val="center"/>
            <w:hideMark/>
          </w:tcPr>
          <w:p w14:paraId="416507AB" w14:textId="77777777" w:rsidR="001F16D8" w:rsidRPr="004B1DAB" w:rsidRDefault="001F16D8" w:rsidP="00587F5F">
            <w:pPr>
              <w:jc w:val="right"/>
              <w:rPr>
                <w:color w:val="FF0000"/>
                <w:lang w:val="en-US"/>
              </w:rPr>
            </w:pPr>
            <w:r w:rsidRPr="004B1DAB">
              <w:rPr>
                <w:b/>
                <w:bCs/>
                <w:color w:val="FF0000"/>
                <w:lang w:val="en-US"/>
              </w:rPr>
              <w:t>0.015</w:t>
            </w:r>
            <w:r w:rsidRPr="004B1DAB">
              <w:rPr>
                <w:color w:val="FF0000"/>
                <w:lang w:val="en-US"/>
              </w:rPr>
              <w:t xml:space="preserve"> (0.012)</w:t>
            </w:r>
          </w:p>
        </w:tc>
        <w:tc>
          <w:tcPr>
            <w:tcW w:w="0" w:type="auto"/>
            <w:vAlign w:val="center"/>
            <w:hideMark/>
          </w:tcPr>
          <w:p w14:paraId="5BE410B9" w14:textId="77777777" w:rsidR="001F16D8" w:rsidRPr="004B1DAB" w:rsidRDefault="001F16D8" w:rsidP="00587F5F">
            <w:pPr>
              <w:jc w:val="right"/>
              <w:rPr>
                <w:color w:val="FF0000"/>
                <w:lang w:val="en-US"/>
              </w:rPr>
            </w:pPr>
            <w:r w:rsidRPr="004B1DAB">
              <w:rPr>
                <w:b/>
                <w:bCs/>
                <w:color w:val="FF0000"/>
                <w:lang w:val="en-US"/>
              </w:rPr>
              <w:t>0.012</w:t>
            </w:r>
            <w:r w:rsidRPr="004B1DAB">
              <w:rPr>
                <w:color w:val="FF0000"/>
                <w:lang w:val="en-US"/>
              </w:rPr>
              <w:t xml:space="preserve"> (0.015)</w:t>
            </w:r>
          </w:p>
        </w:tc>
        <w:tc>
          <w:tcPr>
            <w:tcW w:w="0" w:type="auto"/>
            <w:vAlign w:val="center"/>
            <w:hideMark/>
          </w:tcPr>
          <w:p w14:paraId="57626EBC" w14:textId="77777777" w:rsidR="001F16D8" w:rsidRPr="004B1DAB" w:rsidRDefault="001F16D8" w:rsidP="00587F5F">
            <w:pPr>
              <w:jc w:val="right"/>
              <w:rPr>
                <w:color w:val="FF0000"/>
                <w:lang w:val="en-US"/>
              </w:rPr>
            </w:pPr>
            <w:r w:rsidRPr="004B1DAB">
              <w:rPr>
                <w:b/>
                <w:bCs/>
                <w:color w:val="FF0000"/>
                <w:lang w:val="en-US"/>
              </w:rPr>
              <w:t>35.8</w:t>
            </w:r>
            <w:r w:rsidRPr="004B1DAB">
              <w:rPr>
                <w:color w:val="FF0000"/>
                <w:lang w:val="en-US"/>
              </w:rPr>
              <w:t xml:space="preserve"> (48.7)</w:t>
            </w:r>
          </w:p>
        </w:tc>
      </w:tr>
      <w:tr w:rsidR="001F16D8" w:rsidRPr="004B1DAB" w14:paraId="2E15DCB8" w14:textId="77777777" w:rsidTr="00587F5F">
        <w:tc>
          <w:tcPr>
            <w:tcW w:w="0" w:type="auto"/>
            <w:vAlign w:val="center"/>
            <w:hideMark/>
          </w:tcPr>
          <w:p w14:paraId="6A10B43D" w14:textId="77777777" w:rsidR="001F16D8" w:rsidRPr="004B1DAB" w:rsidRDefault="001F16D8" w:rsidP="001F16D8">
            <w:pPr>
              <w:jc w:val="left"/>
              <w:rPr>
                <w:color w:val="FF0000"/>
                <w:lang w:val="en-US"/>
              </w:rPr>
            </w:pPr>
            <w:r w:rsidRPr="004B1DAB">
              <w:rPr>
                <w:color w:val="FF0000"/>
                <w:lang w:val="en-US"/>
              </w:rPr>
              <w:t>Age</w:t>
            </w:r>
          </w:p>
        </w:tc>
        <w:tc>
          <w:tcPr>
            <w:tcW w:w="0" w:type="auto"/>
            <w:vAlign w:val="center"/>
            <w:hideMark/>
          </w:tcPr>
          <w:p w14:paraId="1DDF6A8B" w14:textId="77777777" w:rsidR="001F16D8" w:rsidRPr="004B1DAB" w:rsidRDefault="001F16D8" w:rsidP="00587F5F">
            <w:pPr>
              <w:jc w:val="right"/>
              <w:rPr>
                <w:color w:val="FF0000"/>
                <w:lang w:val="en-US"/>
              </w:rPr>
            </w:pPr>
            <w:r w:rsidRPr="004B1DAB">
              <w:rPr>
                <w:b/>
                <w:bCs/>
                <w:color w:val="FF0000"/>
                <w:lang w:val="en-US"/>
              </w:rPr>
              <w:t>-0.002</w:t>
            </w:r>
            <w:r w:rsidRPr="004B1DAB">
              <w:rPr>
                <w:color w:val="FF0000"/>
                <w:lang w:val="en-US"/>
              </w:rPr>
              <w:t xml:space="preserve"> (0.001)</w:t>
            </w:r>
          </w:p>
        </w:tc>
        <w:tc>
          <w:tcPr>
            <w:tcW w:w="0" w:type="auto"/>
            <w:vAlign w:val="center"/>
            <w:hideMark/>
          </w:tcPr>
          <w:p w14:paraId="1F071CEE" w14:textId="77777777" w:rsidR="001F16D8" w:rsidRPr="004B1DAB" w:rsidRDefault="001F16D8" w:rsidP="00587F5F">
            <w:pPr>
              <w:jc w:val="right"/>
              <w:rPr>
                <w:color w:val="FF0000"/>
                <w:lang w:val="en-US"/>
              </w:rPr>
            </w:pPr>
            <w:r w:rsidRPr="004B1DAB">
              <w:rPr>
                <w:b/>
                <w:bCs/>
                <w:color w:val="FF0000"/>
                <w:lang w:val="en-US"/>
              </w:rPr>
              <w:t>-0.003</w:t>
            </w:r>
            <w:r w:rsidRPr="004B1DAB">
              <w:rPr>
                <w:color w:val="FF0000"/>
                <w:lang w:val="en-US"/>
              </w:rPr>
              <w:t xml:space="preserve"> (0.001)</w:t>
            </w:r>
          </w:p>
        </w:tc>
        <w:tc>
          <w:tcPr>
            <w:tcW w:w="0" w:type="auto"/>
            <w:vAlign w:val="center"/>
            <w:hideMark/>
          </w:tcPr>
          <w:p w14:paraId="6EEDA668" w14:textId="59688E3E" w:rsidR="001F16D8" w:rsidRPr="004B1DAB" w:rsidRDefault="001F16D8" w:rsidP="00587F5F">
            <w:pPr>
              <w:jc w:val="right"/>
              <w:rPr>
                <w:color w:val="FF0000"/>
                <w:lang w:val="en-US"/>
              </w:rPr>
            </w:pPr>
            <w:r w:rsidRPr="004B1DAB">
              <w:rPr>
                <w:b/>
                <w:bCs/>
                <w:color w:val="FF0000"/>
                <w:lang w:val="en-US"/>
              </w:rPr>
              <w:t>-8.4</w:t>
            </w:r>
            <w:r w:rsidR="004B1DAB">
              <w:rPr>
                <w:b/>
                <w:bCs/>
                <w:color w:val="FF0000"/>
                <w:lang w:val="en-US"/>
              </w:rPr>
              <w:br/>
            </w:r>
            <w:r w:rsidRPr="004B1DAB">
              <w:rPr>
                <w:color w:val="FF0000"/>
                <w:lang w:val="en-US"/>
              </w:rPr>
              <w:t>(5.2)</w:t>
            </w:r>
          </w:p>
        </w:tc>
      </w:tr>
      <w:tr w:rsidR="001F16D8" w:rsidRPr="004B1DAB" w14:paraId="2AD76A1E" w14:textId="77777777" w:rsidTr="00587F5F">
        <w:tc>
          <w:tcPr>
            <w:tcW w:w="0" w:type="auto"/>
            <w:vAlign w:val="center"/>
            <w:hideMark/>
          </w:tcPr>
          <w:p w14:paraId="17C138EA" w14:textId="77777777" w:rsidR="001F16D8" w:rsidRPr="004B1DAB" w:rsidRDefault="001F16D8" w:rsidP="001F16D8">
            <w:pPr>
              <w:jc w:val="left"/>
              <w:rPr>
                <w:color w:val="FF0000"/>
                <w:lang w:val="en-US"/>
              </w:rPr>
            </w:pPr>
            <w:r w:rsidRPr="004B1DAB">
              <w:rPr>
                <w:color w:val="FF0000"/>
                <w:lang w:val="en-US"/>
              </w:rPr>
              <w:t>Constant</w:t>
            </w:r>
          </w:p>
        </w:tc>
        <w:tc>
          <w:tcPr>
            <w:tcW w:w="0" w:type="auto"/>
            <w:vAlign w:val="center"/>
            <w:hideMark/>
          </w:tcPr>
          <w:p w14:paraId="6AB13A14" w14:textId="77777777" w:rsidR="001F16D8" w:rsidRPr="004B1DAB" w:rsidRDefault="001F16D8" w:rsidP="00587F5F">
            <w:pPr>
              <w:jc w:val="right"/>
              <w:rPr>
                <w:color w:val="FF0000"/>
                <w:lang w:val="en-US"/>
              </w:rPr>
            </w:pPr>
            <w:r w:rsidRPr="004B1DAB">
              <w:rPr>
                <w:b/>
                <w:bCs/>
                <w:color w:val="FF0000"/>
                <w:lang w:val="en-US"/>
              </w:rPr>
              <w:t>0.045</w:t>
            </w:r>
            <w:r w:rsidRPr="004B1DAB">
              <w:rPr>
                <w:color w:val="FF0000"/>
                <w:lang w:val="en-US"/>
              </w:rPr>
              <w:t xml:space="preserve"> (0.032)</w:t>
            </w:r>
          </w:p>
        </w:tc>
        <w:tc>
          <w:tcPr>
            <w:tcW w:w="0" w:type="auto"/>
            <w:vAlign w:val="center"/>
            <w:hideMark/>
          </w:tcPr>
          <w:p w14:paraId="2C0DFFA3" w14:textId="77777777" w:rsidR="001F16D8" w:rsidRPr="004B1DAB" w:rsidRDefault="001F16D8" w:rsidP="00587F5F">
            <w:pPr>
              <w:jc w:val="right"/>
              <w:rPr>
                <w:color w:val="FF0000"/>
                <w:lang w:val="en-US"/>
              </w:rPr>
            </w:pPr>
            <w:r w:rsidRPr="004B1DAB">
              <w:rPr>
                <w:b/>
                <w:bCs/>
                <w:color w:val="FF0000"/>
                <w:lang w:val="en-US"/>
              </w:rPr>
              <w:t>0.058</w:t>
            </w:r>
            <w:r w:rsidRPr="004B1DAB">
              <w:rPr>
                <w:color w:val="FF0000"/>
                <w:lang w:val="en-US"/>
              </w:rPr>
              <w:t xml:space="preserve"> (0.040)</w:t>
            </w:r>
          </w:p>
        </w:tc>
        <w:tc>
          <w:tcPr>
            <w:tcW w:w="0" w:type="auto"/>
            <w:vAlign w:val="center"/>
            <w:hideMark/>
          </w:tcPr>
          <w:p w14:paraId="3014D90C" w14:textId="77777777" w:rsidR="001F16D8" w:rsidRPr="004B1DAB" w:rsidRDefault="001F16D8" w:rsidP="00587F5F">
            <w:pPr>
              <w:jc w:val="right"/>
              <w:rPr>
                <w:color w:val="FF0000"/>
                <w:lang w:val="en-US"/>
              </w:rPr>
            </w:pPr>
            <w:r w:rsidRPr="004B1DAB">
              <w:rPr>
                <w:b/>
                <w:bCs/>
                <w:color w:val="FF0000"/>
                <w:lang w:val="en-US"/>
              </w:rPr>
              <w:t>150.2</w:t>
            </w:r>
            <w:r w:rsidRPr="004B1DAB">
              <w:rPr>
                <w:color w:val="FF0000"/>
                <w:lang w:val="en-US"/>
              </w:rPr>
              <w:t xml:space="preserve"> (98.6)</w:t>
            </w:r>
          </w:p>
        </w:tc>
      </w:tr>
      <w:tr w:rsidR="001F16D8" w:rsidRPr="004B1DAB" w14:paraId="79E8E08C" w14:textId="77777777" w:rsidTr="00587F5F">
        <w:tc>
          <w:tcPr>
            <w:tcW w:w="0" w:type="auto"/>
            <w:vAlign w:val="center"/>
            <w:hideMark/>
          </w:tcPr>
          <w:p w14:paraId="250EC2B0" w14:textId="77777777" w:rsidR="001F16D8" w:rsidRPr="004B1DAB" w:rsidRDefault="001F16D8" w:rsidP="001F16D8">
            <w:pPr>
              <w:jc w:val="left"/>
              <w:rPr>
                <w:color w:val="FF0000"/>
                <w:lang w:val="en-US"/>
              </w:rPr>
            </w:pPr>
            <w:r w:rsidRPr="004B1DAB">
              <w:rPr>
                <w:color w:val="FF0000"/>
                <w:lang w:val="en-US"/>
              </w:rPr>
              <w:t>R²</w:t>
            </w:r>
          </w:p>
        </w:tc>
        <w:tc>
          <w:tcPr>
            <w:tcW w:w="0" w:type="auto"/>
            <w:vAlign w:val="center"/>
            <w:hideMark/>
          </w:tcPr>
          <w:p w14:paraId="424F9FD9" w14:textId="77777777" w:rsidR="001F16D8" w:rsidRPr="004B1DAB" w:rsidRDefault="001F16D8" w:rsidP="00587F5F">
            <w:pPr>
              <w:jc w:val="right"/>
              <w:rPr>
                <w:color w:val="FF0000"/>
                <w:lang w:val="en-US"/>
              </w:rPr>
            </w:pPr>
            <w:r w:rsidRPr="004B1DAB">
              <w:rPr>
                <w:color w:val="FF0000"/>
                <w:lang w:val="en-US"/>
              </w:rPr>
              <w:t>0.28</w:t>
            </w:r>
          </w:p>
        </w:tc>
        <w:tc>
          <w:tcPr>
            <w:tcW w:w="0" w:type="auto"/>
            <w:vAlign w:val="center"/>
            <w:hideMark/>
          </w:tcPr>
          <w:p w14:paraId="03B40D5F" w14:textId="77777777" w:rsidR="001F16D8" w:rsidRPr="004B1DAB" w:rsidRDefault="001F16D8" w:rsidP="00587F5F">
            <w:pPr>
              <w:jc w:val="right"/>
              <w:rPr>
                <w:color w:val="FF0000"/>
                <w:lang w:val="en-US"/>
              </w:rPr>
            </w:pPr>
            <w:r w:rsidRPr="004B1DAB">
              <w:rPr>
                <w:color w:val="FF0000"/>
                <w:lang w:val="en-US"/>
              </w:rPr>
              <w:t>0.32</w:t>
            </w:r>
          </w:p>
        </w:tc>
        <w:tc>
          <w:tcPr>
            <w:tcW w:w="0" w:type="auto"/>
            <w:vAlign w:val="center"/>
            <w:hideMark/>
          </w:tcPr>
          <w:p w14:paraId="2D719834" w14:textId="77777777" w:rsidR="001F16D8" w:rsidRPr="004B1DAB" w:rsidRDefault="001F16D8" w:rsidP="00587F5F">
            <w:pPr>
              <w:jc w:val="right"/>
              <w:rPr>
                <w:color w:val="FF0000"/>
                <w:lang w:val="en-US"/>
              </w:rPr>
            </w:pPr>
            <w:r w:rsidRPr="004B1DAB">
              <w:rPr>
                <w:color w:val="FF0000"/>
                <w:lang w:val="en-US"/>
              </w:rPr>
              <w:t>0.25</w:t>
            </w:r>
          </w:p>
        </w:tc>
      </w:tr>
      <w:tr w:rsidR="001F16D8" w:rsidRPr="004B1DAB" w14:paraId="1C15B073" w14:textId="77777777" w:rsidTr="00587F5F">
        <w:tc>
          <w:tcPr>
            <w:tcW w:w="0" w:type="auto"/>
            <w:vAlign w:val="center"/>
            <w:hideMark/>
          </w:tcPr>
          <w:p w14:paraId="75FB5D02" w14:textId="77777777" w:rsidR="001F16D8" w:rsidRPr="004B1DAB" w:rsidRDefault="001F16D8" w:rsidP="001F16D8">
            <w:pPr>
              <w:jc w:val="left"/>
              <w:rPr>
                <w:color w:val="FF0000"/>
                <w:lang w:val="en-US"/>
              </w:rPr>
            </w:pPr>
            <w:r w:rsidRPr="004B1DAB">
              <w:rPr>
                <w:color w:val="FF0000"/>
                <w:lang w:val="en-US"/>
              </w:rPr>
              <w:t>Obs.</w:t>
            </w:r>
          </w:p>
        </w:tc>
        <w:tc>
          <w:tcPr>
            <w:tcW w:w="0" w:type="auto"/>
            <w:vAlign w:val="center"/>
            <w:hideMark/>
          </w:tcPr>
          <w:p w14:paraId="472C0332" w14:textId="77777777" w:rsidR="001F16D8" w:rsidRPr="004B1DAB" w:rsidRDefault="001F16D8" w:rsidP="00587F5F">
            <w:pPr>
              <w:jc w:val="right"/>
              <w:rPr>
                <w:color w:val="FF0000"/>
                <w:lang w:val="en-US"/>
              </w:rPr>
            </w:pPr>
            <w:r w:rsidRPr="004B1DAB">
              <w:rPr>
                <w:color w:val="FF0000"/>
                <w:lang w:val="en-US"/>
              </w:rPr>
              <w:t>9,555</w:t>
            </w:r>
          </w:p>
        </w:tc>
        <w:tc>
          <w:tcPr>
            <w:tcW w:w="0" w:type="auto"/>
            <w:vAlign w:val="center"/>
            <w:hideMark/>
          </w:tcPr>
          <w:p w14:paraId="7E837D89" w14:textId="77777777" w:rsidR="001F16D8" w:rsidRPr="004B1DAB" w:rsidRDefault="001F16D8" w:rsidP="00587F5F">
            <w:pPr>
              <w:jc w:val="right"/>
              <w:rPr>
                <w:color w:val="FF0000"/>
                <w:lang w:val="en-US"/>
              </w:rPr>
            </w:pPr>
            <w:r w:rsidRPr="004B1DAB">
              <w:rPr>
                <w:color w:val="FF0000"/>
                <w:lang w:val="en-US"/>
              </w:rPr>
              <w:t>9,555</w:t>
            </w:r>
          </w:p>
        </w:tc>
        <w:tc>
          <w:tcPr>
            <w:tcW w:w="0" w:type="auto"/>
            <w:vAlign w:val="center"/>
            <w:hideMark/>
          </w:tcPr>
          <w:p w14:paraId="1573F1F3" w14:textId="77777777" w:rsidR="001F16D8" w:rsidRPr="004B1DAB" w:rsidRDefault="001F16D8" w:rsidP="00587F5F">
            <w:pPr>
              <w:jc w:val="right"/>
              <w:rPr>
                <w:color w:val="FF0000"/>
                <w:lang w:val="en-US"/>
              </w:rPr>
            </w:pPr>
            <w:r w:rsidRPr="004B1DAB">
              <w:rPr>
                <w:color w:val="FF0000"/>
                <w:lang w:val="en-US"/>
              </w:rPr>
              <w:t>9,555</w:t>
            </w:r>
          </w:p>
        </w:tc>
      </w:tr>
    </w:tbl>
    <w:p w14:paraId="640E0E6E" w14:textId="77777777" w:rsidR="00DA6414" w:rsidRDefault="00FD5EE0" w:rsidP="004B1DAB">
      <w:pPr>
        <w:pStyle w:val="Content"/>
        <w:rPr>
          <w:i/>
          <w:iCs/>
          <w:color w:val="EE0000"/>
          <w:lang w:val="en-US"/>
        </w:rPr>
      </w:pPr>
      <w:r w:rsidRPr="004B1DAB">
        <w:rPr>
          <w:i/>
          <w:iCs/>
          <w:color w:val="EE0000"/>
          <w:lang w:val="en-US"/>
        </w:rPr>
        <w:t xml:space="preserve">**Notes: Standard errors in parentheses; ***p&lt;0.01, p&lt;0.05. Similar results for LEV2 (not shown for brevity). </w:t>
      </w:r>
    </w:p>
    <w:p w14:paraId="175CB18D" w14:textId="2C3ABA69" w:rsidR="00FD5EE0" w:rsidRPr="004B1DAB" w:rsidRDefault="00FD5EE0" w:rsidP="00DA6414">
      <w:pPr>
        <w:pStyle w:val="Content"/>
        <w:jc w:val="right"/>
        <w:rPr>
          <w:i/>
          <w:iCs/>
          <w:color w:val="EE0000"/>
          <w:lang w:val="en-US"/>
        </w:rPr>
      </w:pPr>
      <w:r w:rsidRPr="004B1DAB">
        <w:rPr>
          <w:i/>
          <w:iCs/>
          <w:color w:val="EE0000"/>
          <w:lang w:val="en-US"/>
        </w:rPr>
        <w:t>Source: Authors' estimations.</w:t>
      </w:r>
    </w:p>
    <w:p w14:paraId="4F3A6B2A" w14:textId="5A1421B2" w:rsidR="00977F16" w:rsidRPr="004B1DAB" w:rsidRDefault="00FD5EE0" w:rsidP="004B1DAB">
      <w:pPr>
        <w:pStyle w:val="Content"/>
        <w:rPr>
          <w:color w:val="EE0000"/>
          <w:lang w:val="en-US"/>
        </w:rPr>
      </w:pPr>
      <w:r w:rsidRPr="004B1DAB">
        <w:rPr>
          <w:color w:val="EE0000"/>
          <w:lang w:val="en-US"/>
        </w:rPr>
        <w:t>Robustness via 2SLS and System GMM (Table 4) yields consistent negative coefficients (e.g., LEV1 on ROA: -0.138 in 2SLS, -0.145 in GMM; diagnostics: Hansen p&gt;0.10, AR(2) p&gt;0.15), confirming endogeneity control.</w:t>
      </w:r>
    </w:p>
    <w:p w14:paraId="5F077C93" w14:textId="584226EC" w:rsidR="00977F16" w:rsidRPr="004B1DAB" w:rsidRDefault="006F059A" w:rsidP="004B1DAB">
      <w:pPr>
        <w:pStyle w:val="Content"/>
        <w:rPr>
          <w:color w:val="EE0000"/>
          <w:lang w:val="en-US"/>
        </w:rPr>
      </w:pPr>
      <w:r w:rsidRPr="004B1DAB">
        <w:rPr>
          <w:b/>
          <w:bCs/>
          <w:color w:val="EE0000"/>
          <w:lang w:val="en-US"/>
        </w:rPr>
        <w:t>Table 4.</w:t>
      </w:r>
      <w:r w:rsidRPr="004B1DAB">
        <w:rPr>
          <w:color w:val="EE0000"/>
          <w:lang w:val="en-US"/>
        </w:rPr>
        <w:t xml:space="preserve"> Robustness Checks (2SLS and System GMM)</w:t>
      </w:r>
    </w:p>
    <w:tbl>
      <w:tblPr>
        <w:tblW w:w="43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988"/>
        <w:gridCol w:w="850"/>
        <w:gridCol w:w="851"/>
        <w:gridCol w:w="850"/>
        <w:gridCol w:w="851"/>
      </w:tblGrid>
      <w:tr w:rsidR="006F059A" w:rsidRPr="004B1DAB" w14:paraId="0FB8B143" w14:textId="77777777" w:rsidTr="00587F5F">
        <w:trPr>
          <w:trHeight w:val="567"/>
          <w:tblHeader/>
        </w:trPr>
        <w:tc>
          <w:tcPr>
            <w:tcW w:w="988" w:type="dxa"/>
            <w:vAlign w:val="center"/>
            <w:hideMark/>
          </w:tcPr>
          <w:p w14:paraId="1E0026DD" w14:textId="77777777" w:rsidR="006F059A" w:rsidRPr="004B1DAB" w:rsidRDefault="006F059A" w:rsidP="006F059A">
            <w:pPr>
              <w:jc w:val="center"/>
              <w:rPr>
                <w:b/>
                <w:bCs/>
                <w:color w:val="FF0000"/>
                <w:lang w:val="en-US"/>
              </w:rPr>
            </w:pPr>
            <w:r w:rsidRPr="004B1DAB">
              <w:rPr>
                <w:b/>
                <w:bCs/>
                <w:color w:val="FF0000"/>
                <w:lang w:val="en-US"/>
              </w:rPr>
              <w:t>Model / Variable</w:t>
            </w:r>
          </w:p>
        </w:tc>
        <w:tc>
          <w:tcPr>
            <w:tcW w:w="850" w:type="dxa"/>
            <w:vAlign w:val="center"/>
            <w:hideMark/>
          </w:tcPr>
          <w:p w14:paraId="06DFBA70" w14:textId="55BF7D9C" w:rsidR="006F059A" w:rsidRPr="004B1DAB" w:rsidRDefault="006F059A" w:rsidP="006F059A">
            <w:pPr>
              <w:jc w:val="center"/>
              <w:rPr>
                <w:b/>
                <w:bCs/>
                <w:color w:val="FF0000"/>
                <w:lang w:val="en-US"/>
              </w:rPr>
            </w:pPr>
            <w:r w:rsidRPr="004B1DAB">
              <w:rPr>
                <w:b/>
                <w:bCs/>
                <w:color w:val="FF0000"/>
                <w:lang w:val="en-US"/>
              </w:rPr>
              <w:t>ROA</w:t>
            </w:r>
            <w:r w:rsidR="00587F5F" w:rsidRPr="004B1DAB">
              <w:rPr>
                <w:b/>
                <w:bCs/>
                <w:color w:val="FF0000"/>
                <w:lang w:val="en-US"/>
              </w:rPr>
              <w:br/>
            </w:r>
            <w:r w:rsidRPr="004B1DAB">
              <w:rPr>
                <w:b/>
                <w:bCs/>
                <w:color w:val="FF0000"/>
                <w:lang w:val="en-US"/>
              </w:rPr>
              <w:t>(2SLS)</w:t>
            </w:r>
          </w:p>
        </w:tc>
        <w:tc>
          <w:tcPr>
            <w:tcW w:w="851" w:type="dxa"/>
            <w:vAlign w:val="center"/>
            <w:hideMark/>
          </w:tcPr>
          <w:p w14:paraId="50001F79" w14:textId="77777777" w:rsidR="006F059A" w:rsidRPr="004B1DAB" w:rsidRDefault="006F059A" w:rsidP="006F059A">
            <w:pPr>
              <w:jc w:val="center"/>
              <w:rPr>
                <w:b/>
                <w:bCs/>
                <w:color w:val="FF0000"/>
                <w:lang w:val="en-US"/>
              </w:rPr>
            </w:pPr>
            <w:r w:rsidRPr="004B1DAB">
              <w:rPr>
                <w:b/>
                <w:bCs/>
                <w:color w:val="FF0000"/>
                <w:lang w:val="en-US"/>
              </w:rPr>
              <w:t>ROA (GMM)</w:t>
            </w:r>
          </w:p>
        </w:tc>
        <w:tc>
          <w:tcPr>
            <w:tcW w:w="850" w:type="dxa"/>
            <w:vAlign w:val="center"/>
            <w:hideMark/>
          </w:tcPr>
          <w:p w14:paraId="2FC4350F" w14:textId="77777777" w:rsidR="006F059A" w:rsidRPr="004B1DAB" w:rsidRDefault="006F059A" w:rsidP="006F059A">
            <w:pPr>
              <w:jc w:val="center"/>
              <w:rPr>
                <w:b/>
                <w:bCs/>
                <w:color w:val="FF0000"/>
                <w:lang w:val="en-US"/>
              </w:rPr>
            </w:pPr>
            <w:r w:rsidRPr="004B1DAB">
              <w:rPr>
                <w:b/>
                <w:bCs/>
                <w:color w:val="FF0000"/>
                <w:lang w:val="en-US"/>
              </w:rPr>
              <w:t>ROE (2SLS)</w:t>
            </w:r>
          </w:p>
        </w:tc>
        <w:tc>
          <w:tcPr>
            <w:tcW w:w="851" w:type="dxa"/>
            <w:vAlign w:val="center"/>
            <w:hideMark/>
          </w:tcPr>
          <w:p w14:paraId="15343A99" w14:textId="77777777" w:rsidR="006F059A" w:rsidRPr="004B1DAB" w:rsidRDefault="006F059A" w:rsidP="006F059A">
            <w:pPr>
              <w:jc w:val="center"/>
              <w:rPr>
                <w:b/>
                <w:bCs/>
                <w:color w:val="FF0000"/>
                <w:lang w:val="en-US"/>
              </w:rPr>
            </w:pPr>
            <w:r w:rsidRPr="004B1DAB">
              <w:rPr>
                <w:b/>
                <w:bCs/>
                <w:color w:val="FF0000"/>
                <w:lang w:val="en-US"/>
              </w:rPr>
              <w:t>ROE (GMM)</w:t>
            </w:r>
          </w:p>
        </w:tc>
      </w:tr>
      <w:tr w:rsidR="006F059A" w:rsidRPr="004B1DAB" w14:paraId="373490F3" w14:textId="77777777" w:rsidTr="00587F5F">
        <w:trPr>
          <w:trHeight w:val="851"/>
        </w:trPr>
        <w:tc>
          <w:tcPr>
            <w:tcW w:w="988" w:type="dxa"/>
            <w:vAlign w:val="center"/>
            <w:hideMark/>
          </w:tcPr>
          <w:p w14:paraId="3B751B3A" w14:textId="77777777" w:rsidR="006F059A" w:rsidRPr="004B1DAB" w:rsidRDefault="006F059A" w:rsidP="006F059A">
            <w:pPr>
              <w:jc w:val="left"/>
              <w:rPr>
                <w:color w:val="FF0000"/>
                <w:lang w:val="en-US"/>
              </w:rPr>
            </w:pPr>
            <w:r w:rsidRPr="004B1DAB">
              <w:rPr>
                <w:color w:val="FF0000"/>
                <w:lang w:val="en-US"/>
              </w:rPr>
              <w:t>LEV1</w:t>
            </w:r>
          </w:p>
        </w:tc>
        <w:tc>
          <w:tcPr>
            <w:tcW w:w="850" w:type="dxa"/>
            <w:vAlign w:val="center"/>
            <w:hideMark/>
          </w:tcPr>
          <w:p w14:paraId="16A24947" w14:textId="5175BCFF" w:rsidR="006F059A" w:rsidRPr="004B1DAB" w:rsidRDefault="006F059A" w:rsidP="00587F5F">
            <w:pPr>
              <w:jc w:val="right"/>
              <w:rPr>
                <w:color w:val="FF0000"/>
                <w:lang w:val="en-US"/>
              </w:rPr>
            </w:pPr>
            <w:r w:rsidRPr="004B1DAB">
              <w:rPr>
                <w:b/>
                <w:bCs/>
                <w:color w:val="FF0000"/>
                <w:lang w:val="en-US"/>
              </w:rPr>
              <w:t>-0.138</w:t>
            </w:r>
            <w:r w:rsidRPr="004B1DAB">
              <w:rPr>
                <w:color w:val="FF0000"/>
                <w:lang w:val="en-US"/>
              </w:rPr>
              <w:t>*</w:t>
            </w:r>
            <w:r w:rsidR="00587F5F" w:rsidRPr="004B1DAB">
              <w:rPr>
                <w:color w:val="FF0000"/>
                <w:lang w:val="en-US"/>
              </w:rPr>
              <w:br/>
            </w:r>
            <w:r w:rsidRPr="004B1DAB">
              <w:rPr>
                <w:color w:val="FF0000"/>
                <w:lang w:val="en-US"/>
              </w:rPr>
              <w:t>(0.032)</w:t>
            </w:r>
          </w:p>
        </w:tc>
        <w:tc>
          <w:tcPr>
            <w:tcW w:w="851" w:type="dxa"/>
            <w:vAlign w:val="center"/>
            <w:hideMark/>
          </w:tcPr>
          <w:p w14:paraId="6AE1EE06" w14:textId="77777777" w:rsidR="006F059A" w:rsidRPr="004B1DAB" w:rsidRDefault="006F059A" w:rsidP="00587F5F">
            <w:pPr>
              <w:jc w:val="right"/>
              <w:rPr>
                <w:color w:val="FF0000"/>
                <w:lang w:val="en-US"/>
              </w:rPr>
            </w:pPr>
            <w:r w:rsidRPr="004B1DAB">
              <w:rPr>
                <w:b/>
                <w:bCs/>
                <w:color w:val="FF0000"/>
                <w:lang w:val="en-US"/>
              </w:rPr>
              <w:t>-0.145</w:t>
            </w:r>
            <w:r w:rsidRPr="004B1DAB">
              <w:rPr>
                <w:color w:val="FF0000"/>
                <w:lang w:val="en-US"/>
              </w:rPr>
              <w:t>* (0.030)</w:t>
            </w:r>
          </w:p>
        </w:tc>
        <w:tc>
          <w:tcPr>
            <w:tcW w:w="850" w:type="dxa"/>
            <w:vAlign w:val="center"/>
            <w:hideMark/>
          </w:tcPr>
          <w:p w14:paraId="78755616" w14:textId="77777777" w:rsidR="006F059A" w:rsidRPr="004B1DAB" w:rsidRDefault="006F059A" w:rsidP="00587F5F">
            <w:pPr>
              <w:jc w:val="right"/>
              <w:rPr>
                <w:color w:val="FF0000"/>
                <w:lang w:val="en-US"/>
              </w:rPr>
            </w:pPr>
            <w:r w:rsidRPr="004B1DAB">
              <w:rPr>
                <w:b/>
                <w:bCs/>
                <w:color w:val="FF0000"/>
                <w:lang w:val="en-US"/>
              </w:rPr>
              <w:t>-0.160</w:t>
            </w:r>
            <w:r w:rsidRPr="004B1DAB">
              <w:rPr>
                <w:color w:val="FF0000"/>
                <w:lang w:val="en-US"/>
              </w:rPr>
              <w:t>* (0.038)</w:t>
            </w:r>
          </w:p>
        </w:tc>
        <w:tc>
          <w:tcPr>
            <w:tcW w:w="851" w:type="dxa"/>
            <w:vAlign w:val="center"/>
            <w:hideMark/>
          </w:tcPr>
          <w:p w14:paraId="48747836" w14:textId="77777777" w:rsidR="006F059A" w:rsidRPr="004B1DAB" w:rsidRDefault="006F059A" w:rsidP="00587F5F">
            <w:pPr>
              <w:jc w:val="right"/>
              <w:rPr>
                <w:color w:val="FF0000"/>
                <w:lang w:val="en-US"/>
              </w:rPr>
            </w:pPr>
            <w:r w:rsidRPr="004B1DAB">
              <w:rPr>
                <w:b/>
                <w:bCs/>
                <w:color w:val="FF0000"/>
                <w:lang w:val="en-US"/>
              </w:rPr>
              <w:t>-0.168</w:t>
            </w:r>
            <w:r w:rsidRPr="004B1DAB">
              <w:rPr>
                <w:color w:val="FF0000"/>
                <w:lang w:val="en-US"/>
              </w:rPr>
              <w:t>* (0.036)</w:t>
            </w:r>
          </w:p>
        </w:tc>
      </w:tr>
      <w:tr w:rsidR="006F059A" w:rsidRPr="004B1DAB" w14:paraId="7CD3E451" w14:textId="77777777" w:rsidTr="00587F5F">
        <w:trPr>
          <w:trHeight w:val="558"/>
        </w:trPr>
        <w:tc>
          <w:tcPr>
            <w:tcW w:w="988" w:type="dxa"/>
            <w:vAlign w:val="center"/>
            <w:hideMark/>
          </w:tcPr>
          <w:p w14:paraId="76A9923D" w14:textId="77777777" w:rsidR="006F059A" w:rsidRPr="004B1DAB" w:rsidRDefault="006F059A" w:rsidP="006F059A">
            <w:pPr>
              <w:jc w:val="left"/>
              <w:rPr>
                <w:color w:val="FF0000"/>
                <w:lang w:val="en-US"/>
              </w:rPr>
            </w:pPr>
            <w:r w:rsidRPr="004B1DAB">
              <w:rPr>
                <w:color w:val="FF0000"/>
                <w:lang w:val="en-US"/>
              </w:rPr>
              <w:t>Hansen J p-value</w:t>
            </w:r>
          </w:p>
        </w:tc>
        <w:tc>
          <w:tcPr>
            <w:tcW w:w="850" w:type="dxa"/>
            <w:vAlign w:val="center"/>
            <w:hideMark/>
          </w:tcPr>
          <w:p w14:paraId="625C37CD" w14:textId="77777777" w:rsidR="006F059A" w:rsidRPr="004B1DAB" w:rsidRDefault="006F059A" w:rsidP="00587F5F">
            <w:pPr>
              <w:jc w:val="right"/>
              <w:rPr>
                <w:color w:val="FF0000"/>
                <w:lang w:val="en-US"/>
              </w:rPr>
            </w:pPr>
            <w:r w:rsidRPr="004B1DAB">
              <w:rPr>
                <w:color w:val="FF0000"/>
                <w:lang w:val="en-US"/>
              </w:rPr>
              <w:t>0.18</w:t>
            </w:r>
          </w:p>
        </w:tc>
        <w:tc>
          <w:tcPr>
            <w:tcW w:w="851" w:type="dxa"/>
            <w:vAlign w:val="center"/>
            <w:hideMark/>
          </w:tcPr>
          <w:p w14:paraId="06D5A73E" w14:textId="77777777" w:rsidR="006F059A" w:rsidRPr="004B1DAB" w:rsidRDefault="006F059A" w:rsidP="00587F5F">
            <w:pPr>
              <w:jc w:val="right"/>
              <w:rPr>
                <w:color w:val="FF0000"/>
                <w:lang w:val="en-US"/>
              </w:rPr>
            </w:pPr>
            <w:r w:rsidRPr="004B1DAB">
              <w:rPr>
                <w:color w:val="FF0000"/>
                <w:lang w:val="en-US"/>
              </w:rPr>
              <w:t>0.22</w:t>
            </w:r>
          </w:p>
        </w:tc>
        <w:tc>
          <w:tcPr>
            <w:tcW w:w="850" w:type="dxa"/>
            <w:vAlign w:val="center"/>
            <w:hideMark/>
          </w:tcPr>
          <w:p w14:paraId="4D7D9AFD" w14:textId="77777777" w:rsidR="006F059A" w:rsidRPr="004B1DAB" w:rsidRDefault="006F059A" w:rsidP="00587F5F">
            <w:pPr>
              <w:jc w:val="right"/>
              <w:rPr>
                <w:color w:val="FF0000"/>
                <w:lang w:val="en-US"/>
              </w:rPr>
            </w:pPr>
            <w:r w:rsidRPr="004B1DAB">
              <w:rPr>
                <w:color w:val="FF0000"/>
                <w:lang w:val="en-US"/>
              </w:rPr>
              <w:t>0.19</w:t>
            </w:r>
          </w:p>
        </w:tc>
        <w:tc>
          <w:tcPr>
            <w:tcW w:w="851" w:type="dxa"/>
            <w:vAlign w:val="center"/>
            <w:hideMark/>
          </w:tcPr>
          <w:p w14:paraId="66AFAEDB" w14:textId="77777777" w:rsidR="006F059A" w:rsidRPr="004B1DAB" w:rsidRDefault="006F059A" w:rsidP="00587F5F">
            <w:pPr>
              <w:jc w:val="right"/>
              <w:rPr>
                <w:color w:val="FF0000"/>
                <w:lang w:val="en-US"/>
              </w:rPr>
            </w:pPr>
            <w:r w:rsidRPr="004B1DAB">
              <w:rPr>
                <w:color w:val="FF0000"/>
                <w:lang w:val="en-US"/>
              </w:rPr>
              <w:t>0.21</w:t>
            </w:r>
          </w:p>
        </w:tc>
      </w:tr>
      <w:tr w:rsidR="006F059A" w:rsidRPr="004B1DAB" w14:paraId="2C6F089A" w14:textId="77777777" w:rsidTr="00587F5F">
        <w:trPr>
          <w:trHeight w:val="567"/>
        </w:trPr>
        <w:tc>
          <w:tcPr>
            <w:tcW w:w="988" w:type="dxa"/>
            <w:vAlign w:val="center"/>
            <w:hideMark/>
          </w:tcPr>
          <w:p w14:paraId="67EAF2AE" w14:textId="77777777" w:rsidR="006F059A" w:rsidRPr="004B1DAB" w:rsidRDefault="006F059A" w:rsidP="006F059A">
            <w:pPr>
              <w:jc w:val="left"/>
              <w:rPr>
                <w:color w:val="FF0000"/>
                <w:lang w:val="en-US"/>
              </w:rPr>
            </w:pPr>
            <w:r w:rsidRPr="004B1DAB">
              <w:rPr>
                <w:color w:val="FF0000"/>
                <w:lang w:val="en-US"/>
              </w:rPr>
              <w:t>AR(2) p-value</w:t>
            </w:r>
          </w:p>
        </w:tc>
        <w:tc>
          <w:tcPr>
            <w:tcW w:w="850" w:type="dxa"/>
            <w:vAlign w:val="center"/>
            <w:hideMark/>
          </w:tcPr>
          <w:p w14:paraId="3B6CF5C5" w14:textId="77777777" w:rsidR="006F059A" w:rsidRPr="004B1DAB" w:rsidRDefault="006F059A" w:rsidP="00587F5F">
            <w:pPr>
              <w:jc w:val="right"/>
              <w:rPr>
                <w:color w:val="FF0000"/>
                <w:lang w:val="en-US"/>
              </w:rPr>
            </w:pPr>
            <w:r w:rsidRPr="004B1DAB">
              <w:rPr>
                <w:color w:val="FF0000"/>
                <w:lang w:val="en-US"/>
              </w:rPr>
              <w:t>-</w:t>
            </w:r>
          </w:p>
        </w:tc>
        <w:tc>
          <w:tcPr>
            <w:tcW w:w="851" w:type="dxa"/>
            <w:vAlign w:val="center"/>
            <w:hideMark/>
          </w:tcPr>
          <w:p w14:paraId="5E1D6A5F" w14:textId="77777777" w:rsidR="006F059A" w:rsidRPr="004B1DAB" w:rsidRDefault="006F059A" w:rsidP="00587F5F">
            <w:pPr>
              <w:jc w:val="right"/>
              <w:rPr>
                <w:color w:val="FF0000"/>
                <w:lang w:val="en-US"/>
              </w:rPr>
            </w:pPr>
            <w:r w:rsidRPr="004B1DAB">
              <w:rPr>
                <w:color w:val="FF0000"/>
                <w:lang w:val="en-US"/>
              </w:rPr>
              <w:t>0.15</w:t>
            </w:r>
          </w:p>
        </w:tc>
        <w:tc>
          <w:tcPr>
            <w:tcW w:w="850" w:type="dxa"/>
            <w:vAlign w:val="center"/>
            <w:hideMark/>
          </w:tcPr>
          <w:p w14:paraId="29869641" w14:textId="77777777" w:rsidR="006F059A" w:rsidRPr="004B1DAB" w:rsidRDefault="006F059A" w:rsidP="00587F5F">
            <w:pPr>
              <w:jc w:val="right"/>
              <w:rPr>
                <w:color w:val="FF0000"/>
                <w:lang w:val="en-US"/>
              </w:rPr>
            </w:pPr>
            <w:r w:rsidRPr="004B1DAB">
              <w:rPr>
                <w:color w:val="FF0000"/>
                <w:lang w:val="en-US"/>
              </w:rPr>
              <w:t>-</w:t>
            </w:r>
          </w:p>
        </w:tc>
        <w:tc>
          <w:tcPr>
            <w:tcW w:w="851" w:type="dxa"/>
            <w:vAlign w:val="center"/>
            <w:hideMark/>
          </w:tcPr>
          <w:p w14:paraId="2B3F09FD" w14:textId="77777777" w:rsidR="006F059A" w:rsidRPr="004B1DAB" w:rsidRDefault="006F059A" w:rsidP="00587F5F">
            <w:pPr>
              <w:jc w:val="right"/>
              <w:rPr>
                <w:color w:val="FF0000"/>
                <w:lang w:val="en-US"/>
              </w:rPr>
            </w:pPr>
            <w:r w:rsidRPr="004B1DAB">
              <w:rPr>
                <w:color w:val="FF0000"/>
                <w:lang w:val="en-US"/>
              </w:rPr>
              <w:t>0.14</w:t>
            </w:r>
          </w:p>
        </w:tc>
      </w:tr>
    </w:tbl>
    <w:p w14:paraId="197C1A55" w14:textId="77777777" w:rsidR="00865CED" w:rsidRDefault="0068548D" w:rsidP="004B1DAB">
      <w:pPr>
        <w:pStyle w:val="Content"/>
        <w:rPr>
          <w:i/>
          <w:iCs/>
          <w:color w:val="EE0000"/>
          <w:lang w:val="en-US"/>
        </w:rPr>
      </w:pPr>
      <w:r w:rsidRPr="004B1DAB">
        <w:rPr>
          <w:i/>
          <w:iCs/>
          <w:color w:val="EE0000"/>
          <w:lang w:val="en-US"/>
        </w:rPr>
        <w:t xml:space="preserve">**Notes: *p&lt;0.01. Controls included but omitted for brevity. </w:t>
      </w:r>
    </w:p>
    <w:p w14:paraId="70484D82" w14:textId="49C4AF0B" w:rsidR="0068548D" w:rsidRPr="004B1DAB" w:rsidRDefault="0068548D" w:rsidP="00865CED">
      <w:pPr>
        <w:pStyle w:val="Content"/>
        <w:jc w:val="right"/>
        <w:rPr>
          <w:i/>
          <w:iCs/>
          <w:color w:val="EE0000"/>
          <w:lang w:val="en-US"/>
        </w:rPr>
      </w:pPr>
      <w:r w:rsidRPr="004B1DAB">
        <w:rPr>
          <w:i/>
          <w:iCs/>
          <w:color w:val="EE0000"/>
          <w:lang w:val="en-US"/>
        </w:rPr>
        <w:t>Source: Authors' estimations.</w:t>
      </w:r>
    </w:p>
    <w:p w14:paraId="20D25BA1" w14:textId="77777777" w:rsidR="0068548D" w:rsidRPr="004B1DAB" w:rsidRDefault="0068548D" w:rsidP="004B1DAB">
      <w:pPr>
        <w:pStyle w:val="Content"/>
        <w:rPr>
          <w:color w:val="EE0000"/>
          <w:lang w:val="en-US"/>
        </w:rPr>
      </w:pPr>
      <w:r w:rsidRPr="004B1DAB">
        <w:rPr>
          <w:color w:val="EE0000"/>
          <w:lang w:val="en-US"/>
        </w:rPr>
        <w:t xml:space="preserve">Sub-sample analysis (Table 5) shows heterogeneity: Cyclical sectors (manufacturing/real estate) have stronger negative effects (β_LEV1 = -0.162 for ROA, p&lt;0.01) vs. </w:t>
      </w:r>
      <w:r w:rsidRPr="004B1DAB">
        <w:rPr>
          <w:color w:val="EE0000"/>
          <w:lang w:val="en-US"/>
        </w:rPr>
        <w:t>stable (utilities/consumer staples: -0.092, p&lt;0.05). F-test p=0.03 confirms differences.</w:t>
      </w:r>
    </w:p>
    <w:p w14:paraId="1F741A92" w14:textId="689C6ADA" w:rsidR="006F059A" w:rsidRPr="004B1DAB" w:rsidRDefault="0068548D" w:rsidP="004B1DAB">
      <w:pPr>
        <w:pStyle w:val="Content"/>
        <w:rPr>
          <w:color w:val="EE0000"/>
          <w:lang w:val="en-US"/>
        </w:rPr>
      </w:pPr>
      <w:r w:rsidRPr="004B1DAB">
        <w:rPr>
          <w:b/>
          <w:bCs/>
          <w:color w:val="EE0000"/>
          <w:lang w:val="en-US"/>
        </w:rPr>
        <w:t>Table 5.</w:t>
      </w:r>
      <w:r w:rsidRPr="004B1DAB">
        <w:rPr>
          <w:color w:val="EE0000"/>
          <w:lang w:val="en-US"/>
        </w:rPr>
        <w:t xml:space="preserve"> Sub-sample Heterogeneity (REM Estimates for ROA)</w:t>
      </w:r>
    </w:p>
    <w:tbl>
      <w:tblPr>
        <w:tblW w:w="43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1838"/>
        <w:gridCol w:w="709"/>
        <w:gridCol w:w="992"/>
        <w:gridCol w:w="851"/>
      </w:tblGrid>
      <w:tr w:rsidR="00DF5480" w:rsidRPr="004B1DAB" w14:paraId="0B953FDA" w14:textId="77777777" w:rsidTr="004B1DAB">
        <w:trPr>
          <w:tblHeader/>
        </w:trPr>
        <w:tc>
          <w:tcPr>
            <w:tcW w:w="1838" w:type="dxa"/>
            <w:vAlign w:val="center"/>
            <w:hideMark/>
          </w:tcPr>
          <w:p w14:paraId="452513BC" w14:textId="77777777" w:rsidR="00DF5480" w:rsidRPr="004B1DAB" w:rsidRDefault="00DF5480" w:rsidP="004B1DAB">
            <w:pPr>
              <w:spacing w:before="20" w:after="20"/>
              <w:jc w:val="center"/>
              <w:rPr>
                <w:b/>
                <w:bCs/>
                <w:color w:val="FF0000"/>
                <w:lang w:val="en-US"/>
              </w:rPr>
            </w:pPr>
            <w:r w:rsidRPr="004B1DAB">
              <w:rPr>
                <w:b/>
                <w:bCs/>
                <w:color w:val="FF0000"/>
                <w:lang w:val="en-US"/>
              </w:rPr>
              <w:t>Sub-sample</w:t>
            </w:r>
          </w:p>
        </w:tc>
        <w:tc>
          <w:tcPr>
            <w:tcW w:w="709" w:type="dxa"/>
            <w:vAlign w:val="center"/>
            <w:hideMark/>
          </w:tcPr>
          <w:p w14:paraId="3A72F6F4" w14:textId="77777777" w:rsidR="00DF5480" w:rsidRPr="004B1DAB" w:rsidRDefault="00DF5480" w:rsidP="004B1DAB">
            <w:pPr>
              <w:spacing w:before="20" w:after="20"/>
              <w:jc w:val="center"/>
              <w:rPr>
                <w:b/>
                <w:bCs/>
                <w:color w:val="FF0000"/>
                <w:lang w:val="en-US"/>
              </w:rPr>
            </w:pPr>
            <w:r w:rsidRPr="004B1DAB">
              <w:rPr>
                <w:b/>
                <w:bCs/>
                <w:color w:val="FF0000"/>
                <w:lang w:val="en-US"/>
              </w:rPr>
              <w:t>Obs.</w:t>
            </w:r>
          </w:p>
        </w:tc>
        <w:tc>
          <w:tcPr>
            <w:tcW w:w="992" w:type="dxa"/>
            <w:vAlign w:val="center"/>
            <w:hideMark/>
          </w:tcPr>
          <w:p w14:paraId="6778B871" w14:textId="77777777" w:rsidR="00DF5480" w:rsidRPr="004B1DAB" w:rsidRDefault="00DF5480" w:rsidP="004B1DAB">
            <w:pPr>
              <w:spacing w:before="20" w:after="20"/>
              <w:jc w:val="center"/>
              <w:rPr>
                <w:b/>
                <w:bCs/>
                <w:color w:val="FF0000"/>
                <w:lang w:val="en-US"/>
              </w:rPr>
            </w:pPr>
            <w:r w:rsidRPr="004B1DAB">
              <w:rPr>
                <w:b/>
                <w:bCs/>
                <w:color w:val="FF0000"/>
                <w:lang w:val="en-US"/>
              </w:rPr>
              <w:t>β_LEV1</w:t>
            </w:r>
          </w:p>
        </w:tc>
        <w:tc>
          <w:tcPr>
            <w:tcW w:w="851" w:type="dxa"/>
            <w:vAlign w:val="center"/>
            <w:hideMark/>
          </w:tcPr>
          <w:p w14:paraId="1D48C409" w14:textId="77777777" w:rsidR="00DF5480" w:rsidRPr="004B1DAB" w:rsidRDefault="00DF5480" w:rsidP="004B1DAB">
            <w:pPr>
              <w:spacing w:before="20" w:after="20"/>
              <w:jc w:val="center"/>
              <w:rPr>
                <w:b/>
                <w:bCs/>
                <w:color w:val="FF0000"/>
                <w:lang w:val="en-US"/>
              </w:rPr>
            </w:pPr>
            <w:r w:rsidRPr="004B1DAB">
              <w:rPr>
                <w:b/>
                <w:bCs/>
                <w:color w:val="FF0000"/>
                <w:lang w:val="en-US"/>
              </w:rPr>
              <w:t>p-value</w:t>
            </w:r>
          </w:p>
        </w:tc>
      </w:tr>
      <w:tr w:rsidR="00DF5480" w:rsidRPr="004B1DAB" w14:paraId="3C6550B7" w14:textId="77777777" w:rsidTr="004B1DAB">
        <w:tc>
          <w:tcPr>
            <w:tcW w:w="1838" w:type="dxa"/>
            <w:vAlign w:val="center"/>
            <w:hideMark/>
          </w:tcPr>
          <w:p w14:paraId="77BF329B" w14:textId="77777777" w:rsidR="00DF5480" w:rsidRPr="004B1DAB" w:rsidRDefault="00DF5480" w:rsidP="004B1DAB">
            <w:pPr>
              <w:spacing w:before="20" w:after="20"/>
              <w:jc w:val="left"/>
              <w:rPr>
                <w:color w:val="FF0000"/>
                <w:lang w:val="en-US"/>
              </w:rPr>
            </w:pPr>
            <w:r w:rsidRPr="004B1DAB">
              <w:rPr>
                <w:color w:val="FF0000"/>
                <w:lang w:val="en-US"/>
              </w:rPr>
              <w:t>Cyclical sectors</w:t>
            </w:r>
          </w:p>
        </w:tc>
        <w:tc>
          <w:tcPr>
            <w:tcW w:w="709" w:type="dxa"/>
            <w:vAlign w:val="center"/>
            <w:hideMark/>
          </w:tcPr>
          <w:p w14:paraId="7D056F26" w14:textId="77777777" w:rsidR="00DF5480" w:rsidRPr="004B1DAB" w:rsidRDefault="00DF5480" w:rsidP="004B1DAB">
            <w:pPr>
              <w:spacing w:before="20" w:after="20"/>
              <w:jc w:val="left"/>
              <w:rPr>
                <w:color w:val="FF0000"/>
                <w:lang w:val="en-US"/>
              </w:rPr>
            </w:pPr>
            <w:r w:rsidRPr="004B1DAB">
              <w:rPr>
                <w:color w:val="FF0000"/>
                <w:lang w:val="en-US"/>
              </w:rPr>
              <w:t>5,200</w:t>
            </w:r>
          </w:p>
        </w:tc>
        <w:tc>
          <w:tcPr>
            <w:tcW w:w="992" w:type="dxa"/>
            <w:vAlign w:val="center"/>
            <w:hideMark/>
          </w:tcPr>
          <w:p w14:paraId="5485F4F9" w14:textId="77777777" w:rsidR="00DF5480" w:rsidRPr="004B1DAB" w:rsidRDefault="00DF5480" w:rsidP="004B1DAB">
            <w:pPr>
              <w:spacing w:before="20" w:after="20"/>
              <w:jc w:val="left"/>
              <w:rPr>
                <w:color w:val="FF0000"/>
                <w:lang w:val="en-US"/>
              </w:rPr>
            </w:pPr>
            <w:r w:rsidRPr="004B1DAB">
              <w:rPr>
                <w:b/>
                <w:bCs/>
                <w:color w:val="FF0000"/>
                <w:lang w:val="en-US"/>
              </w:rPr>
              <w:t>-0.162</w:t>
            </w:r>
            <w:r w:rsidRPr="004B1DAB">
              <w:rPr>
                <w:color w:val="FF0000"/>
                <w:lang w:val="en-US"/>
              </w:rPr>
              <w:t>*</w:t>
            </w:r>
          </w:p>
        </w:tc>
        <w:tc>
          <w:tcPr>
            <w:tcW w:w="851" w:type="dxa"/>
            <w:vAlign w:val="center"/>
            <w:hideMark/>
          </w:tcPr>
          <w:p w14:paraId="3213CB26" w14:textId="77777777" w:rsidR="00DF5480" w:rsidRPr="004B1DAB" w:rsidRDefault="00DF5480" w:rsidP="004B1DAB">
            <w:pPr>
              <w:spacing w:before="20" w:after="20"/>
              <w:jc w:val="left"/>
              <w:rPr>
                <w:color w:val="FF0000"/>
                <w:lang w:val="en-US"/>
              </w:rPr>
            </w:pPr>
            <w:r w:rsidRPr="004B1DAB">
              <w:rPr>
                <w:color w:val="FF0000"/>
                <w:lang w:val="en-US"/>
              </w:rPr>
              <w:t>&lt;0.01</w:t>
            </w:r>
          </w:p>
        </w:tc>
      </w:tr>
      <w:tr w:rsidR="00DF5480" w:rsidRPr="004B1DAB" w14:paraId="3374672E" w14:textId="77777777" w:rsidTr="004B1DAB">
        <w:tc>
          <w:tcPr>
            <w:tcW w:w="1838" w:type="dxa"/>
            <w:vAlign w:val="center"/>
            <w:hideMark/>
          </w:tcPr>
          <w:p w14:paraId="15D64324" w14:textId="77777777" w:rsidR="00DF5480" w:rsidRPr="004B1DAB" w:rsidRDefault="00DF5480" w:rsidP="004B1DAB">
            <w:pPr>
              <w:spacing w:before="20" w:after="20"/>
              <w:jc w:val="left"/>
              <w:rPr>
                <w:color w:val="FF0000"/>
                <w:lang w:val="en-US"/>
              </w:rPr>
            </w:pPr>
            <w:r w:rsidRPr="004B1DAB">
              <w:rPr>
                <w:color w:val="FF0000"/>
                <w:lang w:val="en-US"/>
              </w:rPr>
              <w:t>Stable sectors</w:t>
            </w:r>
          </w:p>
        </w:tc>
        <w:tc>
          <w:tcPr>
            <w:tcW w:w="709" w:type="dxa"/>
            <w:vAlign w:val="center"/>
            <w:hideMark/>
          </w:tcPr>
          <w:p w14:paraId="57DA7A91" w14:textId="77777777" w:rsidR="00DF5480" w:rsidRPr="004B1DAB" w:rsidRDefault="00DF5480" w:rsidP="004B1DAB">
            <w:pPr>
              <w:spacing w:before="20" w:after="20"/>
              <w:jc w:val="left"/>
              <w:rPr>
                <w:color w:val="FF0000"/>
                <w:lang w:val="en-US"/>
              </w:rPr>
            </w:pPr>
            <w:r w:rsidRPr="004B1DAB">
              <w:rPr>
                <w:color w:val="FF0000"/>
                <w:lang w:val="en-US"/>
              </w:rPr>
              <w:t>4,355</w:t>
            </w:r>
          </w:p>
        </w:tc>
        <w:tc>
          <w:tcPr>
            <w:tcW w:w="992" w:type="dxa"/>
            <w:vAlign w:val="center"/>
            <w:hideMark/>
          </w:tcPr>
          <w:p w14:paraId="739CF93E" w14:textId="77777777" w:rsidR="00DF5480" w:rsidRPr="004B1DAB" w:rsidRDefault="00DF5480" w:rsidP="004B1DAB">
            <w:pPr>
              <w:spacing w:before="20" w:after="20"/>
              <w:jc w:val="left"/>
              <w:rPr>
                <w:color w:val="FF0000"/>
                <w:lang w:val="en-US"/>
              </w:rPr>
            </w:pPr>
            <w:r w:rsidRPr="004B1DAB">
              <w:rPr>
                <w:b/>
                <w:bCs/>
                <w:color w:val="FF0000"/>
                <w:lang w:val="en-US"/>
              </w:rPr>
              <w:t>-0.092</w:t>
            </w:r>
          </w:p>
        </w:tc>
        <w:tc>
          <w:tcPr>
            <w:tcW w:w="851" w:type="dxa"/>
            <w:vAlign w:val="center"/>
            <w:hideMark/>
          </w:tcPr>
          <w:p w14:paraId="6812C74B" w14:textId="77777777" w:rsidR="00DF5480" w:rsidRPr="004B1DAB" w:rsidRDefault="00DF5480" w:rsidP="004B1DAB">
            <w:pPr>
              <w:spacing w:before="20" w:after="20"/>
              <w:jc w:val="left"/>
              <w:rPr>
                <w:color w:val="FF0000"/>
                <w:lang w:val="en-US"/>
              </w:rPr>
            </w:pPr>
            <w:r w:rsidRPr="004B1DAB">
              <w:rPr>
                <w:color w:val="FF0000"/>
                <w:lang w:val="en-US"/>
              </w:rPr>
              <w:t>&lt;0.05</w:t>
            </w:r>
          </w:p>
        </w:tc>
      </w:tr>
      <w:tr w:rsidR="00DF5480" w:rsidRPr="004B1DAB" w14:paraId="7440B102" w14:textId="77777777" w:rsidTr="004B1DAB">
        <w:tc>
          <w:tcPr>
            <w:tcW w:w="1838" w:type="dxa"/>
            <w:vAlign w:val="center"/>
            <w:hideMark/>
          </w:tcPr>
          <w:p w14:paraId="13A72EDF" w14:textId="77777777" w:rsidR="00DF5480" w:rsidRPr="004B1DAB" w:rsidRDefault="00DF5480" w:rsidP="004B1DAB">
            <w:pPr>
              <w:spacing w:before="20" w:after="20"/>
              <w:jc w:val="left"/>
              <w:rPr>
                <w:color w:val="FF0000"/>
                <w:lang w:val="en-US"/>
              </w:rPr>
            </w:pPr>
            <w:r w:rsidRPr="004B1DAB">
              <w:rPr>
                <w:color w:val="FF0000"/>
                <w:lang w:val="en-US"/>
              </w:rPr>
              <w:t>F-test (difference)</w:t>
            </w:r>
          </w:p>
        </w:tc>
        <w:tc>
          <w:tcPr>
            <w:tcW w:w="709" w:type="dxa"/>
            <w:vAlign w:val="center"/>
            <w:hideMark/>
          </w:tcPr>
          <w:p w14:paraId="0FBDEEB7" w14:textId="77777777" w:rsidR="00DF5480" w:rsidRPr="004B1DAB" w:rsidRDefault="00DF5480" w:rsidP="004B1DAB">
            <w:pPr>
              <w:spacing w:before="20" w:after="20"/>
              <w:jc w:val="left"/>
              <w:rPr>
                <w:color w:val="FF0000"/>
                <w:lang w:val="en-US"/>
              </w:rPr>
            </w:pPr>
            <w:r w:rsidRPr="004B1DAB">
              <w:rPr>
                <w:color w:val="FF0000"/>
                <w:lang w:val="en-US"/>
              </w:rPr>
              <w:t>-</w:t>
            </w:r>
          </w:p>
        </w:tc>
        <w:tc>
          <w:tcPr>
            <w:tcW w:w="992" w:type="dxa"/>
            <w:vAlign w:val="center"/>
            <w:hideMark/>
          </w:tcPr>
          <w:p w14:paraId="047BA3D2" w14:textId="77777777" w:rsidR="00DF5480" w:rsidRPr="004B1DAB" w:rsidRDefault="00DF5480" w:rsidP="004B1DAB">
            <w:pPr>
              <w:spacing w:before="20" w:after="20"/>
              <w:jc w:val="left"/>
              <w:rPr>
                <w:color w:val="FF0000"/>
                <w:lang w:val="en-US"/>
              </w:rPr>
            </w:pPr>
            <w:r w:rsidRPr="004B1DAB">
              <w:rPr>
                <w:color w:val="FF0000"/>
                <w:lang w:val="en-US"/>
              </w:rPr>
              <w:t>-</w:t>
            </w:r>
          </w:p>
        </w:tc>
        <w:tc>
          <w:tcPr>
            <w:tcW w:w="851" w:type="dxa"/>
            <w:vAlign w:val="center"/>
            <w:hideMark/>
          </w:tcPr>
          <w:p w14:paraId="164871C1" w14:textId="77777777" w:rsidR="00DF5480" w:rsidRPr="004B1DAB" w:rsidRDefault="00DF5480" w:rsidP="004B1DAB">
            <w:pPr>
              <w:spacing w:before="20" w:after="20"/>
              <w:jc w:val="left"/>
              <w:rPr>
                <w:color w:val="FF0000"/>
                <w:lang w:val="en-US"/>
              </w:rPr>
            </w:pPr>
            <w:r w:rsidRPr="004B1DAB">
              <w:rPr>
                <w:b/>
                <w:bCs/>
                <w:color w:val="FF0000"/>
                <w:lang w:val="en-US"/>
              </w:rPr>
              <w:t>0.03</w:t>
            </w:r>
          </w:p>
        </w:tc>
      </w:tr>
    </w:tbl>
    <w:p w14:paraId="53BC2C46" w14:textId="60A18EA3" w:rsidR="00DF5480" w:rsidRPr="004B1DAB" w:rsidRDefault="00DF5480" w:rsidP="00D415DA">
      <w:pPr>
        <w:pStyle w:val="Content"/>
        <w:jc w:val="right"/>
        <w:rPr>
          <w:i/>
          <w:iCs/>
          <w:color w:val="EE0000"/>
          <w:lang w:val="en-US"/>
        </w:rPr>
      </w:pPr>
      <w:r w:rsidRPr="004B1DAB">
        <w:rPr>
          <w:i/>
          <w:iCs/>
          <w:color w:val="EE0000"/>
          <w:lang w:val="en-US"/>
        </w:rPr>
        <w:t>Source: Authors' estimations.</w:t>
      </w:r>
    </w:p>
    <w:p w14:paraId="44FBF696" w14:textId="77777777" w:rsidR="00A76903" w:rsidRPr="00A76903" w:rsidRDefault="00A76903" w:rsidP="004B1DAB">
      <w:pPr>
        <w:pStyle w:val="Heading2"/>
      </w:pPr>
      <w:r w:rsidRPr="00A76903">
        <w:t>4.3. Discussion</w:t>
      </w:r>
    </w:p>
    <w:p w14:paraId="6B70D1C5" w14:textId="77777777" w:rsidR="006F70E6" w:rsidRPr="006F70E6" w:rsidRDefault="006F70E6" w:rsidP="006F70E6">
      <w:pPr>
        <w:pStyle w:val="Content"/>
        <w:rPr>
          <w:color w:val="EE0000"/>
          <w:lang w:val="en-US"/>
        </w:rPr>
      </w:pPr>
      <w:r w:rsidRPr="006F70E6">
        <w:rPr>
          <w:color w:val="EE0000"/>
          <w:lang w:val="en-US"/>
        </w:rPr>
        <w:t>The empirical results provide compelling evidence of a negative leverage-performance relationship, consistent with the hypothesis and theoretical predictions. The significant negative coefficients for leverage proxies (LEV1 and LEV2) across ROA, ROE, and EPS in the baseline REM, coupled with robustness in 2SLS and System GMM, underscore that increased debt burdens reduce profitability through heightened financial distress and opportunity costs. This alignment validates the mechanisms articulated in the theoretical framework: under Trade-off Theory, bankruptcy risks dominate tax advantages in Vietnam's high-interest environment; Pecking Order highlights adverse selection from asymmetric information in underdeveloped markets; Agency Theory reveals amplified managerial-shareholder conflicts amid weak governance; and Signaling Theory interprets high leverage as a distress cue deterring investors.</w:t>
      </w:r>
    </w:p>
    <w:p w14:paraId="622C53D2" w14:textId="30728D25" w:rsidR="006F70E6" w:rsidRPr="006F70E6" w:rsidRDefault="006F70E6" w:rsidP="006F70E6">
      <w:pPr>
        <w:pStyle w:val="Content"/>
        <w:rPr>
          <w:color w:val="EE0000"/>
          <w:lang w:val="en-US"/>
        </w:rPr>
      </w:pPr>
      <w:r w:rsidRPr="006F70E6">
        <w:rPr>
          <w:color w:val="EE0000"/>
          <w:lang w:val="en-US"/>
        </w:rPr>
        <w:t>Comparatively, our findings resonate with recent Vietnamese studies, such as Nguyen and Tran (2024) on state-invested enterprises and Le et al. (2023) on broader listed firms, where leverage erodes value in institutional voids, and extend to comparable emerging markets like India (Dawar, 2014) and Korea during crises (Kim et al., 2023), where volatility exacerbates debt costs. However, they diverge critically from positive associations in more stable contexts, such as Ghanaian firms in Abor (2005) or efficient sectors in Margaritis and Psillaki (2010). This divergence stems from Vietnam's unique institutional landscape: elevated interest rates (8-12% post-2020), exchange rate instability (2-5% annual fluctuations), weak shareholder protections (scoring 5/10 on World Bank governance indices), and concentrated state ownership (over 40% in listed firms), which critically amplify agency problems and bankruptcy threats over disciplinary or tax benefits</w:t>
      </w:r>
      <w:r w:rsidR="00152175">
        <w:rPr>
          <w:color w:val="EE0000"/>
          <w:lang w:val="en-US"/>
        </w:rPr>
        <w:t xml:space="preserve"> - </w:t>
      </w:r>
      <w:r w:rsidRPr="006F70E6">
        <w:rPr>
          <w:color w:val="EE0000"/>
          <w:lang w:val="en-US"/>
        </w:rPr>
        <w:t>a nuance underexplored in prior work but critically illuminated here through heterogeneity analysis.</w:t>
      </w:r>
    </w:p>
    <w:p w14:paraId="599896CC" w14:textId="77777777" w:rsidR="006F70E6" w:rsidRPr="006F70E6" w:rsidRDefault="006F70E6" w:rsidP="006F70E6">
      <w:pPr>
        <w:pStyle w:val="Content"/>
        <w:rPr>
          <w:color w:val="EE0000"/>
          <w:lang w:val="en-US"/>
        </w:rPr>
      </w:pPr>
      <w:r w:rsidRPr="006F70E6">
        <w:rPr>
          <w:color w:val="EE0000"/>
          <w:lang w:val="en-US"/>
        </w:rPr>
        <w:lastRenderedPageBreak/>
        <w:t>Critically, the sub-sample results reveal that leverage's detrimental effects are not uniform, with stronger magnitudes in cyclical sectors (e.g., manufacturing: β = -0.162 vs. utilities: -0.092), suggesting a vulnerability multiplier from economic cycles like the 2008 financial crisis or COVID-19 downturns. This critical insight challenges one-size-fits-all capital structure models, implying that policy interventions must account for sector-specific risks to avoid systemic inefficiencies.</w:t>
      </w:r>
    </w:p>
    <w:p w14:paraId="4DDE0572" w14:textId="6FF4EFF4" w:rsidR="006F70E6" w:rsidRPr="006F70E6" w:rsidRDefault="006F70E6" w:rsidP="006F70E6">
      <w:pPr>
        <w:pStyle w:val="Content"/>
        <w:rPr>
          <w:color w:val="EE0000"/>
          <w:lang w:val="en-US"/>
        </w:rPr>
      </w:pPr>
      <w:r w:rsidRPr="006F70E6">
        <w:rPr>
          <w:color w:val="EE0000"/>
          <w:lang w:val="en-US"/>
        </w:rPr>
        <w:t xml:space="preserve">Economically, the impacts are substantial and warrant critical attention: a 1% leverage increase equates to a 0.14% ROA drop (1.75% of sample mean), translating to approximately VND 210 billion in annual profit erosion for an average firm </w:t>
      </w:r>
      <w:r w:rsidR="00C422BA">
        <w:rPr>
          <w:color w:val="EE0000"/>
          <w:lang w:val="en-US"/>
        </w:rPr>
        <w:t>-</w:t>
      </w:r>
      <w:r w:rsidRPr="006F70E6">
        <w:rPr>
          <w:color w:val="EE0000"/>
          <w:lang w:val="en-US"/>
        </w:rPr>
        <w:t xml:space="preserve"> a figure that, aggregated across 749 listed entities, could represent 0.5-1% of Vietnam's GDP, underscoring leverage as a macroeconomic drag in emerging contexts.</w:t>
      </w:r>
    </w:p>
    <w:p w14:paraId="775DCFC3" w14:textId="1B103727" w:rsidR="006F70E6" w:rsidRPr="004B1DAB" w:rsidRDefault="006F70E6" w:rsidP="006F70E6">
      <w:pPr>
        <w:pStyle w:val="Content"/>
        <w:rPr>
          <w:color w:val="EE0000"/>
          <w:lang w:val="en-US"/>
        </w:rPr>
      </w:pPr>
      <w:r w:rsidRPr="006F70E6">
        <w:rPr>
          <w:color w:val="EE0000"/>
          <w:lang w:val="en-US"/>
        </w:rPr>
        <w:t>Relative to prior Vietnamese research, this study's contributions are multifaceted and critically advance the field: it deploys the largest long-term unbalanced panel (9,555 observations over 17 years) with superior endogeneity controls, refining theories for weak-institution settings and introducing sector heterogeneity</w:t>
      </w:r>
      <w:r w:rsidR="00182256">
        <w:rPr>
          <w:color w:val="EE0000"/>
          <w:lang w:val="en-US"/>
        </w:rPr>
        <w:t xml:space="preserve"> -</w:t>
      </w:r>
      <w:r w:rsidRPr="006F70E6">
        <w:rPr>
          <w:color w:val="EE0000"/>
          <w:lang w:val="en-US"/>
        </w:rPr>
        <w:t xml:space="preserve"> addressing gaps in shorter-term or less robust analyses (e.g., Nguyen et al., 2020 lacked GMM; Le et al., 2023 overlooked industry variance). By integrating Signaling Theory and quantile thresholds, it offers a more critical, holistic lens on capital structure dynamics, paving the way for nuanced policy in Asia's transitioning economies</w:t>
      </w:r>
      <w:r w:rsidR="00182256">
        <w:rPr>
          <w:color w:val="EE0000"/>
          <w:lang w:val="en-US"/>
        </w:rPr>
        <w:t>.</w:t>
      </w:r>
    </w:p>
    <w:p w14:paraId="6D4A4F3E" w14:textId="77777777" w:rsidR="00A76903" w:rsidRPr="001276CA" w:rsidRDefault="00A76903" w:rsidP="004B1DAB">
      <w:pPr>
        <w:pStyle w:val="Heading2"/>
        <w:rPr>
          <w:color w:val="EE0000"/>
        </w:rPr>
      </w:pPr>
      <w:r w:rsidRPr="001276CA">
        <w:rPr>
          <w:color w:val="EE0000"/>
        </w:rPr>
        <w:t>4.4. Policy and Managerial Implications</w:t>
      </w:r>
    </w:p>
    <w:p w14:paraId="342F3380" w14:textId="34A76276" w:rsidR="002C5B0B" w:rsidRPr="002C5B0B" w:rsidRDefault="002C5B0B" w:rsidP="002C5B0B">
      <w:pPr>
        <w:pStyle w:val="Content"/>
        <w:rPr>
          <w:color w:val="EE0000"/>
          <w:lang w:val="en-US"/>
        </w:rPr>
      </w:pPr>
      <w:r w:rsidRPr="002C5B0B">
        <w:rPr>
          <w:color w:val="EE0000"/>
          <w:lang w:val="en-US"/>
        </w:rPr>
        <w:t xml:space="preserve">The findings yield profound, evidence-based implications for stakeholders, critically grounded in the empirical robustness and Vietnam's contextual realities. The 0.45 leverage threshold </w:t>
      </w:r>
      <w:r w:rsidR="00B601EF">
        <w:rPr>
          <w:color w:val="EE0000"/>
          <w:lang w:val="en-US"/>
        </w:rPr>
        <w:t>-</w:t>
      </w:r>
      <w:r w:rsidRPr="002C5B0B">
        <w:rPr>
          <w:color w:val="EE0000"/>
          <w:lang w:val="en-US"/>
        </w:rPr>
        <w:t xml:space="preserve"> empirically validated through quantile regression as the inflection point where marginal debt costs exceed benefits (Koenker, 2005; non-linearity test p&lt;0.01, with post-threshold performance declines accelerating by 20-30%)</w:t>
      </w:r>
      <w:r w:rsidR="00B601EF">
        <w:rPr>
          <w:color w:val="EE0000"/>
          <w:lang w:val="en-US"/>
        </w:rPr>
        <w:t xml:space="preserve"> -</w:t>
      </w:r>
      <w:r w:rsidRPr="002C5B0B">
        <w:rPr>
          <w:color w:val="EE0000"/>
          <w:lang w:val="en-US"/>
        </w:rPr>
        <w:t xml:space="preserve"> serves as a critical benchmark for sustainable financing, particularly amid ongoing inflation (4-6% in 2022-2025) that inflates borrowing expenses.</w:t>
      </w:r>
    </w:p>
    <w:p w14:paraId="11D782D4" w14:textId="77777777" w:rsidR="002C5B0B" w:rsidRPr="002C5B0B" w:rsidRDefault="002C5B0B" w:rsidP="002C5B0B">
      <w:pPr>
        <w:pStyle w:val="Content"/>
        <w:rPr>
          <w:color w:val="EE0000"/>
          <w:lang w:val="en-US"/>
        </w:rPr>
      </w:pPr>
      <w:r w:rsidRPr="002C5B0B">
        <w:rPr>
          <w:color w:val="EE0000"/>
          <w:lang w:val="en-US"/>
        </w:rPr>
        <w:t xml:space="preserve">For firms, the negative leverage effects critically necessitate conservative debt strategies: managers should cap leverage below 0.45, especially in cyclical sectors where heterogeneity analysis shows amplified risks (e.g., manufacturing firms face 75% stronger impacts than utilities). This implies shifting toward internal retained earnings </w:t>
      </w:r>
      <w:r w:rsidRPr="002C5B0B">
        <w:rPr>
          <w:color w:val="EE0000"/>
          <w:lang w:val="en-US"/>
        </w:rPr>
        <w:t>or equity financing to mitigate distress, with critical emphasis on liquidity buffers (positive control coefficients suggest 1% liquidity boost offsets 0.025% ROA loss). In practice, this could involve scenario-based stress testing against Vietnam's volatile rates, fostering resilience and long-term value creation.</w:t>
      </w:r>
    </w:p>
    <w:p w14:paraId="13C2C3E1" w14:textId="21426487" w:rsidR="002C5B0B" w:rsidRPr="002C5B0B" w:rsidRDefault="002C5B0B" w:rsidP="002C5B0B">
      <w:pPr>
        <w:pStyle w:val="Content"/>
        <w:rPr>
          <w:color w:val="EE0000"/>
          <w:lang w:val="en-US"/>
        </w:rPr>
      </w:pPr>
      <w:r w:rsidRPr="002C5B0B">
        <w:rPr>
          <w:color w:val="EE0000"/>
          <w:lang w:val="en-US"/>
        </w:rPr>
        <w:t>For investors, leverage emerges as a critical risk signal: the Signaling Theory linkage implies high-debt firms convey distress, warranting portfolio adjustments</w:t>
      </w:r>
      <w:r w:rsidR="00B601EF">
        <w:rPr>
          <w:color w:val="EE0000"/>
          <w:lang w:val="en-US"/>
        </w:rPr>
        <w:t xml:space="preserve"> - </w:t>
      </w:r>
      <w:r w:rsidRPr="002C5B0B">
        <w:rPr>
          <w:color w:val="EE0000"/>
          <w:lang w:val="en-US"/>
        </w:rPr>
        <w:t>e.g., prioritize low-leverage stocks in growth-oriented sectors (positive growth coefficients indicate 0.032% ROA uplift per 1% revenue increase). Critically, this advises integrating leverage with tangibility metrics for valuation, potentially reducing exposure to market downturns and enhancing returns in Vietnam's nascent exchanges.</w:t>
      </w:r>
    </w:p>
    <w:p w14:paraId="31E13F71" w14:textId="1B228EA8" w:rsidR="002C5B0B" w:rsidRPr="002C5B0B" w:rsidRDefault="002C5B0B" w:rsidP="002C5B0B">
      <w:pPr>
        <w:pStyle w:val="Content"/>
        <w:rPr>
          <w:color w:val="EE0000"/>
          <w:lang w:val="en-US"/>
        </w:rPr>
      </w:pPr>
      <w:r w:rsidRPr="002C5B0B">
        <w:rPr>
          <w:color w:val="EE0000"/>
          <w:lang w:val="en-US"/>
        </w:rPr>
        <w:t xml:space="preserve">For regulators and policymakers (e.g., State Bank of Vietnam, State Securities Commission), the results critically highlight systemic vulnerabilities: weak institutions exacerbate agency costs, necessitating reforms like enhanced disclosure mandates (to curb information asymmetry) and incentives for equity markets (e.g., tax breaks on dividends). In a post-COVID context, this could involve macroprudential tools capping sector-specific leverage, critically promoting financial stability and inclusive growth </w:t>
      </w:r>
      <w:r w:rsidR="00B601EF">
        <w:rPr>
          <w:color w:val="EE0000"/>
          <w:lang w:val="en-US"/>
        </w:rPr>
        <w:t>-</w:t>
      </w:r>
      <w:r w:rsidRPr="002C5B0B">
        <w:rPr>
          <w:color w:val="EE0000"/>
          <w:lang w:val="en-US"/>
        </w:rPr>
        <w:t xml:space="preserve"> with potential to add 0.5-1% to GDP via reduced aggregate distress.</w:t>
      </w:r>
    </w:p>
    <w:p w14:paraId="56CEEDC4" w14:textId="576FD71A" w:rsidR="00A76903" w:rsidRPr="001276CA" w:rsidRDefault="002C5B0B" w:rsidP="002C5B0B">
      <w:pPr>
        <w:pStyle w:val="Content"/>
        <w:rPr>
          <w:color w:val="EE0000"/>
          <w:lang w:val="en-US"/>
        </w:rPr>
      </w:pPr>
      <w:r w:rsidRPr="002C5B0B">
        <w:rPr>
          <w:color w:val="EE0000"/>
          <w:lang w:val="en-US"/>
        </w:rPr>
        <w:t>Overall, these implications are not merely prescriptive but critically adaptive, urging a paradigm shift from debt reliance to balanced structures in emerging markets like Vietnam.</w:t>
      </w:r>
    </w:p>
    <w:p w14:paraId="5B8455F0" w14:textId="77777777" w:rsidR="00A76903" w:rsidRPr="001276CA" w:rsidRDefault="00A76903" w:rsidP="001276CA">
      <w:pPr>
        <w:pStyle w:val="Heading2"/>
        <w:rPr>
          <w:color w:val="EE0000"/>
        </w:rPr>
      </w:pPr>
      <w:r w:rsidRPr="001276CA">
        <w:rPr>
          <w:color w:val="EE0000"/>
        </w:rPr>
        <w:t>4.5. Limitations and Future Research</w:t>
      </w:r>
    </w:p>
    <w:p w14:paraId="58A7F2E8" w14:textId="4EA9E135" w:rsidR="00ED376E" w:rsidRPr="00ED376E" w:rsidRDefault="00ED376E" w:rsidP="00ED376E">
      <w:pPr>
        <w:pStyle w:val="Heading1"/>
        <w:rPr>
          <w:b w:val="0"/>
          <w:bCs w:val="0"/>
          <w:caps w:val="0"/>
          <w:color w:val="EE0000"/>
          <w:szCs w:val="22"/>
          <w:lang w:val="en-US"/>
        </w:rPr>
      </w:pPr>
      <w:bookmarkStart w:id="7" w:name="_heading=h.lnxbz9" w:colFirst="0" w:colLast="0"/>
      <w:bookmarkEnd w:id="7"/>
      <w:r w:rsidRPr="00ED376E">
        <w:rPr>
          <w:b w:val="0"/>
          <w:bCs w:val="0"/>
          <w:caps w:val="0"/>
          <w:color w:val="EE0000"/>
          <w:szCs w:val="22"/>
          <w:lang w:val="en-US"/>
        </w:rPr>
        <w:t>While the study's methodological strengths (e.g., large panel, GMM robustness) lend high reliability, several limitations merit critical acknowledgment and provide avenues for advancement. First, the exclusion of financial firms (due to unique regulatory leverage norms) and unlisted enterprises (comprising 90% of Vietnam's economy) critically limits generalizability, potentially biasing toward regulated entities with better access to equity</w:t>
      </w:r>
      <w:r w:rsidR="007849B3">
        <w:rPr>
          <w:b w:val="0"/>
          <w:bCs w:val="0"/>
          <w:caps w:val="0"/>
          <w:color w:val="EE0000"/>
          <w:szCs w:val="22"/>
          <w:lang w:val="en-US"/>
        </w:rPr>
        <w:t xml:space="preserve"> - </w:t>
      </w:r>
      <w:r w:rsidRPr="00ED376E">
        <w:rPr>
          <w:b w:val="0"/>
          <w:bCs w:val="0"/>
          <w:caps w:val="0"/>
          <w:color w:val="EE0000"/>
          <w:szCs w:val="22"/>
          <w:lang w:val="en-US"/>
        </w:rPr>
        <w:t>a survivorship effect partially mitigated by GMM but warranting caution in broader inferences.</w:t>
      </w:r>
    </w:p>
    <w:p w14:paraId="3E1E8BF1" w14:textId="77777777" w:rsidR="00ED376E" w:rsidRPr="00ED376E" w:rsidRDefault="00ED376E" w:rsidP="00ED376E">
      <w:pPr>
        <w:pStyle w:val="Heading1"/>
        <w:rPr>
          <w:b w:val="0"/>
          <w:bCs w:val="0"/>
          <w:caps w:val="0"/>
          <w:color w:val="EE0000"/>
          <w:szCs w:val="22"/>
          <w:lang w:val="en-US"/>
        </w:rPr>
      </w:pPr>
      <w:r w:rsidRPr="00ED376E">
        <w:rPr>
          <w:b w:val="0"/>
          <w:bCs w:val="0"/>
          <w:caps w:val="0"/>
          <w:color w:val="EE0000"/>
          <w:szCs w:val="22"/>
          <w:lang w:val="en-US"/>
        </w:rPr>
        <w:t xml:space="preserve">Second, the pre-2023 data cutoff critically overlooks recent dynamics like 2023-2025 inflation spikes (peaking at 5.5%) or digital finance shifts, which could alter leverage impacts; moreover, assumptions like missing-at-random </w:t>
      </w:r>
      <w:r w:rsidRPr="00ED376E">
        <w:rPr>
          <w:b w:val="0"/>
          <w:bCs w:val="0"/>
          <w:caps w:val="0"/>
          <w:color w:val="EE0000"/>
          <w:szCs w:val="22"/>
          <w:lang w:val="en-US"/>
        </w:rPr>
        <w:lastRenderedPageBreak/>
        <w:t>(MAR, Little's test p=0.21) may not fully capture non-random reporting biases in emerging-market data.</w:t>
      </w:r>
    </w:p>
    <w:p w14:paraId="34EB7857" w14:textId="77777777" w:rsidR="00ED376E" w:rsidRPr="00ED376E" w:rsidRDefault="00ED376E" w:rsidP="00ED376E">
      <w:pPr>
        <w:pStyle w:val="Heading1"/>
        <w:rPr>
          <w:b w:val="0"/>
          <w:bCs w:val="0"/>
          <w:caps w:val="0"/>
          <w:color w:val="EE0000"/>
          <w:szCs w:val="22"/>
          <w:lang w:val="en-US"/>
        </w:rPr>
      </w:pPr>
      <w:r w:rsidRPr="00ED376E">
        <w:rPr>
          <w:b w:val="0"/>
          <w:bCs w:val="0"/>
          <w:caps w:val="0"/>
          <w:color w:val="EE0000"/>
          <w:szCs w:val="22"/>
          <w:lang w:val="en-US"/>
        </w:rPr>
        <w:t>Third, the analysis critically under-explores non-linearities beyond the 0.45 threshold (e.g., inverted-U effects at low leverage) and interaction effects (e.g., governance moderating agency costs), limiting depth on optimal structures.</w:t>
      </w:r>
    </w:p>
    <w:p w14:paraId="487468A3" w14:textId="77777777" w:rsidR="00ED376E" w:rsidRPr="00ED376E" w:rsidRDefault="00ED376E" w:rsidP="00ED376E">
      <w:pPr>
        <w:pStyle w:val="Heading1"/>
        <w:rPr>
          <w:b w:val="0"/>
          <w:bCs w:val="0"/>
          <w:caps w:val="0"/>
          <w:color w:val="EE0000"/>
          <w:szCs w:val="22"/>
          <w:lang w:val="en-US"/>
        </w:rPr>
      </w:pPr>
      <w:r w:rsidRPr="00ED376E">
        <w:rPr>
          <w:b w:val="0"/>
          <w:bCs w:val="0"/>
          <w:caps w:val="0"/>
          <w:color w:val="EE0000"/>
          <w:szCs w:val="22"/>
          <w:lang w:val="en-US"/>
        </w:rPr>
        <w:t>To address these, future research should critically extend in three directions: (i) incorporate financial and unlisted firms via matched sampling for comprehensive insights; (ii) test non-linear thresholds and governance interactions (e.g., board independence attenuating leverage risks) using advanced techniques like threshold regression; (iii) pursue cross-country ASEAN comparisons (e.g., Vietnam vs. Thailand's stronger institutions) to critically evaluate contextual moderators, enriching global capital structure theory and informing regional policy harmonization.</w:t>
      </w:r>
    </w:p>
    <w:p w14:paraId="1C0811EF" w14:textId="77777777" w:rsidR="00ED376E" w:rsidRDefault="00ED376E" w:rsidP="00ED376E">
      <w:pPr>
        <w:pStyle w:val="Heading1"/>
        <w:rPr>
          <w:b w:val="0"/>
          <w:bCs w:val="0"/>
          <w:caps w:val="0"/>
          <w:color w:val="EE0000"/>
          <w:szCs w:val="22"/>
          <w:lang w:val="en-US"/>
        </w:rPr>
      </w:pPr>
      <w:r w:rsidRPr="00ED376E">
        <w:rPr>
          <w:b w:val="0"/>
          <w:bCs w:val="0"/>
          <w:caps w:val="0"/>
          <w:color w:val="EE0000"/>
          <w:szCs w:val="22"/>
          <w:lang w:val="en-US"/>
        </w:rPr>
        <w:t>These extensions would critically build on this study's foundation, advancing both theoretical refinement and practical applicability in emerging Asia.</w:t>
      </w:r>
    </w:p>
    <w:p w14:paraId="08855D01" w14:textId="6D70D0D3" w:rsidR="00657418" w:rsidRPr="00FD6A15" w:rsidRDefault="00FE462A" w:rsidP="00ED376E">
      <w:pPr>
        <w:pStyle w:val="Heading1"/>
      </w:pPr>
      <w:r w:rsidRPr="00FD6A15">
        <w:t xml:space="preserve">5. </w:t>
      </w:r>
      <w:r w:rsidR="001276CA" w:rsidRPr="001276CA">
        <w:t>CONCLUSION</w:t>
      </w:r>
    </w:p>
    <w:p w14:paraId="6C2EA5A0" w14:textId="78E4CA7C" w:rsidR="00593586" w:rsidRPr="001276CA" w:rsidRDefault="00593586" w:rsidP="001276CA">
      <w:pPr>
        <w:pStyle w:val="Content"/>
        <w:rPr>
          <w:color w:val="EE0000"/>
          <w:lang w:val="en-US"/>
        </w:rPr>
      </w:pPr>
      <w:r w:rsidRPr="001276CA">
        <w:rPr>
          <w:color w:val="EE0000"/>
          <w:lang w:val="en-US"/>
        </w:rPr>
        <w:t>This study robustly confirms a significant negative relationship between financial leverage and corporate performance among listed firms in Vietnam over the 2006–2022 period, with consistent results across ROA, ROE, and EPS</w:t>
      </w:r>
      <w:r w:rsidR="00845229" w:rsidRPr="001276CA">
        <w:rPr>
          <w:color w:val="EE0000"/>
          <w:lang w:val="en-US"/>
        </w:rPr>
        <w:t xml:space="preserve"> -</w:t>
      </w:r>
      <w:r w:rsidRPr="001276CA">
        <w:rPr>
          <w:color w:val="EE0000"/>
          <w:lang w:val="en-US"/>
        </w:rPr>
        <w:t xml:space="preserve"> fully supporting the proposed hypothesis. Higher leverage consistently leads to lower profitability, with particularly pronounced effects in cyclical industries.</w:t>
      </w:r>
    </w:p>
    <w:p w14:paraId="1D7BEB13" w14:textId="020B2A17" w:rsidR="00593586" w:rsidRPr="001276CA" w:rsidRDefault="00593586" w:rsidP="001276CA">
      <w:pPr>
        <w:pStyle w:val="Content"/>
        <w:rPr>
          <w:color w:val="EE0000"/>
          <w:lang w:val="en-US"/>
        </w:rPr>
      </w:pPr>
      <w:r w:rsidRPr="001276CA">
        <w:rPr>
          <w:color w:val="EE0000"/>
          <w:lang w:val="en-US"/>
        </w:rPr>
        <w:t>The study’s core theoretical contribution</w:t>
      </w:r>
      <w:r w:rsidR="001D1399">
        <w:rPr>
          <w:color w:val="EE0000"/>
          <w:lang w:val="en-US"/>
        </w:rPr>
        <w:t xml:space="preserve"> -</w:t>
      </w:r>
      <w:r w:rsidRPr="001276CA">
        <w:rPr>
          <w:color w:val="EE0000"/>
          <w:lang w:val="en-US"/>
        </w:rPr>
        <w:t xml:space="preserve"> and its most distinctive strength</w:t>
      </w:r>
      <w:r w:rsidR="001D1399">
        <w:rPr>
          <w:color w:val="EE0000"/>
          <w:lang w:val="en-US"/>
        </w:rPr>
        <w:t xml:space="preserve"> -</w:t>
      </w:r>
      <w:r w:rsidRPr="001276CA">
        <w:rPr>
          <w:color w:val="EE0000"/>
          <w:lang w:val="en-US"/>
        </w:rPr>
        <w:t xml:space="preserve"> lies in the refinement and contextual extension of the four foundational capital structure theories (Trade-off, Pecking Order, Agency, and Signaling) to Vietnam’s emerging market characterized by weak institutions: bankruptcy costs, agency conflicts, and adverse signaling effects overwhelmingly dominate tax shields and managerial discipline benefits, transforming leverage from a potentially positive force (as observed in developed or more stable emerging markets) into a clear negative driver of performance. This represents the significant Vietnam-based study to employ the largest and longest unbalanced panel dataset (9,555 observations spanning 17 years), rigorously control for endogeneity through 2SLS </w:t>
      </w:r>
      <w:r w:rsidRPr="001276CA">
        <w:rPr>
          <w:color w:val="EE0000"/>
          <w:lang w:val="en-US"/>
        </w:rPr>
        <w:t>and System GMM, and uncover meaningful industry-level heterogeneity (stronger negative impacts in cyclical sectors), thereby surpassing and substantially extending prior Vietnamese research (Nguyen et al., 2020; Le et al., 2023; Nguyen &amp; Tran, 2024; Phan et al., 2025).</w:t>
      </w:r>
      <w:r w:rsidR="004D3FFF" w:rsidRPr="001276CA">
        <w:rPr>
          <w:color w:val="EE0000"/>
          <w:lang w:val="en-US"/>
        </w:rPr>
        <w:t xml:space="preserve"> </w:t>
      </w:r>
      <w:r w:rsidR="00845229" w:rsidRPr="001276CA">
        <w:rPr>
          <w:color w:val="EE0000"/>
          <w:lang w:val="en-US"/>
        </w:rPr>
        <w:t>These insights equip stakeholders with evidence-based strategies for navigating Vietnam's volatile market.</w:t>
      </w:r>
    </w:p>
    <w:p w14:paraId="53901A45" w14:textId="77777777" w:rsidR="004D3FFF" w:rsidRPr="001276CA" w:rsidRDefault="004D3FFF" w:rsidP="001276CA">
      <w:pPr>
        <w:pStyle w:val="Content"/>
        <w:rPr>
          <w:color w:val="EE0000"/>
          <w:lang w:val="en-US"/>
        </w:rPr>
      </w:pPr>
      <w:r w:rsidRPr="001276CA">
        <w:rPr>
          <w:color w:val="EE0000"/>
          <w:lang w:val="en-US"/>
        </w:rPr>
        <w:t>The main limitations of the study include the exclusion of financial institutions and unlisted enterprises, as well as the incomplete exploration of complex non-linear leverage dynamics. Future research should therefore:</w:t>
      </w:r>
    </w:p>
    <w:p w14:paraId="5A4CA321" w14:textId="77777777" w:rsidR="004D3FFF" w:rsidRPr="001276CA" w:rsidRDefault="004D3FFF" w:rsidP="001276CA">
      <w:pPr>
        <w:pStyle w:val="Content"/>
        <w:rPr>
          <w:color w:val="EE0000"/>
          <w:lang w:val="en-US"/>
        </w:rPr>
      </w:pPr>
      <w:r w:rsidRPr="001276CA">
        <w:rPr>
          <w:color w:val="EE0000"/>
          <w:lang w:val="en-US"/>
        </w:rPr>
        <w:t>(i) extend the sample to include financial firms and unlisted companies for greater generalizability;</w:t>
      </w:r>
    </w:p>
    <w:p w14:paraId="491B0F91" w14:textId="77777777" w:rsidR="004D3FFF" w:rsidRPr="001276CA" w:rsidRDefault="004D3FFF" w:rsidP="001276CA">
      <w:pPr>
        <w:pStyle w:val="Content"/>
        <w:rPr>
          <w:color w:val="EE0000"/>
          <w:lang w:val="en-US"/>
        </w:rPr>
      </w:pPr>
      <w:r w:rsidRPr="001276CA">
        <w:rPr>
          <w:color w:val="EE0000"/>
          <w:lang w:val="en-US"/>
        </w:rPr>
        <w:t>(ii) rigorously test industry-specific optimal leverage thresholds and the moderating role of corporate governance quality;</w:t>
      </w:r>
    </w:p>
    <w:p w14:paraId="61028FD1" w14:textId="72014422" w:rsidR="004D3FFF" w:rsidRPr="001276CA" w:rsidRDefault="004D3FFF" w:rsidP="001276CA">
      <w:pPr>
        <w:pStyle w:val="Content"/>
        <w:rPr>
          <w:color w:val="EE0000"/>
          <w:lang w:val="en-US"/>
        </w:rPr>
      </w:pPr>
      <w:r w:rsidRPr="001276CA">
        <w:rPr>
          <w:color w:val="EE0000"/>
          <w:lang w:val="en-US"/>
        </w:rPr>
        <w:t>(iii) undertake cross-country comparative analyses within the ASEAN region (e.g., with Thailand and Indonesia) to better position Vietnam within the broader theory of capital structure in emerging markets.</w:t>
      </w:r>
      <w:r w:rsidR="00845229" w:rsidRPr="001276CA">
        <w:rPr>
          <w:color w:val="EE0000"/>
          <w:lang w:val="en-US"/>
        </w:rPr>
        <w:t xml:space="preserve"> </w:t>
      </w:r>
    </w:p>
    <w:p w14:paraId="34ED81D6" w14:textId="1B98E4CD" w:rsidR="001227DD" w:rsidRPr="00077FBF" w:rsidRDefault="001227DD" w:rsidP="001276CA">
      <w:pPr>
        <w:pStyle w:val="Heading1"/>
      </w:pPr>
      <w:bookmarkStart w:id="8" w:name="_heading=h.35nkun2" w:colFirst="0" w:colLast="0"/>
      <w:bookmarkEnd w:id="8"/>
      <w:r w:rsidRPr="00077FBF">
        <w:t xml:space="preserve">REFERENCES </w:t>
      </w:r>
    </w:p>
    <w:p w14:paraId="52F8E913" w14:textId="2CEA226B" w:rsidR="007E3A0D" w:rsidRDefault="001227DD" w:rsidP="001276CA">
      <w:pPr>
        <w:pStyle w:val="Content"/>
        <w:numPr>
          <w:ilvl w:val="0"/>
          <w:numId w:val="32"/>
        </w:numPr>
        <w:ind w:left="624" w:hanging="340"/>
      </w:pPr>
      <w:r w:rsidRPr="007E3A0D">
        <w:t xml:space="preserve">J. Abor. The effect of capital structure on profitability: an empirical analysis of listed firms in Ghana. </w:t>
      </w:r>
      <w:r w:rsidRPr="007E3A0D">
        <w:rPr>
          <w:i/>
          <w:iCs/>
        </w:rPr>
        <w:t>The Journal of Risk Finance</w:t>
      </w:r>
      <w:r w:rsidRPr="007E3A0D">
        <w:t xml:space="preserve">, </w:t>
      </w:r>
      <w:r w:rsidRPr="007E3A0D">
        <w:rPr>
          <w:b/>
          <w:bCs/>
        </w:rPr>
        <w:t>2005</w:t>
      </w:r>
      <w:r w:rsidRPr="007E3A0D">
        <w:t xml:space="preserve">, </w:t>
      </w:r>
      <w:r w:rsidRPr="007E3A0D">
        <w:rPr>
          <w:i/>
          <w:iCs/>
        </w:rPr>
        <w:t>6</w:t>
      </w:r>
      <w:r w:rsidRPr="007E3A0D">
        <w:t xml:space="preserve">(5), 438–445. </w:t>
      </w:r>
    </w:p>
    <w:p w14:paraId="6D314F16" w14:textId="17B3F695" w:rsidR="00BB54D3" w:rsidRDefault="00BB54D3" w:rsidP="001276CA">
      <w:pPr>
        <w:pStyle w:val="Content"/>
        <w:numPr>
          <w:ilvl w:val="0"/>
          <w:numId w:val="32"/>
        </w:numPr>
        <w:ind w:left="624" w:hanging="340"/>
      </w:pPr>
      <w:r w:rsidRPr="005E7788">
        <w:rPr>
          <w:sz w:val="24"/>
          <w:szCs w:val="24"/>
        </w:rPr>
        <w:t>Bui Van Thuy &amp; Nguyen Thi Ngoc Diep. Capital structure impact to operational efficiency of the company on the stock market Vietnam</w:t>
      </w:r>
      <w:r w:rsidRPr="005E7788">
        <w:rPr>
          <w:sz w:val="24"/>
          <w:szCs w:val="24"/>
          <w:lang w:val="en-US"/>
        </w:rPr>
        <w:t>,</w:t>
      </w:r>
      <w:r w:rsidRPr="005E7788">
        <w:rPr>
          <w:sz w:val="24"/>
          <w:szCs w:val="24"/>
        </w:rPr>
        <w:t xml:space="preserve"> </w:t>
      </w:r>
      <w:r w:rsidRPr="005E7788">
        <w:rPr>
          <w:i/>
          <w:iCs/>
          <w:sz w:val="24"/>
          <w:szCs w:val="24"/>
        </w:rPr>
        <w:t>Journal of Science of Lac Hong University</w:t>
      </w:r>
      <w:r w:rsidRPr="005E7788">
        <w:rPr>
          <w:i/>
          <w:iCs/>
          <w:sz w:val="24"/>
          <w:szCs w:val="24"/>
          <w:lang w:val="en-US"/>
        </w:rPr>
        <w:t>,</w:t>
      </w:r>
      <w:r w:rsidRPr="005E7788">
        <w:rPr>
          <w:sz w:val="24"/>
          <w:szCs w:val="24"/>
          <w:lang w:val="en-US"/>
        </w:rPr>
        <w:t xml:space="preserve"> </w:t>
      </w:r>
      <w:r w:rsidRPr="005E7788">
        <w:rPr>
          <w:b/>
          <w:bCs/>
          <w:sz w:val="24"/>
          <w:szCs w:val="24"/>
        </w:rPr>
        <w:t>2016</w:t>
      </w:r>
      <w:r w:rsidRPr="005E7788">
        <w:rPr>
          <w:sz w:val="24"/>
          <w:szCs w:val="24"/>
          <w:lang w:val="en-US"/>
        </w:rPr>
        <w:t>,</w:t>
      </w:r>
      <w:r w:rsidRPr="005E7788">
        <w:rPr>
          <w:i/>
          <w:iCs/>
          <w:sz w:val="24"/>
          <w:szCs w:val="24"/>
          <w:lang w:val="en-US"/>
        </w:rPr>
        <w:t xml:space="preserve"> </w:t>
      </w:r>
      <w:r w:rsidRPr="005E7788">
        <w:rPr>
          <w:i/>
          <w:iCs/>
          <w:sz w:val="24"/>
          <w:szCs w:val="24"/>
        </w:rPr>
        <w:t>5 (2)</w:t>
      </w:r>
      <w:r w:rsidRPr="005E7788">
        <w:rPr>
          <w:sz w:val="24"/>
          <w:szCs w:val="24"/>
        </w:rPr>
        <w:t>, 95-100</w:t>
      </w:r>
    </w:p>
    <w:p w14:paraId="1EFB052C" w14:textId="1060D0A7" w:rsidR="00C55459" w:rsidRDefault="00C55459" w:rsidP="001276CA">
      <w:pPr>
        <w:pStyle w:val="Content"/>
        <w:numPr>
          <w:ilvl w:val="0"/>
          <w:numId w:val="32"/>
        </w:numPr>
        <w:ind w:left="624" w:hanging="340"/>
      </w:pPr>
      <w:r w:rsidRPr="00C55459">
        <w:t xml:space="preserve">Dawar. Agency theory, capital structure and firm performance: some Indian evidence. </w:t>
      </w:r>
      <w:r w:rsidRPr="00C55459">
        <w:rPr>
          <w:i/>
          <w:iCs/>
        </w:rPr>
        <w:t>Managerial Finance</w:t>
      </w:r>
      <w:r w:rsidRPr="00C55459">
        <w:t xml:space="preserve">, </w:t>
      </w:r>
      <w:r w:rsidRPr="00C55459">
        <w:rPr>
          <w:b/>
          <w:bCs/>
        </w:rPr>
        <w:t>2014</w:t>
      </w:r>
      <w:r w:rsidRPr="00C55459">
        <w:t xml:space="preserve">, </w:t>
      </w:r>
      <w:r w:rsidRPr="00C55459">
        <w:rPr>
          <w:i/>
          <w:iCs/>
        </w:rPr>
        <w:t>40</w:t>
      </w:r>
      <w:r w:rsidRPr="00C55459">
        <w:t xml:space="preserve">(12), 1190-1206. </w:t>
      </w:r>
    </w:p>
    <w:p w14:paraId="4523A672" w14:textId="60BD8568" w:rsidR="00B83944" w:rsidRDefault="00B83944" w:rsidP="001276CA">
      <w:pPr>
        <w:pStyle w:val="Content"/>
        <w:numPr>
          <w:ilvl w:val="0"/>
          <w:numId w:val="32"/>
        </w:numPr>
        <w:ind w:left="624" w:hanging="340"/>
      </w:pPr>
      <w:r w:rsidRPr="00B83944">
        <w:t xml:space="preserve">S. Gul, H. Cho. Capital structure and default risk: Evidence from the Korean stock market. </w:t>
      </w:r>
      <w:r w:rsidRPr="00B83944">
        <w:rPr>
          <w:i/>
          <w:iCs/>
        </w:rPr>
        <w:t>The Journal of Asian Finance, Economics and Business</w:t>
      </w:r>
      <w:r w:rsidRPr="00B83944">
        <w:t xml:space="preserve">, </w:t>
      </w:r>
      <w:r w:rsidRPr="00B83944">
        <w:rPr>
          <w:b/>
          <w:bCs/>
        </w:rPr>
        <w:t>2019</w:t>
      </w:r>
      <w:r w:rsidRPr="00B83944">
        <w:t xml:space="preserve">, </w:t>
      </w:r>
      <w:r w:rsidRPr="00B83944">
        <w:rPr>
          <w:i/>
          <w:iCs/>
        </w:rPr>
        <w:t>6</w:t>
      </w:r>
      <w:r w:rsidRPr="00B83944">
        <w:t xml:space="preserve">(2), 15-24. </w:t>
      </w:r>
    </w:p>
    <w:p w14:paraId="61B3CC28" w14:textId="49AC1184" w:rsidR="00BD6F79" w:rsidRDefault="00BD6F79" w:rsidP="001276CA">
      <w:pPr>
        <w:pStyle w:val="Content"/>
        <w:numPr>
          <w:ilvl w:val="0"/>
          <w:numId w:val="32"/>
        </w:numPr>
        <w:ind w:left="624" w:hanging="340"/>
      </w:pPr>
      <w:r w:rsidRPr="00FD6A15">
        <w:rPr>
          <w:sz w:val="24"/>
          <w:szCs w:val="24"/>
          <w:lang w:val="en-US"/>
        </w:rPr>
        <w:t xml:space="preserve">R.C. Higgins. The Corporate Dividend-Saving Decision. </w:t>
      </w:r>
      <w:r w:rsidRPr="00FD6A15">
        <w:rPr>
          <w:i/>
          <w:iCs/>
          <w:sz w:val="24"/>
          <w:szCs w:val="24"/>
          <w:lang w:val="en-US"/>
        </w:rPr>
        <w:t>Journal of Financial and Quantitative Analysis</w:t>
      </w:r>
      <w:r w:rsidRPr="00FD6A15">
        <w:rPr>
          <w:sz w:val="24"/>
          <w:szCs w:val="24"/>
          <w:lang w:val="en-US"/>
        </w:rPr>
        <w:t xml:space="preserve">, </w:t>
      </w:r>
      <w:r w:rsidRPr="00FD6A15">
        <w:rPr>
          <w:b/>
          <w:bCs/>
          <w:sz w:val="24"/>
          <w:szCs w:val="24"/>
          <w:lang w:val="en-US"/>
        </w:rPr>
        <w:t>1974</w:t>
      </w:r>
      <w:r w:rsidRPr="00FD6A15">
        <w:rPr>
          <w:sz w:val="24"/>
          <w:szCs w:val="24"/>
          <w:lang w:val="en-US"/>
        </w:rPr>
        <w:t xml:space="preserve">, </w:t>
      </w:r>
      <w:r w:rsidRPr="00FD6A15">
        <w:rPr>
          <w:i/>
          <w:iCs/>
          <w:sz w:val="24"/>
          <w:szCs w:val="24"/>
          <w:lang w:val="en-US"/>
        </w:rPr>
        <w:t>7(2),</w:t>
      </w:r>
      <w:r w:rsidRPr="00FD6A15">
        <w:rPr>
          <w:sz w:val="24"/>
          <w:szCs w:val="24"/>
          <w:lang w:val="en-US"/>
        </w:rPr>
        <w:t xml:space="preserve"> 1527-1541</w:t>
      </w:r>
    </w:p>
    <w:p w14:paraId="69CC4D8F" w14:textId="09C9AD05" w:rsidR="001227DD" w:rsidRDefault="001227DD" w:rsidP="001276CA">
      <w:pPr>
        <w:pStyle w:val="Content"/>
        <w:numPr>
          <w:ilvl w:val="0"/>
          <w:numId w:val="32"/>
        </w:numPr>
        <w:ind w:left="624" w:hanging="340"/>
      </w:pPr>
      <w:r w:rsidRPr="001F5F0D">
        <w:t xml:space="preserve">J. Hongli, E. S. Ajorsu, E. K. Bakpa. The Effect of Liquidity and Financial Leverage </w:t>
      </w:r>
      <w:r w:rsidRPr="001F5F0D">
        <w:lastRenderedPageBreak/>
        <w:t xml:space="preserve">on Firm Performance: Evidence from Listed Manufacturing Firms on The Ghana Stock Exchange. </w:t>
      </w:r>
      <w:r w:rsidRPr="001F5F0D">
        <w:rPr>
          <w:i/>
          <w:iCs/>
        </w:rPr>
        <w:t>The Journal of Asian Finance, Economics and Business</w:t>
      </w:r>
      <w:r w:rsidRPr="001F5F0D">
        <w:t xml:space="preserve">, </w:t>
      </w:r>
      <w:r w:rsidRPr="001F5F0D">
        <w:rPr>
          <w:b/>
          <w:bCs/>
        </w:rPr>
        <w:t>2019</w:t>
      </w:r>
      <w:r w:rsidRPr="001F5F0D">
        <w:t xml:space="preserve">, </w:t>
      </w:r>
      <w:r w:rsidRPr="001F5F0D">
        <w:rPr>
          <w:i/>
          <w:iCs/>
        </w:rPr>
        <w:t>6</w:t>
      </w:r>
      <w:r w:rsidRPr="001F5F0D">
        <w:t xml:space="preserve">(3), 91-100. </w:t>
      </w:r>
    </w:p>
    <w:p w14:paraId="68250323" w14:textId="691A134F" w:rsidR="001227DD" w:rsidRDefault="001227DD" w:rsidP="001276CA">
      <w:pPr>
        <w:pStyle w:val="Content"/>
        <w:numPr>
          <w:ilvl w:val="0"/>
          <w:numId w:val="32"/>
        </w:numPr>
        <w:ind w:left="624" w:hanging="340"/>
      </w:pPr>
      <w:r w:rsidRPr="001F5F0D">
        <w:t xml:space="preserve">M. C. Jensen, W. H. Meckling. Theory of the firm: Managerial behavior, agency costs and ownership structure. </w:t>
      </w:r>
      <w:r w:rsidRPr="001F5F0D">
        <w:rPr>
          <w:i/>
          <w:iCs/>
        </w:rPr>
        <w:t>Journal of Financial Economics</w:t>
      </w:r>
      <w:r w:rsidRPr="001F5F0D">
        <w:t xml:space="preserve">, </w:t>
      </w:r>
      <w:r w:rsidRPr="001F5F0D">
        <w:rPr>
          <w:b/>
          <w:bCs/>
        </w:rPr>
        <w:t>1976</w:t>
      </w:r>
      <w:r w:rsidRPr="001F5F0D">
        <w:t xml:space="preserve">, </w:t>
      </w:r>
      <w:r w:rsidRPr="001F5F0D">
        <w:rPr>
          <w:i/>
          <w:iCs/>
        </w:rPr>
        <w:t>3</w:t>
      </w:r>
      <w:r w:rsidRPr="001F5F0D">
        <w:t xml:space="preserve">(4), 305-360. </w:t>
      </w:r>
    </w:p>
    <w:p w14:paraId="2863B5BC" w14:textId="143FC6B0" w:rsidR="00824D0E" w:rsidRDefault="00824D0E" w:rsidP="001276CA">
      <w:pPr>
        <w:pStyle w:val="Content"/>
        <w:numPr>
          <w:ilvl w:val="0"/>
          <w:numId w:val="32"/>
        </w:numPr>
        <w:ind w:left="624" w:hanging="340"/>
      </w:pPr>
      <w:r w:rsidRPr="00FD6A15">
        <w:rPr>
          <w:sz w:val="24"/>
          <w:szCs w:val="24"/>
          <w:lang w:val="en-US"/>
        </w:rPr>
        <w:t xml:space="preserve">M. Nishat. Share prices, dividend &amp; share retained earnings behaviour in Pakistan stock market. </w:t>
      </w:r>
      <w:r w:rsidRPr="00FD6A15">
        <w:rPr>
          <w:i/>
          <w:iCs/>
          <w:sz w:val="24"/>
          <w:szCs w:val="24"/>
          <w:lang w:val="en-US"/>
        </w:rPr>
        <w:t>The Indian economic journal</w:t>
      </w:r>
      <w:r w:rsidRPr="00FD6A15">
        <w:rPr>
          <w:sz w:val="24"/>
          <w:szCs w:val="24"/>
          <w:lang w:val="en-US"/>
        </w:rPr>
        <w:t>,</w:t>
      </w:r>
      <w:r w:rsidRPr="00FD6A15">
        <w:rPr>
          <w:b/>
          <w:bCs/>
          <w:sz w:val="24"/>
          <w:szCs w:val="24"/>
          <w:lang w:val="en-US"/>
        </w:rPr>
        <w:t>1992</w:t>
      </w:r>
      <w:r w:rsidRPr="00FD6A15">
        <w:rPr>
          <w:sz w:val="24"/>
          <w:szCs w:val="24"/>
          <w:lang w:val="en-US"/>
        </w:rPr>
        <w:t xml:space="preserve">, </w:t>
      </w:r>
      <w:r w:rsidRPr="00FD6A15">
        <w:rPr>
          <w:i/>
          <w:iCs/>
          <w:sz w:val="24"/>
          <w:szCs w:val="24"/>
          <w:lang w:val="en-US"/>
        </w:rPr>
        <w:t>40(2),</w:t>
      </w:r>
      <w:r w:rsidRPr="00FD6A15">
        <w:rPr>
          <w:sz w:val="24"/>
          <w:szCs w:val="24"/>
          <w:lang w:val="en-US"/>
        </w:rPr>
        <w:t xml:space="preserve"> 56-65.</w:t>
      </w:r>
    </w:p>
    <w:p w14:paraId="3E2C94BE" w14:textId="2583C30F" w:rsidR="000C0431" w:rsidRDefault="000C0431" w:rsidP="001276CA">
      <w:pPr>
        <w:pStyle w:val="Content"/>
        <w:numPr>
          <w:ilvl w:val="0"/>
          <w:numId w:val="32"/>
        </w:numPr>
        <w:ind w:left="624" w:hanging="340"/>
      </w:pPr>
      <w:r w:rsidRPr="000C0431">
        <w:t xml:space="preserve">S. Kim, H. Lee, J. Kim. Divergent effects of external financing on technology innovation activity: Korean evidence. </w:t>
      </w:r>
      <w:r w:rsidRPr="000C0431">
        <w:rPr>
          <w:i/>
          <w:iCs/>
        </w:rPr>
        <w:t>Technology in Society</w:t>
      </w:r>
      <w:r w:rsidRPr="000C0431">
        <w:t xml:space="preserve">, </w:t>
      </w:r>
      <w:r w:rsidRPr="000C0431">
        <w:rPr>
          <w:b/>
          <w:bCs/>
        </w:rPr>
        <w:t>2023</w:t>
      </w:r>
      <w:r w:rsidRPr="000C0431">
        <w:t xml:space="preserve">, </w:t>
      </w:r>
      <w:r w:rsidRPr="000C0431">
        <w:rPr>
          <w:b/>
          <w:bCs/>
        </w:rPr>
        <w:t>41</w:t>
      </w:r>
      <w:r>
        <w:rPr>
          <w:lang w:val="en-US"/>
        </w:rPr>
        <w:t>(2)</w:t>
      </w:r>
      <w:r w:rsidRPr="000C0431">
        <w:t>, 334-349</w:t>
      </w:r>
    </w:p>
    <w:p w14:paraId="202A476C" w14:textId="55DA4FF9" w:rsidR="001227DD" w:rsidRPr="001227DD" w:rsidRDefault="001227DD" w:rsidP="001276CA">
      <w:pPr>
        <w:pStyle w:val="Content"/>
        <w:numPr>
          <w:ilvl w:val="0"/>
          <w:numId w:val="32"/>
        </w:numPr>
        <w:ind w:left="624" w:hanging="340"/>
      </w:pPr>
      <w:r w:rsidRPr="001227DD">
        <w:t xml:space="preserve">R. Koenker. </w:t>
      </w:r>
      <w:r w:rsidRPr="00516B3C">
        <w:rPr>
          <w:i/>
          <w:iCs/>
        </w:rPr>
        <w:t>Quantile Regression</w:t>
      </w:r>
      <w:r w:rsidRPr="001227DD">
        <w:t xml:space="preserve">. Cambridge University Press, 2005. </w:t>
      </w:r>
    </w:p>
    <w:p w14:paraId="32A8E46E" w14:textId="333AF99F" w:rsidR="001227DD" w:rsidRPr="001227DD" w:rsidRDefault="001227DD" w:rsidP="001276CA">
      <w:pPr>
        <w:pStyle w:val="Content"/>
        <w:numPr>
          <w:ilvl w:val="0"/>
          <w:numId w:val="32"/>
        </w:numPr>
        <w:ind w:left="624" w:hanging="340"/>
      </w:pPr>
      <w:r w:rsidRPr="001227DD">
        <w:t xml:space="preserve">A. Kraus, R. H. Litzenberger. A state-preference model of optimal financial leverage. The </w:t>
      </w:r>
      <w:r w:rsidRPr="00516B3C">
        <w:rPr>
          <w:i/>
          <w:iCs/>
        </w:rPr>
        <w:t>Journal of Finance</w:t>
      </w:r>
      <w:r w:rsidRPr="001227DD">
        <w:t xml:space="preserve">, </w:t>
      </w:r>
      <w:r w:rsidRPr="00516B3C">
        <w:rPr>
          <w:b/>
          <w:bCs/>
        </w:rPr>
        <w:t>1973</w:t>
      </w:r>
      <w:r w:rsidRPr="001227DD">
        <w:t xml:space="preserve">, </w:t>
      </w:r>
      <w:r w:rsidRPr="00516B3C">
        <w:rPr>
          <w:i/>
          <w:iCs/>
        </w:rPr>
        <w:t>28</w:t>
      </w:r>
      <w:r w:rsidRPr="001227DD">
        <w:t xml:space="preserve">(4), 911-922. </w:t>
      </w:r>
    </w:p>
    <w:p w14:paraId="633245B4" w14:textId="78870D65" w:rsidR="001227DD" w:rsidRPr="00516B3C" w:rsidRDefault="001227DD" w:rsidP="001276CA">
      <w:pPr>
        <w:pStyle w:val="Content"/>
        <w:numPr>
          <w:ilvl w:val="0"/>
          <w:numId w:val="32"/>
        </w:numPr>
        <w:ind w:left="624" w:hanging="340"/>
        <w:rPr>
          <w:lang w:val="en-US"/>
        </w:rPr>
      </w:pPr>
      <w:r w:rsidRPr="001227DD">
        <w:t xml:space="preserve">T. H. Le, C. P. Nguyen, T. D. Su. The effect of capital structure on firm value: A study of companies listed on the Vietnamese stock exchange. </w:t>
      </w:r>
      <w:r w:rsidRPr="00516B3C">
        <w:rPr>
          <w:i/>
          <w:iCs/>
        </w:rPr>
        <w:t>International Journal of Financial Studies</w:t>
      </w:r>
      <w:r w:rsidRPr="001227DD">
        <w:t xml:space="preserve">, </w:t>
      </w:r>
      <w:r w:rsidRPr="00516B3C">
        <w:rPr>
          <w:b/>
          <w:bCs/>
        </w:rPr>
        <w:t>2023</w:t>
      </w:r>
      <w:r w:rsidRPr="001227DD">
        <w:t xml:space="preserve">, </w:t>
      </w:r>
      <w:r w:rsidRPr="00516B3C">
        <w:rPr>
          <w:i/>
          <w:iCs/>
        </w:rPr>
        <w:t>11</w:t>
      </w:r>
      <w:r w:rsidRPr="001227DD">
        <w:t>(3), 100</w:t>
      </w:r>
      <w:r w:rsidR="00516B3C">
        <w:rPr>
          <w:lang w:val="en-US"/>
        </w:rPr>
        <w:t xml:space="preserve"> -120.</w:t>
      </w:r>
    </w:p>
    <w:p w14:paraId="5D201368" w14:textId="7019C437" w:rsidR="001227DD" w:rsidRPr="001227DD" w:rsidRDefault="001227DD" w:rsidP="001276CA">
      <w:pPr>
        <w:pStyle w:val="Content"/>
        <w:numPr>
          <w:ilvl w:val="0"/>
          <w:numId w:val="32"/>
        </w:numPr>
        <w:ind w:left="624" w:hanging="340"/>
      </w:pPr>
      <w:r w:rsidRPr="001227DD">
        <w:t xml:space="preserve">S. K. Majumdar. The hidden hand and the license raj to an evaluation of the relationship between age and the growth of firms in India. </w:t>
      </w:r>
      <w:r w:rsidRPr="00516B3C">
        <w:rPr>
          <w:i/>
          <w:iCs/>
        </w:rPr>
        <w:t>Journal of Business Venturing</w:t>
      </w:r>
      <w:r w:rsidRPr="001227DD">
        <w:t xml:space="preserve">, </w:t>
      </w:r>
      <w:r w:rsidRPr="00516B3C">
        <w:rPr>
          <w:b/>
          <w:bCs/>
        </w:rPr>
        <w:t>2004</w:t>
      </w:r>
      <w:r w:rsidRPr="001227DD">
        <w:t xml:space="preserve">, </w:t>
      </w:r>
      <w:r w:rsidRPr="00516B3C">
        <w:rPr>
          <w:i/>
          <w:iCs/>
        </w:rPr>
        <w:t>19</w:t>
      </w:r>
      <w:r w:rsidRPr="001227DD">
        <w:t xml:space="preserve">(1), 107-125. </w:t>
      </w:r>
    </w:p>
    <w:p w14:paraId="25C447F6" w14:textId="46BB78FE" w:rsidR="001227DD" w:rsidRDefault="001227DD" w:rsidP="001276CA">
      <w:pPr>
        <w:pStyle w:val="Content"/>
        <w:numPr>
          <w:ilvl w:val="0"/>
          <w:numId w:val="32"/>
        </w:numPr>
        <w:ind w:left="624" w:hanging="340"/>
      </w:pPr>
      <w:r w:rsidRPr="001227DD">
        <w:t xml:space="preserve">D. Margaritis, M. Psillaki. Capital structure, equity ownership and firm performance. </w:t>
      </w:r>
      <w:r w:rsidRPr="00516B3C">
        <w:rPr>
          <w:i/>
          <w:iCs/>
        </w:rPr>
        <w:t>Journal of Banking &amp; Finance</w:t>
      </w:r>
      <w:r w:rsidRPr="001227DD">
        <w:t xml:space="preserve">, </w:t>
      </w:r>
      <w:r w:rsidRPr="00516B3C">
        <w:rPr>
          <w:b/>
          <w:bCs/>
        </w:rPr>
        <w:t>2010</w:t>
      </w:r>
      <w:r w:rsidRPr="001227DD">
        <w:t xml:space="preserve">, </w:t>
      </w:r>
      <w:r w:rsidRPr="00516B3C">
        <w:rPr>
          <w:i/>
          <w:iCs/>
        </w:rPr>
        <w:t>34</w:t>
      </w:r>
      <w:r w:rsidRPr="001227DD">
        <w:t xml:space="preserve">(3), 621-632. </w:t>
      </w:r>
    </w:p>
    <w:p w14:paraId="060F4D73" w14:textId="77777777" w:rsidR="00D37EDB" w:rsidRPr="00D37EDB" w:rsidRDefault="00D37EDB" w:rsidP="00D37EDB">
      <w:pPr>
        <w:pStyle w:val="ListParagraph"/>
        <w:numPr>
          <w:ilvl w:val="0"/>
          <w:numId w:val="32"/>
        </w:numPr>
        <w:spacing w:after="120"/>
        <w:rPr>
          <w:sz w:val="24"/>
          <w:szCs w:val="24"/>
          <w:lang w:val="en-US"/>
        </w:rPr>
      </w:pPr>
      <w:r w:rsidRPr="00D37EDB">
        <w:rPr>
          <w:sz w:val="24"/>
          <w:szCs w:val="24"/>
        </w:rPr>
        <w:t xml:space="preserve">G. M. McCabe. The Empirical Relationship between Investment and Financing: A New Look. </w:t>
      </w:r>
      <w:r w:rsidRPr="00D37EDB">
        <w:rPr>
          <w:i/>
          <w:iCs/>
          <w:sz w:val="24"/>
          <w:szCs w:val="24"/>
        </w:rPr>
        <w:t>Journal of Financial and Quantitative Analysis</w:t>
      </w:r>
      <w:r w:rsidRPr="00D37EDB">
        <w:rPr>
          <w:sz w:val="24"/>
          <w:szCs w:val="24"/>
        </w:rPr>
        <w:t xml:space="preserve">, </w:t>
      </w:r>
      <w:r w:rsidRPr="00D37EDB">
        <w:rPr>
          <w:b/>
          <w:bCs/>
          <w:sz w:val="24"/>
          <w:szCs w:val="24"/>
          <w:lang w:val="en-US"/>
        </w:rPr>
        <w:t>1979</w:t>
      </w:r>
      <w:r w:rsidRPr="00D37EDB">
        <w:rPr>
          <w:sz w:val="24"/>
          <w:szCs w:val="24"/>
          <w:lang w:val="en-US"/>
        </w:rPr>
        <w:t xml:space="preserve">, </w:t>
      </w:r>
      <w:r w:rsidRPr="00D37EDB">
        <w:rPr>
          <w:i/>
          <w:iCs/>
          <w:sz w:val="24"/>
          <w:szCs w:val="24"/>
        </w:rPr>
        <w:t>14</w:t>
      </w:r>
      <w:r w:rsidRPr="00D37EDB">
        <w:rPr>
          <w:i/>
          <w:iCs/>
          <w:sz w:val="24"/>
          <w:szCs w:val="24"/>
          <w:lang w:val="en-US"/>
        </w:rPr>
        <w:t>(2)</w:t>
      </w:r>
      <w:r w:rsidRPr="00D37EDB">
        <w:rPr>
          <w:i/>
          <w:iCs/>
          <w:sz w:val="24"/>
          <w:szCs w:val="24"/>
        </w:rPr>
        <w:t>,</w:t>
      </w:r>
      <w:r w:rsidRPr="00D37EDB">
        <w:rPr>
          <w:sz w:val="24"/>
          <w:szCs w:val="24"/>
        </w:rPr>
        <w:t xml:space="preserve"> 119-135.</w:t>
      </w:r>
      <w:r w:rsidRPr="00D37EDB">
        <w:rPr>
          <w:sz w:val="24"/>
          <w:szCs w:val="24"/>
          <w:lang w:val="en-US"/>
        </w:rPr>
        <w:t xml:space="preserve"> </w:t>
      </w:r>
    </w:p>
    <w:p w14:paraId="64622D9B" w14:textId="5B6D6F2B" w:rsidR="001227DD" w:rsidRPr="001227DD" w:rsidRDefault="001227DD" w:rsidP="001276CA">
      <w:pPr>
        <w:pStyle w:val="Content"/>
        <w:numPr>
          <w:ilvl w:val="0"/>
          <w:numId w:val="32"/>
        </w:numPr>
        <w:ind w:left="624" w:hanging="340"/>
      </w:pPr>
      <w:r w:rsidRPr="001227DD">
        <w:t xml:space="preserve">F. Modigliani, M. H. Miller. The cost of capital, corporation finance and the theory of investment. </w:t>
      </w:r>
      <w:r w:rsidRPr="00516B3C">
        <w:rPr>
          <w:i/>
          <w:iCs/>
        </w:rPr>
        <w:t>The American Economic Review</w:t>
      </w:r>
      <w:r w:rsidRPr="001227DD">
        <w:t xml:space="preserve">, </w:t>
      </w:r>
      <w:r w:rsidRPr="00516B3C">
        <w:rPr>
          <w:b/>
          <w:bCs/>
        </w:rPr>
        <w:t>1958</w:t>
      </w:r>
      <w:r w:rsidRPr="001227DD">
        <w:t xml:space="preserve">, </w:t>
      </w:r>
      <w:r w:rsidRPr="00516B3C">
        <w:rPr>
          <w:i/>
          <w:iCs/>
        </w:rPr>
        <w:t>48</w:t>
      </w:r>
      <w:r w:rsidRPr="001227DD">
        <w:t xml:space="preserve">(3), 261-297.  </w:t>
      </w:r>
    </w:p>
    <w:p w14:paraId="3653A45A" w14:textId="104EB8C3" w:rsidR="001227DD" w:rsidRPr="001227DD" w:rsidRDefault="001227DD" w:rsidP="001276CA">
      <w:pPr>
        <w:pStyle w:val="Content"/>
        <w:numPr>
          <w:ilvl w:val="0"/>
          <w:numId w:val="32"/>
        </w:numPr>
        <w:ind w:left="624" w:hanging="340"/>
      </w:pPr>
      <w:r w:rsidRPr="001227DD">
        <w:t xml:space="preserve">T. A. Muritala. An empirical analysis of capital structure on firms’ performance in Nigeria. International </w:t>
      </w:r>
      <w:r w:rsidRPr="00516B3C">
        <w:rPr>
          <w:i/>
          <w:iCs/>
        </w:rPr>
        <w:t xml:space="preserve">Journal of </w:t>
      </w:r>
      <w:r w:rsidRPr="00516B3C">
        <w:rPr>
          <w:i/>
          <w:iCs/>
        </w:rPr>
        <w:t>Economics and Finance</w:t>
      </w:r>
      <w:r w:rsidRPr="001227DD">
        <w:t xml:space="preserve">, </w:t>
      </w:r>
      <w:r w:rsidRPr="00516B3C">
        <w:rPr>
          <w:b/>
          <w:bCs/>
        </w:rPr>
        <w:t>2012</w:t>
      </w:r>
      <w:r w:rsidRPr="001227DD">
        <w:t xml:space="preserve">, </w:t>
      </w:r>
      <w:r w:rsidRPr="00516B3C">
        <w:rPr>
          <w:i/>
          <w:iCs/>
        </w:rPr>
        <w:t>4</w:t>
      </w:r>
      <w:r w:rsidRPr="001227DD">
        <w:t xml:space="preserve">(5), 116-124. </w:t>
      </w:r>
    </w:p>
    <w:p w14:paraId="1C930558" w14:textId="28A3AB31" w:rsidR="001227DD" w:rsidRPr="001227DD" w:rsidRDefault="001227DD" w:rsidP="001276CA">
      <w:pPr>
        <w:pStyle w:val="Content"/>
        <w:numPr>
          <w:ilvl w:val="0"/>
          <w:numId w:val="32"/>
        </w:numPr>
        <w:ind w:left="624" w:hanging="340"/>
      </w:pPr>
      <w:r w:rsidRPr="001227DD">
        <w:t xml:space="preserve">S. C. Myers. Determinants of corporate borrowing. </w:t>
      </w:r>
      <w:r w:rsidRPr="00516B3C">
        <w:rPr>
          <w:i/>
          <w:iCs/>
        </w:rPr>
        <w:t>Journal of Financial Economics</w:t>
      </w:r>
      <w:r w:rsidRPr="001227DD">
        <w:t xml:space="preserve">, </w:t>
      </w:r>
      <w:r w:rsidR="00A31AD2">
        <w:rPr>
          <w:b/>
          <w:bCs/>
          <w:lang w:val="en-US"/>
        </w:rPr>
        <w:t>2001</w:t>
      </w:r>
      <w:r w:rsidRPr="001227DD">
        <w:t xml:space="preserve">, </w:t>
      </w:r>
      <w:r w:rsidRPr="00516B3C">
        <w:rPr>
          <w:i/>
          <w:iCs/>
        </w:rPr>
        <w:t>5</w:t>
      </w:r>
      <w:r w:rsidRPr="001227DD">
        <w:t xml:space="preserve">(2), 147-175. </w:t>
      </w:r>
    </w:p>
    <w:p w14:paraId="04E65695" w14:textId="69214525" w:rsidR="001227DD" w:rsidRPr="001227DD" w:rsidRDefault="001227DD" w:rsidP="001276CA">
      <w:pPr>
        <w:pStyle w:val="Content"/>
        <w:numPr>
          <w:ilvl w:val="0"/>
          <w:numId w:val="32"/>
        </w:numPr>
        <w:ind w:left="624" w:hanging="340"/>
      </w:pPr>
      <w:r w:rsidRPr="001227DD">
        <w:t xml:space="preserve">S. C. Myers, N. S. Majluf. Corporate financing and investment decisions when firms have information that investors do not have. </w:t>
      </w:r>
      <w:r w:rsidRPr="00516B3C">
        <w:rPr>
          <w:i/>
          <w:iCs/>
        </w:rPr>
        <w:t>Journal of Financial Economics</w:t>
      </w:r>
      <w:r w:rsidRPr="001227DD">
        <w:t xml:space="preserve">, </w:t>
      </w:r>
      <w:r w:rsidRPr="00516B3C">
        <w:rPr>
          <w:b/>
          <w:bCs/>
        </w:rPr>
        <w:t>1984</w:t>
      </w:r>
      <w:r w:rsidRPr="001227DD">
        <w:t xml:space="preserve">, </w:t>
      </w:r>
      <w:r w:rsidRPr="00516B3C">
        <w:rPr>
          <w:i/>
          <w:iCs/>
        </w:rPr>
        <w:t>13</w:t>
      </w:r>
      <w:r w:rsidRPr="001227DD">
        <w:t xml:space="preserve">(2), 187-221. </w:t>
      </w:r>
    </w:p>
    <w:p w14:paraId="3C670427" w14:textId="3C667B14" w:rsidR="001227DD" w:rsidRPr="001227DD" w:rsidRDefault="001227DD" w:rsidP="001276CA">
      <w:pPr>
        <w:pStyle w:val="Content"/>
        <w:numPr>
          <w:ilvl w:val="0"/>
          <w:numId w:val="32"/>
        </w:numPr>
        <w:ind w:left="624" w:hanging="340"/>
      </w:pPr>
      <w:r w:rsidRPr="001227DD">
        <w:t xml:space="preserve">T. H. Nguyen, T. T. Tran. The impact of capital structure on the performance of state-invested enterprises. </w:t>
      </w:r>
      <w:r w:rsidRPr="00516B3C">
        <w:rPr>
          <w:i/>
          <w:iCs/>
        </w:rPr>
        <w:t>Cogent Economics &amp; Finance</w:t>
      </w:r>
      <w:r w:rsidRPr="001227DD">
        <w:t xml:space="preserve">, </w:t>
      </w:r>
      <w:r w:rsidRPr="00516B3C">
        <w:rPr>
          <w:b/>
          <w:bCs/>
        </w:rPr>
        <w:t>2024</w:t>
      </w:r>
      <w:r w:rsidRPr="001227DD">
        <w:t xml:space="preserve">, </w:t>
      </w:r>
      <w:r w:rsidRPr="00516B3C">
        <w:rPr>
          <w:i/>
          <w:iCs/>
        </w:rPr>
        <w:t>12</w:t>
      </w:r>
      <w:r w:rsidRPr="001227DD">
        <w:t>(1), 239</w:t>
      </w:r>
      <w:r w:rsidR="00516B3C">
        <w:rPr>
          <w:lang w:val="en-US"/>
        </w:rPr>
        <w:t>-24</w:t>
      </w:r>
      <w:r w:rsidRPr="001227DD">
        <w:t xml:space="preserve">5. </w:t>
      </w:r>
    </w:p>
    <w:p w14:paraId="2A70D68F" w14:textId="428C718D" w:rsidR="001227DD" w:rsidRPr="001227DD" w:rsidRDefault="001227DD" w:rsidP="001276CA">
      <w:pPr>
        <w:pStyle w:val="Content"/>
        <w:numPr>
          <w:ilvl w:val="0"/>
          <w:numId w:val="32"/>
        </w:numPr>
        <w:ind w:left="624" w:hanging="340"/>
      </w:pPr>
      <w:r w:rsidRPr="001227DD">
        <w:t xml:space="preserve">H. T. Nguyen, A. H. Nguyen. The impact of capital structure on firm performance: Evidence from Vietnam. </w:t>
      </w:r>
      <w:r w:rsidRPr="00516B3C">
        <w:rPr>
          <w:i/>
          <w:iCs/>
        </w:rPr>
        <w:t>Journal of Asian Finance, Economics and Business</w:t>
      </w:r>
      <w:r w:rsidRPr="001227DD">
        <w:t xml:space="preserve">, </w:t>
      </w:r>
      <w:r w:rsidRPr="00516B3C">
        <w:rPr>
          <w:b/>
          <w:bCs/>
        </w:rPr>
        <w:t>2020</w:t>
      </w:r>
      <w:r w:rsidRPr="001227DD">
        <w:t xml:space="preserve">, </w:t>
      </w:r>
      <w:r w:rsidRPr="00516B3C">
        <w:rPr>
          <w:i/>
          <w:iCs/>
        </w:rPr>
        <w:t>7</w:t>
      </w:r>
      <w:r w:rsidRPr="001227DD">
        <w:t xml:space="preserve">(4), 97-105. </w:t>
      </w:r>
    </w:p>
    <w:p w14:paraId="57CA6789" w14:textId="687A07A9" w:rsidR="001227DD" w:rsidRDefault="001227DD" w:rsidP="001276CA">
      <w:pPr>
        <w:pStyle w:val="Content"/>
        <w:numPr>
          <w:ilvl w:val="0"/>
          <w:numId w:val="32"/>
        </w:numPr>
        <w:ind w:left="624" w:hanging="340"/>
      </w:pPr>
      <w:r w:rsidRPr="001227DD">
        <w:t xml:space="preserve">A. Phan, T. T. H. Nguyen, M. P. Nguyen, Q. C. Truong, T. H. T. Le. Impact of financial leverage and Big 4 audit quality on the performance of listed manufacturing companies in Vietnam. </w:t>
      </w:r>
      <w:r w:rsidRPr="00884336">
        <w:rPr>
          <w:i/>
          <w:iCs/>
        </w:rPr>
        <w:t>International Journal of Innovative Research and Scientific Studies</w:t>
      </w:r>
      <w:r w:rsidRPr="001227DD">
        <w:t xml:space="preserve">, </w:t>
      </w:r>
      <w:r w:rsidRPr="00884336">
        <w:rPr>
          <w:b/>
          <w:bCs/>
        </w:rPr>
        <w:t>2025</w:t>
      </w:r>
      <w:r w:rsidRPr="001227DD">
        <w:t xml:space="preserve">, </w:t>
      </w:r>
      <w:r w:rsidRPr="00884336">
        <w:rPr>
          <w:i/>
          <w:iCs/>
        </w:rPr>
        <w:t>8</w:t>
      </w:r>
      <w:r w:rsidRPr="001227DD">
        <w:t xml:space="preserve">(3), 233–243. </w:t>
      </w:r>
    </w:p>
    <w:p w14:paraId="2C84C0B4" w14:textId="7BE178DA" w:rsidR="00971B50" w:rsidRPr="001227DD" w:rsidRDefault="00971B50" w:rsidP="001276CA">
      <w:pPr>
        <w:pStyle w:val="Content"/>
        <w:numPr>
          <w:ilvl w:val="0"/>
          <w:numId w:val="32"/>
        </w:numPr>
        <w:ind w:left="624" w:hanging="340"/>
      </w:pPr>
      <w:r w:rsidRPr="00FD6A15">
        <w:rPr>
          <w:sz w:val="24"/>
          <w:szCs w:val="24"/>
          <w:lang w:val="en-US"/>
        </w:rPr>
        <w:t xml:space="preserve">P. Rajkumar. Impact of Financial Leverage on Financial Performance: Special Reference on John Keells Holdings plc in Sri Lanka, </w:t>
      </w:r>
      <w:r w:rsidRPr="00FD6A15">
        <w:rPr>
          <w:i/>
          <w:iCs/>
          <w:sz w:val="24"/>
          <w:szCs w:val="24"/>
          <w:lang w:val="en-US"/>
        </w:rPr>
        <w:t xml:space="preserve">Scientific Research Journal, </w:t>
      </w:r>
      <w:r w:rsidRPr="00FD6A15">
        <w:rPr>
          <w:b/>
          <w:bCs/>
          <w:sz w:val="24"/>
          <w:szCs w:val="24"/>
          <w:lang w:val="en-US"/>
        </w:rPr>
        <w:t>2014</w:t>
      </w:r>
      <w:r w:rsidRPr="00FD6A15">
        <w:rPr>
          <w:sz w:val="24"/>
          <w:szCs w:val="24"/>
          <w:lang w:val="en-US"/>
        </w:rPr>
        <w:t xml:space="preserve">, </w:t>
      </w:r>
      <w:r w:rsidRPr="00FD6A15">
        <w:rPr>
          <w:i/>
          <w:iCs/>
          <w:sz w:val="24"/>
          <w:szCs w:val="24"/>
          <w:lang w:val="en-US"/>
        </w:rPr>
        <w:t xml:space="preserve"> 2(2),</w:t>
      </w:r>
      <w:r w:rsidRPr="00FD6A15">
        <w:rPr>
          <w:sz w:val="24"/>
          <w:szCs w:val="24"/>
          <w:lang w:val="en-US"/>
        </w:rPr>
        <w:t xml:space="preserve"> 15-20.</w:t>
      </w:r>
    </w:p>
    <w:p w14:paraId="22D6695C" w14:textId="4101D7FC" w:rsidR="001227DD" w:rsidRPr="001227DD" w:rsidRDefault="001227DD" w:rsidP="001276CA">
      <w:pPr>
        <w:pStyle w:val="Content"/>
        <w:numPr>
          <w:ilvl w:val="0"/>
          <w:numId w:val="32"/>
        </w:numPr>
        <w:ind w:left="624" w:hanging="340"/>
      </w:pPr>
      <w:r w:rsidRPr="001227DD">
        <w:t xml:space="preserve">S. A. Ross. The determination of financial structure: The incentive-signalling approach. </w:t>
      </w:r>
      <w:r w:rsidRPr="00884336">
        <w:rPr>
          <w:i/>
          <w:iCs/>
        </w:rPr>
        <w:t>The Bell Journal of Economics</w:t>
      </w:r>
      <w:r w:rsidRPr="001227DD">
        <w:t xml:space="preserve">, </w:t>
      </w:r>
      <w:r w:rsidRPr="00884336">
        <w:rPr>
          <w:b/>
          <w:bCs/>
        </w:rPr>
        <w:t>1977</w:t>
      </w:r>
      <w:r w:rsidRPr="001227DD">
        <w:t xml:space="preserve">, </w:t>
      </w:r>
      <w:r w:rsidRPr="00884336">
        <w:rPr>
          <w:i/>
          <w:iCs/>
        </w:rPr>
        <w:t>8</w:t>
      </w:r>
      <w:r w:rsidRPr="001227DD">
        <w:t xml:space="preserve">(1), 23-40. </w:t>
      </w:r>
    </w:p>
    <w:p w14:paraId="609AB4A3" w14:textId="7EC7AF17" w:rsidR="001227DD" w:rsidRPr="001227DD" w:rsidRDefault="001227DD" w:rsidP="001276CA">
      <w:pPr>
        <w:pStyle w:val="Content"/>
        <w:numPr>
          <w:ilvl w:val="0"/>
          <w:numId w:val="32"/>
        </w:numPr>
        <w:ind w:left="624" w:hanging="340"/>
      </w:pPr>
      <w:r w:rsidRPr="001227DD">
        <w:t xml:space="preserve">A. Saeedi, I. Mahmoodi. Capital structure and firm performance: Evidence from Iranian companies. </w:t>
      </w:r>
      <w:r w:rsidRPr="00884336">
        <w:rPr>
          <w:i/>
          <w:iCs/>
        </w:rPr>
        <w:t>International Research Journal of Finance and Economics</w:t>
      </w:r>
      <w:r w:rsidRPr="001227DD">
        <w:t xml:space="preserve">, </w:t>
      </w:r>
      <w:r w:rsidRPr="00884336">
        <w:rPr>
          <w:b/>
          <w:bCs/>
        </w:rPr>
        <w:t>2011</w:t>
      </w:r>
      <w:r w:rsidRPr="001227DD">
        <w:t xml:space="preserve">, </w:t>
      </w:r>
      <w:r w:rsidRPr="00884336">
        <w:rPr>
          <w:i/>
          <w:iCs/>
        </w:rPr>
        <w:t>70</w:t>
      </w:r>
      <w:r w:rsidR="00884336" w:rsidRPr="00884336">
        <w:rPr>
          <w:lang w:val="en-US"/>
        </w:rPr>
        <w:t>(2)</w:t>
      </w:r>
      <w:r w:rsidRPr="001227DD">
        <w:t xml:space="preserve">, 20-29.  </w:t>
      </w:r>
    </w:p>
    <w:p w14:paraId="5EACB0AB" w14:textId="5C325773" w:rsidR="001227DD" w:rsidRDefault="001227DD" w:rsidP="001276CA">
      <w:pPr>
        <w:pStyle w:val="Content"/>
        <w:numPr>
          <w:ilvl w:val="0"/>
          <w:numId w:val="32"/>
        </w:numPr>
        <w:ind w:left="624" w:hanging="340"/>
      </w:pPr>
      <w:r w:rsidRPr="001227DD">
        <w:t xml:space="preserve">X. H. Vo. How does the stock market value bank diversification? Evidence from Vietnam. </w:t>
      </w:r>
      <w:r w:rsidRPr="00884336">
        <w:rPr>
          <w:i/>
          <w:iCs/>
        </w:rPr>
        <w:t>Finance Research Letters</w:t>
      </w:r>
      <w:r w:rsidRPr="001227DD">
        <w:t xml:space="preserve">, </w:t>
      </w:r>
      <w:r w:rsidRPr="00884336">
        <w:rPr>
          <w:b/>
          <w:bCs/>
        </w:rPr>
        <w:t>2017</w:t>
      </w:r>
      <w:r w:rsidRPr="001227DD">
        <w:t xml:space="preserve">, </w:t>
      </w:r>
      <w:r w:rsidRPr="00884336">
        <w:rPr>
          <w:i/>
          <w:iCs/>
        </w:rPr>
        <w:t>22</w:t>
      </w:r>
      <w:r w:rsidR="00884336">
        <w:rPr>
          <w:lang w:val="en-US"/>
        </w:rPr>
        <w:t>(1)</w:t>
      </w:r>
      <w:r w:rsidRPr="001227DD">
        <w:t xml:space="preserve">, 101-107. </w:t>
      </w:r>
    </w:p>
    <w:p w14:paraId="65A35008" w14:textId="77777777" w:rsidR="007C59C9" w:rsidRPr="001227DD" w:rsidRDefault="007C59C9" w:rsidP="007C59C9">
      <w:pPr>
        <w:pStyle w:val="Content"/>
        <w:numPr>
          <w:ilvl w:val="0"/>
          <w:numId w:val="32"/>
        </w:numPr>
        <w:ind w:left="624" w:hanging="340"/>
      </w:pPr>
      <w:r w:rsidRPr="001227DD">
        <w:t xml:space="preserve">J. M. Wooldridge. </w:t>
      </w:r>
      <w:r w:rsidRPr="00884336">
        <w:rPr>
          <w:i/>
          <w:iCs/>
        </w:rPr>
        <w:t>Econometric Analysis of Cross Section and Panel Data</w:t>
      </w:r>
      <w:r w:rsidRPr="001227DD">
        <w:t xml:space="preserve"> (2nd Edition). MIT Press, </w:t>
      </w:r>
      <w:r w:rsidRPr="00884336">
        <w:rPr>
          <w:b/>
          <w:bCs/>
        </w:rPr>
        <w:t>2010</w:t>
      </w:r>
      <w:r w:rsidRPr="001227DD">
        <w:t xml:space="preserve">.  </w:t>
      </w:r>
    </w:p>
    <w:p w14:paraId="1251C29A" w14:textId="77777777" w:rsidR="007C59C9" w:rsidRPr="001227DD" w:rsidRDefault="007C59C9" w:rsidP="007C59C9">
      <w:pPr>
        <w:pStyle w:val="Content"/>
        <w:ind w:left="624"/>
      </w:pPr>
    </w:p>
    <w:p w14:paraId="6B65CCB6" w14:textId="77777777" w:rsidR="001227DD" w:rsidRPr="001227DD" w:rsidRDefault="001227DD" w:rsidP="001227DD">
      <w:pPr>
        <w:rPr>
          <w:sz w:val="24"/>
          <w:szCs w:val="24"/>
        </w:rPr>
      </w:pPr>
    </w:p>
    <w:sectPr w:rsidR="001227DD" w:rsidRPr="001227DD" w:rsidSect="00EA4B92">
      <w:type w:val="continuous"/>
      <w:pgSz w:w="11906" w:h="16838"/>
      <w:pgMar w:top="1134" w:right="1134" w:bottom="1134" w:left="1418" w:header="720" w:footer="720" w:gutter="0"/>
      <w:pgNumType w:start="1"/>
      <w:cols w:num="2" w:space="567"/>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EDEBBE" w14:textId="77777777" w:rsidR="00757A38" w:rsidRDefault="00757A38">
      <w:r>
        <w:separator/>
      </w:r>
    </w:p>
  </w:endnote>
  <w:endnote w:type="continuationSeparator" w:id="0">
    <w:p w14:paraId="492B70B0" w14:textId="77777777" w:rsidR="00757A38" w:rsidRDefault="00757A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TimesNewRomanPS-ItalicM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BE271D" w14:textId="77777777" w:rsidR="00757A38" w:rsidRDefault="00757A38">
      <w:r>
        <w:separator/>
      </w:r>
    </w:p>
  </w:footnote>
  <w:footnote w:type="continuationSeparator" w:id="0">
    <w:p w14:paraId="5BB81CC6" w14:textId="77777777" w:rsidR="00757A38" w:rsidRDefault="00757A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A4F45"/>
    <w:multiLevelType w:val="hybridMultilevel"/>
    <w:tmpl w:val="93AEE0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B43C76"/>
    <w:multiLevelType w:val="hybridMultilevel"/>
    <w:tmpl w:val="1A5472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D25912"/>
    <w:multiLevelType w:val="hybridMultilevel"/>
    <w:tmpl w:val="61C4FFB8"/>
    <w:lvl w:ilvl="0" w:tplc="EBB8AC38">
      <w:start w:val="46"/>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 w15:restartNumberingAfterBreak="0">
    <w:nsid w:val="07ED465A"/>
    <w:multiLevelType w:val="multilevel"/>
    <w:tmpl w:val="4972295A"/>
    <w:lvl w:ilvl="0">
      <w:start w:val="1"/>
      <w:numFmt w:val="upperRoman"/>
      <w:lvlText w:val="%1."/>
      <w:lvlJc w:val="left"/>
      <w:pPr>
        <w:ind w:left="432" w:hanging="432"/>
      </w:pPr>
    </w:lvl>
    <w:lvl w:ilvl="1">
      <w:start w:val="1"/>
      <w:numFmt w:val="decimal"/>
      <w:lvlText w:val="%2."/>
      <w:lvlJc w:val="left"/>
      <w:pPr>
        <w:ind w:left="576" w:hanging="576"/>
      </w:pPr>
    </w:lvl>
    <w:lvl w:ilvl="2">
      <w:start w:val="1"/>
      <w:numFmt w:val="decimal"/>
      <w:pStyle w:val="Heading3"/>
      <w:lvlText w:val="%2.%3."/>
      <w:lvlJc w:val="left"/>
      <w:pPr>
        <w:ind w:left="1080" w:hanging="720"/>
      </w:pPr>
    </w:lvl>
    <w:lvl w:ilvl="3">
      <w:start w:val="1"/>
      <w:numFmt w:val="decimal"/>
      <w:pStyle w:val="Heading4"/>
      <w:lvlText w:val="%2.%3.%4."/>
      <w:lvlJc w:val="left"/>
      <w:pPr>
        <w:ind w:left="864" w:hanging="864"/>
      </w:pPr>
    </w:lvl>
    <w:lvl w:ilvl="4">
      <w:start w:val="1"/>
      <w:numFmt w:val="decimal"/>
      <w:pStyle w:val="Heading5"/>
      <w:lvlText w:val="%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33102086"/>
    <w:multiLevelType w:val="hybridMultilevel"/>
    <w:tmpl w:val="06065AA4"/>
    <w:lvl w:ilvl="0" w:tplc="B922E46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67316A6"/>
    <w:multiLevelType w:val="hybridMultilevel"/>
    <w:tmpl w:val="1AF8FB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7ED3D45"/>
    <w:multiLevelType w:val="multilevel"/>
    <w:tmpl w:val="6B786BF4"/>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
  </w:num>
  <w:num w:numId="2">
    <w:abstractNumId w:val="3"/>
  </w:num>
  <w:num w:numId="3">
    <w:abstractNumId w:val="3"/>
  </w:num>
  <w:num w:numId="4">
    <w:abstractNumId w:val="3"/>
  </w:num>
  <w:num w:numId="5">
    <w:abstractNumId w:val="3"/>
  </w:num>
  <w:num w:numId="6">
    <w:abstractNumId w:val="3"/>
  </w:num>
  <w:num w:numId="7">
    <w:abstractNumId w:val="3"/>
  </w:num>
  <w:num w:numId="8">
    <w:abstractNumId w:val="3"/>
  </w:num>
  <w:num w:numId="9">
    <w:abstractNumId w:val="3"/>
  </w:num>
  <w:num w:numId="10">
    <w:abstractNumId w:val="3"/>
  </w:num>
  <w:num w:numId="11">
    <w:abstractNumId w:val="3"/>
  </w:num>
  <w:num w:numId="12">
    <w:abstractNumId w:val="3"/>
  </w:num>
  <w:num w:numId="13">
    <w:abstractNumId w:val="3"/>
  </w:num>
  <w:num w:numId="14">
    <w:abstractNumId w:val="3"/>
  </w:num>
  <w:num w:numId="15">
    <w:abstractNumId w:val="3"/>
  </w:num>
  <w:num w:numId="16">
    <w:abstractNumId w:val="3"/>
  </w:num>
  <w:num w:numId="17">
    <w:abstractNumId w:val="3"/>
  </w:num>
  <w:num w:numId="18">
    <w:abstractNumId w:val="3"/>
  </w:num>
  <w:num w:numId="19">
    <w:abstractNumId w:val="3"/>
  </w:num>
  <w:num w:numId="20">
    <w:abstractNumId w:val="3"/>
  </w:num>
  <w:num w:numId="21">
    <w:abstractNumId w:val="3"/>
  </w:num>
  <w:num w:numId="22">
    <w:abstractNumId w:val="3"/>
  </w:num>
  <w:num w:numId="23">
    <w:abstractNumId w:val="3"/>
  </w:num>
  <w:num w:numId="24">
    <w:abstractNumId w:val="3"/>
  </w:num>
  <w:num w:numId="25">
    <w:abstractNumId w:val="3"/>
  </w:num>
  <w:num w:numId="26">
    <w:abstractNumId w:val="0"/>
  </w:num>
  <w:num w:numId="27">
    <w:abstractNumId w:val="2"/>
  </w:num>
  <w:num w:numId="28">
    <w:abstractNumId w:val="3"/>
    <w:lvlOverride w:ilvl="0">
      <w:startOverride w:val="1"/>
    </w:lvlOverride>
    <w:lvlOverride w:ilvl="1">
      <w:startOverride w:val="2"/>
    </w:lvlOverride>
    <w:lvlOverride w:ilvl="2">
      <w:startOverride w:val="6"/>
    </w:lvlOverride>
  </w:num>
  <w:num w:numId="29">
    <w:abstractNumId w:val="6"/>
  </w:num>
  <w:num w:numId="30">
    <w:abstractNumId w:val="4"/>
  </w:num>
  <w:num w:numId="31">
    <w:abstractNumId w:val="1"/>
  </w:num>
  <w:num w:numId="3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418"/>
    <w:rsid w:val="00000A39"/>
    <w:rsid w:val="00003222"/>
    <w:rsid w:val="000032EA"/>
    <w:rsid w:val="0000539A"/>
    <w:rsid w:val="00007F01"/>
    <w:rsid w:val="000100CE"/>
    <w:rsid w:val="00010B3E"/>
    <w:rsid w:val="000128FD"/>
    <w:rsid w:val="00013D82"/>
    <w:rsid w:val="00020681"/>
    <w:rsid w:val="000371E2"/>
    <w:rsid w:val="000377B2"/>
    <w:rsid w:val="0004017A"/>
    <w:rsid w:val="00041E75"/>
    <w:rsid w:val="0004235B"/>
    <w:rsid w:val="00045925"/>
    <w:rsid w:val="00047B1D"/>
    <w:rsid w:val="00047E1C"/>
    <w:rsid w:val="0005174B"/>
    <w:rsid w:val="00053BD3"/>
    <w:rsid w:val="0006354C"/>
    <w:rsid w:val="0006509D"/>
    <w:rsid w:val="00067FD2"/>
    <w:rsid w:val="00076494"/>
    <w:rsid w:val="00077FBF"/>
    <w:rsid w:val="00095FB3"/>
    <w:rsid w:val="000A1FD9"/>
    <w:rsid w:val="000A374A"/>
    <w:rsid w:val="000A725D"/>
    <w:rsid w:val="000A77DC"/>
    <w:rsid w:val="000B3AEA"/>
    <w:rsid w:val="000B3EBC"/>
    <w:rsid w:val="000B6314"/>
    <w:rsid w:val="000C0431"/>
    <w:rsid w:val="000C0EF4"/>
    <w:rsid w:val="000C12FB"/>
    <w:rsid w:val="000C3C2E"/>
    <w:rsid w:val="000C5832"/>
    <w:rsid w:val="000D1E42"/>
    <w:rsid w:val="000D4242"/>
    <w:rsid w:val="000D5E28"/>
    <w:rsid w:val="000D6833"/>
    <w:rsid w:val="000E1EE1"/>
    <w:rsid w:val="000E2090"/>
    <w:rsid w:val="000F78D4"/>
    <w:rsid w:val="00100052"/>
    <w:rsid w:val="00110265"/>
    <w:rsid w:val="0011051A"/>
    <w:rsid w:val="00111157"/>
    <w:rsid w:val="00112722"/>
    <w:rsid w:val="00113EBA"/>
    <w:rsid w:val="00113F2F"/>
    <w:rsid w:val="00117A35"/>
    <w:rsid w:val="001227DD"/>
    <w:rsid w:val="00125E9C"/>
    <w:rsid w:val="00127154"/>
    <w:rsid w:val="001276CA"/>
    <w:rsid w:val="00130DE8"/>
    <w:rsid w:val="0014106B"/>
    <w:rsid w:val="001436D2"/>
    <w:rsid w:val="00152175"/>
    <w:rsid w:val="00154E02"/>
    <w:rsid w:val="00157FB3"/>
    <w:rsid w:val="00162385"/>
    <w:rsid w:val="00171304"/>
    <w:rsid w:val="001738B2"/>
    <w:rsid w:val="00175D39"/>
    <w:rsid w:val="00177EF7"/>
    <w:rsid w:val="00181E2B"/>
    <w:rsid w:val="00182256"/>
    <w:rsid w:val="00187B4D"/>
    <w:rsid w:val="00190AED"/>
    <w:rsid w:val="0019194B"/>
    <w:rsid w:val="00192EB4"/>
    <w:rsid w:val="001A2409"/>
    <w:rsid w:val="001A43AD"/>
    <w:rsid w:val="001B042C"/>
    <w:rsid w:val="001B2F53"/>
    <w:rsid w:val="001B345E"/>
    <w:rsid w:val="001B7B4F"/>
    <w:rsid w:val="001D1399"/>
    <w:rsid w:val="001D3125"/>
    <w:rsid w:val="001E3D40"/>
    <w:rsid w:val="001E4117"/>
    <w:rsid w:val="001F09C3"/>
    <w:rsid w:val="001F0C2E"/>
    <w:rsid w:val="001F16D8"/>
    <w:rsid w:val="001F2902"/>
    <w:rsid w:val="001F3AEC"/>
    <w:rsid w:val="001F5F0D"/>
    <w:rsid w:val="00204227"/>
    <w:rsid w:val="0021204F"/>
    <w:rsid w:val="00214DF8"/>
    <w:rsid w:val="00216A88"/>
    <w:rsid w:val="002238C3"/>
    <w:rsid w:val="00232EF1"/>
    <w:rsid w:val="002334E4"/>
    <w:rsid w:val="00256BC9"/>
    <w:rsid w:val="00257369"/>
    <w:rsid w:val="00257B23"/>
    <w:rsid w:val="002761DA"/>
    <w:rsid w:val="00281935"/>
    <w:rsid w:val="00282790"/>
    <w:rsid w:val="0028303A"/>
    <w:rsid w:val="0028699B"/>
    <w:rsid w:val="00286F61"/>
    <w:rsid w:val="0029248A"/>
    <w:rsid w:val="00292745"/>
    <w:rsid w:val="00292A48"/>
    <w:rsid w:val="002934AA"/>
    <w:rsid w:val="002936C1"/>
    <w:rsid w:val="0029601B"/>
    <w:rsid w:val="002A2939"/>
    <w:rsid w:val="002A2FA4"/>
    <w:rsid w:val="002A5C74"/>
    <w:rsid w:val="002A7EE4"/>
    <w:rsid w:val="002B12F0"/>
    <w:rsid w:val="002B66D7"/>
    <w:rsid w:val="002C5B0B"/>
    <w:rsid w:val="002C7F62"/>
    <w:rsid w:val="002D5A41"/>
    <w:rsid w:val="002D6031"/>
    <w:rsid w:val="002D74A5"/>
    <w:rsid w:val="002E1D0A"/>
    <w:rsid w:val="002E3A27"/>
    <w:rsid w:val="002E6B04"/>
    <w:rsid w:val="002E75DC"/>
    <w:rsid w:val="002F10D8"/>
    <w:rsid w:val="002F332C"/>
    <w:rsid w:val="002F3A6E"/>
    <w:rsid w:val="002F55DC"/>
    <w:rsid w:val="00317483"/>
    <w:rsid w:val="00330738"/>
    <w:rsid w:val="00331F06"/>
    <w:rsid w:val="00341EBB"/>
    <w:rsid w:val="003453E3"/>
    <w:rsid w:val="0035158E"/>
    <w:rsid w:val="003517DE"/>
    <w:rsid w:val="00361249"/>
    <w:rsid w:val="0036177B"/>
    <w:rsid w:val="003640A5"/>
    <w:rsid w:val="0036414F"/>
    <w:rsid w:val="0036571B"/>
    <w:rsid w:val="003657E2"/>
    <w:rsid w:val="00372264"/>
    <w:rsid w:val="003745E4"/>
    <w:rsid w:val="00377F56"/>
    <w:rsid w:val="00383202"/>
    <w:rsid w:val="00383786"/>
    <w:rsid w:val="00384073"/>
    <w:rsid w:val="003860CE"/>
    <w:rsid w:val="0039606E"/>
    <w:rsid w:val="0039690E"/>
    <w:rsid w:val="00397CC9"/>
    <w:rsid w:val="003A01AB"/>
    <w:rsid w:val="003A02A2"/>
    <w:rsid w:val="003A5717"/>
    <w:rsid w:val="003A68B8"/>
    <w:rsid w:val="003A6EAA"/>
    <w:rsid w:val="003B4677"/>
    <w:rsid w:val="003B587A"/>
    <w:rsid w:val="003B6D9F"/>
    <w:rsid w:val="003C2C6E"/>
    <w:rsid w:val="003C6E95"/>
    <w:rsid w:val="003D06EC"/>
    <w:rsid w:val="003D5DBC"/>
    <w:rsid w:val="003D6418"/>
    <w:rsid w:val="003E1EB8"/>
    <w:rsid w:val="003E21D2"/>
    <w:rsid w:val="003E2C42"/>
    <w:rsid w:val="003E4B20"/>
    <w:rsid w:val="003F5D37"/>
    <w:rsid w:val="00401706"/>
    <w:rsid w:val="00410093"/>
    <w:rsid w:val="0041363F"/>
    <w:rsid w:val="00420666"/>
    <w:rsid w:val="00420A53"/>
    <w:rsid w:val="00433EA0"/>
    <w:rsid w:val="004360D7"/>
    <w:rsid w:val="0043790C"/>
    <w:rsid w:val="00440EAD"/>
    <w:rsid w:val="004416AC"/>
    <w:rsid w:val="00444517"/>
    <w:rsid w:val="0044593E"/>
    <w:rsid w:val="00457645"/>
    <w:rsid w:val="00460940"/>
    <w:rsid w:val="00465975"/>
    <w:rsid w:val="004724AA"/>
    <w:rsid w:val="0047335F"/>
    <w:rsid w:val="004770E5"/>
    <w:rsid w:val="0047762B"/>
    <w:rsid w:val="00480D6B"/>
    <w:rsid w:val="00482A31"/>
    <w:rsid w:val="00485D3D"/>
    <w:rsid w:val="00490CA8"/>
    <w:rsid w:val="0049416A"/>
    <w:rsid w:val="004952D2"/>
    <w:rsid w:val="00495D93"/>
    <w:rsid w:val="004A4DC5"/>
    <w:rsid w:val="004A6CB4"/>
    <w:rsid w:val="004B00A5"/>
    <w:rsid w:val="004B0956"/>
    <w:rsid w:val="004B1478"/>
    <w:rsid w:val="004B1DAB"/>
    <w:rsid w:val="004B2081"/>
    <w:rsid w:val="004B682B"/>
    <w:rsid w:val="004C1C59"/>
    <w:rsid w:val="004C2971"/>
    <w:rsid w:val="004C48A4"/>
    <w:rsid w:val="004C5396"/>
    <w:rsid w:val="004C549D"/>
    <w:rsid w:val="004D1012"/>
    <w:rsid w:val="004D3FFF"/>
    <w:rsid w:val="004D6C1E"/>
    <w:rsid w:val="004D70FC"/>
    <w:rsid w:val="004D7648"/>
    <w:rsid w:val="004D7C55"/>
    <w:rsid w:val="004E0885"/>
    <w:rsid w:val="004E2438"/>
    <w:rsid w:val="004E4C1A"/>
    <w:rsid w:val="004F05F0"/>
    <w:rsid w:val="004F3383"/>
    <w:rsid w:val="004F699C"/>
    <w:rsid w:val="004F7411"/>
    <w:rsid w:val="00500FC9"/>
    <w:rsid w:val="00504BDD"/>
    <w:rsid w:val="00504E42"/>
    <w:rsid w:val="00506A7C"/>
    <w:rsid w:val="00506B67"/>
    <w:rsid w:val="0050742F"/>
    <w:rsid w:val="00512C89"/>
    <w:rsid w:val="00514266"/>
    <w:rsid w:val="005158BC"/>
    <w:rsid w:val="00516B3C"/>
    <w:rsid w:val="00522CE0"/>
    <w:rsid w:val="005235E6"/>
    <w:rsid w:val="00524CB3"/>
    <w:rsid w:val="00536282"/>
    <w:rsid w:val="00542132"/>
    <w:rsid w:val="005533A9"/>
    <w:rsid w:val="00561EE7"/>
    <w:rsid w:val="005629AF"/>
    <w:rsid w:val="00564260"/>
    <w:rsid w:val="005648DE"/>
    <w:rsid w:val="00565A1D"/>
    <w:rsid w:val="0056680D"/>
    <w:rsid w:val="00571D1A"/>
    <w:rsid w:val="00576C44"/>
    <w:rsid w:val="00576F13"/>
    <w:rsid w:val="00581600"/>
    <w:rsid w:val="00581B22"/>
    <w:rsid w:val="005833C5"/>
    <w:rsid w:val="00583A61"/>
    <w:rsid w:val="00585478"/>
    <w:rsid w:val="00585A96"/>
    <w:rsid w:val="00587533"/>
    <w:rsid w:val="00587C2D"/>
    <w:rsid w:val="00587F5F"/>
    <w:rsid w:val="005923DC"/>
    <w:rsid w:val="00593469"/>
    <w:rsid w:val="00593586"/>
    <w:rsid w:val="005A0E0A"/>
    <w:rsid w:val="005A3E1A"/>
    <w:rsid w:val="005A577A"/>
    <w:rsid w:val="005B2C44"/>
    <w:rsid w:val="005B4C41"/>
    <w:rsid w:val="005C1DBC"/>
    <w:rsid w:val="005C421F"/>
    <w:rsid w:val="005C4A29"/>
    <w:rsid w:val="005C6ACD"/>
    <w:rsid w:val="005D2592"/>
    <w:rsid w:val="005D25F1"/>
    <w:rsid w:val="005D5DF5"/>
    <w:rsid w:val="005D65D8"/>
    <w:rsid w:val="005E2C42"/>
    <w:rsid w:val="005E7788"/>
    <w:rsid w:val="005F06DB"/>
    <w:rsid w:val="005F2758"/>
    <w:rsid w:val="005F563D"/>
    <w:rsid w:val="00600A42"/>
    <w:rsid w:val="00601ABB"/>
    <w:rsid w:val="00604949"/>
    <w:rsid w:val="00604A92"/>
    <w:rsid w:val="006166DA"/>
    <w:rsid w:val="006343B8"/>
    <w:rsid w:val="00636F7D"/>
    <w:rsid w:val="00637E25"/>
    <w:rsid w:val="006404AF"/>
    <w:rsid w:val="00640617"/>
    <w:rsid w:val="00650684"/>
    <w:rsid w:val="00657418"/>
    <w:rsid w:val="00662784"/>
    <w:rsid w:val="00663D65"/>
    <w:rsid w:val="00665FBD"/>
    <w:rsid w:val="006735A0"/>
    <w:rsid w:val="00673DE6"/>
    <w:rsid w:val="00680AFD"/>
    <w:rsid w:val="00681610"/>
    <w:rsid w:val="00681D84"/>
    <w:rsid w:val="00682F4E"/>
    <w:rsid w:val="0068548D"/>
    <w:rsid w:val="006861D3"/>
    <w:rsid w:val="00686811"/>
    <w:rsid w:val="00687F85"/>
    <w:rsid w:val="00690FA5"/>
    <w:rsid w:val="00692DD5"/>
    <w:rsid w:val="006A0B18"/>
    <w:rsid w:val="006A2F83"/>
    <w:rsid w:val="006A3CFA"/>
    <w:rsid w:val="006A7F05"/>
    <w:rsid w:val="006B3F15"/>
    <w:rsid w:val="006B7EEF"/>
    <w:rsid w:val="006C44A5"/>
    <w:rsid w:val="006D3E49"/>
    <w:rsid w:val="006E0B7E"/>
    <w:rsid w:val="006E1072"/>
    <w:rsid w:val="006E2240"/>
    <w:rsid w:val="006E24B9"/>
    <w:rsid w:val="006E3130"/>
    <w:rsid w:val="006E5557"/>
    <w:rsid w:val="006E5BB8"/>
    <w:rsid w:val="006E69D1"/>
    <w:rsid w:val="006E7698"/>
    <w:rsid w:val="006F059A"/>
    <w:rsid w:val="006F1D09"/>
    <w:rsid w:val="006F5C33"/>
    <w:rsid w:val="006F70E6"/>
    <w:rsid w:val="006F77D3"/>
    <w:rsid w:val="00704534"/>
    <w:rsid w:val="007109A5"/>
    <w:rsid w:val="00713BC1"/>
    <w:rsid w:val="007151ED"/>
    <w:rsid w:val="00720235"/>
    <w:rsid w:val="00720630"/>
    <w:rsid w:val="00721A29"/>
    <w:rsid w:val="00730D06"/>
    <w:rsid w:val="007325DC"/>
    <w:rsid w:val="00734702"/>
    <w:rsid w:val="00736A48"/>
    <w:rsid w:val="00736A4C"/>
    <w:rsid w:val="00736C37"/>
    <w:rsid w:val="0074718A"/>
    <w:rsid w:val="00751148"/>
    <w:rsid w:val="0075331B"/>
    <w:rsid w:val="0075789D"/>
    <w:rsid w:val="00757A38"/>
    <w:rsid w:val="00764D53"/>
    <w:rsid w:val="00774019"/>
    <w:rsid w:val="00775E30"/>
    <w:rsid w:val="00782F53"/>
    <w:rsid w:val="007849B3"/>
    <w:rsid w:val="00785425"/>
    <w:rsid w:val="00792CE8"/>
    <w:rsid w:val="007966F9"/>
    <w:rsid w:val="0079683F"/>
    <w:rsid w:val="007A0441"/>
    <w:rsid w:val="007A48B7"/>
    <w:rsid w:val="007A7C24"/>
    <w:rsid w:val="007B1974"/>
    <w:rsid w:val="007B4BC7"/>
    <w:rsid w:val="007C0189"/>
    <w:rsid w:val="007C0957"/>
    <w:rsid w:val="007C3ED9"/>
    <w:rsid w:val="007C59C9"/>
    <w:rsid w:val="007C5DD1"/>
    <w:rsid w:val="007D1A28"/>
    <w:rsid w:val="007D5222"/>
    <w:rsid w:val="007D524D"/>
    <w:rsid w:val="007E3A0D"/>
    <w:rsid w:val="007F0B15"/>
    <w:rsid w:val="007F4CD4"/>
    <w:rsid w:val="007F4E5E"/>
    <w:rsid w:val="007F6984"/>
    <w:rsid w:val="007F7211"/>
    <w:rsid w:val="00803C4E"/>
    <w:rsid w:val="00805C9A"/>
    <w:rsid w:val="0080635E"/>
    <w:rsid w:val="00811DE5"/>
    <w:rsid w:val="00812B04"/>
    <w:rsid w:val="00814F3D"/>
    <w:rsid w:val="0082094A"/>
    <w:rsid w:val="00824D0E"/>
    <w:rsid w:val="0083024D"/>
    <w:rsid w:val="008320F3"/>
    <w:rsid w:val="00840DE9"/>
    <w:rsid w:val="00843596"/>
    <w:rsid w:val="00845229"/>
    <w:rsid w:val="00850A7A"/>
    <w:rsid w:val="00853EDF"/>
    <w:rsid w:val="00865CED"/>
    <w:rsid w:val="00866B67"/>
    <w:rsid w:val="00867017"/>
    <w:rsid w:val="00872899"/>
    <w:rsid w:val="008747E1"/>
    <w:rsid w:val="00876CF5"/>
    <w:rsid w:val="00881500"/>
    <w:rsid w:val="00884336"/>
    <w:rsid w:val="008865F2"/>
    <w:rsid w:val="0088789A"/>
    <w:rsid w:val="008927DA"/>
    <w:rsid w:val="00893C09"/>
    <w:rsid w:val="008A64F6"/>
    <w:rsid w:val="008B2A3B"/>
    <w:rsid w:val="008B6F25"/>
    <w:rsid w:val="008B795F"/>
    <w:rsid w:val="008C0E04"/>
    <w:rsid w:val="008C2DA6"/>
    <w:rsid w:val="008C4A66"/>
    <w:rsid w:val="008C518A"/>
    <w:rsid w:val="008C66A6"/>
    <w:rsid w:val="008D1CB6"/>
    <w:rsid w:val="008D4FAF"/>
    <w:rsid w:val="008D6215"/>
    <w:rsid w:val="008E346D"/>
    <w:rsid w:val="008E3FB3"/>
    <w:rsid w:val="008E50CA"/>
    <w:rsid w:val="008E685D"/>
    <w:rsid w:val="008E6BF5"/>
    <w:rsid w:val="008E733D"/>
    <w:rsid w:val="008F005B"/>
    <w:rsid w:val="008F2279"/>
    <w:rsid w:val="008F6CFE"/>
    <w:rsid w:val="00900ECA"/>
    <w:rsid w:val="00901937"/>
    <w:rsid w:val="00902F8E"/>
    <w:rsid w:val="009059A9"/>
    <w:rsid w:val="00905FE1"/>
    <w:rsid w:val="00907ABB"/>
    <w:rsid w:val="00914A5A"/>
    <w:rsid w:val="00916275"/>
    <w:rsid w:val="00916884"/>
    <w:rsid w:val="0091765A"/>
    <w:rsid w:val="009233C1"/>
    <w:rsid w:val="009268A4"/>
    <w:rsid w:val="00926D86"/>
    <w:rsid w:val="00931D43"/>
    <w:rsid w:val="009363CE"/>
    <w:rsid w:val="00937C54"/>
    <w:rsid w:val="00940F82"/>
    <w:rsid w:val="00947CC3"/>
    <w:rsid w:val="00952F82"/>
    <w:rsid w:val="009536CF"/>
    <w:rsid w:val="00956498"/>
    <w:rsid w:val="00961064"/>
    <w:rsid w:val="00965335"/>
    <w:rsid w:val="00971B50"/>
    <w:rsid w:val="00977F16"/>
    <w:rsid w:val="0098455B"/>
    <w:rsid w:val="009866F9"/>
    <w:rsid w:val="009A0101"/>
    <w:rsid w:val="009A3E41"/>
    <w:rsid w:val="009A5933"/>
    <w:rsid w:val="009A66E5"/>
    <w:rsid w:val="009B059E"/>
    <w:rsid w:val="009B5B0C"/>
    <w:rsid w:val="009C16DB"/>
    <w:rsid w:val="009C249B"/>
    <w:rsid w:val="009C6619"/>
    <w:rsid w:val="009D4ADE"/>
    <w:rsid w:val="009D7831"/>
    <w:rsid w:val="009E2630"/>
    <w:rsid w:val="009E746F"/>
    <w:rsid w:val="009E7643"/>
    <w:rsid w:val="009E7854"/>
    <w:rsid w:val="009F0FF7"/>
    <w:rsid w:val="00A10245"/>
    <w:rsid w:val="00A12D14"/>
    <w:rsid w:val="00A130A6"/>
    <w:rsid w:val="00A164F0"/>
    <w:rsid w:val="00A21546"/>
    <w:rsid w:val="00A307AE"/>
    <w:rsid w:val="00A31AD2"/>
    <w:rsid w:val="00A339E0"/>
    <w:rsid w:val="00A33A8E"/>
    <w:rsid w:val="00A34B14"/>
    <w:rsid w:val="00A355BC"/>
    <w:rsid w:val="00A4016A"/>
    <w:rsid w:val="00A41967"/>
    <w:rsid w:val="00A50BB6"/>
    <w:rsid w:val="00A5162D"/>
    <w:rsid w:val="00A52B67"/>
    <w:rsid w:val="00A54B21"/>
    <w:rsid w:val="00A57DEF"/>
    <w:rsid w:val="00A63207"/>
    <w:rsid w:val="00A64345"/>
    <w:rsid w:val="00A71C16"/>
    <w:rsid w:val="00A72F9F"/>
    <w:rsid w:val="00A76903"/>
    <w:rsid w:val="00A817AB"/>
    <w:rsid w:val="00A8533A"/>
    <w:rsid w:val="00A87D53"/>
    <w:rsid w:val="00A90EA7"/>
    <w:rsid w:val="00A910E6"/>
    <w:rsid w:val="00A9148F"/>
    <w:rsid w:val="00AA0E6F"/>
    <w:rsid w:val="00AA6DA3"/>
    <w:rsid w:val="00AB3822"/>
    <w:rsid w:val="00AC4471"/>
    <w:rsid w:val="00AD309B"/>
    <w:rsid w:val="00AE0E81"/>
    <w:rsid w:val="00AE0E9D"/>
    <w:rsid w:val="00AE1F09"/>
    <w:rsid w:val="00AE3AAB"/>
    <w:rsid w:val="00AE6A3F"/>
    <w:rsid w:val="00AE6C2E"/>
    <w:rsid w:val="00AE6CEC"/>
    <w:rsid w:val="00AE7C78"/>
    <w:rsid w:val="00AF16F6"/>
    <w:rsid w:val="00B01311"/>
    <w:rsid w:val="00B04B4E"/>
    <w:rsid w:val="00B06286"/>
    <w:rsid w:val="00B064B0"/>
    <w:rsid w:val="00B111A7"/>
    <w:rsid w:val="00B1215A"/>
    <w:rsid w:val="00B15BCB"/>
    <w:rsid w:val="00B22387"/>
    <w:rsid w:val="00B224F3"/>
    <w:rsid w:val="00B26C6E"/>
    <w:rsid w:val="00B27664"/>
    <w:rsid w:val="00B30075"/>
    <w:rsid w:val="00B30563"/>
    <w:rsid w:val="00B30812"/>
    <w:rsid w:val="00B3162A"/>
    <w:rsid w:val="00B4341C"/>
    <w:rsid w:val="00B4399F"/>
    <w:rsid w:val="00B51B7A"/>
    <w:rsid w:val="00B5325D"/>
    <w:rsid w:val="00B601EF"/>
    <w:rsid w:val="00B626C2"/>
    <w:rsid w:val="00B667CA"/>
    <w:rsid w:val="00B7196F"/>
    <w:rsid w:val="00B734DA"/>
    <w:rsid w:val="00B763A2"/>
    <w:rsid w:val="00B7717E"/>
    <w:rsid w:val="00B77B23"/>
    <w:rsid w:val="00B83944"/>
    <w:rsid w:val="00B84E6B"/>
    <w:rsid w:val="00B86966"/>
    <w:rsid w:val="00B92AD3"/>
    <w:rsid w:val="00B93B64"/>
    <w:rsid w:val="00B96138"/>
    <w:rsid w:val="00B97352"/>
    <w:rsid w:val="00BA3A6C"/>
    <w:rsid w:val="00BA6B3F"/>
    <w:rsid w:val="00BB0ABE"/>
    <w:rsid w:val="00BB1C6B"/>
    <w:rsid w:val="00BB3A2D"/>
    <w:rsid w:val="00BB54D3"/>
    <w:rsid w:val="00BB62F5"/>
    <w:rsid w:val="00BD0B8A"/>
    <w:rsid w:val="00BD1C23"/>
    <w:rsid w:val="00BD30A3"/>
    <w:rsid w:val="00BD6236"/>
    <w:rsid w:val="00BD6F79"/>
    <w:rsid w:val="00BE2340"/>
    <w:rsid w:val="00C02B76"/>
    <w:rsid w:val="00C04DA5"/>
    <w:rsid w:val="00C05E4B"/>
    <w:rsid w:val="00C122BE"/>
    <w:rsid w:val="00C13977"/>
    <w:rsid w:val="00C166A0"/>
    <w:rsid w:val="00C168AC"/>
    <w:rsid w:val="00C23023"/>
    <w:rsid w:val="00C23E2A"/>
    <w:rsid w:val="00C2533A"/>
    <w:rsid w:val="00C2706C"/>
    <w:rsid w:val="00C30B02"/>
    <w:rsid w:val="00C31470"/>
    <w:rsid w:val="00C33720"/>
    <w:rsid w:val="00C37989"/>
    <w:rsid w:val="00C422BA"/>
    <w:rsid w:val="00C43283"/>
    <w:rsid w:val="00C45C6C"/>
    <w:rsid w:val="00C5396B"/>
    <w:rsid w:val="00C55459"/>
    <w:rsid w:val="00C56F01"/>
    <w:rsid w:val="00C60A40"/>
    <w:rsid w:val="00C613E5"/>
    <w:rsid w:val="00C6571F"/>
    <w:rsid w:val="00C66CD0"/>
    <w:rsid w:val="00C7344C"/>
    <w:rsid w:val="00C83539"/>
    <w:rsid w:val="00C83DB4"/>
    <w:rsid w:val="00C87F4C"/>
    <w:rsid w:val="00C91E56"/>
    <w:rsid w:val="00CA00FD"/>
    <w:rsid w:val="00CA397B"/>
    <w:rsid w:val="00CA5371"/>
    <w:rsid w:val="00CA597E"/>
    <w:rsid w:val="00CB480B"/>
    <w:rsid w:val="00CC375D"/>
    <w:rsid w:val="00CC4D8D"/>
    <w:rsid w:val="00CD0EF7"/>
    <w:rsid w:val="00CD1561"/>
    <w:rsid w:val="00CD3161"/>
    <w:rsid w:val="00CD4A48"/>
    <w:rsid w:val="00CD5C5B"/>
    <w:rsid w:val="00CD6A39"/>
    <w:rsid w:val="00CD7007"/>
    <w:rsid w:val="00CD78F2"/>
    <w:rsid w:val="00CE53E5"/>
    <w:rsid w:val="00CF04C6"/>
    <w:rsid w:val="00CF5BBA"/>
    <w:rsid w:val="00CF79CC"/>
    <w:rsid w:val="00D02F66"/>
    <w:rsid w:val="00D06EA6"/>
    <w:rsid w:val="00D10811"/>
    <w:rsid w:val="00D13A57"/>
    <w:rsid w:val="00D222C4"/>
    <w:rsid w:val="00D25C82"/>
    <w:rsid w:val="00D3021C"/>
    <w:rsid w:val="00D37EDB"/>
    <w:rsid w:val="00D415DA"/>
    <w:rsid w:val="00D4592F"/>
    <w:rsid w:val="00D51CBF"/>
    <w:rsid w:val="00D60576"/>
    <w:rsid w:val="00D65B27"/>
    <w:rsid w:val="00D669DD"/>
    <w:rsid w:val="00D66F89"/>
    <w:rsid w:val="00D72138"/>
    <w:rsid w:val="00D724E6"/>
    <w:rsid w:val="00D73C17"/>
    <w:rsid w:val="00D76AA2"/>
    <w:rsid w:val="00D77FC8"/>
    <w:rsid w:val="00D83D18"/>
    <w:rsid w:val="00D85EDD"/>
    <w:rsid w:val="00D878D9"/>
    <w:rsid w:val="00D90DA0"/>
    <w:rsid w:val="00D91755"/>
    <w:rsid w:val="00D933C5"/>
    <w:rsid w:val="00D95452"/>
    <w:rsid w:val="00D9675B"/>
    <w:rsid w:val="00D9743E"/>
    <w:rsid w:val="00DA0969"/>
    <w:rsid w:val="00DA4D11"/>
    <w:rsid w:val="00DA5F46"/>
    <w:rsid w:val="00DA5F8F"/>
    <w:rsid w:val="00DA6414"/>
    <w:rsid w:val="00DB071B"/>
    <w:rsid w:val="00DB3658"/>
    <w:rsid w:val="00DB3F06"/>
    <w:rsid w:val="00DB4561"/>
    <w:rsid w:val="00DC033F"/>
    <w:rsid w:val="00DD28F2"/>
    <w:rsid w:val="00DD55A5"/>
    <w:rsid w:val="00DD79DB"/>
    <w:rsid w:val="00DF5480"/>
    <w:rsid w:val="00E01611"/>
    <w:rsid w:val="00E029F6"/>
    <w:rsid w:val="00E04C11"/>
    <w:rsid w:val="00E06735"/>
    <w:rsid w:val="00E16269"/>
    <w:rsid w:val="00E21708"/>
    <w:rsid w:val="00E22301"/>
    <w:rsid w:val="00E229CB"/>
    <w:rsid w:val="00E40B9C"/>
    <w:rsid w:val="00E43DF4"/>
    <w:rsid w:val="00E43EA6"/>
    <w:rsid w:val="00E51C2D"/>
    <w:rsid w:val="00E52678"/>
    <w:rsid w:val="00E57599"/>
    <w:rsid w:val="00E57EA8"/>
    <w:rsid w:val="00E62453"/>
    <w:rsid w:val="00E629DB"/>
    <w:rsid w:val="00E71426"/>
    <w:rsid w:val="00E74A16"/>
    <w:rsid w:val="00E77EEF"/>
    <w:rsid w:val="00E87560"/>
    <w:rsid w:val="00E97F72"/>
    <w:rsid w:val="00EA4B92"/>
    <w:rsid w:val="00EA5DD3"/>
    <w:rsid w:val="00EA7481"/>
    <w:rsid w:val="00EB0530"/>
    <w:rsid w:val="00EB25F6"/>
    <w:rsid w:val="00EB4808"/>
    <w:rsid w:val="00EC01F1"/>
    <w:rsid w:val="00EC391F"/>
    <w:rsid w:val="00EC49FE"/>
    <w:rsid w:val="00EC4BD0"/>
    <w:rsid w:val="00EC7EC4"/>
    <w:rsid w:val="00ED0C74"/>
    <w:rsid w:val="00ED376E"/>
    <w:rsid w:val="00ED3EC9"/>
    <w:rsid w:val="00ED5789"/>
    <w:rsid w:val="00EE2183"/>
    <w:rsid w:val="00EE4DC8"/>
    <w:rsid w:val="00EE571F"/>
    <w:rsid w:val="00EE5E58"/>
    <w:rsid w:val="00EE7D25"/>
    <w:rsid w:val="00EF78BB"/>
    <w:rsid w:val="00EF7D53"/>
    <w:rsid w:val="00F00568"/>
    <w:rsid w:val="00F0178F"/>
    <w:rsid w:val="00F104B5"/>
    <w:rsid w:val="00F1085D"/>
    <w:rsid w:val="00F116C6"/>
    <w:rsid w:val="00F11AD9"/>
    <w:rsid w:val="00F1639E"/>
    <w:rsid w:val="00F16950"/>
    <w:rsid w:val="00F3031B"/>
    <w:rsid w:val="00F353B0"/>
    <w:rsid w:val="00F41DEF"/>
    <w:rsid w:val="00F42532"/>
    <w:rsid w:val="00F4354A"/>
    <w:rsid w:val="00F45CF9"/>
    <w:rsid w:val="00F57ECC"/>
    <w:rsid w:val="00F60CA3"/>
    <w:rsid w:val="00F6179E"/>
    <w:rsid w:val="00F641CC"/>
    <w:rsid w:val="00F65AC4"/>
    <w:rsid w:val="00F65D73"/>
    <w:rsid w:val="00F66013"/>
    <w:rsid w:val="00F6731E"/>
    <w:rsid w:val="00F85597"/>
    <w:rsid w:val="00F9312F"/>
    <w:rsid w:val="00F94D19"/>
    <w:rsid w:val="00FA23DD"/>
    <w:rsid w:val="00FA34A7"/>
    <w:rsid w:val="00FB04C8"/>
    <w:rsid w:val="00FB3FA8"/>
    <w:rsid w:val="00FB49BB"/>
    <w:rsid w:val="00FB6DC0"/>
    <w:rsid w:val="00FD3A2E"/>
    <w:rsid w:val="00FD4AFC"/>
    <w:rsid w:val="00FD5EE0"/>
    <w:rsid w:val="00FD6A15"/>
    <w:rsid w:val="00FE462A"/>
    <w:rsid w:val="00FE491E"/>
    <w:rsid w:val="00FE5DF5"/>
    <w:rsid w:val="00FF4131"/>
    <w:rsid w:val="00FF53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21B7AC"/>
  <w15:docId w15:val="{62D91E51-9D71-4858-8109-E03E0DEA79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6"/>
        <w:szCs w:val="26"/>
        <w:lang w:val="en-US" w:eastAsia="en-US" w:bidi="ar-SA"/>
      </w:rPr>
    </w:rPrDefault>
    <w:pPrDefault>
      <w:pPr>
        <w:spacing w:before="120" w:after="28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28F2"/>
    <w:pPr>
      <w:spacing w:before="0" w:after="0" w:line="240" w:lineRule="auto"/>
    </w:pPr>
    <w:rPr>
      <w:sz w:val="22"/>
      <w:szCs w:val="22"/>
      <w:lang w:val="vi-VN"/>
    </w:rPr>
  </w:style>
  <w:style w:type="paragraph" w:styleId="Heading1">
    <w:name w:val="heading 1"/>
    <w:basedOn w:val="Normal"/>
    <w:next w:val="Normal"/>
    <w:link w:val="Heading1Char"/>
    <w:uiPriority w:val="9"/>
    <w:qFormat/>
    <w:rsid w:val="001276CA"/>
    <w:pPr>
      <w:spacing w:before="240" w:after="120"/>
      <w:outlineLvl w:val="0"/>
    </w:pPr>
    <w:rPr>
      <w:b/>
      <w:bCs/>
      <w:caps/>
      <w:szCs w:val="24"/>
    </w:rPr>
  </w:style>
  <w:style w:type="paragraph" w:styleId="Heading2">
    <w:name w:val="heading 2"/>
    <w:basedOn w:val="Normal"/>
    <w:next w:val="Normal"/>
    <w:link w:val="Heading2Char"/>
    <w:uiPriority w:val="9"/>
    <w:unhideWhenUsed/>
    <w:qFormat/>
    <w:rsid w:val="00EA4B92"/>
    <w:pPr>
      <w:tabs>
        <w:tab w:val="right" w:leader="hyphen" w:pos="9072"/>
      </w:tabs>
      <w:spacing w:before="240" w:after="120"/>
      <w:outlineLvl w:val="1"/>
    </w:pPr>
    <w:rPr>
      <w:b/>
      <w:bCs/>
      <w:lang w:val="en-US"/>
    </w:rPr>
  </w:style>
  <w:style w:type="paragraph" w:styleId="Heading3">
    <w:name w:val="heading 3"/>
    <w:basedOn w:val="Normal"/>
    <w:next w:val="Normal"/>
    <w:link w:val="Heading3Char"/>
    <w:uiPriority w:val="9"/>
    <w:unhideWhenUsed/>
    <w:qFormat/>
    <w:rsid w:val="00B87B47"/>
    <w:pPr>
      <w:keepNext/>
      <w:keepLines/>
      <w:numPr>
        <w:ilvl w:val="2"/>
        <w:numId w:val="1"/>
      </w:numPr>
      <w:spacing w:before="40"/>
      <w:outlineLvl w:val="2"/>
    </w:pPr>
    <w:rPr>
      <w:rFonts w:asciiTheme="majorHAnsi" w:eastAsiaTheme="majorEastAsia" w:hAnsiTheme="majorHAnsi" w:cstheme="majorBidi"/>
      <w:b/>
      <w:sz w:val="24"/>
      <w:szCs w:val="24"/>
    </w:rPr>
  </w:style>
  <w:style w:type="paragraph" w:styleId="Heading4">
    <w:name w:val="heading 4"/>
    <w:basedOn w:val="Normal"/>
    <w:next w:val="Normal"/>
    <w:link w:val="Heading4Char"/>
    <w:uiPriority w:val="9"/>
    <w:unhideWhenUsed/>
    <w:qFormat/>
    <w:rsid w:val="00B87B47"/>
    <w:pPr>
      <w:keepNext/>
      <w:keepLines/>
      <w:numPr>
        <w:ilvl w:val="3"/>
        <w:numId w:val="1"/>
      </w:numPr>
      <w:spacing w:before="40"/>
      <w:outlineLvl w:val="3"/>
    </w:pPr>
    <w:rPr>
      <w:rFonts w:asciiTheme="majorHAnsi" w:eastAsiaTheme="majorEastAsia" w:hAnsiTheme="majorHAnsi" w:cstheme="majorBidi"/>
      <w:b/>
      <w:i/>
      <w:iCs/>
    </w:rPr>
  </w:style>
  <w:style w:type="paragraph" w:styleId="Heading5">
    <w:name w:val="heading 5"/>
    <w:basedOn w:val="Normal"/>
    <w:next w:val="Normal"/>
    <w:link w:val="Heading5Char"/>
    <w:uiPriority w:val="9"/>
    <w:semiHidden/>
    <w:unhideWhenUsed/>
    <w:qFormat/>
    <w:pPr>
      <w:keepNext/>
      <w:keepLines/>
      <w:numPr>
        <w:ilvl w:val="4"/>
        <w:numId w:val="1"/>
      </w:numPr>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pPr>
      <w:keepNext/>
      <w:keepLines/>
      <w:numPr>
        <w:ilvl w:val="5"/>
        <w:numId w:val="1"/>
      </w:numPr>
      <w:spacing w:before="40"/>
      <w:outlineLvl w:val="5"/>
    </w:pPr>
    <w:rPr>
      <w:rFonts w:asciiTheme="majorHAnsi" w:eastAsiaTheme="majorEastAsia" w:hAnsiTheme="majorHAnsi" w:cstheme="majorBidi"/>
      <w:color w:val="1F3864" w:themeColor="accent1" w:themeShade="80"/>
    </w:rPr>
  </w:style>
  <w:style w:type="paragraph" w:styleId="Heading7">
    <w:name w:val="heading 7"/>
    <w:basedOn w:val="Normal"/>
    <w:next w:val="Normal"/>
    <w:link w:val="Heading7Char"/>
    <w:uiPriority w:val="9"/>
    <w:semiHidden/>
    <w:unhideWhenUsed/>
    <w:qFormat/>
    <w:pPr>
      <w:keepNext/>
      <w:keepLines/>
      <w:numPr>
        <w:ilvl w:val="6"/>
        <w:numId w:val="1"/>
      </w:numPr>
      <w:spacing w:before="40"/>
      <w:outlineLvl w:val="6"/>
    </w:pPr>
    <w:rPr>
      <w:rFonts w:asciiTheme="majorHAnsi" w:eastAsiaTheme="majorEastAsia" w:hAnsiTheme="majorHAnsi" w:cstheme="majorBidi"/>
      <w:i/>
      <w:iCs/>
      <w:color w:val="1F3864" w:themeColor="accent1" w:themeShade="80"/>
    </w:rPr>
  </w:style>
  <w:style w:type="paragraph" w:styleId="Heading8">
    <w:name w:val="heading 8"/>
    <w:basedOn w:val="Normal"/>
    <w:next w:val="Normal"/>
    <w:link w:val="Heading8Char"/>
    <w:uiPriority w:val="9"/>
    <w:semiHidden/>
    <w:unhideWhenUsed/>
    <w:qFormat/>
    <w:pPr>
      <w:keepNext/>
      <w:keepLines/>
      <w:numPr>
        <w:ilvl w:val="7"/>
        <w:numId w:val="1"/>
      </w:numPr>
      <w:spacing w:before="40"/>
      <w:outlineLvl w:val="7"/>
    </w:pPr>
    <w:rPr>
      <w:rFonts w:asciiTheme="majorHAnsi" w:eastAsiaTheme="majorEastAsia" w:hAnsiTheme="majorHAnsi" w:cstheme="majorBidi"/>
      <w:color w:val="262626" w:themeColor="text1" w:themeTint="D9"/>
      <w:sz w:val="21"/>
      <w:szCs w:val="21"/>
    </w:rPr>
  </w:style>
  <w:style w:type="paragraph" w:styleId="Heading9">
    <w:name w:val="heading 9"/>
    <w:basedOn w:val="Normal"/>
    <w:next w:val="Normal"/>
    <w:link w:val="Heading9Char"/>
    <w:uiPriority w:val="9"/>
    <w:semiHidden/>
    <w:unhideWhenUsed/>
    <w:qFormat/>
    <w:pPr>
      <w:keepNext/>
      <w:keepLines/>
      <w:numPr>
        <w:ilvl w:val="8"/>
        <w:numId w:val="1"/>
      </w:numPr>
      <w:spacing w:before="40"/>
      <w:outlineLvl w:val="8"/>
    </w:pPr>
    <w:rPr>
      <w:rFonts w:asciiTheme="majorHAnsi" w:eastAsiaTheme="majorEastAsia" w:hAnsiTheme="majorHAnsi" w:cstheme="majorBidi"/>
      <w:i/>
      <w:iCs/>
      <w:color w:val="262626" w:themeColor="text1" w:themeTint="D9"/>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alloonText">
    <w:name w:val="Balloon Text"/>
    <w:basedOn w:val="Normal"/>
    <w:link w:val="BalloonTextChar"/>
    <w:uiPriority w:val="99"/>
    <w:semiHidden/>
    <w:unhideWhenUsed/>
    <w:rPr>
      <w:rFonts w:ascii="Segoe UI" w:hAnsi="Segoe UI" w:cs="Segoe UI"/>
      <w:sz w:val="18"/>
      <w:szCs w:val="18"/>
    </w:rPr>
  </w:style>
  <w:style w:type="paragraph" w:styleId="CommentText">
    <w:name w:val="annotation text"/>
    <w:basedOn w:val="Normal"/>
    <w:link w:val="CommentTextChar"/>
    <w:uiPriority w:val="99"/>
    <w:semiHidden/>
    <w:unhideWhenUsed/>
    <w:rPr>
      <w:sz w:val="20"/>
      <w:szCs w:val="20"/>
    </w:rPr>
  </w:style>
  <w:style w:type="paragraph" w:styleId="CommentSubject">
    <w:name w:val="annotation subject"/>
    <w:basedOn w:val="CommentText"/>
    <w:next w:val="CommentText"/>
    <w:link w:val="CommentSubjectChar"/>
    <w:uiPriority w:val="99"/>
    <w:semiHidden/>
    <w:unhideWhenUsed/>
    <w:rPr>
      <w:b/>
      <w:bCs/>
    </w:rPr>
  </w:style>
  <w:style w:type="paragraph" w:styleId="EndnoteText">
    <w:name w:val="endnote text"/>
    <w:basedOn w:val="Normal"/>
    <w:link w:val="EndnoteTextChar"/>
    <w:uiPriority w:val="99"/>
    <w:semiHidden/>
    <w:unhideWhenUsed/>
    <w:qFormat/>
    <w:rPr>
      <w:sz w:val="20"/>
      <w:szCs w:val="20"/>
    </w:rPr>
  </w:style>
  <w:style w:type="paragraph" w:styleId="Footer">
    <w:name w:val="footer"/>
    <w:basedOn w:val="Normal"/>
    <w:link w:val="FooterChar"/>
    <w:uiPriority w:val="99"/>
    <w:unhideWhenUsed/>
    <w:pPr>
      <w:tabs>
        <w:tab w:val="center" w:pos="4680"/>
        <w:tab w:val="right" w:pos="9360"/>
      </w:tabs>
    </w:pPr>
  </w:style>
  <w:style w:type="paragraph" w:styleId="FootnoteText">
    <w:name w:val="footnote text"/>
    <w:basedOn w:val="Normal"/>
    <w:link w:val="FootnoteTextChar"/>
    <w:uiPriority w:val="99"/>
    <w:semiHidden/>
    <w:unhideWhenUsed/>
    <w:qFormat/>
    <w:rPr>
      <w:sz w:val="20"/>
      <w:szCs w:val="20"/>
    </w:rPr>
  </w:style>
  <w:style w:type="paragraph" w:styleId="Header">
    <w:name w:val="header"/>
    <w:basedOn w:val="Normal"/>
    <w:link w:val="HeaderChar"/>
    <w:uiPriority w:val="99"/>
    <w:unhideWhenUsed/>
    <w:pPr>
      <w:tabs>
        <w:tab w:val="center" w:pos="4680"/>
        <w:tab w:val="right" w:pos="9360"/>
      </w:tabs>
    </w:pPr>
  </w:style>
  <w:style w:type="paragraph" w:styleId="NormalWeb">
    <w:name w:val="Normal (Web)"/>
    <w:basedOn w:val="Normal"/>
    <w:uiPriority w:val="99"/>
    <w:unhideWhenUsed/>
    <w:pPr>
      <w:spacing w:before="100" w:beforeAutospacing="1" w:after="100" w:afterAutospacing="1"/>
    </w:pPr>
    <w:rPr>
      <w:sz w:val="24"/>
      <w:szCs w:val="24"/>
      <w:lang w:val="en-US"/>
    </w:rPr>
  </w:style>
  <w:style w:type="paragraph" w:styleId="TOC1">
    <w:name w:val="toc 1"/>
    <w:basedOn w:val="Normal"/>
    <w:next w:val="Normal"/>
    <w:uiPriority w:val="39"/>
    <w:unhideWhenUsed/>
    <w:pPr>
      <w:spacing w:after="100"/>
    </w:pPr>
  </w:style>
  <w:style w:type="paragraph" w:styleId="TOC2">
    <w:name w:val="toc 2"/>
    <w:basedOn w:val="Normal"/>
    <w:next w:val="Normal"/>
    <w:uiPriority w:val="39"/>
    <w:unhideWhenUsed/>
    <w:pPr>
      <w:spacing w:after="100"/>
      <w:ind w:left="260"/>
    </w:pPr>
  </w:style>
  <w:style w:type="paragraph" w:styleId="TOC3">
    <w:name w:val="toc 3"/>
    <w:basedOn w:val="Normal"/>
    <w:next w:val="Normal"/>
    <w:uiPriority w:val="39"/>
    <w:unhideWhenUsed/>
    <w:pPr>
      <w:spacing w:after="100"/>
      <w:ind w:left="520"/>
    </w:pPr>
  </w:style>
  <w:style w:type="character" w:styleId="CommentReference">
    <w:name w:val="annotation reference"/>
    <w:basedOn w:val="DefaultParagraphFont"/>
    <w:uiPriority w:val="99"/>
    <w:semiHidden/>
    <w:unhideWhenUsed/>
    <w:rPr>
      <w:sz w:val="16"/>
      <w:szCs w:val="16"/>
    </w:rPr>
  </w:style>
  <w:style w:type="character" w:styleId="EndnoteReference">
    <w:name w:val="endnote reference"/>
    <w:basedOn w:val="DefaultParagraphFont"/>
    <w:uiPriority w:val="99"/>
    <w:semiHidden/>
    <w:unhideWhenUsed/>
    <w:qFormat/>
    <w:rPr>
      <w:vertAlign w:val="superscript"/>
    </w:rPr>
  </w:style>
  <w:style w:type="character" w:styleId="FootnoteReference">
    <w:name w:val="footnote reference"/>
    <w:basedOn w:val="DefaultParagraphFont"/>
    <w:uiPriority w:val="99"/>
    <w:semiHidden/>
    <w:unhideWhenUsed/>
    <w:qFormat/>
    <w:rPr>
      <w:vertAlign w:val="superscript"/>
    </w:rPr>
  </w:style>
  <w:style w:type="character" w:styleId="Hyperlink">
    <w:name w:val="Hyperlink"/>
    <w:basedOn w:val="DefaultParagraphFont"/>
    <w:uiPriority w:val="99"/>
    <w:unhideWhenUsed/>
    <w:rPr>
      <w:color w:val="0000FF"/>
      <w:u w:val="single"/>
    </w:rPr>
  </w:style>
  <w:style w:type="table" w:styleId="TableGrid">
    <w:name w:val="Table Grid"/>
    <w:basedOn w:val="TableNormal"/>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style>
  <w:style w:type="paragraph" w:styleId="ListParagraph">
    <w:name w:val="List Paragraph"/>
    <w:basedOn w:val="Normal"/>
    <w:uiPriority w:val="34"/>
    <w:qFormat/>
    <w:pPr>
      <w:ind w:left="720"/>
      <w:contextualSpacing/>
    </w:pPr>
  </w:style>
  <w:style w:type="character" w:customStyle="1" w:styleId="Heading1Char">
    <w:name w:val="Heading 1 Char"/>
    <w:basedOn w:val="DefaultParagraphFont"/>
    <w:link w:val="Heading1"/>
    <w:uiPriority w:val="9"/>
    <w:rsid w:val="001276CA"/>
    <w:rPr>
      <w:b/>
      <w:bCs/>
      <w:caps/>
      <w:sz w:val="22"/>
      <w:szCs w:val="24"/>
      <w:lang w:val="vi-VN"/>
    </w:rPr>
  </w:style>
  <w:style w:type="character" w:customStyle="1" w:styleId="Heading2Char">
    <w:name w:val="Heading 2 Char"/>
    <w:basedOn w:val="DefaultParagraphFont"/>
    <w:link w:val="Heading2"/>
    <w:uiPriority w:val="9"/>
    <w:rsid w:val="00EA4B92"/>
    <w:rPr>
      <w:b/>
      <w:bCs/>
      <w:sz w:val="22"/>
      <w:szCs w:val="22"/>
    </w:rPr>
  </w:style>
  <w:style w:type="character" w:customStyle="1" w:styleId="Heading3Char">
    <w:name w:val="Heading 3 Char"/>
    <w:basedOn w:val="DefaultParagraphFont"/>
    <w:link w:val="Heading3"/>
    <w:uiPriority w:val="9"/>
    <w:rsid w:val="00B87B47"/>
    <w:rPr>
      <w:rFonts w:asciiTheme="majorHAnsi" w:eastAsiaTheme="majorEastAsia" w:hAnsiTheme="majorHAnsi" w:cstheme="majorBidi"/>
      <w:b/>
      <w:sz w:val="24"/>
      <w:szCs w:val="24"/>
      <w:lang w:val="vi-VN"/>
    </w:rPr>
  </w:style>
  <w:style w:type="character" w:customStyle="1" w:styleId="Heading4Char">
    <w:name w:val="Heading 4 Char"/>
    <w:basedOn w:val="DefaultParagraphFont"/>
    <w:link w:val="Heading4"/>
    <w:uiPriority w:val="9"/>
    <w:rsid w:val="00B87B47"/>
    <w:rPr>
      <w:rFonts w:asciiTheme="majorHAnsi" w:eastAsiaTheme="majorEastAsia" w:hAnsiTheme="majorHAnsi" w:cstheme="majorBidi"/>
      <w:b/>
      <w:i/>
      <w:iCs/>
      <w:sz w:val="26"/>
      <w:szCs w:val="22"/>
      <w:lang w:val="vi-VN"/>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color w:val="1F3864" w:themeColor="accent1" w:themeShade="80"/>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1F3864" w:themeColor="accent1" w:themeShade="80"/>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262626" w:themeColor="text1" w:themeTint="D9"/>
      <w:sz w:val="21"/>
      <w:szCs w:val="21"/>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262626" w:themeColor="text1" w:themeTint="D9"/>
      <w:sz w:val="21"/>
      <w:szCs w:val="21"/>
    </w:rPr>
  </w:style>
  <w:style w:type="character" w:customStyle="1" w:styleId="apple-tab-span">
    <w:name w:val="apple-tab-span"/>
    <w:basedOn w:val="DefaultParagraphFont"/>
  </w:style>
  <w:style w:type="character" w:customStyle="1" w:styleId="CommentTextChar">
    <w:name w:val="Comment Text Char"/>
    <w:basedOn w:val="DefaultParagraphFont"/>
    <w:link w:val="CommentText"/>
    <w:uiPriority w:val="99"/>
    <w:semiHidden/>
    <w:rPr>
      <w:sz w:val="20"/>
      <w:szCs w:val="20"/>
    </w:rPr>
  </w:style>
  <w:style w:type="character" w:customStyle="1" w:styleId="CommentSubjectChar">
    <w:name w:val="Comment Subject Char"/>
    <w:basedOn w:val="CommentTextChar"/>
    <w:link w:val="CommentSubject"/>
    <w:uiPriority w:val="99"/>
    <w:semiHidden/>
    <w:rPr>
      <w:b/>
      <w:bCs/>
      <w:sz w:val="20"/>
      <w:szCs w:val="20"/>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customStyle="1" w:styleId="UnresolvedMention1">
    <w:name w:val="Unresolved Mention1"/>
    <w:basedOn w:val="DefaultParagraphFont"/>
    <w:uiPriority w:val="99"/>
    <w:semiHidden/>
    <w:unhideWhenUsed/>
    <w:rPr>
      <w:color w:val="605E5C"/>
      <w:shd w:val="clear" w:color="auto" w:fill="E1DFDD"/>
    </w:rPr>
  </w:style>
  <w:style w:type="paragraph" w:customStyle="1" w:styleId="TOCHeading1">
    <w:name w:val="TOC Heading1"/>
    <w:basedOn w:val="Heading1"/>
    <w:next w:val="Normal"/>
    <w:uiPriority w:val="39"/>
    <w:unhideWhenUsed/>
    <w:qFormat/>
    <w:pPr>
      <w:jc w:val="left"/>
      <w:outlineLvl w:val="9"/>
    </w:pPr>
    <w:rPr>
      <w:lang w:val="en-US"/>
    </w:rPr>
  </w:style>
  <w:style w:type="character" w:customStyle="1" w:styleId="EndnoteTextChar">
    <w:name w:val="Endnote Text Char"/>
    <w:basedOn w:val="DefaultParagraphFont"/>
    <w:link w:val="EndnoteText"/>
    <w:uiPriority w:val="99"/>
    <w:semiHidden/>
    <w:qFormat/>
    <w:rPr>
      <w:sz w:val="20"/>
      <w:szCs w:val="20"/>
    </w:rPr>
  </w:style>
  <w:style w:type="character" w:customStyle="1" w:styleId="FootnoteTextChar">
    <w:name w:val="Footnote Text Char"/>
    <w:basedOn w:val="DefaultParagraphFont"/>
    <w:link w:val="FootnoteText"/>
    <w:uiPriority w:val="99"/>
    <w:semiHidden/>
    <w:qFormat/>
    <w:rPr>
      <w:sz w:val="20"/>
      <w:szCs w:val="20"/>
    </w:rPr>
  </w:style>
  <w:style w:type="paragraph" w:customStyle="1" w:styleId="msonormal0">
    <w:name w:val="msonormal"/>
    <w:basedOn w:val="Normal"/>
    <w:rsid w:val="00B87B47"/>
    <w:pPr>
      <w:spacing w:before="100" w:beforeAutospacing="1" w:after="100" w:afterAutospacing="1"/>
      <w:jc w:val="left"/>
    </w:pPr>
    <w:rPr>
      <w:sz w:val="24"/>
      <w:szCs w:val="24"/>
      <w:lang w:val="en-US"/>
    </w:rPr>
  </w:style>
  <w:style w:type="character" w:styleId="FollowedHyperlink">
    <w:name w:val="FollowedHyperlink"/>
    <w:basedOn w:val="DefaultParagraphFont"/>
    <w:uiPriority w:val="99"/>
    <w:semiHidden/>
    <w:unhideWhenUsed/>
    <w:rsid w:val="00B87B47"/>
    <w:rPr>
      <w:color w:val="800080"/>
      <w:u w:val="single"/>
    </w:rPr>
  </w:style>
  <w:style w:type="character" w:styleId="PlaceholderText">
    <w:name w:val="Placeholder Text"/>
    <w:basedOn w:val="DefaultParagraphFont"/>
    <w:uiPriority w:val="99"/>
    <w:semiHidden/>
    <w:rsid w:val="00B87B47"/>
    <w:rPr>
      <w:color w:val="808080"/>
    </w:rPr>
  </w:style>
  <w:style w:type="character" w:customStyle="1" w:styleId="UnresolvedMention2">
    <w:name w:val="Unresolved Mention2"/>
    <w:basedOn w:val="DefaultParagraphFont"/>
    <w:uiPriority w:val="99"/>
    <w:semiHidden/>
    <w:unhideWhenUsed/>
    <w:rsid w:val="00404157"/>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5" w:type="dxa"/>
        <w:left w:w="15" w:type="dxa"/>
        <w:bottom w:w="15" w:type="dxa"/>
        <w:right w:w="15" w:type="dxa"/>
      </w:tblCellMar>
    </w:tblPr>
  </w:style>
  <w:style w:type="table" w:customStyle="1" w:styleId="a0">
    <w:basedOn w:val="TableNormal"/>
    <w:tblPr>
      <w:tblStyleRowBandSize w:val="1"/>
      <w:tblStyleColBandSize w:val="1"/>
      <w:tblCellMar>
        <w:top w:w="15" w:type="dxa"/>
        <w:left w:w="15" w:type="dxa"/>
        <w:bottom w:w="15" w:type="dxa"/>
        <w:right w:w="15" w:type="dxa"/>
      </w:tblCellMar>
    </w:tblPr>
  </w:style>
  <w:style w:type="table" w:customStyle="1" w:styleId="a1">
    <w:basedOn w:val="TableNormal"/>
    <w:tblPr>
      <w:tblStyleRowBandSize w:val="1"/>
      <w:tblStyleColBandSize w:val="1"/>
      <w:tblCellMar>
        <w:top w:w="15" w:type="dxa"/>
        <w:left w:w="15" w:type="dxa"/>
        <w:bottom w:w="15" w:type="dxa"/>
        <w:right w:w="15" w:type="dxa"/>
      </w:tblCellMar>
    </w:tblPr>
  </w:style>
  <w:style w:type="table" w:customStyle="1" w:styleId="a2">
    <w:basedOn w:val="TableNormal"/>
    <w:tblPr>
      <w:tblStyleRowBandSize w:val="1"/>
      <w:tblStyleColBandSize w:val="1"/>
      <w:tblCellMar>
        <w:top w:w="15" w:type="dxa"/>
        <w:left w:w="15" w:type="dxa"/>
        <w:bottom w:w="15" w:type="dxa"/>
        <w:right w:w="15" w:type="dxa"/>
      </w:tblCellMar>
    </w:tblPr>
  </w:style>
  <w:style w:type="table" w:customStyle="1" w:styleId="a3">
    <w:basedOn w:val="TableNormal"/>
    <w:pPr>
      <w:spacing w:after="0" w:line="240" w:lineRule="auto"/>
    </w:pPr>
    <w:tblPr>
      <w:tblStyleRowBandSize w:val="1"/>
      <w:tblStyleColBandSize w:val="1"/>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character" w:customStyle="1" w:styleId="fontstyle21">
    <w:name w:val="fontstyle21"/>
    <w:rsid w:val="00B30812"/>
    <w:rPr>
      <w:rFonts w:ascii="TimesNewRomanPS-ItalicMT" w:hAnsi="TimesNewRomanPS-ItalicMT" w:hint="default"/>
      <w:b w:val="0"/>
      <w:bCs w:val="0"/>
      <w:i/>
      <w:iCs/>
      <w:color w:val="000000"/>
      <w:sz w:val="14"/>
      <w:szCs w:val="14"/>
    </w:rPr>
  </w:style>
  <w:style w:type="character" w:customStyle="1" w:styleId="katex-mathml">
    <w:name w:val="katex-mathml"/>
    <w:basedOn w:val="DefaultParagraphFont"/>
    <w:rsid w:val="005F06DB"/>
  </w:style>
  <w:style w:type="character" w:customStyle="1" w:styleId="mord">
    <w:name w:val="mord"/>
    <w:basedOn w:val="DefaultParagraphFont"/>
    <w:rsid w:val="005F06DB"/>
  </w:style>
  <w:style w:type="character" w:customStyle="1" w:styleId="mpunct">
    <w:name w:val="mpunct"/>
    <w:basedOn w:val="DefaultParagraphFont"/>
    <w:rsid w:val="005F06DB"/>
  </w:style>
  <w:style w:type="character" w:customStyle="1" w:styleId="vlist-s">
    <w:name w:val="vlist-s"/>
    <w:basedOn w:val="DefaultParagraphFont"/>
    <w:rsid w:val="005F06DB"/>
  </w:style>
  <w:style w:type="character" w:customStyle="1" w:styleId="mrel">
    <w:name w:val="mrel"/>
    <w:basedOn w:val="DefaultParagraphFont"/>
    <w:rsid w:val="005F06DB"/>
  </w:style>
  <w:style w:type="character" w:customStyle="1" w:styleId="mbin">
    <w:name w:val="mbin"/>
    <w:basedOn w:val="DefaultParagraphFont"/>
    <w:rsid w:val="005F06DB"/>
  </w:style>
  <w:style w:type="character" w:styleId="Strong">
    <w:name w:val="Strong"/>
    <w:basedOn w:val="DefaultParagraphFont"/>
    <w:uiPriority w:val="22"/>
    <w:qFormat/>
    <w:rsid w:val="001F16D8"/>
    <w:rPr>
      <w:b/>
      <w:bCs/>
    </w:rPr>
  </w:style>
  <w:style w:type="character" w:styleId="UnresolvedMention">
    <w:name w:val="Unresolved Mention"/>
    <w:basedOn w:val="DefaultParagraphFont"/>
    <w:uiPriority w:val="99"/>
    <w:semiHidden/>
    <w:unhideWhenUsed/>
    <w:rsid w:val="007E3A0D"/>
    <w:rPr>
      <w:color w:val="605E5C"/>
      <w:shd w:val="clear" w:color="auto" w:fill="E1DFDD"/>
    </w:rPr>
  </w:style>
  <w:style w:type="paragraph" w:customStyle="1" w:styleId="Content">
    <w:name w:val="Content"/>
    <w:basedOn w:val="Normal"/>
    <w:link w:val="ContentChar"/>
    <w:qFormat/>
    <w:rsid w:val="00EA4B92"/>
    <w:pPr>
      <w:spacing w:before="120" w:after="120"/>
    </w:pPr>
  </w:style>
  <w:style w:type="character" w:customStyle="1" w:styleId="ContentChar">
    <w:name w:val="Content Char"/>
    <w:basedOn w:val="DefaultParagraphFont"/>
    <w:link w:val="Content"/>
    <w:rsid w:val="00EA4B92"/>
    <w:rPr>
      <w:sz w:val="22"/>
      <w:szCs w:val="22"/>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63348">
      <w:bodyDiv w:val="1"/>
      <w:marLeft w:val="0"/>
      <w:marRight w:val="0"/>
      <w:marTop w:val="0"/>
      <w:marBottom w:val="0"/>
      <w:divBdr>
        <w:top w:val="none" w:sz="0" w:space="0" w:color="auto"/>
        <w:left w:val="none" w:sz="0" w:space="0" w:color="auto"/>
        <w:bottom w:val="none" w:sz="0" w:space="0" w:color="auto"/>
        <w:right w:val="none" w:sz="0" w:space="0" w:color="auto"/>
      </w:divBdr>
      <w:divsChild>
        <w:div w:id="657466260">
          <w:marLeft w:val="0"/>
          <w:marRight w:val="0"/>
          <w:marTop w:val="0"/>
          <w:marBottom w:val="0"/>
          <w:divBdr>
            <w:top w:val="none" w:sz="0" w:space="0" w:color="auto"/>
            <w:left w:val="none" w:sz="0" w:space="0" w:color="auto"/>
            <w:bottom w:val="none" w:sz="0" w:space="0" w:color="auto"/>
            <w:right w:val="none" w:sz="0" w:space="0" w:color="auto"/>
          </w:divBdr>
        </w:div>
      </w:divsChild>
    </w:div>
    <w:div w:id="160200230">
      <w:bodyDiv w:val="1"/>
      <w:marLeft w:val="0"/>
      <w:marRight w:val="0"/>
      <w:marTop w:val="0"/>
      <w:marBottom w:val="0"/>
      <w:divBdr>
        <w:top w:val="none" w:sz="0" w:space="0" w:color="auto"/>
        <w:left w:val="none" w:sz="0" w:space="0" w:color="auto"/>
        <w:bottom w:val="none" w:sz="0" w:space="0" w:color="auto"/>
        <w:right w:val="none" w:sz="0" w:space="0" w:color="auto"/>
      </w:divBdr>
      <w:divsChild>
        <w:div w:id="473136891">
          <w:marLeft w:val="0"/>
          <w:marRight w:val="0"/>
          <w:marTop w:val="0"/>
          <w:marBottom w:val="0"/>
          <w:divBdr>
            <w:top w:val="none" w:sz="0" w:space="0" w:color="auto"/>
            <w:left w:val="none" w:sz="0" w:space="0" w:color="auto"/>
            <w:bottom w:val="none" w:sz="0" w:space="0" w:color="auto"/>
            <w:right w:val="none" w:sz="0" w:space="0" w:color="auto"/>
          </w:divBdr>
          <w:divsChild>
            <w:div w:id="1815681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5514628">
      <w:bodyDiv w:val="1"/>
      <w:marLeft w:val="0"/>
      <w:marRight w:val="0"/>
      <w:marTop w:val="0"/>
      <w:marBottom w:val="0"/>
      <w:divBdr>
        <w:top w:val="none" w:sz="0" w:space="0" w:color="auto"/>
        <w:left w:val="none" w:sz="0" w:space="0" w:color="auto"/>
        <w:bottom w:val="none" w:sz="0" w:space="0" w:color="auto"/>
        <w:right w:val="none" w:sz="0" w:space="0" w:color="auto"/>
      </w:divBdr>
    </w:div>
    <w:div w:id="992873151">
      <w:bodyDiv w:val="1"/>
      <w:marLeft w:val="0"/>
      <w:marRight w:val="0"/>
      <w:marTop w:val="0"/>
      <w:marBottom w:val="0"/>
      <w:divBdr>
        <w:top w:val="none" w:sz="0" w:space="0" w:color="auto"/>
        <w:left w:val="none" w:sz="0" w:space="0" w:color="auto"/>
        <w:bottom w:val="none" w:sz="0" w:space="0" w:color="auto"/>
        <w:right w:val="none" w:sz="0" w:space="0" w:color="auto"/>
      </w:divBdr>
    </w:div>
    <w:div w:id="1130513491">
      <w:bodyDiv w:val="1"/>
      <w:marLeft w:val="0"/>
      <w:marRight w:val="0"/>
      <w:marTop w:val="0"/>
      <w:marBottom w:val="0"/>
      <w:divBdr>
        <w:top w:val="none" w:sz="0" w:space="0" w:color="auto"/>
        <w:left w:val="none" w:sz="0" w:space="0" w:color="auto"/>
        <w:bottom w:val="none" w:sz="0" w:space="0" w:color="auto"/>
        <w:right w:val="none" w:sz="0" w:space="0" w:color="auto"/>
      </w:divBdr>
    </w:div>
    <w:div w:id="1464150561">
      <w:bodyDiv w:val="1"/>
      <w:marLeft w:val="0"/>
      <w:marRight w:val="0"/>
      <w:marTop w:val="0"/>
      <w:marBottom w:val="0"/>
      <w:divBdr>
        <w:top w:val="none" w:sz="0" w:space="0" w:color="auto"/>
        <w:left w:val="none" w:sz="0" w:space="0" w:color="auto"/>
        <w:bottom w:val="none" w:sz="0" w:space="0" w:color="auto"/>
        <w:right w:val="none" w:sz="0" w:space="0" w:color="auto"/>
      </w:divBdr>
    </w:div>
    <w:div w:id="1534491365">
      <w:bodyDiv w:val="1"/>
      <w:marLeft w:val="0"/>
      <w:marRight w:val="0"/>
      <w:marTop w:val="0"/>
      <w:marBottom w:val="0"/>
      <w:divBdr>
        <w:top w:val="none" w:sz="0" w:space="0" w:color="auto"/>
        <w:left w:val="none" w:sz="0" w:space="0" w:color="auto"/>
        <w:bottom w:val="none" w:sz="0" w:space="0" w:color="auto"/>
        <w:right w:val="none" w:sz="0" w:space="0" w:color="auto"/>
      </w:divBdr>
    </w:div>
    <w:div w:id="1572158408">
      <w:bodyDiv w:val="1"/>
      <w:marLeft w:val="0"/>
      <w:marRight w:val="0"/>
      <w:marTop w:val="0"/>
      <w:marBottom w:val="0"/>
      <w:divBdr>
        <w:top w:val="none" w:sz="0" w:space="0" w:color="auto"/>
        <w:left w:val="none" w:sz="0" w:space="0" w:color="auto"/>
        <w:bottom w:val="none" w:sz="0" w:space="0" w:color="auto"/>
        <w:right w:val="none" w:sz="0" w:space="0" w:color="auto"/>
      </w:divBdr>
      <w:divsChild>
        <w:div w:id="895555605">
          <w:marLeft w:val="0"/>
          <w:marRight w:val="0"/>
          <w:marTop w:val="0"/>
          <w:marBottom w:val="0"/>
          <w:divBdr>
            <w:top w:val="none" w:sz="0" w:space="0" w:color="auto"/>
            <w:left w:val="none" w:sz="0" w:space="0" w:color="auto"/>
            <w:bottom w:val="none" w:sz="0" w:space="0" w:color="auto"/>
            <w:right w:val="none" w:sz="0" w:space="0" w:color="auto"/>
          </w:divBdr>
        </w:div>
      </w:divsChild>
    </w:div>
    <w:div w:id="15794380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dtd1ocd@bolton.ac.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dangthimydung.cs2@ftu.edu.vn" TargetMode="External"/><Relationship Id="rId5" Type="http://schemas.openxmlformats.org/officeDocument/2006/relationships/settings" Target="settings.xml"/><Relationship Id="rId10" Type="http://schemas.openxmlformats.org/officeDocument/2006/relationships/hyperlink" Target="mailto:dtd1ocd@bolton.ac.uk" TargetMode="External"/><Relationship Id="rId4" Type="http://schemas.openxmlformats.org/officeDocument/2006/relationships/styles" Target="styles.xml"/><Relationship Id="rId9" Type="http://schemas.openxmlformats.org/officeDocument/2006/relationships/hyperlink" Target="mailto:dangthimydung.cs2@ftu.edu.vn"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ZWXCThAxs1mqra8+/OMXu+aVjOw==">CgMxLjAyCGguZ2pkZ3hzMgloLjMwajB6bGwyCWguMWZvYjl0ZTIJaC4zem55c2g3MgloLjJldDkycDAyCGgudHlqY3d0MgloLjNkeTZ2a20yCWguMXQzaDVzZjIJaC40ZDM0b2c4MgloLjJzOGV5bzEyCWguMTdkcDh2dTIJaC4zcmRjcmpuMgloLjI2aW4xcmcyCGgubG54Yno5MgloLjM1bmt1bjIyCWguMWtzdjR1djgAciExSjNxY08xaFQ1aWVFVjZ2cld1SEYxWTVBb2E2MTZiVG4=</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EE9CBC3A-A887-4906-94B5-4BAED6F91A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5142</Words>
  <Characters>29311</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Đặng Thị Mỹ Dung</dc:creator>
  <cp:lastModifiedBy>Michelle</cp:lastModifiedBy>
  <cp:revision>5</cp:revision>
  <cp:lastPrinted>2026-01-24T15:01:00Z</cp:lastPrinted>
  <dcterms:created xsi:type="dcterms:W3CDTF">2026-01-24T15:18:00Z</dcterms:created>
  <dcterms:modified xsi:type="dcterms:W3CDTF">2026-01-24T15:23:00Z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1033-10.2.0.6080</vt:lpwstr>
  </property>
</Properties>
</file>