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23F4E" w:rsidRDefault="00423F4E" w:rsidP="00423F4E">
      <w:pPr>
        <w:spacing w:before="80" w:after="40" w:line="240" w:lineRule="auto"/>
        <w:jc w:val="center"/>
        <w:rPr>
          <w:rFonts w:ascii="Arial" w:hAnsi="Arial" w:cs="Arial"/>
          <w:b/>
          <w:sz w:val="32"/>
          <w:szCs w:val="32"/>
        </w:rPr>
      </w:pPr>
      <w:r w:rsidRPr="00BE169F">
        <w:rPr>
          <w:rFonts w:ascii="Arial" w:hAnsi="Arial" w:cs="Arial"/>
          <w:b/>
          <w:sz w:val="32"/>
          <w:szCs w:val="32"/>
        </w:rPr>
        <w:t xml:space="preserve">Nghiên cứu quy trình chế biến sữa hạt từ gạo </w:t>
      </w:r>
      <w:r w:rsidRPr="00BE169F">
        <w:rPr>
          <w:rFonts w:ascii="Arial" w:hAnsi="Arial" w:cs="Arial"/>
          <w:b/>
          <w:sz w:val="32"/>
          <w:szCs w:val="32"/>
          <w:lang w:val="vi-VN"/>
        </w:rPr>
        <w:t>OM4900 (</w:t>
      </w:r>
      <w:r w:rsidRPr="00BE169F">
        <w:rPr>
          <w:rFonts w:ascii="Arial" w:hAnsi="Arial" w:cs="Arial"/>
          <w:b/>
          <w:bCs/>
          <w:i/>
          <w:iCs/>
          <w:sz w:val="32"/>
          <w:szCs w:val="32"/>
          <w:lang w:val="vi-VN"/>
        </w:rPr>
        <w:t>O</w:t>
      </w:r>
      <w:r w:rsidRPr="00BE169F">
        <w:rPr>
          <w:rFonts w:ascii="Arial" w:hAnsi="Arial" w:cs="Arial"/>
          <w:b/>
          <w:bCs/>
          <w:i/>
          <w:iCs/>
          <w:sz w:val="32"/>
          <w:szCs w:val="32"/>
        </w:rPr>
        <w:t>ryza</w:t>
      </w:r>
      <w:r w:rsidRPr="00BE169F">
        <w:rPr>
          <w:rFonts w:ascii="Arial" w:hAnsi="Arial" w:cs="Arial"/>
          <w:b/>
          <w:bCs/>
          <w:i/>
          <w:iCs/>
          <w:sz w:val="32"/>
          <w:szCs w:val="32"/>
          <w:lang w:val="vi-VN"/>
        </w:rPr>
        <w:t xml:space="preserve"> sativa</w:t>
      </w:r>
      <w:r w:rsidRPr="00BE169F">
        <w:rPr>
          <w:rFonts w:ascii="Arial" w:hAnsi="Arial" w:cs="Arial"/>
          <w:b/>
          <w:bCs/>
          <w:iCs/>
          <w:sz w:val="32"/>
          <w:szCs w:val="32"/>
          <w:lang w:val="vi-VN"/>
        </w:rPr>
        <w:t xml:space="preserve"> L.)</w:t>
      </w:r>
      <w:r w:rsidRPr="00BE169F">
        <w:rPr>
          <w:rFonts w:ascii="Arial" w:hAnsi="Arial" w:cs="Arial"/>
          <w:b/>
          <w:sz w:val="32"/>
          <w:szCs w:val="32"/>
        </w:rPr>
        <w:t xml:space="preserve"> phối trộn mắc ca (</w:t>
      </w:r>
      <w:r w:rsidRPr="00BE169F">
        <w:rPr>
          <w:rFonts w:ascii="Arial" w:hAnsi="Arial" w:cs="Arial"/>
          <w:b/>
          <w:i/>
          <w:sz w:val="32"/>
          <w:szCs w:val="32"/>
          <w:lang w:val="vi-VN"/>
        </w:rPr>
        <w:t>Macadamia integrifolia</w:t>
      </w:r>
      <w:r w:rsidRPr="00BE169F">
        <w:rPr>
          <w:rFonts w:ascii="Arial" w:hAnsi="Arial" w:cs="Arial"/>
          <w:b/>
          <w:sz w:val="32"/>
          <w:szCs w:val="32"/>
        </w:rPr>
        <w:t>)</w:t>
      </w:r>
    </w:p>
    <w:p w:rsidR="00423F4E" w:rsidRPr="00C126DA" w:rsidRDefault="00423F4E" w:rsidP="00423F4E">
      <w:pPr>
        <w:spacing w:before="40" w:after="0" w:line="240" w:lineRule="auto"/>
        <w:jc w:val="center"/>
        <w:rPr>
          <w:b/>
          <w:sz w:val="24"/>
          <w:szCs w:val="24"/>
          <w:vertAlign w:val="superscript"/>
        </w:rPr>
      </w:pPr>
      <w:r w:rsidRPr="00C126DA">
        <w:rPr>
          <w:b/>
          <w:sz w:val="24"/>
          <w:szCs w:val="24"/>
        </w:rPr>
        <w:t>Ka Dưm, Lương Vũ Mai Quỳnh, Nguyễn Thị Thanh Tịnh</w:t>
      </w:r>
      <w:r w:rsidRPr="00C126DA">
        <w:rPr>
          <w:b/>
          <w:sz w:val="24"/>
          <w:szCs w:val="24"/>
          <w:vertAlign w:val="superscript"/>
        </w:rPr>
        <w:t>*</w:t>
      </w:r>
    </w:p>
    <w:p w:rsidR="00423F4E" w:rsidRPr="00C126DA" w:rsidRDefault="00423F4E" w:rsidP="00423F4E">
      <w:pPr>
        <w:spacing w:before="40" w:after="0" w:line="240" w:lineRule="auto"/>
        <w:jc w:val="center"/>
        <w:rPr>
          <w:i/>
          <w:sz w:val="24"/>
          <w:szCs w:val="24"/>
        </w:rPr>
      </w:pPr>
      <w:r w:rsidRPr="00C126DA">
        <w:rPr>
          <w:i/>
          <w:sz w:val="24"/>
          <w:szCs w:val="24"/>
        </w:rPr>
        <w:t>Khoa Nông Lâm, Trường Đại học Đà Lạt, Việt Nam</w:t>
      </w:r>
    </w:p>
    <w:p w:rsidR="00423F4E" w:rsidRDefault="00423F4E" w:rsidP="00423F4E">
      <w:pPr>
        <w:spacing w:before="360" w:after="240" w:line="240" w:lineRule="auto"/>
        <w:jc w:val="center"/>
        <w:rPr>
          <w:b/>
          <w:sz w:val="22"/>
          <w:szCs w:val="22"/>
        </w:rPr>
      </w:pPr>
      <w:r w:rsidRPr="00C91433">
        <w:rPr>
          <w:b/>
          <w:sz w:val="22"/>
          <w:szCs w:val="22"/>
        </w:rPr>
        <w:t>TÓM TẮT</w:t>
      </w:r>
    </w:p>
    <w:p w:rsidR="00423F4E" w:rsidRPr="003D2D01" w:rsidRDefault="00423F4E" w:rsidP="00423F4E">
      <w:pPr>
        <w:spacing w:before="80" w:after="40" w:line="240" w:lineRule="auto"/>
        <w:ind w:firstLine="576"/>
        <w:jc w:val="both"/>
        <w:rPr>
          <w:sz w:val="20"/>
          <w:szCs w:val="20"/>
        </w:rPr>
      </w:pPr>
      <w:r w:rsidRPr="003D2D01">
        <w:rPr>
          <w:sz w:val="20"/>
          <w:szCs w:val="20"/>
        </w:rPr>
        <w:t>Sữa hạt từ gạo rang phối trộn với hạt mắc ca là sản phẩm có nguồn gốc thực vật, không chứa lactose, đáp ứng nhu cầu dinh dưỡng ngày càng tăng của người tiêu dùng hiện đại, đặc biệt phù hợp với những người theo đuổi lối sống lành mạnh hoặc có dị ứng với sữa động vật. Nghiên cứu cho thấy, quá trình rang gạo ở nhiệt độ 150 °C trong thời gian 30 phút là tối ưu, giúp hạt gạo đạt được màu vàng sáng và hương thơm đặc trưng. Tỷ lệ nước bổ sung đóng vai trò quan trọng trong việc hình thành cấu trúc của sữa hạt; trong đó, tỷ lệ phối trộn gạo rang : mắc ca : nước là 1:1:12 mang lại độ ổn định tốt hơn so với các công thức khác. Để cải thiện hương vị và hạn chế hiện tượng kết lắng trong quá trình bảo quản, cần bổ sung 20% syrup đường Trehalose cùng với 0,03% xanthan gum</w:t>
      </w:r>
      <w:r w:rsidR="00DE79C8">
        <w:rPr>
          <w:sz w:val="20"/>
          <w:szCs w:val="20"/>
        </w:rPr>
        <w:t xml:space="preserve"> </w:t>
      </w:r>
      <w:r w:rsidRPr="003D2D01">
        <w:rPr>
          <w:sz w:val="20"/>
          <w:szCs w:val="20"/>
        </w:rPr>
        <w:t>giúp duy trì các chỉ tiêu chất lượng như độ sáng (lightness L*), pH, độ nhớt và đặc tính cảm quan đặc trưng của sản phẩm.</w:t>
      </w:r>
    </w:p>
    <w:p w:rsidR="00423F4E" w:rsidRDefault="00423F4E" w:rsidP="00423F4E">
      <w:pPr>
        <w:spacing w:before="240" w:after="240" w:line="240" w:lineRule="auto"/>
        <w:jc w:val="both"/>
        <w:rPr>
          <w:i/>
          <w:iCs/>
          <w:sz w:val="20"/>
          <w:szCs w:val="20"/>
        </w:rPr>
      </w:pPr>
      <w:r w:rsidRPr="005A627C">
        <w:rPr>
          <w:b/>
          <w:bCs/>
          <w:iCs/>
          <w:sz w:val="22"/>
          <w:szCs w:val="22"/>
        </w:rPr>
        <w:t>Từ khóa:</w:t>
      </w:r>
      <w:r w:rsidRPr="005A627C">
        <w:rPr>
          <w:b/>
          <w:bCs/>
          <w:sz w:val="22"/>
          <w:szCs w:val="22"/>
        </w:rPr>
        <w:t xml:space="preserve"> </w:t>
      </w:r>
      <w:r w:rsidRPr="005A627C">
        <w:rPr>
          <w:i/>
          <w:iCs/>
          <w:sz w:val="20"/>
          <w:szCs w:val="20"/>
          <w:lang w:val="vi-VN"/>
        </w:rPr>
        <w:t>gạo OM4900</w:t>
      </w:r>
      <w:r w:rsidRPr="005A627C">
        <w:rPr>
          <w:i/>
          <w:iCs/>
          <w:sz w:val="20"/>
          <w:szCs w:val="20"/>
        </w:rPr>
        <w:t xml:space="preserve"> (Oryza sativa L</w:t>
      </w:r>
      <w:r>
        <w:rPr>
          <w:i/>
          <w:iCs/>
          <w:sz w:val="20"/>
          <w:szCs w:val="20"/>
        </w:rPr>
        <w:t>)</w:t>
      </w:r>
      <w:r w:rsidRPr="005A627C">
        <w:rPr>
          <w:i/>
          <w:iCs/>
          <w:sz w:val="20"/>
          <w:szCs w:val="20"/>
        </w:rPr>
        <w:t>.</w:t>
      </w:r>
      <w:r w:rsidRPr="005A627C">
        <w:rPr>
          <w:sz w:val="20"/>
          <w:szCs w:val="20"/>
          <w:lang w:val="vi-VN"/>
        </w:rPr>
        <w:t>,</w:t>
      </w:r>
      <w:r w:rsidRPr="005A627C">
        <w:rPr>
          <w:i/>
          <w:iCs/>
          <w:sz w:val="20"/>
          <w:szCs w:val="20"/>
          <w:lang w:val="vi-VN"/>
        </w:rPr>
        <w:t xml:space="preserve"> mắc ca</w:t>
      </w:r>
      <w:r>
        <w:rPr>
          <w:i/>
          <w:iCs/>
          <w:sz w:val="20"/>
          <w:szCs w:val="20"/>
        </w:rPr>
        <w:t xml:space="preserve"> </w:t>
      </w:r>
      <w:r w:rsidRPr="005A627C">
        <w:rPr>
          <w:i/>
          <w:iCs/>
          <w:sz w:val="20"/>
          <w:szCs w:val="20"/>
        </w:rPr>
        <w:t>(Macadamia integrifolia)</w:t>
      </w:r>
      <w:r w:rsidRPr="005A627C">
        <w:rPr>
          <w:sz w:val="20"/>
          <w:szCs w:val="20"/>
          <w:lang w:val="vi-VN"/>
        </w:rPr>
        <w:t>,</w:t>
      </w:r>
      <w:r w:rsidRPr="005A627C">
        <w:rPr>
          <w:i/>
          <w:iCs/>
          <w:sz w:val="20"/>
          <w:szCs w:val="20"/>
          <w:lang w:val="vi-VN"/>
        </w:rPr>
        <w:t xml:space="preserve"> </w:t>
      </w:r>
      <w:r w:rsidRPr="005A627C">
        <w:rPr>
          <w:i/>
          <w:iCs/>
          <w:sz w:val="20"/>
          <w:szCs w:val="20"/>
        </w:rPr>
        <w:t xml:space="preserve">quy trình chế biến </w:t>
      </w:r>
      <w:r w:rsidRPr="005A627C">
        <w:rPr>
          <w:i/>
          <w:iCs/>
          <w:sz w:val="20"/>
          <w:szCs w:val="20"/>
          <w:lang w:val="vi-VN"/>
        </w:rPr>
        <w:t>sữa hạt</w:t>
      </w:r>
      <w:r w:rsidRPr="005A627C">
        <w:rPr>
          <w:sz w:val="20"/>
          <w:szCs w:val="20"/>
        </w:rPr>
        <w:t>,</w:t>
      </w:r>
      <w:r w:rsidRPr="005A627C">
        <w:rPr>
          <w:i/>
          <w:iCs/>
          <w:sz w:val="20"/>
          <w:szCs w:val="20"/>
        </w:rPr>
        <w:t xml:space="preserve"> xanthan gum</w:t>
      </w:r>
      <w:r w:rsidRPr="005A627C">
        <w:rPr>
          <w:sz w:val="20"/>
          <w:szCs w:val="20"/>
        </w:rPr>
        <w:t>,</w:t>
      </w:r>
      <w:r w:rsidRPr="005A627C">
        <w:rPr>
          <w:i/>
          <w:iCs/>
          <w:sz w:val="20"/>
          <w:szCs w:val="20"/>
        </w:rPr>
        <w:t xml:space="preserve"> trehalose</w:t>
      </w:r>
    </w:p>
    <w:p w:rsidR="00D821C9" w:rsidRPr="00BE169F" w:rsidRDefault="00D821C9" w:rsidP="00D821C9">
      <w:pPr>
        <w:spacing w:before="360" w:after="240" w:line="240" w:lineRule="auto"/>
        <w:jc w:val="center"/>
        <w:rPr>
          <w:rFonts w:ascii="Arial" w:hAnsi="Arial" w:cs="Arial"/>
          <w:b/>
          <w:sz w:val="32"/>
          <w:szCs w:val="32"/>
        </w:rPr>
      </w:pPr>
      <w:r w:rsidRPr="00BE169F">
        <w:rPr>
          <w:rFonts w:ascii="Arial" w:hAnsi="Arial" w:cs="Arial"/>
          <w:b/>
          <w:sz w:val="32"/>
          <w:szCs w:val="32"/>
        </w:rPr>
        <w:t xml:space="preserve">A </w:t>
      </w:r>
      <w:r>
        <w:rPr>
          <w:rFonts w:ascii="Arial" w:hAnsi="Arial" w:cs="Arial"/>
          <w:b/>
          <w:sz w:val="32"/>
          <w:szCs w:val="32"/>
        </w:rPr>
        <w:t>study on the processing technology for nut-based milk from</w:t>
      </w:r>
      <w:r w:rsidRPr="00BE169F">
        <w:rPr>
          <w:rFonts w:ascii="Arial" w:hAnsi="Arial" w:cs="Arial"/>
          <w:b/>
          <w:sz w:val="32"/>
          <w:szCs w:val="32"/>
        </w:rPr>
        <w:t xml:space="preserve"> OM4900 RICE (</w:t>
      </w:r>
      <w:r w:rsidRPr="00BE169F">
        <w:rPr>
          <w:rFonts w:ascii="Arial" w:hAnsi="Arial" w:cs="Arial"/>
          <w:b/>
          <w:i/>
          <w:iCs/>
          <w:sz w:val="32"/>
          <w:szCs w:val="32"/>
        </w:rPr>
        <w:t>Oryza sativa</w:t>
      </w:r>
      <w:r w:rsidRPr="00BE169F">
        <w:rPr>
          <w:rFonts w:ascii="Arial" w:hAnsi="Arial" w:cs="Arial"/>
          <w:b/>
          <w:sz w:val="32"/>
          <w:szCs w:val="32"/>
        </w:rPr>
        <w:t xml:space="preserve"> L.) </w:t>
      </w:r>
      <w:r>
        <w:rPr>
          <w:rFonts w:ascii="Arial" w:hAnsi="Arial" w:cs="Arial"/>
          <w:b/>
          <w:sz w:val="32"/>
          <w:szCs w:val="32"/>
        </w:rPr>
        <w:t>and macadamia</w:t>
      </w:r>
      <w:r w:rsidRPr="00BE169F">
        <w:rPr>
          <w:rFonts w:ascii="Arial" w:hAnsi="Arial" w:cs="Arial"/>
          <w:b/>
          <w:sz w:val="32"/>
          <w:szCs w:val="32"/>
        </w:rPr>
        <w:t xml:space="preserve"> (</w:t>
      </w:r>
      <w:r w:rsidRPr="00BE169F">
        <w:rPr>
          <w:rFonts w:ascii="Arial" w:hAnsi="Arial" w:cs="Arial"/>
          <w:b/>
          <w:i/>
          <w:iCs/>
          <w:sz w:val="32"/>
          <w:szCs w:val="32"/>
        </w:rPr>
        <w:t>Macadamia integrifolia</w:t>
      </w:r>
      <w:r w:rsidRPr="00BE169F">
        <w:rPr>
          <w:rFonts w:ascii="Arial" w:hAnsi="Arial" w:cs="Arial"/>
          <w:b/>
          <w:sz w:val="32"/>
          <w:szCs w:val="32"/>
        </w:rPr>
        <w:t xml:space="preserve">) </w:t>
      </w:r>
      <w:r>
        <w:rPr>
          <w:rFonts w:ascii="Arial" w:hAnsi="Arial" w:cs="Arial"/>
          <w:b/>
          <w:sz w:val="32"/>
          <w:szCs w:val="32"/>
        </w:rPr>
        <w:t>blend</w:t>
      </w:r>
    </w:p>
    <w:p w:rsidR="00D821C9" w:rsidRPr="001C27D0" w:rsidRDefault="00D821C9" w:rsidP="00D821C9">
      <w:pPr>
        <w:spacing w:before="80" w:after="40" w:line="240" w:lineRule="auto"/>
        <w:jc w:val="center"/>
        <w:rPr>
          <w:b/>
          <w:bCs/>
          <w:sz w:val="24"/>
          <w:szCs w:val="22"/>
        </w:rPr>
      </w:pPr>
      <w:r w:rsidRPr="001C27D0">
        <w:rPr>
          <w:b/>
          <w:bCs/>
          <w:sz w:val="24"/>
          <w:szCs w:val="22"/>
        </w:rPr>
        <w:t xml:space="preserve">Ka Dum, </w:t>
      </w:r>
      <w:r>
        <w:rPr>
          <w:b/>
          <w:bCs/>
          <w:sz w:val="24"/>
          <w:szCs w:val="22"/>
        </w:rPr>
        <w:t xml:space="preserve">Luong Vu Mai Quynh, </w:t>
      </w:r>
      <w:r w:rsidRPr="001C27D0">
        <w:rPr>
          <w:b/>
          <w:bCs/>
          <w:sz w:val="24"/>
          <w:szCs w:val="22"/>
        </w:rPr>
        <w:t>Nguyen Thi Thanh Tinh</w:t>
      </w:r>
      <w:r w:rsidRPr="001C27D0">
        <w:rPr>
          <w:b/>
          <w:bCs/>
          <w:sz w:val="24"/>
          <w:szCs w:val="22"/>
          <w:vertAlign w:val="superscript"/>
        </w:rPr>
        <w:t>*</w:t>
      </w:r>
    </w:p>
    <w:p w:rsidR="00D821C9" w:rsidRPr="003D1F38" w:rsidRDefault="00D821C9" w:rsidP="00D821C9">
      <w:pPr>
        <w:spacing w:before="80" w:after="40" w:line="240" w:lineRule="auto"/>
        <w:jc w:val="center"/>
        <w:rPr>
          <w:i/>
          <w:sz w:val="24"/>
          <w:szCs w:val="24"/>
        </w:rPr>
      </w:pPr>
      <w:r w:rsidRPr="003D1F38">
        <w:rPr>
          <w:i/>
          <w:sz w:val="24"/>
          <w:szCs w:val="24"/>
        </w:rPr>
        <w:t>Faculty of Agriculture and Forestry, Dalat University, Vietnam</w:t>
      </w:r>
    </w:p>
    <w:p w:rsidR="000F6B85" w:rsidRPr="00C91433" w:rsidRDefault="000F6B85" w:rsidP="000F6B85">
      <w:pPr>
        <w:spacing w:before="360" w:after="240" w:line="240" w:lineRule="auto"/>
        <w:jc w:val="center"/>
        <w:rPr>
          <w:b/>
          <w:sz w:val="22"/>
          <w:szCs w:val="22"/>
        </w:rPr>
      </w:pPr>
      <w:r w:rsidRPr="00C91433">
        <w:rPr>
          <w:b/>
          <w:sz w:val="22"/>
          <w:szCs w:val="22"/>
        </w:rPr>
        <w:t>ABSTRACT</w:t>
      </w:r>
    </w:p>
    <w:p w:rsidR="000F6B85" w:rsidRPr="009732FC" w:rsidRDefault="000F6B85" w:rsidP="000F6B85">
      <w:pPr>
        <w:spacing w:before="80" w:after="40" w:line="240" w:lineRule="auto"/>
        <w:ind w:firstLine="576"/>
        <w:jc w:val="both"/>
        <w:rPr>
          <w:sz w:val="22"/>
          <w:szCs w:val="22"/>
        </w:rPr>
      </w:pPr>
      <w:r w:rsidRPr="005A627C">
        <w:rPr>
          <w:sz w:val="20"/>
          <w:szCs w:val="20"/>
        </w:rPr>
        <w:t>Roasted rice and macadamia nut milk is a plant-based, lactose-free product that meets modern consumers' growing nutritional needs. It is particularly well-suited to individuals pursuing a healthy lifestyle or those with a dairy allergy. Research indicates that roasting rice at 150 °C for 30 minutes results in an optimal light golden colour and distinctive aroma. The amount of added water is crucial for determining the structural integrity of the nut milk. Of the formulations tested, a ratio of roasted rice to macadamia to water of 1:1:12 produced the most stable results. To improve flavor and</w:t>
      </w:r>
      <w:r>
        <w:rPr>
          <w:sz w:val="20"/>
          <w:szCs w:val="20"/>
        </w:rPr>
        <w:t xml:space="preserve"> reduce sedimention during </w:t>
      </w:r>
      <w:r w:rsidRPr="005A627C">
        <w:rPr>
          <w:sz w:val="20"/>
          <w:szCs w:val="20"/>
        </w:rPr>
        <w:t xml:space="preserve">storage, </w:t>
      </w:r>
      <w:r>
        <w:rPr>
          <w:sz w:val="20"/>
          <w:szCs w:val="20"/>
        </w:rPr>
        <w:t xml:space="preserve">the addition </w:t>
      </w:r>
      <w:r w:rsidRPr="005A627C">
        <w:rPr>
          <w:sz w:val="20"/>
          <w:szCs w:val="20"/>
        </w:rPr>
        <w:t xml:space="preserve">20% </w:t>
      </w:r>
      <w:r>
        <w:rPr>
          <w:sz w:val="20"/>
          <w:szCs w:val="20"/>
        </w:rPr>
        <w:t>trehalose</w:t>
      </w:r>
      <w:r w:rsidRPr="005A627C">
        <w:rPr>
          <w:sz w:val="20"/>
          <w:szCs w:val="20"/>
        </w:rPr>
        <w:t xml:space="preserve"> sugar syrup and 0.03% xanthan gum </w:t>
      </w:r>
      <w:r>
        <w:rPr>
          <w:sz w:val="20"/>
          <w:szCs w:val="20"/>
        </w:rPr>
        <w:t>is recommended</w:t>
      </w:r>
      <w:r w:rsidRPr="005A627C">
        <w:rPr>
          <w:sz w:val="20"/>
          <w:szCs w:val="20"/>
        </w:rPr>
        <w:t>. This</w:t>
      </w:r>
      <w:r>
        <w:rPr>
          <w:sz w:val="20"/>
          <w:szCs w:val="20"/>
        </w:rPr>
        <w:t xml:space="preserve"> formulation helps preserve </w:t>
      </w:r>
      <w:r w:rsidRPr="005A627C">
        <w:rPr>
          <w:sz w:val="20"/>
          <w:szCs w:val="20"/>
        </w:rPr>
        <w:t xml:space="preserve">key quality </w:t>
      </w:r>
      <w:r>
        <w:rPr>
          <w:sz w:val="20"/>
          <w:szCs w:val="20"/>
        </w:rPr>
        <w:t xml:space="preserve">attributes, including </w:t>
      </w:r>
      <w:r w:rsidRPr="005A627C">
        <w:rPr>
          <w:sz w:val="20"/>
          <w:szCs w:val="20"/>
        </w:rPr>
        <w:t>lightness (L*), pH, viscosity and the characteristic sensory attributes of roasted rice and macadamia nut milk</w:t>
      </w:r>
      <w:r w:rsidRPr="009732FC">
        <w:rPr>
          <w:sz w:val="22"/>
          <w:szCs w:val="22"/>
        </w:rPr>
        <w:t>.</w:t>
      </w:r>
    </w:p>
    <w:p w:rsidR="00523083" w:rsidRPr="005A627C" w:rsidRDefault="00523083" w:rsidP="00523083">
      <w:pPr>
        <w:spacing w:before="240" w:after="240" w:line="240" w:lineRule="auto"/>
        <w:jc w:val="both"/>
        <w:rPr>
          <w:i/>
          <w:iCs/>
          <w:sz w:val="20"/>
          <w:szCs w:val="20"/>
        </w:rPr>
      </w:pPr>
      <w:r w:rsidRPr="005A627C">
        <w:rPr>
          <w:b/>
          <w:bCs/>
          <w:iCs/>
          <w:sz w:val="22"/>
          <w:szCs w:val="22"/>
        </w:rPr>
        <w:t>Keywords:</w:t>
      </w:r>
      <w:r w:rsidRPr="009732FC">
        <w:rPr>
          <w:sz w:val="22"/>
          <w:szCs w:val="22"/>
        </w:rPr>
        <w:t xml:space="preserve"> </w:t>
      </w:r>
      <w:r w:rsidRPr="005A627C">
        <w:rPr>
          <w:i/>
          <w:iCs/>
          <w:sz w:val="20"/>
          <w:szCs w:val="20"/>
        </w:rPr>
        <w:t>OM4900 rice (Oryza sativa L.)</w:t>
      </w:r>
      <w:r w:rsidRPr="005A627C">
        <w:rPr>
          <w:sz w:val="20"/>
          <w:szCs w:val="20"/>
        </w:rPr>
        <w:t>,</w:t>
      </w:r>
      <w:r w:rsidRPr="005A627C">
        <w:rPr>
          <w:i/>
          <w:iCs/>
          <w:sz w:val="20"/>
          <w:szCs w:val="20"/>
        </w:rPr>
        <w:t xml:space="preserve"> macadamia (Macadamia integrifolia)</w:t>
      </w:r>
      <w:r w:rsidRPr="005A627C">
        <w:rPr>
          <w:sz w:val="20"/>
          <w:szCs w:val="20"/>
        </w:rPr>
        <w:t>,</w:t>
      </w:r>
      <w:r w:rsidRPr="005A627C">
        <w:rPr>
          <w:i/>
          <w:iCs/>
          <w:sz w:val="20"/>
          <w:szCs w:val="20"/>
        </w:rPr>
        <w:t xml:space="preserve"> processing procedure for nut-based milk</w:t>
      </w:r>
      <w:r w:rsidRPr="005A627C">
        <w:rPr>
          <w:sz w:val="20"/>
          <w:szCs w:val="20"/>
        </w:rPr>
        <w:t>,</w:t>
      </w:r>
      <w:r w:rsidRPr="005A627C">
        <w:rPr>
          <w:i/>
          <w:iCs/>
          <w:sz w:val="20"/>
          <w:szCs w:val="20"/>
        </w:rPr>
        <w:t xml:space="preserve"> xanthan gum</w:t>
      </w:r>
      <w:r w:rsidRPr="005A627C">
        <w:rPr>
          <w:sz w:val="20"/>
          <w:szCs w:val="20"/>
        </w:rPr>
        <w:t>,</w:t>
      </w:r>
      <w:r w:rsidRPr="005A627C">
        <w:rPr>
          <w:i/>
          <w:iCs/>
          <w:sz w:val="20"/>
          <w:szCs w:val="20"/>
        </w:rPr>
        <w:t xml:space="preserve"> trehalose.</w:t>
      </w:r>
    </w:p>
    <w:p w:rsidR="00423F4E" w:rsidRPr="008F2756" w:rsidRDefault="00423F4E" w:rsidP="00423F4E">
      <w:pPr>
        <w:spacing w:before="120" w:after="120" w:line="240" w:lineRule="auto"/>
        <w:rPr>
          <w:b/>
          <w:sz w:val="22"/>
          <w:szCs w:val="22"/>
        </w:rPr>
      </w:pPr>
      <w:r w:rsidRPr="008F2756">
        <w:rPr>
          <w:b/>
          <w:sz w:val="22"/>
          <w:szCs w:val="22"/>
        </w:rPr>
        <w:t>MỞ ĐẦU</w:t>
      </w:r>
    </w:p>
    <w:p w:rsidR="00423F4E" w:rsidRPr="00A6574E" w:rsidRDefault="00423F4E" w:rsidP="00423F4E">
      <w:pPr>
        <w:spacing w:before="120" w:after="120" w:line="240" w:lineRule="auto"/>
        <w:ind w:firstLine="461"/>
        <w:jc w:val="both"/>
        <w:rPr>
          <w:sz w:val="22"/>
          <w:szCs w:val="22"/>
          <w:highlight w:val="white"/>
        </w:rPr>
      </w:pPr>
      <w:r>
        <w:rPr>
          <w:sz w:val="22"/>
          <w:szCs w:val="22"/>
          <w:highlight w:val="white"/>
        </w:rPr>
        <w:t>N</w:t>
      </w:r>
      <w:r w:rsidRPr="00DE4CFA">
        <w:rPr>
          <w:sz w:val="22"/>
          <w:szCs w:val="22"/>
          <w:highlight w:val="white"/>
        </w:rPr>
        <w:t>hững năm gần đây, xu hướng sử dụng các sản phẩm sữa có nguồn gốc từ thực vật ngày càng trở nên phổ biến trên toàn cầu</w:t>
      </w:r>
      <w:r>
        <w:rPr>
          <w:sz w:val="22"/>
          <w:szCs w:val="22"/>
          <w:highlight w:val="white"/>
        </w:rPr>
        <w:t xml:space="preserve">. </w:t>
      </w:r>
      <w:r w:rsidRPr="00A6574E">
        <w:rPr>
          <w:sz w:val="22"/>
          <w:szCs w:val="22"/>
          <w:highlight w:val="white"/>
        </w:rPr>
        <w:t xml:space="preserve">Các sản phẩm sữa từ thực vật (sữa hạt) thay thế cho sữa bò, là một trong những mặt hàng tăng trưởng nhanh nhất trong ngành thực </w:t>
      </w:r>
      <w:r w:rsidRPr="001A3157">
        <w:rPr>
          <w:sz w:val="22"/>
          <w:szCs w:val="22"/>
          <w:highlight w:val="white"/>
        </w:rPr>
        <w:t>phẩm</w:t>
      </w:r>
      <w:r w:rsidRPr="0063481C">
        <w:rPr>
          <w:sz w:val="22"/>
          <w:szCs w:val="22"/>
          <w:highlight w:val="white"/>
          <w:vertAlign w:val="superscript"/>
        </w:rPr>
        <w:fldChar w:fldCharType="begin"/>
      </w:r>
      <w:r w:rsidRPr="0063481C">
        <w:rPr>
          <w:sz w:val="22"/>
          <w:szCs w:val="22"/>
          <w:highlight w:val="white"/>
          <w:vertAlign w:val="superscript"/>
        </w:rPr>
        <w:instrText xml:space="preserve"> ADDIN EN.CITE &lt;EndNote&gt;&lt;Cite&gt;&lt;Author&gt;Sethi&lt;/Author&gt;&lt;Year&gt;2016&lt;/Year&gt;&lt;RecNum&gt;52&lt;/RecNum&gt;&lt;DisplayText&gt;(Sethi và cs., 2016)&lt;/DisplayText&gt;&lt;record&gt;&lt;rec-number&gt;52&lt;/rec-number&gt;&lt;foreign-keys&gt;&lt;key app="EN" db-id="rxvrfzsf2svzdkea0vp5drrs50x0ax5wpdse" timestamp="1740074085"&gt;52&lt;/key&gt;&lt;/foreign-keys&gt;&lt;ref-type name="Journal Article"&gt;17&lt;/ref-type&gt;&lt;contributors&gt;&lt;authors&gt;&lt;author&gt;Sethi, Swati&lt;/author&gt;&lt;author&gt;Tyagi, Sanjeev K&lt;/author&gt;&lt;author&gt;Anurag, Rahul K&lt;/author&gt;&lt;/authors&gt;&lt;/contributors&gt;&lt;titles&gt;&lt;title&gt;Plant-based milk alternatives an emerging segment of functional beverages: a review&lt;/title&gt;&lt;secondary-title&gt;Journal of food science and technology&lt;/secondary-title&gt;&lt;/titles&gt;&lt;periodical&gt;&lt;full-title&gt;Journal of food science and technology&lt;/full-title&gt;&lt;/periodical&gt;&lt;pages&gt;3408-3423&lt;/pages&gt;&lt;volume&gt;53&lt;/volume&gt;&lt;dates&gt;&lt;year&gt;2016&lt;/year&gt;&lt;/dates&gt;&lt;isbn&gt;0022-1155&lt;/isbn&gt;&lt;urls&gt;&lt;/urls&gt;&lt;/record&gt;&lt;/Cite&gt;&lt;/EndNote&gt;</w:instrText>
      </w:r>
      <w:r w:rsidRPr="0063481C">
        <w:rPr>
          <w:sz w:val="22"/>
          <w:szCs w:val="22"/>
          <w:highlight w:val="white"/>
          <w:vertAlign w:val="superscript"/>
        </w:rPr>
        <w:fldChar w:fldCharType="separate"/>
      </w:r>
      <w:r w:rsidRPr="0063481C">
        <w:rPr>
          <w:sz w:val="22"/>
          <w:szCs w:val="22"/>
          <w:highlight w:val="white"/>
          <w:vertAlign w:val="superscript"/>
        </w:rPr>
        <w:t>1</w:t>
      </w:r>
      <w:r w:rsidRPr="0063481C">
        <w:rPr>
          <w:sz w:val="22"/>
          <w:szCs w:val="22"/>
          <w:highlight w:val="white"/>
          <w:vertAlign w:val="superscript"/>
        </w:rPr>
        <w:fldChar w:fldCharType="end"/>
      </w:r>
      <w:r w:rsidRPr="001A3157">
        <w:rPr>
          <w:sz w:val="22"/>
          <w:szCs w:val="22"/>
          <w:highlight w:val="white"/>
        </w:rPr>
        <w:t xml:space="preserve">. Xu hướng này không chỉ bắt nguồn từ nhu cầu bảo vệ môi trường mà còn xuất phát từ mong muốn cải thiện sức khỏe và chất lượng cuộc sống của người tiêu dùng, đặc biệt là đối với những người không dung nạp lactose </w:t>
      </w:r>
      <w:r w:rsidRPr="001A3157">
        <w:rPr>
          <w:sz w:val="22"/>
          <w:szCs w:val="22"/>
          <w:highlight w:val="white"/>
        </w:rPr>
        <w:lastRenderedPageBreak/>
        <w:t>có trong sữa động vật hoặc theo chế độ ăn thuần chay</w:t>
      </w:r>
      <w:r w:rsidRPr="0063481C">
        <w:rPr>
          <w:sz w:val="22"/>
          <w:szCs w:val="22"/>
          <w:highlight w:val="white"/>
          <w:vertAlign w:val="superscript"/>
        </w:rPr>
        <w:t>2</w:t>
      </w:r>
      <w:r w:rsidRPr="001A3157">
        <w:rPr>
          <w:sz w:val="22"/>
          <w:szCs w:val="22"/>
          <w:highlight w:val="white"/>
        </w:rPr>
        <w:t xml:space="preserve">. Nhìn chung, các nguồn thực vật sử dụng sản xuất sữa hạt như ngũ cốc và các loại hạt giàu chất béo được chấp </w:t>
      </w:r>
      <w:r w:rsidRPr="00A6574E">
        <w:rPr>
          <w:sz w:val="22"/>
          <w:szCs w:val="22"/>
          <w:highlight w:val="white"/>
        </w:rPr>
        <w:t>nhận là thực phẩm chức năng dinh dưỡng</w:t>
      </w:r>
      <w:r>
        <w:rPr>
          <w:sz w:val="22"/>
          <w:szCs w:val="22"/>
          <w:highlight w:val="white"/>
        </w:rPr>
        <w:t>. Đ</w:t>
      </w:r>
      <w:r w:rsidRPr="00A6574E">
        <w:rPr>
          <w:sz w:val="22"/>
          <w:szCs w:val="22"/>
          <w:highlight w:val="white"/>
        </w:rPr>
        <w:t xml:space="preserve">iều này là do các thành phần tăng cường sức khỏe của </w:t>
      </w:r>
      <w:r>
        <w:rPr>
          <w:sz w:val="22"/>
          <w:szCs w:val="22"/>
          <w:highlight w:val="white"/>
        </w:rPr>
        <w:t>các loại hạt</w:t>
      </w:r>
      <w:r w:rsidRPr="00A6574E">
        <w:rPr>
          <w:sz w:val="22"/>
          <w:szCs w:val="22"/>
          <w:highlight w:val="white"/>
        </w:rPr>
        <w:t>, chẳng hạn như chất xơ, khoáng chất, vitamin</w:t>
      </w:r>
      <w:r>
        <w:rPr>
          <w:sz w:val="22"/>
          <w:szCs w:val="22"/>
          <w:highlight w:val="white"/>
        </w:rPr>
        <w:t>, chất béo tốt</w:t>
      </w:r>
      <w:r w:rsidRPr="00A6574E">
        <w:rPr>
          <w:sz w:val="22"/>
          <w:szCs w:val="22"/>
          <w:highlight w:val="white"/>
        </w:rPr>
        <w:t xml:space="preserve"> và chất chống oxy hóa</w:t>
      </w:r>
      <w:r w:rsidRPr="0063481C">
        <w:rPr>
          <w:sz w:val="22"/>
          <w:szCs w:val="22"/>
          <w:highlight w:val="white"/>
          <w:vertAlign w:val="superscript"/>
        </w:rPr>
        <w:t>3</w:t>
      </w:r>
      <w:r>
        <w:rPr>
          <w:sz w:val="22"/>
          <w:szCs w:val="22"/>
          <w:highlight w:val="white"/>
        </w:rPr>
        <w:t>.</w:t>
      </w:r>
    </w:p>
    <w:p w:rsidR="00423F4E" w:rsidRPr="00F33EFC" w:rsidRDefault="00423F4E" w:rsidP="00423F4E">
      <w:pPr>
        <w:spacing w:before="120" w:after="120" w:line="240" w:lineRule="auto"/>
        <w:ind w:firstLine="461"/>
        <w:jc w:val="both"/>
        <w:rPr>
          <w:color w:val="FF0000"/>
          <w:sz w:val="22"/>
          <w:szCs w:val="22"/>
          <w:highlight w:val="white"/>
        </w:rPr>
      </w:pPr>
      <w:r>
        <w:rPr>
          <w:sz w:val="22"/>
          <w:szCs w:val="22"/>
          <w:highlight w:val="white"/>
        </w:rPr>
        <w:t>Tại</w:t>
      </w:r>
      <w:r w:rsidRPr="00F33EFC">
        <w:rPr>
          <w:sz w:val="22"/>
          <w:szCs w:val="22"/>
          <w:highlight w:val="white"/>
        </w:rPr>
        <w:t xml:space="preserve"> Việt Nam, người tiêu dùng ngày càng quan tâm đến các sản phẩm sữa có nguồn gốc thực vật nhờ đặc tính không chứa lactose, giàu dinh dưỡng và phù hợp với xu hướng ăn uống lành mạnh. Nhận thấy tiềm năng này, nhiều doanh nghiệp lớn trong nước như Vinamilk, TH True Milk... đã phát triển và mở rộng dòng sản phẩm sữa hạt nhằm đáp ứng nhu cầu thị trường. Việt Nam cũng có lợi thế lớn về nguồn nguyên liệu để sản xuất sữa hạt nhờ sự phong phú và đa dạng của các loại nông sản bản địa.</w:t>
      </w:r>
      <w:r>
        <w:rPr>
          <w:sz w:val="22"/>
          <w:szCs w:val="22"/>
          <w:highlight w:val="white"/>
        </w:rPr>
        <w:t xml:space="preserve"> Tại Lâm Đồng, đặc sản gạo bản địa huyện Đạ Huoai giống OM 4900 </w:t>
      </w:r>
      <w:r w:rsidRPr="00F33EFC">
        <w:rPr>
          <w:sz w:val="22"/>
          <w:szCs w:val="22"/>
          <w:highlight w:val="white"/>
        </w:rPr>
        <w:t xml:space="preserve">và mắc ca là hai loại nguyên liệu có giá trị cao về mặt dinh dưỡng và tiềm năng ứng dụng trong chế biến sâu. Gạo là nguồn cung cấp carbohydrate chính trong khẩu phần ăn, đồng thời chứa nhiều chất xơ, vitamin nhóm B và các khoáng chất như mangan, magie, đóng vai trò quan trọng trong việc cung cấp năng lượng và hỗ trợ chuyển hóa cho cơ </w:t>
      </w:r>
      <w:r w:rsidRPr="004B2260">
        <w:rPr>
          <w:sz w:val="22"/>
          <w:szCs w:val="22"/>
          <w:highlight w:val="white"/>
        </w:rPr>
        <w:t>thể</w:t>
      </w:r>
      <w:r w:rsidRPr="0063481C">
        <w:rPr>
          <w:sz w:val="22"/>
          <w:szCs w:val="22"/>
          <w:highlight w:val="white"/>
          <w:vertAlign w:val="superscript"/>
        </w:rPr>
        <w:t>4</w:t>
      </w:r>
      <w:r w:rsidRPr="004B2260">
        <w:rPr>
          <w:sz w:val="22"/>
          <w:szCs w:val="22"/>
          <w:highlight w:val="white"/>
        </w:rPr>
        <w:t xml:space="preserve">. </w:t>
      </w:r>
      <w:r w:rsidRPr="00F33EFC">
        <w:rPr>
          <w:sz w:val="22"/>
          <w:szCs w:val="22"/>
          <w:highlight w:val="white"/>
        </w:rPr>
        <w:t xml:space="preserve">Bên cạnh đó, hạt mắc ca nổi bật với hàm lượng cao </w:t>
      </w:r>
      <w:r>
        <w:rPr>
          <w:sz w:val="22"/>
          <w:szCs w:val="22"/>
          <w:highlight w:val="white"/>
        </w:rPr>
        <w:t>axit</w:t>
      </w:r>
      <w:r w:rsidRPr="00F33EFC">
        <w:rPr>
          <w:sz w:val="22"/>
          <w:szCs w:val="22"/>
          <w:highlight w:val="white"/>
        </w:rPr>
        <w:t xml:space="preserve"> béo không bão hòa đơn </w:t>
      </w:r>
      <w:r>
        <w:rPr>
          <w:sz w:val="22"/>
          <w:szCs w:val="22"/>
          <w:highlight w:val="white"/>
        </w:rPr>
        <w:t>cao như axit oleci, axit palmitoleic</w:t>
      </w:r>
      <w:r w:rsidRPr="00F33EFC">
        <w:rPr>
          <w:sz w:val="22"/>
          <w:szCs w:val="22"/>
          <w:highlight w:val="white"/>
        </w:rPr>
        <w:t>– một thành phần có lợi cho sức khỏe tim mạch – cùng các chất dinh dưỡng như vitamin E, chất xơ và các khoáng chất thiết yếu</w:t>
      </w:r>
      <w:r w:rsidRPr="0063481C">
        <w:rPr>
          <w:sz w:val="22"/>
          <w:szCs w:val="22"/>
          <w:highlight w:val="white"/>
          <w:vertAlign w:val="superscript"/>
        </w:rPr>
        <w:t>5</w:t>
      </w:r>
      <w:r w:rsidRPr="00F33EFC">
        <w:rPr>
          <w:sz w:val="22"/>
          <w:szCs w:val="22"/>
          <w:highlight w:val="white"/>
        </w:rPr>
        <w:t>. Việc kết hợp gạo và mắc ca trong chế độ ăn không chỉ cung cấp năng lượng mà còn mang lại giá trị dinh dưỡng cao, góp phần cân bằng khẩu phần ăn hàng ngày</w:t>
      </w:r>
      <w:r>
        <w:rPr>
          <w:sz w:val="22"/>
          <w:szCs w:val="22"/>
          <w:highlight w:val="white"/>
        </w:rPr>
        <w:t>.</w:t>
      </w:r>
    </w:p>
    <w:p w:rsidR="00423F4E" w:rsidRPr="00F33EFC" w:rsidRDefault="00423F4E" w:rsidP="00423F4E">
      <w:pPr>
        <w:spacing w:before="120" w:after="120" w:line="240" w:lineRule="auto"/>
        <w:ind w:firstLine="461"/>
        <w:jc w:val="both"/>
        <w:rPr>
          <w:color w:val="FF0000"/>
          <w:sz w:val="22"/>
          <w:szCs w:val="22"/>
          <w:highlight w:val="white"/>
        </w:rPr>
      </w:pPr>
      <w:r w:rsidRPr="00F33EFC">
        <w:rPr>
          <w:sz w:val="22"/>
          <w:szCs w:val="22"/>
          <w:highlight w:val="white"/>
        </w:rPr>
        <w:t xml:space="preserve">Bên cạnh thành phần chính, chất tạo ngọt và chất ổn định cũng đóng vai trò quan trọng trong việc hoàn thiện chất lượng cảm quan và kéo dài thời gian bảo quản của sản phẩm. Trehalose, một loại đường tự nhiên có vị ngọt dịu, chỉ số đường huyết </w:t>
      </w:r>
      <w:r w:rsidRPr="004B2260">
        <w:rPr>
          <w:sz w:val="22"/>
          <w:szCs w:val="22"/>
          <w:highlight w:val="white"/>
        </w:rPr>
        <w:t>thấp và khả năng chịu nhiệt tốt, được xem là lựa chọn phù hợp cho các sản phẩm hướng đến sức khỏe</w:t>
      </w:r>
      <w:r w:rsidRPr="0063481C">
        <w:rPr>
          <w:sz w:val="22"/>
          <w:szCs w:val="22"/>
          <w:highlight w:val="white"/>
          <w:vertAlign w:val="superscript"/>
        </w:rPr>
        <w:t>6</w:t>
      </w:r>
      <w:r w:rsidRPr="004B2260">
        <w:rPr>
          <w:sz w:val="22"/>
          <w:szCs w:val="22"/>
          <w:highlight w:val="white"/>
        </w:rPr>
        <w:t xml:space="preserve">. </w:t>
      </w:r>
      <w:r w:rsidRPr="00F33EFC">
        <w:rPr>
          <w:sz w:val="22"/>
          <w:szCs w:val="22"/>
          <w:highlight w:val="white"/>
        </w:rPr>
        <w:t xml:space="preserve">Trong khi đó, xanthan gum (E415) – một phụ gia có nguồn gốc sinh học từ quá trình lên men vi khuẩn </w:t>
      </w:r>
      <w:r w:rsidRPr="00F33EFC">
        <w:rPr>
          <w:i/>
          <w:iCs/>
          <w:sz w:val="22"/>
          <w:szCs w:val="22"/>
          <w:highlight w:val="white"/>
        </w:rPr>
        <w:t>Xanthomonas campestris</w:t>
      </w:r>
      <w:r w:rsidRPr="00F33EFC">
        <w:rPr>
          <w:sz w:val="22"/>
          <w:szCs w:val="22"/>
          <w:highlight w:val="white"/>
        </w:rPr>
        <w:t xml:space="preserve"> – thường được sử </w:t>
      </w:r>
      <w:r w:rsidRPr="004B2260">
        <w:rPr>
          <w:sz w:val="22"/>
          <w:szCs w:val="22"/>
          <w:highlight w:val="white"/>
        </w:rPr>
        <w:t>dụng để ổn định cấu trúc huyền phù của sữa hạt, giúp cải thiện độ nhớt và hạn chế hiện tượng phân lớp</w:t>
      </w:r>
      <w:bookmarkStart w:id="0" w:name="_Hlk202794968"/>
      <w:r w:rsidRPr="0063481C">
        <w:rPr>
          <w:sz w:val="22"/>
          <w:szCs w:val="22"/>
          <w:highlight w:val="white"/>
          <w:vertAlign w:val="superscript"/>
        </w:rPr>
        <w:t>7</w:t>
      </w:r>
      <w:r w:rsidRPr="004B2260">
        <w:rPr>
          <w:sz w:val="22"/>
          <w:szCs w:val="22"/>
          <w:highlight w:val="white"/>
        </w:rPr>
        <w:t>.</w:t>
      </w:r>
    </w:p>
    <w:bookmarkEnd w:id="0"/>
    <w:p w:rsidR="00423F4E" w:rsidRPr="00F33EFC" w:rsidRDefault="00423F4E" w:rsidP="00423F4E">
      <w:pPr>
        <w:spacing w:before="120" w:after="120" w:line="240" w:lineRule="auto"/>
        <w:ind w:firstLine="461"/>
        <w:jc w:val="both"/>
        <w:rPr>
          <w:sz w:val="22"/>
          <w:szCs w:val="22"/>
          <w:highlight w:val="white"/>
        </w:rPr>
      </w:pPr>
      <w:r>
        <w:rPr>
          <w:sz w:val="22"/>
          <w:szCs w:val="22"/>
          <w:highlight w:val="white"/>
        </w:rPr>
        <w:t>Mặc dù các sản phẩm sữa hạt trên thị trường rất đa dạng nhưng loại sữa chỉ kết hợp hai thành phần là gạo rang và mắc ca bản địa thì chưa có. Vì vậy,v</w:t>
      </w:r>
      <w:r w:rsidRPr="00F33EFC">
        <w:rPr>
          <w:sz w:val="22"/>
          <w:szCs w:val="22"/>
          <w:highlight w:val="white"/>
        </w:rPr>
        <w:t>ới nguồn nguyên liệu sẵn có tại địa phương, việc nghiên cứu phát triển sản phẩm sữa hạt từ gạo và mắc ca không chỉ góp phần tạo ra dòng thực phẩm mới giàu giá trị dinh dưỡng, phù hợp thị hiếu tiêu dùng hiện đại, mà còn mang lại giá trị kinh tế cho người dân địa phương. Đây cũng là cơ hội để xây dựng sản phẩm OCOP chế biến sâu, mang đặc trưng vùng miền, góp phần thúc đẩy phát triển kinh tế nông nghiệp theo hướng bền vững.</w:t>
      </w:r>
      <w:r>
        <w:rPr>
          <w:sz w:val="22"/>
          <w:szCs w:val="22"/>
          <w:highlight w:val="white"/>
        </w:rPr>
        <w:t xml:space="preserve"> </w:t>
      </w:r>
      <w:r w:rsidRPr="00F33EFC">
        <w:rPr>
          <w:sz w:val="22"/>
          <w:szCs w:val="22"/>
          <w:highlight w:val="white"/>
        </w:rPr>
        <w:t>Xuất phát từ thực tiễn trên, nghiên cứu này được thực hiện nhằm</w:t>
      </w:r>
      <w:r>
        <w:rPr>
          <w:sz w:val="22"/>
          <w:szCs w:val="22"/>
          <w:highlight w:val="white"/>
        </w:rPr>
        <w:t xml:space="preserve"> khảo sát điều kiện rang gạo, tỷ lệ phối trộn gạo rang, mắc ca và nước cũng như tỷ lệ bổ sung các nguyên liệu phụ như chất tạo ngọt trehalose, phụ gia tạo độ ổn định xanthan gum nhằm</w:t>
      </w:r>
      <w:r w:rsidRPr="00F33EFC">
        <w:rPr>
          <w:sz w:val="22"/>
          <w:szCs w:val="22"/>
          <w:highlight w:val="white"/>
        </w:rPr>
        <w:t xml:space="preserve"> phát triển sản phẩm sữa hạt từ gạo </w:t>
      </w:r>
      <w:r>
        <w:rPr>
          <w:sz w:val="22"/>
          <w:szCs w:val="22"/>
          <w:highlight w:val="white"/>
        </w:rPr>
        <w:t xml:space="preserve">và </w:t>
      </w:r>
      <w:r w:rsidRPr="00F33EFC">
        <w:rPr>
          <w:sz w:val="22"/>
          <w:szCs w:val="22"/>
          <w:highlight w:val="white"/>
        </w:rPr>
        <w:t>mắc ca sử dụng nguồn nguyên liệu tại địa phương Lâm Đồng. Mục tiêu nghiên cứu không chỉ hướng đến tạo ra một sản phẩm sữa thực vật dinh dưỡng, không chứa lactose, mà còn góp phần đa dạng hóa sản phẩm đồ uống, nâng cao giá trị nông sản địa phương và đáp ứng nhu cầu tiêu dùng lành mạnh của người tiêu dùng hiện đại.</w:t>
      </w:r>
    </w:p>
    <w:p w:rsidR="00423F4E" w:rsidRPr="00C91433" w:rsidRDefault="00423F4E" w:rsidP="00423F4E">
      <w:pPr>
        <w:spacing w:before="120" w:after="120" w:line="240" w:lineRule="auto"/>
        <w:rPr>
          <w:b/>
          <w:sz w:val="22"/>
          <w:szCs w:val="22"/>
        </w:rPr>
      </w:pPr>
      <w:r w:rsidRPr="00C91433">
        <w:rPr>
          <w:b/>
          <w:sz w:val="22"/>
          <w:szCs w:val="22"/>
        </w:rPr>
        <w:t xml:space="preserve">PHƯƠNG PHÁP </w:t>
      </w:r>
    </w:p>
    <w:p w:rsidR="00423F4E" w:rsidRPr="00CB6E88" w:rsidRDefault="00423F4E" w:rsidP="00423F4E">
      <w:pPr>
        <w:spacing w:before="120" w:after="120" w:line="240" w:lineRule="auto"/>
        <w:rPr>
          <w:b/>
          <w:bCs/>
          <w:iCs/>
          <w:sz w:val="22"/>
          <w:szCs w:val="22"/>
        </w:rPr>
      </w:pPr>
      <w:r w:rsidRPr="00CB6E88">
        <w:rPr>
          <w:b/>
          <w:bCs/>
          <w:iCs/>
          <w:sz w:val="22"/>
          <w:szCs w:val="22"/>
        </w:rPr>
        <w:t>Xử lý sơ chế nguyên phụ liệu</w:t>
      </w:r>
    </w:p>
    <w:p w:rsidR="00423F4E" w:rsidRDefault="00423F4E" w:rsidP="00423F4E">
      <w:pPr>
        <w:spacing w:before="120" w:after="120" w:line="240" w:lineRule="auto"/>
        <w:jc w:val="both"/>
        <w:rPr>
          <w:sz w:val="22"/>
          <w:szCs w:val="22"/>
        </w:rPr>
      </w:pPr>
      <w:r w:rsidRPr="0025493B">
        <w:rPr>
          <w:sz w:val="22"/>
          <w:szCs w:val="22"/>
          <w:lang w:val="vi-VN"/>
        </w:rPr>
        <w:t>Gạo (</w:t>
      </w:r>
      <w:r w:rsidRPr="0025493B">
        <w:rPr>
          <w:i/>
          <w:iCs/>
          <w:sz w:val="22"/>
          <w:szCs w:val="22"/>
        </w:rPr>
        <w:t xml:space="preserve">Oryza </w:t>
      </w:r>
      <w:r w:rsidRPr="0025493B">
        <w:rPr>
          <w:i/>
          <w:iCs/>
          <w:sz w:val="22"/>
          <w:szCs w:val="22"/>
          <w:lang w:val="vi-VN"/>
        </w:rPr>
        <w:t>sativa)</w:t>
      </w:r>
      <w:r w:rsidRPr="0025493B">
        <w:rPr>
          <w:sz w:val="22"/>
          <w:szCs w:val="22"/>
        </w:rPr>
        <w:t> </w:t>
      </w:r>
      <w:r w:rsidRPr="0025493B">
        <w:rPr>
          <w:sz w:val="22"/>
          <w:szCs w:val="22"/>
          <w:lang w:val="vi-VN"/>
        </w:rPr>
        <w:t xml:space="preserve">thuộc giống OM4900 </w:t>
      </w:r>
      <w:r>
        <w:rPr>
          <w:sz w:val="22"/>
          <w:szCs w:val="22"/>
        </w:rPr>
        <w:t>và h</w:t>
      </w:r>
      <w:r w:rsidRPr="0025493B">
        <w:rPr>
          <w:sz w:val="22"/>
          <w:szCs w:val="22"/>
          <w:lang w:val="vi-VN"/>
        </w:rPr>
        <w:t xml:space="preserve">ạt mắc ca </w:t>
      </w:r>
      <w:r w:rsidRPr="0025493B">
        <w:rPr>
          <w:i/>
          <w:sz w:val="22"/>
          <w:szCs w:val="22"/>
        </w:rPr>
        <w:t>(</w:t>
      </w:r>
      <w:r w:rsidRPr="0025493B">
        <w:rPr>
          <w:i/>
          <w:sz w:val="22"/>
          <w:szCs w:val="22"/>
          <w:lang w:val="vi-VN"/>
        </w:rPr>
        <w:t>Macadamia integrifolia</w:t>
      </w:r>
      <w:r>
        <w:rPr>
          <w:i/>
          <w:sz w:val="22"/>
          <w:szCs w:val="22"/>
        </w:rPr>
        <w:t xml:space="preserve"> </w:t>
      </w:r>
      <w:r w:rsidRPr="0025493B">
        <w:rPr>
          <w:i/>
          <w:sz w:val="22"/>
          <w:szCs w:val="22"/>
        </w:rPr>
        <w:t>)</w:t>
      </w:r>
      <w:r w:rsidRPr="0025493B">
        <w:rPr>
          <w:sz w:val="22"/>
          <w:szCs w:val="22"/>
          <w:lang w:val="vi-VN"/>
        </w:rPr>
        <w:t>được</w:t>
      </w:r>
      <w:r>
        <w:rPr>
          <w:sz w:val="22"/>
          <w:szCs w:val="22"/>
        </w:rPr>
        <w:t xml:space="preserve"> trồng và</w:t>
      </w:r>
      <w:r w:rsidRPr="0025493B">
        <w:rPr>
          <w:sz w:val="22"/>
          <w:szCs w:val="22"/>
          <w:lang w:val="vi-VN"/>
        </w:rPr>
        <w:t xml:space="preserve"> thu </w:t>
      </w:r>
      <w:r>
        <w:rPr>
          <w:sz w:val="22"/>
          <w:szCs w:val="22"/>
        </w:rPr>
        <w:t>mua</w:t>
      </w:r>
      <w:r w:rsidRPr="0025493B">
        <w:rPr>
          <w:sz w:val="22"/>
          <w:szCs w:val="22"/>
          <w:lang w:val="vi-VN"/>
        </w:rPr>
        <w:t xml:space="preserve"> tại Di Linh</w:t>
      </w:r>
      <w:r>
        <w:rPr>
          <w:sz w:val="22"/>
          <w:szCs w:val="22"/>
        </w:rPr>
        <w:t>, tỉnh Lâm Đồng.</w:t>
      </w:r>
    </w:p>
    <w:p w:rsidR="00423F4E" w:rsidRDefault="00423F4E" w:rsidP="00423F4E">
      <w:pPr>
        <w:spacing w:before="120" w:after="120" w:line="240" w:lineRule="auto"/>
        <w:jc w:val="both"/>
        <w:rPr>
          <w:sz w:val="22"/>
          <w:szCs w:val="22"/>
        </w:rPr>
      </w:pPr>
      <w:r>
        <w:rPr>
          <w:sz w:val="22"/>
          <w:szCs w:val="22"/>
        </w:rPr>
        <w:t>G</w:t>
      </w:r>
      <w:r w:rsidRPr="0025493B">
        <w:rPr>
          <w:sz w:val="22"/>
          <w:szCs w:val="22"/>
          <w:lang w:val="vi-VN"/>
        </w:rPr>
        <w:t xml:space="preserve">iống </w:t>
      </w:r>
      <w:r>
        <w:rPr>
          <w:sz w:val="22"/>
          <w:szCs w:val="22"/>
        </w:rPr>
        <w:t xml:space="preserve">gạo </w:t>
      </w:r>
      <w:r w:rsidRPr="0025493B">
        <w:rPr>
          <w:sz w:val="22"/>
          <w:szCs w:val="22"/>
          <w:lang w:val="vi-VN"/>
        </w:rPr>
        <w:t xml:space="preserve">OM4900 </w:t>
      </w:r>
      <w:r>
        <w:rPr>
          <w:sz w:val="22"/>
          <w:szCs w:val="22"/>
        </w:rPr>
        <w:t xml:space="preserve">(huyện Đạ Huoai – Lâm Đồng) </w:t>
      </w:r>
      <w:r w:rsidRPr="0025493B">
        <w:rPr>
          <w:sz w:val="22"/>
          <w:szCs w:val="22"/>
          <w:lang w:val="vi-VN"/>
        </w:rPr>
        <w:t xml:space="preserve">với đặc tính đặc tính hạt dài, trong, màu trắng sữa. Gạo sẽ được rang bằng </w:t>
      </w:r>
      <w:r>
        <w:rPr>
          <w:sz w:val="22"/>
          <w:szCs w:val="22"/>
        </w:rPr>
        <w:t>máy rang lồng quay ở nhiệt độ</w:t>
      </w:r>
      <w:r w:rsidRPr="0025493B">
        <w:rPr>
          <w:sz w:val="22"/>
          <w:szCs w:val="22"/>
          <w:lang w:val="vi-VN"/>
        </w:rPr>
        <w:t xml:space="preserve"> 150</w:t>
      </w:r>
      <w:r w:rsidRPr="0025493B">
        <w:rPr>
          <w:sz w:val="22"/>
          <w:szCs w:val="22"/>
          <w:vertAlign w:val="superscript"/>
          <w:lang w:val="vi-VN"/>
        </w:rPr>
        <w:t>o</w:t>
      </w:r>
      <w:r w:rsidRPr="0025493B">
        <w:rPr>
          <w:sz w:val="22"/>
          <w:szCs w:val="22"/>
          <w:lang w:val="vi-VN"/>
        </w:rPr>
        <w:t xml:space="preserve">C trong các khoảng thời gian ở các nghiệm thức </w:t>
      </w:r>
      <w:r>
        <w:rPr>
          <w:sz w:val="22"/>
          <w:szCs w:val="22"/>
        </w:rPr>
        <w:t>khảo sát</w:t>
      </w:r>
      <w:r w:rsidRPr="0025493B">
        <w:rPr>
          <w:sz w:val="22"/>
          <w:szCs w:val="22"/>
          <w:lang w:val="vi-VN"/>
        </w:rPr>
        <w:t>.</w:t>
      </w:r>
    </w:p>
    <w:p w:rsidR="00423F4E" w:rsidRPr="00B06B10" w:rsidRDefault="00423F4E" w:rsidP="00423F4E">
      <w:pPr>
        <w:spacing w:before="120" w:after="120" w:line="240" w:lineRule="auto"/>
        <w:jc w:val="both"/>
        <w:rPr>
          <w:sz w:val="22"/>
          <w:szCs w:val="22"/>
        </w:rPr>
      </w:pPr>
      <w:r w:rsidRPr="0025493B">
        <w:rPr>
          <w:sz w:val="22"/>
          <w:szCs w:val="22"/>
          <w:lang w:val="vi-VN"/>
        </w:rPr>
        <w:t>Gạo rang và nhân hạt mắc ca</w:t>
      </w:r>
      <w:r>
        <w:rPr>
          <w:sz w:val="22"/>
          <w:szCs w:val="22"/>
        </w:rPr>
        <w:t xml:space="preserve"> </w:t>
      </w:r>
      <w:r w:rsidRPr="0025493B">
        <w:rPr>
          <w:sz w:val="22"/>
          <w:szCs w:val="22"/>
          <w:lang w:val="vi-VN"/>
        </w:rPr>
        <w:t xml:space="preserve">được được xay nhuyễn bằng máy </w:t>
      </w:r>
      <w:r>
        <w:rPr>
          <w:sz w:val="22"/>
          <w:szCs w:val="22"/>
        </w:rPr>
        <w:t>nghiền mẫu Wonder Blender WB-1 (Nhật Bản)</w:t>
      </w:r>
      <w:r w:rsidRPr="0025493B">
        <w:rPr>
          <w:sz w:val="22"/>
          <w:szCs w:val="22"/>
          <w:lang w:val="vi-VN"/>
        </w:rPr>
        <w:t xml:space="preserve">. Sau đó, bột gạo rang và mắc ca sẽ được </w:t>
      </w:r>
      <w:r>
        <w:rPr>
          <w:sz w:val="22"/>
          <w:szCs w:val="22"/>
        </w:rPr>
        <w:t>phối trộn theo tỉ lệ ở các nghiệm thức khác nhau.</w:t>
      </w:r>
      <w:r w:rsidRPr="0025493B">
        <w:rPr>
          <w:sz w:val="22"/>
          <w:szCs w:val="22"/>
          <w:lang w:val="vi-VN"/>
        </w:rPr>
        <w:t xml:space="preserve"> Tiếp </w:t>
      </w:r>
      <w:r>
        <w:rPr>
          <w:sz w:val="22"/>
          <w:szCs w:val="22"/>
        </w:rPr>
        <w:t>theo,</w:t>
      </w:r>
      <w:r w:rsidRPr="0025493B">
        <w:rPr>
          <w:sz w:val="22"/>
          <w:szCs w:val="22"/>
          <w:lang w:val="vi-VN"/>
        </w:rPr>
        <w:t xml:space="preserve"> hỗn hợp sẽ được gia nhiệt ở 90</w:t>
      </w:r>
      <w:r w:rsidRPr="0025493B">
        <w:rPr>
          <w:sz w:val="22"/>
          <w:szCs w:val="22"/>
          <w:vertAlign w:val="superscript"/>
          <w:lang w:val="vi-VN"/>
        </w:rPr>
        <w:t>o</w:t>
      </w:r>
      <w:r w:rsidRPr="0025493B">
        <w:rPr>
          <w:sz w:val="22"/>
          <w:szCs w:val="22"/>
          <w:lang w:val="vi-VN"/>
        </w:rPr>
        <w:t xml:space="preserve">C trong vòng 15 phút </w:t>
      </w:r>
      <w:r>
        <w:rPr>
          <w:sz w:val="22"/>
          <w:szCs w:val="22"/>
        </w:rPr>
        <w:t>trước khi dịch sữa được lọc thô.</w:t>
      </w:r>
    </w:p>
    <w:p w:rsidR="00423F4E" w:rsidRPr="00BB18F2" w:rsidRDefault="00423F4E" w:rsidP="00423F4E">
      <w:pPr>
        <w:spacing w:before="120" w:after="120" w:line="240" w:lineRule="auto"/>
        <w:jc w:val="both"/>
        <w:rPr>
          <w:sz w:val="22"/>
          <w:szCs w:val="22"/>
        </w:rPr>
      </w:pPr>
      <w:r w:rsidRPr="0025493B">
        <w:rPr>
          <w:sz w:val="22"/>
          <w:szCs w:val="22"/>
          <w:lang w:val="vi-VN"/>
        </w:rPr>
        <w:lastRenderedPageBreak/>
        <w:t xml:space="preserve">Đường </w:t>
      </w:r>
      <w:r>
        <w:rPr>
          <w:sz w:val="22"/>
          <w:szCs w:val="22"/>
        </w:rPr>
        <w:t>Trehalose</w:t>
      </w:r>
      <w:r w:rsidRPr="0025493B">
        <w:rPr>
          <w:sz w:val="22"/>
          <w:szCs w:val="22"/>
          <w:lang w:val="vi-VN"/>
        </w:rPr>
        <w:t xml:space="preserve"> sẽ được nấu thành dạng syrup với tỷ đường </w:t>
      </w:r>
      <w:r>
        <w:rPr>
          <w:sz w:val="22"/>
          <w:szCs w:val="22"/>
          <w:lang w:val="vi-VN"/>
        </w:rPr>
        <w:t>Trehalose</w:t>
      </w:r>
      <w:r w:rsidRPr="0025493B">
        <w:rPr>
          <w:sz w:val="22"/>
          <w:szCs w:val="22"/>
          <w:lang w:val="vi-VN"/>
        </w:rPr>
        <w:t xml:space="preserve"> và nước là 1:1,5</w:t>
      </w:r>
      <w:r>
        <w:rPr>
          <w:sz w:val="22"/>
          <w:szCs w:val="22"/>
        </w:rPr>
        <w:t>.</w:t>
      </w:r>
      <w:r w:rsidRPr="0025493B">
        <w:rPr>
          <w:sz w:val="22"/>
          <w:szCs w:val="22"/>
          <w:lang w:val="vi-VN"/>
        </w:rPr>
        <w:t xml:space="preserve"> </w:t>
      </w:r>
      <w:r>
        <w:rPr>
          <w:sz w:val="22"/>
          <w:szCs w:val="22"/>
        </w:rPr>
        <w:t>T</w:t>
      </w:r>
      <w:r w:rsidRPr="0025493B">
        <w:rPr>
          <w:sz w:val="22"/>
          <w:szCs w:val="22"/>
          <w:lang w:val="vi-VN"/>
        </w:rPr>
        <w:t xml:space="preserve">iến hành gia nhiệt cho đến khi đường tan hết và tạo thành dịch syrup đường có </w:t>
      </w:r>
      <w:r w:rsidRPr="0025493B">
        <w:rPr>
          <w:sz w:val="22"/>
          <w:szCs w:val="22"/>
          <w:vertAlign w:val="superscript"/>
          <w:lang w:val="vi-VN"/>
        </w:rPr>
        <w:t>o</w:t>
      </w:r>
      <w:r w:rsidRPr="0025493B">
        <w:rPr>
          <w:sz w:val="22"/>
          <w:szCs w:val="22"/>
          <w:lang w:val="vi-VN"/>
        </w:rPr>
        <w:t>Brix bằng 50</w:t>
      </w:r>
      <w:r>
        <w:rPr>
          <w:sz w:val="22"/>
          <w:szCs w:val="22"/>
        </w:rPr>
        <w:t>.</w:t>
      </w:r>
      <w:r w:rsidRPr="0025493B">
        <w:rPr>
          <w:sz w:val="22"/>
          <w:szCs w:val="22"/>
          <w:lang w:val="vi-VN"/>
        </w:rPr>
        <w:t xml:space="preserve"> </w:t>
      </w:r>
      <w:r>
        <w:rPr>
          <w:sz w:val="22"/>
          <w:szCs w:val="22"/>
        </w:rPr>
        <w:t>S</w:t>
      </w:r>
      <w:r w:rsidRPr="0025493B">
        <w:rPr>
          <w:sz w:val="22"/>
          <w:szCs w:val="22"/>
          <w:lang w:val="vi-VN"/>
        </w:rPr>
        <w:t xml:space="preserve">au đó sẽ bổ sung vào sữa hạt theo tỷ lệ </w:t>
      </w:r>
      <w:r>
        <w:rPr>
          <w:sz w:val="22"/>
          <w:szCs w:val="22"/>
        </w:rPr>
        <w:t>khác nhau gồm 0; 10; 15; 20 và 25%.</w:t>
      </w:r>
    </w:p>
    <w:p w:rsidR="00423F4E" w:rsidRPr="00F25CEC" w:rsidRDefault="00423F4E" w:rsidP="00423F4E">
      <w:pPr>
        <w:spacing w:before="120" w:after="120" w:line="240" w:lineRule="auto"/>
        <w:jc w:val="both"/>
        <w:rPr>
          <w:sz w:val="22"/>
          <w:szCs w:val="22"/>
        </w:rPr>
      </w:pPr>
      <w:r>
        <w:rPr>
          <w:sz w:val="22"/>
          <w:szCs w:val="22"/>
        </w:rPr>
        <w:t>Sữa hạt được</w:t>
      </w:r>
      <w:r w:rsidRPr="0025493B">
        <w:rPr>
          <w:sz w:val="22"/>
          <w:szCs w:val="22"/>
          <w:lang w:val="vi-VN"/>
        </w:rPr>
        <w:t xml:space="preserve"> tiến hành đồng nh</w:t>
      </w:r>
      <w:r>
        <w:rPr>
          <w:sz w:val="22"/>
          <w:szCs w:val="22"/>
        </w:rPr>
        <w:t>ất</w:t>
      </w:r>
      <w:r w:rsidRPr="0025493B">
        <w:rPr>
          <w:sz w:val="22"/>
          <w:szCs w:val="22"/>
          <w:lang w:val="vi-VN"/>
        </w:rPr>
        <w:t xml:space="preserve"> bằng máy đồng hoá IKA</w:t>
      </w:r>
      <w:r>
        <w:rPr>
          <w:sz w:val="22"/>
          <w:szCs w:val="22"/>
        </w:rPr>
        <w:t>-</w:t>
      </w:r>
      <w:r w:rsidRPr="0025493B">
        <w:rPr>
          <w:sz w:val="22"/>
          <w:szCs w:val="22"/>
          <w:lang w:val="vi-VN"/>
        </w:rPr>
        <w:t>T</w:t>
      </w:r>
      <w:r>
        <w:rPr>
          <w:sz w:val="22"/>
          <w:szCs w:val="22"/>
        </w:rPr>
        <w:t>-</w:t>
      </w:r>
      <w:r w:rsidRPr="0025493B">
        <w:rPr>
          <w:sz w:val="22"/>
          <w:szCs w:val="22"/>
          <w:lang w:val="vi-VN"/>
        </w:rPr>
        <w:t xml:space="preserve">25 </w:t>
      </w:r>
      <w:r>
        <w:rPr>
          <w:sz w:val="22"/>
          <w:szCs w:val="22"/>
        </w:rPr>
        <w:t>D</w:t>
      </w:r>
      <w:r w:rsidRPr="0025493B">
        <w:rPr>
          <w:sz w:val="22"/>
          <w:szCs w:val="22"/>
          <w:lang w:val="vi-VN"/>
        </w:rPr>
        <w:t>igital ULTRA-TURRAX®</w:t>
      </w:r>
      <w:r>
        <w:rPr>
          <w:sz w:val="22"/>
          <w:szCs w:val="22"/>
        </w:rPr>
        <w:t>,</w:t>
      </w:r>
      <w:r w:rsidRPr="0025493B">
        <w:rPr>
          <w:sz w:val="22"/>
          <w:szCs w:val="22"/>
          <w:lang w:val="vi-VN"/>
        </w:rPr>
        <w:t xml:space="preserve"> Đức</w:t>
      </w:r>
      <w:r>
        <w:rPr>
          <w:sz w:val="22"/>
          <w:szCs w:val="22"/>
        </w:rPr>
        <w:t>;</w:t>
      </w:r>
      <w:r w:rsidRPr="0025493B">
        <w:rPr>
          <w:sz w:val="22"/>
          <w:szCs w:val="22"/>
          <w:lang w:val="vi-VN"/>
        </w:rPr>
        <w:t xml:space="preserve"> với tốc độ 10</w:t>
      </w:r>
      <w:r>
        <w:rPr>
          <w:sz w:val="22"/>
          <w:szCs w:val="22"/>
        </w:rPr>
        <w:t>,</w:t>
      </w:r>
      <w:r w:rsidRPr="0025493B">
        <w:rPr>
          <w:sz w:val="22"/>
          <w:szCs w:val="22"/>
          <w:lang w:val="vi-VN"/>
        </w:rPr>
        <w:t>000 vòng/phút và thời gian đồng hóa là 5 phút</w:t>
      </w:r>
      <w:r>
        <w:rPr>
          <w:sz w:val="22"/>
          <w:szCs w:val="22"/>
        </w:rPr>
        <w:t xml:space="preserve"> trước khi bổ sung xanthan gum </w:t>
      </w:r>
      <w:r w:rsidRPr="0025493B">
        <w:rPr>
          <w:sz w:val="22"/>
          <w:szCs w:val="22"/>
          <w:lang w:val="vi-VN"/>
        </w:rPr>
        <w:t xml:space="preserve">(E415). </w:t>
      </w:r>
      <w:r>
        <w:rPr>
          <w:sz w:val="22"/>
          <w:szCs w:val="22"/>
        </w:rPr>
        <w:t>X</w:t>
      </w:r>
      <w:r w:rsidRPr="0025493B">
        <w:rPr>
          <w:sz w:val="22"/>
          <w:szCs w:val="22"/>
          <w:lang w:val="vi-VN"/>
        </w:rPr>
        <w:t xml:space="preserve">anthan gum </w:t>
      </w:r>
      <w:r>
        <w:rPr>
          <w:sz w:val="22"/>
          <w:szCs w:val="22"/>
        </w:rPr>
        <w:t xml:space="preserve">được khảo sát ở các mức 0; 0,01; 0,02; 0,03 và 0,04%. Mỗi nghiệm thức xanthan gum được xử lý với nước ấm (50-55 </w:t>
      </w:r>
      <w:r w:rsidRPr="00DC55A9">
        <w:rPr>
          <w:sz w:val="22"/>
          <w:szCs w:val="22"/>
          <w:vertAlign w:val="superscript"/>
        </w:rPr>
        <w:t>o</w:t>
      </w:r>
      <w:r>
        <w:rPr>
          <w:sz w:val="22"/>
          <w:szCs w:val="22"/>
        </w:rPr>
        <w:t>C) lượng nước vừa đủ xantha gum hút ẩm trước khi</w:t>
      </w:r>
      <w:r w:rsidRPr="0025493B">
        <w:rPr>
          <w:sz w:val="22"/>
          <w:szCs w:val="22"/>
          <w:lang w:val="vi-VN"/>
        </w:rPr>
        <w:t xml:space="preserve"> bổ sung vào sữa hạt</w:t>
      </w:r>
      <w:r>
        <w:rPr>
          <w:sz w:val="22"/>
          <w:szCs w:val="22"/>
        </w:rPr>
        <w:t>.</w:t>
      </w:r>
    </w:p>
    <w:p w:rsidR="00423F4E" w:rsidRPr="00CB6E88" w:rsidRDefault="00423F4E" w:rsidP="00423F4E">
      <w:pPr>
        <w:tabs>
          <w:tab w:val="left" w:pos="3814"/>
        </w:tabs>
        <w:spacing w:before="120" w:after="120" w:line="240" w:lineRule="auto"/>
        <w:rPr>
          <w:b/>
          <w:bCs/>
          <w:iCs/>
          <w:sz w:val="22"/>
          <w:szCs w:val="22"/>
        </w:rPr>
      </w:pPr>
      <w:r w:rsidRPr="00CB6E88">
        <w:rPr>
          <w:b/>
          <w:bCs/>
          <w:iCs/>
          <w:sz w:val="22"/>
          <w:szCs w:val="22"/>
        </w:rPr>
        <w:t>Phương pháp phân tích</w:t>
      </w:r>
      <w:r w:rsidRPr="00CB6E88">
        <w:rPr>
          <w:b/>
          <w:bCs/>
          <w:iCs/>
          <w:sz w:val="22"/>
          <w:szCs w:val="22"/>
        </w:rPr>
        <w:tab/>
      </w:r>
    </w:p>
    <w:p w:rsidR="00423F4E" w:rsidRPr="001A73AF" w:rsidRDefault="00423F4E" w:rsidP="00423F4E">
      <w:pPr>
        <w:spacing w:before="120" w:after="120" w:line="240" w:lineRule="auto"/>
        <w:jc w:val="both"/>
        <w:rPr>
          <w:iCs/>
          <w:sz w:val="22"/>
          <w:szCs w:val="22"/>
        </w:rPr>
      </w:pPr>
      <w:r w:rsidRPr="00C91433">
        <w:rPr>
          <w:sz w:val="22"/>
          <w:szCs w:val="22"/>
          <w:highlight w:val="white"/>
          <w:u w:color="FF0000"/>
        </w:rPr>
        <w:t>Xác</w:t>
      </w:r>
      <w:r w:rsidRPr="00C91433">
        <w:rPr>
          <w:sz w:val="22"/>
          <w:szCs w:val="22"/>
          <w:highlight w:val="white"/>
          <w:u w:color="FF0000"/>
          <w:lang w:val="vi-VN"/>
        </w:rPr>
        <w:t xml:space="preserve"> định </w:t>
      </w:r>
      <w:r>
        <w:rPr>
          <w:sz w:val="22"/>
          <w:szCs w:val="22"/>
          <w:highlight w:val="white"/>
          <w:u w:color="FF0000"/>
        </w:rPr>
        <w:t>màu sắc</w:t>
      </w:r>
      <w:r w:rsidRPr="00C91433">
        <w:rPr>
          <w:sz w:val="22"/>
          <w:szCs w:val="22"/>
          <w:highlight w:val="white"/>
        </w:rPr>
        <w:t xml:space="preserve"> </w:t>
      </w:r>
      <w:r w:rsidRPr="0025493B">
        <w:rPr>
          <w:bCs/>
          <w:sz w:val="22"/>
          <w:szCs w:val="22"/>
        </w:rPr>
        <w:t>của</w:t>
      </w:r>
      <w:r w:rsidRPr="0025493B">
        <w:rPr>
          <w:bCs/>
          <w:sz w:val="22"/>
          <w:szCs w:val="22"/>
          <w:lang w:val="vi-VN"/>
        </w:rPr>
        <w:t xml:space="preserve"> gạo rang </w:t>
      </w:r>
      <w:r w:rsidRPr="0025493B">
        <w:rPr>
          <w:bCs/>
          <w:sz w:val="22"/>
          <w:szCs w:val="22"/>
        </w:rPr>
        <w:t xml:space="preserve">sẽ được đo bằng máy sắc kế CR-400, Konica Minolta, Nhật Bản. </w:t>
      </w:r>
      <w:r>
        <w:rPr>
          <w:bCs/>
          <w:sz w:val="22"/>
          <w:szCs w:val="22"/>
        </w:rPr>
        <w:t>Ghi nhận c</w:t>
      </w:r>
      <w:r w:rsidRPr="0025493B">
        <w:rPr>
          <w:bCs/>
          <w:sz w:val="22"/>
          <w:szCs w:val="22"/>
        </w:rPr>
        <w:t xml:space="preserve">ác trị số L*, a* và b* </w:t>
      </w:r>
      <w:r>
        <w:rPr>
          <w:bCs/>
          <w:sz w:val="22"/>
          <w:szCs w:val="22"/>
        </w:rPr>
        <w:t>và tính c</w:t>
      </w:r>
      <w:r w:rsidRPr="0025493B">
        <w:rPr>
          <w:bCs/>
          <w:sz w:val="22"/>
          <w:szCs w:val="22"/>
        </w:rPr>
        <w:t xml:space="preserve">hỉ số nâu hóa (BI) theo phương trình </w:t>
      </w:r>
      <w:r w:rsidRPr="0025493B">
        <w:rPr>
          <w:bCs/>
          <w:sz w:val="22"/>
          <w:szCs w:val="22"/>
          <w:lang w:val="vi-VN"/>
        </w:rPr>
        <w:t>sau</w:t>
      </w:r>
      <w:r w:rsidRPr="0063481C">
        <w:rPr>
          <w:iCs/>
          <w:sz w:val="22"/>
          <w:szCs w:val="22"/>
          <w:vertAlign w:val="superscript"/>
        </w:rPr>
        <w:t>8</w:t>
      </w:r>
      <w:r>
        <w:rPr>
          <w:iCs/>
          <w:sz w:val="22"/>
          <w:szCs w:val="22"/>
        </w:rPr>
        <w:t>:</w:t>
      </w:r>
    </w:p>
    <w:p w:rsidR="00423F4E" w:rsidRPr="00E971F4" w:rsidRDefault="00423F4E" w:rsidP="00423F4E">
      <w:pPr>
        <w:spacing w:before="120" w:after="120" w:line="240" w:lineRule="auto"/>
        <w:ind w:firstLine="461"/>
        <w:jc w:val="both"/>
        <w:rPr>
          <w:sz w:val="22"/>
          <w:szCs w:val="22"/>
          <w:lang w:val="vi-VN"/>
        </w:rPr>
      </w:pPr>
      <m:oMathPara>
        <m:oMath>
          <m:r>
            <w:rPr>
              <w:rFonts w:ascii="Cambria Math" w:hAnsi="Cambria Math"/>
              <w:sz w:val="22"/>
              <w:szCs w:val="22"/>
              <w:lang w:val="vi-VN"/>
            </w:rPr>
            <m:t>BI</m:t>
          </m:r>
          <m:r>
            <m:rPr>
              <m:sty m:val="p"/>
            </m:rPr>
            <w:rPr>
              <w:rFonts w:ascii="Cambria Math" w:hAnsi="Cambria Math"/>
              <w:sz w:val="22"/>
              <w:szCs w:val="22"/>
              <w:lang w:val="vi-VN"/>
            </w:rPr>
            <m:t>=</m:t>
          </m:r>
          <m:f>
            <m:fPr>
              <m:ctrlPr>
                <w:rPr>
                  <w:rFonts w:ascii="Cambria Math" w:hAnsi="Cambria Math"/>
                  <w:bCs/>
                  <w:sz w:val="22"/>
                  <w:szCs w:val="22"/>
                  <w:lang w:val="vi-VN"/>
                </w:rPr>
              </m:ctrlPr>
            </m:fPr>
            <m:num>
              <m:r>
                <m:rPr>
                  <m:sty m:val="p"/>
                </m:rPr>
                <w:rPr>
                  <w:rFonts w:ascii="Cambria Math" w:hAnsi="Cambria Math"/>
                  <w:sz w:val="22"/>
                  <w:szCs w:val="22"/>
                  <w:lang w:val="vi-VN"/>
                </w:rPr>
                <m:t>100(x-0.31)</m:t>
              </m:r>
            </m:num>
            <m:den>
              <m:r>
                <m:rPr>
                  <m:sty m:val="p"/>
                </m:rPr>
                <w:rPr>
                  <w:rFonts w:ascii="Cambria Math" w:hAnsi="Cambria Math"/>
                  <w:sz w:val="22"/>
                  <w:szCs w:val="22"/>
                  <w:lang w:val="vi-VN"/>
                </w:rPr>
                <m:t>0.172</m:t>
              </m:r>
            </m:den>
          </m:f>
          <m:r>
            <w:rPr>
              <w:rFonts w:ascii="Cambria Math" w:hAnsi="Cambria Math"/>
              <w:sz w:val="22"/>
              <w:szCs w:val="22"/>
              <w:lang w:val="vi-VN"/>
            </w:rPr>
            <m:t xml:space="preserve"> </m:t>
          </m:r>
          <m:r>
            <w:rPr>
              <w:rFonts w:ascii="Cambria Math" w:hAnsi="Cambria Math"/>
              <w:sz w:val="22"/>
              <w:szCs w:val="22"/>
            </w:rPr>
            <m:t>trong đó</m:t>
          </m:r>
          <m:r>
            <w:rPr>
              <w:rFonts w:ascii="Cambria Math" w:hAnsi="Cambria Math"/>
              <w:sz w:val="22"/>
              <w:szCs w:val="22"/>
              <w:lang w:val="vi-VN"/>
            </w:rPr>
            <m:t xml:space="preserve">  x</m:t>
          </m:r>
          <m:r>
            <m:rPr>
              <m:sty m:val="p"/>
            </m:rPr>
            <w:rPr>
              <w:rFonts w:ascii="Cambria Math" w:hAnsi="Cambria Math"/>
              <w:sz w:val="22"/>
              <w:szCs w:val="22"/>
              <w:lang w:val="vi-VN"/>
            </w:rPr>
            <m:t>=</m:t>
          </m:r>
          <m:f>
            <m:fPr>
              <m:ctrlPr>
                <w:rPr>
                  <w:rFonts w:ascii="Cambria Math" w:hAnsi="Cambria Math"/>
                  <w:bCs/>
                  <w:sz w:val="22"/>
                  <w:szCs w:val="22"/>
                  <w:lang w:val="vi-VN"/>
                </w:rPr>
              </m:ctrlPr>
            </m:fPr>
            <m:num>
              <m:r>
                <m:rPr>
                  <m:sty m:val="p"/>
                </m:rPr>
                <w:rPr>
                  <w:rFonts w:ascii="Cambria Math" w:hAnsi="Cambria Math"/>
                  <w:sz w:val="22"/>
                  <w:szCs w:val="22"/>
                  <w:lang w:val="vi-VN"/>
                </w:rPr>
                <m:t>a+1.75L</m:t>
              </m:r>
            </m:num>
            <m:den>
              <m:r>
                <m:rPr>
                  <m:sty m:val="p"/>
                </m:rPr>
                <w:rPr>
                  <w:rFonts w:ascii="Cambria Math" w:hAnsi="Cambria Math"/>
                  <w:sz w:val="22"/>
                  <w:szCs w:val="22"/>
                  <w:lang w:val="vi-VN"/>
                </w:rPr>
                <m:t>5.645L+a-3.012b</m:t>
              </m:r>
            </m:den>
          </m:f>
        </m:oMath>
      </m:oMathPara>
    </w:p>
    <w:p w:rsidR="00423F4E" w:rsidRPr="005916A9" w:rsidRDefault="00423F4E" w:rsidP="00423F4E">
      <w:pPr>
        <w:tabs>
          <w:tab w:val="left" w:pos="1758"/>
        </w:tabs>
        <w:spacing w:before="120" w:after="120" w:line="240" w:lineRule="auto"/>
        <w:jc w:val="both"/>
        <w:rPr>
          <w:b/>
          <w:bCs/>
          <w:i/>
          <w:sz w:val="22"/>
          <w:szCs w:val="22"/>
          <w:lang w:val="vi-VN"/>
        </w:rPr>
      </w:pPr>
      <w:r w:rsidRPr="0025493B">
        <w:rPr>
          <w:bCs/>
          <w:sz w:val="22"/>
          <w:szCs w:val="22"/>
          <w:lang w:val="vi-VN"/>
        </w:rPr>
        <w:t xml:space="preserve">Xác định độ nhớt bằng cách sử dụng máy phân tích lưu biến DVNXLV (Amatek Brookfield, USA) với spindle LV-1 và LV-2 ở tốc độ </w:t>
      </w:r>
      <w:r>
        <w:rPr>
          <w:bCs/>
          <w:sz w:val="22"/>
          <w:szCs w:val="22"/>
        </w:rPr>
        <w:t xml:space="preserve">đo </w:t>
      </w:r>
      <w:r w:rsidRPr="0025493B">
        <w:rPr>
          <w:bCs/>
          <w:sz w:val="22"/>
          <w:szCs w:val="22"/>
          <w:lang w:val="vi-VN"/>
        </w:rPr>
        <w:t xml:space="preserve">60 rpm trong 40 giây. Độ nhớt của sữa được thể hiện bằng đơn vị </w:t>
      </w:r>
      <w:r>
        <w:rPr>
          <w:bCs/>
          <w:sz w:val="22"/>
          <w:szCs w:val="22"/>
        </w:rPr>
        <w:t>(</w:t>
      </w:r>
      <w:r w:rsidRPr="0025493B">
        <w:rPr>
          <w:bCs/>
          <w:sz w:val="22"/>
          <w:szCs w:val="22"/>
          <w:lang w:val="vi-VN"/>
        </w:rPr>
        <w:t>cP</w:t>
      </w:r>
      <w:r>
        <w:rPr>
          <w:bCs/>
          <w:sz w:val="22"/>
          <w:szCs w:val="22"/>
        </w:rPr>
        <w:t>)</w:t>
      </w:r>
      <w:r w:rsidRPr="0025493B">
        <w:rPr>
          <w:bCs/>
          <w:sz w:val="22"/>
          <w:szCs w:val="22"/>
          <w:lang w:val="vi-VN"/>
        </w:rPr>
        <w:t>.</w:t>
      </w:r>
    </w:p>
    <w:p w:rsidR="00423F4E" w:rsidRPr="005916A9" w:rsidRDefault="00423F4E" w:rsidP="00423F4E">
      <w:pPr>
        <w:tabs>
          <w:tab w:val="left" w:pos="1758"/>
        </w:tabs>
        <w:spacing w:before="120" w:after="120" w:line="240" w:lineRule="auto"/>
        <w:jc w:val="both"/>
        <w:rPr>
          <w:bCs/>
          <w:iCs/>
          <w:sz w:val="22"/>
          <w:szCs w:val="22"/>
          <w:lang w:val="vi-VN"/>
        </w:rPr>
      </w:pPr>
      <w:r w:rsidRPr="005916A9">
        <w:rPr>
          <w:bCs/>
          <w:iCs/>
          <w:sz w:val="22"/>
          <w:szCs w:val="22"/>
          <w:lang w:val="vi-VN"/>
        </w:rPr>
        <w:t>Xác định nồng độ chất khô hòa tan (</w:t>
      </w:r>
      <w:r w:rsidRPr="005916A9">
        <w:rPr>
          <w:bCs/>
          <w:iCs/>
          <w:sz w:val="22"/>
          <w:szCs w:val="22"/>
          <w:vertAlign w:val="superscript"/>
          <w:lang w:val="vi-VN"/>
        </w:rPr>
        <w:t>o</w:t>
      </w:r>
      <w:r w:rsidRPr="005916A9">
        <w:rPr>
          <w:bCs/>
          <w:iCs/>
          <w:sz w:val="22"/>
          <w:szCs w:val="22"/>
          <w:lang w:val="vi-VN"/>
        </w:rPr>
        <w:t>Brix)</w:t>
      </w:r>
      <w:r w:rsidRPr="0025493B">
        <w:rPr>
          <w:sz w:val="22"/>
          <w:szCs w:val="22"/>
          <w:lang w:val="vi-VN"/>
        </w:rPr>
        <w:t xml:space="preserve"> của sữa hạt bằng máy khúc xạ kế cầm tay PAL-1 (3810, Atago, Tokyo, Japan).</w:t>
      </w:r>
    </w:p>
    <w:p w:rsidR="00423F4E" w:rsidRPr="00E74EBB" w:rsidRDefault="00423F4E" w:rsidP="00423F4E">
      <w:pPr>
        <w:tabs>
          <w:tab w:val="left" w:pos="1758"/>
        </w:tabs>
        <w:spacing w:before="120" w:after="120" w:line="240" w:lineRule="auto"/>
        <w:jc w:val="both"/>
        <w:rPr>
          <w:b/>
          <w:i/>
          <w:sz w:val="22"/>
          <w:szCs w:val="22"/>
        </w:rPr>
      </w:pPr>
      <w:r w:rsidRPr="005916A9">
        <w:rPr>
          <w:bCs/>
          <w:iCs/>
          <w:sz w:val="22"/>
          <w:szCs w:val="22"/>
          <w:lang w:val="vi-VN"/>
        </w:rPr>
        <w:t xml:space="preserve">Xác định </w:t>
      </w:r>
      <w:r>
        <w:rPr>
          <w:bCs/>
          <w:iCs/>
          <w:sz w:val="22"/>
          <w:szCs w:val="22"/>
        </w:rPr>
        <w:t>độ</w:t>
      </w:r>
      <w:r w:rsidRPr="005916A9">
        <w:rPr>
          <w:bCs/>
          <w:iCs/>
          <w:sz w:val="22"/>
          <w:szCs w:val="22"/>
          <w:lang w:val="vi-VN"/>
        </w:rPr>
        <w:t xml:space="preserve"> lắng </w:t>
      </w:r>
      <w:r w:rsidRPr="005916A9">
        <w:rPr>
          <w:bCs/>
          <w:iCs/>
          <w:sz w:val="22"/>
          <w:szCs w:val="22"/>
        </w:rPr>
        <w:t>của dịch sữa:</w:t>
      </w:r>
      <w:r>
        <w:rPr>
          <w:b/>
          <w:i/>
          <w:sz w:val="22"/>
          <w:szCs w:val="22"/>
        </w:rPr>
        <w:t xml:space="preserve"> </w:t>
      </w:r>
      <w:r w:rsidRPr="0025493B">
        <w:rPr>
          <w:sz w:val="22"/>
          <w:szCs w:val="22"/>
          <w:lang w:val="vi-VN"/>
        </w:rPr>
        <w:t xml:space="preserve">Rót đầy sữa hạt vào ống đong đến mức 250ml. Không lắc hoặc khuấy sữa sau khi rót để tránh làm phân tán. </w:t>
      </w:r>
      <w:r>
        <w:rPr>
          <w:sz w:val="22"/>
          <w:szCs w:val="22"/>
          <w:lang w:val="vi-VN"/>
        </w:rPr>
        <w:t>Độ lắng</w:t>
      </w:r>
      <w:r w:rsidRPr="0025493B">
        <w:rPr>
          <w:sz w:val="22"/>
          <w:szCs w:val="22"/>
          <w:lang w:val="vi-VN"/>
        </w:rPr>
        <w:t xml:space="preserve"> của sữa hạt được xác định trong 1 giờ. Sau 1 giờ quan sát ống đong và ghi lại số liệu</w:t>
      </w:r>
      <w:r>
        <w:rPr>
          <w:sz w:val="22"/>
          <w:szCs w:val="22"/>
        </w:rPr>
        <w:t xml:space="preserve"> độ lắng của dung dịch là</w:t>
      </w:r>
      <w:r w:rsidRPr="0025493B">
        <w:rPr>
          <w:sz w:val="22"/>
          <w:szCs w:val="22"/>
          <w:lang w:val="vi-VN"/>
        </w:rPr>
        <w:t xml:space="preserve"> </w:t>
      </w:r>
      <w:r>
        <w:rPr>
          <w:sz w:val="22"/>
          <w:szCs w:val="22"/>
        </w:rPr>
        <w:t xml:space="preserve">thể tích </w:t>
      </w:r>
      <w:r w:rsidRPr="0025493B">
        <w:rPr>
          <w:sz w:val="22"/>
          <w:szCs w:val="22"/>
          <w:lang w:val="vi-VN"/>
        </w:rPr>
        <w:t xml:space="preserve">sữa bị </w:t>
      </w:r>
      <w:r>
        <w:rPr>
          <w:sz w:val="22"/>
          <w:szCs w:val="22"/>
        </w:rPr>
        <w:t xml:space="preserve">lắng, </w:t>
      </w:r>
      <w:r w:rsidRPr="0025493B">
        <w:rPr>
          <w:sz w:val="22"/>
          <w:szCs w:val="22"/>
          <w:lang w:val="vi-VN"/>
        </w:rPr>
        <w:t xml:space="preserve">tách lớp </w:t>
      </w:r>
      <w:r>
        <w:rPr>
          <w:sz w:val="22"/>
          <w:szCs w:val="22"/>
        </w:rPr>
        <w:t>(ml/h)</w:t>
      </w:r>
      <w:r w:rsidRPr="0063481C">
        <w:rPr>
          <w:sz w:val="22"/>
          <w:szCs w:val="22"/>
          <w:vertAlign w:val="superscript"/>
        </w:rPr>
        <w:t>9</w:t>
      </w:r>
      <w:r>
        <w:rPr>
          <w:sz w:val="22"/>
          <w:szCs w:val="22"/>
        </w:rPr>
        <w:t>.</w:t>
      </w:r>
    </w:p>
    <w:p w:rsidR="00423F4E" w:rsidRPr="00043F22" w:rsidRDefault="00423F4E" w:rsidP="00423F4E">
      <w:pPr>
        <w:tabs>
          <w:tab w:val="left" w:pos="1758"/>
        </w:tabs>
        <w:spacing w:before="120" w:after="120" w:line="240" w:lineRule="auto"/>
        <w:jc w:val="both"/>
        <w:rPr>
          <w:rStyle w:val="fontstyle21"/>
          <w:b/>
          <w:i/>
          <w:sz w:val="22"/>
          <w:szCs w:val="22"/>
        </w:rPr>
      </w:pPr>
      <w:r>
        <w:rPr>
          <w:bCs/>
          <w:sz w:val="22"/>
          <w:szCs w:val="22"/>
        </w:rPr>
        <w:t>Sản phẩm được phân tích thành phần dinh dưỡng gồm: protein</w:t>
      </w:r>
      <w:r w:rsidRPr="0025493B">
        <w:rPr>
          <w:bCs/>
          <w:sz w:val="22"/>
          <w:szCs w:val="22"/>
        </w:rPr>
        <w:t xml:space="preserve"> tổng</w:t>
      </w:r>
      <w:r w:rsidRPr="0025493B">
        <w:rPr>
          <w:bCs/>
          <w:sz w:val="22"/>
          <w:szCs w:val="22"/>
          <w:lang w:val="vi-VN"/>
        </w:rPr>
        <w:t xml:space="preserve"> được xác định</w:t>
      </w:r>
      <w:r w:rsidRPr="0025493B">
        <w:rPr>
          <w:bCs/>
          <w:sz w:val="22"/>
          <w:szCs w:val="22"/>
        </w:rPr>
        <w:t xml:space="preserve"> bằng phương pháp quang phổ</w:t>
      </w:r>
      <w:r w:rsidRPr="0025493B">
        <w:rPr>
          <w:bCs/>
          <w:sz w:val="22"/>
          <w:szCs w:val="22"/>
          <w:lang w:val="vi-VN"/>
        </w:rPr>
        <w:t xml:space="preserve"> theo TCVN 6180:1996 (ISO 7890-3:1988(E))</w:t>
      </w:r>
      <w:r>
        <w:rPr>
          <w:bCs/>
          <w:sz w:val="22"/>
          <w:szCs w:val="22"/>
        </w:rPr>
        <w:t xml:space="preserve">; </w:t>
      </w:r>
      <w:r w:rsidRPr="009178D6">
        <w:rPr>
          <w:bCs/>
          <w:iCs/>
          <w:sz w:val="22"/>
          <w:szCs w:val="22"/>
          <w:lang w:val="vi-VN"/>
        </w:rPr>
        <w:t xml:space="preserve">hàm lượng tro </w:t>
      </w:r>
      <w:r w:rsidRPr="009178D6">
        <w:rPr>
          <w:bCs/>
          <w:iCs/>
          <w:sz w:val="22"/>
          <w:szCs w:val="22"/>
        </w:rPr>
        <w:t xml:space="preserve">tổng, tro </w:t>
      </w:r>
      <w:r w:rsidRPr="009178D6">
        <w:rPr>
          <w:bCs/>
          <w:iCs/>
          <w:sz w:val="22"/>
          <w:szCs w:val="22"/>
          <w:lang w:val="vi-VN"/>
        </w:rPr>
        <w:t>hòa tan và không hòa tan</w:t>
      </w:r>
      <w:r w:rsidRPr="0025493B">
        <w:rPr>
          <w:sz w:val="22"/>
          <w:szCs w:val="22"/>
          <w:lang w:val="vi-VN"/>
        </w:rPr>
        <w:t xml:space="preserve"> theo TCVN 5105:2009</w:t>
      </w:r>
      <w:r>
        <w:rPr>
          <w:sz w:val="22"/>
          <w:szCs w:val="22"/>
        </w:rPr>
        <w:t>; đ</w:t>
      </w:r>
      <w:r w:rsidRPr="005916A9">
        <w:rPr>
          <w:bCs/>
          <w:iCs/>
          <w:sz w:val="22"/>
          <w:szCs w:val="22"/>
          <w:lang w:val="vi-VN"/>
        </w:rPr>
        <w:t>ịnh lượng dextrin</w:t>
      </w:r>
      <w:r>
        <w:rPr>
          <w:bCs/>
          <w:iCs/>
          <w:sz w:val="22"/>
          <w:szCs w:val="22"/>
        </w:rPr>
        <w:t xml:space="preserve"> </w:t>
      </w:r>
      <w:r w:rsidRPr="0025493B">
        <w:rPr>
          <w:sz w:val="22"/>
          <w:szCs w:val="22"/>
        </w:rPr>
        <w:t>dựa vào tính chất dextrin kết tủa hoàn toàn trong cồn nồng độ cao, còn đường glucose, maltose tan trong cồn</w:t>
      </w:r>
      <w:r w:rsidRPr="0063481C">
        <w:rPr>
          <w:sz w:val="22"/>
          <w:szCs w:val="22"/>
          <w:vertAlign w:val="superscript"/>
        </w:rPr>
        <w:t>10</w:t>
      </w:r>
      <w:r>
        <w:rPr>
          <w:sz w:val="22"/>
          <w:szCs w:val="22"/>
        </w:rPr>
        <w:t xml:space="preserve"> và hàm lượng </w:t>
      </w:r>
      <w:r w:rsidRPr="009178D6">
        <w:rPr>
          <w:bCs/>
          <w:iCs/>
          <w:sz w:val="22"/>
          <w:szCs w:val="22"/>
          <w:lang w:val="vi-VN"/>
        </w:rPr>
        <w:t>cellulose</w:t>
      </w:r>
      <w:r>
        <w:rPr>
          <w:b/>
          <w:i/>
          <w:sz w:val="22"/>
          <w:szCs w:val="22"/>
        </w:rPr>
        <w:t xml:space="preserve"> </w:t>
      </w:r>
      <w:r w:rsidRPr="0025493B">
        <w:rPr>
          <w:rStyle w:val="fontstyle01"/>
          <w:sz w:val="22"/>
          <w:szCs w:val="22"/>
        </w:rPr>
        <w:t>không tan trong môi trường acid và kiềm</w:t>
      </w:r>
      <w:r w:rsidRPr="0063481C">
        <w:rPr>
          <w:rStyle w:val="fontstyle01"/>
          <w:sz w:val="22"/>
          <w:szCs w:val="22"/>
          <w:vertAlign w:val="superscript"/>
        </w:rPr>
        <w:t>11</w:t>
      </w:r>
      <w:r>
        <w:rPr>
          <w:rStyle w:val="fontstyle01"/>
          <w:sz w:val="22"/>
          <w:szCs w:val="22"/>
        </w:rPr>
        <w:t>.</w:t>
      </w:r>
    </w:p>
    <w:p w:rsidR="00423F4E" w:rsidRPr="00C91433" w:rsidRDefault="00423F4E" w:rsidP="00423F4E">
      <w:pPr>
        <w:spacing w:before="120" w:after="120" w:line="240" w:lineRule="auto"/>
        <w:jc w:val="both"/>
        <w:rPr>
          <w:sz w:val="22"/>
          <w:szCs w:val="22"/>
        </w:rPr>
      </w:pPr>
      <w:r w:rsidRPr="00C91433">
        <w:rPr>
          <w:sz w:val="22"/>
          <w:szCs w:val="22"/>
        </w:rPr>
        <w:t xml:space="preserve">Đánh giá cảm quan </w:t>
      </w:r>
      <w:r>
        <w:rPr>
          <w:sz w:val="22"/>
          <w:szCs w:val="22"/>
        </w:rPr>
        <w:t>sữa hạt gạo rang và mắc ca</w:t>
      </w:r>
      <w:r w:rsidRPr="00C91433">
        <w:rPr>
          <w:sz w:val="22"/>
          <w:szCs w:val="22"/>
        </w:rPr>
        <w:t xml:space="preserve"> theo TCVN-3215-79. Chỉ tiêu được đánh giá bằng phương pháp cho điểm theo thang điểm 6 (thấp nhất là 0 cao nhất là 5) gồm: trạng thái và </w:t>
      </w:r>
      <w:r>
        <w:rPr>
          <w:sz w:val="22"/>
          <w:szCs w:val="22"/>
        </w:rPr>
        <w:t>kết cấu</w:t>
      </w:r>
      <w:r w:rsidRPr="00C91433">
        <w:rPr>
          <w:sz w:val="22"/>
          <w:szCs w:val="22"/>
        </w:rPr>
        <w:t>, màu sắc, mùi</w:t>
      </w:r>
      <w:r>
        <w:rPr>
          <w:sz w:val="22"/>
          <w:szCs w:val="22"/>
        </w:rPr>
        <w:t>,</w:t>
      </w:r>
      <w:r w:rsidRPr="00C91433">
        <w:rPr>
          <w:sz w:val="22"/>
          <w:szCs w:val="22"/>
        </w:rPr>
        <w:t xml:space="preserve"> và vị. Các chỉ tiêu này có hệ số quan trọng lần lượt là </w:t>
      </w:r>
      <w:r>
        <w:rPr>
          <w:sz w:val="22"/>
          <w:szCs w:val="22"/>
        </w:rPr>
        <w:t xml:space="preserve">1,5; </w:t>
      </w:r>
      <w:r w:rsidRPr="00C91433">
        <w:rPr>
          <w:sz w:val="22"/>
          <w:szCs w:val="22"/>
        </w:rPr>
        <w:t>0</w:t>
      </w:r>
      <w:r>
        <w:rPr>
          <w:sz w:val="22"/>
          <w:szCs w:val="22"/>
        </w:rPr>
        <w:t>,5;</w:t>
      </w:r>
      <w:r w:rsidRPr="00C91433">
        <w:rPr>
          <w:sz w:val="22"/>
          <w:szCs w:val="22"/>
        </w:rPr>
        <w:t xml:space="preserve"> </w:t>
      </w:r>
      <w:r>
        <w:rPr>
          <w:sz w:val="22"/>
          <w:szCs w:val="22"/>
        </w:rPr>
        <w:t>1;</w:t>
      </w:r>
      <w:r w:rsidRPr="00C91433">
        <w:rPr>
          <w:sz w:val="22"/>
          <w:szCs w:val="22"/>
        </w:rPr>
        <w:t xml:space="preserve"> và </w:t>
      </w:r>
      <w:r>
        <w:rPr>
          <w:sz w:val="22"/>
          <w:szCs w:val="22"/>
        </w:rPr>
        <w:t>1</w:t>
      </w:r>
      <w:r w:rsidRPr="00C91433">
        <w:rPr>
          <w:sz w:val="22"/>
          <w:szCs w:val="22"/>
        </w:rPr>
        <w:t>. Mức chất lượng sản phẩm sẽ được xếp như sau: hỏng, rất kém, kém, trung bình, khá và tốt. Sản phẩm đạt nếu số điểm chung trên 11</w:t>
      </w:r>
      <w:r>
        <w:rPr>
          <w:sz w:val="22"/>
          <w:szCs w:val="22"/>
        </w:rPr>
        <w:t>,</w:t>
      </w:r>
      <w:r w:rsidRPr="00C91433">
        <w:rPr>
          <w:sz w:val="22"/>
          <w:szCs w:val="22"/>
        </w:rPr>
        <w:t>2 điểm và mỗi chỉ tiêu trên 2</w:t>
      </w:r>
      <w:r>
        <w:rPr>
          <w:sz w:val="22"/>
          <w:szCs w:val="22"/>
        </w:rPr>
        <w:t>,</w:t>
      </w:r>
      <w:r w:rsidRPr="00C91433">
        <w:rPr>
          <w:sz w:val="22"/>
          <w:szCs w:val="22"/>
        </w:rPr>
        <w:t>8 điểm, không có chỉ tiêu nào dưới 2 điểm.</w:t>
      </w:r>
    </w:p>
    <w:p w:rsidR="00423F4E" w:rsidRPr="00AD3F7C" w:rsidRDefault="00423F4E" w:rsidP="00423F4E">
      <w:pPr>
        <w:spacing w:before="120" w:after="120" w:line="240" w:lineRule="auto"/>
        <w:jc w:val="both"/>
        <w:rPr>
          <w:sz w:val="22"/>
          <w:szCs w:val="22"/>
        </w:rPr>
      </w:pPr>
      <w:r w:rsidRPr="00C91433">
        <w:rPr>
          <w:sz w:val="22"/>
          <w:szCs w:val="22"/>
        </w:rPr>
        <w:t xml:space="preserve">Xử lý số liệu: Số liệu thí nghiệm được phân tích trên phần mềm Microsoft Excel và </w:t>
      </w:r>
      <w:r w:rsidRPr="00C91433">
        <w:rPr>
          <w:sz w:val="22"/>
          <w:szCs w:val="22"/>
          <w:highlight w:val="white"/>
        </w:rPr>
        <w:t>SPSS</w:t>
      </w:r>
      <w:r>
        <w:rPr>
          <w:sz w:val="22"/>
          <w:szCs w:val="22"/>
          <w:highlight w:val="white"/>
        </w:rPr>
        <w:t xml:space="preserve">-20 </w:t>
      </w:r>
      <w:r w:rsidRPr="00C91433">
        <w:rPr>
          <w:sz w:val="22"/>
          <w:szCs w:val="22"/>
          <w:highlight w:val="white"/>
        </w:rPr>
        <w:t>(</w:t>
      </w:r>
      <w:r w:rsidRPr="00C91433">
        <w:rPr>
          <w:sz w:val="22"/>
          <w:szCs w:val="22"/>
          <w:highlight w:val="white"/>
          <w:u w:color="FF0000"/>
        </w:rPr>
        <w:t>Statistical</w:t>
      </w:r>
      <w:r w:rsidRPr="00C91433">
        <w:rPr>
          <w:sz w:val="22"/>
          <w:szCs w:val="22"/>
          <w:highlight w:val="white"/>
        </w:rPr>
        <w:t xml:space="preserve"> Package </w:t>
      </w:r>
      <w:r w:rsidRPr="00C91433">
        <w:rPr>
          <w:sz w:val="22"/>
          <w:szCs w:val="22"/>
          <w:highlight w:val="white"/>
          <w:u w:color="FF0000"/>
        </w:rPr>
        <w:t>for the</w:t>
      </w:r>
      <w:r w:rsidRPr="00C91433">
        <w:rPr>
          <w:sz w:val="22"/>
          <w:szCs w:val="22"/>
          <w:highlight w:val="white"/>
        </w:rPr>
        <w:t xml:space="preserve"> Social</w:t>
      </w:r>
      <w:r w:rsidRPr="00C91433">
        <w:rPr>
          <w:spacing w:val="5"/>
          <w:sz w:val="22"/>
          <w:szCs w:val="22"/>
          <w:highlight w:val="white"/>
        </w:rPr>
        <w:t xml:space="preserve"> </w:t>
      </w:r>
      <w:r w:rsidRPr="00C91433">
        <w:rPr>
          <w:sz w:val="22"/>
          <w:szCs w:val="22"/>
          <w:highlight w:val="white"/>
          <w:u w:color="FF0000"/>
        </w:rPr>
        <w:t>Sciences</w:t>
      </w:r>
      <w:r>
        <w:rPr>
          <w:sz w:val="22"/>
          <w:szCs w:val="22"/>
          <w:highlight w:val="white"/>
          <w:u w:color="FF0000"/>
        </w:rPr>
        <w:t>-20</w:t>
      </w:r>
      <w:r w:rsidRPr="00C91433">
        <w:rPr>
          <w:sz w:val="22"/>
          <w:szCs w:val="22"/>
          <w:u w:color="FF0000"/>
          <w:lang w:val="vi-VN"/>
        </w:rPr>
        <w:t>)</w:t>
      </w:r>
      <w:r w:rsidRPr="00C91433">
        <w:rPr>
          <w:sz w:val="22"/>
          <w:szCs w:val="22"/>
        </w:rPr>
        <w:t xml:space="preserve">. </w:t>
      </w:r>
      <w:r w:rsidRPr="00C91433">
        <w:rPr>
          <w:sz w:val="22"/>
          <w:szCs w:val="22"/>
          <w:shd w:val="clear" w:color="auto" w:fill="FFFFFF"/>
          <w:lang w:val="vi-VN"/>
        </w:rPr>
        <w:t>Kết quả sẽ được trình bày dưới dạng trung bình ± độ lệch chuẩn</w:t>
      </w:r>
      <w:r>
        <w:rPr>
          <w:sz w:val="22"/>
          <w:szCs w:val="22"/>
          <w:shd w:val="clear" w:color="auto" w:fill="FFFFFF"/>
          <w:lang w:val="vi-VN"/>
        </w:rPr>
        <w:t>.</w:t>
      </w:r>
      <w:r w:rsidRPr="00C91433">
        <w:rPr>
          <w:sz w:val="22"/>
          <w:szCs w:val="22"/>
          <w:shd w:val="clear" w:color="auto" w:fill="FFFFFF"/>
          <w:lang w:val="vi-VN"/>
        </w:rPr>
        <w:t xml:space="preserve"> </w:t>
      </w:r>
      <w:r>
        <w:rPr>
          <w:sz w:val="22"/>
          <w:szCs w:val="22"/>
          <w:shd w:val="clear" w:color="auto" w:fill="FFFFFF"/>
          <w:lang w:val="vi-VN"/>
        </w:rPr>
        <w:t>P</w:t>
      </w:r>
      <w:r w:rsidRPr="00C91433">
        <w:rPr>
          <w:sz w:val="22"/>
          <w:szCs w:val="22"/>
          <w:shd w:val="clear" w:color="auto" w:fill="FFFFFF"/>
          <w:lang w:val="vi-VN"/>
        </w:rPr>
        <w:t>hân tích phương sai ANOVA</w:t>
      </w:r>
      <w:r>
        <w:rPr>
          <w:sz w:val="22"/>
          <w:szCs w:val="22"/>
          <w:shd w:val="clear" w:color="auto" w:fill="FFFFFF"/>
          <w:lang w:val="vi-VN"/>
        </w:rPr>
        <w:t xml:space="preserve"> và kiểm định Tukey được thực hiện nhằm đánh giá mức độ sai khác giữa các giá trị trung bình ở mức ý nghĩa 0</w:t>
      </w:r>
      <w:r>
        <w:rPr>
          <w:sz w:val="22"/>
          <w:szCs w:val="22"/>
          <w:shd w:val="clear" w:color="auto" w:fill="FFFFFF"/>
        </w:rPr>
        <w:t>,</w:t>
      </w:r>
      <w:r>
        <w:rPr>
          <w:sz w:val="22"/>
          <w:szCs w:val="22"/>
          <w:shd w:val="clear" w:color="auto" w:fill="FFFFFF"/>
          <w:lang w:val="vi-VN"/>
        </w:rPr>
        <w:t>05.</w:t>
      </w:r>
      <w:r>
        <w:rPr>
          <w:sz w:val="22"/>
          <w:szCs w:val="22"/>
          <w:shd w:val="clear" w:color="auto" w:fill="FFFFFF"/>
        </w:rPr>
        <w:t xml:space="preserve"> </w:t>
      </w:r>
      <w:r w:rsidRPr="0025493B">
        <w:rPr>
          <w:bCs/>
          <w:sz w:val="22"/>
          <w:szCs w:val="22"/>
          <w:lang w:val="vi-VN"/>
        </w:rPr>
        <w:t>Phần mềm GraphPad Prism 8 được sử dụng để dựng các biểu đồ.</w:t>
      </w:r>
    </w:p>
    <w:p w:rsidR="00423F4E" w:rsidRPr="00C91433" w:rsidRDefault="00423F4E" w:rsidP="00423F4E">
      <w:pPr>
        <w:spacing w:before="120" w:after="120" w:line="240" w:lineRule="auto"/>
        <w:rPr>
          <w:b/>
          <w:sz w:val="22"/>
          <w:szCs w:val="22"/>
        </w:rPr>
      </w:pPr>
      <w:r w:rsidRPr="00C91433">
        <w:rPr>
          <w:b/>
          <w:sz w:val="22"/>
          <w:szCs w:val="22"/>
        </w:rPr>
        <w:t xml:space="preserve">KẾT QUẢ </w:t>
      </w:r>
      <w:r w:rsidR="00523083">
        <w:rPr>
          <w:b/>
          <w:sz w:val="22"/>
          <w:szCs w:val="22"/>
        </w:rPr>
        <w:t>VÀ THẢO LUẬN</w:t>
      </w:r>
    </w:p>
    <w:p w:rsidR="00423F4E" w:rsidRPr="0025493B" w:rsidRDefault="00423F4E" w:rsidP="00423F4E">
      <w:pPr>
        <w:spacing w:before="120" w:after="120" w:line="240" w:lineRule="auto"/>
        <w:jc w:val="both"/>
        <w:outlineLvl w:val="0"/>
        <w:rPr>
          <w:b/>
          <w:sz w:val="22"/>
          <w:szCs w:val="22"/>
          <w:lang w:val="vi-VN"/>
        </w:rPr>
      </w:pPr>
      <w:bookmarkStart w:id="1" w:name="_Toc199164263"/>
      <w:r w:rsidRPr="0025493B">
        <w:rPr>
          <w:b/>
          <w:sz w:val="22"/>
          <w:szCs w:val="22"/>
          <w:lang w:val="vi-VN"/>
        </w:rPr>
        <w:t>Ảnh hưởng của thời gian rang đến màu sắc của gạo</w:t>
      </w:r>
      <w:bookmarkEnd w:id="1"/>
      <w:r w:rsidRPr="0025493B">
        <w:rPr>
          <w:b/>
          <w:sz w:val="22"/>
          <w:szCs w:val="22"/>
          <w:lang w:val="vi-VN"/>
        </w:rPr>
        <w:t xml:space="preserve"> </w:t>
      </w:r>
    </w:p>
    <w:p w:rsidR="00423F4E" w:rsidRPr="0025493B" w:rsidRDefault="00423F4E" w:rsidP="00423F4E">
      <w:pPr>
        <w:spacing w:before="120" w:after="120" w:line="240" w:lineRule="auto"/>
        <w:jc w:val="both"/>
        <w:rPr>
          <w:sz w:val="22"/>
          <w:szCs w:val="22"/>
          <w:lang w:val="vi-VN"/>
        </w:rPr>
      </w:pPr>
      <w:r w:rsidRPr="0025493B">
        <w:rPr>
          <w:sz w:val="22"/>
          <w:szCs w:val="22"/>
          <w:lang w:val="vi-VN"/>
        </w:rPr>
        <w:t>Rang là một phương pháp chế biến phổ biến giúp tăng hương vị của gạo, kích hoạt phản ứng Maillard và tạo ra hương vị rang mong muốn</w:t>
      </w:r>
      <w:r w:rsidRPr="0063481C">
        <w:rPr>
          <w:sz w:val="22"/>
          <w:szCs w:val="22"/>
          <w:vertAlign w:val="superscript"/>
        </w:rPr>
        <w:t>12</w:t>
      </w:r>
      <w:r w:rsidRPr="0025493B">
        <w:rPr>
          <w:sz w:val="22"/>
          <w:szCs w:val="22"/>
          <w:lang w:val="vi-VN"/>
        </w:rPr>
        <w:t>.</w:t>
      </w:r>
      <w:r w:rsidRPr="0025493B">
        <w:rPr>
          <w:sz w:val="22"/>
          <w:szCs w:val="22"/>
        </w:rPr>
        <w:t xml:space="preserve"> </w:t>
      </w:r>
      <w:r>
        <w:rPr>
          <w:sz w:val="22"/>
          <w:szCs w:val="22"/>
        </w:rPr>
        <w:t>C</w:t>
      </w:r>
      <w:r w:rsidRPr="0025493B">
        <w:rPr>
          <w:sz w:val="22"/>
          <w:szCs w:val="22"/>
          <w:lang w:val="vi-VN"/>
        </w:rPr>
        <w:t>ố định</w:t>
      </w:r>
      <w:r>
        <w:rPr>
          <w:sz w:val="22"/>
          <w:szCs w:val="22"/>
        </w:rPr>
        <w:t xml:space="preserve"> nhiệt độ rang</w:t>
      </w:r>
      <w:r w:rsidRPr="0025493B">
        <w:rPr>
          <w:sz w:val="22"/>
          <w:szCs w:val="22"/>
          <w:lang w:val="vi-VN"/>
        </w:rPr>
        <w:t xml:space="preserve"> 150</w:t>
      </w:r>
      <w:r w:rsidRPr="0025493B">
        <w:rPr>
          <w:sz w:val="22"/>
          <w:szCs w:val="22"/>
          <w:vertAlign w:val="superscript"/>
          <w:lang w:val="vi-VN"/>
        </w:rPr>
        <w:t>o</w:t>
      </w:r>
      <w:r w:rsidRPr="0025493B">
        <w:rPr>
          <w:sz w:val="22"/>
          <w:szCs w:val="22"/>
          <w:lang w:val="vi-VN"/>
        </w:rPr>
        <w:t xml:space="preserve">C </w:t>
      </w:r>
      <w:r>
        <w:rPr>
          <w:sz w:val="22"/>
          <w:szCs w:val="22"/>
        </w:rPr>
        <w:t>thích hợp để xảy ra hai phản ứng tạo màu và mùi như trên. Sau đó</w:t>
      </w:r>
      <w:r w:rsidRPr="0025493B">
        <w:rPr>
          <w:sz w:val="22"/>
          <w:szCs w:val="22"/>
          <w:lang w:val="vi-VN"/>
        </w:rPr>
        <w:t xml:space="preserve">, đánh giá thời gian rang thích hợp dựa vào chỉ số hóa nâu BI được thể hiện ở </w:t>
      </w:r>
      <w:r>
        <w:rPr>
          <w:sz w:val="22"/>
          <w:szCs w:val="22"/>
        </w:rPr>
        <w:t>b</w:t>
      </w:r>
      <w:r w:rsidRPr="0025493B">
        <w:rPr>
          <w:sz w:val="22"/>
          <w:szCs w:val="22"/>
          <w:lang w:val="vi-VN"/>
        </w:rPr>
        <w:t xml:space="preserve">ảng </w:t>
      </w:r>
      <w:r>
        <w:rPr>
          <w:sz w:val="22"/>
          <w:szCs w:val="22"/>
        </w:rPr>
        <w:t>1</w:t>
      </w:r>
      <w:r w:rsidRPr="0025493B">
        <w:rPr>
          <w:sz w:val="22"/>
          <w:szCs w:val="22"/>
        </w:rPr>
        <w:t xml:space="preserve"> </w:t>
      </w:r>
      <w:r w:rsidRPr="0025493B">
        <w:rPr>
          <w:sz w:val="22"/>
          <w:szCs w:val="22"/>
          <w:lang w:val="vi-VN"/>
        </w:rPr>
        <w:t>như sau:</w:t>
      </w:r>
    </w:p>
    <w:p w:rsidR="00423F4E" w:rsidRPr="000601B7" w:rsidRDefault="00423F4E" w:rsidP="00423F4E">
      <w:pPr>
        <w:pStyle w:val="Bng1"/>
        <w:spacing w:before="240" w:after="120" w:line="240" w:lineRule="auto"/>
        <w:jc w:val="left"/>
        <w:rPr>
          <w:sz w:val="20"/>
          <w:szCs w:val="20"/>
          <w:lang w:val="en-US"/>
        </w:rPr>
      </w:pPr>
      <w:bookmarkStart w:id="2" w:name="_Toc198933854"/>
      <w:r w:rsidRPr="000601B7">
        <w:rPr>
          <w:sz w:val="20"/>
          <w:szCs w:val="20"/>
        </w:rPr>
        <w:t xml:space="preserve">Bảng </w:t>
      </w:r>
      <w:r w:rsidRPr="000601B7">
        <w:rPr>
          <w:sz w:val="20"/>
          <w:szCs w:val="20"/>
          <w:lang w:val="en-US"/>
        </w:rPr>
        <w:t>1</w:t>
      </w:r>
      <w:r w:rsidRPr="000601B7">
        <w:rPr>
          <w:sz w:val="20"/>
          <w:szCs w:val="20"/>
        </w:rPr>
        <w:t xml:space="preserve">. </w:t>
      </w:r>
      <w:bookmarkEnd w:id="2"/>
      <w:r w:rsidRPr="000601B7">
        <w:rPr>
          <w:sz w:val="20"/>
          <w:szCs w:val="20"/>
          <w:lang w:val="en-US"/>
        </w:rPr>
        <w:t>Thời gian rang ảnh hưởng đến chỉ số hóa nâu của gạo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47"/>
        <w:gridCol w:w="2047"/>
        <w:gridCol w:w="2047"/>
      </w:tblGrid>
      <w:tr w:rsidR="00423F4E" w:rsidRPr="00C7224B" w:rsidTr="00DD345E">
        <w:trPr>
          <w:jc w:val="center"/>
        </w:trPr>
        <w:tc>
          <w:tcPr>
            <w:tcW w:w="1728" w:type="dxa"/>
          </w:tcPr>
          <w:p w:rsidR="00423F4E" w:rsidRPr="00C7224B" w:rsidRDefault="00423F4E" w:rsidP="00DD345E">
            <w:pPr>
              <w:spacing w:after="0" w:line="240" w:lineRule="auto"/>
              <w:jc w:val="center"/>
              <w:rPr>
                <w:b/>
                <w:sz w:val="20"/>
                <w:szCs w:val="20"/>
                <w:lang w:val="vi-VN"/>
              </w:rPr>
            </w:pPr>
            <w:r w:rsidRPr="00C7224B">
              <w:rPr>
                <w:b/>
                <w:sz w:val="20"/>
                <w:szCs w:val="20"/>
                <w:lang w:val="vi-VN"/>
              </w:rPr>
              <w:t>Thời gian (phút)</w:t>
            </w:r>
          </w:p>
        </w:tc>
        <w:tc>
          <w:tcPr>
            <w:tcW w:w="2047" w:type="dxa"/>
          </w:tcPr>
          <w:p w:rsidR="00423F4E" w:rsidRPr="000046E6" w:rsidRDefault="00423F4E" w:rsidP="00DD345E">
            <w:pPr>
              <w:spacing w:after="0" w:line="240" w:lineRule="auto"/>
              <w:jc w:val="center"/>
              <w:rPr>
                <w:b/>
                <w:sz w:val="20"/>
                <w:szCs w:val="20"/>
              </w:rPr>
            </w:pPr>
            <w:r>
              <w:rPr>
                <w:b/>
                <w:sz w:val="20"/>
                <w:szCs w:val="20"/>
              </w:rPr>
              <w:t>Chỉ số hóa nâu (</w:t>
            </w:r>
            <w:r w:rsidRPr="00C7224B">
              <w:rPr>
                <w:b/>
                <w:sz w:val="20"/>
                <w:szCs w:val="20"/>
                <w:lang w:val="vi-VN"/>
              </w:rPr>
              <w:t>BI</w:t>
            </w:r>
            <w:r>
              <w:rPr>
                <w:b/>
                <w:sz w:val="20"/>
                <w:szCs w:val="20"/>
              </w:rPr>
              <w:t>)</w:t>
            </w:r>
          </w:p>
        </w:tc>
        <w:tc>
          <w:tcPr>
            <w:tcW w:w="2047" w:type="dxa"/>
          </w:tcPr>
          <w:p w:rsidR="00423F4E" w:rsidRDefault="00423F4E" w:rsidP="00DD345E">
            <w:pPr>
              <w:spacing w:after="0" w:line="240" w:lineRule="auto"/>
              <w:jc w:val="center"/>
              <w:rPr>
                <w:b/>
                <w:sz w:val="20"/>
                <w:szCs w:val="20"/>
              </w:rPr>
            </w:pPr>
            <w:r w:rsidRPr="00C7224B">
              <w:rPr>
                <w:b/>
                <w:sz w:val="20"/>
                <w:szCs w:val="20"/>
                <w:lang w:val="vi-VN"/>
              </w:rPr>
              <w:t>Thời gian (phút)</w:t>
            </w:r>
          </w:p>
        </w:tc>
        <w:tc>
          <w:tcPr>
            <w:tcW w:w="2047" w:type="dxa"/>
          </w:tcPr>
          <w:p w:rsidR="00423F4E" w:rsidRDefault="00423F4E" w:rsidP="00DD345E">
            <w:pPr>
              <w:spacing w:after="0" w:line="240" w:lineRule="auto"/>
              <w:jc w:val="center"/>
              <w:rPr>
                <w:b/>
                <w:sz w:val="20"/>
                <w:szCs w:val="20"/>
              </w:rPr>
            </w:pPr>
            <w:r>
              <w:rPr>
                <w:b/>
                <w:sz w:val="20"/>
                <w:szCs w:val="20"/>
              </w:rPr>
              <w:t>Chỉ số hóa nâu (</w:t>
            </w:r>
            <w:r w:rsidRPr="00C7224B">
              <w:rPr>
                <w:b/>
                <w:sz w:val="20"/>
                <w:szCs w:val="20"/>
                <w:lang w:val="vi-VN"/>
              </w:rPr>
              <w:t>BI</w:t>
            </w:r>
            <w:r>
              <w:rPr>
                <w:b/>
                <w:sz w:val="20"/>
                <w:szCs w:val="20"/>
              </w:rPr>
              <w:t>)</w:t>
            </w:r>
          </w:p>
        </w:tc>
      </w:tr>
      <w:tr w:rsidR="00423F4E" w:rsidRPr="00C7224B" w:rsidTr="00DD345E">
        <w:trPr>
          <w:jc w:val="center"/>
        </w:trPr>
        <w:tc>
          <w:tcPr>
            <w:tcW w:w="1728" w:type="dxa"/>
          </w:tcPr>
          <w:p w:rsidR="00423F4E" w:rsidRPr="00C7224B" w:rsidRDefault="00423F4E" w:rsidP="00DD345E">
            <w:pPr>
              <w:spacing w:after="0" w:line="240" w:lineRule="auto"/>
              <w:jc w:val="center"/>
              <w:rPr>
                <w:sz w:val="20"/>
                <w:szCs w:val="20"/>
                <w:lang w:val="vi-VN"/>
              </w:rPr>
            </w:pPr>
            <w:r w:rsidRPr="00C7224B">
              <w:rPr>
                <w:sz w:val="20"/>
                <w:szCs w:val="20"/>
                <w:lang w:val="vi-VN"/>
              </w:rPr>
              <w:lastRenderedPageBreak/>
              <w:t xml:space="preserve">20 </w:t>
            </w:r>
          </w:p>
        </w:tc>
        <w:tc>
          <w:tcPr>
            <w:tcW w:w="2047" w:type="dxa"/>
          </w:tcPr>
          <w:p w:rsidR="00423F4E" w:rsidRPr="00C7224B" w:rsidRDefault="00423F4E" w:rsidP="00DD345E">
            <w:pPr>
              <w:spacing w:after="0" w:line="240" w:lineRule="auto"/>
              <w:jc w:val="center"/>
              <w:rPr>
                <w:sz w:val="20"/>
                <w:szCs w:val="20"/>
              </w:rPr>
            </w:pPr>
            <w:r w:rsidRPr="00C7224B">
              <w:rPr>
                <w:sz w:val="20"/>
                <w:szCs w:val="20"/>
              </w:rPr>
              <w:t>30,</w:t>
            </w:r>
            <w:r w:rsidRPr="00C7224B">
              <w:rPr>
                <w:sz w:val="20"/>
                <w:szCs w:val="20"/>
                <w:lang w:val="vi-VN"/>
              </w:rPr>
              <w:t>54</w:t>
            </w:r>
            <w:r w:rsidRPr="00C7224B">
              <w:rPr>
                <w:sz w:val="20"/>
                <w:szCs w:val="20"/>
                <w:vertAlign w:val="superscript"/>
                <w:lang w:val="vi-VN"/>
              </w:rPr>
              <w:t>d</w:t>
            </w:r>
            <w:r w:rsidRPr="00C7224B">
              <w:rPr>
                <w:sz w:val="20"/>
                <w:szCs w:val="20"/>
                <w:lang w:val="vi-VN"/>
              </w:rPr>
              <w:t xml:space="preserve"> ± </w:t>
            </w:r>
            <w:r w:rsidRPr="00C7224B">
              <w:rPr>
                <w:sz w:val="20"/>
                <w:szCs w:val="20"/>
              </w:rPr>
              <w:t>1,34</w:t>
            </w:r>
          </w:p>
        </w:tc>
        <w:tc>
          <w:tcPr>
            <w:tcW w:w="2047" w:type="dxa"/>
          </w:tcPr>
          <w:p w:rsidR="00423F4E" w:rsidRPr="00C7224B" w:rsidRDefault="00423F4E" w:rsidP="00DD345E">
            <w:pPr>
              <w:spacing w:after="0" w:line="240" w:lineRule="auto"/>
              <w:jc w:val="center"/>
              <w:rPr>
                <w:sz w:val="20"/>
                <w:szCs w:val="20"/>
              </w:rPr>
            </w:pPr>
            <w:r w:rsidRPr="00C7224B">
              <w:rPr>
                <w:sz w:val="20"/>
                <w:szCs w:val="20"/>
                <w:lang w:val="vi-VN"/>
              </w:rPr>
              <w:t xml:space="preserve">40 </w:t>
            </w:r>
          </w:p>
        </w:tc>
        <w:tc>
          <w:tcPr>
            <w:tcW w:w="2047" w:type="dxa"/>
          </w:tcPr>
          <w:p w:rsidR="00423F4E" w:rsidRPr="00C7224B" w:rsidRDefault="00423F4E" w:rsidP="00DD345E">
            <w:pPr>
              <w:spacing w:after="0" w:line="240" w:lineRule="auto"/>
              <w:jc w:val="center"/>
              <w:rPr>
                <w:sz w:val="20"/>
                <w:szCs w:val="20"/>
              </w:rPr>
            </w:pPr>
            <w:r w:rsidRPr="00C7224B">
              <w:rPr>
                <w:sz w:val="20"/>
                <w:szCs w:val="20"/>
              </w:rPr>
              <w:t>94,</w:t>
            </w:r>
            <w:r w:rsidRPr="00C7224B">
              <w:rPr>
                <w:sz w:val="20"/>
                <w:szCs w:val="20"/>
                <w:lang w:val="vi-VN"/>
              </w:rPr>
              <w:t>30</w:t>
            </w:r>
            <w:r w:rsidRPr="00C7224B">
              <w:rPr>
                <w:sz w:val="20"/>
                <w:szCs w:val="20"/>
                <w:vertAlign w:val="superscript"/>
                <w:lang w:val="vi-VN"/>
              </w:rPr>
              <w:t>b</w:t>
            </w:r>
            <w:r w:rsidRPr="00C7224B">
              <w:rPr>
                <w:sz w:val="20"/>
                <w:szCs w:val="20"/>
                <w:lang w:val="vi-VN"/>
              </w:rPr>
              <w:t xml:space="preserve"> ± </w:t>
            </w:r>
            <w:r w:rsidRPr="00C7224B">
              <w:rPr>
                <w:sz w:val="20"/>
                <w:szCs w:val="20"/>
              </w:rPr>
              <w:t>4,35</w:t>
            </w:r>
          </w:p>
        </w:tc>
      </w:tr>
      <w:tr w:rsidR="00423F4E" w:rsidRPr="00C7224B" w:rsidTr="00DD345E">
        <w:trPr>
          <w:jc w:val="center"/>
        </w:trPr>
        <w:tc>
          <w:tcPr>
            <w:tcW w:w="1728" w:type="dxa"/>
          </w:tcPr>
          <w:p w:rsidR="00423F4E" w:rsidRPr="00C7224B" w:rsidRDefault="00423F4E" w:rsidP="00DD345E">
            <w:pPr>
              <w:spacing w:after="0" w:line="240" w:lineRule="auto"/>
              <w:jc w:val="center"/>
              <w:rPr>
                <w:sz w:val="20"/>
                <w:szCs w:val="20"/>
                <w:lang w:val="vi-VN"/>
              </w:rPr>
            </w:pPr>
            <w:r w:rsidRPr="00C7224B">
              <w:rPr>
                <w:sz w:val="20"/>
                <w:szCs w:val="20"/>
                <w:lang w:val="vi-VN"/>
              </w:rPr>
              <w:t>30</w:t>
            </w:r>
          </w:p>
        </w:tc>
        <w:tc>
          <w:tcPr>
            <w:tcW w:w="2047" w:type="dxa"/>
          </w:tcPr>
          <w:p w:rsidR="00423F4E" w:rsidRPr="00C7224B" w:rsidRDefault="00423F4E" w:rsidP="00DD345E">
            <w:pPr>
              <w:spacing w:after="0" w:line="240" w:lineRule="auto"/>
              <w:jc w:val="center"/>
              <w:rPr>
                <w:sz w:val="20"/>
                <w:szCs w:val="20"/>
              </w:rPr>
            </w:pPr>
            <w:r w:rsidRPr="00C7224B">
              <w:rPr>
                <w:sz w:val="20"/>
                <w:szCs w:val="20"/>
              </w:rPr>
              <w:t>65,</w:t>
            </w:r>
            <w:r w:rsidRPr="00C7224B">
              <w:rPr>
                <w:sz w:val="20"/>
                <w:szCs w:val="20"/>
                <w:lang w:val="vi-VN"/>
              </w:rPr>
              <w:t>83</w:t>
            </w:r>
            <w:r w:rsidRPr="00C7224B">
              <w:rPr>
                <w:sz w:val="20"/>
                <w:szCs w:val="20"/>
                <w:vertAlign w:val="superscript"/>
                <w:lang w:val="vi-VN"/>
              </w:rPr>
              <w:t>c</w:t>
            </w:r>
            <w:r w:rsidRPr="00C7224B">
              <w:rPr>
                <w:sz w:val="20"/>
                <w:szCs w:val="20"/>
                <w:lang w:val="vi-VN"/>
              </w:rPr>
              <w:t xml:space="preserve"> ± </w:t>
            </w:r>
            <w:r w:rsidRPr="00C7224B">
              <w:rPr>
                <w:sz w:val="20"/>
                <w:szCs w:val="20"/>
              </w:rPr>
              <w:t>3,26</w:t>
            </w:r>
          </w:p>
        </w:tc>
        <w:tc>
          <w:tcPr>
            <w:tcW w:w="2047" w:type="dxa"/>
          </w:tcPr>
          <w:p w:rsidR="00423F4E" w:rsidRPr="00C7224B" w:rsidRDefault="00423F4E" w:rsidP="00DD345E">
            <w:pPr>
              <w:spacing w:after="0" w:line="240" w:lineRule="auto"/>
              <w:jc w:val="center"/>
              <w:rPr>
                <w:sz w:val="20"/>
                <w:szCs w:val="20"/>
              </w:rPr>
            </w:pPr>
            <w:r w:rsidRPr="00C7224B">
              <w:rPr>
                <w:sz w:val="20"/>
                <w:szCs w:val="20"/>
                <w:lang w:val="vi-VN"/>
              </w:rPr>
              <w:t xml:space="preserve">50 </w:t>
            </w:r>
          </w:p>
        </w:tc>
        <w:tc>
          <w:tcPr>
            <w:tcW w:w="2047" w:type="dxa"/>
          </w:tcPr>
          <w:p w:rsidR="00423F4E" w:rsidRPr="00C7224B" w:rsidRDefault="00423F4E" w:rsidP="00DD345E">
            <w:pPr>
              <w:spacing w:after="0" w:line="240" w:lineRule="auto"/>
              <w:jc w:val="center"/>
              <w:rPr>
                <w:sz w:val="20"/>
                <w:szCs w:val="20"/>
              </w:rPr>
            </w:pPr>
            <w:r w:rsidRPr="00C7224B">
              <w:rPr>
                <w:sz w:val="20"/>
                <w:szCs w:val="20"/>
              </w:rPr>
              <w:t>150,</w:t>
            </w:r>
            <w:r w:rsidRPr="00C7224B">
              <w:rPr>
                <w:sz w:val="20"/>
                <w:szCs w:val="20"/>
                <w:lang w:val="vi-VN"/>
              </w:rPr>
              <w:t>91</w:t>
            </w:r>
            <w:r w:rsidRPr="00C7224B">
              <w:rPr>
                <w:sz w:val="20"/>
                <w:szCs w:val="20"/>
                <w:vertAlign w:val="superscript"/>
                <w:lang w:val="vi-VN"/>
              </w:rPr>
              <w:t>a</w:t>
            </w:r>
            <w:r w:rsidRPr="00C7224B">
              <w:rPr>
                <w:sz w:val="20"/>
                <w:szCs w:val="20"/>
                <w:lang w:val="vi-VN"/>
              </w:rPr>
              <w:t xml:space="preserve"> ± </w:t>
            </w:r>
            <w:r w:rsidRPr="00C7224B">
              <w:rPr>
                <w:sz w:val="20"/>
                <w:szCs w:val="20"/>
              </w:rPr>
              <w:t>8,73</w:t>
            </w:r>
          </w:p>
        </w:tc>
      </w:tr>
    </w:tbl>
    <w:p w:rsidR="00423F4E" w:rsidRPr="000601B7" w:rsidRDefault="00423F4E" w:rsidP="00423F4E">
      <w:pPr>
        <w:pStyle w:val="NormalWeb"/>
        <w:spacing w:before="120" w:beforeAutospacing="0" w:after="120" w:afterAutospacing="0"/>
        <w:contextualSpacing/>
        <w:rPr>
          <w:iCs/>
          <w:sz w:val="20"/>
          <w:szCs w:val="20"/>
          <w:lang w:val="vi-VN"/>
        </w:rPr>
      </w:pPr>
      <w:r w:rsidRPr="000601B7">
        <w:rPr>
          <w:iCs/>
          <w:sz w:val="20"/>
          <w:szCs w:val="20"/>
        </w:rPr>
        <w:t>(C</w:t>
      </w:r>
      <w:r w:rsidRPr="000601B7">
        <w:rPr>
          <w:iCs/>
          <w:sz w:val="20"/>
          <w:szCs w:val="20"/>
          <w:lang w:val="vi-VN"/>
        </w:rPr>
        <w:t xml:space="preserve">hữ cái khác nhau thể hiện sự khác biệt có ý nghĩa thống kê ở </w:t>
      </w:r>
      <w:r w:rsidRPr="000601B7">
        <w:rPr>
          <w:iCs/>
          <w:sz w:val="20"/>
          <w:szCs w:val="20"/>
        </w:rPr>
        <w:t>p</w:t>
      </w:r>
      <w:r w:rsidRPr="000601B7">
        <w:rPr>
          <w:iCs/>
          <w:sz w:val="20"/>
          <w:szCs w:val="20"/>
          <w:lang w:val="vi-VN"/>
        </w:rPr>
        <w:t xml:space="preserve"> </w:t>
      </w:r>
      <w:r w:rsidRPr="000601B7">
        <w:rPr>
          <w:iCs/>
          <w:sz w:val="20"/>
          <w:szCs w:val="20"/>
        </w:rPr>
        <w:t>≤</w:t>
      </w:r>
      <w:r w:rsidRPr="000601B7">
        <w:rPr>
          <w:iCs/>
          <w:sz w:val="20"/>
          <w:szCs w:val="20"/>
          <w:lang w:val="vi-VN"/>
        </w:rPr>
        <w:t xml:space="preserve"> </w:t>
      </w:r>
      <w:r w:rsidRPr="000601B7">
        <w:rPr>
          <w:iCs/>
          <w:sz w:val="20"/>
          <w:szCs w:val="20"/>
        </w:rPr>
        <w:t>0,05)</w:t>
      </w:r>
    </w:p>
    <w:p w:rsidR="00423F4E" w:rsidRPr="00902F97" w:rsidRDefault="00423F4E" w:rsidP="00423F4E">
      <w:pPr>
        <w:spacing w:before="120" w:after="120" w:line="240" w:lineRule="auto"/>
        <w:ind w:firstLine="720"/>
        <w:jc w:val="both"/>
        <w:rPr>
          <w:sz w:val="22"/>
          <w:szCs w:val="22"/>
        </w:rPr>
      </w:pPr>
      <w:r w:rsidRPr="00902F97">
        <w:rPr>
          <w:noProof/>
          <w:sz w:val="22"/>
          <w:szCs w:val="22"/>
        </w:rPr>
        <w:drawing>
          <wp:inline distT="0" distB="0" distL="0" distR="0" wp14:anchorId="6C655B5C" wp14:editId="076EC406">
            <wp:extent cx="2382716" cy="1511935"/>
            <wp:effectExtent l="0" t="0" r="0" b="0"/>
            <wp:docPr id="944551518" name="Picture 2" descr="A collage of different types of r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58325" name="Picture 2" descr="A collage of different types of ric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02" r="2905" b="51334"/>
                    <a:stretch/>
                  </pic:blipFill>
                  <pic:spPr bwMode="auto">
                    <a:xfrm>
                      <a:off x="0" y="0"/>
                      <a:ext cx="2402844" cy="1524707"/>
                    </a:xfrm>
                    <a:prstGeom prst="rect">
                      <a:avLst/>
                    </a:prstGeom>
                    <a:noFill/>
                    <a:ln>
                      <a:noFill/>
                    </a:ln>
                    <a:extLst>
                      <a:ext uri="{53640926-AAD7-44D8-BBD7-CCE9431645EC}">
                        <a14:shadowObscured xmlns:a14="http://schemas.microsoft.com/office/drawing/2010/main"/>
                      </a:ext>
                    </a:extLst>
                  </pic:spPr>
                </pic:pic>
              </a:graphicData>
            </a:graphic>
          </wp:inline>
        </w:drawing>
      </w:r>
      <w:r w:rsidRPr="00902F97">
        <w:rPr>
          <w:noProof/>
          <w:sz w:val="22"/>
          <w:szCs w:val="22"/>
        </w:rPr>
        <w:drawing>
          <wp:inline distT="0" distB="0" distL="0" distR="0" wp14:anchorId="3F62C75D" wp14:editId="4B870291">
            <wp:extent cx="2357384" cy="1503191"/>
            <wp:effectExtent l="0" t="0" r="5080" b="1905"/>
            <wp:docPr id="1071958325" name="Picture 2" descr="A collage of different types of r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58325" name="Picture 2" descr="A collage of different types of ric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0511" b="2505"/>
                    <a:stretch/>
                  </pic:blipFill>
                  <pic:spPr bwMode="auto">
                    <a:xfrm>
                      <a:off x="0" y="0"/>
                      <a:ext cx="2379381" cy="1517217"/>
                    </a:xfrm>
                    <a:prstGeom prst="rect">
                      <a:avLst/>
                    </a:prstGeom>
                    <a:noFill/>
                    <a:ln>
                      <a:noFill/>
                    </a:ln>
                    <a:extLst>
                      <a:ext uri="{53640926-AAD7-44D8-BBD7-CCE9431645EC}">
                        <a14:shadowObscured xmlns:a14="http://schemas.microsoft.com/office/drawing/2010/main"/>
                      </a:ext>
                    </a:extLst>
                  </pic:spPr>
                </pic:pic>
              </a:graphicData>
            </a:graphic>
          </wp:inline>
        </w:drawing>
      </w:r>
    </w:p>
    <w:p w:rsidR="00423F4E" w:rsidRPr="000601B7" w:rsidRDefault="00423F4E" w:rsidP="00423F4E">
      <w:pPr>
        <w:spacing w:before="120" w:after="240" w:line="240" w:lineRule="auto"/>
        <w:rPr>
          <w:sz w:val="20"/>
          <w:szCs w:val="20"/>
        </w:rPr>
      </w:pPr>
      <w:r w:rsidRPr="000601B7">
        <w:rPr>
          <w:sz w:val="20"/>
          <w:szCs w:val="20"/>
        </w:rPr>
        <w:t>Hình 1. Ảnh hưởng của thời gian rang đến màu sắc gạo</w:t>
      </w:r>
    </w:p>
    <w:p w:rsidR="00423F4E" w:rsidRPr="0025493B" w:rsidRDefault="00423F4E" w:rsidP="00423F4E">
      <w:pPr>
        <w:spacing w:before="120" w:after="120" w:line="240" w:lineRule="auto"/>
        <w:jc w:val="both"/>
        <w:rPr>
          <w:sz w:val="22"/>
          <w:szCs w:val="22"/>
          <w:lang w:val="vi-VN"/>
        </w:rPr>
      </w:pPr>
      <w:r w:rsidRPr="0025493B">
        <w:rPr>
          <w:sz w:val="22"/>
          <w:szCs w:val="22"/>
          <w:lang w:val="vi-VN"/>
        </w:rPr>
        <w:t xml:space="preserve">Kết quả </w:t>
      </w:r>
      <w:r>
        <w:rPr>
          <w:sz w:val="22"/>
          <w:szCs w:val="22"/>
        </w:rPr>
        <w:t>b</w:t>
      </w:r>
      <w:r w:rsidRPr="0025493B">
        <w:rPr>
          <w:sz w:val="22"/>
          <w:szCs w:val="22"/>
          <w:lang w:val="vi-VN"/>
        </w:rPr>
        <w:t xml:space="preserve">ảng </w:t>
      </w:r>
      <w:r>
        <w:rPr>
          <w:sz w:val="22"/>
          <w:szCs w:val="22"/>
        </w:rPr>
        <w:t>1</w:t>
      </w:r>
      <w:r w:rsidRPr="0025493B">
        <w:rPr>
          <w:sz w:val="22"/>
          <w:szCs w:val="22"/>
        </w:rPr>
        <w:t xml:space="preserve"> </w:t>
      </w:r>
      <w:r w:rsidRPr="0025493B">
        <w:rPr>
          <w:sz w:val="22"/>
          <w:szCs w:val="22"/>
          <w:lang w:val="vi-VN"/>
        </w:rPr>
        <w:t xml:space="preserve">cho thấy, thời gian </w:t>
      </w:r>
      <w:r>
        <w:rPr>
          <w:sz w:val="22"/>
          <w:szCs w:val="22"/>
        </w:rPr>
        <w:t xml:space="preserve">rang </w:t>
      </w:r>
      <w:r w:rsidRPr="0025493B">
        <w:rPr>
          <w:sz w:val="22"/>
          <w:szCs w:val="22"/>
          <w:lang w:val="vi-VN"/>
        </w:rPr>
        <w:t>càng lâu chỉ số nâu hóa BI càng tăng dần</w:t>
      </w:r>
      <w:r>
        <w:rPr>
          <w:sz w:val="22"/>
          <w:szCs w:val="22"/>
        </w:rPr>
        <w:t xml:space="preserve"> đạt từ </w:t>
      </w:r>
      <w:r w:rsidRPr="0025493B">
        <w:rPr>
          <w:sz w:val="22"/>
          <w:szCs w:val="22"/>
          <w:lang w:val="vi-VN"/>
        </w:rPr>
        <w:t>30,54</w:t>
      </w:r>
      <w:r>
        <w:rPr>
          <w:sz w:val="22"/>
          <w:szCs w:val="22"/>
          <w:lang w:val="vi-VN"/>
        </w:rPr>
        <w:t>±</w:t>
      </w:r>
      <w:r>
        <w:rPr>
          <w:sz w:val="22"/>
          <w:szCs w:val="22"/>
        </w:rPr>
        <w:t>1,34</w:t>
      </w:r>
      <w:r w:rsidRPr="0025493B">
        <w:rPr>
          <w:sz w:val="22"/>
          <w:szCs w:val="22"/>
          <w:lang w:val="vi-VN"/>
        </w:rPr>
        <w:t xml:space="preserve"> </w:t>
      </w:r>
      <w:r>
        <w:rPr>
          <w:sz w:val="22"/>
          <w:szCs w:val="22"/>
        </w:rPr>
        <w:t>đến</w:t>
      </w:r>
      <w:r w:rsidRPr="0025493B">
        <w:rPr>
          <w:sz w:val="22"/>
          <w:szCs w:val="22"/>
          <w:lang w:val="vi-VN"/>
        </w:rPr>
        <w:t xml:space="preserve"> 150,91</w:t>
      </w:r>
      <w:r>
        <w:rPr>
          <w:sz w:val="22"/>
          <w:szCs w:val="22"/>
          <w:lang w:val="vi-VN"/>
        </w:rPr>
        <w:t>±</w:t>
      </w:r>
      <w:r>
        <w:rPr>
          <w:sz w:val="22"/>
          <w:szCs w:val="22"/>
        </w:rPr>
        <w:t>8,73</w:t>
      </w:r>
      <w:r w:rsidRPr="0025493B">
        <w:rPr>
          <w:sz w:val="22"/>
          <w:szCs w:val="22"/>
          <w:lang w:val="vi-VN"/>
        </w:rPr>
        <w:t xml:space="preserve"> </w:t>
      </w:r>
      <w:r>
        <w:rPr>
          <w:sz w:val="22"/>
          <w:szCs w:val="22"/>
        </w:rPr>
        <w:t>với sự khác biệt có ý</w:t>
      </w:r>
      <w:r w:rsidRPr="0025493B">
        <w:rPr>
          <w:sz w:val="22"/>
          <w:szCs w:val="22"/>
          <w:lang w:val="vi-VN"/>
        </w:rPr>
        <w:t xml:space="preserve"> thống kê ( </w:t>
      </w:r>
      <w:r w:rsidRPr="0025493B">
        <w:rPr>
          <w:i/>
          <w:sz w:val="22"/>
          <w:szCs w:val="22"/>
          <w:lang w:val="vi-VN"/>
        </w:rPr>
        <w:t>p ≤</w:t>
      </w:r>
      <w:r w:rsidRPr="0025493B">
        <w:rPr>
          <w:sz w:val="22"/>
          <w:szCs w:val="22"/>
          <w:lang w:val="vi-VN"/>
        </w:rPr>
        <w:t xml:space="preserve"> 0,05). Chỉ số BI tăng mạnh tại thời gian từ 40 đến 50 phút, xảy ra nâu hóa mạnh và tạo ra mùi cháy, khét làm giảm chất lượng </w:t>
      </w:r>
      <w:r>
        <w:rPr>
          <w:sz w:val="22"/>
          <w:szCs w:val="22"/>
        </w:rPr>
        <w:t xml:space="preserve">và giá trị </w:t>
      </w:r>
      <w:r w:rsidRPr="0025493B">
        <w:rPr>
          <w:sz w:val="22"/>
          <w:szCs w:val="22"/>
          <w:lang w:val="vi-VN"/>
        </w:rPr>
        <w:t xml:space="preserve">cảm quan. Việc xử lý nhiệt </w:t>
      </w:r>
      <w:r>
        <w:rPr>
          <w:sz w:val="22"/>
          <w:szCs w:val="22"/>
        </w:rPr>
        <w:t xml:space="preserve">ở thời gian dài </w:t>
      </w:r>
      <w:r w:rsidRPr="0025493B">
        <w:rPr>
          <w:sz w:val="22"/>
          <w:szCs w:val="22"/>
          <w:lang w:val="vi-VN"/>
        </w:rPr>
        <w:t xml:space="preserve">có thể làm tăng </w:t>
      </w:r>
      <w:r>
        <w:rPr>
          <w:sz w:val="22"/>
          <w:szCs w:val="22"/>
        </w:rPr>
        <w:t xml:space="preserve">tổn thất </w:t>
      </w:r>
      <w:r w:rsidRPr="0025493B">
        <w:rPr>
          <w:sz w:val="22"/>
          <w:szCs w:val="22"/>
          <w:lang w:val="vi-VN"/>
        </w:rPr>
        <w:t xml:space="preserve">tổng lượng đường và </w:t>
      </w:r>
      <w:r>
        <w:rPr>
          <w:sz w:val="22"/>
          <w:szCs w:val="22"/>
        </w:rPr>
        <w:t xml:space="preserve">vì vậy </w:t>
      </w:r>
      <w:r w:rsidRPr="0025493B">
        <w:rPr>
          <w:sz w:val="22"/>
          <w:szCs w:val="22"/>
          <w:lang w:val="vi-VN"/>
        </w:rPr>
        <w:t>BI</w:t>
      </w:r>
      <w:r>
        <w:rPr>
          <w:sz w:val="22"/>
          <w:szCs w:val="22"/>
        </w:rPr>
        <w:t xml:space="preserve"> tăng</w:t>
      </w:r>
      <w:r w:rsidRPr="0063481C">
        <w:rPr>
          <w:sz w:val="22"/>
          <w:szCs w:val="22"/>
          <w:vertAlign w:val="superscript"/>
        </w:rPr>
        <w:t>13</w:t>
      </w:r>
      <w:r w:rsidRPr="0025493B">
        <w:rPr>
          <w:sz w:val="22"/>
          <w:szCs w:val="22"/>
          <w:lang w:val="vi-VN"/>
        </w:rPr>
        <w:t>. Kết quả cho rang gạo ở nhiệt độ 150</w:t>
      </w:r>
      <w:r w:rsidRPr="0025493B">
        <w:rPr>
          <w:sz w:val="22"/>
          <w:szCs w:val="22"/>
          <w:vertAlign w:val="superscript"/>
          <w:lang w:val="vi-VN"/>
        </w:rPr>
        <w:t>o</w:t>
      </w:r>
      <w:r w:rsidRPr="0025493B">
        <w:rPr>
          <w:sz w:val="22"/>
          <w:szCs w:val="22"/>
          <w:lang w:val="vi-VN"/>
        </w:rPr>
        <w:t>C trong 30 phút là phù hợp nhất</w:t>
      </w:r>
      <w:r>
        <w:rPr>
          <w:sz w:val="22"/>
          <w:szCs w:val="22"/>
        </w:rPr>
        <w:t xml:space="preserve"> có </w:t>
      </w:r>
      <w:r w:rsidRPr="0025493B">
        <w:rPr>
          <w:sz w:val="22"/>
          <w:szCs w:val="22"/>
          <w:lang w:val="vi-VN"/>
        </w:rPr>
        <w:t xml:space="preserve">chỉ số hóa nâu BI </w:t>
      </w:r>
      <w:r>
        <w:rPr>
          <w:sz w:val="22"/>
          <w:szCs w:val="22"/>
        </w:rPr>
        <w:t>là</w:t>
      </w:r>
      <w:r w:rsidRPr="0025493B">
        <w:rPr>
          <w:sz w:val="22"/>
          <w:szCs w:val="22"/>
          <w:lang w:val="vi-VN"/>
        </w:rPr>
        <w:t xml:space="preserve"> 65,85</w:t>
      </w:r>
      <w:r>
        <w:rPr>
          <w:sz w:val="22"/>
          <w:szCs w:val="22"/>
        </w:rPr>
        <w:t>;</w:t>
      </w:r>
      <w:r w:rsidRPr="0025493B">
        <w:rPr>
          <w:sz w:val="22"/>
          <w:szCs w:val="22"/>
          <w:lang w:val="vi-VN"/>
        </w:rPr>
        <w:t xml:space="preserve"> màu sắc của gạo rang có màu vàng sáng và có mùi thơm đặc trưng.</w:t>
      </w:r>
    </w:p>
    <w:p w:rsidR="00423F4E" w:rsidRPr="0025493B" w:rsidRDefault="00423F4E" w:rsidP="00423F4E">
      <w:pPr>
        <w:spacing w:before="120" w:after="120" w:line="240" w:lineRule="auto"/>
        <w:jc w:val="both"/>
        <w:outlineLvl w:val="0"/>
        <w:rPr>
          <w:b/>
          <w:sz w:val="22"/>
          <w:szCs w:val="22"/>
          <w:lang w:val="vi-VN"/>
        </w:rPr>
      </w:pPr>
      <w:bookmarkStart w:id="3" w:name="_Toc199164264"/>
      <w:r w:rsidRPr="0025493B">
        <w:rPr>
          <w:b/>
          <w:sz w:val="22"/>
          <w:szCs w:val="22"/>
          <w:lang w:val="vi-VN"/>
        </w:rPr>
        <w:t xml:space="preserve">Khảo sát tỷ lệ phối trộn gạo rang, mắc ca và nước trong quy trình chế biến sữa hạt </w:t>
      </w:r>
      <w:bookmarkEnd w:id="3"/>
    </w:p>
    <w:p w:rsidR="00423F4E" w:rsidRPr="0025493B" w:rsidRDefault="00423F4E" w:rsidP="00423F4E">
      <w:pPr>
        <w:spacing w:before="120" w:after="120" w:line="240" w:lineRule="auto"/>
        <w:jc w:val="both"/>
        <w:outlineLvl w:val="0"/>
        <w:rPr>
          <w:b/>
          <w:sz w:val="22"/>
          <w:szCs w:val="22"/>
          <w:lang w:val="vi-VN"/>
        </w:rPr>
      </w:pPr>
      <w:bookmarkStart w:id="4" w:name="_Toc199164265"/>
      <w:r w:rsidRPr="0025493B">
        <w:rPr>
          <w:b/>
          <w:sz w:val="22"/>
          <w:szCs w:val="22"/>
          <w:lang w:val="vi-VN"/>
        </w:rPr>
        <w:t>Biến đổi</w:t>
      </w:r>
      <w:r>
        <w:rPr>
          <w:b/>
          <w:sz w:val="22"/>
          <w:szCs w:val="22"/>
        </w:rPr>
        <w:t xml:space="preserve"> của</w:t>
      </w:r>
      <w:r w:rsidRPr="0025493B">
        <w:rPr>
          <w:b/>
          <w:sz w:val="22"/>
          <w:szCs w:val="22"/>
          <w:lang w:val="vi-VN"/>
        </w:rPr>
        <w:t xml:space="preserve"> màu sắc, giá trị pH và nồng độ chất khô hòa tan</w:t>
      </w:r>
      <w:bookmarkEnd w:id="4"/>
    </w:p>
    <w:p w:rsidR="00423F4E" w:rsidRPr="00581846" w:rsidRDefault="00423F4E" w:rsidP="00423F4E">
      <w:pPr>
        <w:spacing w:before="120" w:after="120" w:line="240" w:lineRule="auto"/>
        <w:ind w:firstLine="461"/>
        <w:jc w:val="both"/>
        <w:rPr>
          <w:sz w:val="22"/>
          <w:szCs w:val="22"/>
        </w:rPr>
      </w:pPr>
      <w:r w:rsidRPr="0025493B">
        <w:rPr>
          <w:sz w:val="22"/>
          <w:szCs w:val="22"/>
          <w:lang w:val="vi-VN"/>
        </w:rPr>
        <w:t>Màu sắc của thực phẩm là một chỉ tiêu quan trọng trong chế biến thực phẩm</w:t>
      </w:r>
      <w:r w:rsidRPr="0025493B">
        <w:rPr>
          <w:sz w:val="22"/>
          <w:szCs w:val="22"/>
        </w:rPr>
        <w:t xml:space="preserve">, </w:t>
      </w:r>
      <w:r w:rsidRPr="0025493B">
        <w:rPr>
          <w:sz w:val="22"/>
          <w:szCs w:val="22"/>
          <w:lang w:val="vi-VN"/>
        </w:rPr>
        <w:t xml:space="preserve">giúp </w:t>
      </w:r>
      <w:r w:rsidRPr="0025493B">
        <w:rPr>
          <w:sz w:val="22"/>
          <w:szCs w:val="22"/>
        </w:rPr>
        <w:t>thu hút thị giác của người tiêu dùng, tạo ấn tượng sâu sắc ban đầu về cảm quan sản phẩm</w:t>
      </w:r>
      <w:r w:rsidRPr="0063481C">
        <w:rPr>
          <w:sz w:val="22"/>
          <w:szCs w:val="22"/>
          <w:vertAlign w:val="superscript"/>
        </w:rPr>
        <w:t>14</w:t>
      </w:r>
      <w:r w:rsidRPr="0025493B">
        <w:rPr>
          <w:sz w:val="22"/>
          <w:szCs w:val="22"/>
        </w:rPr>
        <w:t xml:space="preserve">. </w:t>
      </w:r>
      <w:r w:rsidRPr="0025493B">
        <w:rPr>
          <w:sz w:val="22"/>
          <w:szCs w:val="22"/>
          <w:lang w:val="vi-VN"/>
        </w:rPr>
        <w:t>Trong khi đó, độ pH chính là thước đo để xác định sản phẩm thuộc nhóm axit hoặc bazơ.</w:t>
      </w:r>
      <w:r w:rsidRPr="0025493B">
        <w:rPr>
          <w:sz w:val="22"/>
          <w:szCs w:val="22"/>
        </w:rPr>
        <w:t xml:space="preserve"> </w:t>
      </w:r>
      <w:r w:rsidRPr="0025493B">
        <w:rPr>
          <w:sz w:val="22"/>
          <w:szCs w:val="22"/>
          <w:lang w:val="vi-VN"/>
        </w:rPr>
        <w:t>Ngoài ra, nồng độ chất khô hòa tan trong sữa hạt là chỉ tiêu giúp đánh giá thành phần dinh dưỡng và đặc biệt là tạo độ ngọt cho sản phẩm</w:t>
      </w:r>
      <w:r w:rsidRPr="0063481C">
        <w:rPr>
          <w:sz w:val="22"/>
          <w:szCs w:val="22"/>
          <w:vertAlign w:val="superscript"/>
        </w:rPr>
        <w:t>15</w:t>
      </w:r>
      <w:r w:rsidRPr="0025493B">
        <w:rPr>
          <w:sz w:val="22"/>
          <w:szCs w:val="22"/>
          <w:lang w:val="vi-VN"/>
        </w:rPr>
        <w:t>. Tùy vào các loại hạt khác nhau mà nồng độ chất khô hòa tan cũng khác nhau.</w:t>
      </w:r>
      <w:r>
        <w:rPr>
          <w:sz w:val="22"/>
          <w:szCs w:val="22"/>
        </w:rPr>
        <w:t xml:space="preserve"> </w:t>
      </w:r>
    </w:p>
    <w:p w:rsidR="00423F4E" w:rsidRPr="000601B7" w:rsidRDefault="00423F4E" w:rsidP="00423F4E">
      <w:pPr>
        <w:pStyle w:val="Bng1"/>
        <w:spacing w:before="240" w:after="120" w:line="240" w:lineRule="auto"/>
        <w:jc w:val="left"/>
        <w:rPr>
          <w:sz w:val="20"/>
          <w:szCs w:val="20"/>
        </w:rPr>
      </w:pPr>
      <w:bookmarkStart w:id="5" w:name="_Toc198933855"/>
      <w:r w:rsidRPr="000601B7">
        <w:rPr>
          <w:sz w:val="20"/>
          <w:szCs w:val="20"/>
        </w:rPr>
        <w:t xml:space="preserve">Bảng </w:t>
      </w:r>
      <w:r w:rsidRPr="000601B7">
        <w:rPr>
          <w:sz w:val="20"/>
          <w:szCs w:val="20"/>
          <w:lang w:val="en-US"/>
        </w:rPr>
        <w:t>2</w:t>
      </w:r>
      <w:r w:rsidRPr="000601B7">
        <w:rPr>
          <w:sz w:val="20"/>
          <w:szCs w:val="20"/>
        </w:rPr>
        <w:t>. Ảnh hưởng của tỷ lệ nước đến độ sáng L*, độ pH và nồng độ chất khô hòa tan của dịch sữa</w:t>
      </w:r>
      <w:bookmarkEnd w:id="5"/>
    </w:p>
    <w:tbl>
      <w:tblPr>
        <w:tblW w:w="7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391"/>
        <w:gridCol w:w="1342"/>
        <w:gridCol w:w="2426"/>
      </w:tblGrid>
      <w:tr w:rsidR="00423F4E" w:rsidRPr="00D738CB" w:rsidTr="005536A8">
        <w:trPr>
          <w:jc w:val="center"/>
        </w:trPr>
        <w:tc>
          <w:tcPr>
            <w:tcW w:w="2536" w:type="dxa"/>
            <w:vAlign w:val="center"/>
          </w:tcPr>
          <w:p w:rsidR="00423F4E" w:rsidRPr="00D738CB" w:rsidRDefault="00423F4E" w:rsidP="00DD345E">
            <w:pPr>
              <w:spacing w:after="0" w:line="240" w:lineRule="auto"/>
              <w:jc w:val="center"/>
              <w:rPr>
                <w:b/>
                <w:sz w:val="20"/>
                <w:szCs w:val="20"/>
                <w:lang w:val="vi-VN"/>
              </w:rPr>
            </w:pPr>
            <w:r>
              <w:rPr>
                <w:b/>
                <w:sz w:val="20"/>
                <w:szCs w:val="20"/>
              </w:rPr>
              <w:t>G</w:t>
            </w:r>
            <w:r w:rsidRPr="00D738CB">
              <w:rPr>
                <w:b/>
                <w:sz w:val="20"/>
                <w:szCs w:val="20"/>
                <w:lang w:val="vi-VN"/>
              </w:rPr>
              <w:t>ạo rang</w:t>
            </w:r>
            <w:r>
              <w:rPr>
                <w:b/>
                <w:sz w:val="20"/>
                <w:szCs w:val="20"/>
              </w:rPr>
              <w:t xml:space="preserve"> </w:t>
            </w:r>
            <w:r w:rsidRPr="00D738CB">
              <w:rPr>
                <w:b/>
                <w:sz w:val="20"/>
                <w:szCs w:val="20"/>
                <w:lang w:val="vi-VN"/>
              </w:rPr>
              <w:t>:</w:t>
            </w:r>
            <w:r>
              <w:rPr>
                <w:b/>
                <w:sz w:val="20"/>
                <w:szCs w:val="20"/>
              </w:rPr>
              <w:t xml:space="preserve"> M</w:t>
            </w:r>
            <w:r w:rsidRPr="00D738CB">
              <w:rPr>
                <w:b/>
                <w:sz w:val="20"/>
                <w:szCs w:val="20"/>
                <w:lang w:val="vi-VN"/>
              </w:rPr>
              <w:t>ắc ca</w:t>
            </w:r>
            <w:r>
              <w:rPr>
                <w:b/>
                <w:sz w:val="20"/>
                <w:szCs w:val="20"/>
              </w:rPr>
              <w:t xml:space="preserve"> </w:t>
            </w:r>
            <w:r w:rsidRPr="00D738CB">
              <w:rPr>
                <w:b/>
                <w:sz w:val="20"/>
                <w:szCs w:val="20"/>
                <w:lang w:val="vi-VN"/>
              </w:rPr>
              <w:t>:</w:t>
            </w:r>
            <w:r>
              <w:rPr>
                <w:b/>
                <w:sz w:val="20"/>
                <w:szCs w:val="20"/>
              </w:rPr>
              <w:t xml:space="preserve"> N</w:t>
            </w:r>
            <w:r w:rsidRPr="00D738CB">
              <w:rPr>
                <w:b/>
                <w:sz w:val="20"/>
                <w:szCs w:val="20"/>
                <w:lang w:val="vi-VN"/>
              </w:rPr>
              <w:t>ước</w:t>
            </w:r>
          </w:p>
        </w:tc>
        <w:tc>
          <w:tcPr>
            <w:tcW w:w="1391" w:type="dxa"/>
            <w:vAlign w:val="center"/>
          </w:tcPr>
          <w:p w:rsidR="00423F4E" w:rsidRPr="00D738CB" w:rsidRDefault="00423F4E" w:rsidP="00DD345E">
            <w:pPr>
              <w:spacing w:after="0" w:line="240" w:lineRule="auto"/>
              <w:jc w:val="center"/>
              <w:rPr>
                <w:b/>
                <w:sz w:val="20"/>
                <w:szCs w:val="20"/>
                <w:lang w:val="vi-VN"/>
              </w:rPr>
            </w:pPr>
            <w:r w:rsidRPr="00D738CB">
              <w:rPr>
                <w:b/>
                <w:sz w:val="20"/>
                <w:szCs w:val="20"/>
                <w:lang w:val="vi-VN"/>
              </w:rPr>
              <w:t>Độ sáng L*</w:t>
            </w:r>
          </w:p>
        </w:tc>
        <w:tc>
          <w:tcPr>
            <w:tcW w:w="1342" w:type="dxa"/>
            <w:vAlign w:val="center"/>
          </w:tcPr>
          <w:p w:rsidR="00423F4E" w:rsidRPr="00D738CB" w:rsidRDefault="00423F4E" w:rsidP="00DD345E">
            <w:pPr>
              <w:spacing w:after="0" w:line="240" w:lineRule="auto"/>
              <w:jc w:val="center"/>
              <w:rPr>
                <w:b/>
                <w:sz w:val="20"/>
                <w:szCs w:val="20"/>
                <w:lang w:val="vi-VN"/>
              </w:rPr>
            </w:pPr>
            <w:r w:rsidRPr="00D738CB">
              <w:rPr>
                <w:b/>
                <w:sz w:val="20"/>
                <w:szCs w:val="20"/>
                <w:lang w:val="vi-VN"/>
              </w:rPr>
              <w:t>Độ pH</w:t>
            </w:r>
          </w:p>
        </w:tc>
        <w:tc>
          <w:tcPr>
            <w:tcW w:w="2426" w:type="dxa"/>
          </w:tcPr>
          <w:p w:rsidR="00423F4E" w:rsidRPr="00694CEB" w:rsidRDefault="00423F4E" w:rsidP="00DD345E">
            <w:pPr>
              <w:spacing w:after="0" w:line="240" w:lineRule="auto"/>
              <w:jc w:val="center"/>
              <w:rPr>
                <w:b/>
                <w:sz w:val="20"/>
                <w:szCs w:val="20"/>
              </w:rPr>
            </w:pPr>
            <w:r>
              <w:rPr>
                <w:b/>
                <w:sz w:val="20"/>
                <w:szCs w:val="20"/>
              </w:rPr>
              <w:t>C</w:t>
            </w:r>
            <w:r w:rsidRPr="00D738CB">
              <w:rPr>
                <w:b/>
                <w:sz w:val="20"/>
                <w:szCs w:val="20"/>
                <w:lang w:val="vi-VN"/>
              </w:rPr>
              <w:t>hất khô hòa tan (</w:t>
            </w:r>
            <w:r w:rsidRPr="00D738CB">
              <w:rPr>
                <w:b/>
                <w:sz w:val="20"/>
                <w:szCs w:val="20"/>
                <w:vertAlign w:val="superscript"/>
                <w:lang w:val="vi-VN"/>
              </w:rPr>
              <w:t>o</w:t>
            </w:r>
            <w:r w:rsidRPr="00D738CB">
              <w:rPr>
                <w:b/>
                <w:sz w:val="20"/>
                <w:szCs w:val="20"/>
                <w:lang w:val="vi-VN"/>
              </w:rPr>
              <w:t>Brix)</w:t>
            </w:r>
          </w:p>
        </w:tc>
      </w:tr>
      <w:tr w:rsidR="00423F4E" w:rsidRPr="00D738CB" w:rsidTr="005536A8">
        <w:trPr>
          <w:jc w:val="center"/>
        </w:trPr>
        <w:tc>
          <w:tcPr>
            <w:tcW w:w="2536"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6</w:t>
            </w:r>
          </w:p>
        </w:tc>
        <w:tc>
          <w:tcPr>
            <w:tcW w:w="1391"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73,25</w:t>
            </w:r>
            <w:r w:rsidRPr="00D738CB">
              <w:rPr>
                <w:sz w:val="20"/>
                <w:szCs w:val="20"/>
                <w:vertAlign w:val="superscript"/>
                <w:lang w:val="vi-VN"/>
              </w:rPr>
              <w:t>a</w:t>
            </w:r>
            <w:r w:rsidRPr="00D738CB">
              <w:rPr>
                <w:sz w:val="20"/>
                <w:szCs w:val="20"/>
                <w:lang w:val="vi-VN"/>
              </w:rPr>
              <w:t xml:space="preserve"> ± 0,87</w:t>
            </w:r>
          </w:p>
        </w:tc>
        <w:tc>
          <w:tcPr>
            <w:tcW w:w="1342"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6,42 ± 0,03</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8,2</w:t>
            </w:r>
            <w:r w:rsidRPr="00D738CB">
              <w:rPr>
                <w:sz w:val="20"/>
                <w:szCs w:val="20"/>
                <w:vertAlign w:val="superscript"/>
                <w:lang w:val="vi-VN"/>
              </w:rPr>
              <w:t>a</w:t>
            </w:r>
            <w:r w:rsidRPr="00D738CB">
              <w:rPr>
                <w:sz w:val="20"/>
                <w:szCs w:val="20"/>
                <w:lang w:val="vi-VN"/>
              </w:rPr>
              <w:t xml:space="preserve"> ± 0,0</w:t>
            </w:r>
          </w:p>
        </w:tc>
      </w:tr>
      <w:tr w:rsidR="00423F4E" w:rsidRPr="00D738CB" w:rsidTr="005536A8">
        <w:trPr>
          <w:jc w:val="center"/>
        </w:trPr>
        <w:tc>
          <w:tcPr>
            <w:tcW w:w="2536"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8</w:t>
            </w:r>
          </w:p>
        </w:tc>
        <w:tc>
          <w:tcPr>
            <w:tcW w:w="1391"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70,40</w:t>
            </w:r>
            <w:r w:rsidRPr="00D738CB">
              <w:rPr>
                <w:sz w:val="20"/>
                <w:szCs w:val="20"/>
                <w:vertAlign w:val="superscript"/>
                <w:lang w:val="vi-VN"/>
              </w:rPr>
              <w:t>b</w:t>
            </w:r>
            <w:r w:rsidRPr="00D738CB">
              <w:rPr>
                <w:sz w:val="20"/>
                <w:szCs w:val="20"/>
                <w:lang w:val="vi-VN"/>
              </w:rPr>
              <w:t xml:space="preserve"> ± 0,19</w:t>
            </w:r>
          </w:p>
        </w:tc>
        <w:tc>
          <w:tcPr>
            <w:tcW w:w="1342"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6,39</w:t>
            </w:r>
            <w:r w:rsidRPr="00D738CB">
              <w:rPr>
                <w:sz w:val="20"/>
                <w:szCs w:val="20"/>
                <w:vertAlign w:val="superscript"/>
                <w:lang w:val="vi-VN"/>
              </w:rPr>
              <w:t xml:space="preserve"> </w:t>
            </w:r>
            <w:r w:rsidRPr="00D738CB">
              <w:rPr>
                <w:sz w:val="20"/>
                <w:szCs w:val="20"/>
                <w:lang w:val="vi-VN"/>
              </w:rPr>
              <w:t>± 0,02</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7,0</w:t>
            </w:r>
            <w:r w:rsidRPr="00D738CB">
              <w:rPr>
                <w:sz w:val="20"/>
                <w:szCs w:val="20"/>
                <w:vertAlign w:val="superscript"/>
                <w:lang w:val="vi-VN"/>
              </w:rPr>
              <w:t xml:space="preserve">b </w:t>
            </w:r>
            <w:r w:rsidRPr="00D738CB">
              <w:rPr>
                <w:sz w:val="20"/>
                <w:szCs w:val="20"/>
                <w:lang w:val="vi-VN"/>
              </w:rPr>
              <w:t>± 0,0</w:t>
            </w:r>
          </w:p>
        </w:tc>
      </w:tr>
      <w:tr w:rsidR="00423F4E" w:rsidRPr="00D738CB" w:rsidTr="005536A8">
        <w:trPr>
          <w:jc w:val="center"/>
        </w:trPr>
        <w:tc>
          <w:tcPr>
            <w:tcW w:w="2536"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10</w:t>
            </w:r>
          </w:p>
        </w:tc>
        <w:tc>
          <w:tcPr>
            <w:tcW w:w="1391"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67,91</w:t>
            </w:r>
            <w:r w:rsidRPr="00D738CB">
              <w:rPr>
                <w:sz w:val="20"/>
                <w:szCs w:val="20"/>
                <w:vertAlign w:val="superscript"/>
                <w:lang w:val="vi-VN"/>
              </w:rPr>
              <w:t>c</w:t>
            </w:r>
            <w:r w:rsidRPr="00D738CB">
              <w:rPr>
                <w:sz w:val="20"/>
                <w:szCs w:val="20"/>
                <w:lang w:val="vi-VN"/>
              </w:rPr>
              <w:t xml:space="preserve"> ± 0,23</w:t>
            </w:r>
          </w:p>
        </w:tc>
        <w:tc>
          <w:tcPr>
            <w:tcW w:w="1342"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6,39 ± 0,06</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5,</w:t>
            </w:r>
            <w:r>
              <w:rPr>
                <w:sz w:val="20"/>
                <w:szCs w:val="20"/>
              </w:rPr>
              <w:t>3</w:t>
            </w:r>
            <w:r w:rsidRPr="00D738CB">
              <w:rPr>
                <w:sz w:val="20"/>
                <w:szCs w:val="20"/>
                <w:vertAlign w:val="superscript"/>
                <w:lang w:val="vi-VN"/>
              </w:rPr>
              <w:t>c</w:t>
            </w:r>
            <w:r w:rsidRPr="00D738CB">
              <w:rPr>
                <w:sz w:val="20"/>
                <w:szCs w:val="20"/>
                <w:lang w:val="vi-VN"/>
              </w:rPr>
              <w:t xml:space="preserve"> ± 0,0</w:t>
            </w:r>
          </w:p>
        </w:tc>
      </w:tr>
      <w:tr w:rsidR="00423F4E" w:rsidRPr="00D738CB" w:rsidTr="005536A8">
        <w:trPr>
          <w:jc w:val="center"/>
        </w:trPr>
        <w:tc>
          <w:tcPr>
            <w:tcW w:w="2536"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12</w:t>
            </w:r>
          </w:p>
        </w:tc>
        <w:tc>
          <w:tcPr>
            <w:tcW w:w="1391"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66,00</w:t>
            </w:r>
            <w:r w:rsidRPr="00D738CB">
              <w:rPr>
                <w:sz w:val="20"/>
                <w:szCs w:val="20"/>
                <w:vertAlign w:val="superscript"/>
                <w:lang w:val="vi-VN"/>
              </w:rPr>
              <w:t>c</w:t>
            </w:r>
            <w:r w:rsidRPr="00D738CB">
              <w:rPr>
                <w:sz w:val="20"/>
                <w:szCs w:val="20"/>
                <w:lang w:val="vi-VN"/>
              </w:rPr>
              <w:t xml:space="preserve"> ± 0,71</w:t>
            </w:r>
          </w:p>
        </w:tc>
        <w:tc>
          <w:tcPr>
            <w:tcW w:w="1342"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6,39</w:t>
            </w:r>
            <w:r w:rsidRPr="00D738CB">
              <w:rPr>
                <w:sz w:val="20"/>
                <w:szCs w:val="20"/>
              </w:rPr>
              <w:t xml:space="preserve"> </w:t>
            </w:r>
            <w:r w:rsidRPr="00D738CB">
              <w:rPr>
                <w:sz w:val="20"/>
                <w:szCs w:val="20"/>
                <w:lang w:val="vi-VN"/>
              </w:rPr>
              <w:t>± 0,02</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3,</w:t>
            </w:r>
            <w:r>
              <w:rPr>
                <w:sz w:val="20"/>
                <w:szCs w:val="20"/>
              </w:rPr>
              <w:t>7</w:t>
            </w:r>
            <w:r w:rsidRPr="00D738CB">
              <w:rPr>
                <w:sz w:val="20"/>
                <w:szCs w:val="20"/>
                <w:vertAlign w:val="superscript"/>
                <w:lang w:val="vi-VN"/>
              </w:rPr>
              <w:t xml:space="preserve">d </w:t>
            </w:r>
            <w:r w:rsidRPr="00D738CB">
              <w:rPr>
                <w:sz w:val="20"/>
                <w:szCs w:val="20"/>
                <w:lang w:val="vi-VN"/>
              </w:rPr>
              <w:t>± 0,0</w:t>
            </w:r>
          </w:p>
        </w:tc>
      </w:tr>
      <w:tr w:rsidR="00423F4E" w:rsidRPr="00D738CB" w:rsidTr="005536A8">
        <w:trPr>
          <w:jc w:val="center"/>
        </w:trPr>
        <w:tc>
          <w:tcPr>
            <w:tcW w:w="2536"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w:t>
            </w:r>
            <w:r>
              <w:rPr>
                <w:sz w:val="20"/>
                <w:szCs w:val="20"/>
              </w:rPr>
              <w:t xml:space="preserve"> </w:t>
            </w:r>
            <w:r w:rsidRPr="00D738CB">
              <w:rPr>
                <w:sz w:val="20"/>
                <w:szCs w:val="20"/>
                <w:lang w:val="vi-VN"/>
              </w:rPr>
              <w:t>:</w:t>
            </w:r>
            <w:r>
              <w:rPr>
                <w:sz w:val="20"/>
                <w:szCs w:val="20"/>
              </w:rPr>
              <w:t xml:space="preserve"> </w:t>
            </w:r>
            <w:r w:rsidRPr="00D738CB">
              <w:rPr>
                <w:sz w:val="20"/>
                <w:szCs w:val="20"/>
                <w:lang w:val="vi-VN"/>
              </w:rPr>
              <w:t>14</w:t>
            </w:r>
          </w:p>
        </w:tc>
        <w:tc>
          <w:tcPr>
            <w:tcW w:w="1391"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63,93</w:t>
            </w:r>
            <w:r w:rsidRPr="00D738CB">
              <w:rPr>
                <w:sz w:val="20"/>
                <w:szCs w:val="20"/>
                <w:vertAlign w:val="superscript"/>
                <w:lang w:val="vi-VN"/>
              </w:rPr>
              <w:t>d</w:t>
            </w:r>
            <w:r w:rsidRPr="00D738CB">
              <w:rPr>
                <w:sz w:val="20"/>
                <w:szCs w:val="20"/>
                <w:lang w:val="vi-VN"/>
              </w:rPr>
              <w:t xml:space="preserve"> ± 0,83</w:t>
            </w:r>
          </w:p>
        </w:tc>
        <w:tc>
          <w:tcPr>
            <w:tcW w:w="1342" w:type="dxa"/>
            <w:vAlign w:val="center"/>
          </w:tcPr>
          <w:p w:rsidR="00423F4E" w:rsidRPr="00D738CB" w:rsidRDefault="00423F4E" w:rsidP="00DD345E">
            <w:pPr>
              <w:spacing w:after="0" w:line="240" w:lineRule="auto"/>
              <w:jc w:val="center"/>
              <w:rPr>
                <w:sz w:val="20"/>
                <w:szCs w:val="20"/>
                <w:lang w:val="vi-VN"/>
              </w:rPr>
            </w:pPr>
            <w:r w:rsidRPr="00D738CB">
              <w:rPr>
                <w:sz w:val="20"/>
                <w:szCs w:val="20"/>
                <w:lang w:val="vi-VN"/>
              </w:rPr>
              <w:t>6,38</w:t>
            </w:r>
            <w:r w:rsidRPr="00D738CB">
              <w:rPr>
                <w:sz w:val="20"/>
                <w:szCs w:val="20"/>
                <w:vertAlign w:val="superscript"/>
                <w:lang w:val="vi-VN"/>
              </w:rPr>
              <w:t xml:space="preserve"> </w:t>
            </w:r>
            <w:r w:rsidRPr="00D738CB">
              <w:rPr>
                <w:sz w:val="20"/>
                <w:szCs w:val="20"/>
                <w:lang w:val="vi-VN"/>
              </w:rPr>
              <w:t>± 0,05</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2,</w:t>
            </w:r>
            <w:r>
              <w:rPr>
                <w:sz w:val="20"/>
                <w:szCs w:val="20"/>
              </w:rPr>
              <w:t>6</w:t>
            </w:r>
            <w:r w:rsidRPr="00D738CB">
              <w:rPr>
                <w:sz w:val="20"/>
                <w:szCs w:val="20"/>
                <w:vertAlign w:val="superscript"/>
                <w:lang w:val="vi-VN"/>
              </w:rPr>
              <w:t>e</w:t>
            </w:r>
            <w:r w:rsidRPr="00D738CB">
              <w:rPr>
                <w:sz w:val="20"/>
                <w:szCs w:val="20"/>
                <w:lang w:val="vi-VN"/>
              </w:rPr>
              <w:t xml:space="preserve"> ± 0,0</w:t>
            </w:r>
          </w:p>
        </w:tc>
      </w:tr>
    </w:tbl>
    <w:p w:rsidR="00423F4E" w:rsidRPr="00766823" w:rsidRDefault="00423F4E" w:rsidP="00423F4E">
      <w:pPr>
        <w:pStyle w:val="NormalWeb"/>
        <w:spacing w:before="120" w:beforeAutospacing="0" w:after="120" w:afterAutospacing="0"/>
        <w:contextualSpacing/>
        <w:rPr>
          <w:i/>
          <w:sz w:val="20"/>
          <w:szCs w:val="20"/>
          <w:lang w:val="vi-VN"/>
        </w:rPr>
      </w:pPr>
      <w:r w:rsidRPr="00766823">
        <w:rPr>
          <w:i/>
          <w:sz w:val="20"/>
          <w:szCs w:val="20"/>
        </w:rPr>
        <w:t>(C</w:t>
      </w:r>
      <w:r w:rsidRPr="00766823">
        <w:rPr>
          <w:i/>
          <w:sz w:val="20"/>
          <w:szCs w:val="20"/>
          <w:lang w:val="vi-VN"/>
        </w:rPr>
        <w:t xml:space="preserve">hữ cái khác nhau </w:t>
      </w:r>
      <w:r>
        <w:rPr>
          <w:i/>
          <w:sz w:val="20"/>
          <w:szCs w:val="20"/>
        </w:rPr>
        <w:t xml:space="preserve">trong cùng một cột </w:t>
      </w:r>
      <w:r w:rsidRPr="00766823">
        <w:rPr>
          <w:i/>
          <w:sz w:val="20"/>
          <w:szCs w:val="20"/>
          <w:lang w:val="vi-VN"/>
        </w:rPr>
        <w:t xml:space="preserve">thể hiện sự khác biệt có ý nghĩa thống kê ở </w:t>
      </w:r>
      <w:r w:rsidRPr="00766823">
        <w:rPr>
          <w:i/>
          <w:sz w:val="20"/>
          <w:szCs w:val="20"/>
        </w:rPr>
        <w:t>p</w:t>
      </w:r>
      <w:r w:rsidRPr="00766823">
        <w:rPr>
          <w:i/>
          <w:sz w:val="20"/>
          <w:szCs w:val="20"/>
          <w:lang w:val="vi-VN"/>
        </w:rPr>
        <w:t xml:space="preserve"> </w:t>
      </w:r>
      <w:r>
        <w:rPr>
          <w:sz w:val="20"/>
          <w:szCs w:val="20"/>
        </w:rPr>
        <w:t>≤</w:t>
      </w:r>
      <w:r w:rsidRPr="00766823">
        <w:rPr>
          <w:sz w:val="20"/>
          <w:szCs w:val="20"/>
          <w:lang w:val="vi-VN"/>
        </w:rPr>
        <w:t xml:space="preserve"> </w:t>
      </w:r>
      <w:r w:rsidRPr="00766823">
        <w:rPr>
          <w:i/>
          <w:sz w:val="20"/>
          <w:szCs w:val="20"/>
        </w:rPr>
        <w:t>0</w:t>
      </w:r>
      <w:r>
        <w:rPr>
          <w:i/>
          <w:sz w:val="20"/>
          <w:szCs w:val="20"/>
        </w:rPr>
        <w:t>,</w:t>
      </w:r>
      <w:r w:rsidRPr="00766823">
        <w:rPr>
          <w:i/>
          <w:sz w:val="20"/>
          <w:szCs w:val="20"/>
        </w:rPr>
        <w:t>05)</w:t>
      </w:r>
    </w:p>
    <w:p w:rsidR="00423F4E" w:rsidRPr="0025493B" w:rsidRDefault="00423F4E" w:rsidP="00423F4E">
      <w:pPr>
        <w:spacing w:before="120" w:after="120" w:line="240" w:lineRule="auto"/>
        <w:jc w:val="both"/>
        <w:rPr>
          <w:sz w:val="22"/>
          <w:szCs w:val="22"/>
          <w:lang w:val="vi-VN"/>
        </w:rPr>
      </w:pPr>
      <w:r w:rsidRPr="0025493B">
        <w:rPr>
          <w:sz w:val="22"/>
          <w:szCs w:val="22"/>
          <w:lang w:val="vi-VN"/>
        </w:rPr>
        <w:t xml:space="preserve">Theo hệ thống màu CIEL*C*h, giá trị L* biểu thị độ sáng của đối tượng, giá trị L* càng cao thì màu càng sáng và ngược lại. Từ </w:t>
      </w:r>
      <w:r>
        <w:rPr>
          <w:sz w:val="22"/>
          <w:szCs w:val="22"/>
        </w:rPr>
        <w:t>b</w:t>
      </w:r>
      <w:r w:rsidRPr="0025493B">
        <w:rPr>
          <w:sz w:val="22"/>
          <w:szCs w:val="22"/>
          <w:lang w:val="vi-VN"/>
        </w:rPr>
        <w:t xml:space="preserve">ảng </w:t>
      </w:r>
      <w:r>
        <w:rPr>
          <w:sz w:val="22"/>
          <w:szCs w:val="22"/>
        </w:rPr>
        <w:t>2</w:t>
      </w:r>
      <w:r w:rsidRPr="0025493B">
        <w:rPr>
          <w:sz w:val="22"/>
          <w:szCs w:val="22"/>
          <w:lang w:val="vi-VN"/>
        </w:rPr>
        <w:t xml:space="preserve"> cho thấy, tỷ lệ nước càng nhiều độ sáng L* và nồng độ chất khô hòa tan càng giảm. Tại nghiệm thức có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 xml:space="preserve">6 cho kết quả độ sáng L* cao nhất 73,25 ± 0,87 và thấp nhất </w:t>
      </w:r>
      <w:r>
        <w:rPr>
          <w:sz w:val="22"/>
          <w:szCs w:val="22"/>
        </w:rPr>
        <w:t>ở</w:t>
      </w:r>
      <w:r w:rsidRPr="0025493B">
        <w:rPr>
          <w:sz w:val="22"/>
          <w:szCs w:val="22"/>
          <w:lang w:val="vi-VN"/>
        </w:rPr>
        <w:t xml:space="preserve">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14 với L* là 63,93 ± 0,83. Đối với nồng độ chất khô hòa tan, ở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 xml:space="preserve">6 </w:t>
      </w:r>
      <w:r>
        <w:rPr>
          <w:sz w:val="22"/>
          <w:szCs w:val="22"/>
        </w:rPr>
        <w:t>đạt</w:t>
      </w:r>
      <w:r w:rsidRPr="0025493B">
        <w:rPr>
          <w:sz w:val="22"/>
          <w:szCs w:val="22"/>
          <w:lang w:val="vi-VN"/>
        </w:rPr>
        <w:t xml:space="preserve"> cao nhất là 8,21 ± 0,02 (</w:t>
      </w:r>
      <w:r w:rsidRPr="0025493B">
        <w:rPr>
          <w:sz w:val="22"/>
          <w:szCs w:val="22"/>
          <w:vertAlign w:val="superscript"/>
          <w:lang w:val="vi-VN"/>
        </w:rPr>
        <w:t>o</w:t>
      </w:r>
      <w:r w:rsidRPr="0025493B">
        <w:rPr>
          <w:sz w:val="22"/>
          <w:szCs w:val="22"/>
          <w:lang w:val="vi-VN"/>
        </w:rPr>
        <w:t>Brix). Khi tăng lượng nước ở</w:t>
      </w:r>
      <w:r>
        <w:rPr>
          <w:sz w:val="22"/>
          <w:szCs w:val="22"/>
        </w:rPr>
        <w:t xml:space="preserve"> các</w:t>
      </w:r>
      <w:r w:rsidRPr="0025493B">
        <w:rPr>
          <w:sz w:val="22"/>
          <w:szCs w:val="22"/>
          <w:lang w:val="vi-VN"/>
        </w:rPr>
        <w:t xml:space="preserve"> tỷ lệ </w:t>
      </w:r>
      <w:r>
        <w:rPr>
          <w:sz w:val="22"/>
          <w:szCs w:val="22"/>
        </w:rPr>
        <w:t>còn lại,</w:t>
      </w:r>
      <w:r w:rsidRPr="0025493B">
        <w:rPr>
          <w:sz w:val="22"/>
          <w:szCs w:val="22"/>
          <w:lang w:val="vi-VN"/>
        </w:rPr>
        <w:t xml:space="preserve"> nồng độ chất khô hòa tan liên tục giảm dần lần lượt là 7,02 ± 0,04, 5,26 ± 0,04, 3,69 ± 0,04 </w:t>
      </w:r>
      <w:r>
        <w:rPr>
          <w:sz w:val="22"/>
          <w:szCs w:val="22"/>
        </w:rPr>
        <w:t xml:space="preserve">và đạt thấp nhất ở </w:t>
      </w:r>
      <w:r w:rsidRPr="0025493B">
        <w:rPr>
          <w:sz w:val="22"/>
          <w:szCs w:val="22"/>
          <w:lang w:val="vi-VN"/>
        </w:rPr>
        <w:t>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14 là 2,57 ± 0,03 (</w:t>
      </w:r>
      <w:r w:rsidRPr="0025493B">
        <w:rPr>
          <w:sz w:val="22"/>
          <w:szCs w:val="22"/>
          <w:vertAlign w:val="superscript"/>
          <w:lang w:val="vi-VN"/>
        </w:rPr>
        <w:t>o</w:t>
      </w:r>
      <w:r w:rsidRPr="0025493B">
        <w:rPr>
          <w:sz w:val="22"/>
          <w:szCs w:val="22"/>
          <w:lang w:val="vi-VN"/>
        </w:rPr>
        <w:t>Brix). Độ sáng L* và nồng độ chất khô hòa tan của các nghiệm thức có tỷ lệ nước khác nhau thể hiện sự khác biệt đáng kể giữa các nghiệm thức (</w:t>
      </w:r>
      <w:r w:rsidRPr="0025493B">
        <w:rPr>
          <w:i/>
          <w:sz w:val="22"/>
          <w:szCs w:val="22"/>
          <w:lang w:val="vi-VN"/>
        </w:rPr>
        <w:t>p ≤</w:t>
      </w:r>
      <w:r w:rsidRPr="0025493B">
        <w:rPr>
          <w:sz w:val="22"/>
          <w:szCs w:val="22"/>
          <w:lang w:val="vi-VN"/>
        </w:rPr>
        <w:t xml:space="preserve"> 0,05).</w:t>
      </w:r>
      <w:r>
        <w:rPr>
          <w:sz w:val="22"/>
          <w:szCs w:val="22"/>
        </w:rPr>
        <w:t xml:space="preserve"> </w:t>
      </w:r>
      <w:r w:rsidRPr="0025493B">
        <w:rPr>
          <w:sz w:val="22"/>
          <w:szCs w:val="22"/>
          <w:lang w:val="vi-VN"/>
        </w:rPr>
        <w:t xml:space="preserve">Kết quả </w:t>
      </w:r>
      <w:r>
        <w:rPr>
          <w:sz w:val="22"/>
          <w:szCs w:val="22"/>
        </w:rPr>
        <w:t xml:space="preserve">cũng tương tự </w:t>
      </w:r>
      <w:r w:rsidRPr="0025493B">
        <w:rPr>
          <w:sz w:val="22"/>
          <w:szCs w:val="22"/>
          <w:lang w:val="vi-VN"/>
        </w:rPr>
        <w:t xml:space="preserve">với nghiên cứu sữa gạo </w:t>
      </w:r>
      <w:r>
        <w:rPr>
          <w:sz w:val="22"/>
          <w:szCs w:val="22"/>
        </w:rPr>
        <w:t>lứt</w:t>
      </w:r>
      <w:r w:rsidRPr="0025493B">
        <w:rPr>
          <w:sz w:val="22"/>
          <w:szCs w:val="22"/>
          <w:lang w:val="vi-VN"/>
        </w:rPr>
        <w:t xml:space="preserve"> của </w:t>
      </w:r>
      <w:r w:rsidRPr="0025493B">
        <w:rPr>
          <w:sz w:val="22"/>
          <w:szCs w:val="22"/>
          <w:lang w:val="vi-VN"/>
        </w:rPr>
        <w:fldChar w:fldCharType="begin"/>
      </w:r>
      <w:r w:rsidRPr="0025493B">
        <w:rPr>
          <w:sz w:val="22"/>
          <w:szCs w:val="22"/>
          <w:lang w:val="vi-VN"/>
        </w:rPr>
        <w:instrText xml:space="preserve"> ADDIN EN.CITE &lt;EndNote&gt;&lt;Cite AuthorYear="1"&gt;&lt;Author&gt;Issara&lt;/Author&gt;&lt;Year&gt;2014&lt;/Year&gt;&lt;RecNum&gt;213&lt;/RecNum&gt;&lt;DisplayText&gt;Issara và Rawdkuen (2014)&lt;/DisplayText&gt;&lt;record&gt;&lt;rec-number&gt;213&lt;/rec-number&gt;&lt;foreign-keys&gt;&lt;key app="EN" db-id="rxvrfzsf2svzdkea0vp5drrs50x0ax5wpdse" timestamp="1746097886"&gt;213&lt;/key&gt;&lt;/foreign-keys&gt;&lt;ref-type name="Conference Proceedings"&gt;10&lt;/ref-type&gt;&lt;contributors&gt;&lt;authors&gt;&lt;author&gt;Issara, Utthapon&lt;/author&gt;&lt;author&gt;Rawdkuen, Saroat&lt;/author&gt;&lt;/authors&gt;&lt;/contributors&gt;&lt;titles&gt;&lt;title&gt;Organic rice bran milk: production and its natural quality attributes&lt;/title&gt;&lt;secondary-title&gt;Proceeding of 1st Joint ACS AGFD-ACS ICSCT symposium on agricultural and Food Chemistry&lt;/secondary-title&gt;&lt;/titles&gt;&lt;pages&gt;82-88&lt;/pages&gt;&lt;dates&gt;&lt;year&gt;2014&lt;/year&gt;&lt;/dates&gt;&lt;urls&gt;&lt;/urls&gt;&lt;/record&gt;&lt;/Cite&gt;&lt;/EndNote&gt;</w:instrText>
      </w:r>
      <w:r w:rsidRPr="0025493B">
        <w:rPr>
          <w:sz w:val="22"/>
          <w:szCs w:val="22"/>
          <w:lang w:val="vi-VN"/>
        </w:rPr>
        <w:fldChar w:fldCharType="separate"/>
      </w:r>
      <w:r w:rsidRPr="0025493B">
        <w:rPr>
          <w:noProof/>
          <w:sz w:val="22"/>
          <w:szCs w:val="22"/>
          <w:lang w:val="vi-VN"/>
        </w:rPr>
        <w:t>Issara và Rawdkuen (2014)</w:t>
      </w:r>
      <w:r w:rsidRPr="0025493B">
        <w:rPr>
          <w:sz w:val="22"/>
          <w:szCs w:val="22"/>
          <w:lang w:val="vi-VN"/>
        </w:rPr>
        <w:fldChar w:fldCharType="end"/>
      </w:r>
      <w:r w:rsidRPr="0063481C">
        <w:rPr>
          <w:sz w:val="22"/>
          <w:szCs w:val="22"/>
          <w:vertAlign w:val="superscript"/>
        </w:rPr>
        <w:t>16</w:t>
      </w:r>
      <w:r>
        <w:rPr>
          <w:sz w:val="22"/>
          <w:szCs w:val="22"/>
        </w:rPr>
        <w:t xml:space="preserve"> </w:t>
      </w:r>
      <w:r w:rsidRPr="0025493B">
        <w:rPr>
          <w:sz w:val="22"/>
          <w:szCs w:val="22"/>
          <w:lang w:val="vi-VN"/>
        </w:rPr>
        <w:t xml:space="preserve">khi độ sáng L* tại các tỷ lệ nước càng lớn độ sáng L* càng giảm. </w:t>
      </w:r>
      <w:r w:rsidRPr="0025493B">
        <w:rPr>
          <w:sz w:val="22"/>
          <w:szCs w:val="22"/>
        </w:rPr>
        <w:t xml:space="preserve">Sữa có nguồn gốc thực vật thường có màu kem </w:t>
      </w:r>
      <w:r w:rsidRPr="0025493B">
        <w:rPr>
          <w:sz w:val="22"/>
          <w:szCs w:val="22"/>
          <w:lang w:val="vi-VN"/>
        </w:rPr>
        <w:t>nhạt.</w:t>
      </w:r>
      <w:r w:rsidRPr="0025493B">
        <w:rPr>
          <w:sz w:val="22"/>
          <w:szCs w:val="22"/>
        </w:rPr>
        <w:t xml:space="preserve"> Theo </w:t>
      </w:r>
      <w:r w:rsidRPr="0025493B">
        <w:rPr>
          <w:sz w:val="22"/>
          <w:szCs w:val="22"/>
          <w:lang w:val="vi-VN"/>
        </w:rPr>
        <w:t xml:space="preserve">nghiên cứu của </w:t>
      </w:r>
      <w:r w:rsidRPr="0025493B">
        <w:rPr>
          <w:sz w:val="22"/>
          <w:szCs w:val="22"/>
          <w:lang w:val="vi-VN"/>
        </w:rPr>
        <w:fldChar w:fldCharType="begin"/>
      </w:r>
      <w:r w:rsidRPr="0025493B">
        <w:rPr>
          <w:sz w:val="22"/>
          <w:szCs w:val="22"/>
          <w:lang w:val="vi-VN"/>
        </w:rPr>
        <w:instrText xml:space="preserve"> ADDIN EN.CITE &lt;EndNote&gt;&lt;Cite AuthorYear="1"&gt;&lt;Author&gt;Camacho-Teodocio&lt;/Author&gt;&lt;Year&gt;2024&lt;/Year&gt;&lt;RecNum&gt;209&lt;/RecNum&gt;&lt;DisplayText&gt;Camacho-Teodocio và cs. (2024)&lt;/DisplayText&gt;&lt;record&gt;&lt;rec-number&gt;209&lt;/rec-number&gt;&lt;foreign-keys&gt;&lt;key app="EN" db-id="rxvrfzsf2svzdkea0vp5drrs50x0ax5wpdse" timestamp="1746036578"&gt;209&lt;/key&gt;&lt;/foreign-keys&gt;&lt;ref-type name="Journal Article"&gt;17&lt;/ref-type&gt;&lt;contributors&gt;&lt;authors&gt;&lt;author&gt;Camacho-Teodocio, Juan Daniel&lt;/author&gt;&lt;author&gt;Gallardo-Velázquez, Tzayhri&lt;/author&gt;&lt;author&gt;Osorio-Revilla, Guillermo&lt;/author&gt;&lt;author&gt;Castañeda-Pérez, Eduardo&lt;/author&gt;&lt;author&gt;Velázquez-Contreras, Claudia&lt;/author&gt;&lt;author&gt;Cornejo-Mazón, Maribel&lt;/author&gt;&lt;author&gt;Hernández-Martínez, Diana Maylet&lt;/author&gt;&lt;/authors&gt;&lt;/contributors&gt;&lt;titles&gt;&lt;title&gt;Macadamia (Macadamia integrifolia) Nut-Based Beverage: Physicochemical Stability and Nutritional and Antioxidant Properties&lt;/title&gt;&lt;secondary-title&gt;Beverages&lt;/secondary-title&gt;&lt;/titles&gt;&lt;periodical&gt;&lt;full-title&gt;Beverages&lt;/full-title&gt;&lt;/periodical&gt;&lt;pages&gt;58&lt;/pages&gt;&lt;volume&gt;10&lt;/volume&gt;&lt;number&gt;3&lt;/number&gt;&lt;dates&gt;&lt;year&gt;2024&lt;/year&gt;&lt;/dates&gt;&lt;isbn&gt;2306-5710&lt;/isbn&gt;&lt;urls&gt;&lt;/urls&gt;&lt;/record&gt;&lt;/Cite&gt;&lt;/EndNote&gt;</w:instrText>
      </w:r>
      <w:r w:rsidRPr="0025493B">
        <w:rPr>
          <w:sz w:val="22"/>
          <w:szCs w:val="22"/>
          <w:lang w:val="vi-VN"/>
        </w:rPr>
        <w:fldChar w:fldCharType="separate"/>
      </w:r>
      <w:r w:rsidRPr="0025493B">
        <w:rPr>
          <w:noProof/>
          <w:sz w:val="22"/>
          <w:szCs w:val="22"/>
          <w:lang w:val="vi-VN"/>
        </w:rPr>
        <w:t>Camacho-Teodocio và cs. (2024)</w:t>
      </w:r>
      <w:r w:rsidRPr="0025493B">
        <w:rPr>
          <w:sz w:val="22"/>
          <w:szCs w:val="22"/>
          <w:lang w:val="vi-VN"/>
        </w:rPr>
        <w:fldChar w:fldCharType="end"/>
      </w:r>
      <w:r w:rsidRPr="0063481C">
        <w:rPr>
          <w:sz w:val="22"/>
          <w:szCs w:val="22"/>
          <w:vertAlign w:val="superscript"/>
        </w:rPr>
        <w:t>17</w:t>
      </w:r>
      <w:r>
        <w:rPr>
          <w:sz w:val="22"/>
          <w:szCs w:val="22"/>
        </w:rPr>
        <w:t xml:space="preserve"> </w:t>
      </w:r>
      <w:r w:rsidRPr="0025493B">
        <w:rPr>
          <w:sz w:val="22"/>
          <w:szCs w:val="22"/>
          <w:lang w:val="vi-VN"/>
        </w:rPr>
        <w:t>độ sáng L* của đồ uống từ hạt mắc ca khoảng từ 79,19 – 86,6</w:t>
      </w:r>
      <w:r>
        <w:rPr>
          <w:sz w:val="22"/>
          <w:szCs w:val="22"/>
        </w:rPr>
        <w:t xml:space="preserve"> có k</w:t>
      </w:r>
      <w:r w:rsidRPr="0025493B">
        <w:rPr>
          <w:sz w:val="22"/>
          <w:szCs w:val="22"/>
          <w:lang w:val="vi-VN"/>
        </w:rPr>
        <w:t>ết quả</w:t>
      </w:r>
      <w:r>
        <w:rPr>
          <w:sz w:val="22"/>
          <w:szCs w:val="22"/>
        </w:rPr>
        <w:t xml:space="preserve"> cao so với nghiên cứu này là do kết hợp gạo rang </w:t>
      </w:r>
      <w:r w:rsidRPr="0025493B">
        <w:rPr>
          <w:sz w:val="22"/>
          <w:szCs w:val="22"/>
          <w:lang w:val="vi-VN"/>
        </w:rPr>
        <w:t xml:space="preserve">Nguyên nhân là do trong quá trình rang gạo đã xảy ra phản ứng Maillard hóa làm cho gạo chuyển </w:t>
      </w:r>
      <w:r w:rsidRPr="0025493B">
        <w:rPr>
          <w:sz w:val="22"/>
          <w:szCs w:val="22"/>
          <w:lang w:val="vi-VN"/>
        </w:rPr>
        <w:lastRenderedPageBreak/>
        <w:t xml:space="preserve">từ màu trắng sữa sang màu vàng </w:t>
      </w:r>
      <w:r>
        <w:rPr>
          <w:sz w:val="22"/>
          <w:szCs w:val="22"/>
        </w:rPr>
        <w:t>nâu</w:t>
      </w:r>
      <w:r w:rsidRPr="0063481C">
        <w:rPr>
          <w:sz w:val="22"/>
          <w:szCs w:val="22"/>
          <w:vertAlign w:val="superscript"/>
        </w:rPr>
        <w:t>18</w:t>
      </w:r>
      <w:r w:rsidRPr="0025493B">
        <w:rPr>
          <w:sz w:val="22"/>
          <w:szCs w:val="22"/>
          <w:lang w:val="vi-VN"/>
        </w:rPr>
        <w:fldChar w:fldCharType="begin"/>
      </w:r>
      <w:r w:rsidRPr="0025493B">
        <w:rPr>
          <w:sz w:val="22"/>
          <w:szCs w:val="22"/>
          <w:lang w:val="vi-VN"/>
        </w:rPr>
        <w:instrText xml:space="preserve"> ADDIN EN.CITE &lt;EndNote&gt;&lt;Cite&gt;&lt;Author&gt;Xiang&lt;/Author&gt;&lt;Year&gt;2021&lt;/Year&gt;&lt;RecNum&gt;214&lt;/RecNum&gt;&lt;DisplayText&gt;(Xiang và cs., 2021)&lt;/DisplayText&gt;&lt;record&gt;&lt;rec-number&gt;214&lt;/rec-number&gt;&lt;foreign-keys&gt;&lt;key app="EN" db-id="rxvrfzsf2svzdkea0vp5drrs50x0ax5wpdse" timestamp="1746107574"&gt;214&lt;/key&gt;&lt;/foreign-keys&gt;&lt;ref-type name="Journal Article"&gt;17&lt;/ref-type&gt;&lt;contributors&gt;&lt;authors&gt;&lt;author&gt;Xiang, Jia&lt;/author&gt;&lt;author&gt;Liu, Fenglin&lt;/author&gt;&lt;author&gt;Wang, Bo&lt;/author&gt;&lt;author&gt;Chen, Lin&lt;/author&gt;&lt;author&gt;Liu, Wenjie&lt;/author&gt;&lt;author&gt;Tan, Songwen&lt;/author&gt;&lt;/authors&gt;&lt;/contributors&gt;&lt;titles&gt;&lt;title&gt;A literature review on maillard reaction based on milk proteins and carbohydrates in food and pharmaceutical products: advantages, disadvantages, and avoidance strategies&lt;/title&gt;&lt;secondary-title&gt;Foods&lt;/secondary-title&gt;&lt;/titles&gt;&lt;periodical&gt;&lt;full-title&gt;Foods&lt;/full-title&gt;&lt;/periodical&gt;&lt;pages&gt;1998&lt;/pages&gt;&lt;volume&gt;10&lt;/volume&gt;&lt;number&gt;9&lt;/number&gt;&lt;dates&gt;&lt;year&gt;2021&lt;/year&gt;&lt;/dates&gt;&lt;isbn&gt;2304-8158&lt;/isbn&gt;&lt;urls&gt;&lt;/urls&gt;&lt;/record&gt;&lt;/Cite&gt;&lt;/EndNote&gt;</w:instrText>
      </w:r>
      <w:r w:rsidRPr="0025493B">
        <w:rPr>
          <w:sz w:val="22"/>
          <w:szCs w:val="22"/>
          <w:lang w:val="vi-VN"/>
        </w:rPr>
        <w:fldChar w:fldCharType="separate"/>
      </w:r>
      <w:r w:rsidRPr="0025493B">
        <w:rPr>
          <w:sz w:val="22"/>
          <w:szCs w:val="22"/>
          <w:lang w:val="vi-VN"/>
        </w:rPr>
        <w:fldChar w:fldCharType="end"/>
      </w:r>
      <w:r w:rsidRPr="0025493B">
        <w:rPr>
          <w:sz w:val="22"/>
          <w:szCs w:val="22"/>
          <w:lang w:val="vi-VN"/>
        </w:rPr>
        <w:t>, nên độ sáng L* bị giảm đi</w:t>
      </w:r>
      <w:r>
        <w:rPr>
          <w:sz w:val="22"/>
          <w:szCs w:val="22"/>
        </w:rPr>
        <w:t>.</w:t>
      </w:r>
      <w:r w:rsidRPr="0025493B">
        <w:rPr>
          <w:sz w:val="22"/>
          <w:szCs w:val="22"/>
          <w:lang w:val="vi-VN"/>
        </w:rPr>
        <w:t xml:space="preserve"> </w:t>
      </w:r>
      <w:r>
        <w:rPr>
          <w:sz w:val="22"/>
          <w:szCs w:val="22"/>
        </w:rPr>
        <w:t>T</w:t>
      </w:r>
      <w:r w:rsidRPr="0025493B">
        <w:rPr>
          <w:sz w:val="22"/>
          <w:szCs w:val="22"/>
          <w:lang w:val="vi-VN"/>
        </w:rPr>
        <w:t xml:space="preserve">uy nhiên </w:t>
      </w:r>
      <w:r>
        <w:rPr>
          <w:sz w:val="22"/>
          <w:szCs w:val="22"/>
        </w:rPr>
        <w:t>kết quả đạt được về</w:t>
      </w:r>
      <w:r w:rsidRPr="0025493B">
        <w:rPr>
          <w:sz w:val="22"/>
          <w:szCs w:val="22"/>
          <w:lang w:val="vi-VN"/>
        </w:rPr>
        <w:t xml:space="preserve"> độ sáng L* </w:t>
      </w:r>
      <w:r>
        <w:rPr>
          <w:sz w:val="22"/>
          <w:szCs w:val="22"/>
        </w:rPr>
        <w:t xml:space="preserve">phù hợp với </w:t>
      </w:r>
      <w:r w:rsidRPr="0025493B">
        <w:rPr>
          <w:sz w:val="22"/>
          <w:szCs w:val="22"/>
          <w:lang w:val="vi-VN"/>
        </w:rPr>
        <w:t>nhiều loại sữa hạt và nước gạo rang trên thị trường. Trong khi đó, giá trị pH tại các tỷ lệ nước khác nhau có ảnh hưởng nhẹ đến độ pH nhưng ổn định</w:t>
      </w:r>
      <w:r>
        <w:rPr>
          <w:sz w:val="22"/>
          <w:szCs w:val="22"/>
        </w:rPr>
        <w:t xml:space="preserve"> đạt 6,38±0,05 đến</w:t>
      </w:r>
      <w:r w:rsidRPr="0025493B">
        <w:rPr>
          <w:sz w:val="22"/>
          <w:szCs w:val="22"/>
          <w:lang w:val="vi-VN"/>
        </w:rPr>
        <w:t xml:space="preserve"> 6,42 ± 0,03</w:t>
      </w:r>
      <w:r>
        <w:rPr>
          <w:sz w:val="22"/>
          <w:szCs w:val="22"/>
        </w:rPr>
        <w:t xml:space="preserve"> và giữa c</w:t>
      </w:r>
      <w:r w:rsidRPr="0025493B">
        <w:rPr>
          <w:sz w:val="22"/>
          <w:szCs w:val="22"/>
          <w:lang w:val="vi-VN"/>
        </w:rPr>
        <w:t>ác nghiệm thức khác nhau không có sự khác biệt về ý nghĩa thống kê (</w:t>
      </w:r>
      <w:r w:rsidRPr="0025493B">
        <w:rPr>
          <w:i/>
          <w:sz w:val="22"/>
          <w:szCs w:val="22"/>
          <w:lang w:val="vi-VN"/>
        </w:rPr>
        <w:t>p &gt;</w:t>
      </w:r>
      <w:r w:rsidRPr="0025493B">
        <w:rPr>
          <w:sz w:val="22"/>
          <w:szCs w:val="22"/>
          <w:lang w:val="vi-VN"/>
        </w:rPr>
        <w:t xml:space="preserve"> 0,05). </w:t>
      </w:r>
      <w:r>
        <w:rPr>
          <w:sz w:val="22"/>
          <w:szCs w:val="22"/>
        </w:rPr>
        <w:t xml:space="preserve">Ngưỡng pH này cũng phù hợp với </w:t>
      </w:r>
      <w:r w:rsidRPr="0025493B">
        <w:rPr>
          <w:sz w:val="22"/>
          <w:szCs w:val="22"/>
          <w:lang w:val="vi-VN"/>
        </w:rPr>
        <w:t xml:space="preserve">nghiên cứu của </w:t>
      </w:r>
      <w:r w:rsidRPr="0025493B">
        <w:rPr>
          <w:sz w:val="22"/>
          <w:szCs w:val="22"/>
          <w:lang w:val="vi-VN"/>
        </w:rPr>
        <w:fldChar w:fldCharType="begin"/>
      </w:r>
      <w:r w:rsidRPr="0025493B">
        <w:rPr>
          <w:sz w:val="22"/>
          <w:szCs w:val="22"/>
          <w:lang w:val="vi-VN"/>
        </w:rPr>
        <w:instrText xml:space="preserve"> ADDIN EN.CITE &lt;EndNote&gt;&lt;Cite AuthorYear="1"&gt;&lt;Author&gt;Camacho-Teodocio&lt;/Author&gt;&lt;Year&gt;2024&lt;/Year&gt;&lt;RecNum&gt;209&lt;/RecNum&gt;&lt;DisplayText&gt;Camacho-Teodocio và cs. (2024)&lt;/DisplayText&gt;&lt;record&gt;&lt;rec-number&gt;209&lt;/rec-number&gt;&lt;foreign-keys&gt;&lt;key app="EN" db-id="rxvrfzsf2svzdkea0vp5drrs50x0ax5wpdse" timestamp="1746036578"&gt;209&lt;/key&gt;&lt;/foreign-keys&gt;&lt;ref-type name="Journal Article"&gt;17&lt;/ref-type&gt;&lt;contributors&gt;&lt;authors&gt;&lt;author&gt;Camacho-Teodocio, Juan Daniel&lt;/author&gt;&lt;author&gt;Gallardo-Velázquez, Tzayhri&lt;/author&gt;&lt;author&gt;Osorio-Revilla, Guillermo&lt;/author&gt;&lt;author&gt;Castañeda-Pérez, Eduardo&lt;/author&gt;&lt;author&gt;Velázquez-Contreras, Claudia&lt;/author&gt;&lt;author&gt;Cornejo-Mazón, Maribel&lt;/author&gt;&lt;author&gt;Hernández-Martínez, Diana Maylet&lt;/author&gt;&lt;/authors&gt;&lt;/contributors&gt;&lt;titles&gt;&lt;title&gt;Macadamia (Macadamia integrifolia) Nut-Based Beverage: Physicochemical Stability and Nutritional and Antioxidant Properties&lt;/title&gt;&lt;secondary-title&gt;Beverages&lt;/secondary-title&gt;&lt;/titles&gt;&lt;periodical&gt;&lt;full-title&gt;Beverages&lt;/full-title&gt;&lt;/periodical&gt;&lt;pages&gt;58&lt;/pages&gt;&lt;volume&gt;10&lt;/volume&gt;&lt;number&gt;3&lt;/number&gt;&lt;dates&gt;&lt;year&gt;2024&lt;/year&gt;&lt;/dates&gt;&lt;isbn&gt;2306-5710&lt;/isbn&gt;&lt;urls&gt;&lt;/urls&gt;&lt;/record&gt;&lt;/Cite&gt;&lt;/EndNote&gt;</w:instrText>
      </w:r>
      <w:r w:rsidRPr="0025493B">
        <w:rPr>
          <w:sz w:val="22"/>
          <w:szCs w:val="22"/>
          <w:lang w:val="vi-VN"/>
        </w:rPr>
        <w:fldChar w:fldCharType="separate"/>
      </w:r>
      <w:r w:rsidRPr="0025493B">
        <w:rPr>
          <w:noProof/>
          <w:sz w:val="22"/>
          <w:szCs w:val="22"/>
          <w:lang w:val="vi-VN"/>
        </w:rPr>
        <w:t>Camacho-Teodocio và cs. (2024)</w:t>
      </w:r>
      <w:r w:rsidRPr="0025493B">
        <w:rPr>
          <w:sz w:val="22"/>
          <w:szCs w:val="22"/>
          <w:lang w:val="vi-VN"/>
        </w:rPr>
        <w:fldChar w:fldCharType="end"/>
      </w:r>
      <w:r w:rsidRPr="0025493B">
        <w:rPr>
          <w:sz w:val="22"/>
          <w:szCs w:val="22"/>
          <w:lang w:val="vi-VN"/>
        </w:rPr>
        <w:t xml:space="preserve"> giá trị pH của nước uống từ hạt mắc ca cũng nằm trong ngưỡng từ 6,05 – 6,35</w:t>
      </w:r>
      <w:r w:rsidRPr="0063481C">
        <w:rPr>
          <w:sz w:val="22"/>
          <w:szCs w:val="22"/>
          <w:vertAlign w:val="superscript"/>
        </w:rPr>
        <w:t>17</w:t>
      </w:r>
      <w:r w:rsidRPr="0025493B">
        <w:rPr>
          <w:sz w:val="22"/>
          <w:szCs w:val="22"/>
          <w:lang w:val="vi-VN"/>
        </w:rPr>
        <w:t xml:space="preserve">. </w:t>
      </w:r>
    </w:p>
    <w:p w:rsidR="00423F4E" w:rsidRPr="0046053A" w:rsidRDefault="00423F4E" w:rsidP="00423F4E">
      <w:pPr>
        <w:spacing w:before="120" w:after="120" w:line="240" w:lineRule="auto"/>
        <w:jc w:val="both"/>
        <w:outlineLvl w:val="1"/>
        <w:rPr>
          <w:b/>
          <w:sz w:val="22"/>
          <w:szCs w:val="22"/>
        </w:rPr>
      </w:pPr>
      <w:bookmarkStart w:id="6" w:name="_Toc199164266"/>
      <w:r w:rsidRPr="0025493B">
        <w:rPr>
          <w:b/>
          <w:sz w:val="22"/>
          <w:szCs w:val="22"/>
          <w:lang w:val="vi-VN"/>
        </w:rPr>
        <w:t xml:space="preserve">Độ nhớt và </w:t>
      </w:r>
      <w:r>
        <w:rPr>
          <w:b/>
          <w:sz w:val="22"/>
          <w:szCs w:val="22"/>
        </w:rPr>
        <w:t>độ</w:t>
      </w:r>
      <w:r w:rsidRPr="0025493B">
        <w:rPr>
          <w:b/>
          <w:sz w:val="22"/>
          <w:szCs w:val="22"/>
          <w:lang w:val="vi-VN"/>
        </w:rPr>
        <w:t xml:space="preserve"> lắng</w:t>
      </w:r>
      <w:bookmarkEnd w:id="6"/>
      <w:r>
        <w:rPr>
          <w:b/>
          <w:sz w:val="22"/>
          <w:szCs w:val="22"/>
        </w:rPr>
        <w:t xml:space="preserve"> của dịch sữa</w:t>
      </w:r>
    </w:p>
    <w:p w:rsidR="00423F4E" w:rsidRPr="0025493B" w:rsidRDefault="00423F4E" w:rsidP="00423F4E">
      <w:pPr>
        <w:spacing w:before="120" w:after="120" w:line="240" w:lineRule="auto"/>
        <w:jc w:val="both"/>
        <w:rPr>
          <w:sz w:val="22"/>
          <w:szCs w:val="22"/>
          <w:lang w:val="vi-VN"/>
        </w:rPr>
      </w:pPr>
      <w:r w:rsidRPr="0025493B">
        <w:rPr>
          <w:sz w:val="22"/>
          <w:szCs w:val="22"/>
          <w:lang w:val="vi-VN"/>
        </w:rPr>
        <w:t>Độ nhớt là một trong những chỉ tiêu quan trọng của các thực phẩm dạng lỏng</w:t>
      </w:r>
      <w:r>
        <w:rPr>
          <w:sz w:val="22"/>
          <w:szCs w:val="22"/>
        </w:rPr>
        <w:t xml:space="preserve"> ảnh hưởng</w:t>
      </w:r>
      <w:r w:rsidRPr="0025493B">
        <w:rPr>
          <w:sz w:val="22"/>
          <w:szCs w:val="22"/>
          <w:lang w:val="vi-VN"/>
        </w:rPr>
        <w:t xml:space="preserve"> độ ổn định vật lý cho hệ dung dịch nhũ tương và các hạt lơ lửng, </w:t>
      </w:r>
      <w:r>
        <w:rPr>
          <w:sz w:val="22"/>
          <w:szCs w:val="22"/>
        </w:rPr>
        <w:t>cũng như</w:t>
      </w:r>
      <w:r w:rsidRPr="0025493B">
        <w:rPr>
          <w:sz w:val="22"/>
          <w:szCs w:val="22"/>
          <w:lang w:val="vi-VN"/>
        </w:rPr>
        <w:t xml:space="preserve"> cảm </w:t>
      </w:r>
      <w:r>
        <w:rPr>
          <w:sz w:val="22"/>
          <w:szCs w:val="22"/>
        </w:rPr>
        <w:t>quan sản phẩm</w:t>
      </w:r>
      <w:r w:rsidRPr="0063481C">
        <w:rPr>
          <w:sz w:val="22"/>
          <w:szCs w:val="22"/>
          <w:vertAlign w:val="superscript"/>
        </w:rPr>
        <w:t>19</w:t>
      </w:r>
      <w:r w:rsidRPr="0025493B">
        <w:rPr>
          <w:sz w:val="22"/>
          <w:szCs w:val="22"/>
          <w:lang w:val="vi-VN"/>
        </w:rPr>
        <w:t>.</w:t>
      </w:r>
      <w:r w:rsidRPr="0025493B">
        <w:rPr>
          <w:sz w:val="22"/>
          <w:szCs w:val="22"/>
        </w:rPr>
        <w:t xml:space="preserve"> </w:t>
      </w:r>
      <w:r w:rsidRPr="0025493B">
        <w:rPr>
          <w:sz w:val="22"/>
          <w:szCs w:val="22"/>
          <w:lang w:val="vi-VN"/>
        </w:rPr>
        <w:t xml:space="preserve">Do đó, </w:t>
      </w:r>
      <w:r>
        <w:rPr>
          <w:sz w:val="22"/>
          <w:szCs w:val="22"/>
        </w:rPr>
        <w:t>độ</w:t>
      </w:r>
      <w:r w:rsidRPr="0025493B">
        <w:rPr>
          <w:sz w:val="22"/>
          <w:szCs w:val="22"/>
          <w:lang w:val="vi-VN"/>
        </w:rPr>
        <w:t xml:space="preserve"> lắng (sự tách pha) </w:t>
      </w:r>
      <w:r>
        <w:rPr>
          <w:sz w:val="22"/>
          <w:szCs w:val="22"/>
        </w:rPr>
        <w:t xml:space="preserve">và độ nhớt </w:t>
      </w:r>
      <w:r w:rsidRPr="0025493B">
        <w:rPr>
          <w:sz w:val="22"/>
          <w:szCs w:val="22"/>
          <w:lang w:val="vi-VN"/>
        </w:rPr>
        <w:t>của sữa hạt là một trong các chỉ tiêu quan trọng để xác định tính ổn định của hệ nhũ tương.</w:t>
      </w:r>
    </w:p>
    <w:p w:rsidR="00423F4E" w:rsidRPr="0025493B" w:rsidRDefault="0089448E" w:rsidP="00423F4E">
      <w:pPr>
        <w:spacing w:before="120" w:after="120" w:line="240" w:lineRule="auto"/>
        <w:jc w:val="center"/>
        <w:rPr>
          <w:sz w:val="22"/>
          <w:szCs w:val="22"/>
        </w:rPr>
      </w:pPr>
      <w:r>
        <w:rPr>
          <w:rFonts w:asciiTheme="minorHAnsi" w:hAnsiTheme="minorHAnsi"/>
          <w:sz w:val="22"/>
        </w:rPr>
        <w:object w:dxaOrig="9797" w:dyaOrig="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87.5pt" o:ole="" filled="t">
            <v:imagedata r:id="rId9" o:title=""/>
          </v:shape>
          <o:OLEObject Type="Embed" ProgID="Prism10.Document" ShapeID="_x0000_i1025" DrawAspect="Content" ObjectID="_1829149477" r:id="rId10"/>
        </w:object>
      </w:r>
    </w:p>
    <w:p w:rsidR="00423F4E" w:rsidRPr="000601B7" w:rsidRDefault="00423F4E" w:rsidP="00423F4E">
      <w:pPr>
        <w:pStyle w:val="hnh1"/>
        <w:spacing w:before="120" w:after="240" w:line="240" w:lineRule="auto"/>
        <w:jc w:val="left"/>
        <w:rPr>
          <w:sz w:val="20"/>
          <w:szCs w:val="20"/>
          <w:lang w:val="en-US"/>
        </w:rPr>
      </w:pPr>
      <w:bookmarkStart w:id="7" w:name="_Toc198930790"/>
      <w:r w:rsidRPr="000601B7">
        <w:rPr>
          <w:sz w:val="20"/>
          <w:szCs w:val="20"/>
        </w:rPr>
        <w:t xml:space="preserve">Hình </w:t>
      </w:r>
      <w:r w:rsidRPr="000601B7">
        <w:rPr>
          <w:sz w:val="20"/>
          <w:szCs w:val="20"/>
          <w:lang w:val="en-US"/>
        </w:rPr>
        <w:t>2.</w:t>
      </w:r>
      <w:r w:rsidRPr="000601B7">
        <w:rPr>
          <w:sz w:val="20"/>
          <w:szCs w:val="20"/>
        </w:rPr>
        <w:t xml:space="preserve"> Ảnh hưởng tỷ lệ nước đến độ nhớt (A) và </w:t>
      </w:r>
      <w:r w:rsidRPr="000601B7">
        <w:rPr>
          <w:sz w:val="20"/>
          <w:szCs w:val="20"/>
          <w:lang w:val="en-US"/>
        </w:rPr>
        <w:t>độ</w:t>
      </w:r>
      <w:r w:rsidRPr="000601B7">
        <w:rPr>
          <w:sz w:val="20"/>
          <w:szCs w:val="20"/>
        </w:rPr>
        <w:t xml:space="preserve"> lắng (B) của dịch sữa</w:t>
      </w:r>
      <w:bookmarkEnd w:id="7"/>
    </w:p>
    <w:p w:rsidR="00423F4E" w:rsidRPr="000601B7" w:rsidRDefault="00423F4E" w:rsidP="00423F4E">
      <w:pPr>
        <w:spacing w:before="120" w:after="120" w:line="240" w:lineRule="auto"/>
        <w:rPr>
          <w:rFonts w:eastAsia="Times New Roman"/>
          <w:sz w:val="20"/>
          <w:szCs w:val="20"/>
          <w:highlight w:val="white"/>
          <w:u w:color="FF0000"/>
        </w:rPr>
      </w:pPr>
      <w:r w:rsidRPr="000601B7">
        <w:rPr>
          <w:sz w:val="20"/>
          <w:szCs w:val="20"/>
        </w:rPr>
        <w:t>(</w:t>
      </w:r>
      <w:r w:rsidRPr="000601B7">
        <w:rPr>
          <w:sz w:val="20"/>
          <w:szCs w:val="20"/>
          <w:lang w:val="vi-VN"/>
        </w:rPr>
        <w:t>C</w:t>
      </w:r>
      <w:r w:rsidRPr="000601B7">
        <w:rPr>
          <w:sz w:val="20"/>
          <w:szCs w:val="20"/>
        </w:rPr>
        <w:t>ác</w:t>
      </w:r>
      <w:r w:rsidRPr="000601B7">
        <w:rPr>
          <w:sz w:val="20"/>
          <w:szCs w:val="20"/>
          <w:lang w:val="vi-VN"/>
        </w:rPr>
        <w:t xml:space="preserve"> cột có các chữ cái khác nhau thể hiện sự khác biệt có ý nghĩa thống kê ở </w:t>
      </w:r>
      <w:r w:rsidRPr="000601B7">
        <w:rPr>
          <w:sz w:val="20"/>
          <w:szCs w:val="20"/>
        </w:rPr>
        <w:t>p</w:t>
      </w:r>
      <w:r w:rsidRPr="000601B7">
        <w:rPr>
          <w:sz w:val="20"/>
          <w:szCs w:val="20"/>
          <w:lang w:val="vi-VN"/>
        </w:rPr>
        <w:t xml:space="preserve"> </w:t>
      </w:r>
      <w:r w:rsidRPr="000601B7">
        <w:rPr>
          <w:sz w:val="20"/>
          <w:szCs w:val="20"/>
        </w:rPr>
        <w:t>≤</w:t>
      </w:r>
      <w:r w:rsidRPr="000601B7">
        <w:rPr>
          <w:sz w:val="20"/>
          <w:szCs w:val="20"/>
          <w:lang w:val="vi-VN"/>
        </w:rPr>
        <w:t xml:space="preserve"> </w:t>
      </w:r>
      <w:r w:rsidRPr="000601B7">
        <w:rPr>
          <w:sz w:val="20"/>
          <w:szCs w:val="20"/>
        </w:rPr>
        <w:t>0,05)</w:t>
      </w:r>
    </w:p>
    <w:p w:rsidR="00423F4E" w:rsidRPr="0025493B" w:rsidRDefault="00423F4E" w:rsidP="00423F4E">
      <w:pPr>
        <w:spacing w:before="120" w:after="120" w:line="240" w:lineRule="auto"/>
        <w:jc w:val="both"/>
        <w:rPr>
          <w:sz w:val="22"/>
          <w:szCs w:val="22"/>
        </w:rPr>
      </w:pPr>
      <w:r w:rsidRPr="0025493B">
        <w:rPr>
          <w:sz w:val="22"/>
          <w:szCs w:val="22"/>
        </w:rPr>
        <w:t>Từ kết quả</w:t>
      </w:r>
      <w:r w:rsidRPr="0025493B">
        <w:rPr>
          <w:sz w:val="22"/>
          <w:szCs w:val="22"/>
          <w:lang w:val="vi-VN"/>
        </w:rPr>
        <w:t xml:space="preserve"> </w:t>
      </w:r>
      <w:r>
        <w:rPr>
          <w:sz w:val="22"/>
          <w:szCs w:val="22"/>
        </w:rPr>
        <w:t>h</w:t>
      </w:r>
      <w:r w:rsidRPr="0025493B">
        <w:rPr>
          <w:sz w:val="22"/>
          <w:szCs w:val="22"/>
          <w:lang w:val="vi-VN"/>
        </w:rPr>
        <w:t xml:space="preserve">ình </w:t>
      </w:r>
      <w:r>
        <w:rPr>
          <w:sz w:val="22"/>
          <w:szCs w:val="22"/>
        </w:rPr>
        <w:t>2</w:t>
      </w:r>
      <w:r w:rsidRPr="0025493B">
        <w:rPr>
          <w:sz w:val="22"/>
          <w:szCs w:val="22"/>
        </w:rPr>
        <w:t xml:space="preserve">, có thể thấy tỷ lệ </w:t>
      </w:r>
      <w:r w:rsidRPr="0025493B">
        <w:rPr>
          <w:sz w:val="22"/>
          <w:szCs w:val="22"/>
          <w:lang w:val="vi-VN"/>
        </w:rPr>
        <w:t xml:space="preserve">nước càng </w:t>
      </w:r>
      <w:r>
        <w:rPr>
          <w:sz w:val="22"/>
          <w:szCs w:val="22"/>
        </w:rPr>
        <w:t>tăng thì</w:t>
      </w:r>
      <w:r w:rsidRPr="0025493B">
        <w:rPr>
          <w:sz w:val="22"/>
          <w:szCs w:val="22"/>
          <w:lang w:val="vi-VN"/>
        </w:rPr>
        <w:t xml:space="preserve"> độ nhớt càng giảm và </w:t>
      </w:r>
      <w:r>
        <w:rPr>
          <w:sz w:val="22"/>
          <w:szCs w:val="22"/>
        </w:rPr>
        <w:t>ngược lại độ</w:t>
      </w:r>
      <w:r w:rsidRPr="0025493B">
        <w:rPr>
          <w:sz w:val="22"/>
          <w:szCs w:val="22"/>
          <w:lang w:val="vi-VN"/>
        </w:rPr>
        <w:t xml:space="preserve"> lắng có xu hướng tăng. Tại biểu đồ </w:t>
      </w:r>
      <w:r>
        <w:rPr>
          <w:sz w:val="22"/>
          <w:szCs w:val="22"/>
        </w:rPr>
        <w:t>h</w:t>
      </w:r>
      <w:r w:rsidRPr="0025493B">
        <w:rPr>
          <w:sz w:val="22"/>
          <w:szCs w:val="22"/>
          <w:lang w:val="vi-VN"/>
        </w:rPr>
        <w:t xml:space="preserve">ình </w:t>
      </w:r>
      <w:r>
        <w:rPr>
          <w:sz w:val="22"/>
          <w:szCs w:val="22"/>
        </w:rPr>
        <w:t>2</w:t>
      </w:r>
      <w:r w:rsidRPr="0025493B">
        <w:rPr>
          <w:sz w:val="22"/>
          <w:szCs w:val="22"/>
          <w:lang w:val="vi-VN"/>
        </w:rPr>
        <w:t>(A) ở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6 có độ nhớt cao nhất 340,22 ± 1,07 (cP) và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1</w:t>
      </w:r>
      <w:r w:rsidRPr="0025493B">
        <w:rPr>
          <w:sz w:val="22"/>
          <w:szCs w:val="22"/>
          <w:lang w:val="vi-VN"/>
        </w:rPr>
        <w:t xml:space="preserve">4 có độ nhớt thấp nhất là 4,57 ± 0,23 (cP). </w:t>
      </w:r>
      <w:r>
        <w:rPr>
          <w:sz w:val="22"/>
          <w:szCs w:val="22"/>
        </w:rPr>
        <w:t>Độ lắng</w:t>
      </w:r>
      <w:r w:rsidRPr="0025493B">
        <w:rPr>
          <w:sz w:val="22"/>
          <w:szCs w:val="22"/>
          <w:lang w:val="vi-VN"/>
        </w:rPr>
        <w:t xml:space="preserve"> ở biểu đồ </w:t>
      </w:r>
      <w:r>
        <w:rPr>
          <w:sz w:val="22"/>
          <w:szCs w:val="22"/>
        </w:rPr>
        <w:t>h</w:t>
      </w:r>
      <w:r w:rsidRPr="0025493B">
        <w:rPr>
          <w:sz w:val="22"/>
          <w:szCs w:val="22"/>
          <w:lang w:val="vi-VN"/>
        </w:rPr>
        <w:t xml:space="preserve">ình </w:t>
      </w:r>
      <w:r>
        <w:rPr>
          <w:sz w:val="22"/>
          <w:szCs w:val="22"/>
        </w:rPr>
        <w:t>2</w:t>
      </w:r>
      <w:r w:rsidRPr="0025493B">
        <w:rPr>
          <w:sz w:val="22"/>
          <w:szCs w:val="22"/>
          <w:lang w:val="vi-VN"/>
        </w:rPr>
        <w:t xml:space="preserve">(B), </w:t>
      </w:r>
      <w:r>
        <w:rPr>
          <w:sz w:val="22"/>
          <w:szCs w:val="22"/>
        </w:rPr>
        <w:t>khi bổ sung nước nhiều nhất ở</w:t>
      </w:r>
      <w:r w:rsidRPr="0025493B">
        <w:rPr>
          <w:sz w:val="22"/>
          <w:szCs w:val="22"/>
          <w:lang w:val="vi-VN"/>
        </w:rPr>
        <w:t xml:space="preserve"> tỷ lệ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 xml:space="preserve">14 </w:t>
      </w:r>
      <w:r>
        <w:rPr>
          <w:sz w:val="22"/>
          <w:szCs w:val="22"/>
        </w:rPr>
        <w:t>đạt</w:t>
      </w:r>
      <w:r w:rsidRPr="0025493B">
        <w:rPr>
          <w:sz w:val="22"/>
          <w:szCs w:val="22"/>
          <w:lang w:val="vi-VN"/>
        </w:rPr>
        <w:t xml:space="preserve"> </w:t>
      </w:r>
      <w:r>
        <w:rPr>
          <w:sz w:val="22"/>
          <w:szCs w:val="22"/>
        </w:rPr>
        <w:t>độ</w:t>
      </w:r>
      <w:r w:rsidRPr="0025493B">
        <w:rPr>
          <w:sz w:val="22"/>
          <w:szCs w:val="22"/>
          <w:lang w:val="vi-VN"/>
        </w:rPr>
        <w:t xml:space="preserve"> lắng trong 1 giờ cao nhất là 16,67 ± 1,16 (ml/</w:t>
      </w:r>
      <w:r>
        <w:rPr>
          <w:sz w:val="22"/>
          <w:szCs w:val="22"/>
        </w:rPr>
        <w:t>h</w:t>
      </w:r>
      <w:r w:rsidRPr="0025493B">
        <w:rPr>
          <w:sz w:val="22"/>
          <w:szCs w:val="22"/>
          <w:lang w:val="vi-VN"/>
        </w:rPr>
        <w:t xml:space="preserve">). </w:t>
      </w:r>
      <w:r>
        <w:rPr>
          <w:sz w:val="22"/>
          <w:szCs w:val="22"/>
        </w:rPr>
        <w:t>Các</w:t>
      </w:r>
      <w:r w:rsidRPr="0025493B">
        <w:rPr>
          <w:sz w:val="22"/>
          <w:szCs w:val="22"/>
          <w:lang w:val="vi-VN"/>
        </w:rPr>
        <w:t xml:space="preserve"> tỷ lệ</w:t>
      </w:r>
      <w:r>
        <w:rPr>
          <w:sz w:val="22"/>
          <w:szCs w:val="22"/>
        </w:rPr>
        <w:t xml:space="preserve"> còn lại</w:t>
      </w:r>
      <w:r w:rsidRPr="0025493B">
        <w:rPr>
          <w:sz w:val="22"/>
          <w:szCs w:val="22"/>
          <w:lang w:val="vi-VN"/>
        </w:rPr>
        <w:t xml:space="preserve"> </w:t>
      </w:r>
      <w:r>
        <w:rPr>
          <w:sz w:val="22"/>
          <w:szCs w:val="22"/>
        </w:rPr>
        <w:t>có độ</w:t>
      </w:r>
      <w:r w:rsidRPr="0025493B">
        <w:rPr>
          <w:sz w:val="22"/>
          <w:szCs w:val="22"/>
          <w:lang w:val="vi-VN"/>
        </w:rPr>
        <w:t xml:space="preserve"> lắng trong 1 giờ cũng lần lượt tăng lên từ 2,00 ± 0,00 đến 10,67 ± 1,16 (ml/</w:t>
      </w:r>
      <w:r>
        <w:rPr>
          <w:sz w:val="22"/>
          <w:szCs w:val="22"/>
        </w:rPr>
        <w:t>h). Tuy nhiên</w:t>
      </w:r>
      <w:r w:rsidRPr="0025493B">
        <w:rPr>
          <w:sz w:val="22"/>
          <w:szCs w:val="22"/>
          <w:lang w:val="vi-VN"/>
        </w:rPr>
        <w:t xml:space="preserve"> ở tỷ lệ nước </w:t>
      </w:r>
      <w:r>
        <w:rPr>
          <w:sz w:val="22"/>
          <w:szCs w:val="22"/>
        </w:rPr>
        <w:t xml:space="preserve">thấp nhất </w:t>
      </w:r>
      <w:r w:rsidRPr="0025493B">
        <w:rPr>
          <w:sz w:val="22"/>
          <w:szCs w:val="22"/>
          <w:lang w:val="vi-VN"/>
        </w:rPr>
        <w:t>là 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1</w:t>
      </w:r>
      <w:r>
        <w:rPr>
          <w:sz w:val="22"/>
          <w:szCs w:val="22"/>
        </w:rPr>
        <w:t xml:space="preserve"> </w:t>
      </w:r>
      <w:r w:rsidRPr="0025493B">
        <w:rPr>
          <w:sz w:val="22"/>
          <w:szCs w:val="22"/>
          <w:lang w:val="vi-VN"/>
        </w:rPr>
        <w:t>:</w:t>
      </w:r>
      <w:r>
        <w:rPr>
          <w:sz w:val="22"/>
          <w:szCs w:val="22"/>
        </w:rPr>
        <w:t xml:space="preserve"> </w:t>
      </w:r>
      <w:r w:rsidRPr="0025493B">
        <w:rPr>
          <w:sz w:val="22"/>
          <w:szCs w:val="22"/>
          <w:lang w:val="vi-VN"/>
        </w:rPr>
        <w:t>6</w:t>
      </w:r>
      <w:r>
        <w:rPr>
          <w:sz w:val="22"/>
          <w:szCs w:val="22"/>
        </w:rPr>
        <w:t xml:space="preserve"> do độ nhớt cao nhất và dịch đặc sệt nên</w:t>
      </w:r>
      <w:r w:rsidRPr="0025493B">
        <w:rPr>
          <w:sz w:val="22"/>
          <w:szCs w:val="22"/>
          <w:lang w:val="vi-VN"/>
        </w:rPr>
        <w:t xml:space="preserve"> không xảy ra hiện tượng tách lớp. Dựa vào kết quả trên cho thấy độ nhớt và </w:t>
      </w:r>
      <w:r>
        <w:rPr>
          <w:sz w:val="22"/>
          <w:szCs w:val="22"/>
          <w:lang w:val="vi-VN"/>
        </w:rPr>
        <w:t>độ lắng</w:t>
      </w:r>
      <w:r w:rsidRPr="0025493B">
        <w:rPr>
          <w:sz w:val="22"/>
          <w:szCs w:val="22"/>
          <w:lang w:val="vi-VN"/>
        </w:rPr>
        <w:t xml:space="preserve"> có sự khác biệt đáng kể giữa các nghiệm thức (</w:t>
      </w:r>
      <w:r w:rsidRPr="0025493B">
        <w:rPr>
          <w:i/>
          <w:sz w:val="22"/>
          <w:szCs w:val="22"/>
          <w:lang w:val="vi-VN"/>
        </w:rPr>
        <w:t>p ≤</w:t>
      </w:r>
      <w:r w:rsidRPr="0025493B">
        <w:rPr>
          <w:sz w:val="22"/>
          <w:szCs w:val="22"/>
          <w:lang w:val="vi-VN"/>
        </w:rPr>
        <w:t xml:space="preserve"> 0,05). Từ kết quả trên</w:t>
      </w:r>
      <w:r>
        <w:rPr>
          <w:sz w:val="22"/>
          <w:szCs w:val="22"/>
        </w:rPr>
        <w:t xml:space="preserve"> cho thấy</w:t>
      </w:r>
      <w:r w:rsidRPr="0025493B">
        <w:rPr>
          <w:sz w:val="22"/>
          <w:szCs w:val="22"/>
          <w:lang w:val="vi-VN"/>
        </w:rPr>
        <w:t xml:space="preserve"> tỷ lệ </w:t>
      </w:r>
      <w:r w:rsidRPr="0025493B">
        <w:rPr>
          <w:sz w:val="22"/>
          <w:szCs w:val="22"/>
        </w:rPr>
        <w:t>1</w:t>
      </w:r>
      <w:r>
        <w:rPr>
          <w:sz w:val="22"/>
          <w:szCs w:val="22"/>
        </w:rPr>
        <w:t xml:space="preserve"> </w:t>
      </w:r>
      <w:r w:rsidRPr="0025493B">
        <w:rPr>
          <w:sz w:val="22"/>
          <w:szCs w:val="22"/>
        </w:rPr>
        <w:t>:</w:t>
      </w:r>
      <w:r>
        <w:rPr>
          <w:sz w:val="22"/>
          <w:szCs w:val="22"/>
        </w:rPr>
        <w:t xml:space="preserve"> </w:t>
      </w:r>
      <w:r w:rsidRPr="0025493B">
        <w:rPr>
          <w:sz w:val="22"/>
          <w:szCs w:val="22"/>
        </w:rPr>
        <w:t>1</w:t>
      </w:r>
      <w:r>
        <w:rPr>
          <w:sz w:val="22"/>
          <w:szCs w:val="22"/>
        </w:rPr>
        <w:t xml:space="preserve"> </w:t>
      </w:r>
      <w:r w:rsidRPr="0025493B">
        <w:rPr>
          <w:sz w:val="22"/>
          <w:szCs w:val="22"/>
        </w:rPr>
        <w:t>:</w:t>
      </w:r>
      <w:r>
        <w:rPr>
          <w:sz w:val="22"/>
          <w:szCs w:val="22"/>
        </w:rPr>
        <w:t xml:space="preserve"> </w:t>
      </w:r>
      <w:r w:rsidRPr="0025493B">
        <w:rPr>
          <w:sz w:val="22"/>
          <w:szCs w:val="22"/>
          <w:lang w:val="vi-VN"/>
        </w:rPr>
        <w:t xml:space="preserve">12 và </w:t>
      </w:r>
      <w:r w:rsidRPr="0025493B">
        <w:rPr>
          <w:sz w:val="22"/>
          <w:szCs w:val="22"/>
        </w:rPr>
        <w:t>1</w:t>
      </w:r>
      <w:r>
        <w:rPr>
          <w:sz w:val="22"/>
          <w:szCs w:val="22"/>
        </w:rPr>
        <w:t xml:space="preserve"> </w:t>
      </w:r>
      <w:r w:rsidRPr="0025493B">
        <w:rPr>
          <w:sz w:val="22"/>
          <w:szCs w:val="22"/>
        </w:rPr>
        <w:t>:</w:t>
      </w:r>
      <w:r>
        <w:rPr>
          <w:sz w:val="22"/>
          <w:szCs w:val="22"/>
        </w:rPr>
        <w:t xml:space="preserve"> </w:t>
      </w:r>
      <w:r w:rsidRPr="0025493B">
        <w:rPr>
          <w:sz w:val="22"/>
          <w:szCs w:val="22"/>
        </w:rPr>
        <w:t>1</w:t>
      </w:r>
      <w:r>
        <w:rPr>
          <w:sz w:val="22"/>
          <w:szCs w:val="22"/>
        </w:rPr>
        <w:t xml:space="preserve"> </w:t>
      </w:r>
      <w:r w:rsidRPr="0025493B">
        <w:rPr>
          <w:sz w:val="22"/>
          <w:szCs w:val="22"/>
        </w:rPr>
        <w:t>:</w:t>
      </w:r>
      <w:r>
        <w:rPr>
          <w:sz w:val="22"/>
          <w:szCs w:val="22"/>
        </w:rPr>
        <w:t xml:space="preserve"> </w:t>
      </w:r>
      <w:r w:rsidRPr="0025493B">
        <w:rPr>
          <w:sz w:val="22"/>
          <w:szCs w:val="22"/>
          <w:lang w:val="vi-VN"/>
        </w:rPr>
        <w:t>14</w:t>
      </w:r>
      <w:r w:rsidRPr="0025493B">
        <w:rPr>
          <w:sz w:val="22"/>
          <w:szCs w:val="22"/>
        </w:rPr>
        <w:t xml:space="preserve"> </w:t>
      </w:r>
      <w:r>
        <w:rPr>
          <w:sz w:val="22"/>
          <w:szCs w:val="22"/>
        </w:rPr>
        <w:t>có</w:t>
      </w:r>
      <w:r w:rsidRPr="0025493B">
        <w:rPr>
          <w:sz w:val="22"/>
          <w:szCs w:val="22"/>
          <w:lang w:val="vi-VN"/>
        </w:rPr>
        <w:t xml:space="preserve"> độ nhớt là </w:t>
      </w:r>
      <w:r w:rsidRPr="0025493B">
        <w:rPr>
          <w:sz w:val="22"/>
          <w:szCs w:val="22"/>
        </w:rPr>
        <w:t>12,04 ±</w:t>
      </w:r>
      <w:r w:rsidRPr="0025493B">
        <w:rPr>
          <w:sz w:val="22"/>
          <w:szCs w:val="22"/>
          <w:lang w:val="vi-VN"/>
        </w:rPr>
        <w:t xml:space="preserve"> 0,08 và 4,57</w:t>
      </w:r>
      <w:r w:rsidRPr="0025493B">
        <w:rPr>
          <w:sz w:val="22"/>
          <w:szCs w:val="22"/>
        </w:rPr>
        <w:t xml:space="preserve"> ±</w:t>
      </w:r>
      <w:r w:rsidRPr="0025493B">
        <w:rPr>
          <w:sz w:val="22"/>
          <w:szCs w:val="22"/>
          <w:lang w:val="vi-VN"/>
        </w:rPr>
        <w:t xml:space="preserve"> 0,23 (cP) </w:t>
      </w:r>
      <w:r>
        <w:rPr>
          <w:sz w:val="22"/>
          <w:szCs w:val="22"/>
        </w:rPr>
        <w:t xml:space="preserve">tương tự các sản phẩm sữa trên thị trường như sữa ngũ </w:t>
      </w:r>
      <w:r w:rsidRPr="00A2658C">
        <w:rPr>
          <w:sz w:val="22"/>
          <w:szCs w:val="22"/>
          <w:lang w:val="vi-VN"/>
        </w:rPr>
        <w:t xml:space="preserve">cốc 10,24 ± 0,30, sữa hạt óc chó, đâu nành 22,28 ± 0,13 (cP) của Vinamilk hay nước gạo Hàn Quốc là 4,02 ± 0,08 (Cp). </w:t>
      </w:r>
      <w:r w:rsidRPr="0025493B">
        <w:rPr>
          <w:sz w:val="22"/>
          <w:szCs w:val="22"/>
          <w:lang w:val="vi-VN"/>
        </w:rPr>
        <w:t xml:space="preserve"> Tuy nhiên, ở tỷ lệ 1:1:14 độ nhớt </w:t>
      </w:r>
      <w:r>
        <w:rPr>
          <w:sz w:val="22"/>
          <w:szCs w:val="22"/>
        </w:rPr>
        <w:t>quá thấp, dịch sữa</w:t>
      </w:r>
      <w:r w:rsidRPr="0025493B">
        <w:rPr>
          <w:sz w:val="22"/>
          <w:szCs w:val="22"/>
          <w:lang w:val="vi-VN"/>
        </w:rPr>
        <w:t xml:space="preserve"> loãng nên khả năng lắng sẽ nhanh hơn. </w:t>
      </w:r>
      <w:r w:rsidRPr="00A2658C">
        <w:rPr>
          <w:sz w:val="22"/>
          <w:szCs w:val="22"/>
          <w:lang w:val="vi-VN"/>
        </w:rPr>
        <w:t>Vì vậy, tỷ lệ gạo rang, mắc</w:t>
      </w:r>
      <w:r w:rsidRPr="0025493B">
        <w:rPr>
          <w:sz w:val="22"/>
          <w:szCs w:val="22"/>
        </w:rPr>
        <w:t xml:space="preserve"> ca và nước là 1</w:t>
      </w:r>
      <w:r>
        <w:rPr>
          <w:sz w:val="22"/>
          <w:szCs w:val="22"/>
        </w:rPr>
        <w:t xml:space="preserve"> </w:t>
      </w:r>
      <w:r w:rsidRPr="0025493B">
        <w:rPr>
          <w:sz w:val="22"/>
          <w:szCs w:val="22"/>
        </w:rPr>
        <w:t>:</w:t>
      </w:r>
      <w:r>
        <w:rPr>
          <w:sz w:val="22"/>
          <w:szCs w:val="22"/>
        </w:rPr>
        <w:t xml:space="preserve"> </w:t>
      </w:r>
      <w:r w:rsidRPr="0025493B">
        <w:rPr>
          <w:sz w:val="22"/>
          <w:szCs w:val="22"/>
        </w:rPr>
        <w:t>1</w:t>
      </w:r>
      <w:r>
        <w:rPr>
          <w:sz w:val="22"/>
          <w:szCs w:val="22"/>
        </w:rPr>
        <w:t xml:space="preserve"> </w:t>
      </w:r>
      <w:r w:rsidRPr="0025493B">
        <w:rPr>
          <w:sz w:val="22"/>
          <w:szCs w:val="22"/>
        </w:rPr>
        <w:t>:</w:t>
      </w:r>
      <w:r>
        <w:rPr>
          <w:sz w:val="22"/>
          <w:szCs w:val="22"/>
        </w:rPr>
        <w:t xml:space="preserve"> </w:t>
      </w:r>
      <w:r w:rsidRPr="0025493B">
        <w:rPr>
          <w:sz w:val="22"/>
          <w:szCs w:val="22"/>
        </w:rPr>
        <w:t xml:space="preserve">12 </w:t>
      </w:r>
      <w:r w:rsidRPr="0025493B">
        <w:rPr>
          <w:sz w:val="22"/>
          <w:szCs w:val="22"/>
          <w:lang w:val="vi-VN"/>
        </w:rPr>
        <w:t>có độ nhớt</w:t>
      </w:r>
      <w:r w:rsidRPr="0025493B">
        <w:rPr>
          <w:sz w:val="22"/>
          <w:szCs w:val="22"/>
        </w:rPr>
        <w:t xml:space="preserve"> </w:t>
      </w:r>
      <w:r>
        <w:rPr>
          <w:sz w:val="22"/>
          <w:szCs w:val="22"/>
        </w:rPr>
        <w:t xml:space="preserve">và độ lắng </w:t>
      </w:r>
      <w:r w:rsidRPr="0025493B">
        <w:rPr>
          <w:sz w:val="22"/>
          <w:szCs w:val="22"/>
        </w:rPr>
        <w:t>thích hợp nhất</w:t>
      </w:r>
      <w:r>
        <w:rPr>
          <w:sz w:val="22"/>
          <w:szCs w:val="22"/>
        </w:rPr>
        <w:t xml:space="preserve"> được sử dụng cho các thí nghiệm tiếp theo</w:t>
      </w:r>
      <w:r w:rsidRPr="0025493B">
        <w:rPr>
          <w:sz w:val="22"/>
          <w:szCs w:val="22"/>
        </w:rPr>
        <w:t>.</w:t>
      </w:r>
    </w:p>
    <w:p w:rsidR="00423F4E" w:rsidRPr="00A2034E" w:rsidRDefault="00423F4E" w:rsidP="00423F4E">
      <w:pPr>
        <w:spacing w:before="120" w:after="120" w:line="240" w:lineRule="auto"/>
        <w:jc w:val="both"/>
        <w:outlineLvl w:val="1"/>
        <w:rPr>
          <w:b/>
          <w:sz w:val="22"/>
          <w:szCs w:val="22"/>
        </w:rPr>
      </w:pPr>
      <w:bookmarkStart w:id="8" w:name="_Toc199164268"/>
      <w:r w:rsidRPr="0025493B">
        <w:rPr>
          <w:b/>
          <w:sz w:val="22"/>
          <w:szCs w:val="22"/>
          <w:lang w:val="vi-VN"/>
        </w:rPr>
        <w:t xml:space="preserve">Khảo sát tỷ lệ chất tạo ngọt đường </w:t>
      </w:r>
      <w:r>
        <w:rPr>
          <w:b/>
          <w:sz w:val="22"/>
          <w:szCs w:val="22"/>
          <w:lang w:val="vi-VN"/>
        </w:rPr>
        <w:t>Trehalose</w:t>
      </w:r>
      <w:r w:rsidRPr="0025493B">
        <w:rPr>
          <w:b/>
          <w:sz w:val="22"/>
          <w:szCs w:val="22"/>
          <w:lang w:val="vi-VN"/>
        </w:rPr>
        <w:t xml:space="preserve"> </w:t>
      </w:r>
      <w:bookmarkEnd w:id="8"/>
      <w:r>
        <w:rPr>
          <w:b/>
          <w:sz w:val="22"/>
          <w:szCs w:val="22"/>
        </w:rPr>
        <w:t>ảnh hưởng đến sữa hạt</w:t>
      </w:r>
    </w:p>
    <w:p w:rsidR="00423F4E" w:rsidRPr="007D7DE6" w:rsidRDefault="00423F4E" w:rsidP="00423F4E">
      <w:pPr>
        <w:spacing w:before="120" w:after="120" w:line="240" w:lineRule="auto"/>
        <w:jc w:val="both"/>
        <w:rPr>
          <w:sz w:val="22"/>
          <w:szCs w:val="22"/>
        </w:rPr>
      </w:pPr>
      <w:r w:rsidRPr="0025493B">
        <w:rPr>
          <w:sz w:val="22"/>
          <w:szCs w:val="22"/>
        </w:rPr>
        <w:t xml:space="preserve">Khi trộn </w:t>
      </w:r>
      <w:r w:rsidRPr="0025493B">
        <w:rPr>
          <w:sz w:val="22"/>
          <w:szCs w:val="22"/>
          <w:lang w:val="vi-VN"/>
        </w:rPr>
        <w:t>bột gạo rang, mắc ca xay nhuyễn</w:t>
      </w:r>
      <w:r w:rsidRPr="0025493B">
        <w:rPr>
          <w:sz w:val="22"/>
          <w:szCs w:val="22"/>
        </w:rPr>
        <w:t xml:space="preserve"> </w:t>
      </w:r>
      <w:r w:rsidRPr="0025493B">
        <w:rPr>
          <w:sz w:val="22"/>
          <w:szCs w:val="22"/>
          <w:lang w:val="vi-VN"/>
        </w:rPr>
        <w:t>với</w:t>
      </w:r>
      <w:r w:rsidRPr="0025493B">
        <w:rPr>
          <w:sz w:val="22"/>
          <w:szCs w:val="22"/>
        </w:rPr>
        <w:t xml:space="preserve"> nước </w:t>
      </w:r>
      <w:r w:rsidRPr="0025493B">
        <w:rPr>
          <w:sz w:val="22"/>
          <w:szCs w:val="22"/>
          <w:lang w:val="vi-VN"/>
        </w:rPr>
        <w:t xml:space="preserve">và gia nhiệt </w:t>
      </w:r>
      <w:r w:rsidRPr="0025493B">
        <w:rPr>
          <w:sz w:val="22"/>
          <w:szCs w:val="22"/>
        </w:rPr>
        <w:t xml:space="preserve">ở nhiệt độ </w:t>
      </w:r>
      <w:r w:rsidRPr="0025493B">
        <w:rPr>
          <w:sz w:val="22"/>
          <w:szCs w:val="22"/>
          <w:lang w:val="vi-VN"/>
        </w:rPr>
        <w:t>90</w:t>
      </w:r>
      <w:r w:rsidRPr="0025493B">
        <w:rPr>
          <w:sz w:val="22"/>
          <w:szCs w:val="22"/>
          <w:vertAlign w:val="superscript"/>
        </w:rPr>
        <w:t>o</w:t>
      </w:r>
      <w:r w:rsidRPr="0025493B">
        <w:rPr>
          <w:sz w:val="22"/>
          <w:szCs w:val="22"/>
        </w:rPr>
        <w:t>C</w:t>
      </w:r>
      <w:r w:rsidRPr="0025493B">
        <w:rPr>
          <w:sz w:val="22"/>
          <w:szCs w:val="22"/>
          <w:lang w:val="vi-VN"/>
        </w:rPr>
        <w:t xml:space="preserve"> trong 15 phút</w:t>
      </w:r>
      <w:r w:rsidRPr="0025493B">
        <w:rPr>
          <w:sz w:val="22"/>
          <w:szCs w:val="22"/>
        </w:rPr>
        <w:t xml:space="preserve">, cấu trúc hạt tinh bột bị phá vỡ và lúc này nhóm –OH của nước tạo liên kết hydro với với nhóm –OH của phân tử amylose và amylopectin. </w:t>
      </w:r>
      <w:r>
        <w:rPr>
          <w:sz w:val="22"/>
          <w:szCs w:val="22"/>
        </w:rPr>
        <w:t>Các hạt tinh bột hút nước và trương nở đ</w:t>
      </w:r>
      <w:r w:rsidRPr="0025493B">
        <w:rPr>
          <w:sz w:val="22"/>
          <w:szCs w:val="22"/>
        </w:rPr>
        <w:t xml:space="preserve">iều này làm tăng khả năng hòa tan và trương nở </w:t>
      </w:r>
      <w:r>
        <w:rPr>
          <w:sz w:val="22"/>
          <w:szCs w:val="22"/>
        </w:rPr>
        <w:t>ảnh hưởng đến độ nhớt</w:t>
      </w:r>
      <w:r w:rsidRPr="0025493B">
        <w:rPr>
          <w:sz w:val="22"/>
          <w:szCs w:val="22"/>
        </w:rPr>
        <w:t>.</w:t>
      </w:r>
      <w:r w:rsidRPr="0025493B">
        <w:rPr>
          <w:sz w:val="22"/>
          <w:szCs w:val="22"/>
          <w:lang w:val="vi-VN"/>
        </w:rPr>
        <w:t xml:space="preserve"> </w:t>
      </w:r>
      <w:r w:rsidRPr="0025493B">
        <w:rPr>
          <w:sz w:val="22"/>
          <w:szCs w:val="22"/>
        </w:rPr>
        <w:t xml:space="preserve">Trong một nghiên cứu về hỗn hợp và </w:t>
      </w:r>
      <w:r w:rsidRPr="0025493B">
        <w:rPr>
          <w:sz w:val="22"/>
          <w:szCs w:val="22"/>
          <w:lang w:val="vi-VN"/>
        </w:rPr>
        <w:t>độ</w:t>
      </w:r>
      <w:r w:rsidRPr="0025493B">
        <w:rPr>
          <w:sz w:val="22"/>
          <w:szCs w:val="22"/>
        </w:rPr>
        <w:t xml:space="preserve"> tạo ngọt trong gel tinh bột, người ta đã chỉ ra rằng đường </w:t>
      </w:r>
      <w:r>
        <w:rPr>
          <w:sz w:val="22"/>
          <w:szCs w:val="22"/>
        </w:rPr>
        <w:t xml:space="preserve">ngoài tạo vị cho sản phẩm còn </w:t>
      </w:r>
      <w:r w:rsidRPr="0025493B">
        <w:rPr>
          <w:sz w:val="22"/>
          <w:szCs w:val="22"/>
        </w:rPr>
        <w:t>làm thay đổi hàm lượng nước trong hỗn hợp, ảnh hưởng đến quá trình hydrat hóa các thành phần và khả năng hấp thụ nước của các hạt tinh bột</w:t>
      </w:r>
      <w:r w:rsidRPr="0063481C">
        <w:rPr>
          <w:sz w:val="22"/>
          <w:szCs w:val="22"/>
          <w:vertAlign w:val="superscript"/>
        </w:rPr>
        <w:t>20</w:t>
      </w:r>
      <w:r w:rsidRPr="0025493B">
        <w:rPr>
          <w:sz w:val="22"/>
          <w:szCs w:val="22"/>
        </w:rPr>
        <w:t>, điều này cũng đã xảy ra trong nghiên cứu</w:t>
      </w:r>
      <w:r w:rsidRPr="0025493B">
        <w:rPr>
          <w:sz w:val="22"/>
          <w:szCs w:val="22"/>
          <w:lang w:val="vi-VN"/>
        </w:rPr>
        <w:t xml:space="preserve"> của </w:t>
      </w:r>
      <w:r>
        <w:rPr>
          <w:sz w:val="22"/>
          <w:szCs w:val="22"/>
        </w:rPr>
        <w:t xml:space="preserve">Ferreira và </w:t>
      </w:r>
      <w:r>
        <w:rPr>
          <w:sz w:val="22"/>
          <w:szCs w:val="22"/>
        </w:rPr>
        <w:lastRenderedPageBreak/>
        <w:t>cs., c</w:t>
      </w:r>
      <w:r w:rsidRPr="0025493B">
        <w:rPr>
          <w:sz w:val="22"/>
          <w:szCs w:val="22"/>
        </w:rPr>
        <w:t xml:space="preserve">ác hỗn hợp </w:t>
      </w:r>
      <w:r>
        <w:rPr>
          <w:sz w:val="22"/>
          <w:szCs w:val="22"/>
        </w:rPr>
        <w:t>được đánh giá</w:t>
      </w:r>
      <w:r w:rsidRPr="0025493B">
        <w:rPr>
          <w:sz w:val="22"/>
          <w:szCs w:val="22"/>
        </w:rPr>
        <w:t xml:space="preserve"> chứa nhiều đường hơn</w:t>
      </w:r>
      <w:r>
        <w:rPr>
          <w:sz w:val="22"/>
          <w:szCs w:val="22"/>
        </w:rPr>
        <w:t xml:space="preserve"> sẽ</w:t>
      </w:r>
      <w:r w:rsidRPr="0025493B">
        <w:rPr>
          <w:sz w:val="22"/>
          <w:szCs w:val="22"/>
        </w:rPr>
        <w:t xml:space="preserve"> hấp thụ nhiều nước</w:t>
      </w:r>
      <w:r w:rsidRPr="0025493B">
        <w:rPr>
          <w:sz w:val="22"/>
          <w:szCs w:val="22"/>
          <w:lang w:val="vi-VN"/>
        </w:rPr>
        <w:t xml:space="preserve"> hơn.</w:t>
      </w:r>
      <w:r>
        <w:rPr>
          <w:sz w:val="22"/>
          <w:szCs w:val="22"/>
        </w:rPr>
        <w:t xml:space="preserve"> Vì vậy chúng tôi khảo sát tỷ lệ đường Trehalose ảnh hưởng đến sản phẩm</w:t>
      </w:r>
      <w:r w:rsidRPr="0063481C">
        <w:rPr>
          <w:sz w:val="22"/>
          <w:szCs w:val="22"/>
          <w:vertAlign w:val="superscript"/>
        </w:rPr>
        <w:t>21</w:t>
      </w:r>
      <w:r>
        <w:rPr>
          <w:sz w:val="22"/>
          <w:szCs w:val="22"/>
        </w:rPr>
        <w:t>.</w:t>
      </w:r>
    </w:p>
    <w:p w:rsidR="00423F4E" w:rsidRPr="0025493B" w:rsidRDefault="00423F4E" w:rsidP="00423F4E">
      <w:pPr>
        <w:spacing w:before="120" w:after="120" w:line="240" w:lineRule="auto"/>
        <w:jc w:val="both"/>
        <w:outlineLvl w:val="1"/>
        <w:rPr>
          <w:b/>
          <w:sz w:val="22"/>
          <w:szCs w:val="22"/>
          <w:lang w:val="vi-VN"/>
        </w:rPr>
      </w:pPr>
      <w:bookmarkStart w:id="9" w:name="_Toc199164269"/>
      <w:r>
        <w:rPr>
          <w:b/>
          <w:sz w:val="22"/>
          <w:szCs w:val="22"/>
        </w:rPr>
        <w:t>Ảnh hưởng đến</w:t>
      </w:r>
      <w:r w:rsidRPr="0025493B">
        <w:rPr>
          <w:b/>
          <w:sz w:val="22"/>
          <w:szCs w:val="22"/>
          <w:lang w:val="vi-VN"/>
        </w:rPr>
        <w:t xml:space="preserve"> màu sắc, giá trị pH và chất khô hòa tan</w:t>
      </w:r>
      <w:bookmarkEnd w:id="9"/>
      <w:r w:rsidRPr="0025493B">
        <w:rPr>
          <w:b/>
          <w:sz w:val="22"/>
          <w:szCs w:val="22"/>
          <w:lang w:val="vi-VN"/>
        </w:rPr>
        <w:t xml:space="preserve"> </w:t>
      </w:r>
    </w:p>
    <w:p w:rsidR="00423F4E" w:rsidRPr="00D5662B" w:rsidRDefault="00423F4E" w:rsidP="00423F4E">
      <w:pPr>
        <w:spacing w:before="120" w:after="120" w:line="240" w:lineRule="auto"/>
        <w:jc w:val="both"/>
        <w:rPr>
          <w:sz w:val="22"/>
          <w:szCs w:val="22"/>
        </w:rPr>
      </w:pPr>
      <w:r>
        <w:rPr>
          <w:sz w:val="22"/>
          <w:szCs w:val="22"/>
        </w:rPr>
        <w:t>Việc bổ sung syrup đường Trehalose sẽ ảnh hưởng đến dinh dưỡng, chất khô hòa tan của thành phẩm và đặc biệt màu sắc do phản ứng tạo màu của đường ở nhiệt độ cao trong quy trình chế biến. Ả</w:t>
      </w:r>
      <w:r w:rsidRPr="0025493B">
        <w:rPr>
          <w:sz w:val="22"/>
          <w:szCs w:val="22"/>
          <w:lang w:val="vi-VN"/>
        </w:rPr>
        <w:t xml:space="preserve">nh hưởng của việc bổ sung syrup đường </w:t>
      </w:r>
      <w:r>
        <w:rPr>
          <w:sz w:val="22"/>
          <w:szCs w:val="22"/>
          <w:lang w:val="vi-VN"/>
        </w:rPr>
        <w:t>Trehalose</w:t>
      </w:r>
      <w:r w:rsidRPr="0025493B">
        <w:rPr>
          <w:sz w:val="22"/>
          <w:szCs w:val="22"/>
          <w:lang w:val="vi-VN"/>
        </w:rPr>
        <w:t xml:space="preserve"> ảnh hưởng đến độ sáng L*, độ pH và nồng độ chất khô hòa tan được thể hiện ở </w:t>
      </w:r>
      <w:r>
        <w:rPr>
          <w:sz w:val="22"/>
          <w:szCs w:val="22"/>
        </w:rPr>
        <w:t>b</w:t>
      </w:r>
      <w:r w:rsidRPr="0025493B">
        <w:rPr>
          <w:sz w:val="22"/>
          <w:szCs w:val="22"/>
          <w:lang w:val="vi-VN"/>
        </w:rPr>
        <w:t xml:space="preserve">ảng </w:t>
      </w:r>
      <w:r>
        <w:rPr>
          <w:sz w:val="22"/>
          <w:szCs w:val="22"/>
        </w:rPr>
        <w:t>3</w:t>
      </w:r>
      <w:r w:rsidRPr="0025493B">
        <w:rPr>
          <w:sz w:val="22"/>
          <w:szCs w:val="22"/>
          <w:lang w:val="vi-VN"/>
        </w:rPr>
        <w:t xml:space="preserve"> như sau: </w:t>
      </w:r>
    </w:p>
    <w:p w:rsidR="00423F4E" w:rsidRPr="000601B7" w:rsidRDefault="00423F4E" w:rsidP="00423F4E">
      <w:pPr>
        <w:spacing w:before="240" w:after="120" w:line="240" w:lineRule="auto"/>
        <w:rPr>
          <w:sz w:val="20"/>
          <w:szCs w:val="20"/>
          <w:lang w:val="vi-VN"/>
        </w:rPr>
      </w:pPr>
      <w:bookmarkStart w:id="10" w:name="_Toc198933856"/>
      <w:r w:rsidRPr="000601B7">
        <w:rPr>
          <w:sz w:val="20"/>
          <w:szCs w:val="20"/>
          <w:lang w:val="vi-VN"/>
        </w:rPr>
        <w:t xml:space="preserve">Bảng </w:t>
      </w:r>
      <w:r w:rsidRPr="000601B7">
        <w:rPr>
          <w:sz w:val="20"/>
          <w:szCs w:val="20"/>
        </w:rPr>
        <w:t>3</w:t>
      </w:r>
      <w:r w:rsidRPr="000601B7">
        <w:rPr>
          <w:sz w:val="20"/>
          <w:szCs w:val="20"/>
          <w:lang w:val="vi-VN"/>
        </w:rPr>
        <w:t xml:space="preserve">. Ảnh hưởng </w:t>
      </w:r>
      <w:r w:rsidRPr="000601B7">
        <w:rPr>
          <w:sz w:val="20"/>
          <w:szCs w:val="20"/>
        </w:rPr>
        <w:t xml:space="preserve">của </w:t>
      </w:r>
      <w:r w:rsidRPr="000601B7">
        <w:rPr>
          <w:sz w:val="20"/>
          <w:szCs w:val="20"/>
          <w:lang w:val="vi-VN"/>
        </w:rPr>
        <w:t>syrup đường Trehalose đến độ sáng L*, độ pH và chất khô hòa tan của sữa hạt</w:t>
      </w:r>
      <w:bookmarkEnd w:id="10"/>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449"/>
        <w:gridCol w:w="1291"/>
        <w:gridCol w:w="2426"/>
      </w:tblGrid>
      <w:tr w:rsidR="00423F4E" w:rsidRPr="00D738CB" w:rsidTr="00DD345E">
        <w:trPr>
          <w:jc w:val="center"/>
        </w:trPr>
        <w:tc>
          <w:tcPr>
            <w:tcW w:w="2142" w:type="dxa"/>
            <w:vAlign w:val="center"/>
          </w:tcPr>
          <w:p w:rsidR="00423F4E" w:rsidRPr="004F7656" w:rsidRDefault="00423F4E" w:rsidP="00DD345E">
            <w:pPr>
              <w:spacing w:after="0" w:line="240" w:lineRule="auto"/>
              <w:contextualSpacing/>
              <w:jc w:val="center"/>
              <w:rPr>
                <w:b/>
                <w:sz w:val="20"/>
                <w:szCs w:val="20"/>
              </w:rPr>
            </w:pPr>
            <w:r>
              <w:rPr>
                <w:b/>
                <w:sz w:val="20"/>
                <w:szCs w:val="20"/>
              </w:rPr>
              <w:t>S</w:t>
            </w:r>
            <w:r w:rsidRPr="00D738CB">
              <w:rPr>
                <w:b/>
                <w:sz w:val="20"/>
                <w:szCs w:val="20"/>
                <w:lang w:val="vi-VN"/>
              </w:rPr>
              <w:t xml:space="preserve">yrup đường </w:t>
            </w:r>
            <w:r>
              <w:rPr>
                <w:b/>
                <w:sz w:val="20"/>
                <w:szCs w:val="20"/>
              </w:rPr>
              <w:t>Trehalose (%)</w:t>
            </w:r>
          </w:p>
        </w:tc>
        <w:tc>
          <w:tcPr>
            <w:tcW w:w="1449" w:type="dxa"/>
            <w:vAlign w:val="center"/>
          </w:tcPr>
          <w:p w:rsidR="00423F4E" w:rsidRPr="00D738CB" w:rsidRDefault="00423F4E" w:rsidP="00DD345E">
            <w:pPr>
              <w:spacing w:after="0" w:line="240" w:lineRule="auto"/>
              <w:contextualSpacing/>
              <w:jc w:val="center"/>
              <w:rPr>
                <w:b/>
                <w:sz w:val="20"/>
                <w:szCs w:val="20"/>
                <w:lang w:val="vi-VN"/>
              </w:rPr>
            </w:pPr>
            <w:r w:rsidRPr="00D738CB">
              <w:rPr>
                <w:b/>
                <w:sz w:val="20"/>
                <w:szCs w:val="20"/>
                <w:lang w:val="vi-VN"/>
              </w:rPr>
              <w:t>Độ sáng L*</w:t>
            </w:r>
          </w:p>
        </w:tc>
        <w:tc>
          <w:tcPr>
            <w:tcW w:w="1291" w:type="dxa"/>
            <w:vAlign w:val="center"/>
          </w:tcPr>
          <w:p w:rsidR="00423F4E" w:rsidRPr="00D738CB" w:rsidRDefault="00423F4E" w:rsidP="00DD345E">
            <w:pPr>
              <w:spacing w:after="0" w:line="240" w:lineRule="auto"/>
              <w:contextualSpacing/>
              <w:jc w:val="center"/>
              <w:rPr>
                <w:b/>
                <w:sz w:val="20"/>
                <w:szCs w:val="20"/>
                <w:lang w:val="vi-VN"/>
              </w:rPr>
            </w:pPr>
            <w:r w:rsidRPr="00D738CB">
              <w:rPr>
                <w:b/>
                <w:sz w:val="20"/>
                <w:szCs w:val="20"/>
                <w:lang w:val="vi-VN"/>
              </w:rPr>
              <w:t>Độ pH</w:t>
            </w:r>
          </w:p>
        </w:tc>
        <w:tc>
          <w:tcPr>
            <w:tcW w:w="2426" w:type="dxa"/>
            <w:vAlign w:val="center"/>
          </w:tcPr>
          <w:p w:rsidR="00423F4E" w:rsidRPr="00D738CB" w:rsidRDefault="00423F4E" w:rsidP="00DD345E">
            <w:pPr>
              <w:spacing w:after="0" w:line="240" w:lineRule="auto"/>
              <w:jc w:val="center"/>
              <w:rPr>
                <w:b/>
                <w:sz w:val="20"/>
                <w:szCs w:val="20"/>
                <w:lang w:val="vi-VN"/>
              </w:rPr>
            </w:pPr>
            <w:r>
              <w:rPr>
                <w:b/>
                <w:sz w:val="20"/>
                <w:szCs w:val="20"/>
              </w:rPr>
              <w:t>C</w:t>
            </w:r>
            <w:r w:rsidRPr="00D738CB">
              <w:rPr>
                <w:b/>
                <w:sz w:val="20"/>
                <w:szCs w:val="20"/>
                <w:lang w:val="vi-VN"/>
              </w:rPr>
              <w:t>hất khô hòa tan (</w:t>
            </w:r>
            <w:r w:rsidRPr="00D738CB">
              <w:rPr>
                <w:b/>
                <w:sz w:val="20"/>
                <w:szCs w:val="20"/>
                <w:vertAlign w:val="superscript"/>
                <w:lang w:val="vi-VN"/>
              </w:rPr>
              <w:t>o</w:t>
            </w:r>
            <w:r w:rsidRPr="00D738CB">
              <w:rPr>
                <w:b/>
                <w:sz w:val="20"/>
                <w:szCs w:val="20"/>
                <w:lang w:val="vi-VN"/>
              </w:rPr>
              <w:t>Brix)</w:t>
            </w:r>
          </w:p>
        </w:tc>
      </w:tr>
      <w:tr w:rsidR="00423F4E" w:rsidRPr="00D738CB" w:rsidTr="00DD345E">
        <w:trPr>
          <w:jc w:val="center"/>
        </w:trPr>
        <w:tc>
          <w:tcPr>
            <w:tcW w:w="2142" w:type="dxa"/>
          </w:tcPr>
          <w:p w:rsidR="00423F4E" w:rsidRPr="004F7656" w:rsidRDefault="00423F4E" w:rsidP="00DD345E">
            <w:pPr>
              <w:spacing w:after="0" w:line="240" w:lineRule="auto"/>
              <w:contextualSpacing/>
              <w:jc w:val="center"/>
              <w:rPr>
                <w:sz w:val="20"/>
                <w:szCs w:val="20"/>
              </w:rPr>
            </w:pPr>
            <w:r>
              <w:rPr>
                <w:sz w:val="20"/>
                <w:szCs w:val="20"/>
              </w:rPr>
              <w:t>0</w:t>
            </w:r>
          </w:p>
        </w:tc>
        <w:tc>
          <w:tcPr>
            <w:tcW w:w="1449"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65,18</w:t>
            </w:r>
            <w:r w:rsidRPr="00D738CB">
              <w:rPr>
                <w:sz w:val="20"/>
                <w:szCs w:val="20"/>
                <w:vertAlign w:val="superscript"/>
                <w:lang w:val="vi-VN"/>
              </w:rPr>
              <w:t>a</w:t>
            </w:r>
            <w:r w:rsidRPr="00D738CB">
              <w:rPr>
                <w:sz w:val="20"/>
                <w:szCs w:val="20"/>
                <w:lang w:val="vi-VN"/>
              </w:rPr>
              <w:t xml:space="preserve"> ± 0,38</w:t>
            </w:r>
          </w:p>
        </w:tc>
        <w:tc>
          <w:tcPr>
            <w:tcW w:w="12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6,38</w:t>
            </w:r>
            <w:r w:rsidRPr="00D738CB">
              <w:rPr>
                <w:sz w:val="20"/>
                <w:szCs w:val="20"/>
                <w:vertAlign w:val="superscript"/>
                <w:lang w:val="vi-VN"/>
              </w:rPr>
              <w:t>a</w:t>
            </w:r>
            <w:r w:rsidRPr="00D738CB">
              <w:rPr>
                <w:sz w:val="20"/>
                <w:szCs w:val="20"/>
                <w:lang w:val="vi-VN"/>
              </w:rPr>
              <w:t xml:space="preserve"> ± 0,05</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3,7</w:t>
            </w:r>
            <w:r w:rsidRPr="00D738CB">
              <w:rPr>
                <w:sz w:val="20"/>
                <w:szCs w:val="20"/>
                <w:vertAlign w:val="superscript"/>
                <w:lang w:val="vi-VN"/>
              </w:rPr>
              <w:t>e</w:t>
            </w:r>
            <w:r w:rsidRPr="00D738CB">
              <w:rPr>
                <w:sz w:val="20"/>
                <w:szCs w:val="20"/>
                <w:lang w:val="vi-VN"/>
              </w:rPr>
              <w:t xml:space="preserve"> ± 0,0</w:t>
            </w:r>
          </w:p>
        </w:tc>
      </w:tr>
      <w:tr w:rsidR="00423F4E" w:rsidRPr="00D738CB" w:rsidTr="00DD345E">
        <w:trPr>
          <w:jc w:val="center"/>
        </w:trPr>
        <w:tc>
          <w:tcPr>
            <w:tcW w:w="2142" w:type="dxa"/>
          </w:tcPr>
          <w:p w:rsidR="00423F4E" w:rsidRPr="004F7656" w:rsidRDefault="00423F4E" w:rsidP="00DD345E">
            <w:pPr>
              <w:spacing w:after="0" w:line="240" w:lineRule="auto"/>
              <w:contextualSpacing/>
              <w:jc w:val="center"/>
              <w:rPr>
                <w:sz w:val="20"/>
                <w:szCs w:val="20"/>
              </w:rPr>
            </w:pPr>
            <w:r w:rsidRPr="00D738CB">
              <w:rPr>
                <w:sz w:val="20"/>
                <w:szCs w:val="20"/>
                <w:lang w:val="vi-VN"/>
              </w:rPr>
              <w:t>10</w:t>
            </w:r>
          </w:p>
        </w:tc>
        <w:tc>
          <w:tcPr>
            <w:tcW w:w="1449"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62,81</w:t>
            </w:r>
            <w:r w:rsidRPr="00D738CB">
              <w:rPr>
                <w:sz w:val="20"/>
                <w:szCs w:val="20"/>
                <w:vertAlign w:val="superscript"/>
                <w:lang w:val="vi-VN"/>
              </w:rPr>
              <w:t>b</w:t>
            </w:r>
            <w:r w:rsidRPr="00D738CB">
              <w:rPr>
                <w:sz w:val="20"/>
                <w:szCs w:val="20"/>
                <w:lang w:val="vi-VN"/>
              </w:rPr>
              <w:t xml:space="preserve"> ± 1,10</w:t>
            </w:r>
          </w:p>
        </w:tc>
        <w:tc>
          <w:tcPr>
            <w:tcW w:w="12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6,31</w:t>
            </w:r>
            <w:r w:rsidRPr="00D738CB">
              <w:rPr>
                <w:sz w:val="20"/>
                <w:szCs w:val="20"/>
                <w:vertAlign w:val="superscript"/>
                <w:lang w:val="vi-VN"/>
              </w:rPr>
              <w:t>b</w:t>
            </w:r>
            <w:r w:rsidRPr="00D738CB">
              <w:rPr>
                <w:sz w:val="20"/>
                <w:szCs w:val="20"/>
                <w:lang w:val="vi-VN"/>
              </w:rPr>
              <w:t xml:space="preserve"> ± 0,02</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8,</w:t>
            </w:r>
            <w:r>
              <w:rPr>
                <w:sz w:val="20"/>
                <w:szCs w:val="20"/>
              </w:rPr>
              <w:t>7</w:t>
            </w:r>
            <w:r w:rsidRPr="00D738CB">
              <w:rPr>
                <w:sz w:val="20"/>
                <w:szCs w:val="20"/>
                <w:vertAlign w:val="superscript"/>
                <w:lang w:val="vi-VN"/>
              </w:rPr>
              <w:t>d</w:t>
            </w:r>
            <w:r w:rsidRPr="00D738CB">
              <w:rPr>
                <w:sz w:val="20"/>
                <w:szCs w:val="20"/>
                <w:lang w:val="vi-VN"/>
              </w:rPr>
              <w:t xml:space="preserve"> ± 0,</w:t>
            </w:r>
            <w:r>
              <w:rPr>
                <w:sz w:val="20"/>
                <w:szCs w:val="20"/>
              </w:rPr>
              <w:t>1</w:t>
            </w:r>
          </w:p>
        </w:tc>
      </w:tr>
      <w:tr w:rsidR="00423F4E" w:rsidRPr="00D738CB" w:rsidTr="00DD345E">
        <w:trPr>
          <w:jc w:val="center"/>
        </w:trPr>
        <w:tc>
          <w:tcPr>
            <w:tcW w:w="2142" w:type="dxa"/>
          </w:tcPr>
          <w:p w:rsidR="00423F4E" w:rsidRPr="004F7656" w:rsidRDefault="00423F4E" w:rsidP="00DD345E">
            <w:pPr>
              <w:spacing w:after="0" w:line="240" w:lineRule="auto"/>
              <w:contextualSpacing/>
              <w:jc w:val="center"/>
              <w:rPr>
                <w:sz w:val="20"/>
                <w:szCs w:val="20"/>
              </w:rPr>
            </w:pPr>
            <w:r w:rsidRPr="00D738CB">
              <w:rPr>
                <w:sz w:val="20"/>
                <w:szCs w:val="20"/>
                <w:lang w:val="vi-VN"/>
              </w:rPr>
              <w:t>15</w:t>
            </w:r>
          </w:p>
        </w:tc>
        <w:tc>
          <w:tcPr>
            <w:tcW w:w="1449"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61,23</w:t>
            </w:r>
            <w:r w:rsidRPr="00D738CB">
              <w:rPr>
                <w:sz w:val="20"/>
                <w:szCs w:val="20"/>
                <w:vertAlign w:val="superscript"/>
                <w:lang w:val="vi-VN"/>
              </w:rPr>
              <w:t>bc</w:t>
            </w:r>
            <w:r w:rsidRPr="00D738CB">
              <w:rPr>
                <w:sz w:val="20"/>
                <w:szCs w:val="20"/>
                <w:lang w:val="vi-VN"/>
              </w:rPr>
              <w:t xml:space="preserve"> ± 1,47</w:t>
            </w:r>
          </w:p>
        </w:tc>
        <w:tc>
          <w:tcPr>
            <w:tcW w:w="12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6,29</w:t>
            </w:r>
            <w:r w:rsidRPr="00D738CB">
              <w:rPr>
                <w:sz w:val="20"/>
                <w:szCs w:val="20"/>
                <w:vertAlign w:val="superscript"/>
                <w:lang w:val="vi-VN"/>
              </w:rPr>
              <w:t>b</w:t>
            </w:r>
            <w:r w:rsidRPr="00D738CB">
              <w:rPr>
                <w:sz w:val="20"/>
                <w:szCs w:val="20"/>
                <w:lang w:val="vi-VN"/>
              </w:rPr>
              <w:t xml:space="preserve"> ± 0,01</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10,</w:t>
            </w:r>
            <w:r>
              <w:rPr>
                <w:sz w:val="20"/>
                <w:szCs w:val="20"/>
              </w:rPr>
              <w:t>8</w:t>
            </w:r>
            <w:r w:rsidRPr="00D738CB">
              <w:rPr>
                <w:sz w:val="20"/>
                <w:szCs w:val="20"/>
                <w:vertAlign w:val="superscript"/>
                <w:lang w:val="vi-VN"/>
              </w:rPr>
              <w:t xml:space="preserve">c </w:t>
            </w:r>
            <w:r w:rsidRPr="00D738CB">
              <w:rPr>
                <w:sz w:val="20"/>
                <w:szCs w:val="20"/>
                <w:lang w:val="vi-VN"/>
              </w:rPr>
              <w:t>± 0,</w:t>
            </w:r>
            <w:r>
              <w:rPr>
                <w:sz w:val="20"/>
                <w:szCs w:val="20"/>
              </w:rPr>
              <w:t>1</w:t>
            </w:r>
          </w:p>
        </w:tc>
      </w:tr>
      <w:tr w:rsidR="00423F4E" w:rsidRPr="00D738CB" w:rsidTr="00DD345E">
        <w:trPr>
          <w:jc w:val="center"/>
        </w:trPr>
        <w:tc>
          <w:tcPr>
            <w:tcW w:w="2142" w:type="dxa"/>
          </w:tcPr>
          <w:p w:rsidR="00423F4E" w:rsidRPr="004F7656" w:rsidRDefault="00423F4E" w:rsidP="00DD345E">
            <w:pPr>
              <w:spacing w:after="0" w:line="240" w:lineRule="auto"/>
              <w:contextualSpacing/>
              <w:jc w:val="center"/>
              <w:rPr>
                <w:sz w:val="20"/>
                <w:szCs w:val="20"/>
              </w:rPr>
            </w:pPr>
            <w:r w:rsidRPr="00D738CB">
              <w:rPr>
                <w:sz w:val="20"/>
                <w:szCs w:val="20"/>
                <w:lang w:val="vi-VN"/>
              </w:rPr>
              <w:t>20</w:t>
            </w:r>
          </w:p>
        </w:tc>
        <w:tc>
          <w:tcPr>
            <w:tcW w:w="1449"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59,84</w:t>
            </w:r>
            <w:r w:rsidRPr="00D738CB">
              <w:rPr>
                <w:sz w:val="20"/>
                <w:szCs w:val="20"/>
                <w:vertAlign w:val="superscript"/>
                <w:lang w:val="vi-VN"/>
              </w:rPr>
              <w:t>cd</w:t>
            </w:r>
            <w:r w:rsidRPr="00D738CB">
              <w:rPr>
                <w:sz w:val="20"/>
                <w:szCs w:val="20"/>
                <w:lang w:val="vi-VN"/>
              </w:rPr>
              <w:t xml:space="preserve"> ± 1,52</w:t>
            </w:r>
          </w:p>
        </w:tc>
        <w:tc>
          <w:tcPr>
            <w:tcW w:w="12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6,30</w:t>
            </w:r>
            <w:r w:rsidRPr="00D738CB">
              <w:rPr>
                <w:sz w:val="20"/>
                <w:szCs w:val="20"/>
                <w:vertAlign w:val="superscript"/>
                <w:lang w:val="vi-VN"/>
              </w:rPr>
              <w:t>b</w:t>
            </w:r>
            <w:r w:rsidRPr="00D738CB">
              <w:rPr>
                <w:sz w:val="20"/>
                <w:szCs w:val="20"/>
                <w:lang w:val="vi-VN"/>
              </w:rPr>
              <w:t xml:space="preserve"> ± 0,02</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12,8</w:t>
            </w:r>
            <w:r w:rsidRPr="00D738CB">
              <w:rPr>
                <w:sz w:val="20"/>
                <w:szCs w:val="20"/>
                <w:vertAlign w:val="superscript"/>
                <w:lang w:val="vi-VN"/>
              </w:rPr>
              <w:t>b</w:t>
            </w:r>
            <w:r w:rsidRPr="00D738CB">
              <w:rPr>
                <w:sz w:val="20"/>
                <w:szCs w:val="20"/>
                <w:lang w:val="vi-VN"/>
              </w:rPr>
              <w:t xml:space="preserve"> ± 0,</w:t>
            </w:r>
            <w:r>
              <w:rPr>
                <w:sz w:val="20"/>
                <w:szCs w:val="20"/>
              </w:rPr>
              <w:t>1</w:t>
            </w:r>
          </w:p>
        </w:tc>
      </w:tr>
      <w:tr w:rsidR="00423F4E" w:rsidRPr="00D738CB" w:rsidTr="00DD345E">
        <w:trPr>
          <w:jc w:val="center"/>
        </w:trPr>
        <w:tc>
          <w:tcPr>
            <w:tcW w:w="2142" w:type="dxa"/>
          </w:tcPr>
          <w:p w:rsidR="00423F4E" w:rsidRPr="004F7656" w:rsidRDefault="00423F4E" w:rsidP="00DD345E">
            <w:pPr>
              <w:spacing w:after="0" w:line="240" w:lineRule="auto"/>
              <w:contextualSpacing/>
              <w:jc w:val="center"/>
              <w:rPr>
                <w:sz w:val="20"/>
                <w:szCs w:val="20"/>
              </w:rPr>
            </w:pPr>
            <w:r w:rsidRPr="00D738CB">
              <w:rPr>
                <w:sz w:val="20"/>
                <w:szCs w:val="20"/>
                <w:lang w:val="vi-VN"/>
              </w:rPr>
              <w:t>25</w:t>
            </w:r>
          </w:p>
        </w:tc>
        <w:tc>
          <w:tcPr>
            <w:tcW w:w="1449"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58,13</w:t>
            </w:r>
            <w:r w:rsidRPr="00D738CB">
              <w:rPr>
                <w:sz w:val="20"/>
                <w:szCs w:val="20"/>
                <w:vertAlign w:val="superscript"/>
                <w:lang w:val="vi-VN"/>
              </w:rPr>
              <w:t>d</w:t>
            </w:r>
            <w:r w:rsidRPr="00D738CB">
              <w:rPr>
                <w:sz w:val="20"/>
                <w:szCs w:val="20"/>
                <w:lang w:val="vi-VN"/>
              </w:rPr>
              <w:t xml:space="preserve"> ± 1,34</w:t>
            </w:r>
          </w:p>
        </w:tc>
        <w:tc>
          <w:tcPr>
            <w:tcW w:w="12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6,30</w:t>
            </w:r>
            <w:r w:rsidRPr="00D738CB">
              <w:rPr>
                <w:sz w:val="20"/>
                <w:szCs w:val="20"/>
                <w:vertAlign w:val="superscript"/>
                <w:lang w:val="vi-VN"/>
              </w:rPr>
              <w:t>b</w:t>
            </w:r>
            <w:r w:rsidRPr="00D738CB">
              <w:rPr>
                <w:sz w:val="20"/>
                <w:szCs w:val="20"/>
                <w:lang w:val="vi-VN"/>
              </w:rPr>
              <w:t xml:space="preserve"> ± 0,03</w:t>
            </w:r>
          </w:p>
        </w:tc>
        <w:tc>
          <w:tcPr>
            <w:tcW w:w="2426" w:type="dxa"/>
          </w:tcPr>
          <w:p w:rsidR="00423F4E" w:rsidRPr="006116C5" w:rsidRDefault="00423F4E" w:rsidP="00DD345E">
            <w:pPr>
              <w:spacing w:after="0" w:line="240" w:lineRule="auto"/>
              <w:jc w:val="center"/>
              <w:rPr>
                <w:sz w:val="20"/>
                <w:szCs w:val="20"/>
              </w:rPr>
            </w:pPr>
            <w:r w:rsidRPr="00D738CB">
              <w:rPr>
                <w:sz w:val="20"/>
                <w:szCs w:val="20"/>
                <w:lang w:val="vi-VN"/>
              </w:rPr>
              <w:t>1</w:t>
            </w:r>
            <w:r>
              <w:rPr>
                <w:sz w:val="20"/>
                <w:szCs w:val="20"/>
              </w:rPr>
              <w:t>6,0</w:t>
            </w:r>
            <w:r w:rsidRPr="00D738CB">
              <w:rPr>
                <w:sz w:val="20"/>
                <w:szCs w:val="20"/>
                <w:vertAlign w:val="superscript"/>
                <w:lang w:val="vi-VN"/>
              </w:rPr>
              <w:t>a</w:t>
            </w:r>
            <w:r w:rsidRPr="00D738CB">
              <w:rPr>
                <w:sz w:val="20"/>
                <w:szCs w:val="20"/>
                <w:lang w:val="vi-VN"/>
              </w:rPr>
              <w:t xml:space="preserve"> ± 0,1</w:t>
            </w:r>
          </w:p>
        </w:tc>
      </w:tr>
    </w:tbl>
    <w:p w:rsidR="00423F4E" w:rsidRPr="000601B7" w:rsidRDefault="00423F4E" w:rsidP="00423F4E">
      <w:pPr>
        <w:pStyle w:val="NormalWeb"/>
        <w:spacing w:before="120" w:beforeAutospacing="0" w:after="120" w:afterAutospacing="0"/>
        <w:contextualSpacing/>
        <w:rPr>
          <w:iCs/>
          <w:sz w:val="20"/>
          <w:szCs w:val="20"/>
          <w:lang w:val="vi-VN"/>
        </w:rPr>
      </w:pPr>
      <w:r w:rsidRPr="000601B7">
        <w:rPr>
          <w:iCs/>
          <w:sz w:val="20"/>
          <w:szCs w:val="20"/>
        </w:rPr>
        <w:t>(C</w:t>
      </w:r>
      <w:r w:rsidRPr="000601B7">
        <w:rPr>
          <w:iCs/>
          <w:sz w:val="20"/>
          <w:szCs w:val="20"/>
          <w:lang w:val="vi-VN"/>
        </w:rPr>
        <w:t xml:space="preserve">hữ cái khác nhau </w:t>
      </w:r>
      <w:r w:rsidRPr="000601B7">
        <w:rPr>
          <w:iCs/>
          <w:sz w:val="20"/>
          <w:szCs w:val="20"/>
        </w:rPr>
        <w:t xml:space="preserve">trong cùng một cột </w:t>
      </w:r>
      <w:r w:rsidRPr="000601B7">
        <w:rPr>
          <w:iCs/>
          <w:sz w:val="20"/>
          <w:szCs w:val="20"/>
          <w:lang w:val="vi-VN"/>
        </w:rPr>
        <w:t xml:space="preserve">thể hiện sự khác biệt có ý nghĩa thống kê ở </w:t>
      </w:r>
      <w:r w:rsidRPr="000601B7">
        <w:rPr>
          <w:iCs/>
          <w:sz w:val="20"/>
          <w:szCs w:val="20"/>
        </w:rPr>
        <w:t>p</w:t>
      </w:r>
      <w:r w:rsidRPr="000601B7">
        <w:rPr>
          <w:iCs/>
          <w:sz w:val="20"/>
          <w:szCs w:val="20"/>
          <w:lang w:val="vi-VN"/>
        </w:rPr>
        <w:t xml:space="preserve"> </w:t>
      </w:r>
      <w:r w:rsidRPr="000601B7">
        <w:rPr>
          <w:iCs/>
          <w:sz w:val="20"/>
          <w:szCs w:val="20"/>
        </w:rPr>
        <w:t>≤0,05)</w:t>
      </w:r>
    </w:p>
    <w:p w:rsidR="00423F4E" w:rsidRPr="00B51B7B" w:rsidRDefault="00423F4E" w:rsidP="00423F4E">
      <w:pPr>
        <w:spacing w:before="120" w:after="120" w:line="240" w:lineRule="auto"/>
        <w:jc w:val="both"/>
        <w:rPr>
          <w:sz w:val="22"/>
          <w:szCs w:val="22"/>
        </w:rPr>
      </w:pPr>
      <w:r w:rsidRPr="00B51B7B">
        <w:rPr>
          <w:sz w:val="22"/>
          <w:szCs w:val="22"/>
        </w:rPr>
        <w:t xml:space="preserve">Độ sáng L* giảm </w:t>
      </w:r>
      <w:r>
        <w:rPr>
          <w:sz w:val="22"/>
          <w:szCs w:val="22"/>
        </w:rPr>
        <w:t>dần</w:t>
      </w:r>
      <w:r w:rsidRPr="00B51B7B">
        <w:rPr>
          <w:sz w:val="22"/>
          <w:szCs w:val="22"/>
        </w:rPr>
        <w:t xml:space="preserve"> khi bổ sung syrup đường </w:t>
      </w:r>
      <w:r>
        <w:rPr>
          <w:sz w:val="22"/>
          <w:szCs w:val="22"/>
        </w:rPr>
        <w:t>Trehalose trong đó n</w:t>
      </w:r>
      <w:r w:rsidRPr="00B51B7B">
        <w:rPr>
          <w:sz w:val="22"/>
          <w:szCs w:val="22"/>
        </w:rPr>
        <w:t xml:space="preserve">ghiệm thức đối chứng có L* cao nhất </w:t>
      </w:r>
      <w:r>
        <w:rPr>
          <w:sz w:val="22"/>
          <w:szCs w:val="22"/>
        </w:rPr>
        <w:t xml:space="preserve">là </w:t>
      </w:r>
      <w:r w:rsidRPr="00B51B7B">
        <w:rPr>
          <w:sz w:val="22"/>
          <w:szCs w:val="22"/>
        </w:rPr>
        <w:t>65,18 ± 0,38</w:t>
      </w:r>
      <w:r>
        <w:rPr>
          <w:sz w:val="22"/>
          <w:szCs w:val="22"/>
        </w:rPr>
        <w:t xml:space="preserve"> khác biệt có ý nghĩa thống kê so với các nghiệm thức được bổ sung syrup với p≤0,05.</w:t>
      </w:r>
      <w:r w:rsidRPr="00B51B7B">
        <w:rPr>
          <w:sz w:val="22"/>
          <w:szCs w:val="22"/>
        </w:rPr>
        <w:t xml:space="preserve"> Sự giảm này có thể do</w:t>
      </w:r>
      <w:r>
        <w:rPr>
          <w:sz w:val="22"/>
          <w:szCs w:val="22"/>
        </w:rPr>
        <w:t xml:space="preserve"> dịch sữa bị làm loãng và </w:t>
      </w:r>
      <w:r w:rsidRPr="00B51B7B">
        <w:rPr>
          <w:sz w:val="22"/>
          <w:szCs w:val="22"/>
        </w:rPr>
        <w:t xml:space="preserve">syrup dạng sánh </w:t>
      </w:r>
      <w:r>
        <w:rPr>
          <w:sz w:val="22"/>
          <w:szCs w:val="22"/>
        </w:rPr>
        <w:t>có màu sẫm hơn so với dịch sữa</w:t>
      </w:r>
      <w:r w:rsidRPr="00B51B7B">
        <w:rPr>
          <w:sz w:val="22"/>
          <w:szCs w:val="22"/>
        </w:rPr>
        <w:t>. Tuy nhiên, độ sáng vẫn nằm trong khoảng phù hợp với các sản phẩm sữa thương mại</w:t>
      </w:r>
      <w:r>
        <w:rPr>
          <w:sz w:val="22"/>
          <w:szCs w:val="22"/>
        </w:rPr>
        <w:t xml:space="preserve"> trên thị trường mà chúng tôi đo được</w:t>
      </w:r>
      <w:r w:rsidRPr="00B51B7B">
        <w:rPr>
          <w:sz w:val="22"/>
          <w:szCs w:val="22"/>
        </w:rPr>
        <w:t>.</w:t>
      </w:r>
    </w:p>
    <w:p w:rsidR="00423F4E" w:rsidRPr="00B51B7B" w:rsidRDefault="00423F4E" w:rsidP="00423F4E">
      <w:pPr>
        <w:spacing w:before="120" w:after="120" w:line="240" w:lineRule="auto"/>
        <w:jc w:val="both"/>
        <w:rPr>
          <w:sz w:val="22"/>
          <w:szCs w:val="22"/>
        </w:rPr>
      </w:pPr>
      <w:r w:rsidRPr="00B51B7B">
        <w:rPr>
          <w:sz w:val="22"/>
          <w:szCs w:val="22"/>
        </w:rPr>
        <w:t xml:space="preserve">Giá trị pH có xu hướng giảm nhẹ </w:t>
      </w:r>
      <w:r>
        <w:rPr>
          <w:sz w:val="22"/>
          <w:szCs w:val="22"/>
        </w:rPr>
        <w:t xml:space="preserve">so với đối chứng </w:t>
      </w:r>
      <w:r w:rsidRPr="00B51B7B">
        <w:rPr>
          <w:sz w:val="22"/>
          <w:szCs w:val="22"/>
        </w:rPr>
        <w:t>khi bổ sung syrup</w:t>
      </w:r>
      <w:r>
        <w:rPr>
          <w:sz w:val="22"/>
          <w:szCs w:val="22"/>
        </w:rPr>
        <w:t xml:space="preserve"> tuy nhiên không có sự khác biệt giữa các nghiệm thức bổ sung tỷ lệ syrup khác nhau </w:t>
      </w:r>
      <w:r w:rsidRPr="00B51B7B">
        <w:rPr>
          <w:sz w:val="22"/>
          <w:szCs w:val="22"/>
        </w:rPr>
        <w:t>dao động từ 6,29</w:t>
      </w:r>
      <w:r>
        <w:rPr>
          <w:sz w:val="22"/>
          <w:szCs w:val="22"/>
        </w:rPr>
        <w:t xml:space="preserve"> - </w:t>
      </w:r>
      <w:r w:rsidRPr="00B51B7B">
        <w:rPr>
          <w:sz w:val="22"/>
          <w:szCs w:val="22"/>
        </w:rPr>
        <w:t xml:space="preserve">6,31. Nguyên nhân có thể do sự hiện diện của các axit hữu cơ trong syrup tạo ra trong quá trình thủy phân </w:t>
      </w:r>
      <w:r>
        <w:rPr>
          <w:sz w:val="22"/>
          <w:szCs w:val="22"/>
        </w:rPr>
        <w:t>Trehalose</w:t>
      </w:r>
      <w:r w:rsidRPr="0063481C">
        <w:rPr>
          <w:sz w:val="22"/>
          <w:szCs w:val="22"/>
          <w:vertAlign w:val="superscript"/>
        </w:rPr>
        <w:t>22</w:t>
      </w:r>
      <w:r w:rsidRPr="00B51B7B">
        <w:rPr>
          <w:sz w:val="22"/>
          <w:szCs w:val="22"/>
        </w:rPr>
        <w:t>. Tuy nhiên, pH vẫn nằm trong giới hạn cho phép đối với sữa hạt.</w:t>
      </w:r>
    </w:p>
    <w:p w:rsidR="00423F4E" w:rsidRPr="00B51B7B" w:rsidRDefault="00423F4E" w:rsidP="00423F4E">
      <w:pPr>
        <w:spacing w:before="120" w:after="120" w:line="240" w:lineRule="auto"/>
        <w:jc w:val="both"/>
        <w:rPr>
          <w:sz w:val="22"/>
          <w:szCs w:val="22"/>
        </w:rPr>
      </w:pPr>
      <w:r w:rsidRPr="00B51B7B">
        <w:rPr>
          <w:sz w:val="22"/>
          <w:szCs w:val="22"/>
        </w:rPr>
        <w:t>Hàm lượng chất khô hòa tan (°Brix) tăng theo tỷ lệ syrup bổ sung. Nghiệm thức đối chứng có giá trị thấp nhất 3,73 ± 0,03 °Brix</w:t>
      </w:r>
      <w:r>
        <w:rPr>
          <w:sz w:val="22"/>
          <w:szCs w:val="22"/>
        </w:rPr>
        <w:t>. Sau đó</w:t>
      </w:r>
      <w:r w:rsidRPr="00B51B7B">
        <w:rPr>
          <w:sz w:val="22"/>
          <w:szCs w:val="22"/>
        </w:rPr>
        <w:t xml:space="preserve"> tăng dần từ 8,68 ± 0,08 đến 15,98 ± 0,14 °Brix khi bổ sung 10–25% syrup</w:t>
      </w:r>
      <w:r>
        <w:rPr>
          <w:sz w:val="22"/>
          <w:szCs w:val="22"/>
        </w:rPr>
        <w:t xml:space="preserve"> với </w:t>
      </w:r>
      <w:r w:rsidRPr="00B51B7B">
        <w:rPr>
          <w:sz w:val="22"/>
          <w:szCs w:val="22"/>
        </w:rPr>
        <w:t xml:space="preserve">ý nghĩa thống kê (p ≤ 0,05). So sánh với các sản phẩm thương mại </w:t>
      </w:r>
      <w:r>
        <w:rPr>
          <w:sz w:val="22"/>
          <w:szCs w:val="22"/>
        </w:rPr>
        <w:t>mà chúng tôi khảo sát đạt 12,4±0,1 đến 13,5</w:t>
      </w:r>
      <w:r w:rsidRPr="001C20CD">
        <w:rPr>
          <w:sz w:val="22"/>
          <w:szCs w:val="22"/>
        </w:rPr>
        <w:t>± 0,06</w:t>
      </w:r>
      <w:r>
        <w:rPr>
          <w:sz w:val="22"/>
          <w:szCs w:val="22"/>
        </w:rPr>
        <w:t>. Bổ sung</w:t>
      </w:r>
      <w:r w:rsidRPr="00B51B7B">
        <w:rPr>
          <w:sz w:val="22"/>
          <w:szCs w:val="22"/>
        </w:rPr>
        <w:t xml:space="preserve"> 20% syrup có độ Brix phù hợp nhất, </w:t>
      </w:r>
      <w:r>
        <w:rPr>
          <w:sz w:val="22"/>
          <w:szCs w:val="22"/>
        </w:rPr>
        <w:t xml:space="preserve">có thể sử dụng để </w:t>
      </w:r>
      <w:r w:rsidRPr="00B51B7B">
        <w:rPr>
          <w:sz w:val="22"/>
          <w:szCs w:val="22"/>
        </w:rPr>
        <w:t>phát triển sản phẩm sữa hạt từ gạo rang và mắc ca.</w:t>
      </w:r>
    </w:p>
    <w:p w:rsidR="00423F4E" w:rsidRPr="0025493B" w:rsidRDefault="00423F4E" w:rsidP="00423F4E">
      <w:pPr>
        <w:spacing w:before="120" w:after="120" w:line="240" w:lineRule="auto"/>
        <w:outlineLvl w:val="1"/>
        <w:rPr>
          <w:b/>
          <w:sz w:val="22"/>
          <w:szCs w:val="22"/>
          <w:lang w:val="vi-VN"/>
        </w:rPr>
      </w:pPr>
      <w:bookmarkStart w:id="11" w:name="_Toc199164270"/>
      <w:r w:rsidRPr="0025493B">
        <w:rPr>
          <w:b/>
          <w:sz w:val="22"/>
          <w:szCs w:val="22"/>
          <w:lang w:val="vi-VN"/>
        </w:rPr>
        <w:t xml:space="preserve">Độ nhớt và </w:t>
      </w:r>
      <w:r>
        <w:rPr>
          <w:b/>
          <w:sz w:val="22"/>
          <w:szCs w:val="22"/>
          <w:lang w:val="vi-VN"/>
        </w:rPr>
        <w:t>độ lắng</w:t>
      </w:r>
      <w:bookmarkEnd w:id="11"/>
    </w:p>
    <w:p w:rsidR="00423F4E" w:rsidRPr="0025493B" w:rsidRDefault="00423F4E" w:rsidP="00423F4E">
      <w:pPr>
        <w:spacing w:before="120" w:after="120" w:line="240" w:lineRule="auto"/>
        <w:jc w:val="both"/>
        <w:rPr>
          <w:sz w:val="22"/>
          <w:szCs w:val="22"/>
          <w:lang w:val="vi-VN"/>
        </w:rPr>
      </w:pPr>
      <w:r w:rsidRPr="0025493B">
        <w:rPr>
          <w:sz w:val="22"/>
          <w:szCs w:val="22"/>
          <w:lang w:val="vi-VN"/>
        </w:rPr>
        <w:t>Độ nhớt tác động lên cảm giác trong miệng ở một số hệ thống nhất định</w:t>
      </w:r>
      <w:r w:rsidRPr="0063481C">
        <w:rPr>
          <w:sz w:val="22"/>
          <w:szCs w:val="22"/>
          <w:vertAlign w:val="superscript"/>
        </w:rPr>
        <w:t>23</w:t>
      </w:r>
      <w:r w:rsidRPr="0025493B">
        <w:rPr>
          <w:sz w:val="22"/>
          <w:szCs w:val="22"/>
          <w:lang w:val="vi-VN"/>
        </w:rPr>
        <w:t xml:space="preserve">. </w:t>
      </w:r>
      <w:r w:rsidRPr="0025493B">
        <w:rPr>
          <w:sz w:val="22"/>
          <w:szCs w:val="22"/>
        </w:rPr>
        <w:t xml:space="preserve">Sữa hạt thường tồn tại ở dạng huyền phù </w:t>
      </w:r>
      <w:r>
        <w:rPr>
          <w:sz w:val="22"/>
          <w:szCs w:val="22"/>
        </w:rPr>
        <w:t>đ</w:t>
      </w:r>
      <w:r w:rsidRPr="0025493B">
        <w:rPr>
          <w:sz w:val="22"/>
          <w:szCs w:val="22"/>
        </w:rPr>
        <w:t xml:space="preserve">iều này khiến sản phẩm dễ bị mất ổn định do hiện tượng tách lớp, </w:t>
      </w:r>
      <w:r>
        <w:rPr>
          <w:sz w:val="22"/>
          <w:szCs w:val="22"/>
        </w:rPr>
        <w:t>phần</w:t>
      </w:r>
      <w:r w:rsidRPr="0025493B">
        <w:rPr>
          <w:sz w:val="22"/>
          <w:szCs w:val="22"/>
        </w:rPr>
        <w:t xml:space="preserve"> </w:t>
      </w:r>
      <w:r>
        <w:rPr>
          <w:sz w:val="22"/>
          <w:szCs w:val="22"/>
        </w:rPr>
        <w:t xml:space="preserve">ít </w:t>
      </w:r>
      <w:r w:rsidRPr="0025493B">
        <w:rPr>
          <w:sz w:val="22"/>
          <w:szCs w:val="22"/>
        </w:rPr>
        <w:t>béo tách lớp nổi lên bề mặt và pha rắn lắng xuống đáy bao bì</w:t>
      </w:r>
      <w:r w:rsidRPr="0063481C">
        <w:rPr>
          <w:sz w:val="22"/>
          <w:szCs w:val="22"/>
          <w:vertAlign w:val="superscript"/>
        </w:rPr>
        <w:t>24</w:t>
      </w:r>
      <w:r w:rsidRPr="0025493B">
        <w:rPr>
          <w:sz w:val="22"/>
          <w:szCs w:val="22"/>
          <w:lang w:val="vi-VN"/>
        </w:rPr>
        <w:t xml:space="preserve">. Sự thay đổi về độ nhớt khi bổ sung syrup đường </w:t>
      </w:r>
      <w:r>
        <w:rPr>
          <w:sz w:val="22"/>
          <w:szCs w:val="22"/>
          <w:lang w:val="vi-VN"/>
        </w:rPr>
        <w:t>Trehalose</w:t>
      </w:r>
      <w:r w:rsidRPr="0025493B">
        <w:rPr>
          <w:sz w:val="22"/>
          <w:szCs w:val="22"/>
          <w:lang w:val="vi-VN"/>
        </w:rPr>
        <w:t xml:space="preserve"> đã được thể hiện ở biểu đồ </w:t>
      </w:r>
      <w:r>
        <w:rPr>
          <w:sz w:val="22"/>
          <w:szCs w:val="22"/>
        </w:rPr>
        <w:t>h</w:t>
      </w:r>
      <w:r w:rsidRPr="0025493B">
        <w:rPr>
          <w:sz w:val="22"/>
          <w:szCs w:val="22"/>
          <w:lang w:val="vi-VN"/>
        </w:rPr>
        <w:t xml:space="preserve">ình </w:t>
      </w:r>
      <w:r w:rsidRPr="0025493B">
        <w:rPr>
          <w:sz w:val="22"/>
          <w:szCs w:val="22"/>
        </w:rPr>
        <w:t>3</w:t>
      </w:r>
      <w:r w:rsidRPr="0025493B">
        <w:rPr>
          <w:sz w:val="22"/>
          <w:szCs w:val="22"/>
          <w:lang w:val="vi-VN"/>
        </w:rPr>
        <w:t xml:space="preserve"> như sau:</w:t>
      </w:r>
    </w:p>
    <w:p w:rsidR="005047E8" w:rsidRDefault="008E0B18" w:rsidP="003B6449">
      <w:pPr>
        <w:spacing w:before="120" w:after="240" w:line="240" w:lineRule="auto"/>
        <w:jc w:val="center"/>
      </w:pPr>
      <w:r>
        <w:object w:dxaOrig="12158" w:dyaOrig="4886">
          <v:shape id="_x0000_i1026" type="#_x0000_t75" style="width:430.5pt;height:173.25pt" o:ole="">
            <v:imagedata r:id="rId11" o:title=""/>
          </v:shape>
          <o:OLEObject Type="Embed" ProgID="Prism10.Document" ShapeID="_x0000_i1026" DrawAspect="Content" ObjectID="_1829149478" r:id="rId12"/>
        </w:object>
      </w:r>
      <w:bookmarkStart w:id="12" w:name="_Toc198930792"/>
    </w:p>
    <w:p w:rsidR="00423F4E" w:rsidRPr="000601B7" w:rsidRDefault="00423F4E" w:rsidP="005047E8">
      <w:pPr>
        <w:spacing w:before="120" w:after="240" w:line="240" w:lineRule="auto"/>
        <w:rPr>
          <w:sz w:val="20"/>
          <w:szCs w:val="20"/>
        </w:rPr>
      </w:pPr>
      <w:r w:rsidRPr="000601B7">
        <w:rPr>
          <w:sz w:val="20"/>
          <w:szCs w:val="20"/>
          <w:lang w:val="vi-VN"/>
        </w:rPr>
        <w:t xml:space="preserve">Hình </w:t>
      </w:r>
      <w:r w:rsidRPr="000601B7">
        <w:rPr>
          <w:sz w:val="20"/>
          <w:szCs w:val="20"/>
        </w:rPr>
        <w:t>3</w:t>
      </w:r>
      <w:r w:rsidRPr="000601B7">
        <w:rPr>
          <w:sz w:val="20"/>
          <w:szCs w:val="20"/>
          <w:lang w:val="vi-VN"/>
        </w:rPr>
        <w:t xml:space="preserve">. Ảnh hưởng </w:t>
      </w:r>
      <w:r w:rsidRPr="000601B7">
        <w:rPr>
          <w:sz w:val="20"/>
          <w:szCs w:val="20"/>
        </w:rPr>
        <w:t>của</w:t>
      </w:r>
      <w:r w:rsidRPr="000601B7">
        <w:rPr>
          <w:sz w:val="20"/>
          <w:szCs w:val="20"/>
          <w:lang w:val="vi-VN"/>
        </w:rPr>
        <w:t xml:space="preserve"> syrup đường Trehalose đến độ nhớt (A) và độ lắng (B) của sữa hạt</w:t>
      </w:r>
      <w:bookmarkEnd w:id="12"/>
    </w:p>
    <w:p w:rsidR="00423F4E" w:rsidRPr="000601B7" w:rsidRDefault="00423F4E" w:rsidP="00423F4E">
      <w:pPr>
        <w:spacing w:before="120" w:after="120" w:line="240" w:lineRule="auto"/>
        <w:rPr>
          <w:rFonts w:eastAsia="Times New Roman"/>
          <w:iCs/>
          <w:sz w:val="20"/>
          <w:szCs w:val="20"/>
          <w:highlight w:val="white"/>
          <w:u w:color="FF0000"/>
        </w:rPr>
      </w:pPr>
      <w:r w:rsidRPr="000601B7">
        <w:rPr>
          <w:iCs/>
          <w:sz w:val="20"/>
          <w:szCs w:val="20"/>
        </w:rPr>
        <w:t>(</w:t>
      </w:r>
      <w:r w:rsidRPr="000601B7">
        <w:rPr>
          <w:iCs/>
          <w:sz w:val="20"/>
          <w:szCs w:val="20"/>
          <w:lang w:val="vi-VN"/>
        </w:rPr>
        <w:t>C</w:t>
      </w:r>
      <w:r w:rsidRPr="000601B7">
        <w:rPr>
          <w:iCs/>
          <w:sz w:val="20"/>
          <w:szCs w:val="20"/>
        </w:rPr>
        <w:t>ác</w:t>
      </w:r>
      <w:r w:rsidRPr="000601B7">
        <w:rPr>
          <w:iCs/>
          <w:sz w:val="20"/>
          <w:szCs w:val="20"/>
          <w:lang w:val="vi-VN"/>
        </w:rPr>
        <w:t xml:space="preserve"> cột có các chữ cái khác nhau thể hiện sự khác biệt có ý nghĩa thống kê ở </w:t>
      </w:r>
      <w:r w:rsidRPr="000601B7">
        <w:rPr>
          <w:iCs/>
          <w:sz w:val="20"/>
          <w:szCs w:val="20"/>
        </w:rPr>
        <w:t>p</w:t>
      </w:r>
      <w:r w:rsidRPr="000601B7">
        <w:rPr>
          <w:iCs/>
          <w:sz w:val="20"/>
          <w:szCs w:val="20"/>
          <w:lang w:val="vi-VN"/>
        </w:rPr>
        <w:t xml:space="preserve"> </w:t>
      </w:r>
      <w:r w:rsidRPr="000601B7">
        <w:rPr>
          <w:iCs/>
          <w:sz w:val="20"/>
          <w:szCs w:val="20"/>
        </w:rPr>
        <w:t>≤</w:t>
      </w:r>
      <w:r w:rsidRPr="000601B7">
        <w:rPr>
          <w:iCs/>
          <w:sz w:val="20"/>
          <w:szCs w:val="20"/>
          <w:lang w:val="vi-VN"/>
        </w:rPr>
        <w:t xml:space="preserve"> </w:t>
      </w:r>
      <w:r w:rsidRPr="000601B7">
        <w:rPr>
          <w:iCs/>
          <w:sz w:val="20"/>
          <w:szCs w:val="20"/>
        </w:rPr>
        <w:t>0,05)</w:t>
      </w:r>
    </w:p>
    <w:p w:rsidR="00423F4E" w:rsidRPr="00747C66" w:rsidRDefault="00423F4E" w:rsidP="00423F4E">
      <w:pPr>
        <w:spacing w:before="120" w:after="120" w:line="240" w:lineRule="auto"/>
        <w:jc w:val="both"/>
        <w:rPr>
          <w:sz w:val="22"/>
          <w:szCs w:val="22"/>
        </w:rPr>
      </w:pPr>
      <w:r w:rsidRPr="00747C66">
        <w:rPr>
          <w:sz w:val="22"/>
          <w:szCs w:val="22"/>
        </w:rPr>
        <w:t xml:space="preserve">Hình 3(A) cho thấy độ nhớt của sữa hạt giảm dần khi tăng tỷ lệ syrup đường </w:t>
      </w:r>
      <w:r>
        <w:rPr>
          <w:sz w:val="22"/>
          <w:szCs w:val="22"/>
        </w:rPr>
        <w:t>Trehalose</w:t>
      </w:r>
      <w:r w:rsidRPr="00747C66">
        <w:rPr>
          <w:sz w:val="22"/>
          <w:szCs w:val="22"/>
        </w:rPr>
        <w:t xml:space="preserve">. Độ nhớt cao nhất 12,18 ± 0,13 cP được ghi nhận ở mẫu đối chứng </w:t>
      </w:r>
      <w:r>
        <w:rPr>
          <w:sz w:val="22"/>
          <w:szCs w:val="22"/>
        </w:rPr>
        <w:t>không bổ sung</w:t>
      </w:r>
      <w:r w:rsidRPr="00747C66">
        <w:rPr>
          <w:sz w:val="22"/>
          <w:szCs w:val="22"/>
        </w:rPr>
        <w:t xml:space="preserve"> syrup</w:t>
      </w:r>
      <w:r>
        <w:rPr>
          <w:sz w:val="22"/>
          <w:szCs w:val="22"/>
        </w:rPr>
        <w:t>. Mặt khác</w:t>
      </w:r>
      <w:r w:rsidRPr="00747C66">
        <w:rPr>
          <w:sz w:val="22"/>
          <w:szCs w:val="22"/>
        </w:rPr>
        <w:t xml:space="preserve"> khi bổ sung 25% syrup có độ nhớt thấp nhất 7,18 ± 0,04 cP</w:t>
      </w:r>
      <w:r>
        <w:rPr>
          <w:sz w:val="22"/>
          <w:szCs w:val="22"/>
        </w:rPr>
        <w:t xml:space="preserve"> với s</w:t>
      </w:r>
      <w:r w:rsidRPr="00747C66">
        <w:rPr>
          <w:sz w:val="22"/>
          <w:szCs w:val="22"/>
        </w:rPr>
        <w:t xml:space="preserve">ự khác biệt có ý nghĩa thống kê p ≤ 0,05. Do </w:t>
      </w:r>
      <w:r>
        <w:rPr>
          <w:sz w:val="22"/>
          <w:szCs w:val="22"/>
        </w:rPr>
        <w:t xml:space="preserve">bổ sung </w:t>
      </w:r>
      <w:r w:rsidRPr="00747C66">
        <w:rPr>
          <w:sz w:val="22"/>
          <w:szCs w:val="22"/>
        </w:rPr>
        <w:t xml:space="preserve">syrup đường </w:t>
      </w:r>
      <w:r>
        <w:rPr>
          <w:sz w:val="22"/>
          <w:szCs w:val="22"/>
        </w:rPr>
        <w:t>Trehalose</w:t>
      </w:r>
      <w:r w:rsidRPr="00747C66">
        <w:rPr>
          <w:sz w:val="22"/>
          <w:szCs w:val="22"/>
        </w:rPr>
        <w:t xml:space="preserve"> </w:t>
      </w:r>
      <w:r>
        <w:rPr>
          <w:sz w:val="22"/>
          <w:szCs w:val="22"/>
        </w:rPr>
        <w:t xml:space="preserve">làm tăng thể tích </w:t>
      </w:r>
      <w:r w:rsidRPr="00747C66">
        <w:rPr>
          <w:sz w:val="22"/>
          <w:szCs w:val="22"/>
        </w:rPr>
        <w:t>làm loãng dịch sữa, dẫn đến giảm độ nhớt.</w:t>
      </w:r>
    </w:p>
    <w:p w:rsidR="00423F4E" w:rsidRPr="00747C66" w:rsidRDefault="00423F4E" w:rsidP="00423F4E">
      <w:pPr>
        <w:spacing w:before="120" w:after="120" w:line="240" w:lineRule="auto"/>
        <w:jc w:val="both"/>
        <w:rPr>
          <w:sz w:val="22"/>
          <w:szCs w:val="22"/>
        </w:rPr>
      </w:pPr>
      <w:r w:rsidRPr="00747C66">
        <w:rPr>
          <w:sz w:val="22"/>
          <w:szCs w:val="22"/>
        </w:rPr>
        <w:t xml:space="preserve">Hình 3(B) cho thấy độ lắng tăng theo tỷ lệ syrup đường </w:t>
      </w:r>
      <w:r>
        <w:rPr>
          <w:sz w:val="22"/>
          <w:szCs w:val="22"/>
        </w:rPr>
        <w:t>Trehalose</w:t>
      </w:r>
      <w:r w:rsidRPr="00747C66">
        <w:rPr>
          <w:sz w:val="22"/>
          <w:szCs w:val="22"/>
        </w:rPr>
        <w:t>, từ 9,33 ml</w:t>
      </w:r>
      <w:r>
        <w:rPr>
          <w:sz w:val="22"/>
          <w:szCs w:val="22"/>
        </w:rPr>
        <w:t>/h</w:t>
      </w:r>
      <w:r w:rsidRPr="00747C66">
        <w:rPr>
          <w:sz w:val="22"/>
          <w:szCs w:val="22"/>
        </w:rPr>
        <w:t xml:space="preserve"> ở đối chứng lên đến 24 ml</w:t>
      </w:r>
      <w:r>
        <w:rPr>
          <w:sz w:val="22"/>
          <w:szCs w:val="22"/>
        </w:rPr>
        <w:t>/h</w:t>
      </w:r>
      <w:r w:rsidRPr="00747C66">
        <w:rPr>
          <w:sz w:val="22"/>
          <w:szCs w:val="22"/>
        </w:rPr>
        <w:t xml:space="preserve"> ở </w:t>
      </w:r>
      <w:r>
        <w:rPr>
          <w:sz w:val="22"/>
          <w:szCs w:val="22"/>
        </w:rPr>
        <w:t>nghiệm thức bổ sung syrup cao nhất là</w:t>
      </w:r>
      <w:r w:rsidRPr="00747C66">
        <w:rPr>
          <w:sz w:val="22"/>
          <w:szCs w:val="22"/>
        </w:rPr>
        <w:t xml:space="preserve"> 25%. </w:t>
      </w:r>
      <w:r>
        <w:rPr>
          <w:sz w:val="22"/>
          <w:szCs w:val="22"/>
        </w:rPr>
        <w:t>Bên cạnh đó khi</w:t>
      </w:r>
      <w:r w:rsidRPr="00747C66">
        <w:rPr>
          <w:sz w:val="22"/>
          <w:szCs w:val="22"/>
        </w:rPr>
        <w:t xml:space="preserve"> bổ sung syrup 10–20% có độ lắng lần lượt là 12,67; 16,67 và 18,67 ml</w:t>
      </w:r>
      <w:r>
        <w:rPr>
          <w:sz w:val="22"/>
          <w:szCs w:val="22"/>
        </w:rPr>
        <w:t>/h</w:t>
      </w:r>
      <w:r w:rsidRPr="00747C66">
        <w:rPr>
          <w:sz w:val="22"/>
          <w:szCs w:val="22"/>
        </w:rPr>
        <w:t xml:space="preserve"> (p ≤ 0,05). Việc tăng thể tích syrup làm giảm độ ổn định pha, gây tách lớp nhanh hơn trong sữa hạt từ gạo rang phối trộn mắc ca.</w:t>
      </w:r>
      <w:r>
        <w:rPr>
          <w:sz w:val="22"/>
          <w:szCs w:val="22"/>
        </w:rPr>
        <w:t xml:space="preserve"> Vì vậy, cần bổ sung chất tạo độ ổn định cho sữa hạt nhằm hạn chế sự tách lớp và tăng giá trị cảm quan cho sản phẩm.</w:t>
      </w:r>
    </w:p>
    <w:p w:rsidR="00423F4E" w:rsidRPr="0025493B" w:rsidRDefault="00423F4E" w:rsidP="00423F4E">
      <w:pPr>
        <w:spacing w:before="120" w:after="120" w:line="240" w:lineRule="auto"/>
        <w:jc w:val="both"/>
        <w:outlineLvl w:val="0"/>
        <w:rPr>
          <w:b/>
          <w:sz w:val="22"/>
          <w:szCs w:val="22"/>
          <w:lang w:val="vi-VN"/>
        </w:rPr>
      </w:pPr>
      <w:bookmarkStart w:id="13" w:name="_Toc199164272"/>
      <w:r>
        <w:rPr>
          <w:b/>
          <w:sz w:val="22"/>
          <w:szCs w:val="22"/>
        </w:rPr>
        <w:t>K</w:t>
      </w:r>
      <w:r w:rsidRPr="0025493B">
        <w:rPr>
          <w:b/>
          <w:sz w:val="22"/>
          <w:szCs w:val="22"/>
          <w:lang w:val="vi-VN"/>
        </w:rPr>
        <w:t xml:space="preserve">hảo sát chất phụ gia </w:t>
      </w:r>
      <w:r>
        <w:rPr>
          <w:b/>
          <w:sz w:val="22"/>
          <w:szCs w:val="22"/>
        </w:rPr>
        <w:t>x</w:t>
      </w:r>
      <w:r w:rsidRPr="0025493B">
        <w:rPr>
          <w:b/>
          <w:sz w:val="22"/>
          <w:szCs w:val="22"/>
          <w:lang w:val="vi-VN"/>
        </w:rPr>
        <w:t xml:space="preserve">anthan gum tạo độ ổn định chất lượng sữa hạt </w:t>
      </w:r>
      <w:bookmarkEnd w:id="13"/>
    </w:p>
    <w:p w:rsidR="00423F4E" w:rsidRDefault="00423F4E" w:rsidP="00423F4E">
      <w:pPr>
        <w:spacing w:before="120" w:after="120" w:line="240" w:lineRule="auto"/>
        <w:jc w:val="both"/>
        <w:outlineLvl w:val="0"/>
        <w:rPr>
          <w:sz w:val="22"/>
          <w:szCs w:val="22"/>
        </w:rPr>
      </w:pPr>
      <w:bookmarkStart w:id="14" w:name="_Toc199164273"/>
      <w:r>
        <w:rPr>
          <w:sz w:val="22"/>
          <w:szCs w:val="22"/>
        </w:rPr>
        <w:t>Đầu tiên</w:t>
      </w:r>
      <w:r w:rsidRPr="00CB2F64">
        <w:rPr>
          <w:sz w:val="22"/>
          <w:szCs w:val="22"/>
        </w:rPr>
        <w:t xml:space="preserve"> sữa hạt được xử lý đồng hóa áp suất cao nhằm nâng cao tính ổn định và hạn chế hiện tượng tách pha. Những tác động này làm giảm kích thước pha phân tán và giúp chúng phân bố đồng đều trong pha liên tục, từ đó cải thiện đáng kể độ ổn định của hệ</w:t>
      </w:r>
      <w:r w:rsidRPr="0063481C">
        <w:rPr>
          <w:sz w:val="22"/>
          <w:szCs w:val="22"/>
          <w:vertAlign w:val="superscript"/>
        </w:rPr>
        <w:t>24</w:t>
      </w:r>
      <w:r w:rsidRPr="00CB2F64">
        <w:rPr>
          <w:sz w:val="22"/>
          <w:szCs w:val="22"/>
        </w:rPr>
        <w:t xml:space="preserve">. </w:t>
      </w:r>
      <w:r>
        <w:rPr>
          <w:sz w:val="22"/>
          <w:szCs w:val="22"/>
        </w:rPr>
        <w:t>Sau đó bổ sung x</w:t>
      </w:r>
      <w:r w:rsidRPr="00CB2F64">
        <w:rPr>
          <w:sz w:val="22"/>
          <w:szCs w:val="22"/>
        </w:rPr>
        <w:t xml:space="preserve">anthan gum (E415) là </w:t>
      </w:r>
      <w:r>
        <w:rPr>
          <w:sz w:val="22"/>
          <w:szCs w:val="22"/>
        </w:rPr>
        <w:t xml:space="preserve">một </w:t>
      </w:r>
      <w:r w:rsidRPr="00CB2F64">
        <w:rPr>
          <w:sz w:val="22"/>
          <w:szCs w:val="22"/>
        </w:rPr>
        <w:t>polysaccharide có khả năng hòa tan tốt trong nước, ổn định trong khoảng pH rộng (2,5–11)</w:t>
      </w:r>
      <w:r>
        <w:rPr>
          <w:sz w:val="22"/>
          <w:szCs w:val="22"/>
        </w:rPr>
        <w:t xml:space="preserve"> </w:t>
      </w:r>
      <w:r w:rsidRPr="00CB2F64">
        <w:rPr>
          <w:sz w:val="22"/>
          <w:szCs w:val="22"/>
        </w:rPr>
        <w:t>tạo ra dung dịch có độ nhớt cao</w:t>
      </w:r>
      <w:r w:rsidRPr="0063481C">
        <w:rPr>
          <w:sz w:val="22"/>
          <w:szCs w:val="22"/>
          <w:vertAlign w:val="superscript"/>
        </w:rPr>
        <w:t>25</w:t>
      </w:r>
      <w:r w:rsidRPr="00CB2F64">
        <w:rPr>
          <w:sz w:val="22"/>
          <w:szCs w:val="22"/>
        </w:rPr>
        <w:t xml:space="preserve">. </w:t>
      </w:r>
    </w:p>
    <w:p w:rsidR="00423F4E" w:rsidRPr="00E971F4" w:rsidRDefault="00423F4E" w:rsidP="00423F4E">
      <w:pPr>
        <w:spacing w:before="120" w:after="120" w:line="240" w:lineRule="auto"/>
        <w:jc w:val="both"/>
        <w:outlineLvl w:val="0"/>
        <w:rPr>
          <w:sz w:val="22"/>
          <w:szCs w:val="22"/>
        </w:rPr>
      </w:pPr>
      <w:r w:rsidRPr="0025493B">
        <w:rPr>
          <w:b/>
          <w:sz w:val="22"/>
          <w:szCs w:val="22"/>
          <w:lang w:val="vi-VN"/>
        </w:rPr>
        <w:t>Biến đổi màu sắc, giá trị pH và chất khô hòa tan</w:t>
      </w:r>
      <w:bookmarkEnd w:id="14"/>
    </w:p>
    <w:p w:rsidR="00423F4E" w:rsidRPr="00E671F7" w:rsidRDefault="00423F4E" w:rsidP="00423F4E">
      <w:pPr>
        <w:spacing w:before="120" w:after="120" w:line="240" w:lineRule="auto"/>
        <w:jc w:val="both"/>
        <w:outlineLvl w:val="0"/>
        <w:rPr>
          <w:bCs/>
          <w:sz w:val="22"/>
          <w:szCs w:val="22"/>
        </w:rPr>
      </w:pPr>
      <w:r>
        <w:rPr>
          <w:bCs/>
          <w:sz w:val="22"/>
          <w:szCs w:val="22"/>
        </w:rPr>
        <w:t>Kết quả khảo sát tỷ lệ bổ sung xanthan gum từ 0 đến 0,04 % dựa trên các chỉ tiêu đánh giá gồm màu sắc, pH và chất khô hòa tan được thể hiện ở bảng 4 như sau:</w:t>
      </w:r>
    </w:p>
    <w:p w:rsidR="00423F4E" w:rsidRPr="000601B7" w:rsidRDefault="00423F4E" w:rsidP="00423F4E">
      <w:pPr>
        <w:spacing w:before="240" w:after="120" w:line="240" w:lineRule="auto"/>
        <w:rPr>
          <w:color w:val="000000"/>
          <w:sz w:val="20"/>
          <w:szCs w:val="20"/>
          <w:lang w:val="vi-VN"/>
        </w:rPr>
      </w:pPr>
      <w:bookmarkStart w:id="15" w:name="_Toc198933858"/>
      <w:r w:rsidRPr="000601B7">
        <w:rPr>
          <w:sz w:val="20"/>
          <w:szCs w:val="20"/>
          <w:lang w:val="vi-VN"/>
        </w:rPr>
        <w:t xml:space="preserve">Bảng </w:t>
      </w:r>
      <w:r w:rsidRPr="000601B7">
        <w:rPr>
          <w:sz w:val="20"/>
          <w:szCs w:val="20"/>
        </w:rPr>
        <w:t>4</w:t>
      </w:r>
      <w:r w:rsidRPr="000601B7">
        <w:rPr>
          <w:sz w:val="20"/>
          <w:szCs w:val="20"/>
          <w:lang w:val="vi-VN"/>
        </w:rPr>
        <w:t>. Ảnh hưởng của xanthan gum đến độ sáng L*, độ pH và chất khô hòa tan của sữa hạt</w:t>
      </w:r>
      <w:bookmarkEnd w:id="15"/>
    </w:p>
    <w:tbl>
      <w:tblPr>
        <w:tblW w:w="7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391"/>
        <w:gridCol w:w="1342"/>
        <w:gridCol w:w="2426"/>
      </w:tblGrid>
      <w:tr w:rsidR="00423F4E" w:rsidRPr="00D738CB" w:rsidTr="00DD345E">
        <w:trPr>
          <w:trHeight w:val="331"/>
          <w:jc w:val="center"/>
        </w:trPr>
        <w:tc>
          <w:tcPr>
            <w:tcW w:w="1872" w:type="dxa"/>
          </w:tcPr>
          <w:p w:rsidR="00423F4E" w:rsidRPr="004F7656" w:rsidRDefault="00423F4E" w:rsidP="00DD345E">
            <w:pPr>
              <w:spacing w:after="0" w:line="240" w:lineRule="auto"/>
              <w:contextualSpacing/>
              <w:jc w:val="center"/>
              <w:rPr>
                <w:b/>
                <w:sz w:val="20"/>
                <w:szCs w:val="20"/>
              </w:rPr>
            </w:pPr>
            <w:r>
              <w:rPr>
                <w:b/>
                <w:sz w:val="20"/>
                <w:szCs w:val="20"/>
              </w:rPr>
              <w:t>X</w:t>
            </w:r>
            <w:r w:rsidRPr="00D738CB">
              <w:rPr>
                <w:b/>
                <w:sz w:val="20"/>
                <w:szCs w:val="20"/>
                <w:lang w:val="vi-VN"/>
              </w:rPr>
              <w:t>anthan gum</w:t>
            </w:r>
            <w:r>
              <w:rPr>
                <w:b/>
                <w:sz w:val="20"/>
                <w:szCs w:val="20"/>
              </w:rPr>
              <w:t xml:space="preserve"> (%)</w:t>
            </w:r>
          </w:p>
        </w:tc>
        <w:tc>
          <w:tcPr>
            <w:tcW w:w="1391" w:type="dxa"/>
          </w:tcPr>
          <w:p w:rsidR="00423F4E" w:rsidRPr="00D738CB" w:rsidRDefault="00423F4E" w:rsidP="00DD345E">
            <w:pPr>
              <w:spacing w:after="0" w:line="240" w:lineRule="auto"/>
              <w:contextualSpacing/>
              <w:jc w:val="center"/>
              <w:rPr>
                <w:b/>
                <w:sz w:val="20"/>
                <w:szCs w:val="20"/>
                <w:lang w:val="vi-VN"/>
              </w:rPr>
            </w:pPr>
            <w:r w:rsidRPr="00D738CB">
              <w:rPr>
                <w:b/>
                <w:sz w:val="20"/>
                <w:szCs w:val="20"/>
                <w:lang w:val="vi-VN"/>
              </w:rPr>
              <w:t>Độ sáng L*</w:t>
            </w:r>
          </w:p>
        </w:tc>
        <w:tc>
          <w:tcPr>
            <w:tcW w:w="1342" w:type="dxa"/>
          </w:tcPr>
          <w:p w:rsidR="00423F4E" w:rsidRPr="00D738CB" w:rsidRDefault="00423F4E" w:rsidP="00DD345E">
            <w:pPr>
              <w:spacing w:after="0" w:line="240" w:lineRule="auto"/>
              <w:jc w:val="center"/>
              <w:rPr>
                <w:b/>
                <w:sz w:val="20"/>
                <w:szCs w:val="20"/>
                <w:lang w:val="vi-VN"/>
              </w:rPr>
            </w:pPr>
            <w:r w:rsidRPr="00D738CB">
              <w:rPr>
                <w:b/>
                <w:sz w:val="20"/>
                <w:szCs w:val="20"/>
                <w:lang w:val="vi-VN"/>
              </w:rPr>
              <w:t>Độ pH</w:t>
            </w:r>
          </w:p>
        </w:tc>
        <w:tc>
          <w:tcPr>
            <w:tcW w:w="2426" w:type="dxa"/>
          </w:tcPr>
          <w:p w:rsidR="00423F4E" w:rsidRPr="00D738CB" w:rsidRDefault="00423F4E" w:rsidP="00DD345E">
            <w:pPr>
              <w:spacing w:after="0" w:line="240" w:lineRule="auto"/>
              <w:contextualSpacing/>
              <w:jc w:val="center"/>
              <w:rPr>
                <w:b/>
                <w:sz w:val="20"/>
                <w:szCs w:val="20"/>
                <w:lang w:val="vi-VN"/>
              </w:rPr>
            </w:pPr>
            <w:r>
              <w:rPr>
                <w:b/>
                <w:sz w:val="20"/>
                <w:szCs w:val="20"/>
              </w:rPr>
              <w:t>C</w:t>
            </w:r>
            <w:r w:rsidRPr="00D738CB">
              <w:rPr>
                <w:b/>
                <w:sz w:val="20"/>
                <w:szCs w:val="20"/>
                <w:lang w:val="vi-VN"/>
              </w:rPr>
              <w:t>hất khô hòa tan (</w:t>
            </w:r>
            <w:r w:rsidRPr="00D738CB">
              <w:rPr>
                <w:b/>
                <w:sz w:val="20"/>
                <w:szCs w:val="20"/>
                <w:vertAlign w:val="superscript"/>
                <w:lang w:val="vi-VN"/>
              </w:rPr>
              <w:t>o</w:t>
            </w:r>
            <w:r w:rsidRPr="00D738CB">
              <w:rPr>
                <w:b/>
                <w:sz w:val="20"/>
                <w:szCs w:val="20"/>
                <w:lang w:val="vi-VN"/>
              </w:rPr>
              <w:t>Brix)</w:t>
            </w:r>
          </w:p>
        </w:tc>
      </w:tr>
      <w:tr w:rsidR="00423F4E" w:rsidRPr="00D738CB" w:rsidTr="00DD345E">
        <w:trPr>
          <w:jc w:val="center"/>
        </w:trPr>
        <w:tc>
          <w:tcPr>
            <w:tcW w:w="1872"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0</w:t>
            </w:r>
          </w:p>
        </w:tc>
        <w:tc>
          <w:tcPr>
            <w:tcW w:w="13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65,14</w:t>
            </w:r>
            <w:r w:rsidRPr="00D738CB">
              <w:rPr>
                <w:sz w:val="20"/>
                <w:szCs w:val="20"/>
                <w:vertAlign w:val="superscript"/>
                <w:lang w:val="vi-VN"/>
              </w:rPr>
              <w:t>b</w:t>
            </w:r>
            <w:r w:rsidRPr="00D738CB">
              <w:rPr>
                <w:sz w:val="20"/>
                <w:szCs w:val="20"/>
                <w:lang w:val="vi-VN"/>
              </w:rPr>
              <w:t xml:space="preserve"> ± 0,08</w:t>
            </w:r>
          </w:p>
        </w:tc>
        <w:tc>
          <w:tcPr>
            <w:tcW w:w="1342" w:type="dxa"/>
          </w:tcPr>
          <w:p w:rsidR="00423F4E" w:rsidRPr="00D738CB" w:rsidRDefault="00423F4E" w:rsidP="00DD345E">
            <w:pPr>
              <w:spacing w:after="0" w:line="240" w:lineRule="auto"/>
              <w:jc w:val="center"/>
              <w:rPr>
                <w:sz w:val="20"/>
                <w:szCs w:val="20"/>
                <w:lang w:val="vi-VN"/>
              </w:rPr>
            </w:pPr>
            <w:r w:rsidRPr="00D738CB">
              <w:rPr>
                <w:sz w:val="20"/>
                <w:szCs w:val="20"/>
                <w:lang w:val="vi-VN"/>
              </w:rPr>
              <w:t>6,33 ± 0,03</w:t>
            </w:r>
          </w:p>
        </w:tc>
        <w:tc>
          <w:tcPr>
            <w:tcW w:w="2426" w:type="dxa"/>
          </w:tcPr>
          <w:p w:rsidR="00423F4E" w:rsidRPr="001A6343" w:rsidRDefault="00423F4E" w:rsidP="00DD345E">
            <w:pPr>
              <w:spacing w:after="0" w:line="240" w:lineRule="auto"/>
              <w:jc w:val="center"/>
              <w:rPr>
                <w:sz w:val="20"/>
                <w:szCs w:val="20"/>
              </w:rPr>
            </w:pPr>
            <w:r w:rsidRPr="00D738CB">
              <w:rPr>
                <w:sz w:val="20"/>
                <w:szCs w:val="20"/>
                <w:lang w:val="vi-VN"/>
              </w:rPr>
              <w:t>12,</w:t>
            </w:r>
            <w:r>
              <w:rPr>
                <w:sz w:val="20"/>
                <w:szCs w:val="20"/>
              </w:rPr>
              <w:t>5</w:t>
            </w:r>
            <w:r w:rsidRPr="001A6343">
              <w:rPr>
                <w:sz w:val="20"/>
                <w:szCs w:val="20"/>
                <w:vertAlign w:val="superscript"/>
              </w:rPr>
              <w:t>b</w:t>
            </w:r>
            <w:r w:rsidRPr="00D738CB">
              <w:rPr>
                <w:sz w:val="20"/>
                <w:szCs w:val="20"/>
                <w:lang w:val="vi-VN"/>
              </w:rPr>
              <w:t xml:space="preserve"> ± 0,0</w:t>
            </w:r>
          </w:p>
        </w:tc>
      </w:tr>
      <w:tr w:rsidR="00423F4E" w:rsidRPr="00D738CB" w:rsidTr="00DD345E">
        <w:trPr>
          <w:jc w:val="center"/>
        </w:trPr>
        <w:tc>
          <w:tcPr>
            <w:tcW w:w="1872" w:type="dxa"/>
          </w:tcPr>
          <w:p w:rsidR="00423F4E" w:rsidRPr="004F7656" w:rsidRDefault="00423F4E" w:rsidP="00DD345E">
            <w:pPr>
              <w:spacing w:after="0" w:line="240" w:lineRule="auto"/>
              <w:contextualSpacing/>
              <w:jc w:val="center"/>
              <w:rPr>
                <w:sz w:val="20"/>
                <w:szCs w:val="20"/>
              </w:rPr>
            </w:pPr>
            <w:r w:rsidRPr="00D738CB">
              <w:rPr>
                <w:sz w:val="20"/>
                <w:szCs w:val="20"/>
                <w:lang w:val="vi-VN"/>
              </w:rPr>
              <w:t>0,01</w:t>
            </w:r>
          </w:p>
        </w:tc>
        <w:tc>
          <w:tcPr>
            <w:tcW w:w="13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65,42</w:t>
            </w:r>
            <w:r w:rsidRPr="00D738CB">
              <w:rPr>
                <w:sz w:val="20"/>
                <w:szCs w:val="20"/>
                <w:vertAlign w:val="superscript"/>
                <w:lang w:val="vi-VN"/>
              </w:rPr>
              <w:t>a</w:t>
            </w:r>
            <w:r w:rsidRPr="00D738CB">
              <w:rPr>
                <w:sz w:val="20"/>
                <w:szCs w:val="20"/>
                <w:lang w:val="vi-VN"/>
              </w:rPr>
              <w:t xml:space="preserve"> ± 0,03</w:t>
            </w:r>
          </w:p>
        </w:tc>
        <w:tc>
          <w:tcPr>
            <w:tcW w:w="1342" w:type="dxa"/>
          </w:tcPr>
          <w:p w:rsidR="00423F4E" w:rsidRPr="00D738CB" w:rsidRDefault="00423F4E" w:rsidP="00DD345E">
            <w:pPr>
              <w:spacing w:after="0" w:line="240" w:lineRule="auto"/>
              <w:jc w:val="center"/>
              <w:rPr>
                <w:sz w:val="20"/>
                <w:szCs w:val="20"/>
                <w:lang w:val="vi-VN"/>
              </w:rPr>
            </w:pPr>
            <w:r w:rsidRPr="00D738CB">
              <w:rPr>
                <w:sz w:val="20"/>
                <w:szCs w:val="20"/>
                <w:lang w:val="vi-VN"/>
              </w:rPr>
              <w:t>6,31 ± 0,02</w:t>
            </w:r>
          </w:p>
        </w:tc>
        <w:tc>
          <w:tcPr>
            <w:tcW w:w="2426" w:type="dxa"/>
          </w:tcPr>
          <w:p w:rsidR="00423F4E" w:rsidRPr="001A6343" w:rsidRDefault="00423F4E" w:rsidP="00DD345E">
            <w:pPr>
              <w:spacing w:after="0" w:line="240" w:lineRule="auto"/>
              <w:jc w:val="center"/>
              <w:rPr>
                <w:sz w:val="20"/>
                <w:szCs w:val="20"/>
              </w:rPr>
            </w:pPr>
            <w:r w:rsidRPr="00D738CB">
              <w:rPr>
                <w:sz w:val="20"/>
                <w:szCs w:val="20"/>
                <w:lang w:val="vi-VN"/>
              </w:rPr>
              <w:t>12,5</w:t>
            </w:r>
            <w:r w:rsidRPr="00D738CB">
              <w:rPr>
                <w:sz w:val="20"/>
                <w:szCs w:val="20"/>
                <w:vertAlign w:val="superscript"/>
                <w:lang w:val="vi-VN"/>
              </w:rPr>
              <w:t>b</w:t>
            </w:r>
            <w:r w:rsidRPr="00D738CB">
              <w:rPr>
                <w:sz w:val="20"/>
                <w:szCs w:val="20"/>
                <w:lang w:val="vi-VN"/>
              </w:rPr>
              <w:t xml:space="preserve"> ± 0,0</w:t>
            </w:r>
          </w:p>
        </w:tc>
      </w:tr>
      <w:tr w:rsidR="00423F4E" w:rsidRPr="00D738CB" w:rsidTr="00DD345E">
        <w:trPr>
          <w:jc w:val="center"/>
        </w:trPr>
        <w:tc>
          <w:tcPr>
            <w:tcW w:w="1872" w:type="dxa"/>
          </w:tcPr>
          <w:p w:rsidR="00423F4E" w:rsidRPr="004F7656" w:rsidRDefault="00423F4E" w:rsidP="00DD345E">
            <w:pPr>
              <w:spacing w:after="0" w:line="240" w:lineRule="auto"/>
              <w:contextualSpacing/>
              <w:jc w:val="center"/>
              <w:rPr>
                <w:sz w:val="20"/>
                <w:szCs w:val="20"/>
              </w:rPr>
            </w:pPr>
            <w:r w:rsidRPr="00D738CB">
              <w:rPr>
                <w:sz w:val="20"/>
                <w:szCs w:val="20"/>
                <w:lang w:val="vi-VN"/>
              </w:rPr>
              <w:t>0,02</w:t>
            </w:r>
          </w:p>
        </w:tc>
        <w:tc>
          <w:tcPr>
            <w:tcW w:w="13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65,48</w:t>
            </w:r>
            <w:r w:rsidRPr="00D738CB">
              <w:rPr>
                <w:sz w:val="20"/>
                <w:szCs w:val="20"/>
                <w:vertAlign w:val="superscript"/>
                <w:lang w:val="vi-VN"/>
              </w:rPr>
              <w:t xml:space="preserve">a </w:t>
            </w:r>
            <w:r w:rsidRPr="00D738CB">
              <w:rPr>
                <w:sz w:val="20"/>
                <w:szCs w:val="20"/>
                <w:lang w:val="vi-VN"/>
              </w:rPr>
              <w:t>± 0,09</w:t>
            </w:r>
          </w:p>
        </w:tc>
        <w:tc>
          <w:tcPr>
            <w:tcW w:w="1342" w:type="dxa"/>
          </w:tcPr>
          <w:p w:rsidR="00423F4E" w:rsidRPr="00D738CB" w:rsidRDefault="00423F4E" w:rsidP="00DD345E">
            <w:pPr>
              <w:spacing w:after="0" w:line="240" w:lineRule="auto"/>
              <w:jc w:val="center"/>
              <w:rPr>
                <w:sz w:val="20"/>
                <w:szCs w:val="20"/>
                <w:lang w:val="vi-VN"/>
              </w:rPr>
            </w:pPr>
            <w:r w:rsidRPr="00D738CB">
              <w:rPr>
                <w:sz w:val="20"/>
                <w:szCs w:val="20"/>
                <w:lang w:val="vi-VN"/>
              </w:rPr>
              <w:t>6,34 ± 0,05</w:t>
            </w:r>
          </w:p>
        </w:tc>
        <w:tc>
          <w:tcPr>
            <w:tcW w:w="2426" w:type="dxa"/>
          </w:tcPr>
          <w:p w:rsidR="00423F4E" w:rsidRPr="001A6343" w:rsidRDefault="00423F4E" w:rsidP="00DD345E">
            <w:pPr>
              <w:spacing w:after="0" w:line="240" w:lineRule="auto"/>
              <w:jc w:val="center"/>
              <w:rPr>
                <w:sz w:val="20"/>
                <w:szCs w:val="20"/>
              </w:rPr>
            </w:pPr>
            <w:r w:rsidRPr="00D738CB">
              <w:rPr>
                <w:sz w:val="20"/>
                <w:szCs w:val="20"/>
                <w:lang w:val="vi-VN"/>
              </w:rPr>
              <w:t>12,5</w:t>
            </w:r>
            <w:r w:rsidRPr="00D738CB">
              <w:rPr>
                <w:sz w:val="20"/>
                <w:szCs w:val="20"/>
                <w:vertAlign w:val="superscript"/>
                <w:lang w:val="vi-VN"/>
              </w:rPr>
              <w:t>b</w:t>
            </w:r>
            <w:r w:rsidRPr="00D738CB">
              <w:rPr>
                <w:sz w:val="20"/>
                <w:szCs w:val="20"/>
                <w:lang w:val="vi-VN"/>
              </w:rPr>
              <w:t xml:space="preserve"> ± 0,0</w:t>
            </w:r>
          </w:p>
        </w:tc>
      </w:tr>
      <w:tr w:rsidR="00423F4E" w:rsidRPr="00D738CB" w:rsidTr="00DD345E">
        <w:trPr>
          <w:jc w:val="center"/>
        </w:trPr>
        <w:tc>
          <w:tcPr>
            <w:tcW w:w="1872" w:type="dxa"/>
          </w:tcPr>
          <w:p w:rsidR="00423F4E" w:rsidRPr="004F7656" w:rsidRDefault="00423F4E" w:rsidP="00DD345E">
            <w:pPr>
              <w:spacing w:after="0" w:line="240" w:lineRule="auto"/>
              <w:contextualSpacing/>
              <w:jc w:val="center"/>
              <w:rPr>
                <w:sz w:val="20"/>
                <w:szCs w:val="20"/>
              </w:rPr>
            </w:pPr>
            <w:r w:rsidRPr="00D738CB">
              <w:rPr>
                <w:sz w:val="20"/>
                <w:szCs w:val="20"/>
                <w:lang w:val="vi-VN"/>
              </w:rPr>
              <w:t>0,03</w:t>
            </w:r>
          </w:p>
        </w:tc>
        <w:tc>
          <w:tcPr>
            <w:tcW w:w="13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65,47</w:t>
            </w:r>
            <w:r w:rsidRPr="00D738CB">
              <w:rPr>
                <w:sz w:val="20"/>
                <w:szCs w:val="20"/>
                <w:vertAlign w:val="superscript"/>
                <w:lang w:val="vi-VN"/>
              </w:rPr>
              <w:t>a</w:t>
            </w:r>
            <w:r w:rsidRPr="00D738CB">
              <w:rPr>
                <w:sz w:val="20"/>
                <w:szCs w:val="20"/>
                <w:lang w:val="vi-VN"/>
              </w:rPr>
              <w:t xml:space="preserve"> ± 0,19</w:t>
            </w:r>
          </w:p>
        </w:tc>
        <w:tc>
          <w:tcPr>
            <w:tcW w:w="1342" w:type="dxa"/>
          </w:tcPr>
          <w:p w:rsidR="00423F4E" w:rsidRPr="00D738CB" w:rsidRDefault="00423F4E" w:rsidP="00DD345E">
            <w:pPr>
              <w:spacing w:after="0" w:line="240" w:lineRule="auto"/>
              <w:jc w:val="center"/>
              <w:rPr>
                <w:sz w:val="20"/>
                <w:szCs w:val="20"/>
                <w:lang w:val="vi-VN"/>
              </w:rPr>
            </w:pPr>
            <w:r w:rsidRPr="00D738CB">
              <w:rPr>
                <w:sz w:val="20"/>
                <w:szCs w:val="20"/>
                <w:lang w:val="vi-VN"/>
              </w:rPr>
              <w:t>6,33</w:t>
            </w:r>
            <w:r w:rsidRPr="00D738CB">
              <w:rPr>
                <w:sz w:val="20"/>
                <w:szCs w:val="20"/>
                <w:vertAlign w:val="superscript"/>
                <w:lang w:val="vi-VN"/>
              </w:rPr>
              <w:t xml:space="preserve"> </w:t>
            </w:r>
            <w:r w:rsidRPr="00D738CB">
              <w:rPr>
                <w:sz w:val="20"/>
                <w:szCs w:val="20"/>
                <w:lang w:val="vi-VN"/>
              </w:rPr>
              <w:t>± 0,03</w:t>
            </w:r>
          </w:p>
        </w:tc>
        <w:tc>
          <w:tcPr>
            <w:tcW w:w="2426" w:type="dxa"/>
          </w:tcPr>
          <w:p w:rsidR="00423F4E" w:rsidRPr="001A6343" w:rsidRDefault="00423F4E" w:rsidP="00DD345E">
            <w:pPr>
              <w:spacing w:after="0" w:line="240" w:lineRule="auto"/>
              <w:jc w:val="center"/>
              <w:rPr>
                <w:sz w:val="20"/>
                <w:szCs w:val="20"/>
              </w:rPr>
            </w:pPr>
            <w:r w:rsidRPr="00D738CB">
              <w:rPr>
                <w:sz w:val="20"/>
                <w:szCs w:val="20"/>
                <w:lang w:val="vi-VN"/>
              </w:rPr>
              <w:t>12,</w:t>
            </w:r>
            <w:r>
              <w:rPr>
                <w:sz w:val="20"/>
                <w:szCs w:val="20"/>
              </w:rPr>
              <w:t>6</w:t>
            </w:r>
            <w:r w:rsidRPr="00D738CB">
              <w:rPr>
                <w:sz w:val="20"/>
                <w:szCs w:val="20"/>
                <w:vertAlign w:val="superscript"/>
                <w:lang w:val="vi-VN"/>
              </w:rPr>
              <w:t xml:space="preserve">a </w:t>
            </w:r>
            <w:r w:rsidRPr="00D738CB">
              <w:rPr>
                <w:sz w:val="20"/>
                <w:szCs w:val="20"/>
                <w:lang w:val="vi-VN"/>
              </w:rPr>
              <w:t>± 0,0</w:t>
            </w:r>
          </w:p>
        </w:tc>
      </w:tr>
      <w:tr w:rsidR="00423F4E" w:rsidRPr="00D738CB" w:rsidTr="00DD345E">
        <w:trPr>
          <w:jc w:val="center"/>
        </w:trPr>
        <w:tc>
          <w:tcPr>
            <w:tcW w:w="1872" w:type="dxa"/>
          </w:tcPr>
          <w:p w:rsidR="00423F4E" w:rsidRPr="004F7656" w:rsidRDefault="00423F4E" w:rsidP="00DD345E">
            <w:pPr>
              <w:spacing w:after="0" w:line="240" w:lineRule="auto"/>
              <w:contextualSpacing/>
              <w:jc w:val="center"/>
              <w:rPr>
                <w:sz w:val="20"/>
                <w:szCs w:val="20"/>
              </w:rPr>
            </w:pPr>
            <w:r w:rsidRPr="00D738CB">
              <w:rPr>
                <w:sz w:val="20"/>
                <w:szCs w:val="20"/>
                <w:lang w:val="vi-VN"/>
              </w:rPr>
              <w:t>0,04</w:t>
            </w:r>
          </w:p>
        </w:tc>
        <w:tc>
          <w:tcPr>
            <w:tcW w:w="1391" w:type="dxa"/>
          </w:tcPr>
          <w:p w:rsidR="00423F4E" w:rsidRPr="00D738CB" w:rsidRDefault="00423F4E" w:rsidP="00DD345E">
            <w:pPr>
              <w:spacing w:after="0" w:line="240" w:lineRule="auto"/>
              <w:contextualSpacing/>
              <w:jc w:val="center"/>
              <w:rPr>
                <w:sz w:val="20"/>
                <w:szCs w:val="20"/>
                <w:lang w:val="vi-VN"/>
              </w:rPr>
            </w:pPr>
            <w:r w:rsidRPr="00D738CB">
              <w:rPr>
                <w:sz w:val="20"/>
                <w:szCs w:val="20"/>
                <w:lang w:val="vi-VN"/>
              </w:rPr>
              <w:t>65,37</w:t>
            </w:r>
            <w:r w:rsidRPr="00D738CB">
              <w:rPr>
                <w:sz w:val="20"/>
                <w:szCs w:val="20"/>
                <w:vertAlign w:val="superscript"/>
                <w:lang w:val="vi-VN"/>
              </w:rPr>
              <w:t>a</w:t>
            </w:r>
            <w:r w:rsidRPr="00D738CB">
              <w:rPr>
                <w:sz w:val="20"/>
                <w:szCs w:val="20"/>
                <w:lang w:val="vi-VN"/>
              </w:rPr>
              <w:t xml:space="preserve"> ± 0,07</w:t>
            </w:r>
          </w:p>
        </w:tc>
        <w:tc>
          <w:tcPr>
            <w:tcW w:w="1342" w:type="dxa"/>
          </w:tcPr>
          <w:p w:rsidR="00423F4E" w:rsidRPr="00D738CB" w:rsidRDefault="00423F4E" w:rsidP="00DD345E">
            <w:pPr>
              <w:spacing w:after="0" w:line="240" w:lineRule="auto"/>
              <w:jc w:val="center"/>
              <w:rPr>
                <w:sz w:val="20"/>
                <w:szCs w:val="20"/>
                <w:lang w:val="vi-VN"/>
              </w:rPr>
            </w:pPr>
            <w:r w:rsidRPr="00D738CB">
              <w:rPr>
                <w:sz w:val="20"/>
                <w:szCs w:val="20"/>
                <w:lang w:val="vi-VN"/>
              </w:rPr>
              <w:t>6,31 ± 0,03</w:t>
            </w:r>
          </w:p>
        </w:tc>
        <w:tc>
          <w:tcPr>
            <w:tcW w:w="2426" w:type="dxa"/>
          </w:tcPr>
          <w:p w:rsidR="00423F4E" w:rsidRPr="001A6343" w:rsidRDefault="00423F4E" w:rsidP="00DD345E">
            <w:pPr>
              <w:spacing w:after="0" w:line="240" w:lineRule="auto"/>
              <w:jc w:val="center"/>
              <w:rPr>
                <w:sz w:val="20"/>
                <w:szCs w:val="20"/>
              </w:rPr>
            </w:pPr>
            <w:r w:rsidRPr="00D738CB">
              <w:rPr>
                <w:sz w:val="20"/>
                <w:szCs w:val="20"/>
                <w:lang w:val="vi-VN"/>
              </w:rPr>
              <w:t>12,</w:t>
            </w:r>
            <w:r>
              <w:rPr>
                <w:sz w:val="20"/>
                <w:szCs w:val="20"/>
              </w:rPr>
              <w:t>6</w:t>
            </w:r>
            <w:r w:rsidRPr="00D738CB">
              <w:rPr>
                <w:sz w:val="20"/>
                <w:szCs w:val="20"/>
                <w:vertAlign w:val="superscript"/>
                <w:lang w:val="vi-VN"/>
              </w:rPr>
              <w:t>a</w:t>
            </w:r>
            <w:r w:rsidRPr="00D738CB">
              <w:rPr>
                <w:sz w:val="20"/>
                <w:szCs w:val="20"/>
                <w:lang w:val="vi-VN"/>
              </w:rPr>
              <w:t xml:space="preserve"> ± 0,0</w:t>
            </w:r>
          </w:p>
        </w:tc>
      </w:tr>
    </w:tbl>
    <w:p w:rsidR="00423F4E" w:rsidRPr="000601B7" w:rsidRDefault="00423F4E" w:rsidP="00423F4E">
      <w:pPr>
        <w:pStyle w:val="NormalWeb"/>
        <w:spacing w:before="120" w:beforeAutospacing="0" w:after="120" w:afterAutospacing="0"/>
        <w:contextualSpacing/>
        <w:rPr>
          <w:iCs/>
          <w:sz w:val="20"/>
          <w:szCs w:val="20"/>
          <w:lang w:val="vi-VN"/>
        </w:rPr>
      </w:pPr>
      <w:r w:rsidRPr="000601B7">
        <w:rPr>
          <w:iCs/>
          <w:sz w:val="20"/>
          <w:szCs w:val="20"/>
        </w:rPr>
        <w:t>(C</w:t>
      </w:r>
      <w:r w:rsidRPr="000601B7">
        <w:rPr>
          <w:iCs/>
          <w:sz w:val="20"/>
          <w:szCs w:val="20"/>
          <w:lang w:val="vi-VN"/>
        </w:rPr>
        <w:t xml:space="preserve">hữ cái khác nhau </w:t>
      </w:r>
      <w:r w:rsidRPr="000601B7">
        <w:rPr>
          <w:iCs/>
          <w:sz w:val="20"/>
          <w:szCs w:val="20"/>
        </w:rPr>
        <w:t xml:space="preserve">trong cùng một cột </w:t>
      </w:r>
      <w:r w:rsidRPr="000601B7">
        <w:rPr>
          <w:iCs/>
          <w:sz w:val="20"/>
          <w:szCs w:val="20"/>
          <w:lang w:val="vi-VN"/>
        </w:rPr>
        <w:t xml:space="preserve">thể hiện sự khác biệt có ý nghĩa thống kê ở </w:t>
      </w:r>
      <w:r w:rsidRPr="000601B7">
        <w:rPr>
          <w:iCs/>
          <w:sz w:val="20"/>
          <w:szCs w:val="20"/>
        </w:rPr>
        <w:t>p</w:t>
      </w:r>
      <w:r w:rsidRPr="000601B7">
        <w:rPr>
          <w:iCs/>
          <w:sz w:val="20"/>
          <w:szCs w:val="20"/>
          <w:lang w:val="vi-VN"/>
        </w:rPr>
        <w:t xml:space="preserve"> </w:t>
      </w:r>
      <w:r w:rsidRPr="000601B7">
        <w:rPr>
          <w:iCs/>
          <w:sz w:val="20"/>
          <w:szCs w:val="20"/>
        </w:rPr>
        <w:t>≤</w:t>
      </w:r>
      <w:r w:rsidRPr="000601B7">
        <w:rPr>
          <w:iCs/>
          <w:sz w:val="20"/>
          <w:szCs w:val="20"/>
          <w:lang w:val="vi-VN"/>
        </w:rPr>
        <w:t xml:space="preserve"> </w:t>
      </w:r>
      <w:r w:rsidRPr="000601B7">
        <w:rPr>
          <w:iCs/>
          <w:sz w:val="20"/>
          <w:szCs w:val="20"/>
        </w:rPr>
        <w:t>0,05)</w:t>
      </w:r>
    </w:p>
    <w:p w:rsidR="00423F4E" w:rsidRDefault="00423F4E" w:rsidP="00423F4E">
      <w:pPr>
        <w:spacing w:before="120" w:after="120" w:line="240" w:lineRule="auto"/>
        <w:jc w:val="both"/>
        <w:rPr>
          <w:sz w:val="22"/>
          <w:szCs w:val="22"/>
        </w:rPr>
      </w:pPr>
      <w:r w:rsidRPr="00DD5D50">
        <w:rPr>
          <w:sz w:val="22"/>
          <w:szCs w:val="22"/>
        </w:rPr>
        <w:t xml:space="preserve">Kết quả độ sáng (L*) </w:t>
      </w:r>
      <w:r>
        <w:rPr>
          <w:sz w:val="22"/>
          <w:szCs w:val="22"/>
        </w:rPr>
        <w:t>ở các nghiệm thức có bổ sung xanthan gum</w:t>
      </w:r>
      <w:r w:rsidRPr="00DD5D50">
        <w:rPr>
          <w:sz w:val="22"/>
          <w:szCs w:val="22"/>
        </w:rPr>
        <w:t xml:space="preserve"> có xu hướng tăng nhẹ </w:t>
      </w:r>
      <w:r>
        <w:rPr>
          <w:sz w:val="22"/>
          <w:szCs w:val="22"/>
        </w:rPr>
        <w:t xml:space="preserve">và ổn định </w:t>
      </w:r>
      <w:r w:rsidRPr="00DD5D50">
        <w:rPr>
          <w:sz w:val="22"/>
          <w:szCs w:val="22"/>
        </w:rPr>
        <w:t>so với mẫu đối chứng</w:t>
      </w:r>
      <w:r>
        <w:rPr>
          <w:sz w:val="22"/>
          <w:szCs w:val="22"/>
        </w:rPr>
        <w:t xml:space="preserve"> với p≤0,05</w:t>
      </w:r>
      <w:r w:rsidRPr="00DD5D50">
        <w:rPr>
          <w:sz w:val="22"/>
          <w:szCs w:val="22"/>
        </w:rPr>
        <w:t>. Mặc dù sự khác biệt giữa các nồng độ xanthan gum không có ý nghĩa thống kê (p &gt; 0,05), giá trị L* ở các mẫu bổ sung xanthan gum dao động trong khoảng 65,37–</w:t>
      </w:r>
      <w:r w:rsidRPr="00DD5D50">
        <w:rPr>
          <w:sz w:val="22"/>
          <w:szCs w:val="22"/>
        </w:rPr>
        <w:lastRenderedPageBreak/>
        <w:t xml:space="preserve">65,48. Điều này cho thấy xanthan gum góp phần duy trì sự ổn định màu sắc, có thể do khả năng phân tán tốt các pha và hạn chế hiện tượng lắng tụ. Kết quả này phù hợp với nghiên cứu của Zhao </w:t>
      </w:r>
      <w:r>
        <w:rPr>
          <w:sz w:val="22"/>
          <w:szCs w:val="22"/>
        </w:rPr>
        <w:t>và cs.</w:t>
      </w:r>
      <w:r w:rsidRPr="0063481C">
        <w:rPr>
          <w:sz w:val="22"/>
          <w:szCs w:val="22"/>
          <w:vertAlign w:val="superscript"/>
        </w:rPr>
        <w:t>26</w:t>
      </w:r>
      <w:r w:rsidRPr="00DD5D50">
        <w:rPr>
          <w:sz w:val="22"/>
          <w:szCs w:val="22"/>
        </w:rPr>
        <w:t xml:space="preserve"> về quy trình sản xuất đồ uống từ gạo đen, trong đó cũng ghi nhận xanthan gum giúp cải thiện độ ổn định màu. Tuy nhiên, nghiên cứu này cũng lưu ý rằng việc bổ sung xanthan gum ở nồng độ cao có thể làm tăng độ nhớt quá mức, từ đó ảnh hưởng tiêu cực đến sự đồng nhất màu sắc của sản phẩm.</w:t>
      </w:r>
    </w:p>
    <w:p w:rsidR="00423F4E" w:rsidRPr="00DD5D50" w:rsidRDefault="00423F4E" w:rsidP="00423F4E">
      <w:pPr>
        <w:spacing w:before="120" w:after="120" w:line="240" w:lineRule="auto"/>
        <w:jc w:val="both"/>
        <w:rPr>
          <w:sz w:val="22"/>
          <w:szCs w:val="22"/>
        </w:rPr>
      </w:pPr>
      <w:r w:rsidRPr="00DD5D50">
        <w:rPr>
          <w:sz w:val="22"/>
          <w:szCs w:val="22"/>
        </w:rPr>
        <w:t xml:space="preserve">Theo </w:t>
      </w:r>
      <w:r>
        <w:rPr>
          <w:sz w:val="22"/>
          <w:szCs w:val="22"/>
        </w:rPr>
        <w:t>b</w:t>
      </w:r>
      <w:r w:rsidRPr="00DD5D50">
        <w:rPr>
          <w:sz w:val="22"/>
          <w:szCs w:val="22"/>
        </w:rPr>
        <w:t xml:space="preserve">ảng 4, việc bổ sung xanthan gum ở các mức khác nhau 0–0,04% không gây ra sự khác biệt có ý nghĩa thống kê về độ pH của sản phẩm (p </w:t>
      </w:r>
      <w:r>
        <w:rPr>
          <w:sz w:val="22"/>
          <w:szCs w:val="22"/>
        </w:rPr>
        <w:t>&gt;</w:t>
      </w:r>
      <w:r w:rsidRPr="00DD5D50">
        <w:rPr>
          <w:sz w:val="22"/>
          <w:szCs w:val="22"/>
        </w:rPr>
        <w:t xml:space="preserve"> 0,05), với giá trị dao động từ 6,31</w:t>
      </w:r>
      <w:r>
        <w:rPr>
          <w:sz w:val="22"/>
          <w:szCs w:val="22"/>
        </w:rPr>
        <w:t>±0,02</w:t>
      </w:r>
      <w:r w:rsidRPr="00DD5D50">
        <w:rPr>
          <w:sz w:val="22"/>
          <w:szCs w:val="22"/>
        </w:rPr>
        <w:t xml:space="preserve"> đến 6,34</w:t>
      </w:r>
      <w:r>
        <w:rPr>
          <w:sz w:val="22"/>
          <w:szCs w:val="22"/>
        </w:rPr>
        <w:t>±0,03</w:t>
      </w:r>
      <w:r w:rsidRPr="00DD5D50">
        <w:rPr>
          <w:sz w:val="22"/>
          <w:szCs w:val="22"/>
        </w:rPr>
        <w:t>. Điều này cho thấy xanthan gum không ảnh hưởng đáng kể đến độ pH của sữa hạt từ gạo rang phối trộn mắc ca. Nguyên nhân có thể do xanthan gum là một polysaccharide trung tính, không mang nhóm chức acid hoặc base mạnh nên không làm thay đổi đáng kể độ pH của hệ thực phẩm</w:t>
      </w:r>
      <w:r w:rsidRPr="0063481C">
        <w:rPr>
          <w:sz w:val="22"/>
          <w:szCs w:val="22"/>
          <w:vertAlign w:val="superscript"/>
        </w:rPr>
        <w:t>27</w:t>
      </w:r>
      <w:r w:rsidRPr="00DD5D50">
        <w:rPr>
          <w:sz w:val="22"/>
          <w:szCs w:val="22"/>
        </w:rPr>
        <w:t xml:space="preserve">. </w:t>
      </w:r>
    </w:p>
    <w:p w:rsidR="00423F4E" w:rsidRDefault="00423F4E" w:rsidP="00423F4E">
      <w:pPr>
        <w:spacing w:before="120" w:after="120" w:line="240" w:lineRule="auto"/>
        <w:jc w:val="both"/>
        <w:rPr>
          <w:sz w:val="22"/>
          <w:szCs w:val="22"/>
        </w:rPr>
      </w:pPr>
      <w:r>
        <w:rPr>
          <w:sz w:val="22"/>
          <w:szCs w:val="22"/>
        </w:rPr>
        <w:t>Chất khô hòa tan</w:t>
      </w:r>
      <w:r w:rsidRPr="000F0234">
        <w:rPr>
          <w:sz w:val="22"/>
          <w:szCs w:val="22"/>
        </w:rPr>
        <w:t xml:space="preserve"> có xu hướng tăng </w:t>
      </w:r>
      <w:r>
        <w:rPr>
          <w:sz w:val="22"/>
          <w:szCs w:val="22"/>
        </w:rPr>
        <w:t>rất ít và ổn định</w:t>
      </w:r>
      <w:r w:rsidRPr="000F0234">
        <w:rPr>
          <w:sz w:val="22"/>
          <w:szCs w:val="22"/>
        </w:rPr>
        <w:t>, từ 12,46 ± 0,02 ở mẫu đối chứng lên đến 12,58 ± 0,02 ở mẫu bổ sung 0,04% xanthan gum</w:t>
      </w:r>
      <w:r>
        <w:rPr>
          <w:sz w:val="22"/>
          <w:szCs w:val="22"/>
        </w:rPr>
        <w:t xml:space="preserve"> với p≤0,05</w:t>
      </w:r>
      <w:r w:rsidRPr="000F0234">
        <w:rPr>
          <w:sz w:val="22"/>
          <w:szCs w:val="22"/>
        </w:rPr>
        <w:t xml:space="preserve">. Sự gia tăng </w:t>
      </w:r>
      <w:r>
        <w:rPr>
          <w:sz w:val="22"/>
          <w:szCs w:val="22"/>
        </w:rPr>
        <w:t>này</w:t>
      </w:r>
      <w:r w:rsidRPr="000F0234">
        <w:rPr>
          <w:sz w:val="22"/>
          <w:szCs w:val="22"/>
        </w:rPr>
        <w:t xml:space="preserve"> có thể liên quan đến bản chất của xanthan gum là một polysaccharide hòa tan, có khả năng giữ nước và làm tăng hàm lượng chất rắn hòa tan trong sản phẩm</w:t>
      </w:r>
      <w:r w:rsidRPr="0063481C">
        <w:rPr>
          <w:sz w:val="22"/>
          <w:szCs w:val="22"/>
          <w:vertAlign w:val="superscript"/>
        </w:rPr>
        <w:t>28</w:t>
      </w:r>
      <w:r w:rsidRPr="000F0234">
        <w:rPr>
          <w:sz w:val="22"/>
          <w:szCs w:val="22"/>
        </w:rPr>
        <w:t>. Tuy nhiên, ảnh hưởng này là thứ yếu so với vai trò chính của xanthan gum trong cải thiện độ nhớt và ổn định hệ huyền phù của sữa hạt.</w:t>
      </w:r>
    </w:p>
    <w:p w:rsidR="00423F4E" w:rsidRDefault="00423F4E" w:rsidP="00423F4E">
      <w:pPr>
        <w:spacing w:before="120" w:after="120" w:line="240" w:lineRule="auto"/>
        <w:jc w:val="both"/>
        <w:rPr>
          <w:sz w:val="22"/>
          <w:szCs w:val="22"/>
        </w:rPr>
      </w:pPr>
      <w:r w:rsidRPr="000352A7">
        <w:rPr>
          <w:sz w:val="22"/>
          <w:szCs w:val="22"/>
        </w:rPr>
        <w:t xml:space="preserve">Trong sản xuất sữa hạt, độ nhớt thường được điều chỉnh thông qua việc bổ sung các chất tạo cấu trúc và ổn định, nhằm đạt được độ đặc và kết cấu mong muốn. Một trong những chất phụ gia phổ biến là xanthan gum, thường được sử dụng trong hệ để tăng độ nhớt của pha liên tục. Nhờ đó, xanthan gum góp phần nâng cao độ ổn định bằng cách làm chậm sự chuyển động của các </w:t>
      </w:r>
      <w:r>
        <w:rPr>
          <w:sz w:val="22"/>
          <w:szCs w:val="22"/>
        </w:rPr>
        <w:t>cấu tử</w:t>
      </w:r>
      <w:r w:rsidRPr="000352A7">
        <w:rPr>
          <w:sz w:val="22"/>
          <w:szCs w:val="22"/>
        </w:rPr>
        <w:t xml:space="preserve"> giảm tốc độ lắng của sản phẩm</w:t>
      </w:r>
      <w:r w:rsidRPr="0063481C">
        <w:rPr>
          <w:sz w:val="22"/>
          <w:szCs w:val="22"/>
          <w:vertAlign w:val="superscript"/>
        </w:rPr>
        <w:t>29,30</w:t>
      </w:r>
      <w:r>
        <w:rPr>
          <w:sz w:val="22"/>
          <w:szCs w:val="22"/>
        </w:rPr>
        <w:t>.</w:t>
      </w:r>
    </w:p>
    <w:p w:rsidR="00423F4E" w:rsidRPr="0025493B" w:rsidRDefault="00423F4E" w:rsidP="00423F4E">
      <w:pPr>
        <w:spacing w:before="120" w:after="120" w:line="240" w:lineRule="auto"/>
        <w:ind w:firstLine="461"/>
        <w:jc w:val="center"/>
        <w:rPr>
          <w:sz w:val="22"/>
          <w:szCs w:val="22"/>
          <w:lang w:val="vi-VN"/>
        </w:rPr>
      </w:pPr>
      <w:r>
        <w:object w:dxaOrig="11493" w:dyaOrig="4939">
          <v:shape id="_x0000_i1027" type="#_x0000_t75" style="width:429pt;height:184.5pt" o:ole="" filled="t">
            <v:imagedata r:id="rId13" o:title=""/>
          </v:shape>
          <o:OLEObject Type="Embed" ProgID="Prism9.Document" ShapeID="_x0000_i1027" DrawAspect="Content" ObjectID="_1829149479" r:id="rId14"/>
        </w:object>
      </w:r>
    </w:p>
    <w:p w:rsidR="00423F4E" w:rsidRPr="000601B7" w:rsidRDefault="00423F4E" w:rsidP="00423F4E">
      <w:pPr>
        <w:spacing w:before="120" w:after="240" w:line="240" w:lineRule="auto"/>
        <w:rPr>
          <w:sz w:val="20"/>
          <w:szCs w:val="20"/>
        </w:rPr>
      </w:pPr>
      <w:bookmarkStart w:id="16" w:name="_Toc198930793"/>
      <w:r w:rsidRPr="000601B7">
        <w:rPr>
          <w:sz w:val="20"/>
          <w:szCs w:val="20"/>
          <w:lang w:val="vi-VN"/>
        </w:rPr>
        <w:t xml:space="preserve">Hình </w:t>
      </w:r>
      <w:r w:rsidRPr="000601B7">
        <w:rPr>
          <w:sz w:val="20"/>
          <w:szCs w:val="20"/>
        </w:rPr>
        <w:t>4</w:t>
      </w:r>
      <w:r w:rsidRPr="000601B7">
        <w:rPr>
          <w:sz w:val="20"/>
          <w:szCs w:val="20"/>
          <w:lang w:val="vi-VN"/>
        </w:rPr>
        <w:t>. Ảnh hưởng của nồng độ xanthan gum đến độ nhớt (A) và độ lắng (B) của sữa hạt</w:t>
      </w:r>
      <w:bookmarkEnd w:id="16"/>
    </w:p>
    <w:p w:rsidR="00423F4E" w:rsidRPr="000601B7" w:rsidRDefault="00423F4E" w:rsidP="00423F4E">
      <w:pPr>
        <w:spacing w:before="120" w:after="120" w:line="240" w:lineRule="auto"/>
        <w:rPr>
          <w:rFonts w:eastAsia="Times New Roman"/>
          <w:iCs/>
          <w:sz w:val="20"/>
          <w:szCs w:val="20"/>
          <w:highlight w:val="white"/>
          <w:u w:color="FF0000"/>
        </w:rPr>
      </w:pPr>
      <w:r w:rsidRPr="000601B7">
        <w:rPr>
          <w:iCs/>
          <w:sz w:val="20"/>
          <w:szCs w:val="20"/>
        </w:rPr>
        <w:t>(</w:t>
      </w:r>
      <w:r w:rsidRPr="000601B7">
        <w:rPr>
          <w:iCs/>
          <w:sz w:val="20"/>
          <w:szCs w:val="20"/>
          <w:lang w:val="vi-VN"/>
        </w:rPr>
        <w:t>C</w:t>
      </w:r>
      <w:r w:rsidRPr="000601B7">
        <w:rPr>
          <w:iCs/>
          <w:sz w:val="20"/>
          <w:szCs w:val="20"/>
        </w:rPr>
        <w:t>ác</w:t>
      </w:r>
      <w:r w:rsidRPr="000601B7">
        <w:rPr>
          <w:iCs/>
          <w:sz w:val="20"/>
          <w:szCs w:val="20"/>
          <w:lang w:val="vi-VN"/>
        </w:rPr>
        <w:t xml:space="preserve"> cột có các chữ cái khác nhau thể hiện sự khác biệt có ý nghĩa thống kê ở </w:t>
      </w:r>
      <w:r w:rsidRPr="000601B7">
        <w:rPr>
          <w:iCs/>
          <w:sz w:val="20"/>
          <w:szCs w:val="20"/>
        </w:rPr>
        <w:t>p</w:t>
      </w:r>
      <w:r w:rsidRPr="000601B7">
        <w:rPr>
          <w:iCs/>
          <w:sz w:val="20"/>
          <w:szCs w:val="20"/>
          <w:lang w:val="vi-VN"/>
        </w:rPr>
        <w:t xml:space="preserve"> </w:t>
      </w:r>
      <w:r w:rsidRPr="000601B7">
        <w:rPr>
          <w:iCs/>
          <w:sz w:val="20"/>
          <w:szCs w:val="20"/>
        </w:rPr>
        <w:t>≤</w:t>
      </w:r>
      <w:r w:rsidRPr="000601B7">
        <w:rPr>
          <w:iCs/>
          <w:sz w:val="20"/>
          <w:szCs w:val="20"/>
          <w:lang w:val="vi-VN"/>
        </w:rPr>
        <w:t xml:space="preserve"> </w:t>
      </w:r>
      <w:r w:rsidRPr="000601B7">
        <w:rPr>
          <w:iCs/>
          <w:sz w:val="20"/>
          <w:szCs w:val="20"/>
        </w:rPr>
        <w:t>0,05)</w:t>
      </w:r>
    </w:p>
    <w:p w:rsidR="00423F4E" w:rsidRPr="000F0234" w:rsidRDefault="00423F4E" w:rsidP="00423F4E">
      <w:pPr>
        <w:spacing w:before="120" w:after="120" w:line="240" w:lineRule="auto"/>
        <w:jc w:val="both"/>
        <w:outlineLvl w:val="1"/>
        <w:rPr>
          <w:sz w:val="22"/>
          <w:szCs w:val="22"/>
        </w:rPr>
      </w:pPr>
      <w:bookmarkStart w:id="17" w:name="_Toc199164275"/>
      <w:r w:rsidRPr="000F0234">
        <w:rPr>
          <w:sz w:val="22"/>
          <w:szCs w:val="22"/>
        </w:rPr>
        <w:t xml:space="preserve">Kết quả </w:t>
      </w:r>
      <w:r>
        <w:rPr>
          <w:sz w:val="22"/>
          <w:szCs w:val="22"/>
        </w:rPr>
        <w:t>cho thấy</w:t>
      </w:r>
      <w:r w:rsidRPr="000F0234">
        <w:rPr>
          <w:sz w:val="22"/>
          <w:szCs w:val="22"/>
        </w:rPr>
        <w:t xml:space="preserve"> xanthan gum có ảnh hưởng đáng kể đến độ nhớt của sữa hạt (p ≤ 0,05)</w:t>
      </w:r>
      <w:r>
        <w:rPr>
          <w:sz w:val="22"/>
          <w:szCs w:val="22"/>
        </w:rPr>
        <w:t xml:space="preserve"> k</w:t>
      </w:r>
      <w:r w:rsidRPr="000F0234">
        <w:rPr>
          <w:sz w:val="22"/>
          <w:szCs w:val="22"/>
        </w:rPr>
        <w:t>hi tăng nồng độ từ 0</w:t>
      </w:r>
      <w:r>
        <w:rPr>
          <w:sz w:val="22"/>
          <w:szCs w:val="22"/>
        </w:rPr>
        <w:t>-</w:t>
      </w:r>
      <w:r w:rsidRPr="000F0234">
        <w:rPr>
          <w:sz w:val="22"/>
          <w:szCs w:val="22"/>
        </w:rPr>
        <w:t>0,04%, độ nhớt tăng từ 8,46 ± 0,02 cP (đối chứng) lên 33,23 ± 0,39 cP. Cụ thể, xanthan gum ở nồng độ 0,01–0,04% có độ nhớt lần lượt là 15,14 ± 0,20</w:t>
      </w:r>
      <w:r>
        <w:rPr>
          <w:sz w:val="22"/>
          <w:szCs w:val="22"/>
        </w:rPr>
        <w:t>;</w:t>
      </w:r>
      <w:r w:rsidRPr="000F0234">
        <w:rPr>
          <w:sz w:val="22"/>
          <w:szCs w:val="22"/>
        </w:rPr>
        <w:t xml:space="preserve"> 22,61 ± 0,28</w:t>
      </w:r>
      <w:r>
        <w:rPr>
          <w:sz w:val="22"/>
          <w:szCs w:val="22"/>
        </w:rPr>
        <w:t>;</w:t>
      </w:r>
      <w:r w:rsidRPr="000F0234">
        <w:rPr>
          <w:sz w:val="22"/>
          <w:szCs w:val="22"/>
        </w:rPr>
        <w:t xml:space="preserve"> 28,79 ± 0,26 và 33,23 ± 0,39 cP. Sự gia tăng này </w:t>
      </w:r>
      <w:r>
        <w:rPr>
          <w:sz w:val="22"/>
          <w:szCs w:val="22"/>
        </w:rPr>
        <w:t>do</w:t>
      </w:r>
      <w:r w:rsidRPr="000F0234">
        <w:rPr>
          <w:sz w:val="22"/>
          <w:szCs w:val="22"/>
        </w:rPr>
        <w:t xml:space="preserve"> xanthan gum làm tăng độ nhớt của pha liên tục, từ đó làm chậm quá trình tách pha trong hệ huyền phù. Cơ chế này phù hợp với nhận định của Rizvi (2010), rằng xanthan gum làm tăng độ nhớt nhờ khả năng tương tác tạo mạng lưới trong dung dịch.</w:t>
      </w:r>
      <w:r>
        <w:rPr>
          <w:sz w:val="22"/>
          <w:szCs w:val="22"/>
        </w:rPr>
        <w:t xml:space="preserve"> </w:t>
      </w:r>
      <w:r w:rsidRPr="000F0234">
        <w:rPr>
          <w:sz w:val="22"/>
          <w:szCs w:val="22"/>
        </w:rPr>
        <w:t>Tuy nhiên, khi độ nhớt vượt ngưỡng phù hợp với đặc tính cảm quan của sản phẩm (như ở mức 0,04%), khả năng chảy của sữa bị suy giảm, làm ảnh hưởng đến sự chấp nhận của người tiêu dùng. Tương tự, nghiên cứu của Hòa và Minh (2018)</w:t>
      </w:r>
      <w:r w:rsidRPr="0063481C">
        <w:rPr>
          <w:sz w:val="22"/>
          <w:szCs w:val="22"/>
          <w:vertAlign w:val="superscript"/>
        </w:rPr>
        <w:t>31</w:t>
      </w:r>
      <w:r w:rsidRPr="000F0234">
        <w:rPr>
          <w:sz w:val="22"/>
          <w:szCs w:val="22"/>
        </w:rPr>
        <w:t xml:space="preserve"> trên sữa hạt điều cũng ghi nhận rằng nồng độ xanthan gum ≥ 0,4% làm tăng độ nhớt vượt mức cho phép, ảnh hưởng tiêu cực đến cảm quan. So </w:t>
      </w:r>
      <w:r w:rsidRPr="000F0234">
        <w:rPr>
          <w:sz w:val="22"/>
          <w:szCs w:val="22"/>
        </w:rPr>
        <w:lastRenderedPageBreak/>
        <w:t xml:space="preserve">sánh với các sản phẩm thương mại </w:t>
      </w:r>
      <w:r>
        <w:rPr>
          <w:sz w:val="22"/>
          <w:szCs w:val="22"/>
        </w:rPr>
        <w:t>chúng tôi khảo sát,</w:t>
      </w:r>
      <w:r w:rsidRPr="000F0234">
        <w:rPr>
          <w:sz w:val="22"/>
          <w:szCs w:val="22"/>
        </w:rPr>
        <w:t xml:space="preserve"> </w:t>
      </w:r>
      <w:r>
        <w:rPr>
          <w:sz w:val="22"/>
          <w:szCs w:val="22"/>
        </w:rPr>
        <w:t>xanthan gum</w:t>
      </w:r>
      <w:r w:rsidRPr="000F0234">
        <w:rPr>
          <w:sz w:val="22"/>
          <w:szCs w:val="22"/>
        </w:rPr>
        <w:t xml:space="preserve"> 0,04% </w:t>
      </w:r>
      <w:r>
        <w:rPr>
          <w:sz w:val="22"/>
          <w:szCs w:val="22"/>
        </w:rPr>
        <w:t>có độ nhớt quá cao</w:t>
      </w:r>
      <w:r w:rsidRPr="000F0234">
        <w:rPr>
          <w:sz w:val="22"/>
          <w:szCs w:val="22"/>
        </w:rPr>
        <w:t>, trong khi các mẫu từ 0,01–0,03% có độ nhớt nằm trong giới hạn phù hợp</w:t>
      </w:r>
      <w:r>
        <w:rPr>
          <w:sz w:val="22"/>
          <w:szCs w:val="22"/>
        </w:rPr>
        <w:t>.</w:t>
      </w:r>
    </w:p>
    <w:p w:rsidR="00423F4E" w:rsidRPr="000F0234" w:rsidRDefault="00423F4E" w:rsidP="00423F4E">
      <w:pPr>
        <w:spacing w:before="120" w:after="120" w:line="240" w:lineRule="auto"/>
        <w:jc w:val="both"/>
        <w:outlineLvl w:val="1"/>
        <w:rPr>
          <w:sz w:val="22"/>
          <w:szCs w:val="22"/>
        </w:rPr>
      </w:pPr>
      <w:r w:rsidRPr="000F0234">
        <w:rPr>
          <w:sz w:val="22"/>
          <w:szCs w:val="22"/>
        </w:rPr>
        <w:t xml:space="preserve">Về độ lắng, khi tăng nồng độ xanthan gum, độ lắng có xu hướng giảm mạnh và ổn định hơn (p ≤ 0,05). Mẫu đối chứng không bổ sung xanthan gum có độ lắng cao nhất 16,67 ± 1,16 </w:t>
      </w:r>
      <w:r>
        <w:rPr>
          <w:sz w:val="22"/>
          <w:szCs w:val="22"/>
        </w:rPr>
        <w:t>ml/h</w:t>
      </w:r>
      <w:r w:rsidRPr="000F0234">
        <w:rPr>
          <w:sz w:val="22"/>
          <w:szCs w:val="22"/>
        </w:rPr>
        <w:t>, phản ánh sự phân lớp nhanh do thiếu chất ổn định. Khi bổ sung 0,01</w:t>
      </w:r>
      <w:r>
        <w:rPr>
          <w:sz w:val="22"/>
          <w:szCs w:val="22"/>
        </w:rPr>
        <w:t>-0,02</w:t>
      </w:r>
      <w:r w:rsidRPr="000F0234">
        <w:rPr>
          <w:sz w:val="22"/>
          <w:szCs w:val="22"/>
        </w:rPr>
        <w:t xml:space="preserve">% xanthan gum, độ lắng giảm </w:t>
      </w:r>
      <w:r>
        <w:rPr>
          <w:sz w:val="22"/>
          <w:szCs w:val="22"/>
        </w:rPr>
        <w:t>lần lượt là</w:t>
      </w:r>
      <w:r w:rsidRPr="000F0234">
        <w:rPr>
          <w:sz w:val="22"/>
          <w:szCs w:val="22"/>
        </w:rPr>
        <w:t xml:space="preserve"> 8,00 ± 0,00</w:t>
      </w:r>
      <w:r>
        <w:rPr>
          <w:sz w:val="22"/>
          <w:szCs w:val="22"/>
        </w:rPr>
        <w:t xml:space="preserve"> và </w:t>
      </w:r>
      <w:r w:rsidRPr="000F0234">
        <w:rPr>
          <w:sz w:val="22"/>
          <w:szCs w:val="22"/>
        </w:rPr>
        <w:t>1,33 ± 1,16 m</w:t>
      </w:r>
      <w:r>
        <w:rPr>
          <w:sz w:val="22"/>
          <w:szCs w:val="22"/>
        </w:rPr>
        <w:t>l/h</w:t>
      </w:r>
      <w:r w:rsidRPr="000F0234">
        <w:rPr>
          <w:sz w:val="22"/>
          <w:szCs w:val="22"/>
        </w:rPr>
        <w:t>. Đặc biệt, ở các mức 0,03</w:t>
      </w:r>
      <w:r>
        <w:rPr>
          <w:sz w:val="22"/>
          <w:szCs w:val="22"/>
        </w:rPr>
        <w:t xml:space="preserve">- </w:t>
      </w:r>
      <w:r w:rsidRPr="000F0234">
        <w:rPr>
          <w:sz w:val="22"/>
          <w:szCs w:val="22"/>
        </w:rPr>
        <w:t>0,04%, không ghi nhận hiện tượng lắng trong vòng 1 giờ (0,00 ± 0,00 m</w:t>
      </w:r>
      <w:r>
        <w:rPr>
          <w:sz w:val="22"/>
          <w:szCs w:val="22"/>
        </w:rPr>
        <w:t>l/h</w:t>
      </w:r>
      <w:r w:rsidRPr="000F0234">
        <w:rPr>
          <w:sz w:val="22"/>
          <w:szCs w:val="22"/>
        </w:rPr>
        <w:t>)</w:t>
      </w:r>
      <w:r>
        <w:rPr>
          <w:sz w:val="22"/>
          <w:szCs w:val="22"/>
        </w:rPr>
        <w:t xml:space="preserve">. </w:t>
      </w:r>
      <w:r w:rsidRPr="000F0234">
        <w:rPr>
          <w:sz w:val="22"/>
          <w:szCs w:val="22"/>
        </w:rPr>
        <w:t>Cơ chế ổn định này được giải thích là do sự hình thành mạng lưới không gian ba chiều bởi các chuỗi polymer của xanthan gum, làm tăng độ nhớt và tạo hiệu ứng giữ hạt phân tán hiệu quả hơn</w:t>
      </w:r>
      <w:r w:rsidRPr="0063481C">
        <w:rPr>
          <w:sz w:val="22"/>
          <w:szCs w:val="22"/>
          <w:vertAlign w:val="superscript"/>
        </w:rPr>
        <w:t>32,33</w:t>
      </w:r>
      <w:r w:rsidRPr="000F0234">
        <w:rPr>
          <w:sz w:val="22"/>
          <w:szCs w:val="22"/>
        </w:rPr>
        <w:t xml:space="preserve">. Khi nồng độ xanthan còn thấp, độ nhớt tăng không đáng kể và cấu trúc mạng chưa đủ dày đặc để giữ các hạt ở trạng thái huyền phù. Ngược lại, tại nồng độ cao hơn, hệ trở nên </w:t>
      </w:r>
      <w:r>
        <w:rPr>
          <w:sz w:val="22"/>
          <w:szCs w:val="22"/>
        </w:rPr>
        <w:t>đặc hơn</w:t>
      </w:r>
      <w:r w:rsidRPr="000F0234">
        <w:rPr>
          <w:sz w:val="22"/>
          <w:szCs w:val="22"/>
        </w:rPr>
        <w:t>, làm giảm đáng kể chuyển động của các hạt rắn, qua đó tăng độ ổn định. Kết quả này tương đồng với nghiên cứu của Ghavidel và Fatehi (2021) trên đồ uống thực vật, trong đó ghi nhận hiệu quả cải thiện độ bền phân tán nhờ bổ sung xanthan gum</w:t>
      </w:r>
      <w:r w:rsidRPr="0063481C">
        <w:rPr>
          <w:sz w:val="22"/>
          <w:szCs w:val="22"/>
          <w:vertAlign w:val="superscript"/>
        </w:rPr>
        <w:t>34</w:t>
      </w:r>
      <w:r w:rsidRPr="000F0234">
        <w:rPr>
          <w:sz w:val="22"/>
          <w:szCs w:val="22"/>
        </w:rPr>
        <w:t>.</w:t>
      </w:r>
    </w:p>
    <w:p w:rsidR="00423F4E" w:rsidRPr="0025493B" w:rsidRDefault="00423F4E" w:rsidP="00423F4E">
      <w:pPr>
        <w:spacing w:before="120" w:after="120" w:line="240" w:lineRule="auto"/>
        <w:outlineLvl w:val="1"/>
        <w:rPr>
          <w:b/>
          <w:sz w:val="22"/>
          <w:szCs w:val="22"/>
          <w:lang w:val="vi-VN"/>
        </w:rPr>
      </w:pPr>
      <w:r w:rsidRPr="0025493B">
        <w:rPr>
          <w:b/>
          <w:sz w:val="22"/>
          <w:szCs w:val="22"/>
          <w:lang w:val="vi-VN"/>
        </w:rPr>
        <w:t>Đánh giá cảm quan bằng phương pháp cho điểm</w:t>
      </w:r>
      <w:bookmarkEnd w:id="17"/>
    </w:p>
    <w:p w:rsidR="00423F4E" w:rsidRPr="0025493B" w:rsidRDefault="00423F4E" w:rsidP="00423F4E">
      <w:pPr>
        <w:spacing w:before="120" w:after="120" w:line="240" w:lineRule="auto"/>
        <w:jc w:val="both"/>
        <w:rPr>
          <w:sz w:val="22"/>
          <w:szCs w:val="22"/>
          <w:lang w:val="vi-VN"/>
        </w:rPr>
      </w:pPr>
      <w:r w:rsidRPr="0025493B">
        <w:rPr>
          <w:sz w:val="22"/>
          <w:szCs w:val="22"/>
          <w:lang w:val="vi-VN"/>
        </w:rPr>
        <w:t xml:space="preserve">Trong nghiên cứu này, xanthan gum được sử dụng như một chất tạo độ nhớt nhằm cải thiện cấu trúc và độ ổn định của sản phẩm. Việc bổ sung xanthan gum có thể ảnh hưởng đến cảm nhận của người tiêu dùng, do đó đánh giá cảm quan là </w:t>
      </w:r>
      <w:r>
        <w:rPr>
          <w:sz w:val="22"/>
          <w:szCs w:val="22"/>
        </w:rPr>
        <w:t xml:space="preserve">cần thiết </w:t>
      </w:r>
      <w:r w:rsidRPr="0025493B">
        <w:rPr>
          <w:sz w:val="22"/>
          <w:szCs w:val="22"/>
          <w:lang w:val="vi-VN"/>
        </w:rPr>
        <w:t xml:space="preserve">để xác định nồng độ </w:t>
      </w:r>
      <w:r>
        <w:rPr>
          <w:sz w:val="22"/>
          <w:szCs w:val="22"/>
        </w:rPr>
        <w:t>thích hợp</w:t>
      </w:r>
      <w:r w:rsidRPr="0025493B">
        <w:rPr>
          <w:sz w:val="22"/>
          <w:szCs w:val="22"/>
          <w:lang w:val="vi-VN"/>
        </w:rPr>
        <w:t>.</w:t>
      </w:r>
    </w:p>
    <w:p w:rsidR="00423F4E" w:rsidRPr="001078FD" w:rsidRDefault="00423F4E" w:rsidP="00423F4E">
      <w:pPr>
        <w:spacing w:before="240" w:after="120" w:line="240" w:lineRule="auto"/>
        <w:rPr>
          <w:sz w:val="20"/>
          <w:szCs w:val="20"/>
          <w:lang w:val="vi-VN"/>
        </w:rPr>
      </w:pPr>
      <w:bookmarkStart w:id="18" w:name="_Toc198933859"/>
      <w:r w:rsidRPr="001078FD">
        <w:rPr>
          <w:sz w:val="20"/>
          <w:szCs w:val="20"/>
          <w:lang w:val="vi-VN"/>
        </w:rPr>
        <w:t xml:space="preserve">Bảng </w:t>
      </w:r>
      <w:r w:rsidRPr="001078FD">
        <w:rPr>
          <w:sz w:val="20"/>
          <w:szCs w:val="20"/>
        </w:rPr>
        <w:t>5</w:t>
      </w:r>
      <w:r w:rsidRPr="001078FD">
        <w:rPr>
          <w:sz w:val="20"/>
          <w:szCs w:val="20"/>
          <w:lang w:val="vi-VN"/>
        </w:rPr>
        <w:t xml:space="preserve">. </w:t>
      </w:r>
      <w:r w:rsidRPr="001078FD">
        <w:rPr>
          <w:sz w:val="20"/>
          <w:szCs w:val="20"/>
        </w:rPr>
        <w:t>Đánh giá cảm quan</w:t>
      </w:r>
      <w:r w:rsidRPr="001078FD">
        <w:rPr>
          <w:sz w:val="20"/>
          <w:szCs w:val="20"/>
          <w:lang w:val="vi-VN"/>
        </w:rPr>
        <w:t xml:space="preserve"> sản phẩm sữa hạt khi bổ sung xanthan gum</w:t>
      </w:r>
      <w:bookmarkEnd w:id="18"/>
      <w:r w:rsidRPr="001078FD">
        <w:rPr>
          <w:sz w:val="20"/>
          <w:szCs w:val="20"/>
          <w:lang w:val="vi-VN"/>
        </w:rPr>
        <w:t xml:space="preserve"> </w:t>
      </w:r>
    </w:p>
    <w:tbl>
      <w:tblPr>
        <w:tblW w:w="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111"/>
        <w:gridCol w:w="1211"/>
      </w:tblGrid>
      <w:tr w:rsidR="00423F4E" w:rsidRPr="00D738CB" w:rsidTr="00DD345E">
        <w:trPr>
          <w:jc w:val="center"/>
        </w:trPr>
        <w:tc>
          <w:tcPr>
            <w:tcW w:w="1872" w:type="dxa"/>
          </w:tcPr>
          <w:p w:rsidR="00423F4E" w:rsidRPr="004F7656" w:rsidRDefault="00423F4E" w:rsidP="00DD345E">
            <w:pPr>
              <w:spacing w:after="0" w:line="240" w:lineRule="auto"/>
              <w:jc w:val="center"/>
              <w:rPr>
                <w:b/>
                <w:sz w:val="20"/>
                <w:szCs w:val="20"/>
              </w:rPr>
            </w:pPr>
            <w:r>
              <w:rPr>
                <w:b/>
                <w:sz w:val="20"/>
                <w:szCs w:val="20"/>
              </w:rPr>
              <w:t>X</w:t>
            </w:r>
            <w:r w:rsidRPr="00D738CB">
              <w:rPr>
                <w:b/>
                <w:sz w:val="20"/>
                <w:szCs w:val="20"/>
                <w:lang w:val="vi-VN"/>
              </w:rPr>
              <w:t>anthan gum</w:t>
            </w:r>
            <w:r>
              <w:rPr>
                <w:b/>
                <w:sz w:val="20"/>
                <w:szCs w:val="20"/>
              </w:rPr>
              <w:t xml:space="preserve"> (%)</w:t>
            </w:r>
          </w:p>
        </w:tc>
        <w:tc>
          <w:tcPr>
            <w:tcW w:w="2111" w:type="dxa"/>
          </w:tcPr>
          <w:p w:rsidR="00423F4E" w:rsidRPr="00D738CB" w:rsidRDefault="00423F4E" w:rsidP="00DD345E">
            <w:pPr>
              <w:spacing w:after="0" w:line="240" w:lineRule="auto"/>
              <w:jc w:val="center"/>
              <w:rPr>
                <w:b/>
                <w:sz w:val="20"/>
                <w:szCs w:val="20"/>
                <w:lang w:val="vi-VN"/>
              </w:rPr>
            </w:pPr>
            <w:r w:rsidRPr="00D738CB">
              <w:rPr>
                <w:b/>
                <w:sz w:val="20"/>
                <w:szCs w:val="20"/>
                <w:lang w:val="vi-VN"/>
              </w:rPr>
              <w:t>Tổng điểm sản phẩm</w:t>
            </w:r>
          </w:p>
        </w:tc>
        <w:tc>
          <w:tcPr>
            <w:tcW w:w="1211" w:type="dxa"/>
          </w:tcPr>
          <w:p w:rsidR="00423F4E" w:rsidRPr="00D738CB" w:rsidRDefault="00423F4E" w:rsidP="00DD345E">
            <w:pPr>
              <w:spacing w:after="0" w:line="240" w:lineRule="auto"/>
              <w:jc w:val="center"/>
              <w:rPr>
                <w:b/>
                <w:sz w:val="20"/>
                <w:szCs w:val="20"/>
                <w:lang w:val="vi-VN"/>
              </w:rPr>
            </w:pPr>
            <w:r w:rsidRPr="00D738CB">
              <w:rPr>
                <w:b/>
                <w:sz w:val="20"/>
                <w:szCs w:val="20"/>
                <w:lang w:val="vi-VN"/>
              </w:rPr>
              <w:t>Xếp loại</w:t>
            </w:r>
          </w:p>
        </w:tc>
      </w:tr>
      <w:tr w:rsidR="00423F4E" w:rsidRPr="00D738CB" w:rsidTr="00DD345E">
        <w:trPr>
          <w:jc w:val="center"/>
        </w:trPr>
        <w:tc>
          <w:tcPr>
            <w:tcW w:w="1872" w:type="dxa"/>
          </w:tcPr>
          <w:p w:rsidR="00423F4E" w:rsidRPr="004F7656" w:rsidRDefault="00423F4E" w:rsidP="00DD345E">
            <w:pPr>
              <w:spacing w:after="0" w:line="240" w:lineRule="auto"/>
              <w:jc w:val="center"/>
              <w:rPr>
                <w:sz w:val="20"/>
                <w:szCs w:val="20"/>
              </w:rPr>
            </w:pPr>
            <w:r w:rsidRPr="00D738CB">
              <w:rPr>
                <w:sz w:val="20"/>
                <w:szCs w:val="20"/>
                <w:lang w:val="vi-VN"/>
              </w:rPr>
              <w:t>0 (mẫu A)</w:t>
            </w:r>
          </w:p>
        </w:tc>
        <w:tc>
          <w:tcPr>
            <w:tcW w:w="2111" w:type="dxa"/>
          </w:tcPr>
          <w:p w:rsidR="00423F4E" w:rsidRPr="00D738CB" w:rsidRDefault="00423F4E" w:rsidP="00DD345E">
            <w:pPr>
              <w:spacing w:after="0" w:line="240" w:lineRule="auto"/>
              <w:jc w:val="center"/>
              <w:rPr>
                <w:sz w:val="20"/>
                <w:szCs w:val="20"/>
                <w:lang w:val="vi-VN"/>
              </w:rPr>
            </w:pPr>
            <w:r w:rsidRPr="00D738CB">
              <w:rPr>
                <w:sz w:val="20"/>
                <w:szCs w:val="20"/>
                <w:lang w:val="vi-VN"/>
              </w:rPr>
              <w:t>16,52</w:t>
            </w:r>
            <w:r w:rsidRPr="00D738CB">
              <w:rPr>
                <w:sz w:val="20"/>
                <w:szCs w:val="20"/>
                <w:vertAlign w:val="superscript"/>
                <w:lang w:val="vi-VN"/>
              </w:rPr>
              <w:t>c</w:t>
            </w:r>
            <w:r w:rsidRPr="00D738CB">
              <w:rPr>
                <w:sz w:val="20"/>
                <w:szCs w:val="20"/>
                <w:lang w:val="vi-VN"/>
              </w:rPr>
              <w:t xml:space="preserve"> ± 0,10</w:t>
            </w:r>
          </w:p>
        </w:tc>
        <w:tc>
          <w:tcPr>
            <w:tcW w:w="1211" w:type="dxa"/>
          </w:tcPr>
          <w:p w:rsidR="00423F4E" w:rsidRPr="00D738CB" w:rsidRDefault="00423F4E" w:rsidP="00DD345E">
            <w:pPr>
              <w:spacing w:after="0" w:line="240" w:lineRule="auto"/>
              <w:jc w:val="center"/>
              <w:rPr>
                <w:sz w:val="20"/>
                <w:szCs w:val="20"/>
                <w:lang w:val="vi-VN"/>
              </w:rPr>
            </w:pPr>
            <w:r w:rsidRPr="00D738CB">
              <w:rPr>
                <w:sz w:val="20"/>
                <w:szCs w:val="20"/>
                <w:lang w:val="vi-VN"/>
              </w:rPr>
              <w:t>Khá</w:t>
            </w:r>
          </w:p>
        </w:tc>
      </w:tr>
      <w:tr w:rsidR="00423F4E" w:rsidRPr="00D738CB" w:rsidTr="00DD345E">
        <w:trPr>
          <w:jc w:val="center"/>
        </w:trPr>
        <w:tc>
          <w:tcPr>
            <w:tcW w:w="1872" w:type="dxa"/>
          </w:tcPr>
          <w:p w:rsidR="00423F4E" w:rsidRPr="00D738CB" w:rsidRDefault="00423F4E" w:rsidP="00DD345E">
            <w:pPr>
              <w:spacing w:after="0" w:line="240" w:lineRule="auto"/>
              <w:jc w:val="center"/>
              <w:rPr>
                <w:sz w:val="20"/>
                <w:szCs w:val="20"/>
                <w:lang w:val="vi-VN"/>
              </w:rPr>
            </w:pPr>
            <w:r w:rsidRPr="00D738CB">
              <w:rPr>
                <w:sz w:val="20"/>
                <w:szCs w:val="20"/>
                <w:lang w:val="vi-VN"/>
              </w:rPr>
              <w:t>0,01 (mẫu B)</w:t>
            </w:r>
          </w:p>
        </w:tc>
        <w:tc>
          <w:tcPr>
            <w:tcW w:w="2111" w:type="dxa"/>
          </w:tcPr>
          <w:p w:rsidR="00423F4E" w:rsidRPr="00D738CB" w:rsidRDefault="00423F4E" w:rsidP="00DD345E">
            <w:pPr>
              <w:spacing w:after="0" w:line="240" w:lineRule="auto"/>
              <w:jc w:val="center"/>
              <w:rPr>
                <w:sz w:val="20"/>
                <w:szCs w:val="20"/>
                <w:lang w:val="vi-VN"/>
              </w:rPr>
            </w:pPr>
            <w:r w:rsidRPr="00D738CB">
              <w:rPr>
                <w:sz w:val="20"/>
                <w:szCs w:val="20"/>
                <w:lang w:val="vi-VN"/>
              </w:rPr>
              <w:t>16,27</w:t>
            </w:r>
            <w:r w:rsidRPr="00D738CB">
              <w:rPr>
                <w:sz w:val="20"/>
                <w:szCs w:val="20"/>
                <w:vertAlign w:val="superscript"/>
                <w:lang w:val="vi-VN"/>
              </w:rPr>
              <w:t xml:space="preserve">c </w:t>
            </w:r>
            <w:r w:rsidRPr="00D738CB">
              <w:rPr>
                <w:sz w:val="20"/>
                <w:szCs w:val="20"/>
                <w:lang w:val="vi-VN"/>
              </w:rPr>
              <w:t>± 0,06</w:t>
            </w:r>
          </w:p>
        </w:tc>
        <w:tc>
          <w:tcPr>
            <w:tcW w:w="1211" w:type="dxa"/>
          </w:tcPr>
          <w:p w:rsidR="00423F4E" w:rsidRPr="00D738CB" w:rsidRDefault="00423F4E" w:rsidP="00DD345E">
            <w:pPr>
              <w:spacing w:after="0" w:line="240" w:lineRule="auto"/>
              <w:jc w:val="center"/>
              <w:rPr>
                <w:sz w:val="20"/>
                <w:szCs w:val="20"/>
                <w:lang w:val="vi-VN"/>
              </w:rPr>
            </w:pPr>
            <w:r w:rsidRPr="00D738CB">
              <w:rPr>
                <w:sz w:val="20"/>
                <w:szCs w:val="20"/>
                <w:lang w:val="vi-VN"/>
              </w:rPr>
              <w:t>Khá</w:t>
            </w:r>
          </w:p>
        </w:tc>
      </w:tr>
      <w:tr w:rsidR="00423F4E" w:rsidRPr="00D738CB" w:rsidTr="00DD345E">
        <w:trPr>
          <w:jc w:val="center"/>
        </w:trPr>
        <w:tc>
          <w:tcPr>
            <w:tcW w:w="1872" w:type="dxa"/>
          </w:tcPr>
          <w:p w:rsidR="00423F4E" w:rsidRPr="00D738CB" w:rsidRDefault="00423F4E" w:rsidP="00DD345E">
            <w:pPr>
              <w:spacing w:after="0" w:line="240" w:lineRule="auto"/>
              <w:jc w:val="center"/>
              <w:rPr>
                <w:sz w:val="20"/>
                <w:szCs w:val="20"/>
                <w:lang w:val="vi-VN"/>
              </w:rPr>
            </w:pPr>
            <w:r w:rsidRPr="00D738CB">
              <w:rPr>
                <w:sz w:val="20"/>
                <w:szCs w:val="20"/>
                <w:lang w:val="vi-VN"/>
              </w:rPr>
              <w:t>0,02 (mẫu C)</w:t>
            </w:r>
          </w:p>
        </w:tc>
        <w:tc>
          <w:tcPr>
            <w:tcW w:w="2111" w:type="dxa"/>
          </w:tcPr>
          <w:p w:rsidR="00423F4E" w:rsidRPr="00D738CB" w:rsidRDefault="00423F4E" w:rsidP="00DD345E">
            <w:pPr>
              <w:spacing w:after="0" w:line="240" w:lineRule="auto"/>
              <w:jc w:val="center"/>
              <w:rPr>
                <w:sz w:val="20"/>
                <w:szCs w:val="20"/>
                <w:lang w:val="vi-VN"/>
              </w:rPr>
            </w:pPr>
            <w:r w:rsidRPr="00D738CB">
              <w:rPr>
                <w:sz w:val="20"/>
                <w:szCs w:val="20"/>
                <w:lang w:val="vi-VN"/>
              </w:rPr>
              <w:t>17,53</w:t>
            </w:r>
            <w:r w:rsidRPr="00D738CB">
              <w:rPr>
                <w:sz w:val="20"/>
                <w:szCs w:val="20"/>
                <w:vertAlign w:val="superscript"/>
                <w:lang w:val="vi-VN"/>
              </w:rPr>
              <w:t>b</w:t>
            </w:r>
            <w:r w:rsidRPr="00D738CB">
              <w:rPr>
                <w:sz w:val="20"/>
                <w:szCs w:val="20"/>
                <w:lang w:val="vi-VN"/>
              </w:rPr>
              <w:t xml:space="preserve"> ± 0,18</w:t>
            </w:r>
          </w:p>
        </w:tc>
        <w:tc>
          <w:tcPr>
            <w:tcW w:w="1211" w:type="dxa"/>
          </w:tcPr>
          <w:p w:rsidR="00423F4E" w:rsidRPr="00D738CB" w:rsidRDefault="00423F4E" w:rsidP="00DD345E">
            <w:pPr>
              <w:spacing w:after="0" w:line="240" w:lineRule="auto"/>
              <w:jc w:val="center"/>
              <w:rPr>
                <w:sz w:val="20"/>
                <w:szCs w:val="20"/>
                <w:lang w:val="vi-VN"/>
              </w:rPr>
            </w:pPr>
            <w:r w:rsidRPr="00D738CB">
              <w:rPr>
                <w:sz w:val="20"/>
                <w:szCs w:val="20"/>
                <w:lang w:val="vi-VN"/>
              </w:rPr>
              <w:t>Khá</w:t>
            </w:r>
          </w:p>
        </w:tc>
      </w:tr>
      <w:tr w:rsidR="00423F4E" w:rsidRPr="00D738CB" w:rsidTr="00DD345E">
        <w:trPr>
          <w:jc w:val="center"/>
        </w:trPr>
        <w:tc>
          <w:tcPr>
            <w:tcW w:w="1872" w:type="dxa"/>
          </w:tcPr>
          <w:p w:rsidR="00423F4E" w:rsidRPr="00D738CB" w:rsidRDefault="00423F4E" w:rsidP="00DD345E">
            <w:pPr>
              <w:spacing w:after="0" w:line="240" w:lineRule="auto"/>
              <w:jc w:val="center"/>
              <w:rPr>
                <w:sz w:val="20"/>
                <w:szCs w:val="20"/>
                <w:lang w:val="vi-VN"/>
              </w:rPr>
            </w:pPr>
            <w:r w:rsidRPr="00D738CB">
              <w:rPr>
                <w:sz w:val="20"/>
                <w:szCs w:val="20"/>
                <w:lang w:val="vi-VN"/>
              </w:rPr>
              <w:t>0,03 (mẫu D)</w:t>
            </w:r>
          </w:p>
        </w:tc>
        <w:tc>
          <w:tcPr>
            <w:tcW w:w="2111" w:type="dxa"/>
          </w:tcPr>
          <w:p w:rsidR="00423F4E" w:rsidRPr="00D738CB" w:rsidRDefault="00423F4E" w:rsidP="00DD345E">
            <w:pPr>
              <w:spacing w:after="0" w:line="240" w:lineRule="auto"/>
              <w:jc w:val="center"/>
              <w:rPr>
                <w:sz w:val="20"/>
                <w:szCs w:val="20"/>
                <w:lang w:val="vi-VN"/>
              </w:rPr>
            </w:pPr>
            <w:r w:rsidRPr="00D738CB">
              <w:rPr>
                <w:sz w:val="20"/>
                <w:szCs w:val="20"/>
                <w:lang w:val="vi-VN"/>
              </w:rPr>
              <w:t>18,71</w:t>
            </w:r>
            <w:r w:rsidRPr="00D738CB">
              <w:rPr>
                <w:sz w:val="20"/>
                <w:szCs w:val="20"/>
                <w:vertAlign w:val="superscript"/>
                <w:lang w:val="vi-VN"/>
              </w:rPr>
              <w:t>a</w:t>
            </w:r>
            <w:r w:rsidRPr="00D738CB">
              <w:rPr>
                <w:sz w:val="20"/>
                <w:szCs w:val="20"/>
                <w:lang w:val="vi-VN"/>
              </w:rPr>
              <w:t xml:space="preserve"> ± 0,20</w:t>
            </w:r>
          </w:p>
        </w:tc>
        <w:tc>
          <w:tcPr>
            <w:tcW w:w="1211" w:type="dxa"/>
          </w:tcPr>
          <w:p w:rsidR="00423F4E" w:rsidRPr="00D738CB" w:rsidRDefault="00423F4E" w:rsidP="00DD345E">
            <w:pPr>
              <w:spacing w:after="0" w:line="240" w:lineRule="auto"/>
              <w:jc w:val="center"/>
              <w:rPr>
                <w:sz w:val="20"/>
                <w:szCs w:val="20"/>
                <w:lang w:val="vi-VN"/>
              </w:rPr>
            </w:pPr>
            <w:r w:rsidRPr="00D738CB">
              <w:rPr>
                <w:sz w:val="20"/>
                <w:szCs w:val="20"/>
                <w:lang w:val="vi-VN"/>
              </w:rPr>
              <w:t>Tốt</w:t>
            </w:r>
          </w:p>
        </w:tc>
      </w:tr>
      <w:tr w:rsidR="00423F4E" w:rsidRPr="00D738CB" w:rsidTr="00DD345E">
        <w:trPr>
          <w:jc w:val="center"/>
        </w:trPr>
        <w:tc>
          <w:tcPr>
            <w:tcW w:w="1872" w:type="dxa"/>
          </w:tcPr>
          <w:p w:rsidR="00423F4E" w:rsidRPr="00D738CB" w:rsidRDefault="00423F4E" w:rsidP="00DD345E">
            <w:pPr>
              <w:spacing w:after="0" w:line="240" w:lineRule="auto"/>
              <w:jc w:val="center"/>
              <w:rPr>
                <w:sz w:val="20"/>
                <w:szCs w:val="20"/>
                <w:lang w:val="vi-VN"/>
              </w:rPr>
            </w:pPr>
            <w:r w:rsidRPr="00D738CB">
              <w:rPr>
                <w:sz w:val="20"/>
                <w:szCs w:val="20"/>
                <w:lang w:val="vi-VN"/>
              </w:rPr>
              <w:t>0,04 (mẫu E)</w:t>
            </w:r>
          </w:p>
        </w:tc>
        <w:tc>
          <w:tcPr>
            <w:tcW w:w="2111" w:type="dxa"/>
          </w:tcPr>
          <w:p w:rsidR="00423F4E" w:rsidRPr="00D738CB" w:rsidRDefault="00423F4E" w:rsidP="00DD345E">
            <w:pPr>
              <w:spacing w:after="0" w:line="240" w:lineRule="auto"/>
              <w:jc w:val="center"/>
              <w:rPr>
                <w:sz w:val="20"/>
                <w:szCs w:val="20"/>
                <w:lang w:val="vi-VN"/>
              </w:rPr>
            </w:pPr>
            <w:r w:rsidRPr="00D738CB">
              <w:rPr>
                <w:sz w:val="20"/>
                <w:szCs w:val="20"/>
                <w:lang w:val="vi-VN"/>
              </w:rPr>
              <w:t>14,95</w:t>
            </w:r>
            <w:r w:rsidRPr="00D738CB">
              <w:rPr>
                <w:sz w:val="20"/>
                <w:szCs w:val="20"/>
                <w:vertAlign w:val="superscript"/>
                <w:lang w:val="vi-VN"/>
              </w:rPr>
              <w:t>d</w:t>
            </w:r>
            <w:r w:rsidRPr="00D738CB">
              <w:rPr>
                <w:sz w:val="20"/>
                <w:szCs w:val="20"/>
                <w:lang w:val="vi-VN"/>
              </w:rPr>
              <w:t xml:space="preserve"> ± 0,17</w:t>
            </w:r>
          </w:p>
        </w:tc>
        <w:tc>
          <w:tcPr>
            <w:tcW w:w="1211" w:type="dxa"/>
          </w:tcPr>
          <w:p w:rsidR="00423F4E" w:rsidRPr="00D738CB" w:rsidRDefault="00423F4E" w:rsidP="00DD345E">
            <w:pPr>
              <w:spacing w:after="0" w:line="240" w:lineRule="auto"/>
              <w:jc w:val="center"/>
              <w:rPr>
                <w:sz w:val="20"/>
                <w:szCs w:val="20"/>
                <w:lang w:val="vi-VN"/>
              </w:rPr>
            </w:pPr>
            <w:r w:rsidRPr="00D738CB">
              <w:rPr>
                <w:sz w:val="20"/>
                <w:szCs w:val="20"/>
                <w:lang w:val="vi-VN"/>
              </w:rPr>
              <w:t>Trung bình</w:t>
            </w:r>
          </w:p>
        </w:tc>
      </w:tr>
    </w:tbl>
    <w:p w:rsidR="00423F4E" w:rsidRPr="001078FD" w:rsidRDefault="00423F4E" w:rsidP="00423F4E">
      <w:pPr>
        <w:pStyle w:val="NormalWeb"/>
        <w:spacing w:before="120" w:beforeAutospacing="0" w:after="120" w:afterAutospacing="0"/>
        <w:contextualSpacing/>
        <w:rPr>
          <w:iCs/>
          <w:sz w:val="20"/>
          <w:szCs w:val="20"/>
          <w:lang w:val="vi-VN"/>
        </w:rPr>
      </w:pPr>
      <w:r w:rsidRPr="001078FD">
        <w:rPr>
          <w:iCs/>
          <w:sz w:val="20"/>
          <w:szCs w:val="20"/>
        </w:rPr>
        <w:t>(C</w:t>
      </w:r>
      <w:r w:rsidRPr="001078FD">
        <w:rPr>
          <w:iCs/>
          <w:sz w:val="20"/>
          <w:szCs w:val="20"/>
          <w:lang w:val="vi-VN"/>
        </w:rPr>
        <w:t xml:space="preserve">hữ cái khác nhau </w:t>
      </w:r>
      <w:r w:rsidRPr="001078FD">
        <w:rPr>
          <w:iCs/>
          <w:sz w:val="20"/>
          <w:szCs w:val="20"/>
        </w:rPr>
        <w:t xml:space="preserve">trong cùng một cột </w:t>
      </w:r>
      <w:r w:rsidRPr="001078FD">
        <w:rPr>
          <w:iCs/>
          <w:sz w:val="20"/>
          <w:szCs w:val="20"/>
          <w:lang w:val="vi-VN"/>
        </w:rPr>
        <w:t xml:space="preserve">thể hiện sự khác biệt có ý nghĩa thống kê ở </w:t>
      </w:r>
      <w:r w:rsidRPr="001078FD">
        <w:rPr>
          <w:iCs/>
          <w:sz w:val="20"/>
          <w:szCs w:val="20"/>
        </w:rPr>
        <w:t>p</w:t>
      </w:r>
      <w:r w:rsidRPr="001078FD">
        <w:rPr>
          <w:iCs/>
          <w:sz w:val="20"/>
          <w:szCs w:val="20"/>
          <w:lang w:val="vi-VN"/>
        </w:rPr>
        <w:t xml:space="preserve"> </w:t>
      </w:r>
      <w:r w:rsidRPr="001078FD">
        <w:rPr>
          <w:iCs/>
          <w:sz w:val="20"/>
          <w:szCs w:val="20"/>
        </w:rPr>
        <w:t>≤</w:t>
      </w:r>
      <w:r w:rsidRPr="001078FD">
        <w:rPr>
          <w:iCs/>
          <w:sz w:val="20"/>
          <w:szCs w:val="20"/>
          <w:lang w:val="vi-VN"/>
        </w:rPr>
        <w:t xml:space="preserve"> </w:t>
      </w:r>
      <w:r w:rsidRPr="001078FD">
        <w:rPr>
          <w:iCs/>
          <w:sz w:val="20"/>
          <w:szCs w:val="20"/>
        </w:rPr>
        <w:t>0,05)</w:t>
      </w:r>
    </w:p>
    <w:p w:rsidR="00423F4E" w:rsidRPr="009F40ED" w:rsidRDefault="00423F4E" w:rsidP="00423F4E">
      <w:pPr>
        <w:pStyle w:val="NormalWeb"/>
        <w:spacing w:before="120" w:beforeAutospacing="0" w:after="120" w:afterAutospacing="0"/>
        <w:jc w:val="both"/>
        <w:rPr>
          <w:sz w:val="22"/>
          <w:szCs w:val="22"/>
        </w:rPr>
      </w:pPr>
      <w:r w:rsidRPr="002400EC">
        <w:rPr>
          <w:rStyle w:val="Strong"/>
          <w:b w:val="0"/>
          <w:bCs w:val="0"/>
          <w:sz w:val="22"/>
          <w:szCs w:val="22"/>
        </w:rPr>
        <w:t>Kết quả đánh giá cảm quan</w:t>
      </w:r>
      <w:r w:rsidRPr="009F40ED">
        <w:rPr>
          <w:b/>
          <w:bCs/>
          <w:sz w:val="22"/>
          <w:szCs w:val="22"/>
        </w:rPr>
        <w:t xml:space="preserve"> </w:t>
      </w:r>
      <w:r w:rsidRPr="009F40ED">
        <w:rPr>
          <w:sz w:val="22"/>
          <w:szCs w:val="22"/>
        </w:rPr>
        <w:t>cho thấy sự khác biệt rõ rệt giữa các mẫu có bổ sung xanthan gum, với mức độ ảnh hưởng có ý nghĩa thống kê (p ≤ 0,05). Mẫu đối chứng và mẫu bổ sung xanthan gum 0,01-0,02% đều được xếp loại “Khá” mặc dù có sự khác nhau về tổng số điểm với p≤0,05. Đặc biệt, khi bổ sung 0,03% xanthan gum đạt tổng điểm cảm quan cao nhất 18,71 ± 0,20 được xếp loại “Tốt”. Kết quả này cho thấy nồng độ 0,03% xanthan gum có thể là mức tối ưu, giúp cải thiện rõ rệt chất lượng cảm quan nhờ khả năng ổn định hệ huyền phù, làm tăng độ đồng nhất, độ mịn và cảm giác dễ uống của sản phẩm. Ngược lại, khi tăng nồng độ lên 0,04%, tổng điểm cảm quan giảm còn 14,95 ± 0,17, thuộc nhóm “Trung bình”. Điều này cho thấy việc sử dụng xanthan gum vượt quá ngưỡng tối ưu có thể gây ảnh hưởng tiêu cực đến cảm quan, chủ yếu do sản phẩm trở nên quá đặc và tạo cảm giác dính nhớt không mong muốn khi sử dụng.</w:t>
      </w:r>
    </w:p>
    <w:p w:rsidR="00423F4E" w:rsidRDefault="00423F4E" w:rsidP="00423F4E">
      <w:pPr>
        <w:spacing w:before="120" w:after="120" w:line="240" w:lineRule="auto"/>
        <w:rPr>
          <w:b/>
          <w:sz w:val="22"/>
          <w:szCs w:val="22"/>
        </w:rPr>
      </w:pPr>
      <w:r w:rsidRPr="00C91433">
        <w:rPr>
          <w:b/>
          <w:sz w:val="22"/>
          <w:szCs w:val="22"/>
        </w:rPr>
        <w:t>KẾT LUẬN</w:t>
      </w:r>
    </w:p>
    <w:p w:rsidR="00423F4E" w:rsidRPr="009F40ED" w:rsidRDefault="00423F4E" w:rsidP="00423F4E">
      <w:pPr>
        <w:spacing w:before="120" w:after="120" w:line="240" w:lineRule="auto"/>
        <w:jc w:val="both"/>
        <w:outlineLvl w:val="1"/>
        <w:rPr>
          <w:rFonts w:eastAsiaTheme="minorEastAsia"/>
          <w:sz w:val="22"/>
          <w:szCs w:val="22"/>
        </w:rPr>
      </w:pPr>
      <w:r w:rsidRPr="001C4D7C">
        <w:rPr>
          <w:sz w:val="22"/>
          <w:szCs w:val="22"/>
        </w:rPr>
        <w:t xml:space="preserve">Kết quả nghiên cứu cho thấy quy trình rang gạo trong 30 phút ở nhiệt độ 150°C, kết hợp tỷ lệ phối trộn gạo rang : mắc ca : nước là 1:1:12, phù hợp để sản xuất sữa hạt. Việc bổ sung 20% syrup đường </w:t>
      </w:r>
      <w:r>
        <w:rPr>
          <w:sz w:val="22"/>
          <w:szCs w:val="22"/>
        </w:rPr>
        <w:t>trehalose</w:t>
      </w:r>
      <w:r w:rsidRPr="001C4D7C">
        <w:rPr>
          <w:sz w:val="22"/>
          <w:szCs w:val="22"/>
        </w:rPr>
        <w:t xml:space="preserve"> </w:t>
      </w:r>
      <w:r>
        <w:rPr>
          <w:sz w:val="22"/>
          <w:szCs w:val="22"/>
        </w:rPr>
        <w:t xml:space="preserve">có nồng độ Brix 50 </w:t>
      </w:r>
      <w:r w:rsidRPr="001C4D7C">
        <w:rPr>
          <w:sz w:val="22"/>
          <w:szCs w:val="22"/>
          <w:vertAlign w:val="superscript"/>
        </w:rPr>
        <w:t>o</w:t>
      </w:r>
      <w:r>
        <w:rPr>
          <w:sz w:val="22"/>
          <w:szCs w:val="22"/>
        </w:rPr>
        <w:t xml:space="preserve">Bx </w:t>
      </w:r>
      <w:r w:rsidRPr="001C4D7C">
        <w:rPr>
          <w:sz w:val="22"/>
          <w:szCs w:val="22"/>
        </w:rPr>
        <w:t>giúp tăng độ ngọt và cải thiện hương vị của sản phẩm. Quá trình đồng hóa trước khi thêm 0,03% xanthan gum góp phần ổn định cấu trúc sữa, giảm thiểu hiện tượng lắng cặn và tách pha, đồng thời cải thiện các đặc tính cảm quan về màu sắc và kết cấu.</w:t>
      </w:r>
      <w:r>
        <w:rPr>
          <w:sz w:val="22"/>
          <w:szCs w:val="22"/>
        </w:rPr>
        <w:t xml:space="preserve"> </w:t>
      </w:r>
      <w:r>
        <w:rPr>
          <w:rFonts w:eastAsiaTheme="minorEastAsia"/>
          <w:sz w:val="22"/>
          <w:szCs w:val="22"/>
        </w:rPr>
        <w:t>Thành</w:t>
      </w:r>
      <w:r w:rsidRPr="009F40ED">
        <w:rPr>
          <w:rFonts w:eastAsiaTheme="minorEastAsia"/>
          <w:sz w:val="22"/>
          <w:szCs w:val="22"/>
        </w:rPr>
        <w:t xml:space="preserve"> phẩm sữa</w:t>
      </w:r>
      <w:r>
        <w:rPr>
          <w:rFonts w:eastAsiaTheme="minorEastAsia"/>
          <w:sz w:val="22"/>
          <w:szCs w:val="22"/>
        </w:rPr>
        <w:t xml:space="preserve"> gạo rang mắc ca </w:t>
      </w:r>
      <w:r w:rsidRPr="009F40ED">
        <w:rPr>
          <w:rFonts w:eastAsiaTheme="minorEastAsia"/>
          <w:sz w:val="22"/>
          <w:szCs w:val="22"/>
        </w:rPr>
        <w:t xml:space="preserve">được phân tích một số chỉ tiêu thành phần hóa học </w:t>
      </w:r>
      <w:r>
        <w:rPr>
          <w:rFonts w:eastAsiaTheme="minorEastAsia"/>
          <w:sz w:val="22"/>
          <w:szCs w:val="22"/>
        </w:rPr>
        <w:t xml:space="preserve">và đạt kết quả </w:t>
      </w:r>
      <w:r w:rsidRPr="009F40ED">
        <w:rPr>
          <w:rFonts w:eastAsiaTheme="minorEastAsia"/>
          <w:sz w:val="22"/>
          <w:szCs w:val="22"/>
        </w:rPr>
        <w:t xml:space="preserve">như sau: protein 0,32 g/100ml; cellulose </w:t>
      </w:r>
      <w:r>
        <w:rPr>
          <w:rFonts w:eastAsiaTheme="minorEastAsia"/>
          <w:sz w:val="22"/>
          <w:szCs w:val="22"/>
        </w:rPr>
        <w:t xml:space="preserve">đạt </w:t>
      </w:r>
      <w:r w:rsidRPr="009F40ED">
        <w:rPr>
          <w:rFonts w:eastAsiaTheme="minorEastAsia"/>
          <w:sz w:val="22"/>
          <w:szCs w:val="22"/>
        </w:rPr>
        <w:t xml:space="preserve">0,66%; dextrin </w:t>
      </w:r>
      <w:r>
        <w:rPr>
          <w:rFonts w:eastAsiaTheme="minorEastAsia"/>
          <w:sz w:val="22"/>
          <w:szCs w:val="22"/>
        </w:rPr>
        <w:t xml:space="preserve">là </w:t>
      </w:r>
      <w:r w:rsidRPr="009F40ED">
        <w:rPr>
          <w:rFonts w:eastAsiaTheme="minorEastAsia"/>
          <w:sz w:val="22"/>
          <w:szCs w:val="22"/>
        </w:rPr>
        <w:t xml:space="preserve">25,67%; tro không hòa tan </w:t>
      </w:r>
      <w:r>
        <w:rPr>
          <w:rFonts w:eastAsiaTheme="minorEastAsia"/>
          <w:sz w:val="22"/>
          <w:szCs w:val="22"/>
        </w:rPr>
        <w:t xml:space="preserve">là </w:t>
      </w:r>
      <w:r w:rsidRPr="009F40ED">
        <w:rPr>
          <w:rFonts w:eastAsiaTheme="minorEastAsia"/>
          <w:sz w:val="22"/>
          <w:szCs w:val="22"/>
        </w:rPr>
        <w:t>0,14% và tro hòa tan 0,53%.</w:t>
      </w:r>
      <w:r>
        <w:rPr>
          <w:rFonts w:eastAsiaTheme="minorEastAsia"/>
          <w:sz w:val="22"/>
          <w:szCs w:val="22"/>
        </w:rPr>
        <w:t xml:space="preserve"> </w:t>
      </w:r>
      <w:r w:rsidRPr="001C4D7C">
        <w:rPr>
          <w:sz w:val="22"/>
          <w:szCs w:val="22"/>
        </w:rPr>
        <w:t>Trong bối cảnh người tiêu dùng ngày càng ưu tiên các sản phẩm tốt cho sức khỏe và thân thiện với môi trường</w:t>
      </w:r>
      <w:r>
        <w:rPr>
          <w:sz w:val="22"/>
          <w:szCs w:val="22"/>
        </w:rPr>
        <w:t xml:space="preserve"> do đó</w:t>
      </w:r>
      <w:r w:rsidRPr="001C4D7C">
        <w:rPr>
          <w:sz w:val="22"/>
          <w:szCs w:val="22"/>
        </w:rPr>
        <w:t xml:space="preserve"> sữa hạt đang trở thành xu hướng phổ biến. </w:t>
      </w:r>
      <w:r>
        <w:rPr>
          <w:sz w:val="22"/>
          <w:szCs w:val="22"/>
        </w:rPr>
        <w:t>Từ những kết quả của nghiên cứu này sẽ tạo cơ sở phát triển sản phẩm sữa gạo rang và mắc ca</w:t>
      </w:r>
      <w:r w:rsidR="00CB46ED">
        <w:rPr>
          <w:sz w:val="22"/>
          <w:szCs w:val="22"/>
        </w:rPr>
        <w:t>,</w:t>
      </w:r>
      <w:r>
        <w:rPr>
          <w:sz w:val="22"/>
          <w:szCs w:val="22"/>
        </w:rPr>
        <w:t xml:space="preserve"> đa dạng hóa sản phẩm chế biến sâu từ nguồn nguyên liệu tại địa phương.</w:t>
      </w:r>
    </w:p>
    <w:p w:rsidR="00423F4E" w:rsidRPr="00C91433" w:rsidRDefault="00423F4E" w:rsidP="00423F4E">
      <w:pPr>
        <w:spacing w:before="120" w:after="120" w:line="240" w:lineRule="auto"/>
        <w:rPr>
          <w:b/>
          <w:sz w:val="22"/>
          <w:szCs w:val="22"/>
        </w:rPr>
      </w:pPr>
      <w:r w:rsidRPr="00C91433">
        <w:rPr>
          <w:b/>
          <w:sz w:val="22"/>
          <w:szCs w:val="22"/>
        </w:rPr>
        <w:t>TÀI LIỆU THAM KHẢO</w:t>
      </w:r>
    </w:p>
    <w:p w:rsidR="00423F4E" w:rsidRDefault="00423F4E" w:rsidP="00423F4E">
      <w:pPr>
        <w:pStyle w:val="ListParagraph"/>
        <w:numPr>
          <w:ilvl w:val="0"/>
          <w:numId w:val="2"/>
        </w:numPr>
        <w:spacing w:before="120" w:after="120" w:line="240" w:lineRule="auto"/>
        <w:jc w:val="both"/>
        <w:rPr>
          <w:sz w:val="22"/>
          <w:szCs w:val="22"/>
        </w:rPr>
      </w:pPr>
      <w:r w:rsidRPr="0025493B">
        <w:rPr>
          <w:sz w:val="22"/>
          <w:szCs w:val="22"/>
        </w:rPr>
        <w:lastRenderedPageBreak/>
        <w:t>Sethi, S. Plant-based milk alternatives an emerging segment of functional beverages: a review</w:t>
      </w:r>
      <w:r>
        <w:rPr>
          <w:sz w:val="22"/>
          <w:szCs w:val="22"/>
        </w:rPr>
        <w:t>,</w:t>
      </w:r>
      <w:r w:rsidRPr="0025493B">
        <w:rPr>
          <w:sz w:val="22"/>
          <w:szCs w:val="22"/>
        </w:rPr>
        <w:t xml:space="preserve"> </w:t>
      </w:r>
      <w:r w:rsidRPr="00AA6C09">
        <w:rPr>
          <w:i/>
          <w:iCs/>
          <w:sz w:val="22"/>
          <w:szCs w:val="22"/>
        </w:rPr>
        <w:t>Journal of food science and technology</w:t>
      </w:r>
      <w:r>
        <w:rPr>
          <w:sz w:val="22"/>
          <w:szCs w:val="22"/>
        </w:rPr>
        <w:t xml:space="preserve">, </w:t>
      </w:r>
      <w:r w:rsidRPr="00AA6C09">
        <w:rPr>
          <w:b/>
          <w:bCs/>
          <w:sz w:val="22"/>
          <w:szCs w:val="22"/>
        </w:rPr>
        <w:t>2016</w:t>
      </w:r>
      <w:r>
        <w:rPr>
          <w:sz w:val="22"/>
          <w:szCs w:val="22"/>
        </w:rPr>
        <w:t>,</w:t>
      </w:r>
      <w:r w:rsidRPr="0053557A">
        <w:rPr>
          <w:sz w:val="22"/>
          <w:szCs w:val="22"/>
        </w:rPr>
        <w:t xml:space="preserve"> </w:t>
      </w:r>
      <w:r w:rsidRPr="00AA6C09">
        <w:rPr>
          <w:i/>
          <w:iCs/>
          <w:sz w:val="22"/>
          <w:szCs w:val="22"/>
        </w:rPr>
        <w:t>53</w:t>
      </w:r>
      <w:r>
        <w:rPr>
          <w:sz w:val="22"/>
          <w:szCs w:val="22"/>
        </w:rPr>
        <w:t xml:space="preserve">, </w:t>
      </w:r>
      <w:r w:rsidRPr="0025493B">
        <w:rPr>
          <w:sz w:val="22"/>
          <w:szCs w:val="22"/>
        </w:rPr>
        <w:t xml:space="preserve">3408-3423. </w:t>
      </w:r>
    </w:p>
    <w:p w:rsidR="00423F4E" w:rsidRDefault="00423F4E" w:rsidP="00423F4E">
      <w:pPr>
        <w:pStyle w:val="ListParagraph"/>
        <w:numPr>
          <w:ilvl w:val="0"/>
          <w:numId w:val="2"/>
        </w:numPr>
        <w:spacing w:after="0" w:line="240" w:lineRule="auto"/>
        <w:jc w:val="both"/>
        <w:rPr>
          <w:sz w:val="22"/>
          <w:szCs w:val="22"/>
        </w:rPr>
      </w:pPr>
      <w:r w:rsidRPr="00F26141">
        <w:rPr>
          <w:sz w:val="22"/>
          <w:szCs w:val="22"/>
        </w:rPr>
        <w:t xml:space="preserve">Hass, R., Schnepps, A., Pichler, A., Meixner, O. Cow milk versus plant-based milk substitutes: A comparison of product image and motivational structure of consumption. </w:t>
      </w:r>
      <w:r w:rsidRPr="00AA6C09">
        <w:rPr>
          <w:i/>
          <w:iCs/>
          <w:sz w:val="22"/>
          <w:szCs w:val="22"/>
        </w:rPr>
        <w:t>Sustainability</w:t>
      </w:r>
      <w:r>
        <w:rPr>
          <w:sz w:val="22"/>
          <w:szCs w:val="22"/>
        </w:rPr>
        <w:t xml:space="preserve">, </w:t>
      </w:r>
      <w:r w:rsidRPr="00AA6C09">
        <w:rPr>
          <w:b/>
          <w:bCs/>
          <w:sz w:val="22"/>
          <w:szCs w:val="22"/>
        </w:rPr>
        <w:t>2019</w:t>
      </w:r>
      <w:r>
        <w:rPr>
          <w:sz w:val="22"/>
          <w:szCs w:val="22"/>
        </w:rPr>
        <w:t>,</w:t>
      </w:r>
      <w:r w:rsidRPr="00F26141">
        <w:rPr>
          <w:sz w:val="22"/>
          <w:szCs w:val="22"/>
        </w:rPr>
        <w:t xml:space="preserve"> </w:t>
      </w:r>
      <w:r w:rsidRPr="00AA6C09">
        <w:rPr>
          <w:i/>
          <w:iCs/>
          <w:sz w:val="22"/>
          <w:szCs w:val="22"/>
        </w:rPr>
        <w:t>11,</w:t>
      </w:r>
      <w:r>
        <w:rPr>
          <w:b/>
          <w:bCs/>
          <w:i/>
          <w:iCs/>
          <w:sz w:val="22"/>
          <w:szCs w:val="22"/>
        </w:rPr>
        <w:t xml:space="preserve"> </w:t>
      </w:r>
      <w:r w:rsidRPr="00AA6C09">
        <w:rPr>
          <w:i/>
          <w:iCs/>
          <w:sz w:val="22"/>
          <w:szCs w:val="22"/>
        </w:rPr>
        <w:t>8</w:t>
      </w:r>
      <w:r>
        <w:rPr>
          <w:i/>
          <w:iCs/>
          <w:sz w:val="22"/>
          <w:szCs w:val="22"/>
        </w:rPr>
        <w:t>,</w:t>
      </w:r>
      <w:r w:rsidRPr="00F26141">
        <w:rPr>
          <w:sz w:val="22"/>
          <w:szCs w:val="22"/>
        </w:rPr>
        <w:t xml:space="preserve"> 5046. </w:t>
      </w:r>
    </w:p>
    <w:p w:rsidR="00423F4E" w:rsidRDefault="00423F4E" w:rsidP="00423F4E">
      <w:pPr>
        <w:pStyle w:val="ListParagraph"/>
        <w:numPr>
          <w:ilvl w:val="0"/>
          <w:numId w:val="2"/>
        </w:numPr>
        <w:spacing w:after="0" w:line="240" w:lineRule="auto"/>
        <w:jc w:val="both"/>
        <w:rPr>
          <w:sz w:val="22"/>
          <w:szCs w:val="22"/>
        </w:rPr>
      </w:pPr>
      <w:r>
        <w:rPr>
          <w:sz w:val="22"/>
          <w:szCs w:val="22"/>
        </w:rPr>
        <w:t xml:space="preserve">Das, A., Raychaudhuri, U., Chakraborty, R. Cereal based functional food of Indian subcontinent: A review. </w:t>
      </w:r>
      <w:r w:rsidRPr="00AA6C09">
        <w:rPr>
          <w:i/>
          <w:iCs/>
          <w:sz w:val="22"/>
          <w:szCs w:val="22"/>
        </w:rPr>
        <w:t>Journal of Food Science and Technology</w:t>
      </w:r>
      <w:r>
        <w:rPr>
          <w:sz w:val="22"/>
          <w:szCs w:val="22"/>
        </w:rPr>
        <w:t xml:space="preserve">, </w:t>
      </w:r>
      <w:r w:rsidRPr="00AA6C09">
        <w:rPr>
          <w:b/>
          <w:bCs/>
          <w:sz w:val="22"/>
          <w:szCs w:val="22"/>
        </w:rPr>
        <w:t>2012</w:t>
      </w:r>
      <w:r>
        <w:rPr>
          <w:sz w:val="22"/>
          <w:szCs w:val="22"/>
        </w:rPr>
        <w:t xml:space="preserve">, </w:t>
      </w:r>
      <w:r w:rsidRPr="00AA6C09">
        <w:rPr>
          <w:i/>
          <w:iCs/>
          <w:sz w:val="22"/>
          <w:szCs w:val="22"/>
        </w:rPr>
        <w:t>49</w:t>
      </w:r>
      <w:r>
        <w:rPr>
          <w:sz w:val="22"/>
          <w:szCs w:val="22"/>
        </w:rPr>
        <w:t xml:space="preserve">, 665-672. </w:t>
      </w:r>
    </w:p>
    <w:p w:rsidR="00423F4E" w:rsidRDefault="00423F4E" w:rsidP="00423F4E">
      <w:pPr>
        <w:pStyle w:val="ListParagraph"/>
        <w:numPr>
          <w:ilvl w:val="0"/>
          <w:numId w:val="2"/>
        </w:numPr>
        <w:spacing w:after="0" w:line="240" w:lineRule="auto"/>
        <w:jc w:val="both"/>
        <w:rPr>
          <w:sz w:val="22"/>
          <w:szCs w:val="22"/>
        </w:rPr>
      </w:pPr>
      <w:r>
        <w:rPr>
          <w:sz w:val="22"/>
          <w:szCs w:val="22"/>
        </w:rPr>
        <w:t xml:space="preserve">Juliano, B. O. </w:t>
      </w:r>
      <w:r w:rsidRPr="00AA6C09">
        <w:rPr>
          <w:i/>
          <w:iCs/>
          <w:sz w:val="22"/>
          <w:szCs w:val="22"/>
        </w:rPr>
        <w:t>Rice in human nutrition</w:t>
      </w:r>
      <w:r>
        <w:rPr>
          <w:sz w:val="22"/>
          <w:szCs w:val="22"/>
        </w:rPr>
        <w:t>. Food and Agriculture Organization of the United Nation (FAO), 1993.</w:t>
      </w:r>
    </w:p>
    <w:p w:rsidR="00423F4E" w:rsidRDefault="00423F4E" w:rsidP="00423F4E">
      <w:pPr>
        <w:pStyle w:val="ListParagraph"/>
        <w:numPr>
          <w:ilvl w:val="0"/>
          <w:numId w:val="2"/>
        </w:numPr>
        <w:spacing w:after="0" w:line="240" w:lineRule="auto"/>
        <w:jc w:val="both"/>
        <w:rPr>
          <w:sz w:val="22"/>
          <w:szCs w:val="22"/>
        </w:rPr>
      </w:pPr>
      <w:r>
        <w:rPr>
          <w:sz w:val="22"/>
          <w:szCs w:val="22"/>
        </w:rPr>
        <w:t xml:space="preserve">Shahidi, F., Alasalvar, C. </w:t>
      </w:r>
      <w:r w:rsidRPr="00AA6C09">
        <w:rPr>
          <w:i/>
          <w:iCs/>
          <w:sz w:val="22"/>
          <w:szCs w:val="22"/>
        </w:rPr>
        <w:t>Tree Nuts: Composition, Phytochemicals, and health</w:t>
      </w:r>
      <w:r>
        <w:rPr>
          <w:sz w:val="22"/>
          <w:szCs w:val="22"/>
        </w:rPr>
        <w:t>. CRC Press, 2009.</w:t>
      </w:r>
    </w:p>
    <w:p w:rsidR="00423F4E" w:rsidRDefault="00423F4E" w:rsidP="00423F4E">
      <w:pPr>
        <w:pStyle w:val="ListParagraph"/>
        <w:numPr>
          <w:ilvl w:val="0"/>
          <w:numId w:val="2"/>
        </w:numPr>
        <w:spacing w:after="0" w:line="240" w:lineRule="auto"/>
        <w:jc w:val="both"/>
        <w:rPr>
          <w:sz w:val="22"/>
          <w:szCs w:val="22"/>
        </w:rPr>
      </w:pPr>
      <w:r w:rsidRPr="000A1464">
        <w:rPr>
          <w:sz w:val="22"/>
          <w:szCs w:val="22"/>
          <w:highlight w:val="white"/>
        </w:rPr>
        <w:t xml:space="preserve">Higashiyama, T. Novel functions and applications of trehalose. </w:t>
      </w:r>
      <w:r w:rsidRPr="00AA6C09">
        <w:rPr>
          <w:i/>
          <w:iCs/>
          <w:sz w:val="22"/>
          <w:szCs w:val="22"/>
          <w:highlight w:val="white"/>
        </w:rPr>
        <w:t>Pure and Applied Chemistry</w:t>
      </w:r>
      <w:r w:rsidRPr="000A1464">
        <w:rPr>
          <w:sz w:val="22"/>
          <w:szCs w:val="22"/>
          <w:highlight w:val="white"/>
        </w:rPr>
        <w:t xml:space="preserve">, </w:t>
      </w:r>
      <w:r w:rsidRPr="00AA6C09">
        <w:rPr>
          <w:b/>
          <w:bCs/>
          <w:sz w:val="22"/>
          <w:szCs w:val="22"/>
          <w:highlight w:val="white"/>
        </w:rPr>
        <w:t>2002</w:t>
      </w:r>
      <w:r>
        <w:rPr>
          <w:sz w:val="22"/>
          <w:szCs w:val="22"/>
          <w:highlight w:val="white"/>
        </w:rPr>
        <w:t xml:space="preserve">, </w:t>
      </w:r>
      <w:r w:rsidRPr="00AA6C09">
        <w:rPr>
          <w:i/>
          <w:iCs/>
          <w:sz w:val="22"/>
          <w:szCs w:val="22"/>
          <w:highlight w:val="white"/>
        </w:rPr>
        <w:t>74</w:t>
      </w:r>
      <w:r>
        <w:rPr>
          <w:i/>
          <w:iCs/>
          <w:sz w:val="22"/>
          <w:szCs w:val="22"/>
          <w:highlight w:val="white"/>
        </w:rPr>
        <w:t xml:space="preserve">, </w:t>
      </w:r>
      <w:r w:rsidRPr="00AA6C09">
        <w:rPr>
          <w:i/>
          <w:iCs/>
          <w:sz w:val="22"/>
          <w:szCs w:val="22"/>
          <w:highlight w:val="white"/>
        </w:rPr>
        <w:t>7</w:t>
      </w:r>
      <w:r>
        <w:rPr>
          <w:sz w:val="22"/>
          <w:szCs w:val="22"/>
          <w:highlight w:val="white"/>
        </w:rPr>
        <w:t>,</w:t>
      </w:r>
      <w:r w:rsidRPr="000A1464">
        <w:rPr>
          <w:sz w:val="22"/>
          <w:szCs w:val="22"/>
          <w:highlight w:val="white"/>
        </w:rPr>
        <w:t xml:space="preserve"> 1263</w:t>
      </w:r>
      <w:r>
        <w:rPr>
          <w:sz w:val="22"/>
          <w:szCs w:val="22"/>
          <w:highlight w:val="white"/>
        </w:rPr>
        <w:t>-</w:t>
      </w:r>
      <w:r w:rsidRPr="000A1464">
        <w:rPr>
          <w:sz w:val="22"/>
          <w:szCs w:val="22"/>
          <w:highlight w:val="white"/>
        </w:rPr>
        <w:t>1269</w:t>
      </w:r>
      <w:r>
        <w:rPr>
          <w:sz w:val="22"/>
          <w:szCs w:val="22"/>
        </w:rPr>
        <w:t>.</w:t>
      </w:r>
    </w:p>
    <w:p w:rsidR="00423F4E" w:rsidRPr="006630CB" w:rsidRDefault="00423F4E" w:rsidP="00423F4E">
      <w:pPr>
        <w:pStyle w:val="ListParagraph"/>
        <w:numPr>
          <w:ilvl w:val="0"/>
          <w:numId w:val="2"/>
        </w:numPr>
        <w:spacing w:before="80" w:after="40" w:line="240" w:lineRule="auto"/>
        <w:jc w:val="both"/>
        <w:rPr>
          <w:sz w:val="22"/>
          <w:szCs w:val="22"/>
          <w:highlight w:val="white"/>
        </w:rPr>
      </w:pPr>
      <w:r w:rsidRPr="006630CB">
        <w:rPr>
          <w:sz w:val="22"/>
          <w:szCs w:val="22"/>
          <w:highlight w:val="white"/>
        </w:rPr>
        <w:t>García-Ochoa, F., Santos, V. E., Casas, J. A., &amp; Gómez, E.</w:t>
      </w:r>
      <w:r>
        <w:rPr>
          <w:sz w:val="22"/>
          <w:szCs w:val="22"/>
          <w:highlight w:val="white"/>
        </w:rPr>
        <w:t xml:space="preserve"> </w:t>
      </w:r>
      <w:r w:rsidRPr="006630CB">
        <w:rPr>
          <w:sz w:val="22"/>
          <w:szCs w:val="22"/>
          <w:highlight w:val="white"/>
        </w:rPr>
        <w:t xml:space="preserve">Xanthan gum: production, recovery, and properties. </w:t>
      </w:r>
      <w:r w:rsidRPr="00F32C74">
        <w:rPr>
          <w:i/>
          <w:iCs/>
          <w:sz w:val="22"/>
          <w:szCs w:val="22"/>
          <w:highlight w:val="white"/>
        </w:rPr>
        <w:t>Biotechnology Advances</w:t>
      </w:r>
      <w:r>
        <w:rPr>
          <w:i/>
          <w:iCs/>
          <w:sz w:val="22"/>
          <w:szCs w:val="22"/>
          <w:highlight w:val="white"/>
        </w:rPr>
        <w:t xml:space="preserve">, </w:t>
      </w:r>
      <w:r w:rsidRPr="00F32C74">
        <w:rPr>
          <w:b/>
          <w:bCs/>
          <w:sz w:val="22"/>
          <w:szCs w:val="22"/>
          <w:highlight w:val="white"/>
        </w:rPr>
        <w:t>2000</w:t>
      </w:r>
      <w:r>
        <w:rPr>
          <w:i/>
          <w:iCs/>
          <w:sz w:val="22"/>
          <w:szCs w:val="22"/>
          <w:highlight w:val="white"/>
        </w:rPr>
        <w:t>,</w:t>
      </w:r>
      <w:r w:rsidRPr="006630CB">
        <w:rPr>
          <w:sz w:val="22"/>
          <w:szCs w:val="22"/>
          <w:highlight w:val="white"/>
        </w:rPr>
        <w:t xml:space="preserve"> </w:t>
      </w:r>
      <w:r w:rsidRPr="00F32C74">
        <w:rPr>
          <w:i/>
          <w:iCs/>
          <w:sz w:val="22"/>
          <w:szCs w:val="22"/>
          <w:highlight w:val="white"/>
        </w:rPr>
        <w:t>18, 7</w:t>
      </w:r>
      <w:r>
        <w:rPr>
          <w:sz w:val="22"/>
          <w:szCs w:val="22"/>
          <w:highlight w:val="white"/>
        </w:rPr>
        <w:t>,</w:t>
      </w:r>
      <w:r w:rsidRPr="006630CB">
        <w:rPr>
          <w:sz w:val="22"/>
          <w:szCs w:val="22"/>
          <w:highlight w:val="white"/>
        </w:rPr>
        <w:t xml:space="preserve"> 549</w:t>
      </w:r>
      <w:r>
        <w:rPr>
          <w:sz w:val="22"/>
          <w:szCs w:val="22"/>
          <w:highlight w:val="white"/>
        </w:rPr>
        <w:t>-</w:t>
      </w:r>
      <w:r w:rsidRPr="006630CB">
        <w:rPr>
          <w:sz w:val="22"/>
          <w:szCs w:val="22"/>
          <w:highlight w:val="white"/>
        </w:rPr>
        <w:t>579.</w:t>
      </w:r>
    </w:p>
    <w:p w:rsidR="00423F4E" w:rsidRPr="0025493B" w:rsidRDefault="00423F4E" w:rsidP="00423F4E">
      <w:pPr>
        <w:pStyle w:val="ListParagraph"/>
        <w:numPr>
          <w:ilvl w:val="0"/>
          <w:numId w:val="2"/>
        </w:numPr>
        <w:spacing w:after="0" w:line="240" w:lineRule="auto"/>
        <w:jc w:val="both"/>
        <w:rPr>
          <w:sz w:val="22"/>
          <w:szCs w:val="22"/>
        </w:rPr>
      </w:pPr>
      <w:r w:rsidRPr="0025493B">
        <w:rPr>
          <w:sz w:val="22"/>
          <w:szCs w:val="22"/>
        </w:rPr>
        <w:t>Maskan, M.</w:t>
      </w:r>
      <w:r>
        <w:rPr>
          <w:sz w:val="22"/>
          <w:szCs w:val="22"/>
        </w:rPr>
        <w:t xml:space="preserve">- </w:t>
      </w:r>
      <w:r w:rsidRPr="0025493B">
        <w:rPr>
          <w:sz w:val="22"/>
          <w:szCs w:val="22"/>
        </w:rPr>
        <w:t xml:space="preserve">Kinetics of colour change of kiwifruits during hot air and microwave drying. </w:t>
      </w:r>
      <w:r w:rsidRPr="00F32C74">
        <w:rPr>
          <w:i/>
          <w:iCs/>
          <w:sz w:val="22"/>
          <w:szCs w:val="22"/>
        </w:rPr>
        <w:t>Journal of Food Engineering</w:t>
      </w:r>
      <w:r>
        <w:rPr>
          <w:i/>
          <w:iCs/>
          <w:sz w:val="22"/>
          <w:szCs w:val="22"/>
        </w:rPr>
        <w:t xml:space="preserve">, </w:t>
      </w:r>
      <w:r w:rsidRPr="00F32C74">
        <w:rPr>
          <w:b/>
          <w:bCs/>
          <w:sz w:val="22"/>
          <w:szCs w:val="22"/>
        </w:rPr>
        <w:t>2002</w:t>
      </w:r>
      <w:r>
        <w:rPr>
          <w:i/>
          <w:iCs/>
          <w:sz w:val="22"/>
          <w:szCs w:val="22"/>
        </w:rPr>
        <w:t>,</w:t>
      </w:r>
      <w:r w:rsidRPr="0053557A">
        <w:rPr>
          <w:sz w:val="22"/>
          <w:szCs w:val="22"/>
        </w:rPr>
        <w:t xml:space="preserve"> </w:t>
      </w:r>
      <w:r w:rsidRPr="00F32C74">
        <w:rPr>
          <w:i/>
          <w:iCs/>
          <w:sz w:val="22"/>
          <w:szCs w:val="22"/>
        </w:rPr>
        <w:t>48, 2</w:t>
      </w:r>
      <w:r>
        <w:rPr>
          <w:sz w:val="22"/>
          <w:szCs w:val="22"/>
        </w:rPr>
        <w:t xml:space="preserve">, </w:t>
      </w:r>
      <w:r w:rsidRPr="0025493B">
        <w:rPr>
          <w:sz w:val="22"/>
          <w:szCs w:val="22"/>
        </w:rPr>
        <w:t xml:space="preserve">169-175. </w:t>
      </w:r>
    </w:p>
    <w:p w:rsidR="00423F4E" w:rsidRDefault="00423F4E" w:rsidP="00423F4E">
      <w:pPr>
        <w:pStyle w:val="ListParagraph"/>
        <w:numPr>
          <w:ilvl w:val="0"/>
          <w:numId w:val="2"/>
        </w:numPr>
        <w:spacing w:after="0" w:line="240" w:lineRule="auto"/>
        <w:jc w:val="both"/>
        <w:rPr>
          <w:sz w:val="22"/>
          <w:szCs w:val="22"/>
        </w:rPr>
      </w:pPr>
      <w:r w:rsidRPr="00B03237">
        <w:rPr>
          <w:sz w:val="22"/>
          <w:szCs w:val="22"/>
        </w:rPr>
        <w:t xml:space="preserve">McClements, D. J. </w:t>
      </w:r>
      <w:r w:rsidRPr="00F32C74">
        <w:rPr>
          <w:i/>
          <w:iCs/>
          <w:sz w:val="22"/>
          <w:szCs w:val="22"/>
        </w:rPr>
        <w:t>Food Emulsions: Principles, Practices, and Techniques (3rd ed.).</w:t>
      </w:r>
      <w:r w:rsidRPr="00B03237">
        <w:rPr>
          <w:sz w:val="22"/>
          <w:szCs w:val="22"/>
        </w:rPr>
        <w:t xml:space="preserve"> CRC Press</w:t>
      </w:r>
      <w:r>
        <w:rPr>
          <w:sz w:val="22"/>
          <w:szCs w:val="22"/>
        </w:rPr>
        <w:t>, 2015.</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Mùi, N. V. </w:t>
      </w:r>
      <w:r>
        <w:rPr>
          <w:sz w:val="22"/>
          <w:szCs w:val="22"/>
        </w:rPr>
        <w:t xml:space="preserve"> </w:t>
      </w:r>
      <w:r w:rsidRPr="00F32C74">
        <w:rPr>
          <w:i/>
          <w:iCs/>
          <w:sz w:val="22"/>
          <w:szCs w:val="22"/>
        </w:rPr>
        <w:t>Thực hành hóa sinh học</w:t>
      </w:r>
      <w:r w:rsidRPr="00F26141">
        <w:rPr>
          <w:sz w:val="22"/>
          <w:szCs w:val="22"/>
        </w:rPr>
        <w:t>. Nhà xuất bản Đại học quốc gia Hà Nội</w:t>
      </w:r>
      <w:r>
        <w:rPr>
          <w:sz w:val="22"/>
          <w:szCs w:val="22"/>
        </w:rPr>
        <w:t xml:space="preserve">, </w:t>
      </w:r>
      <w:r w:rsidRPr="00F26141">
        <w:rPr>
          <w:sz w:val="22"/>
          <w:szCs w:val="22"/>
        </w:rPr>
        <w:t xml:space="preserve">2001.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Viện Thổ Nhưỡng Nông Hó</w:t>
      </w:r>
      <w:r>
        <w:rPr>
          <w:sz w:val="22"/>
          <w:szCs w:val="22"/>
        </w:rPr>
        <w:t>a</w:t>
      </w:r>
      <w:r w:rsidRPr="00F26141">
        <w:rPr>
          <w:sz w:val="22"/>
          <w:szCs w:val="22"/>
        </w:rPr>
        <w:t>.</w:t>
      </w:r>
      <w:r>
        <w:rPr>
          <w:sz w:val="22"/>
          <w:szCs w:val="22"/>
        </w:rPr>
        <w:t xml:space="preserve"> </w:t>
      </w:r>
      <w:r w:rsidRPr="00F32C74">
        <w:rPr>
          <w:i/>
          <w:iCs/>
          <w:sz w:val="22"/>
          <w:szCs w:val="22"/>
        </w:rPr>
        <w:t>Sổ tay phân tích đất, nước, phân bón, cây trồng</w:t>
      </w:r>
      <w:r w:rsidRPr="00F26141">
        <w:rPr>
          <w:sz w:val="22"/>
          <w:szCs w:val="22"/>
        </w:rPr>
        <w:t>. Nhà xuất bản Nông nghiệp, Hà Nội</w:t>
      </w:r>
      <w:r>
        <w:rPr>
          <w:sz w:val="22"/>
          <w:szCs w:val="22"/>
        </w:rPr>
        <w:t xml:space="preserve">, </w:t>
      </w:r>
      <w:r w:rsidRPr="00F26141">
        <w:rPr>
          <w:sz w:val="22"/>
          <w:szCs w:val="22"/>
        </w:rPr>
        <w:t xml:space="preserve">1998.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Starowicz, M., &amp; Zieliński, H.</w:t>
      </w:r>
      <w:r>
        <w:rPr>
          <w:sz w:val="22"/>
          <w:szCs w:val="22"/>
        </w:rPr>
        <w:t xml:space="preserve"> </w:t>
      </w:r>
      <w:r w:rsidRPr="00F26141">
        <w:rPr>
          <w:sz w:val="22"/>
          <w:szCs w:val="22"/>
        </w:rPr>
        <w:t xml:space="preserve">How Maillard reaction influences sensorial properties (color, flavor and texture) of food products? </w:t>
      </w:r>
      <w:r w:rsidRPr="00F32C74">
        <w:rPr>
          <w:i/>
          <w:iCs/>
          <w:sz w:val="22"/>
          <w:szCs w:val="22"/>
        </w:rPr>
        <w:t>Food Reviews International</w:t>
      </w:r>
      <w:r>
        <w:rPr>
          <w:sz w:val="22"/>
          <w:szCs w:val="22"/>
        </w:rPr>
        <w:t>,</w:t>
      </w:r>
      <w:r w:rsidRPr="00F26141">
        <w:rPr>
          <w:sz w:val="22"/>
          <w:szCs w:val="22"/>
        </w:rPr>
        <w:t xml:space="preserve"> </w:t>
      </w:r>
      <w:r w:rsidRPr="00F32C74">
        <w:rPr>
          <w:b/>
          <w:bCs/>
          <w:sz w:val="22"/>
          <w:szCs w:val="22"/>
        </w:rPr>
        <w:t>2019</w:t>
      </w:r>
      <w:r>
        <w:rPr>
          <w:sz w:val="22"/>
          <w:szCs w:val="22"/>
        </w:rPr>
        <w:t xml:space="preserve">, </w:t>
      </w:r>
      <w:r w:rsidRPr="00F32C74">
        <w:rPr>
          <w:i/>
          <w:iCs/>
          <w:sz w:val="22"/>
          <w:szCs w:val="22"/>
        </w:rPr>
        <w:t>35</w:t>
      </w:r>
      <w:r>
        <w:rPr>
          <w:b/>
          <w:bCs/>
          <w:sz w:val="22"/>
          <w:szCs w:val="22"/>
        </w:rPr>
        <w:t xml:space="preserve">, </w:t>
      </w:r>
      <w:r w:rsidRPr="00F32C74">
        <w:rPr>
          <w:i/>
          <w:iCs/>
          <w:sz w:val="22"/>
          <w:szCs w:val="22"/>
        </w:rPr>
        <w:t>8</w:t>
      </w:r>
      <w:r>
        <w:rPr>
          <w:sz w:val="22"/>
          <w:szCs w:val="22"/>
        </w:rPr>
        <w:t>,</w:t>
      </w:r>
      <w:r w:rsidRPr="00F26141">
        <w:rPr>
          <w:sz w:val="22"/>
          <w:szCs w:val="22"/>
        </w:rPr>
        <w:t xml:space="preserve"> 707-725.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Kumar, V. cs.</w:t>
      </w:r>
      <w:r>
        <w:rPr>
          <w:sz w:val="22"/>
          <w:szCs w:val="22"/>
        </w:rPr>
        <w:t xml:space="preserve"> </w:t>
      </w:r>
      <w:r w:rsidRPr="00F26141">
        <w:rPr>
          <w:sz w:val="22"/>
          <w:szCs w:val="22"/>
        </w:rPr>
        <w:t xml:space="preserve">Effect of ohmic heating on physicochemical, bioactive compounds, and shelf life of watermelon flesh‐rind drinks. </w:t>
      </w:r>
      <w:r w:rsidRPr="00044390">
        <w:rPr>
          <w:i/>
          <w:iCs/>
          <w:sz w:val="22"/>
          <w:szCs w:val="22"/>
        </w:rPr>
        <w:t>Journal of Food Process Engineering</w:t>
      </w:r>
      <w:r>
        <w:rPr>
          <w:sz w:val="22"/>
          <w:szCs w:val="22"/>
        </w:rPr>
        <w:t xml:space="preserve">, </w:t>
      </w:r>
      <w:r w:rsidRPr="00044390">
        <w:rPr>
          <w:b/>
          <w:bCs/>
          <w:sz w:val="22"/>
          <w:szCs w:val="22"/>
        </w:rPr>
        <w:t>2022</w:t>
      </w:r>
      <w:r>
        <w:rPr>
          <w:sz w:val="22"/>
          <w:szCs w:val="22"/>
        </w:rPr>
        <w:t>,</w:t>
      </w:r>
      <w:r w:rsidRPr="00F26141">
        <w:rPr>
          <w:sz w:val="22"/>
          <w:szCs w:val="22"/>
        </w:rPr>
        <w:t xml:space="preserve"> </w:t>
      </w:r>
      <w:r w:rsidRPr="00044390">
        <w:rPr>
          <w:i/>
          <w:iCs/>
          <w:sz w:val="22"/>
          <w:szCs w:val="22"/>
        </w:rPr>
        <w:t>45</w:t>
      </w:r>
      <w:r w:rsidRPr="00287636">
        <w:rPr>
          <w:sz w:val="22"/>
          <w:szCs w:val="22"/>
        </w:rPr>
        <w:t xml:space="preserve">, </w:t>
      </w:r>
      <w:r w:rsidRPr="00044390">
        <w:rPr>
          <w:i/>
          <w:iCs/>
          <w:sz w:val="22"/>
          <w:szCs w:val="22"/>
        </w:rPr>
        <w:t>7</w:t>
      </w:r>
      <w:r>
        <w:rPr>
          <w:sz w:val="22"/>
          <w:szCs w:val="22"/>
        </w:rPr>
        <w:t>,</w:t>
      </w:r>
      <w:r w:rsidRPr="00F26141">
        <w:rPr>
          <w:sz w:val="22"/>
          <w:szCs w:val="22"/>
        </w:rPr>
        <w:t xml:space="preserve"> e13818.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Gadallah, M. G., &amp; Hassan, M. F. Quality properties of Kishk (a dried fermented cereal-milk mixture) prepared from different raw materials. </w:t>
      </w:r>
      <w:r w:rsidRPr="00287636">
        <w:rPr>
          <w:i/>
          <w:iCs/>
          <w:sz w:val="22"/>
          <w:szCs w:val="22"/>
        </w:rPr>
        <w:t>Journal of the Saudi Society of Agricultural Sciences</w:t>
      </w:r>
      <w:r>
        <w:rPr>
          <w:sz w:val="22"/>
          <w:szCs w:val="22"/>
        </w:rPr>
        <w:t xml:space="preserve">, </w:t>
      </w:r>
      <w:r w:rsidRPr="00287636">
        <w:rPr>
          <w:b/>
          <w:bCs/>
          <w:sz w:val="22"/>
          <w:szCs w:val="22"/>
        </w:rPr>
        <w:t>2019</w:t>
      </w:r>
      <w:r>
        <w:rPr>
          <w:sz w:val="22"/>
          <w:szCs w:val="22"/>
        </w:rPr>
        <w:t>,</w:t>
      </w:r>
      <w:r w:rsidRPr="00F26141">
        <w:rPr>
          <w:sz w:val="22"/>
          <w:szCs w:val="22"/>
        </w:rPr>
        <w:t xml:space="preserve"> </w:t>
      </w:r>
      <w:r w:rsidRPr="00287636">
        <w:rPr>
          <w:i/>
          <w:iCs/>
          <w:sz w:val="22"/>
          <w:szCs w:val="22"/>
        </w:rPr>
        <w:t>18</w:t>
      </w:r>
      <w:r>
        <w:rPr>
          <w:b/>
          <w:bCs/>
          <w:sz w:val="22"/>
          <w:szCs w:val="22"/>
        </w:rPr>
        <w:t xml:space="preserve">, </w:t>
      </w:r>
      <w:r w:rsidRPr="00287636">
        <w:rPr>
          <w:i/>
          <w:iCs/>
          <w:sz w:val="22"/>
          <w:szCs w:val="22"/>
        </w:rPr>
        <w:t>1</w:t>
      </w:r>
      <w:r>
        <w:rPr>
          <w:sz w:val="22"/>
          <w:szCs w:val="22"/>
        </w:rPr>
        <w:t>,</w:t>
      </w:r>
      <w:r w:rsidRPr="00F26141">
        <w:rPr>
          <w:sz w:val="22"/>
          <w:szCs w:val="22"/>
        </w:rPr>
        <w:t xml:space="preserve"> 95-101.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Nakhonchai, N. cs. Green hairy basil seed mucilage biosorbent for dispersive solid phase extraction enrichment of tetracyclines in bovine milk samples followed by HPLC analysis. </w:t>
      </w:r>
      <w:r w:rsidRPr="00287636">
        <w:rPr>
          <w:i/>
          <w:iCs/>
          <w:sz w:val="22"/>
          <w:szCs w:val="22"/>
        </w:rPr>
        <w:t>Talanta</w:t>
      </w:r>
      <w:r>
        <w:rPr>
          <w:sz w:val="22"/>
          <w:szCs w:val="22"/>
        </w:rPr>
        <w:t xml:space="preserve">, </w:t>
      </w:r>
      <w:r w:rsidRPr="00287636">
        <w:rPr>
          <w:b/>
          <w:bCs/>
          <w:sz w:val="22"/>
          <w:szCs w:val="22"/>
        </w:rPr>
        <w:t>2024</w:t>
      </w:r>
      <w:r>
        <w:rPr>
          <w:sz w:val="22"/>
          <w:szCs w:val="22"/>
        </w:rPr>
        <w:t>,</w:t>
      </w:r>
      <w:r w:rsidRPr="00F26141">
        <w:rPr>
          <w:sz w:val="22"/>
          <w:szCs w:val="22"/>
        </w:rPr>
        <w:t xml:space="preserve"> </w:t>
      </w:r>
      <w:r w:rsidRPr="00287636">
        <w:rPr>
          <w:i/>
          <w:iCs/>
          <w:sz w:val="22"/>
          <w:szCs w:val="22"/>
        </w:rPr>
        <w:t>271,</w:t>
      </w:r>
      <w:r w:rsidRPr="00F26141">
        <w:rPr>
          <w:sz w:val="22"/>
          <w:szCs w:val="22"/>
        </w:rPr>
        <w:t xml:space="preserve"> 125645.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Issara, U., &amp; Rawdkuen, S. </w:t>
      </w:r>
      <w:r w:rsidRPr="00287636">
        <w:rPr>
          <w:i/>
          <w:iCs/>
          <w:sz w:val="22"/>
          <w:szCs w:val="22"/>
        </w:rPr>
        <w:t>Organic rice bran milk: production and its natural quality attributes</w:t>
      </w:r>
      <w:r w:rsidRPr="00F26141">
        <w:rPr>
          <w:sz w:val="22"/>
          <w:szCs w:val="22"/>
        </w:rPr>
        <w:t>. Proceeding of 1st Joint ACS AGFD-ACS ICSCT symposium on agricultural and Food Chemistry</w:t>
      </w:r>
      <w:r>
        <w:rPr>
          <w:sz w:val="22"/>
          <w:szCs w:val="22"/>
        </w:rPr>
        <w:t>, 2016.</w:t>
      </w:r>
    </w:p>
    <w:p w:rsidR="00423F4E" w:rsidRDefault="00423F4E" w:rsidP="00423F4E">
      <w:pPr>
        <w:pStyle w:val="ListParagraph"/>
        <w:numPr>
          <w:ilvl w:val="0"/>
          <w:numId w:val="2"/>
        </w:numPr>
        <w:spacing w:after="0" w:line="240" w:lineRule="auto"/>
        <w:jc w:val="both"/>
        <w:rPr>
          <w:sz w:val="22"/>
          <w:szCs w:val="22"/>
        </w:rPr>
      </w:pPr>
      <w:r w:rsidRPr="00F26141">
        <w:rPr>
          <w:sz w:val="22"/>
          <w:szCs w:val="22"/>
        </w:rPr>
        <w:t>Camacho-Teodocio, J. D. cs. Macadamia (</w:t>
      </w:r>
      <w:r w:rsidRPr="00B03237">
        <w:rPr>
          <w:i/>
          <w:iCs/>
          <w:sz w:val="22"/>
          <w:szCs w:val="22"/>
        </w:rPr>
        <w:t>Macadamia integrifolia</w:t>
      </w:r>
      <w:r w:rsidRPr="00F26141">
        <w:rPr>
          <w:sz w:val="22"/>
          <w:szCs w:val="22"/>
        </w:rPr>
        <w:t xml:space="preserve">) Nut-Based Beverage: Physicochemical Stability and Nutritional and Antioxidant Properties. </w:t>
      </w:r>
      <w:r w:rsidRPr="00287636">
        <w:rPr>
          <w:i/>
          <w:iCs/>
          <w:sz w:val="22"/>
          <w:szCs w:val="22"/>
        </w:rPr>
        <w:t>Beverages</w:t>
      </w:r>
      <w:r>
        <w:rPr>
          <w:sz w:val="22"/>
          <w:szCs w:val="22"/>
        </w:rPr>
        <w:t xml:space="preserve">, </w:t>
      </w:r>
      <w:r w:rsidRPr="00287636">
        <w:rPr>
          <w:b/>
          <w:bCs/>
          <w:sz w:val="22"/>
          <w:szCs w:val="22"/>
        </w:rPr>
        <w:t>2024</w:t>
      </w:r>
      <w:r>
        <w:rPr>
          <w:sz w:val="22"/>
          <w:szCs w:val="22"/>
        </w:rPr>
        <w:t>,</w:t>
      </w:r>
      <w:r w:rsidRPr="00F26141">
        <w:rPr>
          <w:sz w:val="22"/>
          <w:szCs w:val="22"/>
        </w:rPr>
        <w:t xml:space="preserve"> </w:t>
      </w:r>
      <w:r w:rsidRPr="00287636">
        <w:rPr>
          <w:i/>
          <w:iCs/>
          <w:sz w:val="22"/>
          <w:szCs w:val="22"/>
        </w:rPr>
        <w:t>10, 3</w:t>
      </w:r>
      <w:r>
        <w:rPr>
          <w:sz w:val="22"/>
          <w:szCs w:val="22"/>
        </w:rPr>
        <w:t xml:space="preserve">, </w:t>
      </w:r>
      <w:r w:rsidRPr="00F26141">
        <w:rPr>
          <w:sz w:val="22"/>
          <w:szCs w:val="22"/>
        </w:rPr>
        <w:t xml:space="preserve">1-58.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Xiang, </w:t>
      </w:r>
      <w:r>
        <w:rPr>
          <w:sz w:val="22"/>
          <w:szCs w:val="22"/>
        </w:rPr>
        <w:t>J</w:t>
      </w:r>
      <w:r w:rsidRPr="00F26141">
        <w:rPr>
          <w:sz w:val="22"/>
          <w:szCs w:val="22"/>
        </w:rPr>
        <w:t>.</w:t>
      </w:r>
      <w:r>
        <w:rPr>
          <w:sz w:val="22"/>
          <w:szCs w:val="22"/>
        </w:rPr>
        <w:t xml:space="preserve"> </w:t>
      </w:r>
      <w:r w:rsidRPr="00F26141">
        <w:rPr>
          <w:sz w:val="22"/>
          <w:szCs w:val="22"/>
        </w:rPr>
        <w:t xml:space="preserve">A literature review on maillard reaction based on milk proteins and carbohydrates in food and pharmaceutical products: advantages, disadvantages, and avoidance strategies. </w:t>
      </w:r>
      <w:r w:rsidRPr="00287636">
        <w:rPr>
          <w:i/>
          <w:iCs/>
          <w:sz w:val="22"/>
          <w:szCs w:val="22"/>
        </w:rPr>
        <w:t>Foods</w:t>
      </w:r>
      <w:r>
        <w:rPr>
          <w:sz w:val="22"/>
          <w:szCs w:val="22"/>
        </w:rPr>
        <w:t xml:space="preserve">, </w:t>
      </w:r>
      <w:r w:rsidRPr="00287636">
        <w:rPr>
          <w:b/>
          <w:bCs/>
          <w:sz w:val="22"/>
          <w:szCs w:val="22"/>
        </w:rPr>
        <w:t>2021</w:t>
      </w:r>
      <w:r>
        <w:rPr>
          <w:sz w:val="22"/>
          <w:szCs w:val="22"/>
        </w:rPr>
        <w:t>,</w:t>
      </w:r>
      <w:r w:rsidRPr="00F26141">
        <w:rPr>
          <w:sz w:val="22"/>
          <w:szCs w:val="22"/>
        </w:rPr>
        <w:t xml:space="preserve"> </w:t>
      </w:r>
      <w:r w:rsidRPr="00287636">
        <w:rPr>
          <w:i/>
          <w:iCs/>
          <w:sz w:val="22"/>
          <w:szCs w:val="22"/>
        </w:rPr>
        <w:t>10, 9</w:t>
      </w:r>
      <w:r>
        <w:rPr>
          <w:i/>
          <w:iCs/>
          <w:sz w:val="22"/>
          <w:szCs w:val="22"/>
        </w:rPr>
        <w:t xml:space="preserve">, </w:t>
      </w:r>
      <w:r w:rsidRPr="00287636">
        <w:rPr>
          <w:sz w:val="22"/>
          <w:szCs w:val="22"/>
        </w:rPr>
        <w:t>1-18</w:t>
      </w:r>
      <w:r w:rsidRPr="00F26141">
        <w:rPr>
          <w:sz w:val="22"/>
          <w:szCs w:val="22"/>
        </w:rPr>
        <w:t xml:space="preserve">.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Bourne, M.</w:t>
      </w:r>
      <w:r>
        <w:rPr>
          <w:sz w:val="22"/>
          <w:szCs w:val="22"/>
        </w:rPr>
        <w:t xml:space="preserve"> </w:t>
      </w:r>
      <w:r w:rsidRPr="00287636">
        <w:rPr>
          <w:i/>
          <w:iCs/>
          <w:sz w:val="22"/>
          <w:szCs w:val="22"/>
        </w:rPr>
        <w:t>Food texture and viscosity: concept and measurement</w:t>
      </w:r>
      <w:r w:rsidRPr="00F26141">
        <w:rPr>
          <w:sz w:val="22"/>
          <w:szCs w:val="22"/>
        </w:rPr>
        <w:t>. Elsevier</w:t>
      </w:r>
      <w:r>
        <w:rPr>
          <w:sz w:val="22"/>
          <w:szCs w:val="22"/>
        </w:rPr>
        <w:t>, 2002</w:t>
      </w:r>
      <w:r w:rsidRPr="00F26141">
        <w:rPr>
          <w:sz w:val="22"/>
          <w:szCs w:val="22"/>
        </w:rPr>
        <w:t xml:space="preserve">.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Bayarri, S.</w:t>
      </w:r>
      <w:r>
        <w:rPr>
          <w:sz w:val="22"/>
          <w:szCs w:val="22"/>
        </w:rPr>
        <w:t xml:space="preserve"> </w:t>
      </w:r>
      <w:r w:rsidRPr="00F26141">
        <w:rPr>
          <w:sz w:val="22"/>
          <w:szCs w:val="22"/>
        </w:rPr>
        <w:t xml:space="preserve">Compression resistance, sweetener's diffusion and sweetness of hydrocolloids gels. </w:t>
      </w:r>
      <w:r w:rsidRPr="00287636">
        <w:rPr>
          <w:i/>
          <w:iCs/>
          <w:sz w:val="22"/>
          <w:szCs w:val="22"/>
        </w:rPr>
        <w:t>International Dairy Journal</w:t>
      </w:r>
      <w:r>
        <w:rPr>
          <w:i/>
          <w:iCs/>
          <w:sz w:val="22"/>
          <w:szCs w:val="22"/>
        </w:rPr>
        <w:t xml:space="preserve">, </w:t>
      </w:r>
      <w:r w:rsidRPr="00287636">
        <w:rPr>
          <w:b/>
          <w:bCs/>
          <w:sz w:val="22"/>
          <w:szCs w:val="22"/>
        </w:rPr>
        <w:t>2003</w:t>
      </w:r>
      <w:r>
        <w:rPr>
          <w:sz w:val="22"/>
          <w:szCs w:val="22"/>
        </w:rPr>
        <w:t>,</w:t>
      </w:r>
      <w:r w:rsidRPr="00F26141">
        <w:rPr>
          <w:sz w:val="22"/>
          <w:szCs w:val="22"/>
        </w:rPr>
        <w:t xml:space="preserve"> </w:t>
      </w:r>
      <w:r w:rsidRPr="00287636">
        <w:rPr>
          <w:i/>
          <w:iCs/>
          <w:sz w:val="22"/>
          <w:szCs w:val="22"/>
        </w:rPr>
        <w:t>13, 8</w:t>
      </w:r>
      <w:r>
        <w:rPr>
          <w:sz w:val="22"/>
          <w:szCs w:val="22"/>
        </w:rPr>
        <w:t>,</w:t>
      </w:r>
      <w:r w:rsidRPr="00F26141">
        <w:rPr>
          <w:sz w:val="22"/>
          <w:szCs w:val="22"/>
        </w:rPr>
        <w:t xml:space="preserve"> 643-653.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Ferreira, S. M.</w:t>
      </w:r>
      <w:r>
        <w:rPr>
          <w:sz w:val="22"/>
          <w:szCs w:val="22"/>
        </w:rPr>
        <w:t xml:space="preserve"> </w:t>
      </w:r>
      <w:r w:rsidRPr="00F26141">
        <w:rPr>
          <w:sz w:val="22"/>
          <w:szCs w:val="22"/>
        </w:rPr>
        <w:t xml:space="preserve">Infant dairy-cereal mixture for the preparation of a gluten free cream using enzymatically modified rice flour. </w:t>
      </w:r>
      <w:r w:rsidRPr="00287636">
        <w:rPr>
          <w:i/>
          <w:iCs/>
          <w:sz w:val="22"/>
          <w:szCs w:val="22"/>
        </w:rPr>
        <w:t>LWT-Food science and Technology</w:t>
      </w:r>
      <w:r>
        <w:rPr>
          <w:sz w:val="22"/>
          <w:szCs w:val="22"/>
        </w:rPr>
        <w:t xml:space="preserve">, </w:t>
      </w:r>
      <w:r w:rsidRPr="00287636">
        <w:rPr>
          <w:b/>
          <w:bCs/>
          <w:sz w:val="22"/>
          <w:szCs w:val="22"/>
        </w:rPr>
        <w:t>2014</w:t>
      </w:r>
      <w:r>
        <w:rPr>
          <w:sz w:val="22"/>
          <w:szCs w:val="22"/>
        </w:rPr>
        <w:t>,</w:t>
      </w:r>
      <w:r w:rsidRPr="00F26141">
        <w:rPr>
          <w:sz w:val="22"/>
          <w:szCs w:val="22"/>
        </w:rPr>
        <w:t xml:space="preserve"> </w:t>
      </w:r>
      <w:r w:rsidRPr="00287636">
        <w:rPr>
          <w:i/>
          <w:iCs/>
          <w:sz w:val="22"/>
          <w:szCs w:val="22"/>
        </w:rPr>
        <w:t>59, 2</w:t>
      </w:r>
      <w:r>
        <w:rPr>
          <w:sz w:val="22"/>
          <w:szCs w:val="22"/>
        </w:rPr>
        <w:t>,</w:t>
      </w:r>
      <w:r w:rsidRPr="00F26141">
        <w:rPr>
          <w:sz w:val="22"/>
          <w:szCs w:val="22"/>
        </w:rPr>
        <w:t xml:space="preserve"> 1033-1040. </w:t>
      </w:r>
    </w:p>
    <w:p w:rsidR="00423F4E" w:rsidRDefault="00423F4E" w:rsidP="00423F4E">
      <w:pPr>
        <w:pStyle w:val="ListParagraph"/>
        <w:numPr>
          <w:ilvl w:val="0"/>
          <w:numId w:val="2"/>
        </w:numPr>
        <w:spacing w:after="0" w:line="240" w:lineRule="auto"/>
        <w:jc w:val="both"/>
        <w:rPr>
          <w:sz w:val="22"/>
          <w:szCs w:val="22"/>
        </w:rPr>
      </w:pPr>
      <w:r w:rsidRPr="00F26141">
        <w:rPr>
          <w:sz w:val="22"/>
          <w:szCs w:val="22"/>
        </w:rPr>
        <w:t xml:space="preserve">Jang, S.-S. </w:t>
      </w:r>
      <w:r>
        <w:rPr>
          <w:sz w:val="22"/>
          <w:szCs w:val="22"/>
        </w:rPr>
        <w:t xml:space="preserve">- </w:t>
      </w:r>
      <w:r w:rsidRPr="00F26141">
        <w:rPr>
          <w:sz w:val="22"/>
          <w:szCs w:val="22"/>
        </w:rPr>
        <w:t xml:space="preserve">Production of mono sugar from acid hydrolysis of seaweed. </w:t>
      </w:r>
      <w:r w:rsidRPr="00287636">
        <w:rPr>
          <w:i/>
          <w:iCs/>
          <w:sz w:val="22"/>
          <w:szCs w:val="22"/>
        </w:rPr>
        <w:t>African Journal of Biotechnology</w:t>
      </w:r>
      <w:r>
        <w:rPr>
          <w:sz w:val="22"/>
          <w:szCs w:val="22"/>
        </w:rPr>
        <w:t xml:space="preserve">, </w:t>
      </w:r>
      <w:r w:rsidRPr="00287636">
        <w:rPr>
          <w:b/>
          <w:bCs/>
          <w:sz w:val="22"/>
          <w:szCs w:val="22"/>
        </w:rPr>
        <w:t>2012</w:t>
      </w:r>
      <w:r>
        <w:rPr>
          <w:sz w:val="22"/>
          <w:szCs w:val="22"/>
        </w:rPr>
        <w:t>,</w:t>
      </w:r>
      <w:r w:rsidRPr="00F26141">
        <w:rPr>
          <w:sz w:val="22"/>
          <w:szCs w:val="22"/>
        </w:rPr>
        <w:t xml:space="preserve"> </w:t>
      </w:r>
      <w:r w:rsidRPr="00287636">
        <w:rPr>
          <w:i/>
          <w:iCs/>
          <w:sz w:val="22"/>
          <w:szCs w:val="22"/>
        </w:rPr>
        <w:t>11, 8</w:t>
      </w:r>
      <w:r>
        <w:rPr>
          <w:sz w:val="22"/>
          <w:szCs w:val="22"/>
        </w:rPr>
        <w:t>,</w:t>
      </w:r>
      <w:r w:rsidRPr="00F26141">
        <w:rPr>
          <w:sz w:val="22"/>
          <w:szCs w:val="22"/>
        </w:rPr>
        <w:t xml:space="preserve"> 1953-1963</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Taylor, A.</w:t>
      </w:r>
      <w:r>
        <w:rPr>
          <w:sz w:val="22"/>
          <w:szCs w:val="22"/>
        </w:rPr>
        <w:t xml:space="preserve"> </w:t>
      </w:r>
      <w:r w:rsidRPr="00F26141">
        <w:rPr>
          <w:sz w:val="22"/>
          <w:szCs w:val="22"/>
        </w:rPr>
        <w:t xml:space="preserve">Measurement and simulation of flavour release from foods. </w:t>
      </w:r>
      <w:r w:rsidRPr="00287636">
        <w:rPr>
          <w:i/>
          <w:iCs/>
          <w:sz w:val="22"/>
          <w:szCs w:val="22"/>
        </w:rPr>
        <w:t>In Designing Functional Foods</w:t>
      </w:r>
      <w:r>
        <w:rPr>
          <w:sz w:val="22"/>
          <w:szCs w:val="22"/>
        </w:rPr>
        <w:t xml:space="preserve">, </w:t>
      </w:r>
      <w:r w:rsidRPr="00287636">
        <w:rPr>
          <w:b/>
          <w:bCs/>
          <w:sz w:val="22"/>
          <w:szCs w:val="22"/>
        </w:rPr>
        <w:t>2009</w:t>
      </w:r>
      <w:r>
        <w:rPr>
          <w:sz w:val="22"/>
          <w:szCs w:val="22"/>
        </w:rPr>
        <w:t>,</w:t>
      </w:r>
      <w:r w:rsidRPr="00F26141">
        <w:rPr>
          <w:sz w:val="22"/>
          <w:szCs w:val="22"/>
        </w:rPr>
        <w:t xml:space="preserve"> 294-313. </w:t>
      </w:r>
    </w:p>
    <w:p w:rsidR="00423F4E" w:rsidRPr="00831C06" w:rsidRDefault="00423F4E" w:rsidP="00423F4E">
      <w:pPr>
        <w:pStyle w:val="ListParagraph"/>
        <w:numPr>
          <w:ilvl w:val="0"/>
          <w:numId w:val="2"/>
        </w:numPr>
        <w:spacing w:after="0" w:line="240" w:lineRule="auto"/>
        <w:jc w:val="both"/>
        <w:rPr>
          <w:sz w:val="22"/>
          <w:szCs w:val="22"/>
        </w:rPr>
      </w:pPr>
      <w:r w:rsidRPr="00831C06">
        <w:rPr>
          <w:sz w:val="22"/>
          <w:szCs w:val="22"/>
        </w:rPr>
        <w:lastRenderedPageBreak/>
        <w:t>Floury, J.</w:t>
      </w:r>
      <w:r>
        <w:rPr>
          <w:sz w:val="22"/>
          <w:szCs w:val="22"/>
        </w:rPr>
        <w:t xml:space="preserve"> </w:t>
      </w:r>
      <w:r w:rsidRPr="00831C06">
        <w:rPr>
          <w:sz w:val="22"/>
          <w:szCs w:val="22"/>
        </w:rPr>
        <w:t xml:space="preserve">Analysis of a new type of high pressure homogeniser. A study of the flow pattern. </w:t>
      </w:r>
      <w:r w:rsidRPr="00287636">
        <w:rPr>
          <w:i/>
          <w:iCs/>
          <w:sz w:val="22"/>
          <w:szCs w:val="22"/>
        </w:rPr>
        <w:t>Chemical Engineering Science</w:t>
      </w:r>
      <w:r>
        <w:rPr>
          <w:sz w:val="22"/>
          <w:szCs w:val="22"/>
        </w:rPr>
        <w:t xml:space="preserve">, </w:t>
      </w:r>
      <w:r w:rsidRPr="00287636">
        <w:rPr>
          <w:b/>
          <w:bCs/>
          <w:sz w:val="22"/>
          <w:szCs w:val="22"/>
        </w:rPr>
        <w:t>2004</w:t>
      </w:r>
      <w:r>
        <w:rPr>
          <w:sz w:val="22"/>
          <w:szCs w:val="22"/>
        </w:rPr>
        <w:t>,</w:t>
      </w:r>
      <w:r w:rsidRPr="00831C06">
        <w:rPr>
          <w:sz w:val="22"/>
          <w:szCs w:val="22"/>
        </w:rPr>
        <w:t xml:space="preserve"> </w:t>
      </w:r>
      <w:r w:rsidRPr="00287636">
        <w:rPr>
          <w:i/>
          <w:iCs/>
          <w:sz w:val="22"/>
          <w:szCs w:val="22"/>
        </w:rPr>
        <w:t>59, 4</w:t>
      </w:r>
      <w:r>
        <w:rPr>
          <w:sz w:val="22"/>
          <w:szCs w:val="22"/>
        </w:rPr>
        <w:t xml:space="preserve">, </w:t>
      </w:r>
      <w:r w:rsidRPr="00831C06">
        <w:rPr>
          <w:sz w:val="22"/>
          <w:szCs w:val="22"/>
        </w:rPr>
        <w:t xml:space="preserve">843-853.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Rizvi, S. S.</w:t>
      </w:r>
      <w:r>
        <w:rPr>
          <w:sz w:val="22"/>
          <w:szCs w:val="22"/>
        </w:rPr>
        <w:t xml:space="preserve"> </w:t>
      </w:r>
      <w:r w:rsidRPr="00287636">
        <w:rPr>
          <w:i/>
          <w:iCs/>
          <w:sz w:val="22"/>
          <w:szCs w:val="22"/>
        </w:rPr>
        <w:t>Separation, extraction and concentration processes in the food, beverage and nutraceutical industries</w:t>
      </w:r>
      <w:r w:rsidRPr="00F26141">
        <w:rPr>
          <w:sz w:val="22"/>
          <w:szCs w:val="22"/>
        </w:rPr>
        <w:t>. Elsevier</w:t>
      </w:r>
      <w:r>
        <w:rPr>
          <w:sz w:val="22"/>
          <w:szCs w:val="22"/>
        </w:rPr>
        <w:t>, 2010.</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Zhao, L.</w:t>
      </w:r>
      <w:r>
        <w:rPr>
          <w:sz w:val="22"/>
          <w:szCs w:val="22"/>
        </w:rPr>
        <w:t xml:space="preserve"> </w:t>
      </w:r>
      <w:r w:rsidRPr="00F26141">
        <w:rPr>
          <w:sz w:val="22"/>
          <w:szCs w:val="22"/>
        </w:rPr>
        <w:t xml:space="preserve">Protective effect and mechanism of action of xanthan gum on the color stability of black rice anthocyanins in model beverage systems. </w:t>
      </w:r>
      <w:r w:rsidRPr="00287636">
        <w:rPr>
          <w:i/>
          <w:iCs/>
          <w:sz w:val="22"/>
          <w:szCs w:val="22"/>
        </w:rPr>
        <w:t>International Journal of Biological Macromolecules</w:t>
      </w:r>
      <w:r w:rsidRPr="00287636">
        <w:rPr>
          <w:sz w:val="22"/>
          <w:szCs w:val="22"/>
        </w:rPr>
        <w:t>,</w:t>
      </w:r>
      <w:r>
        <w:rPr>
          <w:sz w:val="22"/>
          <w:szCs w:val="22"/>
        </w:rPr>
        <w:t xml:space="preserve"> </w:t>
      </w:r>
      <w:r w:rsidRPr="00287636">
        <w:rPr>
          <w:b/>
          <w:bCs/>
          <w:sz w:val="22"/>
          <w:szCs w:val="22"/>
        </w:rPr>
        <w:t>2020</w:t>
      </w:r>
      <w:r>
        <w:rPr>
          <w:sz w:val="22"/>
          <w:szCs w:val="22"/>
        </w:rPr>
        <w:t>,</w:t>
      </w:r>
      <w:r w:rsidRPr="00F26141">
        <w:rPr>
          <w:sz w:val="22"/>
          <w:szCs w:val="22"/>
        </w:rPr>
        <w:t xml:space="preserve"> </w:t>
      </w:r>
      <w:r w:rsidRPr="00287636">
        <w:rPr>
          <w:i/>
          <w:iCs/>
          <w:sz w:val="22"/>
          <w:szCs w:val="22"/>
        </w:rPr>
        <w:t>164,</w:t>
      </w:r>
      <w:r w:rsidRPr="00F26141">
        <w:rPr>
          <w:sz w:val="22"/>
          <w:szCs w:val="22"/>
        </w:rPr>
        <w:t xml:space="preserve"> 3800-3807.</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Zang, X.</w:t>
      </w:r>
      <w:r>
        <w:rPr>
          <w:sz w:val="22"/>
          <w:szCs w:val="22"/>
        </w:rPr>
        <w:t xml:space="preserve"> </w:t>
      </w:r>
      <w:r w:rsidRPr="00F26141">
        <w:rPr>
          <w:sz w:val="22"/>
          <w:szCs w:val="22"/>
        </w:rPr>
        <w:t xml:space="preserve">Addition of anionic polysaccharides to improve the stability of rice bran protein hydrolysate-stabilized emulsions. </w:t>
      </w:r>
      <w:r w:rsidRPr="00287636">
        <w:rPr>
          <w:i/>
          <w:iCs/>
          <w:sz w:val="22"/>
          <w:szCs w:val="22"/>
        </w:rPr>
        <w:t>Lwt</w:t>
      </w:r>
      <w:r>
        <w:rPr>
          <w:sz w:val="22"/>
          <w:szCs w:val="22"/>
        </w:rPr>
        <w:t xml:space="preserve">, </w:t>
      </w:r>
      <w:r w:rsidRPr="00287636">
        <w:rPr>
          <w:b/>
          <w:bCs/>
          <w:sz w:val="22"/>
          <w:szCs w:val="22"/>
        </w:rPr>
        <w:t>2019</w:t>
      </w:r>
      <w:r>
        <w:rPr>
          <w:sz w:val="22"/>
          <w:szCs w:val="22"/>
        </w:rPr>
        <w:t>,</w:t>
      </w:r>
      <w:r w:rsidRPr="00F26141">
        <w:rPr>
          <w:sz w:val="22"/>
          <w:szCs w:val="22"/>
        </w:rPr>
        <w:t xml:space="preserve"> </w:t>
      </w:r>
      <w:r w:rsidRPr="00287636">
        <w:rPr>
          <w:i/>
          <w:iCs/>
          <w:sz w:val="22"/>
          <w:szCs w:val="22"/>
        </w:rPr>
        <w:t>111</w:t>
      </w:r>
      <w:r>
        <w:rPr>
          <w:sz w:val="22"/>
          <w:szCs w:val="22"/>
        </w:rPr>
        <w:t xml:space="preserve">, </w:t>
      </w:r>
      <w:r w:rsidRPr="00F26141">
        <w:rPr>
          <w:sz w:val="22"/>
          <w:szCs w:val="22"/>
        </w:rPr>
        <w:t xml:space="preserve">573-581. </w:t>
      </w:r>
    </w:p>
    <w:p w:rsidR="00423F4E" w:rsidRDefault="00423F4E" w:rsidP="00423F4E">
      <w:pPr>
        <w:pStyle w:val="ListParagraph"/>
        <w:numPr>
          <w:ilvl w:val="0"/>
          <w:numId w:val="2"/>
        </w:numPr>
        <w:spacing w:after="0" w:line="240" w:lineRule="auto"/>
        <w:jc w:val="both"/>
        <w:rPr>
          <w:sz w:val="22"/>
          <w:szCs w:val="22"/>
        </w:rPr>
      </w:pPr>
      <w:r w:rsidRPr="00F26141">
        <w:rPr>
          <w:sz w:val="22"/>
          <w:szCs w:val="22"/>
        </w:rPr>
        <w:t xml:space="preserve">Sworn, G. </w:t>
      </w:r>
      <w:r w:rsidRPr="00870FEB">
        <w:rPr>
          <w:sz w:val="22"/>
          <w:szCs w:val="22"/>
        </w:rPr>
        <w:t>Xanthan gum</w:t>
      </w:r>
      <w:r w:rsidRPr="00F26141">
        <w:rPr>
          <w:sz w:val="22"/>
          <w:szCs w:val="22"/>
        </w:rPr>
        <w:t xml:space="preserve">. </w:t>
      </w:r>
      <w:r w:rsidRPr="00870FEB">
        <w:rPr>
          <w:i/>
          <w:iCs/>
          <w:sz w:val="22"/>
          <w:szCs w:val="22"/>
        </w:rPr>
        <w:t>In Handbook of hydrocolloids</w:t>
      </w:r>
      <w:r>
        <w:rPr>
          <w:sz w:val="22"/>
          <w:szCs w:val="22"/>
        </w:rPr>
        <w:t>.</w:t>
      </w:r>
      <w:r w:rsidRPr="00F26141">
        <w:rPr>
          <w:sz w:val="22"/>
          <w:szCs w:val="22"/>
        </w:rPr>
        <w:t xml:space="preserve"> Elsevier</w:t>
      </w:r>
      <w:r>
        <w:rPr>
          <w:sz w:val="22"/>
          <w:szCs w:val="22"/>
        </w:rPr>
        <w:t xml:space="preserve">, 2021, </w:t>
      </w:r>
      <w:r w:rsidRPr="00F26141">
        <w:rPr>
          <w:sz w:val="22"/>
          <w:szCs w:val="22"/>
        </w:rPr>
        <w:t xml:space="preserve">833-853.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Long, Z.</w:t>
      </w:r>
      <w:r>
        <w:rPr>
          <w:sz w:val="22"/>
          <w:szCs w:val="22"/>
        </w:rPr>
        <w:t xml:space="preserve"> </w:t>
      </w:r>
      <w:r w:rsidRPr="00F26141">
        <w:rPr>
          <w:sz w:val="22"/>
          <w:szCs w:val="22"/>
        </w:rPr>
        <w:t xml:space="preserve">Influence of xanthan gum on physical characteristics of sodium caseinate solutions and emulsions. </w:t>
      </w:r>
      <w:r w:rsidRPr="00870FEB">
        <w:rPr>
          <w:i/>
          <w:iCs/>
          <w:sz w:val="22"/>
          <w:szCs w:val="22"/>
        </w:rPr>
        <w:t>Food Hydrocolloids</w:t>
      </w:r>
      <w:r>
        <w:rPr>
          <w:sz w:val="22"/>
          <w:szCs w:val="22"/>
        </w:rPr>
        <w:t xml:space="preserve">, </w:t>
      </w:r>
      <w:r w:rsidRPr="00870FEB">
        <w:rPr>
          <w:b/>
          <w:bCs/>
          <w:sz w:val="22"/>
          <w:szCs w:val="22"/>
        </w:rPr>
        <w:t>2013</w:t>
      </w:r>
      <w:r>
        <w:rPr>
          <w:sz w:val="22"/>
          <w:szCs w:val="22"/>
        </w:rPr>
        <w:t>,</w:t>
      </w:r>
      <w:r w:rsidRPr="00F26141">
        <w:rPr>
          <w:sz w:val="22"/>
          <w:szCs w:val="22"/>
        </w:rPr>
        <w:t xml:space="preserve"> </w:t>
      </w:r>
      <w:r w:rsidRPr="00870FEB">
        <w:rPr>
          <w:i/>
          <w:iCs/>
          <w:sz w:val="22"/>
          <w:szCs w:val="22"/>
        </w:rPr>
        <w:t>32, 1</w:t>
      </w:r>
      <w:r>
        <w:rPr>
          <w:sz w:val="22"/>
          <w:szCs w:val="22"/>
        </w:rPr>
        <w:t>,</w:t>
      </w:r>
      <w:r w:rsidRPr="00F26141">
        <w:rPr>
          <w:sz w:val="22"/>
          <w:szCs w:val="22"/>
        </w:rPr>
        <w:t xml:space="preserve"> 123-129.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Sun, C. Effect of xanthan gum on physicochemical properties of whey protein isolate stabilized oil-in-water emulsions. </w:t>
      </w:r>
      <w:r w:rsidRPr="005D5DDE">
        <w:rPr>
          <w:i/>
          <w:iCs/>
          <w:sz w:val="22"/>
          <w:szCs w:val="22"/>
        </w:rPr>
        <w:t>Food Hydrocolloids</w:t>
      </w:r>
      <w:r>
        <w:rPr>
          <w:sz w:val="22"/>
          <w:szCs w:val="22"/>
        </w:rPr>
        <w:t xml:space="preserve">, </w:t>
      </w:r>
      <w:r w:rsidRPr="005D5DDE">
        <w:rPr>
          <w:b/>
          <w:bCs/>
          <w:sz w:val="22"/>
          <w:szCs w:val="22"/>
        </w:rPr>
        <w:t>2007</w:t>
      </w:r>
      <w:r>
        <w:rPr>
          <w:sz w:val="22"/>
          <w:szCs w:val="22"/>
        </w:rPr>
        <w:t>,</w:t>
      </w:r>
      <w:r w:rsidRPr="00F26141">
        <w:rPr>
          <w:sz w:val="22"/>
          <w:szCs w:val="22"/>
        </w:rPr>
        <w:t xml:space="preserve"> </w:t>
      </w:r>
      <w:r w:rsidRPr="005D5DDE">
        <w:rPr>
          <w:i/>
          <w:iCs/>
          <w:sz w:val="22"/>
          <w:szCs w:val="22"/>
        </w:rPr>
        <w:t>21, 4,</w:t>
      </w:r>
      <w:r w:rsidRPr="00F26141">
        <w:rPr>
          <w:sz w:val="22"/>
          <w:szCs w:val="22"/>
        </w:rPr>
        <w:t xml:space="preserve"> 555-564.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Hòa, M. X. H., &amp; Minh, N. T. T.</w:t>
      </w:r>
      <w:r>
        <w:rPr>
          <w:sz w:val="22"/>
          <w:szCs w:val="22"/>
        </w:rPr>
        <w:t xml:space="preserve"> </w:t>
      </w:r>
      <w:r w:rsidRPr="00F26141">
        <w:rPr>
          <w:sz w:val="22"/>
          <w:szCs w:val="22"/>
        </w:rPr>
        <w:t xml:space="preserve">Nâng cao tính ổn định của sữa hạt điều bằng phụ gia thực phẩm và đồng hóa áp suất cao. </w:t>
      </w:r>
      <w:r w:rsidRPr="005D5DDE">
        <w:rPr>
          <w:i/>
          <w:iCs/>
          <w:sz w:val="22"/>
          <w:szCs w:val="22"/>
        </w:rPr>
        <w:t>Tạp chí Khoa học Công nghệ và Thực phẩm</w:t>
      </w:r>
      <w:r>
        <w:rPr>
          <w:i/>
          <w:iCs/>
          <w:sz w:val="22"/>
          <w:szCs w:val="22"/>
        </w:rPr>
        <w:t xml:space="preserve">, </w:t>
      </w:r>
      <w:r w:rsidRPr="005D5DDE">
        <w:rPr>
          <w:b/>
          <w:bCs/>
          <w:sz w:val="22"/>
          <w:szCs w:val="22"/>
        </w:rPr>
        <w:t>2018</w:t>
      </w:r>
      <w:r>
        <w:rPr>
          <w:i/>
          <w:iCs/>
          <w:sz w:val="22"/>
          <w:szCs w:val="22"/>
        </w:rPr>
        <w:t>,</w:t>
      </w:r>
      <w:r w:rsidRPr="00F26141">
        <w:rPr>
          <w:sz w:val="22"/>
          <w:szCs w:val="22"/>
        </w:rPr>
        <w:t xml:space="preserve"> </w:t>
      </w:r>
      <w:r w:rsidRPr="005D5DDE">
        <w:rPr>
          <w:i/>
          <w:iCs/>
          <w:sz w:val="22"/>
          <w:szCs w:val="22"/>
        </w:rPr>
        <w:t>17, 1</w:t>
      </w:r>
      <w:r>
        <w:rPr>
          <w:sz w:val="22"/>
          <w:szCs w:val="22"/>
        </w:rPr>
        <w:t xml:space="preserve">, </w:t>
      </w:r>
      <w:r w:rsidRPr="00F26141">
        <w:rPr>
          <w:sz w:val="22"/>
          <w:szCs w:val="22"/>
        </w:rPr>
        <w:t xml:space="preserve">57-56.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Imeson, A. </w:t>
      </w:r>
      <w:r w:rsidRPr="005D5DDE">
        <w:rPr>
          <w:i/>
          <w:iCs/>
          <w:sz w:val="22"/>
          <w:szCs w:val="22"/>
        </w:rPr>
        <w:t>Food stabilisers, thickeners and gelling agents</w:t>
      </w:r>
      <w:r w:rsidRPr="00F26141">
        <w:rPr>
          <w:sz w:val="22"/>
          <w:szCs w:val="22"/>
        </w:rPr>
        <w:t>. John Wiley &amp; Sons</w:t>
      </w:r>
      <w:r>
        <w:rPr>
          <w:sz w:val="22"/>
          <w:szCs w:val="22"/>
        </w:rPr>
        <w:t>, 2011</w:t>
      </w:r>
      <w:r w:rsidRPr="00F26141">
        <w:rPr>
          <w:sz w:val="22"/>
          <w:szCs w:val="22"/>
        </w:rPr>
        <w:t xml:space="preserve">.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 xml:space="preserve">Tomasik, P. </w:t>
      </w:r>
      <w:r w:rsidRPr="005D5DDE">
        <w:rPr>
          <w:i/>
          <w:iCs/>
          <w:sz w:val="22"/>
          <w:szCs w:val="22"/>
        </w:rPr>
        <w:t>Chemical and functional properties of food saccharides</w:t>
      </w:r>
      <w:r w:rsidRPr="00F26141">
        <w:rPr>
          <w:sz w:val="22"/>
          <w:szCs w:val="22"/>
        </w:rPr>
        <w:t>. CRC press</w:t>
      </w:r>
      <w:r>
        <w:rPr>
          <w:sz w:val="22"/>
          <w:szCs w:val="22"/>
        </w:rPr>
        <w:t>, 2003</w:t>
      </w:r>
      <w:r w:rsidRPr="00F26141">
        <w:rPr>
          <w:sz w:val="22"/>
          <w:szCs w:val="22"/>
        </w:rPr>
        <w:t xml:space="preserve">. </w:t>
      </w:r>
    </w:p>
    <w:p w:rsidR="00423F4E" w:rsidRPr="00F26141" w:rsidRDefault="00423F4E" w:rsidP="00423F4E">
      <w:pPr>
        <w:pStyle w:val="ListParagraph"/>
        <w:numPr>
          <w:ilvl w:val="0"/>
          <w:numId w:val="2"/>
        </w:numPr>
        <w:spacing w:after="0" w:line="240" w:lineRule="auto"/>
        <w:jc w:val="both"/>
        <w:rPr>
          <w:sz w:val="22"/>
          <w:szCs w:val="22"/>
        </w:rPr>
      </w:pPr>
      <w:r w:rsidRPr="00F26141">
        <w:rPr>
          <w:sz w:val="22"/>
          <w:szCs w:val="22"/>
        </w:rPr>
        <w:t>Ghavidel, N., &amp; Fatehi, P.</w:t>
      </w:r>
      <w:r>
        <w:rPr>
          <w:sz w:val="22"/>
          <w:szCs w:val="22"/>
        </w:rPr>
        <w:t xml:space="preserve"> </w:t>
      </w:r>
      <w:r w:rsidRPr="00F26141">
        <w:rPr>
          <w:sz w:val="22"/>
          <w:szCs w:val="22"/>
        </w:rPr>
        <w:t xml:space="preserve">Recent Developments in the Formulation and Use of Polymers and Particles of Plant‐based Origin for Emulsion Stabilizations. </w:t>
      </w:r>
      <w:r w:rsidRPr="005D5DDE">
        <w:rPr>
          <w:i/>
          <w:iCs/>
          <w:sz w:val="22"/>
          <w:szCs w:val="22"/>
        </w:rPr>
        <w:t>Chem Sus Chem</w:t>
      </w:r>
      <w:r>
        <w:rPr>
          <w:sz w:val="22"/>
          <w:szCs w:val="22"/>
        </w:rPr>
        <w:t xml:space="preserve">, </w:t>
      </w:r>
      <w:r w:rsidRPr="005D5DDE">
        <w:rPr>
          <w:b/>
          <w:bCs/>
          <w:sz w:val="22"/>
          <w:szCs w:val="22"/>
        </w:rPr>
        <w:t>2021</w:t>
      </w:r>
      <w:r>
        <w:rPr>
          <w:sz w:val="22"/>
          <w:szCs w:val="22"/>
        </w:rPr>
        <w:t>,</w:t>
      </w:r>
      <w:r w:rsidRPr="00F26141">
        <w:rPr>
          <w:sz w:val="22"/>
          <w:szCs w:val="22"/>
        </w:rPr>
        <w:t xml:space="preserve"> </w:t>
      </w:r>
      <w:r w:rsidRPr="005D5DDE">
        <w:rPr>
          <w:i/>
          <w:iCs/>
          <w:sz w:val="22"/>
          <w:szCs w:val="22"/>
        </w:rPr>
        <w:t>14, 22</w:t>
      </w:r>
      <w:r>
        <w:rPr>
          <w:sz w:val="22"/>
          <w:szCs w:val="22"/>
        </w:rPr>
        <w:t>,</w:t>
      </w:r>
      <w:r w:rsidRPr="00F26141">
        <w:rPr>
          <w:sz w:val="22"/>
          <w:szCs w:val="22"/>
        </w:rPr>
        <w:t xml:space="preserve"> 4850-4877. </w:t>
      </w:r>
    </w:p>
    <w:p w:rsidR="000B162E" w:rsidRDefault="000B162E"/>
    <w:sectPr w:rsidR="000B162E" w:rsidSect="00423F4E">
      <w:footerReference w:type="default" r:id="rId15"/>
      <w:footerReference w:type="first" r:id="rId16"/>
      <w:pgSz w:w="11160" w:h="15480" w:code="121"/>
      <w:pgMar w:top="964" w:right="1134"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676A" w:rsidRDefault="00B5676A">
      <w:pPr>
        <w:spacing w:after="0" w:line="240" w:lineRule="auto"/>
      </w:pPr>
      <w:r>
        <w:separator/>
      </w:r>
    </w:p>
  </w:endnote>
  <w:endnote w:type="continuationSeparator" w:id="0">
    <w:p w:rsidR="00B5676A" w:rsidRDefault="00B5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D33" w:rsidRDefault="00402D3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2D33" w:rsidRDefault="0040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676A" w:rsidRDefault="00B5676A">
      <w:pPr>
        <w:spacing w:after="0" w:line="240" w:lineRule="auto"/>
      </w:pPr>
      <w:r>
        <w:separator/>
      </w:r>
    </w:p>
  </w:footnote>
  <w:footnote w:type="continuationSeparator" w:id="0">
    <w:p w:rsidR="00B5676A" w:rsidRDefault="00B5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2D5B"/>
    <w:multiLevelType w:val="hybridMultilevel"/>
    <w:tmpl w:val="D20A4BB2"/>
    <w:lvl w:ilvl="0" w:tplc="EFF06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12F1E"/>
    <w:multiLevelType w:val="multilevel"/>
    <w:tmpl w:val="9E9095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B44AA"/>
    <w:multiLevelType w:val="hybridMultilevel"/>
    <w:tmpl w:val="18CE0376"/>
    <w:lvl w:ilvl="0" w:tplc="CBD2E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86780"/>
    <w:multiLevelType w:val="hybridMultilevel"/>
    <w:tmpl w:val="866435A4"/>
    <w:lvl w:ilvl="0" w:tplc="F8F4572C">
      <w:start w:val="6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B554B90"/>
    <w:multiLevelType w:val="multilevel"/>
    <w:tmpl w:val="48B6BB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DD6BF7"/>
    <w:multiLevelType w:val="hybridMultilevel"/>
    <w:tmpl w:val="41748CFE"/>
    <w:lvl w:ilvl="0" w:tplc="E0A8390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E3730"/>
    <w:multiLevelType w:val="multilevel"/>
    <w:tmpl w:val="CC4E5E3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07E03"/>
    <w:multiLevelType w:val="multilevel"/>
    <w:tmpl w:val="14A8BD9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E609B"/>
    <w:multiLevelType w:val="hybridMultilevel"/>
    <w:tmpl w:val="0C767CB2"/>
    <w:lvl w:ilvl="0" w:tplc="BE7E928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52961"/>
    <w:multiLevelType w:val="multilevel"/>
    <w:tmpl w:val="515A678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5796B"/>
    <w:multiLevelType w:val="hybridMultilevel"/>
    <w:tmpl w:val="708047E4"/>
    <w:lvl w:ilvl="0" w:tplc="59A69CE4">
      <w:numFmt w:val="decimal"/>
      <w:lvlText w:val="%1."/>
      <w:lvlJc w:val="left"/>
      <w:pPr>
        <w:ind w:left="855" w:hanging="495"/>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070EA"/>
    <w:multiLevelType w:val="hybridMultilevel"/>
    <w:tmpl w:val="EE7A7AA6"/>
    <w:lvl w:ilvl="0" w:tplc="ED686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373755"/>
    <w:multiLevelType w:val="hybridMultilevel"/>
    <w:tmpl w:val="7BEC8A1A"/>
    <w:lvl w:ilvl="0" w:tplc="99106BA8">
      <w:start w:val="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27A94"/>
    <w:multiLevelType w:val="hybridMultilevel"/>
    <w:tmpl w:val="C2D04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D33FEE"/>
    <w:multiLevelType w:val="hybridMultilevel"/>
    <w:tmpl w:val="BE320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04BED"/>
    <w:multiLevelType w:val="multilevel"/>
    <w:tmpl w:val="F828DCDC"/>
    <w:lvl w:ilvl="0">
      <w:start w:val="1"/>
      <w:numFmt w:val="decimal"/>
      <w:lvlText w:val="%1."/>
      <w:lvlJc w:val="left"/>
      <w:pPr>
        <w:ind w:left="390" w:hanging="390"/>
      </w:pPr>
      <w:rPr>
        <w:rFonts w:cstheme="minorBidi" w:hint="default"/>
        <w:b w:val="0"/>
      </w:rPr>
    </w:lvl>
    <w:lvl w:ilvl="1">
      <w:start w:val="1"/>
      <w:numFmt w:val="decimal"/>
      <w:lvlText w:val="%1.%2."/>
      <w:lvlJc w:val="left"/>
      <w:pPr>
        <w:ind w:left="720" w:hanging="720"/>
      </w:pPr>
      <w:rPr>
        <w:rFonts w:cstheme="minorBidi" w:hint="default"/>
        <w:b w:val="0"/>
      </w:rPr>
    </w:lvl>
    <w:lvl w:ilvl="2">
      <w:start w:val="1"/>
      <w:numFmt w:val="decimal"/>
      <w:lvlText w:val="%1.%2.%3."/>
      <w:lvlJc w:val="left"/>
      <w:pPr>
        <w:ind w:left="720" w:hanging="720"/>
      </w:pPr>
      <w:rPr>
        <w:rFonts w:cstheme="minorBidi" w:hint="default"/>
        <w:b w:val="0"/>
      </w:rPr>
    </w:lvl>
    <w:lvl w:ilvl="3">
      <w:start w:val="1"/>
      <w:numFmt w:val="decimal"/>
      <w:lvlText w:val="%1.%2.%3.%4."/>
      <w:lvlJc w:val="left"/>
      <w:pPr>
        <w:ind w:left="1080" w:hanging="1080"/>
      </w:pPr>
      <w:rPr>
        <w:rFonts w:cstheme="minorBidi" w:hint="default"/>
        <w:b w:val="0"/>
      </w:rPr>
    </w:lvl>
    <w:lvl w:ilvl="4">
      <w:start w:val="1"/>
      <w:numFmt w:val="decimal"/>
      <w:lvlText w:val="%1.%2.%3.%4.%5."/>
      <w:lvlJc w:val="left"/>
      <w:pPr>
        <w:ind w:left="1080" w:hanging="1080"/>
      </w:pPr>
      <w:rPr>
        <w:rFonts w:cstheme="minorBidi" w:hint="default"/>
        <w:b w:val="0"/>
      </w:rPr>
    </w:lvl>
    <w:lvl w:ilvl="5">
      <w:start w:val="1"/>
      <w:numFmt w:val="decimal"/>
      <w:lvlText w:val="%1.%2.%3.%4.%5.%6."/>
      <w:lvlJc w:val="left"/>
      <w:pPr>
        <w:ind w:left="1440" w:hanging="1440"/>
      </w:pPr>
      <w:rPr>
        <w:rFonts w:cstheme="minorBidi" w:hint="default"/>
        <w:b w:val="0"/>
      </w:rPr>
    </w:lvl>
    <w:lvl w:ilvl="6">
      <w:start w:val="1"/>
      <w:numFmt w:val="decimal"/>
      <w:lvlText w:val="%1.%2.%3.%4.%5.%6.%7."/>
      <w:lvlJc w:val="left"/>
      <w:pPr>
        <w:ind w:left="1440" w:hanging="1440"/>
      </w:pPr>
      <w:rPr>
        <w:rFonts w:cstheme="minorBidi" w:hint="default"/>
        <w:b w:val="0"/>
      </w:rPr>
    </w:lvl>
    <w:lvl w:ilvl="7">
      <w:start w:val="1"/>
      <w:numFmt w:val="decimal"/>
      <w:lvlText w:val="%1.%2.%3.%4.%5.%6.%7.%8."/>
      <w:lvlJc w:val="left"/>
      <w:pPr>
        <w:ind w:left="1800" w:hanging="1800"/>
      </w:pPr>
      <w:rPr>
        <w:rFonts w:cstheme="minorBidi" w:hint="default"/>
        <w:b w:val="0"/>
      </w:rPr>
    </w:lvl>
    <w:lvl w:ilvl="8">
      <w:start w:val="1"/>
      <w:numFmt w:val="decimal"/>
      <w:lvlText w:val="%1.%2.%3.%4.%5.%6.%7.%8.%9."/>
      <w:lvlJc w:val="left"/>
      <w:pPr>
        <w:ind w:left="1800" w:hanging="1800"/>
      </w:pPr>
      <w:rPr>
        <w:rFonts w:cstheme="minorBidi" w:hint="default"/>
        <w:b w:val="0"/>
      </w:rPr>
    </w:lvl>
  </w:abstractNum>
  <w:abstractNum w:abstractNumId="16" w15:restartNumberingAfterBreak="0">
    <w:nsid w:val="42334D93"/>
    <w:multiLevelType w:val="hybridMultilevel"/>
    <w:tmpl w:val="B254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F5FBE"/>
    <w:multiLevelType w:val="hybridMultilevel"/>
    <w:tmpl w:val="F47245BC"/>
    <w:lvl w:ilvl="0" w:tplc="06D2FA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C7446"/>
    <w:multiLevelType w:val="hybridMultilevel"/>
    <w:tmpl w:val="037ABFFA"/>
    <w:lvl w:ilvl="0" w:tplc="E0A8390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23949"/>
    <w:multiLevelType w:val="hybridMultilevel"/>
    <w:tmpl w:val="AA0C1648"/>
    <w:lvl w:ilvl="0" w:tplc="B358C4EC">
      <w:start w:val="1"/>
      <w:numFmt w:val="bullet"/>
      <w:lvlText w:val=""/>
      <w:lvlJc w:val="left"/>
      <w:pPr>
        <w:ind w:left="720" w:hanging="360"/>
      </w:pPr>
      <w:rPr>
        <w:rFonts w:ascii="Wingdings 2" w:hAnsi="Wingdings 2"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9F3307C"/>
    <w:multiLevelType w:val="hybridMultilevel"/>
    <w:tmpl w:val="3954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D0DF9"/>
    <w:multiLevelType w:val="hybridMultilevel"/>
    <w:tmpl w:val="744C24B6"/>
    <w:lvl w:ilvl="0" w:tplc="E0A8390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51652"/>
    <w:multiLevelType w:val="hybridMultilevel"/>
    <w:tmpl w:val="1A9A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4345B"/>
    <w:multiLevelType w:val="hybridMultilevel"/>
    <w:tmpl w:val="9BF20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6B78ED"/>
    <w:multiLevelType w:val="hybridMultilevel"/>
    <w:tmpl w:val="D610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94D1F"/>
    <w:multiLevelType w:val="hybridMultilevel"/>
    <w:tmpl w:val="C2D04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5507D"/>
    <w:multiLevelType w:val="hybridMultilevel"/>
    <w:tmpl w:val="38C42AC0"/>
    <w:lvl w:ilvl="0" w:tplc="0EE0148A">
      <w:start w:val="2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235B7"/>
    <w:multiLevelType w:val="multilevel"/>
    <w:tmpl w:val="B770D030"/>
    <w:lvl w:ilvl="0">
      <w:start w:val="1"/>
      <w:numFmt w:val="decimal"/>
      <w:lvlText w:val="%1."/>
      <w:lvlJc w:val="left"/>
      <w:pPr>
        <w:ind w:left="390" w:hanging="39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28" w15:restartNumberingAfterBreak="0">
    <w:nsid w:val="72D77E54"/>
    <w:multiLevelType w:val="multilevel"/>
    <w:tmpl w:val="3E2460D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86CD0"/>
    <w:multiLevelType w:val="hybridMultilevel"/>
    <w:tmpl w:val="1996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45BC5"/>
    <w:multiLevelType w:val="hybridMultilevel"/>
    <w:tmpl w:val="B06476B2"/>
    <w:lvl w:ilvl="0" w:tplc="B332F3F8">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2E47B6"/>
    <w:multiLevelType w:val="multilevel"/>
    <w:tmpl w:val="8F7C163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85772996">
    <w:abstractNumId w:val="30"/>
  </w:num>
  <w:num w:numId="2" w16cid:durableId="1008554583">
    <w:abstractNumId w:val="25"/>
  </w:num>
  <w:num w:numId="3" w16cid:durableId="511183336">
    <w:abstractNumId w:val="10"/>
  </w:num>
  <w:num w:numId="4" w16cid:durableId="1243220843">
    <w:abstractNumId w:val="29"/>
  </w:num>
  <w:num w:numId="5" w16cid:durableId="1010793285">
    <w:abstractNumId w:val="20"/>
  </w:num>
  <w:num w:numId="6" w16cid:durableId="1904439538">
    <w:abstractNumId w:val="21"/>
  </w:num>
  <w:num w:numId="7" w16cid:durableId="1310675770">
    <w:abstractNumId w:val="5"/>
  </w:num>
  <w:num w:numId="8" w16cid:durableId="1624577322">
    <w:abstractNumId w:val="17"/>
  </w:num>
  <w:num w:numId="9" w16cid:durableId="1175459950">
    <w:abstractNumId w:val="28"/>
  </w:num>
  <w:num w:numId="10" w16cid:durableId="910847783">
    <w:abstractNumId w:val="8"/>
  </w:num>
  <w:num w:numId="11" w16cid:durableId="903300430">
    <w:abstractNumId w:val="3"/>
  </w:num>
  <w:num w:numId="12" w16cid:durableId="1306620459">
    <w:abstractNumId w:val="12"/>
  </w:num>
  <w:num w:numId="13" w16cid:durableId="1202284145">
    <w:abstractNumId w:val="26"/>
  </w:num>
  <w:num w:numId="14" w16cid:durableId="1116175655">
    <w:abstractNumId w:val="0"/>
  </w:num>
  <w:num w:numId="15" w16cid:durableId="140005534">
    <w:abstractNumId w:val="18"/>
  </w:num>
  <w:num w:numId="16" w16cid:durableId="87432979">
    <w:abstractNumId w:val="16"/>
  </w:num>
  <w:num w:numId="17" w16cid:durableId="2090881533">
    <w:abstractNumId w:val="11"/>
  </w:num>
  <w:num w:numId="18" w16cid:durableId="905452704">
    <w:abstractNumId w:val="2"/>
  </w:num>
  <w:num w:numId="19" w16cid:durableId="1707607956">
    <w:abstractNumId w:val="14"/>
  </w:num>
  <w:num w:numId="20" w16cid:durableId="11885370">
    <w:abstractNumId w:val="23"/>
  </w:num>
  <w:num w:numId="21" w16cid:durableId="602344928">
    <w:abstractNumId w:val="22"/>
  </w:num>
  <w:num w:numId="22" w16cid:durableId="300765737">
    <w:abstractNumId w:val="7"/>
  </w:num>
  <w:num w:numId="23" w16cid:durableId="1555770050">
    <w:abstractNumId w:val="9"/>
  </w:num>
  <w:num w:numId="24" w16cid:durableId="646667919">
    <w:abstractNumId w:val="15"/>
  </w:num>
  <w:num w:numId="25" w16cid:durableId="1501118919">
    <w:abstractNumId w:val="27"/>
  </w:num>
  <w:num w:numId="26" w16cid:durableId="1995143010">
    <w:abstractNumId w:val="19"/>
  </w:num>
  <w:num w:numId="27" w16cid:durableId="1823620470">
    <w:abstractNumId w:val="31"/>
  </w:num>
  <w:num w:numId="28" w16cid:durableId="1508248178">
    <w:abstractNumId w:val="4"/>
  </w:num>
  <w:num w:numId="29" w16cid:durableId="2004240331">
    <w:abstractNumId w:val="1"/>
  </w:num>
  <w:num w:numId="30" w16cid:durableId="568270751">
    <w:abstractNumId w:val="6"/>
  </w:num>
  <w:num w:numId="31" w16cid:durableId="1516503342">
    <w:abstractNumId w:val="24"/>
  </w:num>
  <w:num w:numId="32" w16cid:durableId="1067805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4E"/>
    <w:rsid w:val="000B162E"/>
    <w:rsid w:val="000F6B85"/>
    <w:rsid w:val="001904D1"/>
    <w:rsid w:val="002400EC"/>
    <w:rsid w:val="0031208C"/>
    <w:rsid w:val="00325C64"/>
    <w:rsid w:val="003B6449"/>
    <w:rsid w:val="00402D33"/>
    <w:rsid w:val="00423F4E"/>
    <w:rsid w:val="004502FB"/>
    <w:rsid w:val="005047E8"/>
    <w:rsid w:val="00523083"/>
    <w:rsid w:val="005536A8"/>
    <w:rsid w:val="00660472"/>
    <w:rsid w:val="006E1863"/>
    <w:rsid w:val="00707F7B"/>
    <w:rsid w:val="0089448E"/>
    <w:rsid w:val="008E0B18"/>
    <w:rsid w:val="00945372"/>
    <w:rsid w:val="00AF2544"/>
    <w:rsid w:val="00B5676A"/>
    <w:rsid w:val="00C27784"/>
    <w:rsid w:val="00C976DC"/>
    <w:rsid w:val="00CB46ED"/>
    <w:rsid w:val="00D821C9"/>
    <w:rsid w:val="00DE79C8"/>
    <w:rsid w:val="00F37F6A"/>
    <w:rsid w:val="00F4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51FA"/>
  <w15:chartTrackingRefBased/>
  <w15:docId w15:val="{5DC065EC-6CEB-4DE5-8619-A9B46675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5"/>
    <w:rPr>
      <w:kern w:val="0"/>
      <w14:ligatures w14:val="none"/>
    </w:rPr>
  </w:style>
  <w:style w:type="paragraph" w:styleId="Heading1">
    <w:name w:val="heading 1"/>
    <w:basedOn w:val="Normal"/>
    <w:next w:val="Normal"/>
    <w:link w:val="Heading1Char"/>
    <w:uiPriority w:val="9"/>
    <w:qFormat/>
    <w:rsid w:val="00423F4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423F4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3F4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3F4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23F4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23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3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3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3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F4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9"/>
    <w:rsid w:val="00423F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3F4E"/>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3F4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23F4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23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3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3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3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3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F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3F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3F4E"/>
    <w:rPr>
      <w:i/>
      <w:iCs/>
      <w:color w:val="404040" w:themeColor="text1" w:themeTint="BF"/>
    </w:rPr>
  </w:style>
  <w:style w:type="paragraph" w:styleId="ListParagraph">
    <w:name w:val="List Paragraph"/>
    <w:basedOn w:val="Normal"/>
    <w:qFormat/>
    <w:rsid w:val="00423F4E"/>
    <w:pPr>
      <w:ind w:left="720"/>
      <w:contextualSpacing/>
    </w:pPr>
  </w:style>
  <w:style w:type="character" w:styleId="IntenseEmphasis">
    <w:name w:val="Intense Emphasis"/>
    <w:basedOn w:val="DefaultParagraphFont"/>
    <w:uiPriority w:val="21"/>
    <w:qFormat/>
    <w:rsid w:val="00423F4E"/>
    <w:rPr>
      <w:i/>
      <w:iCs/>
      <w:color w:val="365F91" w:themeColor="accent1" w:themeShade="BF"/>
    </w:rPr>
  </w:style>
  <w:style w:type="paragraph" w:styleId="IntenseQuote">
    <w:name w:val="Intense Quote"/>
    <w:basedOn w:val="Normal"/>
    <w:next w:val="Normal"/>
    <w:link w:val="IntenseQuoteChar"/>
    <w:uiPriority w:val="30"/>
    <w:qFormat/>
    <w:rsid w:val="00423F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3F4E"/>
    <w:rPr>
      <w:i/>
      <w:iCs/>
      <w:color w:val="365F91" w:themeColor="accent1" w:themeShade="BF"/>
    </w:rPr>
  </w:style>
  <w:style w:type="character" w:styleId="IntenseReference">
    <w:name w:val="Intense Reference"/>
    <w:basedOn w:val="DefaultParagraphFont"/>
    <w:uiPriority w:val="32"/>
    <w:qFormat/>
    <w:rsid w:val="00423F4E"/>
    <w:rPr>
      <w:b/>
      <w:bCs/>
      <w:smallCaps/>
      <w:color w:val="365F91" w:themeColor="accent1" w:themeShade="BF"/>
      <w:spacing w:val="5"/>
    </w:rPr>
  </w:style>
  <w:style w:type="character" w:styleId="Hyperlink">
    <w:name w:val="Hyperlink"/>
    <w:basedOn w:val="DefaultParagraphFont"/>
    <w:uiPriority w:val="99"/>
    <w:unhideWhenUsed/>
    <w:rsid w:val="00423F4E"/>
    <w:rPr>
      <w:color w:val="0000FF" w:themeColor="hyperlink"/>
      <w:u w:val="single"/>
    </w:rPr>
  </w:style>
  <w:style w:type="character" w:styleId="UnresolvedMention">
    <w:name w:val="Unresolved Mention"/>
    <w:basedOn w:val="DefaultParagraphFont"/>
    <w:uiPriority w:val="99"/>
    <w:semiHidden/>
    <w:unhideWhenUsed/>
    <w:rsid w:val="00423F4E"/>
    <w:rPr>
      <w:color w:val="605E5C"/>
      <w:shd w:val="clear" w:color="auto" w:fill="E1DFDD"/>
    </w:rPr>
  </w:style>
  <w:style w:type="character" w:customStyle="1" w:styleId="fontstyle01">
    <w:name w:val="fontstyle01"/>
    <w:basedOn w:val="DefaultParagraphFont"/>
    <w:rsid w:val="00423F4E"/>
    <w:rPr>
      <w:rFonts w:ascii="Times New Roman" w:hAnsi="Times New Roman" w:cs="Times New Roman" w:hint="default"/>
      <w:b w:val="0"/>
      <w:bCs w:val="0"/>
      <w:i w:val="0"/>
      <w:iCs w:val="0"/>
      <w:color w:val="000000"/>
      <w:sz w:val="26"/>
      <w:szCs w:val="26"/>
    </w:rPr>
  </w:style>
  <w:style w:type="character" w:styleId="PlaceholderText">
    <w:name w:val="Placeholder Text"/>
    <w:basedOn w:val="DefaultParagraphFont"/>
    <w:uiPriority w:val="99"/>
    <w:semiHidden/>
    <w:rsid w:val="00423F4E"/>
    <w:rPr>
      <w:color w:val="808080"/>
    </w:rPr>
  </w:style>
  <w:style w:type="paragraph" w:styleId="NormalWeb">
    <w:name w:val="Normal (Web)"/>
    <w:basedOn w:val="Normal"/>
    <w:uiPriority w:val="99"/>
    <w:unhideWhenUsed/>
    <w:rsid w:val="00423F4E"/>
    <w:pPr>
      <w:spacing w:before="100" w:beforeAutospacing="1" w:after="100" w:afterAutospacing="1" w:line="240" w:lineRule="auto"/>
    </w:pPr>
    <w:rPr>
      <w:rFonts w:eastAsiaTheme="minorEastAsia"/>
      <w:sz w:val="24"/>
      <w:szCs w:val="24"/>
    </w:rPr>
  </w:style>
  <w:style w:type="table" w:styleId="TableGrid">
    <w:name w:val="Table Grid"/>
    <w:basedOn w:val="TableNormal"/>
    <w:uiPriority w:val="39"/>
    <w:rsid w:val="00423F4E"/>
    <w:pPr>
      <w:spacing w:after="0" w:line="240" w:lineRule="auto"/>
    </w:pPr>
    <w:rPr>
      <w:rFonts w:cstheme="minorBidi"/>
      <w:color w:val="000000" w:themeColor="text1"/>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23F4E"/>
    <w:pPr>
      <w:spacing w:after="0" w:line="240" w:lineRule="auto"/>
    </w:pPr>
    <w:rPr>
      <w:rFonts w:cstheme="minorBidi"/>
      <w:color w:val="000000" w:themeColor="text1"/>
      <w:kern w:val="0"/>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423F4E"/>
    <w:pPr>
      <w:widowControl w:val="0"/>
      <w:autoSpaceDE w:val="0"/>
      <w:autoSpaceDN w:val="0"/>
      <w:spacing w:after="0" w:line="240" w:lineRule="auto"/>
    </w:pPr>
    <w:rPr>
      <w:rFonts w:eastAsia="Times New Roman"/>
      <w:lang w:val="vi"/>
    </w:rPr>
  </w:style>
  <w:style w:type="character" w:customStyle="1" w:styleId="BodyTextChar">
    <w:name w:val="Body Text Char"/>
    <w:basedOn w:val="DefaultParagraphFont"/>
    <w:link w:val="BodyText"/>
    <w:uiPriority w:val="1"/>
    <w:rsid w:val="00423F4E"/>
    <w:rPr>
      <w:rFonts w:eastAsia="Times New Roman"/>
      <w:kern w:val="0"/>
      <w:lang w:val="vi"/>
      <w14:ligatures w14:val="none"/>
    </w:rPr>
  </w:style>
  <w:style w:type="paragraph" w:styleId="Footer">
    <w:name w:val="footer"/>
    <w:basedOn w:val="Normal"/>
    <w:link w:val="FooterChar"/>
    <w:uiPriority w:val="99"/>
    <w:unhideWhenUsed/>
    <w:rsid w:val="00423F4E"/>
    <w:pPr>
      <w:tabs>
        <w:tab w:val="center" w:pos="4680"/>
        <w:tab w:val="right" w:pos="9360"/>
      </w:tabs>
      <w:spacing w:after="0" w:line="240" w:lineRule="auto"/>
      <w:ind w:firstLine="567"/>
    </w:pPr>
    <w:rPr>
      <w:rFonts w:cstheme="minorBidi"/>
      <w:color w:val="000000" w:themeColor="text1"/>
      <w:szCs w:val="22"/>
    </w:rPr>
  </w:style>
  <w:style w:type="character" w:customStyle="1" w:styleId="FooterChar">
    <w:name w:val="Footer Char"/>
    <w:basedOn w:val="DefaultParagraphFont"/>
    <w:link w:val="Footer"/>
    <w:uiPriority w:val="99"/>
    <w:rsid w:val="00423F4E"/>
    <w:rPr>
      <w:rFonts w:cstheme="minorBidi"/>
      <w:color w:val="000000" w:themeColor="text1"/>
      <w:kern w:val="0"/>
      <w:szCs w:val="22"/>
      <w14:ligatures w14:val="none"/>
    </w:rPr>
  </w:style>
  <w:style w:type="character" w:styleId="Emphasis">
    <w:name w:val="Emphasis"/>
    <w:basedOn w:val="DefaultParagraphFont"/>
    <w:uiPriority w:val="20"/>
    <w:qFormat/>
    <w:rsid w:val="00423F4E"/>
    <w:rPr>
      <w:i/>
      <w:iCs/>
    </w:rPr>
  </w:style>
  <w:style w:type="paragraph" w:styleId="Header">
    <w:name w:val="header"/>
    <w:basedOn w:val="Normal"/>
    <w:link w:val="HeaderChar"/>
    <w:uiPriority w:val="99"/>
    <w:unhideWhenUsed/>
    <w:rsid w:val="00423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F4E"/>
    <w:rPr>
      <w:kern w:val="0"/>
      <w14:ligatures w14:val="none"/>
    </w:rPr>
  </w:style>
  <w:style w:type="paragraph" w:styleId="BalloonText">
    <w:name w:val="Balloon Text"/>
    <w:basedOn w:val="Normal"/>
    <w:link w:val="BalloonTextChar"/>
    <w:uiPriority w:val="99"/>
    <w:semiHidden/>
    <w:unhideWhenUsed/>
    <w:rsid w:val="00423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4E"/>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423F4E"/>
    <w:rPr>
      <w:sz w:val="16"/>
      <w:szCs w:val="16"/>
    </w:rPr>
  </w:style>
  <w:style w:type="paragraph" w:styleId="CommentText">
    <w:name w:val="annotation text"/>
    <w:basedOn w:val="Normal"/>
    <w:link w:val="CommentTextChar"/>
    <w:uiPriority w:val="99"/>
    <w:unhideWhenUsed/>
    <w:rsid w:val="00423F4E"/>
    <w:pPr>
      <w:spacing w:line="240" w:lineRule="auto"/>
    </w:pPr>
    <w:rPr>
      <w:sz w:val="20"/>
      <w:szCs w:val="20"/>
    </w:rPr>
  </w:style>
  <w:style w:type="character" w:customStyle="1" w:styleId="CommentTextChar">
    <w:name w:val="Comment Text Char"/>
    <w:basedOn w:val="DefaultParagraphFont"/>
    <w:link w:val="CommentText"/>
    <w:uiPriority w:val="99"/>
    <w:rsid w:val="00423F4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3F4E"/>
    <w:rPr>
      <w:b/>
      <w:bCs/>
    </w:rPr>
  </w:style>
  <w:style w:type="character" w:customStyle="1" w:styleId="CommentSubjectChar">
    <w:name w:val="Comment Subject Char"/>
    <w:basedOn w:val="CommentTextChar"/>
    <w:link w:val="CommentSubject"/>
    <w:uiPriority w:val="99"/>
    <w:semiHidden/>
    <w:rsid w:val="00423F4E"/>
    <w:rPr>
      <w:b/>
      <w:bCs/>
      <w:kern w:val="0"/>
      <w:sz w:val="20"/>
      <w:szCs w:val="20"/>
      <w14:ligatures w14:val="none"/>
    </w:rPr>
  </w:style>
  <w:style w:type="character" w:customStyle="1" w:styleId="fontstyle21">
    <w:name w:val="fontstyle21"/>
    <w:basedOn w:val="DefaultParagraphFont"/>
    <w:rsid w:val="00423F4E"/>
    <w:rPr>
      <w:rFonts w:ascii="TimesNewRomanPSMT" w:hAnsi="TimesNewRomanPSMT"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423F4E"/>
    <w:pPr>
      <w:spacing w:after="0" w:line="312" w:lineRule="auto"/>
      <w:jc w:val="center"/>
    </w:pPr>
    <w:rPr>
      <w:noProof/>
      <w:szCs w:val="22"/>
    </w:rPr>
  </w:style>
  <w:style w:type="character" w:customStyle="1" w:styleId="EndNoteBibliographyTitleChar">
    <w:name w:val="EndNote Bibliography Title Char"/>
    <w:basedOn w:val="DefaultParagraphFont"/>
    <w:link w:val="EndNoteBibliographyTitle"/>
    <w:rsid w:val="00423F4E"/>
    <w:rPr>
      <w:noProof/>
      <w:kern w:val="0"/>
      <w:szCs w:val="22"/>
      <w14:ligatures w14:val="none"/>
    </w:rPr>
  </w:style>
  <w:style w:type="paragraph" w:customStyle="1" w:styleId="EndNoteBibliography">
    <w:name w:val="EndNote Bibliography"/>
    <w:basedOn w:val="Normal"/>
    <w:link w:val="EndNoteBibliographyChar"/>
    <w:rsid w:val="00423F4E"/>
    <w:pPr>
      <w:spacing w:after="120" w:line="240" w:lineRule="auto"/>
      <w:jc w:val="both"/>
    </w:pPr>
    <w:rPr>
      <w:noProof/>
      <w:szCs w:val="22"/>
    </w:rPr>
  </w:style>
  <w:style w:type="character" w:customStyle="1" w:styleId="EndNoteBibliographyChar">
    <w:name w:val="EndNote Bibliography Char"/>
    <w:basedOn w:val="DefaultParagraphFont"/>
    <w:link w:val="EndNoteBibliography"/>
    <w:rsid w:val="00423F4E"/>
    <w:rPr>
      <w:noProof/>
      <w:kern w:val="0"/>
      <w:szCs w:val="22"/>
      <w14:ligatures w14:val="none"/>
    </w:rPr>
  </w:style>
  <w:style w:type="paragraph" w:customStyle="1" w:styleId="hnh1">
    <w:name w:val="hình 1"/>
    <w:basedOn w:val="Normal"/>
    <w:link w:val="hnh1Char"/>
    <w:qFormat/>
    <w:rsid w:val="00423F4E"/>
    <w:pPr>
      <w:spacing w:after="0" w:line="360" w:lineRule="auto"/>
      <w:jc w:val="center"/>
    </w:pPr>
    <w:rPr>
      <w:lang w:val="vi-VN"/>
    </w:rPr>
  </w:style>
  <w:style w:type="character" w:customStyle="1" w:styleId="hnh1Char">
    <w:name w:val="hình 1 Char"/>
    <w:basedOn w:val="DefaultParagraphFont"/>
    <w:link w:val="hnh1"/>
    <w:rsid w:val="00423F4E"/>
    <w:rPr>
      <w:kern w:val="0"/>
      <w:lang w:val="vi-VN"/>
      <w14:ligatures w14:val="none"/>
    </w:rPr>
  </w:style>
  <w:style w:type="paragraph" w:customStyle="1" w:styleId="Bng1">
    <w:name w:val="Bảng 1"/>
    <w:basedOn w:val="Normal"/>
    <w:link w:val="Bng1Char"/>
    <w:qFormat/>
    <w:rsid w:val="00423F4E"/>
    <w:pPr>
      <w:spacing w:after="0" w:line="360" w:lineRule="auto"/>
      <w:jc w:val="center"/>
    </w:pPr>
    <w:rPr>
      <w:lang w:val="vi-VN"/>
    </w:rPr>
  </w:style>
  <w:style w:type="character" w:customStyle="1" w:styleId="Bng1Char">
    <w:name w:val="Bảng 1 Char"/>
    <w:basedOn w:val="DefaultParagraphFont"/>
    <w:link w:val="Bng1"/>
    <w:rsid w:val="00423F4E"/>
    <w:rPr>
      <w:kern w:val="0"/>
      <w:lang w:val="vi-VN"/>
      <w14:ligatures w14:val="none"/>
    </w:rPr>
  </w:style>
  <w:style w:type="paragraph" w:styleId="TOCHeading">
    <w:name w:val="TOC Heading"/>
    <w:basedOn w:val="Heading1"/>
    <w:next w:val="Normal"/>
    <w:uiPriority w:val="39"/>
    <w:unhideWhenUsed/>
    <w:qFormat/>
    <w:rsid w:val="00423F4E"/>
    <w:pPr>
      <w:spacing w:before="240" w:after="0" w:line="259" w:lineRule="auto"/>
      <w:outlineLvl w:val="9"/>
    </w:pPr>
    <w:rPr>
      <w:sz w:val="32"/>
      <w:szCs w:val="32"/>
    </w:rPr>
  </w:style>
  <w:style w:type="paragraph" w:styleId="TOC1">
    <w:name w:val="toc 1"/>
    <w:basedOn w:val="Normal"/>
    <w:next w:val="Normal"/>
    <w:autoRedefine/>
    <w:uiPriority w:val="39"/>
    <w:unhideWhenUsed/>
    <w:rsid w:val="00423F4E"/>
    <w:pPr>
      <w:spacing w:after="100" w:line="312" w:lineRule="auto"/>
    </w:pPr>
    <w:rPr>
      <w:rFonts w:cstheme="minorBidi"/>
      <w:szCs w:val="22"/>
    </w:rPr>
  </w:style>
  <w:style w:type="paragraph" w:styleId="TOC2">
    <w:name w:val="toc 2"/>
    <w:basedOn w:val="Normal"/>
    <w:next w:val="Normal"/>
    <w:autoRedefine/>
    <w:uiPriority w:val="39"/>
    <w:unhideWhenUsed/>
    <w:rsid w:val="00423F4E"/>
    <w:pPr>
      <w:spacing w:after="100" w:line="312" w:lineRule="auto"/>
      <w:ind w:left="260"/>
    </w:pPr>
    <w:rPr>
      <w:rFonts w:cstheme="minorBidi"/>
      <w:szCs w:val="22"/>
    </w:rPr>
  </w:style>
  <w:style w:type="paragraph" w:styleId="TOC3">
    <w:name w:val="toc 3"/>
    <w:basedOn w:val="Normal"/>
    <w:next w:val="Normal"/>
    <w:autoRedefine/>
    <w:uiPriority w:val="39"/>
    <w:unhideWhenUsed/>
    <w:rsid w:val="00423F4E"/>
    <w:pPr>
      <w:spacing w:after="100" w:line="312" w:lineRule="auto"/>
      <w:ind w:left="520"/>
    </w:pPr>
    <w:rPr>
      <w:rFonts w:cstheme="minorBidi"/>
      <w:szCs w:val="22"/>
    </w:rPr>
  </w:style>
  <w:style w:type="paragraph" w:customStyle="1" w:styleId="Hnh">
    <w:name w:val="Hình"/>
    <w:basedOn w:val="Normal"/>
    <w:link w:val="HnhChar"/>
    <w:qFormat/>
    <w:rsid w:val="00423F4E"/>
    <w:pPr>
      <w:spacing w:after="120" w:line="360" w:lineRule="auto"/>
      <w:ind w:firstLine="720"/>
      <w:jc w:val="center"/>
    </w:pPr>
    <w:rPr>
      <w:lang w:val="vi-VN"/>
    </w:rPr>
  </w:style>
  <w:style w:type="character" w:customStyle="1" w:styleId="HnhChar">
    <w:name w:val="Hình Char"/>
    <w:basedOn w:val="DefaultParagraphFont"/>
    <w:link w:val="Hnh"/>
    <w:rsid w:val="00423F4E"/>
    <w:rPr>
      <w:kern w:val="0"/>
      <w:lang w:val="vi-VN"/>
      <w14:ligatures w14:val="none"/>
    </w:rPr>
  </w:style>
  <w:style w:type="paragraph" w:customStyle="1" w:styleId="Bng">
    <w:name w:val="Bảng"/>
    <w:basedOn w:val="Normal"/>
    <w:link w:val="BngChar"/>
    <w:qFormat/>
    <w:rsid w:val="00423F4E"/>
    <w:pPr>
      <w:spacing w:after="120" w:line="360" w:lineRule="auto"/>
      <w:ind w:firstLine="720"/>
      <w:jc w:val="center"/>
    </w:pPr>
    <w:rPr>
      <w:lang w:val="vi-VN"/>
    </w:rPr>
  </w:style>
  <w:style w:type="character" w:customStyle="1" w:styleId="BngChar">
    <w:name w:val="Bảng Char"/>
    <w:basedOn w:val="DefaultParagraphFont"/>
    <w:link w:val="Bng"/>
    <w:rsid w:val="00423F4E"/>
    <w:rPr>
      <w:kern w:val="0"/>
      <w:lang w:val="vi-VN"/>
      <w14:ligatures w14:val="none"/>
    </w:rPr>
  </w:style>
  <w:style w:type="paragraph" w:styleId="TableofFigures">
    <w:name w:val="table of figures"/>
    <w:basedOn w:val="Normal"/>
    <w:next w:val="Normal"/>
    <w:uiPriority w:val="99"/>
    <w:unhideWhenUsed/>
    <w:rsid w:val="00423F4E"/>
    <w:pPr>
      <w:spacing w:after="0" w:line="312" w:lineRule="auto"/>
    </w:pPr>
    <w:rPr>
      <w:rFonts w:cstheme="minorBidi"/>
      <w:szCs w:val="22"/>
    </w:rPr>
  </w:style>
  <w:style w:type="paragraph" w:customStyle="1" w:styleId="Phlc">
    <w:name w:val="Phụ lục"/>
    <w:basedOn w:val="Normal"/>
    <w:link w:val="PhlcChar"/>
    <w:qFormat/>
    <w:rsid w:val="00423F4E"/>
    <w:pPr>
      <w:spacing w:after="120" w:line="360" w:lineRule="auto"/>
      <w:jc w:val="center"/>
    </w:pPr>
    <w:rPr>
      <w:b/>
      <w:lang w:val="vi-VN"/>
    </w:rPr>
  </w:style>
  <w:style w:type="character" w:customStyle="1" w:styleId="PhlcChar">
    <w:name w:val="Phụ lục Char"/>
    <w:basedOn w:val="DefaultParagraphFont"/>
    <w:link w:val="Phlc"/>
    <w:rsid w:val="00423F4E"/>
    <w:rPr>
      <w:b/>
      <w:kern w:val="0"/>
      <w:lang w:val="vi-VN"/>
      <w14:ligatures w14:val="none"/>
    </w:rPr>
  </w:style>
  <w:style w:type="paragraph" w:customStyle="1" w:styleId="PHLC0">
    <w:name w:val="PHỤ LỤC"/>
    <w:basedOn w:val="Normal"/>
    <w:link w:val="PHLCChar0"/>
    <w:qFormat/>
    <w:rsid w:val="00423F4E"/>
    <w:pPr>
      <w:spacing w:after="0" w:line="360" w:lineRule="auto"/>
      <w:jc w:val="center"/>
    </w:pPr>
    <w:rPr>
      <w:rFonts w:eastAsia="Aptos"/>
      <w:b/>
      <w:bCs/>
      <w:noProof/>
      <w:kern w:val="2"/>
      <w:lang w:val="vi-VN"/>
      <w14:ligatures w14:val="standardContextual"/>
    </w:rPr>
  </w:style>
  <w:style w:type="character" w:customStyle="1" w:styleId="PHLCChar0">
    <w:name w:val="PHỤ LỤC Char"/>
    <w:basedOn w:val="DefaultParagraphFont"/>
    <w:link w:val="PHLC0"/>
    <w:rsid w:val="00423F4E"/>
    <w:rPr>
      <w:rFonts w:eastAsia="Aptos"/>
      <w:b/>
      <w:bCs/>
      <w:noProof/>
      <w:lang w:val="vi-VN"/>
    </w:rPr>
  </w:style>
  <w:style w:type="character" w:customStyle="1" w:styleId="BalloonTextChar1">
    <w:name w:val="Balloon Text Char1"/>
    <w:basedOn w:val="DefaultParagraphFont"/>
    <w:uiPriority w:val="99"/>
    <w:semiHidden/>
    <w:rsid w:val="00423F4E"/>
    <w:rPr>
      <w:rFonts w:ascii="Segoe UI" w:hAnsi="Segoe UI" w:cs="Segoe UI"/>
      <w:sz w:val="18"/>
      <w:szCs w:val="18"/>
    </w:rPr>
  </w:style>
  <w:style w:type="character" w:styleId="Strong">
    <w:name w:val="Strong"/>
    <w:basedOn w:val="DefaultParagraphFont"/>
    <w:uiPriority w:val="22"/>
    <w:qFormat/>
    <w:rsid w:val="00423F4E"/>
    <w:rPr>
      <w:b/>
      <w:bCs/>
    </w:rPr>
  </w:style>
  <w:style w:type="paragraph" w:customStyle="1" w:styleId="abstract">
    <w:name w:val="abstract"/>
    <w:basedOn w:val="Normal"/>
    <w:qFormat/>
    <w:rsid w:val="00423F4E"/>
    <w:pPr>
      <w:autoSpaceDE w:val="0"/>
      <w:autoSpaceDN w:val="0"/>
      <w:adjustRightInd w:val="0"/>
      <w:spacing w:before="360" w:after="240"/>
      <w:ind w:firstLine="360"/>
      <w:jc w:val="both"/>
    </w:pPr>
    <w:rPr>
      <w:rFonts w:ascii="Arial" w:eastAsia="Calibri" w:hAnsi="Arial" w:cs="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5730</Words>
  <Characters>32663</Characters>
  <Application>Microsoft Office Word</Application>
  <DocSecurity>0</DocSecurity>
  <Lines>272</Lines>
  <Paragraphs>76</Paragraphs>
  <ScaleCrop>false</ScaleCrop>
  <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2026-01-04T12:08:00Z</dcterms:created>
  <dcterms:modified xsi:type="dcterms:W3CDTF">2026-01-05T13:18:00Z</dcterms:modified>
</cp:coreProperties>
</file>