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EED0" w14:textId="77777777" w:rsidR="00252CE9" w:rsidRPr="00252CE9" w:rsidRDefault="00252CE9" w:rsidP="00252CE9">
      <w:pPr>
        <w:jc w:val="both"/>
      </w:pPr>
      <w:r w:rsidRPr="00252CE9">
        <w:t>Dear Editor and Reviewers,</w:t>
      </w:r>
    </w:p>
    <w:p w14:paraId="76A37F4B" w14:textId="77777777" w:rsidR="00252CE9" w:rsidRPr="00252CE9" w:rsidRDefault="00252CE9" w:rsidP="00252CE9">
      <w:pPr>
        <w:jc w:val="both"/>
      </w:pPr>
      <w:r w:rsidRPr="00252CE9">
        <w:t>We sincerely thank you for your insightful feedback. We have carefully revised the manuscript to address each point. Below, we respond </w:t>
      </w:r>
      <w:r w:rsidRPr="00252CE9">
        <w:rPr>
          <w:b/>
          <w:bCs/>
        </w:rPr>
        <w:t>comment</w:t>
      </w:r>
      <w:r w:rsidRPr="00252CE9">
        <w:rPr>
          <w:b/>
          <w:bCs/>
        </w:rPr>
        <w:noBreakHyphen/>
        <w:t>by</w:t>
      </w:r>
      <w:r w:rsidRPr="00252CE9">
        <w:rPr>
          <w:b/>
          <w:bCs/>
        </w:rPr>
        <w:noBreakHyphen/>
        <w:t>comment</w:t>
      </w:r>
      <w:r w:rsidRPr="00252CE9">
        <w:t> and describe the corresponding revisions.</w:t>
      </w:r>
    </w:p>
    <w:p w14:paraId="7957695D" w14:textId="77777777" w:rsidR="00252CE9" w:rsidRPr="00252CE9" w:rsidRDefault="00252CE9" w:rsidP="00252CE9">
      <w:pPr>
        <w:jc w:val="both"/>
      </w:pPr>
      <w:r w:rsidRPr="00252CE9">
        <w:rPr>
          <w:b/>
          <w:bCs/>
          <w:u w:val="single"/>
        </w:rPr>
        <w:t>Comment 1</w:t>
      </w:r>
    </w:p>
    <w:p w14:paraId="2971FE36" w14:textId="77777777" w:rsidR="00252CE9" w:rsidRPr="00252CE9" w:rsidRDefault="00252CE9" w:rsidP="00252CE9">
      <w:pPr>
        <w:jc w:val="both"/>
      </w:pPr>
      <w:r w:rsidRPr="00252CE9">
        <w:rPr>
          <w:i/>
          <w:iCs/>
        </w:rPr>
        <w:t>“Sections 2 and 3 are relevant but show some conceptual overlap. The distinction between theoretical background and literature review is not fully clear. The authors may consider merging them into a single Literature Review section or clarifying the theoretical framework by explicitly linking theories to research constructs and instruments.”</w:t>
      </w:r>
    </w:p>
    <w:p w14:paraId="153226FA" w14:textId="77777777" w:rsidR="00252CE9" w:rsidRPr="00252CE9" w:rsidRDefault="00252CE9" w:rsidP="00252CE9">
      <w:pPr>
        <w:jc w:val="both"/>
      </w:pPr>
      <w:r w:rsidRPr="00252CE9">
        <w:rPr>
          <w:b/>
          <w:bCs/>
        </w:rPr>
        <w:t> </w:t>
      </w:r>
    </w:p>
    <w:p w14:paraId="400DF1A1" w14:textId="77777777" w:rsidR="00252CE9" w:rsidRPr="00252CE9" w:rsidRDefault="00252CE9" w:rsidP="00252CE9">
      <w:pPr>
        <w:jc w:val="both"/>
      </w:pPr>
      <w:r w:rsidRPr="00252CE9">
        <w:rPr>
          <w:b/>
          <w:bCs/>
        </w:rPr>
        <w:t>Response</w:t>
      </w:r>
      <w:r w:rsidRPr="00252CE9">
        <w:t>: Thank you for this important observation. We have taken a two</w:t>
      </w:r>
      <w:r w:rsidRPr="00252CE9">
        <w:noBreakHyphen/>
        <w:t>pronged approach:</w:t>
      </w:r>
    </w:p>
    <w:p w14:paraId="71FB78CA" w14:textId="77777777" w:rsidR="00252CE9" w:rsidRPr="00252CE9" w:rsidRDefault="00252CE9" w:rsidP="00252CE9">
      <w:pPr>
        <w:numPr>
          <w:ilvl w:val="0"/>
          <w:numId w:val="9"/>
        </w:numPr>
        <w:jc w:val="both"/>
      </w:pPr>
      <w:r w:rsidRPr="00252CE9">
        <w:t>Structural consolidation to remove overlap</w:t>
      </w:r>
    </w:p>
    <w:p w14:paraId="5755CC47" w14:textId="77777777" w:rsidR="00252CE9" w:rsidRPr="00252CE9" w:rsidRDefault="00252CE9" w:rsidP="00252CE9">
      <w:pPr>
        <w:jc w:val="both"/>
      </w:pPr>
      <w:r w:rsidRPr="00252CE9">
        <w:t>+ What we changed: We merged the former Sections 2 and 3 into a single, coherent section titled “2. Literature Review and Theoretical Framework.”</w:t>
      </w:r>
    </w:p>
    <w:p w14:paraId="118A930B" w14:textId="77777777" w:rsidR="00252CE9" w:rsidRPr="00252CE9" w:rsidRDefault="00252CE9" w:rsidP="00252CE9">
      <w:pPr>
        <w:jc w:val="both"/>
      </w:pPr>
      <w:r w:rsidRPr="00252CE9">
        <w:t>+ Where: Section 2 (subsections 2.1–2.7).</w:t>
      </w:r>
    </w:p>
    <w:p w14:paraId="0C37B8E8" w14:textId="77777777" w:rsidR="00252CE9" w:rsidRPr="00252CE9" w:rsidRDefault="00252CE9" w:rsidP="00252CE9">
      <w:pPr>
        <w:jc w:val="both"/>
      </w:pPr>
      <w:r w:rsidRPr="00252CE9">
        <w:t>+ Why it resolves the issue: This consolidation eliminates redundancy between “theoretical background” and “literature review,” presenting a single, logically ordered narrative from concepts → theory → synthesis → gap → analytical expectations.</w:t>
      </w:r>
    </w:p>
    <w:p w14:paraId="50BD60B1" w14:textId="77777777" w:rsidR="00252CE9" w:rsidRPr="00252CE9" w:rsidRDefault="00252CE9" w:rsidP="00252CE9">
      <w:pPr>
        <w:numPr>
          <w:ilvl w:val="0"/>
          <w:numId w:val="10"/>
        </w:numPr>
        <w:jc w:val="both"/>
      </w:pPr>
      <w:r w:rsidRPr="00252CE9">
        <w:t>Explicit theory → construct → instrument mapping</w:t>
      </w:r>
    </w:p>
    <w:p w14:paraId="0C3339ED" w14:textId="77777777" w:rsidR="00252CE9" w:rsidRPr="00252CE9" w:rsidRDefault="00252CE9" w:rsidP="00252CE9">
      <w:pPr>
        <w:jc w:val="both"/>
      </w:pPr>
      <w:r w:rsidRPr="00252CE9">
        <w:t>+ What we changed: We added a dedicated subsection “2.3 Linking Theory to Constructs and Instrument (Theory → Constructs → Items/RQs)” that explicitly maps Social Cognitive Theory (SCT) to the measured constructs (convenience/usability; exercise design; guidance &amp; feedback; learner support &amp; learner</w:t>
      </w:r>
      <w:r w:rsidRPr="00252CE9">
        <w:noBreakHyphen/>
        <w:t>centeredness) and to their survey items and research questions (RQ1–RQ3).</w:t>
      </w:r>
    </w:p>
    <w:p w14:paraId="2441E17C" w14:textId="77777777" w:rsidR="00252CE9" w:rsidRPr="00252CE9" w:rsidRDefault="00252CE9" w:rsidP="00252CE9">
      <w:pPr>
        <w:jc w:val="both"/>
      </w:pPr>
      <w:r w:rsidRPr="00252CE9">
        <w:t>+ Where: Section 2.3 (and reinforced in 2.6 Analytical Expectations with P1–P4).</w:t>
      </w:r>
    </w:p>
    <w:p w14:paraId="0E742838" w14:textId="77777777" w:rsidR="00252CE9" w:rsidRPr="00252CE9" w:rsidRDefault="00252CE9" w:rsidP="00252CE9">
      <w:pPr>
        <w:jc w:val="both"/>
      </w:pPr>
      <w:r w:rsidRPr="00252CE9">
        <w:t>+ How it helps: The new mapping clarifies how SCT informs each measured dimension and which questionnaire items operationalize each construct, thereby addressing the lack of clarity about the theoretical framework.</w:t>
      </w:r>
    </w:p>
    <w:p w14:paraId="19379B7A" w14:textId="77777777" w:rsidR="00252CE9" w:rsidRPr="00252CE9" w:rsidRDefault="00252CE9" w:rsidP="00252CE9">
      <w:pPr>
        <w:jc w:val="both"/>
      </w:pPr>
      <w:r w:rsidRPr="00252CE9">
        <w:t>+ Examples included:</w:t>
      </w:r>
    </w:p>
    <w:p w14:paraId="05545477" w14:textId="77777777" w:rsidR="00252CE9" w:rsidRPr="00252CE9" w:rsidRDefault="00252CE9" w:rsidP="00252CE9">
      <w:pPr>
        <w:jc w:val="both"/>
      </w:pPr>
      <w:r w:rsidRPr="00252CE9">
        <w:t>§  Convenience/Usability (environmental affordances in SCT) → items on usability, speed, stability, technical support → RQ1.</w:t>
      </w:r>
    </w:p>
    <w:p w14:paraId="0F39151A" w14:textId="77777777" w:rsidR="00252CE9" w:rsidRPr="00252CE9" w:rsidRDefault="00252CE9" w:rsidP="00252CE9">
      <w:pPr>
        <w:jc w:val="both"/>
      </w:pPr>
      <w:r w:rsidRPr="00252CE9">
        <w:t>§  Exercise Design (structured inputs → cognitive engagement) → items on curriculum alignment, level appropriateness, logical sequencing, task diversity, instructional clarity → RQ1.</w:t>
      </w:r>
    </w:p>
    <w:p w14:paraId="1BEB3EF2" w14:textId="77777777" w:rsidR="00252CE9" w:rsidRPr="00252CE9" w:rsidRDefault="00252CE9" w:rsidP="00252CE9">
      <w:pPr>
        <w:jc w:val="both"/>
      </w:pPr>
      <w:r w:rsidRPr="00252CE9">
        <w:t>§  Guidance &amp; Feedback (environmental contingencies → strategy adjustment) → items on hint</w:t>
      </w:r>
      <w:r w:rsidRPr="00252CE9">
        <w:noBreakHyphen/>
        <w:t>supported steps, instructor feedback, automated feedback → RQ1/RQ3.</w:t>
      </w:r>
    </w:p>
    <w:p w14:paraId="2ADA7BBE" w14:textId="77777777" w:rsidR="00252CE9" w:rsidRPr="00252CE9" w:rsidRDefault="00252CE9" w:rsidP="00252CE9">
      <w:pPr>
        <w:jc w:val="both"/>
      </w:pPr>
      <w:r w:rsidRPr="00252CE9">
        <w:t>§  Learner Support &amp; Learner</w:t>
      </w:r>
      <w:r w:rsidRPr="00252CE9">
        <w:noBreakHyphen/>
        <w:t>Centeredness (supports for autonomy) → items on review support, extra resources, time</w:t>
      </w:r>
      <w:r w:rsidRPr="00252CE9">
        <w:noBreakHyphen/>
        <w:t>saving access, interest/engagement, consistent effort, self</w:t>
      </w:r>
      <w:r w:rsidRPr="00252CE9">
        <w:noBreakHyphen/>
        <w:t>directed learning, time management, interaction/knowledge</w:t>
      </w:r>
      <w:r w:rsidRPr="00252CE9">
        <w:noBreakHyphen/>
        <w:t>sharing → RQ2/RQ3.</w:t>
      </w:r>
    </w:p>
    <w:p w14:paraId="1AC9F9D9" w14:textId="77777777" w:rsidR="00252CE9" w:rsidRPr="00252CE9" w:rsidRDefault="00252CE9" w:rsidP="00252CE9">
      <w:pPr>
        <w:numPr>
          <w:ilvl w:val="0"/>
          <w:numId w:val="11"/>
        </w:numPr>
        <w:jc w:val="both"/>
      </w:pPr>
      <w:r w:rsidRPr="00252CE9">
        <w:t>Analytical expectations to bridge theory and results</w:t>
      </w:r>
    </w:p>
    <w:p w14:paraId="5182BACB" w14:textId="77777777" w:rsidR="00252CE9" w:rsidRPr="00252CE9" w:rsidRDefault="00252CE9" w:rsidP="00252CE9">
      <w:pPr>
        <w:jc w:val="both"/>
      </w:pPr>
      <w:r w:rsidRPr="00252CE9">
        <w:t>+ What we changed: We introduced P1–P4 in Section 2.6 to formalize the analytical expectations derived from SCT and the prior literature.</w:t>
      </w:r>
    </w:p>
    <w:p w14:paraId="1F44EA18" w14:textId="77777777" w:rsidR="00252CE9" w:rsidRPr="00252CE9" w:rsidRDefault="00252CE9" w:rsidP="00252CE9">
      <w:pPr>
        <w:jc w:val="both"/>
      </w:pPr>
      <w:r w:rsidRPr="00252CE9">
        <w:t>+ Why it helps: These propositions provide a clear conceptual bridge from the theoretical framework to the empirical analysis, making the manuscript’s logic fully transparent.</w:t>
      </w:r>
    </w:p>
    <w:p w14:paraId="31D56739" w14:textId="77777777" w:rsidR="00252CE9" w:rsidRPr="00252CE9" w:rsidRDefault="00252CE9" w:rsidP="00252CE9">
      <w:pPr>
        <w:jc w:val="both"/>
      </w:pPr>
      <w:r w:rsidRPr="00252CE9">
        <w:lastRenderedPageBreak/>
        <w:t>Summary of changes addressing Comment 1:</w:t>
      </w:r>
    </w:p>
    <w:p w14:paraId="62E5BAA4" w14:textId="77777777" w:rsidR="00252CE9" w:rsidRPr="00252CE9" w:rsidRDefault="00252CE9" w:rsidP="00252CE9">
      <w:pPr>
        <w:numPr>
          <w:ilvl w:val="0"/>
          <w:numId w:val="12"/>
        </w:numPr>
        <w:jc w:val="both"/>
      </w:pPr>
      <w:r w:rsidRPr="00252CE9">
        <w:t>Sections 2 &amp; 3 merged → Section 2 with 2.1–2.7.</w:t>
      </w:r>
    </w:p>
    <w:p w14:paraId="2236039E" w14:textId="77777777" w:rsidR="00252CE9" w:rsidRPr="00252CE9" w:rsidRDefault="00252CE9" w:rsidP="00252CE9">
      <w:pPr>
        <w:numPr>
          <w:ilvl w:val="0"/>
          <w:numId w:val="12"/>
        </w:numPr>
        <w:jc w:val="both"/>
      </w:pPr>
      <w:r w:rsidRPr="00252CE9">
        <w:t>Added explicit theory → constructs → items/RQs mapping (Section 2.3).</w:t>
      </w:r>
    </w:p>
    <w:p w14:paraId="0D35764E" w14:textId="77777777" w:rsidR="00252CE9" w:rsidRPr="00252CE9" w:rsidRDefault="00252CE9" w:rsidP="00252CE9">
      <w:pPr>
        <w:numPr>
          <w:ilvl w:val="0"/>
          <w:numId w:val="12"/>
        </w:numPr>
        <w:jc w:val="both"/>
      </w:pPr>
      <w:r w:rsidRPr="00252CE9">
        <w:t>Added P1–P4 analytical expectations (Section 2.6).</w:t>
      </w:r>
    </w:p>
    <w:p w14:paraId="570840C3" w14:textId="77777777" w:rsidR="00252CE9" w:rsidRPr="00252CE9" w:rsidRDefault="00252CE9" w:rsidP="00252CE9">
      <w:pPr>
        <w:numPr>
          <w:ilvl w:val="0"/>
          <w:numId w:val="12"/>
        </w:numPr>
        <w:jc w:val="both"/>
      </w:pPr>
      <w:r w:rsidRPr="00252CE9">
        <w:t>Result: Clear, non</w:t>
      </w:r>
      <w:r w:rsidRPr="00252CE9">
        <w:noBreakHyphen/>
        <w:t>overlapping theoretical foundation connected directly to constructs and instruments.</w:t>
      </w:r>
    </w:p>
    <w:p w14:paraId="72A95C0B" w14:textId="77777777" w:rsidR="00252CE9" w:rsidRPr="00252CE9" w:rsidRDefault="00252CE9" w:rsidP="00252CE9">
      <w:pPr>
        <w:jc w:val="both"/>
      </w:pPr>
      <w:r w:rsidRPr="00252CE9">
        <w:t> </w:t>
      </w:r>
    </w:p>
    <w:p w14:paraId="663CFEB7" w14:textId="77777777" w:rsidR="00252CE9" w:rsidRPr="00252CE9" w:rsidRDefault="00252CE9" w:rsidP="00252CE9">
      <w:pPr>
        <w:jc w:val="both"/>
      </w:pPr>
      <w:r w:rsidRPr="00252CE9">
        <w:rPr>
          <w:b/>
          <w:bCs/>
          <w:u w:val="single"/>
        </w:rPr>
        <w:t>Comment 2</w:t>
      </w:r>
    </w:p>
    <w:p w14:paraId="4D04A1E6" w14:textId="77777777" w:rsidR="00252CE9" w:rsidRPr="00252CE9" w:rsidRDefault="00252CE9" w:rsidP="00252CE9">
      <w:pPr>
        <w:jc w:val="both"/>
      </w:pPr>
      <w:r w:rsidRPr="00252CE9">
        <w:rPr>
          <w:i/>
          <w:iCs/>
        </w:rPr>
        <w:t>“Section 3 (Literature Review) lacks coherence and does not appropriately synthesize previous studies; more importantly, it fails to critically evaluate existing research by identifying their limitations in order to establish the research gap and justify the significance of the present study.”</w:t>
      </w:r>
    </w:p>
    <w:p w14:paraId="45C3D237" w14:textId="77777777" w:rsidR="00252CE9" w:rsidRPr="00252CE9" w:rsidRDefault="00252CE9" w:rsidP="00252CE9">
      <w:pPr>
        <w:jc w:val="both"/>
      </w:pPr>
      <w:r w:rsidRPr="00252CE9">
        <w:rPr>
          <w:b/>
          <w:bCs/>
        </w:rPr>
        <w:t> </w:t>
      </w:r>
    </w:p>
    <w:p w14:paraId="046463C6" w14:textId="77777777" w:rsidR="00252CE9" w:rsidRPr="00252CE9" w:rsidRDefault="00252CE9" w:rsidP="00252CE9">
      <w:pPr>
        <w:jc w:val="both"/>
      </w:pPr>
      <w:r w:rsidRPr="00252CE9">
        <w:rPr>
          <w:b/>
          <w:bCs/>
        </w:rPr>
        <w:t>Response:</w:t>
      </w:r>
      <w:r w:rsidRPr="00252CE9">
        <w:t> We appreciate this guidance and have substantially rewritten the literature component to emphasize </w:t>
      </w:r>
      <w:r w:rsidRPr="00252CE9">
        <w:rPr>
          <w:b/>
          <w:bCs/>
        </w:rPr>
        <w:t>synthesis</w:t>
      </w:r>
      <w:r w:rsidRPr="00252CE9">
        <w:t> and </w:t>
      </w:r>
      <w:r w:rsidRPr="00252CE9">
        <w:rPr>
          <w:b/>
          <w:bCs/>
        </w:rPr>
        <w:t>critical appraisal</w:t>
      </w:r>
      <w:r w:rsidRPr="00252CE9">
        <w:t>, as suggested.</w:t>
      </w:r>
    </w:p>
    <w:p w14:paraId="1A54439A" w14:textId="77777777" w:rsidR="00252CE9" w:rsidRPr="00252CE9" w:rsidRDefault="00252CE9" w:rsidP="00252CE9">
      <w:pPr>
        <w:jc w:val="both"/>
      </w:pPr>
      <w:r w:rsidRPr="00252CE9">
        <w:t> </w:t>
      </w:r>
    </w:p>
    <w:p w14:paraId="2DB225EA" w14:textId="77777777" w:rsidR="00252CE9" w:rsidRPr="00252CE9" w:rsidRDefault="00252CE9" w:rsidP="00252CE9">
      <w:pPr>
        <w:numPr>
          <w:ilvl w:val="0"/>
          <w:numId w:val="13"/>
        </w:numPr>
        <w:jc w:val="both"/>
      </w:pPr>
      <w:r w:rsidRPr="00252CE9">
        <w:t>Synthesis (not listing) of prior research</w:t>
      </w:r>
    </w:p>
    <w:p w14:paraId="266559FA" w14:textId="77777777" w:rsidR="00252CE9" w:rsidRPr="00252CE9" w:rsidRDefault="00252CE9" w:rsidP="00252CE9">
      <w:pPr>
        <w:numPr>
          <w:ilvl w:val="1"/>
          <w:numId w:val="13"/>
        </w:numPr>
        <w:jc w:val="both"/>
      </w:pPr>
      <w:r w:rsidRPr="00252CE9">
        <w:t>What we changed: We rewrote “2.4 Synthesis of Prior Research” to present thematic, integrative claims (e.g., e</w:t>
      </w:r>
      <w:r w:rsidRPr="00252CE9">
        <w:noBreakHyphen/>
        <w:t>learning service quality, course design coherence, and technological usability are positively associated with engagement and satisfaction), and we support each claim with grouped in</w:t>
      </w:r>
      <w:r w:rsidRPr="00252CE9">
        <w:noBreakHyphen/>
        <w:t>text citations using author names with superscripted reference numbers (e.g., Martin &amp; Bolliger³; Wei &amp; Chou⁵; Aguirre et al.¹⁷; Tran¹⁸; Le et al.¹⁹).</w:t>
      </w:r>
    </w:p>
    <w:p w14:paraId="193988BD" w14:textId="77777777" w:rsidR="00252CE9" w:rsidRPr="00252CE9" w:rsidRDefault="00252CE9" w:rsidP="00252CE9">
      <w:pPr>
        <w:numPr>
          <w:ilvl w:val="1"/>
          <w:numId w:val="13"/>
        </w:numPr>
        <w:jc w:val="both"/>
      </w:pPr>
      <w:r w:rsidRPr="00252CE9">
        <w:t>Why it helps: This moves the manuscript from a study</w:t>
      </w:r>
      <w:r w:rsidRPr="00252CE9">
        <w:noBreakHyphen/>
        <w:t>by</w:t>
      </w:r>
      <w:r w:rsidRPr="00252CE9">
        <w:noBreakHyphen/>
        <w:t>study listing to a coherent synthesis that foregrounds convergent patterns across studies.</w:t>
      </w:r>
    </w:p>
    <w:p w14:paraId="4F3F87FC" w14:textId="77777777" w:rsidR="00252CE9" w:rsidRPr="00252CE9" w:rsidRDefault="00252CE9" w:rsidP="00252CE9">
      <w:pPr>
        <w:numPr>
          <w:ilvl w:val="0"/>
          <w:numId w:val="13"/>
        </w:numPr>
        <w:jc w:val="both"/>
      </w:pPr>
      <w:r w:rsidRPr="00252CE9">
        <w:t>Critical evaluation to identify the research gap</w:t>
      </w:r>
    </w:p>
    <w:p w14:paraId="5350B9C5" w14:textId="77777777" w:rsidR="00252CE9" w:rsidRPr="00252CE9" w:rsidRDefault="00252CE9" w:rsidP="00252CE9">
      <w:pPr>
        <w:numPr>
          <w:ilvl w:val="1"/>
          <w:numId w:val="13"/>
        </w:numPr>
        <w:jc w:val="both"/>
      </w:pPr>
      <w:r w:rsidRPr="00252CE9">
        <w:t>What we changed: We added “2.5 Critical Appraisal and the Research Gap” that explicitly identifies three limitations in the existing literature:</w:t>
      </w:r>
    </w:p>
    <w:p w14:paraId="5AF391A2" w14:textId="77777777" w:rsidR="00252CE9" w:rsidRPr="00252CE9" w:rsidRDefault="00252CE9" w:rsidP="00252CE9">
      <w:pPr>
        <w:numPr>
          <w:ilvl w:val="2"/>
          <w:numId w:val="13"/>
        </w:numPr>
        <w:jc w:val="both"/>
      </w:pPr>
      <w:r w:rsidRPr="00252CE9">
        <w:t>(i) Insufficient operationalization of platform</w:t>
      </w:r>
      <w:r w:rsidRPr="00252CE9">
        <w:noBreakHyphen/>
        <w:t>level scaffolding and feedback typologies (e.g., hint</w:t>
      </w:r>
      <w:r w:rsidRPr="00252CE9">
        <w:noBreakHyphen/>
        <w:t>supported steps, instructor vs. automated, error</w:t>
      </w:r>
      <w:r w:rsidRPr="00252CE9">
        <w:noBreakHyphen/>
        <w:t>specificity, timeliness).</w:t>
      </w:r>
    </w:p>
    <w:p w14:paraId="4D26D03D" w14:textId="77777777" w:rsidR="00252CE9" w:rsidRPr="00252CE9" w:rsidRDefault="00252CE9" w:rsidP="00252CE9">
      <w:pPr>
        <w:numPr>
          <w:ilvl w:val="2"/>
          <w:numId w:val="13"/>
        </w:numPr>
        <w:jc w:val="both"/>
      </w:pPr>
      <w:r w:rsidRPr="00252CE9">
        <w:t>(ii) Limited evidence that ties features to concrete course ecologies (textbook alignment, assessment stakes, weekly schedules).</w:t>
      </w:r>
    </w:p>
    <w:p w14:paraId="650F8C93" w14:textId="77777777" w:rsidR="00252CE9" w:rsidRPr="00252CE9" w:rsidRDefault="00252CE9" w:rsidP="00252CE9">
      <w:pPr>
        <w:numPr>
          <w:ilvl w:val="2"/>
          <w:numId w:val="13"/>
        </w:numPr>
        <w:jc w:val="both"/>
      </w:pPr>
      <w:r w:rsidRPr="00252CE9">
        <w:t>(iii) Scarcity of data from Vietnamese higher education, especially large blended cohorts of non</w:t>
      </w:r>
      <w:r w:rsidRPr="00252CE9">
        <w:noBreakHyphen/>
        <w:t>English</w:t>
      </w:r>
      <w:r w:rsidRPr="00252CE9">
        <w:noBreakHyphen/>
        <w:t>major students.</w:t>
      </w:r>
    </w:p>
    <w:p w14:paraId="2090CA22" w14:textId="77777777" w:rsidR="00252CE9" w:rsidRPr="00252CE9" w:rsidRDefault="00252CE9" w:rsidP="00252CE9">
      <w:pPr>
        <w:numPr>
          <w:ilvl w:val="1"/>
          <w:numId w:val="13"/>
        </w:numPr>
        <w:jc w:val="both"/>
      </w:pPr>
      <w:r w:rsidRPr="00252CE9">
        <w:t>Why it helps: This critical appraisal cleanly motivates the present study’s platform</w:t>
      </w:r>
      <w:r w:rsidRPr="00252CE9">
        <w:noBreakHyphen/>
        <w:t>specific, context</w:t>
      </w:r>
      <w:r w:rsidRPr="00252CE9">
        <w:noBreakHyphen/>
        <w:t>bound evaluation with both level and dispersion (mean/SD), thereby justifying the study’s significance.</w:t>
      </w:r>
    </w:p>
    <w:p w14:paraId="6DA72EF3" w14:textId="77777777" w:rsidR="00252CE9" w:rsidRPr="00252CE9" w:rsidRDefault="00252CE9" w:rsidP="00252CE9">
      <w:pPr>
        <w:numPr>
          <w:ilvl w:val="0"/>
          <w:numId w:val="13"/>
        </w:numPr>
        <w:jc w:val="both"/>
      </w:pPr>
      <w:r w:rsidRPr="00252CE9">
        <w:t>Consistency fixes aligned with academic standards</w:t>
      </w:r>
    </w:p>
    <w:p w14:paraId="41C10DBF" w14:textId="77777777" w:rsidR="00252CE9" w:rsidRPr="00252CE9" w:rsidRDefault="00252CE9" w:rsidP="00252CE9">
      <w:pPr>
        <w:numPr>
          <w:ilvl w:val="1"/>
          <w:numId w:val="13"/>
        </w:numPr>
        <w:jc w:val="both"/>
      </w:pPr>
      <w:r w:rsidRPr="00252CE9">
        <w:t>What we changed throughout Section 2:</w:t>
      </w:r>
    </w:p>
    <w:p w14:paraId="263940C4" w14:textId="77777777" w:rsidR="00252CE9" w:rsidRPr="00252CE9" w:rsidRDefault="00252CE9" w:rsidP="00252CE9">
      <w:pPr>
        <w:numPr>
          <w:ilvl w:val="2"/>
          <w:numId w:val="13"/>
        </w:numPr>
        <w:jc w:val="both"/>
      </w:pPr>
      <w:r w:rsidRPr="00252CE9">
        <w:t>Standardized terminology and hyphenation (e.g., </w:t>
      </w:r>
      <w:r w:rsidRPr="00252CE9">
        <w:rPr>
          <w:i/>
          <w:iCs/>
        </w:rPr>
        <w:t>technology</w:t>
      </w:r>
      <w:r w:rsidRPr="00252CE9">
        <w:rPr>
          <w:i/>
          <w:iCs/>
        </w:rPr>
        <w:noBreakHyphen/>
        <w:t>enhanced</w:t>
      </w:r>
      <w:r w:rsidRPr="00252CE9">
        <w:t>, </w:t>
      </w:r>
      <w:r w:rsidRPr="00252CE9">
        <w:rPr>
          <w:i/>
          <w:iCs/>
        </w:rPr>
        <w:t>e</w:t>
      </w:r>
      <w:r w:rsidRPr="00252CE9">
        <w:rPr>
          <w:i/>
          <w:iCs/>
        </w:rPr>
        <w:noBreakHyphen/>
        <w:t>learning</w:t>
      </w:r>
      <w:r w:rsidRPr="00252CE9">
        <w:t>, </w:t>
      </w:r>
      <w:r w:rsidRPr="00252CE9">
        <w:rPr>
          <w:i/>
          <w:iCs/>
        </w:rPr>
        <w:t>non</w:t>
      </w:r>
      <w:r w:rsidRPr="00252CE9">
        <w:rPr>
          <w:i/>
          <w:iCs/>
        </w:rPr>
        <w:noBreakHyphen/>
        <w:t>English</w:t>
      </w:r>
      <w:r w:rsidRPr="00252CE9">
        <w:rPr>
          <w:i/>
          <w:iCs/>
        </w:rPr>
        <w:noBreakHyphen/>
        <w:t>major students</w:t>
      </w:r>
      <w:r w:rsidRPr="00252CE9">
        <w:t>, </w:t>
      </w:r>
      <w:r w:rsidRPr="00252CE9">
        <w:rPr>
          <w:i/>
          <w:iCs/>
        </w:rPr>
        <w:t>learner</w:t>
      </w:r>
      <w:r w:rsidRPr="00252CE9">
        <w:rPr>
          <w:i/>
          <w:iCs/>
        </w:rPr>
        <w:noBreakHyphen/>
        <w:t>centered</w:t>
      </w:r>
      <w:r w:rsidRPr="00252CE9">
        <w:t>, </w:t>
      </w:r>
      <w:r w:rsidRPr="00252CE9">
        <w:rPr>
          <w:i/>
          <w:iCs/>
        </w:rPr>
        <w:t>self</w:t>
      </w:r>
      <w:r w:rsidRPr="00252CE9">
        <w:rPr>
          <w:i/>
          <w:iCs/>
        </w:rPr>
        <w:noBreakHyphen/>
        <w:t>directed</w:t>
      </w:r>
      <w:r w:rsidRPr="00252CE9">
        <w:t>, </w:t>
      </w:r>
      <w:r w:rsidRPr="00252CE9">
        <w:rPr>
          <w:i/>
          <w:iCs/>
        </w:rPr>
        <w:t>time</w:t>
      </w:r>
      <w:r w:rsidRPr="00252CE9">
        <w:rPr>
          <w:i/>
          <w:iCs/>
        </w:rPr>
        <w:noBreakHyphen/>
        <w:t>saving</w:t>
      </w:r>
      <w:r w:rsidRPr="00252CE9">
        <w:t>, </w:t>
      </w:r>
      <w:r w:rsidRPr="00252CE9">
        <w:rPr>
          <w:i/>
          <w:iCs/>
        </w:rPr>
        <w:t>out</w:t>
      </w:r>
      <w:r w:rsidRPr="00252CE9">
        <w:rPr>
          <w:i/>
          <w:iCs/>
        </w:rPr>
        <w:noBreakHyphen/>
        <w:t>of</w:t>
      </w:r>
      <w:r w:rsidRPr="00252CE9">
        <w:rPr>
          <w:i/>
          <w:iCs/>
        </w:rPr>
        <w:noBreakHyphen/>
        <w:t>class</w:t>
      </w:r>
      <w:r w:rsidRPr="00252CE9">
        <w:t>, </w:t>
      </w:r>
      <w:r w:rsidRPr="00252CE9">
        <w:rPr>
          <w:i/>
          <w:iCs/>
        </w:rPr>
        <w:t>platform</w:t>
      </w:r>
      <w:r w:rsidRPr="00252CE9">
        <w:rPr>
          <w:i/>
          <w:iCs/>
        </w:rPr>
        <w:noBreakHyphen/>
        <w:t>specific</w:t>
      </w:r>
      <w:r w:rsidRPr="00252CE9">
        <w:t>, </w:t>
      </w:r>
      <w:r w:rsidRPr="00252CE9">
        <w:rPr>
          <w:i/>
          <w:iCs/>
        </w:rPr>
        <w:t>context</w:t>
      </w:r>
      <w:r w:rsidRPr="00252CE9">
        <w:rPr>
          <w:i/>
          <w:iCs/>
        </w:rPr>
        <w:noBreakHyphen/>
        <w:t>bound</w:t>
      </w:r>
      <w:r w:rsidRPr="00252CE9">
        <w:t>).</w:t>
      </w:r>
    </w:p>
    <w:p w14:paraId="7D7653A6" w14:textId="77777777" w:rsidR="00252CE9" w:rsidRPr="00252CE9" w:rsidRDefault="00252CE9" w:rsidP="00252CE9">
      <w:pPr>
        <w:numPr>
          <w:ilvl w:val="2"/>
          <w:numId w:val="13"/>
        </w:numPr>
        <w:jc w:val="both"/>
      </w:pPr>
      <w:r w:rsidRPr="00252CE9">
        <w:lastRenderedPageBreak/>
        <w:t>Ensured Vietnamese authors are cited by surname in the text (e.g., Tran¹⁸; **Le et al.**¹⁹), consistent with academic conventions and the reviewer’s guidance.</w:t>
      </w:r>
    </w:p>
    <w:p w14:paraId="3F740D34" w14:textId="77777777" w:rsidR="00252CE9" w:rsidRPr="00252CE9" w:rsidRDefault="00252CE9" w:rsidP="00252CE9">
      <w:pPr>
        <w:numPr>
          <w:ilvl w:val="2"/>
          <w:numId w:val="13"/>
        </w:numPr>
        <w:jc w:val="both"/>
      </w:pPr>
      <w:r w:rsidRPr="00252CE9">
        <w:t>Used present simple when reporting generalized findings.</w:t>
      </w:r>
    </w:p>
    <w:p w14:paraId="622B4E25" w14:textId="77777777" w:rsidR="00252CE9" w:rsidRPr="00252CE9" w:rsidRDefault="00252CE9" w:rsidP="00252CE9">
      <w:pPr>
        <w:jc w:val="both"/>
      </w:pPr>
      <w:r w:rsidRPr="00252CE9">
        <w:t>Summary of changes addressing Comment 2:</w:t>
      </w:r>
    </w:p>
    <w:p w14:paraId="3261BB82" w14:textId="77777777" w:rsidR="00252CE9" w:rsidRPr="00252CE9" w:rsidRDefault="00252CE9" w:rsidP="00252CE9">
      <w:pPr>
        <w:numPr>
          <w:ilvl w:val="0"/>
          <w:numId w:val="14"/>
        </w:numPr>
        <w:jc w:val="both"/>
      </w:pPr>
      <w:r w:rsidRPr="00252CE9">
        <w:t>Rewrote the review as synthesis (Section 2.4) rather than a list.</w:t>
      </w:r>
    </w:p>
    <w:p w14:paraId="6A632A70" w14:textId="77777777" w:rsidR="00252CE9" w:rsidRPr="00252CE9" w:rsidRDefault="00252CE9" w:rsidP="00252CE9">
      <w:pPr>
        <w:numPr>
          <w:ilvl w:val="0"/>
          <w:numId w:val="14"/>
        </w:numPr>
        <w:jc w:val="both"/>
      </w:pPr>
      <w:r w:rsidRPr="00252CE9">
        <w:t>Added critical evaluation and a clearly articulated research gap (Section 2.5).</w:t>
      </w:r>
    </w:p>
    <w:p w14:paraId="795FFE13" w14:textId="77777777" w:rsidR="00252CE9" w:rsidRPr="00252CE9" w:rsidRDefault="00252CE9" w:rsidP="00252CE9">
      <w:pPr>
        <w:numPr>
          <w:ilvl w:val="0"/>
          <w:numId w:val="14"/>
        </w:numPr>
        <w:jc w:val="both"/>
      </w:pPr>
      <w:r w:rsidRPr="00252CE9">
        <w:t>Standardized terminology, in</w:t>
      </w:r>
      <w:r w:rsidRPr="00252CE9">
        <w:noBreakHyphen/>
        <w:t>text Vietnamese surnames, and present</w:t>
      </w:r>
      <w:r w:rsidRPr="00252CE9">
        <w:noBreakHyphen/>
        <w:t>tense reporting.</w:t>
      </w:r>
    </w:p>
    <w:p w14:paraId="72A3149D" w14:textId="77777777" w:rsidR="00252CE9" w:rsidRPr="00252CE9" w:rsidRDefault="00252CE9" w:rsidP="00252CE9">
      <w:pPr>
        <w:jc w:val="both"/>
      </w:pPr>
      <w:r w:rsidRPr="00252CE9">
        <w:t> </w:t>
      </w:r>
    </w:p>
    <w:p w14:paraId="755AB2A8" w14:textId="77777777" w:rsidR="00252CE9" w:rsidRPr="00252CE9" w:rsidRDefault="00252CE9" w:rsidP="00252CE9">
      <w:pPr>
        <w:jc w:val="both"/>
      </w:pPr>
      <w:r w:rsidRPr="00252CE9">
        <w:rPr>
          <w:b/>
          <w:bCs/>
          <w:u w:val="single"/>
        </w:rPr>
        <w:t>Comment 3</w:t>
      </w:r>
    </w:p>
    <w:p w14:paraId="3384DF54" w14:textId="77777777" w:rsidR="00252CE9" w:rsidRPr="00252CE9" w:rsidRDefault="00252CE9" w:rsidP="00252CE9">
      <w:pPr>
        <w:jc w:val="both"/>
      </w:pPr>
      <w:r w:rsidRPr="00252CE9">
        <w:rPr>
          <w:i/>
          <w:iCs/>
        </w:rPr>
        <w:t>Vietnamese researchers should be cited using surnames only, rather than full names, to maintain consistency with standard academic referencing practices.</w:t>
      </w:r>
      <w:r w:rsidRPr="00252CE9">
        <w:rPr>
          <w:i/>
          <w:iCs/>
        </w:rPr>
        <w:br/>
        <w:t>When cited, researchers should be referred to by surnames only rather than by surnames with abbreviated middle and first names to ensure consistency with standard academic referencing practices.</w:t>
      </w:r>
      <w:r w:rsidRPr="00252CE9">
        <w:rPr>
          <w:i/>
          <w:iCs/>
        </w:rPr>
        <w:br/>
        <w:t>The phrase “non</w:t>
      </w:r>
      <w:r w:rsidRPr="00252CE9">
        <w:rPr>
          <w:i/>
          <w:iCs/>
        </w:rPr>
        <w:noBreakHyphen/>
        <w:t>English</w:t>
      </w:r>
      <w:r w:rsidRPr="00252CE9">
        <w:rPr>
          <w:i/>
          <w:iCs/>
        </w:rPr>
        <w:noBreakHyphen/>
        <w:t>major students” should be used consistently throughout the manuscript.</w:t>
      </w:r>
      <w:r w:rsidRPr="00252CE9">
        <w:rPr>
          <w:i/>
          <w:iCs/>
        </w:rPr>
        <w:br/>
        <w:t>There is some inconsistency in verb tense when reporting previous research. It is recommended that the present simple tense be used for findings that are considered generally applicable.</w:t>
      </w:r>
      <w:r w:rsidRPr="00252CE9">
        <w:rPr>
          <w:i/>
          <w:iCs/>
        </w:rPr>
        <w:br/>
        <w:t>The manuscript has been considerably improved. However, minor revisions are still required, and the authors are encouraged to carefully address the reviewer’s comments provided in the evaluation form and the attached file.</w:t>
      </w:r>
    </w:p>
    <w:p w14:paraId="0B785C94" w14:textId="77777777" w:rsidR="00252CE9" w:rsidRPr="00252CE9" w:rsidRDefault="00252CE9" w:rsidP="00252CE9">
      <w:pPr>
        <w:jc w:val="both"/>
      </w:pPr>
      <w:r w:rsidRPr="00252CE9">
        <w:rPr>
          <w:b/>
          <w:bCs/>
        </w:rPr>
        <w:t> </w:t>
      </w:r>
    </w:p>
    <w:p w14:paraId="2384630C" w14:textId="77777777" w:rsidR="00252CE9" w:rsidRPr="00252CE9" w:rsidRDefault="00252CE9" w:rsidP="00252CE9">
      <w:pPr>
        <w:jc w:val="both"/>
      </w:pPr>
      <w:r w:rsidRPr="00252CE9">
        <w:rPr>
          <w:b/>
          <w:bCs/>
        </w:rPr>
        <w:t>Response</w:t>
      </w:r>
    </w:p>
    <w:p w14:paraId="28D88F90" w14:textId="77777777" w:rsidR="00252CE9" w:rsidRPr="00252CE9" w:rsidRDefault="00252CE9" w:rsidP="00252CE9">
      <w:pPr>
        <w:jc w:val="both"/>
      </w:pPr>
      <w:r w:rsidRPr="00252CE9">
        <w:t>Thank you for these important style</w:t>
      </w:r>
      <w:r w:rsidRPr="00252CE9">
        <w:noBreakHyphen/>
        <w:t>consistency recommendations. We have completed a manuscript</w:t>
      </w:r>
      <w:r w:rsidRPr="00252CE9">
        <w:noBreakHyphen/>
        <w:t>wide revision to address each point:</w:t>
      </w:r>
    </w:p>
    <w:p w14:paraId="170856BD" w14:textId="77777777" w:rsidR="00252CE9" w:rsidRPr="00252CE9" w:rsidRDefault="00252CE9" w:rsidP="00252CE9">
      <w:pPr>
        <w:numPr>
          <w:ilvl w:val="0"/>
          <w:numId w:val="15"/>
        </w:numPr>
        <w:jc w:val="both"/>
      </w:pPr>
      <w:r w:rsidRPr="00252CE9">
        <w:t>Citing Vietnamese researchers by surname only (in</w:t>
      </w:r>
      <w:r w:rsidRPr="00252CE9">
        <w:noBreakHyphen/>
        <w:t>text).</w:t>
      </w:r>
    </w:p>
    <w:p w14:paraId="35F458D1" w14:textId="77777777" w:rsidR="00252CE9" w:rsidRPr="00252CE9" w:rsidRDefault="00252CE9" w:rsidP="00252CE9">
      <w:pPr>
        <w:numPr>
          <w:ilvl w:val="1"/>
          <w:numId w:val="15"/>
        </w:numPr>
        <w:jc w:val="both"/>
      </w:pPr>
      <w:r w:rsidRPr="00252CE9">
        <w:t>What we changed: We standardized all in</w:t>
      </w:r>
      <w:r w:rsidRPr="00252CE9">
        <w:noBreakHyphen/>
        <w:t>text references to use surnames only for Vietnamese authors. For example, “Tran (2024)” and “Le et al. (2024)” replace forms that previously included full names or initials.</w:t>
      </w:r>
    </w:p>
    <w:p w14:paraId="7A0020B1" w14:textId="77777777" w:rsidR="00252CE9" w:rsidRPr="00252CE9" w:rsidRDefault="00252CE9" w:rsidP="00252CE9">
      <w:pPr>
        <w:numPr>
          <w:ilvl w:val="1"/>
          <w:numId w:val="15"/>
        </w:numPr>
        <w:jc w:val="both"/>
      </w:pPr>
      <w:r w:rsidRPr="00252CE9">
        <w:t>Why: This aligns our in</w:t>
      </w:r>
      <w:r w:rsidRPr="00252CE9">
        <w:noBreakHyphen/>
        <w:t>text citations with standard academic practice and your guidance.</w:t>
      </w:r>
    </w:p>
    <w:p w14:paraId="71F30D2D" w14:textId="77777777" w:rsidR="00252CE9" w:rsidRPr="00252CE9" w:rsidRDefault="00252CE9" w:rsidP="00252CE9">
      <w:pPr>
        <w:numPr>
          <w:ilvl w:val="0"/>
          <w:numId w:val="15"/>
        </w:numPr>
        <w:jc w:val="both"/>
      </w:pPr>
      <w:r w:rsidRPr="00252CE9">
        <w:t>No surnames + abbreviated given names in in</w:t>
      </w:r>
      <w:r w:rsidRPr="00252CE9">
        <w:noBreakHyphen/>
        <w:t>text citations.</w:t>
      </w:r>
    </w:p>
    <w:p w14:paraId="144D6053" w14:textId="77777777" w:rsidR="00252CE9" w:rsidRPr="00252CE9" w:rsidRDefault="00252CE9" w:rsidP="00252CE9">
      <w:pPr>
        <w:numPr>
          <w:ilvl w:val="1"/>
          <w:numId w:val="15"/>
        </w:numPr>
        <w:jc w:val="both"/>
      </w:pPr>
      <w:r w:rsidRPr="00252CE9">
        <w:t>What we changed: We removed usages like “Thanh T.C. (2024)” or “Lê P.T.” in the running text. Only the surname appears in</w:t>
      </w:r>
      <w:r w:rsidRPr="00252CE9">
        <w:noBreakHyphen/>
        <w:t>text; full details remain in the reference list, per journal style.</w:t>
      </w:r>
    </w:p>
    <w:p w14:paraId="7775160F" w14:textId="77777777" w:rsidR="00252CE9" w:rsidRPr="00252CE9" w:rsidRDefault="00252CE9" w:rsidP="00252CE9">
      <w:pPr>
        <w:numPr>
          <w:ilvl w:val="1"/>
          <w:numId w:val="15"/>
        </w:numPr>
        <w:jc w:val="both"/>
      </w:pPr>
      <w:r w:rsidRPr="00252CE9">
        <w:t>Result: In</w:t>
      </w:r>
      <w:r w:rsidRPr="00252CE9">
        <w:noBreakHyphen/>
        <w:t>text citations now read, for example, Tran¹⁸; Le et al.¹⁹ (superscript numbering), consistent with the rest of the paper.</w:t>
      </w:r>
    </w:p>
    <w:p w14:paraId="61DC2958" w14:textId="77777777" w:rsidR="00252CE9" w:rsidRPr="00252CE9" w:rsidRDefault="00252CE9" w:rsidP="00252CE9">
      <w:pPr>
        <w:numPr>
          <w:ilvl w:val="0"/>
          <w:numId w:val="15"/>
        </w:numPr>
        <w:jc w:val="both"/>
      </w:pPr>
      <w:r w:rsidRPr="00252CE9">
        <w:t>Consistent use of the term “non</w:t>
      </w:r>
      <w:r w:rsidRPr="00252CE9">
        <w:noBreakHyphen/>
        <w:t>English</w:t>
      </w:r>
      <w:r w:rsidRPr="00252CE9">
        <w:noBreakHyphen/>
        <w:t>major students.”</w:t>
      </w:r>
    </w:p>
    <w:p w14:paraId="562B0463" w14:textId="77777777" w:rsidR="00252CE9" w:rsidRPr="00252CE9" w:rsidRDefault="00252CE9" w:rsidP="00252CE9">
      <w:pPr>
        <w:numPr>
          <w:ilvl w:val="1"/>
          <w:numId w:val="15"/>
        </w:numPr>
        <w:jc w:val="both"/>
      </w:pPr>
      <w:r w:rsidRPr="00252CE9">
        <w:t>What we changed: We ran a global consistency pass to:</w:t>
      </w:r>
    </w:p>
    <w:p w14:paraId="4B5427A0" w14:textId="77777777" w:rsidR="00252CE9" w:rsidRPr="00252CE9" w:rsidRDefault="00252CE9" w:rsidP="00252CE9">
      <w:pPr>
        <w:numPr>
          <w:ilvl w:val="2"/>
          <w:numId w:val="15"/>
        </w:numPr>
        <w:jc w:val="both"/>
      </w:pPr>
      <w:r w:rsidRPr="00252CE9">
        <w:t>Replace variants such as “non English majors,” “non English major students,” and “non</w:t>
      </w:r>
      <w:r w:rsidRPr="00252CE9">
        <w:noBreakHyphen/>
        <w:t>English majors students” with “non</w:t>
      </w:r>
      <w:r w:rsidRPr="00252CE9">
        <w:noBreakHyphen/>
        <w:t>English</w:t>
      </w:r>
      <w:r w:rsidRPr="00252CE9">
        <w:noBreakHyphen/>
        <w:t>major students” when used before “students”;</w:t>
      </w:r>
    </w:p>
    <w:p w14:paraId="768100E9" w14:textId="77777777" w:rsidR="00252CE9" w:rsidRPr="00252CE9" w:rsidRDefault="00252CE9" w:rsidP="00252CE9">
      <w:pPr>
        <w:numPr>
          <w:ilvl w:val="2"/>
          <w:numId w:val="15"/>
        </w:numPr>
        <w:jc w:val="both"/>
      </w:pPr>
      <w:r w:rsidRPr="00252CE9">
        <w:lastRenderedPageBreak/>
        <w:t>Use “non</w:t>
      </w:r>
      <w:r w:rsidRPr="00252CE9">
        <w:noBreakHyphen/>
        <w:t>English majors” when the noun phrase stands alone (no “students” immediately after).</w:t>
      </w:r>
    </w:p>
    <w:p w14:paraId="4E0CD80A" w14:textId="77777777" w:rsidR="00252CE9" w:rsidRPr="00252CE9" w:rsidRDefault="00252CE9" w:rsidP="00252CE9">
      <w:pPr>
        <w:numPr>
          <w:ilvl w:val="1"/>
          <w:numId w:val="15"/>
        </w:numPr>
        <w:jc w:val="both"/>
      </w:pPr>
      <w:r w:rsidRPr="00252CE9">
        <w:t>Also standardized related hyphenation: </w:t>
      </w:r>
      <w:r w:rsidRPr="00252CE9">
        <w:rPr>
          <w:i/>
          <w:iCs/>
        </w:rPr>
        <w:t>technology</w:t>
      </w:r>
      <w:r w:rsidRPr="00252CE9">
        <w:rPr>
          <w:i/>
          <w:iCs/>
        </w:rPr>
        <w:noBreakHyphen/>
        <w:t>enhanced, e</w:t>
      </w:r>
      <w:r w:rsidRPr="00252CE9">
        <w:rPr>
          <w:i/>
          <w:iCs/>
        </w:rPr>
        <w:noBreakHyphen/>
        <w:t>learning, self</w:t>
      </w:r>
      <w:r w:rsidRPr="00252CE9">
        <w:rPr>
          <w:i/>
          <w:iCs/>
        </w:rPr>
        <w:noBreakHyphen/>
        <w:t>study, learner</w:t>
      </w:r>
      <w:r w:rsidRPr="00252CE9">
        <w:rPr>
          <w:i/>
          <w:iCs/>
        </w:rPr>
        <w:noBreakHyphen/>
        <w:t>centered, knowledge</w:t>
      </w:r>
      <w:r w:rsidRPr="00252CE9">
        <w:rPr>
          <w:i/>
          <w:iCs/>
        </w:rPr>
        <w:noBreakHyphen/>
        <w:t>sharing, out</w:t>
      </w:r>
      <w:r w:rsidRPr="00252CE9">
        <w:rPr>
          <w:i/>
          <w:iCs/>
        </w:rPr>
        <w:noBreakHyphen/>
        <w:t>of</w:t>
      </w:r>
      <w:r w:rsidRPr="00252CE9">
        <w:rPr>
          <w:i/>
          <w:iCs/>
        </w:rPr>
        <w:noBreakHyphen/>
        <w:t>class, time</w:t>
      </w:r>
      <w:r w:rsidRPr="00252CE9">
        <w:rPr>
          <w:i/>
          <w:iCs/>
        </w:rPr>
        <w:noBreakHyphen/>
        <w:t>saving, step</w:t>
      </w:r>
      <w:r w:rsidRPr="00252CE9">
        <w:rPr>
          <w:i/>
          <w:iCs/>
        </w:rPr>
        <w:noBreakHyphen/>
        <w:t>by</w:t>
      </w:r>
      <w:r w:rsidRPr="00252CE9">
        <w:rPr>
          <w:i/>
          <w:iCs/>
        </w:rPr>
        <w:noBreakHyphen/>
        <w:t>step, platform</w:t>
      </w:r>
      <w:r w:rsidRPr="00252CE9">
        <w:rPr>
          <w:i/>
          <w:iCs/>
        </w:rPr>
        <w:noBreakHyphen/>
        <w:t>specific, context</w:t>
      </w:r>
      <w:r w:rsidRPr="00252CE9">
        <w:rPr>
          <w:i/>
          <w:iCs/>
        </w:rPr>
        <w:noBreakHyphen/>
        <w:t>bound</w:t>
      </w:r>
      <w:r w:rsidRPr="00252CE9">
        <w:t>.</w:t>
      </w:r>
    </w:p>
    <w:p w14:paraId="5DC8D8F7" w14:textId="77777777" w:rsidR="00252CE9" w:rsidRPr="00252CE9" w:rsidRDefault="00252CE9" w:rsidP="00252CE9">
      <w:pPr>
        <w:numPr>
          <w:ilvl w:val="0"/>
          <w:numId w:val="15"/>
        </w:numPr>
        <w:jc w:val="both"/>
      </w:pPr>
      <w:r w:rsidRPr="00252CE9">
        <w:t>Present simple for generally applicable findings in the literature review.</w:t>
      </w:r>
    </w:p>
    <w:p w14:paraId="7D3853B1" w14:textId="77777777" w:rsidR="00252CE9" w:rsidRPr="00252CE9" w:rsidRDefault="00252CE9" w:rsidP="00252CE9">
      <w:pPr>
        <w:numPr>
          <w:ilvl w:val="1"/>
          <w:numId w:val="15"/>
        </w:numPr>
        <w:jc w:val="both"/>
      </w:pPr>
      <w:r w:rsidRPr="00252CE9">
        <w:t>What we changed: In Sections 2.1–2.7 (especially 2.4 and 2.5), we revised tense usage so that generalized findings use present simple (e.g., “studies show,” “usability is associated,” “interaction supports”).</w:t>
      </w:r>
    </w:p>
    <w:p w14:paraId="74EFB6F1" w14:textId="77777777" w:rsidR="00252CE9" w:rsidRPr="00252CE9" w:rsidRDefault="00252CE9" w:rsidP="00252CE9">
      <w:pPr>
        <w:numPr>
          <w:ilvl w:val="1"/>
          <w:numId w:val="15"/>
        </w:numPr>
        <w:jc w:val="both"/>
      </w:pPr>
      <w:r w:rsidRPr="00252CE9">
        <w:t>Result: Verb</w:t>
      </w:r>
      <w:r w:rsidRPr="00252CE9">
        <w:noBreakHyphen/>
        <w:t>tense consistency now follows your recommendation and matches scholarly norms for review sections.</w:t>
      </w:r>
    </w:p>
    <w:p w14:paraId="2B4A2F51" w14:textId="77777777" w:rsidR="00252CE9" w:rsidRPr="00252CE9" w:rsidRDefault="00252CE9" w:rsidP="00252CE9">
      <w:pPr>
        <w:numPr>
          <w:ilvl w:val="0"/>
          <w:numId w:val="15"/>
        </w:numPr>
        <w:jc w:val="both"/>
      </w:pPr>
      <w:r w:rsidRPr="00252CE9">
        <w:t>Minor revisions across the manuscript (editorial polishing).</w:t>
      </w:r>
    </w:p>
    <w:p w14:paraId="58060254" w14:textId="77777777" w:rsidR="00252CE9" w:rsidRPr="00252CE9" w:rsidRDefault="00252CE9" w:rsidP="00252CE9">
      <w:pPr>
        <w:numPr>
          <w:ilvl w:val="1"/>
          <w:numId w:val="15"/>
        </w:numPr>
        <w:jc w:val="both"/>
      </w:pPr>
      <w:r w:rsidRPr="00252CE9">
        <w:t>What we changed: We performed a line</w:t>
      </w:r>
      <w:r w:rsidRPr="00252CE9">
        <w:noBreakHyphen/>
        <w:t>by</w:t>
      </w:r>
      <w:r w:rsidRPr="00252CE9">
        <w:noBreakHyphen/>
        <w:t>line proof to correct punctuation, article/preposition usage, parallelism in lists, and to harmonize terminology. We also corrected internal cross</w:t>
      </w:r>
      <w:r w:rsidRPr="00252CE9">
        <w:noBreakHyphen/>
        <w:t>references so that conclusions point to Sections 5.x, not 6.x.</w:t>
      </w:r>
    </w:p>
    <w:p w14:paraId="79942A6D" w14:textId="77777777" w:rsidR="00252CE9" w:rsidRPr="00252CE9" w:rsidRDefault="00252CE9" w:rsidP="00252CE9">
      <w:pPr>
        <w:jc w:val="both"/>
      </w:pPr>
      <w:r w:rsidRPr="00252CE9">
        <w:rPr>
          <w:b/>
          <w:bCs/>
        </w:rPr>
        <w:t>Changes in Manuscript (locations &amp; examples)</w:t>
      </w:r>
    </w:p>
    <w:p w14:paraId="442C969A" w14:textId="77777777" w:rsidR="00252CE9" w:rsidRPr="00252CE9" w:rsidRDefault="00252CE9" w:rsidP="00252CE9">
      <w:pPr>
        <w:numPr>
          <w:ilvl w:val="0"/>
          <w:numId w:val="16"/>
        </w:numPr>
        <w:jc w:val="both"/>
      </w:pPr>
      <w:r w:rsidRPr="00252CE9">
        <w:rPr>
          <w:b/>
          <w:bCs/>
        </w:rPr>
        <w:t>Section 2 (Literature Review and Theoretical Framework)</w:t>
      </w:r>
    </w:p>
    <w:p w14:paraId="7D9A6749" w14:textId="77777777" w:rsidR="00252CE9" w:rsidRPr="00252CE9" w:rsidRDefault="00252CE9" w:rsidP="00252CE9">
      <w:pPr>
        <w:numPr>
          <w:ilvl w:val="1"/>
          <w:numId w:val="16"/>
        </w:numPr>
        <w:jc w:val="both"/>
      </w:pPr>
      <w:r w:rsidRPr="00252CE9">
        <w:rPr>
          <w:b/>
          <w:bCs/>
        </w:rPr>
        <w:t>2.4 Synthesis; 2.5 Critical Appraisal; 2.6 Analytical Expectations:</w:t>
      </w:r>
      <w:r w:rsidRPr="00252CE9">
        <w:t> Converted all generalized claims to </w:t>
      </w:r>
      <w:r w:rsidRPr="00252CE9">
        <w:rPr>
          <w:b/>
          <w:bCs/>
        </w:rPr>
        <w:t>present simple</w:t>
      </w:r>
      <w:r w:rsidRPr="00252CE9">
        <w:t>; standardized in</w:t>
      </w:r>
      <w:r w:rsidRPr="00252CE9">
        <w:noBreakHyphen/>
        <w:t>text Vietnamese surnames: </w:t>
      </w:r>
      <w:r w:rsidRPr="00252CE9">
        <w:rPr>
          <w:b/>
          <w:bCs/>
        </w:rPr>
        <w:t>Tran</w:t>
      </w:r>
      <w:r w:rsidRPr="00252CE9">
        <w:t>¹⁸; Le et al.⁹; normalized hyphenation (e.g., </w:t>
      </w:r>
      <w:r w:rsidRPr="00252CE9">
        <w:rPr>
          <w:b/>
          <w:bCs/>
        </w:rPr>
        <w:t>technology</w:t>
      </w:r>
      <w:r w:rsidRPr="00252CE9">
        <w:rPr>
          <w:b/>
          <w:bCs/>
        </w:rPr>
        <w:noBreakHyphen/>
        <w:t>enhanced</w:t>
      </w:r>
      <w:r w:rsidRPr="00252CE9">
        <w:t>, </w:t>
      </w:r>
      <w:r w:rsidRPr="00252CE9">
        <w:rPr>
          <w:b/>
          <w:bCs/>
        </w:rPr>
        <w:t>non</w:t>
      </w:r>
      <w:r w:rsidRPr="00252CE9">
        <w:rPr>
          <w:b/>
          <w:bCs/>
        </w:rPr>
        <w:noBreakHyphen/>
        <w:t>English</w:t>
      </w:r>
      <w:r w:rsidRPr="00252CE9">
        <w:rPr>
          <w:b/>
          <w:bCs/>
        </w:rPr>
        <w:noBreakHyphen/>
        <w:t>major students</w:t>
      </w:r>
      <w:r w:rsidRPr="00252CE9">
        <w:t>, </w:t>
      </w:r>
      <w:r w:rsidRPr="00252CE9">
        <w:rPr>
          <w:b/>
          <w:bCs/>
        </w:rPr>
        <w:t>learner</w:t>
      </w:r>
      <w:r w:rsidRPr="00252CE9">
        <w:rPr>
          <w:b/>
          <w:bCs/>
        </w:rPr>
        <w:noBreakHyphen/>
        <w:t>centered</w:t>
      </w:r>
      <w:r w:rsidRPr="00252CE9">
        <w:t>).</w:t>
      </w:r>
    </w:p>
    <w:p w14:paraId="27795774" w14:textId="77777777" w:rsidR="00252CE9" w:rsidRPr="00252CE9" w:rsidRDefault="00252CE9" w:rsidP="00252CE9">
      <w:pPr>
        <w:numPr>
          <w:ilvl w:val="1"/>
          <w:numId w:val="16"/>
        </w:numPr>
        <w:jc w:val="both"/>
      </w:pPr>
      <w:r w:rsidRPr="00252CE9">
        <w:rPr>
          <w:b/>
          <w:bCs/>
        </w:rPr>
        <w:t>2.3 Linking Theory to Constructs and Instrument:</w:t>
      </w:r>
      <w:r w:rsidRPr="00252CE9">
        <w:t> Maintained the standardized term </w:t>
      </w:r>
      <w:r w:rsidRPr="00252CE9">
        <w:rPr>
          <w:b/>
          <w:bCs/>
        </w:rPr>
        <w:t>non</w:t>
      </w:r>
      <w:r w:rsidRPr="00252CE9">
        <w:rPr>
          <w:b/>
          <w:bCs/>
        </w:rPr>
        <w:noBreakHyphen/>
        <w:t>English</w:t>
      </w:r>
      <w:r w:rsidRPr="00252CE9">
        <w:rPr>
          <w:b/>
          <w:bCs/>
        </w:rPr>
        <w:noBreakHyphen/>
        <w:t>major students</w:t>
      </w:r>
      <w:r w:rsidRPr="00252CE9">
        <w:t> and consistent hyphenation in construct labels.</w:t>
      </w:r>
    </w:p>
    <w:p w14:paraId="751CC166" w14:textId="77777777" w:rsidR="00252CE9" w:rsidRPr="00252CE9" w:rsidRDefault="00252CE9" w:rsidP="00252CE9">
      <w:pPr>
        <w:numPr>
          <w:ilvl w:val="0"/>
          <w:numId w:val="16"/>
        </w:numPr>
        <w:jc w:val="both"/>
      </w:pPr>
      <w:r w:rsidRPr="00252CE9">
        <w:rPr>
          <w:b/>
          <w:bCs/>
        </w:rPr>
        <w:t>Section 3 (Spark Platform at QNU)</w:t>
      </w:r>
    </w:p>
    <w:p w14:paraId="6B345219" w14:textId="77777777" w:rsidR="00252CE9" w:rsidRPr="00252CE9" w:rsidRDefault="00252CE9" w:rsidP="00252CE9">
      <w:pPr>
        <w:numPr>
          <w:ilvl w:val="1"/>
          <w:numId w:val="16"/>
        </w:numPr>
        <w:jc w:val="both"/>
      </w:pPr>
      <w:r w:rsidRPr="00252CE9">
        <w:t>Harmonized </w:t>
      </w:r>
      <w:r w:rsidRPr="00252CE9">
        <w:rPr>
          <w:i/>
          <w:iCs/>
        </w:rPr>
        <w:t>self</w:t>
      </w:r>
      <w:r w:rsidRPr="00252CE9">
        <w:rPr>
          <w:i/>
          <w:iCs/>
        </w:rPr>
        <w:noBreakHyphen/>
        <w:t>study, in</w:t>
      </w:r>
      <w:r w:rsidRPr="00252CE9">
        <w:rPr>
          <w:i/>
          <w:iCs/>
        </w:rPr>
        <w:noBreakHyphen/>
        <w:t>class, out</w:t>
      </w:r>
      <w:r w:rsidRPr="00252CE9">
        <w:rPr>
          <w:i/>
          <w:iCs/>
        </w:rPr>
        <w:noBreakHyphen/>
        <w:t>of</w:t>
      </w:r>
      <w:r w:rsidRPr="00252CE9">
        <w:rPr>
          <w:i/>
          <w:iCs/>
        </w:rPr>
        <w:noBreakHyphen/>
        <w:t>class,</w:t>
      </w:r>
      <w:r w:rsidRPr="00252CE9">
        <w:t> and </w:t>
      </w:r>
      <w:r w:rsidRPr="00252CE9">
        <w:rPr>
          <w:i/>
          <w:iCs/>
        </w:rPr>
        <w:t>Pre</w:t>
      </w:r>
      <w:r w:rsidRPr="00252CE9">
        <w:rPr>
          <w:i/>
          <w:iCs/>
        </w:rPr>
        <w:noBreakHyphen/>
        <w:t>intermediate</w:t>
      </w:r>
      <w:r w:rsidRPr="00252CE9">
        <w:t> (italicized </w:t>
      </w:r>
      <w:r w:rsidRPr="00252CE9">
        <w:rPr>
          <w:i/>
          <w:iCs/>
        </w:rPr>
        <w:t>Voices Pre</w:t>
      </w:r>
      <w:r w:rsidRPr="00252CE9">
        <w:rPr>
          <w:i/>
          <w:iCs/>
        </w:rPr>
        <w:noBreakHyphen/>
        <w:t>intermediate</w:t>
      </w:r>
      <w:r w:rsidRPr="00252CE9">
        <w:t>).</w:t>
      </w:r>
    </w:p>
    <w:p w14:paraId="513E8696" w14:textId="77777777" w:rsidR="00252CE9" w:rsidRPr="00252CE9" w:rsidRDefault="00252CE9" w:rsidP="00252CE9">
      <w:pPr>
        <w:numPr>
          <w:ilvl w:val="0"/>
          <w:numId w:val="16"/>
        </w:numPr>
        <w:jc w:val="both"/>
      </w:pPr>
      <w:r w:rsidRPr="00252CE9">
        <w:rPr>
          <w:b/>
          <w:bCs/>
        </w:rPr>
        <w:t>Section 4 (Methodology)</w:t>
      </w:r>
    </w:p>
    <w:p w14:paraId="66BE0BEC" w14:textId="77777777" w:rsidR="00252CE9" w:rsidRPr="00252CE9" w:rsidRDefault="00252CE9" w:rsidP="00252CE9">
      <w:pPr>
        <w:numPr>
          <w:ilvl w:val="1"/>
          <w:numId w:val="16"/>
        </w:numPr>
        <w:jc w:val="both"/>
      </w:pPr>
      <w:r w:rsidRPr="00252CE9">
        <w:rPr>
          <w:b/>
          <w:bCs/>
        </w:rPr>
        <w:t>4.1–4.4:</w:t>
      </w:r>
      <w:r w:rsidRPr="00252CE9">
        <w:t> Standardized </w:t>
      </w:r>
      <w:r w:rsidRPr="00252CE9">
        <w:rPr>
          <w:b/>
          <w:bCs/>
        </w:rPr>
        <w:t>non</w:t>
      </w:r>
      <w:r w:rsidRPr="00252CE9">
        <w:rPr>
          <w:b/>
          <w:bCs/>
        </w:rPr>
        <w:noBreakHyphen/>
        <w:t>English</w:t>
      </w:r>
      <w:r w:rsidRPr="00252CE9">
        <w:rPr>
          <w:b/>
          <w:bCs/>
        </w:rPr>
        <w:noBreakHyphen/>
        <w:t>major</w:t>
      </w:r>
      <w:r w:rsidRPr="00252CE9">
        <w:t> usage; ensured </w:t>
      </w:r>
      <w:r w:rsidRPr="00252CE9">
        <w:rPr>
          <w:b/>
          <w:bCs/>
        </w:rPr>
        <w:t>present simple</w:t>
      </w:r>
      <w:r w:rsidRPr="00252CE9">
        <w:t> in method description; normalized multi</w:t>
      </w:r>
      <w:r w:rsidRPr="00252CE9">
        <w:noBreakHyphen/>
        <w:t>word adjectives (e.g., </w:t>
      </w:r>
      <w:r w:rsidRPr="00252CE9">
        <w:rPr>
          <w:b/>
          <w:bCs/>
        </w:rPr>
        <w:t>cross</w:t>
      </w:r>
      <w:r w:rsidRPr="00252CE9">
        <w:rPr>
          <w:b/>
          <w:bCs/>
        </w:rPr>
        <w:noBreakHyphen/>
        <w:t>sectional</w:t>
      </w:r>
      <w:r w:rsidRPr="00252CE9">
        <w:t>, </w:t>
      </w:r>
      <w:r w:rsidRPr="00252CE9">
        <w:rPr>
          <w:b/>
          <w:bCs/>
        </w:rPr>
        <w:t>single</w:t>
      </w:r>
      <w:r w:rsidRPr="00252CE9">
        <w:rPr>
          <w:b/>
          <w:bCs/>
        </w:rPr>
        <w:noBreakHyphen/>
        <w:t>site</w:t>
      </w:r>
      <w:r w:rsidRPr="00252CE9">
        <w:t>, </w:t>
      </w:r>
      <w:r w:rsidRPr="00252CE9">
        <w:rPr>
          <w:b/>
          <w:bCs/>
        </w:rPr>
        <w:t>multi</w:t>
      </w:r>
      <w:r w:rsidRPr="00252CE9">
        <w:rPr>
          <w:b/>
          <w:bCs/>
        </w:rPr>
        <w:noBreakHyphen/>
        <w:t>item</w:t>
      </w:r>
      <w:r w:rsidRPr="00252CE9">
        <w:t>, </w:t>
      </w:r>
      <w:r w:rsidRPr="00252CE9">
        <w:rPr>
          <w:b/>
          <w:bCs/>
        </w:rPr>
        <w:t>5</w:t>
      </w:r>
      <w:r w:rsidRPr="00252CE9">
        <w:rPr>
          <w:b/>
          <w:bCs/>
        </w:rPr>
        <w:noBreakHyphen/>
        <w:t>point</w:t>
      </w:r>
      <w:r w:rsidRPr="00252CE9">
        <w:t> Likert scale).</w:t>
      </w:r>
    </w:p>
    <w:p w14:paraId="23DC3800" w14:textId="77777777" w:rsidR="00252CE9" w:rsidRPr="00252CE9" w:rsidRDefault="00252CE9" w:rsidP="00252CE9">
      <w:pPr>
        <w:numPr>
          <w:ilvl w:val="0"/>
          <w:numId w:val="16"/>
        </w:numPr>
        <w:jc w:val="both"/>
      </w:pPr>
      <w:r w:rsidRPr="00252CE9">
        <w:rPr>
          <w:b/>
          <w:bCs/>
        </w:rPr>
        <w:t>Section 5 (Findings and Discussions)</w:t>
      </w:r>
    </w:p>
    <w:p w14:paraId="525D149E" w14:textId="77777777" w:rsidR="00252CE9" w:rsidRPr="00252CE9" w:rsidRDefault="00252CE9" w:rsidP="00252CE9">
      <w:pPr>
        <w:numPr>
          <w:ilvl w:val="1"/>
          <w:numId w:val="16"/>
        </w:numPr>
        <w:jc w:val="both"/>
      </w:pPr>
      <w:r w:rsidRPr="00252CE9">
        <w:rPr>
          <w:b/>
          <w:bCs/>
        </w:rPr>
        <w:t>5.1–5.5:</w:t>
      </w:r>
      <w:r w:rsidRPr="00252CE9">
        <w:t> Ensured consistent terminology and present</w:t>
      </w:r>
      <w:r w:rsidRPr="00252CE9">
        <w:noBreakHyphen/>
        <w:t>tense reporting of aggregate interpretations; tightened sentences linking </w:t>
      </w:r>
      <w:r w:rsidRPr="00252CE9">
        <w:rPr>
          <w:b/>
          <w:bCs/>
        </w:rPr>
        <w:t>percentages → interpretation → literature (where cited)</w:t>
      </w:r>
      <w:r w:rsidRPr="00252CE9">
        <w:t>; corrected internal section references.</w:t>
      </w:r>
    </w:p>
    <w:p w14:paraId="57ECC937" w14:textId="77777777" w:rsidR="00252CE9" w:rsidRPr="00252CE9" w:rsidRDefault="00252CE9" w:rsidP="00252CE9">
      <w:pPr>
        <w:numPr>
          <w:ilvl w:val="0"/>
          <w:numId w:val="16"/>
        </w:numPr>
        <w:jc w:val="both"/>
      </w:pPr>
      <w:r w:rsidRPr="00252CE9">
        <w:rPr>
          <w:b/>
          <w:bCs/>
        </w:rPr>
        <w:t>Section 6 (Conclusions and Recommendations)</w:t>
      </w:r>
    </w:p>
    <w:p w14:paraId="31F01853" w14:textId="77777777" w:rsidR="00252CE9" w:rsidRPr="00252CE9" w:rsidRDefault="00252CE9" w:rsidP="00252CE9">
      <w:pPr>
        <w:numPr>
          <w:ilvl w:val="1"/>
          <w:numId w:val="16"/>
        </w:numPr>
        <w:jc w:val="both"/>
      </w:pPr>
      <w:r w:rsidRPr="00252CE9">
        <w:t>Standardized </w:t>
      </w:r>
      <w:r w:rsidRPr="00252CE9">
        <w:rPr>
          <w:b/>
          <w:bCs/>
        </w:rPr>
        <w:t>non</w:t>
      </w:r>
      <w:r w:rsidRPr="00252CE9">
        <w:rPr>
          <w:b/>
          <w:bCs/>
        </w:rPr>
        <w:noBreakHyphen/>
        <w:t>English</w:t>
      </w:r>
      <w:r w:rsidRPr="00252CE9">
        <w:rPr>
          <w:b/>
          <w:bCs/>
        </w:rPr>
        <w:noBreakHyphen/>
        <w:t>major students</w:t>
      </w:r>
      <w:r w:rsidRPr="00252CE9">
        <w:t>; corrected cross</w:t>
      </w:r>
      <w:r w:rsidRPr="00252CE9">
        <w:noBreakHyphen/>
        <w:t>references to </w:t>
      </w:r>
      <w:r w:rsidRPr="00252CE9">
        <w:rPr>
          <w:b/>
          <w:bCs/>
        </w:rPr>
        <w:t>Sections 5.1–5.5</w:t>
      </w:r>
      <w:r w:rsidRPr="00252CE9">
        <w:t>; harmonized hyphenation (</w:t>
      </w:r>
      <w:r w:rsidRPr="00252CE9">
        <w:rPr>
          <w:i/>
          <w:iCs/>
        </w:rPr>
        <w:t>hint</w:t>
      </w:r>
      <w:r w:rsidRPr="00252CE9">
        <w:rPr>
          <w:i/>
          <w:iCs/>
        </w:rPr>
        <w:noBreakHyphen/>
        <w:t>supported, knowledge</w:t>
      </w:r>
      <w:r w:rsidRPr="00252CE9">
        <w:rPr>
          <w:i/>
          <w:iCs/>
        </w:rPr>
        <w:noBreakHyphen/>
        <w:t>sharing, mid</w:t>
      </w:r>
      <w:r w:rsidRPr="00252CE9">
        <w:rPr>
          <w:i/>
          <w:iCs/>
        </w:rPr>
        <w:noBreakHyphen/>
        <w:t>range, step</w:t>
      </w:r>
      <w:r w:rsidRPr="00252CE9">
        <w:rPr>
          <w:i/>
          <w:iCs/>
        </w:rPr>
        <w:noBreakHyphen/>
        <w:t>by</w:t>
      </w:r>
      <w:r w:rsidRPr="00252CE9">
        <w:rPr>
          <w:i/>
          <w:iCs/>
        </w:rPr>
        <w:noBreakHyphen/>
        <w:t>step, error</w:t>
      </w:r>
      <w:r w:rsidRPr="00252CE9">
        <w:rPr>
          <w:i/>
          <w:iCs/>
        </w:rPr>
        <w:noBreakHyphen/>
        <w:t>specific</w:t>
      </w:r>
      <w:r w:rsidRPr="00252CE9">
        <w:t>).</w:t>
      </w:r>
    </w:p>
    <w:p w14:paraId="62E1FDB8" w14:textId="77777777" w:rsidR="00252CE9" w:rsidRPr="00252CE9" w:rsidRDefault="00252CE9" w:rsidP="00252CE9">
      <w:pPr>
        <w:jc w:val="both"/>
      </w:pPr>
      <w:r w:rsidRPr="00252CE9">
        <w:t> </w:t>
      </w:r>
    </w:p>
    <w:p w14:paraId="12CF6652" w14:textId="77777777" w:rsidR="00252CE9" w:rsidRPr="00252CE9" w:rsidRDefault="00252CE9" w:rsidP="00252CE9">
      <w:pPr>
        <w:jc w:val="both"/>
      </w:pPr>
      <w:r w:rsidRPr="00252CE9">
        <w:t>We appreciate the reviewer’s acknowledgement that the manuscript has considerably improved. We confirm that the minor revisions requested have been completed throughout the manuscript as detailed above. We are grateful for the guidance and believe these actions further strengthen the clarity, consistency, and scholarly rigor of the paper.</w:t>
      </w:r>
    </w:p>
    <w:p w14:paraId="39950F89" w14:textId="77777777" w:rsidR="00252CE9" w:rsidRPr="00252CE9" w:rsidRDefault="00252CE9" w:rsidP="00252CE9">
      <w:pPr>
        <w:jc w:val="both"/>
      </w:pPr>
      <w:r w:rsidRPr="00252CE9">
        <w:lastRenderedPageBreak/>
        <w:t> </w:t>
      </w:r>
    </w:p>
    <w:p w14:paraId="2681DA01" w14:textId="77CB5E79" w:rsidR="00252CE9" w:rsidRPr="00252CE9" w:rsidRDefault="00252CE9" w:rsidP="00237193">
      <w:pPr>
        <w:jc w:val="left"/>
      </w:pPr>
      <w:r w:rsidRPr="00252CE9">
        <w:t>With sincere thanks,</w:t>
      </w:r>
      <w:r w:rsidRPr="00252CE9">
        <w:br/>
        <w:t>Corresponding Author</w:t>
      </w:r>
    </w:p>
    <w:p w14:paraId="1DAE5196" w14:textId="77777777" w:rsidR="00475B86" w:rsidRDefault="00475B86" w:rsidP="00252CE9">
      <w:pPr>
        <w:jc w:val="both"/>
      </w:pPr>
    </w:p>
    <w:sectPr w:rsidR="00475B86" w:rsidSect="00237193">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1FF"/>
    <w:multiLevelType w:val="multilevel"/>
    <w:tmpl w:val="D5E0A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B3B68"/>
    <w:multiLevelType w:val="multilevel"/>
    <w:tmpl w:val="6F4AE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12117"/>
    <w:multiLevelType w:val="multilevel"/>
    <w:tmpl w:val="37A04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76C35"/>
    <w:multiLevelType w:val="multilevel"/>
    <w:tmpl w:val="FFA4D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368B3"/>
    <w:multiLevelType w:val="multilevel"/>
    <w:tmpl w:val="C9F4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56137"/>
    <w:multiLevelType w:val="multilevel"/>
    <w:tmpl w:val="9014E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27BBD"/>
    <w:multiLevelType w:val="multilevel"/>
    <w:tmpl w:val="A198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1D071D"/>
    <w:multiLevelType w:val="multilevel"/>
    <w:tmpl w:val="2E1E9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45967"/>
    <w:multiLevelType w:val="multilevel"/>
    <w:tmpl w:val="012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EE1BCE"/>
    <w:multiLevelType w:val="multilevel"/>
    <w:tmpl w:val="ABD0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CB3A09"/>
    <w:multiLevelType w:val="multilevel"/>
    <w:tmpl w:val="459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26EB8"/>
    <w:multiLevelType w:val="multilevel"/>
    <w:tmpl w:val="C8EA7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6243A"/>
    <w:multiLevelType w:val="multilevel"/>
    <w:tmpl w:val="18BE8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F6713"/>
    <w:multiLevelType w:val="multilevel"/>
    <w:tmpl w:val="140EC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E5576"/>
    <w:multiLevelType w:val="multilevel"/>
    <w:tmpl w:val="902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F020B0"/>
    <w:multiLevelType w:val="multilevel"/>
    <w:tmpl w:val="66D0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295493">
    <w:abstractNumId w:val="9"/>
  </w:num>
  <w:num w:numId="2" w16cid:durableId="1980526382">
    <w:abstractNumId w:val="5"/>
  </w:num>
  <w:num w:numId="3" w16cid:durableId="458688703">
    <w:abstractNumId w:val="2"/>
  </w:num>
  <w:num w:numId="4" w16cid:durableId="368385946">
    <w:abstractNumId w:val="6"/>
  </w:num>
  <w:num w:numId="5" w16cid:durableId="502739352">
    <w:abstractNumId w:val="1"/>
  </w:num>
  <w:num w:numId="6" w16cid:durableId="1295522100">
    <w:abstractNumId w:val="10"/>
  </w:num>
  <w:num w:numId="7" w16cid:durableId="1347444358">
    <w:abstractNumId w:val="3"/>
  </w:num>
  <w:num w:numId="8" w16cid:durableId="470289817">
    <w:abstractNumId w:val="13"/>
  </w:num>
  <w:num w:numId="9" w16cid:durableId="648829606">
    <w:abstractNumId w:val="15"/>
  </w:num>
  <w:num w:numId="10" w16cid:durableId="2055930722">
    <w:abstractNumId w:val="12"/>
  </w:num>
  <w:num w:numId="11" w16cid:durableId="1993555353">
    <w:abstractNumId w:val="0"/>
  </w:num>
  <w:num w:numId="12" w16cid:durableId="1794443014">
    <w:abstractNumId w:val="8"/>
  </w:num>
  <w:num w:numId="13" w16cid:durableId="928611746">
    <w:abstractNumId w:val="4"/>
  </w:num>
  <w:num w:numId="14" w16cid:durableId="156502819">
    <w:abstractNumId w:val="14"/>
  </w:num>
  <w:num w:numId="15" w16cid:durableId="1696421041">
    <w:abstractNumId w:val="11"/>
  </w:num>
  <w:num w:numId="16" w16cid:durableId="2063870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E9"/>
    <w:rsid w:val="00186B18"/>
    <w:rsid w:val="001F4667"/>
    <w:rsid w:val="002248E9"/>
    <w:rsid w:val="00237193"/>
    <w:rsid w:val="00252CE9"/>
    <w:rsid w:val="00467A03"/>
    <w:rsid w:val="00475B86"/>
    <w:rsid w:val="00575EDD"/>
    <w:rsid w:val="006467B4"/>
    <w:rsid w:val="00874A48"/>
    <w:rsid w:val="008A514C"/>
    <w:rsid w:val="009C257B"/>
    <w:rsid w:val="00A264E3"/>
    <w:rsid w:val="00C00BF0"/>
    <w:rsid w:val="00C8682D"/>
    <w:rsid w:val="00F3329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C68A"/>
  <w15:chartTrackingRefBased/>
  <w15:docId w15:val="{2C7A99FF-CDE1-486A-AD0B-467BED08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C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C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C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C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2C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2C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2C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2CE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2CE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C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C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C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2C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2C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C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C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C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CE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C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C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CE9"/>
    <w:pPr>
      <w:spacing w:before="160" w:after="160"/>
    </w:pPr>
    <w:rPr>
      <w:i/>
      <w:iCs/>
      <w:color w:val="404040" w:themeColor="text1" w:themeTint="BF"/>
    </w:rPr>
  </w:style>
  <w:style w:type="character" w:customStyle="1" w:styleId="QuoteChar">
    <w:name w:val="Quote Char"/>
    <w:basedOn w:val="DefaultParagraphFont"/>
    <w:link w:val="Quote"/>
    <w:uiPriority w:val="29"/>
    <w:rsid w:val="00252CE9"/>
    <w:rPr>
      <w:i/>
      <w:iCs/>
      <w:color w:val="404040" w:themeColor="text1" w:themeTint="BF"/>
    </w:rPr>
  </w:style>
  <w:style w:type="paragraph" w:styleId="ListParagraph">
    <w:name w:val="List Paragraph"/>
    <w:basedOn w:val="Normal"/>
    <w:uiPriority w:val="34"/>
    <w:qFormat/>
    <w:rsid w:val="00252CE9"/>
    <w:pPr>
      <w:ind w:left="720"/>
      <w:contextualSpacing/>
    </w:pPr>
  </w:style>
  <w:style w:type="character" w:styleId="IntenseEmphasis">
    <w:name w:val="Intense Emphasis"/>
    <w:basedOn w:val="DefaultParagraphFont"/>
    <w:uiPriority w:val="21"/>
    <w:qFormat/>
    <w:rsid w:val="00252CE9"/>
    <w:rPr>
      <w:i/>
      <w:iCs/>
      <w:color w:val="2F5496" w:themeColor="accent1" w:themeShade="BF"/>
    </w:rPr>
  </w:style>
  <w:style w:type="paragraph" w:styleId="IntenseQuote">
    <w:name w:val="Intense Quote"/>
    <w:basedOn w:val="Normal"/>
    <w:next w:val="Normal"/>
    <w:link w:val="IntenseQuoteChar"/>
    <w:uiPriority w:val="30"/>
    <w:qFormat/>
    <w:rsid w:val="00252CE9"/>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252CE9"/>
    <w:rPr>
      <w:i/>
      <w:iCs/>
      <w:color w:val="2F5496" w:themeColor="accent1" w:themeShade="BF"/>
    </w:rPr>
  </w:style>
  <w:style w:type="character" w:styleId="IntenseReference">
    <w:name w:val="Intense Reference"/>
    <w:basedOn w:val="DefaultParagraphFont"/>
    <w:uiPriority w:val="32"/>
    <w:qFormat/>
    <w:rsid w:val="00252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2026-02-26T10:15:00Z</dcterms:created>
  <dcterms:modified xsi:type="dcterms:W3CDTF">2026-02-26T10:19:00Z</dcterms:modified>
</cp:coreProperties>
</file>