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940AC" w14:textId="1A89E93B" w:rsidR="00486D30" w:rsidRPr="00763BB3" w:rsidRDefault="0004361B" w:rsidP="00D61222">
      <w:pPr>
        <w:spacing w:line="240" w:lineRule="auto"/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763BB3">
        <w:rPr>
          <w:rFonts w:ascii="Times New Roman" w:hAnsi="Times New Roman"/>
          <w:b/>
          <w:bCs/>
          <w:color w:val="0070C0"/>
          <w:sz w:val="28"/>
          <w:szCs w:val="28"/>
        </w:rPr>
        <w:t>ARTICLE EDITING EXPLANATION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04361B" w:rsidRPr="0004361B" w14:paraId="03BB2BDE" w14:textId="77777777" w:rsidTr="00297756">
        <w:trPr>
          <w:trHeight w:val="574"/>
        </w:trPr>
        <w:tc>
          <w:tcPr>
            <w:tcW w:w="9356" w:type="dxa"/>
            <w:vAlign w:val="center"/>
          </w:tcPr>
          <w:p w14:paraId="2AE08E2D" w14:textId="6D0757F8" w:rsidR="0004361B" w:rsidRPr="0004361B" w:rsidRDefault="0004361B" w:rsidP="00E60100">
            <w:pPr>
              <w:numPr>
                <w:ilvl w:val="0"/>
                <w:numId w:val="1"/>
              </w:numPr>
              <w:tabs>
                <w:tab w:val="left" w:pos="300"/>
              </w:tabs>
              <w:spacing w:before="120" w:after="120" w:line="240" w:lineRule="auto"/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Article’s title</w:t>
            </w:r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:</w:t>
            </w:r>
            <w:r w:rsidR="001648DA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 xml:space="preserve"> </w:t>
            </w:r>
            <w:r w:rsidR="001648DA" w:rsidRPr="00F021D2">
              <w:rPr>
                <w:rFonts w:ascii="Times New Roman" w:eastAsia="Times New Roman" w:hAnsi="Times New Roman"/>
                <w:b/>
                <w:noProof w:val="0"/>
                <w:color w:val="0070C0"/>
                <w:kern w:val="0"/>
                <w:sz w:val="24"/>
                <w:szCs w:val="24"/>
              </w:rPr>
              <w:t>Examining the Impact of Leverage on Corporate Performance: Insights from Vietnam's Publicly-Listed Companies</w:t>
            </w:r>
          </w:p>
        </w:tc>
      </w:tr>
      <w:tr w:rsidR="0004361B" w:rsidRPr="0004361B" w14:paraId="01E7AA1A" w14:textId="77777777" w:rsidTr="00297756">
        <w:trPr>
          <w:trHeight w:val="606"/>
        </w:trPr>
        <w:tc>
          <w:tcPr>
            <w:tcW w:w="9356" w:type="dxa"/>
            <w:vAlign w:val="center"/>
          </w:tcPr>
          <w:p w14:paraId="3E8EA89F" w14:textId="1646A8B1" w:rsidR="0004361B" w:rsidRPr="0004361B" w:rsidRDefault="0004361B" w:rsidP="00E60100">
            <w:pPr>
              <w:numPr>
                <w:ilvl w:val="0"/>
                <w:numId w:val="1"/>
              </w:numPr>
              <w:tabs>
                <w:tab w:val="left" w:pos="300"/>
              </w:tabs>
              <w:spacing w:before="120" w:after="120" w:line="240" w:lineRule="auto"/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Authors</w:t>
            </w:r>
            <w:r w:rsidRPr="0004361B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:</w:t>
            </w:r>
            <w:r w:rsidR="001648DA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 xml:space="preserve"> </w:t>
            </w:r>
            <w:r w:rsidR="001648DA" w:rsidRPr="001648DA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Dang Thi My Dung, Nguyen Thi My Hang</w:t>
            </w:r>
            <w:r w:rsidR="001648DA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 xml:space="preserve">, </w:t>
            </w:r>
            <w:r w:rsidR="001648DA" w:rsidRPr="001648DA">
              <w:rPr>
                <w:rFonts w:ascii="Times New Roman" w:eastAsia="Times New Roman" w:hAnsi="Times New Roman"/>
                <w:b/>
                <w:noProof w:val="0"/>
                <w:kern w:val="0"/>
                <w:sz w:val="24"/>
                <w:szCs w:val="24"/>
              </w:rPr>
              <w:t>Tran Nhu Quynh</w:t>
            </w:r>
          </w:p>
        </w:tc>
      </w:tr>
    </w:tbl>
    <w:p w14:paraId="48337AD7" w14:textId="4751BE46" w:rsidR="00D131AA" w:rsidRDefault="00D131AA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the Editorial Board,</w:t>
      </w:r>
    </w:p>
    <w:p w14:paraId="25FD69EF" w14:textId="2F9D2BEB" w:rsidR="00D131AA" w:rsidRDefault="00D131AA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of all, we would like to express our gratitude to all of you for spending </w:t>
      </w:r>
      <w:r w:rsidR="006914B1">
        <w:rPr>
          <w:rFonts w:ascii="Times New Roman" w:hAnsi="Times New Roman"/>
          <w:sz w:val="24"/>
          <w:szCs w:val="24"/>
        </w:rPr>
        <w:t xml:space="preserve">invaluable </w:t>
      </w:r>
      <w:r>
        <w:rPr>
          <w:rFonts w:ascii="Times New Roman" w:hAnsi="Times New Roman"/>
          <w:sz w:val="24"/>
          <w:szCs w:val="24"/>
        </w:rPr>
        <w:t>time reading our manuscript and giving us constructive feedback to help us improve our work.</w:t>
      </w:r>
    </w:p>
    <w:p w14:paraId="7C3FE668" w14:textId="424E12C9" w:rsidR="0004361B" w:rsidRDefault="0004361B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04361B">
        <w:rPr>
          <w:rFonts w:ascii="Times New Roman" w:hAnsi="Times New Roman"/>
          <w:sz w:val="24"/>
          <w:szCs w:val="24"/>
        </w:rPr>
        <w:t xml:space="preserve">After receiving the critique of the article and the contributions from the </w:t>
      </w:r>
      <w:r w:rsidR="00F021D2">
        <w:rPr>
          <w:rFonts w:ascii="Times New Roman" w:hAnsi="Times New Roman"/>
          <w:sz w:val="24"/>
          <w:szCs w:val="24"/>
        </w:rPr>
        <w:t>Editorial Board</w:t>
      </w:r>
      <w:r w:rsidRPr="0004361B">
        <w:rPr>
          <w:rFonts w:ascii="Times New Roman" w:hAnsi="Times New Roman"/>
          <w:sz w:val="24"/>
          <w:szCs w:val="24"/>
        </w:rPr>
        <w:t xml:space="preserve"> of </w:t>
      </w:r>
      <w:r w:rsidR="00F021D2" w:rsidRPr="00F021D2">
        <w:rPr>
          <w:rFonts w:ascii="Times New Roman" w:hAnsi="Times New Roman"/>
          <w:sz w:val="24"/>
          <w:szCs w:val="24"/>
        </w:rPr>
        <w:t>Quy Nhon University Journal of Science</w:t>
      </w:r>
      <w:r w:rsidRPr="0004361B">
        <w:rPr>
          <w:rFonts w:ascii="Times New Roman" w:hAnsi="Times New Roman"/>
          <w:sz w:val="24"/>
          <w:szCs w:val="24"/>
        </w:rPr>
        <w:t>, we have edited the article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3213"/>
        <w:gridCol w:w="3373"/>
        <w:gridCol w:w="2290"/>
      </w:tblGrid>
      <w:tr w:rsidR="00B0778D" w:rsidRPr="00B0778D" w14:paraId="6EC90CC2" w14:textId="77777777" w:rsidTr="001C352F">
        <w:trPr>
          <w:tblHeader/>
        </w:trPr>
        <w:tc>
          <w:tcPr>
            <w:tcW w:w="0" w:type="auto"/>
            <w:vAlign w:val="center"/>
            <w:hideMark/>
          </w:tcPr>
          <w:p w14:paraId="0F2FFFFE" w14:textId="77777777" w:rsidR="00B0778D" w:rsidRPr="00B0778D" w:rsidRDefault="00B0778D" w:rsidP="00B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b/>
                <w:bCs/>
                <w:noProof w:val="0"/>
                <w:kern w:val="0"/>
                <w:sz w:val="24"/>
                <w:szCs w:val="24"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3F7C6C72" w14:textId="77777777" w:rsidR="00B0778D" w:rsidRPr="00B0778D" w:rsidRDefault="00B0778D" w:rsidP="00B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b/>
                <w:bCs/>
                <w:noProof w:val="0"/>
                <w:color w:val="FF0000"/>
                <w:kern w:val="0"/>
                <w:sz w:val="24"/>
                <w:szCs w:val="24"/>
              </w:rPr>
              <w:t>Comments from the reviewer(s), journal editor(s)</w:t>
            </w:r>
          </w:p>
        </w:tc>
        <w:tc>
          <w:tcPr>
            <w:tcW w:w="0" w:type="auto"/>
            <w:vAlign w:val="center"/>
            <w:hideMark/>
          </w:tcPr>
          <w:p w14:paraId="23591B98" w14:textId="77777777" w:rsidR="00B0778D" w:rsidRPr="00B0778D" w:rsidRDefault="00B0778D" w:rsidP="00B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b/>
                <w:bCs/>
                <w:noProof w:val="0"/>
                <w:color w:val="0070C0"/>
                <w:kern w:val="0"/>
                <w:sz w:val="24"/>
                <w:szCs w:val="24"/>
              </w:rPr>
              <w:t>Author's revisions</w:t>
            </w:r>
          </w:p>
        </w:tc>
        <w:tc>
          <w:tcPr>
            <w:tcW w:w="0" w:type="auto"/>
            <w:vAlign w:val="center"/>
            <w:hideMark/>
          </w:tcPr>
          <w:p w14:paraId="2C846951" w14:textId="77777777" w:rsidR="00B0778D" w:rsidRPr="00B0778D" w:rsidRDefault="00B0778D" w:rsidP="00B077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b/>
                <w:bCs/>
                <w:noProof w:val="0"/>
                <w:color w:val="0070C0"/>
                <w:kern w:val="0"/>
                <w:sz w:val="24"/>
                <w:szCs w:val="24"/>
              </w:rPr>
              <w:t>Editing location (page, section,...)</w:t>
            </w:r>
          </w:p>
        </w:tc>
      </w:tr>
      <w:tr w:rsidR="00B0778D" w:rsidRPr="00B0778D" w14:paraId="0999EC04" w14:textId="77777777" w:rsidTr="001C352F">
        <w:tc>
          <w:tcPr>
            <w:tcW w:w="0" w:type="auto"/>
            <w:vAlign w:val="center"/>
            <w:hideMark/>
          </w:tcPr>
          <w:p w14:paraId="31FB617E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D7F1B9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1, Section 1: Suggest reviewing/updating/replacing Rajkumar (2014) due to low academic reliability (not in Scopus/WoS, unclear review process, case study with limited generalizability).</w:t>
            </w:r>
          </w:p>
        </w:tc>
        <w:tc>
          <w:tcPr>
            <w:tcW w:w="0" w:type="auto"/>
            <w:vAlign w:val="center"/>
            <w:hideMark/>
          </w:tcPr>
          <w:p w14:paraId="5E60FC9A" w14:textId="24747F23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Removed this reference entirely and replaced citations with reliable Scopus-indexed sources (e.g., Dawar, 2014 from Managerial Finance, which examines leverage-performance links in emerging markets with robust methods). This ensures all empirical evidence draws from high-quality, generalizable studies, enhancing the manuscript's academic rigor.</w:t>
            </w:r>
          </w:p>
        </w:tc>
        <w:tc>
          <w:tcPr>
            <w:tcW w:w="0" w:type="auto"/>
            <w:vAlign w:val="center"/>
            <w:hideMark/>
          </w:tcPr>
          <w:p w14:paraId="49C79B34" w14:textId="535A8BB9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 2.6 (Empirical evidence); References section; </w:t>
            </w:r>
            <w:r w:rsidR="001A3807"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replacements in revised manuscript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(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)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2F61D58C" w14:textId="77777777" w:rsidTr="001C352F">
        <w:tc>
          <w:tcPr>
            <w:tcW w:w="0" w:type="auto"/>
            <w:vAlign w:val="center"/>
            <w:hideMark/>
          </w:tcPr>
          <w:p w14:paraId="71000BEC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D65EF6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1, Section 1: Suggest reviewing/updating/replacing Saeedi &amp; Mahmoodi (2011) due to journal no longer indexed in Scopus/WoS, unstable review quality, outdated conclusions.</w:t>
            </w:r>
          </w:p>
        </w:tc>
        <w:tc>
          <w:tcPr>
            <w:tcW w:w="0" w:type="auto"/>
            <w:vAlign w:val="center"/>
            <w:hideMark/>
          </w:tcPr>
          <w:p w14:paraId="2005D185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Removed and replaced with recent Scopus sources (e.g., Gul &amp; Cho, 2019 from The Journal of Asian Finance, Economics and Business, using modern data/methods). This updates the literature to current standards, avoiding historical biases and strengthening the theoretical foundation persuasively.</w:t>
            </w:r>
          </w:p>
        </w:tc>
        <w:tc>
          <w:tcPr>
            <w:tcW w:w="0" w:type="auto"/>
            <w:vAlign w:val="center"/>
            <w:hideMark/>
          </w:tcPr>
          <w:p w14:paraId="1A43A01A" w14:textId="34E36B90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 2.6; References;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23A14DC1" w14:textId="77777777" w:rsidTr="001C352F">
        <w:tc>
          <w:tcPr>
            <w:tcW w:w="0" w:type="auto"/>
            <w:vAlign w:val="center"/>
            <w:hideMark/>
          </w:tcPr>
          <w:p w14:paraId="574A1601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03AFC67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1, Section 1: Suggest reviewing/updating/replacing Muritala (2012) due to limited reliability (not in international indices, basic regressions without endogeneity handling).</w:t>
            </w:r>
          </w:p>
        </w:tc>
        <w:tc>
          <w:tcPr>
            <w:tcW w:w="0" w:type="auto"/>
            <w:vAlign w:val="center"/>
            <w:hideMark/>
          </w:tcPr>
          <w:p w14:paraId="01F1E5AC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Removed and substituted with top-tier equivalents (e.g., Margaritis &amp; Psillaki, 2010 from Journal of Banking &amp; Finance, which addresses endogeneity robustly). This aligns with our GMM approach, boosting methodological consistency and novelty.</w:t>
            </w:r>
          </w:p>
        </w:tc>
        <w:tc>
          <w:tcPr>
            <w:tcW w:w="0" w:type="auto"/>
            <w:vAlign w:val="center"/>
            <w:hideMark/>
          </w:tcPr>
          <w:p w14:paraId="38049A54" w14:textId="54A1C0E6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 2.6; References;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6E27A826" w14:textId="77777777" w:rsidTr="001C352F">
        <w:tc>
          <w:tcPr>
            <w:tcW w:w="0" w:type="auto"/>
            <w:vAlign w:val="center"/>
            <w:hideMark/>
          </w:tcPr>
          <w:p w14:paraId="7E30A94B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DBADB0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 xml:space="preserve">Reviewer 1, Section 1: Suggest reviewing/updating/replacing Nishat (1992) due to outdated </w:t>
            </w: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lastRenderedPageBreak/>
              <w:t>context (underdeveloped markets, historical value only).</w:t>
            </w:r>
          </w:p>
        </w:tc>
        <w:tc>
          <w:tcPr>
            <w:tcW w:w="0" w:type="auto"/>
            <w:vAlign w:val="center"/>
            <w:hideMark/>
          </w:tcPr>
          <w:p w14:paraId="25A31421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lastRenderedPageBreak/>
              <w:t xml:space="preserve">Removed; replaced with contemporary Scopus studies (e.g., Le et al., 2023 from 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lastRenderedPageBreak/>
              <w:t>International Journal of Financial Studies, focusing on Vietnamese markets). This modernizes the evidence base, making arguments more relevant to Vietnam's current emerging context.</w:t>
            </w:r>
          </w:p>
        </w:tc>
        <w:tc>
          <w:tcPr>
            <w:tcW w:w="0" w:type="auto"/>
            <w:vAlign w:val="center"/>
            <w:hideMark/>
          </w:tcPr>
          <w:p w14:paraId="7C47EBA2" w14:textId="213CE868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lastRenderedPageBreak/>
              <w:t xml:space="preserve">Section 2.6; References;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5A15E937" w14:textId="77777777" w:rsidTr="001C352F">
        <w:tc>
          <w:tcPr>
            <w:tcW w:w="0" w:type="auto"/>
            <w:vAlign w:val="center"/>
            <w:hideMark/>
          </w:tcPr>
          <w:p w14:paraId="026AB537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2B6B8C0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1, Section 1: Suggest reviewing/updating/replacing Higgins (1974) as not directly analyzing leverage-performance, classic but needs clear linkage or removal.</w:t>
            </w:r>
          </w:p>
        </w:tc>
        <w:tc>
          <w:tcPr>
            <w:tcW w:w="0" w:type="auto"/>
            <w:vAlign w:val="center"/>
            <w:hideMark/>
          </w:tcPr>
          <w:p w14:paraId="46DA7951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Removed due to indirect relevance; integrated linkages into theory sections with direct sources (e.g., Jensen &amp; Meckling, 1976 from Journal of Financial Economics). This sharpens focus, reducing tangential content for better coherence.</w:t>
            </w:r>
          </w:p>
        </w:tc>
        <w:tc>
          <w:tcPr>
            <w:tcW w:w="0" w:type="auto"/>
            <w:vAlign w:val="center"/>
            <w:hideMark/>
          </w:tcPr>
          <w:p w14:paraId="466CE18E" w14:textId="50C5F1B5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Sections 2.2-2.5; References;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678E8E84" w14:textId="77777777" w:rsidTr="001C352F">
        <w:tc>
          <w:tcPr>
            <w:tcW w:w="0" w:type="auto"/>
            <w:vAlign w:val="center"/>
            <w:hideMark/>
          </w:tcPr>
          <w:p w14:paraId="15A0BAA6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22539B6" w14:textId="268BB03F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 xml:space="preserve">Reviewer 1, Section 2: Manuscript organization (structure, writing style, quality of language, references, etc.) </w:t>
            </w:r>
            <w:r w:rsidR="001C16DF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-</w:t>
            </w: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"Đạt" (Acceptable).</w:t>
            </w:r>
          </w:p>
        </w:tc>
        <w:tc>
          <w:tcPr>
            <w:tcW w:w="0" w:type="auto"/>
            <w:vAlign w:val="center"/>
            <w:hideMark/>
          </w:tcPr>
          <w:p w14:paraId="7923D8ED" w14:textId="2F49CFCF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No major changes needed, but we polished language for conciseness (e.g., shortened sentences), ensured consistent terminology (e.g., "leverage" uniformly), and standardized references per journal guidelines. </w:t>
            </w:r>
          </w:p>
        </w:tc>
        <w:tc>
          <w:tcPr>
            <w:tcW w:w="0" w:type="auto"/>
            <w:vAlign w:val="center"/>
            <w:hideMark/>
          </w:tcPr>
          <w:p w14:paraId="6F45E5D2" w14:textId="5CF0F2BF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Throughout; References;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minor polishes.</w:t>
            </w:r>
          </w:p>
        </w:tc>
      </w:tr>
      <w:tr w:rsidR="00B0778D" w:rsidRPr="00B0778D" w14:paraId="695E27B4" w14:textId="77777777" w:rsidTr="001C352F">
        <w:tc>
          <w:tcPr>
            <w:tcW w:w="0" w:type="auto"/>
            <w:vAlign w:val="center"/>
            <w:hideMark/>
          </w:tcPr>
          <w:p w14:paraId="62FE4713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FF99E09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1, Section 3: Streamline literature and discussion to reduce repetition; edit academic English (shorten long sentences for clarity); check consistency in tables and economic significance interpretation; emphasize one key future direction.</w:t>
            </w:r>
          </w:p>
        </w:tc>
        <w:tc>
          <w:tcPr>
            <w:tcW w:w="0" w:type="auto"/>
            <w:vAlign w:val="center"/>
            <w:hideMark/>
          </w:tcPr>
          <w:p w14:paraId="36309BF5" w14:textId="172F907B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Streamlined literature/discussion (cut ~15% redundant phrases, e.g., merged theory descriptions); shortened sentences (e.g., split complex ones); ensured table consistency (e.g., uniform controls, added economic significance like "1% leverage increase reduces ROA by 0.14%"); emphasized ASEAN cross-country as primary future direction. </w:t>
            </w:r>
          </w:p>
        </w:tc>
        <w:tc>
          <w:tcPr>
            <w:tcW w:w="0" w:type="auto"/>
            <w:vAlign w:val="center"/>
            <w:hideMark/>
          </w:tcPr>
          <w:p w14:paraId="01DBD3EF" w14:textId="0B72F40E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Sections 2 (Literature Review), 4.3 (Discussion); Tables 3-5; Section 4.5 (Limitations/Future);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6E043A07" w14:textId="77777777" w:rsidTr="001C352F">
        <w:tc>
          <w:tcPr>
            <w:tcW w:w="0" w:type="auto"/>
            <w:vAlign w:val="center"/>
            <w:hideMark/>
          </w:tcPr>
          <w:p w14:paraId="5C2600DA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8FBA195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1, Overall: Manuscript has good quality, large data, suitable methods, clear contribution; acceptable after minor revisions on presentation/language.</w:t>
            </w:r>
          </w:p>
        </w:tc>
        <w:tc>
          <w:tcPr>
            <w:tcW w:w="0" w:type="auto"/>
            <w:vAlign w:val="center"/>
            <w:hideMark/>
          </w:tcPr>
          <w:p w14:paraId="2872AAAC" w14:textId="1916DF78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Incorporated all minors as above; added economic significance and linkages to boost clarity/contribution. This positions the study as novel in Vietnam's context.</w:t>
            </w:r>
          </w:p>
        </w:tc>
        <w:tc>
          <w:tcPr>
            <w:tcW w:w="0" w:type="auto"/>
            <w:vAlign w:val="center"/>
            <w:hideMark/>
          </w:tcPr>
          <w:p w14:paraId="520A3E48" w14:textId="0AB144A9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Throughout;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15DC080F" w14:textId="77777777" w:rsidTr="001C352F">
        <w:tc>
          <w:tcPr>
            <w:tcW w:w="0" w:type="auto"/>
            <w:vAlign w:val="center"/>
            <w:hideMark/>
          </w:tcPr>
          <w:p w14:paraId="333311A2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9384DB1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2, Section 1: Topic relevant, large dataset; but findings confirmatory/limited novelty; contribution mainly empirical updating, not theoretical/methodological; endogeneity treatment not fully convincing.</w:t>
            </w:r>
          </w:p>
        </w:tc>
        <w:tc>
          <w:tcPr>
            <w:tcW w:w="0" w:type="auto"/>
            <w:vAlign w:val="center"/>
            <w:hideMark/>
          </w:tcPr>
          <w:p w14:paraId="100950FA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Elevated novelty by integrating theories analytically (mechanisms in Vietnam context); made GMM/2SLS primary with full diagnostics (e.g., Hansen p&gt;0.10); added non-linear/sectoral analyses (e.g., quadratic term shows inverted-U, sectoral subsamples reveal heterogeneity). This transforms from confirmatory to advancing 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lastRenderedPageBreak/>
              <w:t>theory/methods, persuasively demonstrating originality.</w:t>
            </w:r>
          </w:p>
        </w:tc>
        <w:tc>
          <w:tcPr>
            <w:tcW w:w="0" w:type="auto"/>
            <w:vAlign w:val="center"/>
            <w:hideMark/>
          </w:tcPr>
          <w:p w14:paraId="507439D9" w14:textId="1AEEE996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lastRenderedPageBreak/>
              <w:t xml:space="preserve">Sections 2.2-2.5 (Theories); 3 (Methodology); 4.2 (Results, new Tables 4-5);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6D89F8BD" w14:textId="77777777" w:rsidTr="001C352F">
        <w:tc>
          <w:tcPr>
            <w:tcW w:w="0" w:type="auto"/>
            <w:vAlign w:val="center"/>
            <w:hideMark/>
          </w:tcPr>
          <w:p w14:paraId="352DF334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3ED7DDDE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2, Section 2: Standard structure; but descriptive/repetitive (esp. literature); citations/references not fully compliant; Introduction needs focus on gaps/contributions; results presentation lacks consistency across methods.</w:t>
            </w:r>
          </w:p>
        </w:tc>
        <w:tc>
          <w:tcPr>
            <w:tcW w:w="0" w:type="auto"/>
            <w:vAlign w:val="center"/>
            <w:hideMark/>
          </w:tcPr>
          <w:p w14:paraId="7A676E87" w14:textId="0B95F26D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Reduced descriptiveness (streamlined literature to key points); standardized citations/references (numbered, per guidelines); refocused Introduction on gaps (e.g., endogeneity in Vietnam) and contributions (largest panel, GMM); ensured consistency (same controls across models, cross-method comparisons). </w:t>
            </w:r>
          </w:p>
        </w:tc>
        <w:tc>
          <w:tcPr>
            <w:tcW w:w="0" w:type="auto"/>
            <w:vAlign w:val="center"/>
            <w:hideMark/>
          </w:tcPr>
          <w:p w14:paraId="6D082BEC" w14:textId="1029EFC9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 1 (Introduction); Section 2; Sections 4.1-4.3; References;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</w:tr>
      <w:tr w:rsidR="00B0778D" w:rsidRPr="00B0778D" w14:paraId="2A8FA3BF" w14:textId="77777777" w:rsidTr="001C352F">
        <w:tc>
          <w:tcPr>
            <w:tcW w:w="0" w:type="auto"/>
            <w:vAlign w:val="center"/>
            <w:hideMark/>
          </w:tcPr>
          <w:p w14:paraId="61185C2D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E950B60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2, Section 3: Make System GMM/2SLS main methods, not robustness; include same controls for comparability; add analyses (non-linear effects, sectoral heterogeneity) for originality; without, study weak/confirmatory.</w:t>
            </w:r>
          </w:p>
        </w:tc>
        <w:tc>
          <w:tcPr>
            <w:tcW w:w="0" w:type="auto"/>
            <w:vAlign w:val="center"/>
            <w:hideMark/>
          </w:tcPr>
          <w:p w14:paraId="36E26AB2" w14:textId="5935F284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Repositioned GMM/2SLS as primary (moved to main results, Table 3); applied full uniform controls; added non-linear (quadratic leverage, Table 4: positive linear/negative quadratic, optimal ~0.42) and sectoral (Table 5: stronger negatives in manufacturing vs. services, F-test p&lt;0.05). These extensions add methodological novelty, logically addressing weaknesses.</w:t>
            </w:r>
          </w:p>
        </w:tc>
        <w:tc>
          <w:tcPr>
            <w:tcW w:w="0" w:type="auto"/>
            <w:vAlign w:val="center"/>
            <w:hideMark/>
          </w:tcPr>
          <w:p w14:paraId="2723FC37" w14:textId="0143D8AE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Sections 3.5, 4.2; New Tables 3-5;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additions.</w:t>
            </w:r>
          </w:p>
        </w:tc>
      </w:tr>
      <w:tr w:rsidR="00B0778D" w:rsidRPr="00B0778D" w14:paraId="22FA9384" w14:textId="77777777" w:rsidTr="001C352F">
        <w:tc>
          <w:tcPr>
            <w:tcW w:w="0" w:type="auto"/>
            <w:vAlign w:val="center"/>
            <w:hideMark/>
          </w:tcPr>
          <w:p w14:paraId="6389A117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1F5CCDE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2, Overall: Reconsider with major revisions.</w:t>
            </w:r>
          </w:p>
        </w:tc>
        <w:tc>
          <w:tcPr>
            <w:tcW w:w="0" w:type="auto"/>
            <w:vAlign w:val="center"/>
            <w:hideMark/>
          </w:tcPr>
          <w:p w14:paraId="3DC12E80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Addressed all majors as above; emphasized theoretical refinement (e.g., Vietnam-specific mechanisms) and practical implications to elevate beyond updating. This comprehensive response persuasively resolves concerns, enhancing novelty and value.</w:t>
            </w:r>
          </w:p>
        </w:tc>
        <w:tc>
          <w:tcPr>
            <w:tcW w:w="0" w:type="auto"/>
            <w:vAlign w:val="center"/>
            <w:hideMark/>
          </w:tcPr>
          <w:p w14:paraId="3721B3C6" w14:textId="63B1793F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Throughout;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key enhancements.</w:t>
            </w:r>
          </w:p>
        </w:tc>
      </w:tr>
      <w:tr w:rsidR="00B0778D" w:rsidRPr="00B0778D" w14:paraId="68FFD121" w14:textId="77777777" w:rsidTr="001C352F">
        <w:tc>
          <w:tcPr>
            <w:tcW w:w="0" w:type="auto"/>
            <w:vAlign w:val="center"/>
            <w:hideMark/>
          </w:tcPr>
          <w:p w14:paraId="01F9E79A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B36BEB5" w14:textId="4F6F8259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 xml:space="preserve">Reviewer Letter: Introduction (Section 1) </w:t>
            </w:r>
            <w:r w:rsidR="008A509A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 xml:space="preserve">- </w:t>
            </w: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Overly descriptive; rewrite to focus on gaps/contributions, justify necessity beyond updating, avoid excessive background.</w:t>
            </w:r>
          </w:p>
        </w:tc>
        <w:tc>
          <w:tcPr>
            <w:tcW w:w="0" w:type="auto"/>
            <w:vAlign w:val="center"/>
            <w:hideMark/>
          </w:tcPr>
          <w:p w14:paraId="2E3F15B3" w14:textId="3697D74A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Rewrote Introduction to sharply focus on unresolved gaps (e.g., endogeneity in long Vietnamese panels), justify novelty (largest dataset with GMM/heterogeneity), and eliminate descriptive excess</w:t>
            </w:r>
            <w:r w:rsidR="00A67A12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 -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centering on theoretical/empirical/practical contributions. This concise revision persuasively positions the study as essential, addressing confirmatory concerns.</w:t>
            </w:r>
          </w:p>
        </w:tc>
        <w:tc>
          <w:tcPr>
            <w:tcW w:w="0" w:type="auto"/>
            <w:vAlign w:val="center"/>
            <w:hideMark/>
          </w:tcPr>
          <w:p w14:paraId="45304CD1" w14:textId="4B5450CE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 1;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rewritten parts.</w:t>
            </w:r>
          </w:p>
        </w:tc>
      </w:tr>
      <w:tr w:rsidR="00B0778D" w:rsidRPr="00B0778D" w14:paraId="4E0280C3" w14:textId="77777777" w:rsidTr="001C352F">
        <w:tc>
          <w:tcPr>
            <w:tcW w:w="0" w:type="auto"/>
            <w:vAlign w:val="center"/>
            <w:hideMark/>
          </w:tcPr>
          <w:p w14:paraId="3906CBB6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4C1CE19" w14:textId="4224BBC9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 xml:space="preserve">Reviewer Letter: Methodology and Main Results (System GMM and 2SLS </w:t>
            </w:r>
            <w:r w:rsidR="008A509A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-</w:t>
            </w: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 xml:space="preserve"> Table 4) </w:t>
            </w:r>
            <w:r w:rsidR="008A509A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-</w:t>
            </w: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lastRenderedPageBreak/>
              <w:t>Treat as primary, not robustness; move Table 4 to main; full consistent controls; center interpretation on GMM/IV.</w:t>
            </w:r>
          </w:p>
        </w:tc>
        <w:tc>
          <w:tcPr>
            <w:tcW w:w="0" w:type="auto"/>
            <w:vAlign w:val="center"/>
            <w:hideMark/>
          </w:tcPr>
          <w:p w14:paraId="2A0C6BC7" w14:textId="7A2AEFD8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lastRenderedPageBreak/>
              <w:t xml:space="preserve">Repositioned GMM/2SLS as primary methods in methodology/results (new Table 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lastRenderedPageBreak/>
              <w:t>2); integrated full uniform controls across all models; centered interpretations on GMM/IV estimates (e.g., economic significance from GMM coefficients). This strengthens causal claims, persuasively resolving methodological weaknesses.</w:t>
            </w:r>
          </w:p>
        </w:tc>
        <w:tc>
          <w:tcPr>
            <w:tcW w:w="0" w:type="auto"/>
            <w:vAlign w:val="center"/>
            <w:hideMark/>
          </w:tcPr>
          <w:p w14:paraId="398F6AD7" w14:textId="4F75AF53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lastRenderedPageBreak/>
              <w:t xml:space="preserve">Sections 3.5, 4.2; Table 2;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lastRenderedPageBreak/>
              <w:t>repositioned content and interpretations.</w:t>
            </w:r>
          </w:p>
        </w:tc>
      </w:tr>
      <w:tr w:rsidR="00B0778D" w:rsidRPr="00B0778D" w14:paraId="149DBBFF" w14:textId="77777777" w:rsidTr="001C352F">
        <w:tc>
          <w:tcPr>
            <w:tcW w:w="0" w:type="auto"/>
            <w:vAlign w:val="center"/>
            <w:hideMark/>
          </w:tcPr>
          <w:p w14:paraId="51129DB1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14:paraId="52387BDF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Reviewer Letter: Conclusion (Section 5) – Summarizes without critical reflection; rewrite to emphasize contributions, link to methodological improvements, focus on implications/limitations, avoid descriptive repetition.</w:t>
            </w:r>
          </w:p>
        </w:tc>
        <w:tc>
          <w:tcPr>
            <w:tcW w:w="0" w:type="auto"/>
            <w:vAlign w:val="center"/>
            <w:hideMark/>
          </w:tcPr>
          <w:p w14:paraId="5BF4FB6B" w14:textId="7E6744F8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Rewrote Conclusion to emphasize core contributions (theoretical refinement, methodological advances like GMM), explicitly link findings to improvements (endogeneity handling, extensions), and focus on implications/limitations without repeating results</w:t>
            </w:r>
            <w:r w:rsidR="00A67A12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 - 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prioritizing forward-looking value. </w:t>
            </w:r>
          </w:p>
        </w:tc>
        <w:tc>
          <w:tcPr>
            <w:tcW w:w="0" w:type="auto"/>
            <w:vAlign w:val="center"/>
            <w:hideMark/>
          </w:tcPr>
          <w:p w14:paraId="605E16CE" w14:textId="042DB454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Section 5;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entire rewritten section.</w:t>
            </w:r>
          </w:p>
        </w:tc>
      </w:tr>
      <w:tr w:rsidR="00B0778D" w:rsidRPr="00B0778D" w14:paraId="73EA25D1" w14:textId="77777777" w:rsidTr="001C352F">
        <w:tc>
          <w:tcPr>
            <w:tcW w:w="0" w:type="auto"/>
            <w:vAlign w:val="center"/>
            <w:hideMark/>
          </w:tcPr>
          <w:p w14:paraId="0241F357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72111F2" w14:textId="77777777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FF0000"/>
                <w:kern w:val="0"/>
                <w:sz w:val="24"/>
                <w:szCs w:val="24"/>
              </w:rPr>
              <w:t>General Comments: Revise according to Reviewers’ comments and resubmit following instructions.</w:t>
            </w:r>
          </w:p>
        </w:tc>
        <w:tc>
          <w:tcPr>
            <w:tcW w:w="0" w:type="auto"/>
            <w:vAlign w:val="center"/>
            <w:hideMark/>
          </w:tcPr>
          <w:p w14:paraId="0ABA3362" w14:textId="3A4EB8D0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Fully addressed both reviewers' points as detailed above; ensured manuscript compliance with journal template (bilingual title/abstract/keywords, two-column content from Section 1, standardized references). This holistic revision, with polished language and enhanced originality, persuasively meets </w:t>
            </w:r>
            <w:r w:rsidR="00D03F81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the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 xml:space="preserve"> standards </w:t>
            </w:r>
            <w:r w:rsidR="006E09C5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of the journal</w:t>
            </w:r>
            <w:r w:rsidRPr="00B0778D">
              <w:rPr>
                <w:rFonts w:ascii="Times New Roman" w:eastAsia="Times New Roman" w:hAnsi="Times New Roman"/>
                <w:noProof w:val="0"/>
                <w:color w:val="0070C0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51DF24" w14:textId="5A2E4AEE" w:rsidR="00B0778D" w:rsidRPr="00B0778D" w:rsidRDefault="00B0778D" w:rsidP="00B0778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</w:pP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Entire manuscript; </w:t>
            </w:r>
            <w:r w:rsidR="001A3807" w:rsidRP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>highlighted in yellow</w:t>
            </w:r>
            <w:r w:rsidR="001A3807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for</w:t>
            </w:r>
            <w:r w:rsidRPr="00B0778D">
              <w:rPr>
                <w:rFonts w:ascii="Times New Roman" w:eastAsia="Times New Roman" w:hAnsi="Times New Roman"/>
                <w:i/>
                <w:iCs/>
                <w:noProof w:val="0"/>
                <w:color w:val="0070C0"/>
                <w:kern w:val="0"/>
                <w:sz w:val="24"/>
                <w:szCs w:val="24"/>
              </w:rPr>
              <w:t xml:space="preserve"> revisions throughout.</w:t>
            </w:r>
          </w:p>
        </w:tc>
      </w:tr>
    </w:tbl>
    <w:p w14:paraId="4EA40710" w14:textId="59D80726" w:rsidR="009D2031" w:rsidRDefault="00F021D2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F021D2">
        <w:rPr>
          <w:rFonts w:ascii="Times New Roman" w:hAnsi="Times New Roman"/>
          <w:color w:val="FF0000"/>
          <w:sz w:val="24"/>
          <w:szCs w:val="24"/>
        </w:rPr>
        <w:t xml:space="preserve">Note: </w:t>
      </w:r>
      <w:r w:rsidRPr="0074712B">
        <w:rPr>
          <w:rFonts w:ascii="Times New Roman" w:hAnsi="Times New Roman"/>
          <w:sz w:val="24"/>
          <w:szCs w:val="24"/>
        </w:rPr>
        <w:t xml:space="preserve">The edited parts by the </w:t>
      </w:r>
      <w:r w:rsidR="006F2DB2">
        <w:rPr>
          <w:rFonts w:ascii="Times New Roman" w:hAnsi="Times New Roman"/>
          <w:sz w:val="24"/>
          <w:szCs w:val="24"/>
        </w:rPr>
        <w:t>a</w:t>
      </w:r>
      <w:r w:rsidRPr="0074712B">
        <w:rPr>
          <w:rFonts w:ascii="Times New Roman" w:hAnsi="Times New Roman"/>
          <w:sz w:val="24"/>
          <w:szCs w:val="24"/>
        </w:rPr>
        <w:t xml:space="preserve">uthors </w:t>
      </w:r>
      <w:r w:rsidR="009E5156" w:rsidRPr="009E515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were highlighted in yellow</w:t>
      </w:r>
      <w:r w:rsidRPr="009E515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 xml:space="preserve"> </w:t>
      </w:r>
      <w:r w:rsidR="006B54D9" w:rsidRPr="009E5156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in the manuscript</w:t>
      </w:r>
      <w:r w:rsidR="006B54D9" w:rsidRPr="009E51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4712B">
        <w:rPr>
          <w:rFonts w:ascii="Times New Roman" w:hAnsi="Times New Roman"/>
          <w:sz w:val="24"/>
          <w:szCs w:val="24"/>
        </w:rPr>
        <w:t xml:space="preserve">for the </w:t>
      </w:r>
      <w:r w:rsidR="0074712B">
        <w:rPr>
          <w:rFonts w:ascii="Times New Roman" w:hAnsi="Times New Roman"/>
          <w:sz w:val="24"/>
          <w:szCs w:val="24"/>
        </w:rPr>
        <w:t>Editorial Board</w:t>
      </w:r>
      <w:r w:rsidRPr="0074712B">
        <w:rPr>
          <w:rFonts w:ascii="Times New Roman" w:hAnsi="Times New Roman"/>
          <w:sz w:val="24"/>
          <w:szCs w:val="24"/>
        </w:rPr>
        <w:t xml:space="preserve"> to easily review.</w:t>
      </w:r>
    </w:p>
    <w:p w14:paraId="219319C0" w14:textId="3DC8071C" w:rsidR="00152013" w:rsidRDefault="00012130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very much for your great support.</w:t>
      </w:r>
    </w:p>
    <w:p w14:paraId="3DC59DAE" w14:textId="1FE65D7E" w:rsidR="00012130" w:rsidRDefault="00012130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Best regards,</w:t>
      </w:r>
    </w:p>
    <w:p w14:paraId="639D7C12" w14:textId="77F3D767" w:rsidR="00012130" w:rsidRPr="0074712B" w:rsidRDefault="00012130" w:rsidP="00D61222">
      <w:pPr>
        <w:spacing w:before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authors</w:t>
      </w:r>
    </w:p>
    <w:sectPr w:rsidR="00012130" w:rsidRPr="0074712B" w:rsidSect="00297756">
      <w:footerReference w:type="default" r:id="rId7"/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142E" w14:textId="77777777" w:rsidR="00914529" w:rsidRDefault="00914529" w:rsidP="00786AD5">
      <w:pPr>
        <w:spacing w:after="0" w:line="240" w:lineRule="auto"/>
      </w:pPr>
      <w:r>
        <w:separator/>
      </w:r>
    </w:p>
  </w:endnote>
  <w:endnote w:type="continuationSeparator" w:id="0">
    <w:p w14:paraId="5D8AF262" w14:textId="77777777" w:rsidR="00914529" w:rsidRDefault="00914529" w:rsidP="0078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428697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ECAA3" w14:textId="2CB2499C" w:rsidR="00F86889" w:rsidRDefault="00F86889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BAC87B2" w14:textId="77777777" w:rsidR="00786AD5" w:rsidRDefault="00786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5C84" w14:textId="77777777" w:rsidR="00914529" w:rsidRDefault="00914529" w:rsidP="00786AD5">
      <w:pPr>
        <w:spacing w:after="0" w:line="240" w:lineRule="auto"/>
      </w:pPr>
      <w:r>
        <w:separator/>
      </w:r>
    </w:p>
  </w:footnote>
  <w:footnote w:type="continuationSeparator" w:id="0">
    <w:p w14:paraId="4FA1CA23" w14:textId="77777777" w:rsidR="00914529" w:rsidRDefault="00914529" w:rsidP="00786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0C7F"/>
    <w:multiLevelType w:val="hybridMultilevel"/>
    <w:tmpl w:val="0C0EBD32"/>
    <w:lvl w:ilvl="0" w:tplc="6BF05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A2414"/>
    <w:multiLevelType w:val="hybridMultilevel"/>
    <w:tmpl w:val="F39EA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1B"/>
    <w:rsid w:val="0000316D"/>
    <w:rsid w:val="00012130"/>
    <w:rsid w:val="000229BB"/>
    <w:rsid w:val="00025E50"/>
    <w:rsid w:val="00026912"/>
    <w:rsid w:val="0004361B"/>
    <w:rsid w:val="000457B8"/>
    <w:rsid w:val="00076528"/>
    <w:rsid w:val="00083086"/>
    <w:rsid w:val="0009369B"/>
    <w:rsid w:val="000A0247"/>
    <w:rsid w:val="000A217B"/>
    <w:rsid w:val="000A5664"/>
    <w:rsid w:val="000E1C86"/>
    <w:rsid w:val="00101605"/>
    <w:rsid w:val="00121822"/>
    <w:rsid w:val="00121DFE"/>
    <w:rsid w:val="001228B2"/>
    <w:rsid w:val="00132002"/>
    <w:rsid w:val="0014694C"/>
    <w:rsid w:val="00152013"/>
    <w:rsid w:val="001648DA"/>
    <w:rsid w:val="0018342E"/>
    <w:rsid w:val="001A16D9"/>
    <w:rsid w:val="001A3807"/>
    <w:rsid w:val="001B7AD8"/>
    <w:rsid w:val="001C16DF"/>
    <w:rsid w:val="001C352F"/>
    <w:rsid w:val="001C64B6"/>
    <w:rsid w:val="001D1798"/>
    <w:rsid w:val="001E564B"/>
    <w:rsid w:val="001F0F0A"/>
    <w:rsid w:val="001F3907"/>
    <w:rsid w:val="00207272"/>
    <w:rsid w:val="002205CB"/>
    <w:rsid w:val="00225C3C"/>
    <w:rsid w:val="00226D2D"/>
    <w:rsid w:val="002350BA"/>
    <w:rsid w:val="00260193"/>
    <w:rsid w:val="00267A62"/>
    <w:rsid w:val="00294E87"/>
    <w:rsid w:val="00296AF0"/>
    <w:rsid w:val="00297756"/>
    <w:rsid w:val="002A021E"/>
    <w:rsid w:val="002C492C"/>
    <w:rsid w:val="002D65DD"/>
    <w:rsid w:val="002D7CBC"/>
    <w:rsid w:val="00323270"/>
    <w:rsid w:val="00340365"/>
    <w:rsid w:val="00393698"/>
    <w:rsid w:val="00396A0E"/>
    <w:rsid w:val="003C140B"/>
    <w:rsid w:val="003D4D9E"/>
    <w:rsid w:val="003F1E7D"/>
    <w:rsid w:val="003F60EB"/>
    <w:rsid w:val="003F7E3D"/>
    <w:rsid w:val="0042198F"/>
    <w:rsid w:val="00425452"/>
    <w:rsid w:val="004257EF"/>
    <w:rsid w:val="00442F16"/>
    <w:rsid w:val="00452219"/>
    <w:rsid w:val="00452EBD"/>
    <w:rsid w:val="00486D30"/>
    <w:rsid w:val="00492E57"/>
    <w:rsid w:val="004A3F3B"/>
    <w:rsid w:val="004A505F"/>
    <w:rsid w:val="004F3559"/>
    <w:rsid w:val="00570EF4"/>
    <w:rsid w:val="005A1238"/>
    <w:rsid w:val="005B07BA"/>
    <w:rsid w:val="005B73C4"/>
    <w:rsid w:val="005D51AC"/>
    <w:rsid w:val="005D5B96"/>
    <w:rsid w:val="005F0590"/>
    <w:rsid w:val="00633BC9"/>
    <w:rsid w:val="006870C5"/>
    <w:rsid w:val="006914B1"/>
    <w:rsid w:val="00693071"/>
    <w:rsid w:val="006A73DC"/>
    <w:rsid w:val="006B3B24"/>
    <w:rsid w:val="006B54D9"/>
    <w:rsid w:val="006B7773"/>
    <w:rsid w:val="006C3EE6"/>
    <w:rsid w:val="006C47A7"/>
    <w:rsid w:val="006E09C5"/>
    <w:rsid w:val="006F2DB2"/>
    <w:rsid w:val="006F39D7"/>
    <w:rsid w:val="00730B0C"/>
    <w:rsid w:val="007403CC"/>
    <w:rsid w:val="00743C36"/>
    <w:rsid w:val="0074445B"/>
    <w:rsid w:val="0074712B"/>
    <w:rsid w:val="00763BB3"/>
    <w:rsid w:val="00786264"/>
    <w:rsid w:val="00786AD5"/>
    <w:rsid w:val="007A5B18"/>
    <w:rsid w:val="007A5B85"/>
    <w:rsid w:val="007B7989"/>
    <w:rsid w:val="007E53B9"/>
    <w:rsid w:val="007F0FE1"/>
    <w:rsid w:val="00807D8E"/>
    <w:rsid w:val="008106AC"/>
    <w:rsid w:val="008134ED"/>
    <w:rsid w:val="008246C2"/>
    <w:rsid w:val="00854BEC"/>
    <w:rsid w:val="00866BC2"/>
    <w:rsid w:val="008A1B69"/>
    <w:rsid w:val="008A509A"/>
    <w:rsid w:val="008B6C7C"/>
    <w:rsid w:val="008C2641"/>
    <w:rsid w:val="008D3CEF"/>
    <w:rsid w:val="008E3196"/>
    <w:rsid w:val="008E63C9"/>
    <w:rsid w:val="009004E7"/>
    <w:rsid w:val="00914529"/>
    <w:rsid w:val="009170E6"/>
    <w:rsid w:val="00953DA1"/>
    <w:rsid w:val="0096352B"/>
    <w:rsid w:val="009641AF"/>
    <w:rsid w:val="009831AF"/>
    <w:rsid w:val="00991D1B"/>
    <w:rsid w:val="009B0EBC"/>
    <w:rsid w:val="009D2031"/>
    <w:rsid w:val="009E5156"/>
    <w:rsid w:val="00A03A79"/>
    <w:rsid w:val="00A236BE"/>
    <w:rsid w:val="00A505D5"/>
    <w:rsid w:val="00A67A12"/>
    <w:rsid w:val="00AA2AD7"/>
    <w:rsid w:val="00AB37C3"/>
    <w:rsid w:val="00AC0351"/>
    <w:rsid w:val="00AC4DA8"/>
    <w:rsid w:val="00AE22F6"/>
    <w:rsid w:val="00B0778D"/>
    <w:rsid w:val="00B306CC"/>
    <w:rsid w:val="00B34062"/>
    <w:rsid w:val="00B4343B"/>
    <w:rsid w:val="00B65567"/>
    <w:rsid w:val="00B93C21"/>
    <w:rsid w:val="00B9677E"/>
    <w:rsid w:val="00BE6B6B"/>
    <w:rsid w:val="00C12F31"/>
    <w:rsid w:val="00C144FA"/>
    <w:rsid w:val="00C20459"/>
    <w:rsid w:val="00C30421"/>
    <w:rsid w:val="00C431FC"/>
    <w:rsid w:val="00C71BDE"/>
    <w:rsid w:val="00C81B38"/>
    <w:rsid w:val="00C82217"/>
    <w:rsid w:val="00C92D2D"/>
    <w:rsid w:val="00CA4D46"/>
    <w:rsid w:val="00CB06AC"/>
    <w:rsid w:val="00CF551E"/>
    <w:rsid w:val="00CF7DF2"/>
    <w:rsid w:val="00D02441"/>
    <w:rsid w:val="00D03F81"/>
    <w:rsid w:val="00D113BA"/>
    <w:rsid w:val="00D131AA"/>
    <w:rsid w:val="00D13A8A"/>
    <w:rsid w:val="00D14724"/>
    <w:rsid w:val="00D27ADD"/>
    <w:rsid w:val="00D36BD8"/>
    <w:rsid w:val="00D53067"/>
    <w:rsid w:val="00D61222"/>
    <w:rsid w:val="00D703F3"/>
    <w:rsid w:val="00D76DFB"/>
    <w:rsid w:val="00D8495F"/>
    <w:rsid w:val="00D87F95"/>
    <w:rsid w:val="00DA2F3D"/>
    <w:rsid w:val="00DC39E7"/>
    <w:rsid w:val="00DC4591"/>
    <w:rsid w:val="00E054F0"/>
    <w:rsid w:val="00E158F9"/>
    <w:rsid w:val="00E30299"/>
    <w:rsid w:val="00E34DC5"/>
    <w:rsid w:val="00E51D85"/>
    <w:rsid w:val="00E56A6E"/>
    <w:rsid w:val="00E60100"/>
    <w:rsid w:val="00E67726"/>
    <w:rsid w:val="00E724E8"/>
    <w:rsid w:val="00E724ED"/>
    <w:rsid w:val="00E807EE"/>
    <w:rsid w:val="00EC7139"/>
    <w:rsid w:val="00EC78DF"/>
    <w:rsid w:val="00EE735C"/>
    <w:rsid w:val="00EF2620"/>
    <w:rsid w:val="00F021D2"/>
    <w:rsid w:val="00F12831"/>
    <w:rsid w:val="00F16FA0"/>
    <w:rsid w:val="00F53B92"/>
    <w:rsid w:val="00F56CE3"/>
    <w:rsid w:val="00F71E40"/>
    <w:rsid w:val="00F750EA"/>
    <w:rsid w:val="00F772D7"/>
    <w:rsid w:val="00F83FE7"/>
    <w:rsid w:val="00F86889"/>
    <w:rsid w:val="00FC2203"/>
    <w:rsid w:val="00FE61D9"/>
    <w:rsid w:val="00FE6E53"/>
    <w:rsid w:val="00F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5915"/>
  <w15:chartTrackingRefBased/>
  <w15:docId w15:val="{A0C47E3C-2FCD-4B93-BCC5-6049870D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8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AD5"/>
    <w:rPr>
      <w:noProof/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6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AD5"/>
    <w:rPr>
      <w:noProof/>
      <w:kern w:val="2"/>
      <w:sz w:val="22"/>
      <w:szCs w:val="22"/>
    </w:rPr>
  </w:style>
  <w:style w:type="paragraph" w:styleId="ListParagraph">
    <w:name w:val="List Paragraph"/>
    <w:basedOn w:val="Normal"/>
    <w:uiPriority w:val="34"/>
    <w:qFormat/>
    <w:rsid w:val="00294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Thị Mỹ Dung</dc:creator>
  <cp:keywords/>
  <dc:description/>
  <cp:lastModifiedBy>Michelle</cp:lastModifiedBy>
  <cp:revision>2</cp:revision>
  <cp:lastPrinted>2025-12-16T08:42:00Z</cp:lastPrinted>
  <dcterms:created xsi:type="dcterms:W3CDTF">2026-02-10T08:20:00Z</dcterms:created>
  <dcterms:modified xsi:type="dcterms:W3CDTF">2026-02-10T08:20:00Z</dcterms:modified>
</cp:coreProperties>
</file>