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BFF40" w14:textId="12633F3A" w:rsidR="00C967D0" w:rsidRDefault="00C967D0" w:rsidP="00A12F36">
      <w:pPr>
        <w:ind w:right="68"/>
        <w:jc w:val="center"/>
        <w:rPr>
          <w:rFonts w:ascii="Arial" w:hAnsi="Arial" w:cs="Arial"/>
          <w:b/>
          <w:sz w:val="32"/>
          <w:szCs w:val="32"/>
          <w:lang w:val="en-US"/>
        </w:rPr>
      </w:pPr>
      <w:r w:rsidRPr="00C967D0">
        <w:rPr>
          <w:rFonts w:ascii="Arial" w:hAnsi="Arial" w:cs="Arial"/>
          <w:b/>
          <w:sz w:val="32"/>
          <w:szCs w:val="32"/>
        </w:rPr>
        <w:t xml:space="preserve">Các nhân tố đặc thù của ngân hàng và tác động của việc áp dụng Fintech: </w:t>
      </w:r>
      <w:r>
        <w:rPr>
          <w:rFonts w:ascii="Arial" w:hAnsi="Arial" w:cs="Arial"/>
          <w:b/>
          <w:sz w:val="32"/>
          <w:szCs w:val="32"/>
          <w:lang w:val="en-US"/>
        </w:rPr>
        <w:t>Nghiên cứu t</w:t>
      </w:r>
      <w:r w:rsidRPr="00C967D0">
        <w:rPr>
          <w:rFonts w:ascii="Arial" w:hAnsi="Arial" w:cs="Arial"/>
          <w:b/>
          <w:sz w:val="32"/>
          <w:szCs w:val="32"/>
        </w:rPr>
        <w:t>ổng quan hệ thống</w:t>
      </w:r>
    </w:p>
    <w:p w14:paraId="56731763" w14:textId="425FC9C2" w:rsidR="001F3912" w:rsidRDefault="00A12F36" w:rsidP="00A12F36">
      <w:pPr>
        <w:ind w:right="68"/>
        <w:jc w:val="center"/>
        <w:rPr>
          <w:b/>
          <w:lang w:val="en-US"/>
        </w:rPr>
      </w:pPr>
      <w:r w:rsidRPr="007A2D72">
        <w:rPr>
          <w:b/>
        </w:rPr>
        <w:t>Ph</w:t>
      </w:r>
      <w:r>
        <w:rPr>
          <w:b/>
          <w:lang w:val="en-US"/>
        </w:rPr>
        <w:t>ạ</w:t>
      </w:r>
      <w:r w:rsidRPr="007A2D72">
        <w:rPr>
          <w:b/>
        </w:rPr>
        <w:t>m Th</w:t>
      </w:r>
      <w:r>
        <w:rPr>
          <w:b/>
          <w:lang w:val="en-US"/>
        </w:rPr>
        <w:t>ị</w:t>
      </w:r>
      <w:r w:rsidRPr="007A2D72">
        <w:rPr>
          <w:b/>
        </w:rPr>
        <w:t xml:space="preserve"> Th</w:t>
      </w:r>
      <w:r>
        <w:rPr>
          <w:b/>
          <w:lang w:val="en-US"/>
        </w:rPr>
        <w:t>úy</w:t>
      </w:r>
      <w:r w:rsidRPr="007A2D72">
        <w:rPr>
          <w:b/>
        </w:rPr>
        <w:t xml:space="preserve"> H</w:t>
      </w:r>
      <w:r>
        <w:rPr>
          <w:b/>
          <w:lang w:val="en-US"/>
        </w:rPr>
        <w:t>ằ</w:t>
      </w:r>
      <w:r w:rsidRPr="007A2D72">
        <w:rPr>
          <w:b/>
        </w:rPr>
        <w:t>ng</w:t>
      </w:r>
      <w:r>
        <w:rPr>
          <w:b/>
          <w:vertAlign w:val="superscript"/>
          <w:lang w:val="en-US"/>
        </w:rPr>
        <w:t>1</w:t>
      </w:r>
      <w:r w:rsidRPr="007A2D72">
        <w:rPr>
          <w:b/>
        </w:rPr>
        <w:t>*</w:t>
      </w:r>
      <w:r>
        <w:rPr>
          <w:b/>
          <w:lang w:val="en-US"/>
        </w:rPr>
        <w:t xml:space="preserve"> , </w:t>
      </w:r>
      <w:r w:rsidRPr="00495182">
        <w:rPr>
          <w:b/>
          <w:lang w:val="en-US"/>
        </w:rPr>
        <w:t>Nguy</w:t>
      </w:r>
      <w:r>
        <w:rPr>
          <w:b/>
          <w:lang w:val="en-US"/>
        </w:rPr>
        <w:t>ễ</w:t>
      </w:r>
      <w:r w:rsidRPr="00495182">
        <w:rPr>
          <w:b/>
          <w:lang w:val="en-US"/>
        </w:rPr>
        <w:t>n Th</w:t>
      </w:r>
      <w:r>
        <w:rPr>
          <w:b/>
          <w:lang w:val="en-US"/>
        </w:rPr>
        <w:t>ủ</w:t>
      </w:r>
      <w:r w:rsidRPr="00495182">
        <w:rPr>
          <w:b/>
          <w:lang w:val="en-US"/>
        </w:rPr>
        <w:t>y Ti</w:t>
      </w:r>
      <w:r>
        <w:rPr>
          <w:b/>
          <w:lang w:val="en-US"/>
        </w:rPr>
        <w:t>ê</w:t>
      </w:r>
      <w:r w:rsidRPr="00495182">
        <w:rPr>
          <w:b/>
          <w:lang w:val="en-US"/>
        </w:rPr>
        <w:t>n</w:t>
      </w:r>
      <w:r>
        <w:rPr>
          <w:b/>
          <w:vertAlign w:val="superscript"/>
          <w:lang w:val="en-US"/>
        </w:rPr>
        <w:t>1</w:t>
      </w:r>
      <w:r w:rsidRPr="00495182">
        <w:rPr>
          <w:b/>
          <w:lang w:val="en-US"/>
        </w:rPr>
        <w:t>, Tr</w:t>
      </w:r>
      <w:r>
        <w:rPr>
          <w:b/>
          <w:lang w:val="en-US"/>
        </w:rPr>
        <w:t>ươ</w:t>
      </w:r>
      <w:r w:rsidRPr="00495182">
        <w:rPr>
          <w:b/>
          <w:lang w:val="en-US"/>
        </w:rPr>
        <w:t xml:space="preserve">ng </w:t>
      </w:r>
      <w:r>
        <w:rPr>
          <w:b/>
          <w:lang w:val="en-US"/>
        </w:rPr>
        <w:t>Đì</w:t>
      </w:r>
      <w:r w:rsidRPr="00495182">
        <w:rPr>
          <w:b/>
          <w:lang w:val="en-US"/>
        </w:rPr>
        <w:t>nh Tr</w:t>
      </w:r>
      <w:r>
        <w:rPr>
          <w:b/>
          <w:lang w:val="en-US"/>
        </w:rPr>
        <w:t>í</w:t>
      </w:r>
      <w:r>
        <w:rPr>
          <w:b/>
          <w:vertAlign w:val="superscript"/>
          <w:lang w:val="en-US"/>
        </w:rPr>
        <w:t>1</w:t>
      </w:r>
      <w:r w:rsidRPr="00495182">
        <w:rPr>
          <w:b/>
          <w:lang w:val="en-US"/>
        </w:rPr>
        <w:t>, Cao Th</w:t>
      </w:r>
      <w:r>
        <w:rPr>
          <w:b/>
          <w:lang w:val="en-US"/>
        </w:rPr>
        <w:t>ù</w:t>
      </w:r>
      <w:r w:rsidRPr="00495182">
        <w:rPr>
          <w:b/>
          <w:lang w:val="en-US"/>
        </w:rPr>
        <w:t>y Dung</w:t>
      </w:r>
      <w:r>
        <w:rPr>
          <w:b/>
          <w:vertAlign w:val="superscript"/>
          <w:lang w:val="en-US"/>
        </w:rPr>
        <w:t>1</w:t>
      </w:r>
      <w:r w:rsidRPr="00495182">
        <w:rPr>
          <w:b/>
          <w:lang w:val="en-US"/>
        </w:rPr>
        <w:t xml:space="preserve">, </w:t>
      </w:r>
    </w:p>
    <w:p w14:paraId="4C43B071" w14:textId="07EB3F1B" w:rsidR="00A12F36" w:rsidRPr="00CD7F5A" w:rsidRDefault="00A12F36" w:rsidP="00A12F36">
      <w:pPr>
        <w:ind w:right="68"/>
        <w:jc w:val="center"/>
        <w:rPr>
          <w:b/>
          <w:vertAlign w:val="superscript"/>
          <w:lang w:val="en-US"/>
        </w:rPr>
      </w:pPr>
      <w:r w:rsidRPr="00495182">
        <w:rPr>
          <w:b/>
          <w:lang w:val="en-US"/>
        </w:rPr>
        <w:t>T</w:t>
      </w:r>
      <w:r>
        <w:rPr>
          <w:b/>
          <w:lang w:val="en-US"/>
        </w:rPr>
        <w:t>ạ</w:t>
      </w:r>
      <w:r w:rsidRPr="00495182">
        <w:rPr>
          <w:b/>
          <w:lang w:val="en-US"/>
        </w:rPr>
        <w:t xml:space="preserve"> Kh</w:t>
      </w:r>
      <w:r>
        <w:rPr>
          <w:b/>
          <w:lang w:val="en-US"/>
        </w:rPr>
        <w:t>á</w:t>
      </w:r>
      <w:r w:rsidRPr="00495182">
        <w:rPr>
          <w:b/>
          <w:lang w:val="en-US"/>
        </w:rPr>
        <w:t>nh H</w:t>
      </w:r>
      <w:r>
        <w:rPr>
          <w:b/>
          <w:lang w:val="en-US"/>
        </w:rPr>
        <w:t>â</w:t>
      </w:r>
      <w:r w:rsidRPr="00495182">
        <w:rPr>
          <w:b/>
          <w:lang w:val="en-US"/>
        </w:rPr>
        <w:t>n</w:t>
      </w:r>
      <w:r>
        <w:rPr>
          <w:b/>
          <w:vertAlign w:val="superscript"/>
          <w:lang w:val="en-US"/>
        </w:rPr>
        <w:t>1</w:t>
      </w:r>
      <w:r w:rsidRPr="00495182">
        <w:rPr>
          <w:b/>
          <w:lang w:val="en-US"/>
        </w:rPr>
        <w:t>, Tr</w:t>
      </w:r>
      <w:r>
        <w:rPr>
          <w:b/>
          <w:lang w:val="en-US"/>
        </w:rPr>
        <w:t xml:space="preserve">ần </w:t>
      </w:r>
      <w:r w:rsidR="00D1680C">
        <w:rPr>
          <w:b/>
          <w:lang w:val="en-US"/>
        </w:rPr>
        <w:t xml:space="preserve">Đỗ </w:t>
      </w:r>
      <w:r w:rsidRPr="00495182">
        <w:rPr>
          <w:b/>
          <w:lang w:val="en-US"/>
        </w:rPr>
        <w:t>B</w:t>
      </w:r>
      <w:r>
        <w:rPr>
          <w:b/>
          <w:lang w:val="en-US"/>
        </w:rPr>
        <w:t xml:space="preserve">ảo </w:t>
      </w:r>
      <w:r w:rsidRPr="00495182">
        <w:rPr>
          <w:b/>
          <w:lang w:val="en-US"/>
        </w:rPr>
        <w:t>Kh</w:t>
      </w:r>
      <w:r>
        <w:rPr>
          <w:b/>
          <w:lang w:val="en-US"/>
        </w:rPr>
        <w:t>ôi</w:t>
      </w:r>
      <w:r>
        <w:rPr>
          <w:b/>
          <w:vertAlign w:val="superscript"/>
          <w:lang w:val="en-US"/>
        </w:rPr>
        <w:t>1</w:t>
      </w:r>
    </w:p>
    <w:p w14:paraId="5BD4C613" w14:textId="77777777" w:rsidR="00A12F36" w:rsidRPr="00B06ADB" w:rsidRDefault="00A12F36" w:rsidP="00A12F36">
      <w:pPr>
        <w:ind w:right="68"/>
        <w:jc w:val="center"/>
        <w:rPr>
          <w:lang w:val="en-US"/>
        </w:rPr>
      </w:pPr>
    </w:p>
    <w:p w14:paraId="0CBFBDBE" w14:textId="6FFF1637" w:rsidR="00A12F36" w:rsidRPr="00C436CC" w:rsidRDefault="00A12F36" w:rsidP="00A12F36">
      <w:pPr>
        <w:ind w:right="68"/>
        <w:jc w:val="center"/>
        <w:rPr>
          <w:sz w:val="22"/>
          <w:szCs w:val="22"/>
          <w:lang w:val="en-US"/>
        </w:rPr>
      </w:pPr>
      <w:r>
        <w:rPr>
          <w:i/>
          <w:sz w:val="22"/>
          <w:szCs w:val="22"/>
          <w:vertAlign w:val="superscript"/>
          <w:lang w:val="en-US"/>
        </w:rPr>
        <w:t>1</w:t>
      </w:r>
      <w:r w:rsidR="00250F95">
        <w:rPr>
          <w:i/>
          <w:sz w:val="22"/>
          <w:szCs w:val="22"/>
          <w:lang w:val="en-US"/>
        </w:rPr>
        <w:t>Khoa Tài chính – Ngân hàng và Quản trị Kinh do</w:t>
      </w:r>
      <w:r w:rsidR="00C436CC">
        <w:rPr>
          <w:i/>
          <w:sz w:val="22"/>
          <w:szCs w:val="22"/>
          <w:lang w:val="en-US"/>
        </w:rPr>
        <w:t>anh</w:t>
      </w:r>
      <w:r w:rsidRPr="007A2D72">
        <w:rPr>
          <w:i/>
          <w:sz w:val="22"/>
          <w:szCs w:val="22"/>
          <w:lang w:val="en-US"/>
        </w:rPr>
        <w:t xml:space="preserve">, </w:t>
      </w:r>
      <w:r w:rsidR="00C436CC">
        <w:rPr>
          <w:i/>
          <w:sz w:val="22"/>
          <w:szCs w:val="22"/>
          <w:lang w:val="en-US"/>
        </w:rPr>
        <w:t xml:space="preserve">Trường Đại học </w:t>
      </w:r>
      <w:r w:rsidRPr="007A2D72">
        <w:rPr>
          <w:i/>
          <w:sz w:val="22"/>
          <w:szCs w:val="22"/>
        </w:rPr>
        <w:t>Quy Nh</w:t>
      </w:r>
      <w:r w:rsidR="00C436CC">
        <w:rPr>
          <w:i/>
          <w:sz w:val="22"/>
          <w:szCs w:val="22"/>
          <w:lang w:val="en-US"/>
        </w:rPr>
        <w:t>ơ</w:t>
      </w:r>
      <w:r w:rsidRPr="007A2D72">
        <w:rPr>
          <w:i/>
          <w:sz w:val="22"/>
          <w:szCs w:val="22"/>
        </w:rPr>
        <w:t>n,</w:t>
      </w:r>
      <w:r w:rsidR="00C436CC">
        <w:rPr>
          <w:i/>
          <w:sz w:val="22"/>
          <w:szCs w:val="22"/>
          <w:lang w:val="en-US"/>
        </w:rPr>
        <w:t xml:space="preserve"> Phường Quy Nhơn Nam</w:t>
      </w:r>
      <w:r w:rsidRPr="007A2D72">
        <w:rPr>
          <w:i/>
          <w:sz w:val="22"/>
          <w:szCs w:val="22"/>
          <w:lang w:val="vi-VN"/>
        </w:rPr>
        <w:t>,</w:t>
      </w:r>
      <w:r w:rsidRPr="007A2D72">
        <w:rPr>
          <w:i/>
          <w:sz w:val="22"/>
          <w:szCs w:val="22"/>
        </w:rPr>
        <w:t xml:space="preserve"> </w:t>
      </w:r>
      <w:r w:rsidR="00C436CC">
        <w:rPr>
          <w:i/>
          <w:sz w:val="22"/>
          <w:szCs w:val="22"/>
          <w:lang w:val="en-US"/>
        </w:rPr>
        <w:t>Tỉnh Gia Lai, Việt Nam</w:t>
      </w:r>
    </w:p>
    <w:p w14:paraId="32DED8A6" w14:textId="77777777" w:rsidR="00A12F36" w:rsidRPr="007A2D72" w:rsidRDefault="00A12F36" w:rsidP="00A12F36">
      <w:pPr>
        <w:ind w:right="68"/>
        <w:jc w:val="center"/>
        <w:rPr>
          <w:sz w:val="22"/>
          <w:szCs w:val="22"/>
        </w:rPr>
      </w:pPr>
    </w:p>
    <w:p w14:paraId="2A2A1BBE" w14:textId="6B5D559E" w:rsidR="00A12F36" w:rsidRPr="007A2D72" w:rsidRDefault="00A12F36" w:rsidP="00A12F36">
      <w:pPr>
        <w:ind w:right="68"/>
        <w:jc w:val="center"/>
        <w:rPr>
          <w:i/>
          <w:sz w:val="22"/>
          <w:szCs w:val="22"/>
          <w:u w:val="single"/>
        </w:rPr>
      </w:pPr>
      <w:r w:rsidRPr="007A2D72">
        <w:rPr>
          <w:i/>
          <w:sz w:val="22"/>
          <w:szCs w:val="22"/>
        </w:rPr>
        <w:t>*</w:t>
      </w:r>
      <w:r w:rsidR="005136FC">
        <w:rPr>
          <w:i/>
          <w:sz w:val="22"/>
          <w:szCs w:val="22"/>
          <w:lang w:val="en-US"/>
        </w:rPr>
        <w:t>Tác giả liên hệ</w:t>
      </w:r>
      <w:r w:rsidRPr="007A2D72">
        <w:rPr>
          <w:i/>
          <w:sz w:val="22"/>
          <w:szCs w:val="22"/>
        </w:rPr>
        <w:t xml:space="preserve">. Email: </w:t>
      </w:r>
      <w:hyperlink r:id="rId6">
        <w:r w:rsidRPr="007A2D72">
          <w:rPr>
            <w:i/>
            <w:sz w:val="22"/>
            <w:szCs w:val="22"/>
          </w:rPr>
          <w:t>phamthithuyhang@qnu.edu.vn</w:t>
        </w:r>
      </w:hyperlink>
    </w:p>
    <w:p w14:paraId="2C770DC8" w14:textId="77777777" w:rsidR="00A12F36" w:rsidRPr="007A2D72" w:rsidRDefault="00A12F36" w:rsidP="00A12F36">
      <w:pPr>
        <w:ind w:right="70"/>
        <w:jc w:val="center"/>
        <w:rPr>
          <w:sz w:val="22"/>
          <w:szCs w:val="22"/>
        </w:rPr>
      </w:pPr>
    </w:p>
    <w:p w14:paraId="6E588F9D" w14:textId="77777777" w:rsidR="00A12F36" w:rsidRPr="007A2D72" w:rsidRDefault="00A12F36" w:rsidP="00A12F36">
      <w:pPr>
        <w:ind w:right="70"/>
      </w:pPr>
    </w:p>
    <w:p w14:paraId="568A71B2" w14:textId="2A79A4E7" w:rsidR="00A12F36" w:rsidRPr="007A2D72" w:rsidRDefault="00A12F36" w:rsidP="00A12F36">
      <w:pPr>
        <w:tabs>
          <w:tab w:val="left" w:pos="360"/>
          <w:tab w:val="right" w:pos="9072"/>
        </w:tabs>
        <w:spacing w:after="120"/>
        <w:jc w:val="both"/>
        <w:rPr>
          <w:b/>
          <w:sz w:val="22"/>
          <w:szCs w:val="22"/>
        </w:rPr>
      </w:pPr>
      <w:r>
        <w:rPr>
          <w:b/>
          <w:sz w:val="22"/>
          <w:szCs w:val="22"/>
          <w:lang w:val="en-US"/>
        </w:rPr>
        <w:t>TÓM TẮT</w:t>
      </w:r>
      <w:r w:rsidRPr="007A2D72">
        <w:rPr>
          <w:b/>
          <w:sz w:val="22"/>
          <w:szCs w:val="22"/>
        </w:rPr>
        <w:t xml:space="preserve"> </w:t>
      </w:r>
    </w:p>
    <w:p w14:paraId="5DC65C1D" w14:textId="6B732F9D" w:rsidR="00087480" w:rsidRDefault="00087480" w:rsidP="00A12F36">
      <w:pPr>
        <w:tabs>
          <w:tab w:val="right" w:pos="9072"/>
        </w:tabs>
        <w:spacing w:after="120"/>
        <w:jc w:val="both"/>
        <w:rPr>
          <w:sz w:val="20"/>
          <w:szCs w:val="20"/>
          <w:lang w:val="en-US"/>
        </w:rPr>
      </w:pPr>
      <w:r w:rsidRPr="00087480">
        <w:rPr>
          <w:sz w:val="20"/>
          <w:szCs w:val="20"/>
          <w:lang w:val="en-US"/>
        </w:rPr>
        <w:t>Nghiên cứu này thực hiện tổng quan có hệ thống các công trình nghiên cứu về việc áp dụng công nghệ tài chính (Fin</w:t>
      </w:r>
      <w:r w:rsidR="00DF2938">
        <w:rPr>
          <w:sz w:val="20"/>
          <w:szCs w:val="20"/>
          <w:lang w:val="en-US"/>
        </w:rPr>
        <w:t>t</w:t>
      </w:r>
      <w:r w:rsidRPr="00087480">
        <w:rPr>
          <w:sz w:val="20"/>
          <w:szCs w:val="20"/>
          <w:lang w:val="en-US"/>
        </w:rPr>
        <w:t>ech) trong lĩnh vực ngân hàng giai đoạn 2020</w:t>
      </w:r>
      <w:r w:rsidR="007D1E46">
        <w:rPr>
          <w:sz w:val="20"/>
          <w:szCs w:val="20"/>
          <w:lang w:val="en-US"/>
        </w:rPr>
        <w:t>-</w:t>
      </w:r>
      <w:r w:rsidRPr="00087480">
        <w:rPr>
          <w:sz w:val="20"/>
          <w:szCs w:val="20"/>
          <w:lang w:val="en-US"/>
        </w:rPr>
        <w:t>2025. Tuân thủ theo hướng dẫn PRISMA, 22 bài báo khoa học được bình duyệt đã được xác định và phân tích thông qua phương pháp tổng quan có cấu trúc. Các bằng chứng được tổng hợp theo ba nhóm nội dung chính: các nhân tố bên ngoài, các nhân tố đặc thù ở cấp độ ngân hàng và các tác động của việc áp dụng FinTech. Kết quả cho thấy áp lực cạnh tranh và môi trường pháp lý – thể chế định hình bối cảnh bên ngoài của việc áp dụng FinTech, trong khi mức độ sẵn sàng tổ chức, nguồn lực và năng lực chiến lược của ngân hàng giải thích sự khác biệt trong hành vi áp dụng giữa các ngân hàng. Về mặt tác động, việc áp dụng FinTech nhìn chung gắn liền với sự cải thiện về hiệu quả hoạt động và hiệu suất, tuy nhiên ảnh hưởng đối với rủi ro và ổn định tài chính phụ thuộc nhiều vào bối cảnh cụ thể. Nhìn chung, nghiên cứu nhấn mạnh rằng việc áp dụng FinTech là một vấn đề mang tính chiến lược và tổ chức trong ngân hàng, đồng thời cung cấp các hàm ý cho nghiên cứu và hoạch định chính sách trong tương lai, đặc biệt đối với các hệ thống ngân hàng ở các nền kinh tế mới nổi.</w:t>
      </w:r>
    </w:p>
    <w:p w14:paraId="4DF8481A" w14:textId="21F9DFDD" w:rsidR="00A12F36" w:rsidRPr="003C432D" w:rsidRDefault="00087480" w:rsidP="00A12F36">
      <w:pPr>
        <w:tabs>
          <w:tab w:val="right" w:pos="9072"/>
        </w:tabs>
        <w:spacing w:after="120"/>
        <w:jc w:val="both"/>
        <w:rPr>
          <w:iCs/>
          <w:sz w:val="20"/>
          <w:szCs w:val="20"/>
          <w:lang w:val="en-US"/>
        </w:rPr>
      </w:pPr>
      <w:r w:rsidRPr="00087480">
        <w:rPr>
          <w:b/>
          <w:sz w:val="20"/>
          <w:szCs w:val="20"/>
        </w:rPr>
        <w:t>Từ khóa</w:t>
      </w:r>
      <w:r w:rsidR="00A12F36" w:rsidRPr="003C432D">
        <w:rPr>
          <w:b/>
          <w:sz w:val="20"/>
          <w:szCs w:val="20"/>
        </w:rPr>
        <w:t>:</w:t>
      </w:r>
      <w:r w:rsidR="00A12F36" w:rsidRPr="003C432D">
        <w:rPr>
          <w:i/>
          <w:sz w:val="20"/>
          <w:szCs w:val="20"/>
        </w:rPr>
        <w:t xml:space="preserve"> </w:t>
      </w:r>
      <w:r w:rsidR="00DF2938">
        <w:rPr>
          <w:iCs/>
          <w:sz w:val="20"/>
          <w:szCs w:val="20"/>
          <w:lang w:val="en-US"/>
        </w:rPr>
        <w:t>Công nghệ tài chính</w:t>
      </w:r>
      <w:r w:rsidRPr="00087480">
        <w:rPr>
          <w:iCs/>
          <w:sz w:val="20"/>
          <w:szCs w:val="20"/>
          <w:lang w:val="vi-VN"/>
        </w:rPr>
        <w:t>; ngân hàng thương mại; nhân tố đặc thù ngân hàng; quản trị; tổng quan hệ thống</w:t>
      </w:r>
    </w:p>
    <w:p w14:paraId="48F2F991" w14:textId="77777777" w:rsidR="00A12F36" w:rsidRDefault="00A12F36" w:rsidP="00A12F36">
      <w:pPr>
        <w:tabs>
          <w:tab w:val="left" w:pos="360"/>
          <w:tab w:val="right" w:pos="9072"/>
        </w:tabs>
        <w:jc w:val="both"/>
        <w:rPr>
          <w:sz w:val="20"/>
          <w:szCs w:val="20"/>
          <w:lang w:val="en-US"/>
        </w:rPr>
      </w:pPr>
    </w:p>
    <w:p w14:paraId="0FE8B246" w14:textId="77777777" w:rsidR="00A12F36" w:rsidRDefault="00A12F36" w:rsidP="00BA615E">
      <w:pPr>
        <w:ind w:right="68"/>
        <w:jc w:val="center"/>
        <w:rPr>
          <w:rFonts w:ascii="Arial" w:hAnsi="Arial" w:cs="Arial"/>
          <w:b/>
          <w:sz w:val="32"/>
          <w:szCs w:val="32"/>
          <w:lang w:val="en-US"/>
        </w:rPr>
      </w:pPr>
    </w:p>
    <w:p w14:paraId="169FEF3A" w14:textId="77777777" w:rsidR="00087480" w:rsidRDefault="00087480" w:rsidP="00BA615E">
      <w:pPr>
        <w:ind w:right="68"/>
        <w:jc w:val="center"/>
        <w:rPr>
          <w:rFonts w:ascii="Arial" w:hAnsi="Arial" w:cs="Arial"/>
          <w:b/>
          <w:sz w:val="32"/>
          <w:szCs w:val="32"/>
          <w:lang w:val="en-US"/>
        </w:rPr>
      </w:pPr>
    </w:p>
    <w:p w14:paraId="4987E7B7" w14:textId="77777777" w:rsidR="00087480" w:rsidRDefault="00087480" w:rsidP="00BA615E">
      <w:pPr>
        <w:ind w:right="68"/>
        <w:jc w:val="center"/>
        <w:rPr>
          <w:rFonts w:ascii="Arial" w:hAnsi="Arial" w:cs="Arial"/>
          <w:b/>
          <w:sz w:val="32"/>
          <w:szCs w:val="32"/>
          <w:lang w:val="en-US"/>
        </w:rPr>
      </w:pPr>
    </w:p>
    <w:p w14:paraId="6099C337" w14:textId="77777777" w:rsidR="00087480" w:rsidRDefault="00087480" w:rsidP="00BA615E">
      <w:pPr>
        <w:ind w:right="68"/>
        <w:jc w:val="center"/>
        <w:rPr>
          <w:rFonts w:ascii="Arial" w:hAnsi="Arial" w:cs="Arial"/>
          <w:b/>
          <w:sz w:val="32"/>
          <w:szCs w:val="32"/>
          <w:lang w:val="en-US"/>
        </w:rPr>
      </w:pPr>
    </w:p>
    <w:p w14:paraId="6E413C56" w14:textId="77777777" w:rsidR="00087480" w:rsidRDefault="00087480" w:rsidP="00BA615E">
      <w:pPr>
        <w:ind w:right="68"/>
        <w:jc w:val="center"/>
        <w:rPr>
          <w:rFonts w:ascii="Arial" w:hAnsi="Arial" w:cs="Arial"/>
          <w:b/>
          <w:sz w:val="32"/>
          <w:szCs w:val="32"/>
          <w:lang w:val="en-US"/>
        </w:rPr>
      </w:pPr>
    </w:p>
    <w:p w14:paraId="499EBB74" w14:textId="77777777" w:rsidR="00087480" w:rsidRDefault="00087480" w:rsidP="00BA615E">
      <w:pPr>
        <w:ind w:right="68"/>
        <w:jc w:val="center"/>
        <w:rPr>
          <w:rFonts w:ascii="Arial" w:hAnsi="Arial" w:cs="Arial"/>
          <w:b/>
          <w:sz w:val="32"/>
          <w:szCs w:val="32"/>
          <w:lang w:val="en-US"/>
        </w:rPr>
      </w:pPr>
    </w:p>
    <w:p w14:paraId="760700B0" w14:textId="77777777" w:rsidR="00087480" w:rsidRDefault="00087480" w:rsidP="00BA615E">
      <w:pPr>
        <w:ind w:right="68"/>
        <w:jc w:val="center"/>
        <w:rPr>
          <w:rFonts w:ascii="Arial" w:hAnsi="Arial" w:cs="Arial"/>
          <w:b/>
          <w:sz w:val="32"/>
          <w:szCs w:val="32"/>
          <w:lang w:val="en-US"/>
        </w:rPr>
      </w:pPr>
    </w:p>
    <w:p w14:paraId="24985400" w14:textId="77777777" w:rsidR="00087480" w:rsidRDefault="00087480" w:rsidP="00BA615E">
      <w:pPr>
        <w:ind w:right="68"/>
        <w:jc w:val="center"/>
        <w:rPr>
          <w:rFonts w:ascii="Arial" w:hAnsi="Arial" w:cs="Arial"/>
          <w:b/>
          <w:sz w:val="32"/>
          <w:szCs w:val="32"/>
          <w:lang w:val="en-US"/>
        </w:rPr>
      </w:pPr>
    </w:p>
    <w:p w14:paraId="31EB9277" w14:textId="77777777" w:rsidR="00087480" w:rsidRDefault="00087480" w:rsidP="00BA615E">
      <w:pPr>
        <w:ind w:right="68"/>
        <w:jc w:val="center"/>
        <w:rPr>
          <w:rFonts w:ascii="Arial" w:hAnsi="Arial" w:cs="Arial"/>
          <w:b/>
          <w:sz w:val="32"/>
          <w:szCs w:val="32"/>
          <w:lang w:val="en-US"/>
        </w:rPr>
      </w:pPr>
    </w:p>
    <w:p w14:paraId="09F25E21" w14:textId="77777777" w:rsidR="00087480" w:rsidRDefault="00087480" w:rsidP="00BA615E">
      <w:pPr>
        <w:ind w:right="68"/>
        <w:jc w:val="center"/>
        <w:rPr>
          <w:rFonts w:ascii="Arial" w:hAnsi="Arial" w:cs="Arial"/>
          <w:b/>
          <w:sz w:val="32"/>
          <w:szCs w:val="32"/>
          <w:lang w:val="en-US"/>
        </w:rPr>
      </w:pPr>
    </w:p>
    <w:p w14:paraId="6F10AD67" w14:textId="77777777" w:rsidR="00087480" w:rsidRDefault="00087480" w:rsidP="00BA615E">
      <w:pPr>
        <w:ind w:right="68"/>
        <w:jc w:val="center"/>
        <w:rPr>
          <w:rFonts w:ascii="Arial" w:hAnsi="Arial" w:cs="Arial"/>
          <w:b/>
          <w:sz w:val="32"/>
          <w:szCs w:val="32"/>
          <w:lang w:val="en-US"/>
        </w:rPr>
      </w:pPr>
    </w:p>
    <w:p w14:paraId="3F46013D" w14:textId="77777777" w:rsidR="00087480" w:rsidRDefault="00087480" w:rsidP="00BA615E">
      <w:pPr>
        <w:ind w:right="68"/>
        <w:jc w:val="center"/>
        <w:rPr>
          <w:rFonts w:ascii="Arial" w:hAnsi="Arial" w:cs="Arial"/>
          <w:b/>
          <w:sz w:val="32"/>
          <w:szCs w:val="32"/>
          <w:lang w:val="en-US"/>
        </w:rPr>
      </w:pPr>
    </w:p>
    <w:p w14:paraId="5240D75C" w14:textId="77777777" w:rsidR="00087480" w:rsidRDefault="00087480" w:rsidP="00BA615E">
      <w:pPr>
        <w:ind w:right="68"/>
        <w:jc w:val="center"/>
        <w:rPr>
          <w:rFonts w:ascii="Arial" w:hAnsi="Arial" w:cs="Arial"/>
          <w:b/>
          <w:sz w:val="32"/>
          <w:szCs w:val="32"/>
          <w:lang w:val="en-US"/>
        </w:rPr>
      </w:pPr>
    </w:p>
    <w:p w14:paraId="461550F1" w14:textId="77777777" w:rsidR="00087480" w:rsidRDefault="00087480" w:rsidP="00BA615E">
      <w:pPr>
        <w:ind w:right="68"/>
        <w:jc w:val="center"/>
        <w:rPr>
          <w:rFonts w:ascii="Arial" w:hAnsi="Arial" w:cs="Arial"/>
          <w:b/>
          <w:sz w:val="32"/>
          <w:szCs w:val="32"/>
          <w:lang w:val="en-US"/>
        </w:rPr>
      </w:pPr>
    </w:p>
    <w:p w14:paraId="3241A5AD" w14:textId="77777777" w:rsidR="00087480" w:rsidRDefault="00087480" w:rsidP="00BA615E">
      <w:pPr>
        <w:ind w:right="68"/>
        <w:jc w:val="center"/>
        <w:rPr>
          <w:rFonts w:ascii="Arial" w:hAnsi="Arial" w:cs="Arial"/>
          <w:b/>
          <w:sz w:val="32"/>
          <w:szCs w:val="32"/>
          <w:lang w:val="en-US"/>
        </w:rPr>
      </w:pPr>
    </w:p>
    <w:p w14:paraId="3E33CCAF" w14:textId="77777777" w:rsidR="00087480" w:rsidRDefault="00087480" w:rsidP="00BA615E">
      <w:pPr>
        <w:ind w:right="68"/>
        <w:jc w:val="center"/>
        <w:rPr>
          <w:rFonts w:ascii="Arial" w:hAnsi="Arial" w:cs="Arial"/>
          <w:b/>
          <w:sz w:val="32"/>
          <w:szCs w:val="32"/>
          <w:lang w:val="en-US"/>
        </w:rPr>
      </w:pPr>
    </w:p>
    <w:p w14:paraId="0B459FC1" w14:textId="77777777" w:rsidR="00087480" w:rsidRDefault="00087480" w:rsidP="00BA615E">
      <w:pPr>
        <w:ind w:right="68"/>
        <w:jc w:val="center"/>
        <w:rPr>
          <w:rFonts w:ascii="Arial" w:hAnsi="Arial" w:cs="Arial"/>
          <w:b/>
          <w:sz w:val="32"/>
          <w:szCs w:val="32"/>
          <w:lang w:val="en-US"/>
        </w:rPr>
      </w:pPr>
    </w:p>
    <w:p w14:paraId="0A337226" w14:textId="77777777" w:rsidR="00087480" w:rsidRDefault="00087480" w:rsidP="00BA615E">
      <w:pPr>
        <w:ind w:right="68"/>
        <w:jc w:val="center"/>
        <w:rPr>
          <w:rFonts w:ascii="Arial" w:hAnsi="Arial" w:cs="Arial"/>
          <w:b/>
          <w:sz w:val="32"/>
          <w:szCs w:val="32"/>
          <w:lang w:val="en-US"/>
        </w:rPr>
      </w:pPr>
    </w:p>
    <w:p w14:paraId="37C009EA" w14:textId="77777777" w:rsidR="00087480" w:rsidRDefault="00087480" w:rsidP="00BA615E">
      <w:pPr>
        <w:ind w:right="68"/>
        <w:jc w:val="center"/>
        <w:rPr>
          <w:rFonts w:ascii="Arial" w:hAnsi="Arial" w:cs="Arial"/>
          <w:b/>
          <w:sz w:val="32"/>
          <w:szCs w:val="32"/>
          <w:lang w:val="en-US"/>
        </w:rPr>
      </w:pPr>
    </w:p>
    <w:p w14:paraId="5B336FB6" w14:textId="77777777" w:rsidR="00087480" w:rsidRDefault="00087480" w:rsidP="00BA615E">
      <w:pPr>
        <w:ind w:right="68"/>
        <w:jc w:val="center"/>
        <w:rPr>
          <w:rFonts w:ascii="Arial" w:hAnsi="Arial" w:cs="Arial"/>
          <w:b/>
          <w:sz w:val="32"/>
          <w:szCs w:val="32"/>
          <w:lang w:val="en-US"/>
        </w:rPr>
      </w:pPr>
    </w:p>
    <w:p w14:paraId="164E16EC" w14:textId="4F75964B" w:rsidR="00B06ADB" w:rsidRDefault="00C967D0" w:rsidP="00CD7F5A">
      <w:pPr>
        <w:ind w:right="68"/>
        <w:jc w:val="center"/>
        <w:rPr>
          <w:b/>
          <w:lang w:val="en-US"/>
        </w:rPr>
      </w:pPr>
      <w:r w:rsidRPr="00C967D0">
        <w:rPr>
          <w:rFonts w:ascii="Arial" w:hAnsi="Arial" w:cs="Arial"/>
          <w:b/>
          <w:sz w:val="32"/>
          <w:szCs w:val="32"/>
        </w:rPr>
        <w:lastRenderedPageBreak/>
        <w:t>Bank-specific determinants and impacts of Fintech adoption: A systematic review</w:t>
      </w:r>
    </w:p>
    <w:p w14:paraId="675F2B15" w14:textId="77777777" w:rsidR="001F3912" w:rsidRDefault="00BA5433" w:rsidP="00CD7F5A">
      <w:pPr>
        <w:ind w:right="68"/>
        <w:jc w:val="center"/>
        <w:rPr>
          <w:b/>
          <w:lang w:val="en-US"/>
        </w:rPr>
      </w:pPr>
      <w:r w:rsidRPr="007A2D72">
        <w:rPr>
          <w:b/>
        </w:rPr>
        <w:t>Pham Thi Thuy Hang</w:t>
      </w:r>
      <w:r w:rsidR="00CD7F5A">
        <w:rPr>
          <w:b/>
          <w:vertAlign w:val="superscript"/>
          <w:lang w:val="en-US"/>
        </w:rPr>
        <w:t>1</w:t>
      </w:r>
      <w:r w:rsidRPr="007A2D72">
        <w:rPr>
          <w:b/>
        </w:rPr>
        <w:t>*</w:t>
      </w:r>
      <w:r w:rsidR="008F450B">
        <w:rPr>
          <w:b/>
          <w:lang w:val="en-US"/>
        </w:rPr>
        <w:t xml:space="preserve"> </w:t>
      </w:r>
      <w:r w:rsidR="00CD7F5A">
        <w:rPr>
          <w:b/>
          <w:lang w:val="en-US"/>
        </w:rPr>
        <w:t xml:space="preserve">, </w:t>
      </w:r>
      <w:r w:rsidR="008F450B" w:rsidRPr="00495182">
        <w:rPr>
          <w:b/>
          <w:lang w:val="en-US"/>
        </w:rPr>
        <w:t>Nguyen Thuy Tien</w:t>
      </w:r>
      <w:r w:rsidR="00CD7F5A">
        <w:rPr>
          <w:b/>
          <w:vertAlign w:val="superscript"/>
          <w:lang w:val="en-US"/>
        </w:rPr>
        <w:t>1</w:t>
      </w:r>
      <w:r w:rsidR="00495182" w:rsidRPr="00495182">
        <w:rPr>
          <w:b/>
          <w:lang w:val="en-US"/>
        </w:rPr>
        <w:t xml:space="preserve">, </w:t>
      </w:r>
      <w:r w:rsidR="008F450B" w:rsidRPr="00495182">
        <w:rPr>
          <w:b/>
          <w:lang w:val="en-US"/>
        </w:rPr>
        <w:t>Truong Dinh Tri</w:t>
      </w:r>
      <w:r w:rsidR="00CD7F5A">
        <w:rPr>
          <w:b/>
          <w:vertAlign w:val="superscript"/>
          <w:lang w:val="en-US"/>
        </w:rPr>
        <w:t>1</w:t>
      </w:r>
      <w:r w:rsidR="00495182" w:rsidRPr="00495182">
        <w:rPr>
          <w:b/>
          <w:lang w:val="en-US"/>
        </w:rPr>
        <w:t xml:space="preserve">, </w:t>
      </w:r>
      <w:r w:rsidR="008F450B" w:rsidRPr="00495182">
        <w:rPr>
          <w:b/>
          <w:lang w:val="en-US"/>
        </w:rPr>
        <w:t>Cao Thuy Dung</w:t>
      </w:r>
      <w:r w:rsidR="00CD7F5A">
        <w:rPr>
          <w:b/>
          <w:vertAlign w:val="superscript"/>
          <w:lang w:val="en-US"/>
        </w:rPr>
        <w:t>1</w:t>
      </w:r>
      <w:r w:rsidR="00495182" w:rsidRPr="00495182">
        <w:rPr>
          <w:b/>
          <w:lang w:val="en-US"/>
        </w:rPr>
        <w:t xml:space="preserve">, </w:t>
      </w:r>
    </w:p>
    <w:p w14:paraId="7C793D71" w14:textId="01226FCB" w:rsidR="008F450B" w:rsidRPr="00CD7F5A" w:rsidRDefault="00495182" w:rsidP="00CD7F5A">
      <w:pPr>
        <w:ind w:right="68"/>
        <w:jc w:val="center"/>
        <w:rPr>
          <w:b/>
          <w:vertAlign w:val="superscript"/>
          <w:lang w:val="en-US"/>
        </w:rPr>
      </w:pPr>
      <w:r w:rsidRPr="00495182">
        <w:rPr>
          <w:b/>
          <w:lang w:val="en-US"/>
        </w:rPr>
        <w:t>Ta Khanh Han</w:t>
      </w:r>
      <w:r w:rsidR="00CD7F5A">
        <w:rPr>
          <w:b/>
          <w:vertAlign w:val="superscript"/>
          <w:lang w:val="en-US"/>
        </w:rPr>
        <w:t>1</w:t>
      </w:r>
      <w:r w:rsidRPr="00495182">
        <w:rPr>
          <w:b/>
          <w:lang w:val="en-US"/>
        </w:rPr>
        <w:t xml:space="preserve">, </w:t>
      </w:r>
      <w:r w:rsidR="008F450B" w:rsidRPr="00495182">
        <w:rPr>
          <w:b/>
          <w:lang w:val="en-US"/>
        </w:rPr>
        <w:t xml:space="preserve">Tran </w:t>
      </w:r>
      <w:r w:rsidR="00D1680C">
        <w:rPr>
          <w:b/>
          <w:lang w:val="en-US"/>
        </w:rPr>
        <w:t xml:space="preserve">Do </w:t>
      </w:r>
      <w:r w:rsidR="008F450B" w:rsidRPr="00495182">
        <w:rPr>
          <w:b/>
          <w:lang w:val="en-US"/>
        </w:rPr>
        <w:t>Bao Khoi</w:t>
      </w:r>
      <w:r w:rsidR="00CD7F5A">
        <w:rPr>
          <w:b/>
          <w:vertAlign w:val="superscript"/>
          <w:lang w:val="en-US"/>
        </w:rPr>
        <w:t>1</w:t>
      </w:r>
    </w:p>
    <w:p w14:paraId="03F7C067" w14:textId="77777777" w:rsidR="00E25FD3" w:rsidRPr="00B06ADB" w:rsidRDefault="00E25FD3" w:rsidP="00BA615E">
      <w:pPr>
        <w:ind w:right="68"/>
        <w:jc w:val="center"/>
        <w:rPr>
          <w:lang w:val="en-US"/>
        </w:rPr>
      </w:pPr>
    </w:p>
    <w:p w14:paraId="529CEB0F" w14:textId="48DD0493" w:rsidR="00E25FD3" w:rsidRPr="007A2D72" w:rsidRDefault="00651CB6" w:rsidP="00BA615E">
      <w:pPr>
        <w:ind w:right="68"/>
        <w:jc w:val="center"/>
        <w:rPr>
          <w:sz w:val="22"/>
          <w:szCs w:val="22"/>
        </w:rPr>
      </w:pPr>
      <w:r>
        <w:rPr>
          <w:i/>
          <w:sz w:val="22"/>
          <w:szCs w:val="22"/>
          <w:vertAlign w:val="superscript"/>
          <w:lang w:val="en-US"/>
        </w:rPr>
        <w:t>1</w:t>
      </w:r>
      <w:r w:rsidR="00A92EDE" w:rsidRPr="007A2D72">
        <w:rPr>
          <w:i/>
          <w:sz w:val="22"/>
          <w:szCs w:val="22"/>
          <w:lang w:val="en-US"/>
        </w:rPr>
        <w:t>Department of F</w:t>
      </w:r>
      <w:r w:rsidR="00BA5433" w:rsidRPr="007A2D72">
        <w:rPr>
          <w:i/>
          <w:sz w:val="22"/>
          <w:szCs w:val="22"/>
        </w:rPr>
        <w:t>inance - Banking &amp; Business Administration</w:t>
      </w:r>
      <w:r w:rsidR="00A92EDE" w:rsidRPr="007A2D72">
        <w:rPr>
          <w:i/>
          <w:sz w:val="22"/>
          <w:szCs w:val="22"/>
          <w:lang w:val="en-US"/>
        </w:rPr>
        <w:t xml:space="preserve">, </w:t>
      </w:r>
      <w:r w:rsidR="004C5E6F" w:rsidRPr="004C5E6F">
        <w:rPr>
          <w:i/>
          <w:sz w:val="22"/>
          <w:szCs w:val="22"/>
        </w:rPr>
        <w:t xml:space="preserve">Quy Nhon Nam ward, Gia Lai </w:t>
      </w:r>
      <w:r w:rsidR="004C5E6F" w:rsidRPr="004C5E6F">
        <w:rPr>
          <w:i/>
          <w:caps/>
          <w:sz w:val="22"/>
          <w:szCs w:val="22"/>
        </w:rPr>
        <w:t>p</w:t>
      </w:r>
      <w:r w:rsidR="004C5E6F" w:rsidRPr="004C5E6F">
        <w:rPr>
          <w:i/>
          <w:sz w:val="22"/>
          <w:szCs w:val="22"/>
        </w:rPr>
        <w:t>rovince, Vietnam</w:t>
      </w:r>
    </w:p>
    <w:p w14:paraId="68F28EC4" w14:textId="77777777" w:rsidR="00E25FD3" w:rsidRPr="007A2D72" w:rsidRDefault="00E25FD3" w:rsidP="00BA615E">
      <w:pPr>
        <w:ind w:right="68"/>
        <w:jc w:val="center"/>
        <w:rPr>
          <w:sz w:val="22"/>
          <w:szCs w:val="22"/>
        </w:rPr>
      </w:pPr>
    </w:p>
    <w:p w14:paraId="3C5BD9C2" w14:textId="19E2618D" w:rsidR="00E25FD3" w:rsidRPr="007A2D72" w:rsidRDefault="00BA5433" w:rsidP="00BA615E">
      <w:pPr>
        <w:ind w:right="68"/>
        <w:jc w:val="center"/>
        <w:rPr>
          <w:i/>
          <w:sz w:val="22"/>
          <w:szCs w:val="22"/>
          <w:u w:val="single"/>
        </w:rPr>
      </w:pPr>
      <w:r w:rsidRPr="007A2D72">
        <w:rPr>
          <w:i/>
          <w:sz w:val="22"/>
          <w:szCs w:val="22"/>
        </w:rPr>
        <w:t xml:space="preserve">*Corresponding author. Email: </w:t>
      </w:r>
      <w:hyperlink r:id="rId7">
        <w:r w:rsidRPr="007A2D72">
          <w:rPr>
            <w:i/>
            <w:sz w:val="22"/>
            <w:szCs w:val="22"/>
          </w:rPr>
          <w:t>phamthithuyhang@qnu.edu.vn</w:t>
        </w:r>
      </w:hyperlink>
    </w:p>
    <w:p w14:paraId="1CC52302" w14:textId="77777777" w:rsidR="00EE2AF0" w:rsidRPr="007A2D72" w:rsidRDefault="00EE2AF0">
      <w:pPr>
        <w:ind w:right="70"/>
        <w:jc w:val="center"/>
        <w:rPr>
          <w:sz w:val="22"/>
          <w:szCs w:val="22"/>
        </w:rPr>
      </w:pPr>
    </w:p>
    <w:p w14:paraId="4B4F61E0" w14:textId="77777777" w:rsidR="00E25FD3" w:rsidRPr="007A2D72" w:rsidRDefault="00E25FD3" w:rsidP="00494F74">
      <w:pPr>
        <w:ind w:right="70"/>
      </w:pPr>
      <w:bookmarkStart w:id="0" w:name="_Hlk189883026"/>
    </w:p>
    <w:p w14:paraId="3F6AABD0" w14:textId="75ED1B49" w:rsidR="00E25FD3" w:rsidRPr="007A2D72" w:rsidRDefault="00BA5433" w:rsidP="00494F74">
      <w:pPr>
        <w:tabs>
          <w:tab w:val="left" w:pos="360"/>
          <w:tab w:val="right" w:pos="9072"/>
        </w:tabs>
        <w:spacing w:after="120"/>
        <w:jc w:val="both"/>
        <w:rPr>
          <w:b/>
          <w:sz w:val="22"/>
          <w:szCs w:val="22"/>
        </w:rPr>
      </w:pPr>
      <w:bookmarkStart w:id="1" w:name="_Hlk194249709"/>
      <w:r w:rsidRPr="007A2D72">
        <w:rPr>
          <w:b/>
          <w:sz w:val="22"/>
          <w:szCs w:val="22"/>
        </w:rPr>
        <w:t xml:space="preserve">ABSTRACT </w:t>
      </w:r>
    </w:p>
    <w:bookmarkEnd w:id="0"/>
    <w:bookmarkEnd w:id="1"/>
    <w:p w14:paraId="0697F783" w14:textId="744F12C0" w:rsidR="00EA73A2" w:rsidRDefault="00EA73A2" w:rsidP="004F52DB">
      <w:pPr>
        <w:tabs>
          <w:tab w:val="right" w:pos="9072"/>
        </w:tabs>
        <w:spacing w:after="120"/>
        <w:jc w:val="both"/>
        <w:rPr>
          <w:sz w:val="20"/>
          <w:szCs w:val="20"/>
          <w:lang w:val="en-US"/>
        </w:rPr>
      </w:pPr>
      <w:r w:rsidRPr="00EA73A2">
        <w:rPr>
          <w:sz w:val="20"/>
          <w:szCs w:val="20"/>
          <w:lang w:val="en-US"/>
        </w:rPr>
        <w:t>This study conducts a systematic review of the literature on FinTech adoption in the banking sector during the period 2020</w:t>
      </w:r>
      <w:r w:rsidR="007D1E46">
        <w:rPr>
          <w:sz w:val="20"/>
          <w:szCs w:val="20"/>
          <w:lang w:val="en-US"/>
        </w:rPr>
        <w:t>-</w:t>
      </w:r>
      <w:r w:rsidRPr="00EA73A2">
        <w:rPr>
          <w:sz w:val="20"/>
          <w:szCs w:val="20"/>
          <w:lang w:val="en-US"/>
        </w:rPr>
        <w:t>2025. In accordance with PRISMA guidelines, 22 peer-reviewed studies were identified and analyzed using a structured review approach. The evidence is synthesized into three dimensions: external determinants, bank-specific determinants, and the impacts of FinTech adoption. The findings show that competitive pressure and regulatory environments shape the external context for adoption, while organizational readiness, resource availability, and strategic capacity explain differences in adoption across banks. In terms of outcomes, FinTech adoption is generally associated with improved performance and efficiency, although its effects on risk and stability are context-dependent. Overall, the review highlights FinTech adoption as a strategic and organizational issue in banking and provides implications for future research and policy, particularly in emerging banking systems.</w:t>
      </w:r>
    </w:p>
    <w:p w14:paraId="73232CB1" w14:textId="6CA810C3" w:rsidR="004F52DB" w:rsidRPr="003C432D" w:rsidRDefault="004F52DB" w:rsidP="004F52DB">
      <w:pPr>
        <w:tabs>
          <w:tab w:val="right" w:pos="9072"/>
        </w:tabs>
        <w:spacing w:after="120"/>
        <w:jc w:val="both"/>
        <w:rPr>
          <w:iCs/>
          <w:sz w:val="20"/>
          <w:szCs w:val="20"/>
          <w:lang w:val="en-US"/>
        </w:rPr>
      </w:pPr>
      <w:r w:rsidRPr="003C432D">
        <w:rPr>
          <w:b/>
          <w:sz w:val="20"/>
          <w:szCs w:val="20"/>
        </w:rPr>
        <w:t>Keywords:</w:t>
      </w:r>
      <w:r w:rsidRPr="003C432D">
        <w:rPr>
          <w:i/>
          <w:sz w:val="20"/>
          <w:szCs w:val="20"/>
        </w:rPr>
        <w:t xml:space="preserve"> </w:t>
      </w:r>
      <w:r w:rsidR="007356CA">
        <w:rPr>
          <w:iCs/>
          <w:sz w:val="20"/>
          <w:szCs w:val="20"/>
          <w:lang w:val="vi-VN"/>
        </w:rPr>
        <w:t>Fintech</w:t>
      </w:r>
      <w:r w:rsidR="00ED38AF" w:rsidRPr="00ED38AF">
        <w:rPr>
          <w:iCs/>
          <w:sz w:val="20"/>
          <w:szCs w:val="20"/>
          <w:lang w:val="vi-VN"/>
        </w:rPr>
        <w:t xml:space="preserve"> adoption; commercial banks; bank-specific determinants; governance; systematic review</w:t>
      </w:r>
    </w:p>
    <w:p w14:paraId="7F139AC0" w14:textId="77777777" w:rsidR="004F52DB" w:rsidRDefault="004F52DB" w:rsidP="004F52DB">
      <w:pPr>
        <w:tabs>
          <w:tab w:val="left" w:pos="360"/>
          <w:tab w:val="right" w:pos="9072"/>
        </w:tabs>
        <w:jc w:val="both"/>
        <w:rPr>
          <w:sz w:val="20"/>
          <w:szCs w:val="20"/>
          <w:lang w:val="en-US"/>
        </w:rPr>
      </w:pPr>
    </w:p>
    <w:p w14:paraId="50840B0A" w14:textId="77777777" w:rsidR="004F52DB" w:rsidRDefault="004F52DB" w:rsidP="004F52DB">
      <w:pPr>
        <w:tabs>
          <w:tab w:val="left" w:pos="360"/>
          <w:tab w:val="right" w:pos="9072"/>
        </w:tabs>
        <w:jc w:val="both"/>
        <w:rPr>
          <w:sz w:val="20"/>
          <w:szCs w:val="20"/>
          <w:lang w:val="en-US"/>
        </w:rPr>
      </w:pPr>
    </w:p>
    <w:p w14:paraId="277667FB" w14:textId="77777777" w:rsidR="004F52DB" w:rsidRPr="0023407E" w:rsidRDefault="004F52DB" w:rsidP="004F52DB">
      <w:pPr>
        <w:tabs>
          <w:tab w:val="left" w:pos="360"/>
          <w:tab w:val="right" w:pos="9072"/>
        </w:tabs>
        <w:jc w:val="both"/>
        <w:rPr>
          <w:sz w:val="20"/>
          <w:szCs w:val="20"/>
          <w:lang w:val="en-US"/>
        </w:rPr>
        <w:sectPr w:rsidR="004F52DB" w:rsidRPr="0023407E" w:rsidSect="004F52DB">
          <w:type w:val="continuous"/>
          <w:pgSz w:w="11909" w:h="16834"/>
          <w:pgMar w:top="1134" w:right="1134" w:bottom="1134" w:left="1418" w:header="720" w:footer="720" w:gutter="0"/>
          <w:pgNumType w:start="1"/>
          <w:cols w:space="720"/>
          <w:titlePg/>
        </w:sectPr>
      </w:pPr>
    </w:p>
    <w:p w14:paraId="047FCE65" w14:textId="77777777" w:rsidR="004F52DB" w:rsidRPr="003C432D" w:rsidRDefault="004F52DB" w:rsidP="004F52DB">
      <w:pPr>
        <w:tabs>
          <w:tab w:val="left" w:pos="567"/>
          <w:tab w:val="right" w:pos="9072"/>
        </w:tabs>
        <w:spacing w:before="120"/>
        <w:jc w:val="both"/>
        <w:rPr>
          <w:sz w:val="22"/>
          <w:szCs w:val="22"/>
        </w:rPr>
      </w:pPr>
      <w:bookmarkStart w:id="2" w:name="_Hlk189751943"/>
      <w:bookmarkStart w:id="3" w:name="_Hlk187937849"/>
      <w:r w:rsidRPr="003C432D">
        <w:rPr>
          <w:b/>
          <w:sz w:val="22"/>
          <w:szCs w:val="22"/>
        </w:rPr>
        <w:t>1. INTRODUCTION</w:t>
      </w:r>
      <w:r w:rsidRPr="003C432D">
        <w:rPr>
          <w:sz w:val="22"/>
          <w:szCs w:val="22"/>
        </w:rPr>
        <w:t xml:space="preserve"> </w:t>
      </w:r>
    </w:p>
    <w:p w14:paraId="357B1D16" w14:textId="607A721C" w:rsidR="004F52DB" w:rsidRPr="004F52DB" w:rsidRDefault="000C3C53" w:rsidP="004F52DB">
      <w:pPr>
        <w:spacing w:before="120"/>
        <w:jc w:val="both"/>
        <w:rPr>
          <w:sz w:val="22"/>
          <w:szCs w:val="22"/>
          <w:lang w:val="en-US"/>
        </w:rPr>
      </w:pPr>
      <w:bookmarkStart w:id="4" w:name="_Hlk189756044"/>
      <w:bookmarkStart w:id="5" w:name="_Hlk189910272"/>
      <w:bookmarkEnd w:id="2"/>
      <w:r w:rsidRPr="000C3C53">
        <w:rPr>
          <w:sz w:val="22"/>
          <w:szCs w:val="22"/>
          <w:lang w:val="en-US"/>
        </w:rPr>
        <w:t>The rapid advancement of financial technology (FinTech) has profoundly transformed the structure and operations of the banking sector worldwide.</w:t>
      </w:r>
      <w:r w:rsidR="00AD2DED">
        <w:rPr>
          <w:sz w:val="22"/>
          <w:szCs w:val="22"/>
          <w:lang w:val="en-US"/>
        </w:rPr>
        <w:fldChar w:fldCharType="begin"/>
      </w:r>
      <w:r w:rsidR="0005669B">
        <w:rPr>
          <w:sz w:val="22"/>
          <w:szCs w:val="22"/>
          <w:lang w:val="en-US"/>
        </w:rPr>
        <w:instrText xml:space="preserve"> ADDIN EN.CITE &lt;EndNote&gt;&lt;Cite&gt;&lt;Author&gt;Gomber&lt;/Author&gt;&lt;Year&gt;2018&lt;/Year&gt;&lt;RecNum&gt;2&lt;/RecNum&gt;&lt;DisplayText&gt;&lt;style face="superscript"&gt;1,2&lt;/style&gt;&lt;/DisplayText&gt;&lt;record&gt;&lt;rec-number&gt;2&lt;/rec-number&gt;&lt;foreign-keys&gt;&lt;key app="EN" db-id="wapx0v0s4rw2r6esw9dpwpd1wwvx05v0920r" timestamp="1755250021"&gt;2&lt;/key&gt;&lt;/foreign-keys&gt;&lt;ref-type name="Journal Article"&gt;17&lt;/ref-type&gt;&lt;contributors&gt;&lt;authors&gt;&lt;author&gt;Gomber, Peter&lt;/author&gt;&lt;author&gt;Kauffman, Robert J&lt;/author&gt;&lt;author&gt;Parker, Chris&lt;/author&gt;&lt;author&gt;Weber, Bruce W&lt;/author&gt;&lt;/authors&gt;&lt;/contributors&gt;&lt;titles&gt;&lt;title&gt;On the fintech revolution: Interpreting the forces of innovation, disruption, and transformation in financial services&lt;/title&gt;&lt;secondary-title&gt;Journal of management information systems&lt;/secondary-title&gt;&lt;/titles&gt;&lt;pages&gt;220-265&lt;/pages&gt;&lt;volume&gt;35&lt;/volume&gt;&lt;number&gt;1&lt;/number&gt;&lt;dates&gt;&lt;year&gt;2018&lt;/year&gt;&lt;/dates&gt;&lt;isbn&gt;0742-1222&lt;/isbn&gt;&lt;urls&gt;&lt;/urls&gt;&lt;/record&gt;&lt;/Cite&gt;&lt;Cite&gt;&lt;Author&gt;Vives&lt;/Author&gt;&lt;Year&gt;2019&lt;/Year&gt;&lt;RecNum&gt;6&lt;/RecNum&gt;&lt;record&gt;&lt;rec-number&gt;6&lt;/rec-number&gt;&lt;foreign-keys&gt;&lt;key app="EN" db-id="wapx0v0s4rw2r6esw9dpwpd1wwvx05v0920r" timestamp="1755484086"&gt;6&lt;/key&gt;&lt;/foreign-keys&gt;&lt;ref-type name="Journal Article"&gt;17&lt;/ref-type&gt;&lt;contributors&gt;&lt;authors&gt;&lt;author&gt;Vives, Xavier&lt;/author&gt;&lt;/authors&gt;&lt;/contributors&gt;&lt;titles&gt;&lt;title&gt;Digital disruption in banking&lt;/title&gt;&lt;secondary-title&gt;Annual Review of Financial Economics&lt;/secondary-title&gt;&lt;/titles&gt;&lt;pages&gt;243-272&lt;/pages&gt;&lt;volume&gt;11&lt;/volume&gt;&lt;number&gt;1&lt;/number&gt;&lt;dates&gt;&lt;year&gt;2019&lt;/year&gt;&lt;/dates&gt;&lt;isbn&gt;1941-1367&lt;/isbn&gt;&lt;urls&gt;&lt;/urls&gt;&lt;/record&gt;&lt;/Cite&gt;&lt;/EndNote&gt;</w:instrText>
      </w:r>
      <w:r w:rsidR="00AD2DED">
        <w:rPr>
          <w:sz w:val="22"/>
          <w:szCs w:val="22"/>
          <w:lang w:val="en-US"/>
        </w:rPr>
        <w:fldChar w:fldCharType="separate"/>
      </w:r>
      <w:r w:rsidR="0005669B" w:rsidRPr="0005669B">
        <w:rPr>
          <w:noProof/>
          <w:sz w:val="22"/>
          <w:szCs w:val="22"/>
          <w:vertAlign w:val="superscript"/>
          <w:lang w:val="en-US"/>
        </w:rPr>
        <w:t>1,2</w:t>
      </w:r>
      <w:r w:rsidR="00AD2DED">
        <w:rPr>
          <w:sz w:val="22"/>
          <w:szCs w:val="22"/>
          <w:lang w:val="en-US"/>
        </w:rPr>
        <w:fldChar w:fldCharType="end"/>
      </w:r>
      <w:r w:rsidR="00AD2DED">
        <w:rPr>
          <w:sz w:val="22"/>
          <w:szCs w:val="22"/>
          <w:lang w:val="en-US"/>
        </w:rPr>
        <w:t xml:space="preserve"> </w:t>
      </w:r>
      <w:r w:rsidR="00307F08" w:rsidRPr="00307F08">
        <w:rPr>
          <w:sz w:val="22"/>
          <w:szCs w:val="22"/>
          <w:lang w:val="en-US"/>
        </w:rPr>
        <w:t>Digital innovations such as mobile banking, big data analytics, artificial intelligence, and blockchain have reshaped traditional banking activities, altered customer expectations, and intensified competition within financial markets. In response, banks increasingly adopt FinTech solutions as part of their strategic efforts to enhance operational efficiency, improve service quality, and maintain competitiveness in a rapidly digitalizing environment.</w:t>
      </w:r>
    </w:p>
    <w:p w14:paraId="57003C90" w14:textId="36D80A80" w:rsidR="004F52DB" w:rsidRPr="004F52DB" w:rsidRDefault="004F52DB" w:rsidP="004F52DB">
      <w:pPr>
        <w:spacing w:before="120"/>
        <w:jc w:val="both"/>
        <w:rPr>
          <w:sz w:val="22"/>
          <w:szCs w:val="22"/>
          <w:lang w:val="en-US"/>
        </w:rPr>
      </w:pPr>
      <w:r w:rsidRPr="004F52DB">
        <w:rPr>
          <w:sz w:val="22"/>
          <w:szCs w:val="22"/>
          <w:lang w:val="en-US"/>
        </w:rPr>
        <w:t xml:space="preserve">Existing studies conducted in developed financial markets suggest that </w:t>
      </w:r>
      <w:r w:rsidR="007356CA">
        <w:rPr>
          <w:sz w:val="22"/>
          <w:szCs w:val="22"/>
          <w:lang w:val="en-US"/>
        </w:rPr>
        <w:t>Fintech</w:t>
      </w:r>
      <w:r w:rsidRPr="004F52DB">
        <w:rPr>
          <w:sz w:val="22"/>
          <w:szCs w:val="22"/>
          <w:lang w:val="en-US"/>
        </w:rPr>
        <w:t xml:space="preserve"> adoption in banking is influenced by a combination of internal organizational factors</w:t>
      </w:r>
      <w:r w:rsidR="00B116FF">
        <w:rPr>
          <w:sz w:val="22"/>
          <w:szCs w:val="22"/>
          <w:lang w:val="en-US"/>
        </w:rPr>
        <w:t xml:space="preserve">, </w:t>
      </w:r>
      <w:r w:rsidRPr="004F52DB">
        <w:rPr>
          <w:sz w:val="22"/>
          <w:szCs w:val="22"/>
          <w:lang w:val="en-US"/>
        </w:rPr>
        <w:t>such as bank size, financial capacity, governance structures, and technological investments</w:t>
      </w:r>
      <w:r w:rsidR="00B116FF">
        <w:rPr>
          <w:sz w:val="22"/>
          <w:szCs w:val="22"/>
          <w:lang w:val="en-US"/>
        </w:rPr>
        <w:t xml:space="preserve">, </w:t>
      </w:r>
      <w:r w:rsidRPr="004F52DB">
        <w:rPr>
          <w:sz w:val="22"/>
          <w:szCs w:val="22"/>
          <w:lang w:val="en-US"/>
        </w:rPr>
        <w:t>and external forces, including regulatory frameworks, competitive pressure, and evolving customer demand for digital services</w:t>
      </w:r>
      <w:r w:rsidR="00AD2DED">
        <w:rPr>
          <w:sz w:val="22"/>
          <w:szCs w:val="22"/>
          <w:lang w:val="en-US"/>
        </w:rPr>
        <w:t>.</w:t>
      </w:r>
      <w:r w:rsidR="00AD2DED">
        <w:rPr>
          <w:sz w:val="22"/>
          <w:szCs w:val="22"/>
          <w:lang w:val="en-US"/>
        </w:rPr>
        <w:fldChar w:fldCharType="begin"/>
      </w:r>
      <w:r w:rsidR="0005669B">
        <w:rPr>
          <w:sz w:val="22"/>
          <w:szCs w:val="22"/>
          <w:lang w:val="en-US"/>
        </w:rPr>
        <w:instrText xml:space="preserve"> ADDIN EN.CITE &lt;EndNote&gt;&lt;Cite&gt;&lt;Author&gt;Gai&lt;/Author&gt;&lt;Year&gt;2018&lt;/Year&gt;&lt;RecNum&gt;3&lt;/RecNum&gt;&lt;DisplayText&gt;&lt;style face="superscript"&gt;3-5&lt;/style&gt;&lt;/DisplayText&gt;&lt;record&gt;&lt;rec-number&gt;3&lt;/rec-number&gt;&lt;foreign-keys&gt;&lt;key app="EN" db-id="wapx0v0s4rw2r6esw9dpwpd1wwvx05v0920r" timestamp="1755250048"&gt;3&lt;/key&gt;&lt;/foreign-keys&gt;&lt;ref-type name="Journal Article"&gt;17&lt;/ref-type&gt;&lt;contributors&gt;&lt;authors&gt;&lt;author&gt;Gai, Keke&lt;/author&gt;&lt;author&gt;Qiu, Meikang&lt;/author&gt;&lt;author&gt;Sun, Xiaotong&lt;/author&gt;&lt;/authors&gt;&lt;/contributors&gt;&lt;titles&gt;&lt;title&gt;A survey on FinTech&lt;/title&gt;&lt;secondary-title&gt;Journal of Network and Computer Applications&lt;/secondary-title&gt;&lt;/titles&gt;&lt;pages&gt;262-273&lt;/pages&gt;&lt;volume&gt;103&lt;/volume&gt;&lt;dates&gt;&lt;year&gt;2018&lt;/year&gt;&lt;/dates&gt;&lt;isbn&gt;1084-8045&lt;/isbn&gt;&lt;urls&gt;&lt;/urls&gt;&lt;/record&gt;&lt;/Cite&gt;&lt;Cite&gt;&lt;Author&gt;Giglio&lt;/Author&gt;&lt;Year&gt;2021&lt;/Year&gt;&lt;RecNum&gt;7&lt;/RecNum&gt;&lt;record&gt;&lt;rec-number&gt;7&lt;/rec-number&gt;&lt;foreign-keys&gt;&lt;key app="EN" db-id="wapx0v0s4rw2r6esw9dpwpd1wwvx05v0920r" timestamp="1755484170"&gt;7&lt;/key&gt;&lt;/foreign-keys&gt;&lt;ref-type name="Journal Article"&gt;17&lt;/ref-type&gt;&lt;contributors&gt;&lt;authors&gt;&lt;author&gt;Giglio, Ferdinando&lt;/author&gt;&lt;/authors&gt;&lt;/contributors&gt;&lt;titles&gt;&lt;title&gt;Fintech: A literature review&lt;/title&gt;&lt;secondary-title&gt;European Research Studies Journal&lt;/secondary-title&gt;&lt;/titles&gt;&lt;pages&gt;600-627&lt;/pages&gt;&lt;volume&gt;24&lt;/volume&gt;&lt;number&gt;2B&lt;/number&gt;&lt;dates&gt;&lt;year&gt;2021&lt;/year&gt;&lt;/dates&gt;&lt;urls&gt;&lt;/urls&gt;&lt;/record&gt;&lt;/Cite&gt;&lt;Cite&gt;&lt;Author&gt;Lee&lt;/Author&gt;&lt;Year&gt;2018&lt;/Year&gt;&lt;RecNum&gt;4&lt;/RecNum&gt;&lt;record&gt;&lt;rec-number&gt;4&lt;/rec-number&gt;&lt;foreign-keys&gt;&lt;key app="EN" db-id="wapx0v0s4rw2r6esw9dpwpd1wwvx05v0920r" timestamp="1755250071"&gt;4&lt;/key&gt;&lt;/foreign-keys&gt;&lt;ref-type name="Journal Article"&gt;17&lt;/ref-type&gt;&lt;contributors&gt;&lt;authors&gt;&lt;author&gt;Lee, In&lt;/author&gt;&lt;author&gt;Shin, Yong Jae&lt;/author&gt;&lt;/authors&gt;&lt;/contributors&gt;&lt;titles&gt;&lt;title&gt;Fintech: Ecosystem, business models, investment decisions, and challenges&lt;/title&gt;&lt;secondary-title&gt;Business horizons&lt;/secondary-title&gt;&lt;/titles&gt;&lt;pages&gt;35-46&lt;/pages&gt;&lt;volume&gt;61&lt;/volume&gt;&lt;number&gt;1&lt;/number&gt;&lt;dates&gt;&lt;year&gt;2018&lt;/year&gt;&lt;/dates&gt;&lt;isbn&gt;0007-6813&lt;/isbn&gt;&lt;urls&gt;&lt;/urls&gt;&lt;/record&gt;&lt;/Cite&gt;&lt;/EndNote&gt;</w:instrText>
      </w:r>
      <w:r w:rsidR="00AD2DED">
        <w:rPr>
          <w:sz w:val="22"/>
          <w:szCs w:val="22"/>
          <w:lang w:val="en-US"/>
        </w:rPr>
        <w:fldChar w:fldCharType="separate"/>
      </w:r>
      <w:r w:rsidR="0005669B" w:rsidRPr="0005669B">
        <w:rPr>
          <w:noProof/>
          <w:sz w:val="22"/>
          <w:szCs w:val="22"/>
          <w:vertAlign w:val="superscript"/>
          <w:lang w:val="en-US"/>
        </w:rPr>
        <w:t>3-5</w:t>
      </w:r>
      <w:r w:rsidR="00AD2DED">
        <w:rPr>
          <w:sz w:val="22"/>
          <w:szCs w:val="22"/>
          <w:lang w:val="en-US"/>
        </w:rPr>
        <w:fldChar w:fldCharType="end"/>
      </w:r>
      <w:r w:rsidR="00AD2DED">
        <w:rPr>
          <w:sz w:val="22"/>
          <w:szCs w:val="22"/>
          <w:lang w:val="en-US"/>
        </w:rPr>
        <w:t xml:space="preserve"> </w:t>
      </w:r>
      <w:r w:rsidRPr="004F52DB">
        <w:rPr>
          <w:sz w:val="22"/>
          <w:szCs w:val="22"/>
          <w:lang w:val="en-US"/>
        </w:rPr>
        <w:t xml:space="preserve">While these studies provide valuable insights, much of the literature has approached </w:t>
      </w:r>
      <w:r w:rsidR="007356CA">
        <w:rPr>
          <w:sz w:val="22"/>
          <w:szCs w:val="22"/>
          <w:lang w:val="en-US"/>
        </w:rPr>
        <w:t>Fintech</w:t>
      </w:r>
      <w:r w:rsidRPr="004F52DB">
        <w:rPr>
          <w:sz w:val="22"/>
          <w:szCs w:val="22"/>
          <w:lang w:val="en-US"/>
        </w:rPr>
        <w:t xml:space="preserve"> adoption through general technology adoption lenses or has treated </w:t>
      </w:r>
      <w:r w:rsidR="007356CA">
        <w:rPr>
          <w:sz w:val="22"/>
          <w:szCs w:val="22"/>
          <w:lang w:val="en-US"/>
        </w:rPr>
        <w:t>Fintech</w:t>
      </w:r>
      <w:r w:rsidRPr="004F52DB">
        <w:rPr>
          <w:sz w:val="22"/>
          <w:szCs w:val="22"/>
          <w:lang w:val="en-US"/>
        </w:rPr>
        <w:t xml:space="preserve"> as an exogenous innovation whose effects on bank performance, risk, and stability are subsequently examined.</w:t>
      </w:r>
      <w:r w:rsidR="00AD2DED">
        <w:rPr>
          <w:sz w:val="22"/>
          <w:szCs w:val="22"/>
          <w:lang w:val="en-US"/>
        </w:rPr>
        <w:fldChar w:fldCharType="begin"/>
      </w:r>
      <w:r w:rsidR="0005669B">
        <w:rPr>
          <w:sz w:val="22"/>
          <w:szCs w:val="22"/>
          <w:lang w:val="en-US"/>
        </w:rPr>
        <w:instrText xml:space="preserve"> ADDIN EN.CITE &lt;EndNote&gt;&lt;Cite&gt;&lt;Author&gt;Kayed&lt;/Author&gt;&lt;Year&gt;2025&lt;/Year&gt;&lt;RecNum&gt;13&lt;/RecNum&gt;&lt;DisplayText&gt;&lt;style face="superscript"&gt;6,7&lt;/style&gt;&lt;/DisplayText&gt;&lt;record&gt;&lt;rec-number&gt;13&lt;/rec-number&gt;&lt;foreign-keys&gt;&lt;key app="EN" db-id="wapx0v0s4rw2r6esw9dpwpd1wwvx05v0920r" timestamp="1755486024"&gt;13&lt;/key&gt;&lt;/foreign-keys&gt;&lt;ref-type name="Journal Article"&gt;17&lt;/ref-type&gt;&lt;contributors&gt;&lt;authors&gt;&lt;author&gt;Kayed, Salah&lt;/author&gt;&lt;author&gt;Alta’any, Mohammad&lt;/author&gt;&lt;author&gt;Meqbel, Rasmi&lt;/author&gt;&lt;author&gt;Khatatbeh, Ibrahim N&lt;/author&gt;&lt;author&gt;Mahafzah, Abdalkareem&lt;/author&gt;&lt;/authors&gt;&lt;/contributors&gt;&lt;titles&gt;&lt;title&gt;Bank FinTech and bank performance: evidence from an emerging market&lt;/title&gt;&lt;secondary-title&gt;Journal of Financial Reporting and Accounting&lt;/secondary-title&gt;&lt;/titles&gt;&lt;periodical&gt;&lt;full-title&gt;Journal of Financial Reporting and Accounting&lt;/full-title&gt;&lt;/periodical&gt;&lt;pages&gt;518-535&lt;/pages&gt;&lt;volume&gt;23&lt;/volume&gt;&lt;number&gt;2&lt;/number&gt;&lt;dates&gt;&lt;year&gt;2025&lt;/year&gt;&lt;/dates&gt;&lt;isbn&gt;1985-2517&lt;/isbn&gt;&lt;urls&gt;&lt;/urls&gt;&lt;/record&gt;&lt;/Cite&gt;&lt;Cite&gt;&lt;Author&gt;Nguyen&lt;/Author&gt;&lt;Year&gt;2025&lt;/Year&gt;&lt;RecNum&gt;10&lt;/RecNum&gt;&lt;record&gt;&lt;rec-number&gt;10&lt;/rec-number&gt;&lt;foreign-keys&gt;&lt;key app="EN" db-id="wapx0v0s4rw2r6esw9dpwpd1wwvx05v0920r" timestamp="1755484727"&gt;10&lt;/key&gt;&lt;/foreign-keys&gt;&lt;ref-type name="Journal Article"&gt;17&lt;/ref-type&gt;&lt;contributors&gt;&lt;authors&gt;&lt;author&gt;Nguyen, Trang Thi Thu&lt;/author&gt;&lt;/authors&gt;&lt;/contributors&gt;&lt;titles&gt;&lt;title&gt;The Impact of Fintech on Bank Profitability and Bank Stability in Emerging Country&lt;/title&gt;&lt;secondary-title&gt;Journal of Organizational Behavior Research&lt;/secondary-title&gt;&lt;/titles&gt;&lt;pages&gt;12-19&lt;/pages&gt;&lt;volume&gt;10&lt;/volume&gt;&lt;number&gt;2-2025&lt;/number&gt;&lt;dates&gt;&lt;year&gt;2025&lt;/year&gt;&lt;/dates&gt;&lt;isbn&gt;2528-9705&lt;/isbn&gt;&lt;urls&gt;&lt;/urls&gt;&lt;/record&gt;&lt;/Cite&gt;&lt;/EndNote&gt;</w:instrText>
      </w:r>
      <w:r w:rsidR="00AD2DED">
        <w:rPr>
          <w:sz w:val="22"/>
          <w:szCs w:val="22"/>
          <w:lang w:val="en-US"/>
        </w:rPr>
        <w:fldChar w:fldCharType="separate"/>
      </w:r>
      <w:r w:rsidR="0005669B" w:rsidRPr="0005669B">
        <w:rPr>
          <w:noProof/>
          <w:sz w:val="22"/>
          <w:szCs w:val="22"/>
          <w:vertAlign w:val="superscript"/>
          <w:lang w:val="en-US"/>
        </w:rPr>
        <w:t>6,7</w:t>
      </w:r>
      <w:r w:rsidR="00AD2DED">
        <w:rPr>
          <w:sz w:val="22"/>
          <w:szCs w:val="22"/>
          <w:lang w:val="en-US"/>
        </w:rPr>
        <w:fldChar w:fldCharType="end"/>
      </w:r>
    </w:p>
    <w:p w14:paraId="5494AE7E" w14:textId="28026300" w:rsidR="00A12A18" w:rsidRDefault="004F52DB" w:rsidP="004F52DB">
      <w:pPr>
        <w:spacing w:before="120"/>
        <w:jc w:val="both"/>
        <w:rPr>
          <w:sz w:val="22"/>
          <w:szCs w:val="22"/>
          <w:lang w:val="en-US"/>
        </w:rPr>
      </w:pPr>
      <w:r w:rsidRPr="004F52DB">
        <w:rPr>
          <w:sz w:val="22"/>
          <w:szCs w:val="22"/>
          <w:lang w:val="en-US"/>
        </w:rPr>
        <w:t xml:space="preserve">From a theoretical perspective, several frameworks have been employed to explain technology adoption in organizations. Technology-oriented models, such as the Technology Acceptance Model and related extensions, primarily focus on perceived </w:t>
      </w:r>
      <w:r w:rsidRPr="007356CA">
        <w:rPr>
          <w:sz w:val="22"/>
          <w:szCs w:val="22"/>
          <w:lang w:val="en-US"/>
        </w:rPr>
        <w:t>usefulness and ease of use, offering limited explanatory power for organizational-level adoption decisions in highly regulated industries such as banking</w:t>
      </w:r>
      <w:r w:rsidR="00B06ADB">
        <w:rPr>
          <w:sz w:val="22"/>
          <w:szCs w:val="22"/>
          <w:lang w:val="en-US"/>
        </w:rPr>
        <w:t>.</w:t>
      </w:r>
      <w:r w:rsidR="00B132B7" w:rsidRPr="007356CA">
        <w:rPr>
          <w:sz w:val="22"/>
          <w:szCs w:val="22"/>
          <w:lang w:val="en-US"/>
        </w:rPr>
        <w:fldChar w:fldCharType="begin"/>
      </w:r>
      <w:r w:rsidR="0005669B">
        <w:rPr>
          <w:sz w:val="22"/>
          <w:szCs w:val="22"/>
          <w:lang w:val="en-US"/>
        </w:rPr>
        <w:instrText xml:space="preserve"> ADDIN EN.CITE &lt;EndNote&gt;&lt;Cite&gt;&lt;Author&gt;Davis&lt;/Author&gt;&lt;Year&gt;1989&lt;/Year&gt;&lt;RecNum&gt;90&lt;/RecNum&gt;&lt;DisplayText&gt;&lt;style face="superscript"&gt;8,9&lt;/style&gt;&lt;/DisplayText&gt;&lt;record&gt;&lt;rec-number&gt;90&lt;/rec-number&gt;&lt;foreign-keys&gt;&lt;key app="EN" db-id="wapx0v0s4rw2r6esw9dpwpd1wwvx05v0920r" timestamp="1769655166"&gt;90&lt;/key&gt;&lt;/foreign-keys&gt;&lt;ref-type name="Journal Article"&gt;17&lt;/ref-type&gt;&lt;contributors&gt;&lt;authors&gt;&lt;author&gt;Davis, Fred D&lt;/author&gt;&lt;/authors&gt;&lt;/contributors&gt;&lt;titles&gt;&lt;title&gt;Perceived usefulness, perceived ease of use, and user acceptance of information technology&lt;/title&gt;&lt;secondary-title&gt;MIS quarterly&lt;/secondary-title&gt;&lt;/titles&gt;&lt;periodical&gt;&lt;full-title&gt;MIS quarterly&lt;/full-title&gt;&lt;/periodical&gt;&lt;pages&gt;319-340&lt;/pages&gt;&lt;dates&gt;&lt;year&gt;1989&lt;/year&gt;&lt;/dates&gt;&lt;isbn&gt;0276-7783&lt;/isbn&gt;&lt;urls&gt;&lt;/urls&gt;&lt;/record&gt;&lt;/Cite&gt;&lt;Cite&gt;&lt;Author&gt;Venkatesh&lt;/Author&gt;&lt;Year&gt;2003&lt;/Year&gt;&lt;RecNum&gt;91&lt;/RecNum&gt;&lt;record&gt;&lt;rec-number&gt;91&lt;/rec-number&gt;&lt;foreign-keys&gt;&lt;key app="EN" db-id="wapx0v0s4rw2r6esw9dpwpd1wwvx05v0920r" timestamp="1769656264"&gt;91&lt;/key&gt;&lt;/foreign-keys&gt;&lt;ref-type name="Journal Article"&gt;17&lt;/ref-type&gt;&lt;contributors&gt;&lt;authors&gt;&lt;author&gt;Venkatesh, Viswanath&lt;/author&gt;&lt;author&gt;Morris, Michael G&lt;/author&gt;&lt;author&gt;Davis, Gordon B&lt;/author&gt;&lt;author&gt;Davis, Fred D&lt;/author&gt;&lt;/authors&gt;&lt;/contributors&gt;&lt;titles&gt;&lt;title&gt;User acceptance of information technology: Toward a unified view&lt;/title&gt;&lt;secondary-title&gt;MIS quarterly&lt;/secondary-title&gt;&lt;/titles&gt;&lt;periodical&gt;&lt;full-title&gt;MIS quarterly&lt;/full-title&gt;&lt;/periodical&gt;&lt;pages&gt;425-478&lt;/pages&gt;&lt;dates&gt;&lt;year&gt;2003&lt;/year&gt;&lt;/dates&gt;&lt;isbn&gt;0276-7783&lt;/isbn&gt;&lt;urls&gt;&lt;/urls&gt;&lt;/record&gt;&lt;/Cite&gt;&lt;/EndNote&gt;</w:instrText>
      </w:r>
      <w:r w:rsidR="00B132B7" w:rsidRPr="007356CA">
        <w:rPr>
          <w:sz w:val="22"/>
          <w:szCs w:val="22"/>
          <w:lang w:val="en-US"/>
        </w:rPr>
        <w:fldChar w:fldCharType="separate"/>
      </w:r>
      <w:r w:rsidR="0005669B" w:rsidRPr="0005669B">
        <w:rPr>
          <w:noProof/>
          <w:sz w:val="22"/>
          <w:szCs w:val="22"/>
          <w:vertAlign w:val="superscript"/>
          <w:lang w:val="en-US"/>
        </w:rPr>
        <w:t>8,9</w:t>
      </w:r>
      <w:r w:rsidR="00B132B7" w:rsidRPr="007356CA">
        <w:rPr>
          <w:sz w:val="22"/>
          <w:szCs w:val="22"/>
          <w:lang w:val="en-US"/>
        </w:rPr>
        <w:fldChar w:fldCharType="end"/>
      </w:r>
    </w:p>
    <w:p w14:paraId="378CB261" w14:textId="39C071D6" w:rsidR="00A12A18" w:rsidRDefault="004F52DB" w:rsidP="004F52DB">
      <w:pPr>
        <w:spacing w:before="120"/>
        <w:jc w:val="both"/>
        <w:rPr>
          <w:sz w:val="22"/>
          <w:szCs w:val="22"/>
          <w:lang w:val="en-US"/>
        </w:rPr>
      </w:pPr>
      <w:r w:rsidRPr="004F52DB">
        <w:rPr>
          <w:sz w:val="22"/>
          <w:szCs w:val="22"/>
          <w:lang w:val="en-US"/>
        </w:rPr>
        <w:t>The</w:t>
      </w:r>
      <w:r w:rsidR="00A12A18">
        <w:rPr>
          <w:sz w:val="22"/>
          <w:szCs w:val="22"/>
          <w:lang w:val="en-US"/>
        </w:rPr>
        <w:t xml:space="preserve"> </w:t>
      </w:r>
      <w:r w:rsidRPr="004F52DB">
        <w:rPr>
          <w:sz w:val="22"/>
          <w:szCs w:val="22"/>
          <w:lang w:val="en-US"/>
        </w:rPr>
        <w:t>Technology</w:t>
      </w:r>
      <w:r w:rsidR="00573A3A">
        <w:rPr>
          <w:sz w:val="22"/>
          <w:szCs w:val="22"/>
          <w:lang w:val="en-US"/>
        </w:rPr>
        <w:t>-</w:t>
      </w:r>
      <w:r w:rsidRPr="004F52DB">
        <w:rPr>
          <w:sz w:val="22"/>
          <w:szCs w:val="22"/>
          <w:lang w:val="en-US"/>
        </w:rPr>
        <w:t>Organization</w:t>
      </w:r>
      <w:r w:rsidR="00573A3A">
        <w:rPr>
          <w:sz w:val="22"/>
          <w:szCs w:val="22"/>
          <w:lang w:val="en-US"/>
        </w:rPr>
        <w:t>-</w:t>
      </w:r>
      <w:r w:rsidRPr="004F52DB">
        <w:rPr>
          <w:sz w:val="22"/>
          <w:szCs w:val="22"/>
          <w:lang w:val="en-US"/>
        </w:rPr>
        <w:t>Environment</w:t>
      </w:r>
      <w:r w:rsidR="001F3912">
        <w:rPr>
          <w:sz w:val="22"/>
          <w:szCs w:val="22"/>
          <w:lang w:val="en-US"/>
        </w:rPr>
        <w:t xml:space="preserve"> (TOE)</w:t>
      </w:r>
      <w:r w:rsidRPr="004F52DB">
        <w:rPr>
          <w:sz w:val="22"/>
          <w:szCs w:val="22"/>
          <w:lang w:val="en-US"/>
        </w:rPr>
        <w:t xml:space="preserve"> framework broadens the analytical scope by incorporating organizational and environmental contexts</w:t>
      </w:r>
      <w:r w:rsidR="00B06ADB">
        <w:rPr>
          <w:sz w:val="22"/>
          <w:szCs w:val="22"/>
          <w:lang w:val="en-US"/>
        </w:rPr>
        <w:t>;</w:t>
      </w:r>
      <w:r w:rsidR="00D179C9">
        <w:rPr>
          <w:sz w:val="22"/>
          <w:szCs w:val="22"/>
          <w:lang w:val="en-US"/>
        </w:rPr>
        <w:fldChar w:fldCharType="begin"/>
      </w:r>
      <w:r w:rsidR="0005669B">
        <w:rPr>
          <w:sz w:val="22"/>
          <w:szCs w:val="22"/>
          <w:lang w:val="en-US"/>
        </w:rPr>
        <w:instrText xml:space="preserve"> ADDIN EN.CITE &lt;EndNote&gt;&lt;Cite&gt;&lt;Author&gt;Zhu&lt;/Author&gt;&lt;Year&gt;2006&lt;/Year&gt;&lt;RecNum&gt;92&lt;/RecNum&gt;&lt;DisplayText&gt;&lt;style face="superscript"&gt;10&lt;/style&gt;&lt;/DisplayText&gt;&lt;record&gt;&lt;rec-number&gt;92&lt;/rec-number&gt;&lt;foreign-keys&gt;&lt;key app="EN" db-id="wapx0v0s4rw2r6esw9dpwpd1wwvx05v0920r" timestamp="1769656511"&gt;92&lt;/key&gt;&lt;/foreign-keys&gt;&lt;ref-type name="Journal Article"&gt;17&lt;/ref-type&gt;&lt;contributors&gt;&lt;authors&gt;&lt;author&gt;Zhu, Kevin&lt;/author&gt;&lt;author&gt;Kraemer, Kenneth L&lt;/author&gt;&lt;author&gt;Xu, Sean&lt;/author&gt;&lt;/authors&gt;&lt;/contributors&gt;&lt;titles&gt;&lt;title&gt;The process of innovation assimilation by firms in different countries: a technology diffusion perspective on e-business&lt;/title&gt;&lt;secondary-title&gt;Management science&lt;/secondary-title&gt;&lt;/titles&gt;&lt;periodical&gt;&lt;full-title&gt;Management science&lt;/full-title&gt;&lt;/periodical&gt;&lt;pages&gt;1557-1576&lt;/pages&gt;&lt;volume&gt;52&lt;/volume&gt;&lt;number&gt;10&lt;/number&gt;&lt;dates&gt;&lt;year&gt;2006&lt;/year&gt;&lt;/dates&gt;&lt;isbn&gt;0025-1909&lt;/isbn&gt;&lt;urls&gt;&lt;/urls&gt;&lt;/record&gt;&lt;/Cite&gt;&lt;/EndNote&gt;</w:instrText>
      </w:r>
      <w:r w:rsidR="00D179C9">
        <w:rPr>
          <w:sz w:val="22"/>
          <w:szCs w:val="22"/>
          <w:lang w:val="en-US"/>
        </w:rPr>
        <w:fldChar w:fldCharType="separate"/>
      </w:r>
      <w:r w:rsidR="0005669B" w:rsidRPr="0005669B">
        <w:rPr>
          <w:noProof/>
          <w:sz w:val="22"/>
          <w:szCs w:val="22"/>
          <w:vertAlign w:val="superscript"/>
          <w:lang w:val="en-US"/>
        </w:rPr>
        <w:t>10</w:t>
      </w:r>
      <w:r w:rsidR="00D179C9">
        <w:rPr>
          <w:sz w:val="22"/>
          <w:szCs w:val="22"/>
          <w:lang w:val="en-US"/>
        </w:rPr>
        <w:fldChar w:fldCharType="end"/>
      </w:r>
      <w:r w:rsidRPr="004F52DB">
        <w:rPr>
          <w:sz w:val="22"/>
          <w:szCs w:val="22"/>
          <w:lang w:val="en-US"/>
        </w:rPr>
        <w:t xml:space="preserve"> however, it often falls short in explaining why banks operating under similar regulatory and competitive conditions exhibit markedly different levels of </w:t>
      </w:r>
      <w:r w:rsidR="007356CA">
        <w:rPr>
          <w:sz w:val="22"/>
          <w:szCs w:val="22"/>
          <w:lang w:val="en-US"/>
        </w:rPr>
        <w:t>Fintech</w:t>
      </w:r>
      <w:r w:rsidRPr="004F52DB">
        <w:rPr>
          <w:sz w:val="22"/>
          <w:szCs w:val="22"/>
          <w:lang w:val="en-US"/>
        </w:rPr>
        <w:t xml:space="preserve"> adoption</w:t>
      </w:r>
      <w:r w:rsidR="00B06ADB">
        <w:rPr>
          <w:sz w:val="22"/>
          <w:szCs w:val="22"/>
          <w:lang w:val="en-US"/>
        </w:rPr>
        <w:t>.</w:t>
      </w:r>
      <w:r w:rsidR="00E74C2B">
        <w:rPr>
          <w:sz w:val="22"/>
          <w:szCs w:val="22"/>
          <w:lang w:val="en-US"/>
        </w:rPr>
        <w:fldChar w:fldCharType="begin"/>
      </w:r>
      <w:r w:rsidR="0005669B">
        <w:rPr>
          <w:sz w:val="22"/>
          <w:szCs w:val="22"/>
          <w:lang w:val="en-US"/>
        </w:rPr>
        <w:instrText xml:space="preserve"> ADDIN EN.CITE &lt;EndNote&gt;&lt;Cite&gt;&lt;Author&gt;Peteraf&lt;/Author&gt;&lt;Year&gt;2003&lt;/Year&gt;&lt;RecNum&gt;94&lt;/RecNum&gt;&lt;DisplayText&gt;&lt;style face="superscript"&gt;11,12&lt;/style&gt;&lt;/DisplayText&gt;&lt;record&gt;&lt;rec-number&gt;94&lt;/rec-number&gt;&lt;foreign-keys&gt;&lt;key app="EN" db-id="wapx0v0s4rw2r6esw9dpwpd1wwvx05v0920r" timestamp="1769656597"&gt;94&lt;/key&gt;&lt;/foreign-keys&gt;&lt;ref-type name="Journal Article"&gt;17&lt;/ref-type&gt;&lt;contributors&gt;&lt;authors&gt;&lt;author&gt;Peteraf, Margaret A&lt;/author&gt;&lt;author&gt;Barney, Jay B&lt;/author&gt;&lt;/authors&gt;&lt;/contributors&gt;&lt;titles&gt;&lt;title&gt;Unraveling the resource‐based tangle&lt;/title&gt;&lt;secondary-title&gt;Managerial and decision economics&lt;/secondary-title&gt;&lt;/titles&gt;&lt;periodical&gt;&lt;full-title&gt;Managerial and decision economics&lt;/full-title&gt;&lt;/periodical&gt;&lt;pages&gt;309-323&lt;/pages&gt;&lt;volume&gt;24&lt;/volume&gt;&lt;number&gt;4&lt;/number&gt;&lt;dates&gt;&lt;year&gt;2003&lt;/year&gt;&lt;/dates&gt;&lt;isbn&gt;0143-6570&lt;/isbn&gt;&lt;urls&gt;&lt;/urls&gt;&lt;/record&gt;&lt;/Cite&gt;&lt;Cite&gt;&lt;Author&gt;Volberda&lt;/Author&gt;&lt;Year&gt;2011&lt;/Year&gt;&lt;RecNum&gt;93&lt;/RecNum&gt;&lt;record&gt;&lt;rec-number&gt;93&lt;/rec-number&gt;&lt;foreign-keys&gt;&lt;key app="EN" db-id="wapx0v0s4rw2r6esw9dpwpd1wwvx05v0920r" timestamp="1769656588"&gt;93&lt;/key&gt;&lt;/foreign-keys&gt;&lt;ref-type name="Book"&gt;6&lt;/ref-type&gt;&lt;contributors&gt;&lt;authors&gt;&lt;author&gt;Volberda, Henk W&lt;/author&gt;&lt;author&gt;Morgan, Robert E&lt;/author&gt;&lt;author&gt;Reinmoeller, Patrick&lt;/author&gt;&lt;author&gt;Hitt, Michael A&lt;/author&gt;&lt;author&gt;Ireland, R Duane&lt;/author&gt;&lt;author&gt;Hoskisson, Robert E&lt;/author&gt;&lt;/authors&gt;&lt;/contributors&gt;&lt;titles&gt;&lt;title&gt;Strategic management: Competitiveness and globalization (concepts and cases)&lt;/title&gt;&lt;/titles&gt;&lt;dates&gt;&lt;year&gt;2011&lt;/year&gt;&lt;/dates&gt;&lt;publisher&gt;Cengage Learning&lt;/publisher&gt;&lt;isbn&gt;1408019183&lt;/isbn&gt;&lt;urls&gt;&lt;/urls&gt;&lt;/record&gt;&lt;/Cite&gt;&lt;/EndNote&gt;</w:instrText>
      </w:r>
      <w:r w:rsidR="00E74C2B">
        <w:rPr>
          <w:sz w:val="22"/>
          <w:szCs w:val="22"/>
          <w:lang w:val="en-US"/>
        </w:rPr>
        <w:fldChar w:fldCharType="separate"/>
      </w:r>
      <w:r w:rsidR="0005669B" w:rsidRPr="0005669B">
        <w:rPr>
          <w:noProof/>
          <w:sz w:val="22"/>
          <w:szCs w:val="22"/>
          <w:vertAlign w:val="superscript"/>
          <w:lang w:val="en-US"/>
        </w:rPr>
        <w:t>11,12</w:t>
      </w:r>
      <w:r w:rsidR="00E74C2B">
        <w:rPr>
          <w:sz w:val="22"/>
          <w:szCs w:val="22"/>
          <w:lang w:val="en-US"/>
        </w:rPr>
        <w:fldChar w:fldCharType="end"/>
      </w:r>
      <w:r w:rsidRPr="004F52DB">
        <w:rPr>
          <w:sz w:val="22"/>
          <w:szCs w:val="22"/>
          <w:lang w:val="en-US"/>
        </w:rPr>
        <w:t xml:space="preserve"> </w:t>
      </w:r>
    </w:p>
    <w:p w14:paraId="4BF95A42" w14:textId="04B25C70" w:rsidR="00885854" w:rsidRDefault="00885854" w:rsidP="004F52DB">
      <w:pPr>
        <w:spacing w:before="120"/>
        <w:jc w:val="both"/>
        <w:rPr>
          <w:sz w:val="22"/>
          <w:szCs w:val="22"/>
          <w:lang w:val="en-US"/>
        </w:rPr>
      </w:pPr>
      <w:r w:rsidRPr="00885854">
        <w:rPr>
          <w:sz w:val="22"/>
          <w:szCs w:val="22"/>
        </w:rPr>
        <w:t>This limitation has prompted scholars to draw on the resource-based view (RBV) and the dynamic capabilities perspective, which highlight the role of firm-specific resources and the ability to reconfigure those resources in response to environmental change</w:t>
      </w:r>
      <w:r>
        <w:rPr>
          <w:sz w:val="22"/>
          <w:szCs w:val="22"/>
          <w:lang w:val="en-US"/>
        </w:rPr>
        <w:t>.</w:t>
      </w:r>
      <w:r>
        <w:rPr>
          <w:sz w:val="22"/>
          <w:szCs w:val="22"/>
          <w:lang w:val="en-US"/>
        </w:rPr>
        <w:fldChar w:fldCharType="begin"/>
      </w:r>
      <w:r w:rsidR="0005669B">
        <w:rPr>
          <w:sz w:val="22"/>
          <w:szCs w:val="22"/>
          <w:lang w:val="en-US"/>
        </w:rPr>
        <w:instrText xml:space="preserve"> ADDIN EN.CITE &lt;EndNote&gt;&lt;Cite&gt;&lt;Author&gt;Barney&lt;/Author&gt;&lt;Year&gt;1991&lt;/Year&gt;&lt;RecNum&gt;16&lt;/RecNum&gt;&lt;DisplayText&gt;&lt;style face="superscript"&gt;13,14&lt;/style&gt;&lt;/DisplayText&gt;&lt;record&gt;&lt;rec-number&gt;16&lt;/rec-number&gt;&lt;foreign-keys&gt;&lt;key app="EN" db-id="wapx0v0s4rw2r6esw9dpwpd1wwvx05v0920r" timestamp="1755489946"&gt;16&lt;/key&gt;&lt;/foreign-keys&gt;&lt;ref-type name="Journal Article"&gt;17&lt;/ref-type&gt;&lt;contributors&gt;&lt;authors&gt;&lt;author&gt;Barney, Jay&lt;/author&gt;&lt;/authors&gt;&lt;/contributors&gt;&lt;titles&gt;&lt;title&gt;Firm resources and sustained competitive advantage&lt;/title&gt;&lt;secondary-title&gt;Journal of management&lt;/secondary-title&gt;&lt;/titles&gt;&lt;pages&gt;99-120&lt;/pages&gt;&lt;volume&gt;17&lt;/volume&gt;&lt;number&gt;1&lt;/number&gt;&lt;dates&gt;&lt;year&gt;1991&lt;/year&gt;&lt;/dates&gt;&lt;isbn&gt;0149-2063&lt;/isbn&gt;&lt;urls&gt;&lt;/urls&gt;&lt;/record&gt;&lt;/Cite&gt;&lt;Cite&gt;&lt;Author&gt;Teece&lt;/Author&gt;&lt;Year&gt;1997&lt;/Year&gt;&lt;RecNum&gt;19&lt;/RecNum&gt;&lt;record&gt;&lt;rec-number&gt;19&lt;/rec-number&gt;&lt;foreign-keys&gt;&lt;key app="EN" db-id="wapx0v0s4rw2r6esw9dpwpd1wwvx05v0920r" timestamp="1755490116"&gt;19&lt;/key&gt;&lt;/foreign-keys&gt;&lt;ref-type name="Journal Article"&gt;17&lt;/ref-type&gt;&lt;contributors&gt;&lt;authors&gt;&lt;author&gt;Teece, David J&lt;/author&gt;&lt;author&gt;Pisano, Gary&lt;/author&gt;&lt;author&gt;Shuen, Amy&lt;/author&gt;&lt;/authors&gt;&lt;/contributors&gt;&lt;titles&gt;&lt;title&gt;Dynamic capabilities and strategic management&lt;/title&gt;&lt;secondary-title&gt;Strategic management journal&lt;/secondary-title&gt;&lt;/titles&gt;&lt;pages&gt;509-533&lt;/pages&gt;&lt;volume&gt;18&lt;/volume&gt;&lt;number&gt;7&lt;/number&gt;&lt;dates&gt;&lt;year&gt;1997&lt;/year&gt;&lt;/dates&gt;&lt;isbn&gt;0143-2095&lt;/isbn&gt;&lt;urls&gt;&lt;/urls&gt;&lt;/record&gt;&lt;/Cite&gt;&lt;/EndNote&gt;</w:instrText>
      </w:r>
      <w:r>
        <w:rPr>
          <w:sz w:val="22"/>
          <w:szCs w:val="22"/>
          <w:lang w:val="en-US"/>
        </w:rPr>
        <w:fldChar w:fldCharType="separate"/>
      </w:r>
      <w:r w:rsidR="0005669B" w:rsidRPr="0005669B">
        <w:rPr>
          <w:noProof/>
          <w:sz w:val="22"/>
          <w:szCs w:val="22"/>
          <w:vertAlign w:val="superscript"/>
          <w:lang w:val="en-US"/>
        </w:rPr>
        <w:t>13,14</w:t>
      </w:r>
      <w:r>
        <w:rPr>
          <w:sz w:val="22"/>
          <w:szCs w:val="22"/>
          <w:lang w:val="en-US"/>
        </w:rPr>
        <w:fldChar w:fldCharType="end"/>
      </w:r>
    </w:p>
    <w:p w14:paraId="33FC9A8E" w14:textId="64C96F91" w:rsidR="00E4250E" w:rsidRPr="00E4250E" w:rsidRDefault="00885854" w:rsidP="00E4250E">
      <w:pPr>
        <w:spacing w:before="120"/>
        <w:jc w:val="both"/>
        <w:rPr>
          <w:sz w:val="22"/>
          <w:szCs w:val="22"/>
          <w:lang w:val="en-US"/>
        </w:rPr>
      </w:pPr>
      <w:r w:rsidRPr="00885854">
        <w:rPr>
          <w:sz w:val="22"/>
          <w:szCs w:val="22"/>
          <w:lang w:val="en-US"/>
        </w:rPr>
        <w:t>Within the banking context, RBV suggests that internal resources</w:t>
      </w:r>
      <w:r w:rsidR="00096199">
        <w:rPr>
          <w:sz w:val="22"/>
          <w:szCs w:val="22"/>
          <w:lang w:val="en-US"/>
        </w:rPr>
        <w:t xml:space="preserve">, </w:t>
      </w:r>
      <w:r w:rsidRPr="00885854">
        <w:rPr>
          <w:sz w:val="22"/>
          <w:szCs w:val="22"/>
          <w:lang w:val="en-US"/>
        </w:rPr>
        <w:t>such as asset size, capital adequacy, and financial performance</w:t>
      </w:r>
      <w:r w:rsidR="00096199">
        <w:rPr>
          <w:sz w:val="22"/>
          <w:szCs w:val="22"/>
          <w:lang w:val="en-US"/>
        </w:rPr>
        <w:t xml:space="preserve">, </w:t>
      </w:r>
      <w:r w:rsidRPr="00885854">
        <w:rPr>
          <w:sz w:val="22"/>
          <w:szCs w:val="22"/>
          <w:lang w:val="en-US"/>
        </w:rPr>
        <w:t xml:space="preserve">shape banks’ capacity to invest in digital infrastructure and </w:t>
      </w:r>
      <w:r w:rsidR="007356CA">
        <w:rPr>
          <w:sz w:val="22"/>
          <w:szCs w:val="22"/>
          <w:lang w:val="en-US"/>
        </w:rPr>
        <w:t>Fintech</w:t>
      </w:r>
      <w:r w:rsidRPr="00885854">
        <w:rPr>
          <w:sz w:val="22"/>
          <w:szCs w:val="22"/>
          <w:lang w:val="en-US"/>
        </w:rPr>
        <w:t xml:space="preserve">-related innovation. Empirical studies have shown that banks with stronger financial resources are more likely to engage in </w:t>
      </w:r>
      <w:r w:rsidR="007356CA">
        <w:rPr>
          <w:sz w:val="22"/>
          <w:szCs w:val="22"/>
          <w:lang w:val="en-US"/>
        </w:rPr>
        <w:t>Fintech</w:t>
      </w:r>
      <w:r w:rsidRPr="00885854">
        <w:rPr>
          <w:sz w:val="22"/>
          <w:szCs w:val="22"/>
          <w:lang w:val="en-US"/>
        </w:rPr>
        <w:t xml:space="preserve"> adoption and digital innovation initiatives</w:t>
      </w:r>
      <w:r w:rsidR="00B06ADB">
        <w:rPr>
          <w:sz w:val="22"/>
          <w:szCs w:val="22"/>
          <w:lang w:val="en-US"/>
        </w:rPr>
        <w:t>.</w:t>
      </w:r>
      <w:r w:rsidR="00E4250E">
        <w:rPr>
          <w:sz w:val="22"/>
          <w:szCs w:val="22"/>
          <w:lang w:val="en-US"/>
        </w:rPr>
        <w:fldChar w:fldCharType="begin"/>
      </w:r>
      <w:r w:rsidR="0005669B">
        <w:rPr>
          <w:sz w:val="22"/>
          <w:szCs w:val="22"/>
          <w:lang w:val="en-US"/>
        </w:rPr>
        <w:instrText xml:space="preserve"> ADDIN EN.CITE &lt;EndNote&gt;&lt;Cite&gt;&lt;Author&gt;Li&lt;/Author&gt;&lt;Year&gt;2017&lt;/Year&gt;&lt;RecNum&gt;18&lt;/RecNum&gt;&lt;DisplayText&gt;&lt;style face="superscript"&gt;15&lt;/style&gt;&lt;/DisplayText&gt;&lt;record&gt;&lt;rec-number&gt;18&lt;/rec-number&gt;&lt;foreign-keys&gt;&lt;key app="EN" db-id="wapx0v0s4rw2r6esw9dpwpd1wwvx05v0920r" timestamp="1755490058"&gt;18&lt;/key&gt;&lt;/foreign-keys&gt;&lt;ref-type name="Journal Article"&gt;17&lt;/ref-type&gt;&lt;contributors&gt;&lt;authors&gt;&lt;author&gt;Li, Yinqiao&lt;/author&gt;&lt;author&gt;Spigt, Renée&lt;/author&gt;&lt;author&gt;Swinkels, Laurens&lt;/author&gt;&lt;/authors&gt;&lt;/contributors&gt;&lt;titles&gt;&lt;title&gt;The impact of FinTech start-ups on incumbent retail banks’ share prices&lt;/title&gt;&lt;secondary-title&gt;Financial Innovation&lt;/secondary-title&gt;&lt;/titles&gt;&lt;pages&gt;26&lt;/pages&gt;&lt;volume&gt;3&lt;/volume&gt;&lt;number&gt;1&lt;/number&gt;&lt;dates&gt;&lt;year&gt;2017&lt;/year&gt;&lt;/dates&gt;&lt;isbn&gt;2199-4730&lt;/isbn&gt;&lt;urls&gt;&lt;/urls&gt;&lt;/record&gt;&lt;/Cite&gt;&lt;/EndNote&gt;</w:instrText>
      </w:r>
      <w:r w:rsidR="00E4250E">
        <w:rPr>
          <w:sz w:val="22"/>
          <w:szCs w:val="22"/>
          <w:lang w:val="en-US"/>
        </w:rPr>
        <w:fldChar w:fldCharType="separate"/>
      </w:r>
      <w:r w:rsidR="0005669B" w:rsidRPr="0005669B">
        <w:rPr>
          <w:noProof/>
          <w:sz w:val="22"/>
          <w:szCs w:val="22"/>
          <w:vertAlign w:val="superscript"/>
          <w:lang w:val="en-US"/>
        </w:rPr>
        <w:t>15</w:t>
      </w:r>
      <w:r w:rsidR="00E4250E">
        <w:rPr>
          <w:sz w:val="22"/>
          <w:szCs w:val="22"/>
          <w:lang w:val="en-US"/>
        </w:rPr>
        <w:fldChar w:fldCharType="end"/>
      </w:r>
      <w:r w:rsidR="00E4250E">
        <w:rPr>
          <w:sz w:val="22"/>
          <w:szCs w:val="22"/>
          <w:lang w:val="en-US"/>
        </w:rPr>
        <w:t xml:space="preserve"> </w:t>
      </w:r>
      <w:r w:rsidR="00E4250E" w:rsidRPr="00E4250E">
        <w:rPr>
          <w:sz w:val="22"/>
          <w:szCs w:val="22"/>
          <w:lang w:val="en-US"/>
        </w:rPr>
        <w:t xml:space="preserve">Complementing this view, the dynamic capabilities framework emphasizes that successful </w:t>
      </w:r>
      <w:r w:rsidR="007356CA">
        <w:rPr>
          <w:sz w:val="22"/>
          <w:szCs w:val="22"/>
          <w:lang w:val="en-US"/>
        </w:rPr>
        <w:t>Fintech</w:t>
      </w:r>
      <w:r w:rsidR="00E4250E" w:rsidRPr="00E4250E">
        <w:rPr>
          <w:sz w:val="22"/>
          <w:szCs w:val="22"/>
          <w:lang w:val="en-US"/>
        </w:rPr>
        <w:t xml:space="preserve"> adoption requires banks to continuously sense technological opportunities, seize them through strategic investment, and transform existing organizational structures and processes accordingly.</w:t>
      </w:r>
      <w:r w:rsidR="00E4250E">
        <w:rPr>
          <w:sz w:val="22"/>
          <w:szCs w:val="22"/>
          <w:lang w:val="en-US"/>
        </w:rPr>
        <w:fldChar w:fldCharType="begin"/>
      </w:r>
      <w:r w:rsidR="0005669B">
        <w:rPr>
          <w:sz w:val="22"/>
          <w:szCs w:val="22"/>
          <w:lang w:val="en-US"/>
        </w:rPr>
        <w:instrText xml:space="preserve"> ADDIN EN.CITE &lt;EndNote&gt;&lt;Cite&gt;&lt;Author&gt;Warner&lt;/Author&gt;&lt;Year&gt;2019&lt;/Year&gt;&lt;RecNum&gt;20&lt;/RecNum&gt;&lt;DisplayText&gt;&lt;style face="superscript"&gt;16&lt;/style&gt;&lt;/DisplayText&gt;&lt;record&gt;&lt;rec-number&gt;20&lt;/rec-number&gt;&lt;foreign-keys&gt;&lt;key app="EN" db-id="wapx0v0s4rw2r6esw9dpwpd1wwvx05v0920r" timestamp="1755490175"&gt;20&lt;/key&gt;&lt;/foreign-keys&gt;&lt;ref-type name="Journal Article"&gt;17&lt;/ref-type&gt;&lt;contributors&gt;&lt;authors&gt;&lt;author&gt;Warner, Karl SR&lt;/author&gt;&lt;author&gt;Wäger, Maximilian&lt;/author&gt;&lt;/authors&gt;&lt;/contributors&gt;&lt;titles&gt;&lt;title&gt;Building dynamic capabilities for digital transformation: An ongoing process of strategic renewal&lt;/title&gt;&lt;secondary-title&gt;Long range planning&lt;/secondary-title&gt;&lt;/titles&gt;&lt;pages&gt;326-349&lt;/pages&gt;&lt;volume&gt;52&lt;/volume&gt;&lt;number&gt;3&lt;/number&gt;&lt;dates&gt;&lt;year&gt;2019&lt;/year&gt;&lt;/dates&gt;&lt;isbn&gt;0024-6301&lt;/isbn&gt;&lt;urls&gt;&lt;/urls&gt;&lt;/record&gt;&lt;/Cite&gt;&lt;/EndNote&gt;</w:instrText>
      </w:r>
      <w:r w:rsidR="00E4250E">
        <w:rPr>
          <w:sz w:val="22"/>
          <w:szCs w:val="22"/>
          <w:lang w:val="en-US"/>
        </w:rPr>
        <w:fldChar w:fldCharType="separate"/>
      </w:r>
      <w:r w:rsidR="0005669B" w:rsidRPr="0005669B">
        <w:rPr>
          <w:noProof/>
          <w:sz w:val="22"/>
          <w:szCs w:val="22"/>
          <w:vertAlign w:val="superscript"/>
          <w:lang w:val="en-US"/>
        </w:rPr>
        <w:t>16</w:t>
      </w:r>
      <w:r w:rsidR="00E4250E">
        <w:rPr>
          <w:sz w:val="22"/>
          <w:szCs w:val="22"/>
          <w:lang w:val="en-US"/>
        </w:rPr>
        <w:fldChar w:fldCharType="end"/>
      </w:r>
      <w:r w:rsidR="001E5968">
        <w:rPr>
          <w:sz w:val="22"/>
          <w:szCs w:val="22"/>
          <w:lang w:val="en-US"/>
        </w:rPr>
        <w:t xml:space="preserve"> </w:t>
      </w:r>
      <w:r w:rsidR="00E4250E" w:rsidRPr="00E4250E">
        <w:rPr>
          <w:sz w:val="22"/>
          <w:szCs w:val="22"/>
          <w:lang w:val="en-US"/>
        </w:rPr>
        <w:t xml:space="preserve">These theoretical perspectives collectively underscore that </w:t>
      </w:r>
      <w:r w:rsidR="007356CA">
        <w:rPr>
          <w:sz w:val="22"/>
          <w:szCs w:val="22"/>
          <w:lang w:val="en-US"/>
        </w:rPr>
        <w:t>Fintech</w:t>
      </w:r>
      <w:r w:rsidR="00E4250E" w:rsidRPr="00E4250E">
        <w:rPr>
          <w:sz w:val="22"/>
          <w:szCs w:val="22"/>
          <w:lang w:val="en-US"/>
        </w:rPr>
        <w:t xml:space="preserve"> adoption in banking extends beyond technological readiness and is deeply embedded in organizational capabilities and strategic decision-making.</w:t>
      </w:r>
    </w:p>
    <w:p w14:paraId="049D59BA" w14:textId="629D2A47" w:rsidR="001E5968" w:rsidRDefault="00E4250E" w:rsidP="00E4250E">
      <w:pPr>
        <w:spacing w:before="120"/>
        <w:jc w:val="both"/>
        <w:rPr>
          <w:sz w:val="22"/>
          <w:szCs w:val="22"/>
          <w:lang w:val="en-US"/>
        </w:rPr>
      </w:pPr>
      <w:r w:rsidRPr="00E4250E">
        <w:rPr>
          <w:sz w:val="22"/>
          <w:szCs w:val="22"/>
          <w:lang w:val="en-US"/>
        </w:rPr>
        <w:t xml:space="preserve">Agency theory further suggests that strategic technology investment decisions are influenced by conflicts of interest between managers and shareholders, implying that ownership structure, board independence, and governance arrangements may affect managerial incentives to pursue </w:t>
      </w:r>
      <w:r w:rsidR="007356CA">
        <w:rPr>
          <w:sz w:val="22"/>
          <w:szCs w:val="22"/>
          <w:lang w:val="en-US"/>
        </w:rPr>
        <w:t>Fintech</w:t>
      </w:r>
      <w:r w:rsidRPr="00E4250E">
        <w:rPr>
          <w:sz w:val="22"/>
          <w:szCs w:val="22"/>
          <w:lang w:val="en-US"/>
        </w:rPr>
        <w:t xml:space="preserve"> adoption.</w:t>
      </w:r>
      <w:r w:rsidR="001E5968">
        <w:rPr>
          <w:sz w:val="22"/>
          <w:szCs w:val="22"/>
          <w:lang w:val="en-US"/>
        </w:rPr>
        <w:fldChar w:fldCharType="begin"/>
      </w:r>
      <w:r w:rsidR="0005669B">
        <w:rPr>
          <w:sz w:val="22"/>
          <w:szCs w:val="22"/>
          <w:lang w:val="en-US"/>
        </w:rPr>
        <w:instrText xml:space="preserve"> ADDIN EN.CITE &lt;EndNote&gt;&lt;Cite&gt;&lt;Author&gt;Jensen&lt;/Author&gt;&lt;Year&gt;2019&lt;/Year&gt;&lt;RecNum&gt;21&lt;/RecNum&gt;&lt;DisplayText&gt;&lt;style face="superscript"&gt;17&lt;/style&gt;&lt;/DisplayText&gt;&lt;record&gt;&lt;rec-number&gt;21&lt;/rec-number&gt;&lt;foreign-keys&gt;&lt;key app="EN" db-id="wapx0v0s4rw2r6esw9dpwpd1wwvx05v0920r" timestamp="1755490214"&gt;21&lt;/key&gt;&lt;/foreign-keys&gt;&lt;ref-type name="Book Section"&gt;5&lt;/ref-type&gt;&lt;contributors&gt;&lt;authors&gt;&lt;author&gt;Jensen, Michael C&lt;/author&gt;&lt;author&gt;Meckling, William H&lt;/author&gt;&lt;/authors&gt;&lt;/contributors&gt;&lt;titles&gt;&lt;title&gt;Theory of the firm: Managerial behavior, agency costs and ownership structure&lt;/title&gt;&lt;secondary-title&gt;Corporate governance&lt;/secondary-title&gt;&lt;/titles&gt;&lt;pages&gt;77-132&lt;/pages&gt;&lt;dates&gt;&lt;year&gt;2019&lt;/year&gt;&lt;/dates&gt;&lt;publisher&gt;Gower&lt;/publisher&gt;&lt;urls&gt;&lt;/urls&gt;&lt;/record&gt;&lt;/Cite&gt;&lt;/EndNote&gt;</w:instrText>
      </w:r>
      <w:r w:rsidR="001E5968">
        <w:rPr>
          <w:sz w:val="22"/>
          <w:szCs w:val="22"/>
          <w:lang w:val="en-US"/>
        </w:rPr>
        <w:fldChar w:fldCharType="separate"/>
      </w:r>
      <w:r w:rsidR="0005669B" w:rsidRPr="0005669B">
        <w:rPr>
          <w:noProof/>
          <w:sz w:val="22"/>
          <w:szCs w:val="22"/>
          <w:vertAlign w:val="superscript"/>
          <w:lang w:val="en-US"/>
        </w:rPr>
        <w:t>17</w:t>
      </w:r>
      <w:r w:rsidR="001E5968">
        <w:rPr>
          <w:sz w:val="22"/>
          <w:szCs w:val="22"/>
          <w:lang w:val="en-US"/>
        </w:rPr>
        <w:fldChar w:fldCharType="end"/>
      </w:r>
      <w:r w:rsidRPr="00E4250E">
        <w:rPr>
          <w:sz w:val="22"/>
          <w:szCs w:val="22"/>
          <w:lang w:val="en-US"/>
        </w:rPr>
        <w:t xml:space="preserve"> In addition, institutional theory highlights the role of coercive, mimetic, and normative pressures arising from regulatory frameworks and industry norms, which are particularly salient in the banking sector</w:t>
      </w:r>
      <w:r w:rsidR="001E5968">
        <w:rPr>
          <w:sz w:val="22"/>
          <w:szCs w:val="22"/>
          <w:lang w:val="en-US"/>
        </w:rPr>
        <w:t>.</w:t>
      </w:r>
      <w:r w:rsidR="001E5968">
        <w:rPr>
          <w:sz w:val="22"/>
          <w:szCs w:val="22"/>
          <w:lang w:val="en-US"/>
        </w:rPr>
        <w:fldChar w:fldCharType="begin"/>
      </w:r>
      <w:r w:rsidR="0005669B">
        <w:rPr>
          <w:sz w:val="22"/>
          <w:szCs w:val="22"/>
          <w:lang w:val="en-US"/>
        </w:rPr>
        <w:instrText xml:space="preserve"> ADDIN EN.CITE &lt;EndNote&gt;&lt;Cite&gt;&lt;Author&gt;DiMaggio&lt;/Author&gt;&lt;Year&gt;1983&lt;/Year&gt;&lt;RecNum&gt;22&lt;/RecNum&gt;&lt;DisplayText&gt;&lt;style face="superscript"&gt;18&lt;/style&gt;&lt;/DisplayText&gt;&lt;record&gt;&lt;rec-number&gt;22&lt;/rec-number&gt;&lt;foreign-keys&gt;&lt;key app="EN" db-id="wapx0v0s4rw2r6esw9dpwpd1wwvx05v0920r" timestamp="1755490378"&gt;22&lt;/key&gt;&lt;/foreign-keys&gt;&lt;ref-type name="Journal Article"&gt;17&lt;/ref-type&gt;&lt;contributors&gt;&lt;authors&gt;&lt;author&gt;DiMaggio, Paul J&lt;/author&gt;&lt;author&gt;Powell, Walter W&lt;/author&gt;&lt;/authors&gt;&lt;/contributors&gt;&lt;titles&gt;&lt;title&gt;The iron cage revisited: Institutional isomorphism and collective rationality in organizational fields&lt;/title&gt;&lt;secondary-title&gt;American sociological review&lt;/secondary-title&gt;&lt;/titles&gt;&lt;pages&gt;147-160&lt;/pages&gt;&lt;volume&gt;48&lt;/volume&gt;&lt;number&gt;2&lt;/number&gt;&lt;dates&gt;&lt;year&gt;1983&lt;/year&gt;&lt;/dates&gt;&lt;isbn&gt;0003-1224&lt;/isbn&gt;&lt;urls&gt;&lt;/urls&gt;&lt;/record&gt;&lt;/Cite&gt;&lt;/EndNote&gt;</w:instrText>
      </w:r>
      <w:r w:rsidR="001E5968">
        <w:rPr>
          <w:sz w:val="22"/>
          <w:szCs w:val="22"/>
          <w:lang w:val="en-US"/>
        </w:rPr>
        <w:fldChar w:fldCharType="separate"/>
      </w:r>
      <w:r w:rsidR="0005669B" w:rsidRPr="0005669B">
        <w:rPr>
          <w:noProof/>
          <w:sz w:val="22"/>
          <w:szCs w:val="22"/>
          <w:vertAlign w:val="superscript"/>
          <w:lang w:val="en-US"/>
        </w:rPr>
        <w:t>18</w:t>
      </w:r>
      <w:r w:rsidR="001E5968">
        <w:rPr>
          <w:sz w:val="22"/>
          <w:szCs w:val="22"/>
          <w:lang w:val="en-US"/>
        </w:rPr>
        <w:fldChar w:fldCharType="end"/>
      </w:r>
      <w:r w:rsidRPr="00E4250E">
        <w:rPr>
          <w:sz w:val="22"/>
          <w:szCs w:val="22"/>
          <w:lang w:val="en-US"/>
        </w:rPr>
        <w:t xml:space="preserve"> Regulatory reforms and post-crisis supervisory requirements have increasingly encouraged banks to adopt digital technologies to enhance compliance, transparency, and operational resilience.</w:t>
      </w:r>
      <w:r w:rsidR="001E5968">
        <w:rPr>
          <w:sz w:val="22"/>
          <w:szCs w:val="22"/>
          <w:lang w:val="en-US"/>
        </w:rPr>
        <w:fldChar w:fldCharType="begin"/>
      </w:r>
      <w:r w:rsidR="0005669B">
        <w:rPr>
          <w:sz w:val="22"/>
          <w:szCs w:val="22"/>
          <w:lang w:val="en-US"/>
        </w:rPr>
        <w:instrText xml:space="preserve"> ADDIN EN.CITE &lt;EndNote&gt;&lt;Cite&gt;&lt;Author&gt;Arner&lt;/Author&gt;&lt;Year&gt;2016&lt;/Year&gt;&lt;RecNum&gt;24&lt;/RecNum&gt;&lt;DisplayText&gt;&lt;style face="superscript"&gt;19&lt;/style&gt;&lt;/DisplayText&gt;&lt;record&gt;&lt;rec-number&gt;24&lt;/rec-number&gt;&lt;foreign-keys&gt;&lt;key app="EN" db-id="wapx0v0s4rw2r6esw9dpwpd1wwvx05v0920r" timestamp="1755491335"&gt;24&lt;/key&gt;&lt;/foreign-keys&gt;&lt;ref-type name="Journal Article"&gt;17&lt;/ref-type&gt;&lt;contributors&gt;&lt;authors&gt;&lt;author&gt;Arner, Douglas W&lt;/author&gt;&lt;author&gt;Barberis, Janos&lt;/author&gt;&lt;author&gt;Buckey, Ross P&lt;/author&gt;&lt;/authors&gt;&lt;/contributors&gt;&lt;titles&gt;&lt;title&gt;FinTech, RegTech, and the reconceptualization of financial regulation&lt;/title&gt;&lt;secondary-title&gt;Nw. J. Int&amp;apos;l L. &amp;amp; Bus.&lt;/secondary-title&gt;&lt;/titles&gt;&lt;pages&gt;371&lt;/pages&gt;&lt;volume&gt;37&lt;/volume&gt;&lt;dates&gt;&lt;year&gt;2016&lt;/year&gt;&lt;/dates&gt;&lt;urls&gt;&lt;/urls&gt;&lt;/record&gt;&lt;/Cite&gt;&lt;/EndNote&gt;</w:instrText>
      </w:r>
      <w:r w:rsidR="001E5968">
        <w:rPr>
          <w:sz w:val="22"/>
          <w:szCs w:val="22"/>
          <w:lang w:val="en-US"/>
        </w:rPr>
        <w:fldChar w:fldCharType="separate"/>
      </w:r>
      <w:r w:rsidR="0005669B" w:rsidRPr="0005669B">
        <w:rPr>
          <w:noProof/>
          <w:sz w:val="22"/>
          <w:szCs w:val="22"/>
          <w:vertAlign w:val="superscript"/>
          <w:lang w:val="en-US"/>
        </w:rPr>
        <w:t>19</w:t>
      </w:r>
      <w:r w:rsidR="001E5968">
        <w:rPr>
          <w:sz w:val="22"/>
          <w:szCs w:val="22"/>
          <w:lang w:val="en-US"/>
        </w:rPr>
        <w:fldChar w:fldCharType="end"/>
      </w:r>
    </w:p>
    <w:p w14:paraId="3D44C4B3" w14:textId="5D7BDF09" w:rsidR="00E4250E" w:rsidRPr="00E4250E" w:rsidRDefault="00E4250E" w:rsidP="00E4250E">
      <w:pPr>
        <w:spacing w:before="120"/>
        <w:jc w:val="both"/>
        <w:rPr>
          <w:sz w:val="22"/>
          <w:szCs w:val="22"/>
          <w:lang w:val="en-US"/>
        </w:rPr>
      </w:pPr>
      <w:r w:rsidRPr="00E4250E">
        <w:rPr>
          <w:sz w:val="22"/>
          <w:szCs w:val="22"/>
          <w:lang w:val="en-US"/>
        </w:rPr>
        <w:t xml:space="preserve">Despite the growing volume of research on </w:t>
      </w:r>
      <w:r w:rsidR="007356CA">
        <w:rPr>
          <w:sz w:val="22"/>
          <w:szCs w:val="22"/>
          <w:lang w:val="en-US"/>
        </w:rPr>
        <w:t>Fintech</w:t>
      </w:r>
      <w:r w:rsidRPr="00E4250E">
        <w:rPr>
          <w:sz w:val="22"/>
          <w:szCs w:val="22"/>
          <w:lang w:val="en-US"/>
        </w:rPr>
        <w:t xml:space="preserve"> in banking, the literature remains fragmented. A substantial proportion of empirical studies focus on the consequences of </w:t>
      </w:r>
      <w:r w:rsidR="007356CA">
        <w:rPr>
          <w:sz w:val="22"/>
          <w:szCs w:val="22"/>
          <w:lang w:val="en-US"/>
        </w:rPr>
        <w:t>Fintech</w:t>
      </w:r>
      <w:r w:rsidRPr="00E4250E">
        <w:rPr>
          <w:sz w:val="22"/>
          <w:szCs w:val="22"/>
          <w:lang w:val="en-US"/>
        </w:rPr>
        <w:t xml:space="preserve"> adoption, examining its impact on bank profitability, risk-taking, and financial stability</w:t>
      </w:r>
      <w:r w:rsidR="00360248">
        <w:rPr>
          <w:sz w:val="22"/>
          <w:szCs w:val="22"/>
          <w:lang w:val="en-US"/>
        </w:rPr>
        <w:t>.</w:t>
      </w:r>
      <w:r w:rsidR="00360248">
        <w:rPr>
          <w:sz w:val="22"/>
          <w:szCs w:val="22"/>
          <w:lang w:val="en-US"/>
        </w:rPr>
        <w:fldChar w:fldCharType="begin"/>
      </w:r>
      <w:r w:rsidR="0005669B">
        <w:rPr>
          <w:sz w:val="22"/>
          <w:szCs w:val="22"/>
          <w:lang w:val="en-US"/>
        </w:rPr>
        <w:instrText xml:space="preserve"> ADDIN EN.CITE &lt;EndNote&gt;&lt;Cite&gt;&lt;Author&gt;Kayed&lt;/Author&gt;&lt;Year&gt;2025&lt;/Year&gt;&lt;RecNum&gt;13&lt;/RecNum&gt;&lt;DisplayText&gt;&lt;style face="superscript"&gt;6,7&lt;/style&gt;&lt;/DisplayText&gt;&lt;record&gt;&lt;rec-number&gt;13&lt;/rec-number&gt;&lt;foreign-keys&gt;&lt;key app="EN" db-id="wapx0v0s4rw2r6esw9dpwpd1wwvx05v0920r" timestamp="1755486024"&gt;13&lt;/key&gt;&lt;/foreign-keys&gt;&lt;ref-type name="Journal Article"&gt;17&lt;/ref-type&gt;&lt;contributors&gt;&lt;authors&gt;&lt;author&gt;Kayed, Salah&lt;/author&gt;&lt;author&gt;Alta’any, Mohammad&lt;/author&gt;&lt;author&gt;Meqbel, Rasmi&lt;/author&gt;&lt;author&gt;Khatatbeh, Ibrahim N&lt;/author&gt;&lt;author&gt;Mahafzah, Abdalkareem&lt;/author&gt;&lt;/authors&gt;&lt;/contributors&gt;&lt;titles&gt;&lt;title&gt;Bank FinTech and bank performance: evidence from an emerging market&lt;/title&gt;&lt;secondary-title&gt;Journal of Financial Reporting and Accounting&lt;/secondary-title&gt;&lt;/titles&gt;&lt;periodical&gt;&lt;full-title&gt;Journal of Financial Reporting and Accounting&lt;/full-title&gt;&lt;/periodical&gt;&lt;pages&gt;518-535&lt;/pages&gt;&lt;volume&gt;23&lt;/volume&gt;&lt;number&gt;2&lt;/number&gt;&lt;dates&gt;&lt;year&gt;2025&lt;/year&gt;&lt;/dates&gt;&lt;isbn&gt;1985-2517&lt;/isbn&gt;&lt;urls&gt;&lt;/urls&gt;&lt;/record&gt;&lt;/Cite&gt;&lt;Cite&gt;&lt;Author&gt;Nguyen&lt;/Author&gt;&lt;Year&gt;2025&lt;/Year&gt;&lt;RecNum&gt;10&lt;/RecNum&gt;&lt;record&gt;&lt;rec-number&gt;10&lt;/rec-number&gt;&lt;foreign-keys&gt;&lt;key app="EN" db-id="wapx0v0s4rw2r6esw9dpwpd1wwvx05v0920r" timestamp="1755484727"&gt;10&lt;/key&gt;&lt;/foreign-keys&gt;&lt;ref-type name="Journal Article"&gt;17&lt;/ref-type&gt;&lt;contributors&gt;&lt;authors&gt;&lt;author&gt;Nguyen, Trang Thi Thu&lt;/author&gt;&lt;/authors&gt;&lt;/contributors&gt;&lt;titles&gt;&lt;title&gt;The Impact of Fintech on Bank Profitability and Bank Stability in Emerging Country&lt;/title&gt;&lt;secondary-title&gt;Journal of Organizational Behavior Research&lt;/secondary-title&gt;&lt;/titles&gt;&lt;pages&gt;12-19&lt;/pages&gt;&lt;volume&gt;10&lt;/volume&gt;&lt;number&gt;2-2025&lt;/number&gt;&lt;dates&gt;&lt;year&gt;2025&lt;/year&gt;&lt;/dates&gt;&lt;isbn&gt;2528-9705&lt;/isbn&gt;&lt;urls&gt;&lt;/urls&gt;&lt;/record&gt;&lt;/Cite&gt;&lt;/EndNote&gt;</w:instrText>
      </w:r>
      <w:r w:rsidR="00360248">
        <w:rPr>
          <w:sz w:val="22"/>
          <w:szCs w:val="22"/>
          <w:lang w:val="en-US"/>
        </w:rPr>
        <w:fldChar w:fldCharType="separate"/>
      </w:r>
      <w:r w:rsidR="0005669B" w:rsidRPr="0005669B">
        <w:rPr>
          <w:noProof/>
          <w:sz w:val="22"/>
          <w:szCs w:val="22"/>
          <w:vertAlign w:val="superscript"/>
          <w:lang w:val="en-US"/>
        </w:rPr>
        <w:t>6,7</w:t>
      </w:r>
      <w:r w:rsidR="00360248">
        <w:rPr>
          <w:sz w:val="22"/>
          <w:szCs w:val="22"/>
          <w:lang w:val="en-US"/>
        </w:rPr>
        <w:fldChar w:fldCharType="end"/>
      </w:r>
      <w:r w:rsidRPr="00E4250E">
        <w:rPr>
          <w:sz w:val="22"/>
          <w:szCs w:val="22"/>
          <w:lang w:val="en-US"/>
        </w:rPr>
        <w:t xml:space="preserve"> In contrast, comparatively fewer studies explicitly investigate the antecedents of </w:t>
      </w:r>
      <w:r w:rsidR="007356CA">
        <w:rPr>
          <w:sz w:val="22"/>
          <w:szCs w:val="22"/>
          <w:lang w:val="en-US"/>
        </w:rPr>
        <w:t>Fintech</w:t>
      </w:r>
      <w:r w:rsidRPr="00E4250E">
        <w:rPr>
          <w:sz w:val="22"/>
          <w:szCs w:val="22"/>
          <w:lang w:val="en-US"/>
        </w:rPr>
        <w:t xml:space="preserve"> adoption at the bank level. Moreover, existing determinant-focused studies often combine bank-level characteristics with user-level or macroeconomic factors, thereby obscuring the role of determinants that are intrinsic to banking organizations themselves. As a result, cumulative knowledge on bank-specific determinants of </w:t>
      </w:r>
      <w:r w:rsidR="007356CA">
        <w:rPr>
          <w:sz w:val="22"/>
          <w:szCs w:val="22"/>
          <w:lang w:val="en-US"/>
        </w:rPr>
        <w:t>Fintech</w:t>
      </w:r>
      <w:r w:rsidRPr="00E4250E">
        <w:rPr>
          <w:sz w:val="22"/>
          <w:szCs w:val="22"/>
          <w:lang w:val="en-US"/>
        </w:rPr>
        <w:t xml:space="preserve"> adoption remains limited.</w:t>
      </w:r>
    </w:p>
    <w:p w14:paraId="0FA6706C" w14:textId="72464D94" w:rsidR="00D54ACE" w:rsidRDefault="00E4250E" w:rsidP="00E4250E">
      <w:pPr>
        <w:spacing w:before="120"/>
        <w:jc w:val="both"/>
        <w:rPr>
          <w:sz w:val="22"/>
          <w:szCs w:val="22"/>
          <w:lang w:val="en-US"/>
        </w:rPr>
      </w:pPr>
      <w:r w:rsidRPr="00E4250E">
        <w:rPr>
          <w:sz w:val="22"/>
          <w:szCs w:val="22"/>
          <w:lang w:val="en-US"/>
        </w:rPr>
        <w:t xml:space="preserve">Against this backdrop, this study conducts a systematic review of the banking literature to synthesize existing evidence on bank-specific determinants of </w:t>
      </w:r>
      <w:r w:rsidR="007356CA">
        <w:rPr>
          <w:sz w:val="22"/>
          <w:szCs w:val="22"/>
          <w:lang w:val="en-US"/>
        </w:rPr>
        <w:t>Fintech</w:t>
      </w:r>
      <w:r w:rsidRPr="00E4250E">
        <w:rPr>
          <w:sz w:val="22"/>
          <w:szCs w:val="22"/>
          <w:lang w:val="en-US"/>
        </w:rPr>
        <w:t xml:space="preserve"> adoption. By focusing on organizational, governance-related, and strategic factors internal to banks, the review seeks to clarify which determinants consistently shape adoption decisions and how these differ from general technology adoption drivers. </w:t>
      </w:r>
    </w:p>
    <w:p w14:paraId="1621A85A" w14:textId="77777777" w:rsidR="0005669B" w:rsidRPr="0005669B" w:rsidRDefault="0005669B" w:rsidP="0005669B">
      <w:pPr>
        <w:spacing w:before="120"/>
        <w:jc w:val="both"/>
        <w:rPr>
          <w:sz w:val="22"/>
          <w:szCs w:val="22"/>
          <w:lang w:val="en-US"/>
        </w:rPr>
      </w:pPr>
      <w:r w:rsidRPr="0005669B">
        <w:rPr>
          <w:sz w:val="22"/>
          <w:szCs w:val="22"/>
          <w:lang w:val="en-US"/>
        </w:rPr>
        <w:t>This study contributes to the literature on FinTech adoption in banking in three main ways. First, it provides a structured synthesis that distinguishes between the determinants of FinTech adoption and its subsequent impacts at the bank level. This distinction helps reduce conceptual overlap in the existing literature, where antecedents and outcomes are often examined together without clear separation.</w:t>
      </w:r>
    </w:p>
    <w:p w14:paraId="244433AD" w14:textId="77777777" w:rsidR="0005669B" w:rsidRPr="0005669B" w:rsidRDefault="0005669B" w:rsidP="0005669B">
      <w:pPr>
        <w:spacing w:before="120"/>
        <w:jc w:val="both"/>
        <w:rPr>
          <w:sz w:val="22"/>
          <w:szCs w:val="22"/>
          <w:lang w:val="en-US"/>
        </w:rPr>
      </w:pPr>
      <w:r w:rsidRPr="0005669B">
        <w:rPr>
          <w:sz w:val="22"/>
          <w:szCs w:val="22"/>
          <w:lang w:val="en-US"/>
        </w:rPr>
        <w:t>Second, the review highlights FinTech adoption as a strategic and organizational decision rather than a purely technological choice. By synthesizing evidence from studies grounded in strategic and organizational perspectives, the findings show that differences in organizational readiness, resource availability, and strategic capacity help explain why banks operating under similar external conditions exhibit different adoption patterns.</w:t>
      </w:r>
    </w:p>
    <w:p w14:paraId="677F496A" w14:textId="77777777" w:rsidR="0005669B" w:rsidRPr="0005669B" w:rsidRDefault="0005669B" w:rsidP="0005669B">
      <w:pPr>
        <w:spacing w:before="120"/>
        <w:jc w:val="both"/>
        <w:rPr>
          <w:sz w:val="22"/>
          <w:szCs w:val="22"/>
          <w:lang w:val="en-US"/>
        </w:rPr>
      </w:pPr>
      <w:r w:rsidRPr="0005669B">
        <w:rPr>
          <w:sz w:val="22"/>
          <w:szCs w:val="22"/>
          <w:lang w:val="en-US"/>
        </w:rPr>
        <w:t>Third, by integrating evidence from diverse institutional contexts, the study proposes a conceptual framework linking external pressures, bank-specific determinants, FinTech adoption, and bank-level outcomes. This framework offers a coherent overview of how internal bank characteristics condition the effects of FinTech adoption on performance, risk, and stability, and provides a useful reference for future research and policy discussions.</w:t>
      </w:r>
    </w:p>
    <w:p w14:paraId="5622981E" w14:textId="71099CD4" w:rsidR="004F52DB" w:rsidRPr="003C432D" w:rsidRDefault="004F52DB" w:rsidP="004F52DB">
      <w:pPr>
        <w:spacing w:before="120"/>
        <w:jc w:val="both"/>
        <w:rPr>
          <w:sz w:val="22"/>
          <w:szCs w:val="22"/>
          <w:lang w:val="en-US"/>
        </w:rPr>
      </w:pPr>
      <w:r w:rsidRPr="003C432D">
        <w:rPr>
          <w:b/>
          <w:sz w:val="22"/>
          <w:szCs w:val="22"/>
        </w:rPr>
        <w:t>2. THEORETICAL FRAMEWORK AND LITERATURE REVIEW</w:t>
      </w:r>
    </w:p>
    <w:p w14:paraId="0832AB0B" w14:textId="77777777" w:rsidR="004F52DB" w:rsidRDefault="004F52DB" w:rsidP="004F52DB">
      <w:pPr>
        <w:shd w:val="clear" w:color="auto" w:fill="FFFFFF"/>
        <w:tabs>
          <w:tab w:val="left" w:pos="360"/>
          <w:tab w:val="right" w:pos="9072"/>
        </w:tabs>
        <w:spacing w:before="120"/>
        <w:jc w:val="both"/>
        <w:rPr>
          <w:b/>
          <w:sz w:val="22"/>
          <w:szCs w:val="22"/>
          <w:lang w:val="en-US"/>
        </w:rPr>
      </w:pPr>
      <w:r w:rsidRPr="003C432D">
        <w:rPr>
          <w:b/>
          <w:sz w:val="22"/>
          <w:szCs w:val="22"/>
          <w:lang w:val="en-US"/>
        </w:rPr>
        <w:t>2.1</w:t>
      </w:r>
      <w:r>
        <w:rPr>
          <w:b/>
          <w:sz w:val="22"/>
          <w:szCs w:val="22"/>
          <w:lang w:val="en-US"/>
        </w:rPr>
        <w:t xml:space="preserve">. </w:t>
      </w:r>
      <w:r w:rsidRPr="003C432D">
        <w:rPr>
          <w:b/>
          <w:sz w:val="22"/>
          <w:szCs w:val="22"/>
          <w:lang w:val="en-US"/>
        </w:rPr>
        <w:t>Theoretical Framework</w:t>
      </w:r>
    </w:p>
    <w:p w14:paraId="688E1D12" w14:textId="2DCFEE2E" w:rsidR="004F52DB" w:rsidRDefault="004F52DB" w:rsidP="004F52DB">
      <w:pPr>
        <w:shd w:val="clear" w:color="auto" w:fill="FFFFFF"/>
        <w:tabs>
          <w:tab w:val="left" w:pos="360"/>
          <w:tab w:val="right" w:pos="9072"/>
        </w:tabs>
        <w:spacing w:before="120"/>
        <w:jc w:val="both"/>
        <w:rPr>
          <w:b/>
          <w:sz w:val="22"/>
          <w:szCs w:val="22"/>
          <w:lang w:val="en-US"/>
        </w:rPr>
      </w:pPr>
      <w:r>
        <w:rPr>
          <w:b/>
          <w:sz w:val="22"/>
          <w:szCs w:val="22"/>
          <w:lang w:val="en-US"/>
        </w:rPr>
        <w:t xml:space="preserve">2.1.1. </w:t>
      </w:r>
      <w:r w:rsidRPr="004F52DB">
        <w:rPr>
          <w:b/>
          <w:sz w:val="22"/>
          <w:szCs w:val="22"/>
        </w:rPr>
        <w:t>Technology-oriented frameworks</w:t>
      </w:r>
    </w:p>
    <w:p w14:paraId="1DBABD37" w14:textId="5F5706C3" w:rsidR="00094899" w:rsidRPr="00094899" w:rsidRDefault="00094899" w:rsidP="00094899">
      <w:pPr>
        <w:shd w:val="clear" w:color="auto" w:fill="FFFFFF"/>
        <w:tabs>
          <w:tab w:val="left" w:pos="360"/>
          <w:tab w:val="right" w:pos="9072"/>
        </w:tabs>
        <w:spacing w:before="120"/>
        <w:jc w:val="both"/>
        <w:rPr>
          <w:bCs/>
          <w:sz w:val="22"/>
          <w:szCs w:val="22"/>
          <w:lang w:val="en-US"/>
        </w:rPr>
      </w:pPr>
      <w:r w:rsidRPr="00094899">
        <w:rPr>
          <w:bCs/>
          <w:sz w:val="22"/>
          <w:szCs w:val="22"/>
          <w:lang w:val="en-US"/>
        </w:rPr>
        <w:t xml:space="preserve">Early research on </w:t>
      </w:r>
      <w:r w:rsidR="007356CA">
        <w:rPr>
          <w:bCs/>
          <w:sz w:val="22"/>
          <w:szCs w:val="22"/>
          <w:lang w:val="en-US"/>
        </w:rPr>
        <w:t>Fintech</w:t>
      </w:r>
      <w:r w:rsidRPr="00094899">
        <w:rPr>
          <w:bCs/>
          <w:sz w:val="22"/>
          <w:szCs w:val="22"/>
          <w:lang w:val="en-US"/>
        </w:rPr>
        <w:t xml:space="preserve"> adoption has largely drawn on technology-oriented frameworks, most notably the Technology Acceptance Model (TAM) and its subsequent extensions</w:t>
      </w:r>
      <w:r w:rsidR="00C31A73">
        <w:rPr>
          <w:bCs/>
          <w:sz w:val="22"/>
          <w:szCs w:val="22"/>
          <w:lang w:val="en-US"/>
        </w:rPr>
        <w:t>.</w:t>
      </w:r>
      <w:r w:rsidR="00975E8B">
        <w:rPr>
          <w:bCs/>
          <w:sz w:val="22"/>
          <w:szCs w:val="22"/>
          <w:lang w:val="en-US"/>
        </w:rPr>
        <w:fldChar w:fldCharType="begin"/>
      </w:r>
      <w:r w:rsidR="0005669B">
        <w:rPr>
          <w:bCs/>
          <w:sz w:val="22"/>
          <w:szCs w:val="22"/>
          <w:lang w:val="en-US"/>
        </w:rPr>
        <w:instrText xml:space="preserve"> ADDIN EN.CITE &lt;EndNote&gt;&lt;Cite&gt;&lt;Author&gt;Davis&lt;/Author&gt;&lt;Year&gt;1989&lt;/Year&gt;&lt;RecNum&gt;90&lt;/RecNum&gt;&lt;DisplayText&gt;&lt;style face="superscript"&gt;8,9&lt;/style&gt;&lt;/DisplayText&gt;&lt;record&gt;&lt;rec-number&gt;90&lt;/rec-number&gt;&lt;foreign-keys&gt;&lt;key app="EN" db-id="wapx0v0s4rw2r6esw9dpwpd1wwvx05v0920r" timestamp="1769655166"&gt;90&lt;/key&gt;&lt;/foreign-keys&gt;&lt;ref-type name="Journal Article"&gt;17&lt;/ref-type&gt;&lt;contributors&gt;&lt;authors&gt;&lt;author&gt;Davis, Fred D&lt;/author&gt;&lt;/authors&gt;&lt;/contributors&gt;&lt;titles&gt;&lt;title&gt;Perceived usefulness, perceived ease of use, and user acceptance of information technology&lt;/title&gt;&lt;secondary-title&gt;MIS quarterly&lt;/secondary-title&gt;&lt;/titles&gt;&lt;periodical&gt;&lt;full-title&gt;MIS quarterly&lt;/full-title&gt;&lt;/periodical&gt;&lt;pages&gt;319-340&lt;/pages&gt;&lt;dates&gt;&lt;year&gt;1989&lt;/year&gt;&lt;/dates&gt;&lt;isbn&gt;0276-7783&lt;/isbn&gt;&lt;urls&gt;&lt;/urls&gt;&lt;/record&gt;&lt;/Cite&gt;&lt;Cite&gt;&lt;Author&gt;Venkatesh&lt;/Author&gt;&lt;Year&gt;2003&lt;/Year&gt;&lt;RecNum&gt;91&lt;/RecNum&gt;&lt;record&gt;&lt;rec-number&gt;91&lt;/rec-number&gt;&lt;foreign-keys&gt;&lt;key app="EN" db-id="wapx0v0s4rw2r6esw9dpwpd1wwvx05v0920r" timestamp="1769656264"&gt;91&lt;/key&gt;&lt;/foreign-keys&gt;&lt;ref-type name="Journal Article"&gt;17&lt;/ref-type&gt;&lt;contributors&gt;&lt;authors&gt;&lt;author&gt;Venkatesh, Viswanath&lt;/author&gt;&lt;author&gt;Morris, Michael G&lt;/author&gt;&lt;author&gt;Davis, Gordon B&lt;/author&gt;&lt;author&gt;Davis, Fred D&lt;/author&gt;&lt;/authors&gt;&lt;/contributors&gt;&lt;titles&gt;&lt;title&gt;User acceptance of information technology: Toward a unified view&lt;/title&gt;&lt;secondary-title&gt;MIS quarterly&lt;/secondary-title&gt;&lt;/titles&gt;&lt;periodical&gt;&lt;full-title&gt;MIS quarterly&lt;/full-title&gt;&lt;/periodical&gt;&lt;pages&gt;425-478&lt;/pages&gt;&lt;dates&gt;&lt;year&gt;2003&lt;/year&gt;&lt;/dates&gt;&lt;isbn&gt;0276-7783&lt;/isbn&gt;&lt;urls&gt;&lt;/urls&gt;&lt;/record&gt;&lt;/Cite&gt;&lt;/EndNote&gt;</w:instrText>
      </w:r>
      <w:r w:rsidR="00975E8B">
        <w:rPr>
          <w:bCs/>
          <w:sz w:val="22"/>
          <w:szCs w:val="22"/>
          <w:lang w:val="en-US"/>
        </w:rPr>
        <w:fldChar w:fldCharType="separate"/>
      </w:r>
      <w:r w:rsidR="0005669B" w:rsidRPr="0005669B">
        <w:rPr>
          <w:bCs/>
          <w:noProof/>
          <w:sz w:val="22"/>
          <w:szCs w:val="22"/>
          <w:vertAlign w:val="superscript"/>
          <w:lang w:val="en-US"/>
        </w:rPr>
        <w:t>8,9</w:t>
      </w:r>
      <w:r w:rsidR="00975E8B">
        <w:rPr>
          <w:bCs/>
          <w:sz w:val="22"/>
          <w:szCs w:val="22"/>
          <w:lang w:val="en-US"/>
        </w:rPr>
        <w:fldChar w:fldCharType="end"/>
      </w:r>
      <w:r w:rsidRPr="00094899">
        <w:rPr>
          <w:bCs/>
          <w:sz w:val="22"/>
          <w:szCs w:val="22"/>
          <w:lang w:val="en-US"/>
        </w:rPr>
        <w:t xml:space="preserve"> These models emphasize individual perceptions of perceived usefulness and perceived ease of use as primary drivers of technology acceptance. In the context of financial services, such frameworks have been applied to explain the adoption of digital payment systems, mobile banking applications, and other </w:t>
      </w:r>
      <w:r w:rsidR="007356CA">
        <w:rPr>
          <w:bCs/>
          <w:sz w:val="22"/>
          <w:szCs w:val="22"/>
          <w:lang w:val="en-US"/>
        </w:rPr>
        <w:t>Fintech</w:t>
      </w:r>
      <w:r w:rsidRPr="00094899">
        <w:rPr>
          <w:bCs/>
          <w:sz w:val="22"/>
          <w:szCs w:val="22"/>
          <w:lang w:val="en-US"/>
        </w:rPr>
        <w:t>-enabled services, particularly from the user or employee perspective</w:t>
      </w:r>
      <w:r w:rsidR="00C31A73">
        <w:rPr>
          <w:bCs/>
          <w:sz w:val="22"/>
          <w:szCs w:val="22"/>
          <w:lang w:val="en-US"/>
        </w:rPr>
        <w:t>.</w:t>
      </w:r>
      <w:r w:rsidR="005A45B3">
        <w:rPr>
          <w:bCs/>
          <w:sz w:val="22"/>
          <w:szCs w:val="22"/>
          <w:lang w:val="en-US"/>
        </w:rPr>
        <w:fldChar w:fldCharType="begin"/>
      </w:r>
      <w:r w:rsidR="0005669B">
        <w:rPr>
          <w:bCs/>
          <w:sz w:val="22"/>
          <w:szCs w:val="22"/>
          <w:lang w:val="en-US"/>
        </w:rPr>
        <w:instrText xml:space="preserve"> ADDIN EN.CITE &lt;EndNote&gt;&lt;Cite&gt;&lt;Author&gt;Luarn&lt;/Author&gt;&lt;Year&gt;2005&lt;/Year&gt;&lt;RecNum&gt;95&lt;/RecNum&gt;&lt;DisplayText&gt;&lt;style face="superscript"&gt;20&lt;/style&gt;&lt;/DisplayText&gt;&lt;record&gt;&lt;rec-number&gt;95&lt;/rec-number&gt;&lt;foreign-keys&gt;&lt;key app="EN" db-id="wapx0v0s4rw2r6esw9dpwpd1wwvx05v0920r" timestamp="1769657151"&gt;95&lt;/key&gt;&lt;/foreign-keys&gt;&lt;ref-type name="Journal Article"&gt;17&lt;/ref-type&gt;&lt;contributors&gt;&lt;authors&gt;&lt;author&gt;Luarn, Pin&lt;/author&gt;&lt;author&gt;Lin, Hsin-Hui&lt;/author&gt;&lt;/authors&gt;&lt;/contributors&gt;&lt;titles&gt;&lt;title&gt;Toward an understanding of the behavioral intention to use mobile banking&lt;/title&gt;&lt;secondary-title&gt;Computers in human behavior&lt;/secondary-title&gt;&lt;/titles&gt;&lt;periodical&gt;&lt;full-title&gt;Computers in human behavior&lt;/full-title&gt;&lt;/periodical&gt;&lt;pages&gt;873-891&lt;/pages&gt;&lt;volume&gt;21&lt;/volume&gt;&lt;number&gt;6&lt;/number&gt;&lt;dates&gt;&lt;year&gt;2005&lt;/year&gt;&lt;/dates&gt;&lt;isbn&gt;0747-5632&lt;/isbn&gt;&lt;urls&gt;&lt;/urls&gt;&lt;/record&gt;&lt;/Cite&gt;&lt;/EndNote&gt;</w:instrText>
      </w:r>
      <w:r w:rsidR="005A45B3">
        <w:rPr>
          <w:bCs/>
          <w:sz w:val="22"/>
          <w:szCs w:val="22"/>
          <w:lang w:val="en-US"/>
        </w:rPr>
        <w:fldChar w:fldCharType="separate"/>
      </w:r>
      <w:r w:rsidR="0005669B" w:rsidRPr="0005669B">
        <w:rPr>
          <w:bCs/>
          <w:noProof/>
          <w:sz w:val="22"/>
          <w:szCs w:val="22"/>
          <w:vertAlign w:val="superscript"/>
          <w:lang w:val="en-US"/>
        </w:rPr>
        <w:t>20</w:t>
      </w:r>
      <w:r w:rsidR="005A45B3">
        <w:rPr>
          <w:bCs/>
          <w:sz w:val="22"/>
          <w:szCs w:val="22"/>
          <w:lang w:val="en-US"/>
        </w:rPr>
        <w:fldChar w:fldCharType="end"/>
      </w:r>
    </w:p>
    <w:p w14:paraId="5857F60A" w14:textId="28AB4853" w:rsidR="00094899" w:rsidRPr="00094899" w:rsidRDefault="00094899" w:rsidP="004F52DB">
      <w:pPr>
        <w:shd w:val="clear" w:color="auto" w:fill="FFFFFF"/>
        <w:tabs>
          <w:tab w:val="left" w:pos="360"/>
          <w:tab w:val="right" w:pos="9072"/>
        </w:tabs>
        <w:spacing w:before="120"/>
        <w:jc w:val="both"/>
        <w:rPr>
          <w:bCs/>
          <w:sz w:val="22"/>
          <w:szCs w:val="22"/>
          <w:lang w:val="en-US"/>
        </w:rPr>
      </w:pPr>
      <w:r w:rsidRPr="00094899">
        <w:rPr>
          <w:bCs/>
          <w:sz w:val="22"/>
          <w:szCs w:val="22"/>
          <w:lang w:val="en-US"/>
        </w:rPr>
        <w:t xml:space="preserve">While technology-oriented frameworks provide valuable insights into micro-level adoption behavior, their applicability to bank-level </w:t>
      </w:r>
      <w:r w:rsidR="007356CA">
        <w:rPr>
          <w:bCs/>
          <w:sz w:val="22"/>
          <w:szCs w:val="22"/>
          <w:lang w:val="en-US"/>
        </w:rPr>
        <w:t>Fintech</w:t>
      </w:r>
      <w:r w:rsidRPr="00094899">
        <w:rPr>
          <w:bCs/>
          <w:sz w:val="22"/>
          <w:szCs w:val="22"/>
          <w:lang w:val="en-US"/>
        </w:rPr>
        <w:t xml:space="preserve"> adoption decisions remains limited. Banks operate as complex organizations in which adoption decisions are shaped not only by technological attributes but also by strategic priorities, governance arrangements, regulatory compliance, and risk considerations. Consequently, technology-oriented models tend to oversimplify adoption processes in banking by treating </w:t>
      </w:r>
      <w:r w:rsidR="007356CA">
        <w:rPr>
          <w:bCs/>
          <w:sz w:val="22"/>
          <w:szCs w:val="22"/>
          <w:lang w:val="en-US"/>
        </w:rPr>
        <w:t>Fintech</w:t>
      </w:r>
      <w:r w:rsidRPr="00094899">
        <w:rPr>
          <w:bCs/>
          <w:sz w:val="22"/>
          <w:szCs w:val="22"/>
          <w:lang w:val="en-US"/>
        </w:rPr>
        <w:t xml:space="preserve"> as a neutral tool rather than as a strategic organizational choice embedded in broader institutional and managerial contexts</w:t>
      </w:r>
      <w:r w:rsidR="00C31A73">
        <w:rPr>
          <w:bCs/>
          <w:sz w:val="22"/>
          <w:szCs w:val="22"/>
          <w:lang w:val="en-US"/>
        </w:rPr>
        <w:t>.</w:t>
      </w:r>
    </w:p>
    <w:p w14:paraId="2492409D" w14:textId="44F1D650" w:rsidR="004F52DB" w:rsidRDefault="004F52DB" w:rsidP="004F52DB">
      <w:pPr>
        <w:shd w:val="clear" w:color="auto" w:fill="FFFFFF"/>
        <w:tabs>
          <w:tab w:val="left" w:pos="360"/>
          <w:tab w:val="right" w:pos="9072"/>
        </w:tabs>
        <w:spacing w:before="120"/>
        <w:jc w:val="both"/>
        <w:rPr>
          <w:b/>
          <w:sz w:val="22"/>
          <w:szCs w:val="22"/>
          <w:lang w:val="en-US"/>
        </w:rPr>
      </w:pPr>
      <w:r w:rsidRPr="004F52DB">
        <w:rPr>
          <w:b/>
          <w:sz w:val="22"/>
          <w:szCs w:val="22"/>
        </w:rPr>
        <w:t xml:space="preserve">2.1.2. TOE framework </w:t>
      </w:r>
    </w:p>
    <w:p w14:paraId="595A922D" w14:textId="755DAECB" w:rsidR="00094899" w:rsidRPr="00094899" w:rsidRDefault="00094899" w:rsidP="00094899">
      <w:pPr>
        <w:shd w:val="clear" w:color="auto" w:fill="FFFFFF"/>
        <w:tabs>
          <w:tab w:val="left" w:pos="360"/>
          <w:tab w:val="right" w:pos="9072"/>
        </w:tabs>
        <w:spacing w:before="120"/>
        <w:jc w:val="both"/>
        <w:rPr>
          <w:bCs/>
          <w:sz w:val="22"/>
          <w:szCs w:val="22"/>
          <w:lang w:val="en-US"/>
        </w:rPr>
      </w:pPr>
      <w:r w:rsidRPr="0056726D">
        <w:rPr>
          <w:bCs/>
          <w:sz w:val="22"/>
          <w:szCs w:val="22"/>
          <w:lang w:val="en-US"/>
        </w:rPr>
        <w:t>To address the limitations of individual-level adoption models, the Technology</w:t>
      </w:r>
      <w:r w:rsidR="00630E9B">
        <w:rPr>
          <w:bCs/>
          <w:sz w:val="22"/>
          <w:szCs w:val="22"/>
          <w:lang w:val="en-US"/>
        </w:rPr>
        <w:t>-</w:t>
      </w:r>
      <w:r w:rsidRPr="0056726D">
        <w:rPr>
          <w:bCs/>
          <w:sz w:val="22"/>
          <w:szCs w:val="22"/>
          <w:lang w:val="en-US"/>
        </w:rPr>
        <w:t>Organization</w:t>
      </w:r>
      <w:r w:rsidR="00630E9B">
        <w:rPr>
          <w:bCs/>
          <w:sz w:val="22"/>
          <w:szCs w:val="22"/>
          <w:lang w:val="en-US"/>
        </w:rPr>
        <w:t>-</w:t>
      </w:r>
      <w:r w:rsidRPr="0056726D">
        <w:rPr>
          <w:bCs/>
          <w:sz w:val="22"/>
          <w:szCs w:val="22"/>
          <w:lang w:val="en-US"/>
        </w:rPr>
        <w:t>Environment (TOE) framework has been widely employed to examine technology adoption at the</w:t>
      </w:r>
      <w:r w:rsidRPr="00094899">
        <w:rPr>
          <w:b/>
          <w:sz w:val="22"/>
          <w:szCs w:val="22"/>
          <w:lang w:val="en-US"/>
        </w:rPr>
        <w:t xml:space="preserve"> </w:t>
      </w:r>
      <w:r w:rsidRPr="00094899">
        <w:rPr>
          <w:bCs/>
          <w:sz w:val="22"/>
          <w:szCs w:val="22"/>
          <w:lang w:val="en-US"/>
        </w:rPr>
        <w:t>organizational level</w:t>
      </w:r>
      <w:r w:rsidR="00630E9B">
        <w:rPr>
          <w:bCs/>
          <w:sz w:val="22"/>
          <w:szCs w:val="22"/>
          <w:lang w:val="en-US"/>
        </w:rPr>
        <w:t xml:space="preserve"> </w:t>
      </w:r>
      <w:r w:rsidR="00630E9B">
        <w:rPr>
          <w:sz w:val="22"/>
          <w:szCs w:val="22"/>
          <w:lang w:val="en-US"/>
        </w:rPr>
        <w:fldChar w:fldCharType="begin"/>
      </w:r>
      <w:r w:rsidR="0005669B">
        <w:rPr>
          <w:sz w:val="22"/>
          <w:szCs w:val="22"/>
          <w:lang w:val="en-US"/>
        </w:rPr>
        <w:instrText xml:space="preserve"> ADDIN EN.CITE &lt;EndNote&gt;&lt;Cite&gt;&lt;Author&gt;Zhu&lt;/Author&gt;&lt;Year&gt;2006&lt;/Year&gt;&lt;RecNum&gt;92&lt;/RecNum&gt;&lt;DisplayText&gt;&lt;style face="superscript"&gt;10&lt;/style&gt;&lt;/DisplayText&gt;&lt;record&gt;&lt;rec-number&gt;92&lt;/rec-number&gt;&lt;foreign-keys&gt;&lt;key app="EN" db-id="wapx0v0s4rw2r6esw9dpwpd1wwvx05v0920r" timestamp="1769656511"&gt;92&lt;/key&gt;&lt;/foreign-keys&gt;&lt;ref-type name="Journal Article"&gt;17&lt;/ref-type&gt;&lt;contributors&gt;&lt;authors&gt;&lt;author&gt;Zhu, Kevin&lt;/author&gt;&lt;author&gt;Kraemer, Kenneth L&lt;/author&gt;&lt;author&gt;Xu, Sean&lt;/author&gt;&lt;/authors&gt;&lt;/contributors&gt;&lt;titles&gt;&lt;title&gt;The process of innovation assimilation by firms in different countries: a technology diffusion perspective on e-business&lt;/title&gt;&lt;secondary-title&gt;Management science&lt;/secondary-title&gt;&lt;/titles&gt;&lt;periodical&gt;&lt;full-title&gt;Management science&lt;/full-title&gt;&lt;/periodical&gt;&lt;pages&gt;1557-1576&lt;/pages&gt;&lt;volume&gt;52&lt;/volume&gt;&lt;number&gt;10&lt;/number&gt;&lt;dates&gt;&lt;year&gt;2006&lt;/year&gt;&lt;/dates&gt;&lt;isbn&gt;0025-1909&lt;/isbn&gt;&lt;urls&gt;&lt;/urls&gt;&lt;/record&gt;&lt;/Cite&gt;&lt;/EndNote&gt;</w:instrText>
      </w:r>
      <w:r w:rsidR="00630E9B">
        <w:rPr>
          <w:sz w:val="22"/>
          <w:szCs w:val="22"/>
          <w:lang w:val="en-US"/>
        </w:rPr>
        <w:fldChar w:fldCharType="separate"/>
      </w:r>
      <w:r w:rsidR="0005669B" w:rsidRPr="0005669B">
        <w:rPr>
          <w:noProof/>
          <w:sz w:val="22"/>
          <w:szCs w:val="22"/>
          <w:vertAlign w:val="superscript"/>
          <w:lang w:val="en-US"/>
        </w:rPr>
        <w:t>10</w:t>
      </w:r>
      <w:r w:rsidR="00630E9B">
        <w:rPr>
          <w:sz w:val="22"/>
          <w:szCs w:val="22"/>
          <w:lang w:val="en-US"/>
        </w:rPr>
        <w:fldChar w:fldCharType="end"/>
      </w:r>
      <w:r w:rsidRPr="00094899">
        <w:rPr>
          <w:bCs/>
          <w:sz w:val="22"/>
          <w:szCs w:val="22"/>
          <w:lang w:val="en-US"/>
        </w:rPr>
        <w:t xml:space="preserve">. The TOE framework posits that adoption decisions are jointly influenced by technological factors, organizational factors, and environmental factors. In the </w:t>
      </w:r>
      <w:r w:rsidR="007356CA">
        <w:rPr>
          <w:bCs/>
          <w:sz w:val="22"/>
          <w:szCs w:val="22"/>
          <w:lang w:val="en-US"/>
        </w:rPr>
        <w:t>Fintech</w:t>
      </w:r>
      <w:r w:rsidRPr="00094899">
        <w:rPr>
          <w:bCs/>
          <w:sz w:val="22"/>
          <w:szCs w:val="22"/>
          <w:lang w:val="en-US"/>
        </w:rPr>
        <w:t xml:space="preserve"> literature, TOE has been frequently used to classify determinants of adoption in banks and other financial institutions</w:t>
      </w:r>
      <w:r w:rsidR="003B3E32">
        <w:rPr>
          <w:bCs/>
          <w:sz w:val="22"/>
          <w:szCs w:val="22"/>
          <w:lang w:val="en-US"/>
        </w:rPr>
        <w:t xml:space="preserve">. </w:t>
      </w:r>
      <w:r w:rsidR="003B3E32">
        <w:rPr>
          <w:bCs/>
          <w:sz w:val="22"/>
          <w:szCs w:val="22"/>
          <w:lang w:val="en-US"/>
        </w:rPr>
        <w:fldChar w:fldCharType="begin"/>
      </w:r>
      <w:r w:rsidR="0005669B">
        <w:rPr>
          <w:bCs/>
          <w:sz w:val="22"/>
          <w:szCs w:val="22"/>
          <w:lang w:val="en-US"/>
        </w:rPr>
        <w:instrText xml:space="preserve"> ADDIN EN.CITE &lt;EndNote&gt;&lt;Cite&gt;&lt;Author&gt;Gai&lt;/Author&gt;&lt;Year&gt;2018&lt;/Year&gt;&lt;RecNum&gt;3&lt;/RecNum&gt;&lt;DisplayText&gt;&lt;style face="superscript"&gt;3,4&lt;/style&gt;&lt;/DisplayText&gt;&lt;record&gt;&lt;rec-number&gt;3&lt;/rec-number&gt;&lt;foreign-keys&gt;&lt;key app="EN" db-id="wapx0v0s4rw2r6esw9dpwpd1wwvx05v0920r" timestamp="1755250048"&gt;3&lt;/key&gt;&lt;/foreign-keys&gt;&lt;ref-type name="Journal Article"&gt;17&lt;/ref-type&gt;&lt;contributors&gt;&lt;authors&gt;&lt;author&gt;Gai, Keke&lt;/author&gt;&lt;author&gt;Qiu, Meikang&lt;/author&gt;&lt;author&gt;Sun, Xiaotong&lt;/author&gt;&lt;/authors&gt;&lt;/contributors&gt;&lt;titles&gt;&lt;title&gt;A survey on FinTech&lt;/title&gt;&lt;secondary-title&gt;Journal of Network and Computer Applications&lt;/secondary-title&gt;&lt;/titles&gt;&lt;pages&gt;262-273&lt;/pages&gt;&lt;volume&gt;103&lt;/volume&gt;&lt;dates&gt;&lt;year&gt;2018&lt;/year&gt;&lt;/dates&gt;&lt;isbn&gt;1084-8045&lt;/isbn&gt;&lt;urls&gt;&lt;/urls&gt;&lt;/record&gt;&lt;/Cite&gt;&lt;Cite&gt;&lt;Author&gt;Giglio&lt;/Author&gt;&lt;Year&gt;2021&lt;/Year&gt;&lt;RecNum&gt;5&lt;/RecNum&gt;&lt;record&gt;&lt;rec-number&gt;5&lt;/rec-number&gt;&lt;foreign-keys&gt;&lt;key app="EN" db-id="wapx0v0s4rw2r6esw9dpwpd1wwvx05v0920r" timestamp="1755250097"&gt;5&lt;/key&gt;&lt;/foreign-keys&gt;&lt;ref-type name="Journal Article"&gt;17&lt;/ref-type&gt;&lt;contributors&gt;&lt;authors&gt;&lt;author&gt;Giglio, Ferdinando&lt;/author&gt;&lt;/authors&gt;&lt;/contributors&gt;&lt;titles&gt;&lt;title&gt;Fintech: A literature review&lt;/title&gt;&lt;secondary-title&gt;European Research Studies Journal&lt;/secondary-title&gt;&lt;/titles&gt;&lt;pages&gt;600-627&lt;/pages&gt;&lt;volume&gt;24&lt;/volume&gt;&lt;number&gt;2B&lt;/number&gt;&lt;dates&gt;&lt;year&gt;2021&lt;/year&gt;&lt;/dates&gt;&lt;urls&gt;&lt;/urls&gt;&lt;/record&gt;&lt;/Cite&gt;&lt;/EndNote&gt;</w:instrText>
      </w:r>
      <w:r w:rsidR="003B3E32">
        <w:rPr>
          <w:bCs/>
          <w:sz w:val="22"/>
          <w:szCs w:val="22"/>
          <w:lang w:val="en-US"/>
        </w:rPr>
        <w:fldChar w:fldCharType="separate"/>
      </w:r>
      <w:r w:rsidR="0005669B" w:rsidRPr="0005669B">
        <w:rPr>
          <w:bCs/>
          <w:noProof/>
          <w:sz w:val="22"/>
          <w:szCs w:val="22"/>
          <w:vertAlign w:val="superscript"/>
          <w:lang w:val="en-US"/>
        </w:rPr>
        <w:t>3,4</w:t>
      </w:r>
      <w:r w:rsidR="003B3E32">
        <w:rPr>
          <w:bCs/>
          <w:sz w:val="22"/>
          <w:szCs w:val="22"/>
          <w:lang w:val="en-US"/>
        </w:rPr>
        <w:fldChar w:fldCharType="end"/>
      </w:r>
    </w:p>
    <w:p w14:paraId="2B534D63" w14:textId="33215B13" w:rsidR="00094899" w:rsidRPr="00094899" w:rsidRDefault="00094899" w:rsidP="004F52DB">
      <w:pPr>
        <w:shd w:val="clear" w:color="auto" w:fill="FFFFFF"/>
        <w:tabs>
          <w:tab w:val="left" w:pos="360"/>
          <w:tab w:val="right" w:pos="9072"/>
        </w:tabs>
        <w:spacing w:before="120"/>
        <w:jc w:val="both"/>
        <w:rPr>
          <w:bCs/>
          <w:sz w:val="22"/>
          <w:szCs w:val="22"/>
          <w:lang w:val="en-US"/>
        </w:rPr>
      </w:pPr>
      <w:r w:rsidRPr="00094899">
        <w:rPr>
          <w:bCs/>
          <w:sz w:val="22"/>
          <w:szCs w:val="22"/>
          <w:lang w:val="en-US"/>
        </w:rPr>
        <w:t xml:space="preserve">Despite its broader scope, the TOE framework has notable limitations when applied to the banking sector. First, empirical evidence suggests that banks operating under similar technological and environmental conditions often display substantial heterogeneity in the extent and depth of </w:t>
      </w:r>
      <w:r w:rsidR="007356CA">
        <w:rPr>
          <w:bCs/>
          <w:sz w:val="22"/>
          <w:szCs w:val="22"/>
          <w:lang w:val="en-US"/>
        </w:rPr>
        <w:t>Fintech</w:t>
      </w:r>
      <w:r w:rsidRPr="00094899">
        <w:rPr>
          <w:bCs/>
          <w:sz w:val="22"/>
          <w:szCs w:val="22"/>
          <w:lang w:val="en-US"/>
        </w:rPr>
        <w:t xml:space="preserve"> adoption. Second, TOE primarily serves as a descriptive classification framework and provides limited theoretical explanation of how internal organizational capabilities and strategic intent shape adoption outcomes. As a result, TOE-based studies often identify relevant categories of determinants without fully explaining the mechanisms through which bank-specific characteristics influence </w:t>
      </w:r>
      <w:r w:rsidR="007356CA">
        <w:rPr>
          <w:bCs/>
          <w:sz w:val="22"/>
          <w:szCs w:val="22"/>
          <w:lang w:val="en-US"/>
        </w:rPr>
        <w:t>Fintech</w:t>
      </w:r>
      <w:r w:rsidRPr="00094899">
        <w:rPr>
          <w:bCs/>
          <w:sz w:val="22"/>
          <w:szCs w:val="22"/>
          <w:lang w:val="en-US"/>
        </w:rPr>
        <w:t xml:space="preserve"> adoption decisions.</w:t>
      </w:r>
    </w:p>
    <w:p w14:paraId="27986D32" w14:textId="4C2B5952" w:rsidR="004F52DB" w:rsidRPr="004F52DB" w:rsidRDefault="004F52DB" w:rsidP="004F52DB">
      <w:pPr>
        <w:shd w:val="clear" w:color="auto" w:fill="FFFFFF"/>
        <w:tabs>
          <w:tab w:val="left" w:pos="360"/>
          <w:tab w:val="right" w:pos="9072"/>
        </w:tabs>
        <w:spacing w:before="120"/>
        <w:jc w:val="both"/>
        <w:rPr>
          <w:b/>
          <w:sz w:val="22"/>
          <w:szCs w:val="22"/>
          <w:lang w:val="en-US"/>
        </w:rPr>
      </w:pPr>
      <w:r w:rsidRPr="004F52DB">
        <w:rPr>
          <w:b/>
          <w:sz w:val="22"/>
          <w:szCs w:val="22"/>
        </w:rPr>
        <w:t>2.1.3. Resource-based view and dynamic capabilities perspective</w:t>
      </w:r>
    </w:p>
    <w:p w14:paraId="04418B12" w14:textId="263113D6" w:rsidR="005F5AEC" w:rsidRPr="005F5AEC" w:rsidRDefault="005F5AEC" w:rsidP="005F5AEC">
      <w:pPr>
        <w:shd w:val="clear" w:color="auto" w:fill="FFFFFF"/>
        <w:tabs>
          <w:tab w:val="left" w:pos="360"/>
          <w:tab w:val="right" w:pos="9072"/>
        </w:tabs>
        <w:spacing w:before="120"/>
        <w:jc w:val="both"/>
        <w:rPr>
          <w:bCs/>
          <w:sz w:val="22"/>
          <w:szCs w:val="22"/>
          <w:lang w:val="en-US"/>
        </w:rPr>
      </w:pPr>
      <w:r w:rsidRPr="005F5AEC">
        <w:rPr>
          <w:bCs/>
          <w:sz w:val="22"/>
          <w:szCs w:val="22"/>
          <w:lang w:val="en-US"/>
        </w:rPr>
        <w:t>In response to these limitations, scholars have increasingly adopted the resource-based view (RBV)</w:t>
      </w:r>
      <w:r w:rsidR="00C31A73">
        <w:rPr>
          <w:bCs/>
          <w:sz w:val="22"/>
          <w:szCs w:val="22"/>
          <w:lang w:val="en-US"/>
        </w:rPr>
        <w:t xml:space="preserve"> </w:t>
      </w:r>
      <w:r w:rsidR="008166A3">
        <w:rPr>
          <w:bCs/>
          <w:sz w:val="22"/>
          <w:szCs w:val="22"/>
          <w:lang w:val="en-US"/>
        </w:rPr>
        <w:fldChar w:fldCharType="begin"/>
      </w:r>
      <w:r w:rsidR="0005669B">
        <w:rPr>
          <w:bCs/>
          <w:sz w:val="22"/>
          <w:szCs w:val="22"/>
          <w:lang w:val="en-US"/>
        </w:rPr>
        <w:instrText xml:space="preserve"> ADDIN EN.CITE &lt;EndNote&gt;&lt;Cite&gt;&lt;Author&gt;Barney&lt;/Author&gt;&lt;Year&gt;1991&lt;/Year&gt;&lt;RecNum&gt;17&lt;/RecNum&gt;&lt;DisplayText&gt;&lt;style face="superscript"&gt;13&lt;/style&gt;&lt;/DisplayText&gt;&lt;record&gt;&lt;rec-number&gt;17&lt;/rec-number&gt;&lt;foreign-keys&gt;&lt;key app="EN" db-id="wapx0v0s4rw2r6esw9dpwpd1wwvx05v0920r" timestamp="1755489993"&gt;17&lt;/key&gt;&lt;/foreign-keys&gt;&lt;ref-type name="Journal Article"&gt;17&lt;/ref-type&gt;&lt;contributors&gt;&lt;authors&gt;&lt;author&gt;Barney, Jay&lt;/author&gt;&lt;/authors&gt;&lt;/contributors&gt;&lt;titles&gt;&lt;title&gt;Firm resources and sustained competitive advantage&lt;/title&gt;&lt;secondary-title&gt;Journal of management&lt;/secondary-title&gt;&lt;/titles&gt;&lt;pages&gt;99-120&lt;/pages&gt;&lt;volume&gt;17&lt;/volume&gt;&lt;number&gt;1&lt;/number&gt;&lt;dates&gt;&lt;year&gt;1991&lt;/year&gt;&lt;/dates&gt;&lt;isbn&gt;0149-2063&lt;/isbn&gt;&lt;urls&gt;&lt;/urls&gt;&lt;/record&gt;&lt;/Cite&gt;&lt;/EndNote&gt;</w:instrText>
      </w:r>
      <w:r w:rsidR="008166A3">
        <w:rPr>
          <w:bCs/>
          <w:sz w:val="22"/>
          <w:szCs w:val="22"/>
          <w:lang w:val="en-US"/>
        </w:rPr>
        <w:fldChar w:fldCharType="separate"/>
      </w:r>
      <w:r w:rsidR="0005669B" w:rsidRPr="0005669B">
        <w:rPr>
          <w:bCs/>
          <w:noProof/>
          <w:sz w:val="22"/>
          <w:szCs w:val="22"/>
          <w:vertAlign w:val="superscript"/>
          <w:lang w:val="en-US"/>
        </w:rPr>
        <w:t>13</w:t>
      </w:r>
      <w:r w:rsidR="008166A3">
        <w:rPr>
          <w:bCs/>
          <w:sz w:val="22"/>
          <w:szCs w:val="22"/>
          <w:lang w:val="en-US"/>
        </w:rPr>
        <w:fldChar w:fldCharType="end"/>
      </w:r>
      <w:r w:rsidRPr="005F5AEC">
        <w:rPr>
          <w:bCs/>
          <w:sz w:val="22"/>
          <w:szCs w:val="22"/>
          <w:lang w:val="en-US"/>
        </w:rPr>
        <w:t xml:space="preserve">and the dynamic capabilities perspective to explain </w:t>
      </w:r>
      <w:r w:rsidR="007356CA">
        <w:rPr>
          <w:bCs/>
          <w:sz w:val="22"/>
          <w:szCs w:val="22"/>
          <w:lang w:val="en-US"/>
        </w:rPr>
        <w:t>Fintech</w:t>
      </w:r>
      <w:r w:rsidRPr="005F5AEC">
        <w:rPr>
          <w:bCs/>
          <w:sz w:val="22"/>
          <w:szCs w:val="22"/>
          <w:lang w:val="en-US"/>
        </w:rPr>
        <w:t xml:space="preserve"> adoption in banking. RBV argues that firms achieve sustainable competitive advantage by possessing and effectively deploying valuable, rare, inimitable, and non-substitutable resources</w:t>
      </w:r>
      <w:r w:rsidR="000D3A5D">
        <w:rPr>
          <w:bCs/>
          <w:sz w:val="22"/>
          <w:szCs w:val="22"/>
          <w:lang w:val="en-US"/>
        </w:rPr>
        <w:t>.</w:t>
      </w:r>
      <w:r w:rsidRPr="005F5AEC">
        <w:rPr>
          <w:bCs/>
          <w:sz w:val="22"/>
          <w:szCs w:val="22"/>
          <w:lang w:val="en-US"/>
        </w:rPr>
        <w:t xml:space="preserve"> In the banking context, such resources include financial strength, technological infrastructure, human capital, and governance quality, which collectively shape banks’ capacity to invest in and implement </w:t>
      </w:r>
      <w:r w:rsidR="007356CA">
        <w:rPr>
          <w:bCs/>
          <w:sz w:val="22"/>
          <w:szCs w:val="22"/>
          <w:lang w:val="en-US"/>
        </w:rPr>
        <w:t>Fintech</w:t>
      </w:r>
      <w:r w:rsidRPr="005F5AEC">
        <w:rPr>
          <w:bCs/>
          <w:sz w:val="22"/>
          <w:szCs w:val="22"/>
          <w:lang w:val="en-US"/>
        </w:rPr>
        <w:t xml:space="preserve"> solutions</w:t>
      </w:r>
      <w:r w:rsidR="00C31A73">
        <w:rPr>
          <w:bCs/>
          <w:sz w:val="22"/>
          <w:szCs w:val="22"/>
          <w:lang w:val="en-US"/>
        </w:rPr>
        <w:t>.</w:t>
      </w:r>
      <w:r>
        <w:rPr>
          <w:bCs/>
          <w:sz w:val="22"/>
          <w:szCs w:val="22"/>
          <w:lang w:val="en-US"/>
        </w:rPr>
        <w:fldChar w:fldCharType="begin"/>
      </w:r>
      <w:r w:rsidR="0005669B">
        <w:rPr>
          <w:bCs/>
          <w:sz w:val="22"/>
          <w:szCs w:val="22"/>
          <w:lang w:val="en-US"/>
        </w:rPr>
        <w:instrText xml:space="preserve"> ADDIN EN.CITE &lt;EndNote&gt;&lt;Cite&gt;&lt;Author&gt;Li&lt;/Author&gt;&lt;Year&gt;2017&lt;/Year&gt;&lt;RecNum&gt;18&lt;/RecNum&gt;&lt;DisplayText&gt;&lt;style face="superscript"&gt;15&lt;/style&gt;&lt;/DisplayText&gt;&lt;record&gt;&lt;rec-number&gt;18&lt;/rec-number&gt;&lt;foreign-keys&gt;&lt;key app="EN" db-id="wapx0v0s4rw2r6esw9dpwpd1wwvx05v0920r" timestamp="1755490058"&gt;18&lt;/key&gt;&lt;/foreign-keys&gt;&lt;ref-type name="Journal Article"&gt;17&lt;/ref-type&gt;&lt;contributors&gt;&lt;authors&gt;&lt;author&gt;Li, Yinqiao&lt;/author&gt;&lt;author&gt;Spigt, Renée&lt;/author&gt;&lt;author&gt;Swinkels, Laurens&lt;/author&gt;&lt;/authors&gt;&lt;/contributors&gt;&lt;titles&gt;&lt;title&gt;The impact of FinTech start-ups on incumbent retail banks’ share prices&lt;/title&gt;&lt;secondary-title&gt;Financial Innovation&lt;/secondary-title&gt;&lt;/titles&gt;&lt;pages&gt;26&lt;/pages&gt;&lt;volume&gt;3&lt;/volume&gt;&lt;number&gt;1&lt;/number&gt;&lt;dates&gt;&lt;year&gt;2017&lt;/year&gt;&lt;/dates&gt;&lt;isbn&gt;2199-4730&lt;/isbn&gt;&lt;urls&gt;&lt;/urls&gt;&lt;/record&gt;&lt;/Cite&gt;&lt;/EndNote&gt;</w:instrText>
      </w:r>
      <w:r>
        <w:rPr>
          <w:bCs/>
          <w:sz w:val="22"/>
          <w:szCs w:val="22"/>
          <w:lang w:val="en-US"/>
        </w:rPr>
        <w:fldChar w:fldCharType="separate"/>
      </w:r>
      <w:r w:rsidR="0005669B" w:rsidRPr="0005669B">
        <w:rPr>
          <w:bCs/>
          <w:noProof/>
          <w:sz w:val="22"/>
          <w:szCs w:val="22"/>
          <w:vertAlign w:val="superscript"/>
          <w:lang w:val="en-US"/>
        </w:rPr>
        <w:t>15</w:t>
      </w:r>
      <w:r>
        <w:rPr>
          <w:bCs/>
          <w:sz w:val="22"/>
          <w:szCs w:val="22"/>
          <w:lang w:val="en-US"/>
        </w:rPr>
        <w:fldChar w:fldCharType="end"/>
      </w:r>
    </w:p>
    <w:p w14:paraId="6180D5BA" w14:textId="2A1E56F1" w:rsidR="005F5AEC" w:rsidRDefault="005F5AEC" w:rsidP="005F5AEC">
      <w:pPr>
        <w:shd w:val="clear" w:color="auto" w:fill="FFFFFF"/>
        <w:tabs>
          <w:tab w:val="left" w:pos="360"/>
          <w:tab w:val="right" w:pos="9072"/>
        </w:tabs>
        <w:spacing w:before="120"/>
        <w:jc w:val="both"/>
        <w:rPr>
          <w:bCs/>
          <w:sz w:val="22"/>
          <w:szCs w:val="22"/>
          <w:lang w:val="en-US"/>
        </w:rPr>
      </w:pPr>
      <w:r w:rsidRPr="005F5AEC">
        <w:rPr>
          <w:bCs/>
          <w:sz w:val="22"/>
          <w:szCs w:val="22"/>
          <w:lang w:val="en-US"/>
        </w:rPr>
        <w:t>Complementing RBV, the dynamic capabilities perspective emphasizes firms’ abilities to sense technological opportunities, seize them through strategic investment, and transform organizational structures and processes in response to environmental change</w:t>
      </w:r>
      <w:r w:rsidR="00A7537E">
        <w:rPr>
          <w:bCs/>
          <w:sz w:val="22"/>
          <w:szCs w:val="22"/>
          <w:lang w:val="en-US"/>
        </w:rPr>
        <w:t>.</w:t>
      </w:r>
      <w:r w:rsidR="00CB4AFF">
        <w:rPr>
          <w:bCs/>
          <w:sz w:val="22"/>
          <w:szCs w:val="22"/>
          <w:lang w:val="en-US"/>
        </w:rPr>
        <w:fldChar w:fldCharType="begin"/>
      </w:r>
      <w:r w:rsidR="0005669B">
        <w:rPr>
          <w:bCs/>
          <w:sz w:val="22"/>
          <w:szCs w:val="22"/>
          <w:lang w:val="en-US"/>
        </w:rPr>
        <w:instrText xml:space="preserve"> ADDIN EN.CITE &lt;EndNote&gt;&lt;Cite&gt;&lt;Author&gt;Teece&lt;/Author&gt;&lt;Year&gt;1997&lt;/Year&gt;&lt;RecNum&gt;19&lt;/RecNum&gt;&lt;DisplayText&gt;&lt;style face="superscript"&gt;14&lt;/style&gt;&lt;/DisplayText&gt;&lt;record&gt;&lt;rec-number&gt;19&lt;/rec-number&gt;&lt;foreign-keys&gt;&lt;key app="EN" db-id="wapx0v0s4rw2r6esw9dpwpd1wwvx05v0920r" timestamp="1755490116"&gt;19&lt;/key&gt;&lt;/foreign-keys&gt;&lt;ref-type name="Journal Article"&gt;17&lt;/ref-type&gt;&lt;contributors&gt;&lt;authors&gt;&lt;author&gt;Teece, David J&lt;/author&gt;&lt;author&gt;Pisano, Gary&lt;/author&gt;&lt;author&gt;Shuen, Amy&lt;/author&gt;&lt;/authors&gt;&lt;/contributors&gt;&lt;titles&gt;&lt;title&gt;Dynamic capabilities and strategic management&lt;/title&gt;&lt;secondary-title&gt;Strategic management journal&lt;/secondary-title&gt;&lt;/titles&gt;&lt;pages&gt;509-533&lt;/pages&gt;&lt;volume&gt;18&lt;/volume&gt;&lt;number&gt;7&lt;/number&gt;&lt;dates&gt;&lt;year&gt;1997&lt;/year&gt;&lt;/dates&gt;&lt;isbn&gt;0143-2095&lt;/isbn&gt;&lt;urls&gt;&lt;/urls&gt;&lt;/record&gt;&lt;/Cite&gt;&lt;/EndNote&gt;</w:instrText>
      </w:r>
      <w:r w:rsidR="00CB4AFF">
        <w:rPr>
          <w:bCs/>
          <w:sz w:val="22"/>
          <w:szCs w:val="22"/>
          <w:lang w:val="en-US"/>
        </w:rPr>
        <w:fldChar w:fldCharType="separate"/>
      </w:r>
      <w:r w:rsidR="0005669B" w:rsidRPr="0005669B">
        <w:rPr>
          <w:bCs/>
          <w:noProof/>
          <w:sz w:val="22"/>
          <w:szCs w:val="22"/>
          <w:vertAlign w:val="superscript"/>
          <w:lang w:val="en-US"/>
        </w:rPr>
        <w:t>14</w:t>
      </w:r>
      <w:r w:rsidR="00CB4AFF">
        <w:rPr>
          <w:bCs/>
          <w:sz w:val="22"/>
          <w:szCs w:val="22"/>
          <w:lang w:val="en-US"/>
        </w:rPr>
        <w:fldChar w:fldCharType="end"/>
      </w:r>
      <w:r w:rsidRPr="005F5AEC">
        <w:rPr>
          <w:bCs/>
          <w:sz w:val="22"/>
          <w:szCs w:val="22"/>
          <w:lang w:val="en-US"/>
        </w:rPr>
        <w:t xml:space="preserve"> Given the rapid pace of digital disruption and increasing regulatory complexity, dynamic capabilities are particularly relevant in banking. Empirical evidence from the digital transformation literature indicates that banks’ ability to reconfigure internal resources and redesign operational processes is critical for effective </w:t>
      </w:r>
      <w:r w:rsidR="007356CA">
        <w:rPr>
          <w:bCs/>
          <w:sz w:val="22"/>
          <w:szCs w:val="22"/>
          <w:lang w:val="en-US"/>
        </w:rPr>
        <w:t>Fintech</w:t>
      </w:r>
      <w:r w:rsidRPr="005F5AEC">
        <w:rPr>
          <w:bCs/>
          <w:sz w:val="22"/>
          <w:szCs w:val="22"/>
          <w:lang w:val="en-US"/>
        </w:rPr>
        <w:t xml:space="preserve"> adoption and long-term performance</w:t>
      </w:r>
      <w:r w:rsidR="00A7537E">
        <w:rPr>
          <w:bCs/>
          <w:sz w:val="22"/>
          <w:szCs w:val="22"/>
          <w:lang w:val="en-US"/>
        </w:rPr>
        <w:t>.</w:t>
      </w:r>
      <w:r w:rsidR="00CB4AFF">
        <w:rPr>
          <w:bCs/>
          <w:sz w:val="22"/>
          <w:szCs w:val="22"/>
          <w:lang w:val="en-US"/>
        </w:rPr>
        <w:fldChar w:fldCharType="begin"/>
      </w:r>
      <w:r w:rsidR="0005669B">
        <w:rPr>
          <w:bCs/>
          <w:sz w:val="22"/>
          <w:szCs w:val="22"/>
          <w:lang w:val="en-US"/>
        </w:rPr>
        <w:instrText xml:space="preserve"> ADDIN EN.CITE &lt;EndNote&gt;&lt;Cite&gt;&lt;Author&gt;Warner&lt;/Author&gt;&lt;Year&gt;2019&lt;/Year&gt;&lt;RecNum&gt;20&lt;/RecNum&gt;&lt;DisplayText&gt;&lt;style face="superscript"&gt;16&lt;/style&gt;&lt;/DisplayText&gt;&lt;record&gt;&lt;rec-number&gt;20&lt;/rec-number&gt;&lt;foreign-keys&gt;&lt;key app="EN" db-id="wapx0v0s4rw2r6esw9dpwpd1wwvx05v0920r" timestamp="1755490175"&gt;20&lt;/key&gt;&lt;/foreign-keys&gt;&lt;ref-type name="Journal Article"&gt;17&lt;/ref-type&gt;&lt;contributors&gt;&lt;authors&gt;&lt;author&gt;Warner, Karl SR&lt;/author&gt;&lt;author&gt;Wäger, Maximilian&lt;/author&gt;&lt;/authors&gt;&lt;/contributors&gt;&lt;titles&gt;&lt;title&gt;Building dynamic capabilities for digital transformation: An ongoing process of strategic renewal&lt;/title&gt;&lt;secondary-title&gt;Long range planning&lt;/secondary-title&gt;&lt;/titles&gt;&lt;pages&gt;326-349&lt;/pages&gt;&lt;volume&gt;52&lt;/volume&gt;&lt;number&gt;3&lt;/number&gt;&lt;dates&gt;&lt;year&gt;2019&lt;/year&gt;&lt;/dates&gt;&lt;isbn&gt;0024-6301&lt;/isbn&gt;&lt;urls&gt;&lt;/urls&gt;&lt;/record&gt;&lt;/Cite&gt;&lt;/EndNote&gt;</w:instrText>
      </w:r>
      <w:r w:rsidR="00CB4AFF">
        <w:rPr>
          <w:bCs/>
          <w:sz w:val="22"/>
          <w:szCs w:val="22"/>
          <w:lang w:val="en-US"/>
        </w:rPr>
        <w:fldChar w:fldCharType="separate"/>
      </w:r>
      <w:r w:rsidR="0005669B" w:rsidRPr="0005669B">
        <w:rPr>
          <w:bCs/>
          <w:noProof/>
          <w:sz w:val="22"/>
          <w:szCs w:val="22"/>
          <w:vertAlign w:val="superscript"/>
          <w:lang w:val="en-US"/>
        </w:rPr>
        <w:t>16</w:t>
      </w:r>
      <w:r w:rsidR="00CB4AFF">
        <w:rPr>
          <w:bCs/>
          <w:sz w:val="22"/>
          <w:szCs w:val="22"/>
          <w:lang w:val="en-US"/>
        </w:rPr>
        <w:fldChar w:fldCharType="end"/>
      </w:r>
      <w:r w:rsidRPr="005F5AEC">
        <w:rPr>
          <w:bCs/>
          <w:sz w:val="22"/>
          <w:szCs w:val="22"/>
          <w:lang w:val="en-US"/>
        </w:rPr>
        <w:t xml:space="preserve"> Together, RBV and dynamic capabilities provide a theoretically grounded lens for conceptualizing </w:t>
      </w:r>
      <w:r w:rsidR="007356CA">
        <w:rPr>
          <w:bCs/>
          <w:sz w:val="22"/>
          <w:szCs w:val="22"/>
          <w:lang w:val="en-US"/>
        </w:rPr>
        <w:t>Fintech</w:t>
      </w:r>
      <w:r w:rsidRPr="005F5AEC">
        <w:rPr>
          <w:bCs/>
          <w:sz w:val="22"/>
          <w:szCs w:val="22"/>
          <w:lang w:val="en-US"/>
        </w:rPr>
        <w:t xml:space="preserve"> adoption as a strategic and capability-driven process rather than a purely technological decision.</w:t>
      </w:r>
    </w:p>
    <w:p w14:paraId="67390998" w14:textId="092CE821" w:rsidR="008166A3" w:rsidRDefault="00B521F1" w:rsidP="005F5AEC">
      <w:pPr>
        <w:shd w:val="clear" w:color="auto" w:fill="FFFFFF"/>
        <w:tabs>
          <w:tab w:val="left" w:pos="360"/>
          <w:tab w:val="right" w:pos="9072"/>
        </w:tabs>
        <w:spacing w:before="120"/>
        <w:jc w:val="both"/>
        <w:rPr>
          <w:b/>
          <w:sz w:val="22"/>
          <w:szCs w:val="22"/>
          <w:lang w:val="en-US"/>
        </w:rPr>
      </w:pPr>
      <w:r w:rsidRPr="00B521F1">
        <w:rPr>
          <w:b/>
          <w:sz w:val="22"/>
          <w:szCs w:val="22"/>
        </w:rPr>
        <w:t>2.1.4. Agency theory and institutional theory</w:t>
      </w:r>
    </w:p>
    <w:p w14:paraId="2709A341" w14:textId="5943AC21" w:rsidR="00B521F1" w:rsidRPr="0005669B" w:rsidRDefault="00B521F1" w:rsidP="00B521F1">
      <w:pPr>
        <w:shd w:val="clear" w:color="auto" w:fill="FFFFFF"/>
        <w:tabs>
          <w:tab w:val="left" w:pos="360"/>
          <w:tab w:val="right" w:pos="9072"/>
        </w:tabs>
        <w:spacing w:before="120"/>
        <w:jc w:val="both"/>
        <w:rPr>
          <w:bCs/>
          <w:sz w:val="22"/>
          <w:szCs w:val="22"/>
          <w:lang w:val="en-US"/>
        </w:rPr>
      </w:pPr>
      <w:r w:rsidRPr="00B521F1">
        <w:rPr>
          <w:bCs/>
          <w:sz w:val="22"/>
          <w:szCs w:val="22"/>
          <w:lang w:val="en-US"/>
        </w:rPr>
        <w:t xml:space="preserve">Agency theory provides a governance-oriented lens for understanding </w:t>
      </w:r>
      <w:r w:rsidR="007356CA">
        <w:rPr>
          <w:bCs/>
          <w:sz w:val="22"/>
          <w:szCs w:val="22"/>
          <w:lang w:val="en-US"/>
        </w:rPr>
        <w:t>Fintech</w:t>
      </w:r>
      <w:r w:rsidRPr="00B521F1">
        <w:rPr>
          <w:bCs/>
          <w:sz w:val="22"/>
          <w:szCs w:val="22"/>
          <w:lang w:val="en-US"/>
        </w:rPr>
        <w:t xml:space="preserve"> adoption decisions in banks by focusing on conflicts of interest between principals and agents. According to agency theory, managerial decisions are shaped by incentive structures, risk preferences, and monitoring mechanisms, such as board oversight, ownership concentration, and internal control systems</w:t>
      </w:r>
      <w:r w:rsidR="00C31A73">
        <w:rPr>
          <w:bCs/>
          <w:sz w:val="22"/>
          <w:szCs w:val="22"/>
          <w:lang w:val="en-US"/>
        </w:rPr>
        <w:t>.</w:t>
      </w:r>
      <w:r w:rsidR="00C652DF">
        <w:rPr>
          <w:bCs/>
          <w:sz w:val="22"/>
          <w:szCs w:val="22"/>
          <w:lang w:val="en-US"/>
        </w:rPr>
        <w:fldChar w:fldCharType="begin"/>
      </w:r>
      <w:r w:rsidR="0005669B">
        <w:rPr>
          <w:bCs/>
          <w:sz w:val="22"/>
          <w:szCs w:val="22"/>
          <w:lang w:val="en-US"/>
        </w:rPr>
        <w:instrText xml:space="preserve"> ADDIN EN.CITE &lt;EndNote&gt;&lt;Cite&gt;&lt;Author&gt;Jensen&lt;/Author&gt;&lt;Year&gt;2019&lt;/Year&gt;&lt;RecNum&gt;21&lt;/RecNum&gt;&lt;DisplayText&gt;&lt;style face="superscript"&gt;17&lt;/style&gt;&lt;/DisplayText&gt;&lt;record&gt;&lt;rec-number&gt;21&lt;/rec-number&gt;&lt;foreign-keys&gt;&lt;key app="EN" db-id="wapx0v0s4rw2r6esw9dpwpd1wwvx05v0920r" timestamp="1755490214"&gt;21&lt;/key&gt;&lt;/foreign-keys&gt;&lt;ref-type name="Book Section"&gt;5&lt;/ref-type&gt;&lt;contributors&gt;&lt;authors&gt;&lt;author&gt;Jensen, Michael C&lt;/author&gt;&lt;author&gt;Meckling, William H&lt;/author&gt;&lt;/authors&gt;&lt;/contributors&gt;&lt;titles&gt;&lt;title&gt;Theory of the firm: Managerial behavior, agency costs and ownership structure&lt;/title&gt;&lt;secondary-title&gt;Corporate governance&lt;/secondary-title&gt;&lt;/titles&gt;&lt;pages&gt;77-132&lt;/pages&gt;&lt;dates&gt;&lt;year&gt;2019&lt;/year&gt;&lt;/dates&gt;&lt;publisher&gt;Gower&lt;/publisher&gt;&lt;urls&gt;&lt;/urls&gt;&lt;/record&gt;&lt;/Cite&gt;&lt;/EndNote&gt;</w:instrText>
      </w:r>
      <w:r w:rsidR="00C652DF">
        <w:rPr>
          <w:bCs/>
          <w:sz w:val="22"/>
          <w:szCs w:val="22"/>
          <w:lang w:val="en-US"/>
        </w:rPr>
        <w:fldChar w:fldCharType="separate"/>
      </w:r>
      <w:r w:rsidR="0005669B" w:rsidRPr="0005669B">
        <w:rPr>
          <w:bCs/>
          <w:noProof/>
          <w:sz w:val="22"/>
          <w:szCs w:val="22"/>
          <w:vertAlign w:val="superscript"/>
          <w:lang w:val="en-US"/>
        </w:rPr>
        <w:t>17</w:t>
      </w:r>
      <w:r w:rsidR="00C652DF">
        <w:rPr>
          <w:bCs/>
          <w:sz w:val="22"/>
          <w:szCs w:val="22"/>
          <w:lang w:val="en-US"/>
        </w:rPr>
        <w:fldChar w:fldCharType="end"/>
      </w:r>
      <w:r w:rsidR="00C652DF">
        <w:rPr>
          <w:bCs/>
          <w:sz w:val="22"/>
          <w:szCs w:val="22"/>
          <w:lang w:val="en-US"/>
        </w:rPr>
        <w:t xml:space="preserve"> </w:t>
      </w:r>
      <w:r w:rsidRPr="00B521F1">
        <w:rPr>
          <w:bCs/>
          <w:sz w:val="22"/>
          <w:szCs w:val="22"/>
          <w:lang w:val="en-US"/>
        </w:rPr>
        <w:t xml:space="preserve">In the banking sector, where </w:t>
      </w:r>
      <w:r w:rsidR="007356CA">
        <w:rPr>
          <w:bCs/>
          <w:sz w:val="22"/>
          <w:szCs w:val="22"/>
          <w:lang w:val="en-US"/>
        </w:rPr>
        <w:t>Fintech</w:t>
      </w:r>
      <w:r w:rsidRPr="00B521F1">
        <w:rPr>
          <w:bCs/>
          <w:sz w:val="22"/>
          <w:szCs w:val="22"/>
          <w:lang w:val="en-US"/>
        </w:rPr>
        <w:t xml:space="preserve"> adoption often entails substantial upfront investment and heightened operational and compliance risks, agency-related considerations play a critical role in shaping managers’ willingness to pursue digital innovation. Prior studies suggest that stronger governance mechanisms can mitigate managerial risk aversion and align innovation decisions with </w:t>
      </w:r>
      <w:r w:rsidRPr="0005669B">
        <w:rPr>
          <w:bCs/>
          <w:sz w:val="22"/>
          <w:szCs w:val="22"/>
          <w:lang w:val="en-US"/>
        </w:rPr>
        <w:t>long-term shareholder and stakeholder interests</w:t>
      </w:r>
      <w:r w:rsidR="00C31A73">
        <w:rPr>
          <w:bCs/>
          <w:sz w:val="22"/>
          <w:szCs w:val="22"/>
          <w:lang w:val="en-US"/>
        </w:rPr>
        <w:t>.</w:t>
      </w:r>
      <w:r w:rsidR="00C15AF9" w:rsidRPr="0005669B">
        <w:rPr>
          <w:bCs/>
          <w:sz w:val="22"/>
          <w:szCs w:val="22"/>
          <w:lang w:val="en-US"/>
        </w:rPr>
        <w:fldChar w:fldCharType="begin"/>
      </w:r>
      <w:r w:rsidR="0005669B" w:rsidRPr="0005669B">
        <w:rPr>
          <w:bCs/>
          <w:sz w:val="22"/>
          <w:szCs w:val="22"/>
          <w:lang w:val="en-US"/>
        </w:rPr>
        <w:instrText xml:space="preserve"> ADDIN EN.CITE &lt;EndNote&gt;&lt;Cite&gt;&lt;Author&gt;Jiraporn&lt;/Author&gt;&lt;Year&gt;2018&lt;/Year&gt;&lt;RecNum&gt;96&lt;/RecNum&gt;&lt;DisplayText&gt;&lt;style face="superscript"&gt;21&lt;/style&gt;&lt;/DisplayText&gt;&lt;record&gt;&lt;rec-number&gt;96&lt;/rec-number&gt;&lt;foreign-keys&gt;&lt;key app="EN" db-id="wapx0v0s4rw2r6esw9dpwpd1wwvx05v0920r" timestamp="1769659270"&gt;96&lt;/key&gt;&lt;/foreign-keys&gt;&lt;ref-type name="Journal Article"&gt;17&lt;/ref-type&gt;&lt;contributors&gt;&lt;authors&gt;&lt;author&gt;Jiraporn, Pornsit&lt;/author&gt;&lt;author&gt;Lee, Sang Mook&lt;/author&gt;&lt;author&gt;Park, Kuen Jae&lt;/author&gt;&lt;author&gt;Song, HakJoon&lt;/author&gt;&lt;/authors&gt;&lt;/contributors&gt;&lt;titles&gt;&lt;title&gt;How do independent directors influence innovation productivity? A quasi-natural experiment&lt;/title&gt;&lt;secondary-title&gt;Applied Economics Letters&lt;/secondary-title&gt;&lt;/titles&gt;&lt;periodical&gt;&lt;full-title&gt;Applied Economics Letters&lt;/full-title&gt;&lt;/periodical&gt;&lt;pages&gt;435-441&lt;/pages&gt;&lt;volume&gt;25&lt;/volume&gt;&lt;number&gt;7&lt;/number&gt;&lt;dates&gt;&lt;year&gt;2018&lt;/year&gt;&lt;/dates&gt;&lt;isbn&gt;1350-4851&lt;/isbn&gt;&lt;urls&gt;&lt;/urls&gt;&lt;/record&gt;&lt;/Cite&gt;&lt;/EndNote&gt;</w:instrText>
      </w:r>
      <w:r w:rsidR="00C15AF9" w:rsidRPr="0005669B">
        <w:rPr>
          <w:bCs/>
          <w:sz w:val="22"/>
          <w:szCs w:val="22"/>
          <w:lang w:val="en-US"/>
        </w:rPr>
        <w:fldChar w:fldCharType="separate"/>
      </w:r>
      <w:r w:rsidR="0005669B" w:rsidRPr="0005669B">
        <w:rPr>
          <w:bCs/>
          <w:noProof/>
          <w:sz w:val="22"/>
          <w:szCs w:val="22"/>
          <w:vertAlign w:val="superscript"/>
          <w:lang w:val="en-US"/>
        </w:rPr>
        <w:t>21</w:t>
      </w:r>
      <w:r w:rsidR="00C15AF9" w:rsidRPr="0005669B">
        <w:rPr>
          <w:bCs/>
          <w:sz w:val="22"/>
          <w:szCs w:val="22"/>
          <w:lang w:val="en-US"/>
        </w:rPr>
        <w:fldChar w:fldCharType="end"/>
      </w:r>
    </w:p>
    <w:p w14:paraId="37C8AED5" w14:textId="66DE6D19" w:rsidR="00B521F1" w:rsidRPr="00B521F1" w:rsidRDefault="00B521F1" w:rsidP="00B521F1">
      <w:pPr>
        <w:shd w:val="clear" w:color="auto" w:fill="FFFFFF"/>
        <w:tabs>
          <w:tab w:val="left" w:pos="360"/>
          <w:tab w:val="right" w:pos="9072"/>
        </w:tabs>
        <w:spacing w:before="120"/>
        <w:jc w:val="both"/>
        <w:rPr>
          <w:bCs/>
          <w:sz w:val="22"/>
          <w:szCs w:val="22"/>
          <w:lang w:val="en-US"/>
        </w:rPr>
      </w:pPr>
      <w:r w:rsidRPr="0005669B">
        <w:rPr>
          <w:bCs/>
          <w:sz w:val="22"/>
          <w:szCs w:val="22"/>
          <w:lang w:val="en-US"/>
        </w:rPr>
        <w:t>Institutional</w:t>
      </w:r>
      <w:r w:rsidRPr="00B521F1">
        <w:rPr>
          <w:bCs/>
          <w:sz w:val="22"/>
          <w:szCs w:val="22"/>
          <w:lang w:val="en-US"/>
        </w:rPr>
        <w:t xml:space="preserve"> theory complements the agency perspective by emphasizing the role of regulatory, normative, and cognitive pressures in shaping organizational behavior</w:t>
      </w:r>
      <w:r w:rsidR="00C31A73">
        <w:rPr>
          <w:bCs/>
          <w:sz w:val="22"/>
          <w:szCs w:val="22"/>
          <w:lang w:val="en-US"/>
        </w:rPr>
        <w:t>.</w:t>
      </w:r>
      <w:r w:rsidR="00C652DF">
        <w:rPr>
          <w:bCs/>
          <w:sz w:val="22"/>
          <w:szCs w:val="22"/>
          <w:lang w:val="en-US"/>
        </w:rPr>
        <w:fldChar w:fldCharType="begin"/>
      </w:r>
      <w:r w:rsidR="0005669B">
        <w:rPr>
          <w:bCs/>
          <w:sz w:val="22"/>
          <w:szCs w:val="22"/>
          <w:lang w:val="en-US"/>
        </w:rPr>
        <w:instrText xml:space="preserve"> ADDIN EN.CITE &lt;EndNote&gt;&lt;Cite&gt;&lt;Author&gt;DiMaggio&lt;/Author&gt;&lt;Year&gt;1983&lt;/Year&gt;&lt;RecNum&gt;22&lt;/RecNum&gt;&lt;DisplayText&gt;&lt;style face="superscript"&gt;18&lt;/style&gt;&lt;/DisplayText&gt;&lt;record&gt;&lt;rec-number&gt;22&lt;/rec-number&gt;&lt;foreign-keys&gt;&lt;key app="EN" db-id="wapx0v0s4rw2r6esw9dpwpd1wwvx05v0920r" timestamp="1755490378"&gt;22&lt;/key&gt;&lt;/foreign-keys&gt;&lt;ref-type name="Journal Article"&gt;17&lt;/ref-type&gt;&lt;contributors&gt;&lt;authors&gt;&lt;author&gt;DiMaggio, Paul J&lt;/author&gt;&lt;author&gt;Powell, Walter W&lt;/author&gt;&lt;/authors&gt;&lt;/contributors&gt;&lt;titles&gt;&lt;title&gt;The iron cage revisited: Institutional isomorphism and collective rationality in organizational fields&lt;/title&gt;&lt;secondary-title&gt;American sociological review&lt;/secondary-title&gt;&lt;/titles&gt;&lt;pages&gt;147-160&lt;/pages&gt;&lt;volume&gt;48&lt;/volume&gt;&lt;number&gt;2&lt;/number&gt;&lt;dates&gt;&lt;year&gt;1983&lt;/year&gt;&lt;/dates&gt;&lt;isbn&gt;0003-1224&lt;/isbn&gt;&lt;urls&gt;&lt;/urls&gt;&lt;/record&gt;&lt;/Cite&gt;&lt;/EndNote&gt;</w:instrText>
      </w:r>
      <w:r w:rsidR="00C652DF">
        <w:rPr>
          <w:bCs/>
          <w:sz w:val="22"/>
          <w:szCs w:val="22"/>
          <w:lang w:val="en-US"/>
        </w:rPr>
        <w:fldChar w:fldCharType="separate"/>
      </w:r>
      <w:r w:rsidR="0005669B" w:rsidRPr="0005669B">
        <w:rPr>
          <w:bCs/>
          <w:noProof/>
          <w:sz w:val="22"/>
          <w:szCs w:val="22"/>
          <w:vertAlign w:val="superscript"/>
          <w:lang w:val="en-US"/>
        </w:rPr>
        <w:t>18</w:t>
      </w:r>
      <w:r w:rsidR="00C652DF">
        <w:rPr>
          <w:bCs/>
          <w:sz w:val="22"/>
          <w:szCs w:val="22"/>
          <w:lang w:val="en-US"/>
        </w:rPr>
        <w:fldChar w:fldCharType="end"/>
      </w:r>
      <w:r w:rsidRPr="00B521F1">
        <w:rPr>
          <w:bCs/>
          <w:sz w:val="22"/>
          <w:szCs w:val="22"/>
          <w:lang w:val="en-US"/>
        </w:rPr>
        <w:t xml:space="preserve"> Banks operate in highly institutionalized environments characterized by stringent regulatory requirements, supervisory scrutiny, and strong legitimacy concerns. As a result, </w:t>
      </w:r>
      <w:r w:rsidR="007356CA">
        <w:rPr>
          <w:bCs/>
          <w:sz w:val="22"/>
          <w:szCs w:val="22"/>
          <w:lang w:val="en-US"/>
        </w:rPr>
        <w:t>Fintech</w:t>
      </w:r>
      <w:r w:rsidRPr="00B521F1">
        <w:rPr>
          <w:bCs/>
          <w:sz w:val="22"/>
          <w:szCs w:val="22"/>
          <w:lang w:val="en-US"/>
        </w:rPr>
        <w:t xml:space="preserve"> adoption decisions are not solely driven by efficiency or competitive considerations but are also influenced by compliance expectations, regulatory signaling, and the pursuit of organizational legitimacy. Institutional pressures may therefore both enable and constrain </w:t>
      </w:r>
      <w:r w:rsidR="007356CA">
        <w:rPr>
          <w:bCs/>
          <w:sz w:val="22"/>
          <w:szCs w:val="22"/>
          <w:lang w:val="en-US"/>
        </w:rPr>
        <w:t>Fintech</w:t>
      </w:r>
      <w:r w:rsidRPr="00B521F1">
        <w:rPr>
          <w:bCs/>
          <w:sz w:val="22"/>
          <w:szCs w:val="22"/>
          <w:lang w:val="en-US"/>
        </w:rPr>
        <w:t xml:space="preserve"> adoption, depending on the design and enforcement of regulatory </w:t>
      </w:r>
      <w:r w:rsidRPr="0005669B">
        <w:rPr>
          <w:bCs/>
          <w:sz w:val="22"/>
          <w:szCs w:val="22"/>
          <w:lang w:val="en-US"/>
        </w:rPr>
        <w:t>frameworks</w:t>
      </w:r>
      <w:r w:rsidR="00C31A73">
        <w:rPr>
          <w:bCs/>
          <w:sz w:val="22"/>
          <w:szCs w:val="22"/>
          <w:lang w:val="en-US"/>
        </w:rPr>
        <w:t>.</w:t>
      </w:r>
      <w:r w:rsidR="0051095C" w:rsidRPr="0005669B">
        <w:rPr>
          <w:bCs/>
          <w:sz w:val="22"/>
          <w:szCs w:val="22"/>
          <w:lang w:val="en-US"/>
        </w:rPr>
        <w:fldChar w:fldCharType="begin"/>
      </w:r>
      <w:r w:rsidR="0005669B" w:rsidRPr="0005669B">
        <w:rPr>
          <w:bCs/>
          <w:sz w:val="22"/>
          <w:szCs w:val="22"/>
          <w:lang w:val="en-US"/>
        </w:rPr>
        <w:instrText xml:space="preserve"> ADDIN EN.CITE &lt;EndNote&gt;&lt;Cite&gt;&lt;Author&gt;Mohammed&lt;/Author&gt;&lt;Year&gt;2025&lt;/Year&gt;&lt;RecNum&gt;97&lt;/RecNum&gt;&lt;DisplayText&gt;&lt;style face="superscript"&gt;22&lt;/style&gt;&lt;/DisplayText&gt;&lt;record&gt;&lt;rec-number&gt;97&lt;/rec-number&gt;&lt;foreign-keys&gt;&lt;key app="EN" db-id="wapx0v0s4rw2r6esw9dpwpd1wwvx05v0920r" timestamp="1769659375"&gt;97&lt;/key&gt;&lt;/foreign-keys&gt;&lt;ref-type name="Journal Article"&gt;17&lt;/ref-type&gt;&lt;contributors&gt;&lt;authors&gt;&lt;author&gt;Mohammed, Mesud&lt;/author&gt;&lt;author&gt;Japee, Gurudutta P&lt;/author&gt;&lt;author&gt;Mohammed, Ebrahim&lt;/author&gt;&lt;/authors&gt;&lt;/contributors&gt;&lt;titles&gt;&lt;title&gt;FinTech and Institutional Disruption: A Systematic Literature Review on Innovations and Transformation in Finance&lt;/title&gt;&lt;secondary-title&gt;Asian Journal of Economics, Business and Accounting&lt;/secondary-title&gt;&lt;/titles&gt;&lt;periodical&gt;&lt;full-title&gt;Asian Journal of Economics, Business and Accounting&lt;/full-title&gt;&lt;/periodical&gt;&lt;pages&gt;154-165&lt;/pages&gt;&lt;volume&gt;25&lt;/volume&gt;&lt;number&gt;12&lt;/number&gt;&lt;dates&gt;&lt;year&gt;2025&lt;/year&gt;&lt;/dates&gt;&lt;urls&gt;&lt;/urls&gt;&lt;/record&gt;&lt;/Cite&gt;&lt;/EndNote&gt;</w:instrText>
      </w:r>
      <w:r w:rsidR="0051095C" w:rsidRPr="0005669B">
        <w:rPr>
          <w:bCs/>
          <w:sz w:val="22"/>
          <w:szCs w:val="22"/>
          <w:lang w:val="en-US"/>
        </w:rPr>
        <w:fldChar w:fldCharType="separate"/>
      </w:r>
      <w:r w:rsidR="0005669B" w:rsidRPr="0005669B">
        <w:rPr>
          <w:bCs/>
          <w:noProof/>
          <w:sz w:val="22"/>
          <w:szCs w:val="22"/>
          <w:vertAlign w:val="superscript"/>
          <w:lang w:val="en-US"/>
        </w:rPr>
        <w:t>22</w:t>
      </w:r>
      <w:r w:rsidR="0051095C" w:rsidRPr="0005669B">
        <w:rPr>
          <w:bCs/>
          <w:sz w:val="22"/>
          <w:szCs w:val="22"/>
          <w:lang w:val="en-US"/>
        </w:rPr>
        <w:fldChar w:fldCharType="end"/>
      </w:r>
    </w:p>
    <w:p w14:paraId="28E80064" w14:textId="7B4B5C3B" w:rsidR="00B521F1" w:rsidRPr="00B521F1" w:rsidRDefault="00B521F1" w:rsidP="00B521F1">
      <w:pPr>
        <w:shd w:val="clear" w:color="auto" w:fill="FFFFFF"/>
        <w:tabs>
          <w:tab w:val="left" w:pos="360"/>
          <w:tab w:val="right" w:pos="9072"/>
        </w:tabs>
        <w:spacing w:before="120"/>
        <w:jc w:val="both"/>
        <w:rPr>
          <w:bCs/>
          <w:sz w:val="22"/>
          <w:szCs w:val="22"/>
          <w:lang w:val="en-US"/>
        </w:rPr>
      </w:pPr>
      <w:r w:rsidRPr="00B521F1">
        <w:rPr>
          <w:bCs/>
          <w:sz w:val="22"/>
          <w:szCs w:val="22"/>
          <w:lang w:val="en-US"/>
        </w:rPr>
        <w:t xml:space="preserve">Importantly, agency and institutional theories together help explain why banks exposed to similar external pressures may respond differently to </w:t>
      </w:r>
      <w:r w:rsidR="007356CA">
        <w:rPr>
          <w:bCs/>
          <w:sz w:val="22"/>
          <w:szCs w:val="22"/>
          <w:lang w:val="en-US"/>
        </w:rPr>
        <w:t>Fintech</w:t>
      </w:r>
      <w:r w:rsidRPr="00B521F1">
        <w:rPr>
          <w:bCs/>
          <w:sz w:val="22"/>
          <w:szCs w:val="22"/>
          <w:lang w:val="en-US"/>
        </w:rPr>
        <w:t xml:space="preserve"> opportunities. While institutional forces create common constraints and incentives, agency-related governance structures condition how managers interpret and respond to these pressures. Empirical evidence from the banking and financial innovation literature indicates that governance quality and ownership structures significantly moderate the relationship between regulatory pressure and innovation outcomes, including digital transformation and </w:t>
      </w:r>
      <w:r w:rsidR="007356CA">
        <w:rPr>
          <w:bCs/>
          <w:sz w:val="22"/>
          <w:szCs w:val="22"/>
          <w:lang w:val="en-US"/>
        </w:rPr>
        <w:t>Fintech</w:t>
      </w:r>
      <w:r w:rsidRPr="00B521F1">
        <w:rPr>
          <w:bCs/>
          <w:sz w:val="22"/>
          <w:szCs w:val="22"/>
          <w:lang w:val="en-US"/>
        </w:rPr>
        <w:t xml:space="preserve"> adoption</w:t>
      </w:r>
      <w:r w:rsidR="00C31A73">
        <w:rPr>
          <w:bCs/>
          <w:sz w:val="22"/>
          <w:szCs w:val="22"/>
          <w:lang w:val="en-US"/>
        </w:rPr>
        <w:t>.</w:t>
      </w:r>
      <w:r w:rsidR="00C54480">
        <w:rPr>
          <w:bCs/>
          <w:sz w:val="22"/>
          <w:szCs w:val="22"/>
          <w:lang w:val="en-US"/>
        </w:rPr>
        <w:fldChar w:fldCharType="begin"/>
      </w:r>
      <w:r w:rsidR="0005669B">
        <w:rPr>
          <w:bCs/>
          <w:sz w:val="22"/>
          <w:szCs w:val="22"/>
          <w:lang w:val="en-US"/>
        </w:rPr>
        <w:instrText xml:space="preserve"> ADDIN EN.CITE &lt;EndNote&gt;&lt;Cite&gt;&lt;Author&gt;Guo&lt;/Author&gt;&lt;Year&gt;2024&lt;/Year&gt;&lt;RecNum&gt;85&lt;/RecNum&gt;&lt;DisplayText&gt;&lt;style face="superscript"&gt;23&lt;/style&gt;&lt;/DisplayText&gt;&lt;record&gt;&lt;rec-number&gt;85&lt;/rec-number&gt;&lt;foreign-keys&gt;&lt;key app="EN" db-id="wapx0v0s4rw2r6esw9dpwpd1wwvx05v0920r" timestamp="1769481887"&gt;85&lt;/key&gt;&lt;/foreign-keys&gt;&lt;ref-type name="Journal Article"&gt;17&lt;/ref-type&gt;&lt;contributors&gt;&lt;authors&gt;&lt;author&gt;Guo, Pin&lt;/author&gt;&lt;author&gt;Cheng, Maoyong&lt;/author&gt;&lt;author&gt;Shen, Yue&lt;/author&gt;&lt;/authors&gt;&lt;/contributors&gt;&lt;titles&gt;&lt;title&gt;FinTech adoption and bank risk-taking: evidence from China&lt;/title&gt;&lt;secondary-title&gt;Applied Economics Letters&lt;/secondary-title&gt;&lt;/titles&gt;&lt;periodical&gt;&lt;full-title&gt;Applied Economics Letters&lt;/full-title&gt;&lt;/periodical&gt;&lt;pages&gt;594-602&lt;/pages&gt;&lt;volume&gt;31&lt;/volume&gt;&lt;number&gt;7&lt;/number&gt;&lt;dates&gt;&lt;year&gt;2024&lt;/year&gt;&lt;/dates&gt;&lt;isbn&gt;1350-4851&lt;/isbn&gt;&lt;urls&gt;&lt;/urls&gt;&lt;/record&gt;&lt;/Cite&gt;&lt;/EndNote&gt;</w:instrText>
      </w:r>
      <w:r w:rsidR="00C54480">
        <w:rPr>
          <w:bCs/>
          <w:sz w:val="22"/>
          <w:szCs w:val="22"/>
          <w:lang w:val="en-US"/>
        </w:rPr>
        <w:fldChar w:fldCharType="separate"/>
      </w:r>
      <w:r w:rsidR="0005669B" w:rsidRPr="0005669B">
        <w:rPr>
          <w:bCs/>
          <w:noProof/>
          <w:sz w:val="22"/>
          <w:szCs w:val="22"/>
          <w:vertAlign w:val="superscript"/>
          <w:lang w:val="en-US"/>
        </w:rPr>
        <w:t>23</w:t>
      </w:r>
      <w:r w:rsidR="00C54480">
        <w:rPr>
          <w:bCs/>
          <w:sz w:val="22"/>
          <w:szCs w:val="22"/>
          <w:lang w:val="en-US"/>
        </w:rPr>
        <w:fldChar w:fldCharType="end"/>
      </w:r>
    </w:p>
    <w:p w14:paraId="069C0C6C" w14:textId="6091B70C" w:rsidR="00B521F1" w:rsidRPr="00B521F1" w:rsidRDefault="00B521F1" w:rsidP="005F5AEC">
      <w:pPr>
        <w:shd w:val="clear" w:color="auto" w:fill="FFFFFF"/>
        <w:tabs>
          <w:tab w:val="left" w:pos="360"/>
          <w:tab w:val="right" w:pos="9072"/>
        </w:tabs>
        <w:spacing w:before="120"/>
        <w:jc w:val="both"/>
        <w:rPr>
          <w:bCs/>
          <w:sz w:val="22"/>
          <w:szCs w:val="22"/>
          <w:lang w:val="en-US"/>
        </w:rPr>
      </w:pPr>
      <w:r w:rsidRPr="00B521F1">
        <w:rPr>
          <w:bCs/>
          <w:sz w:val="22"/>
          <w:szCs w:val="22"/>
          <w:lang w:val="en-US"/>
        </w:rPr>
        <w:t xml:space="preserve">By integrating agency and institutional perspectives, this study acknowledges that </w:t>
      </w:r>
      <w:r w:rsidR="007356CA">
        <w:rPr>
          <w:bCs/>
          <w:sz w:val="22"/>
          <w:szCs w:val="22"/>
          <w:lang w:val="en-US"/>
        </w:rPr>
        <w:t>Fintech</w:t>
      </w:r>
      <w:r w:rsidRPr="00B521F1">
        <w:rPr>
          <w:bCs/>
          <w:sz w:val="22"/>
          <w:szCs w:val="22"/>
          <w:lang w:val="en-US"/>
        </w:rPr>
        <w:t xml:space="preserve"> adoption in banking is shaped not only by technological considerations and internal resources but also by governance arrangements and institutional constraints. These theories therefore provide an essential complement to the TOE framework and the resource-based and dynamic capabilities perspectives, reinforcing the conceptualization of </w:t>
      </w:r>
      <w:r w:rsidR="007356CA">
        <w:rPr>
          <w:bCs/>
          <w:sz w:val="22"/>
          <w:szCs w:val="22"/>
          <w:lang w:val="en-US"/>
        </w:rPr>
        <w:t>Fintech</w:t>
      </w:r>
      <w:r w:rsidRPr="00B521F1">
        <w:rPr>
          <w:bCs/>
          <w:sz w:val="22"/>
          <w:szCs w:val="22"/>
          <w:lang w:val="en-US"/>
        </w:rPr>
        <w:t xml:space="preserve"> adoption as a strategic and capability-driven outcome conditioned by governance and institutional context.</w:t>
      </w:r>
    </w:p>
    <w:p w14:paraId="38255C02" w14:textId="0B469670" w:rsidR="004F52DB" w:rsidRDefault="004F52DB" w:rsidP="004F52DB">
      <w:pPr>
        <w:shd w:val="clear" w:color="auto" w:fill="FFFFFF"/>
        <w:tabs>
          <w:tab w:val="left" w:pos="360"/>
          <w:tab w:val="right" w:pos="9072"/>
        </w:tabs>
        <w:spacing w:before="120"/>
        <w:jc w:val="both"/>
        <w:rPr>
          <w:b/>
          <w:sz w:val="22"/>
          <w:szCs w:val="22"/>
          <w:lang w:val="en-US"/>
        </w:rPr>
      </w:pPr>
      <w:r w:rsidRPr="004F52DB">
        <w:rPr>
          <w:b/>
          <w:sz w:val="22"/>
          <w:szCs w:val="22"/>
        </w:rPr>
        <w:t xml:space="preserve">2.2. Determinants of </w:t>
      </w:r>
      <w:r w:rsidR="007356CA">
        <w:rPr>
          <w:b/>
          <w:sz w:val="22"/>
          <w:szCs w:val="22"/>
        </w:rPr>
        <w:t>Fintech</w:t>
      </w:r>
      <w:r w:rsidRPr="004F52DB">
        <w:rPr>
          <w:b/>
          <w:sz w:val="22"/>
          <w:szCs w:val="22"/>
        </w:rPr>
        <w:t xml:space="preserve"> Adoption</w:t>
      </w:r>
    </w:p>
    <w:p w14:paraId="61D7A310" w14:textId="347AE487" w:rsidR="004F52DB" w:rsidRDefault="004F52DB" w:rsidP="004F52DB">
      <w:pPr>
        <w:shd w:val="clear" w:color="auto" w:fill="FFFFFF"/>
        <w:tabs>
          <w:tab w:val="left" w:pos="360"/>
          <w:tab w:val="right" w:pos="9072"/>
        </w:tabs>
        <w:spacing w:before="120"/>
        <w:jc w:val="both"/>
        <w:rPr>
          <w:b/>
          <w:sz w:val="22"/>
          <w:szCs w:val="22"/>
          <w:lang w:val="en-US"/>
        </w:rPr>
      </w:pPr>
      <w:r w:rsidRPr="004F52DB">
        <w:rPr>
          <w:b/>
          <w:sz w:val="22"/>
          <w:szCs w:val="22"/>
        </w:rPr>
        <w:t xml:space="preserve">2.2.1. General determinants of </w:t>
      </w:r>
      <w:r w:rsidR="007356CA">
        <w:rPr>
          <w:b/>
          <w:sz w:val="22"/>
          <w:szCs w:val="22"/>
        </w:rPr>
        <w:t>Fintech</w:t>
      </w:r>
      <w:r w:rsidRPr="004F52DB">
        <w:rPr>
          <w:b/>
          <w:sz w:val="22"/>
          <w:szCs w:val="22"/>
        </w:rPr>
        <w:t xml:space="preserve"> adoption</w:t>
      </w:r>
    </w:p>
    <w:p w14:paraId="27AA5D9F" w14:textId="042158A5" w:rsidR="00271FE5" w:rsidRPr="00271FE5" w:rsidRDefault="00271FE5" w:rsidP="00271FE5">
      <w:pPr>
        <w:shd w:val="clear" w:color="auto" w:fill="FFFFFF"/>
        <w:tabs>
          <w:tab w:val="left" w:pos="360"/>
          <w:tab w:val="right" w:pos="9072"/>
        </w:tabs>
        <w:spacing w:before="120"/>
        <w:jc w:val="both"/>
        <w:rPr>
          <w:bCs/>
          <w:sz w:val="22"/>
          <w:szCs w:val="22"/>
          <w:lang w:val="en-US"/>
        </w:rPr>
      </w:pPr>
      <w:r w:rsidRPr="00271FE5">
        <w:rPr>
          <w:bCs/>
          <w:sz w:val="22"/>
          <w:szCs w:val="22"/>
          <w:lang w:val="en-US"/>
        </w:rPr>
        <w:t xml:space="preserve">The existing literature identifies a broad set of determinants influencing </w:t>
      </w:r>
      <w:r w:rsidR="007356CA">
        <w:rPr>
          <w:bCs/>
          <w:sz w:val="22"/>
          <w:szCs w:val="22"/>
          <w:lang w:val="en-US"/>
        </w:rPr>
        <w:t>Fintech</w:t>
      </w:r>
      <w:r w:rsidRPr="00271FE5">
        <w:rPr>
          <w:bCs/>
          <w:sz w:val="22"/>
          <w:szCs w:val="22"/>
          <w:lang w:val="en-US"/>
        </w:rPr>
        <w:t xml:space="preserve"> adoption, which can be grouped into technological, organizational, and environmental categories. Technological determinants typically include perceived usefulness, ease of use, system compatibility, and security concerns. Organizational determinants encompass factors such as firm size, financial resources, technological readiness, and top management support. Environmental determinants commonly relate to regulatory frameworks, competitive pressure, and market demand for digital financial services</w:t>
      </w:r>
      <w:r w:rsidR="00A7537E">
        <w:rPr>
          <w:bCs/>
          <w:sz w:val="22"/>
          <w:szCs w:val="22"/>
          <w:lang w:val="en-US"/>
        </w:rPr>
        <w:t>.</w:t>
      </w:r>
      <w:r w:rsidR="00D77ED8">
        <w:rPr>
          <w:bCs/>
          <w:sz w:val="22"/>
          <w:szCs w:val="22"/>
          <w:lang w:val="en-US"/>
        </w:rPr>
        <w:fldChar w:fldCharType="begin"/>
      </w:r>
      <w:r w:rsidR="0005669B">
        <w:rPr>
          <w:bCs/>
          <w:sz w:val="22"/>
          <w:szCs w:val="22"/>
          <w:lang w:val="en-US"/>
        </w:rPr>
        <w:instrText xml:space="preserve"> ADDIN EN.CITE &lt;EndNote&gt;&lt;Cite&gt;&lt;Author&gt;Gai&lt;/Author&gt;&lt;Year&gt;2018&lt;/Year&gt;&lt;RecNum&gt;3&lt;/RecNum&gt;&lt;DisplayText&gt;&lt;style face="superscript"&gt;3-5&lt;/style&gt;&lt;/DisplayText&gt;&lt;record&gt;&lt;rec-number&gt;3&lt;/rec-number&gt;&lt;foreign-keys&gt;&lt;key app="EN" db-id="wapx0v0s4rw2r6esw9dpwpd1wwvx05v0920r" timestamp="1755250048"&gt;3&lt;/key&gt;&lt;/foreign-keys&gt;&lt;ref-type name="Journal Article"&gt;17&lt;/ref-type&gt;&lt;contributors&gt;&lt;authors&gt;&lt;author&gt;Gai, Keke&lt;/author&gt;&lt;author&gt;Qiu, Meikang&lt;/author&gt;&lt;author&gt;Sun, Xiaotong&lt;/author&gt;&lt;/authors&gt;&lt;/contributors&gt;&lt;titles&gt;&lt;title&gt;A survey on FinTech&lt;/title&gt;&lt;secondary-title&gt;Journal of Network and Computer Applications&lt;/secondary-title&gt;&lt;/titles&gt;&lt;pages&gt;262-273&lt;/pages&gt;&lt;volume&gt;103&lt;/volume&gt;&lt;dates&gt;&lt;year&gt;2018&lt;/year&gt;&lt;/dates&gt;&lt;isbn&gt;1084-8045&lt;/isbn&gt;&lt;urls&gt;&lt;/urls&gt;&lt;/record&gt;&lt;/Cite&gt;&lt;Cite&gt;&lt;Author&gt;Giglio&lt;/Author&gt;&lt;Year&gt;2021&lt;/Year&gt;&lt;RecNum&gt;5&lt;/RecNum&gt;&lt;record&gt;&lt;rec-number&gt;5&lt;/rec-number&gt;&lt;foreign-keys&gt;&lt;key app="EN" db-id="wapx0v0s4rw2r6esw9dpwpd1wwvx05v0920r" timestamp="1755250097"&gt;5&lt;/key&gt;&lt;/foreign-keys&gt;&lt;ref-type name="Journal Article"&gt;17&lt;/ref-type&gt;&lt;contributors&gt;&lt;authors&gt;&lt;author&gt;Giglio, Ferdinando&lt;/author&gt;&lt;/authors&gt;&lt;/contributors&gt;&lt;titles&gt;&lt;title&gt;Fintech: A literature review&lt;/title&gt;&lt;secondary-title&gt;European Research Studies Journal&lt;/secondary-title&gt;&lt;/titles&gt;&lt;pages&gt;600-627&lt;/pages&gt;&lt;volume&gt;24&lt;/volume&gt;&lt;number&gt;2B&lt;/number&gt;&lt;dates&gt;&lt;year&gt;2021&lt;/year&gt;&lt;/dates&gt;&lt;urls&gt;&lt;/urls&gt;&lt;/record&gt;&lt;/Cite&gt;&lt;Cite&gt;&lt;Author&gt;Lee&lt;/Author&gt;&lt;Year&gt;2018&lt;/Year&gt;&lt;RecNum&gt;4&lt;/RecNum&gt;&lt;record&gt;&lt;rec-number&gt;4&lt;/rec-number&gt;&lt;foreign-keys&gt;&lt;key app="EN" db-id="wapx0v0s4rw2r6esw9dpwpd1wwvx05v0920r" timestamp="1755250071"&gt;4&lt;/key&gt;&lt;/foreign-keys&gt;&lt;ref-type name="Journal Article"&gt;17&lt;/ref-type&gt;&lt;contributors&gt;&lt;authors&gt;&lt;author&gt;Lee, In&lt;/author&gt;&lt;author&gt;Shin, Yong Jae&lt;/author&gt;&lt;/authors&gt;&lt;/contributors&gt;&lt;titles&gt;&lt;title&gt;Fintech: Ecosystem, business models, investment decisions, and challenges&lt;/title&gt;&lt;secondary-title&gt;Business horizons&lt;/secondary-title&gt;&lt;/titles&gt;&lt;pages&gt;35-46&lt;/pages&gt;&lt;volume&gt;61&lt;/volume&gt;&lt;number&gt;1&lt;/number&gt;&lt;dates&gt;&lt;year&gt;2018&lt;/year&gt;&lt;/dates&gt;&lt;isbn&gt;0007-6813&lt;/isbn&gt;&lt;urls&gt;&lt;/urls&gt;&lt;/record&gt;&lt;/Cite&gt;&lt;/EndNote&gt;</w:instrText>
      </w:r>
      <w:r w:rsidR="00D77ED8">
        <w:rPr>
          <w:bCs/>
          <w:sz w:val="22"/>
          <w:szCs w:val="22"/>
          <w:lang w:val="en-US"/>
        </w:rPr>
        <w:fldChar w:fldCharType="separate"/>
      </w:r>
      <w:r w:rsidR="0005669B" w:rsidRPr="0005669B">
        <w:rPr>
          <w:bCs/>
          <w:noProof/>
          <w:sz w:val="22"/>
          <w:szCs w:val="22"/>
          <w:vertAlign w:val="superscript"/>
          <w:lang w:val="en-US"/>
        </w:rPr>
        <w:t>3-5</w:t>
      </w:r>
      <w:r w:rsidR="00D77ED8">
        <w:rPr>
          <w:bCs/>
          <w:sz w:val="22"/>
          <w:szCs w:val="22"/>
          <w:lang w:val="en-US"/>
        </w:rPr>
        <w:fldChar w:fldCharType="end"/>
      </w:r>
    </w:p>
    <w:p w14:paraId="7503AADA" w14:textId="0E527B13" w:rsidR="00271FE5" w:rsidRPr="00271FE5" w:rsidRDefault="00271FE5" w:rsidP="004F52DB">
      <w:pPr>
        <w:shd w:val="clear" w:color="auto" w:fill="FFFFFF"/>
        <w:tabs>
          <w:tab w:val="left" w:pos="360"/>
          <w:tab w:val="right" w:pos="9072"/>
        </w:tabs>
        <w:spacing w:before="120"/>
        <w:jc w:val="both"/>
        <w:rPr>
          <w:bCs/>
          <w:sz w:val="22"/>
          <w:szCs w:val="22"/>
          <w:lang w:val="en-US"/>
        </w:rPr>
      </w:pPr>
      <w:r w:rsidRPr="00271FE5">
        <w:rPr>
          <w:bCs/>
          <w:sz w:val="22"/>
          <w:szCs w:val="22"/>
          <w:lang w:val="en-US"/>
        </w:rPr>
        <w:t>These general determinants have been widely documented across different contexts and industries, providing a useful baseline for understanding technology adoption. However, they tend to be broadly defined and are not specific to the institutional and operational characteristics of banking organizations.</w:t>
      </w:r>
    </w:p>
    <w:p w14:paraId="1F95790A" w14:textId="0BCEA403" w:rsidR="004F52DB" w:rsidRDefault="004F52DB" w:rsidP="004F52DB">
      <w:pPr>
        <w:shd w:val="clear" w:color="auto" w:fill="FFFFFF"/>
        <w:tabs>
          <w:tab w:val="left" w:pos="360"/>
          <w:tab w:val="right" w:pos="9072"/>
        </w:tabs>
        <w:spacing w:before="120"/>
        <w:jc w:val="both"/>
        <w:rPr>
          <w:b/>
          <w:sz w:val="22"/>
          <w:szCs w:val="22"/>
          <w:lang w:val="en-US"/>
        </w:rPr>
      </w:pPr>
      <w:r w:rsidRPr="004F52DB">
        <w:rPr>
          <w:b/>
          <w:sz w:val="22"/>
          <w:szCs w:val="22"/>
        </w:rPr>
        <w:t>2.2.2. Limitations of general determinants in the banking context</w:t>
      </w:r>
    </w:p>
    <w:p w14:paraId="3E5307D1" w14:textId="77777777" w:rsidR="00271FE5" w:rsidRPr="00271FE5" w:rsidRDefault="00271FE5" w:rsidP="00271FE5">
      <w:pPr>
        <w:shd w:val="clear" w:color="auto" w:fill="FFFFFF"/>
        <w:tabs>
          <w:tab w:val="left" w:pos="360"/>
          <w:tab w:val="right" w:pos="9072"/>
        </w:tabs>
        <w:spacing w:before="120"/>
        <w:jc w:val="both"/>
        <w:rPr>
          <w:bCs/>
          <w:sz w:val="22"/>
          <w:szCs w:val="22"/>
          <w:lang w:val="en-US"/>
        </w:rPr>
      </w:pPr>
      <w:r w:rsidRPr="00271FE5">
        <w:rPr>
          <w:bCs/>
          <w:sz w:val="22"/>
          <w:szCs w:val="22"/>
          <w:lang w:val="en-US"/>
        </w:rPr>
        <w:t>Applying general adoption determinants to the banking sector presents several limitations. Banking is a highly regulated and risk-sensitive industry, where strategic decisions are closely intertwined with governance structures, capital adequacy requirements, and supervisory</w:t>
      </w:r>
      <w:r w:rsidRPr="00271FE5">
        <w:rPr>
          <w:b/>
          <w:sz w:val="22"/>
          <w:szCs w:val="22"/>
          <w:lang w:val="en-US"/>
        </w:rPr>
        <w:t xml:space="preserve"> </w:t>
      </w:r>
      <w:r w:rsidRPr="00A7537E">
        <w:rPr>
          <w:bCs/>
          <w:sz w:val="22"/>
          <w:szCs w:val="22"/>
          <w:lang w:val="en-US"/>
        </w:rPr>
        <w:t>oversight.</w:t>
      </w:r>
      <w:r w:rsidRPr="00271FE5">
        <w:rPr>
          <w:b/>
          <w:sz w:val="22"/>
          <w:szCs w:val="22"/>
          <w:lang w:val="en-US"/>
        </w:rPr>
        <w:t xml:space="preserve"> </w:t>
      </w:r>
      <w:r w:rsidRPr="00271FE5">
        <w:rPr>
          <w:bCs/>
          <w:sz w:val="22"/>
          <w:szCs w:val="22"/>
          <w:lang w:val="en-US"/>
        </w:rPr>
        <w:t>Unlike many non-financial firms, banks must balance innovation with prudential regulation, financial stability, and systemic risk considerations. As a result, adoption decisions cannot be adequately explained by technological readiness or competitive pressure alone.</w:t>
      </w:r>
    </w:p>
    <w:p w14:paraId="252C6028" w14:textId="5471C083" w:rsidR="00271FE5" w:rsidRPr="002E0A07" w:rsidRDefault="00271FE5" w:rsidP="004F52DB">
      <w:pPr>
        <w:shd w:val="clear" w:color="auto" w:fill="FFFFFF"/>
        <w:tabs>
          <w:tab w:val="left" w:pos="360"/>
          <w:tab w:val="right" w:pos="9072"/>
        </w:tabs>
        <w:spacing w:before="120"/>
        <w:jc w:val="both"/>
        <w:rPr>
          <w:bCs/>
          <w:sz w:val="22"/>
          <w:szCs w:val="22"/>
          <w:lang w:val="en-US"/>
        </w:rPr>
      </w:pPr>
      <w:r w:rsidRPr="00271FE5">
        <w:rPr>
          <w:bCs/>
          <w:sz w:val="22"/>
          <w:szCs w:val="22"/>
          <w:lang w:val="en-US"/>
        </w:rPr>
        <w:t xml:space="preserve">Moreover, general determinants often fail to capture the internal organizational mechanisms that differentiate banks’ adoption behavior. Empirical studies indicate that </w:t>
      </w:r>
      <w:r w:rsidR="007356CA">
        <w:rPr>
          <w:bCs/>
          <w:sz w:val="22"/>
          <w:szCs w:val="22"/>
          <w:lang w:val="en-US"/>
        </w:rPr>
        <w:t>Fintech</w:t>
      </w:r>
      <w:r w:rsidRPr="00271FE5">
        <w:rPr>
          <w:bCs/>
          <w:sz w:val="22"/>
          <w:szCs w:val="22"/>
          <w:lang w:val="en-US"/>
        </w:rPr>
        <w:t xml:space="preserve"> adoption varies significantly even among banks facing similar regulatory environments and market conditions, suggesting that internal characteristics play a decisive role. This limitation highlights the need to move beyond generic determinants toward a more nuanced understanding of factors that are specific to banking organizations.</w:t>
      </w:r>
    </w:p>
    <w:p w14:paraId="403FE497" w14:textId="5066DAB1" w:rsidR="004F52DB" w:rsidRPr="004F52DB" w:rsidRDefault="004F52DB" w:rsidP="004F52DB">
      <w:pPr>
        <w:shd w:val="clear" w:color="auto" w:fill="FFFFFF"/>
        <w:tabs>
          <w:tab w:val="left" w:pos="360"/>
          <w:tab w:val="right" w:pos="9072"/>
        </w:tabs>
        <w:spacing w:before="120"/>
        <w:jc w:val="both"/>
        <w:rPr>
          <w:b/>
          <w:sz w:val="22"/>
          <w:szCs w:val="22"/>
          <w:lang w:val="en-US"/>
        </w:rPr>
      </w:pPr>
      <w:r w:rsidRPr="004F52DB">
        <w:rPr>
          <w:b/>
          <w:sz w:val="22"/>
          <w:szCs w:val="22"/>
        </w:rPr>
        <w:t xml:space="preserve">2.2.3. Bank-specific determinants of </w:t>
      </w:r>
      <w:r w:rsidR="007356CA">
        <w:rPr>
          <w:b/>
          <w:sz w:val="22"/>
          <w:szCs w:val="22"/>
        </w:rPr>
        <w:t>Fintech</w:t>
      </w:r>
      <w:r w:rsidRPr="004F52DB">
        <w:rPr>
          <w:b/>
          <w:sz w:val="22"/>
          <w:szCs w:val="22"/>
        </w:rPr>
        <w:t xml:space="preserve"> adoption</w:t>
      </w:r>
    </w:p>
    <w:p w14:paraId="0658972C" w14:textId="4A46A485" w:rsidR="00E1460D" w:rsidRPr="00E1460D" w:rsidRDefault="00E1460D" w:rsidP="00E1460D">
      <w:pPr>
        <w:shd w:val="clear" w:color="auto" w:fill="FFFFFF"/>
        <w:tabs>
          <w:tab w:val="left" w:pos="360"/>
          <w:tab w:val="right" w:pos="9072"/>
        </w:tabs>
        <w:spacing w:before="120"/>
        <w:jc w:val="both"/>
        <w:rPr>
          <w:bCs/>
          <w:sz w:val="22"/>
          <w:szCs w:val="22"/>
          <w:lang w:val="en-US"/>
        </w:rPr>
      </w:pPr>
      <w:bookmarkStart w:id="6" w:name="_Hlk189810768"/>
      <w:bookmarkEnd w:id="3"/>
      <w:bookmarkEnd w:id="4"/>
      <w:bookmarkEnd w:id="5"/>
      <w:r w:rsidRPr="00E1460D">
        <w:rPr>
          <w:bCs/>
          <w:sz w:val="22"/>
          <w:szCs w:val="22"/>
          <w:lang w:val="en-US"/>
        </w:rPr>
        <w:t xml:space="preserve">Building on the foregoing discussion, this study conceptualizes bank-specific determinants of </w:t>
      </w:r>
      <w:r w:rsidR="007356CA">
        <w:rPr>
          <w:bCs/>
          <w:sz w:val="22"/>
          <w:szCs w:val="22"/>
          <w:lang w:val="en-US"/>
        </w:rPr>
        <w:t>Fintech</w:t>
      </w:r>
      <w:r w:rsidRPr="00E1460D">
        <w:rPr>
          <w:bCs/>
          <w:sz w:val="22"/>
          <w:szCs w:val="22"/>
          <w:lang w:val="en-US"/>
        </w:rPr>
        <w:t xml:space="preserve"> adoption as organizational, governance-related, and strategic factors that are intrinsic to banking institutions. These determinants extend beyond general adoption drivers and reflect the unique institutional context in which banks operate.</w:t>
      </w:r>
    </w:p>
    <w:p w14:paraId="0FAC1A8D" w14:textId="7F3FB756" w:rsidR="00E1460D" w:rsidRPr="00E1460D" w:rsidRDefault="00E1460D" w:rsidP="00E1460D">
      <w:pPr>
        <w:shd w:val="clear" w:color="auto" w:fill="FFFFFF"/>
        <w:tabs>
          <w:tab w:val="left" w:pos="360"/>
          <w:tab w:val="right" w:pos="9072"/>
        </w:tabs>
        <w:spacing w:before="120"/>
        <w:jc w:val="both"/>
        <w:rPr>
          <w:bCs/>
          <w:sz w:val="22"/>
          <w:szCs w:val="22"/>
          <w:lang w:val="en-US"/>
        </w:rPr>
      </w:pPr>
      <w:r w:rsidRPr="00E1460D">
        <w:rPr>
          <w:bCs/>
          <w:sz w:val="22"/>
          <w:szCs w:val="22"/>
          <w:lang w:val="en-US"/>
        </w:rPr>
        <w:t>First, governance and leadership factors</w:t>
      </w:r>
      <w:r w:rsidR="004670B5">
        <w:rPr>
          <w:bCs/>
          <w:sz w:val="22"/>
          <w:szCs w:val="22"/>
          <w:lang w:val="en-US"/>
        </w:rPr>
        <w:t xml:space="preserve">, </w:t>
      </w:r>
      <w:r w:rsidRPr="00E1460D">
        <w:rPr>
          <w:bCs/>
          <w:sz w:val="22"/>
          <w:szCs w:val="22"/>
          <w:lang w:val="en-US"/>
        </w:rPr>
        <w:t>such as top management commitment, board oversight, and ownership structure</w:t>
      </w:r>
      <w:r w:rsidR="004670B5">
        <w:rPr>
          <w:bCs/>
          <w:sz w:val="22"/>
          <w:szCs w:val="22"/>
          <w:lang w:val="en-US"/>
        </w:rPr>
        <w:t xml:space="preserve">, </w:t>
      </w:r>
      <w:r w:rsidRPr="00E1460D">
        <w:rPr>
          <w:bCs/>
          <w:sz w:val="22"/>
          <w:szCs w:val="22"/>
          <w:lang w:val="en-US"/>
        </w:rPr>
        <w:t xml:space="preserve">shape strategic priorities and managerial incentives to invest in </w:t>
      </w:r>
      <w:r w:rsidR="007356CA">
        <w:rPr>
          <w:bCs/>
          <w:sz w:val="22"/>
          <w:szCs w:val="22"/>
          <w:lang w:val="en-US"/>
        </w:rPr>
        <w:t>Fintech</w:t>
      </w:r>
      <w:r w:rsidRPr="00E1460D">
        <w:rPr>
          <w:bCs/>
          <w:sz w:val="22"/>
          <w:szCs w:val="22"/>
          <w:lang w:val="en-US"/>
        </w:rPr>
        <w:t xml:space="preserve"> initiatives</w:t>
      </w:r>
      <w:r>
        <w:rPr>
          <w:bCs/>
          <w:sz w:val="22"/>
          <w:szCs w:val="22"/>
          <w:lang w:val="en-US"/>
        </w:rPr>
        <w:t>.</w:t>
      </w:r>
      <w:r>
        <w:rPr>
          <w:bCs/>
          <w:sz w:val="22"/>
          <w:szCs w:val="22"/>
          <w:lang w:val="en-US"/>
        </w:rPr>
        <w:fldChar w:fldCharType="begin"/>
      </w:r>
      <w:r w:rsidR="0005669B">
        <w:rPr>
          <w:bCs/>
          <w:sz w:val="22"/>
          <w:szCs w:val="22"/>
          <w:lang w:val="en-US"/>
        </w:rPr>
        <w:instrText xml:space="preserve"> ADDIN EN.CITE &lt;EndNote&gt;&lt;Cite&gt;&lt;Author&gt;Almubarak&lt;/Author&gt;&lt;Year&gt;2024&lt;/Year&gt;&lt;RecNum&gt;23&lt;/RecNum&gt;&lt;DisplayText&gt;&lt;style face="superscript"&gt;24&lt;/style&gt;&lt;/DisplayText&gt;&lt;record&gt;&lt;rec-number&gt;23&lt;/rec-number&gt;&lt;foreign-keys&gt;&lt;key app="EN" db-id="wapx0v0s4rw2r6esw9dpwpd1wwvx05v0920r" timestamp="1755491033"&gt;23&lt;/key&gt;&lt;/foreign-keys&gt;&lt;ref-type name="Journal Article"&gt;17&lt;/ref-type&gt;&lt;contributors&gt;&lt;authors&gt;&lt;author&gt;Almubarak, Ayth I&lt;/author&gt;&lt;author&gt;Aljughaiman, Abdullah A&lt;/author&gt;&lt;/authors&gt;&lt;/contributors&gt;&lt;titles&gt;&lt;title&gt;Corporate governance and FinTech innovation: Evidence from Saudi banks&lt;/title&gt;&lt;secondary-title&gt;Journal of Risk and Financial Management&lt;/secondary-title&gt;&lt;/titles&gt;&lt;periodical&gt;&lt;full-title&gt;Journal of Risk and Financial Management&lt;/full-title&gt;&lt;/periodical&gt;&lt;pages&gt;48&lt;/pages&gt;&lt;volume&gt;17&lt;/volume&gt;&lt;number&gt;2&lt;/number&gt;&lt;dates&gt;&lt;year&gt;2024&lt;/year&gt;&lt;/dates&gt;&lt;isbn&gt;1911-8074&lt;/isbn&gt;&lt;urls&gt;&lt;/urls&gt;&lt;/record&gt;&lt;/Cite&gt;&lt;/EndNote&gt;</w:instrText>
      </w:r>
      <w:r>
        <w:rPr>
          <w:bCs/>
          <w:sz w:val="22"/>
          <w:szCs w:val="22"/>
          <w:lang w:val="en-US"/>
        </w:rPr>
        <w:fldChar w:fldCharType="separate"/>
      </w:r>
      <w:r w:rsidR="0005669B" w:rsidRPr="0005669B">
        <w:rPr>
          <w:bCs/>
          <w:noProof/>
          <w:sz w:val="22"/>
          <w:szCs w:val="22"/>
          <w:vertAlign w:val="superscript"/>
          <w:lang w:val="en-US"/>
        </w:rPr>
        <w:t>24</w:t>
      </w:r>
      <w:r>
        <w:rPr>
          <w:bCs/>
          <w:sz w:val="22"/>
          <w:szCs w:val="22"/>
          <w:lang w:val="en-US"/>
        </w:rPr>
        <w:fldChar w:fldCharType="end"/>
      </w:r>
      <w:r w:rsidRPr="00E1460D">
        <w:rPr>
          <w:bCs/>
          <w:sz w:val="22"/>
          <w:szCs w:val="22"/>
          <w:lang w:val="en-US"/>
        </w:rPr>
        <w:t xml:space="preserve"> Second, organizational readiness and resource endowments, including financial capacity, technological infrastructure, and human capital, determine banks’ ability to absorb and implement </w:t>
      </w:r>
      <w:r w:rsidR="007356CA">
        <w:rPr>
          <w:bCs/>
          <w:sz w:val="22"/>
          <w:szCs w:val="22"/>
          <w:lang w:val="en-US"/>
        </w:rPr>
        <w:t>Fintech</w:t>
      </w:r>
      <w:r w:rsidRPr="00E1460D">
        <w:rPr>
          <w:bCs/>
          <w:sz w:val="22"/>
          <w:szCs w:val="22"/>
          <w:lang w:val="en-US"/>
        </w:rPr>
        <w:t xml:space="preserve"> innovations effectively</w:t>
      </w:r>
      <w:r w:rsidR="00305EC3">
        <w:rPr>
          <w:bCs/>
          <w:sz w:val="22"/>
          <w:szCs w:val="22"/>
          <w:lang w:val="en-US"/>
        </w:rPr>
        <w:t>.</w:t>
      </w:r>
      <w:r w:rsidR="00305EC3">
        <w:rPr>
          <w:bCs/>
          <w:sz w:val="22"/>
          <w:szCs w:val="22"/>
          <w:lang w:val="en-US"/>
        </w:rPr>
        <w:fldChar w:fldCharType="begin"/>
      </w:r>
      <w:r w:rsidR="0005669B">
        <w:rPr>
          <w:bCs/>
          <w:sz w:val="22"/>
          <w:szCs w:val="22"/>
          <w:lang w:val="en-US"/>
        </w:rPr>
        <w:instrText xml:space="preserve"> ADDIN EN.CITE &lt;EndNote&gt;&lt;Cite&gt;&lt;Author&gt;Barney&lt;/Author&gt;&lt;Year&gt;1991&lt;/Year&gt;&lt;RecNum&gt;16&lt;/RecNum&gt;&lt;DisplayText&gt;&lt;style face="superscript"&gt;3,13&lt;/style&gt;&lt;/DisplayText&gt;&lt;record&gt;&lt;rec-number&gt;16&lt;/rec-number&gt;&lt;foreign-keys&gt;&lt;key app="EN" db-id="wapx0v0s4rw2r6esw9dpwpd1wwvx05v0920r" timestamp="1755489946"&gt;16&lt;/key&gt;&lt;/foreign-keys&gt;&lt;ref-type name="Journal Article"&gt;17&lt;/ref-type&gt;&lt;contributors&gt;&lt;authors&gt;&lt;author&gt;Barney, Jay&lt;/author&gt;&lt;/authors&gt;&lt;/contributors&gt;&lt;titles&gt;&lt;title&gt;Firm resources and sustained competitive advantage&lt;/title&gt;&lt;secondary-title&gt;Journal of management&lt;/secondary-title&gt;&lt;/titles&gt;&lt;pages&gt;99-120&lt;/pages&gt;&lt;volume&gt;17&lt;/volume&gt;&lt;number&gt;1&lt;/number&gt;&lt;dates&gt;&lt;year&gt;1991&lt;/year&gt;&lt;/dates&gt;&lt;isbn&gt;0149-2063&lt;/isbn&gt;&lt;urls&gt;&lt;/urls&gt;&lt;/record&gt;&lt;/Cite&gt;&lt;Cite&gt;&lt;Author&gt;Gai&lt;/Author&gt;&lt;Year&gt;2018&lt;/Year&gt;&lt;RecNum&gt;3&lt;/RecNum&gt;&lt;record&gt;&lt;rec-number&gt;3&lt;/rec-number&gt;&lt;foreign-keys&gt;&lt;key app="EN" db-id="wapx0v0s4rw2r6esw9dpwpd1wwvx05v0920r" timestamp="1755250048"&gt;3&lt;/key&gt;&lt;/foreign-keys&gt;&lt;ref-type name="Journal Article"&gt;17&lt;/ref-type&gt;&lt;contributors&gt;&lt;authors&gt;&lt;author&gt;Gai, Keke&lt;/author&gt;&lt;author&gt;Qiu, Meikang&lt;/author&gt;&lt;author&gt;Sun, Xiaotong&lt;/author&gt;&lt;/authors&gt;&lt;/contributors&gt;&lt;titles&gt;&lt;title&gt;A survey on FinTech&lt;/title&gt;&lt;secondary-title&gt;Journal of Network and Computer Applications&lt;/secondary-title&gt;&lt;/titles&gt;&lt;pages&gt;262-273&lt;/pages&gt;&lt;volume&gt;103&lt;/volume&gt;&lt;dates&gt;&lt;year&gt;2018&lt;/year&gt;&lt;/dates&gt;&lt;isbn&gt;1084-8045&lt;/isbn&gt;&lt;urls&gt;&lt;/urls&gt;&lt;/record&gt;&lt;/Cite&gt;&lt;/EndNote&gt;</w:instrText>
      </w:r>
      <w:r w:rsidR="00305EC3">
        <w:rPr>
          <w:bCs/>
          <w:sz w:val="22"/>
          <w:szCs w:val="22"/>
          <w:lang w:val="en-US"/>
        </w:rPr>
        <w:fldChar w:fldCharType="separate"/>
      </w:r>
      <w:r w:rsidR="0005669B" w:rsidRPr="0005669B">
        <w:rPr>
          <w:bCs/>
          <w:noProof/>
          <w:sz w:val="22"/>
          <w:szCs w:val="22"/>
          <w:vertAlign w:val="superscript"/>
          <w:lang w:val="en-US"/>
        </w:rPr>
        <w:t>3,13</w:t>
      </w:r>
      <w:r w:rsidR="00305EC3">
        <w:rPr>
          <w:bCs/>
          <w:sz w:val="22"/>
          <w:szCs w:val="22"/>
          <w:lang w:val="en-US"/>
        </w:rPr>
        <w:fldChar w:fldCharType="end"/>
      </w:r>
      <w:r w:rsidRPr="00E1460D">
        <w:rPr>
          <w:bCs/>
          <w:sz w:val="22"/>
          <w:szCs w:val="22"/>
          <w:lang w:val="en-US"/>
        </w:rPr>
        <w:t xml:space="preserve"> Third, digital strategy and dynamic capabilities influence how banks integrate </w:t>
      </w:r>
      <w:r w:rsidR="007356CA">
        <w:rPr>
          <w:bCs/>
          <w:sz w:val="22"/>
          <w:szCs w:val="22"/>
          <w:lang w:val="en-US"/>
        </w:rPr>
        <w:t>Fintech</w:t>
      </w:r>
      <w:r w:rsidRPr="00E1460D">
        <w:rPr>
          <w:bCs/>
          <w:sz w:val="22"/>
          <w:szCs w:val="22"/>
          <w:lang w:val="en-US"/>
        </w:rPr>
        <w:t xml:space="preserve"> solutions into their core operations and align digital initiatives with long-term strategic objectives</w:t>
      </w:r>
      <w:r w:rsidR="00305EC3">
        <w:rPr>
          <w:bCs/>
          <w:sz w:val="22"/>
          <w:szCs w:val="22"/>
          <w:lang w:val="en-US"/>
        </w:rPr>
        <w:t>.</w:t>
      </w:r>
      <w:r w:rsidR="00305EC3">
        <w:rPr>
          <w:bCs/>
          <w:sz w:val="22"/>
          <w:szCs w:val="22"/>
          <w:lang w:val="en-US"/>
        </w:rPr>
        <w:fldChar w:fldCharType="begin"/>
      </w:r>
      <w:r w:rsidR="0005669B">
        <w:rPr>
          <w:bCs/>
          <w:sz w:val="22"/>
          <w:szCs w:val="22"/>
          <w:lang w:val="en-US"/>
        </w:rPr>
        <w:instrText xml:space="preserve"> ADDIN EN.CITE &lt;EndNote&gt;&lt;Cite&gt;&lt;Author&gt;Teece&lt;/Author&gt;&lt;Year&gt;1997&lt;/Year&gt;&lt;RecNum&gt;19&lt;/RecNum&gt;&lt;DisplayText&gt;&lt;style face="superscript"&gt;14,16&lt;/style&gt;&lt;/DisplayText&gt;&lt;record&gt;&lt;rec-number&gt;19&lt;/rec-number&gt;&lt;foreign-keys&gt;&lt;key app="EN" db-id="wapx0v0s4rw2r6esw9dpwpd1wwvx05v0920r" timestamp="1755490116"&gt;19&lt;/key&gt;&lt;/foreign-keys&gt;&lt;ref-type name="Journal Article"&gt;17&lt;/ref-type&gt;&lt;contributors&gt;&lt;authors&gt;&lt;author&gt;Teece, David J&lt;/author&gt;&lt;author&gt;Pisano, Gary&lt;/author&gt;&lt;author&gt;Shuen, Amy&lt;/author&gt;&lt;/authors&gt;&lt;/contributors&gt;&lt;titles&gt;&lt;title&gt;Dynamic capabilities and strategic management&lt;/title&gt;&lt;secondary-title&gt;Strategic management journal&lt;/secondary-title&gt;&lt;/titles&gt;&lt;pages&gt;509-533&lt;/pages&gt;&lt;volume&gt;18&lt;/volume&gt;&lt;number&gt;7&lt;/number&gt;&lt;dates&gt;&lt;year&gt;1997&lt;/year&gt;&lt;/dates&gt;&lt;isbn&gt;0143-2095&lt;/isbn&gt;&lt;urls&gt;&lt;/urls&gt;&lt;/record&gt;&lt;/Cite&gt;&lt;Cite&gt;&lt;Author&gt;Warner&lt;/Author&gt;&lt;Year&gt;2019&lt;/Year&gt;&lt;RecNum&gt;20&lt;/RecNum&gt;&lt;record&gt;&lt;rec-number&gt;20&lt;/rec-number&gt;&lt;foreign-keys&gt;&lt;key app="EN" db-id="wapx0v0s4rw2r6esw9dpwpd1wwvx05v0920r" timestamp="1755490175"&gt;20&lt;/key&gt;&lt;/foreign-keys&gt;&lt;ref-type name="Journal Article"&gt;17&lt;/ref-type&gt;&lt;contributors&gt;&lt;authors&gt;&lt;author&gt;Warner, Karl SR&lt;/author&gt;&lt;author&gt;Wäger, Maximilian&lt;/author&gt;&lt;/authors&gt;&lt;/contributors&gt;&lt;titles&gt;&lt;title&gt;Building dynamic capabilities for digital transformation: An ongoing process of strategic renewal&lt;/title&gt;&lt;secondary-title&gt;Long range planning&lt;/secondary-title&gt;&lt;/titles&gt;&lt;pages&gt;326-349&lt;/pages&gt;&lt;volume&gt;52&lt;/volume&gt;&lt;number&gt;3&lt;/number&gt;&lt;dates&gt;&lt;year&gt;2019&lt;/year&gt;&lt;/dates&gt;&lt;isbn&gt;0024-6301&lt;/isbn&gt;&lt;urls&gt;&lt;/urls&gt;&lt;/record&gt;&lt;/Cite&gt;&lt;/EndNote&gt;</w:instrText>
      </w:r>
      <w:r w:rsidR="00305EC3">
        <w:rPr>
          <w:bCs/>
          <w:sz w:val="22"/>
          <w:szCs w:val="22"/>
          <w:lang w:val="en-US"/>
        </w:rPr>
        <w:fldChar w:fldCharType="separate"/>
      </w:r>
      <w:r w:rsidR="0005669B" w:rsidRPr="0005669B">
        <w:rPr>
          <w:bCs/>
          <w:noProof/>
          <w:sz w:val="22"/>
          <w:szCs w:val="22"/>
          <w:vertAlign w:val="superscript"/>
          <w:lang w:val="en-US"/>
        </w:rPr>
        <w:t>14,16</w:t>
      </w:r>
      <w:r w:rsidR="00305EC3">
        <w:rPr>
          <w:bCs/>
          <w:sz w:val="22"/>
          <w:szCs w:val="22"/>
          <w:lang w:val="en-US"/>
        </w:rPr>
        <w:fldChar w:fldCharType="end"/>
      </w:r>
    </w:p>
    <w:p w14:paraId="5883431A" w14:textId="557FCD4F" w:rsidR="00E1460D" w:rsidRPr="00E1460D" w:rsidRDefault="00E1460D" w:rsidP="00E1460D">
      <w:pPr>
        <w:shd w:val="clear" w:color="auto" w:fill="FFFFFF"/>
        <w:tabs>
          <w:tab w:val="left" w:pos="360"/>
          <w:tab w:val="right" w:pos="9072"/>
        </w:tabs>
        <w:spacing w:before="120"/>
        <w:jc w:val="both"/>
        <w:rPr>
          <w:bCs/>
          <w:sz w:val="22"/>
          <w:szCs w:val="22"/>
          <w:lang w:val="en-US"/>
        </w:rPr>
      </w:pPr>
      <w:r w:rsidRPr="00E1460D">
        <w:rPr>
          <w:bCs/>
          <w:sz w:val="22"/>
          <w:szCs w:val="22"/>
          <w:lang w:val="en-US"/>
        </w:rPr>
        <w:t xml:space="preserve">In addition, risk management capability, regulatory compliance, and internal control quality play a central role in banking-specific adoption decisions. Regulatory requirements and supervisory expectations impose constraints that directly affect the scope, pace, and depth of </w:t>
      </w:r>
      <w:r w:rsidR="007356CA">
        <w:rPr>
          <w:bCs/>
          <w:sz w:val="22"/>
          <w:szCs w:val="22"/>
          <w:lang w:val="en-US"/>
        </w:rPr>
        <w:t>Fintech</w:t>
      </w:r>
      <w:r w:rsidRPr="00E1460D">
        <w:rPr>
          <w:bCs/>
          <w:sz w:val="22"/>
          <w:szCs w:val="22"/>
          <w:lang w:val="en-US"/>
        </w:rPr>
        <w:t xml:space="preserve"> adoption, making compliance-related capabilities a critical determinant in the banking sector</w:t>
      </w:r>
      <w:r w:rsidR="00305EC3">
        <w:rPr>
          <w:bCs/>
          <w:sz w:val="22"/>
          <w:szCs w:val="22"/>
          <w:lang w:val="en-US"/>
        </w:rPr>
        <w:t>.</w:t>
      </w:r>
      <w:r w:rsidR="00305EC3">
        <w:rPr>
          <w:bCs/>
          <w:sz w:val="22"/>
          <w:szCs w:val="22"/>
          <w:lang w:val="en-US"/>
        </w:rPr>
        <w:fldChar w:fldCharType="begin"/>
      </w:r>
      <w:r w:rsidR="0005669B">
        <w:rPr>
          <w:bCs/>
          <w:sz w:val="22"/>
          <w:szCs w:val="22"/>
          <w:lang w:val="en-US"/>
        </w:rPr>
        <w:instrText xml:space="preserve"> ADDIN EN.CITE &lt;EndNote&gt;&lt;Cite&gt;&lt;Author&gt;Arner&lt;/Author&gt;&lt;Year&gt;2016&lt;/Year&gt;&lt;RecNum&gt;24&lt;/RecNum&gt;&lt;DisplayText&gt;&lt;style face="superscript"&gt;19&lt;/style&gt;&lt;/DisplayText&gt;&lt;record&gt;&lt;rec-number&gt;24&lt;/rec-number&gt;&lt;foreign-keys&gt;&lt;key app="EN" db-id="wapx0v0s4rw2r6esw9dpwpd1wwvx05v0920r" timestamp="1755491335"&gt;24&lt;/key&gt;&lt;/foreign-keys&gt;&lt;ref-type name="Journal Article"&gt;17&lt;/ref-type&gt;&lt;contributors&gt;&lt;authors&gt;&lt;author&gt;Arner, Douglas W&lt;/author&gt;&lt;author&gt;Barberis, Janos&lt;/author&gt;&lt;author&gt;Buckey, Ross P&lt;/author&gt;&lt;/authors&gt;&lt;/contributors&gt;&lt;titles&gt;&lt;title&gt;FinTech, RegTech, and the reconceptualization of financial regulation&lt;/title&gt;&lt;secondary-title&gt;Nw. J. Int&amp;apos;l L. &amp;amp; Bus.&lt;/secondary-title&gt;&lt;/titles&gt;&lt;pages&gt;371&lt;/pages&gt;&lt;volume&gt;37&lt;/volume&gt;&lt;dates&gt;&lt;year&gt;2016&lt;/year&gt;&lt;/dates&gt;&lt;urls&gt;&lt;/urls&gt;&lt;/record&gt;&lt;/Cite&gt;&lt;/EndNote&gt;</w:instrText>
      </w:r>
      <w:r w:rsidR="00305EC3">
        <w:rPr>
          <w:bCs/>
          <w:sz w:val="22"/>
          <w:szCs w:val="22"/>
          <w:lang w:val="en-US"/>
        </w:rPr>
        <w:fldChar w:fldCharType="separate"/>
      </w:r>
      <w:r w:rsidR="0005669B" w:rsidRPr="0005669B">
        <w:rPr>
          <w:bCs/>
          <w:noProof/>
          <w:sz w:val="22"/>
          <w:szCs w:val="22"/>
          <w:vertAlign w:val="superscript"/>
          <w:lang w:val="en-US"/>
        </w:rPr>
        <w:t>19</w:t>
      </w:r>
      <w:r w:rsidR="00305EC3">
        <w:rPr>
          <w:bCs/>
          <w:sz w:val="22"/>
          <w:szCs w:val="22"/>
          <w:lang w:val="en-US"/>
        </w:rPr>
        <w:fldChar w:fldCharType="end"/>
      </w:r>
      <w:r w:rsidR="00305EC3">
        <w:rPr>
          <w:bCs/>
          <w:sz w:val="22"/>
          <w:szCs w:val="22"/>
          <w:lang w:val="en-US"/>
        </w:rPr>
        <w:t xml:space="preserve"> </w:t>
      </w:r>
      <w:r w:rsidRPr="00E1460D">
        <w:rPr>
          <w:bCs/>
          <w:sz w:val="22"/>
          <w:szCs w:val="22"/>
          <w:lang w:val="en-US"/>
        </w:rPr>
        <w:t xml:space="preserve">Finally, banks’ ability to integrate </w:t>
      </w:r>
      <w:r w:rsidR="007356CA">
        <w:rPr>
          <w:bCs/>
          <w:sz w:val="22"/>
          <w:szCs w:val="22"/>
          <w:lang w:val="en-US"/>
        </w:rPr>
        <w:t>Fintech</w:t>
      </w:r>
      <w:r w:rsidRPr="00E1460D">
        <w:rPr>
          <w:bCs/>
          <w:sz w:val="22"/>
          <w:szCs w:val="22"/>
          <w:lang w:val="en-US"/>
        </w:rPr>
        <w:t xml:space="preserve"> solutions into existing core banking systems and operational processes influences not only whether adoption occurs but also the effectiveness and sustainability of implementation</w:t>
      </w:r>
      <w:r w:rsidR="00305EC3">
        <w:rPr>
          <w:bCs/>
          <w:sz w:val="22"/>
          <w:szCs w:val="22"/>
          <w:lang w:val="en-US"/>
        </w:rPr>
        <w:t>.</w:t>
      </w:r>
      <w:r w:rsidR="00305EC3">
        <w:rPr>
          <w:bCs/>
          <w:sz w:val="22"/>
          <w:szCs w:val="22"/>
          <w:lang w:val="en-US"/>
        </w:rPr>
        <w:fldChar w:fldCharType="begin"/>
      </w:r>
      <w:r w:rsidR="0005669B">
        <w:rPr>
          <w:bCs/>
          <w:sz w:val="22"/>
          <w:szCs w:val="22"/>
          <w:lang w:val="en-US"/>
        </w:rPr>
        <w:instrText xml:space="preserve"> ADDIN EN.CITE &lt;EndNote&gt;&lt;Cite&gt;&lt;Author&gt;Vives&lt;/Author&gt;&lt;Year&gt;2019&lt;/Year&gt;&lt;RecNum&gt;6&lt;/RecNum&gt;&lt;DisplayText&gt;&lt;style face="superscript"&gt;2&lt;/style&gt;&lt;/DisplayText&gt;&lt;record&gt;&lt;rec-number&gt;6&lt;/rec-number&gt;&lt;foreign-keys&gt;&lt;key app="EN" db-id="wapx0v0s4rw2r6esw9dpwpd1wwvx05v0920r" timestamp="1755484086"&gt;6&lt;/key&gt;&lt;/foreign-keys&gt;&lt;ref-type name="Journal Article"&gt;17&lt;/ref-type&gt;&lt;contributors&gt;&lt;authors&gt;&lt;author&gt;Vives, Xavier&lt;/author&gt;&lt;/authors&gt;&lt;/contributors&gt;&lt;titles&gt;&lt;title&gt;Digital disruption in banking&lt;/title&gt;&lt;secondary-title&gt;Annual Review of Financial Economics&lt;/secondary-title&gt;&lt;/titles&gt;&lt;pages&gt;243-272&lt;/pages&gt;&lt;volume&gt;11&lt;/volume&gt;&lt;number&gt;1&lt;/number&gt;&lt;dates&gt;&lt;year&gt;2019&lt;/year&gt;&lt;/dates&gt;&lt;isbn&gt;1941-1367&lt;/isbn&gt;&lt;urls&gt;&lt;/urls&gt;&lt;/record&gt;&lt;/Cite&gt;&lt;/EndNote&gt;</w:instrText>
      </w:r>
      <w:r w:rsidR="00305EC3">
        <w:rPr>
          <w:bCs/>
          <w:sz w:val="22"/>
          <w:szCs w:val="22"/>
          <w:lang w:val="en-US"/>
        </w:rPr>
        <w:fldChar w:fldCharType="separate"/>
      </w:r>
      <w:r w:rsidR="0005669B" w:rsidRPr="0005669B">
        <w:rPr>
          <w:bCs/>
          <w:noProof/>
          <w:sz w:val="22"/>
          <w:szCs w:val="22"/>
          <w:vertAlign w:val="superscript"/>
          <w:lang w:val="en-US"/>
        </w:rPr>
        <w:t>2</w:t>
      </w:r>
      <w:r w:rsidR="00305EC3">
        <w:rPr>
          <w:bCs/>
          <w:sz w:val="22"/>
          <w:szCs w:val="22"/>
          <w:lang w:val="en-US"/>
        </w:rPr>
        <w:fldChar w:fldCharType="end"/>
      </w:r>
    </w:p>
    <w:p w14:paraId="3EB218E8" w14:textId="304191EC" w:rsidR="00E1460D" w:rsidRPr="00E1460D" w:rsidRDefault="00E1460D" w:rsidP="00E1460D">
      <w:pPr>
        <w:shd w:val="clear" w:color="auto" w:fill="FFFFFF"/>
        <w:tabs>
          <w:tab w:val="left" w:pos="360"/>
          <w:tab w:val="right" w:pos="9072"/>
        </w:tabs>
        <w:spacing w:before="120"/>
        <w:jc w:val="both"/>
        <w:rPr>
          <w:bCs/>
          <w:sz w:val="22"/>
          <w:szCs w:val="22"/>
          <w:lang w:val="en-US"/>
        </w:rPr>
      </w:pPr>
      <w:r w:rsidRPr="00E1460D">
        <w:rPr>
          <w:bCs/>
          <w:sz w:val="22"/>
          <w:szCs w:val="22"/>
          <w:lang w:val="en-US"/>
        </w:rPr>
        <w:t xml:space="preserve">These bank-specific determinants provide the analytical foundation for the subsequent systematic review. By synthesizing empirical evidence through this lens, the study aims to clarify how internal organizational and strategic factors shape </w:t>
      </w:r>
      <w:r w:rsidR="007356CA">
        <w:rPr>
          <w:bCs/>
          <w:sz w:val="22"/>
          <w:szCs w:val="22"/>
          <w:lang w:val="en-US"/>
        </w:rPr>
        <w:t>Fintech</w:t>
      </w:r>
      <w:r w:rsidRPr="00E1460D">
        <w:rPr>
          <w:bCs/>
          <w:sz w:val="22"/>
          <w:szCs w:val="22"/>
          <w:lang w:val="en-US"/>
        </w:rPr>
        <w:t xml:space="preserve"> adoption in banking and to distinguish these determinants from general technology adoption drivers.</w:t>
      </w:r>
    </w:p>
    <w:p w14:paraId="69090075" w14:textId="66FBEC39" w:rsidR="004F52DB" w:rsidRPr="003C432D" w:rsidRDefault="004F52DB" w:rsidP="004F52DB">
      <w:pPr>
        <w:shd w:val="clear" w:color="auto" w:fill="FFFFFF"/>
        <w:tabs>
          <w:tab w:val="left" w:pos="360"/>
          <w:tab w:val="right" w:pos="9072"/>
        </w:tabs>
        <w:spacing w:before="120"/>
        <w:jc w:val="both"/>
        <w:rPr>
          <w:b/>
          <w:caps/>
          <w:sz w:val="22"/>
          <w:szCs w:val="22"/>
          <w:lang w:val="en-US"/>
        </w:rPr>
      </w:pPr>
      <w:r w:rsidRPr="003C432D">
        <w:rPr>
          <w:b/>
          <w:sz w:val="22"/>
          <w:szCs w:val="22"/>
        </w:rPr>
        <w:t xml:space="preserve">3. </w:t>
      </w:r>
      <w:r w:rsidRPr="003C432D">
        <w:rPr>
          <w:b/>
          <w:caps/>
          <w:sz w:val="22"/>
          <w:szCs w:val="22"/>
        </w:rPr>
        <w:t xml:space="preserve">methodology </w:t>
      </w:r>
    </w:p>
    <w:bookmarkEnd w:id="6"/>
    <w:p w14:paraId="3A8EB7AB" w14:textId="20DFE626" w:rsidR="0056726D" w:rsidRDefault="0056726D" w:rsidP="006A5B01">
      <w:pPr>
        <w:tabs>
          <w:tab w:val="left" w:pos="360"/>
        </w:tabs>
        <w:spacing w:before="120"/>
        <w:jc w:val="both"/>
        <w:rPr>
          <w:sz w:val="22"/>
          <w:szCs w:val="22"/>
          <w:lang w:val="en-US"/>
        </w:rPr>
      </w:pPr>
      <w:r w:rsidRPr="0056726D">
        <w:rPr>
          <w:sz w:val="22"/>
          <w:szCs w:val="22"/>
        </w:rPr>
        <w:t xml:space="preserve">This study follows the Preferred Reporting Items for Systematic Reviews and Meta-Analyses (PRISMA) guidelines to ensure transparency, rigor, and replicability in the review process. A systematic approach was adopted to identify, screen, and synthesize the existing literature on bank-specific determinants of </w:t>
      </w:r>
      <w:r w:rsidR="007356CA">
        <w:rPr>
          <w:sz w:val="22"/>
          <w:szCs w:val="22"/>
        </w:rPr>
        <w:t>Fintech</w:t>
      </w:r>
      <w:r w:rsidRPr="0056726D">
        <w:rPr>
          <w:sz w:val="22"/>
          <w:szCs w:val="22"/>
        </w:rPr>
        <w:t xml:space="preserve"> adoption in banking. The review process consisted of four main stages: search strategy, screening, eligibility assessment, and data extraction and synthesis.</w:t>
      </w:r>
    </w:p>
    <w:p w14:paraId="1C0E4944" w14:textId="19039C45" w:rsidR="006A5B01" w:rsidRDefault="006A5B01" w:rsidP="006A5B01">
      <w:pPr>
        <w:tabs>
          <w:tab w:val="left" w:pos="360"/>
        </w:tabs>
        <w:spacing w:before="120"/>
        <w:jc w:val="both"/>
        <w:rPr>
          <w:b/>
          <w:bCs/>
          <w:sz w:val="22"/>
          <w:szCs w:val="22"/>
          <w:lang w:val="en-US"/>
        </w:rPr>
      </w:pPr>
      <w:r w:rsidRPr="006A5B01">
        <w:rPr>
          <w:b/>
          <w:bCs/>
          <w:sz w:val="22"/>
          <w:szCs w:val="22"/>
          <w:lang w:val="en-US"/>
        </w:rPr>
        <w:t xml:space="preserve">3.1. </w:t>
      </w:r>
      <w:r w:rsidR="00833633" w:rsidRPr="00833633">
        <w:rPr>
          <w:b/>
          <w:bCs/>
          <w:sz w:val="22"/>
          <w:szCs w:val="22"/>
          <w:lang w:val="en-US"/>
        </w:rPr>
        <w:t>Search strategy</w:t>
      </w:r>
    </w:p>
    <w:p w14:paraId="2E19C3FB" w14:textId="60AE9C81" w:rsidR="0056726D" w:rsidRDefault="0056726D" w:rsidP="00B45D28">
      <w:pPr>
        <w:tabs>
          <w:tab w:val="left" w:pos="360"/>
        </w:tabs>
        <w:spacing w:before="120"/>
        <w:jc w:val="both"/>
        <w:rPr>
          <w:sz w:val="22"/>
          <w:szCs w:val="22"/>
          <w:lang w:val="en-US"/>
        </w:rPr>
      </w:pPr>
      <w:r w:rsidRPr="0056726D">
        <w:rPr>
          <w:sz w:val="22"/>
          <w:szCs w:val="22"/>
        </w:rPr>
        <w:t xml:space="preserve">A systematic literature search was conducted using major academic databases, including </w:t>
      </w:r>
      <w:r w:rsidRPr="00F14CAD">
        <w:rPr>
          <w:sz w:val="22"/>
          <w:szCs w:val="22"/>
        </w:rPr>
        <w:t xml:space="preserve">Scopus and Web of Science, </w:t>
      </w:r>
      <w:r w:rsidRPr="0056726D">
        <w:rPr>
          <w:sz w:val="22"/>
          <w:szCs w:val="22"/>
        </w:rPr>
        <w:t xml:space="preserve">to identify peer-reviewed journal articles related to </w:t>
      </w:r>
      <w:r w:rsidR="007356CA">
        <w:rPr>
          <w:sz w:val="22"/>
          <w:szCs w:val="22"/>
        </w:rPr>
        <w:t>Fintech</w:t>
      </w:r>
      <w:r w:rsidRPr="0056726D">
        <w:rPr>
          <w:sz w:val="22"/>
          <w:szCs w:val="22"/>
        </w:rPr>
        <w:t xml:space="preserve"> adoption in the banking sector. The search strategy employed combinations of keywords associated with </w:t>
      </w:r>
      <w:r w:rsidR="007356CA">
        <w:rPr>
          <w:i/>
          <w:iCs/>
          <w:sz w:val="22"/>
          <w:szCs w:val="22"/>
        </w:rPr>
        <w:t>Fintech</w:t>
      </w:r>
      <w:r w:rsidRPr="0056726D">
        <w:rPr>
          <w:sz w:val="22"/>
          <w:szCs w:val="22"/>
        </w:rPr>
        <w:t xml:space="preserve">, </w:t>
      </w:r>
      <w:r w:rsidRPr="0056726D">
        <w:rPr>
          <w:i/>
          <w:iCs/>
          <w:sz w:val="22"/>
          <w:szCs w:val="22"/>
        </w:rPr>
        <w:t>digital financial technologies</w:t>
      </w:r>
      <w:r w:rsidRPr="0056726D">
        <w:rPr>
          <w:sz w:val="22"/>
          <w:szCs w:val="22"/>
        </w:rPr>
        <w:t xml:space="preserve">, </w:t>
      </w:r>
      <w:r w:rsidRPr="0056726D">
        <w:rPr>
          <w:i/>
          <w:iCs/>
          <w:sz w:val="22"/>
          <w:szCs w:val="22"/>
        </w:rPr>
        <w:t>banking</w:t>
      </w:r>
      <w:r w:rsidRPr="0056726D">
        <w:rPr>
          <w:sz w:val="22"/>
          <w:szCs w:val="22"/>
        </w:rPr>
        <w:t xml:space="preserve">, </w:t>
      </w:r>
      <w:r w:rsidRPr="0056726D">
        <w:rPr>
          <w:i/>
          <w:iCs/>
          <w:sz w:val="22"/>
          <w:szCs w:val="22"/>
        </w:rPr>
        <w:t>commercial banks</w:t>
      </w:r>
      <w:r w:rsidRPr="0056726D">
        <w:rPr>
          <w:sz w:val="22"/>
          <w:szCs w:val="22"/>
        </w:rPr>
        <w:t xml:space="preserve">, </w:t>
      </w:r>
      <w:r w:rsidRPr="0056726D">
        <w:rPr>
          <w:i/>
          <w:iCs/>
          <w:sz w:val="22"/>
          <w:szCs w:val="22"/>
        </w:rPr>
        <w:t>adoption</w:t>
      </w:r>
      <w:r w:rsidRPr="0056726D">
        <w:rPr>
          <w:sz w:val="22"/>
          <w:szCs w:val="22"/>
        </w:rPr>
        <w:t xml:space="preserve">, </w:t>
      </w:r>
      <w:r w:rsidRPr="0056726D">
        <w:rPr>
          <w:i/>
          <w:iCs/>
          <w:sz w:val="22"/>
          <w:szCs w:val="22"/>
        </w:rPr>
        <w:t>determinants</w:t>
      </w:r>
      <w:r w:rsidRPr="0056726D">
        <w:rPr>
          <w:sz w:val="22"/>
          <w:szCs w:val="22"/>
        </w:rPr>
        <w:t xml:space="preserve">, and </w:t>
      </w:r>
      <w:r w:rsidRPr="0056726D">
        <w:rPr>
          <w:i/>
          <w:iCs/>
          <w:sz w:val="22"/>
          <w:szCs w:val="22"/>
        </w:rPr>
        <w:t>impacts</w:t>
      </w:r>
      <w:r w:rsidRPr="0056726D">
        <w:rPr>
          <w:sz w:val="22"/>
          <w:szCs w:val="22"/>
        </w:rPr>
        <w:t>.</w:t>
      </w:r>
    </w:p>
    <w:p w14:paraId="0A4D3A5F" w14:textId="0E5DA968" w:rsidR="00B45D28" w:rsidRPr="0056726D" w:rsidRDefault="0056726D" w:rsidP="006A5B01">
      <w:pPr>
        <w:tabs>
          <w:tab w:val="left" w:pos="360"/>
        </w:tabs>
        <w:spacing w:before="120"/>
        <w:jc w:val="both"/>
        <w:rPr>
          <w:sz w:val="22"/>
          <w:szCs w:val="22"/>
          <w:lang w:val="en-US"/>
        </w:rPr>
      </w:pPr>
      <w:r w:rsidRPr="0056726D">
        <w:rPr>
          <w:sz w:val="22"/>
          <w:szCs w:val="22"/>
        </w:rPr>
        <w:t>Only English-language journal articles were considered. To ensure the academic quality and comparability of the reviewed studies, conference papers, book chapters, and non-peer-reviewed publications were excluded. The search covered studies published between 2020 and 2025.</w:t>
      </w:r>
      <w:r w:rsidRPr="0056726D">
        <w:rPr>
          <w:sz w:val="22"/>
          <w:szCs w:val="22"/>
          <w:lang w:val="en-US"/>
        </w:rPr>
        <w:t xml:space="preserve"> </w:t>
      </w:r>
      <w:r w:rsidR="00B45D28" w:rsidRPr="0056726D">
        <w:rPr>
          <w:sz w:val="22"/>
          <w:szCs w:val="22"/>
          <w:lang w:val="en-US"/>
        </w:rPr>
        <w:t>The initial database search resulted in 1</w:t>
      </w:r>
      <w:r w:rsidR="004473EB">
        <w:rPr>
          <w:sz w:val="22"/>
          <w:szCs w:val="22"/>
          <w:lang w:val="en-US"/>
        </w:rPr>
        <w:t>50</w:t>
      </w:r>
      <w:r w:rsidR="00B45D28" w:rsidRPr="0056726D">
        <w:rPr>
          <w:sz w:val="22"/>
          <w:szCs w:val="22"/>
          <w:lang w:val="en-US"/>
        </w:rPr>
        <w:t xml:space="preserve"> records.</w:t>
      </w:r>
    </w:p>
    <w:p w14:paraId="4D13787A" w14:textId="77777777" w:rsidR="007E6A89" w:rsidRPr="0056726D" w:rsidRDefault="007E6A89" w:rsidP="007E6A89">
      <w:pPr>
        <w:tabs>
          <w:tab w:val="left" w:pos="360"/>
        </w:tabs>
        <w:spacing w:before="120"/>
        <w:jc w:val="both"/>
        <w:rPr>
          <w:b/>
          <w:bCs/>
          <w:sz w:val="22"/>
          <w:szCs w:val="22"/>
          <w:lang w:val="en-US"/>
        </w:rPr>
      </w:pPr>
      <w:r w:rsidRPr="0056726D">
        <w:rPr>
          <w:b/>
          <w:bCs/>
          <w:sz w:val="22"/>
          <w:szCs w:val="22"/>
          <w:lang w:val="en-US"/>
        </w:rPr>
        <w:t>3.2. Screening process</w:t>
      </w:r>
    </w:p>
    <w:p w14:paraId="121D4503" w14:textId="77777777" w:rsidR="00B45D28" w:rsidRPr="00B45D28" w:rsidRDefault="00B45D28" w:rsidP="00B45D28">
      <w:pPr>
        <w:tabs>
          <w:tab w:val="left" w:pos="360"/>
        </w:tabs>
        <w:spacing w:before="120"/>
        <w:jc w:val="both"/>
        <w:rPr>
          <w:sz w:val="22"/>
          <w:szCs w:val="22"/>
          <w:lang w:val="en-US"/>
        </w:rPr>
      </w:pPr>
      <w:r w:rsidRPr="00B45D28">
        <w:rPr>
          <w:sz w:val="22"/>
          <w:szCs w:val="22"/>
          <w:lang w:val="en-US"/>
        </w:rPr>
        <w:t>After the initial retrieval, duplicate records were identified and removed through a manual and automated deduplication process. As a result, 38 duplicate records were excluded, leaving 107 unique studies for further screening.</w:t>
      </w:r>
    </w:p>
    <w:p w14:paraId="66D94B9E" w14:textId="7407D084" w:rsidR="00B45D28" w:rsidRPr="00B45D28" w:rsidRDefault="00B45D28" w:rsidP="00B45D28">
      <w:pPr>
        <w:tabs>
          <w:tab w:val="left" w:pos="360"/>
        </w:tabs>
        <w:spacing w:before="120"/>
        <w:jc w:val="both"/>
        <w:rPr>
          <w:sz w:val="22"/>
          <w:szCs w:val="22"/>
          <w:lang w:val="en-US"/>
        </w:rPr>
      </w:pPr>
      <w:r w:rsidRPr="00B45D28">
        <w:rPr>
          <w:sz w:val="22"/>
          <w:szCs w:val="22"/>
          <w:lang w:val="en-US"/>
        </w:rPr>
        <w:t>Title and abstract screening was then performed to assess the relevance of the remaining studies. At this stage, articles were excluded if they:</w:t>
      </w:r>
      <w:r>
        <w:rPr>
          <w:sz w:val="22"/>
          <w:szCs w:val="22"/>
          <w:lang w:val="en-US"/>
        </w:rPr>
        <w:t xml:space="preserve"> </w:t>
      </w:r>
      <w:r w:rsidRPr="00B45D28">
        <w:rPr>
          <w:sz w:val="22"/>
          <w:szCs w:val="22"/>
          <w:lang w:val="en-US"/>
        </w:rPr>
        <w:t>did not focus on the banking sector,</w:t>
      </w:r>
      <w:r>
        <w:rPr>
          <w:sz w:val="22"/>
          <w:szCs w:val="22"/>
          <w:lang w:val="en-US"/>
        </w:rPr>
        <w:t xml:space="preserve"> </w:t>
      </w:r>
      <w:r w:rsidRPr="00B45D28">
        <w:rPr>
          <w:sz w:val="22"/>
          <w:szCs w:val="22"/>
          <w:lang w:val="en-US"/>
        </w:rPr>
        <w:t xml:space="preserve">did not examine </w:t>
      </w:r>
      <w:r w:rsidR="007356CA">
        <w:rPr>
          <w:sz w:val="22"/>
          <w:szCs w:val="22"/>
          <w:lang w:val="en-US"/>
        </w:rPr>
        <w:t>Fintech</w:t>
      </w:r>
      <w:r w:rsidRPr="00B45D28">
        <w:rPr>
          <w:sz w:val="22"/>
          <w:szCs w:val="22"/>
          <w:lang w:val="en-US"/>
        </w:rPr>
        <w:t xml:space="preserve"> adoption or related digital technologies,</w:t>
      </w:r>
      <w:r>
        <w:rPr>
          <w:sz w:val="22"/>
          <w:szCs w:val="22"/>
          <w:lang w:val="en-US"/>
        </w:rPr>
        <w:t xml:space="preserve"> </w:t>
      </w:r>
      <w:r w:rsidRPr="00B45D28">
        <w:rPr>
          <w:sz w:val="22"/>
          <w:szCs w:val="22"/>
          <w:lang w:val="en-US"/>
        </w:rPr>
        <w:t>were non-empirical in nature,</w:t>
      </w:r>
      <w:r>
        <w:rPr>
          <w:sz w:val="22"/>
          <w:szCs w:val="22"/>
          <w:lang w:val="en-US"/>
        </w:rPr>
        <w:t xml:space="preserve"> </w:t>
      </w:r>
      <w:r w:rsidRPr="00B45D28">
        <w:rPr>
          <w:sz w:val="22"/>
          <w:szCs w:val="22"/>
          <w:lang w:val="en-US"/>
        </w:rPr>
        <w:t>focused on industries other than banking.</w:t>
      </w:r>
    </w:p>
    <w:p w14:paraId="5931AC8E" w14:textId="0923A08B" w:rsidR="00B45D28" w:rsidRPr="007E6A89" w:rsidRDefault="00B45D28" w:rsidP="007E6A89">
      <w:pPr>
        <w:tabs>
          <w:tab w:val="left" w:pos="360"/>
        </w:tabs>
        <w:spacing w:before="120"/>
        <w:jc w:val="both"/>
        <w:rPr>
          <w:sz w:val="22"/>
          <w:szCs w:val="22"/>
          <w:lang w:val="en-US"/>
        </w:rPr>
      </w:pPr>
      <w:r w:rsidRPr="00B45D28">
        <w:rPr>
          <w:sz w:val="22"/>
          <w:szCs w:val="22"/>
          <w:lang w:val="en-US"/>
        </w:rPr>
        <w:t>Following this screening process, 63 records were excluded, leaving 44 articles for full-text assessment.</w:t>
      </w:r>
    </w:p>
    <w:p w14:paraId="57AFC841" w14:textId="77777777" w:rsidR="004F435E" w:rsidRDefault="00833633" w:rsidP="0035258B">
      <w:pPr>
        <w:tabs>
          <w:tab w:val="left" w:pos="360"/>
        </w:tabs>
        <w:spacing w:before="120"/>
        <w:jc w:val="both"/>
        <w:rPr>
          <w:b/>
          <w:bCs/>
          <w:sz w:val="22"/>
          <w:szCs w:val="22"/>
          <w:lang w:val="en-US"/>
        </w:rPr>
      </w:pPr>
      <w:r w:rsidRPr="0035258B">
        <w:rPr>
          <w:b/>
          <w:bCs/>
          <w:sz w:val="22"/>
          <w:szCs w:val="22"/>
          <w:lang w:val="en-US"/>
        </w:rPr>
        <w:t xml:space="preserve">3.3. </w:t>
      </w:r>
      <w:r w:rsidRPr="0035258B">
        <w:rPr>
          <w:b/>
          <w:bCs/>
          <w:sz w:val="22"/>
          <w:szCs w:val="22"/>
        </w:rPr>
        <w:t>Inclusion and exclusion criteria</w:t>
      </w:r>
    </w:p>
    <w:p w14:paraId="038F5C85" w14:textId="3459060D" w:rsidR="0035258B" w:rsidRPr="004F435E" w:rsidRDefault="0035258B" w:rsidP="0035258B">
      <w:pPr>
        <w:tabs>
          <w:tab w:val="left" w:pos="360"/>
        </w:tabs>
        <w:spacing w:before="120"/>
        <w:jc w:val="both"/>
        <w:rPr>
          <w:b/>
          <w:bCs/>
          <w:sz w:val="22"/>
          <w:szCs w:val="22"/>
          <w:lang w:val="en-US"/>
        </w:rPr>
      </w:pPr>
      <w:r w:rsidRPr="0035258B">
        <w:rPr>
          <w:sz w:val="22"/>
          <w:szCs w:val="22"/>
          <w:lang w:val="en-US"/>
        </w:rPr>
        <w:t>To ensure consistency and methodological rigor, predefined inclusion and exclusion criteria were applied during the full-text review stage.</w:t>
      </w:r>
    </w:p>
    <w:p w14:paraId="6509D970" w14:textId="35E7AB39" w:rsidR="004F435E" w:rsidRDefault="0035258B" w:rsidP="008A798C">
      <w:pPr>
        <w:tabs>
          <w:tab w:val="left" w:pos="360"/>
        </w:tabs>
        <w:spacing w:before="120"/>
        <w:jc w:val="both"/>
        <w:rPr>
          <w:sz w:val="22"/>
          <w:szCs w:val="22"/>
          <w:lang w:val="en-US"/>
        </w:rPr>
      </w:pPr>
      <w:r w:rsidRPr="00DF41CE">
        <w:rPr>
          <w:i/>
          <w:iCs/>
          <w:sz w:val="22"/>
          <w:szCs w:val="22"/>
          <w:lang w:val="en-US"/>
        </w:rPr>
        <w:t>Inclusion criteria:</w:t>
      </w:r>
      <w:r>
        <w:rPr>
          <w:sz w:val="22"/>
          <w:szCs w:val="22"/>
          <w:lang w:val="en-US"/>
        </w:rPr>
        <w:t xml:space="preserve"> </w:t>
      </w:r>
      <w:r w:rsidR="008D5452">
        <w:rPr>
          <w:sz w:val="22"/>
          <w:szCs w:val="22"/>
          <w:lang w:val="en-US"/>
        </w:rPr>
        <w:t>p</w:t>
      </w:r>
      <w:r w:rsidR="00662461" w:rsidRPr="00662461">
        <w:rPr>
          <w:sz w:val="22"/>
          <w:szCs w:val="22"/>
          <w:lang w:val="en-US"/>
        </w:rPr>
        <w:t>ublished in peer-reviewed academic journals;</w:t>
      </w:r>
      <w:r w:rsidR="00662461">
        <w:rPr>
          <w:sz w:val="22"/>
          <w:szCs w:val="22"/>
          <w:lang w:val="en-US"/>
        </w:rPr>
        <w:t xml:space="preserve"> </w:t>
      </w:r>
      <w:r w:rsidR="008D5452">
        <w:rPr>
          <w:sz w:val="22"/>
          <w:szCs w:val="22"/>
          <w:lang w:val="en-US"/>
        </w:rPr>
        <w:t>f</w:t>
      </w:r>
      <w:r w:rsidR="00662461" w:rsidRPr="00662461">
        <w:rPr>
          <w:sz w:val="22"/>
          <w:szCs w:val="22"/>
          <w:lang w:val="en-US"/>
        </w:rPr>
        <w:t xml:space="preserve">ocused on </w:t>
      </w:r>
      <w:r w:rsidR="007356CA">
        <w:rPr>
          <w:sz w:val="22"/>
          <w:szCs w:val="22"/>
          <w:lang w:val="en-US"/>
        </w:rPr>
        <w:t>Fintech</w:t>
      </w:r>
      <w:r w:rsidR="00662461" w:rsidRPr="00662461">
        <w:rPr>
          <w:sz w:val="22"/>
          <w:szCs w:val="22"/>
          <w:lang w:val="en-US"/>
        </w:rPr>
        <w:t xml:space="preserve"> adoption in the banking sector, particularly commercial banks or bank-level analysis;</w:t>
      </w:r>
      <w:r w:rsidR="00662461">
        <w:rPr>
          <w:sz w:val="22"/>
          <w:szCs w:val="22"/>
          <w:lang w:val="en-US"/>
        </w:rPr>
        <w:t xml:space="preserve"> </w:t>
      </w:r>
      <w:r w:rsidR="008D5452">
        <w:rPr>
          <w:sz w:val="22"/>
          <w:szCs w:val="22"/>
          <w:lang w:val="en-US"/>
        </w:rPr>
        <w:t>e</w:t>
      </w:r>
      <w:r w:rsidR="00662461" w:rsidRPr="00662461">
        <w:rPr>
          <w:sz w:val="22"/>
          <w:szCs w:val="22"/>
          <w:lang w:val="en-US"/>
        </w:rPr>
        <w:t xml:space="preserve">xamined determinants and/or impacts of </w:t>
      </w:r>
      <w:r w:rsidR="007356CA">
        <w:rPr>
          <w:sz w:val="22"/>
          <w:szCs w:val="22"/>
          <w:lang w:val="en-US"/>
        </w:rPr>
        <w:t>Fintech</w:t>
      </w:r>
      <w:r w:rsidR="00662461" w:rsidRPr="00662461">
        <w:rPr>
          <w:sz w:val="22"/>
          <w:szCs w:val="22"/>
          <w:lang w:val="en-US"/>
        </w:rPr>
        <w:t xml:space="preserve"> adoption in banking;</w:t>
      </w:r>
      <w:r w:rsidR="00662461">
        <w:rPr>
          <w:sz w:val="22"/>
          <w:szCs w:val="22"/>
          <w:lang w:val="en-US"/>
        </w:rPr>
        <w:t xml:space="preserve"> </w:t>
      </w:r>
      <w:r w:rsidR="008D5452">
        <w:rPr>
          <w:sz w:val="22"/>
          <w:szCs w:val="22"/>
          <w:lang w:val="en-US"/>
        </w:rPr>
        <w:t>e</w:t>
      </w:r>
      <w:r w:rsidR="00662461" w:rsidRPr="00662461">
        <w:rPr>
          <w:sz w:val="22"/>
          <w:szCs w:val="22"/>
          <w:lang w:val="en-US"/>
        </w:rPr>
        <w:t>mployed empirical analysis or provided structured and systematic evidence</w:t>
      </w:r>
      <w:r w:rsidR="004F435E">
        <w:rPr>
          <w:sz w:val="22"/>
          <w:szCs w:val="22"/>
          <w:lang w:val="en-US"/>
        </w:rPr>
        <w:t xml:space="preserve"> </w:t>
      </w:r>
      <w:r w:rsidR="00662461" w:rsidRPr="00662461">
        <w:rPr>
          <w:sz w:val="22"/>
          <w:szCs w:val="22"/>
          <w:lang w:val="en-US"/>
        </w:rPr>
        <w:t>synthesis;</w:t>
      </w:r>
      <w:r w:rsidR="00662461">
        <w:rPr>
          <w:sz w:val="22"/>
          <w:szCs w:val="22"/>
          <w:lang w:val="en-US"/>
        </w:rPr>
        <w:t xml:space="preserve"> </w:t>
      </w:r>
      <w:r w:rsidR="008D5452">
        <w:rPr>
          <w:sz w:val="22"/>
          <w:szCs w:val="22"/>
          <w:lang w:val="en-US"/>
        </w:rPr>
        <w:t>were w</w:t>
      </w:r>
      <w:r w:rsidR="00662461" w:rsidRPr="00662461">
        <w:rPr>
          <w:sz w:val="22"/>
          <w:szCs w:val="22"/>
          <w:lang w:val="en-US"/>
        </w:rPr>
        <w:t>ritten in English;</w:t>
      </w:r>
      <w:r w:rsidR="00662461">
        <w:rPr>
          <w:sz w:val="22"/>
          <w:szCs w:val="22"/>
          <w:lang w:val="en-US"/>
        </w:rPr>
        <w:t xml:space="preserve"> </w:t>
      </w:r>
      <w:r w:rsidR="004F692F">
        <w:rPr>
          <w:sz w:val="22"/>
          <w:szCs w:val="22"/>
          <w:lang w:val="en-US"/>
        </w:rPr>
        <w:t>were p</w:t>
      </w:r>
      <w:r w:rsidR="00662461" w:rsidRPr="00662461">
        <w:rPr>
          <w:sz w:val="22"/>
          <w:szCs w:val="22"/>
          <w:lang w:val="en-US"/>
        </w:rPr>
        <w:t>ublished between 2020 and 2025.</w:t>
      </w:r>
      <w:r w:rsidR="004F435E">
        <w:rPr>
          <w:sz w:val="22"/>
          <w:szCs w:val="22"/>
          <w:lang w:val="en-US"/>
        </w:rPr>
        <w:t xml:space="preserve"> </w:t>
      </w:r>
    </w:p>
    <w:p w14:paraId="48C381A4" w14:textId="0867D686" w:rsidR="0035258B" w:rsidRPr="004F692F" w:rsidRDefault="0035258B" w:rsidP="008A798C">
      <w:pPr>
        <w:tabs>
          <w:tab w:val="left" w:pos="360"/>
        </w:tabs>
        <w:spacing w:before="120"/>
        <w:jc w:val="both"/>
        <w:rPr>
          <w:sz w:val="22"/>
          <w:szCs w:val="22"/>
          <w:lang w:val="en-US"/>
        </w:rPr>
      </w:pPr>
      <w:r w:rsidRPr="0035258B">
        <w:rPr>
          <w:sz w:val="22"/>
          <w:szCs w:val="22"/>
          <w:lang w:val="en-US"/>
        </w:rPr>
        <w:t>Exclusion criteria:</w:t>
      </w:r>
      <w:r>
        <w:rPr>
          <w:sz w:val="22"/>
          <w:szCs w:val="22"/>
          <w:lang w:val="en-US"/>
        </w:rPr>
        <w:t xml:space="preserve"> </w:t>
      </w:r>
      <w:r w:rsidR="004F692F" w:rsidRPr="004F692F">
        <w:rPr>
          <w:sz w:val="22"/>
          <w:szCs w:val="22"/>
          <w:lang w:val="en-US"/>
        </w:rPr>
        <w:t>p</w:t>
      </w:r>
      <w:r w:rsidR="00662461" w:rsidRPr="004F692F">
        <w:rPr>
          <w:sz w:val="22"/>
          <w:szCs w:val="22"/>
          <w:lang w:val="en-US"/>
        </w:rPr>
        <w:t xml:space="preserve">urely conceptual or theoretical papers without a clear focus on </w:t>
      </w:r>
      <w:r w:rsidR="007356CA">
        <w:rPr>
          <w:sz w:val="22"/>
          <w:szCs w:val="22"/>
          <w:lang w:val="en-US"/>
        </w:rPr>
        <w:t>Fintech</w:t>
      </w:r>
      <w:r w:rsidR="00662461" w:rsidRPr="004F692F">
        <w:rPr>
          <w:sz w:val="22"/>
          <w:szCs w:val="22"/>
          <w:lang w:val="en-US"/>
        </w:rPr>
        <w:t xml:space="preserve"> adoption in the banking sector; Systematic reviews or meta-analyses that did not specifically address bank-level </w:t>
      </w:r>
      <w:r w:rsidR="007356CA">
        <w:rPr>
          <w:sz w:val="22"/>
          <w:szCs w:val="22"/>
          <w:lang w:val="en-US"/>
        </w:rPr>
        <w:t>Fintech</w:t>
      </w:r>
      <w:r w:rsidR="00662461" w:rsidRPr="004F692F">
        <w:rPr>
          <w:sz w:val="22"/>
          <w:szCs w:val="22"/>
          <w:lang w:val="en-US"/>
        </w:rPr>
        <w:t xml:space="preserve"> adoption or its determinants and impacts; Studies focusing on </w:t>
      </w:r>
      <w:r w:rsidR="007356CA">
        <w:rPr>
          <w:sz w:val="22"/>
          <w:szCs w:val="22"/>
          <w:lang w:val="en-US"/>
        </w:rPr>
        <w:t>Fintech</w:t>
      </w:r>
      <w:r w:rsidR="00662461" w:rsidRPr="004F692F">
        <w:rPr>
          <w:sz w:val="22"/>
          <w:szCs w:val="22"/>
          <w:lang w:val="en-US"/>
        </w:rPr>
        <w:t xml:space="preserve"> adoption outside the banking context, such as </w:t>
      </w:r>
      <w:r w:rsidR="007356CA">
        <w:rPr>
          <w:sz w:val="22"/>
          <w:szCs w:val="22"/>
          <w:lang w:val="en-US"/>
        </w:rPr>
        <w:t>fintech</w:t>
      </w:r>
      <w:r w:rsidR="00662461" w:rsidRPr="004F692F">
        <w:rPr>
          <w:sz w:val="22"/>
          <w:szCs w:val="22"/>
          <w:lang w:val="en-US"/>
        </w:rPr>
        <w:t xml:space="preserve"> firms, consumers, or non-financial industries;</w:t>
      </w:r>
      <w:r w:rsidR="008A798C" w:rsidRPr="004F692F">
        <w:rPr>
          <w:sz w:val="22"/>
          <w:szCs w:val="22"/>
          <w:lang w:val="en-US"/>
        </w:rPr>
        <w:t xml:space="preserve"> </w:t>
      </w:r>
      <w:r w:rsidR="00662461" w:rsidRPr="004F692F">
        <w:rPr>
          <w:sz w:val="22"/>
          <w:szCs w:val="22"/>
          <w:lang w:val="en-US"/>
        </w:rPr>
        <w:t xml:space="preserve">Articles lacking sufficient empirical or analytical evidence relevant to determinants or impacts of </w:t>
      </w:r>
      <w:r w:rsidR="007356CA">
        <w:rPr>
          <w:sz w:val="22"/>
          <w:szCs w:val="22"/>
          <w:lang w:val="en-US"/>
        </w:rPr>
        <w:t>Fintech</w:t>
      </w:r>
      <w:r w:rsidR="00662461" w:rsidRPr="004F692F">
        <w:rPr>
          <w:sz w:val="22"/>
          <w:szCs w:val="22"/>
          <w:lang w:val="en-US"/>
        </w:rPr>
        <w:t xml:space="preserve"> adoption in banking;</w:t>
      </w:r>
      <w:r w:rsidR="008A798C" w:rsidRPr="004F692F">
        <w:rPr>
          <w:sz w:val="22"/>
          <w:szCs w:val="22"/>
          <w:lang w:val="en-US"/>
        </w:rPr>
        <w:t xml:space="preserve"> </w:t>
      </w:r>
      <w:r w:rsidR="00662461" w:rsidRPr="004F692F">
        <w:rPr>
          <w:sz w:val="22"/>
          <w:szCs w:val="22"/>
          <w:lang w:val="en-US"/>
        </w:rPr>
        <w:t>Non-peer-reviewed publications, including conference papers, book chapters, and reports</w:t>
      </w:r>
      <w:r w:rsidRPr="004F692F">
        <w:rPr>
          <w:sz w:val="22"/>
          <w:szCs w:val="22"/>
          <w:lang w:val="en-US"/>
        </w:rPr>
        <w:t>.</w:t>
      </w:r>
    </w:p>
    <w:p w14:paraId="0CC0EC66" w14:textId="77777777" w:rsidR="0042631B" w:rsidRPr="0042631B" w:rsidRDefault="0042631B" w:rsidP="0042631B">
      <w:pPr>
        <w:tabs>
          <w:tab w:val="left" w:pos="360"/>
        </w:tabs>
        <w:spacing w:before="120"/>
        <w:jc w:val="both"/>
        <w:rPr>
          <w:b/>
          <w:bCs/>
          <w:sz w:val="22"/>
          <w:szCs w:val="22"/>
          <w:lang w:val="en-US"/>
        </w:rPr>
      </w:pPr>
      <w:r w:rsidRPr="007E6A89">
        <w:rPr>
          <w:b/>
          <w:bCs/>
          <w:sz w:val="22"/>
          <w:szCs w:val="22"/>
          <w:lang w:val="en-US"/>
        </w:rPr>
        <w:t>3.</w:t>
      </w:r>
      <w:r>
        <w:rPr>
          <w:b/>
          <w:bCs/>
          <w:sz w:val="22"/>
          <w:szCs w:val="22"/>
          <w:lang w:val="en-US"/>
        </w:rPr>
        <w:t>4</w:t>
      </w:r>
      <w:r w:rsidRPr="007E6A89">
        <w:rPr>
          <w:b/>
          <w:bCs/>
          <w:sz w:val="22"/>
          <w:szCs w:val="22"/>
          <w:lang w:val="en-US"/>
        </w:rPr>
        <w:t xml:space="preserve">. </w:t>
      </w:r>
      <w:r w:rsidRPr="00833633">
        <w:rPr>
          <w:b/>
          <w:bCs/>
          <w:sz w:val="22"/>
          <w:szCs w:val="22"/>
        </w:rPr>
        <w:t>Screening and eligibility process</w:t>
      </w:r>
    </w:p>
    <w:p w14:paraId="6039C9D6" w14:textId="3F366974" w:rsidR="0042631B" w:rsidRPr="0035258B" w:rsidRDefault="0042631B" w:rsidP="0042631B">
      <w:pPr>
        <w:tabs>
          <w:tab w:val="left" w:pos="360"/>
        </w:tabs>
        <w:spacing w:before="120"/>
        <w:jc w:val="both"/>
        <w:rPr>
          <w:sz w:val="22"/>
          <w:szCs w:val="22"/>
          <w:lang w:val="en-US"/>
        </w:rPr>
      </w:pPr>
      <w:r w:rsidRPr="0035258B">
        <w:rPr>
          <w:sz w:val="22"/>
          <w:szCs w:val="22"/>
          <w:lang w:val="en-US"/>
        </w:rPr>
        <w:t xml:space="preserve">The full texts of the remaining 44 articles were assessed against the predefined inclusion and exclusion criteria. During this stage, 22 articles were excluded because they were conceptual in nature, constituted secondary reviews, or did not explicitly analyze bank-level determinants or impacts of </w:t>
      </w:r>
      <w:r w:rsidR="007356CA">
        <w:rPr>
          <w:sz w:val="22"/>
          <w:szCs w:val="22"/>
          <w:lang w:val="en-US"/>
        </w:rPr>
        <w:t>Fintech</w:t>
      </w:r>
      <w:r w:rsidRPr="0035258B">
        <w:rPr>
          <w:sz w:val="22"/>
          <w:szCs w:val="22"/>
          <w:lang w:val="en-US"/>
        </w:rPr>
        <w:t xml:space="preserve"> adoption.</w:t>
      </w:r>
    </w:p>
    <w:p w14:paraId="396E6F94" w14:textId="77777777" w:rsidR="004F435E" w:rsidRDefault="0042631B" w:rsidP="007E6A89">
      <w:pPr>
        <w:tabs>
          <w:tab w:val="left" w:pos="360"/>
        </w:tabs>
        <w:spacing w:before="120"/>
        <w:jc w:val="both"/>
        <w:rPr>
          <w:sz w:val="22"/>
          <w:szCs w:val="22"/>
          <w:lang w:val="en-US"/>
        </w:rPr>
      </w:pPr>
      <w:r w:rsidRPr="0035258B">
        <w:rPr>
          <w:sz w:val="22"/>
          <w:szCs w:val="22"/>
          <w:lang w:val="en-US"/>
        </w:rPr>
        <w:t>Consequently, a final sample of 22 empirical studies was retained for qualitative synthesis. The study selection process is summarized in the PRISMA flow diagra</w:t>
      </w:r>
      <w:r>
        <w:rPr>
          <w:sz w:val="22"/>
          <w:szCs w:val="22"/>
          <w:lang w:val="en-US"/>
        </w:rPr>
        <w:t>m.</w:t>
      </w:r>
    </w:p>
    <w:p w14:paraId="08C9A985" w14:textId="77777777" w:rsidR="004F435E" w:rsidRDefault="004F435E" w:rsidP="007E6A89">
      <w:pPr>
        <w:tabs>
          <w:tab w:val="left" w:pos="360"/>
        </w:tabs>
        <w:spacing w:before="120"/>
        <w:jc w:val="both"/>
        <w:rPr>
          <w:sz w:val="22"/>
          <w:szCs w:val="22"/>
          <w:lang w:val="en-US"/>
        </w:rPr>
      </w:pPr>
    </w:p>
    <w:p w14:paraId="4964225F" w14:textId="77777777" w:rsidR="00671955" w:rsidRDefault="00671955" w:rsidP="007E6A89">
      <w:pPr>
        <w:tabs>
          <w:tab w:val="left" w:pos="360"/>
        </w:tabs>
        <w:spacing w:before="120"/>
        <w:jc w:val="both"/>
        <w:rPr>
          <w:sz w:val="22"/>
          <w:szCs w:val="22"/>
          <w:lang w:val="en-US"/>
        </w:rPr>
        <w:sectPr w:rsidR="00671955" w:rsidSect="004F435E">
          <w:type w:val="continuous"/>
          <w:pgSz w:w="11909" w:h="16834"/>
          <w:pgMar w:top="1134" w:right="1134" w:bottom="1134" w:left="1418" w:header="720" w:footer="720" w:gutter="0"/>
          <w:cols w:num="2" w:space="720"/>
        </w:sectPr>
      </w:pPr>
    </w:p>
    <w:p w14:paraId="57E344FD" w14:textId="380A268B" w:rsidR="004F435E" w:rsidRDefault="00671955" w:rsidP="007E6A89">
      <w:pPr>
        <w:tabs>
          <w:tab w:val="left" w:pos="360"/>
        </w:tabs>
        <w:spacing w:before="120"/>
        <w:jc w:val="both"/>
        <w:rPr>
          <w:sz w:val="22"/>
          <w:szCs w:val="22"/>
          <w:lang w:val="en-US"/>
        </w:rPr>
        <w:sectPr w:rsidR="004F435E" w:rsidSect="00841ED3">
          <w:type w:val="continuous"/>
          <w:pgSz w:w="11909" w:h="16834"/>
          <w:pgMar w:top="1134" w:right="1134" w:bottom="1134" w:left="1418" w:header="720" w:footer="720" w:gutter="0"/>
          <w:cols w:space="720"/>
        </w:sectPr>
      </w:pPr>
      <w:r>
        <w:rPr>
          <w:noProof/>
          <w:lang w:val="en-US"/>
        </w:rPr>
        <mc:AlternateContent>
          <mc:Choice Requires="wpg">
            <w:drawing>
              <wp:anchor distT="0" distB="0" distL="114300" distR="114300" simplePos="0" relativeHeight="251658240" behindDoc="0" locked="0" layoutInCell="1" allowOverlap="1" wp14:anchorId="4E52605E" wp14:editId="72D648F9">
                <wp:simplePos x="0" y="0"/>
                <wp:positionH relativeFrom="column">
                  <wp:posOffset>1149</wp:posOffset>
                </wp:positionH>
                <wp:positionV relativeFrom="paragraph">
                  <wp:posOffset>422910</wp:posOffset>
                </wp:positionV>
                <wp:extent cx="5854700" cy="3867150"/>
                <wp:effectExtent l="0" t="0" r="12700" b="19050"/>
                <wp:wrapTopAndBottom/>
                <wp:docPr id="2135792396" name="Group 40"/>
                <wp:cNvGraphicFramePr/>
                <a:graphic xmlns:a="http://schemas.openxmlformats.org/drawingml/2006/main">
                  <a:graphicData uri="http://schemas.microsoft.com/office/word/2010/wordprocessingGroup">
                    <wpg:wgp>
                      <wpg:cNvGrpSpPr/>
                      <wpg:grpSpPr>
                        <a:xfrm>
                          <a:off x="0" y="0"/>
                          <a:ext cx="5854700" cy="3867150"/>
                          <a:chOff x="0" y="0"/>
                          <a:chExt cx="4517722" cy="4337250"/>
                        </a:xfrm>
                      </wpg:grpSpPr>
                      <wps:wsp>
                        <wps:cNvPr id="1402171502" name="Rectangle 1402171502"/>
                        <wps:cNvSpPr/>
                        <wps:spPr>
                          <a:xfrm>
                            <a:off x="460265" y="342748"/>
                            <a:ext cx="1887220" cy="880451"/>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39E55D" w14:textId="77777777" w:rsidR="004F435E" w:rsidRPr="00BD3F95" w:rsidRDefault="004F435E" w:rsidP="004F435E">
                              <w:pPr>
                                <w:jc w:val="center"/>
                                <w:rPr>
                                  <w:b/>
                                  <w:bCs/>
                                  <w:color w:val="000000" w:themeColor="text1"/>
                                  <w:sz w:val="16"/>
                                  <w:szCs w:val="16"/>
                                </w:rPr>
                              </w:pPr>
                              <w:r w:rsidRPr="00BD3F95">
                                <w:rPr>
                                  <w:b/>
                                  <w:bCs/>
                                  <w:color w:val="000000" w:themeColor="text1"/>
                                  <w:sz w:val="16"/>
                                  <w:szCs w:val="16"/>
                                </w:rPr>
                                <w:t>Records identified from:</w:t>
                              </w:r>
                            </w:p>
                            <w:p w14:paraId="2320D2FD" w14:textId="77777777" w:rsidR="004F435E" w:rsidRPr="00BD3F95" w:rsidRDefault="004F435E" w:rsidP="004F435E">
                              <w:pPr>
                                <w:jc w:val="center"/>
                                <w:rPr>
                                  <w:color w:val="000000" w:themeColor="text1"/>
                                  <w:sz w:val="16"/>
                                  <w:szCs w:val="16"/>
                                </w:rPr>
                              </w:pPr>
                              <w:r w:rsidRPr="00BD3F95">
                                <w:rPr>
                                  <w:color w:val="000000" w:themeColor="text1"/>
                                  <w:sz w:val="16"/>
                                  <w:szCs w:val="16"/>
                                </w:rPr>
                                <w:t>Databases (n = 150 )</w:t>
                              </w:r>
                            </w:p>
                            <w:p w14:paraId="3D4B0236" w14:textId="77777777" w:rsidR="004F435E" w:rsidRPr="00BD3F95" w:rsidRDefault="004F435E" w:rsidP="004F435E">
                              <w:pPr>
                                <w:ind w:left="284"/>
                                <w:jc w:val="center"/>
                                <w:rPr>
                                  <w:color w:val="000000" w:themeColor="text1"/>
                                  <w:sz w:val="16"/>
                                  <w:szCs w:val="16"/>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575867" name="Rectangle 4575867"/>
                        <wps:cNvSpPr/>
                        <wps:spPr>
                          <a:xfrm>
                            <a:off x="2615767" y="342695"/>
                            <a:ext cx="1887132" cy="882287"/>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A0A458" w14:textId="77777777" w:rsidR="004F435E" w:rsidRPr="00BD3F95" w:rsidRDefault="004F435E" w:rsidP="004F435E">
                              <w:pPr>
                                <w:jc w:val="center"/>
                                <w:rPr>
                                  <w:b/>
                                  <w:bCs/>
                                  <w:color w:val="000000" w:themeColor="text1"/>
                                  <w:sz w:val="16"/>
                                  <w:szCs w:val="16"/>
                                </w:rPr>
                              </w:pPr>
                              <w:r w:rsidRPr="00BD3F95">
                                <w:rPr>
                                  <w:b/>
                                  <w:bCs/>
                                  <w:color w:val="000000" w:themeColor="text1"/>
                                  <w:sz w:val="16"/>
                                  <w:szCs w:val="16"/>
                                </w:rPr>
                                <w:t xml:space="preserve">Records removed </w:t>
                              </w:r>
                              <w:r w:rsidRPr="00BD3F95">
                                <w:rPr>
                                  <w:b/>
                                  <w:bCs/>
                                  <w:i/>
                                  <w:iCs/>
                                  <w:color w:val="000000" w:themeColor="text1"/>
                                  <w:sz w:val="16"/>
                                  <w:szCs w:val="16"/>
                                </w:rPr>
                                <w:t>before screening</w:t>
                              </w:r>
                              <w:r w:rsidRPr="00BD3F95">
                                <w:rPr>
                                  <w:b/>
                                  <w:bCs/>
                                  <w:color w:val="000000" w:themeColor="text1"/>
                                  <w:sz w:val="16"/>
                                  <w:szCs w:val="16"/>
                                </w:rPr>
                                <w:t>:</w:t>
                              </w:r>
                            </w:p>
                            <w:p w14:paraId="0ACD6577" w14:textId="77777777" w:rsidR="004F435E" w:rsidRPr="00BD3F95" w:rsidRDefault="004F435E" w:rsidP="004F435E">
                              <w:pPr>
                                <w:jc w:val="center"/>
                                <w:rPr>
                                  <w:color w:val="000000" w:themeColor="text1"/>
                                  <w:sz w:val="16"/>
                                  <w:szCs w:val="16"/>
                                </w:rPr>
                              </w:pPr>
                              <w:r w:rsidRPr="00BD3F95">
                                <w:rPr>
                                  <w:color w:val="000000" w:themeColor="text1"/>
                                  <w:sz w:val="16"/>
                                  <w:szCs w:val="16"/>
                                </w:rPr>
                                <w:t xml:space="preserve">Duplicate records removed  (n = </w:t>
                              </w:r>
                              <w:r w:rsidRPr="00BD3F95">
                                <w:rPr>
                                  <w:color w:val="000000" w:themeColor="text1"/>
                                  <w:sz w:val="16"/>
                                  <w:szCs w:val="16"/>
                                  <w:lang w:val="en-US"/>
                                </w:rPr>
                                <w:t>38</w:t>
                              </w:r>
                              <w:r w:rsidRPr="00BD3F95">
                                <w:rPr>
                                  <w:color w:val="000000" w:themeColor="text1"/>
                                  <w:sz w:val="16"/>
                                  <w:szCs w:val="16"/>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75611846" name="Rectangle 675611846"/>
                        <wps:cNvSpPr/>
                        <wps:spPr>
                          <a:xfrm>
                            <a:off x="441243" y="1458478"/>
                            <a:ext cx="1887220" cy="526416"/>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BA4121" w14:textId="77777777" w:rsidR="004F435E" w:rsidRPr="00BD3F95" w:rsidRDefault="004F435E" w:rsidP="004F435E">
                              <w:pPr>
                                <w:jc w:val="center"/>
                                <w:rPr>
                                  <w:b/>
                                  <w:bCs/>
                                  <w:color w:val="000000" w:themeColor="text1"/>
                                  <w:sz w:val="16"/>
                                  <w:szCs w:val="16"/>
                                </w:rPr>
                              </w:pPr>
                              <w:r w:rsidRPr="00BD3F95">
                                <w:rPr>
                                  <w:b/>
                                  <w:bCs/>
                                  <w:color w:val="000000" w:themeColor="text1"/>
                                  <w:sz w:val="16"/>
                                  <w:szCs w:val="16"/>
                                </w:rPr>
                                <w:t>Records screened</w:t>
                              </w:r>
                            </w:p>
                            <w:p w14:paraId="7861451F" w14:textId="77777777" w:rsidR="004F435E" w:rsidRPr="00BD3F95" w:rsidRDefault="004F435E" w:rsidP="004F435E">
                              <w:pPr>
                                <w:jc w:val="center"/>
                                <w:rPr>
                                  <w:color w:val="000000" w:themeColor="text1"/>
                                  <w:sz w:val="16"/>
                                  <w:szCs w:val="16"/>
                                </w:rPr>
                              </w:pPr>
                              <w:r w:rsidRPr="00BD3F95">
                                <w:rPr>
                                  <w:color w:val="000000" w:themeColor="text1"/>
                                  <w:sz w:val="16"/>
                                  <w:szCs w:val="16"/>
                                </w:rPr>
                                <w:t>(n = 107)</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98369964" name="Rectangle 698369964"/>
                        <wps:cNvSpPr/>
                        <wps:spPr>
                          <a:xfrm>
                            <a:off x="2615773" y="1515475"/>
                            <a:ext cx="1887220" cy="52641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6A5AC50" w14:textId="77777777" w:rsidR="004F435E" w:rsidRPr="00BD3F95" w:rsidRDefault="004F435E" w:rsidP="004F435E">
                              <w:pPr>
                                <w:jc w:val="center"/>
                                <w:rPr>
                                  <w:b/>
                                  <w:bCs/>
                                  <w:color w:val="000000" w:themeColor="text1"/>
                                  <w:sz w:val="16"/>
                                  <w:szCs w:val="16"/>
                                </w:rPr>
                              </w:pPr>
                              <w:r w:rsidRPr="00BD3F95">
                                <w:rPr>
                                  <w:b/>
                                  <w:bCs/>
                                  <w:color w:val="000000" w:themeColor="text1"/>
                                  <w:sz w:val="16"/>
                                  <w:szCs w:val="16"/>
                                </w:rPr>
                                <w:t>Records excluded</w:t>
                              </w:r>
                            </w:p>
                            <w:p w14:paraId="5CD04676" w14:textId="77777777" w:rsidR="004F435E" w:rsidRPr="00BD3F95" w:rsidRDefault="004F435E" w:rsidP="004F435E">
                              <w:pPr>
                                <w:jc w:val="center"/>
                                <w:rPr>
                                  <w:color w:val="000000" w:themeColor="text1"/>
                                  <w:sz w:val="16"/>
                                  <w:szCs w:val="16"/>
                                </w:rPr>
                              </w:pPr>
                              <w:r w:rsidRPr="00BD3F95">
                                <w:rPr>
                                  <w:color w:val="000000" w:themeColor="text1"/>
                                  <w:sz w:val="16"/>
                                  <w:szCs w:val="16"/>
                                </w:rPr>
                                <w:t>(n = 63)</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28342469" name="Rectangle 1128342469"/>
                        <wps:cNvSpPr/>
                        <wps:spPr>
                          <a:xfrm>
                            <a:off x="441244" y="2191385"/>
                            <a:ext cx="1887220" cy="52641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2C0F0F" w14:textId="77777777" w:rsidR="004F435E" w:rsidRPr="00BD3F95" w:rsidRDefault="004F435E" w:rsidP="004F435E">
                              <w:pPr>
                                <w:jc w:val="center"/>
                                <w:rPr>
                                  <w:b/>
                                  <w:bCs/>
                                  <w:color w:val="000000" w:themeColor="text1"/>
                                  <w:sz w:val="16"/>
                                  <w:szCs w:val="16"/>
                                </w:rPr>
                              </w:pPr>
                              <w:r w:rsidRPr="00BD3F95">
                                <w:rPr>
                                  <w:b/>
                                  <w:bCs/>
                                  <w:color w:val="000000" w:themeColor="text1"/>
                                  <w:sz w:val="16"/>
                                  <w:szCs w:val="16"/>
                                </w:rPr>
                                <w:t>Reports sought for retrieval</w:t>
                              </w:r>
                            </w:p>
                            <w:p w14:paraId="5E4A8565" w14:textId="77777777" w:rsidR="004F435E" w:rsidRPr="00BD3F95" w:rsidRDefault="004F435E" w:rsidP="004F435E">
                              <w:pPr>
                                <w:jc w:val="center"/>
                                <w:rPr>
                                  <w:color w:val="000000" w:themeColor="text1"/>
                                  <w:sz w:val="16"/>
                                  <w:szCs w:val="16"/>
                                </w:rPr>
                              </w:pPr>
                              <w:r w:rsidRPr="00BD3F95">
                                <w:rPr>
                                  <w:color w:val="000000" w:themeColor="text1"/>
                                  <w:sz w:val="16"/>
                                  <w:szCs w:val="16"/>
                                </w:rPr>
                                <w:t>(n = 44 )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20769137" name="Rectangle 320769137"/>
                        <wps:cNvSpPr/>
                        <wps:spPr>
                          <a:xfrm>
                            <a:off x="2630502" y="2182799"/>
                            <a:ext cx="1887220" cy="52641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EC5073" w14:textId="77777777" w:rsidR="004F435E" w:rsidRPr="00BD3F95" w:rsidRDefault="004F435E" w:rsidP="004F435E">
                              <w:pPr>
                                <w:jc w:val="center"/>
                                <w:rPr>
                                  <w:b/>
                                  <w:bCs/>
                                  <w:color w:val="000000" w:themeColor="text1"/>
                                  <w:sz w:val="16"/>
                                  <w:szCs w:val="16"/>
                                </w:rPr>
                              </w:pPr>
                              <w:r w:rsidRPr="00BD3F95">
                                <w:rPr>
                                  <w:b/>
                                  <w:bCs/>
                                  <w:color w:val="000000" w:themeColor="text1"/>
                                  <w:sz w:val="16"/>
                                  <w:szCs w:val="16"/>
                                </w:rPr>
                                <w:t>Reports not retrieved</w:t>
                              </w:r>
                            </w:p>
                            <w:p w14:paraId="63D74708" w14:textId="77777777" w:rsidR="004F435E" w:rsidRPr="00BD3F95" w:rsidRDefault="004F435E" w:rsidP="004F435E">
                              <w:pPr>
                                <w:jc w:val="center"/>
                                <w:rPr>
                                  <w:color w:val="000000" w:themeColor="text1"/>
                                  <w:sz w:val="16"/>
                                  <w:szCs w:val="16"/>
                                </w:rPr>
                              </w:pPr>
                              <w:r w:rsidRPr="00BD3F95">
                                <w:rPr>
                                  <w:color w:val="000000" w:themeColor="text1"/>
                                  <w:sz w:val="16"/>
                                  <w:szCs w:val="16"/>
                                </w:rPr>
                                <w:t>(n = 0 )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43037227" name="Rectangle 1243037227"/>
                        <wps:cNvSpPr/>
                        <wps:spPr>
                          <a:xfrm>
                            <a:off x="441247" y="2901787"/>
                            <a:ext cx="1887220" cy="52641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4CCF677" w14:textId="77777777" w:rsidR="004F435E" w:rsidRPr="00BD3F95" w:rsidRDefault="004F435E" w:rsidP="004F435E">
                              <w:pPr>
                                <w:jc w:val="center"/>
                                <w:rPr>
                                  <w:b/>
                                  <w:bCs/>
                                  <w:color w:val="000000" w:themeColor="text1"/>
                                  <w:sz w:val="16"/>
                                  <w:szCs w:val="16"/>
                                </w:rPr>
                              </w:pPr>
                              <w:r w:rsidRPr="00BD3F95">
                                <w:rPr>
                                  <w:b/>
                                  <w:bCs/>
                                  <w:color w:val="000000" w:themeColor="text1"/>
                                  <w:sz w:val="16"/>
                                  <w:szCs w:val="16"/>
                                </w:rPr>
                                <w:t>Reports assessed for eligibility</w:t>
                              </w:r>
                            </w:p>
                            <w:p w14:paraId="56181709" w14:textId="77777777" w:rsidR="004F435E" w:rsidRPr="00BD3F95" w:rsidRDefault="004F435E" w:rsidP="004F435E">
                              <w:pPr>
                                <w:jc w:val="center"/>
                                <w:rPr>
                                  <w:color w:val="000000" w:themeColor="text1"/>
                                  <w:sz w:val="16"/>
                                  <w:szCs w:val="16"/>
                                </w:rPr>
                              </w:pPr>
                              <w:r w:rsidRPr="00BD3F95">
                                <w:rPr>
                                  <w:color w:val="000000" w:themeColor="text1"/>
                                  <w:sz w:val="16"/>
                                  <w:szCs w:val="16"/>
                                </w:rPr>
                                <w:t>(n = 44)</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036599371" name="Rectangle 2036599371"/>
                        <wps:cNvSpPr/>
                        <wps:spPr>
                          <a:xfrm>
                            <a:off x="2659300" y="2901769"/>
                            <a:ext cx="1843600" cy="761457"/>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388C02" w14:textId="77777777" w:rsidR="004F435E" w:rsidRPr="00BD3F95" w:rsidRDefault="004F435E" w:rsidP="004F435E">
                              <w:pPr>
                                <w:jc w:val="center"/>
                                <w:rPr>
                                  <w:b/>
                                  <w:bCs/>
                                  <w:color w:val="000000" w:themeColor="text1"/>
                                  <w:sz w:val="16"/>
                                  <w:szCs w:val="16"/>
                                </w:rPr>
                              </w:pPr>
                              <w:r w:rsidRPr="00BD3F95">
                                <w:rPr>
                                  <w:b/>
                                  <w:bCs/>
                                  <w:color w:val="000000" w:themeColor="text1"/>
                                  <w:sz w:val="16"/>
                                  <w:szCs w:val="16"/>
                                </w:rPr>
                                <w:t>Reports excluded:</w:t>
                              </w:r>
                            </w:p>
                            <w:p w14:paraId="15601D78" w14:textId="77777777" w:rsidR="004F435E" w:rsidRPr="00BD3F95" w:rsidRDefault="004F435E" w:rsidP="004F435E">
                              <w:pPr>
                                <w:jc w:val="center"/>
                                <w:rPr>
                                  <w:color w:val="000000" w:themeColor="text1"/>
                                  <w:sz w:val="16"/>
                                  <w:szCs w:val="16"/>
                                </w:rPr>
                              </w:pPr>
                              <w:r w:rsidRPr="00BD3F95">
                                <w:rPr>
                                  <w:color w:val="000000" w:themeColor="text1"/>
                                  <w:sz w:val="16"/>
                                  <w:szCs w:val="16"/>
                                </w:rPr>
                                <w:t>Conceptual or theoretical focus (n = 8 )</w:t>
                              </w:r>
                            </w:p>
                            <w:p w14:paraId="23573812" w14:textId="77777777" w:rsidR="004F435E" w:rsidRPr="00BD3F95" w:rsidRDefault="004F435E" w:rsidP="004F435E">
                              <w:pPr>
                                <w:jc w:val="center"/>
                                <w:rPr>
                                  <w:color w:val="000000" w:themeColor="text1"/>
                                  <w:sz w:val="16"/>
                                  <w:szCs w:val="16"/>
                                </w:rPr>
                              </w:pPr>
                              <w:r w:rsidRPr="00BD3F95">
                                <w:rPr>
                                  <w:color w:val="000000" w:themeColor="text1"/>
                                  <w:sz w:val="16"/>
                                  <w:szCs w:val="16"/>
                                </w:rPr>
                                <w:t>Not aligned with research objectives (n = 6 )</w:t>
                              </w:r>
                            </w:p>
                            <w:p w14:paraId="640EDC36" w14:textId="6B7E1328" w:rsidR="004F435E" w:rsidRPr="00BD3F95" w:rsidRDefault="004F435E" w:rsidP="004F435E">
                              <w:pPr>
                                <w:jc w:val="center"/>
                                <w:rPr>
                                  <w:color w:val="000000" w:themeColor="text1"/>
                                  <w:sz w:val="16"/>
                                  <w:szCs w:val="16"/>
                                </w:rPr>
                              </w:pPr>
                              <w:r w:rsidRPr="00BD3F95">
                                <w:rPr>
                                  <w:color w:val="000000" w:themeColor="text1"/>
                                  <w:sz w:val="16"/>
                                  <w:szCs w:val="16"/>
                                </w:rPr>
                                <w:t xml:space="preserve">Not focus on </w:t>
                              </w:r>
                              <w:r w:rsidR="007356CA">
                                <w:rPr>
                                  <w:color w:val="000000" w:themeColor="text1"/>
                                  <w:sz w:val="16"/>
                                  <w:szCs w:val="16"/>
                                </w:rPr>
                                <w:t>Fintech</w:t>
                              </w:r>
                              <w:r w:rsidRPr="00BD3F95">
                                <w:rPr>
                                  <w:color w:val="000000" w:themeColor="text1"/>
                                  <w:sz w:val="16"/>
                                  <w:szCs w:val="16"/>
                                </w:rPr>
                                <w:t xml:space="preserve"> adoption at bank-level  (n = 8 )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14070980" name="Rectangle 1314070980"/>
                        <wps:cNvSpPr/>
                        <wps:spPr>
                          <a:xfrm>
                            <a:off x="441247" y="3663226"/>
                            <a:ext cx="1887220" cy="65560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22DD02" w14:textId="77777777" w:rsidR="004F435E" w:rsidRPr="00BD3F95" w:rsidRDefault="004F435E" w:rsidP="004F435E">
                              <w:pPr>
                                <w:jc w:val="center"/>
                                <w:rPr>
                                  <w:b/>
                                  <w:bCs/>
                                  <w:color w:val="000000" w:themeColor="text1"/>
                                  <w:sz w:val="16"/>
                                  <w:szCs w:val="16"/>
                                </w:rPr>
                              </w:pPr>
                              <w:r w:rsidRPr="00BD3F95">
                                <w:rPr>
                                  <w:b/>
                                  <w:bCs/>
                                  <w:color w:val="000000" w:themeColor="text1"/>
                                  <w:sz w:val="16"/>
                                  <w:szCs w:val="16"/>
                                </w:rPr>
                                <w:t>Studies included in review</w:t>
                              </w:r>
                            </w:p>
                            <w:p w14:paraId="398563F4" w14:textId="77777777" w:rsidR="004F435E" w:rsidRPr="00BD3F95" w:rsidRDefault="004F435E" w:rsidP="004F435E">
                              <w:pPr>
                                <w:jc w:val="center"/>
                                <w:rPr>
                                  <w:color w:val="000000" w:themeColor="text1"/>
                                  <w:sz w:val="16"/>
                                  <w:szCs w:val="16"/>
                                </w:rPr>
                              </w:pPr>
                              <w:r w:rsidRPr="00BD3F95">
                                <w:rPr>
                                  <w:color w:val="000000" w:themeColor="text1"/>
                                  <w:sz w:val="16"/>
                                  <w:szCs w:val="16"/>
                                </w:rPr>
                                <w:t>(n = 22 )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57763684" name="Straight Arrow Connector 857763684"/>
                        <wps:cNvCnPr/>
                        <wps:spPr>
                          <a:xfrm>
                            <a:off x="2328415" y="1782111"/>
                            <a:ext cx="287352"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42898282" name="Straight Arrow Connector 442898282"/>
                        <wps:cNvCnPr/>
                        <wps:spPr>
                          <a:xfrm>
                            <a:off x="2328415" y="2437860"/>
                            <a:ext cx="287352"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298273060" name="Straight Arrow Connector 1298273060"/>
                        <wps:cNvCnPr/>
                        <wps:spPr>
                          <a:xfrm>
                            <a:off x="2339038" y="3168808"/>
                            <a:ext cx="320263"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735344293" name="Flowchart: Alternate Process 1735344293"/>
                        <wps:cNvSpPr/>
                        <wps:spPr>
                          <a:xfrm>
                            <a:off x="466635" y="0"/>
                            <a:ext cx="4050994" cy="253768"/>
                          </a:xfrm>
                          <a:prstGeom prst="flowChartAlternateProcess">
                            <a:avLst/>
                          </a:prstGeom>
                          <a:noFill/>
                          <a:ln w="12700">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4D585365" w14:textId="77777777" w:rsidR="004F435E" w:rsidRPr="00BD3F95" w:rsidRDefault="004F435E" w:rsidP="004F435E">
                              <w:pPr>
                                <w:jc w:val="center"/>
                                <w:rPr>
                                  <w:b/>
                                  <w:color w:val="000000" w:themeColor="text1"/>
                                  <w:sz w:val="16"/>
                                  <w:szCs w:val="16"/>
                                </w:rPr>
                              </w:pPr>
                              <w:r w:rsidRPr="00BD3F95">
                                <w:rPr>
                                  <w:b/>
                                  <w:color w:val="000000" w:themeColor="text1"/>
                                  <w:sz w:val="16"/>
                                  <w:szCs w:val="16"/>
                                </w:rPr>
                                <w:t>Identification of studies via databases and registers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87562306" name="Flowchart: Alternate Process 687562306"/>
                        <wps:cNvSpPr/>
                        <wps:spPr>
                          <a:xfrm rot="16200000">
                            <a:off x="-314695" y="657461"/>
                            <a:ext cx="892279" cy="262890"/>
                          </a:xfrm>
                          <a:prstGeom prst="flowChartAlternateProcess">
                            <a:avLst/>
                          </a:prstGeom>
                          <a:noFill/>
                          <a:ln w="12700">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508415AB" w14:textId="77777777" w:rsidR="004F435E" w:rsidRPr="00BD3F95" w:rsidRDefault="004F435E" w:rsidP="004F435E">
                              <w:pPr>
                                <w:jc w:val="center"/>
                                <w:rPr>
                                  <w:b/>
                                  <w:color w:val="000000" w:themeColor="text1"/>
                                  <w:sz w:val="14"/>
                                  <w:szCs w:val="14"/>
                                </w:rPr>
                              </w:pPr>
                              <w:r w:rsidRPr="00BD3F95">
                                <w:rPr>
                                  <w:b/>
                                  <w:color w:val="000000" w:themeColor="text1"/>
                                  <w:sz w:val="14"/>
                                  <w:szCs w:val="14"/>
                                </w:rPr>
                                <w:t>Identification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09758067" name="Flowchart: Alternate Process 709758067"/>
                        <wps:cNvSpPr/>
                        <wps:spPr>
                          <a:xfrm rot="16200000">
                            <a:off x="-847482" y="2317819"/>
                            <a:ext cx="1957875" cy="262890"/>
                          </a:xfrm>
                          <a:prstGeom prst="flowChartAlternateProcess">
                            <a:avLst/>
                          </a:prstGeom>
                          <a:noFill/>
                          <a:ln w="12700">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76402200" w14:textId="77777777" w:rsidR="004F435E" w:rsidRPr="00BD3F95" w:rsidRDefault="004F435E" w:rsidP="004F435E">
                              <w:pPr>
                                <w:jc w:val="center"/>
                                <w:rPr>
                                  <w:b/>
                                  <w:color w:val="000000" w:themeColor="text1"/>
                                  <w:sz w:val="14"/>
                                  <w:szCs w:val="14"/>
                                </w:rPr>
                              </w:pPr>
                              <w:r w:rsidRPr="00BD3F95">
                                <w:rPr>
                                  <w:b/>
                                  <w:color w:val="000000" w:themeColor="text1"/>
                                  <w:sz w:val="14"/>
                                  <w:szCs w:val="14"/>
                                </w:rPr>
                                <w:t>Screening</w:t>
                              </w:r>
                            </w:p>
                            <w:p w14:paraId="156554E3" w14:textId="77777777" w:rsidR="004F435E" w:rsidRPr="00BD3F95" w:rsidRDefault="004F435E" w:rsidP="004F435E">
                              <w:pPr>
                                <w:rPr>
                                  <w:b/>
                                  <w:color w:val="000000" w:themeColor="text1"/>
                                  <w:sz w:val="14"/>
                                  <w:szCs w:val="14"/>
                                </w:rP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39697964" name="Flowchart: Alternate Process 1139697964"/>
                        <wps:cNvSpPr/>
                        <wps:spPr>
                          <a:xfrm rot="16200000">
                            <a:off x="-214266" y="3860094"/>
                            <a:ext cx="709069" cy="245244"/>
                          </a:xfrm>
                          <a:prstGeom prst="flowChartAlternateProcess">
                            <a:avLst/>
                          </a:prstGeom>
                          <a:noFill/>
                          <a:ln w="12700">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6B7637BE" w14:textId="77777777" w:rsidR="004F435E" w:rsidRPr="00BD3F95" w:rsidRDefault="004F435E" w:rsidP="004F435E">
                              <w:pPr>
                                <w:jc w:val="center"/>
                                <w:rPr>
                                  <w:b/>
                                  <w:color w:val="000000" w:themeColor="text1"/>
                                  <w:sz w:val="14"/>
                                  <w:szCs w:val="14"/>
                                </w:rPr>
                              </w:pPr>
                              <w:r w:rsidRPr="00BD3F95">
                                <w:rPr>
                                  <w:b/>
                                  <w:color w:val="000000" w:themeColor="text1"/>
                                  <w:sz w:val="14"/>
                                  <w:szCs w:val="14"/>
                                </w:rPr>
                                <w:t>Included</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74148239" name="Straight Arrow Connector 1874148239"/>
                        <wps:cNvCnPr/>
                        <wps:spPr>
                          <a:xfrm>
                            <a:off x="1346342" y="1223013"/>
                            <a:ext cx="0" cy="246961"/>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035164558" name="Straight Arrow Connector 1035164558"/>
                        <wps:cNvCnPr/>
                        <wps:spPr>
                          <a:xfrm flipH="1">
                            <a:off x="1346220" y="2708798"/>
                            <a:ext cx="122" cy="192975"/>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253863395" name="Straight Arrow Connector 1253863395"/>
                        <wps:cNvCnPr/>
                        <wps:spPr>
                          <a:xfrm flipH="1">
                            <a:off x="1346220" y="3428215"/>
                            <a:ext cx="2255" cy="235011"/>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166877958" name="Straight Arrow Connector 1166877958"/>
                        <wps:cNvCnPr/>
                        <wps:spPr>
                          <a:xfrm>
                            <a:off x="2347484" y="757346"/>
                            <a:ext cx="287352" cy="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51519960" name="Straight Arrow Connector 351519960"/>
                        <wps:cNvCnPr/>
                        <wps:spPr>
                          <a:xfrm flipH="1">
                            <a:off x="1352367" y="1998410"/>
                            <a:ext cx="122" cy="192975"/>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E52605E" id="Group 40" o:spid="_x0000_s1026" style="position:absolute;left:0;text-align:left;margin-left:.1pt;margin-top:33.3pt;width:461pt;height:304.5pt;z-index:251658240;mso-width-relative:margin;mso-height-relative:margin" coordsize="45177,43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9JU3gcAAJpNAAAOAAAAZHJzL2Uyb0RvYy54bWzsXFtv2zYUfh+w/yD4vbV4ESUZdYogXboB&#10;RRc0HfqsyLItQJY0Somd/fp9JHVxHDuOk7VwPfbBtUOKIo/Od3guH/Xu/WqROXeJrNIiHw/IW3fg&#10;JHlcTNJ8Nh789fXyTTBwqjrKJ1FW5Ml4cJ9Ug/dnv/7yblmOElrMi2ySSAeD5NVoWY4H87ouR8Nh&#10;Fc+TRVS9LcokR+O0kIuoxk85G05ktMToi2xIXVcMl4WclLKIk6rCXz+YxsGZHn86TeL6z+m0Smon&#10;Gw8wt1p/Sv15oz6HZ++i0UxG5TyNm2lEL5jFIkpz3LQb6kNUR86tTB8NtUhjWVTFtH4bF4thMZ2m&#10;caLXgNUQd2M1H2VxW+q1zEbLWdmJCaLdkNOLh40/332U5XV5JSGJZTmDLPQvtZbVVC7U/5ils9Ii&#10;u+9ElqxqJ8YfvcDjvgvJxmhjgfCJ1wg1nkPyj66L5781V3KP+D6l5krOmE/NlcP2xsMH01mWUJCq&#10;l0H1Ohlcz6My0aKtRpDBlXTSCfSXu5SoJWBaebSAvn6BBkX5LEuctTYtKn1dJ7hqVEGGW6TGhUuF&#10;N3CUeDj1eWBUrpUfCQIIoZFfELiQiurQCSEalbKqPybFwlFfxgOJCWlNi+4+VbXp2nZRt8+LyzTL&#10;8PdolOXOEmui6vmo31WRpRPVqn8ohCUXmXTuImCjXrX3XeuFWWQ5JqNkb5anv9X3WWLG/5JMITeo&#10;ATU3eDhmFMdJXhPTNI8mibmV5+Jfs0iNczULveQsx4Bq5Ckm2Y3dDLB9bCOApr+6NNGg7y5uVv7U&#10;xd0V+s5FXncXL9K8kNtWlmFVzZ1N/1ZIRjRKSvXqZoUu6utNMbmHgsnCWJ+qjC9TPMtPUVVfRRLm&#10;Bo8fJhSt80L+M3CWMEfjQfX3bSSTgZP9kUPXQ8K5sl/6B/d8pTJyveVmvSW/XVwUeKoExreM9VfV&#10;v87ar1NZLL7Bcp6ru6IpymPcezyIa9n+uKiNmYTtjZPzc90NNquM6k/5dRmrwZXAlO59XX2LZNko&#10;aA3V/ly0+IpGG3pq+qor8+L8ti6mqVbiXk6NKIF1I73vDnpI04Pheoz4tqF5jDAT++FOBfF8NZjB&#10;uwi9x3gnrLF6QUBp4Fu8nwrezR6inmevzhb2aybimGAvfE8QEnDxGPh90yHQ55xQzjTyCfcC7j+1&#10;1XtUcCIs9E8K+tRCXyH86Hd8EQZMhKHgW6DfNR0Cfb3r+w32PYKQaMu237n5Gvu6g3XzT8HN19s+&#10;s9j/KbBPCA0QiHMRPgb/Wtsh6NcbP2wJXH5KQsICC/7/T4yvwc8t+H8K8DPq+gII3RLs902HQJ8K&#10;5upsocZ+QP0wVKqANFST5XyQ37Mb/2nl9zT2tbG38f7RO/0qOHdRZaBbwL/Wdgj69cZvcn00dIlv&#10;cnkW/MoEIrQ57eS+Br/O4FjwHz34qcuEF4bMR0Vks7C31nYI+FHVC5mqfKqtX6EfEcXG1s+ZaEuj&#10;vkBO0Kb6T6a0p9Gvn6dF/9GjnzAU7303DIDWTfSvtR2C/rWtnwnBKNU7wY6tX3iecHU1wCb8Tibh&#10;p5+nBf/Rgz/wfF8wEXTJ/utaRulsXjvnUhZL56LIc3BqCun0PXtLcJE3zKiWAdOykzpaFGU04MQw&#10;fBACUEI0N6Q3BSjxM6+p+Le8l5Za1TJ3Gu5E1Uytm5PhWGzIWLGBVI7h1fyeaFRHafZbPnHq+xJk&#10;p1qmmuvU+O/P5P48g5+zndjzDG7Ojyb29DSo6S5ij2HzQEM0LeoH0lQ4DcKABh01bace867nS/UY&#10;obIfiIbI16ayrB4DcdsSWFaP5WQbfbXlgKlNco1jSaHFPnOhXo0ztlORSd/1ME1moctAPFYcLCLA&#10;qtxgYiDXi8StYZ5ai7xGtbSafJAmY19nMLYhVMmEFZdZsYznkaxHznlWJzKP6sS5Mux0h/Tde23e&#10;zyjkAvGFcS82DDJH6SEM4dco7jX1mC/2xBhTTO9CTa+bXDM3zeTc4WUcHaGYG0budyEU60IegrQX&#10;+R3txd+PUKyzDjrNZAOPDXU9Pl6xCMAwpNjonmUd+t57jYOhlBKB8y+KSa9CgeaIxhskOhTlWO18&#10;wvO52AhFghDlDxAftMEQ8Cf37H7WYOjTDU9EOC3mj9lgEP2UrcU4eouBFCWOIrj9WYQn/Ym+92ss&#10;BnjKXMWUyoVgyF+QzSpG6KGuCZNibcZ/dWrpp7AZeuewNuPobQYhLBShv0ZmftJorHV/jdWghFMB&#10;x0ZF2EgUuYhCMFyf84RtchXDUhsN7lHe6vyOxKd1NE7C0bAHILZF0scXmpDA5wTbPutI0LtzcH3X&#10;3mDsr4oQxgVo1tpCEIooiGiCfG8hkP0zxkGEJkrZXRqtbFWkPUqNR/DS7ER7YvkF2YkjrooQl3lE&#10;cM9Dutfk4HZrct91ryY70ywtf2/PODfRtdJpfYhH+cq+G/jhRl4Zim60moQUnnxTRtux5VmtHlit&#10;nu2qkXhwqxhTqZx9Wo3Eb9P19VoNi40C9sbxFUq9Nvxjnmuq29ZYIxWr34mivN6O6GpecGHVepda&#10;E4E0px8+x1j3Xfeq9VoClDKVzjBnsXzPh8F+GJfYGratYR/0rqTt9hk+h0dwgHh/CbvvuVeNd/gc&#10;HmXN+0RwRzCNNoqA1ufAXnTivAz9Jiy8AEw7/83LytQbxtZ/az5S/0q1s38BAAD//wMAUEsDBBQA&#10;BgAIAAAAIQA/BnXd3AAAAAcBAAAPAAAAZHJzL2Rvd25yZXYueG1sTI7NSsNAFIX3gu8wXMGdnSTS&#10;UWMmpRR1VQRbQdzdZm6T0MxMyEyT9O29rnR5fjjnK1az7cRIQ2i905AuEhDkKm9aV2v43L/ePYII&#10;EZ3BzjvScKEAq/L6qsDc+Ml90LiLteARF3LU0MTY51KGqiGLYeF7cpwd/WAxshxqaQaceNx2MksS&#10;JS22jh8a7GnTUHXana2Gtwmn9X36Mm5Px83le798/9qmpPXtzbx+BhFpjn9l+MVndCiZ6eDPzgTR&#10;aci4p0EpBYLTpyxj48DGw1KBLAv5n7/8AQAA//8DAFBLAQItABQABgAIAAAAIQC2gziS/gAAAOEB&#10;AAATAAAAAAAAAAAAAAAAAAAAAABbQ29udGVudF9UeXBlc10ueG1sUEsBAi0AFAAGAAgAAAAhADj9&#10;If/WAAAAlAEAAAsAAAAAAAAAAAAAAAAALwEAAF9yZWxzLy5yZWxzUEsBAi0AFAAGAAgAAAAhADSr&#10;0lTeBwAAmk0AAA4AAAAAAAAAAAAAAAAALgIAAGRycy9lMm9Eb2MueG1sUEsBAi0AFAAGAAgAAAAh&#10;AD8Gdd3cAAAABwEAAA8AAAAAAAAAAAAAAAAAOAoAAGRycy9kb3ducmV2LnhtbFBLBQYAAAAABAAE&#10;APMAAABBCwAAAAA=&#10;">
                <v:rect id="Rectangle 1402171502" o:spid="_x0000_s1027" style="position:absolute;left:4602;top:3427;width:18872;height:8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lljyAAAAOMAAAAPAAAAZHJzL2Rvd25yZXYueG1sRE9LS8NA&#10;EL4L/odlBC/F7ib4InZbRFFykIJVD96m2TEbm50N2bGN/94VBI/zvWexmkKv9jSmLrKFYm5AETfR&#10;ddxaeH15OLsGlQTZYR+ZLHxTgtXy+GiBlYsHfqb9RlqVQzhVaMGLDJXWqfEUMM3jQJy5jzgGlHyO&#10;rXYjHnJ46HVpzKUO2HFu8DjQnadmt/kKFt7rSdrP4lGedjh7m9V+26zvt9aenky3N6CEJvkX/7lr&#10;l+efm7K4Ki5MCb8/ZQD08gcAAP//AwBQSwECLQAUAAYACAAAACEA2+H2y+4AAACFAQAAEwAAAAAA&#10;AAAAAAAAAAAAAAAAW0NvbnRlbnRfVHlwZXNdLnhtbFBLAQItABQABgAIAAAAIQBa9CxbvwAAABUB&#10;AAALAAAAAAAAAAAAAAAAAB8BAABfcmVscy8ucmVsc1BLAQItABQABgAIAAAAIQA5FlljyAAAAOMA&#10;AAAPAAAAAAAAAAAAAAAAAAcCAABkcnMvZG93bnJldi54bWxQSwUGAAAAAAMAAwC3AAAA/AIAAAAA&#10;" filled="f" strokecolor="black [3213]" strokeweight="1pt">
                  <v:textbox>
                    <w:txbxContent>
                      <w:p w14:paraId="1739E55D" w14:textId="77777777" w:rsidR="004F435E" w:rsidRPr="00BD3F95" w:rsidRDefault="004F435E" w:rsidP="004F435E">
                        <w:pPr>
                          <w:jc w:val="center"/>
                          <w:rPr>
                            <w:b/>
                            <w:bCs/>
                            <w:color w:val="000000" w:themeColor="text1"/>
                            <w:sz w:val="16"/>
                            <w:szCs w:val="16"/>
                          </w:rPr>
                        </w:pPr>
                        <w:r w:rsidRPr="00BD3F95">
                          <w:rPr>
                            <w:b/>
                            <w:bCs/>
                            <w:color w:val="000000" w:themeColor="text1"/>
                            <w:sz w:val="16"/>
                            <w:szCs w:val="16"/>
                          </w:rPr>
                          <w:t>Records identified from:</w:t>
                        </w:r>
                      </w:p>
                      <w:p w14:paraId="2320D2FD" w14:textId="77777777" w:rsidR="004F435E" w:rsidRPr="00BD3F95" w:rsidRDefault="004F435E" w:rsidP="004F435E">
                        <w:pPr>
                          <w:jc w:val="center"/>
                          <w:rPr>
                            <w:color w:val="000000" w:themeColor="text1"/>
                            <w:sz w:val="16"/>
                            <w:szCs w:val="16"/>
                          </w:rPr>
                        </w:pPr>
                        <w:r w:rsidRPr="00BD3F95">
                          <w:rPr>
                            <w:color w:val="000000" w:themeColor="text1"/>
                            <w:sz w:val="16"/>
                            <w:szCs w:val="16"/>
                          </w:rPr>
                          <w:t>Databases (n = 150 )</w:t>
                        </w:r>
                      </w:p>
                      <w:p w14:paraId="3D4B0236" w14:textId="77777777" w:rsidR="004F435E" w:rsidRPr="00BD3F95" w:rsidRDefault="004F435E" w:rsidP="004F435E">
                        <w:pPr>
                          <w:ind w:left="284"/>
                          <w:jc w:val="center"/>
                          <w:rPr>
                            <w:color w:val="000000" w:themeColor="text1"/>
                            <w:sz w:val="16"/>
                            <w:szCs w:val="16"/>
                          </w:rPr>
                        </w:pPr>
                      </w:p>
                    </w:txbxContent>
                  </v:textbox>
                </v:rect>
                <v:rect id="Rectangle 4575867" o:spid="_x0000_s1028" style="position:absolute;left:26157;top:3426;width:18871;height:88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SdHywAAAOAAAAAPAAAAZHJzL2Rvd25yZXYueG1sRI9PS8NA&#10;FMTvgt9heYKXYjcV+4e02yKKkoMIbe2ht9fsazY2+zZkn2389q4geBxm5jfMYtX7Rp2pi3VgA6Nh&#10;Boq4DLbmysDH9uVuBioKssUmMBn4pgir5fXVAnMbLrym80YqlSAcczTgRNpc61g68hiHoSVO3jF0&#10;HiXJrtK2w0uC+0bfZ9lEe6w5LThs6clRedp8eQP7opfqc/Qqbycc7AaFO5Tvzwdjbm/6xzkooV7+&#10;w3/twhp4GE/Hs8kUfg+lM6CXPwAAAP//AwBQSwECLQAUAAYACAAAACEA2+H2y+4AAACFAQAAEwAA&#10;AAAAAAAAAAAAAAAAAAAAW0NvbnRlbnRfVHlwZXNdLnhtbFBLAQItABQABgAIAAAAIQBa9CxbvwAA&#10;ABUBAAALAAAAAAAAAAAAAAAAAB8BAABfcmVscy8ucmVsc1BLAQItABQABgAIAAAAIQCLlSdHywAA&#10;AOAAAAAPAAAAAAAAAAAAAAAAAAcCAABkcnMvZG93bnJldi54bWxQSwUGAAAAAAMAAwC3AAAA/wIA&#10;AAAA&#10;" filled="f" strokecolor="black [3213]" strokeweight="1pt">
                  <v:textbox>
                    <w:txbxContent>
                      <w:p w14:paraId="01A0A458" w14:textId="77777777" w:rsidR="004F435E" w:rsidRPr="00BD3F95" w:rsidRDefault="004F435E" w:rsidP="004F435E">
                        <w:pPr>
                          <w:jc w:val="center"/>
                          <w:rPr>
                            <w:b/>
                            <w:bCs/>
                            <w:color w:val="000000" w:themeColor="text1"/>
                            <w:sz w:val="16"/>
                            <w:szCs w:val="16"/>
                          </w:rPr>
                        </w:pPr>
                        <w:r w:rsidRPr="00BD3F95">
                          <w:rPr>
                            <w:b/>
                            <w:bCs/>
                            <w:color w:val="000000" w:themeColor="text1"/>
                            <w:sz w:val="16"/>
                            <w:szCs w:val="16"/>
                          </w:rPr>
                          <w:t xml:space="preserve">Records removed </w:t>
                        </w:r>
                        <w:r w:rsidRPr="00BD3F95">
                          <w:rPr>
                            <w:b/>
                            <w:bCs/>
                            <w:i/>
                            <w:iCs/>
                            <w:color w:val="000000" w:themeColor="text1"/>
                            <w:sz w:val="16"/>
                            <w:szCs w:val="16"/>
                          </w:rPr>
                          <w:t>before screening</w:t>
                        </w:r>
                        <w:r w:rsidRPr="00BD3F95">
                          <w:rPr>
                            <w:b/>
                            <w:bCs/>
                            <w:color w:val="000000" w:themeColor="text1"/>
                            <w:sz w:val="16"/>
                            <w:szCs w:val="16"/>
                          </w:rPr>
                          <w:t>:</w:t>
                        </w:r>
                      </w:p>
                      <w:p w14:paraId="0ACD6577" w14:textId="77777777" w:rsidR="004F435E" w:rsidRPr="00BD3F95" w:rsidRDefault="004F435E" w:rsidP="004F435E">
                        <w:pPr>
                          <w:jc w:val="center"/>
                          <w:rPr>
                            <w:color w:val="000000" w:themeColor="text1"/>
                            <w:sz w:val="16"/>
                            <w:szCs w:val="16"/>
                          </w:rPr>
                        </w:pPr>
                        <w:r w:rsidRPr="00BD3F95">
                          <w:rPr>
                            <w:color w:val="000000" w:themeColor="text1"/>
                            <w:sz w:val="16"/>
                            <w:szCs w:val="16"/>
                          </w:rPr>
                          <w:t xml:space="preserve">Duplicate records removed  (n = </w:t>
                        </w:r>
                        <w:r w:rsidRPr="00BD3F95">
                          <w:rPr>
                            <w:color w:val="000000" w:themeColor="text1"/>
                            <w:sz w:val="16"/>
                            <w:szCs w:val="16"/>
                            <w:lang w:val="en-US"/>
                          </w:rPr>
                          <w:t>38</w:t>
                        </w:r>
                        <w:r w:rsidRPr="00BD3F95">
                          <w:rPr>
                            <w:color w:val="000000" w:themeColor="text1"/>
                            <w:sz w:val="16"/>
                            <w:szCs w:val="16"/>
                          </w:rPr>
                          <w:t>)</w:t>
                        </w:r>
                      </w:p>
                    </w:txbxContent>
                  </v:textbox>
                </v:rect>
                <v:rect id="Rectangle 675611846" o:spid="_x0000_s1029" style="position:absolute;left:4412;top:14584;width:18872;height:52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p1fywAAAOIAAAAPAAAAZHJzL2Rvd25yZXYueG1sRI9BS8NA&#10;FITvQv/D8gQvxW4iGkvstoii5CBCWz14e80+s2mzb0P22cZ/7wqCx2FmvmEWq9F36khDbAMbyGcZ&#10;KOI62JYbA2/bp8s5qCjIFrvAZOCbIqyWk7MFljaceE3HjTQqQTiWaMCJ9KXWsXbkMc5CT5y8zzB4&#10;lCSHRtsBTwnuO32VZYX22HJacNjTg6P6sPnyBj6qUZp9/iwvB5y+Tyu3q18fd8ZcnI/3d6CERvkP&#10;/7Ura6C4vSnyfH5dwO+ldAf08gcAAP//AwBQSwECLQAUAAYACAAAACEA2+H2y+4AAACFAQAAEwAA&#10;AAAAAAAAAAAAAAAAAAAAW0NvbnRlbnRfVHlwZXNdLnhtbFBLAQItABQABgAIAAAAIQBa9CxbvwAA&#10;ABUBAAALAAAAAAAAAAAAAAAAAB8BAABfcmVscy8ucmVsc1BLAQItABQABgAIAAAAIQBPGp1fywAA&#10;AOIAAAAPAAAAAAAAAAAAAAAAAAcCAABkcnMvZG93bnJldi54bWxQSwUGAAAAAAMAAwC3AAAA/wIA&#10;AAAA&#10;" filled="f" strokecolor="black [3213]" strokeweight="1pt">
                  <v:textbox>
                    <w:txbxContent>
                      <w:p w14:paraId="04BA4121" w14:textId="77777777" w:rsidR="004F435E" w:rsidRPr="00BD3F95" w:rsidRDefault="004F435E" w:rsidP="004F435E">
                        <w:pPr>
                          <w:jc w:val="center"/>
                          <w:rPr>
                            <w:b/>
                            <w:bCs/>
                            <w:color w:val="000000" w:themeColor="text1"/>
                            <w:sz w:val="16"/>
                            <w:szCs w:val="16"/>
                          </w:rPr>
                        </w:pPr>
                        <w:r w:rsidRPr="00BD3F95">
                          <w:rPr>
                            <w:b/>
                            <w:bCs/>
                            <w:color w:val="000000" w:themeColor="text1"/>
                            <w:sz w:val="16"/>
                            <w:szCs w:val="16"/>
                          </w:rPr>
                          <w:t>Records screened</w:t>
                        </w:r>
                      </w:p>
                      <w:p w14:paraId="7861451F" w14:textId="77777777" w:rsidR="004F435E" w:rsidRPr="00BD3F95" w:rsidRDefault="004F435E" w:rsidP="004F435E">
                        <w:pPr>
                          <w:jc w:val="center"/>
                          <w:rPr>
                            <w:color w:val="000000" w:themeColor="text1"/>
                            <w:sz w:val="16"/>
                            <w:szCs w:val="16"/>
                          </w:rPr>
                        </w:pPr>
                        <w:r w:rsidRPr="00BD3F95">
                          <w:rPr>
                            <w:color w:val="000000" w:themeColor="text1"/>
                            <w:sz w:val="16"/>
                            <w:szCs w:val="16"/>
                          </w:rPr>
                          <w:t>(n = 107)</w:t>
                        </w:r>
                      </w:p>
                    </w:txbxContent>
                  </v:textbox>
                </v:rect>
                <v:rect id="Rectangle 698369964" o:spid="_x0000_s1030" style="position:absolute;left:26157;top:15154;width:18872;height:52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f3vzAAAAOIAAAAPAAAAZHJzL2Rvd25yZXYueG1sRI9BS8NA&#10;FITvgv9heYKXYjdVCU3stoii5CAFa3vw9pp9ZmOzb0P22cZ/7wqCx2FmvmEWq9F36khDbAMbmE0z&#10;UMR1sC03BrZvT1dzUFGQLXaBycA3RVgtz88WWNpw4lc6bqRRCcKxRANOpC+1jrUjj3EaeuLkfYTB&#10;oyQ5NNoOeEpw3+nrLMu1x5bTgsOeHhzVh82XN/BejdJ8zp7l5YCT3aRy+3r9uDfm8mK8vwMlNMp/&#10;+K9dWQN5Mb/JiyK/hd9L6Q7o5Q8AAAD//wMAUEsBAi0AFAAGAAgAAAAhANvh9svuAAAAhQEAABMA&#10;AAAAAAAAAAAAAAAAAAAAAFtDb250ZW50X1R5cGVzXS54bWxQSwECLQAUAAYACAAAACEAWvQsW78A&#10;AAAVAQAACwAAAAAAAAAAAAAAAAAfAQAAX3JlbHMvLnJlbHNQSwECLQAUAAYACAAAACEA7tH978wA&#10;AADiAAAADwAAAAAAAAAAAAAAAAAHAgAAZHJzL2Rvd25yZXYueG1sUEsFBgAAAAADAAMAtwAAAAAD&#10;AAAAAA==&#10;" filled="f" strokecolor="black [3213]" strokeweight="1pt">
                  <v:textbox>
                    <w:txbxContent>
                      <w:p w14:paraId="46A5AC50" w14:textId="77777777" w:rsidR="004F435E" w:rsidRPr="00BD3F95" w:rsidRDefault="004F435E" w:rsidP="004F435E">
                        <w:pPr>
                          <w:jc w:val="center"/>
                          <w:rPr>
                            <w:b/>
                            <w:bCs/>
                            <w:color w:val="000000" w:themeColor="text1"/>
                            <w:sz w:val="16"/>
                            <w:szCs w:val="16"/>
                          </w:rPr>
                        </w:pPr>
                        <w:r w:rsidRPr="00BD3F95">
                          <w:rPr>
                            <w:b/>
                            <w:bCs/>
                            <w:color w:val="000000" w:themeColor="text1"/>
                            <w:sz w:val="16"/>
                            <w:szCs w:val="16"/>
                          </w:rPr>
                          <w:t>Records excluded</w:t>
                        </w:r>
                      </w:p>
                      <w:p w14:paraId="5CD04676" w14:textId="77777777" w:rsidR="004F435E" w:rsidRPr="00BD3F95" w:rsidRDefault="004F435E" w:rsidP="004F435E">
                        <w:pPr>
                          <w:jc w:val="center"/>
                          <w:rPr>
                            <w:color w:val="000000" w:themeColor="text1"/>
                            <w:sz w:val="16"/>
                            <w:szCs w:val="16"/>
                          </w:rPr>
                        </w:pPr>
                        <w:r w:rsidRPr="00BD3F95">
                          <w:rPr>
                            <w:color w:val="000000" w:themeColor="text1"/>
                            <w:sz w:val="16"/>
                            <w:szCs w:val="16"/>
                          </w:rPr>
                          <w:t>(n = 63)</w:t>
                        </w:r>
                      </w:p>
                    </w:txbxContent>
                  </v:textbox>
                </v:rect>
                <v:rect id="Rectangle 1128342469" o:spid="_x0000_s1031" style="position:absolute;left:4412;top:21913;width:18872;height:52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0ROOyQAAAOMAAAAPAAAAZHJzL2Rvd25yZXYueG1sRE/NSsNA&#10;EL4LvsMygpdiN4mltLHbIoqSgwhWe/A2zY7Z2OxsyI5tfHtXEDzO9z+rzeg7daQhtoEN5NMMFHEd&#10;bMuNgbfXh6sFqCjIFrvAZOCbImzW52crLG048Qsdt9KoFMKxRANOpC+1jrUjj3EaeuLEfYTBo6Rz&#10;aLQd8JTCfaeLLJtrjy2nBoc93TmqD9svb+C9GqX5zB/l6YCT3aRy+/r5fm/M5cV4ewNKaJR/8Z+7&#10;sml+XiyuZ8VsvoTfnxIAev0DAAD//wMAUEsBAi0AFAAGAAgAAAAhANvh9svuAAAAhQEAABMAAAAA&#10;AAAAAAAAAAAAAAAAAFtDb250ZW50X1R5cGVzXS54bWxQSwECLQAUAAYACAAAACEAWvQsW78AAAAV&#10;AQAACwAAAAAAAAAAAAAAAAAfAQAAX3JlbHMvLnJlbHNQSwECLQAUAAYACAAAACEAsdETjskAAADj&#10;AAAADwAAAAAAAAAAAAAAAAAHAgAAZHJzL2Rvd25yZXYueG1sUEsFBgAAAAADAAMAtwAAAP0CAAAA&#10;AA==&#10;" filled="f" strokecolor="black [3213]" strokeweight="1pt">
                  <v:textbox>
                    <w:txbxContent>
                      <w:p w14:paraId="3D2C0F0F" w14:textId="77777777" w:rsidR="004F435E" w:rsidRPr="00BD3F95" w:rsidRDefault="004F435E" w:rsidP="004F435E">
                        <w:pPr>
                          <w:jc w:val="center"/>
                          <w:rPr>
                            <w:b/>
                            <w:bCs/>
                            <w:color w:val="000000" w:themeColor="text1"/>
                            <w:sz w:val="16"/>
                            <w:szCs w:val="16"/>
                          </w:rPr>
                        </w:pPr>
                        <w:r w:rsidRPr="00BD3F95">
                          <w:rPr>
                            <w:b/>
                            <w:bCs/>
                            <w:color w:val="000000" w:themeColor="text1"/>
                            <w:sz w:val="16"/>
                            <w:szCs w:val="16"/>
                          </w:rPr>
                          <w:t>Reports sought for retrieval</w:t>
                        </w:r>
                      </w:p>
                      <w:p w14:paraId="5E4A8565" w14:textId="77777777" w:rsidR="004F435E" w:rsidRPr="00BD3F95" w:rsidRDefault="004F435E" w:rsidP="004F435E">
                        <w:pPr>
                          <w:jc w:val="center"/>
                          <w:rPr>
                            <w:color w:val="000000" w:themeColor="text1"/>
                            <w:sz w:val="16"/>
                            <w:szCs w:val="16"/>
                          </w:rPr>
                        </w:pPr>
                        <w:r w:rsidRPr="00BD3F95">
                          <w:rPr>
                            <w:color w:val="000000" w:themeColor="text1"/>
                            <w:sz w:val="16"/>
                            <w:szCs w:val="16"/>
                          </w:rPr>
                          <w:t>(n = 44 )</w:t>
                        </w:r>
                      </w:p>
                    </w:txbxContent>
                  </v:textbox>
                </v:rect>
                <v:rect id="Rectangle 320769137" o:spid="_x0000_s1032" style="position:absolute;left:26305;top:21827;width:18872;height:52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DFTzAAAAOIAAAAPAAAAZHJzL2Rvd25yZXYueG1sRI9BS8NA&#10;FITvgv9heYKXYjdpodW02yKKkoMIVj14e82+ZmOzb0P22ab/3i0IHoeZ+YZZrgffqgP1sQlsIB9n&#10;oIirYBuuDXy8P93cgoqCbLENTAZOFGG9urxYYmHDkd/osJFaJQjHAg04ka7QOlaOPMZx6IiTtwu9&#10;R0myr7Xt8ZjgvtWTLJtpjw2nBYcdPTiq9psfb+CrHKT+zp/lZY+jz1HpttXr49aY66vhfgFKaJD/&#10;8F+7tAamk2w+u8unczhfSndAr34BAAD//wMAUEsBAi0AFAAGAAgAAAAhANvh9svuAAAAhQEAABMA&#10;AAAAAAAAAAAAAAAAAAAAAFtDb250ZW50X1R5cGVzXS54bWxQSwECLQAUAAYACAAAACEAWvQsW78A&#10;AAAVAQAACwAAAAAAAAAAAAAAAAAfAQAAX3JlbHMvLnJlbHNQSwECLQAUAAYACAAAACEAy2wxU8wA&#10;AADiAAAADwAAAAAAAAAAAAAAAAAHAgAAZHJzL2Rvd25yZXYueG1sUEsFBgAAAAADAAMAtwAAAAAD&#10;AAAAAA==&#10;" filled="f" strokecolor="black [3213]" strokeweight="1pt">
                  <v:textbox>
                    <w:txbxContent>
                      <w:p w14:paraId="6BEC5073" w14:textId="77777777" w:rsidR="004F435E" w:rsidRPr="00BD3F95" w:rsidRDefault="004F435E" w:rsidP="004F435E">
                        <w:pPr>
                          <w:jc w:val="center"/>
                          <w:rPr>
                            <w:b/>
                            <w:bCs/>
                            <w:color w:val="000000" w:themeColor="text1"/>
                            <w:sz w:val="16"/>
                            <w:szCs w:val="16"/>
                          </w:rPr>
                        </w:pPr>
                        <w:r w:rsidRPr="00BD3F95">
                          <w:rPr>
                            <w:b/>
                            <w:bCs/>
                            <w:color w:val="000000" w:themeColor="text1"/>
                            <w:sz w:val="16"/>
                            <w:szCs w:val="16"/>
                          </w:rPr>
                          <w:t>Reports not retrieved</w:t>
                        </w:r>
                      </w:p>
                      <w:p w14:paraId="63D74708" w14:textId="77777777" w:rsidR="004F435E" w:rsidRPr="00BD3F95" w:rsidRDefault="004F435E" w:rsidP="004F435E">
                        <w:pPr>
                          <w:jc w:val="center"/>
                          <w:rPr>
                            <w:color w:val="000000" w:themeColor="text1"/>
                            <w:sz w:val="16"/>
                            <w:szCs w:val="16"/>
                          </w:rPr>
                        </w:pPr>
                        <w:r w:rsidRPr="00BD3F95">
                          <w:rPr>
                            <w:color w:val="000000" w:themeColor="text1"/>
                            <w:sz w:val="16"/>
                            <w:szCs w:val="16"/>
                          </w:rPr>
                          <w:t>(n = 0 )</w:t>
                        </w:r>
                      </w:p>
                    </w:txbxContent>
                  </v:textbox>
                </v:rect>
                <v:rect id="Rectangle 1243037227" o:spid="_x0000_s1033" style="position:absolute;left:4412;top:29017;width:18872;height:52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x8NyQAAAOMAAAAPAAAAZHJzL2Rvd25yZXYueG1sRE/NSsNA&#10;EL4LvsMygpdiN02llbTbIoqSgxRa9eBtmp1mY7OzITu28e1dQfA43/8s14Nv1Yn62AQ2MBlnoIir&#10;YBuuDby9Pt3cgYqCbLENTAa+KcJ6dXmxxMKGM2/ptJNapRCOBRpwIl2hdawceYzj0BEn7hB6j5LO&#10;vta2x3MK963Os2ymPTacGhx29OCoOu6+vIGPcpD6c/IsL0ccvY9Kt682j3tjrq+G+wUooUH+xX/u&#10;0qb5+e00m87zfA6/PyUA9OoHAAD//wMAUEsBAi0AFAAGAAgAAAAhANvh9svuAAAAhQEAABMAAAAA&#10;AAAAAAAAAAAAAAAAAFtDb250ZW50X1R5cGVzXS54bWxQSwECLQAUAAYACAAAACEAWvQsW78AAAAV&#10;AQAACwAAAAAAAAAAAAAAAAAfAQAAX3JlbHMvLnJlbHNQSwECLQAUAAYACAAAACEAQgsfDckAAADj&#10;AAAADwAAAAAAAAAAAAAAAAAHAgAAZHJzL2Rvd25yZXYueG1sUEsFBgAAAAADAAMAtwAAAP0CAAAA&#10;AA==&#10;" filled="f" strokecolor="black [3213]" strokeweight="1pt">
                  <v:textbox>
                    <w:txbxContent>
                      <w:p w14:paraId="54CCF677" w14:textId="77777777" w:rsidR="004F435E" w:rsidRPr="00BD3F95" w:rsidRDefault="004F435E" w:rsidP="004F435E">
                        <w:pPr>
                          <w:jc w:val="center"/>
                          <w:rPr>
                            <w:b/>
                            <w:bCs/>
                            <w:color w:val="000000" w:themeColor="text1"/>
                            <w:sz w:val="16"/>
                            <w:szCs w:val="16"/>
                          </w:rPr>
                        </w:pPr>
                        <w:r w:rsidRPr="00BD3F95">
                          <w:rPr>
                            <w:b/>
                            <w:bCs/>
                            <w:color w:val="000000" w:themeColor="text1"/>
                            <w:sz w:val="16"/>
                            <w:szCs w:val="16"/>
                          </w:rPr>
                          <w:t>Reports assessed for eligibility</w:t>
                        </w:r>
                      </w:p>
                      <w:p w14:paraId="56181709" w14:textId="77777777" w:rsidR="004F435E" w:rsidRPr="00BD3F95" w:rsidRDefault="004F435E" w:rsidP="004F435E">
                        <w:pPr>
                          <w:jc w:val="center"/>
                          <w:rPr>
                            <w:color w:val="000000" w:themeColor="text1"/>
                            <w:sz w:val="16"/>
                            <w:szCs w:val="16"/>
                          </w:rPr>
                        </w:pPr>
                        <w:r w:rsidRPr="00BD3F95">
                          <w:rPr>
                            <w:color w:val="000000" w:themeColor="text1"/>
                            <w:sz w:val="16"/>
                            <w:szCs w:val="16"/>
                          </w:rPr>
                          <w:t>(n = 44)</w:t>
                        </w:r>
                      </w:p>
                    </w:txbxContent>
                  </v:textbox>
                </v:rect>
                <v:rect id="Rectangle 2036599371" o:spid="_x0000_s1034" style="position:absolute;left:26593;top:29017;width:18436;height:76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HiQzQAAAOMAAAAPAAAAZHJzL2Rvd25yZXYueG1sRI9BS8NA&#10;FITvgv9heYKX0m7SYrWx2yKKkkMRbPXg7TX7zMZm34bss43/3hUEj8PMfMMs14Nv1ZH62AQ2kE8y&#10;UMRVsA3XBl53j+MbUFGQLbaBycA3RVivzs+WWNhw4hc6bqVWCcKxQANOpCu0jpUjj3ESOuLkfYTe&#10;oyTZ19r2eEpw3+ppls21x4bTgsOO7h1Vh+2XN/BeDlJ/5k+yOeDobVS6ffX8sDfm8mK4uwUlNMh/&#10;+K9dWgPTbDa/Wixm1zn8fkp/QK9+AAAA//8DAFBLAQItABQABgAIAAAAIQDb4fbL7gAAAIUBAAAT&#10;AAAAAAAAAAAAAAAAAAAAAABbQ29udGVudF9UeXBlc10ueG1sUEsBAi0AFAAGAAgAAAAhAFr0LFu/&#10;AAAAFQEAAAsAAAAAAAAAAAAAAAAAHwEAAF9yZWxzLy5yZWxzUEsBAi0AFAAGAAgAAAAhANGseJDN&#10;AAAA4wAAAA8AAAAAAAAAAAAAAAAABwIAAGRycy9kb3ducmV2LnhtbFBLBQYAAAAAAwADALcAAAAB&#10;AwAAAAA=&#10;" filled="f" strokecolor="black [3213]" strokeweight="1pt">
                  <v:textbox>
                    <w:txbxContent>
                      <w:p w14:paraId="75388C02" w14:textId="77777777" w:rsidR="004F435E" w:rsidRPr="00BD3F95" w:rsidRDefault="004F435E" w:rsidP="004F435E">
                        <w:pPr>
                          <w:jc w:val="center"/>
                          <w:rPr>
                            <w:b/>
                            <w:bCs/>
                            <w:color w:val="000000" w:themeColor="text1"/>
                            <w:sz w:val="16"/>
                            <w:szCs w:val="16"/>
                          </w:rPr>
                        </w:pPr>
                        <w:r w:rsidRPr="00BD3F95">
                          <w:rPr>
                            <w:b/>
                            <w:bCs/>
                            <w:color w:val="000000" w:themeColor="text1"/>
                            <w:sz w:val="16"/>
                            <w:szCs w:val="16"/>
                          </w:rPr>
                          <w:t>Reports excluded:</w:t>
                        </w:r>
                      </w:p>
                      <w:p w14:paraId="15601D78" w14:textId="77777777" w:rsidR="004F435E" w:rsidRPr="00BD3F95" w:rsidRDefault="004F435E" w:rsidP="004F435E">
                        <w:pPr>
                          <w:jc w:val="center"/>
                          <w:rPr>
                            <w:color w:val="000000" w:themeColor="text1"/>
                            <w:sz w:val="16"/>
                            <w:szCs w:val="16"/>
                          </w:rPr>
                        </w:pPr>
                        <w:r w:rsidRPr="00BD3F95">
                          <w:rPr>
                            <w:color w:val="000000" w:themeColor="text1"/>
                            <w:sz w:val="16"/>
                            <w:szCs w:val="16"/>
                          </w:rPr>
                          <w:t>Conceptual or theoretical focus (n = 8 )</w:t>
                        </w:r>
                      </w:p>
                      <w:p w14:paraId="23573812" w14:textId="77777777" w:rsidR="004F435E" w:rsidRPr="00BD3F95" w:rsidRDefault="004F435E" w:rsidP="004F435E">
                        <w:pPr>
                          <w:jc w:val="center"/>
                          <w:rPr>
                            <w:color w:val="000000" w:themeColor="text1"/>
                            <w:sz w:val="16"/>
                            <w:szCs w:val="16"/>
                          </w:rPr>
                        </w:pPr>
                        <w:r w:rsidRPr="00BD3F95">
                          <w:rPr>
                            <w:color w:val="000000" w:themeColor="text1"/>
                            <w:sz w:val="16"/>
                            <w:szCs w:val="16"/>
                          </w:rPr>
                          <w:t>Not aligned with research objectives (n = 6 )</w:t>
                        </w:r>
                      </w:p>
                      <w:p w14:paraId="640EDC36" w14:textId="6B7E1328" w:rsidR="004F435E" w:rsidRPr="00BD3F95" w:rsidRDefault="004F435E" w:rsidP="004F435E">
                        <w:pPr>
                          <w:jc w:val="center"/>
                          <w:rPr>
                            <w:color w:val="000000" w:themeColor="text1"/>
                            <w:sz w:val="16"/>
                            <w:szCs w:val="16"/>
                          </w:rPr>
                        </w:pPr>
                        <w:r w:rsidRPr="00BD3F95">
                          <w:rPr>
                            <w:color w:val="000000" w:themeColor="text1"/>
                            <w:sz w:val="16"/>
                            <w:szCs w:val="16"/>
                          </w:rPr>
                          <w:t xml:space="preserve">Not focus on </w:t>
                        </w:r>
                        <w:r w:rsidR="007356CA">
                          <w:rPr>
                            <w:color w:val="000000" w:themeColor="text1"/>
                            <w:sz w:val="16"/>
                            <w:szCs w:val="16"/>
                          </w:rPr>
                          <w:t>Fintech</w:t>
                        </w:r>
                        <w:r w:rsidRPr="00BD3F95">
                          <w:rPr>
                            <w:color w:val="000000" w:themeColor="text1"/>
                            <w:sz w:val="16"/>
                            <w:szCs w:val="16"/>
                          </w:rPr>
                          <w:t xml:space="preserve"> adoption at bank-level  (n = 8 )</w:t>
                        </w:r>
                      </w:p>
                    </w:txbxContent>
                  </v:textbox>
                </v:rect>
                <v:rect id="Rectangle 1314070980" o:spid="_x0000_s1035" style="position:absolute;left:4412;top:36632;width:18872;height:65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BP5zAAAAOMAAAAPAAAAZHJzL2Rvd25yZXYueG1sRI9BT8Mw&#10;DIXvSPyHyEhcpi0pIBhl2YRAoB4mJDY4cPMa05Q1TtWErfx7fEDiaPv5vfctVmPo1IGG1Ea2UMwM&#10;KOI6upYbC2/bp+kcVMrIDrvIZOGHEqyWpycLLF088isdNrlRYsKpRAs+577UOtWeAqZZ7Inl9hmH&#10;gFnGodFuwKOYh05fGHOtA7YsCR57evBU7zffwcJHNebmq3jO6z1O3ieV39Uvjztrz8/G+ztQmcb8&#10;L/77rpzUvyyuzI25nQuFMMkC9PIXAAD//wMAUEsBAi0AFAAGAAgAAAAhANvh9svuAAAAhQEAABMA&#10;AAAAAAAAAAAAAAAAAAAAAFtDb250ZW50X1R5cGVzXS54bWxQSwECLQAUAAYACAAAACEAWvQsW78A&#10;AAAVAQAACwAAAAAAAAAAAAAAAAAfAQAAX3JlbHMvLnJlbHNQSwECLQAUAAYACAAAACEAA0AT+cwA&#10;AADjAAAADwAAAAAAAAAAAAAAAAAHAgAAZHJzL2Rvd25yZXYueG1sUEsFBgAAAAADAAMAtwAAAAAD&#10;AAAAAA==&#10;" filled="f" strokecolor="black [3213]" strokeweight="1pt">
                  <v:textbox>
                    <w:txbxContent>
                      <w:p w14:paraId="2922DD02" w14:textId="77777777" w:rsidR="004F435E" w:rsidRPr="00BD3F95" w:rsidRDefault="004F435E" w:rsidP="004F435E">
                        <w:pPr>
                          <w:jc w:val="center"/>
                          <w:rPr>
                            <w:b/>
                            <w:bCs/>
                            <w:color w:val="000000" w:themeColor="text1"/>
                            <w:sz w:val="16"/>
                            <w:szCs w:val="16"/>
                          </w:rPr>
                        </w:pPr>
                        <w:r w:rsidRPr="00BD3F95">
                          <w:rPr>
                            <w:b/>
                            <w:bCs/>
                            <w:color w:val="000000" w:themeColor="text1"/>
                            <w:sz w:val="16"/>
                            <w:szCs w:val="16"/>
                          </w:rPr>
                          <w:t>Studies included in review</w:t>
                        </w:r>
                      </w:p>
                      <w:p w14:paraId="398563F4" w14:textId="77777777" w:rsidR="004F435E" w:rsidRPr="00BD3F95" w:rsidRDefault="004F435E" w:rsidP="004F435E">
                        <w:pPr>
                          <w:jc w:val="center"/>
                          <w:rPr>
                            <w:color w:val="000000" w:themeColor="text1"/>
                            <w:sz w:val="16"/>
                            <w:szCs w:val="16"/>
                          </w:rPr>
                        </w:pPr>
                        <w:r w:rsidRPr="00BD3F95">
                          <w:rPr>
                            <w:color w:val="000000" w:themeColor="text1"/>
                            <w:sz w:val="16"/>
                            <w:szCs w:val="16"/>
                          </w:rPr>
                          <w:t>(n = 22 )</w:t>
                        </w:r>
                      </w:p>
                    </w:txbxContent>
                  </v:textbox>
                </v:rect>
                <v:shapetype id="_x0000_t32" coordsize="21600,21600" o:spt="32" o:oned="t" path="m,l21600,21600e" filled="f">
                  <v:path arrowok="t" fillok="f" o:connecttype="none"/>
                  <o:lock v:ext="edit" shapetype="t"/>
                </v:shapetype>
                <v:shape id="Straight Arrow Connector 857763684" o:spid="_x0000_s1036" type="#_x0000_t32" style="position:absolute;left:23284;top:17821;width:287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mfJyQAAAOIAAAAPAAAAZHJzL2Rvd25yZXYueG1sRI9Ba8JA&#10;FITvgv9heYI33agxCamrSEUstJfY9v7IPpNg9m3IbjX213cLhR6HmfmG2ewG04ob9a6xrGAxj0AQ&#10;l1Y3XCn4eD/OMhDOI2tsLZOCBznYbcejDeba3rmg29lXIkDY5aig9r7LpXRlTQbd3HbEwbvY3qAP&#10;sq+k7vEe4KaVyyhKpMGGw0KNHT3XVF7PX0bBSePq8xKvTVkUx+qQvr7F6bdTajoZ9k8gPA3+P/zX&#10;ftEKsnWaJqski+H3UrgDcvsDAAD//wMAUEsBAi0AFAAGAAgAAAAhANvh9svuAAAAhQEAABMAAAAA&#10;AAAAAAAAAAAAAAAAAFtDb250ZW50X1R5cGVzXS54bWxQSwECLQAUAAYACAAAACEAWvQsW78AAAAV&#10;AQAACwAAAAAAAAAAAAAAAAAfAQAAX3JlbHMvLnJlbHNQSwECLQAUAAYACAAAACEALfJnyckAAADi&#10;AAAADwAAAAAAAAAAAAAAAAAHAgAAZHJzL2Rvd25yZXYueG1sUEsFBgAAAAADAAMAtwAAAP0CAAAA&#10;AA==&#10;" strokecolor="black [3213]" strokeweight="1pt">
                  <v:stroke endarrow="block"/>
                </v:shape>
                <v:shape id="Straight Arrow Connector 442898282" o:spid="_x0000_s1037" type="#_x0000_t32" style="position:absolute;left:23284;top:24378;width:287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9kRJyQAAAOIAAAAPAAAAZHJzL2Rvd25yZXYueG1sRI9Ba8JA&#10;FITvBf/D8gRvddMYa4yuUlpEwV5i9f7IPpPQ7NuQ3WraX+8KQo/DzHzDLNe9acSFOldbVvAyjkAQ&#10;F1bXXCo4fm2eUxDOI2tsLJOCX3KwXg2elphpe+WcLgdfigBhl6GCyvs2k9IVFRl0Y9sSB+9sO4M+&#10;yK6UusNrgJtGxlH0Kg3WHBYqbOm9ouL78GMUbDVOTudkaoo835Qfs/1nMvtzSo2G/dsChKfe/4cf&#10;7Z1WkCRxOk/jNIb7pXAH5OoGAAD//wMAUEsBAi0AFAAGAAgAAAAhANvh9svuAAAAhQEAABMAAAAA&#10;AAAAAAAAAAAAAAAAAFtDb250ZW50X1R5cGVzXS54bWxQSwECLQAUAAYACAAAACEAWvQsW78AAAAV&#10;AQAACwAAAAAAAAAAAAAAAAAfAQAAX3JlbHMvLnJlbHNQSwECLQAUAAYACAAAACEAk/ZESckAAADi&#10;AAAADwAAAAAAAAAAAAAAAAAHAgAAZHJzL2Rvd25yZXYueG1sUEsFBgAAAAADAAMAtwAAAP0CAAAA&#10;AA==&#10;" strokecolor="black [3213]" strokeweight="1pt">
                  <v:stroke endarrow="block"/>
                </v:shape>
                <v:shape id="Straight Arrow Connector 1298273060" o:spid="_x0000_s1038" type="#_x0000_t32" style="position:absolute;left:23390;top:31688;width:320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g5ywAAAOMAAAAPAAAAZHJzL2Rvd25yZXYueG1sRI9BT8JA&#10;EIXvJP6HzZh4gy0FKVYWYjQEE70U4T7pDm1Dd7bprlD59c7BxOPMvHnvfavN4Fp1oT40ng1MJwko&#10;4tLbhisDh6/teAkqRGSLrWcy8EMBNuu70Qpz669c0GUfKyUmHHI0UMfY5VqHsiaHYeI7YrmdfO8w&#10;ythX2vZ4FXPX6jRJFtphw5JQY0evNZXn/bczsLM4O57mj64sim31ln18zrNbMObhfnh5BhVpiP/i&#10;v+93K/XTp2WazZKFUAiTLECvfwEAAP//AwBQSwECLQAUAAYACAAAACEA2+H2y+4AAACFAQAAEwAA&#10;AAAAAAAAAAAAAAAAAAAAW0NvbnRlbnRfVHlwZXNdLnhtbFBLAQItABQABgAIAAAAIQBa9CxbvwAA&#10;ABUBAAALAAAAAAAAAAAAAAAAAB8BAABfcmVscy8ucmVsc1BLAQItABQABgAIAAAAIQAPQ/g5ywAA&#10;AOMAAAAPAAAAAAAAAAAAAAAAAAcCAABkcnMvZG93bnJldi54bWxQSwUGAAAAAAMAAwC3AAAA/wIA&#10;AAAA&#10;" strokecolor="black [3213]" strokeweight="1pt">
                  <v:stroke endarrow="block"/>
                </v:shap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735344293" o:spid="_x0000_s1039" type="#_x0000_t176" style="position:absolute;left:4666;width:40510;height:25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WrcyQAAAOMAAAAPAAAAZHJzL2Rvd25yZXYueG1sRE9fa8Iw&#10;EH8f7DuEG+xtprPd1GoUGQgbCGNOqo9Hc7ZlzaUmme2+vRkM9ni//7dYDaYVF3K+sazgcZSAIC6t&#10;brhSsP/cPExB+ICssbVMCn7Iw2p5e7PAXNueP+iyC5WIIexzVFCH0OVS+rImg35kO+LInawzGOLp&#10;Kqkd9jHctHKcJM/SYMOxocaOXmoqv3bfRkHVu/ciPexPRVls+vNbcdxm3ip1fzes5yACDeFf/Od+&#10;1XH+JH1Ks2w8S+H3pwiAXF4BAAD//wMAUEsBAi0AFAAGAAgAAAAhANvh9svuAAAAhQEAABMAAAAA&#10;AAAAAAAAAAAAAAAAAFtDb250ZW50X1R5cGVzXS54bWxQSwECLQAUAAYACAAAACEAWvQsW78AAAAV&#10;AQAACwAAAAAAAAAAAAAAAAAfAQAAX3JlbHMvLnJlbHNQSwECLQAUAAYACAAAACEAhm1q3MkAAADj&#10;AAAADwAAAAAAAAAAAAAAAAAHAgAAZHJzL2Rvd25yZXYueG1sUEsFBgAAAAADAAMAtwAAAP0CAAAA&#10;AA==&#10;" filled="f" strokecolor="black [3213]" strokeweight="1pt">
                  <v:textbox>
                    <w:txbxContent>
                      <w:p w14:paraId="4D585365" w14:textId="77777777" w:rsidR="004F435E" w:rsidRPr="00BD3F95" w:rsidRDefault="004F435E" w:rsidP="004F435E">
                        <w:pPr>
                          <w:jc w:val="center"/>
                          <w:rPr>
                            <w:b/>
                            <w:color w:val="000000" w:themeColor="text1"/>
                            <w:sz w:val="16"/>
                            <w:szCs w:val="16"/>
                          </w:rPr>
                        </w:pPr>
                        <w:r w:rsidRPr="00BD3F95">
                          <w:rPr>
                            <w:b/>
                            <w:color w:val="000000" w:themeColor="text1"/>
                            <w:sz w:val="16"/>
                            <w:szCs w:val="16"/>
                          </w:rPr>
                          <w:t>Identification of studies via databases and registers</w:t>
                        </w:r>
                      </w:p>
                    </w:txbxContent>
                  </v:textbox>
                </v:shape>
                <v:shape id="Flowchart: Alternate Process 687562306" o:spid="_x0000_s1040" type="#_x0000_t176" style="position:absolute;left:-3148;top:6575;width:8923;height:262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spTyAAAAOIAAAAPAAAAZHJzL2Rvd25yZXYueG1sRI9Pa8JA&#10;FMTvBb/D8gRvdWPEGKKrWMHSa1fx/Mi+/Gmzb9Psqum37xYKPQ4z8xtmux9tJ+40+NaxgsU8AUFc&#10;OtNyreByPj3nIHxANtg5JgXf5GG/mzxtsTDuwe9016EWEcK+QAVNCH0hpS8bsujnrieOXuUGiyHK&#10;oZZmwEeE206mSZJJiy3HhQZ7OjZUfuqbVRCOhy+tz7levS4X15fqYquPU6rUbDoeNiACjeE//Nd+&#10;MwqyfL3K0mWSwe+leAfk7gcAAP//AwBQSwECLQAUAAYACAAAACEA2+H2y+4AAACFAQAAEwAAAAAA&#10;AAAAAAAAAAAAAAAAW0NvbnRlbnRfVHlwZXNdLnhtbFBLAQItABQABgAIAAAAIQBa9CxbvwAAABUB&#10;AAALAAAAAAAAAAAAAAAAAB8BAABfcmVscy8ucmVsc1BLAQItABQABgAIAAAAIQBC5spTyAAAAOIA&#10;AAAPAAAAAAAAAAAAAAAAAAcCAABkcnMvZG93bnJldi54bWxQSwUGAAAAAAMAAwC3AAAA/AIAAAAA&#10;" filled="f" strokecolor="black [3213]" strokeweight="1pt">
                  <v:textbox>
                    <w:txbxContent>
                      <w:p w14:paraId="508415AB" w14:textId="77777777" w:rsidR="004F435E" w:rsidRPr="00BD3F95" w:rsidRDefault="004F435E" w:rsidP="004F435E">
                        <w:pPr>
                          <w:jc w:val="center"/>
                          <w:rPr>
                            <w:b/>
                            <w:color w:val="000000" w:themeColor="text1"/>
                            <w:sz w:val="14"/>
                            <w:szCs w:val="14"/>
                          </w:rPr>
                        </w:pPr>
                        <w:r w:rsidRPr="00BD3F95">
                          <w:rPr>
                            <w:b/>
                            <w:color w:val="000000" w:themeColor="text1"/>
                            <w:sz w:val="14"/>
                            <w:szCs w:val="14"/>
                          </w:rPr>
                          <w:t>Identification</w:t>
                        </w:r>
                      </w:p>
                    </w:txbxContent>
                  </v:textbox>
                </v:shape>
                <v:shape id="Flowchart: Alternate Process 709758067" o:spid="_x0000_s1041" type="#_x0000_t176" style="position:absolute;left:-8475;top:23178;width:19579;height:262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fv7yQAAAOIAAAAPAAAAZHJzL2Rvd25yZXYueG1sRI9PawIx&#10;FMTvhX6H8AreaqJFd7s1igqWXhul58fm7Z9287JuUl2/fVMo9DjMzG+Y1WZ0nbjQEFrPGmZTBYK4&#10;9LblWsPpeHjMQYSIbLHzTBpuFGCzvr9bYWH9ld/pYmItEoRDgRqaGPtCylA25DBMfU+cvMoPDmOS&#10;Qy3tgNcEd52cK7WUDltOCw32tG+o/DLfTkPcb8/GHHOzeH2afeyqk6s+D3OtJw/j9gVEpDH+h//a&#10;b1ZDpp6zRa6WGfxeSndArn8AAAD//wMAUEsBAi0AFAAGAAgAAAAhANvh9svuAAAAhQEAABMAAAAA&#10;AAAAAAAAAAAAAAAAAFtDb250ZW50X1R5cGVzXS54bWxQSwECLQAUAAYACAAAACEAWvQsW78AAAAV&#10;AQAACwAAAAAAAAAAAAAAAAAfAQAAX3JlbHMvLnJlbHNQSwECLQAUAAYACAAAACEAQj37+8kAAADi&#10;AAAADwAAAAAAAAAAAAAAAAAHAgAAZHJzL2Rvd25yZXYueG1sUEsFBgAAAAADAAMAtwAAAP0CAAAA&#10;AA==&#10;" filled="f" strokecolor="black [3213]" strokeweight="1pt">
                  <v:textbox>
                    <w:txbxContent>
                      <w:p w14:paraId="76402200" w14:textId="77777777" w:rsidR="004F435E" w:rsidRPr="00BD3F95" w:rsidRDefault="004F435E" w:rsidP="004F435E">
                        <w:pPr>
                          <w:jc w:val="center"/>
                          <w:rPr>
                            <w:b/>
                            <w:color w:val="000000" w:themeColor="text1"/>
                            <w:sz w:val="14"/>
                            <w:szCs w:val="14"/>
                          </w:rPr>
                        </w:pPr>
                        <w:r w:rsidRPr="00BD3F95">
                          <w:rPr>
                            <w:b/>
                            <w:color w:val="000000" w:themeColor="text1"/>
                            <w:sz w:val="14"/>
                            <w:szCs w:val="14"/>
                          </w:rPr>
                          <w:t>Screening</w:t>
                        </w:r>
                      </w:p>
                      <w:p w14:paraId="156554E3" w14:textId="77777777" w:rsidR="004F435E" w:rsidRPr="00BD3F95" w:rsidRDefault="004F435E" w:rsidP="004F435E">
                        <w:pPr>
                          <w:rPr>
                            <w:b/>
                            <w:color w:val="000000" w:themeColor="text1"/>
                            <w:sz w:val="14"/>
                            <w:szCs w:val="14"/>
                          </w:rPr>
                        </w:pPr>
                      </w:p>
                    </w:txbxContent>
                  </v:textbox>
                </v:shape>
                <v:shape id="Flowchart: Alternate Process 1139697964" o:spid="_x0000_s1042" type="#_x0000_t176" style="position:absolute;left:-2144;top:38601;width:7091;height:245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4cDxwAAAOMAAAAPAAAAZHJzL2Rvd25yZXYueG1sRE9LT8JA&#10;EL6b8B82Q+JNtgWttLIQIMF4dSGeJ93pQ7uzpbtC/feuiQnH+d6z2oy2ExcafOtYQTpLQBCXzrRc&#10;KzgdDw9LED4gG+wck4If8rBZT+5WWBh35Xe66FCLGMK+QAVNCH0hpS8bsuhnrieOXOUGiyGeQy3N&#10;gNcYbjs5T5JMWmw5NjTY076h8kt/WwVhvz1rfVzqp9dF+rGrTrb6PMyVup+O2xcQgcZwE/+730yc&#10;ny7yLH/Os0f4+ykCINe/AAAA//8DAFBLAQItABQABgAIAAAAIQDb4fbL7gAAAIUBAAATAAAAAAAA&#10;AAAAAAAAAAAAAABbQ29udGVudF9UeXBlc10ueG1sUEsBAi0AFAAGAAgAAAAhAFr0LFu/AAAAFQEA&#10;AAsAAAAAAAAAAAAAAAAAHwEAAF9yZWxzLy5yZWxzUEsBAi0AFAAGAAgAAAAhAEznhwPHAAAA4wAA&#10;AA8AAAAAAAAAAAAAAAAABwIAAGRycy9kb3ducmV2LnhtbFBLBQYAAAAAAwADALcAAAD7AgAAAAA=&#10;" filled="f" strokecolor="black [3213]" strokeweight="1pt">
                  <v:textbox>
                    <w:txbxContent>
                      <w:p w14:paraId="6B7637BE" w14:textId="77777777" w:rsidR="004F435E" w:rsidRPr="00BD3F95" w:rsidRDefault="004F435E" w:rsidP="004F435E">
                        <w:pPr>
                          <w:jc w:val="center"/>
                          <w:rPr>
                            <w:b/>
                            <w:color w:val="000000" w:themeColor="text1"/>
                            <w:sz w:val="14"/>
                            <w:szCs w:val="14"/>
                          </w:rPr>
                        </w:pPr>
                        <w:r w:rsidRPr="00BD3F95">
                          <w:rPr>
                            <w:b/>
                            <w:color w:val="000000" w:themeColor="text1"/>
                            <w:sz w:val="14"/>
                            <w:szCs w:val="14"/>
                          </w:rPr>
                          <w:t>Included</w:t>
                        </w:r>
                      </w:p>
                    </w:txbxContent>
                  </v:textbox>
                </v:shape>
                <v:shape id="Straight Arrow Connector 1874148239" o:spid="_x0000_s1043" type="#_x0000_t32" style="position:absolute;left:13463;top:12230;width:0;height:246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CcjyAAAAOMAAAAPAAAAZHJzL2Rvd25yZXYueG1sRE9La8JA&#10;EL4X/A/LFLzVjZqaGF1FLFLBXuLjPmTHJDQ7G7JbTfvru0Khx/nes1z3phE36lxtWcF4FIEgLqyu&#10;uVRwPu1eUhDOI2tsLJOCb3KwXg2elphpe+ecbkdfihDCLkMFlfdtJqUrKjLoRrYlDtzVdgZ9OLtS&#10;6g7vIdw0chJFM2mw5tBQYUvbiorP45dR8K5xernGr6bI8135lhw+4uTHKTV87jcLEJ56/y/+c+91&#10;mJ8m8ThOJ9M5PH4KAMjVLwAAAP//AwBQSwECLQAUAAYACAAAACEA2+H2y+4AAACFAQAAEwAAAAAA&#10;AAAAAAAAAAAAAAAAW0NvbnRlbnRfVHlwZXNdLnhtbFBLAQItABQABgAIAAAAIQBa9CxbvwAAABUB&#10;AAALAAAAAAAAAAAAAAAAAB8BAABfcmVscy8ucmVsc1BLAQItABQABgAIAAAAIQAKiCcjyAAAAOMA&#10;AAAPAAAAAAAAAAAAAAAAAAcCAABkcnMvZG93bnJldi54bWxQSwUGAAAAAAMAAwC3AAAA/AIAAAAA&#10;" strokecolor="black [3213]" strokeweight="1pt">
                  <v:stroke endarrow="block"/>
                </v:shape>
                <v:shape id="Straight Arrow Connector 1035164558" o:spid="_x0000_s1044" type="#_x0000_t32" style="position:absolute;left:13462;top:27087;width:1;height:193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BbJywAAAOMAAAAPAAAAZHJzL2Rvd25yZXYueG1sRI9BS8NA&#10;EIXvgv9hGcGb3W1rgsRuSykEVFBq9dDjkJ1mg9nZkF3b+O+dg+Bx5r1575vVZgq9OtOYusgW5jMD&#10;iriJruPWwudHffcAKmVkh31ksvBDCTbr66sVVi5e+J3Oh9wqCeFUoQWf81BpnRpPAdMsDsSineIY&#10;MMs4ttqNeJHw0OuFMaUO2LE0eBxo56n5OnwHC/nNH/fHpjy9PO9cza/L/aI2W2tvb6btI6hMU/43&#10;/10/OcE3y2Je3heFQMtPsgC9/gUAAP//AwBQSwECLQAUAAYACAAAACEA2+H2y+4AAACFAQAAEwAA&#10;AAAAAAAAAAAAAAAAAAAAW0NvbnRlbnRfVHlwZXNdLnhtbFBLAQItABQABgAIAAAAIQBa9CxbvwAA&#10;ABUBAAALAAAAAAAAAAAAAAAAAB8BAABfcmVscy8ucmVsc1BLAQItABQABgAIAAAAIQAmGBbJywAA&#10;AOMAAAAPAAAAAAAAAAAAAAAAAAcCAABkcnMvZG93bnJldi54bWxQSwUGAAAAAAMAAwC3AAAA/wIA&#10;AAAA&#10;" strokecolor="black [3213]" strokeweight="1pt">
                  <v:stroke endarrow="block"/>
                </v:shape>
                <v:shape id="Straight Arrow Connector 1253863395" o:spid="_x0000_s1045" type="#_x0000_t32" style="position:absolute;left:13462;top:34282;width:22;height:235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RiWyAAAAOMAAAAPAAAAZHJzL2Rvd25yZXYueG1sRE9La8JA&#10;EL4X+h+WKfRWN00waHQVEQK10OLr4HHIjtlgdjZktxr/fbdQ8Djfe+bLwbbiSr1vHCt4HyUgiCun&#10;G64VHA/l2wSED8gaW8ek4E4elovnpzkW2t14R9d9qEUMYV+gAhNCV0jpK0MW/ch1xJE7u95iiGdf&#10;S93jLYbbVqZJkkuLDccGgx2tDVWX/Y9VEL7NaXuq8vPnZq1L/sq2aZmslHp9GVYzEIGG8BD/uz90&#10;nJ+Os0meZdMx/P0UAZCLXwAAAP//AwBQSwECLQAUAAYACAAAACEA2+H2y+4AAACFAQAAEwAAAAAA&#10;AAAAAAAAAAAAAAAAW0NvbnRlbnRfVHlwZXNdLnhtbFBLAQItABQABgAIAAAAIQBa9CxbvwAAABUB&#10;AAALAAAAAAAAAAAAAAAAAB8BAABfcmVscy8ucmVsc1BLAQItABQABgAIAAAAIQBYoRiWyAAAAOMA&#10;AAAPAAAAAAAAAAAAAAAAAAcCAABkcnMvZG93bnJldi54bWxQSwUGAAAAAAMAAwC3AAAA/AIAAAAA&#10;" strokecolor="black [3213]" strokeweight="1pt">
                  <v:stroke endarrow="block"/>
                </v:shape>
                <v:shape id="Straight Arrow Connector 1166877958" o:spid="_x0000_s1046" type="#_x0000_t32" style="position:absolute;left:23474;top:7573;width:287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SNhywAAAOMAAAAPAAAAZHJzL2Rvd25yZXYueG1sRI9BT8JA&#10;EIXvJP6HzZhwgy0CLVYWYiREEr0U9T7pDm1jd7bpLlD99c6BxOPMe/PeN+vt4Fp1oT40ng3Mpgko&#10;4tLbhisDnx/7yQpUiMgWW89k4IcCbDd3ozXm1l+5oMsxVkpCOORooI6xy7UOZU0Ow9R3xKKdfO8w&#10;ythX2vZ4lXDX6ockSbXDhqWhxo5eaiq/j2dn4NXi/Ou0WLqyKPbVLnt7X2S/wZjx/fD8BCrSEP/N&#10;t+uDFfxZmq6y7HEp0PKTLEBv/gAAAP//AwBQSwECLQAUAAYACAAAACEA2+H2y+4AAACFAQAAEwAA&#10;AAAAAAAAAAAAAAAAAAAAW0NvbnRlbnRfVHlwZXNdLnhtbFBLAQItABQABgAIAAAAIQBa9CxbvwAA&#10;ABUBAAALAAAAAAAAAAAAAAAAAB8BAABfcmVscy8ucmVsc1BLAQItABQABgAIAAAAIQDI1SNhywAA&#10;AOMAAAAPAAAAAAAAAAAAAAAAAAcCAABkcnMvZG93bnJldi54bWxQSwUGAAAAAAMAAwC3AAAA/wIA&#10;AAAA&#10;" strokecolor="black [3213]" strokeweight="1pt">
                  <v:stroke endarrow="block"/>
                </v:shape>
                <v:shape id="Straight Arrow Connector 351519960" o:spid="_x0000_s1047" type="#_x0000_t32" style="position:absolute;left:13523;top:19984;width:1;height:192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ykyQAAAOIAAAAPAAAAZHJzL2Rvd25yZXYueG1sRI/NasJA&#10;FIX3Qt9huII7nUQx1NRRRAjYQiXaLlxeMtdMMHMnZKaavn1nUXB5OH986+1gW3Gn3jeOFaSzBARx&#10;5XTDtYLvr2L6CsIHZI2tY1LwSx62m5fRGnPtHnyi+znUIo6wz1GBCaHLpfSVIYt+5jri6F1dbzFE&#10;2ddS9/iI47aV8yTJpMWG44PBjvaGqtv5xyoIR3MpL1V2/Xjf64I/F+W8SHZKTcbD7g1EoCE8w//t&#10;g1awWKbLdLXKIkREijggN38AAAD//wMAUEsBAi0AFAAGAAgAAAAhANvh9svuAAAAhQEAABMAAAAA&#10;AAAAAAAAAAAAAAAAAFtDb250ZW50X1R5cGVzXS54bWxQSwECLQAUAAYACAAAACEAWvQsW78AAAAV&#10;AQAACwAAAAAAAAAAAAAAAAAfAQAAX3JlbHMvLnJlbHNQSwECLQAUAAYACAAAACEAzQscpMkAAADi&#10;AAAADwAAAAAAAAAAAAAAAAAHAgAAZHJzL2Rvd25yZXYueG1sUEsFBgAAAAADAAMAtwAAAP0CAAAA&#10;AA==&#10;" strokecolor="black [3213]" strokeweight="1pt">
                  <v:stroke endarrow="block"/>
                </v:shape>
                <w10:wrap type="topAndBottom"/>
              </v:group>
            </w:pict>
          </mc:Fallback>
        </mc:AlternateContent>
      </w:r>
      <w:r>
        <w:rPr>
          <w:b/>
          <w:bCs/>
          <w:sz w:val="22"/>
          <w:szCs w:val="22"/>
          <w:lang w:val="en-US"/>
        </w:rPr>
        <w:t xml:space="preserve">Figure 1. </w:t>
      </w:r>
      <w:r w:rsidRPr="0035258B">
        <w:rPr>
          <w:sz w:val="22"/>
          <w:szCs w:val="22"/>
          <w:lang w:val="en-US"/>
        </w:rPr>
        <w:t>PRISMA flow diagra</w:t>
      </w:r>
      <w:r>
        <w:rPr>
          <w:sz w:val="22"/>
          <w:szCs w:val="22"/>
          <w:lang w:val="en-US"/>
        </w:rPr>
        <w:t>m</w:t>
      </w:r>
      <w:r>
        <w:rPr>
          <w:noProof/>
          <w:lang w:val="en-US"/>
        </w:rPr>
        <w:t xml:space="preserve"> </w:t>
      </w:r>
    </w:p>
    <w:p w14:paraId="6D17D608" w14:textId="5CBB6458" w:rsidR="00B316B0" w:rsidRDefault="007E6A89" w:rsidP="007E6A89">
      <w:pPr>
        <w:tabs>
          <w:tab w:val="left" w:pos="360"/>
        </w:tabs>
        <w:spacing w:before="120"/>
        <w:jc w:val="both"/>
        <w:rPr>
          <w:b/>
          <w:bCs/>
          <w:sz w:val="22"/>
          <w:szCs w:val="22"/>
          <w:lang w:val="en-US"/>
        </w:rPr>
      </w:pPr>
      <w:r w:rsidRPr="007E6A89">
        <w:rPr>
          <w:b/>
          <w:bCs/>
          <w:sz w:val="22"/>
          <w:szCs w:val="22"/>
          <w:lang w:val="en-US"/>
        </w:rPr>
        <w:t>3.</w:t>
      </w:r>
      <w:r w:rsidR="00B748BF">
        <w:rPr>
          <w:b/>
          <w:bCs/>
          <w:sz w:val="22"/>
          <w:szCs w:val="22"/>
          <w:lang w:val="en-US"/>
        </w:rPr>
        <w:t>5</w:t>
      </w:r>
      <w:r w:rsidRPr="007E6A89">
        <w:rPr>
          <w:b/>
          <w:bCs/>
          <w:sz w:val="22"/>
          <w:szCs w:val="22"/>
          <w:lang w:val="en-US"/>
        </w:rPr>
        <w:t xml:space="preserve">. </w:t>
      </w:r>
      <w:r w:rsidR="00833633" w:rsidRPr="00833633">
        <w:rPr>
          <w:b/>
          <w:bCs/>
          <w:sz w:val="22"/>
          <w:szCs w:val="22"/>
        </w:rPr>
        <w:t>Data extraction and synthesis</w:t>
      </w:r>
    </w:p>
    <w:p w14:paraId="43682B0D" w14:textId="77777777" w:rsidR="004F435E" w:rsidRDefault="004F435E" w:rsidP="007E6A89">
      <w:pPr>
        <w:tabs>
          <w:tab w:val="left" w:pos="360"/>
        </w:tabs>
        <w:spacing w:before="120"/>
        <w:jc w:val="both"/>
        <w:rPr>
          <w:sz w:val="22"/>
          <w:szCs w:val="22"/>
          <w:lang w:val="en-US"/>
        </w:rPr>
      </w:pPr>
      <w:r w:rsidRPr="00E60519">
        <w:rPr>
          <w:sz w:val="22"/>
          <w:szCs w:val="22"/>
          <w:lang w:val="en-US"/>
        </w:rPr>
        <w:t>For each of the 22 included studies, relevant information was systematically extracted and coded to support descriptive and thematic synthesis. The extracted variables included authors and year of publication, research context (country or region), citation count, publication year, and journal quality ranking, as summarized in Table 1.</w:t>
      </w:r>
    </w:p>
    <w:p w14:paraId="3229B3DC" w14:textId="59D6DE88" w:rsidR="004F435E" w:rsidRPr="00E60519" w:rsidRDefault="004F435E" w:rsidP="004F435E">
      <w:pPr>
        <w:tabs>
          <w:tab w:val="left" w:pos="360"/>
        </w:tabs>
        <w:spacing w:before="120"/>
        <w:jc w:val="both"/>
        <w:rPr>
          <w:sz w:val="22"/>
          <w:szCs w:val="22"/>
          <w:lang w:val="en-US"/>
        </w:rPr>
      </w:pPr>
      <w:r w:rsidRPr="00E60519">
        <w:rPr>
          <w:sz w:val="22"/>
          <w:szCs w:val="22"/>
          <w:lang w:val="en-US"/>
        </w:rPr>
        <w:t xml:space="preserve">Journal quality was primarily assessed using SSCI and ESCI quartile classifications, supplemented by Scopus quartile rankings where applicable. In cases where journal quartile information was not available, alternative recognized journal quality classifications were employed. Specifically, for </w:t>
      </w:r>
      <w:r w:rsidR="004D7B5F">
        <w:rPr>
          <w:sz w:val="22"/>
          <w:szCs w:val="22"/>
          <w:lang w:val="en-US"/>
        </w:rPr>
        <w:fldChar w:fldCharType="begin"/>
      </w:r>
      <w:r w:rsidR="0005669B">
        <w:rPr>
          <w:sz w:val="22"/>
          <w:szCs w:val="22"/>
          <w:lang w:val="en-US"/>
        </w:rPr>
        <w:instrText xml:space="preserve"> ADDIN EN.CITE &lt;EndNote&gt;&lt;Cite AuthorYear="1"&gt;&lt;Author&gt;Chhaidar&lt;/Author&gt;&lt;Year&gt;2023&lt;/Year&gt;&lt;RecNum&gt;75&lt;/RecNum&gt;&lt;DisplayText&gt;Chhaidar, et al.&lt;style face="superscript"&gt;25&lt;/style&gt;&lt;/DisplayText&gt;&lt;record&gt;&lt;rec-number&gt;75&lt;/rec-number&gt;&lt;foreign-keys&gt;&lt;key app="EN" db-id="wapx0v0s4rw2r6esw9dpwpd1wwvx05v0920r" timestamp="1769481436"&gt;75&lt;/key&gt;&lt;/foreign-keys&gt;&lt;ref-type name="Journal Article"&gt;17&lt;/ref-type&gt;&lt;contributors&gt;&lt;authors&gt;&lt;author&gt;Chhaidar, Ahlem&lt;/author&gt;&lt;author&gt;Abdelhedi, Mouna&lt;/author&gt;&lt;author&gt;Abdelkafi, Ines&lt;/author&gt;&lt;/authors&gt;&lt;/contributors&gt;&lt;titles&gt;&lt;title&gt;The effect of financial technology investment level on European banks’ profitability&lt;/title&gt;&lt;secondary-title&gt;Journal of the Knowledge Economy&lt;/secondary-title&gt;&lt;/titles&gt;&lt;periodical&gt;&lt;full-title&gt;Journal of the Knowledge Economy&lt;/full-title&gt;&lt;/periodical&gt;&lt;pages&gt;2959-2981&lt;/pages&gt;&lt;volume&gt;14&lt;/volume&gt;&lt;number&gt;3&lt;/number&gt;&lt;dates&gt;&lt;year&gt;2023&lt;/year&gt;&lt;/dates&gt;&lt;isbn&gt;1868-7865&lt;/isbn&gt;&lt;urls&gt;&lt;/urls&gt;&lt;/record&gt;&lt;/Cite&gt;&lt;/EndNote&gt;</w:instrText>
      </w:r>
      <w:r w:rsidR="004D7B5F">
        <w:rPr>
          <w:sz w:val="22"/>
          <w:szCs w:val="22"/>
          <w:lang w:val="en-US"/>
        </w:rPr>
        <w:fldChar w:fldCharType="separate"/>
      </w:r>
      <w:r w:rsidR="0005669B">
        <w:rPr>
          <w:noProof/>
          <w:sz w:val="22"/>
          <w:szCs w:val="22"/>
          <w:lang w:val="en-US"/>
        </w:rPr>
        <w:t>Chhaidar, et al.</w:t>
      </w:r>
      <w:r w:rsidR="0005669B" w:rsidRPr="0005669B">
        <w:rPr>
          <w:noProof/>
          <w:sz w:val="22"/>
          <w:szCs w:val="22"/>
          <w:vertAlign w:val="superscript"/>
          <w:lang w:val="en-US"/>
        </w:rPr>
        <w:t>25</w:t>
      </w:r>
      <w:r w:rsidR="004D7B5F">
        <w:rPr>
          <w:sz w:val="22"/>
          <w:szCs w:val="22"/>
          <w:lang w:val="en-US"/>
        </w:rPr>
        <w:fldChar w:fldCharType="end"/>
      </w:r>
      <w:r w:rsidR="004D7B5F">
        <w:rPr>
          <w:sz w:val="22"/>
          <w:szCs w:val="22"/>
          <w:lang w:val="en-US"/>
        </w:rPr>
        <w:t>,</w:t>
      </w:r>
      <w:r w:rsidRPr="00E60519">
        <w:rPr>
          <w:sz w:val="22"/>
          <w:szCs w:val="22"/>
          <w:lang w:val="en-US"/>
        </w:rPr>
        <w:t xml:space="preserve"> quartile data could not be identified; therefore, the ABDC journal ranking was used, and the journal was classified as ABDC category C. This approach is consistent with established practices in systematic reviews when standard quartile metrics are unavailable and ensures transparency and comparability in journal quality assessment.</w:t>
      </w:r>
    </w:p>
    <w:p w14:paraId="44DA8F6D" w14:textId="0FBD298F" w:rsidR="004F435E" w:rsidRDefault="004F435E" w:rsidP="007E6A89">
      <w:pPr>
        <w:tabs>
          <w:tab w:val="left" w:pos="360"/>
        </w:tabs>
        <w:spacing w:before="120"/>
        <w:jc w:val="both"/>
        <w:rPr>
          <w:sz w:val="22"/>
          <w:szCs w:val="22"/>
          <w:lang w:val="en-US"/>
        </w:rPr>
        <w:sectPr w:rsidR="004F435E" w:rsidSect="004F435E">
          <w:type w:val="continuous"/>
          <w:pgSz w:w="11909" w:h="16834"/>
          <w:pgMar w:top="1134" w:right="1134" w:bottom="1134" w:left="1418" w:header="720" w:footer="720" w:gutter="0"/>
          <w:cols w:num="2" w:space="720"/>
        </w:sectPr>
      </w:pPr>
    </w:p>
    <w:p w14:paraId="3B2BD5AD" w14:textId="50856E1F" w:rsidR="00841ED3" w:rsidRPr="00C32A17" w:rsidRDefault="00B316B0" w:rsidP="00C32A17">
      <w:pPr>
        <w:tabs>
          <w:tab w:val="left" w:pos="360"/>
        </w:tabs>
        <w:spacing w:before="120"/>
        <w:rPr>
          <w:b/>
          <w:bCs/>
          <w:sz w:val="20"/>
          <w:szCs w:val="20"/>
          <w:lang w:val="en-US"/>
        </w:rPr>
        <w:sectPr w:rsidR="00841ED3" w:rsidRPr="00C32A17" w:rsidSect="00841ED3">
          <w:type w:val="continuous"/>
          <w:pgSz w:w="11909" w:h="16834"/>
          <w:pgMar w:top="1134" w:right="1134" w:bottom="1134" w:left="1418" w:header="720" w:footer="720" w:gutter="0"/>
          <w:cols w:space="720"/>
        </w:sectPr>
      </w:pPr>
      <w:r w:rsidRPr="0005669B">
        <w:rPr>
          <w:b/>
          <w:bCs/>
          <w:sz w:val="20"/>
          <w:szCs w:val="20"/>
          <w:lang w:val="en-US"/>
        </w:rPr>
        <w:t>Table 1.</w:t>
      </w:r>
      <w:r w:rsidR="00C32A17">
        <w:rPr>
          <w:b/>
          <w:bCs/>
          <w:sz w:val="20"/>
          <w:szCs w:val="20"/>
          <w:lang w:val="en-US"/>
        </w:rPr>
        <w:t xml:space="preserve"> </w:t>
      </w:r>
      <w:r w:rsidR="00C32A17" w:rsidRPr="00C32A17">
        <w:rPr>
          <w:color w:val="000000"/>
          <w:sz w:val="20"/>
          <w:szCs w:val="20"/>
        </w:rPr>
        <w:t>Summary of reviewed studies on FinTech adoption in the banking sector</w:t>
      </w:r>
    </w:p>
    <w:tbl>
      <w:tblPr>
        <w:tblW w:w="9356" w:type="dxa"/>
        <w:jc w:val="center"/>
        <w:tblLayout w:type="fixed"/>
        <w:tblLook w:val="04A0" w:firstRow="1" w:lastRow="0" w:firstColumn="1" w:lastColumn="0" w:noHBand="0" w:noVBand="1"/>
      </w:tblPr>
      <w:tblGrid>
        <w:gridCol w:w="442"/>
        <w:gridCol w:w="3522"/>
        <w:gridCol w:w="1985"/>
        <w:gridCol w:w="924"/>
        <w:gridCol w:w="777"/>
        <w:gridCol w:w="1706"/>
      </w:tblGrid>
      <w:tr w:rsidR="00841ED3" w:rsidRPr="0005669B" w14:paraId="3164362E" w14:textId="77777777" w:rsidTr="00F14CAD">
        <w:trPr>
          <w:trHeight w:val="50"/>
          <w:jc w:val="center"/>
        </w:trPr>
        <w:tc>
          <w:tcPr>
            <w:tcW w:w="442" w:type="dxa"/>
            <w:tcBorders>
              <w:top w:val="single" w:sz="4" w:space="0" w:color="auto"/>
              <w:left w:val="single" w:sz="4" w:space="0" w:color="auto"/>
              <w:bottom w:val="single" w:sz="4" w:space="0" w:color="auto"/>
              <w:right w:val="single" w:sz="4" w:space="0" w:color="auto"/>
            </w:tcBorders>
            <w:vAlign w:val="center"/>
            <w:hideMark/>
          </w:tcPr>
          <w:p w14:paraId="45521C0B" w14:textId="77777777" w:rsidR="00841ED3" w:rsidRPr="0005669B" w:rsidRDefault="00841ED3" w:rsidP="00841ED3">
            <w:pPr>
              <w:jc w:val="right"/>
              <w:rPr>
                <w:b/>
                <w:bCs/>
                <w:color w:val="000000"/>
                <w:sz w:val="20"/>
                <w:szCs w:val="20"/>
              </w:rPr>
            </w:pPr>
            <w:r w:rsidRPr="0005669B">
              <w:rPr>
                <w:b/>
                <w:bCs/>
                <w:color w:val="000000"/>
                <w:sz w:val="20"/>
                <w:szCs w:val="20"/>
              </w:rPr>
              <w:t>ID</w:t>
            </w:r>
          </w:p>
        </w:tc>
        <w:tc>
          <w:tcPr>
            <w:tcW w:w="3522" w:type="dxa"/>
            <w:tcBorders>
              <w:top w:val="single" w:sz="4" w:space="0" w:color="auto"/>
              <w:left w:val="nil"/>
              <w:bottom w:val="single" w:sz="4" w:space="0" w:color="auto"/>
              <w:right w:val="single" w:sz="4" w:space="0" w:color="auto"/>
            </w:tcBorders>
            <w:vAlign w:val="center"/>
            <w:hideMark/>
          </w:tcPr>
          <w:p w14:paraId="7A0AA7A3" w14:textId="77777777" w:rsidR="00841ED3" w:rsidRPr="0005669B" w:rsidRDefault="00841ED3" w:rsidP="00841ED3">
            <w:pPr>
              <w:rPr>
                <w:b/>
                <w:bCs/>
                <w:color w:val="000000"/>
                <w:sz w:val="20"/>
                <w:szCs w:val="20"/>
              </w:rPr>
            </w:pPr>
            <w:r w:rsidRPr="0005669B">
              <w:rPr>
                <w:b/>
                <w:bCs/>
                <w:color w:val="000000"/>
                <w:sz w:val="20"/>
                <w:szCs w:val="20"/>
              </w:rPr>
              <w:t>Authors (Year)</w:t>
            </w:r>
          </w:p>
        </w:tc>
        <w:tc>
          <w:tcPr>
            <w:tcW w:w="1985" w:type="dxa"/>
            <w:tcBorders>
              <w:top w:val="single" w:sz="4" w:space="0" w:color="auto"/>
              <w:left w:val="nil"/>
              <w:bottom w:val="single" w:sz="4" w:space="0" w:color="auto"/>
              <w:right w:val="single" w:sz="4" w:space="0" w:color="auto"/>
            </w:tcBorders>
            <w:vAlign w:val="center"/>
            <w:hideMark/>
          </w:tcPr>
          <w:p w14:paraId="05CE09A9" w14:textId="77777777" w:rsidR="00841ED3" w:rsidRPr="0005669B" w:rsidRDefault="00841ED3" w:rsidP="00841ED3">
            <w:pPr>
              <w:rPr>
                <w:b/>
                <w:bCs/>
                <w:color w:val="000000"/>
                <w:sz w:val="20"/>
                <w:szCs w:val="20"/>
              </w:rPr>
            </w:pPr>
            <w:r w:rsidRPr="0005669B">
              <w:rPr>
                <w:b/>
                <w:bCs/>
                <w:color w:val="000000"/>
                <w:sz w:val="20"/>
                <w:szCs w:val="20"/>
              </w:rPr>
              <w:t>Research context</w:t>
            </w:r>
          </w:p>
        </w:tc>
        <w:tc>
          <w:tcPr>
            <w:tcW w:w="924" w:type="dxa"/>
            <w:tcBorders>
              <w:top w:val="single" w:sz="4" w:space="0" w:color="auto"/>
              <w:left w:val="nil"/>
              <w:bottom w:val="single" w:sz="4" w:space="0" w:color="auto"/>
              <w:right w:val="single" w:sz="4" w:space="0" w:color="auto"/>
            </w:tcBorders>
            <w:shd w:val="clear" w:color="000000" w:fill="FFFFFF"/>
            <w:vAlign w:val="center"/>
            <w:hideMark/>
          </w:tcPr>
          <w:p w14:paraId="7F57FB2A" w14:textId="77777777" w:rsidR="00841ED3" w:rsidRPr="0005669B" w:rsidRDefault="00841ED3" w:rsidP="00841ED3">
            <w:pPr>
              <w:jc w:val="center"/>
              <w:rPr>
                <w:b/>
                <w:bCs/>
                <w:sz w:val="20"/>
                <w:szCs w:val="20"/>
              </w:rPr>
            </w:pPr>
            <w:r w:rsidRPr="0005669B">
              <w:rPr>
                <w:b/>
                <w:bCs/>
                <w:sz w:val="20"/>
                <w:szCs w:val="20"/>
              </w:rPr>
              <w:t>Citation count</w:t>
            </w:r>
          </w:p>
        </w:tc>
        <w:tc>
          <w:tcPr>
            <w:tcW w:w="777" w:type="dxa"/>
            <w:tcBorders>
              <w:top w:val="single" w:sz="4" w:space="0" w:color="auto"/>
              <w:left w:val="nil"/>
              <w:bottom w:val="single" w:sz="4" w:space="0" w:color="auto"/>
              <w:right w:val="single" w:sz="4" w:space="0" w:color="auto"/>
            </w:tcBorders>
            <w:shd w:val="clear" w:color="000000" w:fill="FFFFFF"/>
            <w:vAlign w:val="center"/>
            <w:hideMark/>
          </w:tcPr>
          <w:p w14:paraId="6D4B6986" w14:textId="77777777" w:rsidR="00841ED3" w:rsidRPr="0005669B" w:rsidRDefault="00841ED3" w:rsidP="00841ED3">
            <w:pPr>
              <w:jc w:val="center"/>
              <w:rPr>
                <w:b/>
                <w:bCs/>
                <w:sz w:val="20"/>
                <w:szCs w:val="20"/>
              </w:rPr>
            </w:pPr>
            <w:r w:rsidRPr="0005669B">
              <w:rPr>
                <w:b/>
                <w:bCs/>
                <w:sz w:val="20"/>
                <w:szCs w:val="20"/>
              </w:rPr>
              <w:t>Year</w:t>
            </w:r>
          </w:p>
        </w:tc>
        <w:tc>
          <w:tcPr>
            <w:tcW w:w="1706" w:type="dxa"/>
            <w:tcBorders>
              <w:top w:val="single" w:sz="4" w:space="0" w:color="auto"/>
              <w:left w:val="nil"/>
              <w:bottom w:val="single" w:sz="4" w:space="0" w:color="auto"/>
              <w:right w:val="single" w:sz="4" w:space="0" w:color="auto"/>
            </w:tcBorders>
            <w:shd w:val="clear" w:color="000000" w:fill="FFFFFF"/>
            <w:vAlign w:val="center"/>
            <w:hideMark/>
          </w:tcPr>
          <w:p w14:paraId="011C2FD9" w14:textId="77777777" w:rsidR="00841ED3" w:rsidRPr="0005669B" w:rsidRDefault="00841ED3" w:rsidP="00841ED3">
            <w:pPr>
              <w:rPr>
                <w:b/>
                <w:bCs/>
                <w:sz w:val="20"/>
                <w:szCs w:val="20"/>
              </w:rPr>
            </w:pPr>
            <w:r w:rsidRPr="0005669B">
              <w:rPr>
                <w:b/>
                <w:bCs/>
                <w:sz w:val="20"/>
                <w:szCs w:val="20"/>
              </w:rPr>
              <w:t>Rank</w:t>
            </w:r>
          </w:p>
        </w:tc>
      </w:tr>
      <w:tr w:rsidR="006C77C4" w:rsidRPr="0005669B" w14:paraId="40554230" w14:textId="77777777" w:rsidTr="00F14CAD">
        <w:trPr>
          <w:trHeight w:val="50"/>
          <w:jc w:val="center"/>
        </w:trPr>
        <w:tc>
          <w:tcPr>
            <w:tcW w:w="442" w:type="dxa"/>
            <w:tcBorders>
              <w:top w:val="nil"/>
              <w:left w:val="single" w:sz="4" w:space="0" w:color="auto"/>
              <w:bottom w:val="single" w:sz="4" w:space="0" w:color="auto"/>
              <w:right w:val="single" w:sz="4" w:space="0" w:color="auto"/>
            </w:tcBorders>
            <w:vAlign w:val="center"/>
            <w:hideMark/>
          </w:tcPr>
          <w:p w14:paraId="6C7F4BD7" w14:textId="77777777" w:rsidR="006C77C4" w:rsidRPr="0005669B" w:rsidRDefault="006C77C4" w:rsidP="006C77C4">
            <w:pPr>
              <w:jc w:val="right"/>
              <w:rPr>
                <w:color w:val="000000"/>
                <w:sz w:val="20"/>
                <w:szCs w:val="20"/>
              </w:rPr>
            </w:pPr>
            <w:r w:rsidRPr="0005669B">
              <w:rPr>
                <w:color w:val="000000"/>
                <w:sz w:val="20"/>
                <w:szCs w:val="20"/>
              </w:rPr>
              <w:t>1</w:t>
            </w:r>
          </w:p>
        </w:tc>
        <w:tc>
          <w:tcPr>
            <w:tcW w:w="3522" w:type="dxa"/>
            <w:tcBorders>
              <w:top w:val="nil"/>
              <w:left w:val="nil"/>
              <w:bottom w:val="single" w:sz="4" w:space="0" w:color="auto"/>
              <w:right w:val="single" w:sz="4" w:space="0" w:color="auto"/>
            </w:tcBorders>
            <w:vAlign w:val="center"/>
            <w:hideMark/>
          </w:tcPr>
          <w:p w14:paraId="6A8D673C" w14:textId="05AC3313" w:rsidR="006C77C4" w:rsidRPr="0005669B" w:rsidRDefault="007A3CEC" w:rsidP="006C77C4">
            <w:pPr>
              <w:rPr>
                <w:color w:val="000000"/>
                <w:sz w:val="20"/>
                <w:szCs w:val="20"/>
              </w:rPr>
            </w:pPr>
            <w:r w:rsidRPr="0005669B">
              <w:rPr>
                <w:color w:val="000000"/>
                <w:sz w:val="20"/>
                <w:szCs w:val="20"/>
              </w:rPr>
              <w:fldChar w:fldCharType="begin"/>
            </w:r>
            <w:r w:rsidR="0005669B" w:rsidRPr="0005669B">
              <w:rPr>
                <w:color w:val="000000"/>
                <w:sz w:val="20"/>
                <w:szCs w:val="20"/>
              </w:rPr>
              <w:instrText xml:space="preserve"> ADDIN EN.CITE &lt;EndNote&gt;&lt;Cite AuthorYear="1"&gt;&lt;Author&gt;Bani Atta&lt;/Author&gt;&lt;Year&gt;2025&lt;/Year&gt;&lt;RecNum&gt;67&lt;/RecNum&gt;&lt;DisplayText&gt;Bani Atta&lt;style face="superscript"&gt;26&lt;/style&gt;&lt;/DisplayText&gt;&lt;record&gt;&lt;rec-number&gt;67&lt;/rec-number&gt;&lt;foreign-keys&gt;&lt;key app="EN" db-id="wapx0v0s4rw2r6esw9dpwpd1wwvx05v0920r" timestamp="1769480966"&gt;67&lt;/key&gt;&lt;/foreign-keys&gt;&lt;ref-type name="Journal Article"&gt;17&lt;/ref-type&gt;&lt;contributors&gt;&lt;authors&gt;&lt;author&gt;Bani Atta, Anas Ahmad&lt;/author&gt;&lt;/authors&gt;&lt;/contributors&gt;&lt;titles&gt;&lt;title&gt;Adoption of fintech products through environmental regulations in Jordanian commercial banks&lt;/title&gt;&lt;secondary-title&gt;Journal of Financial Reporting and Accounting&lt;/secondary-title&gt;&lt;/titles&gt;&lt;periodical&gt;&lt;full-title&gt;Journal of Financial Reporting and Accounting&lt;/full-title&gt;&lt;/periodical&gt;&lt;pages&gt;536-549&lt;/pages&gt;&lt;volume&gt;23&lt;/volume&gt;&lt;number&gt;2&lt;/number&gt;&lt;dates&gt;&lt;year&gt;2025&lt;/year&gt;&lt;/dates&gt;&lt;isbn&gt;1985-2517&lt;/isbn&gt;&lt;urls&gt;&lt;/urls&gt;&lt;/record&gt;&lt;/Cite&gt;&lt;/EndNote&gt;</w:instrText>
            </w:r>
            <w:r w:rsidRPr="0005669B">
              <w:rPr>
                <w:color w:val="000000"/>
                <w:sz w:val="20"/>
                <w:szCs w:val="20"/>
              </w:rPr>
              <w:fldChar w:fldCharType="separate"/>
            </w:r>
            <w:r w:rsidR="0005669B" w:rsidRPr="0005669B">
              <w:rPr>
                <w:noProof/>
                <w:color w:val="000000"/>
                <w:sz w:val="20"/>
                <w:szCs w:val="20"/>
              </w:rPr>
              <w:t>Bani Atta</w:t>
            </w:r>
            <w:r w:rsidR="0005669B" w:rsidRPr="0005669B">
              <w:rPr>
                <w:noProof/>
                <w:color w:val="000000"/>
                <w:sz w:val="20"/>
                <w:szCs w:val="20"/>
                <w:vertAlign w:val="superscript"/>
              </w:rPr>
              <w:t>26</w:t>
            </w:r>
            <w:r w:rsidRPr="0005669B">
              <w:rPr>
                <w:color w:val="000000"/>
                <w:sz w:val="20"/>
                <w:szCs w:val="20"/>
              </w:rPr>
              <w:fldChar w:fldCharType="end"/>
            </w:r>
          </w:p>
        </w:tc>
        <w:tc>
          <w:tcPr>
            <w:tcW w:w="1985" w:type="dxa"/>
            <w:tcBorders>
              <w:top w:val="nil"/>
              <w:left w:val="nil"/>
              <w:bottom w:val="single" w:sz="4" w:space="0" w:color="auto"/>
              <w:right w:val="single" w:sz="4" w:space="0" w:color="auto"/>
            </w:tcBorders>
            <w:vAlign w:val="center"/>
            <w:hideMark/>
          </w:tcPr>
          <w:p w14:paraId="4DBE4F39" w14:textId="77777777" w:rsidR="006C77C4" w:rsidRPr="0005669B" w:rsidRDefault="006C77C4" w:rsidP="006C77C4">
            <w:pPr>
              <w:rPr>
                <w:color w:val="000000"/>
                <w:sz w:val="20"/>
                <w:szCs w:val="20"/>
              </w:rPr>
            </w:pPr>
            <w:r w:rsidRPr="0005669B">
              <w:rPr>
                <w:color w:val="000000"/>
                <w:sz w:val="20"/>
                <w:szCs w:val="20"/>
              </w:rPr>
              <w:t>Jordan</w:t>
            </w:r>
          </w:p>
        </w:tc>
        <w:tc>
          <w:tcPr>
            <w:tcW w:w="924" w:type="dxa"/>
            <w:tcBorders>
              <w:top w:val="nil"/>
              <w:left w:val="nil"/>
              <w:bottom w:val="single" w:sz="4" w:space="0" w:color="auto"/>
              <w:right w:val="single" w:sz="4" w:space="0" w:color="auto"/>
            </w:tcBorders>
            <w:shd w:val="clear" w:color="000000" w:fill="FFFFFF"/>
            <w:noWrap/>
            <w:vAlign w:val="center"/>
            <w:hideMark/>
          </w:tcPr>
          <w:p w14:paraId="1C3BB37D" w14:textId="53C9CEEC" w:rsidR="006C77C4" w:rsidRPr="0005669B" w:rsidRDefault="006C77C4" w:rsidP="006C77C4">
            <w:pPr>
              <w:jc w:val="center"/>
              <w:rPr>
                <w:color w:val="000000"/>
                <w:sz w:val="20"/>
                <w:szCs w:val="20"/>
              </w:rPr>
            </w:pPr>
            <w:r w:rsidRPr="0005669B">
              <w:rPr>
                <w:color w:val="000000"/>
                <w:sz w:val="20"/>
                <w:szCs w:val="20"/>
              </w:rPr>
              <w:t>26</w:t>
            </w:r>
          </w:p>
        </w:tc>
        <w:tc>
          <w:tcPr>
            <w:tcW w:w="777" w:type="dxa"/>
            <w:tcBorders>
              <w:top w:val="nil"/>
              <w:left w:val="nil"/>
              <w:bottom w:val="single" w:sz="4" w:space="0" w:color="auto"/>
              <w:right w:val="single" w:sz="4" w:space="0" w:color="auto"/>
            </w:tcBorders>
            <w:shd w:val="clear" w:color="000000" w:fill="FFFFFF"/>
            <w:noWrap/>
            <w:vAlign w:val="center"/>
            <w:hideMark/>
          </w:tcPr>
          <w:p w14:paraId="396182D9" w14:textId="61929330" w:rsidR="006C77C4" w:rsidRPr="0005669B" w:rsidRDefault="006C77C4" w:rsidP="006C77C4">
            <w:pPr>
              <w:jc w:val="center"/>
              <w:rPr>
                <w:color w:val="000000"/>
                <w:sz w:val="20"/>
                <w:szCs w:val="20"/>
                <w:lang w:val="en-US"/>
              </w:rPr>
            </w:pPr>
            <w:r w:rsidRPr="0005669B">
              <w:rPr>
                <w:color w:val="000000"/>
                <w:sz w:val="20"/>
                <w:szCs w:val="20"/>
              </w:rPr>
              <w:t>202</w:t>
            </w:r>
            <w:r w:rsidR="00FD4568" w:rsidRPr="0005669B">
              <w:rPr>
                <w:color w:val="000000"/>
                <w:sz w:val="20"/>
                <w:szCs w:val="20"/>
                <w:lang w:val="en-US"/>
              </w:rPr>
              <w:t>5</w:t>
            </w:r>
          </w:p>
        </w:tc>
        <w:tc>
          <w:tcPr>
            <w:tcW w:w="1706" w:type="dxa"/>
            <w:tcBorders>
              <w:top w:val="nil"/>
              <w:left w:val="nil"/>
              <w:bottom w:val="single" w:sz="4" w:space="0" w:color="auto"/>
              <w:right w:val="single" w:sz="4" w:space="0" w:color="auto"/>
            </w:tcBorders>
            <w:shd w:val="clear" w:color="000000" w:fill="FFFFFF"/>
            <w:noWrap/>
            <w:hideMark/>
          </w:tcPr>
          <w:p w14:paraId="6CE5A0C3" w14:textId="08754B64" w:rsidR="006C77C4" w:rsidRPr="0005669B" w:rsidRDefault="006C77C4" w:rsidP="006C77C4">
            <w:pPr>
              <w:rPr>
                <w:color w:val="000000"/>
                <w:sz w:val="20"/>
                <w:szCs w:val="20"/>
              </w:rPr>
            </w:pPr>
            <w:r w:rsidRPr="0005669B">
              <w:rPr>
                <w:sz w:val="20"/>
                <w:szCs w:val="20"/>
              </w:rPr>
              <w:t>ESCI/Q1</w:t>
            </w:r>
          </w:p>
        </w:tc>
      </w:tr>
      <w:tr w:rsidR="006C77C4" w:rsidRPr="0005669B" w14:paraId="401D9DDA" w14:textId="77777777" w:rsidTr="00F14CAD">
        <w:trPr>
          <w:trHeight w:val="50"/>
          <w:jc w:val="center"/>
        </w:trPr>
        <w:tc>
          <w:tcPr>
            <w:tcW w:w="442" w:type="dxa"/>
            <w:tcBorders>
              <w:top w:val="nil"/>
              <w:left w:val="single" w:sz="4" w:space="0" w:color="auto"/>
              <w:bottom w:val="single" w:sz="4" w:space="0" w:color="auto"/>
              <w:right w:val="single" w:sz="4" w:space="0" w:color="auto"/>
            </w:tcBorders>
            <w:vAlign w:val="center"/>
            <w:hideMark/>
          </w:tcPr>
          <w:p w14:paraId="21D91444" w14:textId="77777777" w:rsidR="006C77C4" w:rsidRPr="0005669B" w:rsidRDefault="006C77C4" w:rsidP="006C77C4">
            <w:pPr>
              <w:jc w:val="right"/>
              <w:rPr>
                <w:color w:val="000000"/>
                <w:sz w:val="20"/>
                <w:szCs w:val="20"/>
              </w:rPr>
            </w:pPr>
            <w:r w:rsidRPr="0005669B">
              <w:rPr>
                <w:color w:val="000000"/>
                <w:sz w:val="20"/>
                <w:szCs w:val="20"/>
              </w:rPr>
              <w:t>2</w:t>
            </w:r>
          </w:p>
        </w:tc>
        <w:tc>
          <w:tcPr>
            <w:tcW w:w="3522" w:type="dxa"/>
            <w:tcBorders>
              <w:top w:val="nil"/>
              <w:left w:val="nil"/>
              <w:bottom w:val="single" w:sz="4" w:space="0" w:color="auto"/>
              <w:right w:val="single" w:sz="4" w:space="0" w:color="auto"/>
            </w:tcBorders>
            <w:vAlign w:val="center"/>
            <w:hideMark/>
          </w:tcPr>
          <w:p w14:paraId="1FEB2C9A" w14:textId="6F582779" w:rsidR="006C77C4" w:rsidRPr="0005669B" w:rsidRDefault="00FD4568" w:rsidP="006C77C4">
            <w:pPr>
              <w:rPr>
                <w:color w:val="000000"/>
                <w:sz w:val="20"/>
                <w:szCs w:val="20"/>
              </w:rPr>
            </w:pPr>
            <w:r w:rsidRPr="0005669B">
              <w:rPr>
                <w:color w:val="000000"/>
                <w:sz w:val="20"/>
                <w:szCs w:val="20"/>
              </w:rPr>
              <w:fldChar w:fldCharType="begin"/>
            </w:r>
            <w:r w:rsidR="0005669B" w:rsidRPr="0005669B">
              <w:rPr>
                <w:color w:val="000000"/>
                <w:sz w:val="20"/>
                <w:szCs w:val="20"/>
              </w:rPr>
              <w:instrText xml:space="preserve"> ADDIN EN.CITE &lt;EndNote&gt;&lt;Cite AuthorYear="1"&gt;&lt;Author&gt;Alzghoul&lt;/Author&gt;&lt;Year&gt;2024&lt;/Year&gt;&lt;RecNum&gt;68&lt;/RecNum&gt;&lt;DisplayText&gt;Alzghoul and Al-kasasbeh&lt;style face="superscript"&gt;27&lt;/style&gt;&lt;/DisplayText&gt;&lt;record&gt;&lt;rec-number&gt;68&lt;/rec-number&gt;&lt;foreign-keys&gt;&lt;key app="EN" db-id="wapx0v0s4rw2r6esw9dpwpd1wwvx05v0920r" timestamp="1769481095"&gt;68&lt;/key&gt;&lt;/foreign-keys&gt;&lt;ref-type name="Journal Article"&gt;17&lt;/ref-type&gt;&lt;contributors&gt;&lt;authors&gt;&lt;author&gt;Alzghoul, Amro&lt;/author&gt;&lt;author&gt;Al-kasasbeh, Omar&lt;/author&gt;&lt;/authors&gt;&lt;/contributors&gt;&lt;titles&gt;&lt;title&gt;The moderating role of information technology infrastructure in the relationship between fintech adoption and organizational competitiveness&lt;/title&gt;&lt;secondary-title&gt;Investment Management &amp;amp; Financial Innovations&lt;/secondary-title&gt;&lt;/titles&gt;&lt;periodical&gt;&lt;full-title&gt;Investment Management &amp;amp; Financial Innovations&lt;/full-title&gt;&lt;/periodical&gt;&lt;pages&gt;155&lt;/pages&gt;&lt;volume&gt;21&lt;/volume&gt;&lt;number&gt;2&lt;/number&gt;&lt;dates&gt;&lt;year&gt;2024&lt;/year&gt;&lt;/dates&gt;&lt;isbn&gt;1810-4967&lt;/isbn&gt;&lt;urls&gt;&lt;/urls&gt;&lt;/record&gt;&lt;/Cite&gt;&lt;/EndNote&gt;</w:instrText>
            </w:r>
            <w:r w:rsidRPr="0005669B">
              <w:rPr>
                <w:color w:val="000000"/>
                <w:sz w:val="20"/>
                <w:szCs w:val="20"/>
              </w:rPr>
              <w:fldChar w:fldCharType="separate"/>
            </w:r>
            <w:r w:rsidR="0005669B" w:rsidRPr="0005669B">
              <w:rPr>
                <w:noProof/>
                <w:color w:val="000000"/>
                <w:sz w:val="20"/>
                <w:szCs w:val="20"/>
              </w:rPr>
              <w:t>Alzghoul and Al-kasasbeh</w:t>
            </w:r>
            <w:r w:rsidR="0005669B" w:rsidRPr="0005669B">
              <w:rPr>
                <w:noProof/>
                <w:color w:val="000000"/>
                <w:sz w:val="20"/>
                <w:szCs w:val="20"/>
                <w:vertAlign w:val="superscript"/>
              </w:rPr>
              <w:t>27</w:t>
            </w:r>
            <w:r w:rsidRPr="0005669B">
              <w:rPr>
                <w:color w:val="000000"/>
                <w:sz w:val="20"/>
                <w:szCs w:val="20"/>
              </w:rPr>
              <w:fldChar w:fldCharType="end"/>
            </w:r>
          </w:p>
        </w:tc>
        <w:tc>
          <w:tcPr>
            <w:tcW w:w="1985" w:type="dxa"/>
            <w:tcBorders>
              <w:top w:val="nil"/>
              <w:left w:val="nil"/>
              <w:bottom w:val="single" w:sz="4" w:space="0" w:color="auto"/>
              <w:right w:val="single" w:sz="4" w:space="0" w:color="auto"/>
            </w:tcBorders>
            <w:vAlign w:val="center"/>
            <w:hideMark/>
          </w:tcPr>
          <w:p w14:paraId="1C1AD6C1" w14:textId="77777777" w:rsidR="006C77C4" w:rsidRPr="0005669B" w:rsidRDefault="006C77C4" w:rsidP="006C77C4">
            <w:pPr>
              <w:rPr>
                <w:color w:val="000000"/>
                <w:sz w:val="20"/>
                <w:szCs w:val="20"/>
              </w:rPr>
            </w:pPr>
            <w:r w:rsidRPr="0005669B">
              <w:rPr>
                <w:color w:val="000000"/>
                <w:sz w:val="20"/>
                <w:szCs w:val="20"/>
              </w:rPr>
              <w:t xml:space="preserve">Jordan </w:t>
            </w:r>
          </w:p>
        </w:tc>
        <w:tc>
          <w:tcPr>
            <w:tcW w:w="924" w:type="dxa"/>
            <w:tcBorders>
              <w:top w:val="nil"/>
              <w:left w:val="nil"/>
              <w:bottom w:val="single" w:sz="4" w:space="0" w:color="auto"/>
              <w:right w:val="single" w:sz="4" w:space="0" w:color="auto"/>
            </w:tcBorders>
            <w:shd w:val="clear" w:color="000000" w:fill="FFFFFF"/>
            <w:noWrap/>
            <w:vAlign w:val="center"/>
            <w:hideMark/>
          </w:tcPr>
          <w:p w14:paraId="35A97076" w14:textId="1ADE2326" w:rsidR="006C77C4" w:rsidRPr="0005669B" w:rsidRDefault="006C77C4" w:rsidP="006C77C4">
            <w:pPr>
              <w:jc w:val="center"/>
              <w:rPr>
                <w:color w:val="000000"/>
                <w:sz w:val="20"/>
                <w:szCs w:val="20"/>
              </w:rPr>
            </w:pPr>
            <w:r w:rsidRPr="0005669B">
              <w:rPr>
                <w:color w:val="000000"/>
                <w:sz w:val="20"/>
                <w:szCs w:val="20"/>
              </w:rPr>
              <w:t>13</w:t>
            </w:r>
          </w:p>
        </w:tc>
        <w:tc>
          <w:tcPr>
            <w:tcW w:w="777" w:type="dxa"/>
            <w:tcBorders>
              <w:top w:val="nil"/>
              <w:left w:val="nil"/>
              <w:bottom w:val="single" w:sz="4" w:space="0" w:color="auto"/>
              <w:right w:val="single" w:sz="4" w:space="0" w:color="auto"/>
            </w:tcBorders>
            <w:shd w:val="clear" w:color="000000" w:fill="FFFFFF"/>
            <w:noWrap/>
            <w:vAlign w:val="center"/>
            <w:hideMark/>
          </w:tcPr>
          <w:p w14:paraId="404C4106" w14:textId="77777777" w:rsidR="006C77C4" w:rsidRPr="0005669B" w:rsidRDefault="006C77C4" w:rsidP="006C77C4">
            <w:pPr>
              <w:jc w:val="center"/>
              <w:rPr>
                <w:color w:val="000000"/>
                <w:sz w:val="20"/>
                <w:szCs w:val="20"/>
              </w:rPr>
            </w:pPr>
            <w:r w:rsidRPr="0005669B">
              <w:rPr>
                <w:color w:val="000000"/>
                <w:sz w:val="20"/>
                <w:szCs w:val="20"/>
              </w:rPr>
              <w:t>2024</w:t>
            </w:r>
          </w:p>
        </w:tc>
        <w:tc>
          <w:tcPr>
            <w:tcW w:w="1706" w:type="dxa"/>
            <w:tcBorders>
              <w:top w:val="nil"/>
              <w:left w:val="nil"/>
              <w:bottom w:val="single" w:sz="4" w:space="0" w:color="auto"/>
              <w:right w:val="single" w:sz="4" w:space="0" w:color="auto"/>
            </w:tcBorders>
            <w:shd w:val="clear" w:color="000000" w:fill="FFFFFF"/>
            <w:noWrap/>
            <w:hideMark/>
          </w:tcPr>
          <w:p w14:paraId="48675B12" w14:textId="40D67014" w:rsidR="006C77C4" w:rsidRPr="0005669B" w:rsidRDefault="006C77C4" w:rsidP="006C77C4">
            <w:pPr>
              <w:rPr>
                <w:color w:val="000000"/>
                <w:sz w:val="20"/>
                <w:szCs w:val="20"/>
              </w:rPr>
            </w:pPr>
            <w:r w:rsidRPr="0005669B">
              <w:rPr>
                <w:sz w:val="20"/>
                <w:szCs w:val="20"/>
              </w:rPr>
              <w:t>Scopus/Q3</w:t>
            </w:r>
          </w:p>
        </w:tc>
      </w:tr>
      <w:tr w:rsidR="006C77C4" w:rsidRPr="0005669B" w14:paraId="11BC5DA6" w14:textId="77777777" w:rsidTr="00F14CAD">
        <w:trPr>
          <w:trHeight w:val="80"/>
          <w:jc w:val="center"/>
        </w:trPr>
        <w:tc>
          <w:tcPr>
            <w:tcW w:w="442" w:type="dxa"/>
            <w:tcBorders>
              <w:top w:val="nil"/>
              <w:left w:val="single" w:sz="4" w:space="0" w:color="auto"/>
              <w:bottom w:val="single" w:sz="4" w:space="0" w:color="auto"/>
              <w:right w:val="single" w:sz="4" w:space="0" w:color="auto"/>
            </w:tcBorders>
            <w:vAlign w:val="center"/>
            <w:hideMark/>
          </w:tcPr>
          <w:p w14:paraId="4B3D85A4" w14:textId="77777777" w:rsidR="006C77C4" w:rsidRPr="0005669B" w:rsidRDefault="006C77C4" w:rsidP="006C77C4">
            <w:pPr>
              <w:jc w:val="right"/>
              <w:rPr>
                <w:color w:val="000000"/>
                <w:sz w:val="20"/>
                <w:szCs w:val="20"/>
              </w:rPr>
            </w:pPr>
            <w:r w:rsidRPr="0005669B">
              <w:rPr>
                <w:color w:val="000000"/>
                <w:sz w:val="20"/>
                <w:szCs w:val="20"/>
              </w:rPr>
              <w:t>3</w:t>
            </w:r>
          </w:p>
        </w:tc>
        <w:tc>
          <w:tcPr>
            <w:tcW w:w="3522" w:type="dxa"/>
            <w:tcBorders>
              <w:top w:val="nil"/>
              <w:left w:val="nil"/>
              <w:bottom w:val="single" w:sz="4" w:space="0" w:color="auto"/>
              <w:right w:val="single" w:sz="4" w:space="0" w:color="auto"/>
            </w:tcBorders>
            <w:vAlign w:val="center"/>
            <w:hideMark/>
          </w:tcPr>
          <w:p w14:paraId="123CCF6E" w14:textId="346FFBDA" w:rsidR="006C77C4" w:rsidRPr="0005669B" w:rsidRDefault="006159FC" w:rsidP="006C77C4">
            <w:pPr>
              <w:rPr>
                <w:color w:val="000000"/>
                <w:sz w:val="20"/>
                <w:szCs w:val="20"/>
              </w:rPr>
            </w:pPr>
            <w:r w:rsidRPr="0005669B">
              <w:rPr>
                <w:color w:val="000000"/>
                <w:sz w:val="20"/>
                <w:szCs w:val="20"/>
              </w:rPr>
              <w:fldChar w:fldCharType="begin"/>
            </w:r>
            <w:r w:rsidR="0005669B" w:rsidRPr="0005669B">
              <w:rPr>
                <w:color w:val="000000"/>
                <w:sz w:val="20"/>
                <w:szCs w:val="20"/>
              </w:rPr>
              <w:instrText xml:space="preserve"> ADDIN EN.CITE &lt;EndNote&gt;&lt;Cite AuthorYear="1"&gt;&lt;Author&gt;Albuainain&lt;/Author&gt;&lt;Year&gt;2025&lt;/Year&gt;&lt;RecNum&gt;69&lt;/RecNum&gt;&lt;DisplayText&gt;Albuainain and Ashby&lt;style face="superscript"&gt;28&lt;/style&gt;&lt;/DisplayText&gt;&lt;record&gt;&lt;rec-number&gt;69&lt;/rec-number&gt;&lt;foreign-keys&gt;&lt;key app="EN" db-id="wapx0v0s4rw2r6esw9dpwpd1wwvx05v0920r" timestamp="1769481149"&gt;69&lt;/key&gt;&lt;/foreign-keys&gt;&lt;ref-type name="Journal Article"&gt;17&lt;/ref-type&gt;&lt;contributors&gt;&lt;authors&gt;&lt;author&gt;Albuainain, Amna&lt;/author&gt;&lt;author&gt;Ashby, Simon&lt;/author&gt;&lt;/authors&gt;&lt;/contributors&gt;&lt;titles&gt;&lt;title&gt;Enablers and barriers in FinTech adoption: A systematic literature review of customer adoption and its impact on bank performance&lt;/title&gt;&lt;secondary-title&gt;FinTech&lt;/secondary-title&gt;&lt;/titles&gt;&lt;periodical&gt;&lt;full-title&gt;FinTech&lt;/full-title&gt;&lt;/periodical&gt;&lt;pages&gt;49&lt;/pages&gt;&lt;volume&gt;4&lt;/volume&gt;&lt;number&gt;3&lt;/number&gt;&lt;dates&gt;&lt;year&gt;2025&lt;/year&gt;&lt;/dates&gt;&lt;isbn&gt;2674-1032&lt;/isbn&gt;&lt;urls&gt;&lt;/urls&gt;&lt;/record&gt;&lt;/Cite&gt;&lt;/EndNote&gt;</w:instrText>
            </w:r>
            <w:r w:rsidRPr="0005669B">
              <w:rPr>
                <w:color w:val="000000"/>
                <w:sz w:val="20"/>
                <w:szCs w:val="20"/>
              </w:rPr>
              <w:fldChar w:fldCharType="separate"/>
            </w:r>
            <w:r w:rsidR="0005669B" w:rsidRPr="0005669B">
              <w:rPr>
                <w:noProof/>
                <w:color w:val="000000"/>
                <w:sz w:val="20"/>
                <w:szCs w:val="20"/>
              </w:rPr>
              <w:t>Albuainain and Ashby</w:t>
            </w:r>
            <w:r w:rsidR="0005669B" w:rsidRPr="0005669B">
              <w:rPr>
                <w:noProof/>
                <w:color w:val="000000"/>
                <w:sz w:val="20"/>
                <w:szCs w:val="20"/>
                <w:vertAlign w:val="superscript"/>
              </w:rPr>
              <w:t>28</w:t>
            </w:r>
            <w:r w:rsidRPr="0005669B">
              <w:rPr>
                <w:color w:val="000000"/>
                <w:sz w:val="20"/>
                <w:szCs w:val="20"/>
              </w:rPr>
              <w:fldChar w:fldCharType="end"/>
            </w:r>
          </w:p>
        </w:tc>
        <w:tc>
          <w:tcPr>
            <w:tcW w:w="1985" w:type="dxa"/>
            <w:tcBorders>
              <w:top w:val="nil"/>
              <w:left w:val="nil"/>
              <w:bottom w:val="single" w:sz="4" w:space="0" w:color="auto"/>
              <w:right w:val="single" w:sz="4" w:space="0" w:color="auto"/>
            </w:tcBorders>
            <w:vAlign w:val="center"/>
            <w:hideMark/>
          </w:tcPr>
          <w:p w14:paraId="41EE6330" w14:textId="77777777" w:rsidR="006C77C4" w:rsidRPr="0005669B" w:rsidRDefault="006C77C4" w:rsidP="006C77C4">
            <w:pPr>
              <w:rPr>
                <w:color w:val="000000"/>
                <w:sz w:val="20"/>
                <w:szCs w:val="20"/>
              </w:rPr>
            </w:pPr>
            <w:r w:rsidRPr="0005669B">
              <w:rPr>
                <w:color w:val="000000"/>
                <w:sz w:val="20"/>
                <w:szCs w:val="20"/>
              </w:rPr>
              <w:t xml:space="preserve">systematic review </w:t>
            </w:r>
          </w:p>
        </w:tc>
        <w:tc>
          <w:tcPr>
            <w:tcW w:w="924" w:type="dxa"/>
            <w:tcBorders>
              <w:top w:val="nil"/>
              <w:left w:val="nil"/>
              <w:bottom w:val="single" w:sz="4" w:space="0" w:color="auto"/>
              <w:right w:val="single" w:sz="4" w:space="0" w:color="auto"/>
            </w:tcBorders>
            <w:shd w:val="clear" w:color="000000" w:fill="FFFFFF"/>
            <w:noWrap/>
            <w:vAlign w:val="center"/>
            <w:hideMark/>
          </w:tcPr>
          <w:p w14:paraId="08FCA9B9" w14:textId="61FC0A57" w:rsidR="006C77C4" w:rsidRPr="0005669B" w:rsidRDefault="006C77C4" w:rsidP="006C77C4">
            <w:pPr>
              <w:jc w:val="center"/>
              <w:rPr>
                <w:color w:val="000000"/>
                <w:sz w:val="20"/>
                <w:szCs w:val="20"/>
              </w:rPr>
            </w:pPr>
            <w:r w:rsidRPr="0005669B">
              <w:rPr>
                <w:color w:val="000000"/>
                <w:sz w:val="20"/>
                <w:szCs w:val="20"/>
              </w:rPr>
              <w:t>3</w:t>
            </w:r>
          </w:p>
        </w:tc>
        <w:tc>
          <w:tcPr>
            <w:tcW w:w="777" w:type="dxa"/>
            <w:tcBorders>
              <w:top w:val="nil"/>
              <w:left w:val="nil"/>
              <w:bottom w:val="single" w:sz="4" w:space="0" w:color="auto"/>
              <w:right w:val="single" w:sz="4" w:space="0" w:color="auto"/>
            </w:tcBorders>
            <w:shd w:val="clear" w:color="000000" w:fill="FFFFFF"/>
            <w:noWrap/>
            <w:vAlign w:val="center"/>
            <w:hideMark/>
          </w:tcPr>
          <w:p w14:paraId="6007C9E3" w14:textId="77777777" w:rsidR="006C77C4" w:rsidRPr="0005669B" w:rsidRDefault="006C77C4" w:rsidP="006C77C4">
            <w:pPr>
              <w:jc w:val="center"/>
              <w:rPr>
                <w:color w:val="000000"/>
                <w:sz w:val="20"/>
                <w:szCs w:val="20"/>
              </w:rPr>
            </w:pPr>
            <w:r w:rsidRPr="0005669B">
              <w:rPr>
                <w:color w:val="000000"/>
                <w:sz w:val="20"/>
                <w:szCs w:val="20"/>
              </w:rPr>
              <w:t>2025</w:t>
            </w:r>
          </w:p>
        </w:tc>
        <w:tc>
          <w:tcPr>
            <w:tcW w:w="1706" w:type="dxa"/>
            <w:tcBorders>
              <w:top w:val="nil"/>
              <w:left w:val="nil"/>
              <w:bottom w:val="single" w:sz="4" w:space="0" w:color="auto"/>
              <w:right w:val="single" w:sz="4" w:space="0" w:color="auto"/>
            </w:tcBorders>
            <w:shd w:val="clear" w:color="000000" w:fill="FFFFFF"/>
            <w:noWrap/>
            <w:hideMark/>
          </w:tcPr>
          <w:p w14:paraId="25D905B3" w14:textId="12BAA69F" w:rsidR="006C77C4" w:rsidRPr="0005669B" w:rsidRDefault="006C77C4" w:rsidP="006C77C4">
            <w:pPr>
              <w:rPr>
                <w:color w:val="000000"/>
                <w:sz w:val="20"/>
                <w:szCs w:val="20"/>
              </w:rPr>
            </w:pPr>
            <w:r w:rsidRPr="0005669B">
              <w:rPr>
                <w:sz w:val="20"/>
                <w:szCs w:val="20"/>
              </w:rPr>
              <w:t>ESCI/Q2</w:t>
            </w:r>
          </w:p>
        </w:tc>
      </w:tr>
      <w:tr w:rsidR="006C77C4" w:rsidRPr="0005669B" w14:paraId="51705DA0" w14:textId="77777777" w:rsidTr="00F14CAD">
        <w:trPr>
          <w:trHeight w:val="50"/>
          <w:jc w:val="center"/>
        </w:trPr>
        <w:tc>
          <w:tcPr>
            <w:tcW w:w="442" w:type="dxa"/>
            <w:tcBorders>
              <w:top w:val="nil"/>
              <w:left w:val="single" w:sz="4" w:space="0" w:color="auto"/>
              <w:bottom w:val="single" w:sz="4" w:space="0" w:color="auto"/>
              <w:right w:val="single" w:sz="4" w:space="0" w:color="auto"/>
            </w:tcBorders>
            <w:vAlign w:val="center"/>
            <w:hideMark/>
          </w:tcPr>
          <w:p w14:paraId="026176EF" w14:textId="77777777" w:rsidR="006C77C4" w:rsidRPr="0005669B" w:rsidRDefault="006C77C4" w:rsidP="006C77C4">
            <w:pPr>
              <w:jc w:val="right"/>
              <w:rPr>
                <w:color w:val="000000"/>
                <w:sz w:val="20"/>
                <w:szCs w:val="20"/>
              </w:rPr>
            </w:pPr>
            <w:r w:rsidRPr="0005669B">
              <w:rPr>
                <w:color w:val="000000"/>
                <w:sz w:val="20"/>
                <w:szCs w:val="20"/>
              </w:rPr>
              <w:t>4</w:t>
            </w:r>
          </w:p>
        </w:tc>
        <w:tc>
          <w:tcPr>
            <w:tcW w:w="3522" w:type="dxa"/>
            <w:tcBorders>
              <w:top w:val="nil"/>
              <w:left w:val="nil"/>
              <w:bottom w:val="single" w:sz="4" w:space="0" w:color="auto"/>
              <w:right w:val="single" w:sz="4" w:space="0" w:color="auto"/>
            </w:tcBorders>
            <w:vAlign w:val="center"/>
            <w:hideMark/>
          </w:tcPr>
          <w:p w14:paraId="701C6931" w14:textId="3D10F69A" w:rsidR="006C77C4" w:rsidRPr="0005669B" w:rsidRDefault="00020E3F" w:rsidP="006C77C4">
            <w:pPr>
              <w:rPr>
                <w:color w:val="000000"/>
                <w:sz w:val="20"/>
                <w:szCs w:val="20"/>
              </w:rPr>
            </w:pPr>
            <w:r w:rsidRPr="0005669B">
              <w:rPr>
                <w:color w:val="000000"/>
                <w:sz w:val="20"/>
                <w:szCs w:val="20"/>
              </w:rPr>
              <w:fldChar w:fldCharType="begin"/>
            </w:r>
            <w:r w:rsidR="0005669B" w:rsidRPr="0005669B">
              <w:rPr>
                <w:color w:val="000000"/>
                <w:sz w:val="20"/>
                <w:szCs w:val="20"/>
              </w:rPr>
              <w:instrText xml:space="preserve"> ADDIN EN.CITE &lt;EndNote&gt;&lt;Cite AuthorYear="1"&gt;&lt;Author&gt;Bian&lt;/Author&gt;&lt;Year&gt;2024&lt;/Year&gt;&lt;RecNum&gt;70&lt;/RecNum&gt;&lt;DisplayText&gt;Bian, et al.&lt;style face="superscript"&gt;29&lt;/style&gt;&lt;/DisplayText&gt;&lt;record&gt;&lt;rec-number&gt;70&lt;/rec-number&gt;&lt;foreign-keys&gt;&lt;key app="EN" db-id="wapx0v0s4rw2r6esw9dpwpd1wwvx05v0920r" timestamp="1769481205"&gt;70&lt;/key&gt;&lt;/foreign-keys&gt;&lt;ref-type name="Journal Article"&gt;17&lt;/ref-type&gt;&lt;contributors&gt;&lt;authors&gt;&lt;author&gt;Bian, Wenlong&lt;/author&gt;&lt;author&gt;Wang, Shihui&lt;/author&gt;&lt;author&gt;Xie, Xuanli&lt;/author&gt;&lt;/authors&gt;&lt;/contributors&gt;&lt;titles&gt;&lt;title&gt;How valuable is FinTech adoption for traditional banks?&lt;/title&gt;&lt;secondary-title&gt;European Financial Management&lt;/secondary-title&gt;&lt;/titles&gt;&lt;periodical&gt;&lt;full-title&gt;European Financial Management&lt;/full-title&gt;&lt;/periodical&gt;&lt;pages&gt;1065-1093&lt;/pages&gt;&lt;volume&gt;30&lt;/volume&gt;&lt;number&gt;3&lt;/number&gt;&lt;dates&gt;&lt;year&gt;2024&lt;/year&gt;&lt;/dates&gt;&lt;isbn&gt;1354-7798&lt;/isbn&gt;&lt;urls&gt;&lt;/urls&gt;&lt;/record&gt;&lt;/Cite&gt;&lt;/EndNote&gt;</w:instrText>
            </w:r>
            <w:r w:rsidRPr="0005669B">
              <w:rPr>
                <w:color w:val="000000"/>
                <w:sz w:val="20"/>
                <w:szCs w:val="20"/>
              </w:rPr>
              <w:fldChar w:fldCharType="separate"/>
            </w:r>
            <w:r w:rsidR="0005669B" w:rsidRPr="0005669B">
              <w:rPr>
                <w:noProof/>
                <w:color w:val="000000"/>
                <w:sz w:val="20"/>
                <w:szCs w:val="20"/>
              </w:rPr>
              <w:t>Bian, et al.</w:t>
            </w:r>
            <w:r w:rsidR="0005669B" w:rsidRPr="0005669B">
              <w:rPr>
                <w:noProof/>
                <w:color w:val="000000"/>
                <w:sz w:val="20"/>
                <w:szCs w:val="20"/>
                <w:vertAlign w:val="superscript"/>
              </w:rPr>
              <w:t>29</w:t>
            </w:r>
            <w:r w:rsidRPr="0005669B">
              <w:rPr>
                <w:color w:val="000000"/>
                <w:sz w:val="20"/>
                <w:szCs w:val="20"/>
              </w:rPr>
              <w:fldChar w:fldCharType="end"/>
            </w:r>
          </w:p>
        </w:tc>
        <w:tc>
          <w:tcPr>
            <w:tcW w:w="1985" w:type="dxa"/>
            <w:tcBorders>
              <w:top w:val="nil"/>
              <w:left w:val="nil"/>
              <w:bottom w:val="single" w:sz="4" w:space="0" w:color="auto"/>
              <w:right w:val="single" w:sz="4" w:space="0" w:color="auto"/>
            </w:tcBorders>
            <w:vAlign w:val="center"/>
            <w:hideMark/>
          </w:tcPr>
          <w:p w14:paraId="0CFC69C1" w14:textId="77777777" w:rsidR="006C77C4" w:rsidRPr="0005669B" w:rsidRDefault="006C77C4" w:rsidP="006C77C4">
            <w:pPr>
              <w:rPr>
                <w:color w:val="000000"/>
                <w:sz w:val="20"/>
                <w:szCs w:val="20"/>
              </w:rPr>
            </w:pPr>
            <w:r w:rsidRPr="0005669B">
              <w:rPr>
                <w:color w:val="000000"/>
                <w:sz w:val="20"/>
                <w:szCs w:val="20"/>
              </w:rPr>
              <w:t xml:space="preserve">Global </w:t>
            </w:r>
          </w:p>
        </w:tc>
        <w:tc>
          <w:tcPr>
            <w:tcW w:w="924" w:type="dxa"/>
            <w:tcBorders>
              <w:top w:val="nil"/>
              <w:left w:val="nil"/>
              <w:bottom w:val="single" w:sz="4" w:space="0" w:color="auto"/>
              <w:right w:val="single" w:sz="4" w:space="0" w:color="auto"/>
            </w:tcBorders>
            <w:shd w:val="clear" w:color="000000" w:fill="FFFFFF"/>
            <w:noWrap/>
            <w:vAlign w:val="center"/>
            <w:hideMark/>
          </w:tcPr>
          <w:p w14:paraId="07E079EE" w14:textId="4823428B" w:rsidR="006C77C4" w:rsidRPr="0005669B" w:rsidRDefault="006C77C4" w:rsidP="006C77C4">
            <w:pPr>
              <w:jc w:val="center"/>
              <w:rPr>
                <w:color w:val="000000"/>
                <w:sz w:val="20"/>
                <w:szCs w:val="20"/>
              </w:rPr>
            </w:pPr>
            <w:r w:rsidRPr="0005669B">
              <w:rPr>
                <w:color w:val="000000"/>
                <w:sz w:val="20"/>
                <w:szCs w:val="20"/>
              </w:rPr>
              <w:t>27</w:t>
            </w:r>
          </w:p>
        </w:tc>
        <w:tc>
          <w:tcPr>
            <w:tcW w:w="777" w:type="dxa"/>
            <w:tcBorders>
              <w:top w:val="nil"/>
              <w:left w:val="nil"/>
              <w:bottom w:val="single" w:sz="4" w:space="0" w:color="auto"/>
              <w:right w:val="single" w:sz="4" w:space="0" w:color="auto"/>
            </w:tcBorders>
            <w:shd w:val="clear" w:color="000000" w:fill="FFFFFF"/>
            <w:noWrap/>
            <w:vAlign w:val="center"/>
            <w:hideMark/>
          </w:tcPr>
          <w:p w14:paraId="49B256D5" w14:textId="329A8573" w:rsidR="006C77C4" w:rsidRPr="0005669B" w:rsidRDefault="006C77C4" w:rsidP="006C77C4">
            <w:pPr>
              <w:jc w:val="center"/>
              <w:rPr>
                <w:color w:val="000000"/>
                <w:sz w:val="20"/>
                <w:szCs w:val="20"/>
                <w:lang w:val="en-US"/>
              </w:rPr>
            </w:pPr>
            <w:r w:rsidRPr="0005669B">
              <w:rPr>
                <w:color w:val="000000"/>
                <w:sz w:val="20"/>
                <w:szCs w:val="20"/>
              </w:rPr>
              <w:t>202</w:t>
            </w:r>
            <w:r w:rsidR="00020E3F" w:rsidRPr="0005669B">
              <w:rPr>
                <w:color w:val="000000"/>
                <w:sz w:val="20"/>
                <w:szCs w:val="20"/>
                <w:lang w:val="en-US"/>
              </w:rPr>
              <w:t>4</w:t>
            </w:r>
          </w:p>
        </w:tc>
        <w:tc>
          <w:tcPr>
            <w:tcW w:w="1706" w:type="dxa"/>
            <w:tcBorders>
              <w:top w:val="nil"/>
              <w:left w:val="nil"/>
              <w:bottom w:val="single" w:sz="4" w:space="0" w:color="auto"/>
              <w:right w:val="single" w:sz="4" w:space="0" w:color="auto"/>
            </w:tcBorders>
            <w:shd w:val="clear" w:color="000000" w:fill="FFFFFF"/>
            <w:noWrap/>
            <w:hideMark/>
          </w:tcPr>
          <w:p w14:paraId="59BA0C22" w14:textId="40F7BA61" w:rsidR="006C77C4" w:rsidRPr="0005669B" w:rsidRDefault="006C77C4" w:rsidP="006C77C4">
            <w:pPr>
              <w:rPr>
                <w:color w:val="000000"/>
                <w:sz w:val="20"/>
                <w:szCs w:val="20"/>
              </w:rPr>
            </w:pPr>
            <w:r w:rsidRPr="0005669B">
              <w:rPr>
                <w:sz w:val="20"/>
                <w:szCs w:val="20"/>
              </w:rPr>
              <w:t>SSCI/Q1</w:t>
            </w:r>
          </w:p>
        </w:tc>
      </w:tr>
      <w:tr w:rsidR="006C77C4" w:rsidRPr="0005669B" w14:paraId="206F3398" w14:textId="77777777" w:rsidTr="00F14CAD">
        <w:trPr>
          <w:trHeight w:val="50"/>
          <w:jc w:val="center"/>
        </w:trPr>
        <w:tc>
          <w:tcPr>
            <w:tcW w:w="442" w:type="dxa"/>
            <w:tcBorders>
              <w:top w:val="nil"/>
              <w:left w:val="single" w:sz="4" w:space="0" w:color="auto"/>
              <w:bottom w:val="single" w:sz="4" w:space="0" w:color="auto"/>
              <w:right w:val="single" w:sz="4" w:space="0" w:color="auto"/>
            </w:tcBorders>
            <w:vAlign w:val="center"/>
            <w:hideMark/>
          </w:tcPr>
          <w:p w14:paraId="5EC4A4D4" w14:textId="77777777" w:rsidR="006C77C4" w:rsidRPr="0005669B" w:rsidRDefault="006C77C4" w:rsidP="006C77C4">
            <w:pPr>
              <w:jc w:val="right"/>
              <w:rPr>
                <w:color w:val="000000"/>
                <w:sz w:val="20"/>
                <w:szCs w:val="20"/>
              </w:rPr>
            </w:pPr>
            <w:r w:rsidRPr="0005669B">
              <w:rPr>
                <w:color w:val="000000"/>
                <w:sz w:val="20"/>
                <w:szCs w:val="20"/>
              </w:rPr>
              <w:t>5</w:t>
            </w:r>
          </w:p>
        </w:tc>
        <w:tc>
          <w:tcPr>
            <w:tcW w:w="3522" w:type="dxa"/>
            <w:tcBorders>
              <w:top w:val="nil"/>
              <w:left w:val="nil"/>
              <w:bottom w:val="single" w:sz="4" w:space="0" w:color="auto"/>
              <w:right w:val="single" w:sz="4" w:space="0" w:color="auto"/>
            </w:tcBorders>
            <w:vAlign w:val="center"/>
            <w:hideMark/>
          </w:tcPr>
          <w:p w14:paraId="38F453D3" w14:textId="6779CBAD" w:rsidR="006C77C4" w:rsidRPr="0005669B" w:rsidRDefault="00B619BD" w:rsidP="006C77C4">
            <w:pPr>
              <w:rPr>
                <w:color w:val="000000"/>
                <w:sz w:val="20"/>
                <w:szCs w:val="20"/>
              </w:rPr>
            </w:pPr>
            <w:r w:rsidRPr="0005669B">
              <w:rPr>
                <w:color w:val="000000"/>
                <w:sz w:val="20"/>
                <w:szCs w:val="20"/>
              </w:rPr>
              <w:fldChar w:fldCharType="begin"/>
            </w:r>
            <w:r w:rsidR="0005669B" w:rsidRPr="0005669B">
              <w:rPr>
                <w:color w:val="000000"/>
                <w:sz w:val="20"/>
                <w:szCs w:val="20"/>
              </w:rPr>
              <w:instrText xml:space="preserve"> ADDIN EN.CITE &lt;EndNote&gt;&lt;Cite AuthorYear="1"&gt;&lt;Author&gt;Al-Sharafi&lt;/Author&gt;&lt;Year&gt;2025&lt;/Year&gt;&lt;RecNum&gt;71&lt;/RecNum&gt;&lt;DisplayText&gt;Al-Sharafi, et al.&lt;style face="superscript"&gt;30&lt;/style&gt;&lt;/DisplayText&gt;&lt;record&gt;&lt;rec-number&gt;71&lt;/rec-number&gt;&lt;foreign-keys&gt;&lt;key app="EN" db-id="wapx0v0s4rw2r6esw9dpwpd1wwvx05v0920r" timestamp="1769481268"&gt;71&lt;/key&gt;&lt;/foreign-keys&gt;&lt;ref-type name="Journal Article"&gt;17&lt;/ref-type&gt;&lt;contributors&gt;&lt;authors&gt;&lt;author&gt;Al-Sharafi, Mohammed A&lt;/author&gt;&lt;author&gt;Muhammed, Ibrahim&lt;/author&gt;&lt;author&gt;Alzaeemi, Shehab&lt;/author&gt;&lt;author&gt;Albashrawi, Mousa Ahmed&lt;/author&gt;&lt;author&gt;Chae, Inyoung&lt;/author&gt;&lt;author&gt;Dwivedi, Yogesh K&lt;/author&gt;&lt;/authors&gt;&lt;/contributors&gt;&lt;titles&gt;&lt;title&gt;Factors shaping FinTech adoption: A systematic review, key determinants, theoretical insights, conceptual framework and future research directions&lt;/title&gt;&lt;secondary-title&gt;Information Discovery and Delivery&lt;/secondary-title&gt;&lt;/titles&gt;&lt;periodical&gt;&lt;full-title&gt;Information Discovery and Delivery&lt;/full-title&gt;&lt;/periodical&gt;&lt;dates&gt;&lt;year&gt;2025&lt;/year&gt;&lt;/dates&gt;&lt;isbn&gt;2398-6247&lt;/isbn&gt;&lt;urls&gt;&lt;/urls&gt;&lt;/record&gt;&lt;/Cite&gt;&lt;/EndNote&gt;</w:instrText>
            </w:r>
            <w:r w:rsidRPr="0005669B">
              <w:rPr>
                <w:color w:val="000000"/>
                <w:sz w:val="20"/>
                <w:szCs w:val="20"/>
              </w:rPr>
              <w:fldChar w:fldCharType="separate"/>
            </w:r>
            <w:r w:rsidR="0005669B" w:rsidRPr="0005669B">
              <w:rPr>
                <w:noProof/>
                <w:color w:val="000000"/>
                <w:sz w:val="20"/>
                <w:szCs w:val="20"/>
              </w:rPr>
              <w:t>Al-Sharafi, et al.</w:t>
            </w:r>
            <w:r w:rsidR="0005669B" w:rsidRPr="0005669B">
              <w:rPr>
                <w:noProof/>
                <w:color w:val="000000"/>
                <w:sz w:val="20"/>
                <w:szCs w:val="20"/>
                <w:vertAlign w:val="superscript"/>
              </w:rPr>
              <w:t>30</w:t>
            </w:r>
            <w:r w:rsidRPr="0005669B">
              <w:rPr>
                <w:color w:val="000000"/>
                <w:sz w:val="20"/>
                <w:szCs w:val="20"/>
              </w:rPr>
              <w:fldChar w:fldCharType="end"/>
            </w:r>
          </w:p>
        </w:tc>
        <w:tc>
          <w:tcPr>
            <w:tcW w:w="1985" w:type="dxa"/>
            <w:tcBorders>
              <w:top w:val="nil"/>
              <w:left w:val="nil"/>
              <w:bottom w:val="single" w:sz="4" w:space="0" w:color="auto"/>
              <w:right w:val="single" w:sz="4" w:space="0" w:color="auto"/>
            </w:tcBorders>
            <w:vAlign w:val="center"/>
            <w:hideMark/>
          </w:tcPr>
          <w:p w14:paraId="10409455" w14:textId="77777777" w:rsidR="006C77C4" w:rsidRPr="0005669B" w:rsidRDefault="006C77C4" w:rsidP="006C77C4">
            <w:pPr>
              <w:rPr>
                <w:color w:val="000000"/>
                <w:sz w:val="20"/>
                <w:szCs w:val="20"/>
              </w:rPr>
            </w:pPr>
            <w:r w:rsidRPr="0005669B">
              <w:rPr>
                <w:color w:val="000000"/>
                <w:sz w:val="20"/>
                <w:szCs w:val="20"/>
              </w:rPr>
              <w:t>systematic review</w:t>
            </w:r>
          </w:p>
        </w:tc>
        <w:tc>
          <w:tcPr>
            <w:tcW w:w="924" w:type="dxa"/>
            <w:tcBorders>
              <w:top w:val="nil"/>
              <w:left w:val="nil"/>
              <w:bottom w:val="single" w:sz="4" w:space="0" w:color="auto"/>
              <w:right w:val="single" w:sz="4" w:space="0" w:color="auto"/>
            </w:tcBorders>
            <w:shd w:val="clear" w:color="000000" w:fill="FFFFFF"/>
            <w:noWrap/>
            <w:vAlign w:val="center"/>
            <w:hideMark/>
          </w:tcPr>
          <w:p w14:paraId="14582B19" w14:textId="62899AC5" w:rsidR="006C77C4" w:rsidRPr="0005669B" w:rsidRDefault="006C77C4" w:rsidP="006C77C4">
            <w:pPr>
              <w:jc w:val="center"/>
              <w:rPr>
                <w:color w:val="000000"/>
                <w:sz w:val="20"/>
                <w:szCs w:val="20"/>
              </w:rPr>
            </w:pPr>
            <w:r w:rsidRPr="0005669B">
              <w:rPr>
                <w:color w:val="000000"/>
                <w:sz w:val="20"/>
                <w:szCs w:val="20"/>
              </w:rPr>
              <w:t>3</w:t>
            </w:r>
          </w:p>
        </w:tc>
        <w:tc>
          <w:tcPr>
            <w:tcW w:w="777" w:type="dxa"/>
            <w:tcBorders>
              <w:top w:val="nil"/>
              <w:left w:val="nil"/>
              <w:bottom w:val="single" w:sz="4" w:space="0" w:color="auto"/>
              <w:right w:val="single" w:sz="4" w:space="0" w:color="auto"/>
            </w:tcBorders>
            <w:shd w:val="clear" w:color="000000" w:fill="FFFFFF"/>
            <w:noWrap/>
            <w:vAlign w:val="center"/>
            <w:hideMark/>
          </w:tcPr>
          <w:p w14:paraId="157A1ADA" w14:textId="77777777" w:rsidR="006C77C4" w:rsidRPr="0005669B" w:rsidRDefault="006C77C4" w:rsidP="006C77C4">
            <w:pPr>
              <w:jc w:val="center"/>
              <w:rPr>
                <w:color w:val="000000"/>
                <w:sz w:val="20"/>
                <w:szCs w:val="20"/>
              </w:rPr>
            </w:pPr>
            <w:r w:rsidRPr="0005669B">
              <w:rPr>
                <w:color w:val="000000"/>
                <w:sz w:val="20"/>
                <w:szCs w:val="20"/>
              </w:rPr>
              <w:t>2025</w:t>
            </w:r>
          </w:p>
        </w:tc>
        <w:tc>
          <w:tcPr>
            <w:tcW w:w="1706" w:type="dxa"/>
            <w:tcBorders>
              <w:top w:val="nil"/>
              <w:left w:val="nil"/>
              <w:bottom w:val="single" w:sz="4" w:space="0" w:color="auto"/>
              <w:right w:val="single" w:sz="4" w:space="0" w:color="auto"/>
            </w:tcBorders>
            <w:shd w:val="clear" w:color="000000" w:fill="FFFFFF"/>
            <w:noWrap/>
            <w:hideMark/>
          </w:tcPr>
          <w:p w14:paraId="0864DC97" w14:textId="3392FA67" w:rsidR="006C77C4" w:rsidRPr="0005669B" w:rsidRDefault="006C77C4" w:rsidP="006C77C4">
            <w:pPr>
              <w:rPr>
                <w:color w:val="000000"/>
                <w:sz w:val="20"/>
                <w:szCs w:val="20"/>
              </w:rPr>
            </w:pPr>
            <w:r w:rsidRPr="0005669B">
              <w:rPr>
                <w:sz w:val="20"/>
                <w:szCs w:val="20"/>
              </w:rPr>
              <w:t>ESCI/Q2</w:t>
            </w:r>
          </w:p>
        </w:tc>
      </w:tr>
      <w:tr w:rsidR="006C77C4" w:rsidRPr="0005669B" w14:paraId="2D265840" w14:textId="77777777" w:rsidTr="00F14CAD">
        <w:trPr>
          <w:trHeight w:val="296"/>
          <w:jc w:val="center"/>
        </w:trPr>
        <w:tc>
          <w:tcPr>
            <w:tcW w:w="442" w:type="dxa"/>
            <w:tcBorders>
              <w:top w:val="nil"/>
              <w:left w:val="single" w:sz="4" w:space="0" w:color="auto"/>
              <w:bottom w:val="single" w:sz="4" w:space="0" w:color="auto"/>
              <w:right w:val="single" w:sz="4" w:space="0" w:color="auto"/>
            </w:tcBorders>
            <w:vAlign w:val="center"/>
            <w:hideMark/>
          </w:tcPr>
          <w:p w14:paraId="651B2489" w14:textId="77777777" w:rsidR="006C77C4" w:rsidRPr="0005669B" w:rsidRDefault="006C77C4" w:rsidP="006C77C4">
            <w:pPr>
              <w:jc w:val="right"/>
              <w:rPr>
                <w:color w:val="000000"/>
                <w:sz w:val="20"/>
                <w:szCs w:val="20"/>
              </w:rPr>
            </w:pPr>
            <w:r w:rsidRPr="0005669B">
              <w:rPr>
                <w:color w:val="000000"/>
                <w:sz w:val="20"/>
                <w:szCs w:val="20"/>
              </w:rPr>
              <w:t>6</w:t>
            </w:r>
          </w:p>
        </w:tc>
        <w:tc>
          <w:tcPr>
            <w:tcW w:w="3522" w:type="dxa"/>
            <w:tcBorders>
              <w:top w:val="nil"/>
              <w:left w:val="nil"/>
              <w:bottom w:val="single" w:sz="4" w:space="0" w:color="auto"/>
              <w:right w:val="single" w:sz="4" w:space="0" w:color="auto"/>
            </w:tcBorders>
            <w:vAlign w:val="center"/>
            <w:hideMark/>
          </w:tcPr>
          <w:p w14:paraId="5D557F33" w14:textId="74A735F0" w:rsidR="006C77C4" w:rsidRPr="0005669B" w:rsidRDefault="00000741" w:rsidP="006C77C4">
            <w:pPr>
              <w:rPr>
                <w:color w:val="000000"/>
                <w:sz w:val="20"/>
                <w:szCs w:val="20"/>
              </w:rPr>
            </w:pPr>
            <w:r w:rsidRPr="0005669B">
              <w:rPr>
                <w:color w:val="000000"/>
                <w:sz w:val="20"/>
                <w:szCs w:val="20"/>
              </w:rPr>
              <w:fldChar w:fldCharType="begin"/>
            </w:r>
            <w:r w:rsidR="0005669B" w:rsidRPr="0005669B">
              <w:rPr>
                <w:color w:val="000000"/>
                <w:sz w:val="20"/>
                <w:szCs w:val="20"/>
              </w:rPr>
              <w:instrText xml:space="preserve"> ADDIN EN.CITE &lt;EndNote&gt;&lt;Cite AuthorYear="1"&gt;&lt;Author&gt;Urumsah&lt;/Author&gt;&lt;Year&gt;2022&lt;/Year&gt;&lt;RecNum&gt;72&lt;/RecNum&gt;&lt;DisplayText&gt;Urumsah, et al.&lt;style face="superscript"&gt;31&lt;/style&gt;&lt;/DisplayText&gt;&lt;record&gt;&lt;rec-number&gt;72&lt;/rec-number&gt;&lt;foreign-keys&gt;&lt;key app="EN" db-id="wapx0v0s4rw2r6esw9dpwpd1wwvx05v0920r" timestamp="1769481313"&gt;72&lt;/key&gt;&lt;/foreign-keys&gt;&lt;ref-type name="Journal Article"&gt;17&lt;/ref-type&gt;&lt;contributors&gt;&lt;authors&gt;&lt;author&gt;Urumsah, Dekar&lt;/author&gt;&lt;author&gt;Ispridevi, Rintan Falah&lt;/author&gt;&lt;author&gt;Nurherwening, Aris&lt;/author&gt;&lt;author&gt;Hardinto, Wirawan&lt;/author&gt;&lt;/authors&gt;&lt;/contributors&gt;&lt;titles&gt;&lt;title&gt;Fintech adoption: Its determinants and organizational benefits in Indonesia&lt;/title&gt;&lt;secondary-title&gt;Jurnal Akuntansi dan Auditing Indonesia&lt;/secondary-title&gt;&lt;/titles&gt;&lt;periodical&gt;&lt;full-title&gt;Jurnal Akuntansi dan Auditing Indonesia&lt;/full-title&gt;&lt;/periodical&gt;&lt;pages&gt;88-101&lt;/pages&gt;&lt;dates&gt;&lt;year&gt;2022&lt;/year&gt;&lt;/dates&gt;&lt;isbn&gt;2528-6528&lt;/isbn&gt;&lt;urls&gt;&lt;/urls&gt;&lt;/record&gt;&lt;/Cite&gt;&lt;/EndNote&gt;</w:instrText>
            </w:r>
            <w:r w:rsidRPr="0005669B">
              <w:rPr>
                <w:color w:val="000000"/>
                <w:sz w:val="20"/>
                <w:szCs w:val="20"/>
              </w:rPr>
              <w:fldChar w:fldCharType="separate"/>
            </w:r>
            <w:r w:rsidR="0005669B" w:rsidRPr="0005669B">
              <w:rPr>
                <w:noProof/>
                <w:color w:val="000000"/>
                <w:sz w:val="20"/>
                <w:szCs w:val="20"/>
              </w:rPr>
              <w:t>Urumsah, et al.</w:t>
            </w:r>
            <w:r w:rsidR="0005669B" w:rsidRPr="0005669B">
              <w:rPr>
                <w:noProof/>
                <w:color w:val="000000"/>
                <w:sz w:val="20"/>
                <w:szCs w:val="20"/>
                <w:vertAlign w:val="superscript"/>
              </w:rPr>
              <w:t>31</w:t>
            </w:r>
            <w:r w:rsidRPr="0005669B">
              <w:rPr>
                <w:color w:val="000000"/>
                <w:sz w:val="20"/>
                <w:szCs w:val="20"/>
              </w:rPr>
              <w:fldChar w:fldCharType="end"/>
            </w:r>
          </w:p>
        </w:tc>
        <w:tc>
          <w:tcPr>
            <w:tcW w:w="1985" w:type="dxa"/>
            <w:tcBorders>
              <w:top w:val="nil"/>
              <w:left w:val="nil"/>
              <w:bottom w:val="single" w:sz="4" w:space="0" w:color="auto"/>
              <w:right w:val="single" w:sz="4" w:space="0" w:color="auto"/>
            </w:tcBorders>
            <w:vAlign w:val="center"/>
            <w:hideMark/>
          </w:tcPr>
          <w:p w14:paraId="33FDA2CB" w14:textId="77777777" w:rsidR="006C77C4" w:rsidRPr="0005669B" w:rsidRDefault="006C77C4" w:rsidP="006C77C4">
            <w:pPr>
              <w:rPr>
                <w:color w:val="000000"/>
                <w:sz w:val="20"/>
                <w:szCs w:val="20"/>
              </w:rPr>
            </w:pPr>
            <w:r w:rsidRPr="0005669B">
              <w:rPr>
                <w:color w:val="000000"/>
                <w:sz w:val="20"/>
                <w:szCs w:val="20"/>
              </w:rPr>
              <w:t>Indonesia</w:t>
            </w:r>
          </w:p>
        </w:tc>
        <w:tc>
          <w:tcPr>
            <w:tcW w:w="924" w:type="dxa"/>
            <w:tcBorders>
              <w:top w:val="nil"/>
              <w:left w:val="nil"/>
              <w:bottom w:val="single" w:sz="4" w:space="0" w:color="auto"/>
              <w:right w:val="single" w:sz="4" w:space="0" w:color="auto"/>
            </w:tcBorders>
            <w:shd w:val="clear" w:color="000000" w:fill="FFFFFF"/>
            <w:noWrap/>
            <w:vAlign w:val="center"/>
            <w:hideMark/>
          </w:tcPr>
          <w:p w14:paraId="5276819A" w14:textId="21F46AD0" w:rsidR="006C77C4" w:rsidRPr="0005669B" w:rsidRDefault="006C77C4" w:rsidP="006C77C4">
            <w:pPr>
              <w:jc w:val="center"/>
              <w:rPr>
                <w:color w:val="000000"/>
                <w:sz w:val="20"/>
                <w:szCs w:val="20"/>
              </w:rPr>
            </w:pPr>
            <w:r w:rsidRPr="0005669B">
              <w:rPr>
                <w:color w:val="000000"/>
                <w:sz w:val="20"/>
                <w:szCs w:val="20"/>
              </w:rPr>
              <w:t>38</w:t>
            </w:r>
          </w:p>
        </w:tc>
        <w:tc>
          <w:tcPr>
            <w:tcW w:w="777" w:type="dxa"/>
            <w:tcBorders>
              <w:top w:val="nil"/>
              <w:left w:val="nil"/>
              <w:bottom w:val="single" w:sz="4" w:space="0" w:color="auto"/>
              <w:right w:val="single" w:sz="4" w:space="0" w:color="auto"/>
            </w:tcBorders>
            <w:shd w:val="clear" w:color="000000" w:fill="FFFFFF"/>
            <w:noWrap/>
            <w:vAlign w:val="center"/>
            <w:hideMark/>
          </w:tcPr>
          <w:p w14:paraId="2756C64A" w14:textId="77777777" w:rsidR="006C77C4" w:rsidRPr="0005669B" w:rsidRDefault="006C77C4" w:rsidP="006C77C4">
            <w:pPr>
              <w:jc w:val="center"/>
              <w:rPr>
                <w:color w:val="000000"/>
                <w:sz w:val="20"/>
                <w:szCs w:val="20"/>
              </w:rPr>
            </w:pPr>
            <w:r w:rsidRPr="0005669B">
              <w:rPr>
                <w:color w:val="000000"/>
                <w:sz w:val="20"/>
                <w:szCs w:val="20"/>
              </w:rPr>
              <w:t>2022</w:t>
            </w:r>
          </w:p>
        </w:tc>
        <w:tc>
          <w:tcPr>
            <w:tcW w:w="1706" w:type="dxa"/>
            <w:tcBorders>
              <w:top w:val="nil"/>
              <w:left w:val="nil"/>
              <w:bottom w:val="single" w:sz="4" w:space="0" w:color="auto"/>
              <w:right w:val="single" w:sz="4" w:space="0" w:color="auto"/>
            </w:tcBorders>
            <w:shd w:val="clear" w:color="000000" w:fill="FFFFFF"/>
            <w:noWrap/>
            <w:hideMark/>
          </w:tcPr>
          <w:p w14:paraId="4701DA73" w14:textId="2AEFA9E5" w:rsidR="006C77C4" w:rsidRPr="0005669B" w:rsidRDefault="006C77C4" w:rsidP="006C77C4">
            <w:pPr>
              <w:rPr>
                <w:color w:val="000000"/>
                <w:sz w:val="20"/>
                <w:szCs w:val="20"/>
              </w:rPr>
            </w:pPr>
            <w:r w:rsidRPr="0005669B">
              <w:rPr>
                <w:sz w:val="20"/>
                <w:szCs w:val="20"/>
              </w:rPr>
              <w:t>DOAJ/SINTA2</w:t>
            </w:r>
          </w:p>
        </w:tc>
      </w:tr>
      <w:tr w:rsidR="006C77C4" w:rsidRPr="0005669B" w14:paraId="4B54B61D" w14:textId="77777777" w:rsidTr="00F14CAD">
        <w:trPr>
          <w:trHeight w:val="50"/>
          <w:jc w:val="center"/>
        </w:trPr>
        <w:tc>
          <w:tcPr>
            <w:tcW w:w="442" w:type="dxa"/>
            <w:tcBorders>
              <w:top w:val="nil"/>
              <w:left w:val="single" w:sz="4" w:space="0" w:color="auto"/>
              <w:bottom w:val="single" w:sz="4" w:space="0" w:color="auto"/>
              <w:right w:val="single" w:sz="4" w:space="0" w:color="auto"/>
            </w:tcBorders>
            <w:vAlign w:val="center"/>
            <w:hideMark/>
          </w:tcPr>
          <w:p w14:paraId="33146D5C" w14:textId="77777777" w:rsidR="006C77C4" w:rsidRPr="0005669B" w:rsidRDefault="006C77C4" w:rsidP="006C77C4">
            <w:pPr>
              <w:jc w:val="right"/>
              <w:rPr>
                <w:color w:val="000000"/>
                <w:sz w:val="20"/>
                <w:szCs w:val="20"/>
              </w:rPr>
            </w:pPr>
            <w:r w:rsidRPr="0005669B">
              <w:rPr>
                <w:color w:val="000000"/>
                <w:sz w:val="20"/>
                <w:szCs w:val="20"/>
              </w:rPr>
              <w:t>7</w:t>
            </w:r>
          </w:p>
        </w:tc>
        <w:tc>
          <w:tcPr>
            <w:tcW w:w="3522" w:type="dxa"/>
            <w:tcBorders>
              <w:top w:val="nil"/>
              <w:left w:val="nil"/>
              <w:bottom w:val="single" w:sz="4" w:space="0" w:color="auto"/>
              <w:right w:val="single" w:sz="4" w:space="0" w:color="auto"/>
            </w:tcBorders>
            <w:vAlign w:val="center"/>
            <w:hideMark/>
          </w:tcPr>
          <w:p w14:paraId="31B441A8" w14:textId="02999F26" w:rsidR="006C77C4" w:rsidRPr="0005669B" w:rsidRDefault="00F04F28" w:rsidP="006C77C4">
            <w:pPr>
              <w:rPr>
                <w:color w:val="000000"/>
                <w:sz w:val="20"/>
                <w:szCs w:val="20"/>
              </w:rPr>
            </w:pPr>
            <w:r w:rsidRPr="0005669B">
              <w:rPr>
                <w:color w:val="000000"/>
                <w:sz w:val="20"/>
                <w:szCs w:val="20"/>
              </w:rPr>
              <w:fldChar w:fldCharType="begin"/>
            </w:r>
            <w:r w:rsidR="0005669B" w:rsidRPr="0005669B">
              <w:rPr>
                <w:color w:val="000000"/>
                <w:sz w:val="20"/>
                <w:szCs w:val="20"/>
              </w:rPr>
              <w:instrText xml:space="preserve"> ADDIN EN.CITE &lt;EndNote&gt;&lt;Cite AuthorYear="1"&gt;&lt;Author&gt;Firmansyah&lt;/Author&gt;&lt;Year&gt;2022&lt;/Year&gt;&lt;RecNum&gt;74&lt;/RecNum&gt;&lt;DisplayText&gt;Firmansyah, et al.&lt;style face="superscript"&gt;32&lt;/style&gt;&lt;/DisplayText&gt;&lt;record&gt;&lt;rec-number&gt;74&lt;/rec-number&gt;&lt;foreign-keys&gt;&lt;key app="EN" db-id="wapx0v0s4rw2r6esw9dpwpd1wwvx05v0920r" timestamp="1769481395"&gt;74&lt;/key&gt;&lt;/foreign-keys&gt;&lt;ref-type name="Journal Article"&gt;17&lt;/ref-type&gt;&lt;contributors&gt;&lt;authors&gt;&lt;author&gt;Firmansyah, Egi Arvian&lt;/author&gt;&lt;author&gt;Masri, Masairol&lt;/author&gt;&lt;author&gt;Anshari, Muhammad&lt;/author&gt;&lt;author&gt;Besar, Mohd Hairul Azrin&lt;/author&gt;&lt;/authors&gt;&lt;/contributors&gt;&lt;titles&gt;&lt;title&gt;Factors affecting fintech adoption: a systematic literature review&lt;/title&gt;&lt;secondary-title&gt;FinTech&lt;/secondary-title&gt;&lt;/titles&gt;&lt;periodical&gt;&lt;full-title&gt;FinTech&lt;/full-title&gt;&lt;/periodical&gt;&lt;pages&gt;21-33&lt;/pages&gt;&lt;volume&gt;2&lt;/volume&gt;&lt;number&gt;1&lt;/number&gt;&lt;dates&gt;&lt;year&gt;2022&lt;/year&gt;&lt;/dates&gt;&lt;isbn&gt;2674-1032&lt;/isbn&gt;&lt;urls&gt;&lt;/urls&gt;&lt;/record&gt;&lt;/Cite&gt;&lt;/EndNote&gt;</w:instrText>
            </w:r>
            <w:r w:rsidRPr="0005669B">
              <w:rPr>
                <w:color w:val="000000"/>
                <w:sz w:val="20"/>
                <w:szCs w:val="20"/>
              </w:rPr>
              <w:fldChar w:fldCharType="separate"/>
            </w:r>
            <w:r w:rsidR="0005669B" w:rsidRPr="0005669B">
              <w:rPr>
                <w:noProof/>
                <w:color w:val="000000"/>
                <w:sz w:val="20"/>
                <w:szCs w:val="20"/>
              </w:rPr>
              <w:t>Firmansyah, et al.</w:t>
            </w:r>
            <w:r w:rsidR="0005669B" w:rsidRPr="0005669B">
              <w:rPr>
                <w:noProof/>
                <w:color w:val="000000"/>
                <w:sz w:val="20"/>
                <w:szCs w:val="20"/>
                <w:vertAlign w:val="superscript"/>
              </w:rPr>
              <w:t>32</w:t>
            </w:r>
            <w:r w:rsidRPr="0005669B">
              <w:rPr>
                <w:color w:val="000000"/>
                <w:sz w:val="20"/>
                <w:szCs w:val="20"/>
              </w:rPr>
              <w:fldChar w:fldCharType="end"/>
            </w:r>
          </w:p>
        </w:tc>
        <w:tc>
          <w:tcPr>
            <w:tcW w:w="1985" w:type="dxa"/>
            <w:tcBorders>
              <w:top w:val="nil"/>
              <w:left w:val="nil"/>
              <w:bottom w:val="single" w:sz="4" w:space="0" w:color="auto"/>
              <w:right w:val="single" w:sz="4" w:space="0" w:color="auto"/>
            </w:tcBorders>
            <w:vAlign w:val="center"/>
            <w:hideMark/>
          </w:tcPr>
          <w:p w14:paraId="6B479EB3" w14:textId="77777777" w:rsidR="006C77C4" w:rsidRPr="0005669B" w:rsidRDefault="006C77C4" w:rsidP="006C77C4">
            <w:pPr>
              <w:rPr>
                <w:color w:val="000000"/>
                <w:sz w:val="20"/>
                <w:szCs w:val="20"/>
              </w:rPr>
            </w:pPr>
            <w:r w:rsidRPr="0005669B">
              <w:rPr>
                <w:color w:val="000000"/>
                <w:sz w:val="20"/>
                <w:szCs w:val="20"/>
              </w:rPr>
              <w:t xml:space="preserve">systematic review </w:t>
            </w:r>
          </w:p>
        </w:tc>
        <w:tc>
          <w:tcPr>
            <w:tcW w:w="924" w:type="dxa"/>
            <w:tcBorders>
              <w:top w:val="nil"/>
              <w:left w:val="nil"/>
              <w:bottom w:val="single" w:sz="4" w:space="0" w:color="auto"/>
              <w:right w:val="single" w:sz="4" w:space="0" w:color="auto"/>
            </w:tcBorders>
            <w:shd w:val="clear" w:color="000000" w:fill="FFFFFF"/>
            <w:noWrap/>
            <w:vAlign w:val="center"/>
            <w:hideMark/>
          </w:tcPr>
          <w:p w14:paraId="5A764F95" w14:textId="308BF3EC" w:rsidR="006C77C4" w:rsidRPr="0005669B" w:rsidRDefault="006C77C4" w:rsidP="006C77C4">
            <w:pPr>
              <w:jc w:val="center"/>
              <w:rPr>
                <w:color w:val="000000"/>
                <w:sz w:val="20"/>
                <w:szCs w:val="20"/>
              </w:rPr>
            </w:pPr>
            <w:r w:rsidRPr="0005669B">
              <w:rPr>
                <w:color w:val="000000"/>
                <w:sz w:val="20"/>
                <w:szCs w:val="20"/>
              </w:rPr>
              <w:t>174</w:t>
            </w:r>
          </w:p>
        </w:tc>
        <w:tc>
          <w:tcPr>
            <w:tcW w:w="777" w:type="dxa"/>
            <w:tcBorders>
              <w:top w:val="nil"/>
              <w:left w:val="nil"/>
              <w:bottom w:val="single" w:sz="4" w:space="0" w:color="auto"/>
              <w:right w:val="single" w:sz="4" w:space="0" w:color="auto"/>
            </w:tcBorders>
            <w:shd w:val="clear" w:color="000000" w:fill="FFFFFF"/>
            <w:noWrap/>
            <w:vAlign w:val="center"/>
            <w:hideMark/>
          </w:tcPr>
          <w:p w14:paraId="07D7E8D7" w14:textId="77777777" w:rsidR="006C77C4" w:rsidRPr="0005669B" w:rsidRDefault="006C77C4" w:rsidP="006C77C4">
            <w:pPr>
              <w:jc w:val="center"/>
              <w:rPr>
                <w:color w:val="000000"/>
                <w:sz w:val="20"/>
                <w:szCs w:val="20"/>
              </w:rPr>
            </w:pPr>
            <w:r w:rsidRPr="0005669B">
              <w:rPr>
                <w:color w:val="000000"/>
                <w:sz w:val="20"/>
                <w:szCs w:val="20"/>
              </w:rPr>
              <w:t>2022</w:t>
            </w:r>
          </w:p>
        </w:tc>
        <w:tc>
          <w:tcPr>
            <w:tcW w:w="1706" w:type="dxa"/>
            <w:tcBorders>
              <w:top w:val="nil"/>
              <w:left w:val="nil"/>
              <w:bottom w:val="single" w:sz="4" w:space="0" w:color="auto"/>
              <w:right w:val="single" w:sz="4" w:space="0" w:color="auto"/>
            </w:tcBorders>
            <w:shd w:val="clear" w:color="000000" w:fill="FFFFFF"/>
            <w:noWrap/>
            <w:hideMark/>
          </w:tcPr>
          <w:p w14:paraId="010C2E31" w14:textId="3816197E" w:rsidR="006C77C4" w:rsidRPr="0005669B" w:rsidRDefault="006C77C4" w:rsidP="006C77C4">
            <w:pPr>
              <w:rPr>
                <w:color w:val="000000"/>
                <w:sz w:val="20"/>
                <w:szCs w:val="20"/>
              </w:rPr>
            </w:pPr>
            <w:r w:rsidRPr="0005669B">
              <w:rPr>
                <w:sz w:val="20"/>
                <w:szCs w:val="20"/>
              </w:rPr>
              <w:t>ESCI/Q2</w:t>
            </w:r>
          </w:p>
        </w:tc>
      </w:tr>
      <w:tr w:rsidR="006C77C4" w:rsidRPr="0005669B" w14:paraId="7D7051D4" w14:textId="77777777" w:rsidTr="00F14CAD">
        <w:trPr>
          <w:trHeight w:val="50"/>
          <w:jc w:val="center"/>
        </w:trPr>
        <w:tc>
          <w:tcPr>
            <w:tcW w:w="442" w:type="dxa"/>
            <w:tcBorders>
              <w:top w:val="nil"/>
              <w:left w:val="single" w:sz="4" w:space="0" w:color="auto"/>
              <w:bottom w:val="single" w:sz="4" w:space="0" w:color="auto"/>
              <w:right w:val="single" w:sz="4" w:space="0" w:color="auto"/>
            </w:tcBorders>
            <w:vAlign w:val="center"/>
            <w:hideMark/>
          </w:tcPr>
          <w:p w14:paraId="0BDB45BD" w14:textId="77777777" w:rsidR="006C77C4" w:rsidRPr="0005669B" w:rsidRDefault="006C77C4" w:rsidP="006C77C4">
            <w:pPr>
              <w:jc w:val="right"/>
              <w:rPr>
                <w:color w:val="000000"/>
                <w:sz w:val="20"/>
                <w:szCs w:val="20"/>
              </w:rPr>
            </w:pPr>
            <w:r w:rsidRPr="0005669B">
              <w:rPr>
                <w:color w:val="000000"/>
                <w:sz w:val="20"/>
                <w:szCs w:val="20"/>
              </w:rPr>
              <w:t>8</w:t>
            </w:r>
          </w:p>
        </w:tc>
        <w:tc>
          <w:tcPr>
            <w:tcW w:w="3522" w:type="dxa"/>
            <w:tcBorders>
              <w:top w:val="nil"/>
              <w:left w:val="nil"/>
              <w:bottom w:val="single" w:sz="4" w:space="0" w:color="auto"/>
              <w:right w:val="single" w:sz="4" w:space="0" w:color="auto"/>
            </w:tcBorders>
            <w:vAlign w:val="center"/>
            <w:hideMark/>
          </w:tcPr>
          <w:p w14:paraId="760F225F" w14:textId="487EA9CA" w:rsidR="006C77C4" w:rsidRPr="0005669B" w:rsidRDefault="00113444" w:rsidP="006C77C4">
            <w:pPr>
              <w:rPr>
                <w:color w:val="000000"/>
                <w:sz w:val="20"/>
                <w:szCs w:val="20"/>
              </w:rPr>
            </w:pPr>
            <w:r w:rsidRPr="0005669B">
              <w:rPr>
                <w:color w:val="000000"/>
                <w:sz w:val="20"/>
                <w:szCs w:val="20"/>
              </w:rPr>
              <w:fldChar w:fldCharType="begin"/>
            </w:r>
            <w:r w:rsidR="0005669B" w:rsidRPr="0005669B">
              <w:rPr>
                <w:color w:val="000000"/>
                <w:sz w:val="20"/>
                <w:szCs w:val="20"/>
              </w:rPr>
              <w:instrText xml:space="preserve"> ADDIN EN.CITE &lt;EndNote&gt;&lt;Cite AuthorYear="1"&gt;&lt;Author&gt;Chhaidar&lt;/Author&gt;&lt;Year&gt;2023&lt;/Year&gt;&lt;RecNum&gt;75&lt;/RecNum&gt;&lt;DisplayText&gt;Chhaidar, et al.&lt;style face="superscript"&gt;25&lt;/style&gt;&lt;/DisplayText&gt;&lt;record&gt;&lt;rec-number&gt;75&lt;/rec-number&gt;&lt;foreign-keys&gt;&lt;key app="EN" db-id="wapx0v0s4rw2r6esw9dpwpd1wwvx05v0920r" timestamp="1769481436"&gt;75&lt;/key&gt;&lt;/foreign-keys&gt;&lt;ref-type name="Journal Article"&gt;17&lt;/ref-type&gt;&lt;contributors&gt;&lt;authors&gt;&lt;author&gt;Chhaidar, Ahlem&lt;/author&gt;&lt;author&gt;Abdelhedi, Mouna&lt;/author&gt;&lt;author&gt;Abdelkafi, Ines&lt;/author&gt;&lt;/authors&gt;&lt;/contributors&gt;&lt;titles&gt;&lt;title&gt;The effect of financial technology investment level on European banks’ profitability&lt;/title&gt;&lt;secondary-title&gt;Journal of the Knowledge Economy&lt;/secondary-title&gt;&lt;/titles&gt;&lt;periodical&gt;&lt;full-title&gt;Journal of the Knowledge Economy&lt;/full-title&gt;&lt;/periodical&gt;&lt;pages&gt;2959-2981&lt;/pages&gt;&lt;volume&gt;14&lt;/volume&gt;&lt;number&gt;3&lt;/number&gt;&lt;dates&gt;&lt;year&gt;2023&lt;/year&gt;&lt;/dates&gt;&lt;isbn&gt;1868-7865&lt;/isbn&gt;&lt;urls&gt;&lt;/urls&gt;&lt;/record&gt;&lt;/Cite&gt;&lt;/EndNote&gt;</w:instrText>
            </w:r>
            <w:r w:rsidRPr="0005669B">
              <w:rPr>
                <w:color w:val="000000"/>
                <w:sz w:val="20"/>
                <w:szCs w:val="20"/>
              </w:rPr>
              <w:fldChar w:fldCharType="separate"/>
            </w:r>
            <w:r w:rsidR="0005669B" w:rsidRPr="0005669B">
              <w:rPr>
                <w:noProof/>
                <w:color w:val="000000"/>
                <w:sz w:val="20"/>
                <w:szCs w:val="20"/>
              </w:rPr>
              <w:t>Chhaidar, et al.</w:t>
            </w:r>
            <w:r w:rsidR="0005669B" w:rsidRPr="0005669B">
              <w:rPr>
                <w:noProof/>
                <w:color w:val="000000"/>
                <w:sz w:val="20"/>
                <w:szCs w:val="20"/>
                <w:vertAlign w:val="superscript"/>
              </w:rPr>
              <w:t>25</w:t>
            </w:r>
            <w:r w:rsidRPr="0005669B">
              <w:rPr>
                <w:color w:val="000000"/>
                <w:sz w:val="20"/>
                <w:szCs w:val="20"/>
              </w:rPr>
              <w:fldChar w:fldCharType="end"/>
            </w:r>
          </w:p>
        </w:tc>
        <w:tc>
          <w:tcPr>
            <w:tcW w:w="1985" w:type="dxa"/>
            <w:tcBorders>
              <w:top w:val="nil"/>
              <w:left w:val="nil"/>
              <w:bottom w:val="single" w:sz="4" w:space="0" w:color="auto"/>
              <w:right w:val="single" w:sz="4" w:space="0" w:color="auto"/>
            </w:tcBorders>
            <w:vAlign w:val="center"/>
            <w:hideMark/>
          </w:tcPr>
          <w:p w14:paraId="3DA697FD" w14:textId="77777777" w:rsidR="006C77C4" w:rsidRPr="0005669B" w:rsidRDefault="006C77C4" w:rsidP="006C77C4">
            <w:pPr>
              <w:rPr>
                <w:color w:val="000000"/>
                <w:sz w:val="20"/>
                <w:szCs w:val="20"/>
              </w:rPr>
            </w:pPr>
            <w:r w:rsidRPr="0005669B">
              <w:rPr>
                <w:color w:val="000000"/>
                <w:sz w:val="20"/>
                <w:szCs w:val="20"/>
              </w:rPr>
              <w:t>Europe</w:t>
            </w:r>
          </w:p>
        </w:tc>
        <w:tc>
          <w:tcPr>
            <w:tcW w:w="924" w:type="dxa"/>
            <w:tcBorders>
              <w:top w:val="nil"/>
              <w:left w:val="nil"/>
              <w:bottom w:val="single" w:sz="4" w:space="0" w:color="auto"/>
              <w:right w:val="single" w:sz="4" w:space="0" w:color="auto"/>
            </w:tcBorders>
            <w:shd w:val="clear" w:color="000000" w:fill="FFFFFF"/>
            <w:noWrap/>
            <w:vAlign w:val="center"/>
            <w:hideMark/>
          </w:tcPr>
          <w:p w14:paraId="131C05B4" w14:textId="7208A19B" w:rsidR="006C77C4" w:rsidRPr="0005669B" w:rsidRDefault="006C77C4" w:rsidP="006C77C4">
            <w:pPr>
              <w:jc w:val="center"/>
              <w:rPr>
                <w:color w:val="000000"/>
                <w:sz w:val="20"/>
                <w:szCs w:val="20"/>
                <w:lang w:val="en-US"/>
              </w:rPr>
            </w:pPr>
            <w:r w:rsidRPr="0005669B">
              <w:rPr>
                <w:color w:val="000000"/>
                <w:sz w:val="20"/>
                <w:szCs w:val="20"/>
              </w:rPr>
              <w:t>18</w:t>
            </w:r>
            <w:r w:rsidR="00113444" w:rsidRPr="0005669B">
              <w:rPr>
                <w:color w:val="000000"/>
                <w:sz w:val="20"/>
                <w:szCs w:val="20"/>
                <w:lang w:val="en-US"/>
              </w:rPr>
              <w:t>3</w:t>
            </w:r>
          </w:p>
        </w:tc>
        <w:tc>
          <w:tcPr>
            <w:tcW w:w="777" w:type="dxa"/>
            <w:tcBorders>
              <w:top w:val="nil"/>
              <w:left w:val="nil"/>
              <w:bottom w:val="single" w:sz="4" w:space="0" w:color="auto"/>
              <w:right w:val="single" w:sz="4" w:space="0" w:color="auto"/>
            </w:tcBorders>
            <w:shd w:val="clear" w:color="000000" w:fill="FFFFFF"/>
            <w:noWrap/>
            <w:vAlign w:val="center"/>
            <w:hideMark/>
          </w:tcPr>
          <w:p w14:paraId="3513789F" w14:textId="66DA7B7C" w:rsidR="006C77C4" w:rsidRPr="0005669B" w:rsidRDefault="006C77C4" w:rsidP="006C77C4">
            <w:pPr>
              <w:jc w:val="center"/>
              <w:rPr>
                <w:color w:val="000000"/>
                <w:sz w:val="20"/>
                <w:szCs w:val="20"/>
                <w:lang w:val="en-US"/>
              </w:rPr>
            </w:pPr>
            <w:r w:rsidRPr="0005669B">
              <w:rPr>
                <w:color w:val="000000"/>
                <w:sz w:val="20"/>
                <w:szCs w:val="20"/>
              </w:rPr>
              <w:t>202</w:t>
            </w:r>
            <w:r w:rsidR="00113444" w:rsidRPr="0005669B">
              <w:rPr>
                <w:color w:val="000000"/>
                <w:sz w:val="20"/>
                <w:szCs w:val="20"/>
                <w:lang w:val="en-US"/>
              </w:rPr>
              <w:t>3</w:t>
            </w:r>
          </w:p>
        </w:tc>
        <w:tc>
          <w:tcPr>
            <w:tcW w:w="1706" w:type="dxa"/>
            <w:tcBorders>
              <w:top w:val="nil"/>
              <w:left w:val="nil"/>
              <w:bottom w:val="single" w:sz="4" w:space="0" w:color="auto"/>
              <w:right w:val="single" w:sz="4" w:space="0" w:color="auto"/>
            </w:tcBorders>
            <w:shd w:val="clear" w:color="000000" w:fill="FFFFFF"/>
            <w:noWrap/>
            <w:hideMark/>
          </w:tcPr>
          <w:p w14:paraId="4707485F" w14:textId="2CA3640E" w:rsidR="006C77C4" w:rsidRPr="0005669B" w:rsidRDefault="006C77C4" w:rsidP="006C77C4">
            <w:pPr>
              <w:rPr>
                <w:color w:val="000000"/>
                <w:sz w:val="20"/>
                <w:szCs w:val="20"/>
              </w:rPr>
            </w:pPr>
            <w:r w:rsidRPr="0005669B">
              <w:rPr>
                <w:sz w:val="20"/>
                <w:szCs w:val="20"/>
              </w:rPr>
              <w:t>Scopus/C</w:t>
            </w:r>
          </w:p>
        </w:tc>
      </w:tr>
      <w:tr w:rsidR="006C77C4" w:rsidRPr="0005669B" w14:paraId="5E98CDB6" w14:textId="77777777" w:rsidTr="00F14CAD">
        <w:trPr>
          <w:trHeight w:val="148"/>
          <w:jc w:val="center"/>
        </w:trPr>
        <w:tc>
          <w:tcPr>
            <w:tcW w:w="442" w:type="dxa"/>
            <w:tcBorders>
              <w:top w:val="nil"/>
              <w:left w:val="single" w:sz="4" w:space="0" w:color="auto"/>
              <w:bottom w:val="single" w:sz="4" w:space="0" w:color="auto"/>
              <w:right w:val="single" w:sz="4" w:space="0" w:color="auto"/>
            </w:tcBorders>
            <w:vAlign w:val="center"/>
            <w:hideMark/>
          </w:tcPr>
          <w:p w14:paraId="590032BE" w14:textId="77777777" w:rsidR="006C77C4" w:rsidRPr="0005669B" w:rsidRDefault="006C77C4" w:rsidP="006C77C4">
            <w:pPr>
              <w:jc w:val="right"/>
              <w:rPr>
                <w:color w:val="000000"/>
                <w:sz w:val="20"/>
                <w:szCs w:val="20"/>
              </w:rPr>
            </w:pPr>
            <w:r w:rsidRPr="0005669B">
              <w:rPr>
                <w:color w:val="000000"/>
                <w:sz w:val="20"/>
                <w:szCs w:val="20"/>
              </w:rPr>
              <w:t>9</w:t>
            </w:r>
          </w:p>
        </w:tc>
        <w:tc>
          <w:tcPr>
            <w:tcW w:w="3522" w:type="dxa"/>
            <w:tcBorders>
              <w:top w:val="nil"/>
              <w:left w:val="nil"/>
              <w:bottom w:val="single" w:sz="4" w:space="0" w:color="auto"/>
              <w:right w:val="single" w:sz="4" w:space="0" w:color="auto"/>
            </w:tcBorders>
            <w:vAlign w:val="center"/>
            <w:hideMark/>
          </w:tcPr>
          <w:p w14:paraId="77A77F42" w14:textId="4DE32B92" w:rsidR="006C77C4" w:rsidRPr="0005669B" w:rsidRDefault="00475534" w:rsidP="006C77C4">
            <w:pPr>
              <w:rPr>
                <w:color w:val="000000"/>
                <w:sz w:val="20"/>
                <w:szCs w:val="20"/>
              </w:rPr>
            </w:pPr>
            <w:r w:rsidRPr="0005669B">
              <w:rPr>
                <w:color w:val="000000"/>
                <w:sz w:val="20"/>
                <w:szCs w:val="20"/>
              </w:rPr>
              <w:fldChar w:fldCharType="begin"/>
            </w:r>
            <w:r w:rsidR="0005669B" w:rsidRPr="0005669B">
              <w:rPr>
                <w:color w:val="000000"/>
                <w:sz w:val="20"/>
                <w:szCs w:val="20"/>
              </w:rPr>
              <w:instrText xml:space="preserve"> ADDIN EN.CITE &lt;EndNote&gt;&lt;Cite AuthorYear="1"&gt;&lt;Author&gt;Harasim&lt;/Author&gt;&lt;Year&gt;2021&lt;/Year&gt;&lt;RecNum&gt;76&lt;/RecNum&gt;&lt;DisplayText&gt;Harasim&lt;style face="superscript"&gt;33&lt;/style&gt;&lt;/DisplayText&gt;&lt;record&gt;&lt;rec-number&gt;76&lt;/rec-number&gt;&lt;foreign-keys&gt;&lt;key app="EN" db-id="wapx0v0s4rw2r6esw9dpwpd1wwvx05v0920r" timestamp="1769481489"&gt;76&lt;/key&gt;&lt;/foreign-keys&gt;&lt;ref-type name="Journal Article"&gt;17&lt;/ref-type&gt;&lt;contributors&gt;&lt;authors&gt;&lt;author&gt;Harasim, Janina&lt;/author&gt;&lt;/authors&gt;&lt;/contributors&gt;&lt;titles&gt;&lt;title&gt;FinTechs, BigTechs and banks—when cooperation and when competition?&lt;/title&gt;&lt;secondary-title&gt;Journal of Risk and Financial Management&lt;/secondary-title&gt;&lt;/titles&gt;&lt;periodical&gt;&lt;full-title&gt;Journal of Risk and Financial Management&lt;/full-title&gt;&lt;/periodical&gt;&lt;pages&gt;614&lt;/pages&gt;&lt;volume&gt;14&lt;/volume&gt;&lt;number&gt;12&lt;/number&gt;&lt;dates&gt;&lt;year&gt;2021&lt;/year&gt;&lt;/dates&gt;&lt;isbn&gt;1911-8074&lt;/isbn&gt;&lt;urls&gt;&lt;/urls&gt;&lt;/record&gt;&lt;/Cite&gt;&lt;/EndNote&gt;</w:instrText>
            </w:r>
            <w:r w:rsidRPr="0005669B">
              <w:rPr>
                <w:color w:val="000000"/>
                <w:sz w:val="20"/>
                <w:szCs w:val="20"/>
              </w:rPr>
              <w:fldChar w:fldCharType="separate"/>
            </w:r>
            <w:r w:rsidR="0005669B" w:rsidRPr="0005669B">
              <w:rPr>
                <w:noProof/>
                <w:color w:val="000000"/>
                <w:sz w:val="20"/>
                <w:szCs w:val="20"/>
              </w:rPr>
              <w:t>Harasim</w:t>
            </w:r>
            <w:r w:rsidR="0005669B" w:rsidRPr="0005669B">
              <w:rPr>
                <w:noProof/>
                <w:color w:val="000000"/>
                <w:sz w:val="20"/>
                <w:szCs w:val="20"/>
                <w:vertAlign w:val="superscript"/>
              </w:rPr>
              <w:t>33</w:t>
            </w:r>
            <w:r w:rsidRPr="0005669B">
              <w:rPr>
                <w:color w:val="000000"/>
                <w:sz w:val="20"/>
                <w:szCs w:val="20"/>
              </w:rPr>
              <w:fldChar w:fldCharType="end"/>
            </w:r>
          </w:p>
        </w:tc>
        <w:tc>
          <w:tcPr>
            <w:tcW w:w="1985" w:type="dxa"/>
            <w:tcBorders>
              <w:top w:val="nil"/>
              <w:left w:val="nil"/>
              <w:bottom w:val="single" w:sz="4" w:space="0" w:color="auto"/>
              <w:right w:val="single" w:sz="4" w:space="0" w:color="auto"/>
            </w:tcBorders>
            <w:vAlign w:val="center"/>
            <w:hideMark/>
          </w:tcPr>
          <w:p w14:paraId="6FC9F7D1" w14:textId="77777777" w:rsidR="006C77C4" w:rsidRPr="0005669B" w:rsidRDefault="006C77C4" w:rsidP="006C77C4">
            <w:pPr>
              <w:rPr>
                <w:color w:val="000000"/>
                <w:sz w:val="20"/>
                <w:szCs w:val="20"/>
              </w:rPr>
            </w:pPr>
            <w:r w:rsidRPr="0005669B">
              <w:rPr>
                <w:color w:val="000000"/>
                <w:sz w:val="20"/>
                <w:szCs w:val="20"/>
              </w:rPr>
              <w:t xml:space="preserve">Global </w:t>
            </w:r>
          </w:p>
        </w:tc>
        <w:tc>
          <w:tcPr>
            <w:tcW w:w="924" w:type="dxa"/>
            <w:tcBorders>
              <w:top w:val="nil"/>
              <w:left w:val="nil"/>
              <w:bottom w:val="single" w:sz="4" w:space="0" w:color="auto"/>
              <w:right w:val="single" w:sz="4" w:space="0" w:color="auto"/>
            </w:tcBorders>
            <w:shd w:val="clear" w:color="000000" w:fill="FFFFFF"/>
            <w:noWrap/>
            <w:vAlign w:val="center"/>
            <w:hideMark/>
          </w:tcPr>
          <w:p w14:paraId="35B61A39" w14:textId="0A0C742E" w:rsidR="006C77C4" w:rsidRPr="0005669B" w:rsidRDefault="006C77C4" w:rsidP="006C77C4">
            <w:pPr>
              <w:jc w:val="center"/>
              <w:rPr>
                <w:color w:val="000000"/>
                <w:sz w:val="20"/>
                <w:szCs w:val="20"/>
              </w:rPr>
            </w:pPr>
            <w:r w:rsidRPr="0005669B">
              <w:rPr>
                <w:color w:val="000000"/>
                <w:sz w:val="20"/>
                <w:szCs w:val="20"/>
              </w:rPr>
              <w:t>56</w:t>
            </w:r>
          </w:p>
        </w:tc>
        <w:tc>
          <w:tcPr>
            <w:tcW w:w="777" w:type="dxa"/>
            <w:tcBorders>
              <w:top w:val="nil"/>
              <w:left w:val="nil"/>
              <w:bottom w:val="single" w:sz="4" w:space="0" w:color="auto"/>
              <w:right w:val="single" w:sz="4" w:space="0" w:color="auto"/>
            </w:tcBorders>
            <w:shd w:val="clear" w:color="000000" w:fill="FFFFFF"/>
            <w:noWrap/>
            <w:vAlign w:val="center"/>
            <w:hideMark/>
          </w:tcPr>
          <w:p w14:paraId="2618C996" w14:textId="77777777" w:rsidR="006C77C4" w:rsidRPr="0005669B" w:rsidRDefault="006C77C4" w:rsidP="006C77C4">
            <w:pPr>
              <w:jc w:val="center"/>
              <w:rPr>
                <w:color w:val="000000"/>
                <w:sz w:val="20"/>
                <w:szCs w:val="20"/>
              </w:rPr>
            </w:pPr>
            <w:r w:rsidRPr="0005669B">
              <w:rPr>
                <w:color w:val="000000"/>
                <w:sz w:val="20"/>
                <w:szCs w:val="20"/>
              </w:rPr>
              <w:t>2021</w:t>
            </w:r>
          </w:p>
        </w:tc>
        <w:tc>
          <w:tcPr>
            <w:tcW w:w="1706" w:type="dxa"/>
            <w:tcBorders>
              <w:top w:val="nil"/>
              <w:left w:val="nil"/>
              <w:bottom w:val="single" w:sz="4" w:space="0" w:color="auto"/>
              <w:right w:val="single" w:sz="4" w:space="0" w:color="auto"/>
            </w:tcBorders>
            <w:shd w:val="clear" w:color="000000" w:fill="FFFFFF"/>
            <w:noWrap/>
            <w:hideMark/>
          </w:tcPr>
          <w:p w14:paraId="1FFA40E8" w14:textId="6B9A3DF7" w:rsidR="006C77C4" w:rsidRPr="0005669B" w:rsidRDefault="006C77C4" w:rsidP="006C77C4">
            <w:pPr>
              <w:rPr>
                <w:color w:val="000000"/>
                <w:sz w:val="20"/>
                <w:szCs w:val="20"/>
              </w:rPr>
            </w:pPr>
            <w:r w:rsidRPr="0005669B">
              <w:rPr>
                <w:sz w:val="20"/>
                <w:szCs w:val="20"/>
              </w:rPr>
              <w:t>Scopus/Q2</w:t>
            </w:r>
          </w:p>
        </w:tc>
      </w:tr>
      <w:tr w:rsidR="006C77C4" w:rsidRPr="0005669B" w14:paraId="1087DF91" w14:textId="77777777" w:rsidTr="00F14CAD">
        <w:trPr>
          <w:trHeight w:val="296"/>
          <w:jc w:val="center"/>
        </w:trPr>
        <w:tc>
          <w:tcPr>
            <w:tcW w:w="442" w:type="dxa"/>
            <w:tcBorders>
              <w:top w:val="nil"/>
              <w:left w:val="single" w:sz="4" w:space="0" w:color="auto"/>
              <w:bottom w:val="single" w:sz="4" w:space="0" w:color="auto"/>
              <w:right w:val="single" w:sz="4" w:space="0" w:color="auto"/>
            </w:tcBorders>
            <w:vAlign w:val="center"/>
            <w:hideMark/>
          </w:tcPr>
          <w:p w14:paraId="27189942" w14:textId="77777777" w:rsidR="006C77C4" w:rsidRPr="0005669B" w:rsidRDefault="006C77C4" w:rsidP="006C77C4">
            <w:pPr>
              <w:jc w:val="right"/>
              <w:rPr>
                <w:color w:val="000000"/>
                <w:sz w:val="20"/>
                <w:szCs w:val="20"/>
              </w:rPr>
            </w:pPr>
            <w:r w:rsidRPr="0005669B">
              <w:rPr>
                <w:color w:val="000000"/>
                <w:sz w:val="20"/>
                <w:szCs w:val="20"/>
              </w:rPr>
              <w:t>10</w:t>
            </w:r>
          </w:p>
        </w:tc>
        <w:tc>
          <w:tcPr>
            <w:tcW w:w="3522" w:type="dxa"/>
            <w:tcBorders>
              <w:top w:val="nil"/>
              <w:left w:val="nil"/>
              <w:bottom w:val="single" w:sz="4" w:space="0" w:color="auto"/>
              <w:right w:val="single" w:sz="4" w:space="0" w:color="auto"/>
            </w:tcBorders>
            <w:vAlign w:val="center"/>
            <w:hideMark/>
          </w:tcPr>
          <w:p w14:paraId="75BC4028" w14:textId="57121BD2" w:rsidR="006C77C4" w:rsidRPr="0005669B" w:rsidRDefault="00475534" w:rsidP="006C77C4">
            <w:pPr>
              <w:rPr>
                <w:color w:val="000000"/>
                <w:sz w:val="20"/>
                <w:szCs w:val="20"/>
              </w:rPr>
            </w:pPr>
            <w:r w:rsidRPr="0005669B">
              <w:rPr>
                <w:color w:val="000000"/>
                <w:sz w:val="20"/>
                <w:szCs w:val="20"/>
              </w:rPr>
              <w:fldChar w:fldCharType="begin"/>
            </w:r>
            <w:r w:rsidR="0005669B" w:rsidRPr="0005669B">
              <w:rPr>
                <w:color w:val="000000"/>
                <w:sz w:val="20"/>
                <w:szCs w:val="20"/>
              </w:rPr>
              <w:instrText xml:space="preserve"> ADDIN EN.CITE &lt;EndNote&gt;&lt;Cite AuthorYear="1"&gt;&lt;Author&gt;Mirza&lt;/Author&gt;&lt;Year&gt;2023&lt;/Year&gt;&lt;RecNum&gt;77&lt;/RecNum&gt;&lt;DisplayText&gt;Mirza, et al.&lt;style face="superscript"&gt;34&lt;/style&gt;&lt;/DisplayText&gt;&lt;record&gt;&lt;rec-number&gt;77&lt;/rec-number&gt;&lt;foreign-keys&gt;&lt;key app="EN" db-id="wapx0v0s4rw2r6esw9dpwpd1wwvx05v0920r" timestamp="1769481524"&gt;77&lt;/key&gt;&lt;/foreign-keys&gt;&lt;ref-type name="Journal Article"&gt;17&lt;/ref-type&gt;&lt;contributors&gt;&lt;authors&gt;&lt;author&gt;Mirza, Nawazish&lt;/author&gt;&lt;author&gt;Umar, Muhammad&lt;/author&gt;&lt;author&gt;Afzal, Ayesha&lt;/author&gt;&lt;author&gt;Firdousi, Saba Fazal&lt;/author&gt;&lt;/authors&gt;&lt;/contributors&gt;&lt;titles&gt;&lt;title&gt;The role of fintech in promoting green finance, and profitability: Evidence from the banking sector in the euro zone&lt;/title&gt;&lt;secondary-title&gt;Economic Analysis and Policy&lt;/secondary-title&gt;&lt;/titles&gt;&lt;periodical&gt;&lt;full-title&gt;Economic Analysis and Policy&lt;/full-title&gt;&lt;/periodical&gt;&lt;pages&gt;33-40&lt;/pages&gt;&lt;volume&gt;78&lt;/volume&gt;&lt;dates&gt;&lt;year&gt;2023&lt;/year&gt;&lt;/dates&gt;&lt;isbn&gt;0313-5926&lt;/isbn&gt;&lt;urls&gt;&lt;/urls&gt;&lt;/record&gt;&lt;/Cite&gt;&lt;/EndNote&gt;</w:instrText>
            </w:r>
            <w:r w:rsidRPr="0005669B">
              <w:rPr>
                <w:color w:val="000000"/>
                <w:sz w:val="20"/>
                <w:szCs w:val="20"/>
              </w:rPr>
              <w:fldChar w:fldCharType="separate"/>
            </w:r>
            <w:r w:rsidR="0005669B" w:rsidRPr="0005669B">
              <w:rPr>
                <w:noProof/>
                <w:color w:val="000000"/>
                <w:sz w:val="20"/>
                <w:szCs w:val="20"/>
              </w:rPr>
              <w:t>Mirza, et al.</w:t>
            </w:r>
            <w:r w:rsidR="0005669B" w:rsidRPr="0005669B">
              <w:rPr>
                <w:noProof/>
                <w:color w:val="000000"/>
                <w:sz w:val="20"/>
                <w:szCs w:val="20"/>
                <w:vertAlign w:val="superscript"/>
              </w:rPr>
              <w:t>34</w:t>
            </w:r>
            <w:r w:rsidRPr="0005669B">
              <w:rPr>
                <w:color w:val="000000"/>
                <w:sz w:val="20"/>
                <w:szCs w:val="20"/>
              </w:rPr>
              <w:fldChar w:fldCharType="end"/>
            </w:r>
          </w:p>
        </w:tc>
        <w:tc>
          <w:tcPr>
            <w:tcW w:w="1985" w:type="dxa"/>
            <w:tcBorders>
              <w:top w:val="nil"/>
              <w:left w:val="nil"/>
              <w:bottom w:val="single" w:sz="4" w:space="0" w:color="auto"/>
              <w:right w:val="single" w:sz="4" w:space="0" w:color="auto"/>
            </w:tcBorders>
            <w:vAlign w:val="center"/>
            <w:hideMark/>
          </w:tcPr>
          <w:p w14:paraId="51F62DCD" w14:textId="77777777" w:rsidR="006C77C4" w:rsidRPr="0005669B" w:rsidRDefault="006C77C4" w:rsidP="006C77C4">
            <w:pPr>
              <w:rPr>
                <w:color w:val="000000"/>
                <w:sz w:val="20"/>
                <w:szCs w:val="20"/>
              </w:rPr>
            </w:pPr>
            <w:r w:rsidRPr="0005669B">
              <w:rPr>
                <w:color w:val="000000"/>
                <w:sz w:val="20"/>
                <w:szCs w:val="20"/>
              </w:rPr>
              <w:t>Europe</w:t>
            </w:r>
          </w:p>
        </w:tc>
        <w:tc>
          <w:tcPr>
            <w:tcW w:w="924" w:type="dxa"/>
            <w:tcBorders>
              <w:top w:val="nil"/>
              <w:left w:val="nil"/>
              <w:bottom w:val="single" w:sz="4" w:space="0" w:color="auto"/>
              <w:right w:val="single" w:sz="4" w:space="0" w:color="auto"/>
            </w:tcBorders>
            <w:shd w:val="clear" w:color="000000" w:fill="FFFFFF"/>
            <w:noWrap/>
            <w:vAlign w:val="center"/>
            <w:hideMark/>
          </w:tcPr>
          <w:p w14:paraId="1C99FF11" w14:textId="7C020589" w:rsidR="006C77C4" w:rsidRPr="0005669B" w:rsidRDefault="006C77C4" w:rsidP="006C77C4">
            <w:pPr>
              <w:jc w:val="center"/>
              <w:rPr>
                <w:color w:val="000000"/>
                <w:sz w:val="20"/>
                <w:szCs w:val="20"/>
              </w:rPr>
            </w:pPr>
            <w:r w:rsidRPr="0005669B">
              <w:rPr>
                <w:color w:val="000000"/>
                <w:sz w:val="20"/>
                <w:szCs w:val="20"/>
              </w:rPr>
              <w:t>175</w:t>
            </w:r>
          </w:p>
        </w:tc>
        <w:tc>
          <w:tcPr>
            <w:tcW w:w="777" w:type="dxa"/>
            <w:tcBorders>
              <w:top w:val="nil"/>
              <w:left w:val="nil"/>
              <w:bottom w:val="single" w:sz="4" w:space="0" w:color="auto"/>
              <w:right w:val="single" w:sz="4" w:space="0" w:color="auto"/>
            </w:tcBorders>
            <w:shd w:val="clear" w:color="000000" w:fill="FFFFFF"/>
            <w:noWrap/>
            <w:vAlign w:val="center"/>
            <w:hideMark/>
          </w:tcPr>
          <w:p w14:paraId="5ADAF156" w14:textId="77777777" w:rsidR="006C77C4" w:rsidRPr="0005669B" w:rsidRDefault="006C77C4" w:rsidP="006C77C4">
            <w:pPr>
              <w:jc w:val="center"/>
              <w:rPr>
                <w:color w:val="000000"/>
                <w:sz w:val="20"/>
                <w:szCs w:val="20"/>
              </w:rPr>
            </w:pPr>
            <w:r w:rsidRPr="0005669B">
              <w:rPr>
                <w:color w:val="000000"/>
                <w:sz w:val="20"/>
                <w:szCs w:val="20"/>
              </w:rPr>
              <w:t>2023</w:t>
            </w:r>
          </w:p>
        </w:tc>
        <w:tc>
          <w:tcPr>
            <w:tcW w:w="1706" w:type="dxa"/>
            <w:tcBorders>
              <w:top w:val="nil"/>
              <w:left w:val="nil"/>
              <w:bottom w:val="single" w:sz="4" w:space="0" w:color="auto"/>
              <w:right w:val="single" w:sz="4" w:space="0" w:color="auto"/>
            </w:tcBorders>
            <w:shd w:val="clear" w:color="000000" w:fill="FFFFFF"/>
            <w:noWrap/>
            <w:hideMark/>
          </w:tcPr>
          <w:p w14:paraId="1C6958FF" w14:textId="4313CB0F" w:rsidR="006C77C4" w:rsidRPr="0005669B" w:rsidRDefault="006C77C4" w:rsidP="006C77C4">
            <w:pPr>
              <w:rPr>
                <w:color w:val="000000"/>
                <w:sz w:val="20"/>
                <w:szCs w:val="20"/>
              </w:rPr>
            </w:pPr>
            <w:r w:rsidRPr="0005669B">
              <w:rPr>
                <w:sz w:val="20"/>
                <w:szCs w:val="20"/>
              </w:rPr>
              <w:t>SSCI/Q1</w:t>
            </w:r>
          </w:p>
        </w:tc>
      </w:tr>
      <w:tr w:rsidR="006C77C4" w:rsidRPr="0005669B" w14:paraId="5D06EBAF" w14:textId="77777777" w:rsidTr="00F14CAD">
        <w:trPr>
          <w:trHeight w:val="50"/>
          <w:jc w:val="center"/>
        </w:trPr>
        <w:tc>
          <w:tcPr>
            <w:tcW w:w="442" w:type="dxa"/>
            <w:tcBorders>
              <w:top w:val="nil"/>
              <w:left w:val="single" w:sz="4" w:space="0" w:color="auto"/>
              <w:bottom w:val="single" w:sz="4" w:space="0" w:color="auto"/>
              <w:right w:val="single" w:sz="4" w:space="0" w:color="auto"/>
            </w:tcBorders>
            <w:vAlign w:val="center"/>
            <w:hideMark/>
          </w:tcPr>
          <w:p w14:paraId="4798889B" w14:textId="77777777" w:rsidR="006C77C4" w:rsidRPr="0005669B" w:rsidRDefault="006C77C4" w:rsidP="006C77C4">
            <w:pPr>
              <w:jc w:val="right"/>
              <w:rPr>
                <w:color w:val="000000"/>
                <w:sz w:val="20"/>
                <w:szCs w:val="20"/>
              </w:rPr>
            </w:pPr>
            <w:r w:rsidRPr="0005669B">
              <w:rPr>
                <w:color w:val="000000"/>
                <w:sz w:val="20"/>
                <w:szCs w:val="20"/>
              </w:rPr>
              <w:t>11</w:t>
            </w:r>
          </w:p>
        </w:tc>
        <w:tc>
          <w:tcPr>
            <w:tcW w:w="3522" w:type="dxa"/>
            <w:tcBorders>
              <w:top w:val="nil"/>
              <w:left w:val="nil"/>
              <w:bottom w:val="single" w:sz="4" w:space="0" w:color="auto"/>
              <w:right w:val="single" w:sz="4" w:space="0" w:color="auto"/>
            </w:tcBorders>
            <w:vAlign w:val="center"/>
            <w:hideMark/>
          </w:tcPr>
          <w:p w14:paraId="41BD6E5C" w14:textId="7AC71051" w:rsidR="006C77C4" w:rsidRPr="0005669B" w:rsidRDefault="00A070B4" w:rsidP="006C77C4">
            <w:pPr>
              <w:rPr>
                <w:color w:val="000000"/>
                <w:sz w:val="20"/>
                <w:szCs w:val="20"/>
              </w:rPr>
            </w:pPr>
            <w:r w:rsidRPr="0005669B">
              <w:rPr>
                <w:color w:val="000000"/>
                <w:sz w:val="20"/>
                <w:szCs w:val="20"/>
              </w:rPr>
              <w:fldChar w:fldCharType="begin"/>
            </w:r>
            <w:r w:rsidR="0005669B" w:rsidRPr="0005669B">
              <w:rPr>
                <w:color w:val="000000"/>
                <w:sz w:val="20"/>
                <w:szCs w:val="20"/>
              </w:rPr>
              <w:instrText xml:space="preserve"> ADDIN EN.CITE &lt;EndNote&gt;&lt;Cite AuthorYear="1"&gt;&lt;Author&gt;Khan&lt;/Author&gt;&lt;Year&gt;2023&lt;/Year&gt;&lt;RecNum&gt;78&lt;/RecNum&gt;&lt;DisplayText&gt;Khan, et al.&lt;style face="superscript"&gt;35&lt;/style&gt;&lt;/DisplayText&gt;&lt;record&gt;&lt;rec-number&gt;78&lt;/rec-number&gt;&lt;foreign-keys&gt;&lt;key app="EN" db-id="wapx0v0s4rw2r6esw9dpwpd1wwvx05v0920r" timestamp="1769481576"&gt;78&lt;/key&gt;&lt;/foreign-keys&gt;&lt;ref-type name="Journal Article"&gt;17&lt;/ref-type&gt;&lt;contributors&gt;&lt;authors&gt;&lt;author&gt;Khan, Habib Hussain&lt;/author&gt;&lt;author&gt;Khan, Shoaib&lt;/author&gt;&lt;author&gt;Ghafoor, Abdul&lt;/author&gt;&lt;/authors&gt;&lt;/contributors&gt;&lt;titles&gt;&lt;title&gt;Fintech adoption, the regulatory environment and bank stability: An empirical investigation from GCC economies&lt;/title&gt;&lt;secondary-title&gt;Borsa Istanbul Review&lt;/secondary-title&gt;&lt;/titles&gt;&lt;periodical&gt;&lt;full-title&gt;Borsa Istanbul Review&lt;/full-title&gt;&lt;/periodical&gt;&lt;pages&gt;1263-1281&lt;/pages&gt;&lt;volume&gt;23&lt;/volume&gt;&lt;number&gt;6&lt;/number&gt;&lt;dates&gt;&lt;year&gt;2023&lt;/year&gt;&lt;/dates&gt;&lt;isbn&gt;2214-8450&lt;/isbn&gt;&lt;urls&gt;&lt;/urls&gt;&lt;/record&gt;&lt;/Cite&gt;&lt;/EndNote&gt;</w:instrText>
            </w:r>
            <w:r w:rsidRPr="0005669B">
              <w:rPr>
                <w:color w:val="000000"/>
                <w:sz w:val="20"/>
                <w:szCs w:val="20"/>
              </w:rPr>
              <w:fldChar w:fldCharType="separate"/>
            </w:r>
            <w:r w:rsidR="0005669B" w:rsidRPr="0005669B">
              <w:rPr>
                <w:noProof/>
                <w:color w:val="000000"/>
                <w:sz w:val="20"/>
                <w:szCs w:val="20"/>
              </w:rPr>
              <w:t>Khan, et al.</w:t>
            </w:r>
            <w:r w:rsidR="0005669B" w:rsidRPr="0005669B">
              <w:rPr>
                <w:noProof/>
                <w:color w:val="000000"/>
                <w:sz w:val="20"/>
                <w:szCs w:val="20"/>
                <w:vertAlign w:val="superscript"/>
              </w:rPr>
              <w:t>35</w:t>
            </w:r>
            <w:r w:rsidRPr="0005669B">
              <w:rPr>
                <w:color w:val="000000"/>
                <w:sz w:val="20"/>
                <w:szCs w:val="20"/>
              </w:rPr>
              <w:fldChar w:fldCharType="end"/>
            </w:r>
          </w:p>
        </w:tc>
        <w:tc>
          <w:tcPr>
            <w:tcW w:w="1985" w:type="dxa"/>
            <w:tcBorders>
              <w:top w:val="nil"/>
              <w:left w:val="nil"/>
              <w:bottom w:val="single" w:sz="4" w:space="0" w:color="auto"/>
              <w:right w:val="single" w:sz="4" w:space="0" w:color="auto"/>
            </w:tcBorders>
            <w:vAlign w:val="center"/>
            <w:hideMark/>
          </w:tcPr>
          <w:p w14:paraId="1B3FA746" w14:textId="77777777" w:rsidR="006C77C4" w:rsidRPr="0005669B" w:rsidRDefault="006C77C4" w:rsidP="006C77C4">
            <w:pPr>
              <w:rPr>
                <w:color w:val="000000"/>
                <w:sz w:val="20"/>
                <w:szCs w:val="20"/>
              </w:rPr>
            </w:pPr>
            <w:r w:rsidRPr="0005669B">
              <w:rPr>
                <w:color w:val="000000"/>
                <w:sz w:val="20"/>
                <w:szCs w:val="20"/>
              </w:rPr>
              <w:t>GCC countries</w:t>
            </w:r>
          </w:p>
        </w:tc>
        <w:tc>
          <w:tcPr>
            <w:tcW w:w="924" w:type="dxa"/>
            <w:tcBorders>
              <w:top w:val="nil"/>
              <w:left w:val="nil"/>
              <w:bottom w:val="single" w:sz="4" w:space="0" w:color="auto"/>
              <w:right w:val="single" w:sz="4" w:space="0" w:color="auto"/>
            </w:tcBorders>
            <w:shd w:val="clear" w:color="000000" w:fill="FFFFFF"/>
            <w:noWrap/>
            <w:vAlign w:val="center"/>
            <w:hideMark/>
          </w:tcPr>
          <w:p w14:paraId="6456B308" w14:textId="06EA979F" w:rsidR="006C77C4" w:rsidRPr="0005669B" w:rsidRDefault="006C77C4" w:rsidP="006C77C4">
            <w:pPr>
              <w:jc w:val="center"/>
              <w:rPr>
                <w:color w:val="000000"/>
                <w:sz w:val="20"/>
                <w:szCs w:val="20"/>
              </w:rPr>
            </w:pPr>
            <w:r w:rsidRPr="0005669B">
              <w:rPr>
                <w:color w:val="000000"/>
                <w:sz w:val="20"/>
                <w:szCs w:val="20"/>
              </w:rPr>
              <w:t>97</w:t>
            </w:r>
          </w:p>
        </w:tc>
        <w:tc>
          <w:tcPr>
            <w:tcW w:w="777" w:type="dxa"/>
            <w:tcBorders>
              <w:top w:val="nil"/>
              <w:left w:val="nil"/>
              <w:bottom w:val="single" w:sz="4" w:space="0" w:color="auto"/>
              <w:right w:val="single" w:sz="4" w:space="0" w:color="auto"/>
            </w:tcBorders>
            <w:shd w:val="clear" w:color="000000" w:fill="FFFFFF"/>
            <w:noWrap/>
            <w:vAlign w:val="center"/>
            <w:hideMark/>
          </w:tcPr>
          <w:p w14:paraId="6D1F27D3" w14:textId="77777777" w:rsidR="006C77C4" w:rsidRPr="0005669B" w:rsidRDefault="006C77C4" w:rsidP="006C77C4">
            <w:pPr>
              <w:jc w:val="center"/>
              <w:rPr>
                <w:color w:val="000000"/>
                <w:sz w:val="20"/>
                <w:szCs w:val="20"/>
              </w:rPr>
            </w:pPr>
            <w:r w:rsidRPr="0005669B">
              <w:rPr>
                <w:color w:val="000000"/>
                <w:sz w:val="20"/>
                <w:szCs w:val="20"/>
              </w:rPr>
              <w:t>2023</w:t>
            </w:r>
          </w:p>
        </w:tc>
        <w:tc>
          <w:tcPr>
            <w:tcW w:w="1706" w:type="dxa"/>
            <w:tcBorders>
              <w:top w:val="nil"/>
              <w:left w:val="nil"/>
              <w:bottom w:val="single" w:sz="4" w:space="0" w:color="auto"/>
              <w:right w:val="single" w:sz="4" w:space="0" w:color="auto"/>
            </w:tcBorders>
            <w:shd w:val="clear" w:color="000000" w:fill="FFFFFF"/>
            <w:noWrap/>
            <w:hideMark/>
          </w:tcPr>
          <w:p w14:paraId="5F47B566" w14:textId="6A687868" w:rsidR="006C77C4" w:rsidRPr="0005669B" w:rsidRDefault="006C77C4" w:rsidP="006C77C4">
            <w:pPr>
              <w:rPr>
                <w:color w:val="000000"/>
                <w:sz w:val="20"/>
                <w:szCs w:val="20"/>
              </w:rPr>
            </w:pPr>
            <w:r w:rsidRPr="0005669B">
              <w:rPr>
                <w:sz w:val="20"/>
                <w:szCs w:val="20"/>
              </w:rPr>
              <w:t>SSCI/Q1</w:t>
            </w:r>
          </w:p>
        </w:tc>
      </w:tr>
      <w:tr w:rsidR="006C77C4" w:rsidRPr="0005669B" w14:paraId="51B33716" w14:textId="77777777" w:rsidTr="00F14CAD">
        <w:trPr>
          <w:trHeight w:val="50"/>
          <w:jc w:val="center"/>
        </w:trPr>
        <w:tc>
          <w:tcPr>
            <w:tcW w:w="442" w:type="dxa"/>
            <w:tcBorders>
              <w:top w:val="nil"/>
              <w:left w:val="single" w:sz="4" w:space="0" w:color="auto"/>
              <w:bottom w:val="single" w:sz="4" w:space="0" w:color="auto"/>
              <w:right w:val="single" w:sz="4" w:space="0" w:color="auto"/>
            </w:tcBorders>
            <w:vAlign w:val="center"/>
            <w:hideMark/>
          </w:tcPr>
          <w:p w14:paraId="6D8C8C69" w14:textId="77777777" w:rsidR="006C77C4" w:rsidRPr="0005669B" w:rsidRDefault="006C77C4" w:rsidP="006C77C4">
            <w:pPr>
              <w:jc w:val="right"/>
              <w:rPr>
                <w:color w:val="000000"/>
                <w:sz w:val="20"/>
                <w:szCs w:val="20"/>
              </w:rPr>
            </w:pPr>
            <w:r w:rsidRPr="0005669B">
              <w:rPr>
                <w:color w:val="000000"/>
                <w:sz w:val="20"/>
                <w:szCs w:val="20"/>
              </w:rPr>
              <w:t>12</w:t>
            </w:r>
          </w:p>
        </w:tc>
        <w:tc>
          <w:tcPr>
            <w:tcW w:w="3522" w:type="dxa"/>
            <w:tcBorders>
              <w:top w:val="nil"/>
              <w:left w:val="nil"/>
              <w:bottom w:val="single" w:sz="4" w:space="0" w:color="auto"/>
              <w:right w:val="single" w:sz="4" w:space="0" w:color="auto"/>
            </w:tcBorders>
            <w:vAlign w:val="center"/>
            <w:hideMark/>
          </w:tcPr>
          <w:p w14:paraId="43F3914E" w14:textId="0538E64A" w:rsidR="006C77C4" w:rsidRPr="0005669B" w:rsidRDefault="00017211" w:rsidP="006C77C4">
            <w:pPr>
              <w:rPr>
                <w:color w:val="000000"/>
                <w:sz w:val="20"/>
                <w:szCs w:val="20"/>
              </w:rPr>
            </w:pPr>
            <w:r w:rsidRPr="0005669B">
              <w:rPr>
                <w:color w:val="000000"/>
                <w:sz w:val="20"/>
                <w:szCs w:val="20"/>
              </w:rPr>
              <w:fldChar w:fldCharType="begin"/>
            </w:r>
            <w:r w:rsidR="0005669B" w:rsidRPr="0005669B">
              <w:rPr>
                <w:color w:val="000000"/>
                <w:sz w:val="20"/>
                <w:szCs w:val="20"/>
              </w:rPr>
              <w:instrText xml:space="preserve"> ADDIN EN.CITE &lt;EndNote&gt;&lt;Cite AuthorYear="1"&gt;&lt;Author&gt;Yoon&lt;/Author&gt;&lt;Year&gt;2023&lt;/Year&gt;&lt;RecNum&gt;79&lt;/RecNum&gt;&lt;DisplayText&gt;Yoon, et al.&lt;style face="superscript"&gt;36&lt;/style&gt;&lt;/DisplayText&gt;&lt;record&gt;&lt;rec-number&gt;79&lt;/rec-number&gt;&lt;foreign-keys&gt;&lt;key app="EN" db-id="wapx0v0s4rw2r6esw9dpwpd1wwvx05v0920r" timestamp="1769481612"&gt;79&lt;/key&gt;&lt;/foreign-keys&gt;&lt;ref-type name="Journal Article"&gt;17&lt;/ref-type&gt;&lt;contributors&gt;&lt;authors&gt;&lt;author&gt;Yoon, Soon Suk&lt;/author&gt;&lt;author&gt;Lee, Hongbok&lt;/author&gt;&lt;author&gt;Oh, Ingyu&lt;/author&gt;&lt;/authors&gt;&lt;/contributors&gt;&lt;titles&gt;&lt;title&gt;Differential impact of Fintech and GDP on bank performance: Global evidence&lt;/title&gt;&lt;secondary-title&gt;Journal of risk and financial management&lt;/secondary-title&gt;&lt;/titles&gt;&lt;periodical&gt;&lt;full-title&gt;Journal of Risk and Financial Management&lt;/full-title&gt;&lt;/periodical&gt;&lt;pages&gt;304&lt;/pages&gt;&lt;volume&gt;16&lt;/volume&gt;&lt;number&gt;7&lt;/number&gt;&lt;dates&gt;&lt;year&gt;2023&lt;/year&gt;&lt;/dates&gt;&lt;isbn&gt;1911-8074&lt;/isbn&gt;&lt;urls&gt;&lt;/urls&gt;&lt;/record&gt;&lt;/Cite&gt;&lt;/EndNote&gt;</w:instrText>
            </w:r>
            <w:r w:rsidRPr="0005669B">
              <w:rPr>
                <w:color w:val="000000"/>
                <w:sz w:val="20"/>
                <w:szCs w:val="20"/>
              </w:rPr>
              <w:fldChar w:fldCharType="separate"/>
            </w:r>
            <w:r w:rsidR="0005669B" w:rsidRPr="0005669B">
              <w:rPr>
                <w:noProof/>
                <w:color w:val="000000"/>
                <w:sz w:val="20"/>
                <w:szCs w:val="20"/>
              </w:rPr>
              <w:t>Yoon, et al.</w:t>
            </w:r>
            <w:r w:rsidR="0005669B" w:rsidRPr="0005669B">
              <w:rPr>
                <w:noProof/>
                <w:color w:val="000000"/>
                <w:sz w:val="20"/>
                <w:szCs w:val="20"/>
                <w:vertAlign w:val="superscript"/>
              </w:rPr>
              <w:t>36</w:t>
            </w:r>
            <w:r w:rsidRPr="0005669B">
              <w:rPr>
                <w:color w:val="000000"/>
                <w:sz w:val="20"/>
                <w:szCs w:val="20"/>
              </w:rPr>
              <w:fldChar w:fldCharType="end"/>
            </w:r>
          </w:p>
        </w:tc>
        <w:tc>
          <w:tcPr>
            <w:tcW w:w="1985" w:type="dxa"/>
            <w:tcBorders>
              <w:top w:val="nil"/>
              <w:left w:val="nil"/>
              <w:bottom w:val="single" w:sz="4" w:space="0" w:color="auto"/>
              <w:right w:val="single" w:sz="4" w:space="0" w:color="auto"/>
            </w:tcBorders>
            <w:vAlign w:val="center"/>
            <w:hideMark/>
          </w:tcPr>
          <w:p w14:paraId="721A2C3C" w14:textId="77777777" w:rsidR="006C77C4" w:rsidRPr="0005669B" w:rsidRDefault="006C77C4" w:rsidP="006C77C4">
            <w:pPr>
              <w:rPr>
                <w:color w:val="000000"/>
                <w:sz w:val="20"/>
                <w:szCs w:val="20"/>
              </w:rPr>
            </w:pPr>
            <w:r w:rsidRPr="0005669B">
              <w:rPr>
                <w:color w:val="000000"/>
                <w:sz w:val="20"/>
                <w:szCs w:val="20"/>
              </w:rPr>
              <w:t>Global</w:t>
            </w:r>
          </w:p>
        </w:tc>
        <w:tc>
          <w:tcPr>
            <w:tcW w:w="924" w:type="dxa"/>
            <w:tcBorders>
              <w:top w:val="nil"/>
              <w:left w:val="nil"/>
              <w:bottom w:val="single" w:sz="4" w:space="0" w:color="auto"/>
              <w:right w:val="single" w:sz="4" w:space="0" w:color="auto"/>
            </w:tcBorders>
            <w:shd w:val="clear" w:color="000000" w:fill="FFFFFF"/>
            <w:noWrap/>
            <w:vAlign w:val="center"/>
            <w:hideMark/>
          </w:tcPr>
          <w:p w14:paraId="6E90B42B" w14:textId="2C330E48" w:rsidR="006C77C4" w:rsidRPr="0005669B" w:rsidRDefault="006C77C4" w:rsidP="006C77C4">
            <w:pPr>
              <w:jc w:val="center"/>
              <w:rPr>
                <w:color w:val="000000"/>
                <w:sz w:val="20"/>
                <w:szCs w:val="20"/>
              </w:rPr>
            </w:pPr>
            <w:r w:rsidRPr="0005669B">
              <w:rPr>
                <w:color w:val="000000"/>
                <w:sz w:val="20"/>
                <w:szCs w:val="20"/>
              </w:rPr>
              <w:t>42</w:t>
            </w:r>
          </w:p>
        </w:tc>
        <w:tc>
          <w:tcPr>
            <w:tcW w:w="777" w:type="dxa"/>
            <w:tcBorders>
              <w:top w:val="nil"/>
              <w:left w:val="nil"/>
              <w:bottom w:val="single" w:sz="4" w:space="0" w:color="auto"/>
              <w:right w:val="single" w:sz="4" w:space="0" w:color="auto"/>
            </w:tcBorders>
            <w:shd w:val="clear" w:color="000000" w:fill="FFFFFF"/>
            <w:noWrap/>
            <w:vAlign w:val="center"/>
            <w:hideMark/>
          </w:tcPr>
          <w:p w14:paraId="405CB9F3" w14:textId="77777777" w:rsidR="006C77C4" w:rsidRPr="0005669B" w:rsidRDefault="006C77C4" w:rsidP="006C77C4">
            <w:pPr>
              <w:jc w:val="center"/>
              <w:rPr>
                <w:color w:val="000000"/>
                <w:sz w:val="20"/>
                <w:szCs w:val="20"/>
              </w:rPr>
            </w:pPr>
            <w:r w:rsidRPr="0005669B">
              <w:rPr>
                <w:color w:val="000000"/>
                <w:sz w:val="20"/>
                <w:szCs w:val="20"/>
              </w:rPr>
              <w:t>2023</w:t>
            </w:r>
          </w:p>
        </w:tc>
        <w:tc>
          <w:tcPr>
            <w:tcW w:w="1706" w:type="dxa"/>
            <w:tcBorders>
              <w:top w:val="nil"/>
              <w:left w:val="nil"/>
              <w:bottom w:val="single" w:sz="4" w:space="0" w:color="auto"/>
              <w:right w:val="single" w:sz="4" w:space="0" w:color="auto"/>
            </w:tcBorders>
            <w:shd w:val="clear" w:color="000000" w:fill="FFFFFF"/>
            <w:noWrap/>
            <w:hideMark/>
          </w:tcPr>
          <w:p w14:paraId="40568182" w14:textId="62D601D1" w:rsidR="006C77C4" w:rsidRPr="0005669B" w:rsidRDefault="006C77C4" w:rsidP="006C77C4">
            <w:pPr>
              <w:rPr>
                <w:color w:val="000000"/>
                <w:sz w:val="20"/>
                <w:szCs w:val="20"/>
              </w:rPr>
            </w:pPr>
            <w:r w:rsidRPr="0005669B">
              <w:rPr>
                <w:sz w:val="20"/>
                <w:szCs w:val="20"/>
              </w:rPr>
              <w:t>Scopus/Q2</w:t>
            </w:r>
          </w:p>
        </w:tc>
      </w:tr>
      <w:tr w:rsidR="006C77C4" w:rsidRPr="0005669B" w14:paraId="5934BD92" w14:textId="77777777" w:rsidTr="00F14CAD">
        <w:trPr>
          <w:trHeight w:val="56"/>
          <w:jc w:val="center"/>
        </w:trPr>
        <w:tc>
          <w:tcPr>
            <w:tcW w:w="442" w:type="dxa"/>
            <w:tcBorders>
              <w:top w:val="nil"/>
              <w:left w:val="single" w:sz="4" w:space="0" w:color="auto"/>
              <w:bottom w:val="single" w:sz="4" w:space="0" w:color="auto"/>
              <w:right w:val="single" w:sz="4" w:space="0" w:color="auto"/>
            </w:tcBorders>
            <w:vAlign w:val="center"/>
            <w:hideMark/>
          </w:tcPr>
          <w:p w14:paraId="63551F2E" w14:textId="77777777" w:rsidR="006C77C4" w:rsidRPr="0005669B" w:rsidRDefault="006C77C4" w:rsidP="006C77C4">
            <w:pPr>
              <w:jc w:val="right"/>
              <w:rPr>
                <w:color w:val="000000"/>
                <w:sz w:val="20"/>
                <w:szCs w:val="20"/>
              </w:rPr>
            </w:pPr>
            <w:r w:rsidRPr="0005669B">
              <w:rPr>
                <w:color w:val="000000"/>
                <w:sz w:val="20"/>
                <w:szCs w:val="20"/>
              </w:rPr>
              <w:t>13</w:t>
            </w:r>
          </w:p>
        </w:tc>
        <w:tc>
          <w:tcPr>
            <w:tcW w:w="3522" w:type="dxa"/>
            <w:tcBorders>
              <w:top w:val="nil"/>
              <w:left w:val="nil"/>
              <w:bottom w:val="single" w:sz="4" w:space="0" w:color="auto"/>
              <w:right w:val="single" w:sz="4" w:space="0" w:color="auto"/>
            </w:tcBorders>
            <w:vAlign w:val="center"/>
            <w:hideMark/>
          </w:tcPr>
          <w:p w14:paraId="539A1FE5" w14:textId="1412947B" w:rsidR="006C77C4" w:rsidRPr="0005669B" w:rsidRDefault="00017211" w:rsidP="006C77C4">
            <w:pPr>
              <w:rPr>
                <w:color w:val="000000"/>
                <w:sz w:val="20"/>
                <w:szCs w:val="20"/>
              </w:rPr>
            </w:pPr>
            <w:r w:rsidRPr="0005669B">
              <w:rPr>
                <w:color w:val="000000"/>
                <w:sz w:val="20"/>
                <w:szCs w:val="20"/>
              </w:rPr>
              <w:fldChar w:fldCharType="begin"/>
            </w:r>
            <w:r w:rsidR="0005669B" w:rsidRPr="0005669B">
              <w:rPr>
                <w:color w:val="000000"/>
                <w:sz w:val="20"/>
                <w:szCs w:val="20"/>
              </w:rPr>
              <w:instrText xml:space="preserve"> ADDIN EN.CITE &lt;EndNote&gt;&lt;Cite AuthorYear="1"&gt;&lt;Author&gt;Hidayat-ur-Rehman&lt;/Author&gt;&lt;Year&gt;2025&lt;/Year&gt;&lt;RecNum&gt;80&lt;/RecNum&gt;&lt;DisplayText&gt;Hidayat-ur-Rehman and Hossain&lt;style face="superscript"&gt;37&lt;/style&gt;&lt;/DisplayText&gt;&lt;record&gt;&lt;rec-number&gt;80&lt;/rec-number&gt;&lt;foreign-keys&gt;&lt;key app="EN" db-id="wapx0v0s4rw2r6esw9dpwpd1wwvx05v0920r" timestamp="1769481638"&gt;80&lt;/key&gt;&lt;/foreign-keys&gt;&lt;ref-type name="Journal Article"&gt;17&lt;/ref-type&gt;&lt;contributors&gt;&lt;authors&gt;&lt;author&gt;Hidayat-ur-Rehman, Imdadullah&lt;/author&gt;&lt;author&gt;Hossain, Md Nahin&lt;/author&gt;&lt;/authors&gt;&lt;/contributors&gt;&lt;titles&gt;&lt;title&gt;The impacts of Fintech adoption, green finance and competitiveness on banks’ sustainable performance: digital transformation as moderator&lt;/title&gt;&lt;secondary-title&gt;Asia-Pacific Journal of Business Administration&lt;/secondary-title&gt;&lt;/titles&gt;&lt;periodical&gt;&lt;full-title&gt;Asia-Pacific Journal of Business Administration&lt;/full-title&gt;&lt;/periodical&gt;&lt;pages&gt;987-1020&lt;/pages&gt;&lt;volume&gt;17&lt;/volume&gt;&lt;number&gt;4&lt;/number&gt;&lt;dates&gt;&lt;year&gt;2025&lt;/year&gt;&lt;/dates&gt;&lt;isbn&gt;1757-4323&lt;/isbn&gt;&lt;urls&gt;&lt;/urls&gt;&lt;/record&gt;&lt;/Cite&gt;&lt;/EndNote&gt;</w:instrText>
            </w:r>
            <w:r w:rsidRPr="0005669B">
              <w:rPr>
                <w:color w:val="000000"/>
                <w:sz w:val="20"/>
                <w:szCs w:val="20"/>
              </w:rPr>
              <w:fldChar w:fldCharType="separate"/>
            </w:r>
            <w:r w:rsidR="0005669B" w:rsidRPr="0005669B">
              <w:rPr>
                <w:noProof/>
                <w:color w:val="000000"/>
                <w:sz w:val="20"/>
                <w:szCs w:val="20"/>
              </w:rPr>
              <w:t>Hidayat-ur-Rehman and Hossain</w:t>
            </w:r>
            <w:r w:rsidR="0005669B" w:rsidRPr="0005669B">
              <w:rPr>
                <w:noProof/>
                <w:color w:val="000000"/>
                <w:sz w:val="20"/>
                <w:szCs w:val="20"/>
                <w:vertAlign w:val="superscript"/>
              </w:rPr>
              <w:t>37</w:t>
            </w:r>
            <w:r w:rsidRPr="0005669B">
              <w:rPr>
                <w:color w:val="000000"/>
                <w:sz w:val="20"/>
                <w:szCs w:val="20"/>
              </w:rPr>
              <w:fldChar w:fldCharType="end"/>
            </w:r>
          </w:p>
        </w:tc>
        <w:tc>
          <w:tcPr>
            <w:tcW w:w="1985" w:type="dxa"/>
            <w:tcBorders>
              <w:top w:val="nil"/>
              <w:left w:val="nil"/>
              <w:bottom w:val="single" w:sz="4" w:space="0" w:color="auto"/>
              <w:right w:val="single" w:sz="4" w:space="0" w:color="auto"/>
            </w:tcBorders>
            <w:vAlign w:val="center"/>
            <w:hideMark/>
          </w:tcPr>
          <w:p w14:paraId="5AC67B84" w14:textId="77777777" w:rsidR="006C77C4" w:rsidRPr="0005669B" w:rsidRDefault="006C77C4" w:rsidP="006C77C4">
            <w:pPr>
              <w:rPr>
                <w:color w:val="000000"/>
                <w:sz w:val="20"/>
                <w:szCs w:val="20"/>
              </w:rPr>
            </w:pPr>
            <w:r w:rsidRPr="0005669B">
              <w:rPr>
                <w:color w:val="000000"/>
                <w:sz w:val="20"/>
                <w:szCs w:val="20"/>
              </w:rPr>
              <w:t>Pakistan</w:t>
            </w:r>
          </w:p>
        </w:tc>
        <w:tc>
          <w:tcPr>
            <w:tcW w:w="924" w:type="dxa"/>
            <w:tcBorders>
              <w:top w:val="nil"/>
              <w:left w:val="nil"/>
              <w:bottom w:val="single" w:sz="4" w:space="0" w:color="auto"/>
              <w:right w:val="single" w:sz="4" w:space="0" w:color="auto"/>
            </w:tcBorders>
            <w:shd w:val="clear" w:color="000000" w:fill="FFFFFF"/>
            <w:noWrap/>
            <w:vAlign w:val="center"/>
            <w:hideMark/>
          </w:tcPr>
          <w:p w14:paraId="64574D79" w14:textId="4AB250F7" w:rsidR="006C77C4" w:rsidRPr="0005669B" w:rsidRDefault="006C77C4" w:rsidP="006C77C4">
            <w:pPr>
              <w:jc w:val="center"/>
              <w:rPr>
                <w:color w:val="000000"/>
                <w:sz w:val="20"/>
                <w:szCs w:val="20"/>
              </w:rPr>
            </w:pPr>
            <w:r w:rsidRPr="0005669B">
              <w:rPr>
                <w:color w:val="000000"/>
                <w:sz w:val="20"/>
                <w:szCs w:val="20"/>
              </w:rPr>
              <w:t>108</w:t>
            </w:r>
          </w:p>
        </w:tc>
        <w:tc>
          <w:tcPr>
            <w:tcW w:w="777" w:type="dxa"/>
            <w:tcBorders>
              <w:top w:val="nil"/>
              <w:left w:val="nil"/>
              <w:bottom w:val="single" w:sz="4" w:space="0" w:color="auto"/>
              <w:right w:val="single" w:sz="4" w:space="0" w:color="auto"/>
            </w:tcBorders>
            <w:shd w:val="clear" w:color="000000" w:fill="FFFFFF"/>
            <w:noWrap/>
            <w:vAlign w:val="center"/>
            <w:hideMark/>
          </w:tcPr>
          <w:p w14:paraId="04440642" w14:textId="77777777" w:rsidR="006C77C4" w:rsidRPr="0005669B" w:rsidRDefault="006C77C4" w:rsidP="006C77C4">
            <w:pPr>
              <w:jc w:val="center"/>
              <w:rPr>
                <w:color w:val="000000"/>
                <w:sz w:val="20"/>
                <w:szCs w:val="20"/>
              </w:rPr>
            </w:pPr>
            <w:r w:rsidRPr="0005669B">
              <w:rPr>
                <w:color w:val="000000"/>
                <w:sz w:val="20"/>
                <w:szCs w:val="20"/>
              </w:rPr>
              <w:t>2024</w:t>
            </w:r>
          </w:p>
        </w:tc>
        <w:tc>
          <w:tcPr>
            <w:tcW w:w="1706" w:type="dxa"/>
            <w:tcBorders>
              <w:top w:val="nil"/>
              <w:left w:val="nil"/>
              <w:bottom w:val="single" w:sz="4" w:space="0" w:color="auto"/>
              <w:right w:val="single" w:sz="4" w:space="0" w:color="auto"/>
            </w:tcBorders>
            <w:shd w:val="clear" w:color="000000" w:fill="FFFFFF"/>
            <w:noWrap/>
            <w:hideMark/>
          </w:tcPr>
          <w:p w14:paraId="40B0C9A6" w14:textId="653E009E" w:rsidR="006C77C4" w:rsidRPr="0005669B" w:rsidRDefault="006C77C4" w:rsidP="006C77C4">
            <w:pPr>
              <w:rPr>
                <w:color w:val="000000"/>
                <w:sz w:val="20"/>
                <w:szCs w:val="20"/>
              </w:rPr>
            </w:pPr>
            <w:r w:rsidRPr="0005669B">
              <w:rPr>
                <w:sz w:val="20"/>
                <w:szCs w:val="20"/>
              </w:rPr>
              <w:t>ESCI/Q1</w:t>
            </w:r>
          </w:p>
        </w:tc>
      </w:tr>
      <w:tr w:rsidR="006C77C4" w:rsidRPr="0005669B" w14:paraId="78BC5903" w14:textId="77777777" w:rsidTr="00F14CAD">
        <w:trPr>
          <w:trHeight w:val="147"/>
          <w:jc w:val="center"/>
        </w:trPr>
        <w:tc>
          <w:tcPr>
            <w:tcW w:w="442" w:type="dxa"/>
            <w:tcBorders>
              <w:top w:val="nil"/>
              <w:left w:val="single" w:sz="4" w:space="0" w:color="auto"/>
              <w:bottom w:val="single" w:sz="4" w:space="0" w:color="auto"/>
              <w:right w:val="single" w:sz="4" w:space="0" w:color="auto"/>
            </w:tcBorders>
            <w:vAlign w:val="center"/>
            <w:hideMark/>
          </w:tcPr>
          <w:p w14:paraId="575962D4" w14:textId="77777777" w:rsidR="006C77C4" w:rsidRPr="0005669B" w:rsidRDefault="006C77C4" w:rsidP="006C77C4">
            <w:pPr>
              <w:jc w:val="right"/>
              <w:rPr>
                <w:color w:val="000000"/>
                <w:sz w:val="20"/>
                <w:szCs w:val="20"/>
              </w:rPr>
            </w:pPr>
            <w:r w:rsidRPr="0005669B">
              <w:rPr>
                <w:color w:val="000000"/>
                <w:sz w:val="20"/>
                <w:szCs w:val="20"/>
              </w:rPr>
              <w:t>14</w:t>
            </w:r>
          </w:p>
        </w:tc>
        <w:tc>
          <w:tcPr>
            <w:tcW w:w="3522" w:type="dxa"/>
            <w:tcBorders>
              <w:top w:val="nil"/>
              <w:left w:val="nil"/>
              <w:bottom w:val="single" w:sz="4" w:space="0" w:color="auto"/>
              <w:right w:val="single" w:sz="4" w:space="0" w:color="auto"/>
            </w:tcBorders>
            <w:vAlign w:val="center"/>
            <w:hideMark/>
          </w:tcPr>
          <w:p w14:paraId="1B314239" w14:textId="1BB1E3F0" w:rsidR="006C77C4" w:rsidRPr="0005669B" w:rsidRDefault="00990BED" w:rsidP="006C77C4">
            <w:pPr>
              <w:rPr>
                <w:color w:val="000000"/>
                <w:sz w:val="20"/>
                <w:szCs w:val="20"/>
              </w:rPr>
            </w:pPr>
            <w:r w:rsidRPr="0005669B">
              <w:rPr>
                <w:color w:val="000000"/>
                <w:sz w:val="20"/>
                <w:szCs w:val="20"/>
              </w:rPr>
              <w:fldChar w:fldCharType="begin"/>
            </w:r>
            <w:r w:rsidR="0005669B" w:rsidRPr="0005669B">
              <w:rPr>
                <w:color w:val="000000"/>
                <w:sz w:val="20"/>
                <w:szCs w:val="20"/>
              </w:rPr>
              <w:instrText xml:space="preserve"> ADDIN EN.CITE &lt;EndNote&gt;&lt;Cite AuthorYear="1"&gt;&lt;Author&gt;Alrsheedi&lt;/Author&gt;&lt;Year&gt;2025&lt;/Year&gt;&lt;RecNum&gt;81&lt;/RecNum&gt;&lt;DisplayText&gt;Alrsheedi and P Iskandar&lt;style face="superscript"&gt;38&lt;/style&gt;&lt;/DisplayText&gt;&lt;record&gt;&lt;rec-number&gt;81&lt;/rec-number&gt;&lt;foreign-keys&gt;&lt;key app="EN" db-id="wapx0v0s4rw2r6esw9dpwpd1wwvx05v0920r" timestamp="1769481671"&gt;81&lt;/key&gt;&lt;/foreign-keys&gt;&lt;ref-type name="Journal Article"&gt;17&lt;/ref-type&gt;&lt;contributors&gt;&lt;authors&gt;&lt;author&gt;Alrsheedi, Ali&lt;/author&gt;&lt;author&gt;P Iskandar, Yulita Hanum&lt;/author&gt;&lt;/authors&gt;&lt;/contributors&gt;&lt;titles&gt;&lt;title&gt;Key factors influencing fintech adoption among Saudi banks: a conceptual framework&lt;/title&gt;&lt;secondary-title&gt;Humanities and Social Sciences Communications&lt;/secondary-title&gt;&lt;/titles&gt;&lt;periodical&gt;&lt;full-title&gt;Humanities and Social Sciences Communications&lt;/full-title&gt;&lt;/periodical&gt;&lt;pages&gt;1-11&lt;/pages&gt;&lt;volume&gt;12&lt;/volume&gt;&lt;number&gt;1&lt;/number&gt;&lt;dates&gt;&lt;year&gt;2025&lt;/year&gt;&lt;/dates&gt;&lt;isbn&gt;2662-9992&lt;/isbn&gt;&lt;urls&gt;&lt;/urls&gt;&lt;/record&gt;&lt;/Cite&gt;&lt;/EndNote&gt;</w:instrText>
            </w:r>
            <w:r w:rsidRPr="0005669B">
              <w:rPr>
                <w:color w:val="000000"/>
                <w:sz w:val="20"/>
                <w:szCs w:val="20"/>
              </w:rPr>
              <w:fldChar w:fldCharType="separate"/>
            </w:r>
            <w:r w:rsidR="0005669B" w:rsidRPr="0005669B">
              <w:rPr>
                <w:noProof/>
                <w:color w:val="000000"/>
                <w:sz w:val="20"/>
                <w:szCs w:val="20"/>
              </w:rPr>
              <w:t>Alrsheedi and P Iskandar</w:t>
            </w:r>
            <w:r w:rsidR="0005669B" w:rsidRPr="0005669B">
              <w:rPr>
                <w:noProof/>
                <w:color w:val="000000"/>
                <w:sz w:val="20"/>
                <w:szCs w:val="20"/>
                <w:vertAlign w:val="superscript"/>
              </w:rPr>
              <w:t>38</w:t>
            </w:r>
            <w:r w:rsidRPr="0005669B">
              <w:rPr>
                <w:color w:val="000000"/>
                <w:sz w:val="20"/>
                <w:szCs w:val="20"/>
              </w:rPr>
              <w:fldChar w:fldCharType="end"/>
            </w:r>
          </w:p>
        </w:tc>
        <w:tc>
          <w:tcPr>
            <w:tcW w:w="1985" w:type="dxa"/>
            <w:tcBorders>
              <w:top w:val="nil"/>
              <w:left w:val="nil"/>
              <w:bottom w:val="single" w:sz="4" w:space="0" w:color="auto"/>
              <w:right w:val="single" w:sz="4" w:space="0" w:color="auto"/>
            </w:tcBorders>
            <w:vAlign w:val="center"/>
            <w:hideMark/>
          </w:tcPr>
          <w:p w14:paraId="4BC64B10" w14:textId="77777777" w:rsidR="006C77C4" w:rsidRPr="0005669B" w:rsidRDefault="006C77C4" w:rsidP="006C77C4">
            <w:pPr>
              <w:rPr>
                <w:color w:val="000000"/>
                <w:sz w:val="20"/>
                <w:szCs w:val="20"/>
              </w:rPr>
            </w:pPr>
            <w:r w:rsidRPr="0005669B">
              <w:rPr>
                <w:color w:val="000000"/>
                <w:sz w:val="20"/>
                <w:szCs w:val="20"/>
              </w:rPr>
              <w:t xml:space="preserve">Saudi Arabia </w:t>
            </w:r>
          </w:p>
        </w:tc>
        <w:tc>
          <w:tcPr>
            <w:tcW w:w="924" w:type="dxa"/>
            <w:tcBorders>
              <w:top w:val="nil"/>
              <w:left w:val="nil"/>
              <w:bottom w:val="single" w:sz="4" w:space="0" w:color="auto"/>
              <w:right w:val="single" w:sz="4" w:space="0" w:color="auto"/>
            </w:tcBorders>
            <w:shd w:val="clear" w:color="000000" w:fill="FFFFFF"/>
            <w:noWrap/>
            <w:vAlign w:val="center"/>
            <w:hideMark/>
          </w:tcPr>
          <w:p w14:paraId="0F52993A" w14:textId="0CAF1A12" w:rsidR="006C77C4" w:rsidRPr="0005669B" w:rsidRDefault="00990BED" w:rsidP="006C77C4">
            <w:pPr>
              <w:jc w:val="center"/>
              <w:rPr>
                <w:color w:val="000000"/>
                <w:sz w:val="20"/>
                <w:szCs w:val="20"/>
                <w:lang w:val="en-US"/>
              </w:rPr>
            </w:pPr>
            <w:r w:rsidRPr="0005669B">
              <w:rPr>
                <w:color w:val="000000"/>
                <w:sz w:val="20"/>
                <w:szCs w:val="20"/>
                <w:lang w:val="en-US"/>
              </w:rPr>
              <w:t>1</w:t>
            </w:r>
          </w:p>
        </w:tc>
        <w:tc>
          <w:tcPr>
            <w:tcW w:w="777" w:type="dxa"/>
            <w:tcBorders>
              <w:top w:val="nil"/>
              <w:left w:val="nil"/>
              <w:bottom w:val="single" w:sz="4" w:space="0" w:color="auto"/>
              <w:right w:val="single" w:sz="4" w:space="0" w:color="auto"/>
            </w:tcBorders>
            <w:shd w:val="clear" w:color="000000" w:fill="FFFFFF"/>
            <w:noWrap/>
            <w:vAlign w:val="center"/>
            <w:hideMark/>
          </w:tcPr>
          <w:p w14:paraId="6ECCFF9D" w14:textId="77777777" w:rsidR="006C77C4" w:rsidRPr="0005669B" w:rsidRDefault="006C77C4" w:rsidP="006C77C4">
            <w:pPr>
              <w:jc w:val="center"/>
              <w:rPr>
                <w:color w:val="000000"/>
                <w:sz w:val="20"/>
                <w:szCs w:val="20"/>
              </w:rPr>
            </w:pPr>
            <w:r w:rsidRPr="0005669B">
              <w:rPr>
                <w:color w:val="000000"/>
                <w:sz w:val="20"/>
                <w:szCs w:val="20"/>
              </w:rPr>
              <w:t>2025</w:t>
            </w:r>
          </w:p>
        </w:tc>
        <w:tc>
          <w:tcPr>
            <w:tcW w:w="1706" w:type="dxa"/>
            <w:tcBorders>
              <w:top w:val="nil"/>
              <w:left w:val="nil"/>
              <w:bottom w:val="single" w:sz="4" w:space="0" w:color="auto"/>
              <w:right w:val="single" w:sz="4" w:space="0" w:color="auto"/>
            </w:tcBorders>
            <w:shd w:val="clear" w:color="000000" w:fill="FFFFFF"/>
            <w:noWrap/>
            <w:hideMark/>
          </w:tcPr>
          <w:p w14:paraId="4977170E" w14:textId="28914FA2" w:rsidR="006C77C4" w:rsidRPr="0005669B" w:rsidRDefault="006C77C4" w:rsidP="006C77C4">
            <w:pPr>
              <w:rPr>
                <w:color w:val="000000"/>
                <w:sz w:val="20"/>
                <w:szCs w:val="20"/>
              </w:rPr>
            </w:pPr>
            <w:r w:rsidRPr="0005669B">
              <w:rPr>
                <w:sz w:val="20"/>
                <w:szCs w:val="20"/>
              </w:rPr>
              <w:t>SSCI/Q1</w:t>
            </w:r>
          </w:p>
        </w:tc>
      </w:tr>
      <w:tr w:rsidR="006C77C4" w:rsidRPr="0005669B" w14:paraId="5CE15BC5" w14:textId="77777777" w:rsidTr="00F14CAD">
        <w:trPr>
          <w:trHeight w:val="296"/>
          <w:jc w:val="center"/>
        </w:trPr>
        <w:tc>
          <w:tcPr>
            <w:tcW w:w="442" w:type="dxa"/>
            <w:tcBorders>
              <w:top w:val="nil"/>
              <w:left w:val="single" w:sz="4" w:space="0" w:color="auto"/>
              <w:bottom w:val="single" w:sz="4" w:space="0" w:color="auto"/>
              <w:right w:val="single" w:sz="4" w:space="0" w:color="auto"/>
            </w:tcBorders>
            <w:vAlign w:val="center"/>
            <w:hideMark/>
          </w:tcPr>
          <w:p w14:paraId="6CAFBBA0" w14:textId="77777777" w:rsidR="006C77C4" w:rsidRPr="0005669B" w:rsidRDefault="006C77C4" w:rsidP="006C77C4">
            <w:pPr>
              <w:jc w:val="right"/>
              <w:rPr>
                <w:color w:val="000000"/>
                <w:sz w:val="20"/>
                <w:szCs w:val="20"/>
              </w:rPr>
            </w:pPr>
            <w:r w:rsidRPr="0005669B">
              <w:rPr>
                <w:color w:val="000000"/>
                <w:sz w:val="20"/>
                <w:szCs w:val="20"/>
              </w:rPr>
              <w:t>15</w:t>
            </w:r>
          </w:p>
        </w:tc>
        <w:tc>
          <w:tcPr>
            <w:tcW w:w="3522" w:type="dxa"/>
            <w:tcBorders>
              <w:top w:val="nil"/>
              <w:left w:val="nil"/>
              <w:bottom w:val="single" w:sz="4" w:space="0" w:color="auto"/>
              <w:right w:val="single" w:sz="4" w:space="0" w:color="auto"/>
            </w:tcBorders>
            <w:vAlign w:val="center"/>
            <w:hideMark/>
          </w:tcPr>
          <w:p w14:paraId="2CBDECED" w14:textId="22FAAE65" w:rsidR="006C77C4" w:rsidRPr="0005669B" w:rsidRDefault="00FE0C53" w:rsidP="006C77C4">
            <w:pPr>
              <w:rPr>
                <w:color w:val="000000"/>
                <w:sz w:val="20"/>
                <w:szCs w:val="20"/>
              </w:rPr>
            </w:pPr>
            <w:r w:rsidRPr="0005669B">
              <w:rPr>
                <w:color w:val="000000"/>
                <w:sz w:val="20"/>
                <w:szCs w:val="20"/>
              </w:rPr>
              <w:fldChar w:fldCharType="begin"/>
            </w:r>
            <w:r w:rsidR="0005669B" w:rsidRPr="0005669B">
              <w:rPr>
                <w:color w:val="000000"/>
                <w:sz w:val="20"/>
                <w:szCs w:val="20"/>
              </w:rPr>
              <w:instrText xml:space="preserve"> ADDIN EN.CITE &lt;EndNote&gt;&lt;Cite AuthorYear="1"&gt;&lt;Author&gt;Zhao&lt;/Author&gt;&lt;Year&gt;2022&lt;/Year&gt;&lt;RecNum&gt;82&lt;/RecNum&gt;&lt;DisplayText&gt;Zhao, et al.&lt;style face="superscript"&gt;39&lt;/style&gt;&lt;/DisplayText&gt;&lt;record&gt;&lt;rec-number&gt;82&lt;/rec-number&gt;&lt;foreign-keys&gt;&lt;key app="EN" db-id="wapx0v0s4rw2r6esw9dpwpd1wwvx05v0920r" timestamp="1769481751"&gt;82&lt;/key&gt;&lt;/foreign-keys&gt;&lt;ref-type name="Journal Article"&gt;17&lt;/ref-type&gt;&lt;contributors&gt;&lt;authors&gt;&lt;author&gt;Zhao, Jinsong&lt;/author&gt;&lt;author&gt;Li, Xinghao&lt;/author&gt;&lt;author&gt;Yu, Chin-Hsien&lt;/author&gt;&lt;author&gt;Chen, Shi&lt;/author&gt;&lt;author&gt;Lee, Chi-Chuan&lt;/author&gt;&lt;/authors&gt;&lt;/contributors&gt;&lt;titles&gt;&lt;title&gt;Riding the FinTech innovation wave: FinTech, patents and bank performance&lt;/title&gt;&lt;secondary-title&gt;Journal of International Money and Finance&lt;/secondary-title&gt;&lt;/titles&gt;&lt;periodical&gt;&lt;full-title&gt;Journal of International Money and Finance&lt;/full-title&gt;&lt;/periodical&gt;&lt;pages&gt;102552&lt;/pages&gt;&lt;volume&gt;122&lt;/volume&gt;&lt;dates&gt;&lt;year&gt;2022&lt;/year&gt;&lt;/dates&gt;&lt;isbn&gt;0261-5606&lt;/isbn&gt;&lt;urls&gt;&lt;/urls&gt;&lt;/record&gt;&lt;/Cite&gt;&lt;/EndNote&gt;</w:instrText>
            </w:r>
            <w:r w:rsidRPr="0005669B">
              <w:rPr>
                <w:color w:val="000000"/>
                <w:sz w:val="20"/>
                <w:szCs w:val="20"/>
              </w:rPr>
              <w:fldChar w:fldCharType="separate"/>
            </w:r>
            <w:r w:rsidR="0005669B" w:rsidRPr="0005669B">
              <w:rPr>
                <w:noProof/>
                <w:color w:val="000000"/>
                <w:sz w:val="20"/>
                <w:szCs w:val="20"/>
              </w:rPr>
              <w:t>Zhao, et al.</w:t>
            </w:r>
            <w:r w:rsidR="0005669B" w:rsidRPr="0005669B">
              <w:rPr>
                <w:noProof/>
                <w:color w:val="000000"/>
                <w:sz w:val="20"/>
                <w:szCs w:val="20"/>
                <w:vertAlign w:val="superscript"/>
              </w:rPr>
              <w:t>39</w:t>
            </w:r>
            <w:r w:rsidRPr="0005669B">
              <w:rPr>
                <w:color w:val="000000"/>
                <w:sz w:val="20"/>
                <w:szCs w:val="20"/>
              </w:rPr>
              <w:fldChar w:fldCharType="end"/>
            </w:r>
          </w:p>
        </w:tc>
        <w:tc>
          <w:tcPr>
            <w:tcW w:w="1985" w:type="dxa"/>
            <w:tcBorders>
              <w:top w:val="nil"/>
              <w:left w:val="nil"/>
              <w:bottom w:val="single" w:sz="4" w:space="0" w:color="auto"/>
              <w:right w:val="single" w:sz="4" w:space="0" w:color="auto"/>
            </w:tcBorders>
            <w:vAlign w:val="center"/>
            <w:hideMark/>
          </w:tcPr>
          <w:p w14:paraId="0D37070F" w14:textId="77777777" w:rsidR="006C77C4" w:rsidRPr="0005669B" w:rsidRDefault="006C77C4" w:rsidP="006C77C4">
            <w:pPr>
              <w:rPr>
                <w:color w:val="000000"/>
                <w:sz w:val="20"/>
                <w:szCs w:val="20"/>
              </w:rPr>
            </w:pPr>
            <w:r w:rsidRPr="0005669B">
              <w:rPr>
                <w:color w:val="000000"/>
                <w:sz w:val="20"/>
                <w:szCs w:val="20"/>
              </w:rPr>
              <w:t>China</w:t>
            </w:r>
          </w:p>
        </w:tc>
        <w:tc>
          <w:tcPr>
            <w:tcW w:w="924" w:type="dxa"/>
            <w:tcBorders>
              <w:top w:val="nil"/>
              <w:left w:val="nil"/>
              <w:bottom w:val="single" w:sz="4" w:space="0" w:color="auto"/>
              <w:right w:val="single" w:sz="4" w:space="0" w:color="auto"/>
            </w:tcBorders>
            <w:shd w:val="clear" w:color="000000" w:fill="FFFFFF"/>
            <w:noWrap/>
            <w:vAlign w:val="center"/>
            <w:hideMark/>
          </w:tcPr>
          <w:p w14:paraId="60FDDDDD" w14:textId="1AA4B04D" w:rsidR="006C77C4" w:rsidRPr="0005669B" w:rsidRDefault="006C77C4" w:rsidP="006C77C4">
            <w:pPr>
              <w:jc w:val="center"/>
              <w:rPr>
                <w:color w:val="000000"/>
                <w:sz w:val="20"/>
                <w:szCs w:val="20"/>
              </w:rPr>
            </w:pPr>
            <w:r w:rsidRPr="0005669B">
              <w:rPr>
                <w:color w:val="000000"/>
                <w:sz w:val="20"/>
                <w:szCs w:val="20"/>
              </w:rPr>
              <w:t>488</w:t>
            </w:r>
          </w:p>
        </w:tc>
        <w:tc>
          <w:tcPr>
            <w:tcW w:w="777" w:type="dxa"/>
            <w:tcBorders>
              <w:top w:val="nil"/>
              <w:left w:val="nil"/>
              <w:bottom w:val="single" w:sz="4" w:space="0" w:color="auto"/>
              <w:right w:val="single" w:sz="4" w:space="0" w:color="auto"/>
            </w:tcBorders>
            <w:shd w:val="clear" w:color="000000" w:fill="FFFFFF"/>
            <w:noWrap/>
            <w:vAlign w:val="center"/>
            <w:hideMark/>
          </w:tcPr>
          <w:p w14:paraId="06354A32" w14:textId="6D87C2D0" w:rsidR="006C77C4" w:rsidRPr="0005669B" w:rsidRDefault="006C77C4" w:rsidP="006C77C4">
            <w:pPr>
              <w:jc w:val="center"/>
              <w:rPr>
                <w:color w:val="000000"/>
                <w:sz w:val="20"/>
                <w:szCs w:val="20"/>
                <w:lang w:val="en-US"/>
              </w:rPr>
            </w:pPr>
            <w:r w:rsidRPr="0005669B">
              <w:rPr>
                <w:color w:val="000000"/>
                <w:sz w:val="20"/>
                <w:szCs w:val="20"/>
              </w:rPr>
              <w:t>202</w:t>
            </w:r>
            <w:r w:rsidR="00FE0C53" w:rsidRPr="0005669B">
              <w:rPr>
                <w:color w:val="000000"/>
                <w:sz w:val="20"/>
                <w:szCs w:val="20"/>
                <w:lang w:val="en-US"/>
              </w:rPr>
              <w:t>2</w:t>
            </w:r>
          </w:p>
        </w:tc>
        <w:tc>
          <w:tcPr>
            <w:tcW w:w="1706" w:type="dxa"/>
            <w:tcBorders>
              <w:top w:val="nil"/>
              <w:left w:val="nil"/>
              <w:bottom w:val="single" w:sz="4" w:space="0" w:color="auto"/>
              <w:right w:val="single" w:sz="4" w:space="0" w:color="auto"/>
            </w:tcBorders>
            <w:shd w:val="clear" w:color="000000" w:fill="FFFFFF"/>
            <w:noWrap/>
            <w:hideMark/>
          </w:tcPr>
          <w:p w14:paraId="456C0AA6" w14:textId="0B1632C3" w:rsidR="006C77C4" w:rsidRPr="0005669B" w:rsidRDefault="006C77C4" w:rsidP="006C77C4">
            <w:pPr>
              <w:rPr>
                <w:color w:val="000000"/>
                <w:sz w:val="20"/>
                <w:szCs w:val="20"/>
              </w:rPr>
            </w:pPr>
            <w:r w:rsidRPr="0005669B">
              <w:rPr>
                <w:sz w:val="20"/>
                <w:szCs w:val="20"/>
              </w:rPr>
              <w:t>SSCI/Q1</w:t>
            </w:r>
          </w:p>
        </w:tc>
      </w:tr>
      <w:tr w:rsidR="006C77C4" w:rsidRPr="0005669B" w14:paraId="0E3529F3" w14:textId="77777777" w:rsidTr="00F14CAD">
        <w:trPr>
          <w:trHeight w:val="148"/>
          <w:jc w:val="center"/>
        </w:trPr>
        <w:tc>
          <w:tcPr>
            <w:tcW w:w="442" w:type="dxa"/>
            <w:tcBorders>
              <w:top w:val="nil"/>
              <w:left w:val="single" w:sz="4" w:space="0" w:color="auto"/>
              <w:bottom w:val="single" w:sz="4" w:space="0" w:color="auto"/>
              <w:right w:val="single" w:sz="4" w:space="0" w:color="auto"/>
            </w:tcBorders>
            <w:vAlign w:val="center"/>
            <w:hideMark/>
          </w:tcPr>
          <w:p w14:paraId="4C8A69C2" w14:textId="77777777" w:rsidR="006C77C4" w:rsidRPr="0005669B" w:rsidRDefault="006C77C4" w:rsidP="006C77C4">
            <w:pPr>
              <w:jc w:val="right"/>
              <w:rPr>
                <w:color w:val="000000"/>
                <w:sz w:val="20"/>
                <w:szCs w:val="20"/>
              </w:rPr>
            </w:pPr>
            <w:r w:rsidRPr="0005669B">
              <w:rPr>
                <w:color w:val="000000"/>
                <w:sz w:val="20"/>
                <w:szCs w:val="20"/>
              </w:rPr>
              <w:t>16</w:t>
            </w:r>
          </w:p>
        </w:tc>
        <w:tc>
          <w:tcPr>
            <w:tcW w:w="3522" w:type="dxa"/>
            <w:tcBorders>
              <w:top w:val="nil"/>
              <w:left w:val="nil"/>
              <w:bottom w:val="single" w:sz="4" w:space="0" w:color="auto"/>
              <w:right w:val="single" w:sz="4" w:space="0" w:color="auto"/>
            </w:tcBorders>
            <w:vAlign w:val="center"/>
            <w:hideMark/>
          </w:tcPr>
          <w:p w14:paraId="75082578" w14:textId="72854318" w:rsidR="006C77C4" w:rsidRPr="0005669B" w:rsidRDefault="00FE0C53" w:rsidP="006C77C4">
            <w:pPr>
              <w:rPr>
                <w:color w:val="000000"/>
                <w:sz w:val="20"/>
                <w:szCs w:val="20"/>
              </w:rPr>
            </w:pPr>
            <w:r w:rsidRPr="0005669B">
              <w:rPr>
                <w:color w:val="000000"/>
                <w:sz w:val="20"/>
                <w:szCs w:val="20"/>
              </w:rPr>
              <w:fldChar w:fldCharType="begin"/>
            </w:r>
            <w:r w:rsidR="0005669B" w:rsidRPr="0005669B">
              <w:rPr>
                <w:color w:val="000000"/>
                <w:sz w:val="20"/>
                <w:szCs w:val="20"/>
              </w:rPr>
              <w:instrText xml:space="preserve"> ADDIN EN.CITE &lt;EndNote&gt;&lt;Cite AuthorYear="1"&gt;&lt;Author&gt;Ni&lt;/Author&gt;&lt;Year&gt;2023&lt;/Year&gt;&lt;RecNum&gt;83&lt;/RecNum&gt;&lt;DisplayText&gt;Ni, et al.&lt;style face="superscript"&gt;40&lt;/style&gt;&lt;/DisplayText&gt;&lt;record&gt;&lt;rec-number&gt;83&lt;/rec-number&gt;&lt;foreign-keys&gt;&lt;key app="EN" db-id="wapx0v0s4rw2r6esw9dpwpd1wwvx05v0920r" timestamp="1769481791"&gt;83&lt;/key&gt;&lt;/foreign-keys&gt;&lt;ref-type name="Journal Article"&gt;17&lt;/ref-type&gt;&lt;contributors&gt;&lt;authors&gt;&lt;author&gt;Ni, Qing&lt;/author&gt;&lt;author&gt;Zhang, Li&lt;/author&gt;&lt;author&gt;Wu, Chengsong&lt;/author&gt;&lt;/authors&gt;&lt;/contributors&gt;&lt;titles&gt;&lt;title&gt;Fintech and commercial bank risks–The moderating effect of financial regulation&lt;/title&gt;&lt;secondary-title&gt;Finance Research Letters&lt;/secondary-title&gt;&lt;/titles&gt;&lt;periodical&gt;&lt;full-title&gt;Finance Research Letters&lt;/full-title&gt;&lt;/periodical&gt;&lt;pages&gt;104536&lt;/pages&gt;&lt;volume&gt;58&lt;/volume&gt;&lt;dates&gt;&lt;year&gt;2023&lt;/year&gt;&lt;/dates&gt;&lt;isbn&gt;1544-6123&lt;/isbn&gt;&lt;urls&gt;&lt;/urls&gt;&lt;/record&gt;&lt;/Cite&gt;&lt;/EndNote&gt;</w:instrText>
            </w:r>
            <w:r w:rsidRPr="0005669B">
              <w:rPr>
                <w:color w:val="000000"/>
                <w:sz w:val="20"/>
                <w:szCs w:val="20"/>
              </w:rPr>
              <w:fldChar w:fldCharType="separate"/>
            </w:r>
            <w:r w:rsidR="0005669B" w:rsidRPr="0005669B">
              <w:rPr>
                <w:noProof/>
                <w:color w:val="000000"/>
                <w:sz w:val="20"/>
                <w:szCs w:val="20"/>
              </w:rPr>
              <w:t>Ni, et al.</w:t>
            </w:r>
            <w:r w:rsidR="0005669B" w:rsidRPr="0005669B">
              <w:rPr>
                <w:noProof/>
                <w:color w:val="000000"/>
                <w:sz w:val="20"/>
                <w:szCs w:val="20"/>
                <w:vertAlign w:val="superscript"/>
              </w:rPr>
              <w:t>40</w:t>
            </w:r>
            <w:r w:rsidRPr="0005669B">
              <w:rPr>
                <w:color w:val="000000"/>
                <w:sz w:val="20"/>
                <w:szCs w:val="20"/>
              </w:rPr>
              <w:fldChar w:fldCharType="end"/>
            </w:r>
          </w:p>
        </w:tc>
        <w:tc>
          <w:tcPr>
            <w:tcW w:w="1985" w:type="dxa"/>
            <w:tcBorders>
              <w:top w:val="nil"/>
              <w:left w:val="nil"/>
              <w:bottom w:val="single" w:sz="4" w:space="0" w:color="auto"/>
              <w:right w:val="single" w:sz="4" w:space="0" w:color="auto"/>
            </w:tcBorders>
            <w:vAlign w:val="center"/>
            <w:hideMark/>
          </w:tcPr>
          <w:p w14:paraId="54925F4F" w14:textId="77777777" w:rsidR="006C77C4" w:rsidRPr="0005669B" w:rsidRDefault="006C77C4" w:rsidP="006C77C4">
            <w:pPr>
              <w:rPr>
                <w:color w:val="000000"/>
                <w:sz w:val="20"/>
                <w:szCs w:val="20"/>
              </w:rPr>
            </w:pPr>
            <w:r w:rsidRPr="0005669B">
              <w:rPr>
                <w:color w:val="000000"/>
                <w:sz w:val="20"/>
                <w:szCs w:val="20"/>
              </w:rPr>
              <w:t>China</w:t>
            </w:r>
          </w:p>
        </w:tc>
        <w:tc>
          <w:tcPr>
            <w:tcW w:w="924" w:type="dxa"/>
            <w:tcBorders>
              <w:top w:val="nil"/>
              <w:left w:val="nil"/>
              <w:bottom w:val="single" w:sz="4" w:space="0" w:color="auto"/>
              <w:right w:val="single" w:sz="4" w:space="0" w:color="auto"/>
            </w:tcBorders>
            <w:shd w:val="clear" w:color="000000" w:fill="FFFFFF"/>
            <w:noWrap/>
            <w:vAlign w:val="center"/>
            <w:hideMark/>
          </w:tcPr>
          <w:p w14:paraId="75D30098" w14:textId="61997403" w:rsidR="006C77C4" w:rsidRPr="0005669B" w:rsidRDefault="006C77C4" w:rsidP="006C77C4">
            <w:pPr>
              <w:jc w:val="center"/>
              <w:rPr>
                <w:color w:val="000000"/>
                <w:sz w:val="20"/>
                <w:szCs w:val="20"/>
              </w:rPr>
            </w:pPr>
            <w:r w:rsidRPr="0005669B">
              <w:rPr>
                <w:color w:val="000000"/>
                <w:sz w:val="20"/>
                <w:szCs w:val="20"/>
              </w:rPr>
              <w:t>28</w:t>
            </w:r>
          </w:p>
        </w:tc>
        <w:tc>
          <w:tcPr>
            <w:tcW w:w="777" w:type="dxa"/>
            <w:tcBorders>
              <w:top w:val="nil"/>
              <w:left w:val="nil"/>
              <w:bottom w:val="single" w:sz="4" w:space="0" w:color="auto"/>
              <w:right w:val="single" w:sz="4" w:space="0" w:color="auto"/>
            </w:tcBorders>
            <w:shd w:val="clear" w:color="000000" w:fill="FFFFFF"/>
            <w:noWrap/>
            <w:vAlign w:val="center"/>
            <w:hideMark/>
          </w:tcPr>
          <w:p w14:paraId="3ACAC0FA" w14:textId="77777777" w:rsidR="006C77C4" w:rsidRPr="0005669B" w:rsidRDefault="006C77C4" w:rsidP="006C77C4">
            <w:pPr>
              <w:jc w:val="center"/>
              <w:rPr>
                <w:color w:val="000000"/>
                <w:sz w:val="20"/>
                <w:szCs w:val="20"/>
              </w:rPr>
            </w:pPr>
            <w:r w:rsidRPr="0005669B">
              <w:rPr>
                <w:color w:val="000000"/>
                <w:sz w:val="20"/>
                <w:szCs w:val="20"/>
              </w:rPr>
              <w:t>2023</w:t>
            </w:r>
          </w:p>
        </w:tc>
        <w:tc>
          <w:tcPr>
            <w:tcW w:w="1706" w:type="dxa"/>
            <w:tcBorders>
              <w:top w:val="nil"/>
              <w:left w:val="nil"/>
              <w:bottom w:val="single" w:sz="4" w:space="0" w:color="auto"/>
              <w:right w:val="single" w:sz="4" w:space="0" w:color="auto"/>
            </w:tcBorders>
            <w:shd w:val="clear" w:color="000000" w:fill="FFFFFF"/>
            <w:noWrap/>
            <w:hideMark/>
          </w:tcPr>
          <w:p w14:paraId="0F5A171B" w14:textId="1A22B709" w:rsidR="006C77C4" w:rsidRPr="0005669B" w:rsidRDefault="006C77C4" w:rsidP="006C77C4">
            <w:pPr>
              <w:rPr>
                <w:color w:val="000000"/>
                <w:sz w:val="20"/>
                <w:szCs w:val="20"/>
              </w:rPr>
            </w:pPr>
            <w:r w:rsidRPr="0005669B">
              <w:rPr>
                <w:sz w:val="20"/>
                <w:szCs w:val="20"/>
              </w:rPr>
              <w:t>SSCI/Q1</w:t>
            </w:r>
          </w:p>
        </w:tc>
      </w:tr>
      <w:tr w:rsidR="006C77C4" w:rsidRPr="0005669B" w14:paraId="09D68016" w14:textId="77777777" w:rsidTr="00F14CAD">
        <w:trPr>
          <w:trHeight w:val="296"/>
          <w:jc w:val="center"/>
        </w:trPr>
        <w:tc>
          <w:tcPr>
            <w:tcW w:w="442" w:type="dxa"/>
            <w:tcBorders>
              <w:top w:val="nil"/>
              <w:left w:val="single" w:sz="4" w:space="0" w:color="auto"/>
              <w:bottom w:val="single" w:sz="4" w:space="0" w:color="auto"/>
              <w:right w:val="single" w:sz="4" w:space="0" w:color="auto"/>
            </w:tcBorders>
            <w:vAlign w:val="center"/>
            <w:hideMark/>
          </w:tcPr>
          <w:p w14:paraId="2896F92A" w14:textId="77777777" w:rsidR="006C77C4" w:rsidRPr="0005669B" w:rsidRDefault="006C77C4" w:rsidP="006C77C4">
            <w:pPr>
              <w:jc w:val="right"/>
              <w:rPr>
                <w:color w:val="000000"/>
                <w:sz w:val="20"/>
                <w:szCs w:val="20"/>
              </w:rPr>
            </w:pPr>
            <w:r w:rsidRPr="0005669B">
              <w:rPr>
                <w:color w:val="000000"/>
                <w:sz w:val="20"/>
                <w:szCs w:val="20"/>
              </w:rPr>
              <w:t>17</w:t>
            </w:r>
          </w:p>
        </w:tc>
        <w:tc>
          <w:tcPr>
            <w:tcW w:w="3522" w:type="dxa"/>
            <w:tcBorders>
              <w:top w:val="nil"/>
              <w:left w:val="nil"/>
              <w:bottom w:val="single" w:sz="4" w:space="0" w:color="auto"/>
              <w:right w:val="single" w:sz="4" w:space="0" w:color="auto"/>
            </w:tcBorders>
            <w:vAlign w:val="center"/>
            <w:hideMark/>
          </w:tcPr>
          <w:p w14:paraId="42E18857" w14:textId="085BFFE7" w:rsidR="006C77C4" w:rsidRPr="0005669B" w:rsidRDefault="00657EEE" w:rsidP="006C77C4">
            <w:pPr>
              <w:rPr>
                <w:color w:val="000000"/>
                <w:sz w:val="20"/>
                <w:szCs w:val="20"/>
              </w:rPr>
            </w:pPr>
            <w:r w:rsidRPr="0005669B">
              <w:rPr>
                <w:color w:val="000000"/>
                <w:sz w:val="20"/>
                <w:szCs w:val="20"/>
              </w:rPr>
              <w:fldChar w:fldCharType="begin"/>
            </w:r>
            <w:r w:rsidR="0005669B" w:rsidRPr="0005669B">
              <w:rPr>
                <w:color w:val="000000"/>
                <w:sz w:val="20"/>
                <w:szCs w:val="20"/>
              </w:rPr>
              <w:instrText xml:space="preserve"> ADDIN EN.CITE &lt;EndNote&gt;&lt;Cite AuthorYear="1"&gt;&lt;Author&gt;Zhang&lt;/Author&gt;&lt;Year&gt;2022&lt;/Year&gt;&lt;RecNum&gt;84&lt;/RecNum&gt;&lt;DisplayText&gt;Zhang, et al.&lt;style face="superscript"&gt;41&lt;/style&gt;&lt;/DisplayText&gt;&lt;record&gt;&lt;rec-number&gt;84&lt;/rec-number&gt;&lt;foreign-keys&gt;&lt;key app="EN" db-id="wapx0v0s4rw2r6esw9dpwpd1wwvx05v0920r" timestamp="1769481832"&gt;84&lt;/key&gt;&lt;/foreign-keys&gt;&lt;ref-type name="Journal Article"&gt;17&lt;/ref-type&gt;&lt;contributors&gt;&lt;authors&gt;&lt;author&gt;Zhang, Ailian&lt;/author&gt;&lt;author&gt;Wang, Shuyao&lt;/author&gt;&lt;author&gt;Liu, Bai&lt;/author&gt;&lt;author&gt;Liu, Pei&lt;/author&gt;&lt;/authors&gt;&lt;/contributors&gt;&lt;titles&gt;&lt;title&gt;How fintech impacts pre‐and post‐loan risk in Chinese commercial banks&lt;/title&gt;&lt;secondary-title&gt;International Journal of Finance &amp;amp; Economics&lt;/secondary-title&gt;&lt;/titles&gt;&lt;periodical&gt;&lt;full-title&gt;International Journal of Finance &amp;amp; Economics&lt;/full-title&gt;&lt;/periodical&gt;&lt;pages&gt;2514-2529&lt;/pages&gt;&lt;volume&gt;27&lt;/volume&gt;&lt;number&gt;2&lt;/number&gt;&lt;dates&gt;&lt;year&gt;2022&lt;/year&gt;&lt;/dates&gt;&lt;isbn&gt;1076-9307&lt;/isbn&gt;&lt;urls&gt;&lt;/urls&gt;&lt;/record&gt;&lt;/Cite&gt;&lt;/EndNote&gt;</w:instrText>
            </w:r>
            <w:r w:rsidRPr="0005669B">
              <w:rPr>
                <w:color w:val="000000"/>
                <w:sz w:val="20"/>
                <w:szCs w:val="20"/>
              </w:rPr>
              <w:fldChar w:fldCharType="separate"/>
            </w:r>
            <w:r w:rsidR="0005669B" w:rsidRPr="0005669B">
              <w:rPr>
                <w:noProof/>
                <w:color w:val="000000"/>
                <w:sz w:val="20"/>
                <w:szCs w:val="20"/>
              </w:rPr>
              <w:t>Zhang, et al.</w:t>
            </w:r>
            <w:r w:rsidR="0005669B" w:rsidRPr="0005669B">
              <w:rPr>
                <w:noProof/>
                <w:color w:val="000000"/>
                <w:sz w:val="20"/>
                <w:szCs w:val="20"/>
                <w:vertAlign w:val="superscript"/>
              </w:rPr>
              <w:t>41</w:t>
            </w:r>
            <w:r w:rsidRPr="0005669B">
              <w:rPr>
                <w:color w:val="000000"/>
                <w:sz w:val="20"/>
                <w:szCs w:val="20"/>
              </w:rPr>
              <w:fldChar w:fldCharType="end"/>
            </w:r>
          </w:p>
        </w:tc>
        <w:tc>
          <w:tcPr>
            <w:tcW w:w="1985" w:type="dxa"/>
            <w:tcBorders>
              <w:top w:val="nil"/>
              <w:left w:val="nil"/>
              <w:bottom w:val="single" w:sz="4" w:space="0" w:color="auto"/>
              <w:right w:val="single" w:sz="4" w:space="0" w:color="auto"/>
            </w:tcBorders>
            <w:vAlign w:val="center"/>
            <w:hideMark/>
          </w:tcPr>
          <w:p w14:paraId="61384167" w14:textId="77777777" w:rsidR="006C77C4" w:rsidRPr="0005669B" w:rsidRDefault="006C77C4" w:rsidP="006C77C4">
            <w:pPr>
              <w:rPr>
                <w:color w:val="000000"/>
                <w:sz w:val="20"/>
                <w:szCs w:val="20"/>
              </w:rPr>
            </w:pPr>
            <w:r w:rsidRPr="0005669B">
              <w:rPr>
                <w:color w:val="000000"/>
                <w:sz w:val="20"/>
                <w:szCs w:val="20"/>
              </w:rPr>
              <w:t>China</w:t>
            </w:r>
          </w:p>
        </w:tc>
        <w:tc>
          <w:tcPr>
            <w:tcW w:w="924" w:type="dxa"/>
            <w:tcBorders>
              <w:top w:val="nil"/>
              <w:left w:val="nil"/>
              <w:bottom w:val="single" w:sz="4" w:space="0" w:color="auto"/>
              <w:right w:val="single" w:sz="4" w:space="0" w:color="auto"/>
            </w:tcBorders>
            <w:shd w:val="clear" w:color="000000" w:fill="FFFFFF"/>
            <w:noWrap/>
            <w:vAlign w:val="center"/>
            <w:hideMark/>
          </w:tcPr>
          <w:p w14:paraId="05ED8609" w14:textId="60F725EC" w:rsidR="006C77C4" w:rsidRPr="0005669B" w:rsidRDefault="006C77C4" w:rsidP="006C77C4">
            <w:pPr>
              <w:jc w:val="center"/>
              <w:rPr>
                <w:color w:val="000000"/>
                <w:sz w:val="20"/>
                <w:szCs w:val="20"/>
              </w:rPr>
            </w:pPr>
            <w:r w:rsidRPr="0005669B">
              <w:rPr>
                <w:color w:val="000000"/>
                <w:sz w:val="20"/>
                <w:szCs w:val="20"/>
              </w:rPr>
              <w:t>82</w:t>
            </w:r>
          </w:p>
        </w:tc>
        <w:tc>
          <w:tcPr>
            <w:tcW w:w="777" w:type="dxa"/>
            <w:tcBorders>
              <w:top w:val="nil"/>
              <w:left w:val="nil"/>
              <w:bottom w:val="single" w:sz="4" w:space="0" w:color="auto"/>
              <w:right w:val="single" w:sz="4" w:space="0" w:color="auto"/>
            </w:tcBorders>
            <w:shd w:val="clear" w:color="000000" w:fill="FFFFFF"/>
            <w:noWrap/>
            <w:vAlign w:val="center"/>
            <w:hideMark/>
          </w:tcPr>
          <w:p w14:paraId="043BC9A9" w14:textId="7A117700" w:rsidR="006C77C4" w:rsidRPr="0005669B" w:rsidRDefault="006C77C4" w:rsidP="006C77C4">
            <w:pPr>
              <w:jc w:val="center"/>
              <w:rPr>
                <w:color w:val="000000"/>
                <w:sz w:val="20"/>
                <w:szCs w:val="20"/>
                <w:lang w:val="en-US"/>
              </w:rPr>
            </w:pPr>
            <w:r w:rsidRPr="0005669B">
              <w:rPr>
                <w:color w:val="000000"/>
                <w:sz w:val="20"/>
                <w:szCs w:val="20"/>
              </w:rPr>
              <w:t>202</w:t>
            </w:r>
            <w:r w:rsidR="00657EEE" w:rsidRPr="0005669B">
              <w:rPr>
                <w:color w:val="000000"/>
                <w:sz w:val="20"/>
                <w:szCs w:val="20"/>
                <w:lang w:val="en-US"/>
              </w:rPr>
              <w:t>2</w:t>
            </w:r>
          </w:p>
        </w:tc>
        <w:tc>
          <w:tcPr>
            <w:tcW w:w="1706" w:type="dxa"/>
            <w:tcBorders>
              <w:top w:val="nil"/>
              <w:left w:val="nil"/>
              <w:bottom w:val="single" w:sz="4" w:space="0" w:color="auto"/>
              <w:right w:val="single" w:sz="4" w:space="0" w:color="auto"/>
            </w:tcBorders>
            <w:shd w:val="clear" w:color="000000" w:fill="FFFFFF"/>
            <w:noWrap/>
            <w:hideMark/>
          </w:tcPr>
          <w:p w14:paraId="04B40954" w14:textId="3850CF0E" w:rsidR="006C77C4" w:rsidRPr="0005669B" w:rsidRDefault="006C77C4" w:rsidP="006C77C4">
            <w:pPr>
              <w:rPr>
                <w:color w:val="000000"/>
                <w:sz w:val="20"/>
                <w:szCs w:val="20"/>
              </w:rPr>
            </w:pPr>
            <w:r w:rsidRPr="0005669B">
              <w:rPr>
                <w:sz w:val="20"/>
                <w:szCs w:val="20"/>
              </w:rPr>
              <w:t>SSCI/Q2</w:t>
            </w:r>
          </w:p>
        </w:tc>
      </w:tr>
      <w:tr w:rsidR="006C77C4" w:rsidRPr="0005669B" w14:paraId="2EBE2037" w14:textId="77777777" w:rsidTr="00F14CAD">
        <w:trPr>
          <w:trHeight w:val="296"/>
          <w:jc w:val="center"/>
        </w:trPr>
        <w:tc>
          <w:tcPr>
            <w:tcW w:w="442" w:type="dxa"/>
            <w:tcBorders>
              <w:top w:val="nil"/>
              <w:left w:val="single" w:sz="4" w:space="0" w:color="auto"/>
              <w:bottom w:val="single" w:sz="4" w:space="0" w:color="auto"/>
              <w:right w:val="single" w:sz="4" w:space="0" w:color="auto"/>
            </w:tcBorders>
            <w:vAlign w:val="center"/>
            <w:hideMark/>
          </w:tcPr>
          <w:p w14:paraId="04FC71AF" w14:textId="77777777" w:rsidR="006C77C4" w:rsidRPr="0005669B" w:rsidRDefault="006C77C4" w:rsidP="006C77C4">
            <w:pPr>
              <w:jc w:val="right"/>
              <w:rPr>
                <w:color w:val="000000"/>
                <w:sz w:val="20"/>
                <w:szCs w:val="20"/>
              </w:rPr>
            </w:pPr>
            <w:r w:rsidRPr="0005669B">
              <w:rPr>
                <w:color w:val="000000"/>
                <w:sz w:val="20"/>
                <w:szCs w:val="20"/>
              </w:rPr>
              <w:t>18</w:t>
            </w:r>
          </w:p>
        </w:tc>
        <w:tc>
          <w:tcPr>
            <w:tcW w:w="3522" w:type="dxa"/>
            <w:tcBorders>
              <w:top w:val="nil"/>
              <w:left w:val="nil"/>
              <w:bottom w:val="single" w:sz="4" w:space="0" w:color="auto"/>
              <w:right w:val="single" w:sz="4" w:space="0" w:color="auto"/>
            </w:tcBorders>
            <w:vAlign w:val="center"/>
            <w:hideMark/>
          </w:tcPr>
          <w:p w14:paraId="63A2080F" w14:textId="715F9F67" w:rsidR="006C77C4" w:rsidRPr="0005669B" w:rsidRDefault="009A4405" w:rsidP="006C77C4">
            <w:pPr>
              <w:rPr>
                <w:color w:val="000000"/>
                <w:sz w:val="20"/>
                <w:szCs w:val="20"/>
              </w:rPr>
            </w:pPr>
            <w:r w:rsidRPr="0005669B">
              <w:rPr>
                <w:color w:val="000000"/>
                <w:sz w:val="20"/>
                <w:szCs w:val="20"/>
              </w:rPr>
              <w:fldChar w:fldCharType="begin"/>
            </w:r>
            <w:r w:rsidR="0005669B" w:rsidRPr="0005669B">
              <w:rPr>
                <w:color w:val="000000"/>
                <w:sz w:val="20"/>
                <w:szCs w:val="20"/>
              </w:rPr>
              <w:instrText xml:space="preserve"> ADDIN EN.CITE &lt;EndNote&gt;&lt;Cite AuthorYear="1"&gt;&lt;Author&gt;Guo&lt;/Author&gt;&lt;Year&gt;2024&lt;/Year&gt;&lt;RecNum&gt;85&lt;/RecNum&gt;&lt;DisplayText&gt;Guo, et al.&lt;style face="superscript"&gt;23&lt;/style&gt;&lt;/DisplayText&gt;&lt;record&gt;&lt;rec-number&gt;85&lt;/rec-number&gt;&lt;foreign-keys&gt;&lt;key app="EN" db-id="wapx0v0s4rw2r6esw9dpwpd1wwvx05v0920r" timestamp="1769481887"&gt;85&lt;/key&gt;&lt;/foreign-keys&gt;&lt;ref-type name="Journal Article"&gt;17&lt;/ref-type&gt;&lt;contributors&gt;&lt;authors&gt;&lt;author&gt;Guo, Pin&lt;/author&gt;&lt;author&gt;Cheng, Maoyong&lt;/author&gt;&lt;author&gt;Shen, Yue&lt;/author&gt;&lt;/authors&gt;&lt;/contributors&gt;&lt;titles&gt;&lt;title&gt;FinTech adoption and bank risk-taking: evidence from China&lt;/title&gt;&lt;secondary-title&gt;Applied Economics Letters&lt;/secondary-title&gt;&lt;/titles&gt;&lt;periodical&gt;&lt;full-title&gt;Applied Economics Letters&lt;/full-title&gt;&lt;/periodical&gt;&lt;pages&gt;594-602&lt;/pages&gt;&lt;volume&gt;31&lt;/volume&gt;&lt;number&gt;7&lt;/number&gt;&lt;dates&gt;&lt;year&gt;2024&lt;/year&gt;&lt;/dates&gt;&lt;isbn&gt;1350-4851&lt;/isbn&gt;&lt;urls&gt;&lt;/urls&gt;&lt;/record&gt;&lt;/Cite&gt;&lt;/EndNote&gt;</w:instrText>
            </w:r>
            <w:r w:rsidRPr="0005669B">
              <w:rPr>
                <w:color w:val="000000"/>
                <w:sz w:val="20"/>
                <w:szCs w:val="20"/>
              </w:rPr>
              <w:fldChar w:fldCharType="separate"/>
            </w:r>
            <w:r w:rsidR="0005669B" w:rsidRPr="0005669B">
              <w:rPr>
                <w:noProof/>
                <w:color w:val="000000"/>
                <w:sz w:val="20"/>
                <w:szCs w:val="20"/>
              </w:rPr>
              <w:t>Guo, et al.</w:t>
            </w:r>
            <w:r w:rsidR="0005669B" w:rsidRPr="0005669B">
              <w:rPr>
                <w:noProof/>
                <w:color w:val="000000"/>
                <w:sz w:val="20"/>
                <w:szCs w:val="20"/>
                <w:vertAlign w:val="superscript"/>
              </w:rPr>
              <w:t>23</w:t>
            </w:r>
            <w:r w:rsidRPr="0005669B">
              <w:rPr>
                <w:color w:val="000000"/>
                <w:sz w:val="20"/>
                <w:szCs w:val="20"/>
              </w:rPr>
              <w:fldChar w:fldCharType="end"/>
            </w:r>
          </w:p>
        </w:tc>
        <w:tc>
          <w:tcPr>
            <w:tcW w:w="1985" w:type="dxa"/>
            <w:tcBorders>
              <w:top w:val="nil"/>
              <w:left w:val="nil"/>
              <w:bottom w:val="single" w:sz="4" w:space="0" w:color="auto"/>
              <w:right w:val="single" w:sz="4" w:space="0" w:color="auto"/>
            </w:tcBorders>
            <w:vAlign w:val="center"/>
            <w:hideMark/>
          </w:tcPr>
          <w:p w14:paraId="5A1C1E36" w14:textId="77777777" w:rsidR="006C77C4" w:rsidRPr="0005669B" w:rsidRDefault="006C77C4" w:rsidP="006C77C4">
            <w:pPr>
              <w:rPr>
                <w:color w:val="000000"/>
                <w:sz w:val="20"/>
                <w:szCs w:val="20"/>
              </w:rPr>
            </w:pPr>
            <w:r w:rsidRPr="0005669B">
              <w:rPr>
                <w:color w:val="000000"/>
                <w:sz w:val="20"/>
                <w:szCs w:val="20"/>
              </w:rPr>
              <w:t>China</w:t>
            </w:r>
          </w:p>
        </w:tc>
        <w:tc>
          <w:tcPr>
            <w:tcW w:w="924" w:type="dxa"/>
            <w:tcBorders>
              <w:top w:val="nil"/>
              <w:left w:val="nil"/>
              <w:bottom w:val="single" w:sz="4" w:space="0" w:color="auto"/>
              <w:right w:val="single" w:sz="4" w:space="0" w:color="auto"/>
            </w:tcBorders>
            <w:shd w:val="clear" w:color="000000" w:fill="FFFFFF"/>
            <w:noWrap/>
            <w:vAlign w:val="center"/>
            <w:hideMark/>
          </w:tcPr>
          <w:p w14:paraId="7126DBC5" w14:textId="5BF669FB" w:rsidR="006C77C4" w:rsidRPr="0005669B" w:rsidRDefault="006C77C4" w:rsidP="006C77C4">
            <w:pPr>
              <w:jc w:val="center"/>
              <w:rPr>
                <w:color w:val="000000"/>
                <w:sz w:val="20"/>
                <w:szCs w:val="20"/>
              </w:rPr>
            </w:pPr>
            <w:r w:rsidRPr="0005669B">
              <w:rPr>
                <w:color w:val="000000"/>
                <w:sz w:val="20"/>
                <w:szCs w:val="20"/>
              </w:rPr>
              <w:t>31</w:t>
            </w:r>
          </w:p>
        </w:tc>
        <w:tc>
          <w:tcPr>
            <w:tcW w:w="777" w:type="dxa"/>
            <w:tcBorders>
              <w:top w:val="nil"/>
              <w:left w:val="nil"/>
              <w:bottom w:val="single" w:sz="4" w:space="0" w:color="auto"/>
              <w:right w:val="single" w:sz="4" w:space="0" w:color="auto"/>
            </w:tcBorders>
            <w:shd w:val="clear" w:color="000000" w:fill="FFFFFF"/>
            <w:noWrap/>
            <w:vAlign w:val="center"/>
            <w:hideMark/>
          </w:tcPr>
          <w:p w14:paraId="7ACA004F" w14:textId="04CC243B" w:rsidR="006C77C4" w:rsidRPr="0005669B" w:rsidRDefault="006C77C4" w:rsidP="006C77C4">
            <w:pPr>
              <w:jc w:val="center"/>
              <w:rPr>
                <w:color w:val="000000"/>
                <w:sz w:val="20"/>
                <w:szCs w:val="20"/>
                <w:lang w:val="en-US"/>
              </w:rPr>
            </w:pPr>
            <w:r w:rsidRPr="0005669B">
              <w:rPr>
                <w:color w:val="000000"/>
                <w:sz w:val="20"/>
                <w:szCs w:val="20"/>
              </w:rPr>
              <w:t>202</w:t>
            </w:r>
            <w:r w:rsidR="009A4405" w:rsidRPr="0005669B">
              <w:rPr>
                <w:color w:val="000000"/>
                <w:sz w:val="20"/>
                <w:szCs w:val="20"/>
                <w:lang w:val="en-US"/>
              </w:rPr>
              <w:t>4</w:t>
            </w:r>
          </w:p>
        </w:tc>
        <w:tc>
          <w:tcPr>
            <w:tcW w:w="1706" w:type="dxa"/>
            <w:tcBorders>
              <w:top w:val="nil"/>
              <w:left w:val="nil"/>
              <w:bottom w:val="single" w:sz="4" w:space="0" w:color="auto"/>
              <w:right w:val="single" w:sz="4" w:space="0" w:color="auto"/>
            </w:tcBorders>
            <w:shd w:val="clear" w:color="000000" w:fill="FFFFFF"/>
            <w:noWrap/>
            <w:hideMark/>
          </w:tcPr>
          <w:p w14:paraId="327ADEB2" w14:textId="768B20E4" w:rsidR="006C77C4" w:rsidRPr="0005669B" w:rsidRDefault="006C77C4" w:rsidP="006C77C4">
            <w:pPr>
              <w:rPr>
                <w:color w:val="000000"/>
                <w:sz w:val="20"/>
                <w:szCs w:val="20"/>
              </w:rPr>
            </w:pPr>
            <w:r w:rsidRPr="0005669B">
              <w:rPr>
                <w:sz w:val="20"/>
                <w:szCs w:val="20"/>
              </w:rPr>
              <w:t>SSCI/Q3</w:t>
            </w:r>
          </w:p>
        </w:tc>
      </w:tr>
      <w:tr w:rsidR="006C77C4" w:rsidRPr="0005669B" w14:paraId="371CFCAD" w14:textId="77777777" w:rsidTr="00F14CAD">
        <w:trPr>
          <w:trHeight w:val="296"/>
          <w:jc w:val="center"/>
        </w:trPr>
        <w:tc>
          <w:tcPr>
            <w:tcW w:w="442" w:type="dxa"/>
            <w:tcBorders>
              <w:top w:val="nil"/>
              <w:left w:val="single" w:sz="4" w:space="0" w:color="auto"/>
              <w:bottom w:val="single" w:sz="4" w:space="0" w:color="auto"/>
              <w:right w:val="single" w:sz="4" w:space="0" w:color="auto"/>
            </w:tcBorders>
            <w:vAlign w:val="center"/>
            <w:hideMark/>
          </w:tcPr>
          <w:p w14:paraId="4EE6B7BE" w14:textId="77777777" w:rsidR="006C77C4" w:rsidRPr="0005669B" w:rsidRDefault="006C77C4" w:rsidP="006C77C4">
            <w:pPr>
              <w:jc w:val="right"/>
              <w:rPr>
                <w:color w:val="000000"/>
                <w:sz w:val="20"/>
                <w:szCs w:val="20"/>
              </w:rPr>
            </w:pPr>
            <w:r w:rsidRPr="0005669B">
              <w:rPr>
                <w:color w:val="000000"/>
                <w:sz w:val="20"/>
                <w:szCs w:val="20"/>
              </w:rPr>
              <w:t>19</w:t>
            </w:r>
          </w:p>
        </w:tc>
        <w:tc>
          <w:tcPr>
            <w:tcW w:w="3522" w:type="dxa"/>
            <w:tcBorders>
              <w:top w:val="nil"/>
              <w:left w:val="nil"/>
              <w:bottom w:val="single" w:sz="4" w:space="0" w:color="auto"/>
              <w:right w:val="single" w:sz="4" w:space="0" w:color="auto"/>
            </w:tcBorders>
            <w:vAlign w:val="center"/>
            <w:hideMark/>
          </w:tcPr>
          <w:p w14:paraId="0423E518" w14:textId="1F9C9B9C" w:rsidR="006C77C4" w:rsidRPr="0005669B" w:rsidRDefault="009A4405" w:rsidP="006C77C4">
            <w:pPr>
              <w:rPr>
                <w:color w:val="000000"/>
                <w:sz w:val="20"/>
                <w:szCs w:val="20"/>
              </w:rPr>
            </w:pPr>
            <w:r w:rsidRPr="0005669B">
              <w:rPr>
                <w:color w:val="000000"/>
                <w:sz w:val="20"/>
                <w:szCs w:val="20"/>
              </w:rPr>
              <w:fldChar w:fldCharType="begin"/>
            </w:r>
            <w:r w:rsidR="0005669B" w:rsidRPr="0005669B">
              <w:rPr>
                <w:color w:val="000000"/>
                <w:sz w:val="20"/>
                <w:szCs w:val="20"/>
              </w:rPr>
              <w:instrText xml:space="preserve"> ADDIN EN.CITE &lt;EndNote&gt;&lt;Cite AuthorYear="1"&gt;&lt;Author&gt;Qin&lt;/Author&gt;&lt;Year&gt;2025&lt;/Year&gt;&lt;RecNum&gt;86&lt;/RecNum&gt;&lt;DisplayText&gt;Qin and Jing&lt;style face="superscript"&gt;42&lt;/style&gt;&lt;/DisplayText&gt;&lt;record&gt;&lt;rec-number&gt;86&lt;/rec-number&gt;&lt;foreign-keys&gt;&lt;key app="EN" db-id="wapx0v0s4rw2r6esw9dpwpd1wwvx05v0920r" timestamp="1769481930"&gt;86&lt;/key&gt;&lt;/foreign-keys&gt;&lt;ref-type name="Journal Article"&gt;17&lt;/ref-type&gt;&lt;contributors&gt;&lt;authors&gt;&lt;author&gt;Qin, Zihua&lt;/author&gt;&lt;author&gt;Jing, Zhaoyu&lt;/author&gt;&lt;/authors&gt;&lt;/contributors&gt;&lt;titles&gt;&lt;title&gt;Fintech Adoption and Credit Risk Mitigation: Evidence from Chinese Commercial Banks&lt;/title&gt;&lt;secondary-title&gt;Sustainability&lt;/secondary-title&gt;&lt;/titles&gt;&lt;periodical&gt;&lt;full-title&gt;Sustainability&lt;/full-title&gt;&lt;/periodical&gt;&lt;pages&gt;10294&lt;/pages&gt;&lt;volume&gt;17&lt;/volume&gt;&lt;number&gt;22&lt;/number&gt;&lt;dates&gt;&lt;year&gt;2025&lt;/year&gt;&lt;/dates&gt;&lt;isbn&gt;2071-1050&lt;/isbn&gt;&lt;urls&gt;&lt;/urls&gt;&lt;/record&gt;&lt;/Cite&gt;&lt;/EndNote&gt;</w:instrText>
            </w:r>
            <w:r w:rsidRPr="0005669B">
              <w:rPr>
                <w:color w:val="000000"/>
                <w:sz w:val="20"/>
                <w:szCs w:val="20"/>
              </w:rPr>
              <w:fldChar w:fldCharType="separate"/>
            </w:r>
            <w:r w:rsidR="0005669B" w:rsidRPr="0005669B">
              <w:rPr>
                <w:noProof/>
                <w:color w:val="000000"/>
                <w:sz w:val="20"/>
                <w:szCs w:val="20"/>
              </w:rPr>
              <w:t>Qin and Jing</w:t>
            </w:r>
            <w:r w:rsidR="0005669B" w:rsidRPr="0005669B">
              <w:rPr>
                <w:noProof/>
                <w:color w:val="000000"/>
                <w:sz w:val="20"/>
                <w:szCs w:val="20"/>
                <w:vertAlign w:val="superscript"/>
              </w:rPr>
              <w:t>42</w:t>
            </w:r>
            <w:r w:rsidRPr="0005669B">
              <w:rPr>
                <w:color w:val="000000"/>
                <w:sz w:val="20"/>
                <w:szCs w:val="20"/>
              </w:rPr>
              <w:fldChar w:fldCharType="end"/>
            </w:r>
          </w:p>
        </w:tc>
        <w:tc>
          <w:tcPr>
            <w:tcW w:w="1985" w:type="dxa"/>
            <w:tcBorders>
              <w:top w:val="nil"/>
              <w:left w:val="nil"/>
              <w:bottom w:val="single" w:sz="4" w:space="0" w:color="auto"/>
              <w:right w:val="single" w:sz="4" w:space="0" w:color="auto"/>
            </w:tcBorders>
            <w:vAlign w:val="center"/>
            <w:hideMark/>
          </w:tcPr>
          <w:p w14:paraId="701880DD" w14:textId="77777777" w:rsidR="006C77C4" w:rsidRPr="0005669B" w:rsidRDefault="006C77C4" w:rsidP="006C77C4">
            <w:pPr>
              <w:rPr>
                <w:color w:val="000000"/>
                <w:sz w:val="20"/>
                <w:szCs w:val="20"/>
              </w:rPr>
            </w:pPr>
            <w:r w:rsidRPr="0005669B">
              <w:rPr>
                <w:color w:val="000000"/>
                <w:sz w:val="20"/>
                <w:szCs w:val="20"/>
              </w:rPr>
              <w:t>China</w:t>
            </w:r>
          </w:p>
        </w:tc>
        <w:tc>
          <w:tcPr>
            <w:tcW w:w="924" w:type="dxa"/>
            <w:tcBorders>
              <w:top w:val="nil"/>
              <w:left w:val="nil"/>
              <w:bottom w:val="single" w:sz="4" w:space="0" w:color="auto"/>
              <w:right w:val="single" w:sz="4" w:space="0" w:color="auto"/>
            </w:tcBorders>
            <w:shd w:val="clear" w:color="000000" w:fill="FFFFFF"/>
            <w:noWrap/>
            <w:vAlign w:val="center"/>
            <w:hideMark/>
          </w:tcPr>
          <w:p w14:paraId="6B4507D9" w14:textId="7257D4D9" w:rsidR="006C77C4" w:rsidRPr="0005669B" w:rsidRDefault="006C77C4" w:rsidP="006C77C4">
            <w:pPr>
              <w:jc w:val="center"/>
              <w:rPr>
                <w:color w:val="000000"/>
                <w:sz w:val="20"/>
                <w:szCs w:val="20"/>
              </w:rPr>
            </w:pPr>
            <w:r w:rsidRPr="0005669B">
              <w:rPr>
                <w:color w:val="000000"/>
                <w:sz w:val="20"/>
                <w:szCs w:val="20"/>
              </w:rPr>
              <w:t>0</w:t>
            </w:r>
          </w:p>
        </w:tc>
        <w:tc>
          <w:tcPr>
            <w:tcW w:w="777" w:type="dxa"/>
            <w:tcBorders>
              <w:top w:val="nil"/>
              <w:left w:val="nil"/>
              <w:bottom w:val="single" w:sz="4" w:space="0" w:color="auto"/>
              <w:right w:val="single" w:sz="4" w:space="0" w:color="auto"/>
            </w:tcBorders>
            <w:shd w:val="clear" w:color="000000" w:fill="FFFFFF"/>
            <w:noWrap/>
            <w:vAlign w:val="center"/>
            <w:hideMark/>
          </w:tcPr>
          <w:p w14:paraId="524AF775" w14:textId="77777777" w:rsidR="006C77C4" w:rsidRPr="0005669B" w:rsidRDefault="006C77C4" w:rsidP="006C77C4">
            <w:pPr>
              <w:jc w:val="center"/>
              <w:rPr>
                <w:color w:val="000000"/>
                <w:sz w:val="20"/>
                <w:szCs w:val="20"/>
              </w:rPr>
            </w:pPr>
            <w:r w:rsidRPr="0005669B">
              <w:rPr>
                <w:color w:val="000000"/>
                <w:sz w:val="20"/>
                <w:szCs w:val="20"/>
              </w:rPr>
              <w:t>2025</w:t>
            </w:r>
          </w:p>
        </w:tc>
        <w:tc>
          <w:tcPr>
            <w:tcW w:w="1706" w:type="dxa"/>
            <w:tcBorders>
              <w:top w:val="nil"/>
              <w:left w:val="nil"/>
              <w:bottom w:val="single" w:sz="4" w:space="0" w:color="auto"/>
              <w:right w:val="single" w:sz="4" w:space="0" w:color="auto"/>
            </w:tcBorders>
            <w:shd w:val="clear" w:color="000000" w:fill="FFFFFF"/>
            <w:noWrap/>
            <w:hideMark/>
          </w:tcPr>
          <w:p w14:paraId="21042570" w14:textId="23A2D859" w:rsidR="006C77C4" w:rsidRPr="0005669B" w:rsidRDefault="006C77C4" w:rsidP="006C77C4">
            <w:pPr>
              <w:rPr>
                <w:color w:val="000000"/>
                <w:sz w:val="20"/>
                <w:szCs w:val="20"/>
              </w:rPr>
            </w:pPr>
            <w:r w:rsidRPr="0005669B">
              <w:rPr>
                <w:sz w:val="20"/>
                <w:szCs w:val="20"/>
              </w:rPr>
              <w:t>SSCI/Q1</w:t>
            </w:r>
          </w:p>
        </w:tc>
      </w:tr>
      <w:tr w:rsidR="006C77C4" w:rsidRPr="0005669B" w14:paraId="3C0F2BFD" w14:textId="77777777" w:rsidTr="00F14CAD">
        <w:trPr>
          <w:trHeight w:val="296"/>
          <w:jc w:val="center"/>
        </w:trPr>
        <w:tc>
          <w:tcPr>
            <w:tcW w:w="442" w:type="dxa"/>
            <w:tcBorders>
              <w:top w:val="nil"/>
              <w:left w:val="single" w:sz="4" w:space="0" w:color="auto"/>
              <w:bottom w:val="single" w:sz="4" w:space="0" w:color="auto"/>
              <w:right w:val="single" w:sz="4" w:space="0" w:color="auto"/>
            </w:tcBorders>
            <w:vAlign w:val="center"/>
            <w:hideMark/>
          </w:tcPr>
          <w:p w14:paraId="6E163B28" w14:textId="77777777" w:rsidR="006C77C4" w:rsidRPr="0005669B" w:rsidRDefault="006C77C4" w:rsidP="006C77C4">
            <w:pPr>
              <w:jc w:val="right"/>
              <w:rPr>
                <w:color w:val="000000"/>
                <w:sz w:val="20"/>
                <w:szCs w:val="20"/>
              </w:rPr>
            </w:pPr>
            <w:r w:rsidRPr="0005669B">
              <w:rPr>
                <w:color w:val="000000"/>
                <w:sz w:val="20"/>
                <w:szCs w:val="20"/>
              </w:rPr>
              <w:t>20</w:t>
            </w:r>
          </w:p>
        </w:tc>
        <w:tc>
          <w:tcPr>
            <w:tcW w:w="3522" w:type="dxa"/>
            <w:tcBorders>
              <w:top w:val="nil"/>
              <w:left w:val="nil"/>
              <w:bottom w:val="single" w:sz="4" w:space="0" w:color="auto"/>
              <w:right w:val="single" w:sz="4" w:space="0" w:color="auto"/>
            </w:tcBorders>
            <w:vAlign w:val="center"/>
            <w:hideMark/>
          </w:tcPr>
          <w:p w14:paraId="65E86437" w14:textId="09D28D13" w:rsidR="006C77C4" w:rsidRPr="0005669B" w:rsidRDefault="00F57B98" w:rsidP="006C77C4">
            <w:pPr>
              <w:rPr>
                <w:color w:val="000000"/>
                <w:sz w:val="20"/>
                <w:szCs w:val="20"/>
              </w:rPr>
            </w:pPr>
            <w:r w:rsidRPr="0005669B">
              <w:rPr>
                <w:color w:val="000000"/>
                <w:sz w:val="20"/>
                <w:szCs w:val="20"/>
              </w:rPr>
              <w:fldChar w:fldCharType="begin"/>
            </w:r>
            <w:r w:rsidR="0005669B" w:rsidRPr="0005669B">
              <w:rPr>
                <w:color w:val="000000"/>
                <w:sz w:val="20"/>
                <w:szCs w:val="20"/>
              </w:rPr>
              <w:instrText xml:space="preserve"> ADDIN EN.CITE &lt;EndNote&gt;&lt;Cite AuthorYear="1"&gt;&lt;Author&gt;He&lt;/Author&gt;&lt;Year&gt;2023&lt;/Year&gt;&lt;RecNum&gt;87&lt;/RecNum&gt;&lt;DisplayText&gt;He, et al.&lt;style face="superscript"&gt;43&lt;/style&gt;&lt;/DisplayText&gt;&lt;record&gt;&lt;rec-number&gt;87&lt;/rec-number&gt;&lt;foreign-keys&gt;&lt;key app="EN" db-id="wapx0v0s4rw2r6esw9dpwpd1wwvx05v0920r" timestamp="1769481968"&gt;87&lt;/key&gt;&lt;/foreign-keys&gt;&lt;ref-type name="Journal Article"&gt;17&lt;/ref-type&gt;&lt;contributors&gt;&lt;authors&gt;&lt;author&gt;He, Miao&lt;/author&gt;&lt;author&gt;Song, Ge&lt;/author&gt;&lt;author&gt;Chen, Qianqian&lt;/author&gt;&lt;/authors&gt;&lt;/contributors&gt;&lt;titles&gt;&lt;title&gt;Fintech adoption, internal control quality and bank risk taking: Evidence from Chinese listed banks&lt;/title&gt;&lt;secondary-title&gt;Finance Research Letters&lt;/secondary-title&gt;&lt;/titles&gt;&lt;periodical&gt;&lt;full-title&gt;Finance Research Letters&lt;/full-title&gt;&lt;/periodical&gt;&lt;pages&gt;104235&lt;/pages&gt;&lt;volume&gt;57&lt;/volume&gt;&lt;dates&gt;&lt;year&gt;2023&lt;/year&gt;&lt;/dates&gt;&lt;isbn&gt;1544-6123&lt;/isbn&gt;&lt;urls&gt;&lt;/urls&gt;&lt;/record&gt;&lt;/Cite&gt;&lt;/EndNote&gt;</w:instrText>
            </w:r>
            <w:r w:rsidRPr="0005669B">
              <w:rPr>
                <w:color w:val="000000"/>
                <w:sz w:val="20"/>
                <w:szCs w:val="20"/>
              </w:rPr>
              <w:fldChar w:fldCharType="separate"/>
            </w:r>
            <w:r w:rsidR="0005669B" w:rsidRPr="0005669B">
              <w:rPr>
                <w:noProof/>
                <w:color w:val="000000"/>
                <w:sz w:val="20"/>
                <w:szCs w:val="20"/>
              </w:rPr>
              <w:t>He, et al.</w:t>
            </w:r>
            <w:r w:rsidR="0005669B" w:rsidRPr="0005669B">
              <w:rPr>
                <w:noProof/>
                <w:color w:val="000000"/>
                <w:sz w:val="20"/>
                <w:szCs w:val="20"/>
                <w:vertAlign w:val="superscript"/>
              </w:rPr>
              <w:t>43</w:t>
            </w:r>
            <w:r w:rsidRPr="0005669B">
              <w:rPr>
                <w:color w:val="000000"/>
                <w:sz w:val="20"/>
                <w:szCs w:val="20"/>
              </w:rPr>
              <w:fldChar w:fldCharType="end"/>
            </w:r>
          </w:p>
        </w:tc>
        <w:tc>
          <w:tcPr>
            <w:tcW w:w="1985" w:type="dxa"/>
            <w:tcBorders>
              <w:top w:val="nil"/>
              <w:left w:val="nil"/>
              <w:bottom w:val="single" w:sz="4" w:space="0" w:color="auto"/>
              <w:right w:val="single" w:sz="4" w:space="0" w:color="auto"/>
            </w:tcBorders>
            <w:vAlign w:val="center"/>
            <w:hideMark/>
          </w:tcPr>
          <w:p w14:paraId="1F598765" w14:textId="77777777" w:rsidR="006C77C4" w:rsidRPr="0005669B" w:rsidRDefault="006C77C4" w:rsidP="006C77C4">
            <w:pPr>
              <w:rPr>
                <w:color w:val="000000"/>
                <w:sz w:val="20"/>
                <w:szCs w:val="20"/>
              </w:rPr>
            </w:pPr>
            <w:r w:rsidRPr="0005669B">
              <w:rPr>
                <w:color w:val="000000"/>
                <w:sz w:val="20"/>
                <w:szCs w:val="20"/>
              </w:rPr>
              <w:t>China</w:t>
            </w:r>
          </w:p>
        </w:tc>
        <w:tc>
          <w:tcPr>
            <w:tcW w:w="924" w:type="dxa"/>
            <w:tcBorders>
              <w:top w:val="nil"/>
              <w:left w:val="nil"/>
              <w:bottom w:val="single" w:sz="4" w:space="0" w:color="auto"/>
              <w:right w:val="single" w:sz="4" w:space="0" w:color="auto"/>
            </w:tcBorders>
            <w:shd w:val="clear" w:color="000000" w:fill="FFFFFF"/>
            <w:noWrap/>
            <w:vAlign w:val="center"/>
            <w:hideMark/>
          </w:tcPr>
          <w:p w14:paraId="088A7686" w14:textId="33D0BCE3" w:rsidR="006C77C4" w:rsidRPr="0005669B" w:rsidRDefault="006C77C4" w:rsidP="006C77C4">
            <w:pPr>
              <w:jc w:val="center"/>
              <w:rPr>
                <w:color w:val="000000"/>
                <w:sz w:val="20"/>
                <w:szCs w:val="20"/>
                <w:lang w:val="en-US"/>
              </w:rPr>
            </w:pPr>
            <w:r w:rsidRPr="0005669B">
              <w:rPr>
                <w:color w:val="000000"/>
                <w:sz w:val="20"/>
                <w:szCs w:val="20"/>
              </w:rPr>
              <w:t>5</w:t>
            </w:r>
            <w:r w:rsidR="00F57B98" w:rsidRPr="0005669B">
              <w:rPr>
                <w:color w:val="000000"/>
                <w:sz w:val="20"/>
                <w:szCs w:val="20"/>
                <w:lang w:val="en-US"/>
              </w:rPr>
              <w:t>9</w:t>
            </w:r>
          </w:p>
        </w:tc>
        <w:tc>
          <w:tcPr>
            <w:tcW w:w="777" w:type="dxa"/>
            <w:tcBorders>
              <w:top w:val="nil"/>
              <w:left w:val="nil"/>
              <w:bottom w:val="single" w:sz="4" w:space="0" w:color="auto"/>
              <w:right w:val="single" w:sz="4" w:space="0" w:color="auto"/>
            </w:tcBorders>
            <w:shd w:val="clear" w:color="000000" w:fill="FFFFFF"/>
            <w:noWrap/>
            <w:vAlign w:val="center"/>
            <w:hideMark/>
          </w:tcPr>
          <w:p w14:paraId="42F1B152" w14:textId="77777777" w:rsidR="006C77C4" w:rsidRPr="0005669B" w:rsidRDefault="006C77C4" w:rsidP="006C77C4">
            <w:pPr>
              <w:jc w:val="center"/>
              <w:rPr>
                <w:color w:val="000000"/>
                <w:sz w:val="20"/>
                <w:szCs w:val="20"/>
              </w:rPr>
            </w:pPr>
            <w:r w:rsidRPr="0005669B">
              <w:rPr>
                <w:color w:val="000000"/>
                <w:sz w:val="20"/>
                <w:szCs w:val="20"/>
              </w:rPr>
              <w:t>2023</w:t>
            </w:r>
          </w:p>
        </w:tc>
        <w:tc>
          <w:tcPr>
            <w:tcW w:w="1706" w:type="dxa"/>
            <w:tcBorders>
              <w:top w:val="nil"/>
              <w:left w:val="nil"/>
              <w:bottom w:val="single" w:sz="4" w:space="0" w:color="auto"/>
              <w:right w:val="single" w:sz="4" w:space="0" w:color="auto"/>
            </w:tcBorders>
            <w:shd w:val="clear" w:color="000000" w:fill="FFFFFF"/>
            <w:noWrap/>
            <w:hideMark/>
          </w:tcPr>
          <w:p w14:paraId="4D2C6AEF" w14:textId="2F58BC35" w:rsidR="006C77C4" w:rsidRPr="0005669B" w:rsidRDefault="006C77C4" w:rsidP="006C77C4">
            <w:pPr>
              <w:rPr>
                <w:color w:val="000000"/>
                <w:sz w:val="20"/>
                <w:szCs w:val="20"/>
              </w:rPr>
            </w:pPr>
            <w:r w:rsidRPr="0005669B">
              <w:rPr>
                <w:sz w:val="20"/>
                <w:szCs w:val="20"/>
              </w:rPr>
              <w:t>SSCI/Q1</w:t>
            </w:r>
          </w:p>
        </w:tc>
      </w:tr>
      <w:tr w:rsidR="006C77C4" w:rsidRPr="0005669B" w14:paraId="49BC0E87" w14:textId="77777777" w:rsidTr="00F14CAD">
        <w:trPr>
          <w:trHeight w:val="296"/>
          <w:jc w:val="center"/>
        </w:trPr>
        <w:tc>
          <w:tcPr>
            <w:tcW w:w="442" w:type="dxa"/>
            <w:tcBorders>
              <w:top w:val="nil"/>
              <w:left w:val="single" w:sz="4" w:space="0" w:color="auto"/>
              <w:bottom w:val="single" w:sz="4" w:space="0" w:color="auto"/>
              <w:right w:val="single" w:sz="4" w:space="0" w:color="auto"/>
            </w:tcBorders>
            <w:vAlign w:val="center"/>
            <w:hideMark/>
          </w:tcPr>
          <w:p w14:paraId="2D176898" w14:textId="77777777" w:rsidR="006C77C4" w:rsidRPr="0005669B" w:rsidRDefault="006C77C4" w:rsidP="006C77C4">
            <w:pPr>
              <w:jc w:val="right"/>
              <w:rPr>
                <w:color w:val="000000"/>
                <w:sz w:val="20"/>
                <w:szCs w:val="20"/>
              </w:rPr>
            </w:pPr>
            <w:r w:rsidRPr="0005669B">
              <w:rPr>
                <w:color w:val="000000"/>
                <w:sz w:val="20"/>
                <w:szCs w:val="20"/>
              </w:rPr>
              <w:t>21</w:t>
            </w:r>
          </w:p>
        </w:tc>
        <w:tc>
          <w:tcPr>
            <w:tcW w:w="3522" w:type="dxa"/>
            <w:tcBorders>
              <w:top w:val="nil"/>
              <w:left w:val="nil"/>
              <w:bottom w:val="single" w:sz="4" w:space="0" w:color="auto"/>
              <w:right w:val="single" w:sz="4" w:space="0" w:color="auto"/>
            </w:tcBorders>
            <w:vAlign w:val="center"/>
            <w:hideMark/>
          </w:tcPr>
          <w:p w14:paraId="76146755" w14:textId="4C7983D8" w:rsidR="006C77C4" w:rsidRPr="0005669B" w:rsidRDefault="00F57B98" w:rsidP="006C77C4">
            <w:pPr>
              <w:rPr>
                <w:color w:val="000000"/>
                <w:sz w:val="20"/>
                <w:szCs w:val="20"/>
              </w:rPr>
            </w:pPr>
            <w:r w:rsidRPr="0005669B">
              <w:rPr>
                <w:color w:val="000000"/>
                <w:sz w:val="20"/>
                <w:szCs w:val="20"/>
              </w:rPr>
              <w:fldChar w:fldCharType="begin"/>
            </w:r>
            <w:r w:rsidR="0005669B" w:rsidRPr="0005669B">
              <w:rPr>
                <w:color w:val="000000"/>
                <w:sz w:val="20"/>
                <w:szCs w:val="20"/>
              </w:rPr>
              <w:instrText xml:space="preserve"> ADDIN EN.CITE &lt;EndNote&gt;&lt;Cite AuthorYear="1"&gt;&lt;Author&gt;Zhang&lt;/Author&gt;&lt;Year&gt;2023&lt;/Year&gt;&lt;RecNum&gt;88&lt;/RecNum&gt;&lt;DisplayText&gt;Zhang, et al.&lt;style face="superscript"&gt;44&lt;/style&gt;&lt;/DisplayText&gt;&lt;record&gt;&lt;rec-number&gt;88&lt;/rec-number&gt;&lt;foreign-keys&gt;&lt;key app="EN" db-id="wapx0v0s4rw2r6esw9dpwpd1wwvx05v0920r" timestamp="1769481999"&gt;88&lt;/key&gt;&lt;/foreign-keys&gt;&lt;ref-type name="Journal Article"&gt;17&lt;/ref-type&gt;&lt;contributors&gt;&lt;authors&gt;&lt;author&gt;Zhang, Yujin&lt;/author&gt;&lt;author&gt;Ye, Shujun&lt;/author&gt;&lt;author&gt;Liu, Jie&lt;/author&gt;&lt;author&gt;Du, Lihong&lt;/author&gt;&lt;/authors&gt;&lt;/contributors&gt;&lt;titles&gt;&lt;title&gt;Impact of the development of FinTech by commercial banks on bank credit risk&lt;/title&gt;&lt;secondary-title&gt;Finance Research Letters&lt;/secondary-title&gt;&lt;/titles&gt;&lt;periodical&gt;&lt;full-title&gt;Finance Research Letters&lt;/full-title&gt;&lt;/periodical&gt;&lt;pages&gt;103857&lt;/pages&gt;&lt;volume&gt;55&lt;/volume&gt;&lt;dates&gt;&lt;year&gt;2023&lt;/year&gt;&lt;/dates&gt;&lt;isbn&gt;1544-6123&lt;/isbn&gt;&lt;urls&gt;&lt;/urls&gt;&lt;/record&gt;&lt;/Cite&gt;&lt;/EndNote&gt;</w:instrText>
            </w:r>
            <w:r w:rsidRPr="0005669B">
              <w:rPr>
                <w:color w:val="000000"/>
                <w:sz w:val="20"/>
                <w:szCs w:val="20"/>
              </w:rPr>
              <w:fldChar w:fldCharType="separate"/>
            </w:r>
            <w:r w:rsidR="0005669B" w:rsidRPr="0005669B">
              <w:rPr>
                <w:noProof/>
                <w:color w:val="000000"/>
                <w:sz w:val="20"/>
                <w:szCs w:val="20"/>
              </w:rPr>
              <w:t>Zhang, et al.</w:t>
            </w:r>
            <w:r w:rsidR="0005669B" w:rsidRPr="0005669B">
              <w:rPr>
                <w:noProof/>
                <w:color w:val="000000"/>
                <w:sz w:val="20"/>
                <w:szCs w:val="20"/>
                <w:vertAlign w:val="superscript"/>
              </w:rPr>
              <w:t>44</w:t>
            </w:r>
            <w:r w:rsidRPr="0005669B">
              <w:rPr>
                <w:color w:val="000000"/>
                <w:sz w:val="20"/>
                <w:szCs w:val="20"/>
              </w:rPr>
              <w:fldChar w:fldCharType="end"/>
            </w:r>
          </w:p>
        </w:tc>
        <w:tc>
          <w:tcPr>
            <w:tcW w:w="1985" w:type="dxa"/>
            <w:tcBorders>
              <w:top w:val="nil"/>
              <w:left w:val="nil"/>
              <w:bottom w:val="single" w:sz="4" w:space="0" w:color="auto"/>
              <w:right w:val="single" w:sz="4" w:space="0" w:color="auto"/>
            </w:tcBorders>
            <w:vAlign w:val="center"/>
            <w:hideMark/>
          </w:tcPr>
          <w:p w14:paraId="07CD1919" w14:textId="77777777" w:rsidR="006C77C4" w:rsidRPr="0005669B" w:rsidRDefault="006C77C4" w:rsidP="006C77C4">
            <w:pPr>
              <w:rPr>
                <w:color w:val="000000"/>
                <w:sz w:val="20"/>
                <w:szCs w:val="20"/>
              </w:rPr>
            </w:pPr>
            <w:r w:rsidRPr="0005669B">
              <w:rPr>
                <w:color w:val="000000"/>
                <w:sz w:val="20"/>
                <w:szCs w:val="20"/>
              </w:rPr>
              <w:t>China</w:t>
            </w:r>
          </w:p>
        </w:tc>
        <w:tc>
          <w:tcPr>
            <w:tcW w:w="924" w:type="dxa"/>
            <w:tcBorders>
              <w:top w:val="nil"/>
              <w:left w:val="nil"/>
              <w:bottom w:val="single" w:sz="4" w:space="0" w:color="auto"/>
              <w:right w:val="single" w:sz="4" w:space="0" w:color="auto"/>
            </w:tcBorders>
            <w:shd w:val="clear" w:color="000000" w:fill="FFFFFF"/>
            <w:noWrap/>
            <w:vAlign w:val="center"/>
            <w:hideMark/>
          </w:tcPr>
          <w:p w14:paraId="162BAC1A" w14:textId="008D899A" w:rsidR="006C77C4" w:rsidRPr="0005669B" w:rsidRDefault="006C77C4" w:rsidP="006C77C4">
            <w:pPr>
              <w:jc w:val="center"/>
              <w:rPr>
                <w:color w:val="000000"/>
                <w:sz w:val="20"/>
                <w:szCs w:val="20"/>
              </w:rPr>
            </w:pPr>
            <w:r w:rsidRPr="0005669B">
              <w:rPr>
                <w:color w:val="000000"/>
                <w:sz w:val="20"/>
                <w:szCs w:val="20"/>
              </w:rPr>
              <w:t>73</w:t>
            </w:r>
          </w:p>
        </w:tc>
        <w:tc>
          <w:tcPr>
            <w:tcW w:w="777" w:type="dxa"/>
            <w:tcBorders>
              <w:top w:val="nil"/>
              <w:left w:val="nil"/>
              <w:bottom w:val="single" w:sz="4" w:space="0" w:color="auto"/>
              <w:right w:val="single" w:sz="4" w:space="0" w:color="auto"/>
            </w:tcBorders>
            <w:shd w:val="clear" w:color="000000" w:fill="FFFFFF"/>
            <w:noWrap/>
            <w:vAlign w:val="center"/>
            <w:hideMark/>
          </w:tcPr>
          <w:p w14:paraId="24762D5A" w14:textId="77777777" w:rsidR="006C77C4" w:rsidRPr="0005669B" w:rsidRDefault="006C77C4" w:rsidP="006C77C4">
            <w:pPr>
              <w:jc w:val="center"/>
              <w:rPr>
                <w:color w:val="000000"/>
                <w:sz w:val="20"/>
                <w:szCs w:val="20"/>
              </w:rPr>
            </w:pPr>
            <w:r w:rsidRPr="0005669B">
              <w:rPr>
                <w:color w:val="000000"/>
                <w:sz w:val="20"/>
                <w:szCs w:val="20"/>
              </w:rPr>
              <w:t>2023</w:t>
            </w:r>
          </w:p>
        </w:tc>
        <w:tc>
          <w:tcPr>
            <w:tcW w:w="1706" w:type="dxa"/>
            <w:tcBorders>
              <w:top w:val="nil"/>
              <w:left w:val="nil"/>
              <w:bottom w:val="single" w:sz="4" w:space="0" w:color="auto"/>
              <w:right w:val="single" w:sz="4" w:space="0" w:color="auto"/>
            </w:tcBorders>
            <w:shd w:val="clear" w:color="000000" w:fill="FFFFFF"/>
            <w:noWrap/>
            <w:hideMark/>
          </w:tcPr>
          <w:p w14:paraId="64B6893E" w14:textId="775DD1BF" w:rsidR="006C77C4" w:rsidRPr="0005669B" w:rsidRDefault="006C77C4" w:rsidP="006C77C4">
            <w:pPr>
              <w:rPr>
                <w:color w:val="000000"/>
                <w:sz w:val="20"/>
                <w:szCs w:val="20"/>
              </w:rPr>
            </w:pPr>
            <w:r w:rsidRPr="0005669B">
              <w:rPr>
                <w:sz w:val="20"/>
                <w:szCs w:val="20"/>
              </w:rPr>
              <w:t>SSCI/Q1</w:t>
            </w:r>
          </w:p>
        </w:tc>
      </w:tr>
      <w:tr w:rsidR="006C77C4" w:rsidRPr="0005669B" w14:paraId="72713BA2" w14:textId="77777777" w:rsidTr="00F14CAD">
        <w:trPr>
          <w:trHeight w:val="296"/>
          <w:jc w:val="center"/>
        </w:trPr>
        <w:tc>
          <w:tcPr>
            <w:tcW w:w="442" w:type="dxa"/>
            <w:tcBorders>
              <w:top w:val="nil"/>
              <w:left w:val="single" w:sz="4" w:space="0" w:color="auto"/>
              <w:bottom w:val="single" w:sz="4" w:space="0" w:color="auto"/>
              <w:right w:val="single" w:sz="4" w:space="0" w:color="auto"/>
            </w:tcBorders>
            <w:vAlign w:val="center"/>
            <w:hideMark/>
          </w:tcPr>
          <w:p w14:paraId="4E862650" w14:textId="77777777" w:rsidR="006C77C4" w:rsidRPr="0005669B" w:rsidRDefault="006C77C4" w:rsidP="006C77C4">
            <w:pPr>
              <w:jc w:val="right"/>
              <w:rPr>
                <w:color w:val="000000"/>
                <w:sz w:val="20"/>
                <w:szCs w:val="20"/>
              </w:rPr>
            </w:pPr>
            <w:r w:rsidRPr="0005669B">
              <w:rPr>
                <w:color w:val="000000"/>
                <w:sz w:val="20"/>
                <w:szCs w:val="20"/>
              </w:rPr>
              <w:t>22</w:t>
            </w:r>
          </w:p>
        </w:tc>
        <w:tc>
          <w:tcPr>
            <w:tcW w:w="3522" w:type="dxa"/>
            <w:tcBorders>
              <w:top w:val="nil"/>
              <w:left w:val="nil"/>
              <w:bottom w:val="single" w:sz="4" w:space="0" w:color="auto"/>
              <w:right w:val="single" w:sz="4" w:space="0" w:color="auto"/>
            </w:tcBorders>
            <w:vAlign w:val="center"/>
            <w:hideMark/>
          </w:tcPr>
          <w:p w14:paraId="0B7899AA" w14:textId="49561013" w:rsidR="006C77C4" w:rsidRPr="0005669B" w:rsidRDefault="00690F08" w:rsidP="006C77C4">
            <w:pPr>
              <w:rPr>
                <w:color w:val="000000"/>
                <w:sz w:val="20"/>
                <w:szCs w:val="20"/>
              </w:rPr>
            </w:pPr>
            <w:r w:rsidRPr="0005669B">
              <w:rPr>
                <w:color w:val="000000"/>
                <w:sz w:val="20"/>
                <w:szCs w:val="20"/>
              </w:rPr>
              <w:fldChar w:fldCharType="begin"/>
            </w:r>
            <w:r w:rsidR="0005669B" w:rsidRPr="0005669B">
              <w:rPr>
                <w:color w:val="000000"/>
                <w:sz w:val="20"/>
                <w:szCs w:val="20"/>
              </w:rPr>
              <w:instrText xml:space="preserve"> ADDIN EN.CITE &lt;EndNote&gt;&lt;Cite AuthorYear="1"&gt;&lt;Author&gt;Cheng&lt;/Author&gt;&lt;Year&gt;2020&lt;/Year&gt;&lt;RecNum&gt;89&lt;/RecNum&gt;&lt;DisplayText&gt;Cheng and Qu&lt;style face="superscript"&gt;45&lt;/style&gt;&lt;/DisplayText&gt;&lt;record&gt;&lt;rec-number&gt;89&lt;/rec-number&gt;&lt;foreign-keys&gt;&lt;key app="EN" db-id="wapx0v0s4rw2r6esw9dpwpd1wwvx05v0920r" timestamp="1769482021"&gt;89&lt;/key&gt;&lt;/foreign-keys&gt;&lt;ref-type name="Journal Article"&gt;17&lt;/ref-type&gt;&lt;contributors&gt;&lt;authors&gt;&lt;author&gt;Cheng, Maoyong&lt;/author&gt;&lt;author&gt;Qu, Yang&lt;/author&gt;&lt;/authors&gt;&lt;/contributors&gt;&lt;titles&gt;&lt;title&gt;Does bank FinTech reduce credit risk? Evidence from China&lt;/title&gt;&lt;secondary-title&gt;Pacific-basin finance journal&lt;/secondary-title&gt;&lt;/titles&gt;&lt;periodical&gt;&lt;full-title&gt;Pacific-basin finance journal&lt;/full-title&gt;&lt;/periodical&gt;&lt;pages&gt;101398&lt;/pages&gt;&lt;volume&gt;63&lt;/volume&gt;&lt;dates&gt;&lt;year&gt;2020&lt;/year&gt;&lt;/dates&gt;&lt;isbn&gt;0927-538X&lt;/isbn&gt;&lt;urls&gt;&lt;/urls&gt;&lt;/record&gt;&lt;/Cite&gt;&lt;/EndNote&gt;</w:instrText>
            </w:r>
            <w:r w:rsidRPr="0005669B">
              <w:rPr>
                <w:color w:val="000000"/>
                <w:sz w:val="20"/>
                <w:szCs w:val="20"/>
              </w:rPr>
              <w:fldChar w:fldCharType="separate"/>
            </w:r>
            <w:r w:rsidR="0005669B" w:rsidRPr="0005669B">
              <w:rPr>
                <w:noProof/>
                <w:color w:val="000000"/>
                <w:sz w:val="20"/>
                <w:szCs w:val="20"/>
              </w:rPr>
              <w:t>Cheng and Qu</w:t>
            </w:r>
            <w:r w:rsidR="0005669B" w:rsidRPr="0005669B">
              <w:rPr>
                <w:noProof/>
                <w:color w:val="000000"/>
                <w:sz w:val="20"/>
                <w:szCs w:val="20"/>
                <w:vertAlign w:val="superscript"/>
              </w:rPr>
              <w:t>45</w:t>
            </w:r>
            <w:r w:rsidRPr="0005669B">
              <w:rPr>
                <w:color w:val="000000"/>
                <w:sz w:val="20"/>
                <w:szCs w:val="20"/>
              </w:rPr>
              <w:fldChar w:fldCharType="end"/>
            </w:r>
          </w:p>
        </w:tc>
        <w:tc>
          <w:tcPr>
            <w:tcW w:w="1985" w:type="dxa"/>
            <w:tcBorders>
              <w:top w:val="nil"/>
              <w:left w:val="nil"/>
              <w:bottom w:val="single" w:sz="4" w:space="0" w:color="auto"/>
              <w:right w:val="single" w:sz="4" w:space="0" w:color="auto"/>
            </w:tcBorders>
            <w:vAlign w:val="center"/>
            <w:hideMark/>
          </w:tcPr>
          <w:p w14:paraId="2CABD6FD" w14:textId="77777777" w:rsidR="006C77C4" w:rsidRPr="0005669B" w:rsidRDefault="006C77C4" w:rsidP="006C77C4">
            <w:pPr>
              <w:rPr>
                <w:color w:val="000000"/>
                <w:sz w:val="20"/>
                <w:szCs w:val="20"/>
              </w:rPr>
            </w:pPr>
            <w:r w:rsidRPr="0005669B">
              <w:rPr>
                <w:color w:val="000000"/>
                <w:sz w:val="20"/>
                <w:szCs w:val="20"/>
              </w:rPr>
              <w:t>China</w:t>
            </w:r>
          </w:p>
        </w:tc>
        <w:tc>
          <w:tcPr>
            <w:tcW w:w="924" w:type="dxa"/>
            <w:tcBorders>
              <w:top w:val="nil"/>
              <w:left w:val="nil"/>
              <w:bottom w:val="single" w:sz="4" w:space="0" w:color="auto"/>
              <w:right w:val="single" w:sz="4" w:space="0" w:color="auto"/>
            </w:tcBorders>
            <w:shd w:val="clear" w:color="000000" w:fill="FFFFFF"/>
            <w:noWrap/>
            <w:vAlign w:val="center"/>
            <w:hideMark/>
          </w:tcPr>
          <w:p w14:paraId="200AEDB3" w14:textId="6A1A0659" w:rsidR="006C77C4" w:rsidRPr="0005669B" w:rsidRDefault="006C77C4" w:rsidP="006C77C4">
            <w:pPr>
              <w:jc w:val="center"/>
              <w:rPr>
                <w:color w:val="000000"/>
                <w:sz w:val="20"/>
                <w:szCs w:val="20"/>
              </w:rPr>
            </w:pPr>
            <w:r w:rsidRPr="0005669B">
              <w:rPr>
                <w:color w:val="000000"/>
                <w:sz w:val="20"/>
                <w:szCs w:val="20"/>
              </w:rPr>
              <w:t>591</w:t>
            </w:r>
          </w:p>
        </w:tc>
        <w:tc>
          <w:tcPr>
            <w:tcW w:w="777" w:type="dxa"/>
            <w:tcBorders>
              <w:top w:val="nil"/>
              <w:left w:val="nil"/>
              <w:bottom w:val="single" w:sz="4" w:space="0" w:color="auto"/>
              <w:right w:val="single" w:sz="4" w:space="0" w:color="auto"/>
            </w:tcBorders>
            <w:shd w:val="clear" w:color="000000" w:fill="FFFFFF"/>
            <w:noWrap/>
            <w:vAlign w:val="center"/>
            <w:hideMark/>
          </w:tcPr>
          <w:p w14:paraId="5E4DAEF0" w14:textId="77777777" w:rsidR="006C77C4" w:rsidRPr="0005669B" w:rsidRDefault="006C77C4" w:rsidP="006C77C4">
            <w:pPr>
              <w:jc w:val="center"/>
              <w:rPr>
                <w:color w:val="000000"/>
                <w:sz w:val="20"/>
                <w:szCs w:val="20"/>
              </w:rPr>
            </w:pPr>
            <w:r w:rsidRPr="0005669B">
              <w:rPr>
                <w:color w:val="000000"/>
                <w:sz w:val="20"/>
                <w:szCs w:val="20"/>
              </w:rPr>
              <w:t>2020</w:t>
            </w:r>
          </w:p>
        </w:tc>
        <w:tc>
          <w:tcPr>
            <w:tcW w:w="1706" w:type="dxa"/>
            <w:tcBorders>
              <w:top w:val="nil"/>
              <w:left w:val="nil"/>
              <w:bottom w:val="single" w:sz="4" w:space="0" w:color="auto"/>
              <w:right w:val="single" w:sz="4" w:space="0" w:color="auto"/>
            </w:tcBorders>
            <w:shd w:val="clear" w:color="000000" w:fill="FFFFFF"/>
            <w:noWrap/>
            <w:hideMark/>
          </w:tcPr>
          <w:p w14:paraId="653D0EE4" w14:textId="10E0D978" w:rsidR="006C77C4" w:rsidRPr="0005669B" w:rsidRDefault="006C77C4" w:rsidP="006C77C4">
            <w:pPr>
              <w:rPr>
                <w:color w:val="000000"/>
                <w:sz w:val="20"/>
                <w:szCs w:val="20"/>
              </w:rPr>
            </w:pPr>
            <w:r w:rsidRPr="0005669B">
              <w:rPr>
                <w:sz w:val="20"/>
                <w:szCs w:val="20"/>
              </w:rPr>
              <w:t>SSCI/Q1</w:t>
            </w:r>
          </w:p>
        </w:tc>
      </w:tr>
    </w:tbl>
    <w:p w14:paraId="1BB11089" w14:textId="77777777" w:rsidR="00841ED3" w:rsidRPr="0005669B" w:rsidRDefault="00841ED3" w:rsidP="007E6A89">
      <w:pPr>
        <w:tabs>
          <w:tab w:val="left" w:pos="360"/>
        </w:tabs>
        <w:spacing w:before="120"/>
        <w:jc w:val="both"/>
        <w:rPr>
          <w:sz w:val="22"/>
          <w:szCs w:val="22"/>
          <w:lang w:val="en-US"/>
        </w:rPr>
        <w:sectPr w:rsidR="00841ED3" w:rsidRPr="0005669B" w:rsidSect="00841ED3">
          <w:type w:val="continuous"/>
          <w:pgSz w:w="11909" w:h="16834"/>
          <w:pgMar w:top="1134" w:right="1134" w:bottom="1134" w:left="1418" w:header="720" w:footer="720" w:gutter="0"/>
          <w:cols w:space="720"/>
        </w:sectPr>
      </w:pPr>
    </w:p>
    <w:p w14:paraId="381A5871" w14:textId="30F86E0B" w:rsidR="00E60519" w:rsidRPr="0005669B" w:rsidRDefault="00E60519" w:rsidP="00E60519">
      <w:pPr>
        <w:tabs>
          <w:tab w:val="left" w:pos="360"/>
        </w:tabs>
        <w:spacing w:before="120"/>
        <w:jc w:val="both"/>
        <w:rPr>
          <w:sz w:val="22"/>
          <w:szCs w:val="22"/>
          <w:lang w:val="en-US"/>
        </w:rPr>
      </w:pPr>
      <w:r w:rsidRPr="0005669B">
        <w:rPr>
          <w:sz w:val="22"/>
          <w:szCs w:val="22"/>
          <w:lang w:val="en-US"/>
        </w:rPr>
        <w:t>Citation counts were recorded to provide an indicative measure of scholarly influence and were interpreted with caution, particularly for more recent publications (2024</w:t>
      </w:r>
      <w:r w:rsidR="00633DE5" w:rsidRPr="0005669B">
        <w:rPr>
          <w:sz w:val="22"/>
          <w:szCs w:val="22"/>
          <w:lang w:val="en-US"/>
        </w:rPr>
        <w:t>-</w:t>
      </w:r>
      <w:r w:rsidRPr="0005669B">
        <w:rPr>
          <w:sz w:val="22"/>
          <w:szCs w:val="22"/>
          <w:lang w:val="en-US"/>
        </w:rPr>
        <w:t>2025), which naturally exhibit lower citation levels due to shorter publication windows.</w:t>
      </w:r>
    </w:p>
    <w:p w14:paraId="33CF6D3B" w14:textId="630D6A53" w:rsidR="00FB2F44" w:rsidRPr="0005669B" w:rsidRDefault="00FB2F44" w:rsidP="00E60519">
      <w:pPr>
        <w:tabs>
          <w:tab w:val="left" w:pos="360"/>
        </w:tabs>
        <w:spacing w:before="120"/>
        <w:jc w:val="both"/>
        <w:rPr>
          <w:i/>
          <w:iCs/>
          <w:sz w:val="22"/>
          <w:szCs w:val="22"/>
          <w:lang w:val="en-US"/>
        </w:rPr>
      </w:pPr>
      <w:r w:rsidRPr="0005669B">
        <w:rPr>
          <w:sz w:val="22"/>
          <w:szCs w:val="22"/>
        </w:rPr>
        <w:t>Based on the substantive focus of the included studies, the sample was further classified into two main streams:</w:t>
      </w:r>
      <w:r w:rsidRPr="0005669B">
        <w:rPr>
          <w:sz w:val="22"/>
          <w:szCs w:val="22"/>
          <w:lang w:val="en-US"/>
        </w:rPr>
        <w:t xml:space="preserve"> </w:t>
      </w:r>
      <w:r w:rsidRPr="00F140CA">
        <w:rPr>
          <w:sz w:val="22"/>
          <w:szCs w:val="22"/>
        </w:rPr>
        <w:t xml:space="preserve">examining bank-specific determinants of </w:t>
      </w:r>
      <w:r w:rsidR="007356CA" w:rsidRPr="00F140CA">
        <w:rPr>
          <w:sz w:val="22"/>
          <w:szCs w:val="22"/>
        </w:rPr>
        <w:t>Fintech</w:t>
      </w:r>
      <w:r w:rsidRPr="00F140CA">
        <w:rPr>
          <w:sz w:val="22"/>
          <w:szCs w:val="22"/>
        </w:rPr>
        <w:t xml:space="preserve"> adoption, and</w:t>
      </w:r>
      <w:r w:rsidRPr="00F140CA">
        <w:rPr>
          <w:sz w:val="22"/>
          <w:szCs w:val="22"/>
        </w:rPr>
        <w:br/>
        <w:t xml:space="preserve">impacts of </w:t>
      </w:r>
      <w:r w:rsidR="007356CA" w:rsidRPr="00F140CA">
        <w:rPr>
          <w:sz w:val="22"/>
          <w:szCs w:val="22"/>
        </w:rPr>
        <w:t>Fintech</w:t>
      </w:r>
      <w:r w:rsidRPr="00F140CA">
        <w:rPr>
          <w:sz w:val="22"/>
          <w:szCs w:val="22"/>
        </w:rPr>
        <w:t xml:space="preserve"> adoption in banking.</w:t>
      </w:r>
    </w:p>
    <w:p w14:paraId="4B47171F" w14:textId="34F7DB3A" w:rsidR="00FB2F44" w:rsidRPr="0005669B" w:rsidRDefault="00FB2F44" w:rsidP="004F52DB">
      <w:pPr>
        <w:tabs>
          <w:tab w:val="left" w:pos="360"/>
        </w:tabs>
        <w:spacing w:before="120"/>
        <w:jc w:val="both"/>
        <w:rPr>
          <w:sz w:val="22"/>
          <w:szCs w:val="22"/>
          <w:lang w:val="en-US"/>
        </w:rPr>
      </w:pPr>
      <w:r w:rsidRPr="0005669B">
        <w:rPr>
          <w:sz w:val="22"/>
          <w:szCs w:val="22"/>
        </w:rPr>
        <w:t>This classification provided the basis for a qualitative thematic synthesis aimed at identifying dominant research patterns, methodological trends, and contextual differences across countries and regions. The synthesis process facilitated the development of a structured taxonomy of bank-specific determinants, which is presented and discussed in the subsequent Results section.</w:t>
      </w:r>
    </w:p>
    <w:p w14:paraId="26807FAD" w14:textId="39094601" w:rsidR="004F52DB" w:rsidRPr="0005669B" w:rsidRDefault="004F52DB" w:rsidP="004F52DB">
      <w:pPr>
        <w:tabs>
          <w:tab w:val="left" w:pos="360"/>
        </w:tabs>
        <w:spacing w:before="120"/>
        <w:jc w:val="both"/>
        <w:rPr>
          <w:b/>
          <w:bCs/>
          <w:sz w:val="22"/>
          <w:szCs w:val="22"/>
          <w:lang w:val="en-US"/>
        </w:rPr>
      </w:pPr>
      <w:r w:rsidRPr="0005669B">
        <w:rPr>
          <w:b/>
          <w:bCs/>
          <w:sz w:val="22"/>
          <w:szCs w:val="22"/>
          <w:lang w:val="vi-VN"/>
        </w:rPr>
        <w:t xml:space="preserve">4.   </w:t>
      </w:r>
      <w:r w:rsidRPr="0005669B">
        <w:rPr>
          <w:b/>
          <w:bCs/>
          <w:sz w:val="22"/>
          <w:szCs w:val="22"/>
        </w:rPr>
        <w:t>Result</w:t>
      </w:r>
    </w:p>
    <w:p w14:paraId="486365D8" w14:textId="1AB06BB9" w:rsidR="004F52DB" w:rsidRPr="00F140CA" w:rsidRDefault="004F52DB" w:rsidP="004F52DB">
      <w:pPr>
        <w:tabs>
          <w:tab w:val="left" w:pos="360"/>
        </w:tabs>
        <w:spacing w:before="120"/>
        <w:jc w:val="both"/>
        <w:rPr>
          <w:b/>
          <w:bCs/>
          <w:sz w:val="22"/>
          <w:szCs w:val="22"/>
          <w:lang w:val="en-US"/>
        </w:rPr>
      </w:pPr>
      <w:r w:rsidRPr="00F140CA">
        <w:rPr>
          <w:b/>
          <w:bCs/>
          <w:sz w:val="22"/>
          <w:szCs w:val="22"/>
        </w:rPr>
        <w:t>4.1</w:t>
      </w:r>
      <w:r w:rsidR="009408F5" w:rsidRPr="00F140CA">
        <w:rPr>
          <w:b/>
          <w:bCs/>
          <w:sz w:val="22"/>
          <w:szCs w:val="22"/>
          <w:lang w:val="en-US"/>
        </w:rPr>
        <w:t xml:space="preserve">. </w:t>
      </w:r>
      <w:r w:rsidRPr="00F140CA">
        <w:rPr>
          <w:b/>
          <w:bCs/>
          <w:sz w:val="22"/>
          <w:szCs w:val="22"/>
        </w:rPr>
        <w:t xml:space="preserve">Descriptive </w:t>
      </w:r>
      <w:r w:rsidR="003154B5" w:rsidRPr="00F140CA">
        <w:rPr>
          <w:b/>
          <w:bCs/>
          <w:sz w:val="22"/>
          <w:szCs w:val="22"/>
        </w:rPr>
        <w:t>statistics</w:t>
      </w:r>
    </w:p>
    <w:p w14:paraId="030FF911" w14:textId="76EEC260" w:rsidR="00636C0C" w:rsidRPr="0005669B" w:rsidRDefault="00636C0C" w:rsidP="00636C0C">
      <w:pPr>
        <w:tabs>
          <w:tab w:val="left" w:pos="360"/>
        </w:tabs>
        <w:spacing w:before="120"/>
        <w:jc w:val="both"/>
        <w:rPr>
          <w:sz w:val="22"/>
          <w:szCs w:val="22"/>
          <w:lang w:val="en-US"/>
        </w:rPr>
      </w:pPr>
      <w:r w:rsidRPr="0005669B">
        <w:rPr>
          <w:sz w:val="22"/>
          <w:szCs w:val="22"/>
          <w:lang w:val="en-US"/>
        </w:rPr>
        <w:t xml:space="preserve">The temporal distribution of the included studies highlights a clear upward trend in research on </w:t>
      </w:r>
      <w:r w:rsidR="007356CA" w:rsidRPr="0005669B">
        <w:rPr>
          <w:sz w:val="22"/>
          <w:szCs w:val="22"/>
          <w:lang w:val="en-US"/>
        </w:rPr>
        <w:t>Fintech</w:t>
      </w:r>
      <w:r w:rsidRPr="0005669B">
        <w:rPr>
          <w:sz w:val="22"/>
          <w:szCs w:val="22"/>
          <w:lang w:val="en-US"/>
        </w:rPr>
        <w:t xml:space="preserve"> adoption in the banking sector over the period 2020</w:t>
      </w:r>
      <w:r w:rsidR="00F065E0" w:rsidRPr="0005669B">
        <w:rPr>
          <w:sz w:val="22"/>
          <w:szCs w:val="22"/>
          <w:lang w:val="en-US"/>
        </w:rPr>
        <w:t>-</w:t>
      </w:r>
      <w:r w:rsidRPr="0005669B">
        <w:rPr>
          <w:sz w:val="22"/>
          <w:szCs w:val="22"/>
          <w:lang w:val="en-US"/>
        </w:rPr>
        <w:t xml:space="preserve">2025. As summarized in Table 1, the review includes </w:t>
      </w:r>
      <w:r w:rsidR="004D21C5" w:rsidRPr="0005669B">
        <w:rPr>
          <w:sz w:val="22"/>
          <w:szCs w:val="22"/>
          <w:lang w:val="en-US"/>
        </w:rPr>
        <w:t>one</w:t>
      </w:r>
      <w:r w:rsidRPr="0005669B">
        <w:rPr>
          <w:sz w:val="22"/>
          <w:szCs w:val="22"/>
          <w:lang w:val="en-US"/>
        </w:rPr>
        <w:t xml:space="preserve"> studies published in 2020, </w:t>
      </w:r>
      <w:r w:rsidR="004D21C5" w:rsidRPr="0005669B">
        <w:rPr>
          <w:sz w:val="22"/>
          <w:szCs w:val="22"/>
          <w:lang w:val="en-US"/>
        </w:rPr>
        <w:t>one</w:t>
      </w:r>
      <w:r w:rsidRPr="0005669B">
        <w:rPr>
          <w:sz w:val="22"/>
          <w:szCs w:val="22"/>
          <w:lang w:val="en-US"/>
        </w:rPr>
        <w:t xml:space="preserve"> studies in 2021, </w:t>
      </w:r>
      <w:r w:rsidR="0010145E" w:rsidRPr="0005669B">
        <w:rPr>
          <w:sz w:val="22"/>
          <w:szCs w:val="22"/>
          <w:lang w:val="en-US"/>
        </w:rPr>
        <w:t>four</w:t>
      </w:r>
      <w:r w:rsidRPr="0005669B">
        <w:rPr>
          <w:sz w:val="22"/>
          <w:szCs w:val="22"/>
          <w:lang w:val="en-US"/>
        </w:rPr>
        <w:t xml:space="preserve"> studies in 2022, and </w:t>
      </w:r>
      <w:r w:rsidR="0010145E" w:rsidRPr="0005669B">
        <w:rPr>
          <w:sz w:val="22"/>
          <w:szCs w:val="22"/>
          <w:lang w:val="en-US"/>
        </w:rPr>
        <w:t>seven</w:t>
      </w:r>
      <w:r w:rsidRPr="0005669B">
        <w:rPr>
          <w:sz w:val="22"/>
          <w:szCs w:val="22"/>
          <w:lang w:val="en-US"/>
        </w:rPr>
        <w:t xml:space="preserve"> studies in 2023, indicating a rapid acceleration of scholarly interest during this phase. This surge coincides with the post-pandemic period, during which banks increasingly relied on digital technologies to maintain service continuity and enhance operational resilience.</w:t>
      </w:r>
    </w:p>
    <w:p w14:paraId="3386416E" w14:textId="31554C88" w:rsidR="0010145E" w:rsidRPr="0005669B" w:rsidRDefault="0010145E" w:rsidP="00636C0C">
      <w:pPr>
        <w:tabs>
          <w:tab w:val="left" w:pos="360"/>
        </w:tabs>
        <w:spacing w:before="120"/>
        <w:jc w:val="both"/>
        <w:rPr>
          <w:sz w:val="22"/>
          <w:szCs w:val="22"/>
          <w:lang w:val="en-US"/>
        </w:rPr>
      </w:pPr>
      <w:r w:rsidRPr="0005669B">
        <w:rPr>
          <w:sz w:val="22"/>
          <w:szCs w:val="22"/>
        </w:rPr>
        <w:t xml:space="preserve">Research output remained strong in subsequent years, with four studies published in 2024 and five studies in 2025, reflecting sustained academic attention to </w:t>
      </w:r>
      <w:r w:rsidR="007356CA" w:rsidRPr="0005669B">
        <w:rPr>
          <w:sz w:val="22"/>
          <w:szCs w:val="22"/>
        </w:rPr>
        <w:t>Fintech</w:t>
      </w:r>
      <w:r w:rsidRPr="0005669B">
        <w:rPr>
          <w:sz w:val="22"/>
          <w:szCs w:val="22"/>
        </w:rPr>
        <w:t xml:space="preserve"> adoption in banking. The presence of multiple recent studies suggests that </w:t>
      </w:r>
      <w:r w:rsidR="007356CA" w:rsidRPr="0005669B">
        <w:rPr>
          <w:sz w:val="22"/>
          <w:szCs w:val="22"/>
        </w:rPr>
        <w:t>Fintech</w:t>
      </w:r>
      <w:r w:rsidRPr="0005669B">
        <w:rPr>
          <w:sz w:val="22"/>
          <w:szCs w:val="22"/>
        </w:rPr>
        <w:t xml:space="preserve"> adoption is not a short-lived research topic, but rather an evolving and increasingly mature area of inquiry.</w:t>
      </w:r>
    </w:p>
    <w:p w14:paraId="30E6FC77" w14:textId="66445BA0" w:rsidR="00E95120" w:rsidRDefault="00E95120" w:rsidP="00FF6012">
      <w:pPr>
        <w:tabs>
          <w:tab w:val="left" w:pos="360"/>
        </w:tabs>
        <w:spacing w:before="120"/>
        <w:jc w:val="both"/>
        <w:rPr>
          <w:sz w:val="22"/>
          <w:szCs w:val="22"/>
          <w:lang w:val="en-US"/>
        </w:rPr>
      </w:pPr>
      <w:r w:rsidRPr="0005669B">
        <w:rPr>
          <w:sz w:val="22"/>
          <w:szCs w:val="22"/>
          <w:lang w:val="en-US"/>
        </w:rPr>
        <w:t>Overall, the publication pattern</w:t>
      </w:r>
      <w:r w:rsidRPr="00E95120">
        <w:rPr>
          <w:sz w:val="22"/>
          <w:szCs w:val="22"/>
          <w:lang w:val="en-US"/>
        </w:rPr>
        <w:t xml:space="preserve"> indicates a transition of </w:t>
      </w:r>
      <w:r w:rsidR="007356CA">
        <w:rPr>
          <w:sz w:val="22"/>
          <w:szCs w:val="22"/>
          <w:lang w:val="en-US"/>
        </w:rPr>
        <w:t>Fintech</w:t>
      </w:r>
      <w:r w:rsidRPr="00E95120">
        <w:rPr>
          <w:sz w:val="22"/>
          <w:szCs w:val="22"/>
          <w:lang w:val="en-US"/>
        </w:rPr>
        <w:t xml:space="preserve"> adoption in banking from an emerging topic in the early 2020s to a more established research stream in recent years. This trend highlights the increasing recognition of </w:t>
      </w:r>
      <w:r w:rsidR="007356CA">
        <w:rPr>
          <w:sz w:val="22"/>
          <w:szCs w:val="22"/>
          <w:lang w:val="en-US"/>
        </w:rPr>
        <w:t>Fintech</w:t>
      </w:r>
      <w:r w:rsidRPr="00E95120">
        <w:rPr>
          <w:sz w:val="22"/>
          <w:szCs w:val="22"/>
          <w:lang w:val="en-US"/>
        </w:rPr>
        <w:t xml:space="preserve"> adoption as a strategic and organizational issue within the banking literature, rather than a purely technological concern.</w:t>
      </w:r>
    </w:p>
    <w:p w14:paraId="361A5DC3" w14:textId="58A4448F" w:rsidR="00FF6012" w:rsidRPr="00FF6012" w:rsidRDefault="00FF6012" w:rsidP="00FF6012">
      <w:pPr>
        <w:tabs>
          <w:tab w:val="left" w:pos="360"/>
        </w:tabs>
        <w:spacing w:before="120"/>
        <w:jc w:val="both"/>
        <w:rPr>
          <w:b/>
          <w:bCs/>
          <w:sz w:val="22"/>
          <w:szCs w:val="22"/>
          <w:lang w:val="en-US"/>
        </w:rPr>
      </w:pPr>
      <w:r w:rsidRPr="00FF6012">
        <w:rPr>
          <w:b/>
          <w:bCs/>
          <w:sz w:val="22"/>
          <w:szCs w:val="22"/>
          <w:lang w:val="en-US"/>
        </w:rPr>
        <w:t>Research context and geographical coverage</w:t>
      </w:r>
    </w:p>
    <w:p w14:paraId="6B77F13F" w14:textId="1176A5BF" w:rsidR="00481066" w:rsidRPr="00481066" w:rsidRDefault="00481066" w:rsidP="00481066">
      <w:pPr>
        <w:tabs>
          <w:tab w:val="left" w:pos="360"/>
        </w:tabs>
        <w:spacing w:before="120"/>
        <w:jc w:val="both"/>
        <w:rPr>
          <w:sz w:val="22"/>
          <w:szCs w:val="22"/>
          <w:lang w:val="en-US"/>
        </w:rPr>
      </w:pPr>
      <w:r w:rsidRPr="00481066">
        <w:rPr>
          <w:sz w:val="22"/>
          <w:szCs w:val="22"/>
          <w:lang w:val="en-US"/>
        </w:rPr>
        <w:t xml:space="preserve">The reviewed studies exhibit a diverse range of research contexts. China represents the most frequently examined country, accounting for eight studies, reflecting the strong scholarly attention to </w:t>
      </w:r>
      <w:r w:rsidR="007356CA">
        <w:rPr>
          <w:sz w:val="22"/>
          <w:szCs w:val="22"/>
          <w:lang w:val="en-US"/>
        </w:rPr>
        <w:t>Fintech</w:t>
      </w:r>
      <w:r w:rsidRPr="00481066">
        <w:rPr>
          <w:sz w:val="22"/>
          <w:szCs w:val="22"/>
          <w:lang w:val="en-US"/>
        </w:rPr>
        <w:t xml:space="preserve"> adoption within one of the world’s largest and most rapidly evolving banking systems. These studies predominantly investigate bank-level determinants and impacts of </w:t>
      </w:r>
      <w:r w:rsidR="007356CA">
        <w:rPr>
          <w:sz w:val="22"/>
          <w:szCs w:val="22"/>
          <w:lang w:val="en-US"/>
        </w:rPr>
        <w:t>Fintech</w:t>
      </w:r>
      <w:r w:rsidRPr="00481066">
        <w:rPr>
          <w:sz w:val="22"/>
          <w:szCs w:val="22"/>
          <w:lang w:val="en-US"/>
        </w:rPr>
        <w:t xml:space="preserve"> adoption using large-scale datasets.</w:t>
      </w:r>
    </w:p>
    <w:p w14:paraId="72FE42BF" w14:textId="02B7D9E2" w:rsidR="00FF6012" w:rsidRDefault="00481066" w:rsidP="00481066">
      <w:pPr>
        <w:tabs>
          <w:tab w:val="left" w:pos="360"/>
        </w:tabs>
        <w:spacing w:before="120"/>
        <w:jc w:val="both"/>
        <w:rPr>
          <w:sz w:val="22"/>
          <w:szCs w:val="22"/>
          <w:lang w:val="en-US"/>
        </w:rPr>
      </w:pPr>
      <w:r w:rsidRPr="00481066">
        <w:rPr>
          <w:sz w:val="22"/>
          <w:szCs w:val="22"/>
          <w:lang w:val="en-US"/>
        </w:rPr>
        <w:t>Beyond China, several studies adopt global or multi-country perspectives, while others focus on specific regions such as Europe and the GCC countries, or individual emerging economies including Jordan, Indonesia, Pakistan, and Saudi Arabia. In addition, three studies are systematic reviews, indicating the increasing consolidation and synthesis of knowledge in this research domain. Overall, the geographical distribution reveals a strong emphasis on emerging and rapidly digitalizing banking systems, while also highlighting the relative scarcity of empirical evidence from many developing regions.</w:t>
      </w:r>
      <w:r w:rsidR="00FF6012" w:rsidRPr="00FF6012">
        <w:rPr>
          <w:sz w:val="22"/>
          <w:szCs w:val="22"/>
          <w:lang w:val="en-US"/>
        </w:rPr>
        <w:t>.</w:t>
      </w:r>
    </w:p>
    <w:p w14:paraId="17ADDB21" w14:textId="77777777" w:rsidR="00FF6012" w:rsidRPr="00FF6012" w:rsidRDefault="00FF6012" w:rsidP="00FF6012">
      <w:pPr>
        <w:tabs>
          <w:tab w:val="left" w:pos="360"/>
        </w:tabs>
        <w:spacing w:before="120"/>
        <w:jc w:val="both"/>
        <w:rPr>
          <w:b/>
          <w:bCs/>
          <w:sz w:val="22"/>
          <w:szCs w:val="22"/>
          <w:lang w:val="en-US"/>
        </w:rPr>
      </w:pPr>
      <w:r w:rsidRPr="00FF6012">
        <w:rPr>
          <w:b/>
          <w:bCs/>
          <w:sz w:val="22"/>
          <w:szCs w:val="22"/>
          <w:lang w:val="en-US"/>
        </w:rPr>
        <w:t>Citation distribution</w:t>
      </w:r>
    </w:p>
    <w:p w14:paraId="03BC2E06" w14:textId="14B4EB77" w:rsidR="00FF6012" w:rsidRPr="00FF6012" w:rsidRDefault="00481066" w:rsidP="00FF6012">
      <w:pPr>
        <w:tabs>
          <w:tab w:val="left" w:pos="360"/>
        </w:tabs>
        <w:spacing w:before="120"/>
        <w:jc w:val="both"/>
        <w:rPr>
          <w:sz w:val="22"/>
          <w:szCs w:val="22"/>
          <w:lang w:val="en-US"/>
        </w:rPr>
      </w:pPr>
      <w:r w:rsidRPr="00481066">
        <w:rPr>
          <w:sz w:val="22"/>
          <w:szCs w:val="22"/>
          <w:lang w:val="en-US"/>
        </w:rPr>
        <w:t>Citation counts among the included studies vary considerably, ranging from zero to over 500 citations. Earlier publications, particularly those published between 2020 and 2022, tend to exhibit substantially higher citation levels.</w:t>
      </w:r>
      <w:r w:rsidR="00FF6012" w:rsidRPr="00FF6012">
        <w:rPr>
          <w:sz w:val="22"/>
          <w:szCs w:val="22"/>
          <w:lang w:val="en-US"/>
        </w:rPr>
        <w:t xml:space="preserve"> </w:t>
      </w:r>
    </w:p>
    <w:p w14:paraId="7C4DC24F" w14:textId="474CE976" w:rsidR="00FF6012" w:rsidRPr="00FF6012" w:rsidRDefault="00FF6012" w:rsidP="00636C0C">
      <w:pPr>
        <w:tabs>
          <w:tab w:val="left" w:pos="360"/>
        </w:tabs>
        <w:spacing w:before="120"/>
        <w:jc w:val="both"/>
        <w:rPr>
          <w:sz w:val="22"/>
          <w:szCs w:val="22"/>
          <w:lang w:val="en-US"/>
        </w:rPr>
      </w:pPr>
      <w:r w:rsidRPr="00FF6012">
        <w:rPr>
          <w:sz w:val="22"/>
          <w:szCs w:val="22"/>
          <w:lang w:val="en-US"/>
        </w:rPr>
        <w:t>In contrast, several studies published in 2024 and 2025 show relatively low or zero citation counts. This pattern is expected given their recent publication dates and shorter exposure time. Therefore, citation counts are interpreted as an indicative rather than definitive measure of scholarly influence, particularly for the most recent studies.</w:t>
      </w:r>
    </w:p>
    <w:p w14:paraId="3C53C932" w14:textId="755A49F8" w:rsidR="00F02C70" w:rsidRPr="009408F5" w:rsidRDefault="00F02C70" w:rsidP="00636C0C">
      <w:pPr>
        <w:tabs>
          <w:tab w:val="left" w:pos="360"/>
        </w:tabs>
        <w:spacing w:before="120"/>
        <w:jc w:val="both"/>
        <w:rPr>
          <w:sz w:val="22"/>
          <w:szCs w:val="22"/>
          <w:lang w:val="en-US"/>
        </w:rPr>
      </w:pPr>
      <w:r w:rsidRPr="009408F5">
        <w:rPr>
          <w:b/>
          <w:bCs/>
          <w:sz w:val="22"/>
          <w:szCs w:val="22"/>
          <w:lang w:val="en-US"/>
        </w:rPr>
        <w:t>Journal quality and indexing distribution</w:t>
      </w:r>
    </w:p>
    <w:p w14:paraId="5CAA12BC" w14:textId="053B3C9D" w:rsidR="00F02C70" w:rsidRPr="009408F5" w:rsidRDefault="00F02C70" w:rsidP="00F02C70">
      <w:pPr>
        <w:tabs>
          <w:tab w:val="left" w:pos="360"/>
        </w:tabs>
        <w:spacing w:before="120"/>
        <w:jc w:val="both"/>
        <w:rPr>
          <w:sz w:val="22"/>
          <w:szCs w:val="22"/>
          <w:lang w:val="en-US"/>
        </w:rPr>
      </w:pPr>
      <w:r w:rsidRPr="009408F5">
        <w:rPr>
          <w:sz w:val="22"/>
          <w:szCs w:val="22"/>
          <w:lang w:val="en-US"/>
        </w:rPr>
        <w:t xml:space="preserve">Out of the 22 studies included in this systematic review, 12 studies (54.5%) were published in Q1 journals, indicating that more than half of the evidence base comes from top‐tier academic outlets. In addition, 6 studies (27.3%) appeared in Q2 journals, while 2 studies (9.1%) were published in Q3 journals. The remaining 2 studies (9.1%) were classified under other ranking categories. Overall, this distribution demonstrates that the literature on </w:t>
      </w:r>
      <w:r w:rsidR="007356CA">
        <w:rPr>
          <w:sz w:val="22"/>
          <w:szCs w:val="22"/>
          <w:lang w:val="en-US"/>
        </w:rPr>
        <w:t>Fintech</w:t>
      </w:r>
      <w:r w:rsidRPr="009408F5">
        <w:rPr>
          <w:sz w:val="22"/>
          <w:szCs w:val="22"/>
          <w:lang w:val="en-US"/>
        </w:rPr>
        <w:t xml:space="preserve"> adoption in banking is predominantly grounded in high‐ranked journals, reflecting strong scholarly relevance and methodological rigor.</w:t>
      </w:r>
    </w:p>
    <w:p w14:paraId="18AE6F48" w14:textId="74F84723" w:rsidR="00636C0C" w:rsidRDefault="00F02C70" w:rsidP="00F02C70">
      <w:pPr>
        <w:tabs>
          <w:tab w:val="left" w:pos="360"/>
        </w:tabs>
        <w:spacing w:before="120"/>
        <w:jc w:val="both"/>
        <w:rPr>
          <w:sz w:val="22"/>
          <w:szCs w:val="22"/>
          <w:lang w:val="en-US"/>
        </w:rPr>
      </w:pPr>
      <w:r w:rsidRPr="009408F5">
        <w:rPr>
          <w:sz w:val="22"/>
          <w:szCs w:val="22"/>
          <w:lang w:val="en-US"/>
        </w:rPr>
        <w:t xml:space="preserve">Regarding indexing databases, 12 out of 22 studies (54.5%) were published in SSCI‐indexed journals, followed by 5 studies (22.7%) in ESCI‐indexed journals. Scopus‐indexed journals accounted for 4 studies (18.2%), while only 1 study (4.5%) was published in a DOAJ‐indexed journal. This concentration of SSCI and ESCI publications highlights the increasing academic legitimacy of </w:t>
      </w:r>
      <w:r w:rsidR="007356CA">
        <w:rPr>
          <w:sz w:val="22"/>
          <w:szCs w:val="22"/>
          <w:lang w:val="en-US"/>
        </w:rPr>
        <w:t>Fintech</w:t>
      </w:r>
      <w:r w:rsidRPr="009408F5">
        <w:rPr>
          <w:sz w:val="22"/>
          <w:szCs w:val="22"/>
          <w:lang w:val="en-US"/>
        </w:rPr>
        <w:t xml:space="preserve"> adoption in banking as a core research topic within the finance and banking literature, while the presence of Scopus and DOAJ outlets enhances the diversity of perspectives and regional coverage.</w:t>
      </w:r>
    </w:p>
    <w:p w14:paraId="066731BD" w14:textId="7F6B4524" w:rsidR="002C2D68" w:rsidRPr="002C2D68" w:rsidRDefault="002C2D68" w:rsidP="00F02C70">
      <w:pPr>
        <w:tabs>
          <w:tab w:val="left" w:pos="360"/>
        </w:tabs>
        <w:spacing w:before="120"/>
        <w:jc w:val="both"/>
        <w:rPr>
          <w:sz w:val="22"/>
          <w:szCs w:val="22"/>
          <w:lang w:val="en-US"/>
        </w:rPr>
      </w:pPr>
      <w:r w:rsidRPr="002C2D68">
        <w:rPr>
          <w:sz w:val="22"/>
          <w:szCs w:val="22"/>
        </w:rPr>
        <w:t xml:space="preserve">Taken together, the descriptive statistics indicate that research on </w:t>
      </w:r>
      <w:r w:rsidR="007356CA">
        <w:rPr>
          <w:sz w:val="22"/>
          <w:szCs w:val="22"/>
        </w:rPr>
        <w:t>Fintech</w:t>
      </w:r>
      <w:r w:rsidRPr="002C2D68">
        <w:rPr>
          <w:sz w:val="22"/>
          <w:szCs w:val="22"/>
        </w:rPr>
        <w:t xml:space="preserve"> adoption in banking is characterized by recent growth, strong representation of emerging and transition economies, and high publication quality. The concentration of studies in Q1 and SSCI-indexed journals suggests that bank-level </w:t>
      </w:r>
      <w:r w:rsidR="007356CA">
        <w:rPr>
          <w:sz w:val="22"/>
          <w:szCs w:val="22"/>
        </w:rPr>
        <w:t>Fintech</w:t>
      </w:r>
      <w:r w:rsidRPr="002C2D68">
        <w:rPr>
          <w:sz w:val="22"/>
          <w:szCs w:val="22"/>
        </w:rPr>
        <w:t xml:space="preserve"> adoption has become a central topic within mainstream finance and banking research, providing a solid empirical foundation for the subsequent analysis of theoretical frameworks and adoption determinants.</w:t>
      </w:r>
    </w:p>
    <w:p w14:paraId="62B6C11E" w14:textId="1B6E4DF0" w:rsidR="004F52DB" w:rsidRPr="0099747F" w:rsidRDefault="004F52DB" w:rsidP="004F52DB">
      <w:pPr>
        <w:tabs>
          <w:tab w:val="left" w:pos="360"/>
        </w:tabs>
        <w:spacing w:before="120"/>
        <w:jc w:val="both"/>
        <w:rPr>
          <w:b/>
          <w:bCs/>
          <w:sz w:val="22"/>
          <w:szCs w:val="22"/>
          <w:lang w:val="en-US"/>
        </w:rPr>
      </w:pPr>
      <w:r w:rsidRPr="0099747F">
        <w:rPr>
          <w:b/>
          <w:bCs/>
          <w:sz w:val="22"/>
          <w:szCs w:val="22"/>
        </w:rPr>
        <w:t>4.2</w:t>
      </w:r>
      <w:r w:rsidR="003464E0" w:rsidRPr="0099747F">
        <w:rPr>
          <w:b/>
          <w:bCs/>
          <w:sz w:val="22"/>
          <w:szCs w:val="22"/>
          <w:lang w:val="en-US"/>
        </w:rPr>
        <w:t xml:space="preserve">. </w:t>
      </w:r>
      <w:r w:rsidR="003464E0" w:rsidRPr="0099747F">
        <w:rPr>
          <w:b/>
          <w:bCs/>
          <w:sz w:val="22"/>
          <w:szCs w:val="22"/>
        </w:rPr>
        <w:t>Theoretical frameworks used</w:t>
      </w:r>
    </w:p>
    <w:p w14:paraId="635A49AD" w14:textId="064CBE29" w:rsidR="009849FE" w:rsidRDefault="00833975" w:rsidP="00136686">
      <w:pPr>
        <w:tabs>
          <w:tab w:val="left" w:pos="360"/>
        </w:tabs>
        <w:spacing w:before="120"/>
        <w:jc w:val="both"/>
        <w:rPr>
          <w:sz w:val="22"/>
          <w:szCs w:val="22"/>
          <w:lang w:val="en-US"/>
        </w:rPr>
      </w:pPr>
      <w:r w:rsidRPr="00833975">
        <w:rPr>
          <w:sz w:val="22"/>
          <w:szCs w:val="22"/>
        </w:rPr>
        <w:t xml:space="preserve">Table 2 summarizes the theoretical frameworks employed in the 22 studies examining </w:t>
      </w:r>
      <w:r w:rsidR="007356CA">
        <w:rPr>
          <w:sz w:val="22"/>
          <w:szCs w:val="22"/>
        </w:rPr>
        <w:t>Fintech</w:t>
      </w:r>
      <w:r w:rsidRPr="00833975">
        <w:rPr>
          <w:sz w:val="22"/>
          <w:szCs w:val="22"/>
        </w:rPr>
        <w:t xml:space="preserve"> adoption in the banking sector.</w:t>
      </w:r>
      <w:r>
        <w:rPr>
          <w:sz w:val="22"/>
          <w:szCs w:val="22"/>
          <w:lang w:val="en-US"/>
        </w:rPr>
        <w:t xml:space="preserve"> </w:t>
      </w:r>
      <w:r w:rsidR="00F55AED" w:rsidRPr="00F55AED">
        <w:rPr>
          <w:sz w:val="22"/>
          <w:szCs w:val="22"/>
        </w:rPr>
        <w:t xml:space="preserve">Among the identified frameworks, the TOE </w:t>
      </w:r>
      <w:r w:rsidR="00F55AED" w:rsidRPr="00481066">
        <w:rPr>
          <w:sz w:val="22"/>
          <w:szCs w:val="22"/>
        </w:rPr>
        <w:t xml:space="preserve">framework is the most frequently applied, appearing in </w:t>
      </w:r>
      <w:r w:rsidR="002B2A2A" w:rsidRPr="00481066">
        <w:rPr>
          <w:sz w:val="22"/>
          <w:szCs w:val="22"/>
          <w:lang w:val="en-US"/>
        </w:rPr>
        <w:t>6</w:t>
      </w:r>
      <w:r w:rsidR="00F55AED" w:rsidRPr="00F55AED">
        <w:rPr>
          <w:sz w:val="22"/>
          <w:szCs w:val="22"/>
        </w:rPr>
        <w:t xml:space="preserve"> studies. TOE-based studies emphasize the joint influence of technological readiness, organizational characteristics, and environmental pressures</w:t>
      </w:r>
      <w:r w:rsidR="00F55AED">
        <w:rPr>
          <w:sz w:val="22"/>
          <w:szCs w:val="22"/>
          <w:lang w:val="en-US"/>
        </w:rPr>
        <w:t xml:space="preserve">, </w:t>
      </w:r>
      <w:r w:rsidR="00F55AED" w:rsidRPr="00F55AED">
        <w:rPr>
          <w:sz w:val="22"/>
          <w:szCs w:val="22"/>
        </w:rPr>
        <w:t>such as regulation and competition</w:t>
      </w:r>
      <w:r w:rsidR="00F55AED">
        <w:rPr>
          <w:sz w:val="22"/>
          <w:szCs w:val="22"/>
          <w:lang w:val="en-US"/>
        </w:rPr>
        <w:t xml:space="preserve"> </w:t>
      </w:r>
      <w:r w:rsidR="00F55AED" w:rsidRPr="00F55AED">
        <w:rPr>
          <w:sz w:val="22"/>
          <w:szCs w:val="22"/>
        </w:rPr>
        <w:t xml:space="preserve">in shaping banks’ </w:t>
      </w:r>
      <w:r w:rsidR="007356CA">
        <w:rPr>
          <w:sz w:val="22"/>
          <w:szCs w:val="22"/>
        </w:rPr>
        <w:t>Fintech</w:t>
      </w:r>
      <w:r w:rsidR="00F55AED" w:rsidRPr="00F55AED">
        <w:rPr>
          <w:sz w:val="22"/>
          <w:szCs w:val="22"/>
        </w:rPr>
        <w:t xml:space="preserve"> adoption decisions. </w:t>
      </w:r>
      <w:r w:rsidR="009849FE" w:rsidRPr="009849FE">
        <w:rPr>
          <w:sz w:val="22"/>
          <w:szCs w:val="22"/>
        </w:rPr>
        <w:t>The prominence of TOE highlights its suitability for bank-level analysis, as it allows for the simultaneous consideration of internal organizational factors and external contextual forces in highly regulated financial environments.</w:t>
      </w:r>
    </w:p>
    <w:p w14:paraId="2CFBC8B6" w14:textId="0012208E" w:rsidR="00136686" w:rsidRPr="00B771EB" w:rsidRDefault="00136686" w:rsidP="00136686">
      <w:pPr>
        <w:tabs>
          <w:tab w:val="left" w:pos="360"/>
        </w:tabs>
        <w:spacing w:before="120"/>
        <w:jc w:val="both"/>
        <w:rPr>
          <w:sz w:val="22"/>
          <w:szCs w:val="22"/>
          <w:lang w:val="en-US"/>
        </w:rPr>
      </w:pPr>
      <w:r w:rsidRPr="004F435E">
        <w:rPr>
          <w:b/>
          <w:bCs/>
          <w:sz w:val="22"/>
          <w:szCs w:val="22"/>
          <w:lang w:val="en-US"/>
        </w:rPr>
        <w:t xml:space="preserve">Table 2. </w:t>
      </w:r>
      <w:r w:rsidR="00B771EB" w:rsidRPr="00B771EB">
        <w:rPr>
          <w:sz w:val="22"/>
          <w:szCs w:val="22"/>
          <w:lang w:val="en-US"/>
        </w:rPr>
        <w:t>Theoretical frameworks employed in studies</w:t>
      </w:r>
    </w:p>
    <w:tbl>
      <w:tblPr>
        <w:tblW w:w="4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275"/>
        <w:gridCol w:w="1560"/>
        <w:gridCol w:w="1134"/>
      </w:tblGrid>
      <w:tr w:rsidR="00136686" w:rsidRPr="0005669B" w14:paraId="43F78EA5" w14:textId="77777777" w:rsidTr="00DE25C5">
        <w:trPr>
          <w:trHeight w:val="115"/>
        </w:trPr>
        <w:tc>
          <w:tcPr>
            <w:tcW w:w="421" w:type="dxa"/>
            <w:vAlign w:val="center"/>
            <w:hideMark/>
          </w:tcPr>
          <w:p w14:paraId="524FCC00" w14:textId="77777777" w:rsidR="00136686" w:rsidRPr="0005669B" w:rsidRDefault="00136686" w:rsidP="00FD7A71">
            <w:pPr>
              <w:ind w:left="-111"/>
              <w:rPr>
                <w:b/>
                <w:bCs/>
                <w:color w:val="000000"/>
                <w:sz w:val="20"/>
                <w:szCs w:val="20"/>
              </w:rPr>
            </w:pPr>
            <w:r w:rsidRPr="0005669B">
              <w:rPr>
                <w:b/>
                <w:bCs/>
                <w:color w:val="000000"/>
                <w:sz w:val="20"/>
                <w:szCs w:val="20"/>
              </w:rPr>
              <w:t>No.</w:t>
            </w:r>
          </w:p>
        </w:tc>
        <w:tc>
          <w:tcPr>
            <w:tcW w:w="1275" w:type="dxa"/>
            <w:vAlign w:val="center"/>
          </w:tcPr>
          <w:p w14:paraId="5A520CB1" w14:textId="77777777" w:rsidR="00136686" w:rsidRPr="0005669B" w:rsidRDefault="00136686" w:rsidP="00FD7A71">
            <w:pPr>
              <w:rPr>
                <w:b/>
                <w:bCs/>
                <w:color w:val="000000"/>
                <w:sz w:val="20"/>
                <w:szCs w:val="20"/>
                <w:lang w:val="en-US"/>
              </w:rPr>
            </w:pPr>
            <w:r w:rsidRPr="0005669B">
              <w:rPr>
                <w:b/>
                <w:bCs/>
                <w:color w:val="000000"/>
                <w:sz w:val="20"/>
                <w:szCs w:val="20"/>
                <w:lang w:val="en-US"/>
              </w:rPr>
              <w:t>T</w:t>
            </w:r>
            <w:r w:rsidRPr="0005669B">
              <w:rPr>
                <w:b/>
                <w:bCs/>
                <w:color w:val="000000"/>
                <w:sz w:val="20"/>
                <w:szCs w:val="20"/>
              </w:rPr>
              <w:t>heories</w:t>
            </w:r>
          </w:p>
        </w:tc>
        <w:tc>
          <w:tcPr>
            <w:tcW w:w="1560" w:type="dxa"/>
            <w:vAlign w:val="center"/>
            <w:hideMark/>
          </w:tcPr>
          <w:p w14:paraId="18BDC356" w14:textId="77777777" w:rsidR="00136686" w:rsidRPr="0005669B" w:rsidRDefault="00136686" w:rsidP="00FD7A71">
            <w:pPr>
              <w:rPr>
                <w:b/>
                <w:bCs/>
                <w:color w:val="000000"/>
                <w:sz w:val="20"/>
                <w:szCs w:val="20"/>
              </w:rPr>
            </w:pPr>
            <w:r w:rsidRPr="0005669B">
              <w:rPr>
                <w:b/>
                <w:bCs/>
                <w:color w:val="000000"/>
                <w:sz w:val="20"/>
                <w:szCs w:val="20"/>
                <w:lang w:val="en-US"/>
              </w:rPr>
              <w:t>S</w:t>
            </w:r>
            <w:r w:rsidRPr="0005669B">
              <w:rPr>
                <w:b/>
                <w:bCs/>
                <w:color w:val="000000"/>
                <w:sz w:val="20"/>
                <w:szCs w:val="20"/>
              </w:rPr>
              <w:t xml:space="preserve">tudies </w:t>
            </w:r>
          </w:p>
        </w:tc>
        <w:tc>
          <w:tcPr>
            <w:tcW w:w="1134" w:type="dxa"/>
            <w:vAlign w:val="center"/>
            <w:hideMark/>
          </w:tcPr>
          <w:p w14:paraId="42FB7656" w14:textId="77777777" w:rsidR="00136686" w:rsidRPr="0005669B" w:rsidRDefault="00136686" w:rsidP="00FD7A71">
            <w:pPr>
              <w:rPr>
                <w:b/>
                <w:bCs/>
                <w:color w:val="000000"/>
                <w:sz w:val="20"/>
                <w:szCs w:val="20"/>
              </w:rPr>
            </w:pPr>
            <w:r w:rsidRPr="0005669B">
              <w:rPr>
                <w:b/>
                <w:bCs/>
                <w:color w:val="000000"/>
                <w:sz w:val="20"/>
                <w:szCs w:val="20"/>
              </w:rPr>
              <w:t>Number of</w:t>
            </w:r>
            <w:r w:rsidRPr="0005669B">
              <w:rPr>
                <w:b/>
                <w:bCs/>
                <w:color w:val="000000"/>
                <w:sz w:val="20"/>
                <w:szCs w:val="20"/>
                <w:lang w:val="en-US"/>
              </w:rPr>
              <w:t xml:space="preserve"> </w:t>
            </w:r>
            <w:r w:rsidRPr="0005669B">
              <w:rPr>
                <w:b/>
                <w:bCs/>
                <w:color w:val="000000"/>
                <w:sz w:val="20"/>
                <w:szCs w:val="20"/>
              </w:rPr>
              <w:t>studies</w:t>
            </w:r>
          </w:p>
        </w:tc>
      </w:tr>
      <w:tr w:rsidR="00136686" w:rsidRPr="0005669B" w14:paraId="11713FE6" w14:textId="77777777" w:rsidTr="00DE25C5">
        <w:trPr>
          <w:trHeight w:val="115"/>
        </w:trPr>
        <w:tc>
          <w:tcPr>
            <w:tcW w:w="421" w:type="dxa"/>
            <w:vAlign w:val="center"/>
            <w:hideMark/>
          </w:tcPr>
          <w:p w14:paraId="0B281BC6" w14:textId="77777777" w:rsidR="00136686" w:rsidRPr="0005669B" w:rsidRDefault="00136686" w:rsidP="00FD7A71">
            <w:pPr>
              <w:rPr>
                <w:color w:val="000000"/>
                <w:sz w:val="20"/>
                <w:szCs w:val="20"/>
                <w:lang w:val="en-US"/>
              </w:rPr>
            </w:pPr>
            <w:r w:rsidRPr="0005669B">
              <w:rPr>
                <w:color w:val="000000"/>
                <w:sz w:val="20"/>
                <w:szCs w:val="20"/>
                <w:lang w:val="en-US"/>
              </w:rPr>
              <w:t>1</w:t>
            </w:r>
          </w:p>
        </w:tc>
        <w:tc>
          <w:tcPr>
            <w:tcW w:w="1275" w:type="dxa"/>
            <w:vAlign w:val="center"/>
          </w:tcPr>
          <w:p w14:paraId="1CBE2784" w14:textId="77777777" w:rsidR="00136686" w:rsidRPr="0005669B" w:rsidRDefault="00136686" w:rsidP="00FD7A71">
            <w:pPr>
              <w:rPr>
                <w:color w:val="000000"/>
                <w:sz w:val="20"/>
                <w:szCs w:val="20"/>
                <w:lang w:val="en-US"/>
              </w:rPr>
            </w:pPr>
            <w:r w:rsidRPr="0005669B">
              <w:rPr>
                <w:color w:val="000000"/>
                <w:sz w:val="20"/>
                <w:szCs w:val="20"/>
              </w:rPr>
              <w:t>TOE</w:t>
            </w:r>
          </w:p>
        </w:tc>
        <w:tc>
          <w:tcPr>
            <w:tcW w:w="1560" w:type="dxa"/>
            <w:vAlign w:val="center"/>
            <w:hideMark/>
          </w:tcPr>
          <w:p w14:paraId="45FEA95A" w14:textId="62243B03" w:rsidR="00136686" w:rsidRPr="0005669B" w:rsidRDefault="00136686" w:rsidP="00FD7A71">
            <w:pPr>
              <w:rPr>
                <w:color w:val="000000"/>
                <w:sz w:val="20"/>
                <w:szCs w:val="20"/>
                <w:lang w:val="en-US"/>
              </w:rPr>
            </w:pPr>
            <w:r w:rsidRPr="0005669B">
              <w:rPr>
                <w:color w:val="000000"/>
                <w:sz w:val="20"/>
                <w:szCs w:val="20"/>
                <w:lang w:val="en-US"/>
              </w:rPr>
              <w:fldChar w:fldCharType="begin"/>
            </w:r>
            <w:r w:rsidR="0005669B" w:rsidRPr="0005669B">
              <w:rPr>
                <w:color w:val="000000"/>
                <w:sz w:val="20"/>
                <w:szCs w:val="20"/>
                <w:lang w:val="en-US"/>
              </w:rPr>
              <w:instrText xml:space="preserve"> ADDIN EN.CITE &lt;EndNote&gt;&lt;Cite AuthorYear="1"&gt;&lt;Author&gt;Khan&lt;/Author&gt;&lt;Year&gt;2023&lt;/Year&gt;&lt;RecNum&gt;78&lt;/RecNum&gt;&lt;DisplayText&gt;Khan, et al.&lt;style face="superscript"&gt;35&lt;/style&gt;&lt;/DisplayText&gt;&lt;record&gt;&lt;rec-number&gt;78&lt;/rec-number&gt;&lt;foreign-keys&gt;&lt;key app="EN" db-id="wapx0v0s4rw2r6esw9dpwpd1wwvx05v0920r" timestamp="1769481576"&gt;78&lt;/key&gt;&lt;/foreign-keys&gt;&lt;ref-type name="Journal Article"&gt;17&lt;/ref-type&gt;&lt;contributors&gt;&lt;authors&gt;&lt;author&gt;Khan, Habib Hussain&lt;/author&gt;&lt;author&gt;Khan, Shoaib&lt;/author&gt;&lt;author&gt;Ghafoor, Abdul&lt;/author&gt;&lt;/authors&gt;&lt;/contributors&gt;&lt;titles&gt;&lt;title&gt;Fintech adoption, the regulatory environment and bank stability: An empirical investigation from GCC economies&lt;/title&gt;&lt;secondary-title&gt;Borsa Istanbul Review&lt;/secondary-title&gt;&lt;/titles&gt;&lt;periodical&gt;&lt;full-title&gt;Borsa Istanbul Review&lt;/full-title&gt;&lt;/periodical&gt;&lt;pages&gt;1263-1281&lt;/pages&gt;&lt;volume&gt;23&lt;/volume&gt;&lt;number&gt;6&lt;/number&gt;&lt;dates&gt;&lt;year&gt;2023&lt;/year&gt;&lt;/dates&gt;&lt;isbn&gt;2214-8450&lt;/isbn&gt;&lt;urls&gt;&lt;/urls&gt;&lt;/record&gt;&lt;/Cite&gt;&lt;/EndNote&gt;</w:instrText>
            </w:r>
            <w:r w:rsidRPr="0005669B">
              <w:rPr>
                <w:color w:val="000000"/>
                <w:sz w:val="20"/>
                <w:szCs w:val="20"/>
                <w:lang w:val="en-US"/>
              </w:rPr>
              <w:fldChar w:fldCharType="separate"/>
            </w:r>
            <w:r w:rsidR="0005669B" w:rsidRPr="0005669B">
              <w:rPr>
                <w:noProof/>
                <w:color w:val="000000"/>
                <w:sz w:val="20"/>
                <w:szCs w:val="20"/>
                <w:lang w:val="en-US"/>
              </w:rPr>
              <w:t>Khan, et al.</w:t>
            </w:r>
            <w:r w:rsidR="0005669B" w:rsidRPr="0005669B">
              <w:rPr>
                <w:noProof/>
                <w:color w:val="000000"/>
                <w:sz w:val="20"/>
                <w:szCs w:val="20"/>
                <w:vertAlign w:val="superscript"/>
                <w:lang w:val="en-US"/>
              </w:rPr>
              <w:t>35</w:t>
            </w:r>
            <w:r w:rsidRPr="0005669B">
              <w:rPr>
                <w:color w:val="000000"/>
                <w:sz w:val="20"/>
                <w:szCs w:val="20"/>
                <w:lang w:val="en-US"/>
              </w:rPr>
              <w:fldChar w:fldCharType="end"/>
            </w:r>
          </w:p>
          <w:p w14:paraId="55B3B697" w14:textId="72827DAA" w:rsidR="00136686" w:rsidRPr="0005669B" w:rsidRDefault="00136686" w:rsidP="00FD7A71">
            <w:pPr>
              <w:rPr>
                <w:color w:val="000000"/>
                <w:sz w:val="20"/>
                <w:szCs w:val="20"/>
                <w:lang w:val="en-US"/>
              </w:rPr>
            </w:pPr>
            <w:r w:rsidRPr="0005669B">
              <w:rPr>
                <w:color w:val="000000"/>
                <w:sz w:val="20"/>
                <w:szCs w:val="20"/>
                <w:lang w:val="en-US"/>
              </w:rPr>
              <w:fldChar w:fldCharType="begin"/>
            </w:r>
            <w:r w:rsidR="0005669B" w:rsidRPr="0005669B">
              <w:rPr>
                <w:color w:val="000000"/>
                <w:sz w:val="20"/>
                <w:szCs w:val="20"/>
                <w:lang w:val="en-US"/>
              </w:rPr>
              <w:instrText xml:space="preserve"> ADDIN EN.CITE &lt;EndNote&gt;&lt;Cite AuthorYear="1"&gt;&lt;Author&gt;Hidayat-ur-Rehman&lt;/Author&gt;&lt;Year&gt;2025&lt;/Year&gt;&lt;RecNum&gt;80&lt;/RecNum&gt;&lt;DisplayText&gt;Hidayat-ur-Rehman and Hossain&lt;style face="superscript"&gt;37&lt;/style&gt;&lt;/DisplayText&gt;&lt;record&gt;&lt;rec-number&gt;80&lt;/rec-number&gt;&lt;foreign-keys&gt;&lt;key app="EN" db-id="wapx0v0s4rw2r6esw9dpwpd1wwvx05v0920r" timestamp="1769481638"&gt;80&lt;/key&gt;&lt;/foreign-keys&gt;&lt;ref-type name="Journal Article"&gt;17&lt;/ref-type&gt;&lt;contributors&gt;&lt;authors&gt;&lt;author&gt;Hidayat-ur-Rehman, Imdadullah&lt;/author&gt;&lt;author&gt;Hossain, Md Nahin&lt;/author&gt;&lt;/authors&gt;&lt;/contributors&gt;&lt;titles&gt;&lt;title&gt;The impacts of Fintech adoption, green finance and competitiveness on banks’ sustainable performance: digital transformation as moderator&lt;/title&gt;&lt;secondary-title&gt;Asia-Pacific Journal of Business Administration&lt;/secondary-title&gt;&lt;/titles&gt;&lt;periodical&gt;&lt;full-title&gt;Asia-Pacific Journal of Business Administration&lt;/full-title&gt;&lt;/periodical&gt;&lt;pages&gt;987-1020&lt;/pages&gt;&lt;volume&gt;17&lt;/volume&gt;&lt;number&gt;4&lt;/number&gt;&lt;dates&gt;&lt;year&gt;2025&lt;/year&gt;&lt;/dates&gt;&lt;isbn&gt;1757-4323&lt;/isbn&gt;&lt;urls&gt;&lt;/urls&gt;&lt;/record&gt;&lt;/Cite&gt;&lt;/EndNote&gt;</w:instrText>
            </w:r>
            <w:r w:rsidRPr="0005669B">
              <w:rPr>
                <w:color w:val="000000"/>
                <w:sz w:val="20"/>
                <w:szCs w:val="20"/>
                <w:lang w:val="en-US"/>
              </w:rPr>
              <w:fldChar w:fldCharType="separate"/>
            </w:r>
            <w:r w:rsidR="0005669B" w:rsidRPr="0005669B">
              <w:rPr>
                <w:noProof/>
                <w:color w:val="000000"/>
                <w:sz w:val="20"/>
                <w:szCs w:val="20"/>
                <w:lang w:val="en-US"/>
              </w:rPr>
              <w:t>Hidayat-ur-Rehman and Hossain</w:t>
            </w:r>
            <w:r w:rsidR="0005669B" w:rsidRPr="0005669B">
              <w:rPr>
                <w:noProof/>
                <w:color w:val="000000"/>
                <w:sz w:val="20"/>
                <w:szCs w:val="20"/>
                <w:vertAlign w:val="superscript"/>
                <w:lang w:val="en-US"/>
              </w:rPr>
              <w:t>37</w:t>
            </w:r>
            <w:r w:rsidRPr="0005669B">
              <w:rPr>
                <w:color w:val="000000"/>
                <w:sz w:val="20"/>
                <w:szCs w:val="20"/>
                <w:lang w:val="en-US"/>
              </w:rPr>
              <w:fldChar w:fldCharType="end"/>
            </w:r>
          </w:p>
          <w:p w14:paraId="5A05597A" w14:textId="46DD43B3" w:rsidR="00136686" w:rsidRPr="0005669B" w:rsidRDefault="00136686" w:rsidP="00FD7A71">
            <w:pPr>
              <w:rPr>
                <w:color w:val="000000"/>
                <w:sz w:val="20"/>
                <w:szCs w:val="20"/>
                <w:lang w:val="en-US"/>
              </w:rPr>
            </w:pPr>
            <w:r w:rsidRPr="0005669B">
              <w:rPr>
                <w:color w:val="000000"/>
                <w:sz w:val="20"/>
                <w:szCs w:val="20"/>
                <w:lang w:val="en-US"/>
              </w:rPr>
              <w:fldChar w:fldCharType="begin"/>
            </w:r>
            <w:r w:rsidR="0005669B" w:rsidRPr="0005669B">
              <w:rPr>
                <w:color w:val="000000"/>
                <w:sz w:val="20"/>
                <w:szCs w:val="20"/>
                <w:lang w:val="en-US"/>
              </w:rPr>
              <w:instrText xml:space="preserve"> ADDIN EN.CITE &lt;EndNote&gt;&lt;Cite AuthorYear="1"&gt;&lt;Author&gt;Bani Atta&lt;/Author&gt;&lt;Year&gt;2025&lt;/Year&gt;&lt;RecNum&gt;36&lt;/RecNum&gt;&lt;DisplayText&gt;Bani Atta&lt;style face="superscript"&gt;26&lt;/style&gt;&lt;/DisplayText&gt;&lt;record&gt;&lt;rec-number&gt;36&lt;/rec-number&gt;&lt;foreign-keys&gt;&lt;key app="EN" db-id="wapx0v0s4rw2r6esw9dpwpd1wwvx05v0920r" timestamp="1764927197"&gt;36&lt;/key&gt;&lt;/foreign-keys&gt;&lt;ref-type name="Journal Article"&gt;17&lt;/ref-type&gt;&lt;contributors&gt;&lt;authors&gt;&lt;author&gt;Bani Atta, Anas Ahmad&lt;/author&gt;&lt;/authors&gt;&lt;/contributors&gt;&lt;titles&gt;&lt;title&gt;Adoption of fintech products through environmental regulations in Jordanian commercial banks&lt;/title&gt;&lt;secondary-title&gt;Journal of Financial Reporting and Accounting&lt;/secondary-title&gt;&lt;/titles&gt;&lt;periodical&gt;&lt;full-title&gt;Journal of Financial Reporting and Accounting&lt;/full-title&gt;&lt;/periodical&gt;&lt;pages&gt;536-549&lt;/pages&gt;&lt;volume&gt;23&lt;/volume&gt;&lt;number&gt;2&lt;/number&gt;&lt;dates&gt;&lt;year&gt;2025&lt;/year&gt;&lt;/dates&gt;&lt;isbn&gt;1985-2517&lt;/isbn&gt;&lt;urls&gt;&lt;/urls&gt;&lt;/record&gt;&lt;/Cite&gt;&lt;/EndNote&gt;</w:instrText>
            </w:r>
            <w:r w:rsidRPr="0005669B">
              <w:rPr>
                <w:color w:val="000000"/>
                <w:sz w:val="20"/>
                <w:szCs w:val="20"/>
                <w:lang w:val="en-US"/>
              </w:rPr>
              <w:fldChar w:fldCharType="separate"/>
            </w:r>
            <w:r w:rsidR="0005669B" w:rsidRPr="0005669B">
              <w:rPr>
                <w:noProof/>
                <w:color w:val="000000"/>
                <w:sz w:val="20"/>
                <w:szCs w:val="20"/>
                <w:lang w:val="en-US"/>
              </w:rPr>
              <w:t>Bani Atta</w:t>
            </w:r>
            <w:r w:rsidR="0005669B" w:rsidRPr="0005669B">
              <w:rPr>
                <w:noProof/>
                <w:color w:val="000000"/>
                <w:sz w:val="20"/>
                <w:szCs w:val="20"/>
                <w:vertAlign w:val="superscript"/>
                <w:lang w:val="en-US"/>
              </w:rPr>
              <w:t>26</w:t>
            </w:r>
            <w:r w:rsidRPr="0005669B">
              <w:rPr>
                <w:color w:val="000000"/>
                <w:sz w:val="20"/>
                <w:szCs w:val="20"/>
                <w:lang w:val="en-US"/>
              </w:rPr>
              <w:fldChar w:fldCharType="end"/>
            </w:r>
          </w:p>
          <w:p w14:paraId="6A7090FA" w14:textId="638E94D1" w:rsidR="002B2A2A" w:rsidRPr="0005669B" w:rsidRDefault="002B2A2A" w:rsidP="00FD7A71">
            <w:pPr>
              <w:rPr>
                <w:color w:val="000000"/>
                <w:sz w:val="20"/>
                <w:szCs w:val="20"/>
                <w:lang w:val="en-US"/>
              </w:rPr>
            </w:pPr>
            <w:r w:rsidRPr="0005669B">
              <w:rPr>
                <w:color w:val="000000"/>
                <w:sz w:val="20"/>
                <w:szCs w:val="20"/>
              </w:rPr>
              <w:fldChar w:fldCharType="begin"/>
            </w:r>
            <w:r w:rsidR="0005669B" w:rsidRPr="0005669B">
              <w:rPr>
                <w:color w:val="000000"/>
                <w:sz w:val="20"/>
                <w:szCs w:val="20"/>
              </w:rPr>
              <w:instrText xml:space="preserve"> ADDIN EN.CITE &lt;EndNote&gt;&lt;Cite AuthorYear="1"&gt;&lt;Author&gt;Alrsheedi&lt;/Author&gt;&lt;Year&gt;2025&lt;/Year&gt;&lt;RecNum&gt;81&lt;/RecNum&gt;&lt;DisplayText&gt;Alrsheedi and P Iskandar&lt;style face="superscript"&gt;38&lt;/style&gt;&lt;/DisplayText&gt;&lt;record&gt;&lt;rec-number&gt;81&lt;/rec-number&gt;&lt;foreign-keys&gt;&lt;key app="EN" db-id="wapx0v0s4rw2r6esw9dpwpd1wwvx05v0920r" timestamp="1769481671"&gt;81&lt;/key&gt;&lt;/foreign-keys&gt;&lt;ref-type name="Journal Article"&gt;17&lt;/ref-type&gt;&lt;contributors&gt;&lt;authors&gt;&lt;author&gt;Alrsheedi, Ali&lt;/author&gt;&lt;author&gt;P Iskandar, Yulita Hanum&lt;/author&gt;&lt;/authors&gt;&lt;/contributors&gt;&lt;titles&gt;&lt;title&gt;Key factors influencing fintech adoption among Saudi banks: a conceptual framework&lt;/title&gt;&lt;secondary-title&gt;Humanities and Social Sciences Communications&lt;/secondary-title&gt;&lt;/titles&gt;&lt;periodical&gt;&lt;full-title&gt;Humanities and Social Sciences Communications&lt;/full-title&gt;&lt;/periodical&gt;&lt;pages&gt;1-11&lt;/pages&gt;&lt;volume&gt;12&lt;/volume&gt;&lt;number&gt;1&lt;/number&gt;&lt;dates&gt;&lt;year&gt;2025&lt;/year&gt;&lt;/dates&gt;&lt;isbn&gt;2662-9992&lt;/isbn&gt;&lt;urls&gt;&lt;/urls&gt;&lt;/record&gt;&lt;/Cite&gt;&lt;/EndNote&gt;</w:instrText>
            </w:r>
            <w:r w:rsidRPr="0005669B">
              <w:rPr>
                <w:color w:val="000000"/>
                <w:sz w:val="20"/>
                <w:szCs w:val="20"/>
              </w:rPr>
              <w:fldChar w:fldCharType="separate"/>
            </w:r>
            <w:r w:rsidR="0005669B" w:rsidRPr="0005669B">
              <w:rPr>
                <w:noProof/>
                <w:color w:val="000000"/>
                <w:sz w:val="20"/>
                <w:szCs w:val="20"/>
              </w:rPr>
              <w:t>Alrsheedi and P Iskandar</w:t>
            </w:r>
            <w:r w:rsidR="0005669B" w:rsidRPr="0005669B">
              <w:rPr>
                <w:noProof/>
                <w:color w:val="000000"/>
                <w:sz w:val="20"/>
                <w:szCs w:val="20"/>
                <w:vertAlign w:val="superscript"/>
              </w:rPr>
              <w:t>38</w:t>
            </w:r>
            <w:r w:rsidRPr="0005669B">
              <w:rPr>
                <w:color w:val="000000"/>
                <w:sz w:val="20"/>
                <w:szCs w:val="20"/>
              </w:rPr>
              <w:fldChar w:fldCharType="end"/>
            </w:r>
          </w:p>
        </w:tc>
        <w:tc>
          <w:tcPr>
            <w:tcW w:w="1134" w:type="dxa"/>
            <w:vAlign w:val="center"/>
            <w:hideMark/>
          </w:tcPr>
          <w:p w14:paraId="7B76A3A7" w14:textId="4558DB3D" w:rsidR="00136686" w:rsidRPr="0005669B" w:rsidRDefault="002B2A2A" w:rsidP="00FD7A71">
            <w:pPr>
              <w:jc w:val="center"/>
              <w:rPr>
                <w:color w:val="000000"/>
                <w:sz w:val="20"/>
                <w:szCs w:val="20"/>
                <w:lang w:val="en-US"/>
              </w:rPr>
            </w:pPr>
            <w:r w:rsidRPr="0005669B">
              <w:rPr>
                <w:color w:val="000000"/>
                <w:sz w:val="20"/>
                <w:szCs w:val="20"/>
                <w:lang w:val="en-US"/>
              </w:rPr>
              <w:t>6</w:t>
            </w:r>
          </w:p>
        </w:tc>
      </w:tr>
      <w:tr w:rsidR="00136686" w:rsidRPr="0005669B" w14:paraId="093EBDAB" w14:textId="77777777" w:rsidTr="00DE25C5">
        <w:trPr>
          <w:trHeight w:val="115"/>
        </w:trPr>
        <w:tc>
          <w:tcPr>
            <w:tcW w:w="421" w:type="dxa"/>
            <w:vAlign w:val="center"/>
          </w:tcPr>
          <w:p w14:paraId="40AD0258" w14:textId="77777777" w:rsidR="00136686" w:rsidRPr="0005669B" w:rsidRDefault="00136686" w:rsidP="00FD7A71">
            <w:pPr>
              <w:rPr>
                <w:color w:val="000000"/>
                <w:sz w:val="20"/>
                <w:szCs w:val="20"/>
                <w:lang w:val="en-US"/>
              </w:rPr>
            </w:pPr>
            <w:r w:rsidRPr="0005669B">
              <w:rPr>
                <w:color w:val="000000"/>
                <w:sz w:val="20"/>
                <w:szCs w:val="20"/>
                <w:lang w:val="en-US"/>
              </w:rPr>
              <w:t>2</w:t>
            </w:r>
          </w:p>
        </w:tc>
        <w:tc>
          <w:tcPr>
            <w:tcW w:w="1275" w:type="dxa"/>
            <w:vAlign w:val="center"/>
          </w:tcPr>
          <w:p w14:paraId="483FAEC1" w14:textId="77777777" w:rsidR="00136686" w:rsidRPr="0005669B" w:rsidRDefault="00136686" w:rsidP="00FD7A71">
            <w:pPr>
              <w:rPr>
                <w:color w:val="000000"/>
                <w:sz w:val="20"/>
                <w:szCs w:val="20"/>
                <w:lang w:val="en-US"/>
              </w:rPr>
            </w:pPr>
            <w:r w:rsidRPr="0005669B">
              <w:rPr>
                <w:color w:val="000000"/>
                <w:sz w:val="20"/>
                <w:szCs w:val="20"/>
                <w:lang w:val="en-US"/>
              </w:rPr>
              <w:t>TAM</w:t>
            </w:r>
          </w:p>
        </w:tc>
        <w:tc>
          <w:tcPr>
            <w:tcW w:w="1560" w:type="dxa"/>
            <w:vAlign w:val="center"/>
          </w:tcPr>
          <w:p w14:paraId="4E1FF236" w14:textId="31745B79" w:rsidR="00136686" w:rsidRPr="0005669B" w:rsidRDefault="00136686" w:rsidP="00FD7A71">
            <w:pPr>
              <w:rPr>
                <w:color w:val="000000"/>
                <w:sz w:val="20"/>
                <w:szCs w:val="20"/>
                <w:lang w:val="en-US"/>
              </w:rPr>
            </w:pPr>
            <w:r w:rsidRPr="0005669B">
              <w:rPr>
                <w:color w:val="000000"/>
                <w:sz w:val="20"/>
                <w:szCs w:val="20"/>
                <w:lang w:val="en-US"/>
              </w:rPr>
              <w:fldChar w:fldCharType="begin"/>
            </w:r>
            <w:r w:rsidR="0005669B" w:rsidRPr="0005669B">
              <w:rPr>
                <w:color w:val="000000"/>
                <w:sz w:val="20"/>
                <w:szCs w:val="20"/>
                <w:lang w:val="en-US"/>
              </w:rPr>
              <w:instrText xml:space="preserve"> ADDIN EN.CITE &lt;EndNote&gt;&lt;Cite AuthorYear="1"&gt;&lt;Author&gt;Alzghoul&lt;/Author&gt;&lt;Year&gt;2024&lt;/Year&gt;&lt;RecNum&gt;68&lt;/RecNum&gt;&lt;DisplayText&gt;Alzghoul and Al-kasasbeh&lt;style face="superscript"&gt;27&lt;/style&gt;&lt;/DisplayText&gt;&lt;record&gt;&lt;rec-number&gt;68&lt;/rec-number&gt;&lt;foreign-keys&gt;&lt;key app="EN" db-id="wapx0v0s4rw2r6esw9dpwpd1wwvx05v0920r" timestamp="1769481095"&gt;68&lt;/key&gt;&lt;/foreign-keys&gt;&lt;ref-type name="Journal Article"&gt;17&lt;/ref-type&gt;&lt;contributors&gt;&lt;authors&gt;&lt;author&gt;Alzghoul, Amro&lt;/author&gt;&lt;author&gt;Al-kasasbeh, Omar&lt;/author&gt;&lt;/authors&gt;&lt;/contributors&gt;&lt;titles&gt;&lt;title&gt;The moderating role of information technology infrastructure in the relationship between fintech adoption and organizational competitiveness&lt;/title&gt;&lt;secondary-title&gt;Investment Management &amp;amp; Financial Innovations&lt;/secondary-title&gt;&lt;/titles&gt;&lt;periodical&gt;&lt;full-title&gt;Investment Management &amp;amp; Financial Innovations&lt;/full-title&gt;&lt;/periodical&gt;&lt;pages&gt;155&lt;/pages&gt;&lt;volume&gt;21&lt;/volume&gt;&lt;number&gt;2&lt;/number&gt;&lt;dates&gt;&lt;year&gt;2024&lt;/year&gt;&lt;/dates&gt;&lt;isbn&gt;1810-4967&lt;/isbn&gt;&lt;urls&gt;&lt;/urls&gt;&lt;/record&gt;&lt;/Cite&gt;&lt;/EndNote&gt;</w:instrText>
            </w:r>
            <w:r w:rsidRPr="0005669B">
              <w:rPr>
                <w:color w:val="000000"/>
                <w:sz w:val="20"/>
                <w:szCs w:val="20"/>
                <w:lang w:val="en-US"/>
              </w:rPr>
              <w:fldChar w:fldCharType="separate"/>
            </w:r>
            <w:r w:rsidR="0005669B" w:rsidRPr="0005669B">
              <w:rPr>
                <w:noProof/>
                <w:color w:val="000000"/>
                <w:sz w:val="20"/>
                <w:szCs w:val="20"/>
                <w:lang w:val="en-US"/>
              </w:rPr>
              <w:t>Alzghoul and Al-kasasbeh</w:t>
            </w:r>
            <w:r w:rsidR="0005669B" w:rsidRPr="0005669B">
              <w:rPr>
                <w:noProof/>
                <w:color w:val="000000"/>
                <w:sz w:val="20"/>
                <w:szCs w:val="20"/>
                <w:vertAlign w:val="superscript"/>
                <w:lang w:val="en-US"/>
              </w:rPr>
              <w:t>27</w:t>
            </w:r>
            <w:r w:rsidRPr="0005669B">
              <w:rPr>
                <w:color w:val="000000"/>
                <w:sz w:val="20"/>
                <w:szCs w:val="20"/>
                <w:lang w:val="en-US"/>
              </w:rPr>
              <w:fldChar w:fldCharType="end"/>
            </w:r>
          </w:p>
        </w:tc>
        <w:tc>
          <w:tcPr>
            <w:tcW w:w="1134" w:type="dxa"/>
            <w:vAlign w:val="center"/>
          </w:tcPr>
          <w:p w14:paraId="3A9BE220" w14:textId="77777777" w:rsidR="00136686" w:rsidRPr="0005669B" w:rsidRDefault="00136686" w:rsidP="00FD7A71">
            <w:pPr>
              <w:jc w:val="center"/>
              <w:rPr>
                <w:color w:val="000000"/>
                <w:sz w:val="20"/>
                <w:szCs w:val="20"/>
                <w:lang w:val="en-US"/>
              </w:rPr>
            </w:pPr>
            <w:r w:rsidRPr="0005669B">
              <w:rPr>
                <w:color w:val="000000"/>
                <w:sz w:val="20"/>
                <w:szCs w:val="20"/>
                <w:lang w:val="en-US"/>
              </w:rPr>
              <w:t>1</w:t>
            </w:r>
          </w:p>
        </w:tc>
      </w:tr>
      <w:tr w:rsidR="00136686" w:rsidRPr="0005669B" w14:paraId="49F56F7F" w14:textId="77777777" w:rsidTr="00DE25C5">
        <w:trPr>
          <w:trHeight w:val="174"/>
        </w:trPr>
        <w:tc>
          <w:tcPr>
            <w:tcW w:w="421" w:type="dxa"/>
            <w:vAlign w:val="center"/>
          </w:tcPr>
          <w:p w14:paraId="46FF0D02" w14:textId="77777777" w:rsidR="00136686" w:rsidRPr="0005669B" w:rsidRDefault="00136686" w:rsidP="00FD7A71">
            <w:pPr>
              <w:rPr>
                <w:color w:val="000000"/>
                <w:sz w:val="20"/>
                <w:szCs w:val="20"/>
                <w:lang w:val="en-US"/>
              </w:rPr>
            </w:pPr>
            <w:r w:rsidRPr="0005669B">
              <w:rPr>
                <w:color w:val="000000"/>
                <w:sz w:val="20"/>
                <w:szCs w:val="20"/>
                <w:lang w:val="en-US"/>
              </w:rPr>
              <w:t>3</w:t>
            </w:r>
          </w:p>
        </w:tc>
        <w:tc>
          <w:tcPr>
            <w:tcW w:w="1275" w:type="dxa"/>
            <w:vAlign w:val="center"/>
          </w:tcPr>
          <w:p w14:paraId="41A2CEEF" w14:textId="77777777" w:rsidR="00136686" w:rsidRPr="0005669B" w:rsidRDefault="00136686" w:rsidP="00FD7A71">
            <w:pPr>
              <w:rPr>
                <w:color w:val="000000"/>
                <w:sz w:val="20"/>
                <w:szCs w:val="20"/>
                <w:lang w:val="en-US"/>
              </w:rPr>
            </w:pPr>
            <w:r w:rsidRPr="0005669B">
              <w:rPr>
                <w:color w:val="000000"/>
                <w:sz w:val="20"/>
                <w:szCs w:val="20"/>
              </w:rPr>
              <w:t>RBV</w:t>
            </w:r>
          </w:p>
        </w:tc>
        <w:tc>
          <w:tcPr>
            <w:tcW w:w="1560" w:type="dxa"/>
            <w:vAlign w:val="center"/>
          </w:tcPr>
          <w:p w14:paraId="1DE96C0F" w14:textId="15900419" w:rsidR="00136686" w:rsidRPr="0005669B" w:rsidRDefault="00136686" w:rsidP="00FD7A71">
            <w:pPr>
              <w:rPr>
                <w:color w:val="000000"/>
                <w:sz w:val="20"/>
                <w:szCs w:val="20"/>
                <w:lang w:val="en-US"/>
              </w:rPr>
            </w:pPr>
            <w:r w:rsidRPr="0005669B">
              <w:rPr>
                <w:color w:val="000000"/>
                <w:sz w:val="20"/>
                <w:szCs w:val="20"/>
              </w:rPr>
              <w:fldChar w:fldCharType="begin"/>
            </w:r>
            <w:r w:rsidR="0005669B" w:rsidRPr="0005669B">
              <w:rPr>
                <w:color w:val="000000"/>
                <w:sz w:val="20"/>
                <w:szCs w:val="20"/>
              </w:rPr>
              <w:instrText xml:space="preserve"> ADDIN EN.CITE &lt;EndNote&gt;&lt;Cite AuthorYear="1"&gt;&lt;Author&gt;Harasim&lt;/Author&gt;&lt;Year&gt;2021&lt;/Year&gt;&lt;RecNum&gt;76&lt;/RecNum&gt;&lt;DisplayText&gt;Harasim&lt;style face="superscript"&gt;33&lt;/style&gt;&lt;/DisplayText&gt;&lt;record&gt;&lt;rec-number&gt;76&lt;/rec-number&gt;&lt;foreign-keys&gt;&lt;key app="EN" db-id="wapx0v0s4rw2r6esw9dpwpd1wwvx05v0920r" timestamp="1769481489"&gt;76&lt;/key&gt;&lt;/foreign-keys&gt;&lt;ref-type name="Journal Article"&gt;17&lt;/ref-type&gt;&lt;contributors&gt;&lt;authors&gt;&lt;author&gt;Harasim, Janina&lt;/author&gt;&lt;/authors&gt;&lt;/contributors&gt;&lt;titles&gt;&lt;title&gt;FinTechs, BigTechs and banks—when cooperation and when competition?&lt;/title&gt;&lt;secondary-title&gt;Journal of Risk and Financial Management&lt;/secondary-title&gt;&lt;/titles&gt;&lt;periodical&gt;&lt;full-title&gt;Journal of Risk and Financial Management&lt;/full-title&gt;&lt;/periodical&gt;&lt;pages&gt;614&lt;/pages&gt;&lt;volume&gt;14&lt;/volume&gt;&lt;number&gt;12&lt;/number&gt;&lt;dates&gt;&lt;year&gt;2021&lt;/year&gt;&lt;/dates&gt;&lt;isbn&gt;1911-8074&lt;/isbn&gt;&lt;urls&gt;&lt;/urls&gt;&lt;/record&gt;&lt;/Cite&gt;&lt;/EndNote&gt;</w:instrText>
            </w:r>
            <w:r w:rsidRPr="0005669B">
              <w:rPr>
                <w:color w:val="000000"/>
                <w:sz w:val="20"/>
                <w:szCs w:val="20"/>
              </w:rPr>
              <w:fldChar w:fldCharType="separate"/>
            </w:r>
            <w:r w:rsidR="0005669B" w:rsidRPr="0005669B">
              <w:rPr>
                <w:noProof/>
                <w:color w:val="000000"/>
                <w:sz w:val="20"/>
                <w:szCs w:val="20"/>
              </w:rPr>
              <w:t>Harasim</w:t>
            </w:r>
            <w:r w:rsidR="0005669B" w:rsidRPr="0005669B">
              <w:rPr>
                <w:noProof/>
                <w:color w:val="000000"/>
                <w:sz w:val="20"/>
                <w:szCs w:val="20"/>
                <w:vertAlign w:val="superscript"/>
              </w:rPr>
              <w:t>33</w:t>
            </w:r>
            <w:r w:rsidRPr="0005669B">
              <w:rPr>
                <w:color w:val="000000"/>
                <w:sz w:val="20"/>
                <w:szCs w:val="20"/>
              </w:rPr>
              <w:fldChar w:fldCharType="end"/>
            </w:r>
          </w:p>
          <w:p w14:paraId="1EE34EFF" w14:textId="5331E8B1" w:rsidR="00136686" w:rsidRPr="0005669B" w:rsidRDefault="00136686" w:rsidP="00FD7A71">
            <w:pPr>
              <w:rPr>
                <w:color w:val="000000"/>
                <w:sz w:val="20"/>
                <w:szCs w:val="20"/>
                <w:lang w:val="en-US"/>
              </w:rPr>
            </w:pPr>
            <w:r w:rsidRPr="0005669B">
              <w:rPr>
                <w:color w:val="000000"/>
                <w:sz w:val="20"/>
                <w:szCs w:val="20"/>
              </w:rPr>
              <w:fldChar w:fldCharType="begin"/>
            </w:r>
            <w:r w:rsidR="0005669B" w:rsidRPr="0005669B">
              <w:rPr>
                <w:color w:val="000000"/>
                <w:sz w:val="20"/>
                <w:szCs w:val="20"/>
              </w:rPr>
              <w:instrText xml:space="preserve"> ADDIN EN.CITE &lt;EndNote&gt;&lt;Cite AuthorYear="1"&gt;&lt;Author&gt;Mirza&lt;/Author&gt;&lt;Year&gt;2023&lt;/Year&gt;&lt;RecNum&gt;77&lt;/RecNum&gt;&lt;DisplayText&gt;Mirza, et al.&lt;style face="superscript"&gt;34&lt;/style&gt;&lt;/DisplayText&gt;&lt;record&gt;&lt;rec-number&gt;77&lt;/rec-number&gt;&lt;foreign-keys&gt;&lt;key app="EN" db-id="wapx0v0s4rw2r6esw9dpwpd1wwvx05v0920r" timestamp="1769481524"&gt;77&lt;/key&gt;&lt;/foreign-keys&gt;&lt;ref-type name="Journal Article"&gt;17&lt;/ref-type&gt;&lt;contributors&gt;&lt;authors&gt;&lt;author&gt;Mirza, Nawazish&lt;/author&gt;&lt;author&gt;Umar, Muhammad&lt;/author&gt;&lt;author&gt;Afzal, Ayesha&lt;/author&gt;&lt;author&gt;Firdousi, Saba Fazal&lt;/author&gt;&lt;/authors&gt;&lt;/contributors&gt;&lt;titles&gt;&lt;title&gt;The role of fintech in promoting green finance, and profitability: Evidence from the banking sector in the euro zone&lt;/title&gt;&lt;secondary-title&gt;Economic Analysis and Policy&lt;/secondary-title&gt;&lt;/titles&gt;&lt;periodical&gt;&lt;full-title&gt;Economic Analysis and Policy&lt;/full-title&gt;&lt;/periodical&gt;&lt;pages&gt;33-40&lt;/pages&gt;&lt;volume&gt;78&lt;/volume&gt;&lt;dates&gt;&lt;year&gt;2023&lt;/year&gt;&lt;/dates&gt;&lt;isbn&gt;0313-5926&lt;/isbn&gt;&lt;urls&gt;&lt;/urls&gt;&lt;/record&gt;&lt;/Cite&gt;&lt;/EndNote&gt;</w:instrText>
            </w:r>
            <w:r w:rsidRPr="0005669B">
              <w:rPr>
                <w:color w:val="000000"/>
                <w:sz w:val="20"/>
                <w:szCs w:val="20"/>
              </w:rPr>
              <w:fldChar w:fldCharType="separate"/>
            </w:r>
            <w:r w:rsidR="0005669B" w:rsidRPr="0005669B">
              <w:rPr>
                <w:noProof/>
                <w:color w:val="000000"/>
                <w:sz w:val="20"/>
                <w:szCs w:val="20"/>
              </w:rPr>
              <w:t>Mirza, et al.</w:t>
            </w:r>
            <w:r w:rsidR="0005669B" w:rsidRPr="0005669B">
              <w:rPr>
                <w:noProof/>
                <w:color w:val="000000"/>
                <w:sz w:val="20"/>
                <w:szCs w:val="20"/>
                <w:vertAlign w:val="superscript"/>
              </w:rPr>
              <w:t>34</w:t>
            </w:r>
            <w:r w:rsidRPr="0005669B">
              <w:rPr>
                <w:color w:val="000000"/>
                <w:sz w:val="20"/>
                <w:szCs w:val="20"/>
              </w:rPr>
              <w:fldChar w:fldCharType="end"/>
            </w:r>
          </w:p>
          <w:p w14:paraId="115A546C" w14:textId="0C23B484" w:rsidR="00136686" w:rsidRPr="0005669B" w:rsidRDefault="00136686" w:rsidP="00FD7A71">
            <w:pPr>
              <w:rPr>
                <w:color w:val="000000"/>
                <w:sz w:val="20"/>
                <w:szCs w:val="20"/>
                <w:lang w:val="en-US"/>
              </w:rPr>
            </w:pPr>
            <w:r w:rsidRPr="0005669B">
              <w:rPr>
                <w:color w:val="000000"/>
                <w:sz w:val="20"/>
                <w:szCs w:val="20"/>
              </w:rPr>
              <w:fldChar w:fldCharType="begin"/>
            </w:r>
            <w:r w:rsidR="0005669B" w:rsidRPr="0005669B">
              <w:rPr>
                <w:color w:val="000000"/>
                <w:sz w:val="20"/>
                <w:szCs w:val="20"/>
              </w:rPr>
              <w:instrText xml:space="preserve"> ADDIN EN.CITE &lt;EndNote&gt;&lt;Cite AuthorYear="1"&gt;&lt;Author&gt;Zhao&lt;/Author&gt;&lt;Year&gt;2022&lt;/Year&gt;&lt;RecNum&gt;82&lt;/RecNum&gt;&lt;DisplayText&gt;Zhao, et al.&lt;style face="superscript"&gt;39&lt;/style&gt;&lt;/DisplayText&gt;&lt;record&gt;&lt;rec-number&gt;82&lt;/rec-number&gt;&lt;foreign-keys&gt;&lt;key app="EN" db-id="wapx0v0s4rw2r6esw9dpwpd1wwvx05v0920r" timestamp="1769481751"&gt;82&lt;/key&gt;&lt;/foreign-keys&gt;&lt;ref-type name="Journal Article"&gt;17&lt;/ref-type&gt;&lt;contributors&gt;&lt;authors&gt;&lt;author&gt;Zhao, Jinsong&lt;/author&gt;&lt;author&gt;Li, Xinghao&lt;/author&gt;&lt;author&gt;Yu, Chin-Hsien&lt;/author&gt;&lt;author&gt;Chen, Shi&lt;/author&gt;&lt;author&gt;Lee, Chi-Chuan&lt;/author&gt;&lt;/authors&gt;&lt;/contributors&gt;&lt;titles&gt;&lt;title&gt;Riding the FinTech innovation wave: FinTech, patents and bank performance&lt;/title&gt;&lt;secondary-title&gt;Journal of International Money and Finance&lt;/secondary-title&gt;&lt;/titles&gt;&lt;periodical&gt;&lt;full-title&gt;Journal of International Money and Finance&lt;/full-title&gt;&lt;/periodical&gt;&lt;pages&gt;102552&lt;/pages&gt;&lt;volume&gt;122&lt;/volume&gt;&lt;dates&gt;&lt;year&gt;2022&lt;/year&gt;&lt;/dates&gt;&lt;isbn&gt;0261-5606&lt;/isbn&gt;&lt;urls&gt;&lt;/urls&gt;&lt;/record&gt;&lt;/Cite&gt;&lt;/EndNote&gt;</w:instrText>
            </w:r>
            <w:r w:rsidRPr="0005669B">
              <w:rPr>
                <w:color w:val="000000"/>
                <w:sz w:val="20"/>
                <w:szCs w:val="20"/>
              </w:rPr>
              <w:fldChar w:fldCharType="separate"/>
            </w:r>
            <w:r w:rsidR="0005669B" w:rsidRPr="0005669B">
              <w:rPr>
                <w:noProof/>
                <w:color w:val="000000"/>
                <w:sz w:val="20"/>
                <w:szCs w:val="20"/>
              </w:rPr>
              <w:t>Zhao, et al.</w:t>
            </w:r>
            <w:r w:rsidR="0005669B" w:rsidRPr="0005669B">
              <w:rPr>
                <w:noProof/>
                <w:color w:val="000000"/>
                <w:sz w:val="20"/>
                <w:szCs w:val="20"/>
                <w:vertAlign w:val="superscript"/>
              </w:rPr>
              <w:t>39</w:t>
            </w:r>
            <w:r w:rsidRPr="0005669B">
              <w:rPr>
                <w:color w:val="000000"/>
                <w:sz w:val="20"/>
                <w:szCs w:val="20"/>
              </w:rPr>
              <w:fldChar w:fldCharType="end"/>
            </w:r>
          </w:p>
          <w:p w14:paraId="51656729" w14:textId="077891EF" w:rsidR="00136686" w:rsidRPr="0005669B" w:rsidRDefault="00136686" w:rsidP="00FD7A71">
            <w:pPr>
              <w:rPr>
                <w:color w:val="000000"/>
                <w:sz w:val="20"/>
                <w:szCs w:val="20"/>
                <w:lang w:val="en-US"/>
              </w:rPr>
            </w:pPr>
            <w:r w:rsidRPr="0005669B">
              <w:rPr>
                <w:color w:val="000000"/>
                <w:sz w:val="20"/>
                <w:szCs w:val="20"/>
              </w:rPr>
              <w:fldChar w:fldCharType="begin"/>
            </w:r>
            <w:r w:rsidR="0005669B" w:rsidRPr="0005669B">
              <w:rPr>
                <w:color w:val="000000"/>
                <w:sz w:val="20"/>
                <w:szCs w:val="20"/>
              </w:rPr>
              <w:instrText xml:space="preserve"> ADDIN EN.CITE &lt;EndNote&gt;&lt;Cite AuthorYear="1"&gt;&lt;Author&gt;He&lt;/Author&gt;&lt;Year&gt;2023&lt;/Year&gt;&lt;RecNum&gt;87&lt;/RecNum&gt;&lt;DisplayText&gt;He, et al.&lt;style face="superscript"&gt;43&lt;/style&gt;&lt;/DisplayText&gt;&lt;record&gt;&lt;rec-number&gt;87&lt;/rec-number&gt;&lt;foreign-keys&gt;&lt;key app="EN" db-id="wapx0v0s4rw2r6esw9dpwpd1wwvx05v0920r" timestamp="1769481968"&gt;87&lt;/key&gt;&lt;/foreign-keys&gt;&lt;ref-type name="Journal Article"&gt;17&lt;/ref-type&gt;&lt;contributors&gt;&lt;authors&gt;&lt;author&gt;He, Miao&lt;/author&gt;&lt;author&gt;Song, Ge&lt;/author&gt;&lt;author&gt;Chen, Qianqian&lt;/author&gt;&lt;/authors&gt;&lt;/contributors&gt;&lt;titles&gt;&lt;title&gt;Fintech adoption, internal control quality and bank risk taking: Evidence from Chinese listed banks&lt;/title&gt;&lt;secondary-title&gt;Finance Research Letters&lt;/secondary-title&gt;&lt;/titles&gt;&lt;periodical&gt;&lt;full-title&gt;Finance Research Letters&lt;/full-title&gt;&lt;/periodical&gt;&lt;pages&gt;104235&lt;/pages&gt;&lt;volume&gt;57&lt;/volume&gt;&lt;dates&gt;&lt;year&gt;2023&lt;/year&gt;&lt;/dates&gt;&lt;isbn&gt;1544-6123&lt;/isbn&gt;&lt;urls&gt;&lt;/urls&gt;&lt;/record&gt;&lt;/Cite&gt;&lt;/EndNote&gt;</w:instrText>
            </w:r>
            <w:r w:rsidRPr="0005669B">
              <w:rPr>
                <w:color w:val="000000"/>
                <w:sz w:val="20"/>
                <w:szCs w:val="20"/>
              </w:rPr>
              <w:fldChar w:fldCharType="separate"/>
            </w:r>
            <w:r w:rsidR="0005669B" w:rsidRPr="0005669B">
              <w:rPr>
                <w:noProof/>
                <w:color w:val="000000"/>
                <w:sz w:val="20"/>
                <w:szCs w:val="20"/>
              </w:rPr>
              <w:t>He, et al.</w:t>
            </w:r>
            <w:r w:rsidR="0005669B" w:rsidRPr="0005669B">
              <w:rPr>
                <w:noProof/>
                <w:color w:val="000000"/>
                <w:sz w:val="20"/>
                <w:szCs w:val="20"/>
                <w:vertAlign w:val="superscript"/>
              </w:rPr>
              <w:t>43</w:t>
            </w:r>
            <w:r w:rsidRPr="0005669B">
              <w:rPr>
                <w:color w:val="000000"/>
                <w:sz w:val="20"/>
                <w:szCs w:val="20"/>
              </w:rPr>
              <w:fldChar w:fldCharType="end"/>
            </w:r>
          </w:p>
          <w:p w14:paraId="3A336504" w14:textId="6D065285" w:rsidR="00136686" w:rsidRPr="0005669B" w:rsidRDefault="00136686" w:rsidP="00FD7A71">
            <w:pPr>
              <w:rPr>
                <w:color w:val="000000"/>
                <w:sz w:val="20"/>
                <w:szCs w:val="20"/>
                <w:lang w:val="en-US"/>
              </w:rPr>
            </w:pPr>
            <w:r w:rsidRPr="0005669B">
              <w:rPr>
                <w:color w:val="000000"/>
                <w:sz w:val="20"/>
                <w:szCs w:val="20"/>
              </w:rPr>
              <w:fldChar w:fldCharType="begin"/>
            </w:r>
            <w:r w:rsidR="0005669B" w:rsidRPr="0005669B">
              <w:rPr>
                <w:color w:val="000000"/>
                <w:sz w:val="20"/>
                <w:szCs w:val="20"/>
              </w:rPr>
              <w:instrText xml:space="preserve"> ADDIN EN.CITE &lt;EndNote&gt;&lt;Cite AuthorYear="1"&gt;&lt;Author&gt;Zhang&lt;/Author&gt;&lt;Year&gt;2023&lt;/Year&gt;&lt;RecNum&gt;88&lt;/RecNum&gt;&lt;DisplayText&gt;Zhang, et al.&lt;style face="superscript"&gt;44&lt;/style&gt;&lt;/DisplayText&gt;&lt;record&gt;&lt;rec-number&gt;88&lt;/rec-number&gt;&lt;foreign-keys&gt;&lt;key app="EN" db-id="wapx0v0s4rw2r6esw9dpwpd1wwvx05v0920r" timestamp="1769481999"&gt;88&lt;/key&gt;&lt;/foreign-keys&gt;&lt;ref-type name="Journal Article"&gt;17&lt;/ref-type&gt;&lt;contributors&gt;&lt;authors&gt;&lt;author&gt;Zhang, Yujin&lt;/author&gt;&lt;author&gt;Ye, Shujun&lt;/author&gt;&lt;author&gt;Liu, Jie&lt;/author&gt;&lt;author&gt;Du, Lihong&lt;/author&gt;&lt;/authors&gt;&lt;/contributors&gt;&lt;titles&gt;&lt;title&gt;Impact of the development of FinTech by commercial banks on bank credit risk&lt;/title&gt;&lt;secondary-title&gt;Finance Research Letters&lt;/secondary-title&gt;&lt;/titles&gt;&lt;periodical&gt;&lt;full-title&gt;Finance Research Letters&lt;/full-title&gt;&lt;/periodical&gt;&lt;pages&gt;103857&lt;/pages&gt;&lt;volume&gt;55&lt;/volume&gt;&lt;dates&gt;&lt;year&gt;2023&lt;/year&gt;&lt;/dates&gt;&lt;isbn&gt;1544-6123&lt;/isbn&gt;&lt;urls&gt;&lt;/urls&gt;&lt;/record&gt;&lt;/Cite&gt;&lt;/EndNote&gt;</w:instrText>
            </w:r>
            <w:r w:rsidRPr="0005669B">
              <w:rPr>
                <w:color w:val="000000"/>
                <w:sz w:val="20"/>
                <w:szCs w:val="20"/>
              </w:rPr>
              <w:fldChar w:fldCharType="separate"/>
            </w:r>
            <w:r w:rsidR="0005669B" w:rsidRPr="0005669B">
              <w:rPr>
                <w:noProof/>
                <w:color w:val="000000"/>
                <w:sz w:val="20"/>
                <w:szCs w:val="20"/>
              </w:rPr>
              <w:t>Zhang, et al.</w:t>
            </w:r>
            <w:r w:rsidR="0005669B" w:rsidRPr="0005669B">
              <w:rPr>
                <w:noProof/>
                <w:color w:val="000000"/>
                <w:sz w:val="20"/>
                <w:szCs w:val="20"/>
                <w:vertAlign w:val="superscript"/>
              </w:rPr>
              <w:t>44</w:t>
            </w:r>
            <w:r w:rsidRPr="0005669B">
              <w:rPr>
                <w:color w:val="000000"/>
                <w:sz w:val="20"/>
                <w:szCs w:val="20"/>
              </w:rPr>
              <w:fldChar w:fldCharType="end"/>
            </w:r>
          </w:p>
          <w:p w14:paraId="60B70B1D" w14:textId="145FDCBF" w:rsidR="00136686" w:rsidRPr="0005669B" w:rsidRDefault="00136686" w:rsidP="00FD7A71">
            <w:pPr>
              <w:rPr>
                <w:color w:val="000000"/>
                <w:sz w:val="20"/>
                <w:szCs w:val="20"/>
              </w:rPr>
            </w:pPr>
            <w:r w:rsidRPr="0005669B">
              <w:rPr>
                <w:color w:val="000000"/>
                <w:sz w:val="20"/>
                <w:szCs w:val="20"/>
                <w:lang w:val="en-US"/>
              </w:rPr>
              <w:fldChar w:fldCharType="begin"/>
            </w:r>
            <w:r w:rsidR="0005669B" w:rsidRPr="0005669B">
              <w:rPr>
                <w:color w:val="000000"/>
                <w:sz w:val="20"/>
                <w:szCs w:val="20"/>
                <w:lang w:val="en-US"/>
              </w:rPr>
              <w:instrText xml:space="preserve"> ADDIN EN.CITE &lt;EndNote&gt;&lt;Cite AuthorYear="1"&gt;&lt;Author&gt;Alzghoul&lt;/Author&gt;&lt;Year&gt;2024&lt;/Year&gt;&lt;RecNum&gt;68&lt;/RecNum&gt;&lt;DisplayText&gt;Alzghoul and Al-kasasbeh&lt;style face="superscript"&gt;27&lt;/style&gt;&lt;/DisplayText&gt;&lt;record&gt;&lt;rec-number&gt;68&lt;/rec-number&gt;&lt;foreign-keys&gt;&lt;key app="EN" db-id="wapx0v0s4rw2r6esw9dpwpd1wwvx05v0920r" timestamp="1769481095"&gt;68&lt;/key&gt;&lt;/foreign-keys&gt;&lt;ref-type name="Journal Article"&gt;17&lt;/ref-type&gt;&lt;contributors&gt;&lt;authors&gt;&lt;author&gt;Alzghoul, Amro&lt;/author&gt;&lt;author&gt;Al-kasasbeh, Omar&lt;/author&gt;&lt;/authors&gt;&lt;/contributors&gt;&lt;titles&gt;&lt;title&gt;The moderating role of information technology infrastructure in the relationship between fintech adoption and organizational competitiveness&lt;/title&gt;&lt;secondary-title&gt;Investment Management &amp;amp; Financial Innovations&lt;/secondary-title&gt;&lt;/titles&gt;&lt;periodical&gt;&lt;full-title&gt;Investment Management &amp;amp; Financial Innovations&lt;/full-title&gt;&lt;/periodical&gt;&lt;pages&gt;155&lt;/pages&gt;&lt;volume&gt;21&lt;/volume&gt;&lt;number&gt;2&lt;/number&gt;&lt;dates&gt;&lt;year&gt;2024&lt;/year&gt;&lt;/dates&gt;&lt;isbn&gt;1810-4967&lt;/isbn&gt;&lt;urls&gt;&lt;/urls&gt;&lt;/record&gt;&lt;/Cite&gt;&lt;/EndNote&gt;</w:instrText>
            </w:r>
            <w:r w:rsidRPr="0005669B">
              <w:rPr>
                <w:color w:val="000000"/>
                <w:sz w:val="20"/>
                <w:szCs w:val="20"/>
                <w:lang w:val="en-US"/>
              </w:rPr>
              <w:fldChar w:fldCharType="separate"/>
            </w:r>
            <w:r w:rsidR="0005669B" w:rsidRPr="0005669B">
              <w:rPr>
                <w:noProof/>
                <w:color w:val="000000"/>
                <w:sz w:val="20"/>
                <w:szCs w:val="20"/>
                <w:lang w:val="en-US"/>
              </w:rPr>
              <w:t>Alzghoul and Al-kasasbeh</w:t>
            </w:r>
            <w:r w:rsidR="0005669B" w:rsidRPr="0005669B">
              <w:rPr>
                <w:noProof/>
                <w:color w:val="000000"/>
                <w:sz w:val="20"/>
                <w:szCs w:val="20"/>
                <w:vertAlign w:val="superscript"/>
                <w:lang w:val="en-US"/>
              </w:rPr>
              <w:t>27</w:t>
            </w:r>
            <w:r w:rsidRPr="0005669B">
              <w:rPr>
                <w:color w:val="000000"/>
                <w:sz w:val="20"/>
                <w:szCs w:val="20"/>
                <w:lang w:val="en-US"/>
              </w:rPr>
              <w:fldChar w:fldCharType="end"/>
            </w:r>
          </w:p>
        </w:tc>
        <w:tc>
          <w:tcPr>
            <w:tcW w:w="1134" w:type="dxa"/>
            <w:vAlign w:val="center"/>
          </w:tcPr>
          <w:p w14:paraId="69324E5F" w14:textId="77777777" w:rsidR="00136686" w:rsidRPr="0005669B" w:rsidRDefault="00136686" w:rsidP="00FD7A71">
            <w:pPr>
              <w:jc w:val="center"/>
              <w:rPr>
                <w:color w:val="000000"/>
                <w:sz w:val="20"/>
                <w:szCs w:val="20"/>
                <w:lang w:val="en-US"/>
              </w:rPr>
            </w:pPr>
            <w:r w:rsidRPr="0005669B">
              <w:rPr>
                <w:color w:val="000000"/>
                <w:sz w:val="20"/>
                <w:szCs w:val="20"/>
                <w:lang w:val="en-US"/>
              </w:rPr>
              <w:t>6</w:t>
            </w:r>
          </w:p>
        </w:tc>
      </w:tr>
      <w:tr w:rsidR="00136686" w:rsidRPr="0005669B" w14:paraId="0F1435A3" w14:textId="77777777" w:rsidTr="00DE25C5">
        <w:trPr>
          <w:trHeight w:val="174"/>
        </w:trPr>
        <w:tc>
          <w:tcPr>
            <w:tcW w:w="421" w:type="dxa"/>
            <w:vAlign w:val="center"/>
          </w:tcPr>
          <w:p w14:paraId="67C344EF" w14:textId="77777777" w:rsidR="00136686" w:rsidRPr="0005669B" w:rsidRDefault="00136686" w:rsidP="00FD7A71">
            <w:pPr>
              <w:rPr>
                <w:color w:val="000000"/>
                <w:sz w:val="20"/>
                <w:szCs w:val="20"/>
                <w:lang w:val="en-US"/>
              </w:rPr>
            </w:pPr>
            <w:r w:rsidRPr="0005669B">
              <w:rPr>
                <w:color w:val="000000"/>
                <w:sz w:val="20"/>
                <w:szCs w:val="20"/>
                <w:lang w:val="en-US"/>
              </w:rPr>
              <w:t>4</w:t>
            </w:r>
          </w:p>
        </w:tc>
        <w:tc>
          <w:tcPr>
            <w:tcW w:w="1275" w:type="dxa"/>
            <w:vAlign w:val="center"/>
          </w:tcPr>
          <w:p w14:paraId="493870F2" w14:textId="0FF8CB74" w:rsidR="00136686" w:rsidRPr="0005669B" w:rsidRDefault="00136686" w:rsidP="00FD7A71">
            <w:pPr>
              <w:rPr>
                <w:color w:val="000000"/>
                <w:sz w:val="20"/>
                <w:szCs w:val="20"/>
              </w:rPr>
            </w:pPr>
            <w:r w:rsidRPr="0005669B">
              <w:rPr>
                <w:color w:val="000000"/>
                <w:sz w:val="20"/>
                <w:szCs w:val="20"/>
                <w:lang w:val="en-US"/>
              </w:rPr>
              <w:t>Agency</w:t>
            </w:r>
            <w:r w:rsidR="002E3C68" w:rsidRPr="0005669B">
              <w:rPr>
                <w:color w:val="000000"/>
                <w:sz w:val="20"/>
                <w:szCs w:val="20"/>
                <w:lang w:val="en-US"/>
              </w:rPr>
              <w:t xml:space="preserve"> </w:t>
            </w:r>
            <w:r w:rsidRPr="0005669B">
              <w:rPr>
                <w:color w:val="000000"/>
                <w:sz w:val="20"/>
                <w:szCs w:val="20"/>
                <w:lang w:val="en-US"/>
              </w:rPr>
              <w:t>theory</w:t>
            </w:r>
          </w:p>
        </w:tc>
        <w:tc>
          <w:tcPr>
            <w:tcW w:w="1560" w:type="dxa"/>
            <w:vAlign w:val="center"/>
          </w:tcPr>
          <w:p w14:paraId="1551D1E1" w14:textId="3C14BC72" w:rsidR="00136686" w:rsidRPr="0005669B" w:rsidRDefault="00136686" w:rsidP="00FD7A71">
            <w:pPr>
              <w:rPr>
                <w:color w:val="000000"/>
                <w:sz w:val="20"/>
                <w:szCs w:val="20"/>
                <w:lang w:val="en-US"/>
              </w:rPr>
            </w:pPr>
            <w:r w:rsidRPr="0005669B">
              <w:rPr>
                <w:color w:val="000000"/>
                <w:sz w:val="20"/>
                <w:szCs w:val="20"/>
              </w:rPr>
              <w:fldChar w:fldCharType="begin"/>
            </w:r>
            <w:r w:rsidR="0005669B" w:rsidRPr="0005669B">
              <w:rPr>
                <w:color w:val="000000"/>
                <w:sz w:val="20"/>
                <w:szCs w:val="20"/>
              </w:rPr>
              <w:instrText xml:space="preserve"> ADDIN EN.CITE &lt;EndNote&gt;&lt;Cite AuthorYear="1"&gt;&lt;Author&gt;Bian&lt;/Author&gt;&lt;Year&gt;2024&lt;/Year&gt;&lt;RecNum&gt;70&lt;/RecNum&gt;&lt;DisplayText&gt;Bian, et al.&lt;style face="superscript"&gt;29&lt;/style&gt;&lt;/DisplayText&gt;&lt;record&gt;&lt;rec-number&gt;70&lt;/rec-number&gt;&lt;foreign-keys&gt;&lt;key app="EN" db-id="wapx0v0s4rw2r6esw9dpwpd1wwvx05v0920r" timestamp="1769481205"&gt;70&lt;/key&gt;&lt;/foreign-keys&gt;&lt;ref-type name="Journal Article"&gt;17&lt;/ref-type&gt;&lt;contributors&gt;&lt;authors&gt;&lt;author&gt;Bian, Wenlong&lt;/author&gt;&lt;author&gt;Wang, Shihui&lt;/author&gt;&lt;author&gt;Xie, Xuanli&lt;/author&gt;&lt;/authors&gt;&lt;/contributors&gt;&lt;titles&gt;&lt;title&gt;How valuable is FinTech adoption for traditional banks?&lt;/title&gt;&lt;secondary-title&gt;European Financial Management&lt;/secondary-title&gt;&lt;/titles&gt;&lt;periodical&gt;&lt;full-title&gt;European Financial Management&lt;/full-title&gt;&lt;/periodical&gt;&lt;pages&gt;1065-1093&lt;/pages&gt;&lt;volume&gt;30&lt;/volume&gt;&lt;number&gt;3&lt;/number&gt;&lt;dates&gt;&lt;year&gt;2024&lt;/year&gt;&lt;/dates&gt;&lt;isbn&gt;1354-7798&lt;/isbn&gt;&lt;urls&gt;&lt;/urls&gt;&lt;/record&gt;&lt;/Cite&gt;&lt;/EndNote&gt;</w:instrText>
            </w:r>
            <w:r w:rsidRPr="0005669B">
              <w:rPr>
                <w:color w:val="000000"/>
                <w:sz w:val="20"/>
                <w:szCs w:val="20"/>
              </w:rPr>
              <w:fldChar w:fldCharType="separate"/>
            </w:r>
            <w:r w:rsidR="0005669B" w:rsidRPr="0005669B">
              <w:rPr>
                <w:noProof/>
                <w:color w:val="000000"/>
                <w:sz w:val="20"/>
                <w:szCs w:val="20"/>
              </w:rPr>
              <w:t>Bian, et al.</w:t>
            </w:r>
            <w:r w:rsidR="0005669B" w:rsidRPr="0005669B">
              <w:rPr>
                <w:noProof/>
                <w:color w:val="000000"/>
                <w:sz w:val="20"/>
                <w:szCs w:val="20"/>
                <w:vertAlign w:val="superscript"/>
              </w:rPr>
              <w:t>29</w:t>
            </w:r>
            <w:r w:rsidRPr="0005669B">
              <w:rPr>
                <w:color w:val="000000"/>
                <w:sz w:val="20"/>
                <w:szCs w:val="20"/>
              </w:rPr>
              <w:fldChar w:fldCharType="end"/>
            </w:r>
          </w:p>
          <w:p w14:paraId="7EED4FAB" w14:textId="453291DA" w:rsidR="00136686" w:rsidRPr="0005669B" w:rsidRDefault="00136686" w:rsidP="00FD7A71">
            <w:pPr>
              <w:rPr>
                <w:color w:val="000000"/>
                <w:sz w:val="20"/>
                <w:szCs w:val="20"/>
                <w:lang w:val="en-US"/>
              </w:rPr>
            </w:pPr>
            <w:r w:rsidRPr="0005669B">
              <w:rPr>
                <w:color w:val="000000"/>
                <w:sz w:val="20"/>
                <w:szCs w:val="20"/>
              </w:rPr>
              <w:fldChar w:fldCharType="begin"/>
            </w:r>
            <w:r w:rsidR="0005669B" w:rsidRPr="0005669B">
              <w:rPr>
                <w:color w:val="000000"/>
                <w:sz w:val="20"/>
                <w:szCs w:val="20"/>
              </w:rPr>
              <w:instrText xml:space="preserve"> ADDIN EN.CITE &lt;EndNote&gt;&lt;Cite AuthorYear="1"&gt;&lt;Author&gt;Guo&lt;/Author&gt;&lt;Year&gt;2024&lt;/Year&gt;&lt;RecNum&gt;85&lt;/RecNum&gt;&lt;DisplayText&gt;Guo, et al.&lt;style face="superscript"&gt;23&lt;/style&gt;&lt;/DisplayText&gt;&lt;record&gt;&lt;rec-number&gt;85&lt;/rec-number&gt;&lt;foreign-keys&gt;&lt;key app="EN" db-id="wapx0v0s4rw2r6esw9dpwpd1wwvx05v0920r" timestamp="1769481887"&gt;85&lt;/key&gt;&lt;/foreign-keys&gt;&lt;ref-type name="Journal Article"&gt;17&lt;/ref-type&gt;&lt;contributors&gt;&lt;authors&gt;&lt;author&gt;Guo, Pin&lt;/author&gt;&lt;author&gt;Cheng, Maoyong&lt;/author&gt;&lt;author&gt;Shen, Yue&lt;/author&gt;&lt;/authors&gt;&lt;/contributors&gt;&lt;titles&gt;&lt;title&gt;FinTech adoption and bank risk-taking: evidence from China&lt;/title&gt;&lt;secondary-title&gt;Applied Economics Letters&lt;/secondary-title&gt;&lt;/titles&gt;&lt;periodical&gt;&lt;full-title&gt;Applied Economics Letters&lt;/full-title&gt;&lt;/periodical&gt;&lt;pages&gt;594-602&lt;/pages&gt;&lt;volume&gt;31&lt;/volume&gt;&lt;number&gt;7&lt;/number&gt;&lt;dates&gt;&lt;year&gt;2024&lt;/year&gt;&lt;/dates&gt;&lt;isbn&gt;1350-4851&lt;/isbn&gt;&lt;urls&gt;&lt;/urls&gt;&lt;/record&gt;&lt;/Cite&gt;&lt;/EndNote&gt;</w:instrText>
            </w:r>
            <w:r w:rsidRPr="0005669B">
              <w:rPr>
                <w:color w:val="000000"/>
                <w:sz w:val="20"/>
                <w:szCs w:val="20"/>
              </w:rPr>
              <w:fldChar w:fldCharType="separate"/>
            </w:r>
            <w:r w:rsidR="0005669B" w:rsidRPr="0005669B">
              <w:rPr>
                <w:noProof/>
                <w:color w:val="000000"/>
                <w:sz w:val="20"/>
                <w:szCs w:val="20"/>
              </w:rPr>
              <w:t>Guo, et al.</w:t>
            </w:r>
            <w:r w:rsidR="0005669B" w:rsidRPr="0005669B">
              <w:rPr>
                <w:noProof/>
                <w:color w:val="000000"/>
                <w:sz w:val="20"/>
                <w:szCs w:val="20"/>
                <w:vertAlign w:val="superscript"/>
              </w:rPr>
              <w:t>23</w:t>
            </w:r>
            <w:r w:rsidRPr="0005669B">
              <w:rPr>
                <w:color w:val="000000"/>
                <w:sz w:val="20"/>
                <w:szCs w:val="20"/>
              </w:rPr>
              <w:fldChar w:fldCharType="end"/>
            </w:r>
          </w:p>
          <w:p w14:paraId="71165665" w14:textId="3403E46C" w:rsidR="00136686" w:rsidRPr="0005669B" w:rsidRDefault="00136686" w:rsidP="00FD7A71">
            <w:pPr>
              <w:rPr>
                <w:color w:val="000000"/>
                <w:sz w:val="20"/>
                <w:szCs w:val="20"/>
                <w:lang w:val="en-US"/>
              </w:rPr>
            </w:pPr>
            <w:r w:rsidRPr="0005669B">
              <w:rPr>
                <w:color w:val="000000"/>
                <w:sz w:val="20"/>
                <w:szCs w:val="20"/>
              </w:rPr>
              <w:fldChar w:fldCharType="begin"/>
            </w:r>
            <w:r w:rsidR="0005669B" w:rsidRPr="0005669B">
              <w:rPr>
                <w:color w:val="000000"/>
                <w:sz w:val="20"/>
                <w:szCs w:val="20"/>
              </w:rPr>
              <w:instrText xml:space="preserve"> ADDIN EN.CITE &lt;EndNote&gt;&lt;Cite AuthorYear="1"&gt;&lt;Author&gt;Qin&lt;/Author&gt;&lt;Year&gt;2025&lt;/Year&gt;&lt;RecNum&gt;86&lt;/RecNum&gt;&lt;DisplayText&gt;Qin and Jing&lt;style face="superscript"&gt;42&lt;/style&gt;&lt;/DisplayText&gt;&lt;record&gt;&lt;rec-number&gt;86&lt;/rec-number&gt;&lt;foreign-keys&gt;&lt;key app="EN" db-id="wapx0v0s4rw2r6esw9dpwpd1wwvx05v0920r" timestamp="1769481930"&gt;86&lt;/key&gt;&lt;/foreign-keys&gt;&lt;ref-type name="Journal Article"&gt;17&lt;/ref-type&gt;&lt;contributors&gt;&lt;authors&gt;&lt;author&gt;Qin, Zihua&lt;/author&gt;&lt;author&gt;Jing, Zhaoyu&lt;/author&gt;&lt;/authors&gt;&lt;/contributors&gt;&lt;titles&gt;&lt;title&gt;Fintech Adoption and Credit Risk Mitigation: Evidence from Chinese Commercial Banks&lt;/title&gt;&lt;secondary-title&gt;Sustainability&lt;/secondary-title&gt;&lt;/titles&gt;&lt;periodical&gt;&lt;full-title&gt;Sustainability&lt;/full-title&gt;&lt;/periodical&gt;&lt;pages&gt;10294&lt;/pages&gt;&lt;volume&gt;17&lt;/volume&gt;&lt;number&gt;22&lt;/number&gt;&lt;dates&gt;&lt;year&gt;2025&lt;/year&gt;&lt;/dates&gt;&lt;isbn&gt;2071-1050&lt;/isbn&gt;&lt;urls&gt;&lt;/urls&gt;&lt;/record&gt;&lt;/Cite&gt;&lt;/EndNote&gt;</w:instrText>
            </w:r>
            <w:r w:rsidRPr="0005669B">
              <w:rPr>
                <w:color w:val="000000"/>
                <w:sz w:val="20"/>
                <w:szCs w:val="20"/>
              </w:rPr>
              <w:fldChar w:fldCharType="separate"/>
            </w:r>
            <w:r w:rsidR="0005669B" w:rsidRPr="0005669B">
              <w:rPr>
                <w:noProof/>
                <w:color w:val="000000"/>
                <w:sz w:val="20"/>
                <w:szCs w:val="20"/>
              </w:rPr>
              <w:t>Qin and Jing</w:t>
            </w:r>
            <w:r w:rsidR="0005669B" w:rsidRPr="0005669B">
              <w:rPr>
                <w:noProof/>
                <w:color w:val="000000"/>
                <w:sz w:val="20"/>
                <w:szCs w:val="20"/>
                <w:vertAlign w:val="superscript"/>
              </w:rPr>
              <w:t>42</w:t>
            </w:r>
            <w:r w:rsidRPr="0005669B">
              <w:rPr>
                <w:color w:val="000000"/>
                <w:sz w:val="20"/>
                <w:szCs w:val="20"/>
              </w:rPr>
              <w:fldChar w:fldCharType="end"/>
            </w:r>
          </w:p>
        </w:tc>
        <w:tc>
          <w:tcPr>
            <w:tcW w:w="1134" w:type="dxa"/>
            <w:vAlign w:val="center"/>
          </w:tcPr>
          <w:p w14:paraId="00FD4387" w14:textId="77777777" w:rsidR="00136686" w:rsidRPr="0005669B" w:rsidRDefault="00136686" w:rsidP="00FD7A71">
            <w:pPr>
              <w:jc w:val="center"/>
              <w:rPr>
                <w:color w:val="000000"/>
                <w:sz w:val="20"/>
                <w:szCs w:val="20"/>
                <w:lang w:val="en-US"/>
              </w:rPr>
            </w:pPr>
            <w:r w:rsidRPr="0005669B">
              <w:rPr>
                <w:color w:val="000000"/>
                <w:sz w:val="20"/>
                <w:szCs w:val="20"/>
                <w:lang w:val="en-US"/>
              </w:rPr>
              <w:t>3</w:t>
            </w:r>
          </w:p>
        </w:tc>
      </w:tr>
      <w:tr w:rsidR="00136686" w:rsidRPr="0005669B" w14:paraId="0C81AFB0" w14:textId="77777777" w:rsidTr="00DE25C5">
        <w:trPr>
          <w:trHeight w:val="174"/>
        </w:trPr>
        <w:tc>
          <w:tcPr>
            <w:tcW w:w="421" w:type="dxa"/>
            <w:vAlign w:val="center"/>
          </w:tcPr>
          <w:p w14:paraId="155A6C69" w14:textId="77777777" w:rsidR="00136686" w:rsidRPr="0005669B" w:rsidRDefault="00136686" w:rsidP="00FD7A71">
            <w:pPr>
              <w:rPr>
                <w:color w:val="000000"/>
                <w:sz w:val="20"/>
                <w:szCs w:val="20"/>
                <w:lang w:val="en-US"/>
              </w:rPr>
            </w:pPr>
            <w:r w:rsidRPr="0005669B">
              <w:rPr>
                <w:color w:val="000000"/>
                <w:sz w:val="20"/>
                <w:szCs w:val="20"/>
                <w:lang w:val="en-US"/>
              </w:rPr>
              <w:t>5</w:t>
            </w:r>
          </w:p>
        </w:tc>
        <w:tc>
          <w:tcPr>
            <w:tcW w:w="1275" w:type="dxa"/>
            <w:vAlign w:val="center"/>
          </w:tcPr>
          <w:p w14:paraId="48FDADFB" w14:textId="77777777" w:rsidR="00136686" w:rsidRPr="0005669B" w:rsidRDefault="00136686" w:rsidP="00FD7A71">
            <w:pPr>
              <w:rPr>
                <w:color w:val="000000"/>
                <w:sz w:val="20"/>
                <w:szCs w:val="20"/>
              </w:rPr>
            </w:pPr>
            <w:r w:rsidRPr="0005669B">
              <w:rPr>
                <w:color w:val="000000"/>
                <w:sz w:val="20"/>
                <w:szCs w:val="20"/>
                <w:lang w:val="en-US"/>
              </w:rPr>
              <w:t>I</w:t>
            </w:r>
            <w:r w:rsidRPr="0005669B">
              <w:rPr>
                <w:color w:val="000000"/>
                <w:sz w:val="20"/>
                <w:szCs w:val="20"/>
              </w:rPr>
              <w:t>nstitutional theory</w:t>
            </w:r>
          </w:p>
        </w:tc>
        <w:tc>
          <w:tcPr>
            <w:tcW w:w="1560" w:type="dxa"/>
            <w:vAlign w:val="center"/>
          </w:tcPr>
          <w:p w14:paraId="4708505C" w14:textId="4DDC5A47" w:rsidR="00136686" w:rsidRPr="0005669B" w:rsidRDefault="00136686" w:rsidP="00FD7A71">
            <w:pPr>
              <w:rPr>
                <w:color w:val="000000"/>
                <w:sz w:val="20"/>
                <w:szCs w:val="20"/>
                <w:lang w:val="en-US"/>
              </w:rPr>
            </w:pPr>
            <w:r w:rsidRPr="0005669B">
              <w:rPr>
                <w:color w:val="000000"/>
                <w:sz w:val="20"/>
                <w:szCs w:val="20"/>
              </w:rPr>
              <w:fldChar w:fldCharType="begin"/>
            </w:r>
            <w:r w:rsidR="0005669B" w:rsidRPr="0005669B">
              <w:rPr>
                <w:color w:val="000000"/>
                <w:sz w:val="20"/>
                <w:szCs w:val="20"/>
              </w:rPr>
              <w:instrText xml:space="preserve"> ADDIN EN.CITE &lt;EndNote&gt;&lt;Cite AuthorYear="1"&gt;&lt;Author&gt;Ni&lt;/Author&gt;&lt;Year&gt;2023&lt;/Year&gt;&lt;RecNum&gt;83&lt;/RecNum&gt;&lt;DisplayText&gt;Ni, et al.&lt;style face="superscript"&gt;40&lt;/style&gt;&lt;/DisplayText&gt;&lt;record&gt;&lt;rec-number&gt;83&lt;/rec-number&gt;&lt;foreign-keys&gt;&lt;key app="EN" db-id="wapx0v0s4rw2r6esw9dpwpd1wwvx05v0920r" timestamp="1769481791"&gt;83&lt;/key&gt;&lt;/foreign-keys&gt;&lt;ref-type name="Journal Article"&gt;17&lt;/ref-type&gt;&lt;contributors&gt;&lt;authors&gt;&lt;author&gt;Ni, Qing&lt;/author&gt;&lt;author&gt;Zhang, Li&lt;/author&gt;&lt;author&gt;Wu, Chengsong&lt;/author&gt;&lt;/authors&gt;&lt;/contributors&gt;&lt;titles&gt;&lt;title&gt;Fintech and commercial bank risks–The moderating effect of financial regulation&lt;/title&gt;&lt;secondary-title&gt;Finance Research Letters&lt;/secondary-title&gt;&lt;/titles&gt;&lt;periodical&gt;&lt;full-title&gt;Finance Research Letters&lt;/full-title&gt;&lt;/periodical&gt;&lt;pages&gt;104536&lt;/pages&gt;&lt;volume&gt;58&lt;/volume&gt;&lt;dates&gt;&lt;year&gt;2023&lt;/year&gt;&lt;/dates&gt;&lt;isbn&gt;1544-6123&lt;/isbn&gt;&lt;urls&gt;&lt;/urls&gt;&lt;/record&gt;&lt;/Cite&gt;&lt;/EndNote&gt;</w:instrText>
            </w:r>
            <w:r w:rsidRPr="0005669B">
              <w:rPr>
                <w:color w:val="000000"/>
                <w:sz w:val="20"/>
                <w:szCs w:val="20"/>
              </w:rPr>
              <w:fldChar w:fldCharType="separate"/>
            </w:r>
            <w:r w:rsidR="0005669B" w:rsidRPr="0005669B">
              <w:rPr>
                <w:noProof/>
                <w:color w:val="000000"/>
                <w:sz w:val="20"/>
                <w:szCs w:val="20"/>
              </w:rPr>
              <w:t>Ni, et al.</w:t>
            </w:r>
            <w:r w:rsidR="0005669B" w:rsidRPr="0005669B">
              <w:rPr>
                <w:noProof/>
                <w:color w:val="000000"/>
                <w:sz w:val="20"/>
                <w:szCs w:val="20"/>
                <w:vertAlign w:val="superscript"/>
              </w:rPr>
              <w:t>40</w:t>
            </w:r>
            <w:r w:rsidRPr="0005669B">
              <w:rPr>
                <w:color w:val="000000"/>
                <w:sz w:val="20"/>
                <w:szCs w:val="20"/>
              </w:rPr>
              <w:fldChar w:fldCharType="end"/>
            </w:r>
          </w:p>
          <w:p w14:paraId="24FFB73C" w14:textId="495181F0" w:rsidR="00136686" w:rsidRPr="0005669B" w:rsidRDefault="00136686" w:rsidP="00FD7A71">
            <w:pPr>
              <w:rPr>
                <w:color w:val="000000"/>
                <w:sz w:val="20"/>
                <w:szCs w:val="20"/>
              </w:rPr>
            </w:pPr>
            <w:r w:rsidRPr="0005669B">
              <w:rPr>
                <w:color w:val="000000"/>
                <w:sz w:val="20"/>
                <w:szCs w:val="20"/>
              </w:rPr>
              <w:fldChar w:fldCharType="begin"/>
            </w:r>
            <w:r w:rsidR="0005669B" w:rsidRPr="0005669B">
              <w:rPr>
                <w:color w:val="000000"/>
                <w:sz w:val="20"/>
                <w:szCs w:val="20"/>
              </w:rPr>
              <w:instrText xml:space="preserve"> ADDIN EN.CITE &lt;EndNote&gt;&lt;Cite AuthorYear="1"&gt;&lt;Author&gt;Zhao&lt;/Author&gt;&lt;Year&gt;2022&lt;/Year&gt;&lt;RecNum&gt;82&lt;/RecNum&gt;&lt;DisplayText&gt;Zhao, et al.&lt;style face="superscript"&gt;39&lt;/style&gt;&lt;/DisplayText&gt;&lt;record&gt;&lt;rec-number&gt;82&lt;/rec-number&gt;&lt;foreign-keys&gt;&lt;key app="EN" db-id="wapx0v0s4rw2r6esw9dpwpd1wwvx05v0920r" timestamp="1769481751"&gt;82&lt;/key&gt;&lt;/foreign-keys&gt;&lt;ref-type name="Journal Article"&gt;17&lt;/ref-type&gt;&lt;contributors&gt;&lt;authors&gt;&lt;author&gt;Zhao, Jinsong&lt;/author&gt;&lt;author&gt;Li, Xinghao&lt;/author&gt;&lt;author&gt;Yu, Chin-Hsien&lt;/author&gt;&lt;author&gt;Chen, Shi&lt;/author&gt;&lt;author&gt;Lee, Chi-Chuan&lt;/author&gt;&lt;/authors&gt;&lt;/contributors&gt;&lt;titles&gt;&lt;title&gt;Riding the FinTech innovation wave: FinTech, patents and bank performance&lt;/title&gt;&lt;secondary-title&gt;Journal of International Money and Finance&lt;/secondary-title&gt;&lt;/titles&gt;&lt;periodical&gt;&lt;full-title&gt;Journal of International Money and Finance&lt;/full-title&gt;&lt;/periodical&gt;&lt;pages&gt;102552&lt;/pages&gt;&lt;volume&gt;122&lt;/volume&gt;&lt;dates&gt;&lt;year&gt;2022&lt;/year&gt;&lt;/dates&gt;&lt;isbn&gt;0261-5606&lt;/isbn&gt;&lt;urls&gt;&lt;/urls&gt;&lt;/record&gt;&lt;/Cite&gt;&lt;/EndNote&gt;</w:instrText>
            </w:r>
            <w:r w:rsidRPr="0005669B">
              <w:rPr>
                <w:color w:val="000000"/>
                <w:sz w:val="20"/>
                <w:szCs w:val="20"/>
              </w:rPr>
              <w:fldChar w:fldCharType="separate"/>
            </w:r>
            <w:r w:rsidR="0005669B" w:rsidRPr="0005669B">
              <w:rPr>
                <w:noProof/>
                <w:color w:val="000000"/>
                <w:sz w:val="20"/>
                <w:szCs w:val="20"/>
              </w:rPr>
              <w:t>Zhao, et al.</w:t>
            </w:r>
            <w:r w:rsidR="0005669B" w:rsidRPr="0005669B">
              <w:rPr>
                <w:noProof/>
                <w:color w:val="000000"/>
                <w:sz w:val="20"/>
                <w:szCs w:val="20"/>
                <w:vertAlign w:val="superscript"/>
              </w:rPr>
              <w:t>39</w:t>
            </w:r>
            <w:r w:rsidRPr="0005669B">
              <w:rPr>
                <w:color w:val="000000"/>
                <w:sz w:val="20"/>
                <w:szCs w:val="20"/>
              </w:rPr>
              <w:fldChar w:fldCharType="end"/>
            </w:r>
          </w:p>
        </w:tc>
        <w:tc>
          <w:tcPr>
            <w:tcW w:w="1134" w:type="dxa"/>
            <w:vAlign w:val="center"/>
          </w:tcPr>
          <w:p w14:paraId="01253C29" w14:textId="77777777" w:rsidR="00136686" w:rsidRPr="0005669B" w:rsidRDefault="00136686" w:rsidP="00FD7A71">
            <w:pPr>
              <w:jc w:val="center"/>
              <w:rPr>
                <w:color w:val="000000"/>
                <w:sz w:val="20"/>
                <w:szCs w:val="20"/>
                <w:lang w:val="en-US"/>
              </w:rPr>
            </w:pPr>
            <w:r w:rsidRPr="0005669B">
              <w:rPr>
                <w:color w:val="000000"/>
                <w:sz w:val="20"/>
                <w:szCs w:val="20"/>
                <w:lang w:val="en-US"/>
              </w:rPr>
              <w:t>2</w:t>
            </w:r>
          </w:p>
        </w:tc>
      </w:tr>
      <w:tr w:rsidR="00136686" w:rsidRPr="0005669B" w14:paraId="246C97E3" w14:textId="77777777" w:rsidTr="00DE25C5">
        <w:trPr>
          <w:trHeight w:val="232"/>
        </w:trPr>
        <w:tc>
          <w:tcPr>
            <w:tcW w:w="421" w:type="dxa"/>
            <w:vAlign w:val="center"/>
            <w:hideMark/>
          </w:tcPr>
          <w:p w14:paraId="663DAEA8" w14:textId="77777777" w:rsidR="00136686" w:rsidRPr="0005669B" w:rsidRDefault="00136686" w:rsidP="00FD7A71">
            <w:pPr>
              <w:rPr>
                <w:color w:val="000000"/>
                <w:sz w:val="20"/>
                <w:szCs w:val="20"/>
                <w:lang w:val="en-US"/>
              </w:rPr>
            </w:pPr>
            <w:r w:rsidRPr="0005669B">
              <w:rPr>
                <w:color w:val="000000"/>
                <w:sz w:val="20"/>
                <w:szCs w:val="20"/>
                <w:lang w:val="en-US"/>
              </w:rPr>
              <w:t>6</w:t>
            </w:r>
          </w:p>
        </w:tc>
        <w:tc>
          <w:tcPr>
            <w:tcW w:w="1275" w:type="dxa"/>
            <w:vAlign w:val="center"/>
          </w:tcPr>
          <w:p w14:paraId="67623F74" w14:textId="77777777" w:rsidR="00136686" w:rsidRPr="0005669B" w:rsidRDefault="00136686" w:rsidP="00FD7A71">
            <w:pPr>
              <w:rPr>
                <w:color w:val="000000"/>
                <w:sz w:val="20"/>
                <w:szCs w:val="20"/>
                <w:lang w:val="en-US"/>
              </w:rPr>
            </w:pPr>
            <w:r w:rsidRPr="0005669B">
              <w:rPr>
                <w:color w:val="000000"/>
                <w:sz w:val="20"/>
                <w:szCs w:val="20"/>
                <w:lang w:val="en-US"/>
              </w:rPr>
              <w:t>Mixed</w:t>
            </w:r>
            <w:r w:rsidRPr="0005669B">
              <w:rPr>
                <w:color w:val="000000"/>
                <w:sz w:val="20"/>
                <w:szCs w:val="20"/>
              </w:rPr>
              <w:t xml:space="preserve"> approaches</w:t>
            </w:r>
          </w:p>
        </w:tc>
        <w:tc>
          <w:tcPr>
            <w:tcW w:w="1560" w:type="dxa"/>
            <w:vAlign w:val="center"/>
            <w:hideMark/>
          </w:tcPr>
          <w:p w14:paraId="3F29342F" w14:textId="0F5EAD0C" w:rsidR="00136686" w:rsidRPr="0005669B" w:rsidRDefault="00136686" w:rsidP="00FD7A71">
            <w:pPr>
              <w:rPr>
                <w:color w:val="000000"/>
                <w:sz w:val="20"/>
                <w:szCs w:val="20"/>
                <w:lang w:val="en-US"/>
              </w:rPr>
            </w:pPr>
            <w:r w:rsidRPr="0005669B">
              <w:rPr>
                <w:color w:val="000000"/>
                <w:sz w:val="20"/>
                <w:szCs w:val="20"/>
                <w:lang w:val="en-US"/>
              </w:rPr>
              <w:fldChar w:fldCharType="begin"/>
            </w:r>
            <w:r w:rsidR="0005669B" w:rsidRPr="0005669B">
              <w:rPr>
                <w:color w:val="000000"/>
                <w:sz w:val="20"/>
                <w:szCs w:val="20"/>
                <w:lang w:val="en-US"/>
              </w:rPr>
              <w:instrText xml:space="preserve"> ADDIN EN.CITE &lt;EndNote&gt;&lt;Cite AuthorYear="1"&gt;&lt;Author&gt;Urumsah&lt;/Author&gt;&lt;Year&gt;2022&lt;/Year&gt;&lt;RecNum&gt;46&lt;/RecNum&gt;&lt;DisplayText&gt;Urumsah, et al.&lt;style face="superscript"&gt;31&lt;/style&gt;&lt;/DisplayText&gt;&lt;record&gt;&lt;rec-number&gt;46&lt;/rec-number&gt;&lt;foreign-keys&gt;&lt;key app="EN" db-id="wapx0v0s4rw2r6esw9dpwpd1wwvx05v0920r" timestamp="1764927336"&gt;46&lt;/key&gt;&lt;/foreign-keys&gt;&lt;ref-type name="Journal Article"&gt;17&lt;/ref-type&gt;&lt;contributors&gt;&lt;authors&gt;&lt;author&gt;Urumsah, Dekar&lt;/author&gt;&lt;author&gt;Ispridevi, Rintan Falah&lt;/author&gt;&lt;author&gt;Nurherwening, Aris&lt;/author&gt;&lt;author&gt;Hardinto, Wirawan&lt;/author&gt;&lt;/authors&gt;&lt;/contributors&gt;&lt;titles&gt;&lt;title&gt;Fintech adoption: Its determinants and organizational benefits in Indonesia&lt;/title&gt;&lt;secondary-title&gt;Jurnal Akuntansi dan Auditing Indonesia&lt;/secondary-title&gt;&lt;/titles&gt;&lt;periodical&gt;&lt;full-title&gt;Jurnal Akuntansi dan Auditing Indonesia&lt;/full-title&gt;&lt;/periodical&gt;&lt;pages&gt;88-101&lt;/pages&gt;&lt;dates&gt;&lt;year&gt;2022&lt;/year&gt;&lt;/dates&gt;&lt;isbn&gt;2528-6528&lt;/isbn&gt;&lt;urls&gt;&lt;/urls&gt;&lt;/record&gt;&lt;/Cite&gt;&lt;/EndNote&gt;</w:instrText>
            </w:r>
            <w:r w:rsidRPr="0005669B">
              <w:rPr>
                <w:color w:val="000000"/>
                <w:sz w:val="20"/>
                <w:szCs w:val="20"/>
                <w:lang w:val="en-US"/>
              </w:rPr>
              <w:fldChar w:fldCharType="separate"/>
            </w:r>
            <w:r w:rsidR="0005669B" w:rsidRPr="0005669B">
              <w:rPr>
                <w:noProof/>
                <w:color w:val="000000"/>
                <w:sz w:val="20"/>
                <w:szCs w:val="20"/>
                <w:lang w:val="en-US"/>
              </w:rPr>
              <w:t>Urumsah, et al.</w:t>
            </w:r>
            <w:r w:rsidR="0005669B" w:rsidRPr="0005669B">
              <w:rPr>
                <w:noProof/>
                <w:color w:val="000000"/>
                <w:sz w:val="20"/>
                <w:szCs w:val="20"/>
                <w:vertAlign w:val="superscript"/>
                <w:lang w:val="en-US"/>
              </w:rPr>
              <w:t>31</w:t>
            </w:r>
            <w:r w:rsidRPr="0005669B">
              <w:rPr>
                <w:color w:val="000000"/>
                <w:sz w:val="20"/>
                <w:szCs w:val="20"/>
                <w:lang w:val="en-US"/>
              </w:rPr>
              <w:fldChar w:fldCharType="end"/>
            </w:r>
          </w:p>
          <w:p w14:paraId="2AC3D042" w14:textId="6C68C457" w:rsidR="00136686" w:rsidRPr="0005669B" w:rsidRDefault="00136686" w:rsidP="00FD7A71">
            <w:pPr>
              <w:rPr>
                <w:color w:val="000000"/>
                <w:sz w:val="20"/>
                <w:szCs w:val="20"/>
                <w:lang w:val="en-US"/>
              </w:rPr>
            </w:pPr>
          </w:p>
        </w:tc>
        <w:tc>
          <w:tcPr>
            <w:tcW w:w="1134" w:type="dxa"/>
            <w:vAlign w:val="center"/>
            <w:hideMark/>
          </w:tcPr>
          <w:p w14:paraId="35193E02" w14:textId="276A8816" w:rsidR="00136686" w:rsidRPr="0005669B" w:rsidRDefault="002B2A2A" w:rsidP="00FD7A71">
            <w:pPr>
              <w:jc w:val="center"/>
              <w:rPr>
                <w:color w:val="000000"/>
                <w:sz w:val="20"/>
                <w:szCs w:val="20"/>
                <w:lang w:val="en-US"/>
              </w:rPr>
            </w:pPr>
            <w:r w:rsidRPr="0005669B">
              <w:rPr>
                <w:color w:val="000000"/>
                <w:sz w:val="20"/>
                <w:szCs w:val="20"/>
                <w:lang w:val="en-US"/>
              </w:rPr>
              <w:t>1</w:t>
            </w:r>
          </w:p>
        </w:tc>
      </w:tr>
      <w:tr w:rsidR="00136686" w:rsidRPr="0005669B" w14:paraId="7B557CE4" w14:textId="77777777" w:rsidTr="00DE25C5">
        <w:trPr>
          <w:trHeight w:val="291"/>
        </w:trPr>
        <w:tc>
          <w:tcPr>
            <w:tcW w:w="421" w:type="dxa"/>
            <w:vAlign w:val="center"/>
            <w:hideMark/>
          </w:tcPr>
          <w:p w14:paraId="750BAC0A" w14:textId="77777777" w:rsidR="00136686" w:rsidRPr="0005669B" w:rsidRDefault="00136686" w:rsidP="00FD7A71">
            <w:pPr>
              <w:rPr>
                <w:color w:val="000000"/>
                <w:sz w:val="20"/>
                <w:szCs w:val="20"/>
                <w:lang w:val="en-US"/>
              </w:rPr>
            </w:pPr>
            <w:r w:rsidRPr="0005669B">
              <w:rPr>
                <w:color w:val="000000"/>
                <w:sz w:val="20"/>
                <w:szCs w:val="20"/>
                <w:lang w:val="en-US"/>
              </w:rPr>
              <w:t>7</w:t>
            </w:r>
          </w:p>
        </w:tc>
        <w:tc>
          <w:tcPr>
            <w:tcW w:w="1275" w:type="dxa"/>
            <w:vAlign w:val="center"/>
          </w:tcPr>
          <w:p w14:paraId="5BD3EDE6" w14:textId="77777777" w:rsidR="00136686" w:rsidRPr="0005669B" w:rsidRDefault="00136686" w:rsidP="00FD7A71">
            <w:pPr>
              <w:rPr>
                <w:color w:val="000000"/>
                <w:sz w:val="20"/>
                <w:szCs w:val="20"/>
              </w:rPr>
            </w:pPr>
            <w:r w:rsidRPr="0005669B">
              <w:rPr>
                <w:color w:val="000000"/>
                <w:sz w:val="20"/>
                <w:szCs w:val="20"/>
              </w:rPr>
              <w:t>Review-based theoretical synthesis</w:t>
            </w:r>
          </w:p>
        </w:tc>
        <w:tc>
          <w:tcPr>
            <w:tcW w:w="1560" w:type="dxa"/>
            <w:vAlign w:val="center"/>
            <w:hideMark/>
          </w:tcPr>
          <w:p w14:paraId="6C5A6A8B" w14:textId="313F67E9" w:rsidR="00136686" w:rsidRPr="0005669B" w:rsidRDefault="00136686" w:rsidP="00FD7A71">
            <w:pPr>
              <w:rPr>
                <w:color w:val="000000"/>
                <w:sz w:val="20"/>
                <w:szCs w:val="20"/>
                <w:lang w:val="en-US"/>
              </w:rPr>
            </w:pPr>
            <w:r w:rsidRPr="0005669B">
              <w:rPr>
                <w:color w:val="000000"/>
                <w:sz w:val="20"/>
                <w:szCs w:val="20"/>
              </w:rPr>
              <w:fldChar w:fldCharType="begin"/>
            </w:r>
            <w:r w:rsidR="0005669B" w:rsidRPr="0005669B">
              <w:rPr>
                <w:color w:val="000000"/>
                <w:sz w:val="20"/>
                <w:szCs w:val="20"/>
              </w:rPr>
              <w:instrText xml:space="preserve"> ADDIN EN.CITE &lt;EndNote&gt;&lt;Cite AuthorYear="1"&gt;&lt;Author&gt;Firmansyah&lt;/Author&gt;&lt;Year&gt;2022&lt;/Year&gt;&lt;RecNum&gt;25&lt;/RecNum&gt;&lt;DisplayText&gt;Firmansyah, et al.&lt;style face="superscript"&gt;32&lt;/style&gt;&lt;/DisplayText&gt;&lt;record&gt;&lt;rec-number&gt;25&lt;/rec-number&gt;&lt;foreign-keys&gt;&lt;key app="EN" db-id="wapx0v0s4rw2r6esw9dpwpd1wwvx05v0920r" timestamp="1764927012"&gt;25&lt;/key&gt;&lt;/foreign-keys&gt;&lt;ref-type name="Journal Article"&gt;17&lt;/ref-type&gt;&lt;contributors&gt;&lt;authors&gt;&lt;author&gt;Firmansyah, Egi Arvian&lt;/author&gt;&lt;author&gt;Masri, Masairol&lt;/author&gt;&lt;author&gt;Anshari, Muhammad&lt;/author&gt;&lt;author&gt;Besar, Mohd Hairul Azrin&lt;/author&gt;&lt;/authors&gt;&lt;/contributors&gt;&lt;titles&gt;&lt;title&gt;Factors affecting fintech adoption: a systematic literature review&lt;/title&gt;&lt;secondary-title&gt;FinTech&lt;/secondary-title&gt;&lt;/titles&gt;&lt;periodical&gt;&lt;full-title&gt;FinTech&lt;/full-title&gt;&lt;/periodical&gt;&lt;pages&gt;21-33&lt;/pages&gt;&lt;volume&gt;2&lt;/volume&gt;&lt;number&gt;1&lt;/number&gt;&lt;dates&gt;&lt;year&gt;2022&lt;/year&gt;&lt;/dates&gt;&lt;isbn&gt;2674-1032&lt;/isbn&gt;&lt;urls&gt;&lt;/urls&gt;&lt;/record&gt;&lt;/Cite&gt;&lt;/EndNote&gt;</w:instrText>
            </w:r>
            <w:r w:rsidRPr="0005669B">
              <w:rPr>
                <w:color w:val="000000"/>
                <w:sz w:val="20"/>
                <w:szCs w:val="20"/>
              </w:rPr>
              <w:fldChar w:fldCharType="separate"/>
            </w:r>
            <w:r w:rsidR="0005669B" w:rsidRPr="0005669B">
              <w:rPr>
                <w:noProof/>
                <w:color w:val="000000"/>
                <w:sz w:val="20"/>
                <w:szCs w:val="20"/>
              </w:rPr>
              <w:t>Firmansyah, et al.</w:t>
            </w:r>
            <w:r w:rsidR="0005669B" w:rsidRPr="0005669B">
              <w:rPr>
                <w:noProof/>
                <w:color w:val="000000"/>
                <w:sz w:val="20"/>
                <w:szCs w:val="20"/>
                <w:vertAlign w:val="superscript"/>
              </w:rPr>
              <w:t>32</w:t>
            </w:r>
            <w:r w:rsidRPr="0005669B">
              <w:rPr>
                <w:color w:val="000000"/>
                <w:sz w:val="20"/>
                <w:szCs w:val="20"/>
              </w:rPr>
              <w:fldChar w:fldCharType="end"/>
            </w:r>
          </w:p>
          <w:p w14:paraId="63B6361A" w14:textId="7F088446" w:rsidR="00136686" w:rsidRPr="0005669B" w:rsidRDefault="00136686" w:rsidP="00FD7A71">
            <w:pPr>
              <w:rPr>
                <w:color w:val="000000"/>
                <w:sz w:val="20"/>
                <w:szCs w:val="20"/>
                <w:lang w:val="en-US"/>
              </w:rPr>
            </w:pPr>
            <w:r w:rsidRPr="0005669B">
              <w:rPr>
                <w:color w:val="000000"/>
                <w:sz w:val="20"/>
                <w:szCs w:val="20"/>
                <w:lang w:val="en-US"/>
              </w:rPr>
              <w:fldChar w:fldCharType="begin"/>
            </w:r>
            <w:r w:rsidR="0005669B" w:rsidRPr="0005669B">
              <w:rPr>
                <w:color w:val="000000"/>
                <w:sz w:val="20"/>
                <w:szCs w:val="20"/>
                <w:lang w:val="en-US"/>
              </w:rPr>
              <w:instrText xml:space="preserve"> ADDIN EN.CITE &lt;EndNote&gt;&lt;Cite AuthorYear="1"&gt;&lt;Author&gt;Albuainain&lt;/Author&gt;&lt;Year&gt;2025&lt;/Year&gt;&lt;RecNum&gt;69&lt;/RecNum&gt;&lt;DisplayText&gt;Albuainain and Ashby&lt;style face="superscript"&gt;28&lt;/style&gt;&lt;/DisplayText&gt;&lt;record&gt;&lt;rec-number&gt;69&lt;/rec-number&gt;&lt;foreign-keys&gt;&lt;key app="EN" db-id="wapx0v0s4rw2r6esw9dpwpd1wwvx05v0920r" timestamp="1769481149"&gt;69&lt;/key&gt;&lt;/foreign-keys&gt;&lt;ref-type name="Journal Article"&gt;17&lt;/ref-type&gt;&lt;contributors&gt;&lt;authors&gt;&lt;author&gt;Albuainain, Amna&lt;/author&gt;&lt;author&gt;Ashby, Simon&lt;/author&gt;&lt;/authors&gt;&lt;/contributors&gt;&lt;titles&gt;&lt;title&gt;Enablers and barriers in FinTech adoption: A systematic literature review of customer adoption and its impact on bank performance&lt;/title&gt;&lt;secondary-title&gt;FinTech&lt;/secondary-title&gt;&lt;/titles&gt;&lt;periodical&gt;&lt;full-title&gt;FinTech&lt;/full-title&gt;&lt;/periodical&gt;&lt;pages&gt;49&lt;/pages&gt;&lt;volume&gt;4&lt;/volume&gt;&lt;number&gt;3&lt;/number&gt;&lt;dates&gt;&lt;year&gt;2025&lt;/year&gt;&lt;/dates&gt;&lt;isbn&gt;2674-1032&lt;/isbn&gt;&lt;urls&gt;&lt;/urls&gt;&lt;/record&gt;&lt;/Cite&gt;&lt;/EndNote&gt;</w:instrText>
            </w:r>
            <w:r w:rsidRPr="0005669B">
              <w:rPr>
                <w:color w:val="000000"/>
                <w:sz w:val="20"/>
                <w:szCs w:val="20"/>
                <w:lang w:val="en-US"/>
              </w:rPr>
              <w:fldChar w:fldCharType="separate"/>
            </w:r>
            <w:r w:rsidR="0005669B" w:rsidRPr="0005669B">
              <w:rPr>
                <w:noProof/>
                <w:color w:val="000000"/>
                <w:sz w:val="20"/>
                <w:szCs w:val="20"/>
                <w:lang w:val="en-US"/>
              </w:rPr>
              <w:t>Albuainain and Ashby</w:t>
            </w:r>
            <w:r w:rsidR="0005669B" w:rsidRPr="0005669B">
              <w:rPr>
                <w:noProof/>
                <w:color w:val="000000"/>
                <w:sz w:val="20"/>
                <w:szCs w:val="20"/>
                <w:vertAlign w:val="superscript"/>
                <w:lang w:val="en-US"/>
              </w:rPr>
              <w:t>28</w:t>
            </w:r>
            <w:r w:rsidRPr="0005669B">
              <w:rPr>
                <w:color w:val="000000"/>
                <w:sz w:val="20"/>
                <w:szCs w:val="20"/>
                <w:lang w:val="en-US"/>
              </w:rPr>
              <w:fldChar w:fldCharType="end"/>
            </w:r>
          </w:p>
          <w:p w14:paraId="60467AF4" w14:textId="3D368534" w:rsidR="00136686" w:rsidRPr="0005669B" w:rsidRDefault="00136686" w:rsidP="00FD7A71">
            <w:pPr>
              <w:rPr>
                <w:color w:val="000000"/>
                <w:sz w:val="20"/>
                <w:szCs w:val="20"/>
                <w:lang w:val="en-US"/>
              </w:rPr>
            </w:pPr>
            <w:r w:rsidRPr="0005669B">
              <w:rPr>
                <w:color w:val="000000"/>
                <w:sz w:val="20"/>
                <w:szCs w:val="20"/>
                <w:lang w:val="en-US"/>
              </w:rPr>
              <w:fldChar w:fldCharType="begin"/>
            </w:r>
            <w:r w:rsidR="0005669B" w:rsidRPr="0005669B">
              <w:rPr>
                <w:color w:val="000000"/>
                <w:sz w:val="20"/>
                <w:szCs w:val="20"/>
                <w:lang w:val="en-US"/>
              </w:rPr>
              <w:instrText xml:space="preserve"> ADDIN EN.CITE &lt;EndNote&gt;&lt;Cite AuthorYear="1"&gt;&lt;Author&gt;Al-Sharafi&lt;/Author&gt;&lt;Year&gt;2025&lt;/Year&gt;&lt;RecNum&gt;71&lt;/RecNum&gt;&lt;DisplayText&gt;Al-Sharafi, et al.&lt;style face="superscript"&gt;30&lt;/style&gt;&lt;/DisplayText&gt;&lt;record&gt;&lt;rec-number&gt;71&lt;/rec-number&gt;&lt;foreign-keys&gt;&lt;key app="EN" db-id="wapx0v0s4rw2r6esw9dpwpd1wwvx05v0920r" timestamp="1769481268"&gt;71&lt;/key&gt;&lt;/foreign-keys&gt;&lt;ref-type name="Journal Article"&gt;17&lt;/ref-type&gt;&lt;contributors&gt;&lt;authors&gt;&lt;author&gt;Al-Sharafi, Mohammed A&lt;/author&gt;&lt;author&gt;Muhammed, Ibrahim&lt;/author&gt;&lt;author&gt;Alzaeemi, Shehab&lt;/author&gt;&lt;author&gt;Albashrawi, Mousa Ahmed&lt;/author&gt;&lt;author&gt;Chae, Inyoung&lt;/author&gt;&lt;author&gt;Dwivedi, Yogesh K&lt;/author&gt;&lt;/authors&gt;&lt;/contributors&gt;&lt;titles&gt;&lt;title&gt;Factors shaping FinTech adoption: A systematic review, key determinants, theoretical insights, conceptual framework and future research directions&lt;/title&gt;&lt;secondary-title&gt;Information Discovery and Delivery&lt;/secondary-title&gt;&lt;/titles&gt;&lt;periodical&gt;&lt;full-title&gt;Information Discovery and Delivery&lt;/full-title&gt;&lt;/periodical&gt;&lt;dates&gt;&lt;year&gt;2025&lt;/year&gt;&lt;/dates&gt;&lt;isbn&gt;2398-6247&lt;/isbn&gt;&lt;urls&gt;&lt;/urls&gt;&lt;/record&gt;&lt;/Cite&gt;&lt;/EndNote&gt;</w:instrText>
            </w:r>
            <w:r w:rsidRPr="0005669B">
              <w:rPr>
                <w:color w:val="000000"/>
                <w:sz w:val="20"/>
                <w:szCs w:val="20"/>
                <w:lang w:val="en-US"/>
              </w:rPr>
              <w:fldChar w:fldCharType="separate"/>
            </w:r>
            <w:r w:rsidR="0005669B" w:rsidRPr="0005669B">
              <w:rPr>
                <w:noProof/>
                <w:color w:val="000000"/>
                <w:sz w:val="20"/>
                <w:szCs w:val="20"/>
                <w:lang w:val="en-US"/>
              </w:rPr>
              <w:t>Al-Sharafi, et al.</w:t>
            </w:r>
            <w:r w:rsidR="0005669B" w:rsidRPr="0005669B">
              <w:rPr>
                <w:noProof/>
                <w:color w:val="000000"/>
                <w:sz w:val="20"/>
                <w:szCs w:val="20"/>
                <w:vertAlign w:val="superscript"/>
                <w:lang w:val="en-US"/>
              </w:rPr>
              <w:t>30</w:t>
            </w:r>
            <w:r w:rsidRPr="0005669B">
              <w:rPr>
                <w:color w:val="000000"/>
                <w:sz w:val="20"/>
                <w:szCs w:val="20"/>
                <w:lang w:val="en-US"/>
              </w:rPr>
              <w:fldChar w:fldCharType="end"/>
            </w:r>
          </w:p>
        </w:tc>
        <w:tc>
          <w:tcPr>
            <w:tcW w:w="1134" w:type="dxa"/>
            <w:vAlign w:val="center"/>
            <w:hideMark/>
          </w:tcPr>
          <w:p w14:paraId="0AE7D7FB" w14:textId="77777777" w:rsidR="00136686" w:rsidRPr="0005669B" w:rsidRDefault="00136686" w:rsidP="00FD7A71">
            <w:pPr>
              <w:jc w:val="center"/>
              <w:rPr>
                <w:color w:val="000000"/>
                <w:sz w:val="20"/>
                <w:szCs w:val="20"/>
              </w:rPr>
            </w:pPr>
            <w:r w:rsidRPr="0005669B">
              <w:rPr>
                <w:color w:val="000000"/>
                <w:sz w:val="20"/>
                <w:szCs w:val="20"/>
              </w:rPr>
              <w:t>3</w:t>
            </w:r>
          </w:p>
        </w:tc>
      </w:tr>
    </w:tbl>
    <w:p w14:paraId="2B3F0A32" w14:textId="18824016" w:rsidR="009849FE" w:rsidRDefault="009849FE" w:rsidP="004D5B4F">
      <w:pPr>
        <w:tabs>
          <w:tab w:val="left" w:pos="360"/>
        </w:tabs>
        <w:spacing w:before="120"/>
        <w:jc w:val="both"/>
        <w:rPr>
          <w:sz w:val="22"/>
          <w:szCs w:val="22"/>
          <w:lang w:val="en-US"/>
        </w:rPr>
      </w:pPr>
      <w:r w:rsidRPr="009849FE">
        <w:rPr>
          <w:sz w:val="22"/>
          <w:szCs w:val="22"/>
          <w:lang w:val="en-US"/>
        </w:rPr>
        <w:t xml:space="preserve">The RBV and dynamic capability perspectives are employed in six studies, making them the most widely used theoretical foundation in the sample. From these perspectives, </w:t>
      </w:r>
      <w:r w:rsidR="007356CA">
        <w:rPr>
          <w:sz w:val="22"/>
          <w:szCs w:val="22"/>
          <w:lang w:val="en-US"/>
        </w:rPr>
        <w:t>Fintech</w:t>
      </w:r>
      <w:r w:rsidRPr="009849FE">
        <w:rPr>
          <w:sz w:val="22"/>
          <w:szCs w:val="22"/>
          <w:lang w:val="en-US"/>
        </w:rPr>
        <w:t xml:space="preserve"> adoption is conceptualized as a strategic investment that enables banks to build, deploy, and reconfigure valuable resources and capabilities in response to technological change</w:t>
      </w:r>
      <w:r w:rsidR="00D46810">
        <w:rPr>
          <w:sz w:val="22"/>
          <w:szCs w:val="22"/>
          <w:lang w:val="en-US"/>
        </w:rPr>
        <w:t>.</w:t>
      </w:r>
    </w:p>
    <w:p w14:paraId="7DDDA8B5" w14:textId="391EA602" w:rsidR="00D46810" w:rsidRDefault="00D46810" w:rsidP="004D5B4F">
      <w:pPr>
        <w:tabs>
          <w:tab w:val="left" w:pos="360"/>
        </w:tabs>
        <w:spacing w:before="120"/>
        <w:jc w:val="both"/>
        <w:rPr>
          <w:sz w:val="22"/>
          <w:szCs w:val="22"/>
          <w:lang w:val="en-US"/>
        </w:rPr>
      </w:pPr>
      <w:r w:rsidRPr="00D46810">
        <w:rPr>
          <w:sz w:val="22"/>
          <w:szCs w:val="22"/>
          <w:lang w:val="en-US"/>
        </w:rPr>
        <w:t xml:space="preserve">Agency Theory, applied in three studies, highlights the role of ownership structure, managerial incentives, and risk-taking behavior in shaping banks’ </w:t>
      </w:r>
      <w:r w:rsidR="007356CA">
        <w:rPr>
          <w:sz w:val="22"/>
          <w:szCs w:val="22"/>
          <w:lang w:val="en-US"/>
        </w:rPr>
        <w:t>Fintech</w:t>
      </w:r>
      <w:r w:rsidRPr="00D46810">
        <w:rPr>
          <w:sz w:val="22"/>
          <w:szCs w:val="22"/>
          <w:lang w:val="en-US"/>
        </w:rPr>
        <w:t xml:space="preserve"> adoption decisions and their subsequent impacts</w:t>
      </w:r>
      <w:r>
        <w:rPr>
          <w:sz w:val="22"/>
          <w:szCs w:val="22"/>
          <w:lang w:val="en-US"/>
        </w:rPr>
        <w:t xml:space="preserve">. </w:t>
      </w:r>
      <w:r w:rsidRPr="00D46810">
        <w:rPr>
          <w:sz w:val="22"/>
          <w:szCs w:val="22"/>
        </w:rPr>
        <w:t xml:space="preserve">Institutional Theory, used in two studies, underscores the importance of regulatory pressure, supervisory frameworks, and institutional constraints in influencing both </w:t>
      </w:r>
      <w:r w:rsidR="007356CA">
        <w:rPr>
          <w:sz w:val="22"/>
          <w:szCs w:val="22"/>
        </w:rPr>
        <w:t>Fintech</w:t>
      </w:r>
      <w:r w:rsidRPr="00D46810">
        <w:rPr>
          <w:sz w:val="22"/>
          <w:szCs w:val="22"/>
        </w:rPr>
        <w:t xml:space="preserve"> adoption and its outcomes</w:t>
      </w:r>
      <w:r>
        <w:rPr>
          <w:sz w:val="22"/>
          <w:szCs w:val="22"/>
          <w:lang w:val="en-US"/>
        </w:rPr>
        <w:t>.</w:t>
      </w:r>
    </w:p>
    <w:p w14:paraId="714AC339" w14:textId="65EBAD4F" w:rsidR="00AF2993" w:rsidRDefault="00D46810" w:rsidP="004D5B4F">
      <w:pPr>
        <w:tabs>
          <w:tab w:val="left" w:pos="360"/>
        </w:tabs>
        <w:spacing w:before="120"/>
        <w:jc w:val="both"/>
        <w:rPr>
          <w:sz w:val="22"/>
          <w:szCs w:val="22"/>
          <w:lang w:val="en-US"/>
        </w:rPr>
      </w:pPr>
      <w:r w:rsidRPr="00D46810">
        <w:rPr>
          <w:sz w:val="22"/>
          <w:szCs w:val="22"/>
        </w:rPr>
        <w:t xml:space="preserve">In contrast, individual-level technology acceptance models receive limited attention. The TAM appears in only one study, indicating that user-centric explanations play a relatively minor role in explaining </w:t>
      </w:r>
      <w:r w:rsidR="007356CA">
        <w:rPr>
          <w:sz w:val="22"/>
          <w:szCs w:val="22"/>
        </w:rPr>
        <w:t>Fintech</w:t>
      </w:r>
      <w:r w:rsidRPr="00D46810">
        <w:rPr>
          <w:sz w:val="22"/>
          <w:szCs w:val="22"/>
        </w:rPr>
        <w:t xml:space="preserve"> adoption at the organizational level within banks.</w:t>
      </w:r>
      <w:r w:rsidR="00AF2993">
        <w:rPr>
          <w:sz w:val="22"/>
          <w:szCs w:val="22"/>
          <w:lang w:val="en-US"/>
        </w:rPr>
        <w:t xml:space="preserve"> </w:t>
      </w:r>
    </w:p>
    <w:p w14:paraId="1548ABB7" w14:textId="68EC2FD2" w:rsidR="00D46810" w:rsidRDefault="002B2A2A" w:rsidP="004D5B4F">
      <w:pPr>
        <w:tabs>
          <w:tab w:val="left" w:pos="360"/>
        </w:tabs>
        <w:spacing w:before="120"/>
        <w:jc w:val="both"/>
        <w:rPr>
          <w:sz w:val="22"/>
          <w:szCs w:val="22"/>
          <w:lang w:val="en-US"/>
        </w:rPr>
      </w:pPr>
      <w:r>
        <w:rPr>
          <w:sz w:val="22"/>
          <w:szCs w:val="22"/>
          <w:lang w:val="en-US"/>
        </w:rPr>
        <w:t>One</w:t>
      </w:r>
      <w:r w:rsidR="00AC21F0">
        <w:rPr>
          <w:sz w:val="22"/>
          <w:szCs w:val="22"/>
          <w:lang w:val="en-US"/>
        </w:rPr>
        <w:t xml:space="preserve"> study</w:t>
      </w:r>
      <w:r w:rsidR="00AF2993" w:rsidRPr="00AF2993">
        <w:rPr>
          <w:sz w:val="22"/>
          <w:szCs w:val="22"/>
        </w:rPr>
        <w:t xml:space="preserve"> adopt</w:t>
      </w:r>
      <w:r w:rsidR="00AC21F0">
        <w:rPr>
          <w:sz w:val="22"/>
          <w:szCs w:val="22"/>
          <w:lang w:val="en-US"/>
        </w:rPr>
        <w:t>s</w:t>
      </w:r>
      <w:r w:rsidR="00AF2993" w:rsidRPr="00AF2993">
        <w:rPr>
          <w:sz w:val="22"/>
          <w:szCs w:val="22"/>
        </w:rPr>
        <w:t xml:space="preserve"> mixed or integrative theoretical approaches, explicitly combining multiple perspectives to capture the complexity of </w:t>
      </w:r>
      <w:r w:rsidR="007356CA">
        <w:rPr>
          <w:sz w:val="22"/>
          <w:szCs w:val="22"/>
        </w:rPr>
        <w:t>Fintech</w:t>
      </w:r>
      <w:r w:rsidR="00AF2993" w:rsidRPr="00AF2993">
        <w:rPr>
          <w:sz w:val="22"/>
          <w:szCs w:val="22"/>
        </w:rPr>
        <w:t xml:space="preserve"> adoption. Specifically, two studies integrate organizational, strategic, and environmental lenses to develop comprehensive conceptual frameworks that reflect the multifaceted nature of </w:t>
      </w:r>
      <w:r w:rsidR="007356CA">
        <w:rPr>
          <w:sz w:val="22"/>
          <w:szCs w:val="22"/>
        </w:rPr>
        <w:t>Fintech</w:t>
      </w:r>
      <w:r w:rsidR="00AF2993" w:rsidRPr="00AF2993">
        <w:rPr>
          <w:sz w:val="22"/>
          <w:szCs w:val="22"/>
        </w:rPr>
        <w:t xml:space="preserve"> adoption in banking</w:t>
      </w:r>
      <w:r w:rsidR="00AF2993">
        <w:rPr>
          <w:sz w:val="22"/>
          <w:szCs w:val="22"/>
          <w:lang w:val="en-US"/>
        </w:rPr>
        <w:t>.</w:t>
      </w:r>
    </w:p>
    <w:p w14:paraId="23C8CC5A" w14:textId="60CBC587" w:rsidR="00AF2993" w:rsidRPr="00AF2993" w:rsidRDefault="00AF2993" w:rsidP="004D5B4F">
      <w:pPr>
        <w:tabs>
          <w:tab w:val="left" w:pos="360"/>
        </w:tabs>
        <w:spacing w:before="120"/>
        <w:jc w:val="both"/>
        <w:rPr>
          <w:sz w:val="22"/>
          <w:szCs w:val="22"/>
          <w:lang w:val="en-US"/>
        </w:rPr>
      </w:pPr>
      <w:r w:rsidRPr="00AF2993">
        <w:rPr>
          <w:sz w:val="22"/>
          <w:szCs w:val="22"/>
        </w:rPr>
        <w:t>Finally, three studies are systematic literature reviews that synthesize prior research rather than relying on a single dominant theoretical framework</w:t>
      </w:r>
      <w:r w:rsidRPr="00AF2993">
        <w:rPr>
          <w:sz w:val="22"/>
          <w:szCs w:val="22"/>
          <w:lang w:val="en-US"/>
        </w:rPr>
        <w:t xml:space="preserve">. </w:t>
      </w:r>
      <w:r w:rsidRPr="00AF2993">
        <w:rPr>
          <w:sz w:val="22"/>
          <w:szCs w:val="22"/>
        </w:rPr>
        <w:t xml:space="preserve">These reviews consolidate insights from TOE, RBV, agency, and institutional theories to provide an overarching understanding of </w:t>
      </w:r>
      <w:r w:rsidR="007356CA">
        <w:rPr>
          <w:sz w:val="22"/>
          <w:szCs w:val="22"/>
        </w:rPr>
        <w:t>Fintech</w:t>
      </w:r>
      <w:r w:rsidRPr="00AF2993">
        <w:rPr>
          <w:sz w:val="22"/>
          <w:szCs w:val="22"/>
        </w:rPr>
        <w:t xml:space="preserve"> adoption determinants and impacts in the banking sector.</w:t>
      </w:r>
    </w:p>
    <w:p w14:paraId="39622358" w14:textId="6C1F649B" w:rsidR="00AF2993" w:rsidRPr="00AF2993" w:rsidRDefault="00AF2993" w:rsidP="00AF2993">
      <w:pPr>
        <w:tabs>
          <w:tab w:val="left" w:pos="360"/>
        </w:tabs>
        <w:spacing w:before="120"/>
        <w:jc w:val="both"/>
        <w:rPr>
          <w:sz w:val="22"/>
          <w:szCs w:val="22"/>
          <w:lang w:val="en-US"/>
        </w:rPr>
      </w:pPr>
      <w:r w:rsidRPr="00AF2993">
        <w:rPr>
          <w:sz w:val="22"/>
          <w:szCs w:val="22"/>
          <w:lang w:val="en-US"/>
        </w:rPr>
        <w:t xml:space="preserve">Taken together, the evidence presented in Table 2 indicates that research on bank-level </w:t>
      </w:r>
      <w:r w:rsidR="007356CA">
        <w:rPr>
          <w:sz w:val="22"/>
          <w:szCs w:val="22"/>
          <w:lang w:val="en-US"/>
        </w:rPr>
        <w:t>Fintech</w:t>
      </w:r>
      <w:r w:rsidRPr="00AF2993">
        <w:rPr>
          <w:sz w:val="22"/>
          <w:szCs w:val="22"/>
          <w:lang w:val="en-US"/>
        </w:rPr>
        <w:t xml:space="preserve"> adoption is characterized by theoretical diversity but limited integration. While organizational, strategic, and governance-oriented theories dominate, the coexistence of multiple frameworks suggests substantial scope for future research to develop more integrated theoretical models that jointly account for technological, organizational, strategic, and institutional dimensions of </w:t>
      </w:r>
      <w:r w:rsidR="007356CA">
        <w:rPr>
          <w:sz w:val="22"/>
          <w:szCs w:val="22"/>
          <w:lang w:val="en-US"/>
        </w:rPr>
        <w:t>Fintech</w:t>
      </w:r>
      <w:r w:rsidRPr="00AF2993">
        <w:rPr>
          <w:sz w:val="22"/>
          <w:szCs w:val="22"/>
          <w:lang w:val="en-US"/>
        </w:rPr>
        <w:t xml:space="preserve"> adoption in banks.</w:t>
      </w:r>
    </w:p>
    <w:p w14:paraId="42ECA03B" w14:textId="04C6B045" w:rsidR="008C499C" w:rsidRPr="0099747F" w:rsidRDefault="008C499C" w:rsidP="008C499C">
      <w:pPr>
        <w:tabs>
          <w:tab w:val="left" w:pos="360"/>
        </w:tabs>
        <w:spacing w:before="120"/>
        <w:jc w:val="both"/>
        <w:rPr>
          <w:b/>
          <w:bCs/>
          <w:sz w:val="22"/>
          <w:szCs w:val="22"/>
          <w:lang w:val="en-US"/>
        </w:rPr>
      </w:pPr>
      <w:r w:rsidRPr="0099747F">
        <w:rPr>
          <w:b/>
          <w:bCs/>
          <w:sz w:val="22"/>
          <w:szCs w:val="22"/>
        </w:rPr>
        <w:t xml:space="preserve">4.3. Determinants and impacts of </w:t>
      </w:r>
      <w:r w:rsidR="007356CA" w:rsidRPr="0099747F">
        <w:rPr>
          <w:b/>
          <w:bCs/>
          <w:sz w:val="22"/>
          <w:szCs w:val="22"/>
        </w:rPr>
        <w:t>Fintech</w:t>
      </w:r>
      <w:r w:rsidRPr="0099747F">
        <w:rPr>
          <w:b/>
          <w:bCs/>
          <w:sz w:val="22"/>
          <w:szCs w:val="22"/>
        </w:rPr>
        <w:t xml:space="preserve"> adoption</w:t>
      </w:r>
    </w:p>
    <w:p w14:paraId="32D6FF26" w14:textId="2A82DE69" w:rsidR="009972B9" w:rsidRDefault="009972B9" w:rsidP="008C499C">
      <w:pPr>
        <w:tabs>
          <w:tab w:val="left" w:pos="360"/>
        </w:tabs>
        <w:spacing w:before="120"/>
        <w:jc w:val="both"/>
        <w:rPr>
          <w:sz w:val="22"/>
          <w:szCs w:val="22"/>
          <w:lang w:val="en-US"/>
        </w:rPr>
      </w:pPr>
      <w:r w:rsidRPr="009972B9">
        <w:rPr>
          <w:sz w:val="22"/>
          <w:szCs w:val="22"/>
        </w:rPr>
        <w:t xml:space="preserve">Based on the synthesis of the reviewed studies, the empirical findings on </w:t>
      </w:r>
      <w:r w:rsidR="007356CA">
        <w:rPr>
          <w:sz w:val="22"/>
          <w:szCs w:val="22"/>
        </w:rPr>
        <w:t>Fintech</w:t>
      </w:r>
      <w:r w:rsidRPr="009972B9">
        <w:rPr>
          <w:sz w:val="22"/>
          <w:szCs w:val="22"/>
        </w:rPr>
        <w:t xml:space="preserve"> adoption in banking can be organized into three interrelated dimensions: external determinants, bank-specific determinants, and the impacts of </w:t>
      </w:r>
      <w:r w:rsidR="007356CA">
        <w:rPr>
          <w:sz w:val="22"/>
          <w:szCs w:val="22"/>
        </w:rPr>
        <w:t>Fintech</w:t>
      </w:r>
      <w:r w:rsidRPr="009972B9">
        <w:rPr>
          <w:sz w:val="22"/>
          <w:szCs w:val="22"/>
        </w:rPr>
        <w:t xml:space="preserve"> adoption. This structure reflects the multi-layered nature of </w:t>
      </w:r>
      <w:r w:rsidR="007356CA">
        <w:rPr>
          <w:sz w:val="22"/>
          <w:szCs w:val="22"/>
        </w:rPr>
        <w:t>Fintech</w:t>
      </w:r>
      <w:r w:rsidRPr="009972B9">
        <w:rPr>
          <w:sz w:val="22"/>
          <w:szCs w:val="22"/>
        </w:rPr>
        <w:t xml:space="preserve"> adoption decisions in banks and allows for a clearer distinction between contextual drivers, internal bank characteristics, and observed outcomes.</w:t>
      </w:r>
    </w:p>
    <w:p w14:paraId="6FC6B8F8" w14:textId="4EBE793E" w:rsidR="008C499C" w:rsidRPr="0099747F" w:rsidRDefault="008C499C" w:rsidP="008C499C">
      <w:pPr>
        <w:tabs>
          <w:tab w:val="left" w:pos="360"/>
        </w:tabs>
        <w:spacing w:before="120"/>
        <w:jc w:val="both"/>
        <w:rPr>
          <w:i/>
          <w:iCs/>
          <w:sz w:val="22"/>
          <w:szCs w:val="22"/>
          <w:lang w:val="en-US"/>
        </w:rPr>
      </w:pPr>
      <w:r w:rsidRPr="0099747F">
        <w:rPr>
          <w:i/>
          <w:iCs/>
          <w:sz w:val="22"/>
          <w:szCs w:val="22"/>
          <w:lang w:val="en-US"/>
        </w:rPr>
        <w:t xml:space="preserve">4.3.1. </w:t>
      </w:r>
      <w:r w:rsidR="009972B9" w:rsidRPr="0099747F">
        <w:rPr>
          <w:i/>
          <w:iCs/>
          <w:sz w:val="22"/>
          <w:szCs w:val="22"/>
          <w:lang w:val="en-US"/>
        </w:rPr>
        <w:t xml:space="preserve">External determinants of </w:t>
      </w:r>
      <w:r w:rsidR="007356CA" w:rsidRPr="0099747F">
        <w:rPr>
          <w:i/>
          <w:iCs/>
          <w:sz w:val="22"/>
          <w:szCs w:val="22"/>
          <w:lang w:val="en-US"/>
        </w:rPr>
        <w:t>Fintech</w:t>
      </w:r>
      <w:r w:rsidR="009972B9" w:rsidRPr="0099747F">
        <w:rPr>
          <w:i/>
          <w:iCs/>
          <w:sz w:val="22"/>
          <w:szCs w:val="22"/>
          <w:lang w:val="en-US"/>
        </w:rPr>
        <w:t xml:space="preserve"> adoption</w:t>
      </w:r>
    </w:p>
    <w:p w14:paraId="0F5B24C3" w14:textId="20CE1359" w:rsidR="006B62F7" w:rsidRPr="0099747F" w:rsidRDefault="009972B9" w:rsidP="009972B9">
      <w:pPr>
        <w:tabs>
          <w:tab w:val="left" w:pos="360"/>
        </w:tabs>
        <w:spacing w:before="120"/>
        <w:jc w:val="both"/>
        <w:rPr>
          <w:sz w:val="22"/>
          <w:szCs w:val="22"/>
          <w:lang w:val="en-US"/>
        </w:rPr>
      </w:pPr>
      <w:r w:rsidRPr="00727B0D">
        <w:rPr>
          <w:sz w:val="22"/>
          <w:szCs w:val="22"/>
        </w:rPr>
        <w:t xml:space="preserve">A first group of determinants relates to external factors that shape banks’ incentives and pressures to adopt </w:t>
      </w:r>
      <w:r w:rsidR="007356CA">
        <w:rPr>
          <w:sz w:val="22"/>
          <w:szCs w:val="22"/>
        </w:rPr>
        <w:t>Fintech</w:t>
      </w:r>
      <w:r w:rsidRPr="00727B0D">
        <w:rPr>
          <w:sz w:val="22"/>
          <w:szCs w:val="22"/>
        </w:rPr>
        <w:t xml:space="preserve"> solutions. Across multiple country contexts, studies consistently identify competitive pressure, customer expectations, and industry dynamics as key external drivers of adoption. </w:t>
      </w:r>
      <w:r w:rsidRPr="0068325F">
        <w:rPr>
          <w:sz w:val="22"/>
          <w:szCs w:val="22"/>
        </w:rPr>
        <w:t xml:space="preserve">Evidence from Jordan indicates that increasing competition and rising customer demand for digital financial services significantly accelerate banks’ adoption of </w:t>
      </w:r>
      <w:r w:rsidR="007356CA">
        <w:rPr>
          <w:sz w:val="22"/>
          <w:szCs w:val="22"/>
        </w:rPr>
        <w:t>Fintech</w:t>
      </w:r>
      <w:r w:rsidRPr="0068325F">
        <w:rPr>
          <w:sz w:val="22"/>
          <w:szCs w:val="22"/>
        </w:rPr>
        <w:t xml:space="preserve"> products</w:t>
      </w:r>
      <w:r w:rsidR="0099747F">
        <w:rPr>
          <w:sz w:val="22"/>
          <w:szCs w:val="22"/>
          <w:lang w:val="en-US"/>
        </w:rPr>
        <w:t>.</w:t>
      </w:r>
      <w:r w:rsidR="006B62F7" w:rsidRPr="0068325F">
        <w:rPr>
          <w:sz w:val="22"/>
          <w:szCs w:val="22"/>
        </w:rPr>
        <w:fldChar w:fldCharType="begin"/>
      </w:r>
      <w:r w:rsidR="0005669B">
        <w:rPr>
          <w:sz w:val="22"/>
          <w:szCs w:val="22"/>
        </w:rPr>
        <w:instrText xml:space="preserve"> ADDIN EN.CITE &lt;EndNote&gt;&lt;Cite&gt;&lt;Author&gt;Bani Atta&lt;/Author&gt;&lt;Year&gt;2025&lt;/Year&gt;&lt;RecNum&gt;36&lt;/RecNum&gt;&lt;DisplayText&gt;&lt;style face="superscript"&gt;26&lt;/style&gt;&lt;/DisplayText&gt;&lt;record&gt;&lt;rec-number&gt;36&lt;/rec-number&gt;&lt;foreign-keys&gt;&lt;key app="EN" db-id="wapx0v0s4rw2r6esw9dpwpd1wwvx05v0920r" timestamp="1764927197"&gt;36&lt;/key&gt;&lt;/foreign-keys&gt;&lt;ref-type name="Journal Article"&gt;17&lt;/ref-type&gt;&lt;contributors&gt;&lt;authors&gt;&lt;author&gt;Bani Atta, Anas Ahmad&lt;/author&gt;&lt;/authors&gt;&lt;/contributors&gt;&lt;titles&gt;&lt;title&gt;Adoption of fintech products through environmental regulations in Jordanian commercial banks&lt;/title&gt;&lt;secondary-title&gt;Journal of Financial Reporting and Accounting&lt;/secondary-title&gt;&lt;/titles&gt;&lt;periodical&gt;&lt;full-title&gt;Journal of Financial Reporting and Accounting&lt;/full-title&gt;&lt;/periodical&gt;&lt;pages&gt;536-549&lt;/pages&gt;&lt;volume&gt;23&lt;/volume&gt;&lt;number&gt;2&lt;/number&gt;&lt;dates&gt;&lt;year&gt;2025&lt;/year&gt;&lt;/dates&gt;&lt;isbn&gt;1985-2517&lt;/isbn&gt;&lt;urls&gt;&lt;/urls&gt;&lt;/record&gt;&lt;/Cite&gt;&lt;/EndNote&gt;</w:instrText>
      </w:r>
      <w:r w:rsidR="006B62F7" w:rsidRPr="0068325F">
        <w:rPr>
          <w:sz w:val="22"/>
          <w:szCs w:val="22"/>
        </w:rPr>
        <w:fldChar w:fldCharType="separate"/>
      </w:r>
      <w:r w:rsidR="0005669B" w:rsidRPr="0005669B">
        <w:rPr>
          <w:noProof/>
          <w:sz w:val="22"/>
          <w:szCs w:val="22"/>
          <w:vertAlign w:val="superscript"/>
        </w:rPr>
        <w:t>26</w:t>
      </w:r>
      <w:r w:rsidR="006B62F7" w:rsidRPr="0068325F">
        <w:rPr>
          <w:sz w:val="22"/>
          <w:szCs w:val="22"/>
        </w:rPr>
        <w:fldChar w:fldCharType="end"/>
      </w:r>
      <w:r w:rsidRPr="0068325F">
        <w:rPr>
          <w:sz w:val="22"/>
          <w:szCs w:val="22"/>
        </w:rPr>
        <w:t xml:space="preserve"> Similar patterns are observed in Indonesia, where competitive intensity and customer pressure are closely linked to adoption decisions at the bank level</w:t>
      </w:r>
      <w:r w:rsidR="0099747F">
        <w:rPr>
          <w:sz w:val="22"/>
          <w:szCs w:val="22"/>
          <w:lang w:val="en-US"/>
        </w:rPr>
        <w:t xml:space="preserve"> </w:t>
      </w:r>
      <w:r w:rsidR="006B62F7" w:rsidRPr="0068325F">
        <w:rPr>
          <w:sz w:val="22"/>
          <w:szCs w:val="22"/>
        </w:rPr>
        <w:fldChar w:fldCharType="begin"/>
      </w:r>
      <w:r w:rsidR="0005669B">
        <w:rPr>
          <w:sz w:val="22"/>
          <w:szCs w:val="22"/>
        </w:rPr>
        <w:instrText xml:space="preserve"> ADDIN EN.CITE &lt;EndNote&gt;&lt;Cite&gt;&lt;Author&gt;Urumsah&lt;/Author&gt;&lt;Year&gt;2022&lt;/Year&gt;&lt;RecNum&gt;46&lt;/RecNum&gt;&lt;DisplayText&gt;&lt;style face="superscript"&gt;31&lt;/style&gt;&lt;/DisplayText&gt;&lt;record&gt;&lt;rec-number&gt;46&lt;/rec-number&gt;&lt;foreign-keys&gt;&lt;key app="EN" db-id="wapx0v0s4rw2r6esw9dpwpd1wwvx05v0920r" timestamp="1764927336"&gt;46&lt;/key&gt;&lt;/foreign-keys&gt;&lt;ref-type name="Journal Article"&gt;17&lt;/ref-type&gt;&lt;contributors&gt;&lt;authors&gt;&lt;author&gt;Urumsah, Dekar&lt;/author&gt;&lt;author&gt;Ispridevi, Rintan Falah&lt;/author&gt;&lt;author&gt;Nurherwening, Aris&lt;/author&gt;&lt;author&gt;Hardinto, Wirawan&lt;/author&gt;&lt;/authors&gt;&lt;/contributors&gt;&lt;titles&gt;&lt;title&gt;Fintech adoption: Its determinants and organizational benefits in Indonesia&lt;/title&gt;&lt;secondary-title&gt;Jurnal Akuntansi dan Auditing Indonesia&lt;/secondary-title&gt;&lt;/titles&gt;&lt;periodical&gt;&lt;full-title&gt;Jurnal Akuntansi dan Auditing Indonesia&lt;/full-title&gt;&lt;/periodical&gt;&lt;pages&gt;88-101&lt;/pages&gt;&lt;dates&gt;&lt;year&gt;2022&lt;/year&gt;&lt;/dates&gt;&lt;isbn&gt;2528-6528&lt;/isbn&gt;&lt;urls&gt;&lt;/urls&gt;&lt;/record&gt;&lt;/Cite&gt;&lt;/EndNote&gt;</w:instrText>
      </w:r>
      <w:r w:rsidR="006B62F7" w:rsidRPr="0068325F">
        <w:rPr>
          <w:sz w:val="22"/>
          <w:szCs w:val="22"/>
        </w:rPr>
        <w:fldChar w:fldCharType="separate"/>
      </w:r>
      <w:r w:rsidR="0005669B" w:rsidRPr="0005669B">
        <w:rPr>
          <w:noProof/>
          <w:sz w:val="22"/>
          <w:szCs w:val="22"/>
          <w:vertAlign w:val="superscript"/>
        </w:rPr>
        <w:t>31</w:t>
      </w:r>
      <w:r w:rsidR="006B62F7" w:rsidRPr="0068325F">
        <w:rPr>
          <w:sz w:val="22"/>
          <w:szCs w:val="22"/>
        </w:rPr>
        <w:fldChar w:fldCharType="end"/>
      </w:r>
      <w:r w:rsidR="0099747F">
        <w:rPr>
          <w:sz w:val="22"/>
          <w:szCs w:val="22"/>
          <w:lang w:val="en-US"/>
        </w:rPr>
        <w:t>.</w:t>
      </w:r>
    </w:p>
    <w:p w14:paraId="38825463" w14:textId="459DAAE3" w:rsidR="009972B9" w:rsidRPr="009972B9" w:rsidRDefault="009972B9" w:rsidP="009972B9">
      <w:pPr>
        <w:tabs>
          <w:tab w:val="left" w:pos="360"/>
        </w:tabs>
        <w:spacing w:before="120"/>
        <w:jc w:val="both"/>
        <w:rPr>
          <w:sz w:val="22"/>
          <w:szCs w:val="22"/>
          <w:lang w:val="en-US"/>
        </w:rPr>
      </w:pPr>
      <w:r w:rsidRPr="0068325F">
        <w:rPr>
          <w:sz w:val="22"/>
          <w:szCs w:val="22"/>
          <w:lang w:val="en-US"/>
        </w:rPr>
        <w:t>In addition to market-related pressures, institutional and regulatory conditions</w:t>
      </w:r>
      <w:r w:rsidRPr="009972B9">
        <w:rPr>
          <w:sz w:val="22"/>
          <w:szCs w:val="22"/>
          <w:lang w:val="en-US"/>
        </w:rPr>
        <w:t xml:space="preserve"> emerge as important external determinants. Studies conducted in highly regulated banking environments highlight that regulatory frameworks and supervisory expectations can either facilitate or constrain </w:t>
      </w:r>
      <w:r w:rsidR="007356CA">
        <w:rPr>
          <w:sz w:val="22"/>
          <w:szCs w:val="22"/>
          <w:lang w:val="en-US"/>
        </w:rPr>
        <w:t>Fintech</w:t>
      </w:r>
      <w:r w:rsidRPr="009972B9">
        <w:rPr>
          <w:sz w:val="22"/>
          <w:szCs w:val="22"/>
          <w:lang w:val="en-US"/>
        </w:rPr>
        <w:t xml:space="preserve"> adoption. </w:t>
      </w:r>
      <w:r w:rsidR="00DB7ECA" w:rsidRPr="00DB7ECA">
        <w:rPr>
          <w:sz w:val="22"/>
          <w:szCs w:val="22"/>
          <w:lang w:val="en-US"/>
        </w:rPr>
        <w:t xml:space="preserve">Evidence from Saudi Arabia highlights the importance of national regulatory and institutional settings as key environmental factors that may shape banks’ </w:t>
      </w:r>
      <w:r w:rsidR="007356CA">
        <w:rPr>
          <w:sz w:val="22"/>
          <w:szCs w:val="22"/>
          <w:lang w:val="en-US"/>
        </w:rPr>
        <w:t>Fintech</w:t>
      </w:r>
      <w:r w:rsidR="00DB7ECA" w:rsidRPr="00DB7ECA">
        <w:rPr>
          <w:sz w:val="22"/>
          <w:szCs w:val="22"/>
          <w:lang w:val="en-US"/>
        </w:rPr>
        <w:t xml:space="preserve"> adoption decisions. In particular, regulatory support is conceptualized as part of the external context influencing banks’ readiness to adopt </w:t>
      </w:r>
      <w:r w:rsidR="007356CA">
        <w:rPr>
          <w:sz w:val="22"/>
          <w:szCs w:val="22"/>
          <w:lang w:val="en-US"/>
        </w:rPr>
        <w:t>Fintech</w:t>
      </w:r>
      <w:r w:rsidR="00DB7ECA" w:rsidRPr="00DB7ECA">
        <w:rPr>
          <w:sz w:val="22"/>
          <w:szCs w:val="22"/>
          <w:lang w:val="en-US"/>
        </w:rPr>
        <w:t xml:space="preserve"> solutions</w:t>
      </w:r>
      <w:r w:rsidR="0099747F">
        <w:rPr>
          <w:sz w:val="22"/>
          <w:szCs w:val="22"/>
          <w:lang w:val="en-US"/>
        </w:rPr>
        <w:t>.</w:t>
      </w:r>
      <w:r w:rsidR="006B62F7">
        <w:rPr>
          <w:sz w:val="22"/>
          <w:szCs w:val="22"/>
          <w:lang w:val="en-US"/>
        </w:rPr>
        <w:fldChar w:fldCharType="begin"/>
      </w:r>
      <w:r w:rsidR="0005669B">
        <w:rPr>
          <w:sz w:val="22"/>
          <w:szCs w:val="22"/>
          <w:lang w:val="en-US"/>
        </w:rPr>
        <w:instrText xml:space="preserve"> ADDIN EN.CITE &lt;EndNote&gt;&lt;Cite&gt;&lt;Author&gt;Alrsheedi&lt;/Author&gt;&lt;Year&gt;2025&lt;/Year&gt;&lt;RecNum&gt;81&lt;/RecNum&gt;&lt;DisplayText&gt;&lt;style face="superscript"&gt;38&lt;/style&gt;&lt;/DisplayText&gt;&lt;record&gt;&lt;rec-number&gt;81&lt;/rec-number&gt;&lt;foreign-keys&gt;&lt;key app="EN" db-id="wapx0v0s4rw2r6esw9dpwpd1wwvx05v0920r" timestamp="1769481671"&gt;81&lt;/key&gt;&lt;/foreign-keys&gt;&lt;ref-type name="Journal Article"&gt;17&lt;/ref-type&gt;&lt;contributors&gt;&lt;authors&gt;&lt;author&gt;Alrsheedi, Ali&lt;/author&gt;&lt;author&gt;P Iskandar, Yulita Hanum&lt;/author&gt;&lt;/authors&gt;&lt;/contributors&gt;&lt;titles&gt;&lt;title&gt;Key factors influencing fintech adoption among Saudi banks: a conceptual framework&lt;/title&gt;&lt;secondary-title&gt;Humanities and Social Sciences Communications&lt;/secondary-title&gt;&lt;/titles&gt;&lt;periodical&gt;&lt;full-title&gt;Humanities and Social Sciences Communications&lt;/full-title&gt;&lt;/periodical&gt;&lt;pages&gt;1-11&lt;/pages&gt;&lt;volume&gt;12&lt;/volume&gt;&lt;number&gt;1&lt;/number&gt;&lt;dates&gt;&lt;year&gt;2025&lt;/year&gt;&lt;/dates&gt;&lt;isbn&gt;2662-9992&lt;/isbn&gt;&lt;urls&gt;&lt;/urls&gt;&lt;/record&gt;&lt;/Cite&gt;&lt;/EndNote&gt;</w:instrText>
      </w:r>
      <w:r w:rsidR="006B62F7">
        <w:rPr>
          <w:sz w:val="22"/>
          <w:szCs w:val="22"/>
          <w:lang w:val="en-US"/>
        </w:rPr>
        <w:fldChar w:fldCharType="separate"/>
      </w:r>
      <w:r w:rsidR="0005669B" w:rsidRPr="0005669B">
        <w:rPr>
          <w:noProof/>
          <w:sz w:val="22"/>
          <w:szCs w:val="22"/>
          <w:vertAlign w:val="superscript"/>
          <w:lang w:val="en-US"/>
        </w:rPr>
        <w:t>38</w:t>
      </w:r>
      <w:r w:rsidR="006B62F7">
        <w:rPr>
          <w:sz w:val="22"/>
          <w:szCs w:val="22"/>
          <w:lang w:val="en-US"/>
        </w:rPr>
        <w:fldChar w:fldCharType="end"/>
      </w:r>
      <w:r w:rsidR="0099747F">
        <w:rPr>
          <w:sz w:val="22"/>
          <w:szCs w:val="22"/>
          <w:lang w:val="en-US"/>
        </w:rPr>
        <w:t xml:space="preserve"> </w:t>
      </w:r>
      <w:r w:rsidR="002745B9" w:rsidRPr="002745B9">
        <w:rPr>
          <w:sz w:val="22"/>
          <w:szCs w:val="22"/>
          <w:lang w:val="en-US"/>
        </w:rPr>
        <w:t xml:space="preserve">Broader cross-country evidence suggests that regulatory environments play an important conditioning role in shaping the implications of </w:t>
      </w:r>
      <w:r w:rsidR="007356CA">
        <w:rPr>
          <w:sz w:val="22"/>
          <w:szCs w:val="22"/>
          <w:lang w:val="en-US"/>
        </w:rPr>
        <w:t>Fintech</w:t>
      </w:r>
      <w:r w:rsidR="002745B9" w:rsidRPr="002745B9">
        <w:rPr>
          <w:sz w:val="22"/>
          <w:szCs w:val="22"/>
          <w:lang w:val="en-US"/>
        </w:rPr>
        <w:t xml:space="preserve"> adoption within banking systems. In particular, empirical evidence from GCC economies shows that regulatory frameworks moderate the relationship between </w:t>
      </w:r>
      <w:r w:rsidR="007356CA">
        <w:rPr>
          <w:sz w:val="22"/>
          <w:szCs w:val="22"/>
          <w:lang w:val="en-US"/>
        </w:rPr>
        <w:t>Fintech</w:t>
      </w:r>
      <w:r w:rsidR="002745B9" w:rsidRPr="002745B9">
        <w:rPr>
          <w:sz w:val="22"/>
          <w:szCs w:val="22"/>
          <w:lang w:val="en-US"/>
        </w:rPr>
        <w:t xml:space="preserve"> adoption and bank stability</w:t>
      </w:r>
      <w:r w:rsidR="00DA49B1">
        <w:rPr>
          <w:sz w:val="22"/>
          <w:szCs w:val="22"/>
          <w:lang w:val="en-US"/>
        </w:rPr>
        <w:t xml:space="preserve">. </w:t>
      </w:r>
      <w:r w:rsidR="006B62F7">
        <w:rPr>
          <w:sz w:val="22"/>
          <w:szCs w:val="22"/>
          <w:lang w:val="en-US"/>
        </w:rPr>
        <w:fldChar w:fldCharType="begin"/>
      </w:r>
      <w:r w:rsidR="0005669B">
        <w:rPr>
          <w:sz w:val="22"/>
          <w:szCs w:val="22"/>
          <w:lang w:val="en-US"/>
        </w:rPr>
        <w:instrText xml:space="preserve"> ADDIN EN.CITE &lt;EndNote&gt;&lt;Cite&gt;&lt;Author&gt;Khan&lt;/Author&gt;&lt;Year&gt;2023&lt;/Year&gt;&lt;RecNum&gt;78&lt;/RecNum&gt;&lt;DisplayText&gt;&lt;style face="superscript"&gt;35&lt;/style&gt;&lt;/DisplayText&gt;&lt;record&gt;&lt;rec-number&gt;78&lt;/rec-number&gt;&lt;foreign-keys&gt;&lt;key app="EN" db-id="wapx0v0s4rw2r6esw9dpwpd1wwvx05v0920r" timestamp="1769481576"&gt;78&lt;/key&gt;&lt;/foreign-keys&gt;&lt;ref-type name="Journal Article"&gt;17&lt;/ref-type&gt;&lt;contributors&gt;&lt;authors&gt;&lt;author&gt;Khan, Habib Hussain&lt;/author&gt;&lt;author&gt;Khan, Shoaib&lt;/author&gt;&lt;author&gt;Ghafoor, Abdul&lt;/author&gt;&lt;/authors&gt;&lt;/contributors&gt;&lt;titles&gt;&lt;title&gt;Fintech adoption, the regulatory environment and bank stability: An empirical investigation from GCC economies&lt;/title&gt;&lt;secondary-title&gt;Borsa Istanbul Review&lt;/secondary-title&gt;&lt;/titles&gt;&lt;periodical&gt;&lt;full-title&gt;Borsa Istanbul Review&lt;/full-title&gt;&lt;/periodical&gt;&lt;pages&gt;1263-1281&lt;/pages&gt;&lt;volume&gt;23&lt;/volume&gt;&lt;number&gt;6&lt;/number&gt;&lt;dates&gt;&lt;year&gt;2023&lt;/year&gt;&lt;/dates&gt;&lt;isbn&gt;2214-8450&lt;/isbn&gt;&lt;urls&gt;&lt;/urls&gt;&lt;/record&gt;&lt;/Cite&gt;&lt;/EndNote&gt;</w:instrText>
      </w:r>
      <w:r w:rsidR="006B62F7">
        <w:rPr>
          <w:sz w:val="22"/>
          <w:szCs w:val="22"/>
          <w:lang w:val="en-US"/>
        </w:rPr>
        <w:fldChar w:fldCharType="separate"/>
      </w:r>
      <w:r w:rsidR="0005669B" w:rsidRPr="0005669B">
        <w:rPr>
          <w:noProof/>
          <w:sz w:val="22"/>
          <w:szCs w:val="22"/>
          <w:vertAlign w:val="superscript"/>
          <w:lang w:val="en-US"/>
        </w:rPr>
        <w:t>35</w:t>
      </w:r>
      <w:r w:rsidR="006B62F7">
        <w:rPr>
          <w:sz w:val="22"/>
          <w:szCs w:val="22"/>
          <w:lang w:val="en-US"/>
        </w:rPr>
        <w:fldChar w:fldCharType="end"/>
      </w:r>
    </w:p>
    <w:p w14:paraId="1751B5C4" w14:textId="678556A3" w:rsidR="009972B9" w:rsidRPr="009972B9" w:rsidRDefault="009972B9" w:rsidP="00632BC9">
      <w:pPr>
        <w:tabs>
          <w:tab w:val="left" w:pos="360"/>
        </w:tabs>
        <w:spacing w:before="120"/>
        <w:jc w:val="both"/>
        <w:rPr>
          <w:sz w:val="22"/>
          <w:szCs w:val="22"/>
          <w:lang w:val="en-US"/>
        </w:rPr>
      </w:pPr>
      <w:r w:rsidRPr="009972B9">
        <w:rPr>
          <w:sz w:val="22"/>
          <w:szCs w:val="22"/>
          <w:lang w:val="en-US"/>
        </w:rPr>
        <w:t>Systematic reviews reinforce these findings by synthesizing recurring external drivers and barriers, showing that environmental and institutional pressures are consistently reported across different banking contexts</w:t>
      </w:r>
      <w:r w:rsidR="00DA49B1">
        <w:rPr>
          <w:sz w:val="22"/>
          <w:szCs w:val="22"/>
          <w:lang w:val="en-US"/>
        </w:rPr>
        <w:t xml:space="preserve">. </w:t>
      </w:r>
      <w:r w:rsidR="006B62F7" w:rsidRPr="00322645">
        <w:rPr>
          <w:color w:val="000000"/>
          <w:sz w:val="22"/>
          <w:szCs w:val="22"/>
        </w:rPr>
        <w:fldChar w:fldCharType="begin">
          <w:fldData xml:space="preserve">PEVuZE5vdGU+PENpdGU+PEF1dGhvcj5BbGJ1YWluYWluPC9BdXRob3I+PFllYXI+MjAyNTwvWWVh
cj48UmVjTnVtPjY5PC9SZWNOdW0+PERpc3BsYXlUZXh0PjxzdHlsZSBmYWNlPSJzdXBlcnNjcmlw
dCI+MjgsMzAsMzI8L3N0eWxlPjwvRGlzcGxheVRleHQ+PHJlY29yZD48cmVjLW51bWJlcj42OTwv
cmVjLW51bWJlcj48Zm9yZWlnbi1rZXlzPjxrZXkgYXBwPSJFTiIgZGItaWQ9IndhcHgwdjBzNHJ3
MnI2ZXN3OWRwd3BkMXd3dngwNXYwOTIwciIgdGltZXN0YW1wPSIxNzY5NDgxMTQ5Ij42OTwva2V5
PjwvZm9yZWlnbi1rZXlzPjxyZWYtdHlwZSBuYW1lPSJKb3VybmFsIEFydGljbGUiPjE3PC9yZWYt
dHlwZT48Y29udHJpYnV0b3JzPjxhdXRob3JzPjxhdXRob3I+QWxidWFpbmFpbiwgQW1uYTwvYXV0
aG9yPjxhdXRob3I+QXNoYnksIFNpbW9uPC9hdXRob3I+PC9hdXRob3JzPjwvY29udHJpYnV0b3Jz
Pjx0aXRsZXM+PHRpdGxlPkVuYWJsZXJzIGFuZCBiYXJyaWVycyBpbiBGaW5UZWNoIGFkb3B0aW9u
OiBBIHN5c3RlbWF0aWMgbGl0ZXJhdHVyZSByZXZpZXcgb2YgY3VzdG9tZXIgYWRvcHRpb24gYW5k
IGl0cyBpbXBhY3Qgb24gYmFuayBwZXJmb3JtYW5jZTwvdGl0bGU+PHNlY29uZGFyeS10aXRsZT5G
aW5UZWNoPC9zZWNvbmRhcnktdGl0bGU+PC90aXRsZXM+PHBlcmlvZGljYWw+PGZ1bGwtdGl0bGU+
RmluVGVjaDwvZnVsbC10aXRsZT48L3BlcmlvZGljYWw+PHBhZ2VzPjQ5PC9wYWdlcz48dm9sdW1l
PjQ8L3ZvbHVtZT48bnVtYmVyPjM8L251bWJlcj48ZGF0ZXM+PHllYXI+MjAyNTwveWVhcj48L2Rh
dGVzPjxpc2JuPjI2NzQtMTAzMjwvaXNibj48dXJscz48L3VybHM+PC9yZWNvcmQ+PC9DaXRlPjxD
aXRlPjxBdXRob3I+QWwtU2hhcmFmaTwvQXV0aG9yPjxZZWFyPjIwMjU8L1llYXI+PFJlY051bT43
MTwvUmVjTnVtPjxyZWNvcmQ+PHJlYy1udW1iZXI+NzE8L3JlYy1udW1iZXI+PGZvcmVpZ24ta2V5
cz48a2V5IGFwcD0iRU4iIGRiLWlkPSJ3YXB4MHYwczRydzJyNmVzdzlkcHdwZDF3d3Z4MDV2MDky
MHIiIHRpbWVzdGFtcD0iMTc2OTQ4MTI2OCI+NzE8L2tleT48L2ZvcmVpZ24ta2V5cz48cmVmLXR5
cGUgbmFtZT0iSm91cm5hbCBBcnRpY2xlIj4xNzwvcmVmLXR5cGU+PGNvbnRyaWJ1dG9ycz48YXV0
aG9ycz48YXV0aG9yPkFsLVNoYXJhZmksIE1vaGFtbWVkIEE8L2F1dGhvcj48YXV0aG9yPk11aGFt
bWVkLCBJYnJhaGltPC9hdXRob3I+PGF1dGhvcj5BbHphZWVtaSwgU2hlaGFiPC9hdXRob3I+PGF1
dGhvcj5BbGJhc2hyYXdpLCBNb3VzYSBBaG1lZDwvYXV0aG9yPjxhdXRob3I+Q2hhZSwgSW55b3Vu
ZzwvYXV0aG9yPjxhdXRob3I+RHdpdmVkaSwgWW9nZXNoIEs8L2F1dGhvcj48L2F1dGhvcnM+PC9j
b250cmlidXRvcnM+PHRpdGxlcz48dGl0bGU+RmFjdG9ycyBzaGFwaW5nIEZpblRlY2ggYWRvcHRp
b246IEEgc3lzdGVtYXRpYyByZXZpZXcsIGtleSBkZXRlcm1pbmFudHMsIHRoZW9yZXRpY2FsIGlu
c2lnaHRzLCBjb25jZXB0dWFsIGZyYW1ld29yayBhbmQgZnV0dXJlIHJlc2VhcmNoIGRpcmVjdGlv
bnM8L3RpdGxlPjxzZWNvbmRhcnktdGl0bGU+SW5mb3JtYXRpb24gRGlzY292ZXJ5IGFuZCBEZWxp
dmVyeTwvc2Vjb25kYXJ5LXRpdGxlPjwvdGl0bGVzPjxwZXJpb2RpY2FsPjxmdWxsLXRpdGxlPklu
Zm9ybWF0aW9uIERpc2NvdmVyeSBhbmQgRGVsaXZlcnk8L2Z1bGwtdGl0bGU+PC9wZXJpb2RpY2Fs
PjxkYXRlcz48eWVhcj4yMDI1PC95ZWFyPjwvZGF0ZXM+PGlzYm4+MjM5OC02MjQ3PC9pc2JuPjx1
cmxzPjwvdXJscz48L3JlY29yZD48L0NpdGU+PENpdGU+PEF1dGhvcj5GaXJtYW5zeWFoPC9BdXRo
b3I+PFllYXI+MjAyMjwvWWVhcj48UmVjTnVtPjI1PC9SZWNOdW0+PHJlY29yZD48cmVjLW51bWJl
cj4yNTwvcmVjLW51bWJlcj48Zm9yZWlnbi1rZXlzPjxrZXkgYXBwPSJFTiIgZGItaWQ9IndhcHgw
djBzNHJ3MnI2ZXN3OWRwd3BkMXd3dngwNXYwOTIwciIgdGltZXN0YW1wPSIxNzY0OTI3MDEyIj4y
NTwva2V5PjwvZm9yZWlnbi1rZXlzPjxyZWYtdHlwZSBuYW1lPSJKb3VybmFsIEFydGljbGUiPjE3
PC9yZWYtdHlwZT48Y29udHJpYnV0b3JzPjxhdXRob3JzPjxhdXRob3I+RmlybWFuc3lhaCwgRWdp
IEFydmlhbjwvYXV0aG9yPjxhdXRob3I+TWFzcmksIE1hc2Fpcm9sPC9hdXRob3I+PGF1dGhvcj5B
bnNoYXJpLCBNdWhhbW1hZDwvYXV0aG9yPjxhdXRob3I+QmVzYXIsIE1vaGQgSGFpcnVsIEF6cmlu
PC9hdXRob3I+PC9hdXRob3JzPjwvY29udHJpYnV0b3JzPjx0aXRsZXM+PHRpdGxlPkZhY3RvcnMg
YWZmZWN0aW5nIGZpbnRlY2ggYWRvcHRpb246IGEgc3lzdGVtYXRpYyBsaXRlcmF0dXJlIHJldmll
dzwvdGl0bGU+PHNlY29uZGFyeS10aXRsZT5GaW5UZWNoPC9zZWNvbmRhcnktdGl0bGU+PC90aXRs
ZXM+PHBlcmlvZGljYWw+PGZ1bGwtdGl0bGU+RmluVGVjaDwvZnVsbC10aXRsZT48L3BlcmlvZGlj
YWw+PHBhZ2VzPjIxLTMzPC9wYWdlcz48dm9sdW1lPjI8L3ZvbHVtZT48bnVtYmVyPjE8L251bWJl
cj48ZGF0ZXM+PHllYXI+MjAyMjwveWVhcj48L2RhdGVzPjxpc2JuPjI2NzQtMTAzMjwvaXNibj48
dXJscz48L3VybHM+PC9yZWNvcmQ+PC9DaXRlPjwvRW5kTm90ZT4A
</w:fldData>
        </w:fldChar>
      </w:r>
      <w:r w:rsidR="0005669B">
        <w:rPr>
          <w:color w:val="000000"/>
          <w:sz w:val="22"/>
          <w:szCs w:val="22"/>
        </w:rPr>
        <w:instrText xml:space="preserve"> ADDIN EN.CITE </w:instrText>
      </w:r>
      <w:r w:rsidR="0005669B">
        <w:rPr>
          <w:color w:val="000000"/>
          <w:sz w:val="22"/>
          <w:szCs w:val="22"/>
        </w:rPr>
        <w:fldChar w:fldCharType="begin">
          <w:fldData xml:space="preserve">PEVuZE5vdGU+PENpdGU+PEF1dGhvcj5BbGJ1YWluYWluPC9BdXRob3I+PFllYXI+MjAyNTwvWWVh
cj48UmVjTnVtPjY5PC9SZWNOdW0+PERpc3BsYXlUZXh0PjxzdHlsZSBmYWNlPSJzdXBlcnNjcmlw
dCI+MjgsMzAsMzI8L3N0eWxlPjwvRGlzcGxheVRleHQ+PHJlY29yZD48cmVjLW51bWJlcj42OTwv
cmVjLW51bWJlcj48Zm9yZWlnbi1rZXlzPjxrZXkgYXBwPSJFTiIgZGItaWQ9IndhcHgwdjBzNHJ3
MnI2ZXN3OWRwd3BkMXd3dngwNXYwOTIwciIgdGltZXN0YW1wPSIxNzY5NDgxMTQ5Ij42OTwva2V5
PjwvZm9yZWlnbi1rZXlzPjxyZWYtdHlwZSBuYW1lPSJKb3VybmFsIEFydGljbGUiPjE3PC9yZWYt
dHlwZT48Y29udHJpYnV0b3JzPjxhdXRob3JzPjxhdXRob3I+QWxidWFpbmFpbiwgQW1uYTwvYXV0
aG9yPjxhdXRob3I+QXNoYnksIFNpbW9uPC9hdXRob3I+PC9hdXRob3JzPjwvY29udHJpYnV0b3Jz
Pjx0aXRsZXM+PHRpdGxlPkVuYWJsZXJzIGFuZCBiYXJyaWVycyBpbiBGaW5UZWNoIGFkb3B0aW9u
OiBBIHN5c3RlbWF0aWMgbGl0ZXJhdHVyZSByZXZpZXcgb2YgY3VzdG9tZXIgYWRvcHRpb24gYW5k
IGl0cyBpbXBhY3Qgb24gYmFuayBwZXJmb3JtYW5jZTwvdGl0bGU+PHNlY29uZGFyeS10aXRsZT5G
aW5UZWNoPC9zZWNvbmRhcnktdGl0bGU+PC90aXRsZXM+PHBlcmlvZGljYWw+PGZ1bGwtdGl0bGU+
RmluVGVjaDwvZnVsbC10aXRsZT48L3BlcmlvZGljYWw+PHBhZ2VzPjQ5PC9wYWdlcz48dm9sdW1l
PjQ8L3ZvbHVtZT48bnVtYmVyPjM8L251bWJlcj48ZGF0ZXM+PHllYXI+MjAyNTwveWVhcj48L2Rh
dGVzPjxpc2JuPjI2NzQtMTAzMjwvaXNibj48dXJscz48L3VybHM+PC9yZWNvcmQ+PC9DaXRlPjxD
aXRlPjxBdXRob3I+QWwtU2hhcmFmaTwvQXV0aG9yPjxZZWFyPjIwMjU8L1llYXI+PFJlY051bT43
MTwvUmVjTnVtPjxyZWNvcmQ+PHJlYy1udW1iZXI+NzE8L3JlYy1udW1iZXI+PGZvcmVpZ24ta2V5
cz48a2V5IGFwcD0iRU4iIGRiLWlkPSJ3YXB4MHYwczRydzJyNmVzdzlkcHdwZDF3d3Z4MDV2MDky
MHIiIHRpbWVzdGFtcD0iMTc2OTQ4MTI2OCI+NzE8L2tleT48L2ZvcmVpZ24ta2V5cz48cmVmLXR5
cGUgbmFtZT0iSm91cm5hbCBBcnRpY2xlIj4xNzwvcmVmLXR5cGU+PGNvbnRyaWJ1dG9ycz48YXV0
aG9ycz48YXV0aG9yPkFsLVNoYXJhZmksIE1vaGFtbWVkIEE8L2F1dGhvcj48YXV0aG9yPk11aGFt
bWVkLCBJYnJhaGltPC9hdXRob3I+PGF1dGhvcj5BbHphZWVtaSwgU2hlaGFiPC9hdXRob3I+PGF1
dGhvcj5BbGJhc2hyYXdpLCBNb3VzYSBBaG1lZDwvYXV0aG9yPjxhdXRob3I+Q2hhZSwgSW55b3Vu
ZzwvYXV0aG9yPjxhdXRob3I+RHdpdmVkaSwgWW9nZXNoIEs8L2F1dGhvcj48L2F1dGhvcnM+PC9j
b250cmlidXRvcnM+PHRpdGxlcz48dGl0bGU+RmFjdG9ycyBzaGFwaW5nIEZpblRlY2ggYWRvcHRp
b246IEEgc3lzdGVtYXRpYyByZXZpZXcsIGtleSBkZXRlcm1pbmFudHMsIHRoZW9yZXRpY2FsIGlu
c2lnaHRzLCBjb25jZXB0dWFsIGZyYW1ld29yayBhbmQgZnV0dXJlIHJlc2VhcmNoIGRpcmVjdGlv
bnM8L3RpdGxlPjxzZWNvbmRhcnktdGl0bGU+SW5mb3JtYXRpb24gRGlzY292ZXJ5IGFuZCBEZWxp
dmVyeTwvc2Vjb25kYXJ5LXRpdGxlPjwvdGl0bGVzPjxwZXJpb2RpY2FsPjxmdWxsLXRpdGxlPklu
Zm9ybWF0aW9uIERpc2NvdmVyeSBhbmQgRGVsaXZlcnk8L2Z1bGwtdGl0bGU+PC9wZXJpb2RpY2Fs
PjxkYXRlcz48eWVhcj4yMDI1PC95ZWFyPjwvZGF0ZXM+PGlzYm4+MjM5OC02MjQ3PC9pc2JuPjx1
cmxzPjwvdXJscz48L3JlY29yZD48L0NpdGU+PENpdGU+PEF1dGhvcj5GaXJtYW5zeWFoPC9BdXRo
b3I+PFllYXI+MjAyMjwvWWVhcj48UmVjTnVtPjI1PC9SZWNOdW0+PHJlY29yZD48cmVjLW51bWJl
cj4yNTwvcmVjLW51bWJlcj48Zm9yZWlnbi1rZXlzPjxrZXkgYXBwPSJFTiIgZGItaWQ9IndhcHgw
djBzNHJ3MnI2ZXN3OWRwd3BkMXd3dngwNXYwOTIwciIgdGltZXN0YW1wPSIxNzY0OTI3MDEyIj4y
NTwva2V5PjwvZm9yZWlnbi1rZXlzPjxyZWYtdHlwZSBuYW1lPSJKb3VybmFsIEFydGljbGUiPjE3
PC9yZWYtdHlwZT48Y29udHJpYnV0b3JzPjxhdXRob3JzPjxhdXRob3I+RmlybWFuc3lhaCwgRWdp
IEFydmlhbjwvYXV0aG9yPjxhdXRob3I+TWFzcmksIE1hc2Fpcm9sPC9hdXRob3I+PGF1dGhvcj5B
bnNoYXJpLCBNdWhhbW1hZDwvYXV0aG9yPjxhdXRob3I+QmVzYXIsIE1vaGQgSGFpcnVsIEF6cmlu
PC9hdXRob3I+PC9hdXRob3JzPjwvY29udHJpYnV0b3JzPjx0aXRsZXM+PHRpdGxlPkZhY3RvcnMg
YWZmZWN0aW5nIGZpbnRlY2ggYWRvcHRpb246IGEgc3lzdGVtYXRpYyBsaXRlcmF0dXJlIHJldmll
dzwvdGl0bGU+PHNlY29uZGFyeS10aXRsZT5GaW5UZWNoPC9zZWNvbmRhcnktdGl0bGU+PC90aXRs
ZXM+PHBlcmlvZGljYWw+PGZ1bGwtdGl0bGU+RmluVGVjaDwvZnVsbC10aXRsZT48L3BlcmlvZGlj
YWw+PHBhZ2VzPjIxLTMzPC9wYWdlcz48dm9sdW1lPjI8L3ZvbHVtZT48bnVtYmVyPjE8L251bWJl
cj48ZGF0ZXM+PHllYXI+MjAyMjwveWVhcj48L2RhdGVzPjxpc2JuPjI2NzQtMTAzMjwvaXNibj48
dXJscz48L3VybHM+PC9yZWNvcmQ+PC9DaXRlPjwvRW5kTm90ZT4A
</w:fldData>
        </w:fldChar>
      </w:r>
      <w:r w:rsidR="0005669B">
        <w:rPr>
          <w:color w:val="000000"/>
          <w:sz w:val="22"/>
          <w:szCs w:val="22"/>
        </w:rPr>
        <w:instrText xml:space="preserve"> ADDIN EN.CITE.DATA </w:instrText>
      </w:r>
      <w:r w:rsidR="0005669B">
        <w:rPr>
          <w:color w:val="000000"/>
          <w:sz w:val="22"/>
          <w:szCs w:val="22"/>
        </w:rPr>
      </w:r>
      <w:r w:rsidR="0005669B">
        <w:rPr>
          <w:color w:val="000000"/>
          <w:sz w:val="22"/>
          <w:szCs w:val="22"/>
        </w:rPr>
        <w:fldChar w:fldCharType="end"/>
      </w:r>
      <w:r w:rsidR="006B62F7" w:rsidRPr="00322645">
        <w:rPr>
          <w:color w:val="000000"/>
          <w:sz w:val="22"/>
          <w:szCs w:val="22"/>
        </w:rPr>
      </w:r>
      <w:r w:rsidR="006B62F7" w:rsidRPr="00322645">
        <w:rPr>
          <w:color w:val="000000"/>
          <w:sz w:val="22"/>
          <w:szCs w:val="22"/>
        </w:rPr>
        <w:fldChar w:fldCharType="separate"/>
      </w:r>
      <w:r w:rsidR="0005669B" w:rsidRPr="0005669B">
        <w:rPr>
          <w:noProof/>
          <w:color w:val="000000"/>
          <w:sz w:val="22"/>
          <w:szCs w:val="22"/>
          <w:vertAlign w:val="superscript"/>
        </w:rPr>
        <w:t>28,30,32</w:t>
      </w:r>
      <w:r w:rsidR="006B62F7" w:rsidRPr="00322645">
        <w:rPr>
          <w:color w:val="000000"/>
          <w:sz w:val="22"/>
          <w:szCs w:val="22"/>
        </w:rPr>
        <w:fldChar w:fldCharType="end"/>
      </w:r>
      <w:r w:rsidR="00465EDC">
        <w:rPr>
          <w:color w:val="000000"/>
          <w:sz w:val="22"/>
          <w:szCs w:val="22"/>
          <w:lang w:val="en-US"/>
        </w:rPr>
        <w:t xml:space="preserve"> </w:t>
      </w:r>
      <w:r w:rsidRPr="009972B9">
        <w:rPr>
          <w:sz w:val="22"/>
          <w:szCs w:val="22"/>
          <w:lang w:val="en-US"/>
        </w:rPr>
        <w:t xml:space="preserve">Overall, the evidence suggests that external determinants create the contextual conditions under which banks perceive </w:t>
      </w:r>
      <w:r w:rsidR="007356CA">
        <w:rPr>
          <w:sz w:val="22"/>
          <w:szCs w:val="22"/>
          <w:lang w:val="en-US"/>
        </w:rPr>
        <w:t>Fintech</w:t>
      </w:r>
      <w:r w:rsidRPr="009972B9">
        <w:rPr>
          <w:sz w:val="22"/>
          <w:szCs w:val="22"/>
          <w:lang w:val="en-US"/>
        </w:rPr>
        <w:t xml:space="preserve"> adoption as necessary or strategically desirable.</w:t>
      </w:r>
    </w:p>
    <w:p w14:paraId="58F41A60" w14:textId="7FAC5F70" w:rsidR="00445AA0" w:rsidRPr="0099747F" w:rsidRDefault="00445AA0" w:rsidP="00BC50CF">
      <w:pPr>
        <w:tabs>
          <w:tab w:val="left" w:pos="0"/>
        </w:tabs>
        <w:spacing w:before="120"/>
        <w:jc w:val="both"/>
        <w:rPr>
          <w:i/>
          <w:iCs/>
          <w:sz w:val="22"/>
          <w:szCs w:val="22"/>
          <w:lang w:val="en-US"/>
        </w:rPr>
      </w:pPr>
      <w:r w:rsidRPr="0099747F">
        <w:rPr>
          <w:i/>
          <w:iCs/>
          <w:sz w:val="22"/>
          <w:szCs w:val="22"/>
          <w:lang w:val="en-US"/>
        </w:rPr>
        <w:t xml:space="preserve">4.3.2. </w:t>
      </w:r>
      <w:r w:rsidR="009972B9" w:rsidRPr="0099747F">
        <w:rPr>
          <w:i/>
          <w:iCs/>
          <w:sz w:val="22"/>
          <w:szCs w:val="22"/>
          <w:lang w:val="en-US"/>
        </w:rPr>
        <w:t xml:space="preserve">Bank-specific determinants of </w:t>
      </w:r>
      <w:r w:rsidR="007356CA" w:rsidRPr="0099747F">
        <w:rPr>
          <w:i/>
          <w:iCs/>
          <w:sz w:val="22"/>
          <w:szCs w:val="22"/>
          <w:lang w:val="en-US"/>
        </w:rPr>
        <w:t>Fintech</w:t>
      </w:r>
      <w:r w:rsidR="009972B9" w:rsidRPr="0099747F">
        <w:rPr>
          <w:i/>
          <w:iCs/>
          <w:sz w:val="22"/>
          <w:szCs w:val="22"/>
          <w:lang w:val="en-US"/>
        </w:rPr>
        <w:t xml:space="preserve"> adoption</w:t>
      </w:r>
    </w:p>
    <w:p w14:paraId="41BDDBE9" w14:textId="4315F0F8" w:rsidR="009972B9" w:rsidRDefault="009972B9" w:rsidP="00BC50CF">
      <w:pPr>
        <w:tabs>
          <w:tab w:val="left" w:pos="0"/>
        </w:tabs>
        <w:spacing w:before="120"/>
        <w:jc w:val="both"/>
        <w:rPr>
          <w:sz w:val="22"/>
          <w:szCs w:val="22"/>
          <w:lang w:val="en-US"/>
        </w:rPr>
      </w:pPr>
      <w:r w:rsidRPr="009972B9">
        <w:rPr>
          <w:sz w:val="22"/>
          <w:szCs w:val="22"/>
          <w:lang w:val="en-US"/>
        </w:rPr>
        <w:t xml:space="preserve">Beyond external pressures, a substantial body of evidence emphasizes the role </w:t>
      </w:r>
      <w:r w:rsidRPr="001570D5">
        <w:rPr>
          <w:sz w:val="22"/>
          <w:szCs w:val="22"/>
          <w:lang w:val="en-US"/>
        </w:rPr>
        <w:t xml:space="preserve">of bank-specific characteristics in shaping </w:t>
      </w:r>
      <w:r w:rsidR="007356CA">
        <w:rPr>
          <w:sz w:val="22"/>
          <w:szCs w:val="22"/>
          <w:lang w:val="en-US"/>
        </w:rPr>
        <w:t>Fintech</w:t>
      </w:r>
      <w:r w:rsidRPr="009972B9">
        <w:rPr>
          <w:sz w:val="22"/>
          <w:szCs w:val="22"/>
          <w:lang w:val="en-US"/>
        </w:rPr>
        <w:t xml:space="preserve"> adoption decisions. These determinants capture heterogeneity across banks operating within similar external environments and explain why adoption levels differ across institutions.</w:t>
      </w:r>
    </w:p>
    <w:p w14:paraId="377F3DB7" w14:textId="36579D1D" w:rsidR="00466C85" w:rsidRDefault="00466C85" w:rsidP="00BC50CF">
      <w:pPr>
        <w:tabs>
          <w:tab w:val="left" w:pos="0"/>
        </w:tabs>
        <w:spacing w:before="120"/>
        <w:jc w:val="both"/>
        <w:rPr>
          <w:sz w:val="22"/>
          <w:szCs w:val="22"/>
          <w:lang w:val="en-US"/>
        </w:rPr>
      </w:pPr>
      <w:r w:rsidRPr="008A154E">
        <w:rPr>
          <w:sz w:val="22"/>
          <w:szCs w:val="22"/>
        </w:rPr>
        <w:t>At the bank level, organizational and technological readiness</w:t>
      </w:r>
      <w:r w:rsidRPr="00466C85">
        <w:rPr>
          <w:sz w:val="22"/>
          <w:szCs w:val="22"/>
        </w:rPr>
        <w:t xml:space="preserve"> emerges as a fundamental determinant of </w:t>
      </w:r>
      <w:r w:rsidR="007356CA">
        <w:rPr>
          <w:sz w:val="22"/>
          <w:szCs w:val="22"/>
        </w:rPr>
        <w:t>Fintech</w:t>
      </w:r>
      <w:r w:rsidRPr="00466C85">
        <w:rPr>
          <w:sz w:val="22"/>
          <w:szCs w:val="22"/>
        </w:rPr>
        <w:t xml:space="preserve"> adoption. Empirical evidence from Indonesia shows that internal readiness</w:t>
      </w:r>
      <w:r w:rsidR="008A154E">
        <w:rPr>
          <w:sz w:val="22"/>
          <w:szCs w:val="22"/>
          <w:lang w:val="en-US"/>
        </w:rPr>
        <w:t xml:space="preserve">, </w:t>
      </w:r>
      <w:r w:rsidRPr="00466C85">
        <w:rPr>
          <w:sz w:val="22"/>
          <w:szCs w:val="22"/>
        </w:rPr>
        <w:t>reflected in organizational preparedness, top management support, and internal IT knowledge</w:t>
      </w:r>
      <w:r w:rsidR="008A154E">
        <w:rPr>
          <w:sz w:val="22"/>
          <w:szCs w:val="22"/>
          <w:lang w:val="en-US"/>
        </w:rPr>
        <w:t xml:space="preserve">, </w:t>
      </w:r>
      <w:r w:rsidRPr="00466C85">
        <w:rPr>
          <w:sz w:val="22"/>
          <w:szCs w:val="22"/>
        </w:rPr>
        <w:t xml:space="preserve">significantly influences banks’ decisions to adopt </w:t>
      </w:r>
      <w:r w:rsidR="007356CA">
        <w:rPr>
          <w:sz w:val="22"/>
          <w:szCs w:val="22"/>
        </w:rPr>
        <w:t>Fintech</w:t>
      </w:r>
      <w:r w:rsidRPr="00466C85">
        <w:rPr>
          <w:sz w:val="22"/>
          <w:szCs w:val="22"/>
        </w:rPr>
        <w:t xml:space="preserve"> solutions</w:t>
      </w:r>
      <w:r w:rsidR="00F22F4A">
        <w:rPr>
          <w:sz w:val="22"/>
          <w:szCs w:val="22"/>
          <w:lang w:val="en-US"/>
        </w:rPr>
        <w:t>.</w:t>
      </w:r>
      <w:r>
        <w:rPr>
          <w:sz w:val="22"/>
          <w:szCs w:val="22"/>
          <w:lang w:val="en-US"/>
        </w:rPr>
        <w:fldChar w:fldCharType="begin"/>
      </w:r>
      <w:r w:rsidR="0005669B">
        <w:rPr>
          <w:sz w:val="22"/>
          <w:szCs w:val="22"/>
          <w:lang w:val="en-US"/>
        </w:rPr>
        <w:instrText xml:space="preserve"> ADDIN EN.CITE &lt;EndNote&gt;&lt;Cite&gt;&lt;Author&gt;Urumsah&lt;/Author&gt;&lt;Year&gt;2022&lt;/Year&gt;&lt;RecNum&gt;46&lt;/RecNum&gt;&lt;DisplayText&gt;&lt;style face="superscript"&gt;31&lt;/style&gt;&lt;/DisplayText&gt;&lt;record&gt;&lt;rec-number&gt;46&lt;/rec-number&gt;&lt;foreign-keys&gt;&lt;key app="EN" db-id="wapx0v0s4rw2r6esw9dpwpd1wwvx05v0920r" timestamp="1764927336"&gt;46&lt;/key&gt;&lt;/foreign-keys&gt;&lt;ref-type name="Journal Article"&gt;17&lt;/ref-type&gt;&lt;contributors&gt;&lt;authors&gt;&lt;author&gt;Urumsah, Dekar&lt;/author&gt;&lt;author&gt;Ispridevi, Rintan Falah&lt;/author&gt;&lt;author&gt;Nurherwening, Aris&lt;/author&gt;&lt;author&gt;Hardinto, Wirawan&lt;/author&gt;&lt;/authors&gt;&lt;/contributors&gt;&lt;titles&gt;&lt;title&gt;Fintech adoption: Its determinants and organizational benefits in Indonesia&lt;/title&gt;&lt;secondary-title&gt;Jurnal Akuntansi dan Auditing Indonesia&lt;/secondary-title&gt;&lt;/titles&gt;&lt;periodical&gt;&lt;full-title&gt;Jurnal Akuntansi dan Auditing Indonesia&lt;/full-title&gt;&lt;/periodical&gt;&lt;pages&gt;88-101&lt;/pages&gt;&lt;dates&gt;&lt;year&gt;2022&lt;/year&gt;&lt;/dates&gt;&lt;isbn&gt;2528-6528&lt;/isbn&gt;&lt;urls&gt;&lt;/urls&gt;&lt;/record&gt;&lt;/Cite&gt;&lt;/EndNote&gt;</w:instrText>
      </w:r>
      <w:r>
        <w:rPr>
          <w:sz w:val="22"/>
          <w:szCs w:val="22"/>
          <w:lang w:val="en-US"/>
        </w:rPr>
        <w:fldChar w:fldCharType="separate"/>
      </w:r>
      <w:r w:rsidR="0005669B" w:rsidRPr="0005669B">
        <w:rPr>
          <w:noProof/>
          <w:sz w:val="22"/>
          <w:szCs w:val="22"/>
          <w:vertAlign w:val="superscript"/>
          <w:lang w:val="en-US"/>
        </w:rPr>
        <w:t>31</w:t>
      </w:r>
      <w:r>
        <w:rPr>
          <w:sz w:val="22"/>
          <w:szCs w:val="22"/>
          <w:lang w:val="en-US"/>
        </w:rPr>
        <w:fldChar w:fldCharType="end"/>
      </w:r>
      <w:r>
        <w:rPr>
          <w:sz w:val="22"/>
          <w:szCs w:val="22"/>
          <w:lang w:val="en-US"/>
        </w:rPr>
        <w:t xml:space="preserve"> </w:t>
      </w:r>
      <w:r w:rsidRPr="00466C85">
        <w:rPr>
          <w:sz w:val="22"/>
          <w:szCs w:val="22"/>
        </w:rPr>
        <w:t>These findings highlight that adoption is not solely driven by external pressures, but also by banks’ internal capacity to absorb and manage technological change.</w:t>
      </w:r>
    </w:p>
    <w:p w14:paraId="67314576" w14:textId="433A687B" w:rsidR="00466C85" w:rsidRDefault="00466C85" w:rsidP="00BC50CF">
      <w:pPr>
        <w:tabs>
          <w:tab w:val="left" w:pos="0"/>
        </w:tabs>
        <w:spacing w:before="120"/>
        <w:jc w:val="both"/>
        <w:rPr>
          <w:sz w:val="22"/>
          <w:szCs w:val="22"/>
          <w:lang w:val="en-US"/>
        </w:rPr>
      </w:pPr>
      <w:r w:rsidRPr="00466C85">
        <w:rPr>
          <w:sz w:val="22"/>
          <w:szCs w:val="22"/>
        </w:rPr>
        <w:t xml:space="preserve">Beyond readiness, a second group of bank-specific determinants </w:t>
      </w:r>
      <w:r w:rsidRPr="008A154E">
        <w:rPr>
          <w:sz w:val="22"/>
          <w:szCs w:val="22"/>
        </w:rPr>
        <w:t xml:space="preserve">relates to resources and strategic capacity, which shape banks’ ability to initiate </w:t>
      </w:r>
      <w:r w:rsidR="007356CA">
        <w:rPr>
          <w:sz w:val="22"/>
          <w:szCs w:val="22"/>
        </w:rPr>
        <w:t>Fintech</w:t>
      </w:r>
      <w:r w:rsidRPr="008A154E">
        <w:rPr>
          <w:sz w:val="22"/>
          <w:szCs w:val="22"/>
        </w:rPr>
        <w:t xml:space="preserve"> adoption. Financial</w:t>
      </w:r>
      <w:r w:rsidRPr="00466C85">
        <w:rPr>
          <w:sz w:val="22"/>
          <w:szCs w:val="22"/>
        </w:rPr>
        <w:t xml:space="preserve"> strength and resource availability play a key enabling role, as </w:t>
      </w:r>
      <w:r w:rsidR="007356CA">
        <w:rPr>
          <w:sz w:val="22"/>
          <w:szCs w:val="22"/>
        </w:rPr>
        <w:t>Fintech</w:t>
      </w:r>
      <w:r w:rsidRPr="00466C85">
        <w:rPr>
          <w:sz w:val="22"/>
          <w:szCs w:val="22"/>
        </w:rPr>
        <w:t xml:space="preserve"> adoption typically requires substantial upfront investment in digital infrastructure, innovation activities, and organizational change. From a strategic management perspective, banks with stronger capital positions and larger resource bases face fewer financial constraints and are therefore better positioned to commit resources to </w:t>
      </w:r>
      <w:r w:rsidR="007356CA">
        <w:rPr>
          <w:sz w:val="22"/>
          <w:szCs w:val="22"/>
        </w:rPr>
        <w:t>Fintech</w:t>
      </w:r>
      <w:r w:rsidRPr="00466C85">
        <w:rPr>
          <w:sz w:val="22"/>
          <w:szCs w:val="22"/>
        </w:rPr>
        <w:t>-related initiatives</w:t>
      </w:r>
      <w:r w:rsidR="00F22F4A">
        <w:rPr>
          <w:sz w:val="22"/>
          <w:szCs w:val="22"/>
          <w:lang w:val="en-US"/>
        </w:rPr>
        <w:t>.</w:t>
      </w:r>
      <w:r>
        <w:rPr>
          <w:sz w:val="22"/>
          <w:szCs w:val="22"/>
          <w:lang w:val="en-US"/>
        </w:rPr>
        <w:fldChar w:fldCharType="begin"/>
      </w:r>
      <w:r w:rsidR="0005669B">
        <w:rPr>
          <w:sz w:val="22"/>
          <w:szCs w:val="22"/>
          <w:lang w:val="en-US"/>
        </w:rPr>
        <w:instrText xml:space="preserve"> ADDIN EN.CITE &lt;EndNote&gt;&lt;Cite&gt;&lt;Author&gt;Harasim&lt;/Author&gt;&lt;Year&gt;2021&lt;/Year&gt;&lt;RecNum&gt;76&lt;/RecNum&gt;&lt;DisplayText&gt;&lt;style face="superscript"&gt;33&lt;/style&gt;&lt;/DisplayText&gt;&lt;record&gt;&lt;rec-number&gt;76&lt;/rec-number&gt;&lt;foreign-keys&gt;&lt;key app="EN" db-id="wapx0v0s4rw2r6esw9dpwpd1wwvx05v0920r" timestamp="1769481489"&gt;76&lt;/key&gt;&lt;/foreign-keys&gt;&lt;ref-type name="Journal Article"&gt;17&lt;/ref-type&gt;&lt;contributors&gt;&lt;authors&gt;&lt;author&gt;Harasim, Janina&lt;/author&gt;&lt;/authors&gt;&lt;/contributors&gt;&lt;titles&gt;&lt;title&gt;FinTechs, BigTechs and banks—when cooperation and when competition?&lt;/title&gt;&lt;secondary-title&gt;Journal of Risk and Financial Management&lt;/secondary-title&gt;&lt;/titles&gt;&lt;periodical&gt;&lt;full-title&gt;Journal of Risk and Financial Management&lt;/full-title&gt;&lt;/periodical&gt;&lt;pages&gt;614&lt;/pages&gt;&lt;volume&gt;14&lt;/volume&gt;&lt;number&gt;12&lt;/number&gt;&lt;dates&gt;&lt;year&gt;2021&lt;/year&gt;&lt;/dates&gt;&lt;isbn&gt;1911-8074&lt;/isbn&gt;&lt;urls&gt;&lt;/urls&gt;&lt;/record&gt;&lt;/Cite&gt;&lt;/EndNote&gt;</w:instrText>
      </w:r>
      <w:r>
        <w:rPr>
          <w:sz w:val="22"/>
          <w:szCs w:val="22"/>
          <w:lang w:val="en-US"/>
        </w:rPr>
        <w:fldChar w:fldCharType="separate"/>
      </w:r>
      <w:r w:rsidR="0005669B" w:rsidRPr="0005669B">
        <w:rPr>
          <w:noProof/>
          <w:sz w:val="22"/>
          <w:szCs w:val="22"/>
          <w:vertAlign w:val="superscript"/>
          <w:lang w:val="en-US"/>
        </w:rPr>
        <w:t>33</w:t>
      </w:r>
      <w:r>
        <w:rPr>
          <w:sz w:val="22"/>
          <w:szCs w:val="22"/>
          <w:lang w:val="en-US"/>
        </w:rPr>
        <w:fldChar w:fldCharType="end"/>
      </w:r>
    </w:p>
    <w:p w14:paraId="423C66DE" w14:textId="3A60CC8F" w:rsidR="00C32B6A" w:rsidRDefault="00C32B6A" w:rsidP="004D7FA2">
      <w:pPr>
        <w:tabs>
          <w:tab w:val="left" w:pos="567"/>
        </w:tabs>
        <w:spacing w:before="120"/>
        <w:jc w:val="both"/>
        <w:rPr>
          <w:sz w:val="22"/>
          <w:szCs w:val="22"/>
          <w:lang w:val="en-US"/>
        </w:rPr>
      </w:pPr>
      <w:r w:rsidRPr="00C32B6A">
        <w:rPr>
          <w:sz w:val="22"/>
          <w:szCs w:val="22"/>
        </w:rPr>
        <w:t xml:space="preserve">Finally, evidence from related studies suggests that organizational and technological capabilities also condition how effectively </w:t>
      </w:r>
      <w:r w:rsidR="007356CA">
        <w:rPr>
          <w:sz w:val="22"/>
          <w:szCs w:val="22"/>
        </w:rPr>
        <w:t>Fintech</w:t>
      </w:r>
      <w:r w:rsidRPr="00C32B6A">
        <w:rPr>
          <w:sz w:val="22"/>
          <w:szCs w:val="22"/>
        </w:rPr>
        <w:t xml:space="preserve"> adoption translates into bank-level outcomes. For instance, information technology infrastructure and digital transformation have been shown to strengthen the performance and sustainability effects of </w:t>
      </w:r>
      <w:r w:rsidR="007356CA">
        <w:rPr>
          <w:sz w:val="22"/>
          <w:szCs w:val="22"/>
        </w:rPr>
        <w:t>Fintech</w:t>
      </w:r>
      <w:r w:rsidRPr="00C32B6A">
        <w:rPr>
          <w:sz w:val="22"/>
          <w:szCs w:val="22"/>
        </w:rPr>
        <w:t xml:space="preserve"> adoption in Jordanian and Pakistani banks, respectively</w:t>
      </w:r>
      <w:r w:rsidR="00F22F4A">
        <w:rPr>
          <w:sz w:val="22"/>
          <w:szCs w:val="22"/>
          <w:lang w:val="en-US"/>
        </w:rPr>
        <w:t>.</w:t>
      </w:r>
      <w:r w:rsidR="00BB4577">
        <w:rPr>
          <w:sz w:val="22"/>
          <w:szCs w:val="22"/>
          <w:lang w:val="en-US"/>
        </w:rPr>
        <w:fldChar w:fldCharType="begin"/>
      </w:r>
      <w:r w:rsidR="0005669B">
        <w:rPr>
          <w:sz w:val="22"/>
          <w:szCs w:val="22"/>
          <w:lang w:val="en-US"/>
        </w:rPr>
        <w:instrText xml:space="preserve"> ADDIN EN.CITE &lt;EndNote&gt;&lt;Cite&gt;&lt;Author&gt;Alzghoul&lt;/Author&gt;&lt;Year&gt;2024&lt;/Year&gt;&lt;RecNum&gt;68&lt;/RecNum&gt;&lt;DisplayText&gt;&lt;style face="superscript"&gt;27,37&lt;/style&gt;&lt;/DisplayText&gt;&lt;record&gt;&lt;rec-number&gt;68&lt;/rec-number&gt;&lt;foreign-keys&gt;&lt;key app="EN" db-id="wapx0v0s4rw2r6esw9dpwpd1wwvx05v0920r" timestamp="1769481095"&gt;68&lt;/key&gt;&lt;/foreign-keys&gt;&lt;ref-type name="Journal Article"&gt;17&lt;/ref-type&gt;&lt;contributors&gt;&lt;authors&gt;&lt;author&gt;Alzghoul, Amro&lt;/author&gt;&lt;author&gt;Al-kasasbeh, Omar&lt;/author&gt;&lt;/authors&gt;&lt;/contributors&gt;&lt;titles&gt;&lt;title&gt;The moderating role of information technology infrastructure in the relationship between fintech adoption and organizational competitiveness&lt;/title&gt;&lt;secondary-title&gt;Investment Management &amp;amp; Financial Innovations&lt;/secondary-title&gt;&lt;/titles&gt;&lt;periodical&gt;&lt;full-title&gt;Investment Management &amp;amp; Financial Innovations&lt;/full-title&gt;&lt;/periodical&gt;&lt;pages&gt;155&lt;/pages&gt;&lt;volume&gt;21&lt;/volume&gt;&lt;number&gt;2&lt;/number&gt;&lt;dates&gt;&lt;year&gt;2024&lt;/year&gt;&lt;/dates&gt;&lt;isbn&gt;1810-4967&lt;/isbn&gt;&lt;urls&gt;&lt;/urls&gt;&lt;/record&gt;&lt;/Cite&gt;&lt;Cite&gt;&lt;Author&gt;Hidayat-ur-Rehman&lt;/Author&gt;&lt;Year&gt;2025&lt;/Year&gt;&lt;RecNum&gt;80&lt;/RecNum&gt;&lt;record&gt;&lt;rec-number&gt;80&lt;/rec-number&gt;&lt;foreign-keys&gt;&lt;key app="EN" db-id="wapx0v0s4rw2r6esw9dpwpd1wwvx05v0920r" timestamp="1769481638"&gt;80&lt;/key&gt;&lt;/foreign-keys&gt;&lt;ref-type name="Journal Article"&gt;17&lt;/ref-type&gt;&lt;contributors&gt;&lt;authors&gt;&lt;author&gt;Hidayat-ur-Rehman, Imdadullah&lt;/author&gt;&lt;author&gt;Hossain, Md Nahin&lt;/author&gt;&lt;/authors&gt;&lt;/contributors&gt;&lt;titles&gt;&lt;title&gt;The impacts of Fintech adoption, green finance and competitiveness on banks’ sustainable performance: digital transformation as moderator&lt;/title&gt;&lt;secondary-title&gt;Asia-Pacific Journal of Business Administration&lt;/secondary-title&gt;&lt;/titles&gt;&lt;periodical&gt;&lt;full-title&gt;Asia-Pacific Journal of Business Administration&lt;/full-title&gt;&lt;/periodical&gt;&lt;pages&gt;987-1020&lt;/pages&gt;&lt;volume&gt;17&lt;/volume&gt;&lt;number&gt;4&lt;/number&gt;&lt;dates&gt;&lt;year&gt;2025&lt;/year&gt;&lt;/dates&gt;&lt;isbn&gt;1757-4323&lt;/isbn&gt;&lt;urls&gt;&lt;/urls&gt;&lt;/record&gt;&lt;/Cite&gt;&lt;/EndNote&gt;</w:instrText>
      </w:r>
      <w:r w:rsidR="00BB4577">
        <w:rPr>
          <w:sz w:val="22"/>
          <w:szCs w:val="22"/>
          <w:lang w:val="en-US"/>
        </w:rPr>
        <w:fldChar w:fldCharType="separate"/>
      </w:r>
      <w:r w:rsidR="0005669B" w:rsidRPr="0005669B">
        <w:rPr>
          <w:noProof/>
          <w:sz w:val="22"/>
          <w:szCs w:val="22"/>
          <w:vertAlign w:val="superscript"/>
          <w:lang w:val="en-US"/>
        </w:rPr>
        <w:t>27,37</w:t>
      </w:r>
      <w:r w:rsidR="00BB4577">
        <w:rPr>
          <w:sz w:val="22"/>
          <w:szCs w:val="22"/>
          <w:lang w:val="en-US"/>
        </w:rPr>
        <w:fldChar w:fldCharType="end"/>
      </w:r>
      <w:r w:rsidR="00F22F4A">
        <w:rPr>
          <w:sz w:val="22"/>
          <w:szCs w:val="22"/>
          <w:lang w:val="en-US"/>
        </w:rPr>
        <w:t xml:space="preserve"> </w:t>
      </w:r>
      <w:r w:rsidRPr="00C32B6A">
        <w:rPr>
          <w:sz w:val="22"/>
          <w:szCs w:val="22"/>
        </w:rPr>
        <w:t xml:space="preserve">While these studies focus on post-adoption effects, they underscore the broader importance of internal capability in banks’ engagement with </w:t>
      </w:r>
      <w:r w:rsidR="007356CA">
        <w:rPr>
          <w:sz w:val="22"/>
          <w:szCs w:val="22"/>
        </w:rPr>
        <w:t>Fintech</w:t>
      </w:r>
      <w:r w:rsidRPr="00C32B6A">
        <w:rPr>
          <w:sz w:val="22"/>
          <w:szCs w:val="22"/>
        </w:rPr>
        <w:t>.</w:t>
      </w:r>
      <w:r w:rsidR="0010708C" w:rsidRPr="0010708C">
        <w:rPr>
          <w:b/>
          <w:bCs/>
          <w:noProof/>
          <w:sz w:val="22"/>
          <w:szCs w:val="22"/>
          <w:lang w:val="en-US"/>
        </w:rPr>
        <w:t xml:space="preserve"> </w:t>
      </w:r>
    </w:p>
    <w:p w14:paraId="48BF4E3E" w14:textId="6D3F08FC" w:rsidR="00E333A3" w:rsidRDefault="00C1680F" w:rsidP="00E333A3">
      <w:pPr>
        <w:tabs>
          <w:tab w:val="left" w:pos="360"/>
        </w:tabs>
        <w:spacing w:before="120"/>
        <w:jc w:val="both"/>
        <w:rPr>
          <w:b/>
          <w:bCs/>
          <w:sz w:val="22"/>
          <w:szCs w:val="22"/>
          <w:lang w:val="en-US"/>
        </w:rPr>
      </w:pPr>
      <w:r w:rsidRPr="00C1680F">
        <w:rPr>
          <w:sz w:val="22"/>
          <w:szCs w:val="22"/>
        </w:rPr>
        <w:t xml:space="preserve">While these studies do not identify determinants of adoption, they provide important insights into the governance context within which </w:t>
      </w:r>
      <w:r w:rsidR="007356CA">
        <w:rPr>
          <w:sz w:val="22"/>
          <w:szCs w:val="22"/>
        </w:rPr>
        <w:t>Fintech</w:t>
      </w:r>
      <w:r w:rsidRPr="00C1680F">
        <w:rPr>
          <w:sz w:val="22"/>
          <w:szCs w:val="22"/>
        </w:rPr>
        <w:t>-related strategic decisions are evaluated</w:t>
      </w:r>
      <w:r w:rsidR="00F22F4A">
        <w:rPr>
          <w:sz w:val="22"/>
          <w:szCs w:val="22"/>
          <w:lang w:val="en-US"/>
        </w:rPr>
        <w:t>.</w:t>
      </w:r>
      <w:r w:rsidR="00BB4577">
        <w:rPr>
          <w:sz w:val="22"/>
          <w:szCs w:val="22"/>
          <w:lang w:val="en-US"/>
        </w:rPr>
        <w:fldChar w:fldCharType="begin">
          <w:fldData xml:space="preserve">PEVuZE5vdGU+PENpdGU+PEF1dGhvcj5aaGFvPC9BdXRob3I+PFllYXI+MjAyMjwvWWVhcj48UmVj
TnVtPjgyPC9SZWNOdW0+PERpc3BsYXlUZXh0PjxzdHlsZSBmYWNlPSJzdXBlcnNjcmlwdCI+MjMs
MzksNDI8L3N0eWxlPjwvRGlzcGxheVRleHQ+PHJlY29yZD48cmVjLW51bWJlcj44MjwvcmVjLW51
bWJlcj48Zm9yZWlnbi1rZXlzPjxrZXkgYXBwPSJFTiIgZGItaWQ9IndhcHgwdjBzNHJ3MnI2ZXN3
OWRwd3BkMXd3dngwNXYwOTIwciIgdGltZXN0YW1wPSIxNzY5NDgxNzUxIj44Mjwva2V5PjwvZm9y
ZWlnbi1rZXlzPjxyZWYtdHlwZSBuYW1lPSJKb3VybmFsIEFydGljbGUiPjE3PC9yZWYtdHlwZT48
Y29udHJpYnV0b3JzPjxhdXRob3JzPjxhdXRob3I+WmhhbywgSmluc29uZzwvYXV0aG9yPjxhdXRo
b3I+TGksIFhpbmdoYW88L2F1dGhvcj48YXV0aG9yPll1LCBDaGluLUhzaWVuPC9hdXRob3I+PGF1
dGhvcj5DaGVuLCBTaGk8L2F1dGhvcj48YXV0aG9yPkxlZSwgQ2hpLUNodWFuPC9hdXRob3I+PC9h
dXRob3JzPjwvY29udHJpYnV0b3JzPjx0aXRsZXM+PHRpdGxlPlJpZGluZyB0aGUgRmluVGVjaCBp
bm5vdmF0aW9uIHdhdmU6IEZpblRlY2gsIHBhdGVudHMgYW5kIGJhbmsgcGVyZm9ybWFuY2U8L3Rp
dGxlPjxzZWNvbmRhcnktdGl0bGU+Sm91cm5hbCBvZiBJbnRlcm5hdGlvbmFsIE1vbmV5IGFuZCBG
aW5hbmNlPC9zZWNvbmRhcnktdGl0bGU+PC90aXRsZXM+PHBlcmlvZGljYWw+PGZ1bGwtdGl0bGU+
Sm91cm5hbCBvZiBJbnRlcm5hdGlvbmFsIE1vbmV5IGFuZCBGaW5hbmNlPC9mdWxsLXRpdGxlPjwv
cGVyaW9kaWNhbD48cGFnZXM+MTAyNTUyPC9wYWdlcz48dm9sdW1lPjEyMjwvdm9sdW1lPjxkYXRl
cz48eWVhcj4yMDIyPC95ZWFyPjwvZGF0ZXM+PGlzYm4+MDI2MS01NjA2PC9pc2JuPjx1cmxzPjwv
dXJscz48L3JlY29yZD48L0NpdGU+PENpdGU+PEF1dGhvcj5HdW88L0F1dGhvcj48WWVhcj4yMDI0
PC9ZZWFyPjxSZWNOdW0+ODU8L1JlY051bT48cmVjb3JkPjxyZWMtbnVtYmVyPjg1PC9yZWMtbnVt
YmVyPjxmb3JlaWduLWtleXM+PGtleSBhcHA9IkVOIiBkYi1pZD0id2FweDB2MHM0cncycjZlc3c5
ZHB3cGQxd3d2eDA1djA5MjByIiB0aW1lc3RhbXA9IjE3Njk0ODE4ODciPjg1PC9rZXk+PC9mb3Jl
aWduLWtleXM+PHJlZi10eXBlIG5hbWU9IkpvdXJuYWwgQXJ0aWNsZSI+MTc8L3JlZi10eXBlPjxj
b250cmlidXRvcnM+PGF1dGhvcnM+PGF1dGhvcj5HdW8sIFBpbjwvYXV0aG9yPjxhdXRob3I+Q2hl
bmcsIE1hb3lvbmc8L2F1dGhvcj48YXV0aG9yPlNoZW4sIFl1ZTwvYXV0aG9yPjwvYXV0aG9ycz48
L2NvbnRyaWJ1dG9ycz48dGl0bGVzPjx0aXRsZT5GaW5UZWNoIGFkb3B0aW9uIGFuZCBiYW5rIHJp
c2stdGFraW5nOiBldmlkZW5jZSBmcm9tIENoaW5hPC90aXRsZT48c2Vjb25kYXJ5LXRpdGxlPkFw
cGxpZWQgRWNvbm9taWNzIExldHRlcnM8L3NlY29uZGFyeS10aXRsZT48L3RpdGxlcz48cGVyaW9k
aWNhbD48ZnVsbC10aXRsZT5BcHBsaWVkIEVjb25vbWljcyBMZXR0ZXJzPC9mdWxsLXRpdGxlPjwv
cGVyaW9kaWNhbD48cGFnZXM+NTk0LTYwMjwvcGFnZXM+PHZvbHVtZT4zMTwvdm9sdW1lPjxudW1i
ZXI+NzwvbnVtYmVyPjxkYXRlcz48eWVhcj4yMDI0PC95ZWFyPjwvZGF0ZXM+PGlzYm4+MTM1MC00
ODUxPC9pc2JuPjx1cmxzPjwvdXJscz48L3JlY29yZD48L0NpdGU+PENpdGU+PEF1dGhvcj5RaW48
L0F1dGhvcj48WWVhcj4yMDI1PC9ZZWFyPjxSZWNOdW0+NDA8L1JlY051bT48cmVjb3JkPjxyZWMt
bnVtYmVyPjQwPC9yZWMtbnVtYmVyPjxmb3JlaWduLWtleXM+PGtleSBhcHA9IkVOIiBkYi1pZD0i
d2FweDB2MHM0cncycjZlc3c5ZHB3cGQxd3d2eDA1djA5MjByIiB0aW1lc3RhbXA9IjE3NjQ5Mjcy
NDIiPjQwPC9rZXk+PC9mb3JlaWduLWtleXM+PHJlZi10eXBlIG5hbWU9IkpvdXJuYWwgQXJ0aWNs
ZSI+MTc8L3JlZi10eXBlPjxjb250cmlidXRvcnM+PGF1dGhvcnM+PGF1dGhvcj5RaW4sIFppaHVh
PC9hdXRob3I+PGF1dGhvcj5KaW5nLCBaaGFveXU8L2F1dGhvcj48L2F1dGhvcnM+PC9jb250cmli
dXRvcnM+PHRpdGxlcz48dGl0bGU+RmludGVjaCBBZG9wdGlvbiBhbmQgQ3JlZGl0IFJpc2sgTWl0
aWdhdGlvbjogRXZpZGVuY2UgZnJvbSBDaGluZXNlIENvbW1lcmNpYWwgQmFua3M8L3RpdGxlPjxz
ZWNvbmRhcnktdGl0bGU+U3VzdGFpbmFiaWxpdHk8L3NlY29uZGFyeS10aXRsZT48L3RpdGxlcz48
cGVyaW9kaWNhbD48ZnVsbC10aXRsZT5TdXN0YWluYWJpbGl0eTwvZnVsbC10aXRsZT48L3Blcmlv
ZGljYWw+PHBhZ2VzPjEwMjk0PC9wYWdlcz48dm9sdW1lPjE3PC92b2x1bWU+PG51bWJlcj4yMjwv
bnVtYmVyPjxkYXRlcz48eWVhcj4yMDI1PC95ZWFyPjwvZGF0ZXM+PGlzYm4+MjA3MS0xMDUwPC9p
c2JuPjx1cmxzPjwvdXJscz48L3JlY29yZD48L0NpdGU+PC9FbmROb3RlPgB=
</w:fldData>
        </w:fldChar>
      </w:r>
      <w:r w:rsidR="0005669B">
        <w:rPr>
          <w:sz w:val="22"/>
          <w:szCs w:val="22"/>
          <w:lang w:val="en-US"/>
        </w:rPr>
        <w:instrText xml:space="preserve"> ADDIN EN.CITE </w:instrText>
      </w:r>
      <w:r w:rsidR="0005669B">
        <w:rPr>
          <w:sz w:val="22"/>
          <w:szCs w:val="22"/>
          <w:lang w:val="en-US"/>
        </w:rPr>
        <w:fldChar w:fldCharType="begin">
          <w:fldData xml:space="preserve">PEVuZE5vdGU+PENpdGU+PEF1dGhvcj5aaGFvPC9BdXRob3I+PFllYXI+MjAyMjwvWWVhcj48UmVj
TnVtPjgyPC9SZWNOdW0+PERpc3BsYXlUZXh0PjxzdHlsZSBmYWNlPSJzdXBlcnNjcmlwdCI+MjMs
MzksNDI8L3N0eWxlPjwvRGlzcGxheVRleHQ+PHJlY29yZD48cmVjLW51bWJlcj44MjwvcmVjLW51
bWJlcj48Zm9yZWlnbi1rZXlzPjxrZXkgYXBwPSJFTiIgZGItaWQ9IndhcHgwdjBzNHJ3MnI2ZXN3
OWRwd3BkMXd3dngwNXYwOTIwciIgdGltZXN0YW1wPSIxNzY5NDgxNzUxIj44Mjwva2V5PjwvZm9y
ZWlnbi1rZXlzPjxyZWYtdHlwZSBuYW1lPSJKb3VybmFsIEFydGljbGUiPjE3PC9yZWYtdHlwZT48
Y29udHJpYnV0b3JzPjxhdXRob3JzPjxhdXRob3I+WmhhbywgSmluc29uZzwvYXV0aG9yPjxhdXRo
b3I+TGksIFhpbmdoYW88L2F1dGhvcj48YXV0aG9yPll1LCBDaGluLUhzaWVuPC9hdXRob3I+PGF1
dGhvcj5DaGVuLCBTaGk8L2F1dGhvcj48YXV0aG9yPkxlZSwgQ2hpLUNodWFuPC9hdXRob3I+PC9h
dXRob3JzPjwvY29udHJpYnV0b3JzPjx0aXRsZXM+PHRpdGxlPlJpZGluZyB0aGUgRmluVGVjaCBp
bm5vdmF0aW9uIHdhdmU6IEZpblRlY2gsIHBhdGVudHMgYW5kIGJhbmsgcGVyZm9ybWFuY2U8L3Rp
dGxlPjxzZWNvbmRhcnktdGl0bGU+Sm91cm5hbCBvZiBJbnRlcm5hdGlvbmFsIE1vbmV5IGFuZCBG
aW5hbmNlPC9zZWNvbmRhcnktdGl0bGU+PC90aXRsZXM+PHBlcmlvZGljYWw+PGZ1bGwtdGl0bGU+
Sm91cm5hbCBvZiBJbnRlcm5hdGlvbmFsIE1vbmV5IGFuZCBGaW5hbmNlPC9mdWxsLXRpdGxlPjwv
cGVyaW9kaWNhbD48cGFnZXM+MTAyNTUyPC9wYWdlcz48dm9sdW1lPjEyMjwvdm9sdW1lPjxkYXRl
cz48eWVhcj4yMDIyPC95ZWFyPjwvZGF0ZXM+PGlzYm4+MDI2MS01NjA2PC9pc2JuPjx1cmxzPjwv
dXJscz48L3JlY29yZD48L0NpdGU+PENpdGU+PEF1dGhvcj5HdW88L0F1dGhvcj48WWVhcj4yMDI0
PC9ZZWFyPjxSZWNOdW0+ODU8L1JlY051bT48cmVjb3JkPjxyZWMtbnVtYmVyPjg1PC9yZWMtbnVt
YmVyPjxmb3JlaWduLWtleXM+PGtleSBhcHA9IkVOIiBkYi1pZD0id2FweDB2MHM0cncycjZlc3c5
ZHB3cGQxd3d2eDA1djA5MjByIiB0aW1lc3RhbXA9IjE3Njk0ODE4ODciPjg1PC9rZXk+PC9mb3Jl
aWduLWtleXM+PHJlZi10eXBlIG5hbWU9IkpvdXJuYWwgQXJ0aWNsZSI+MTc8L3JlZi10eXBlPjxj
b250cmlidXRvcnM+PGF1dGhvcnM+PGF1dGhvcj5HdW8sIFBpbjwvYXV0aG9yPjxhdXRob3I+Q2hl
bmcsIE1hb3lvbmc8L2F1dGhvcj48YXV0aG9yPlNoZW4sIFl1ZTwvYXV0aG9yPjwvYXV0aG9ycz48
L2NvbnRyaWJ1dG9ycz48dGl0bGVzPjx0aXRsZT5GaW5UZWNoIGFkb3B0aW9uIGFuZCBiYW5rIHJp
c2stdGFraW5nOiBldmlkZW5jZSBmcm9tIENoaW5hPC90aXRsZT48c2Vjb25kYXJ5LXRpdGxlPkFw
cGxpZWQgRWNvbm9taWNzIExldHRlcnM8L3NlY29uZGFyeS10aXRsZT48L3RpdGxlcz48cGVyaW9k
aWNhbD48ZnVsbC10aXRsZT5BcHBsaWVkIEVjb25vbWljcyBMZXR0ZXJzPC9mdWxsLXRpdGxlPjwv
cGVyaW9kaWNhbD48cGFnZXM+NTk0LTYwMjwvcGFnZXM+PHZvbHVtZT4zMTwvdm9sdW1lPjxudW1i
ZXI+NzwvbnVtYmVyPjxkYXRlcz48eWVhcj4yMDI0PC95ZWFyPjwvZGF0ZXM+PGlzYm4+MTM1MC00
ODUxPC9pc2JuPjx1cmxzPjwvdXJscz48L3JlY29yZD48L0NpdGU+PENpdGU+PEF1dGhvcj5RaW48
L0F1dGhvcj48WWVhcj4yMDI1PC9ZZWFyPjxSZWNOdW0+NDA8L1JlY051bT48cmVjb3JkPjxyZWMt
bnVtYmVyPjQwPC9yZWMtbnVtYmVyPjxmb3JlaWduLWtleXM+PGtleSBhcHA9IkVOIiBkYi1pZD0i
d2FweDB2MHM0cncycjZlc3c5ZHB3cGQxd3d2eDA1djA5MjByIiB0aW1lc3RhbXA9IjE3NjQ5Mjcy
NDIiPjQwPC9rZXk+PC9mb3JlaWduLWtleXM+PHJlZi10eXBlIG5hbWU9IkpvdXJuYWwgQXJ0aWNs
ZSI+MTc8L3JlZi10eXBlPjxjb250cmlidXRvcnM+PGF1dGhvcnM+PGF1dGhvcj5RaW4sIFppaHVh
PC9hdXRob3I+PGF1dGhvcj5KaW5nLCBaaGFveXU8L2F1dGhvcj48L2F1dGhvcnM+PC9jb250cmli
dXRvcnM+PHRpdGxlcz48dGl0bGU+RmludGVjaCBBZG9wdGlvbiBhbmQgQ3JlZGl0IFJpc2sgTWl0
aWdhdGlvbjogRXZpZGVuY2UgZnJvbSBDaGluZXNlIENvbW1lcmNpYWwgQmFua3M8L3RpdGxlPjxz
ZWNvbmRhcnktdGl0bGU+U3VzdGFpbmFiaWxpdHk8L3NlY29uZGFyeS10aXRsZT48L3RpdGxlcz48
cGVyaW9kaWNhbD48ZnVsbC10aXRsZT5TdXN0YWluYWJpbGl0eTwvZnVsbC10aXRsZT48L3Blcmlv
ZGljYWw+PHBhZ2VzPjEwMjk0PC9wYWdlcz48dm9sdW1lPjE3PC92b2x1bWU+PG51bWJlcj4yMjwv
bnVtYmVyPjxkYXRlcz48eWVhcj4yMDI1PC95ZWFyPjwvZGF0ZXM+PGlzYm4+MjA3MS0xMDUwPC9p
c2JuPjx1cmxzPjwvdXJscz48L3JlY29yZD48L0NpdGU+PC9FbmROb3RlPgB=
</w:fldData>
        </w:fldChar>
      </w:r>
      <w:r w:rsidR="0005669B">
        <w:rPr>
          <w:sz w:val="22"/>
          <w:szCs w:val="22"/>
          <w:lang w:val="en-US"/>
        </w:rPr>
        <w:instrText xml:space="preserve"> ADDIN EN.CITE.DATA </w:instrText>
      </w:r>
      <w:r w:rsidR="0005669B">
        <w:rPr>
          <w:sz w:val="22"/>
          <w:szCs w:val="22"/>
          <w:lang w:val="en-US"/>
        </w:rPr>
      </w:r>
      <w:r w:rsidR="0005669B">
        <w:rPr>
          <w:sz w:val="22"/>
          <w:szCs w:val="22"/>
          <w:lang w:val="en-US"/>
        </w:rPr>
        <w:fldChar w:fldCharType="end"/>
      </w:r>
      <w:r w:rsidR="00BB4577">
        <w:rPr>
          <w:sz w:val="22"/>
          <w:szCs w:val="22"/>
          <w:lang w:val="en-US"/>
        </w:rPr>
      </w:r>
      <w:r w:rsidR="00BB4577">
        <w:rPr>
          <w:sz w:val="22"/>
          <w:szCs w:val="22"/>
          <w:lang w:val="en-US"/>
        </w:rPr>
        <w:fldChar w:fldCharType="separate"/>
      </w:r>
      <w:r w:rsidR="0005669B" w:rsidRPr="0005669B">
        <w:rPr>
          <w:noProof/>
          <w:sz w:val="22"/>
          <w:szCs w:val="22"/>
          <w:vertAlign w:val="superscript"/>
          <w:lang w:val="en-US"/>
        </w:rPr>
        <w:t>23,39,42</w:t>
      </w:r>
      <w:r w:rsidR="00BB4577">
        <w:rPr>
          <w:sz w:val="22"/>
          <w:szCs w:val="22"/>
          <w:lang w:val="en-US"/>
        </w:rPr>
        <w:fldChar w:fldCharType="end"/>
      </w:r>
      <w:r w:rsidR="00BB4577">
        <w:rPr>
          <w:sz w:val="22"/>
          <w:szCs w:val="22"/>
          <w:lang w:val="en-US"/>
        </w:rPr>
        <w:t xml:space="preserve"> </w:t>
      </w:r>
      <w:r w:rsidR="004D7FA2" w:rsidRPr="004D7FA2">
        <w:rPr>
          <w:sz w:val="22"/>
          <w:szCs w:val="22"/>
          <w:lang w:val="en-US"/>
        </w:rPr>
        <w:t xml:space="preserve">Specifically, they highlight how internal governance arrangements, managerial incentives, and risk management considerations condition banks’ strategic engagement with </w:t>
      </w:r>
      <w:r w:rsidR="007356CA">
        <w:rPr>
          <w:sz w:val="22"/>
          <w:szCs w:val="22"/>
          <w:lang w:val="en-US"/>
        </w:rPr>
        <w:t>Fintech</w:t>
      </w:r>
      <w:r w:rsidR="004D7FA2" w:rsidRPr="004D7FA2">
        <w:rPr>
          <w:sz w:val="22"/>
          <w:szCs w:val="22"/>
          <w:lang w:val="en-US"/>
        </w:rPr>
        <w:t xml:space="preserve"> initiatives, even when adoption is treated as an exogenous choice. These findings suggest that bank-specific governance characteristics help explain heterogeneity in how banks approach, implement, and respond to </w:t>
      </w:r>
      <w:r w:rsidR="007356CA">
        <w:rPr>
          <w:sz w:val="22"/>
          <w:szCs w:val="22"/>
          <w:lang w:val="en-US"/>
        </w:rPr>
        <w:t>Fintech</w:t>
      </w:r>
      <w:r w:rsidR="004D7FA2" w:rsidRPr="004D7FA2">
        <w:rPr>
          <w:sz w:val="22"/>
          <w:szCs w:val="22"/>
          <w:lang w:val="en-US"/>
        </w:rPr>
        <w:t xml:space="preserve"> adoption, thereby complementing determinant-focused evidence on internal readiness and resource capacity. Taken together, the literature indicates that </w:t>
      </w:r>
      <w:r w:rsidR="007356CA">
        <w:rPr>
          <w:sz w:val="22"/>
          <w:szCs w:val="22"/>
          <w:lang w:val="en-US"/>
        </w:rPr>
        <w:t>Fintech</w:t>
      </w:r>
      <w:r w:rsidR="004D7FA2" w:rsidRPr="004D7FA2">
        <w:rPr>
          <w:sz w:val="22"/>
          <w:szCs w:val="22"/>
          <w:lang w:val="en-US"/>
        </w:rPr>
        <w:t xml:space="preserve"> adoption decisions are embedded within broader organizational, strategic, and governance environments, rather than being isolated technological choices.</w:t>
      </w:r>
      <w:r w:rsidR="00E333A3" w:rsidRPr="00E333A3">
        <w:rPr>
          <w:b/>
          <w:bCs/>
          <w:sz w:val="22"/>
          <w:szCs w:val="22"/>
          <w:lang w:val="en-US"/>
        </w:rPr>
        <w:t xml:space="preserve"> </w:t>
      </w:r>
    </w:p>
    <w:p w14:paraId="35CC76A5" w14:textId="690D850C" w:rsidR="00136BE2" w:rsidRPr="00136BE2" w:rsidRDefault="00136BE2" w:rsidP="004D7FA2">
      <w:pPr>
        <w:tabs>
          <w:tab w:val="left" w:pos="567"/>
        </w:tabs>
        <w:spacing w:before="120"/>
        <w:jc w:val="both"/>
        <w:rPr>
          <w:b/>
          <w:bCs/>
          <w:sz w:val="22"/>
          <w:szCs w:val="22"/>
          <w:lang w:val="en-US"/>
        </w:rPr>
      </w:pPr>
      <w:r w:rsidRPr="00136BE2">
        <w:rPr>
          <w:b/>
          <w:bCs/>
          <w:sz w:val="22"/>
          <w:szCs w:val="22"/>
          <w:lang w:val="en-US"/>
        </w:rPr>
        <w:t xml:space="preserve">4.3.3. Impacts of </w:t>
      </w:r>
      <w:r w:rsidR="007356CA">
        <w:rPr>
          <w:b/>
          <w:bCs/>
          <w:sz w:val="22"/>
          <w:szCs w:val="22"/>
          <w:lang w:val="en-US"/>
        </w:rPr>
        <w:t>Fintech</w:t>
      </w:r>
      <w:r w:rsidRPr="00136BE2">
        <w:rPr>
          <w:b/>
          <w:bCs/>
          <w:sz w:val="22"/>
          <w:szCs w:val="22"/>
          <w:lang w:val="en-US"/>
        </w:rPr>
        <w:t xml:space="preserve"> adoption</w:t>
      </w:r>
    </w:p>
    <w:p w14:paraId="7FF063D7" w14:textId="4E88894F" w:rsidR="00136BE2" w:rsidRPr="004D7FA2" w:rsidRDefault="00136BE2" w:rsidP="00136BE2">
      <w:pPr>
        <w:tabs>
          <w:tab w:val="left" w:pos="360"/>
        </w:tabs>
        <w:spacing w:before="120"/>
        <w:jc w:val="both"/>
        <w:rPr>
          <w:sz w:val="22"/>
          <w:szCs w:val="22"/>
          <w:lang w:val="en-US"/>
        </w:rPr>
      </w:pPr>
      <w:r w:rsidRPr="004D7FA2">
        <w:rPr>
          <w:sz w:val="22"/>
          <w:szCs w:val="22"/>
          <w:lang w:val="en-US"/>
        </w:rPr>
        <w:t xml:space="preserve">A third stream of the literature examines the impacts of </w:t>
      </w:r>
      <w:r w:rsidR="007356CA">
        <w:rPr>
          <w:sz w:val="22"/>
          <w:szCs w:val="22"/>
          <w:lang w:val="en-US"/>
        </w:rPr>
        <w:t>Fintech</w:t>
      </w:r>
      <w:r w:rsidRPr="004D7FA2">
        <w:rPr>
          <w:sz w:val="22"/>
          <w:szCs w:val="22"/>
          <w:lang w:val="en-US"/>
        </w:rPr>
        <w:t xml:space="preserve"> adoption on banking outcomes. Most studies focus on bank performance, risk, and sustainability-related outcomes, although the reported effects vary across contexts.</w:t>
      </w:r>
    </w:p>
    <w:p w14:paraId="7AAD9B3D" w14:textId="72301E3E" w:rsidR="00136BE2" w:rsidRDefault="00136BE2" w:rsidP="00136BE2">
      <w:pPr>
        <w:tabs>
          <w:tab w:val="left" w:pos="360"/>
        </w:tabs>
        <w:spacing w:before="120"/>
        <w:jc w:val="both"/>
        <w:rPr>
          <w:sz w:val="22"/>
          <w:szCs w:val="22"/>
          <w:lang w:val="en-US"/>
        </w:rPr>
      </w:pPr>
      <w:r w:rsidRPr="00ED292D">
        <w:rPr>
          <w:sz w:val="22"/>
          <w:szCs w:val="22"/>
          <w:lang w:val="en-US"/>
        </w:rPr>
        <w:t xml:space="preserve">Several studies provide evidence of positive performance effects associated with </w:t>
      </w:r>
      <w:r w:rsidR="007356CA">
        <w:rPr>
          <w:sz w:val="22"/>
          <w:szCs w:val="22"/>
          <w:lang w:val="en-US"/>
        </w:rPr>
        <w:t>Fintech</w:t>
      </w:r>
      <w:r w:rsidRPr="00ED292D">
        <w:rPr>
          <w:sz w:val="22"/>
          <w:szCs w:val="22"/>
          <w:lang w:val="en-US"/>
        </w:rPr>
        <w:t xml:space="preserve"> adoption</w:t>
      </w:r>
      <w:r w:rsidR="00F22F4A">
        <w:rPr>
          <w:sz w:val="22"/>
          <w:szCs w:val="22"/>
          <w:lang w:val="en-US"/>
        </w:rPr>
        <w:t>.</w:t>
      </w:r>
      <w:r w:rsidR="00BB4577">
        <w:rPr>
          <w:sz w:val="22"/>
          <w:szCs w:val="22"/>
          <w:lang w:val="en-US"/>
        </w:rPr>
        <w:fldChar w:fldCharType="begin"/>
      </w:r>
      <w:r w:rsidR="0005669B">
        <w:rPr>
          <w:sz w:val="22"/>
          <w:szCs w:val="22"/>
          <w:lang w:val="en-US"/>
        </w:rPr>
        <w:instrText xml:space="preserve"> ADDIN EN.CITE &lt;EndNote&gt;&lt;Cite&gt;&lt;Author&gt;Bian&lt;/Author&gt;&lt;Year&gt;2024&lt;/Year&gt;&lt;RecNum&gt;70&lt;/RecNum&gt;&lt;DisplayText&gt;&lt;style face="superscript"&gt;29&lt;/style&gt;&lt;/DisplayText&gt;&lt;record&gt;&lt;rec-number&gt;70&lt;/rec-number&gt;&lt;foreign-keys&gt;&lt;key app="EN" db-id="wapx0v0s4rw2r6esw9dpwpd1wwvx05v0920r" timestamp="1769481205"&gt;70&lt;/key&gt;&lt;/foreign-keys&gt;&lt;ref-type name="Journal Article"&gt;17&lt;/ref-type&gt;&lt;contributors&gt;&lt;authors&gt;&lt;author&gt;Bian, Wenlong&lt;/author&gt;&lt;author&gt;Wang, Shihui&lt;/author&gt;&lt;author&gt;Xie, Xuanli&lt;/author&gt;&lt;/authors&gt;&lt;/contributors&gt;&lt;titles&gt;&lt;title&gt;How valuable is FinTech adoption for traditional banks?&lt;/title&gt;&lt;secondary-title&gt;European Financial Management&lt;/secondary-title&gt;&lt;/titles&gt;&lt;periodical&gt;&lt;full-title&gt;European Financial Management&lt;/full-title&gt;&lt;/periodical&gt;&lt;pages&gt;1065-1093&lt;/pages&gt;&lt;volume&gt;30&lt;/volume&gt;&lt;number&gt;3&lt;/number&gt;&lt;dates&gt;&lt;year&gt;2024&lt;/year&gt;&lt;/dates&gt;&lt;isbn&gt;1354-7798&lt;/isbn&gt;&lt;urls&gt;&lt;/urls&gt;&lt;/record&gt;&lt;/Cite&gt;&lt;/EndNote&gt;</w:instrText>
      </w:r>
      <w:r w:rsidR="00BB4577">
        <w:rPr>
          <w:sz w:val="22"/>
          <w:szCs w:val="22"/>
          <w:lang w:val="en-US"/>
        </w:rPr>
        <w:fldChar w:fldCharType="separate"/>
      </w:r>
      <w:r w:rsidR="0005669B" w:rsidRPr="0005669B">
        <w:rPr>
          <w:noProof/>
          <w:sz w:val="22"/>
          <w:szCs w:val="22"/>
          <w:vertAlign w:val="superscript"/>
          <w:lang w:val="en-US"/>
        </w:rPr>
        <w:t>29</w:t>
      </w:r>
      <w:r w:rsidR="00BB4577">
        <w:rPr>
          <w:sz w:val="22"/>
          <w:szCs w:val="22"/>
          <w:lang w:val="en-US"/>
        </w:rPr>
        <w:fldChar w:fldCharType="end"/>
      </w:r>
      <w:r w:rsidR="00F22F4A">
        <w:rPr>
          <w:sz w:val="22"/>
          <w:szCs w:val="22"/>
          <w:lang w:val="en-US"/>
        </w:rPr>
        <w:t xml:space="preserve"> </w:t>
      </w:r>
      <w:r w:rsidRPr="00136BE2">
        <w:rPr>
          <w:sz w:val="22"/>
          <w:szCs w:val="22"/>
          <w:lang w:val="en-US"/>
        </w:rPr>
        <w:t xml:space="preserve">European evidence similarly suggests that </w:t>
      </w:r>
      <w:r w:rsidR="007356CA">
        <w:rPr>
          <w:sz w:val="22"/>
          <w:szCs w:val="22"/>
          <w:lang w:val="en-US"/>
        </w:rPr>
        <w:t>Fintech</w:t>
      </w:r>
      <w:r w:rsidRPr="00136BE2">
        <w:rPr>
          <w:sz w:val="22"/>
          <w:szCs w:val="22"/>
          <w:lang w:val="en-US"/>
        </w:rPr>
        <w:t xml:space="preserve"> investment contributes to higher profitability </w:t>
      </w:r>
      <w:r w:rsidR="00BB4577">
        <w:rPr>
          <w:sz w:val="22"/>
          <w:szCs w:val="22"/>
          <w:lang w:val="en-US"/>
        </w:rPr>
        <w:fldChar w:fldCharType="begin"/>
      </w:r>
      <w:r w:rsidR="0005669B">
        <w:rPr>
          <w:sz w:val="22"/>
          <w:szCs w:val="22"/>
          <w:lang w:val="en-US"/>
        </w:rPr>
        <w:instrText xml:space="preserve"> ADDIN EN.CITE &lt;EndNote&gt;&lt;Cite&gt;&lt;Author&gt;Chhaidar&lt;/Author&gt;&lt;Year&gt;2023&lt;/Year&gt;&lt;RecNum&gt;75&lt;/RecNum&gt;&lt;DisplayText&gt;&lt;style face="superscript"&gt;25&lt;/style&gt;&lt;/DisplayText&gt;&lt;record&gt;&lt;rec-number&gt;75&lt;/rec-number&gt;&lt;foreign-keys&gt;&lt;key app="EN" db-id="wapx0v0s4rw2r6esw9dpwpd1wwvx05v0920r" timestamp="1769481436"&gt;75&lt;/key&gt;&lt;/foreign-keys&gt;&lt;ref-type name="Journal Article"&gt;17&lt;/ref-type&gt;&lt;contributors&gt;&lt;authors&gt;&lt;author&gt;Chhaidar, Ahlem&lt;/author&gt;&lt;author&gt;Abdelhedi, Mouna&lt;/author&gt;&lt;author&gt;Abdelkafi, Ines&lt;/author&gt;&lt;/authors&gt;&lt;/contributors&gt;&lt;titles&gt;&lt;title&gt;The effect of financial technology investment level on European banks’ profitability&lt;/title&gt;&lt;secondary-title&gt;Journal of the Knowledge Economy&lt;/secondary-title&gt;&lt;/titles&gt;&lt;periodical&gt;&lt;full-title&gt;Journal of the Knowledge Economy&lt;/full-title&gt;&lt;/periodical&gt;&lt;pages&gt;2959-2981&lt;/pages&gt;&lt;volume&gt;14&lt;/volume&gt;&lt;number&gt;3&lt;/number&gt;&lt;dates&gt;&lt;year&gt;2023&lt;/year&gt;&lt;/dates&gt;&lt;isbn&gt;1868-7865&lt;/isbn&gt;&lt;urls&gt;&lt;/urls&gt;&lt;/record&gt;&lt;/Cite&gt;&lt;/EndNote&gt;</w:instrText>
      </w:r>
      <w:r w:rsidR="00BB4577">
        <w:rPr>
          <w:sz w:val="22"/>
          <w:szCs w:val="22"/>
          <w:lang w:val="en-US"/>
        </w:rPr>
        <w:fldChar w:fldCharType="separate"/>
      </w:r>
      <w:r w:rsidR="0005669B" w:rsidRPr="0005669B">
        <w:rPr>
          <w:noProof/>
          <w:sz w:val="22"/>
          <w:szCs w:val="22"/>
          <w:vertAlign w:val="superscript"/>
          <w:lang w:val="en-US"/>
        </w:rPr>
        <w:t>25</w:t>
      </w:r>
      <w:r w:rsidR="00BB4577">
        <w:rPr>
          <w:sz w:val="22"/>
          <w:szCs w:val="22"/>
          <w:lang w:val="en-US"/>
        </w:rPr>
        <w:fldChar w:fldCharType="end"/>
      </w:r>
      <w:r w:rsidR="00031533">
        <w:rPr>
          <w:sz w:val="22"/>
          <w:szCs w:val="22"/>
          <w:lang w:val="en-US"/>
        </w:rPr>
        <w:t xml:space="preserve">. </w:t>
      </w:r>
      <w:r w:rsidR="00031533" w:rsidRPr="00031533">
        <w:rPr>
          <w:sz w:val="22"/>
          <w:szCs w:val="22"/>
        </w:rPr>
        <w:t xml:space="preserve">Studies in China further indicate that </w:t>
      </w:r>
      <w:r w:rsidR="007356CA">
        <w:rPr>
          <w:sz w:val="22"/>
          <w:szCs w:val="22"/>
        </w:rPr>
        <w:t>Fintech</w:t>
      </w:r>
      <w:r w:rsidR="00031533" w:rsidRPr="00031533">
        <w:rPr>
          <w:sz w:val="22"/>
          <w:szCs w:val="22"/>
        </w:rPr>
        <w:t xml:space="preserve"> development is associated with improvements in operational efficiency and risk-adjusted outcomes, particularly when supported by strong internal control mechanisms</w:t>
      </w:r>
      <w:r w:rsidR="00F22F4A">
        <w:rPr>
          <w:sz w:val="22"/>
          <w:szCs w:val="22"/>
          <w:lang w:val="en-US"/>
        </w:rPr>
        <w:t>.</w:t>
      </w:r>
      <w:r w:rsidR="00AA520C">
        <w:rPr>
          <w:sz w:val="22"/>
          <w:szCs w:val="22"/>
          <w:lang w:val="en-US"/>
        </w:rPr>
        <w:fldChar w:fldCharType="begin"/>
      </w:r>
      <w:r w:rsidR="0005669B">
        <w:rPr>
          <w:sz w:val="22"/>
          <w:szCs w:val="22"/>
          <w:lang w:val="en-US"/>
        </w:rPr>
        <w:instrText xml:space="preserve"> ADDIN EN.CITE &lt;EndNote&gt;&lt;Cite&gt;&lt;Author&gt;He&lt;/Author&gt;&lt;Year&gt;2023&lt;/Year&gt;&lt;RecNum&gt;87&lt;/RecNum&gt;&lt;DisplayText&gt;&lt;style face="superscript"&gt;43,44&lt;/style&gt;&lt;/DisplayText&gt;&lt;record&gt;&lt;rec-number&gt;87&lt;/rec-number&gt;&lt;foreign-keys&gt;&lt;key app="EN" db-id="wapx0v0s4rw2r6esw9dpwpd1wwvx05v0920r" timestamp="1769481968"&gt;87&lt;/key&gt;&lt;/foreign-keys&gt;&lt;ref-type name="Journal Article"&gt;17&lt;/ref-type&gt;&lt;contributors&gt;&lt;authors&gt;&lt;author&gt;He, Miao&lt;/author&gt;&lt;author&gt;Song, Ge&lt;/author&gt;&lt;author&gt;Chen, Qianqian&lt;/author&gt;&lt;/authors&gt;&lt;/contributors&gt;&lt;titles&gt;&lt;title&gt;Fintech adoption, internal control quality and bank risk taking: Evidence from Chinese listed banks&lt;/title&gt;&lt;secondary-title&gt;Finance Research Letters&lt;/secondary-title&gt;&lt;/titles&gt;&lt;periodical&gt;&lt;full-title&gt;Finance Research Letters&lt;/full-title&gt;&lt;/periodical&gt;&lt;pages&gt;104235&lt;/pages&gt;&lt;volume&gt;57&lt;/volume&gt;&lt;dates&gt;&lt;year&gt;2023&lt;/year&gt;&lt;/dates&gt;&lt;isbn&gt;1544-6123&lt;/isbn&gt;&lt;urls&gt;&lt;/urls&gt;&lt;/record&gt;&lt;/Cite&gt;&lt;Cite&gt;&lt;Author&gt;Zhang&lt;/Author&gt;&lt;Year&gt;2023&lt;/Year&gt;&lt;RecNum&gt;88&lt;/RecNum&gt;&lt;record&gt;&lt;rec-number&gt;88&lt;/rec-number&gt;&lt;foreign-keys&gt;&lt;key app="EN" db-id="wapx0v0s4rw2r6esw9dpwpd1wwvx05v0920r" timestamp="1769481999"&gt;88&lt;/key&gt;&lt;/foreign-keys&gt;&lt;ref-type name="Journal Article"&gt;17&lt;/ref-type&gt;&lt;contributors&gt;&lt;authors&gt;&lt;author&gt;Zhang, Yujin&lt;/author&gt;&lt;author&gt;Ye, Shujun&lt;/author&gt;&lt;author&gt;Liu, Jie&lt;/author&gt;&lt;author&gt;Du, Lihong&lt;/author&gt;&lt;/authors&gt;&lt;/contributors&gt;&lt;titles&gt;&lt;title&gt;Impact of the development of FinTech by commercial banks on bank credit risk&lt;/title&gt;&lt;secondary-title&gt;Finance Research Letters&lt;/secondary-title&gt;&lt;/titles&gt;&lt;periodical&gt;&lt;full-title&gt;Finance Research Letters&lt;/full-title&gt;&lt;/periodical&gt;&lt;pages&gt;103857&lt;/pages&gt;&lt;volume&gt;55&lt;/volume&gt;&lt;dates&gt;&lt;year&gt;2023&lt;/year&gt;&lt;/dates&gt;&lt;isbn&gt;1544-6123&lt;/isbn&gt;&lt;urls&gt;&lt;/urls&gt;&lt;/record&gt;&lt;/Cite&gt;&lt;/EndNote&gt;</w:instrText>
      </w:r>
      <w:r w:rsidR="00AA520C">
        <w:rPr>
          <w:sz w:val="22"/>
          <w:szCs w:val="22"/>
          <w:lang w:val="en-US"/>
        </w:rPr>
        <w:fldChar w:fldCharType="separate"/>
      </w:r>
      <w:r w:rsidR="0005669B" w:rsidRPr="0005669B">
        <w:rPr>
          <w:noProof/>
          <w:sz w:val="22"/>
          <w:szCs w:val="22"/>
          <w:vertAlign w:val="superscript"/>
          <w:lang w:val="en-US"/>
        </w:rPr>
        <w:t>43,44</w:t>
      </w:r>
      <w:r w:rsidR="00AA520C">
        <w:rPr>
          <w:sz w:val="22"/>
          <w:szCs w:val="22"/>
          <w:lang w:val="en-US"/>
        </w:rPr>
        <w:fldChar w:fldCharType="end"/>
      </w:r>
      <w:r w:rsidR="00F22F4A">
        <w:rPr>
          <w:sz w:val="22"/>
          <w:szCs w:val="22"/>
          <w:lang w:val="en-US"/>
        </w:rPr>
        <w:t xml:space="preserve"> </w:t>
      </w:r>
      <w:r w:rsidRPr="00136BE2">
        <w:rPr>
          <w:sz w:val="22"/>
          <w:szCs w:val="22"/>
          <w:lang w:val="en-US"/>
        </w:rPr>
        <w:t xml:space="preserve">Beyond financial performance, some studies extend the analysis to sustainability-related outcomes, showing that </w:t>
      </w:r>
      <w:r w:rsidR="007356CA">
        <w:rPr>
          <w:sz w:val="22"/>
          <w:szCs w:val="22"/>
          <w:lang w:val="en-US"/>
        </w:rPr>
        <w:t>Fintech</w:t>
      </w:r>
      <w:r w:rsidRPr="00136BE2">
        <w:rPr>
          <w:sz w:val="22"/>
          <w:szCs w:val="22"/>
          <w:lang w:val="en-US"/>
        </w:rPr>
        <w:t xml:space="preserve"> adoption supports green finance and environmentally oriented lending activities</w:t>
      </w:r>
      <w:r w:rsidR="00F22F4A">
        <w:rPr>
          <w:sz w:val="22"/>
          <w:szCs w:val="22"/>
          <w:lang w:val="en-US"/>
        </w:rPr>
        <w:t>.</w:t>
      </w:r>
      <w:r w:rsidR="00AA520C">
        <w:rPr>
          <w:sz w:val="22"/>
          <w:szCs w:val="22"/>
          <w:lang w:val="en-US"/>
        </w:rPr>
        <w:fldChar w:fldCharType="begin"/>
      </w:r>
      <w:r w:rsidR="0005669B">
        <w:rPr>
          <w:sz w:val="22"/>
          <w:szCs w:val="22"/>
          <w:lang w:val="en-US"/>
        </w:rPr>
        <w:instrText xml:space="preserve"> ADDIN EN.CITE &lt;EndNote&gt;&lt;Cite&gt;&lt;Author&gt;Mirza&lt;/Author&gt;&lt;Year&gt;2023&lt;/Year&gt;&lt;RecNum&gt;77&lt;/RecNum&gt;&lt;DisplayText&gt;&lt;style face="superscript"&gt;34&lt;/style&gt;&lt;/DisplayText&gt;&lt;record&gt;&lt;rec-number&gt;77&lt;/rec-number&gt;&lt;foreign-keys&gt;&lt;key app="EN" db-id="wapx0v0s4rw2r6esw9dpwpd1wwvx05v0920r" timestamp="1769481524"&gt;77&lt;/key&gt;&lt;/foreign-keys&gt;&lt;ref-type name="Journal Article"&gt;17&lt;/ref-type&gt;&lt;contributors&gt;&lt;authors&gt;&lt;author&gt;Mirza, Nawazish&lt;/author&gt;&lt;author&gt;Umar, Muhammad&lt;/author&gt;&lt;author&gt;Afzal, Ayesha&lt;/author&gt;&lt;author&gt;Firdousi, Saba Fazal&lt;/author&gt;&lt;/authors&gt;&lt;/contributors&gt;&lt;titles&gt;&lt;title&gt;The role of fintech in promoting green finance, and profitability: Evidence from the banking sector in the euro zone&lt;/title&gt;&lt;secondary-title&gt;Economic Analysis and Policy&lt;/secondary-title&gt;&lt;/titles&gt;&lt;periodical&gt;&lt;full-title&gt;Economic Analysis and Policy&lt;/full-title&gt;&lt;/periodical&gt;&lt;pages&gt;33-40&lt;/pages&gt;&lt;volume&gt;78&lt;/volume&gt;&lt;dates&gt;&lt;year&gt;2023&lt;/year&gt;&lt;/dates&gt;&lt;isbn&gt;0313-5926&lt;/isbn&gt;&lt;urls&gt;&lt;/urls&gt;&lt;/record&gt;&lt;/Cite&gt;&lt;/EndNote&gt;</w:instrText>
      </w:r>
      <w:r w:rsidR="00AA520C">
        <w:rPr>
          <w:sz w:val="22"/>
          <w:szCs w:val="22"/>
          <w:lang w:val="en-US"/>
        </w:rPr>
        <w:fldChar w:fldCharType="separate"/>
      </w:r>
      <w:r w:rsidR="0005669B" w:rsidRPr="0005669B">
        <w:rPr>
          <w:noProof/>
          <w:sz w:val="22"/>
          <w:szCs w:val="22"/>
          <w:vertAlign w:val="superscript"/>
          <w:lang w:val="en-US"/>
        </w:rPr>
        <w:t>34</w:t>
      </w:r>
      <w:r w:rsidR="00AA520C">
        <w:rPr>
          <w:sz w:val="22"/>
          <w:szCs w:val="22"/>
          <w:lang w:val="en-US"/>
        </w:rPr>
        <w:fldChar w:fldCharType="end"/>
      </w:r>
      <w:r w:rsidR="0047370B">
        <w:rPr>
          <w:sz w:val="22"/>
          <w:szCs w:val="22"/>
          <w:lang w:val="en-US"/>
        </w:rPr>
        <w:t xml:space="preserve"> </w:t>
      </w:r>
      <w:r w:rsidRPr="00ED292D">
        <w:rPr>
          <w:sz w:val="22"/>
          <w:szCs w:val="22"/>
          <w:lang w:val="en-US"/>
        </w:rPr>
        <w:t xml:space="preserve">In contrast, the effects of </w:t>
      </w:r>
      <w:r w:rsidR="007356CA">
        <w:rPr>
          <w:sz w:val="22"/>
          <w:szCs w:val="22"/>
          <w:lang w:val="en-US"/>
        </w:rPr>
        <w:t>Fintech</w:t>
      </w:r>
      <w:r w:rsidRPr="00ED292D">
        <w:rPr>
          <w:sz w:val="22"/>
          <w:szCs w:val="22"/>
          <w:lang w:val="en-US"/>
        </w:rPr>
        <w:t xml:space="preserve"> adoption on bank risk and stability are more mixed. Several studies report risk-mitigating effects, particularly with respect to credit risk and operational risk management</w:t>
      </w:r>
      <w:r w:rsidR="00F22F4A">
        <w:rPr>
          <w:sz w:val="22"/>
          <w:szCs w:val="22"/>
          <w:lang w:val="en-US"/>
        </w:rPr>
        <w:t xml:space="preserve">. </w:t>
      </w:r>
      <w:r w:rsidR="006C4588">
        <w:rPr>
          <w:sz w:val="22"/>
          <w:szCs w:val="22"/>
          <w:lang w:val="en-US"/>
        </w:rPr>
        <w:fldChar w:fldCharType="begin">
          <w:fldData xml:space="preserve">PEVuZE5vdGU+PENpdGU+PEF1dGhvcj5DaGVuZzwvQXV0aG9yPjxZZWFyPjIwMjA8L1llYXI+PFJl
Y051bT44OTwvUmVjTnVtPjxEaXNwbGF5VGV4dD48c3R5bGUgZmFjZT0ic3VwZXJzY3JpcHQiPjQy
LDQ0LDQ1PC9zdHlsZT48L0Rpc3BsYXlUZXh0PjxyZWNvcmQ+PHJlYy1udW1iZXI+ODk8L3JlYy1u
dW1iZXI+PGZvcmVpZ24ta2V5cz48a2V5IGFwcD0iRU4iIGRiLWlkPSJ3YXB4MHYwczRydzJyNmVz
dzlkcHdwZDF3d3Z4MDV2MDkyMHIiIHRpbWVzdGFtcD0iMTc2OTQ4MjAyMSI+ODk8L2tleT48L2Zv
cmVpZ24ta2V5cz48cmVmLXR5cGUgbmFtZT0iSm91cm5hbCBBcnRpY2xlIj4xNzwvcmVmLXR5cGU+
PGNvbnRyaWJ1dG9ycz48YXV0aG9ycz48YXV0aG9yPkNoZW5nLCBNYW95b25nPC9hdXRob3I+PGF1
dGhvcj5RdSwgWWFuZzwvYXV0aG9yPjwvYXV0aG9ycz48L2NvbnRyaWJ1dG9ycz48dGl0bGVzPjx0
aXRsZT5Eb2VzIGJhbmsgRmluVGVjaCByZWR1Y2UgY3JlZGl0IHJpc2s/IEV2aWRlbmNlIGZyb20g
Q2hpbmE8L3RpdGxlPjxzZWNvbmRhcnktdGl0bGU+UGFjaWZpYy1iYXNpbiBmaW5hbmNlIGpvdXJu
YWw8L3NlY29uZGFyeS10aXRsZT48L3RpdGxlcz48cGVyaW9kaWNhbD48ZnVsbC10aXRsZT5QYWNp
ZmljLWJhc2luIGZpbmFuY2Ugam91cm5hbDwvZnVsbC10aXRsZT48L3BlcmlvZGljYWw+PHBhZ2Vz
PjEwMTM5ODwvcGFnZXM+PHZvbHVtZT42Mzwvdm9sdW1lPjxkYXRlcz48eWVhcj4yMDIwPC95ZWFy
PjwvZGF0ZXM+PGlzYm4+MDkyNy01MzhYPC9pc2JuPjx1cmxzPjwvdXJscz48L3JlY29yZD48L0Np
dGU+PENpdGU+PEF1dGhvcj5RaW48L0F1dGhvcj48WWVhcj4yMDI1PC9ZZWFyPjxSZWNOdW0+NDA8
L1JlY051bT48cmVjb3JkPjxyZWMtbnVtYmVyPjQwPC9yZWMtbnVtYmVyPjxmb3JlaWduLWtleXM+
PGtleSBhcHA9IkVOIiBkYi1pZD0id2FweDB2MHM0cncycjZlc3c5ZHB3cGQxd3d2eDA1djA5MjBy
IiB0aW1lc3RhbXA9IjE3NjQ5MjcyNDIiPjQwPC9rZXk+PC9mb3JlaWduLWtleXM+PHJlZi10eXBl
IG5hbWU9IkpvdXJuYWwgQXJ0aWNsZSI+MTc8L3JlZi10eXBlPjxjb250cmlidXRvcnM+PGF1dGhv
cnM+PGF1dGhvcj5RaW4sIFppaHVhPC9hdXRob3I+PGF1dGhvcj5KaW5nLCBaaGFveXU8L2F1dGhv
cj48L2F1dGhvcnM+PC9jb250cmlidXRvcnM+PHRpdGxlcz48dGl0bGU+RmludGVjaCBBZG9wdGlv
biBhbmQgQ3JlZGl0IFJpc2sgTWl0aWdhdGlvbjogRXZpZGVuY2UgZnJvbSBDaGluZXNlIENvbW1l
cmNpYWwgQmFua3M8L3RpdGxlPjxzZWNvbmRhcnktdGl0bGU+U3VzdGFpbmFiaWxpdHk8L3NlY29u
ZGFyeS10aXRsZT48L3RpdGxlcz48cGVyaW9kaWNhbD48ZnVsbC10aXRsZT5TdXN0YWluYWJpbGl0
eTwvZnVsbC10aXRsZT48L3BlcmlvZGljYWw+PHBhZ2VzPjEwMjk0PC9wYWdlcz48dm9sdW1lPjE3
PC92b2x1bWU+PG51bWJlcj4yMjwvbnVtYmVyPjxkYXRlcz48eWVhcj4yMDI1PC95ZWFyPjwvZGF0
ZXM+PGlzYm4+MjA3MS0xMDUwPC9pc2JuPjx1cmxzPjwvdXJscz48L3JlY29yZD48L0NpdGU+PENp
dGU+PEF1dGhvcj5aaGFuZzwvQXV0aG9yPjxZZWFyPjIwMjM8L1llYXI+PFJlY051bT44ODwvUmVj
TnVtPjxyZWNvcmQ+PHJlYy1udW1iZXI+ODg8L3JlYy1udW1iZXI+PGZvcmVpZ24ta2V5cz48a2V5
IGFwcD0iRU4iIGRiLWlkPSJ3YXB4MHYwczRydzJyNmVzdzlkcHdwZDF3d3Z4MDV2MDkyMHIiIHRp
bWVzdGFtcD0iMTc2OTQ4MTk5OSI+ODg8L2tleT48L2ZvcmVpZ24ta2V5cz48cmVmLXR5cGUgbmFt
ZT0iSm91cm5hbCBBcnRpY2xlIj4xNzwvcmVmLXR5cGU+PGNvbnRyaWJ1dG9ycz48YXV0aG9ycz48
YXV0aG9yPlpoYW5nLCBZdWppbjwvYXV0aG9yPjxhdXRob3I+WWUsIFNodWp1bjwvYXV0aG9yPjxh
dXRob3I+TGl1LCBKaWU8L2F1dGhvcj48YXV0aG9yPkR1LCBMaWhvbmc8L2F1dGhvcj48L2F1dGhv
cnM+PC9jb250cmlidXRvcnM+PHRpdGxlcz48dGl0bGU+SW1wYWN0IG9mIHRoZSBkZXZlbG9wbWVu
dCBvZiBGaW5UZWNoIGJ5IGNvbW1lcmNpYWwgYmFua3Mgb24gYmFuayBjcmVkaXQgcmlzazwvdGl0
bGU+PHNlY29uZGFyeS10aXRsZT5GaW5hbmNlIFJlc2VhcmNoIExldHRlcnM8L3NlY29uZGFyeS10
aXRsZT48L3RpdGxlcz48cGVyaW9kaWNhbD48ZnVsbC10aXRsZT5GaW5hbmNlIFJlc2VhcmNoIExl
dHRlcnM8L2Z1bGwtdGl0bGU+PC9wZXJpb2RpY2FsPjxwYWdlcz4xMDM4NTc8L3BhZ2VzPjx2b2x1
bWU+NTU8L3ZvbHVtZT48ZGF0ZXM+PHllYXI+MjAyMzwveWVhcj48L2RhdGVzPjxpc2JuPjE1NDQt
NjEyMzwvaXNibj48dXJscz48L3VybHM+PC9yZWNvcmQ+PC9DaXRlPjwvRW5kTm90ZT5=
</w:fldData>
        </w:fldChar>
      </w:r>
      <w:r w:rsidR="0005669B">
        <w:rPr>
          <w:sz w:val="22"/>
          <w:szCs w:val="22"/>
          <w:lang w:val="en-US"/>
        </w:rPr>
        <w:instrText xml:space="preserve"> ADDIN EN.CITE </w:instrText>
      </w:r>
      <w:r w:rsidR="0005669B">
        <w:rPr>
          <w:sz w:val="22"/>
          <w:szCs w:val="22"/>
          <w:lang w:val="en-US"/>
        </w:rPr>
        <w:fldChar w:fldCharType="begin">
          <w:fldData xml:space="preserve">PEVuZE5vdGU+PENpdGU+PEF1dGhvcj5DaGVuZzwvQXV0aG9yPjxZZWFyPjIwMjA8L1llYXI+PFJl
Y051bT44OTwvUmVjTnVtPjxEaXNwbGF5VGV4dD48c3R5bGUgZmFjZT0ic3VwZXJzY3JpcHQiPjQy
LDQ0LDQ1PC9zdHlsZT48L0Rpc3BsYXlUZXh0PjxyZWNvcmQ+PHJlYy1udW1iZXI+ODk8L3JlYy1u
dW1iZXI+PGZvcmVpZ24ta2V5cz48a2V5IGFwcD0iRU4iIGRiLWlkPSJ3YXB4MHYwczRydzJyNmVz
dzlkcHdwZDF3d3Z4MDV2MDkyMHIiIHRpbWVzdGFtcD0iMTc2OTQ4MjAyMSI+ODk8L2tleT48L2Zv
cmVpZ24ta2V5cz48cmVmLXR5cGUgbmFtZT0iSm91cm5hbCBBcnRpY2xlIj4xNzwvcmVmLXR5cGU+
PGNvbnRyaWJ1dG9ycz48YXV0aG9ycz48YXV0aG9yPkNoZW5nLCBNYW95b25nPC9hdXRob3I+PGF1
dGhvcj5RdSwgWWFuZzwvYXV0aG9yPjwvYXV0aG9ycz48L2NvbnRyaWJ1dG9ycz48dGl0bGVzPjx0
aXRsZT5Eb2VzIGJhbmsgRmluVGVjaCByZWR1Y2UgY3JlZGl0IHJpc2s/IEV2aWRlbmNlIGZyb20g
Q2hpbmE8L3RpdGxlPjxzZWNvbmRhcnktdGl0bGU+UGFjaWZpYy1iYXNpbiBmaW5hbmNlIGpvdXJu
YWw8L3NlY29uZGFyeS10aXRsZT48L3RpdGxlcz48cGVyaW9kaWNhbD48ZnVsbC10aXRsZT5QYWNp
ZmljLWJhc2luIGZpbmFuY2Ugam91cm5hbDwvZnVsbC10aXRsZT48L3BlcmlvZGljYWw+PHBhZ2Vz
PjEwMTM5ODwvcGFnZXM+PHZvbHVtZT42Mzwvdm9sdW1lPjxkYXRlcz48eWVhcj4yMDIwPC95ZWFy
PjwvZGF0ZXM+PGlzYm4+MDkyNy01MzhYPC9pc2JuPjx1cmxzPjwvdXJscz48L3JlY29yZD48L0Np
dGU+PENpdGU+PEF1dGhvcj5RaW48L0F1dGhvcj48WWVhcj4yMDI1PC9ZZWFyPjxSZWNOdW0+NDA8
L1JlY051bT48cmVjb3JkPjxyZWMtbnVtYmVyPjQwPC9yZWMtbnVtYmVyPjxmb3JlaWduLWtleXM+
PGtleSBhcHA9IkVOIiBkYi1pZD0id2FweDB2MHM0cncycjZlc3c5ZHB3cGQxd3d2eDA1djA5MjBy
IiB0aW1lc3RhbXA9IjE3NjQ5MjcyNDIiPjQwPC9rZXk+PC9mb3JlaWduLWtleXM+PHJlZi10eXBl
IG5hbWU9IkpvdXJuYWwgQXJ0aWNsZSI+MTc8L3JlZi10eXBlPjxjb250cmlidXRvcnM+PGF1dGhv
cnM+PGF1dGhvcj5RaW4sIFppaHVhPC9hdXRob3I+PGF1dGhvcj5KaW5nLCBaaGFveXU8L2F1dGhv
cj48L2F1dGhvcnM+PC9jb250cmlidXRvcnM+PHRpdGxlcz48dGl0bGU+RmludGVjaCBBZG9wdGlv
biBhbmQgQ3JlZGl0IFJpc2sgTWl0aWdhdGlvbjogRXZpZGVuY2UgZnJvbSBDaGluZXNlIENvbW1l
cmNpYWwgQmFua3M8L3RpdGxlPjxzZWNvbmRhcnktdGl0bGU+U3VzdGFpbmFiaWxpdHk8L3NlY29u
ZGFyeS10aXRsZT48L3RpdGxlcz48cGVyaW9kaWNhbD48ZnVsbC10aXRsZT5TdXN0YWluYWJpbGl0
eTwvZnVsbC10aXRsZT48L3BlcmlvZGljYWw+PHBhZ2VzPjEwMjk0PC9wYWdlcz48dm9sdW1lPjE3
PC92b2x1bWU+PG51bWJlcj4yMjwvbnVtYmVyPjxkYXRlcz48eWVhcj4yMDI1PC95ZWFyPjwvZGF0
ZXM+PGlzYm4+MjA3MS0xMDUwPC9pc2JuPjx1cmxzPjwvdXJscz48L3JlY29yZD48L0NpdGU+PENp
dGU+PEF1dGhvcj5aaGFuZzwvQXV0aG9yPjxZZWFyPjIwMjM8L1llYXI+PFJlY051bT44ODwvUmVj
TnVtPjxyZWNvcmQ+PHJlYy1udW1iZXI+ODg8L3JlYy1udW1iZXI+PGZvcmVpZ24ta2V5cz48a2V5
IGFwcD0iRU4iIGRiLWlkPSJ3YXB4MHYwczRydzJyNmVzdzlkcHdwZDF3d3Z4MDV2MDkyMHIiIHRp
bWVzdGFtcD0iMTc2OTQ4MTk5OSI+ODg8L2tleT48L2ZvcmVpZ24ta2V5cz48cmVmLXR5cGUgbmFt
ZT0iSm91cm5hbCBBcnRpY2xlIj4xNzwvcmVmLXR5cGU+PGNvbnRyaWJ1dG9ycz48YXV0aG9ycz48
YXV0aG9yPlpoYW5nLCBZdWppbjwvYXV0aG9yPjxhdXRob3I+WWUsIFNodWp1bjwvYXV0aG9yPjxh
dXRob3I+TGl1LCBKaWU8L2F1dGhvcj48YXV0aG9yPkR1LCBMaWhvbmc8L2F1dGhvcj48L2F1dGhv
cnM+PC9jb250cmlidXRvcnM+PHRpdGxlcz48dGl0bGU+SW1wYWN0IG9mIHRoZSBkZXZlbG9wbWVu
dCBvZiBGaW5UZWNoIGJ5IGNvbW1lcmNpYWwgYmFua3Mgb24gYmFuayBjcmVkaXQgcmlzazwvdGl0
bGU+PHNlY29uZGFyeS10aXRsZT5GaW5hbmNlIFJlc2VhcmNoIExldHRlcnM8L3NlY29uZGFyeS10
aXRsZT48L3RpdGxlcz48cGVyaW9kaWNhbD48ZnVsbC10aXRsZT5GaW5hbmNlIFJlc2VhcmNoIExl
dHRlcnM8L2Z1bGwtdGl0bGU+PC9wZXJpb2RpY2FsPjxwYWdlcz4xMDM4NTc8L3BhZ2VzPjx2b2x1
bWU+NTU8L3ZvbHVtZT48ZGF0ZXM+PHllYXI+MjAyMzwveWVhcj48L2RhdGVzPjxpc2JuPjE1NDQt
NjEyMzwvaXNibj48dXJscz48L3VybHM+PC9yZWNvcmQ+PC9DaXRlPjwvRW5kTm90ZT5=
</w:fldData>
        </w:fldChar>
      </w:r>
      <w:r w:rsidR="0005669B">
        <w:rPr>
          <w:sz w:val="22"/>
          <w:szCs w:val="22"/>
          <w:lang w:val="en-US"/>
        </w:rPr>
        <w:instrText xml:space="preserve"> ADDIN EN.CITE.DATA </w:instrText>
      </w:r>
      <w:r w:rsidR="0005669B">
        <w:rPr>
          <w:sz w:val="22"/>
          <w:szCs w:val="22"/>
          <w:lang w:val="en-US"/>
        </w:rPr>
      </w:r>
      <w:r w:rsidR="0005669B">
        <w:rPr>
          <w:sz w:val="22"/>
          <w:szCs w:val="22"/>
          <w:lang w:val="en-US"/>
        </w:rPr>
        <w:fldChar w:fldCharType="end"/>
      </w:r>
      <w:r w:rsidR="006C4588">
        <w:rPr>
          <w:sz w:val="22"/>
          <w:szCs w:val="22"/>
          <w:lang w:val="en-US"/>
        </w:rPr>
      </w:r>
      <w:r w:rsidR="006C4588">
        <w:rPr>
          <w:sz w:val="22"/>
          <w:szCs w:val="22"/>
          <w:lang w:val="en-US"/>
        </w:rPr>
        <w:fldChar w:fldCharType="separate"/>
      </w:r>
      <w:r w:rsidR="0005669B" w:rsidRPr="0005669B">
        <w:rPr>
          <w:noProof/>
          <w:sz w:val="22"/>
          <w:szCs w:val="22"/>
          <w:vertAlign w:val="superscript"/>
          <w:lang w:val="en-US"/>
        </w:rPr>
        <w:t>42,44,45</w:t>
      </w:r>
      <w:r w:rsidR="006C4588">
        <w:rPr>
          <w:sz w:val="22"/>
          <w:szCs w:val="22"/>
          <w:lang w:val="en-US"/>
        </w:rPr>
        <w:fldChar w:fldCharType="end"/>
      </w:r>
      <w:r w:rsidR="00F22F4A">
        <w:rPr>
          <w:sz w:val="22"/>
          <w:szCs w:val="22"/>
          <w:lang w:val="en-US"/>
        </w:rPr>
        <w:t xml:space="preserve"> </w:t>
      </w:r>
      <w:r w:rsidRPr="00136BE2">
        <w:rPr>
          <w:sz w:val="22"/>
          <w:szCs w:val="22"/>
          <w:lang w:val="en-US"/>
        </w:rPr>
        <w:t xml:space="preserve">Other evidence, however, indicates that </w:t>
      </w:r>
      <w:r w:rsidR="007356CA">
        <w:rPr>
          <w:sz w:val="22"/>
          <w:szCs w:val="22"/>
          <w:lang w:val="en-US"/>
        </w:rPr>
        <w:t>Fintech</w:t>
      </w:r>
      <w:r w:rsidRPr="00136BE2">
        <w:rPr>
          <w:sz w:val="22"/>
          <w:szCs w:val="22"/>
          <w:lang w:val="en-US"/>
        </w:rPr>
        <w:t xml:space="preserve"> adoption may increase risk-taking under certain conditions, suggesting potential trade-offs between innovation and financial stability</w:t>
      </w:r>
      <w:r w:rsidR="00F22F4A">
        <w:rPr>
          <w:sz w:val="22"/>
          <w:szCs w:val="22"/>
          <w:lang w:val="en-US"/>
        </w:rPr>
        <w:t>.</w:t>
      </w:r>
      <w:r w:rsidR="00A036C6">
        <w:rPr>
          <w:sz w:val="22"/>
          <w:szCs w:val="22"/>
          <w:lang w:val="en-US"/>
        </w:rPr>
        <w:fldChar w:fldCharType="begin"/>
      </w:r>
      <w:r w:rsidR="0005669B">
        <w:rPr>
          <w:sz w:val="22"/>
          <w:szCs w:val="22"/>
          <w:lang w:val="en-US"/>
        </w:rPr>
        <w:instrText xml:space="preserve"> ADDIN EN.CITE &lt;EndNote&gt;&lt;Cite&gt;&lt;Author&gt;Guo&lt;/Author&gt;&lt;Year&gt;2024&lt;/Year&gt;&lt;RecNum&gt;85&lt;/RecNum&gt;&lt;DisplayText&gt;&lt;style face="superscript"&gt;23&lt;/style&gt;&lt;/DisplayText&gt;&lt;record&gt;&lt;rec-number&gt;85&lt;/rec-number&gt;&lt;foreign-keys&gt;&lt;key app="EN" db-id="wapx0v0s4rw2r6esw9dpwpd1wwvx05v0920r" timestamp="1769481887"&gt;85&lt;/key&gt;&lt;/foreign-keys&gt;&lt;ref-type name="Journal Article"&gt;17&lt;/ref-type&gt;&lt;contributors&gt;&lt;authors&gt;&lt;author&gt;Guo, Pin&lt;/author&gt;&lt;author&gt;Cheng, Maoyong&lt;/author&gt;&lt;author&gt;Shen, Yue&lt;/author&gt;&lt;/authors&gt;&lt;/contributors&gt;&lt;titles&gt;&lt;title&gt;FinTech adoption and bank risk-taking: evidence from China&lt;/title&gt;&lt;secondary-title&gt;Applied Economics Letters&lt;/secondary-title&gt;&lt;/titles&gt;&lt;periodical&gt;&lt;full-title&gt;Applied Economics Letters&lt;/full-title&gt;&lt;/periodical&gt;&lt;pages&gt;594-602&lt;/pages&gt;&lt;volume&gt;31&lt;/volume&gt;&lt;number&gt;7&lt;/number&gt;&lt;dates&gt;&lt;year&gt;2024&lt;/year&gt;&lt;/dates&gt;&lt;isbn&gt;1350-4851&lt;/isbn&gt;&lt;urls&gt;&lt;/urls&gt;&lt;/record&gt;&lt;/Cite&gt;&lt;/EndNote&gt;</w:instrText>
      </w:r>
      <w:r w:rsidR="00A036C6">
        <w:rPr>
          <w:sz w:val="22"/>
          <w:szCs w:val="22"/>
          <w:lang w:val="en-US"/>
        </w:rPr>
        <w:fldChar w:fldCharType="separate"/>
      </w:r>
      <w:r w:rsidR="0005669B" w:rsidRPr="0005669B">
        <w:rPr>
          <w:noProof/>
          <w:sz w:val="22"/>
          <w:szCs w:val="22"/>
          <w:vertAlign w:val="superscript"/>
          <w:lang w:val="en-US"/>
        </w:rPr>
        <w:t>23</w:t>
      </w:r>
      <w:r w:rsidR="00A036C6">
        <w:rPr>
          <w:sz w:val="22"/>
          <w:szCs w:val="22"/>
          <w:lang w:val="en-US"/>
        </w:rPr>
        <w:fldChar w:fldCharType="end"/>
      </w:r>
      <w:r w:rsidR="00A036C6">
        <w:rPr>
          <w:sz w:val="22"/>
          <w:szCs w:val="22"/>
          <w:lang w:val="en-US"/>
        </w:rPr>
        <w:t xml:space="preserve"> </w:t>
      </w:r>
      <w:r w:rsidRPr="00136BE2">
        <w:rPr>
          <w:sz w:val="22"/>
          <w:szCs w:val="22"/>
          <w:lang w:val="en-US"/>
        </w:rPr>
        <w:t>Regulatory environments further condition these effects, leading to heterogeneous outcomes across countries and banking systems</w:t>
      </w:r>
      <w:r w:rsidR="00F22F4A">
        <w:rPr>
          <w:sz w:val="22"/>
          <w:szCs w:val="22"/>
          <w:lang w:val="en-US"/>
        </w:rPr>
        <w:t>.</w:t>
      </w:r>
      <w:r w:rsidR="00A036C6">
        <w:rPr>
          <w:sz w:val="22"/>
          <w:szCs w:val="22"/>
          <w:lang w:val="en-US"/>
        </w:rPr>
        <w:fldChar w:fldCharType="begin"/>
      </w:r>
      <w:r w:rsidR="0005669B">
        <w:rPr>
          <w:sz w:val="22"/>
          <w:szCs w:val="22"/>
          <w:lang w:val="en-US"/>
        </w:rPr>
        <w:instrText xml:space="preserve"> ADDIN EN.CITE &lt;EndNote&gt;&lt;Cite&gt;&lt;Author&gt;Khan&lt;/Author&gt;&lt;Year&gt;2023&lt;/Year&gt;&lt;RecNum&gt;78&lt;/RecNum&gt;&lt;DisplayText&gt;&lt;style face="superscript"&gt;35&lt;/style&gt;&lt;/DisplayText&gt;&lt;record&gt;&lt;rec-number&gt;78&lt;/rec-number&gt;&lt;foreign-keys&gt;&lt;key app="EN" db-id="wapx0v0s4rw2r6esw9dpwpd1wwvx05v0920r" timestamp="1769481576"&gt;78&lt;/key&gt;&lt;/foreign-keys&gt;&lt;ref-type name="Journal Article"&gt;17&lt;/ref-type&gt;&lt;contributors&gt;&lt;authors&gt;&lt;author&gt;Khan, Habib Hussain&lt;/author&gt;&lt;author&gt;Khan, Shoaib&lt;/author&gt;&lt;author&gt;Ghafoor, Abdul&lt;/author&gt;&lt;/authors&gt;&lt;/contributors&gt;&lt;titles&gt;&lt;title&gt;Fintech adoption, the regulatory environment and bank stability: An empirical investigation from GCC economies&lt;/title&gt;&lt;secondary-title&gt;Borsa Istanbul Review&lt;/secondary-title&gt;&lt;/titles&gt;&lt;periodical&gt;&lt;full-title&gt;Borsa Istanbul Review&lt;/full-title&gt;&lt;/periodical&gt;&lt;pages&gt;1263-1281&lt;/pages&gt;&lt;volume&gt;23&lt;/volume&gt;&lt;number&gt;6&lt;/number&gt;&lt;dates&gt;&lt;year&gt;2023&lt;/year&gt;&lt;/dates&gt;&lt;isbn&gt;2214-8450&lt;/isbn&gt;&lt;urls&gt;&lt;/urls&gt;&lt;/record&gt;&lt;/Cite&gt;&lt;/EndNote&gt;</w:instrText>
      </w:r>
      <w:r w:rsidR="00A036C6">
        <w:rPr>
          <w:sz w:val="22"/>
          <w:szCs w:val="22"/>
          <w:lang w:val="en-US"/>
        </w:rPr>
        <w:fldChar w:fldCharType="separate"/>
      </w:r>
      <w:r w:rsidR="0005669B" w:rsidRPr="0005669B">
        <w:rPr>
          <w:noProof/>
          <w:sz w:val="22"/>
          <w:szCs w:val="22"/>
          <w:vertAlign w:val="superscript"/>
          <w:lang w:val="en-US"/>
        </w:rPr>
        <w:t>35</w:t>
      </w:r>
      <w:r w:rsidR="00A036C6">
        <w:rPr>
          <w:sz w:val="22"/>
          <w:szCs w:val="22"/>
          <w:lang w:val="en-US"/>
        </w:rPr>
        <w:fldChar w:fldCharType="end"/>
      </w:r>
    </w:p>
    <w:p w14:paraId="4E7A277B" w14:textId="77777777" w:rsidR="0047370B" w:rsidRDefault="0047370B" w:rsidP="0047370B">
      <w:pPr>
        <w:tabs>
          <w:tab w:val="left" w:pos="360"/>
        </w:tabs>
        <w:spacing w:before="120"/>
        <w:jc w:val="both"/>
        <w:rPr>
          <w:b/>
          <w:bCs/>
          <w:sz w:val="22"/>
          <w:szCs w:val="22"/>
          <w:lang w:val="en-US"/>
        </w:rPr>
        <w:sectPr w:rsidR="0047370B" w:rsidSect="004F52DB">
          <w:type w:val="continuous"/>
          <w:pgSz w:w="11909" w:h="16834"/>
          <w:pgMar w:top="1134" w:right="1134" w:bottom="1134" w:left="1418" w:header="720" w:footer="720" w:gutter="0"/>
          <w:cols w:num="2" w:space="720"/>
        </w:sectPr>
      </w:pPr>
    </w:p>
    <w:p w14:paraId="3F497A6B" w14:textId="18EF1B2A" w:rsidR="0047370B" w:rsidRPr="0047370B" w:rsidRDefault="0047370B" w:rsidP="00136BE2">
      <w:pPr>
        <w:tabs>
          <w:tab w:val="left" w:pos="360"/>
        </w:tabs>
        <w:spacing w:before="120"/>
        <w:jc w:val="both"/>
        <w:rPr>
          <w:b/>
          <w:bCs/>
          <w:sz w:val="22"/>
          <w:szCs w:val="22"/>
          <w:lang w:val="en-US"/>
        </w:rPr>
        <w:sectPr w:rsidR="0047370B" w:rsidRPr="0047370B" w:rsidSect="0047370B">
          <w:type w:val="continuous"/>
          <w:pgSz w:w="11909" w:h="16834"/>
          <w:pgMar w:top="1134" w:right="1134" w:bottom="1134" w:left="1418" w:header="720" w:footer="720" w:gutter="0"/>
          <w:cols w:space="720"/>
        </w:sectPr>
      </w:pPr>
      <w:r w:rsidRPr="006E24C8">
        <w:rPr>
          <w:b/>
          <w:bCs/>
          <w:sz w:val="22"/>
          <w:szCs w:val="22"/>
          <w:lang w:val="en-US"/>
        </w:rPr>
        <w:t xml:space="preserve">Figure </w:t>
      </w:r>
      <w:r w:rsidR="00671955">
        <w:rPr>
          <w:b/>
          <w:bCs/>
          <w:sz w:val="22"/>
          <w:szCs w:val="22"/>
          <w:lang w:val="en-US"/>
        </w:rPr>
        <w:t>2.</w:t>
      </w:r>
      <w:r w:rsidRPr="006E24C8">
        <w:t xml:space="preserve"> </w:t>
      </w:r>
      <w:r w:rsidRPr="006E24C8">
        <w:rPr>
          <w:b/>
          <w:bCs/>
          <w:sz w:val="22"/>
          <w:szCs w:val="22"/>
        </w:rPr>
        <w:t>Conceptual framework</w:t>
      </w:r>
      <w:r>
        <w:rPr>
          <w:b/>
          <w:bCs/>
          <w:noProof/>
          <w:sz w:val="22"/>
          <w:szCs w:val="22"/>
          <w:lang w:val="en-US"/>
        </w:rPr>
        <mc:AlternateContent>
          <mc:Choice Requires="wpg">
            <w:drawing>
              <wp:anchor distT="0" distB="0" distL="114300" distR="114300" simplePos="0" relativeHeight="251660288" behindDoc="1" locked="0" layoutInCell="1" allowOverlap="1" wp14:anchorId="3C51ABA0" wp14:editId="42FFE5E4">
                <wp:simplePos x="0" y="0"/>
                <wp:positionH relativeFrom="column">
                  <wp:posOffset>-17145</wp:posOffset>
                </wp:positionH>
                <wp:positionV relativeFrom="paragraph">
                  <wp:posOffset>344010</wp:posOffset>
                </wp:positionV>
                <wp:extent cx="5836920" cy="1886585"/>
                <wp:effectExtent l="57150" t="19050" r="68580" b="94615"/>
                <wp:wrapSquare wrapText="bothSides"/>
                <wp:docPr id="491438459" name="Group 37"/>
                <wp:cNvGraphicFramePr/>
                <a:graphic xmlns:a="http://schemas.openxmlformats.org/drawingml/2006/main">
                  <a:graphicData uri="http://schemas.microsoft.com/office/word/2010/wordprocessingGroup">
                    <wpg:wgp>
                      <wpg:cNvGrpSpPr/>
                      <wpg:grpSpPr>
                        <a:xfrm>
                          <a:off x="0" y="0"/>
                          <a:ext cx="5836920" cy="1886585"/>
                          <a:chOff x="0" y="0"/>
                          <a:chExt cx="5837213" cy="1887123"/>
                        </a:xfrm>
                      </wpg:grpSpPr>
                      <wpg:grpSp>
                        <wpg:cNvPr id="50542598" name="Group 36"/>
                        <wpg:cNvGrpSpPr/>
                        <wpg:grpSpPr>
                          <a:xfrm>
                            <a:off x="0" y="0"/>
                            <a:ext cx="5837213" cy="1887123"/>
                            <a:chOff x="0" y="0"/>
                            <a:chExt cx="5956398" cy="1851416"/>
                          </a:xfrm>
                        </wpg:grpSpPr>
                        <wpg:grpSp>
                          <wpg:cNvPr id="781882340" name="Group 25"/>
                          <wpg:cNvGrpSpPr/>
                          <wpg:grpSpPr>
                            <a:xfrm>
                              <a:off x="0" y="260253"/>
                              <a:ext cx="1257935" cy="1011920"/>
                              <a:chOff x="0" y="-117524"/>
                              <a:chExt cx="1258180" cy="935502"/>
                            </a:xfrm>
                          </wpg:grpSpPr>
                          <wps:wsp>
                            <wps:cNvPr id="347425348" name="Rectangle 24"/>
                            <wps:cNvSpPr/>
                            <wps:spPr>
                              <a:xfrm>
                                <a:off x="0" y="-117524"/>
                                <a:ext cx="1258180" cy="365730"/>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6FB474DB" w14:textId="77777777" w:rsidR="0010708C" w:rsidRPr="0090175A" w:rsidRDefault="0010708C" w:rsidP="0010708C">
                                  <w:pPr>
                                    <w:rPr>
                                      <w:caps/>
                                      <w:color w:val="000000" w:themeColor="text1"/>
                                      <w:sz w:val="16"/>
                                      <w:szCs w:val="16"/>
                                      <w:lang w:val="en-US"/>
                                    </w:rPr>
                                  </w:pPr>
                                  <w:r w:rsidRPr="0090175A">
                                    <w:rPr>
                                      <w:b/>
                                      <w:bCs/>
                                      <w:caps/>
                                      <w:color w:val="000000" w:themeColor="text1"/>
                                      <w:sz w:val="16"/>
                                      <w:szCs w:val="16"/>
                                      <w:lang w:val="en-US"/>
                                    </w:rPr>
                                    <w:t>External Pressures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0540758" name="Rectangle 24"/>
                            <wps:cNvSpPr/>
                            <wps:spPr>
                              <a:xfrm>
                                <a:off x="0" y="246185"/>
                                <a:ext cx="1258180" cy="571793"/>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78F3E6C6" w14:textId="77777777" w:rsidR="0010708C" w:rsidRPr="003C3579" w:rsidRDefault="0010708C" w:rsidP="0010708C">
                                  <w:pPr>
                                    <w:rPr>
                                      <w:color w:val="000000" w:themeColor="text1"/>
                                      <w:sz w:val="16"/>
                                      <w:szCs w:val="16"/>
                                      <w:lang w:val="en-US"/>
                                    </w:rPr>
                                  </w:pPr>
                                  <w:r w:rsidRPr="003C3579">
                                    <w:rPr>
                                      <w:color w:val="000000" w:themeColor="text1"/>
                                      <w:sz w:val="16"/>
                                      <w:szCs w:val="16"/>
                                      <w:lang w:val="en-US"/>
                                    </w:rPr>
                                    <w:t>Competitive pressure</w:t>
                                  </w:r>
                                </w:p>
                                <w:p w14:paraId="3FE92574" w14:textId="77777777" w:rsidR="0010708C" w:rsidRPr="003C3579" w:rsidRDefault="0010708C" w:rsidP="0010708C">
                                  <w:pPr>
                                    <w:rPr>
                                      <w:color w:val="000000" w:themeColor="text1"/>
                                      <w:sz w:val="16"/>
                                      <w:szCs w:val="16"/>
                                      <w:lang w:val="en-US"/>
                                    </w:rPr>
                                  </w:pPr>
                                  <w:r w:rsidRPr="003C3579">
                                    <w:rPr>
                                      <w:color w:val="000000" w:themeColor="text1"/>
                                      <w:sz w:val="16"/>
                                      <w:szCs w:val="16"/>
                                      <w:lang w:val="en-US"/>
                                    </w:rPr>
                                    <w:t>Customer expectations</w:t>
                                  </w:r>
                                </w:p>
                                <w:p w14:paraId="6E4E9FCA" w14:textId="77777777" w:rsidR="0010708C" w:rsidRPr="003C3579" w:rsidRDefault="0010708C" w:rsidP="0010708C">
                                  <w:pPr>
                                    <w:rPr>
                                      <w:color w:val="000000" w:themeColor="text1"/>
                                      <w:sz w:val="16"/>
                                      <w:szCs w:val="16"/>
                                      <w:lang w:val="en-US"/>
                                    </w:rPr>
                                  </w:pPr>
                                  <w:r w:rsidRPr="003C3579">
                                    <w:rPr>
                                      <w:color w:val="000000" w:themeColor="text1"/>
                                      <w:sz w:val="16"/>
                                      <w:szCs w:val="16"/>
                                      <w:lang w:val="en-US"/>
                                    </w:rPr>
                                    <w:t>Regulatory and institutional environment</w:t>
                                  </w:r>
                                </w:p>
                                <w:p w14:paraId="5955019E" w14:textId="77777777" w:rsidR="0010708C" w:rsidRPr="003C3579" w:rsidRDefault="0010708C" w:rsidP="0010708C">
                                  <w:pPr>
                                    <w:rPr>
                                      <w:sz w:val="16"/>
                                      <w:szCs w:val="16"/>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32995850" name="Group 25"/>
                          <wpg:cNvGrpSpPr/>
                          <wpg:grpSpPr>
                            <a:xfrm>
                              <a:off x="4860388" y="496974"/>
                              <a:ext cx="1096010" cy="820309"/>
                              <a:chOff x="0" y="48860"/>
                              <a:chExt cx="1258180" cy="744522"/>
                            </a:xfrm>
                          </wpg:grpSpPr>
                          <wps:wsp>
                            <wps:cNvPr id="367194333" name="Rectangle 24"/>
                            <wps:cNvSpPr/>
                            <wps:spPr>
                              <a:xfrm>
                                <a:off x="0" y="48860"/>
                                <a:ext cx="1258180" cy="197032"/>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2D2BE058" w14:textId="77777777" w:rsidR="0010708C" w:rsidRPr="00FF5538" w:rsidRDefault="0010708C" w:rsidP="0010708C">
                                  <w:pPr>
                                    <w:rPr>
                                      <w:b/>
                                      <w:bCs/>
                                      <w:color w:val="000000" w:themeColor="text1"/>
                                      <w:sz w:val="16"/>
                                      <w:szCs w:val="16"/>
                                      <w:lang w:val="en-US"/>
                                    </w:rPr>
                                  </w:pPr>
                                  <w:r w:rsidRPr="00FF5538">
                                    <w:rPr>
                                      <w:b/>
                                      <w:bCs/>
                                      <w:color w:val="000000" w:themeColor="text1"/>
                                      <w:sz w:val="16"/>
                                      <w:szCs w:val="16"/>
                                      <w:lang w:val="en-US"/>
                                    </w:rPr>
                                    <w:t>Bank Perfomance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96428529" name="Rectangle 24"/>
                            <wps:cNvSpPr/>
                            <wps:spPr>
                              <a:xfrm>
                                <a:off x="0" y="245891"/>
                                <a:ext cx="1258180" cy="184797"/>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074A5090" w14:textId="77777777" w:rsidR="0010708C" w:rsidRPr="00FF5538" w:rsidRDefault="0010708C" w:rsidP="0010708C">
                                  <w:pPr>
                                    <w:rPr>
                                      <w:b/>
                                      <w:bCs/>
                                      <w:color w:val="000000" w:themeColor="text1"/>
                                      <w:sz w:val="16"/>
                                      <w:szCs w:val="16"/>
                                      <w:lang w:val="en-US"/>
                                    </w:rPr>
                                  </w:pPr>
                                  <w:r w:rsidRPr="00FF5538">
                                    <w:rPr>
                                      <w:b/>
                                      <w:bCs/>
                                      <w:color w:val="000000" w:themeColor="text1"/>
                                      <w:sz w:val="16"/>
                                      <w:szCs w:val="16"/>
                                      <w:lang w:val="en-US"/>
                                    </w:rPr>
                                    <w:t>Risk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75033826" name="Rectangle 24"/>
                            <wps:cNvSpPr/>
                            <wps:spPr>
                              <a:xfrm>
                                <a:off x="0" y="428997"/>
                                <a:ext cx="1258180" cy="184797"/>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49014774" w14:textId="77777777" w:rsidR="0010708C" w:rsidRPr="00FF5538" w:rsidRDefault="0010708C" w:rsidP="0010708C">
                                  <w:pPr>
                                    <w:rPr>
                                      <w:b/>
                                      <w:bCs/>
                                      <w:color w:val="000000" w:themeColor="text1"/>
                                      <w:sz w:val="16"/>
                                      <w:szCs w:val="16"/>
                                      <w:lang w:val="en-US"/>
                                    </w:rPr>
                                  </w:pPr>
                                  <w:r w:rsidRPr="00FF5538">
                                    <w:rPr>
                                      <w:b/>
                                      <w:bCs/>
                                      <w:color w:val="000000" w:themeColor="text1"/>
                                      <w:sz w:val="16"/>
                                      <w:szCs w:val="16"/>
                                      <w:lang w:val="en-US"/>
                                    </w:rPr>
                                    <w:t>Stability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8256288" name="Rectangle 24"/>
                            <wps:cNvSpPr/>
                            <wps:spPr>
                              <a:xfrm>
                                <a:off x="0" y="608585"/>
                                <a:ext cx="1258180" cy="184797"/>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511F0E3F" w14:textId="77777777" w:rsidR="0010708C" w:rsidRPr="00FF5538" w:rsidRDefault="0010708C" w:rsidP="0010708C">
                                  <w:pPr>
                                    <w:rPr>
                                      <w:b/>
                                      <w:bCs/>
                                      <w:color w:val="000000" w:themeColor="text1"/>
                                      <w:sz w:val="16"/>
                                      <w:szCs w:val="16"/>
                                      <w:lang w:val="en-US"/>
                                    </w:rPr>
                                  </w:pPr>
                                  <w:r w:rsidRPr="00FF5538">
                                    <w:rPr>
                                      <w:b/>
                                      <w:bCs/>
                                      <w:color w:val="000000" w:themeColor="text1"/>
                                      <w:sz w:val="16"/>
                                      <w:szCs w:val="16"/>
                                      <w:lang w:val="en-US"/>
                                    </w:rPr>
                                    <w:t>Green Finance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460674603" name="Rectangle 24"/>
                          <wps:cNvSpPr/>
                          <wps:spPr>
                            <a:xfrm>
                              <a:off x="2229730" y="1610751"/>
                              <a:ext cx="1624965" cy="240665"/>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2F727050" w14:textId="77777777" w:rsidR="0010708C" w:rsidRPr="00713C41" w:rsidRDefault="0010708C" w:rsidP="0010708C">
                                <w:pPr>
                                  <w:jc w:val="center"/>
                                  <w:rPr>
                                    <w:caps/>
                                    <w:color w:val="000000" w:themeColor="text1"/>
                                    <w:sz w:val="20"/>
                                    <w:szCs w:val="20"/>
                                    <w:lang w:val="en-US"/>
                                  </w:rPr>
                                </w:pPr>
                                <w:r>
                                  <w:rPr>
                                    <w:b/>
                                    <w:bCs/>
                                    <w:caps/>
                                    <w:color w:val="000000" w:themeColor="text1"/>
                                    <w:sz w:val="20"/>
                                    <w:szCs w:val="20"/>
                                    <w:lang w:val="en-US"/>
                                  </w:rPr>
                                  <w:t>Fintech</w:t>
                                </w:r>
                                <w:r w:rsidRPr="00713C41">
                                  <w:rPr>
                                    <w:b/>
                                    <w:bCs/>
                                    <w:caps/>
                                    <w:color w:val="000000" w:themeColor="text1"/>
                                    <w:sz w:val="20"/>
                                    <w:szCs w:val="20"/>
                                    <w:lang w:val="en-US"/>
                                  </w:rPr>
                                  <w:t xml:space="preserve"> Adoption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743229924" name="Group 27"/>
                          <wpg:cNvGrpSpPr/>
                          <wpg:grpSpPr>
                            <a:xfrm>
                              <a:off x="1456006" y="0"/>
                              <a:ext cx="3200400" cy="1394899"/>
                              <a:chOff x="0" y="0"/>
                              <a:chExt cx="3200400" cy="1350499"/>
                            </a:xfrm>
                          </wpg:grpSpPr>
                          <wpg:grpSp>
                            <wpg:cNvPr id="1062637646" name="Group 25"/>
                            <wpg:cNvGrpSpPr/>
                            <wpg:grpSpPr>
                              <a:xfrm>
                                <a:off x="70339" y="189914"/>
                                <a:ext cx="3030220" cy="1041009"/>
                                <a:chOff x="0" y="-156528"/>
                                <a:chExt cx="2672863" cy="765087"/>
                              </a:xfrm>
                            </wpg:grpSpPr>
                            <wps:wsp>
                              <wps:cNvPr id="111819176" name="Rectangle 24"/>
                              <wps:cNvSpPr/>
                              <wps:spPr>
                                <a:xfrm>
                                  <a:off x="0" y="7351"/>
                                  <a:ext cx="1258180" cy="240616"/>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544B7657" w14:textId="77777777" w:rsidR="0010708C" w:rsidRPr="003C3579" w:rsidRDefault="0010708C" w:rsidP="0010708C">
                                    <w:pPr>
                                      <w:rPr>
                                        <w:color w:val="000000" w:themeColor="text1"/>
                                        <w:sz w:val="16"/>
                                        <w:szCs w:val="16"/>
                                        <w:lang w:val="en-US"/>
                                      </w:rPr>
                                    </w:pPr>
                                    <w:r w:rsidRPr="003C3579">
                                      <w:rPr>
                                        <w:b/>
                                        <w:bCs/>
                                        <w:color w:val="000000" w:themeColor="text1"/>
                                        <w:sz w:val="16"/>
                                        <w:szCs w:val="16"/>
                                        <w:lang w:val="en-US"/>
                                      </w:rPr>
                                      <w:t>Organizational &amp;Technological Readiness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838423" name="Rectangle 24"/>
                              <wps:cNvSpPr/>
                              <wps:spPr>
                                <a:xfrm>
                                  <a:off x="0" y="245890"/>
                                  <a:ext cx="1258180" cy="362669"/>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6E07DA2B" w14:textId="77777777" w:rsidR="0010708C" w:rsidRPr="003C3579" w:rsidRDefault="0010708C" w:rsidP="0010708C">
                                    <w:pPr>
                                      <w:rPr>
                                        <w:color w:val="000000" w:themeColor="text1"/>
                                        <w:sz w:val="16"/>
                                        <w:szCs w:val="16"/>
                                        <w:lang w:val="en-US"/>
                                      </w:rPr>
                                    </w:pPr>
                                    <w:r w:rsidRPr="003C3579">
                                      <w:rPr>
                                        <w:color w:val="000000" w:themeColor="text1"/>
                                        <w:sz w:val="16"/>
                                        <w:szCs w:val="16"/>
                                        <w:lang w:val="en-US"/>
                                      </w:rPr>
                                      <w:t>Organizational Readiness</w:t>
                                    </w:r>
                                  </w:p>
                                  <w:p w14:paraId="3E499969" w14:textId="77777777" w:rsidR="0010708C" w:rsidRPr="003C3579" w:rsidRDefault="0010708C" w:rsidP="0010708C">
                                    <w:pPr>
                                      <w:rPr>
                                        <w:color w:val="000000" w:themeColor="text1"/>
                                        <w:sz w:val="16"/>
                                        <w:szCs w:val="16"/>
                                        <w:lang w:val="en-US"/>
                                      </w:rPr>
                                    </w:pPr>
                                    <w:r w:rsidRPr="003C3579">
                                      <w:rPr>
                                        <w:color w:val="000000" w:themeColor="text1"/>
                                        <w:sz w:val="16"/>
                                        <w:szCs w:val="16"/>
                                        <w:lang w:val="en-US"/>
                                      </w:rPr>
                                      <w:t>Leadership</w:t>
                                    </w:r>
                                  </w:p>
                                  <w:p w14:paraId="288F194D" w14:textId="77777777" w:rsidR="0010708C" w:rsidRPr="003C3579" w:rsidRDefault="0010708C" w:rsidP="0010708C">
                                    <w:pPr>
                                      <w:rPr>
                                        <w:color w:val="000000" w:themeColor="text1"/>
                                        <w:sz w:val="16"/>
                                        <w:szCs w:val="16"/>
                                        <w:lang w:val="en-US"/>
                                      </w:rPr>
                                    </w:pPr>
                                    <w:r w:rsidRPr="003C3579">
                                      <w:rPr>
                                        <w:color w:val="000000" w:themeColor="text1"/>
                                        <w:sz w:val="16"/>
                                        <w:szCs w:val="16"/>
                                        <w:lang w:val="en-US"/>
                                      </w:rPr>
                                      <w:t>Internal IT Knowledge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78321109" name="Rectangle 24"/>
                              <wps:cNvSpPr/>
                              <wps:spPr>
                                <a:xfrm>
                                  <a:off x="0" y="-156528"/>
                                  <a:ext cx="2672863" cy="163901"/>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14CA75BE" w14:textId="77777777" w:rsidR="0010708C" w:rsidRPr="0090175A" w:rsidRDefault="0010708C" w:rsidP="0010708C">
                                    <w:pPr>
                                      <w:jc w:val="center"/>
                                      <w:rPr>
                                        <w:caps/>
                                        <w:color w:val="000000" w:themeColor="text1"/>
                                        <w:sz w:val="16"/>
                                        <w:szCs w:val="16"/>
                                        <w:lang w:val="en-US"/>
                                      </w:rPr>
                                    </w:pPr>
                                    <w:r w:rsidRPr="0090175A">
                                      <w:rPr>
                                        <w:b/>
                                        <w:bCs/>
                                        <w:caps/>
                                        <w:color w:val="000000" w:themeColor="text1"/>
                                        <w:sz w:val="16"/>
                                        <w:szCs w:val="16"/>
                                        <w:lang w:val="en-US"/>
                                      </w:rPr>
                                      <w:t>Bank-Specific Determinants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12850346" name="Group 25"/>
                            <wpg:cNvGrpSpPr/>
                            <wpg:grpSpPr>
                              <a:xfrm>
                                <a:off x="1674056" y="414997"/>
                                <a:ext cx="1426845" cy="817069"/>
                                <a:chOff x="0" y="66235"/>
                                <a:chExt cx="1258180" cy="542064"/>
                              </a:xfrm>
                            </wpg:grpSpPr>
                            <wps:wsp>
                              <wps:cNvPr id="1608076906" name="Rectangle 24"/>
                              <wps:cNvSpPr/>
                              <wps:spPr>
                                <a:xfrm>
                                  <a:off x="0" y="66235"/>
                                  <a:ext cx="1258180" cy="215427"/>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3613BA8A" w14:textId="77777777" w:rsidR="0010708C" w:rsidRPr="003C3579" w:rsidRDefault="0010708C" w:rsidP="0010708C">
                                    <w:pPr>
                                      <w:tabs>
                                        <w:tab w:val="left" w:pos="360"/>
                                      </w:tabs>
                                      <w:rPr>
                                        <w:b/>
                                        <w:bCs/>
                                        <w:color w:val="000000" w:themeColor="text1"/>
                                        <w:sz w:val="16"/>
                                        <w:szCs w:val="16"/>
                                        <w:lang w:val="en-US"/>
                                      </w:rPr>
                                    </w:pPr>
                                    <w:r w:rsidRPr="003C3579">
                                      <w:rPr>
                                        <w:b/>
                                        <w:bCs/>
                                        <w:color w:val="000000" w:themeColor="text1"/>
                                        <w:sz w:val="16"/>
                                        <w:szCs w:val="16"/>
                                        <w:lang w:val="en-US"/>
                                      </w:rPr>
                                      <w:t xml:space="preserve">Resources </w:t>
                                    </w:r>
                                  </w:p>
                                  <w:p w14:paraId="2DE802AC" w14:textId="77777777" w:rsidR="0010708C" w:rsidRPr="003C3579" w:rsidRDefault="0010708C" w:rsidP="0010708C">
                                    <w:pPr>
                                      <w:rPr>
                                        <w:color w:val="000000" w:themeColor="text1"/>
                                        <w:sz w:val="16"/>
                                        <w:szCs w:val="16"/>
                                        <w:lang w:val="en-US"/>
                                      </w:rPr>
                                    </w:pPr>
                                    <w:r w:rsidRPr="003C3579">
                                      <w:rPr>
                                        <w:b/>
                                        <w:bCs/>
                                        <w:color w:val="000000" w:themeColor="text1"/>
                                        <w:sz w:val="16"/>
                                        <w:szCs w:val="16"/>
                                        <w:lang w:val="en-US"/>
                                      </w:rPr>
                                      <w:t>&amp; Strategic Capacity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35674388" name="Rectangle 24"/>
                              <wps:cNvSpPr/>
                              <wps:spPr>
                                <a:xfrm>
                                  <a:off x="0" y="283210"/>
                                  <a:ext cx="1258180" cy="325089"/>
                                </a:xfrm>
                                <a:prstGeom prst="rect">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txbx>
                                <w:txbxContent>
                                  <w:p w14:paraId="38BB3F5A" w14:textId="77777777" w:rsidR="0010708C" w:rsidRPr="003C3579" w:rsidRDefault="0010708C" w:rsidP="0010708C">
                                    <w:pPr>
                                      <w:rPr>
                                        <w:color w:val="000000" w:themeColor="text1"/>
                                        <w:sz w:val="16"/>
                                        <w:szCs w:val="16"/>
                                        <w:lang w:val="en-US"/>
                                      </w:rPr>
                                    </w:pPr>
                                    <w:r w:rsidRPr="003C3579">
                                      <w:rPr>
                                        <w:color w:val="000000" w:themeColor="text1"/>
                                        <w:sz w:val="16"/>
                                        <w:szCs w:val="16"/>
                                        <w:lang w:val="en-US"/>
                                      </w:rPr>
                                      <w:t>Financial Strength</w:t>
                                    </w:r>
                                  </w:p>
                                  <w:p w14:paraId="027A2263" w14:textId="77777777" w:rsidR="0010708C" w:rsidRPr="003C3579" w:rsidRDefault="0010708C" w:rsidP="0010708C">
                                    <w:pPr>
                                      <w:rPr>
                                        <w:color w:val="000000" w:themeColor="text1"/>
                                        <w:sz w:val="16"/>
                                        <w:szCs w:val="16"/>
                                        <w:lang w:val="en-US"/>
                                      </w:rPr>
                                    </w:pPr>
                                    <w:r w:rsidRPr="003C3579">
                                      <w:rPr>
                                        <w:color w:val="000000" w:themeColor="text1"/>
                                        <w:sz w:val="16"/>
                                        <w:szCs w:val="16"/>
                                        <w:lang w:val="en-US"/>
                                      </w:rPr>
                                      <w:t>Resource Availability</w:t>
                                    </w:r>
                                  </w:p>
                                  <w:p w14:paraId="2285D668" w14:textId="77777777" w:rsidR="0010708C" w:rsidRPr="003C3579" w:rsidRDefault="0010708C" w:rsidP="0010708C">
                                    <w:pPr>
                                      <w:rPr>
                                        <w:color w:val="000000" w:themeColor="text1"/>
                                        <w:sz w:val="16"/>
                                        <w:szCs w:val="16"/>
                                        <w:lang w:val="en-US"/>
                                      </w:rPr>
                                    </w:pPr>
                                    <w:r w:rsidRPr="003C3579">
                                      <w:rPr>
                                        <w:color w:val="000000" w:themeColor="text1"/>
                                        <w:sz w:val="16"/>
                                        <w:szCs w:val="16"/>
                                        <w:lang w:val="en-US"/>
                                      </w:rPr>
                                      <w:t>Strategic Capacity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90572871" name="Rectangle: Rounded Corners 26"/>
                            <wps:cNvSpPr/>
                            <wps:spPr>
                              <a:xfrm>
                                <a:off x="0" y="0"/>
                                <a:ext cx="3200400" cy="1350499"/>
                              </a:xfrm>
                              <a:prstGeom prst="roundRect">
                                <a:avLst/>
                              </a:prstGeom>
                              <a:noFill/>
                              <a:ln>
                                <a:solidFill>
                                  <a:schemeClr val="tx1"/>
                                </a:solidFill>
                                <a:prstDash val="dash"/>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87105455" name="Straight Arrow Connector 34"/>
                          <wps:cNvCnPr/>
                          <wps:spPr>
                            <a:xfrm>
                              <a:off x="628936" y="1271809"/>
                              <a:ext cx="1644250" cy="477094"/>
                            </a:xfrm>
                            <a:prstGeom prst="straightConnector1">
                              <a:avLst/>
                            </a:prstGeom>
                            <a:ln>
                              <a:solidFill>
                                <a:schemeClr val="tx1"/>
                              </a:solidFill>
                              <a:tailEnd type="triangle"/>
                            </a:ln>
                          </wps:spPr>
                          <wps:style>
                            <a:lnRef idx="2">
                              <a:schemeClr val="accent1"/>
                            </a:lnRef>
                            <a:fillRef idx="0">
                              <a:schemeClr val="accent1"/>
                            </a:fillRef>
                            <a:effectRef idx="1">
                              <a:schemeClr val="accent1"/>
                            </a:effectRef>
                            <a:fontRef idx="minor">
                              <a:schemeClr val="tx1"/>
                            </a:fontRef>
                          </wps:style>
                          <wps:bodyPr/>
                        </wps:wsp>
                        <wps:wsp>
                          <wps:cNvPr id="329929650" name="Straight Arrow Connector 34"/>
                          <wps:cNvCnPr/>
                          <wps:spPr>
                            <a:xfrm flipV="1">
                              <a:off x="3849566" y="1318260"/>
                              <a:ext cx="1637616" cy="433510"/>
                            </a:xfrm>
                            <a:prstGeom prst="straightConnector1">
                              <a:avLst/>
                            </a:prstGeom>
                            <a:ln>
                              <a:solidFill>
                                <a:schemeClr val="tx1"/>
                              </a:solidFill>
                              <a:tailEnd type="triangle"/>
                            </a:ln>
                          </wps:spPr>
                          <wps:style>
                            <a:lnRef idx="2">
                              <a:schemeClr val="accent1"/>
                            </a:lnRef>
                            <a:fillRef idx="0">
                              <a:schemeClr val="accent1"/>
                            </a:fillRef>
                            <a:effectRef idx="1">
                              <a:schemeClr val="accent1"/>
                            </a:effectRef>
                            <a:fontRef idx="minor">
                              <a:schemeClr val="tx1"/>
                            </a:fontRef>
                          </wps:style>
                          <wps:bodyPr/>
                        </wps:wsp>
                      </wpg:grpSp>
                      <wps:wsp>
                        <wps:cNvPr id="1555561984" name="Arrow: Down 35"/>
                        <wps:cNvSpPr/>
                        <wps:spPr>
                          <a:xfrm>
                            <a:off x="2841674" y="1420837"/>
                            <a:ext cx="275199" cy="218049"/>
                          </a:xfrm>
                          <a:prstGeom prst="downArrow">
                            <a:avLst/>
                          </a:prstGeom>
                          <a:noFill/>
                          <a:ln>
                            <a:solidFill>
                              <a:schemeClr val="tx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3C51ABA0" id="Group 37" o:spid="_x0000_s1048" style="position:absolute;left:0;text-align:left;margin-left:-1.35pt;margin-top:27.1pt;width:459.6pt;height:148.55pt;z-index:-251656192" coordsize="58372,188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NAQgAAExFAAAOAAAAZHJzL2Uyb0RvYy54bWzsXFtvm0gUfl9p/wPye2vmwgBW3SpKL1qp&#10;aqumu32mGMdImGEHUif76/ebC2DspGkT17Uq8uCAYYaZwznfufvZi+t14X3NVJ3Lcj4hT/2Jl5Wp&#10;XOTl5Xzy96fXT6KJVzdJuUgKWWbzyU1WT148//OPZ5tqllG5ksUiUx4mKevZpppPVk1TzabTOl1l&#10;66R+KqusxMWlVOukwam6nC5UssHs62JKfV9MN1ItKiXTrK7x7Ut7cfLczL9cZmnzfrmss8Yr5hOs&#10;rTGfynx+0Z/T58+S2aVKqlWeumUkD1jFOslLPLSb6mXSJN6VyvemWuepkrVcNk9TuZ7K5TJPM7MH&#10;7Ib4O7t5o+RVZfZyOdtcVh2ZQNodOj142vTd1zequqg+KFBiU12CFuZM7+V6qdb6P1bpXRuS3XQk&#10;y64bL8WXQcRETEHZFNdIFIkgCixR0xUovzcuXb3qR4aUsG5kSCjTI6ftg6eD5XQndplY9wfl5Qus&#10;wA84DWLwWZmswWGGaB4Tei496AA7vHWdyezeHcaBYHphljYB4cSs6kd3GEYgLGUcVN7eIjWEftAW&#10;qfBpYKidzNo3SWgQxixwq/UJ0a/ViMfOPp8QEgaUt9fa94nxWKfjBEwU+PSbrxPyXvcsXT+OpS9W&#10;SZUZSan1C3eswXgI1mC8442PwIOkvCwyz65/U5nbO/avZzUk4U7eH+x8i279vpkIQmbI1r3kZFap&#10;unmTybWnD+YThUUYrEi+vq0by/HtLfrRpXydF4WhfFHqL2pZ5Av9nTnRyJidF8r7mgDTmmviqLx1&#10;F56tR0KA2g2Zo+amyPQURfkxW0J2IL7ELMSgbT9nkqZZ2bTzmrv1sCVW0A1k9w909+uhmUHibjC9&#10;f3A3wjxZlk03eJ2XUt02QdEteWnvbylg961J0Fx/uTagAdwx8FDPvsjFDdhFSasa6ip9neM1vU3q&#10;5kOioAvA0dBvzXt8LAu5mU+kO5p4K6n+u+17fT/4GVcn3ga6ZT6p/71KVDbxir9KcHpMuBbmxpzw&#10;INT4qbavfNm+Ul6tzyVeNYEmrVJzqO9vivZwqeT6M9TgmX4qLiVlimfPJ2mj2pPzxuo8KNI0Ozsz&#10;t0EBVUnztryo0pYRNBt+uv6cqMrxagMufydb6UpmOyxr79WvqJRnV41c5oafNaktXd0rgKRrMD6C&#10;yBOfQR/4YXAomadckFal3SryQUiAmwOoG0X+FEXeaKyeNUeRNyD6U0W+N+G2jMvOLHNaOmQ0jmE2&#10;Arkebd7wSPgsguzDGuWxiENnpnSS68cCdrY1ciIKsIi15O7ZchyWbGf9vHIW68DCCTkP6K+3cERI&#10;Ys4YzGhLu0daOFv77ki2bdeROPTZcNcj2J0i2DnfoNXDI9j9fLA7jn0DVOM0Cmh8IImnPIhiY+sP&#10;XMHepSERD+NwtG90YOKkXRoX8RhF/ndzaeIw8BmLqDiQyAM/YivRo8hr2++b4Y+TFnkDy6NL89tF&#10;MRiJaCCodmQOYtYLP+ri8rfb9aOS76OHNs6pkaGLQtpo6QnELaMxbnnsuOUwiHGEGCYXvgjx8Xin&#10;nlIa63yEDocQQRAW3bX0BYVD4ZI+lPsCxzYj0Sb/2szEmLxwKZMTAAETsxrV/nHVvkuN70UvOYOQ&#10;xcgnDqOXzjT7ofwz4YFATYMRVxd9bLU1Q7ED913gkrCYw4S/NXK5F7XcGRn43I7sEpQ9vunU5515&#10;duILKlgoeOeG2Ez7g9LQiCIyRDBMzUCMdJjdSrdZxGWpToqZxLnPiX9HmPYJCURAjU7UIdxXLlBL&#10;RUgj4UoLQhH40TB+sbvjI2A6ISQiMQk74j0yUBuyPSjfjtNqKN8pNhjjtCdoz4HJxzz075iHBlxH&#10;LOIoaTqMB2fCtDs6YZCPYkBnYVRCB+yjxJ+ixBsLfDTejmu8HUPD8zBilBCYKocR+YFx05pGA9OG&#10;oLzQb+u0RodNV6edZNTG1gmMMn9Mme9t/G/4NIwgleqzg7g0BDEbP7DOGydwsozPsZVh4VRE3IVa&#10;IhL6VlvvlZ4IQVGF64pSWo9moOpR7+wL4zJ1qr7frfXhjoF3CCr7oYi1v3qYIHW/8RbtBtumBBsf&#10;OnKjhXOKFs5YW+sdO0atdctPL6cnEQsAcqa+7iAST7XB9E2nhiJ2Mzo1pinmlBPRfTfFWE5/rHL6&#10;XuVrA+cI4h/76FSIQrQh7Aj/zPsor8pFtvDOpSrRC+ihVMWFtdCM873dNTtAcG/cel/561XouKqp&#10;9dtpVdANONo5eHx3jX3uy6Re2RacBY70dmGMjV032gMDZ6LvqO+6GTHht8UEIgAIaLgJ4NdYVLho&#10;VJJfrhrvTCm5ASKUJSRSKo91/RfAhPPSNZy2DWpt02fXbYrqlxhNnCZFREMStRmgzjUQHL19LkfE&#10;w9CPhx7RHjrUbmHdimzv2x0w8cDOu2TWJHnxqlx4zU2FZtRG5abf8Mfw4TtSzLd35fkG+R5Yz/Yd&#10;vYBdPYxGUtdlZ0tj7uzK6xsU7+zKs/igEdTpsSMpNN13QlH9ACY6AO96yyKv/mk76VzPNFIAaAJ2&#10;bKyrutqukp6NkVJFps6kOtHIEVh7uHPsRzZuO12HXal3W8OnxMZHt9FIgD9B4qgrRzAwPPNeyk3p&#10;2biSFrLvMstohIZ1dFAZDEbMKWI7IS2KeiIUExjepYBofo+rtsAizHp+roE2GmKmXXo0xH5dr7MR&#10;fPxkh/EK3M+L6N8E2T4376f/EZTn/wMAAP//AwBQSwMEFAAGAAgAAAAhAFjVDv3hAAAACQEAAA8A&#10;AABkcnMvZG93bnJldi54bWxMj0FLw0AUhO+C/2F5grd2s4mpNeallKKeSsFWKN622dckNLsbstsk&#10;/feuJz0OM8x8k68m3bKBetdYgyDmETAypVWNqRC+Du+zJTDnpVGytYYQbuRgVdzf5TJTdjSfNOx9&#10;xUKJcZlEqL3vMs5dWZOWbm47MsE7215LH2RfcdXLMZTrlsdRtOBaNiYs1LKjTU3lZX/VCB+jHNeJ&#10;eBu2l/Pm9n1Id8etIMTHh2n9CszT5P/C8Isf0KEITCd7NcqxFmEWP4ckQvoUAwv+i1ikwE4ISSoS&#10;4EXO/z8ofgAAAP//AwBQSwECLQAUAAYACAAAACEAtoM4kv4AAADhAQAAEwAAAAAAAAAAAAAAAAAA&#10;AAAAW0NvbnRlbnRfVHlwZXNdLnhtbFBLAQItABQABgAIAAAAIQA4/SH/1gAAAJQBAAALAAAAAAAA&#10;AAAAAAAAAC8BAABfcmVscy8ucmVsc1BLAQItABQABgAIAAAAIQC+Z+GNAQgAAExFAAAOAAAAAAAA&#10;AAAAAAAAAC4CAABkcnMvZTJvRG9jLnhtbFBLAQItABQABgAIAAAAIQBY1Q794QAAAAkBAAAPAAAA&#10;AAAAAAAAAAAAAFsKAABkcnMvZG93bnJldi54bWxQSwUGAAAAAAQABADzAAAAaQsAAAAA&#10;">
                <v:group id="Group 36" o:spid="_x0000_s1049" style="position:absolute;width:58372;height:18871" coordsize="59563,18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Gi5xwAAAOEAAAAPAAAAZHJzL2Rvd25yZXYueG1sRE9Na8JA&#10;EL0L/Q/LFHrTTWxTauoqIrV4EMFYKN6G7JgEs7Mhuybx37sHwePjfc+Xg6lFR62rLCuIJxEI4tzq&#10;igsFf8fN+AuE88gaa8uk4EYOlouX0RxTbXs+UJf5QoQQdikqKL1vUildXpJBN7ENceDOtjXoA2wL&#10;qVvsQ7ip5TSKPqXBikNDiQ2tS8ov2dUo+O2xX73HP93ucl7fTsdk/7+LSam312H1DcLT4J/ih3ur&#10;FSRR8jFNZmFyeBTegFzcAQAA//8DAFBLAQItABQABgAIAAAAIQDb4fbL7gAAAIUBAAATAAAAAAAA&#10;AAAAAAAAAAAAAABbQ29udGVudF9UeXBlc10ueG1sUEsBAi0AFAAGAAgAAAAhAFr0LFu/AAAAFQEA&#10;AAsAAAAAAAAAAAAAAAAAHwEAAF9yZWxzLy5yZWxzUEsBAi0AFAAGAAgAAAAhAKq4aLnHAAAA4QAA&#10;AA8AAAAAAAAAAAAAAAAABwIAAGRycy9kb3ducmV2LnhtbFBLBQYAAAAAAwADALcAAAD7AgAAAAA=&#10;">
                  <v:group id="Group 25" o:spid="_x0000_s1050" style="position:absolute;top:2602;width:12579;height:10119" coordorigin=",-1175" coordsize="12581,9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GHOyQAAAOIAAAAPAAAAZHJzL2Rvd25yZXYueG1sRI/LasJA&#10;FIb3Bd9hOIXudBJvDamjiNjiQgS1IO4OmWMSzJwJmWkS395ZCF3+/De+xao3lWipcaVlBfEoAkGc&#10;WV1yruD3/D1MQDiPrLGyTAoe5GC1HLwtMNW24yO1J5+LMMIuRQWF93UqpcsKMuhGtiYO3s02Bn2Q&#10;TS51g10YN5UcR9FcGiw5PBRY06ag7H76Mwp+OuzWk3jb7u+3zeN6nh0u+5iU+njv118gPPX+P/xq&#10;77SCzyROkvFkGiACUsABuXwCAAD//wMAUEsBAi0AFAAGAAgAAAAhANvh9svuAAAAhQEAABMAAAAA&#10;AAAAAAAAAAAAAAAAAFtDb250ZW50X1R5cGVzXS54bWxQSwECLQAUAAYACAAAACEAWvQsW78AAAAV&#10;AQAACwAAAAAAAAAAAAAAAAAfAQAAX3JlbHMvLnJlbHNQSwECLQAUAAYACAAAACEA9bhhzskAAADi&#10;AAAADwAAAAAAAAAAAAAAAAAHAgAAZHJzL2Rvd25yZXYueG1sUEsFBgAAAAADAAMAtwAAAP0CAAAA&#10;AA==&#10;">
                    <v:rect id="Rectangle 24" o:spid="_x0000_s1051" style="position:absolute;top:-1175;width:12581;height:36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HdyQAAAOIAAAAPAAAAZHJzL2Rvd25yZXYueG1sRE9Na8JA&#10;EL0X/A/LFHqRuqnGWqOrlIqg6EWtiLchO02C2dmQXU389+5B6PHxvqfz1pTiRrUrLCv46EUgiFOr&#10;C84U/B6W718gnEfWWFomBXdyMJ91XqaYaNvwjm57n4kQwi5BBbn3VSKlS3My6Hq2Ig7cn60N+gDr&#10;TOoamxBuStmPok9psODQkGNFPzmll/3VKCiPTXZPT8fTeLFZy/NWr7vtuFLq7bX9noDw1Pp/8dO9&#10;0goG8SjuDwdx2BwuhTsgZw8AAAD//wMAUEsBAi0AFAAGAAgAAAAhANvh9svuAAAAhQEAABMAAAAA&#10;AAAAAAAAAAAAAAAAAFtDb250ZW50X1R5cGVzXS54bWxQSwECLQAUAAYACAAAACEAWvQsW78AAAAV&#10;AQAACwAAAAAAAAAAAAAAAAAfAQAAX3JlbHMvLnJlbHNQSwECLQAUAAYACAAAACEApv1B3ckAAADi&#10;AAAADwAAAAAAAAAAAAAAAAAHAgAAZHJzL2Rvd25yZXYueG1sUEsFBgAAAAADAAMAtwAAAP0CAAAA&#10;AA==&#10;" filled="f" strokecolor="black [3213]">
                      <v:shadow on="t" color="black" opacity="22937f" origin=",.5" offset="0,.63889mm"/>
                      <v:textbox>
                        <w:txbxContent>
                          <w:p w14:paraId="6FB474DB" w14:textId="77777777" w:rsidR="0010708C" w:rsidRPr="0090175A" w:rsidRDefault="0010708C" w:rsidP="0010708C">
                            <w:pPr>
                              <w:rPr>
                                <w:caps/>
                                <w:color w:val="000000" w:themeColor="text1"/>
                                <w:sz w:val="16"/>
                                <w:szCs w:val="16"/>
                                <w:lang w:val="en-US"/>
                              </w:rPr>
                            </w:pPr>
                            <w:r w:rsidRPr="0090175A">
                              <w:rPr>
                                <w:b/>
                                <w:bCs/>
                                <w:caps/>
                                <w:color w:val="000000" w:themeColor="text1"/>
                                <w:sz w:val="16"/>
                                <w:szCs w:val="16"/>
                                <w:lang w:val="en-US"/>
                              </w:rPr>
                              <w:t>External Pressures</w:t>
                            </w:r>
                          </w:p>
                        </w:txbxContent>
                      </v:textbox>
                    </v:rect>
                    <v:rect id="Rectangle 24" o:spid="_x0000_s1052" style="position:absolute;top:2461;width:12581;height:57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3xXzQAAAOMAAAAPAAAAZHJzL2Rvd25yZXYueG1sRI9BT8JA&#10;EIXvJv6HzZBwMbILgkplIURjItGLKCHeJt2hbezONt2Vln/PHEg8zrw3732zWPW+VkdqYxXYwnhk&#10;QBHnwVVcWPj+er19BBUTssM6MFk4UYTV8vpqgZkLHX/ScZsKJSEcM7RQptRkWse8JI9xFBpi0Q6h&#10;9ZhkbAvtWuwk3Nd6Ysy99lixNJTY0HNJ+e/2z1uod11xyve7/fzlfaN/Ptzmpp831g4H/foJVKI+&#10;/Zsv129O8M2dmU3Nw0yg5SdZgF6eAQAA//8DAFBLAQItABQABgAIAAAAIQDb4fbL7gAAAIUBAAAT&#10;AAAAAAAAAAAAAAAAAAAAAABbQ29udGVudF9UeXBlc10ueG1sUEsBAi0AFAAGAAgAAAAhAFr0LFu/&#10;AAAAFQEAAAsAAAAAAAAAAAAAAAAAHwEAAF9yZWxzLy5yZWxzUEsBAi0AFAAGAAgAAAAhAKtbfFfN&#10;AAAA4wAAAA8AAAAAAAAAAAAAAAAABwIAAGRycy9kb3ducmV2LnhtbFBLBQYAAAAAAwADALcAAAAB&#10;AwAAAAA=&#10;" filled="f" strokecolor="black [3213]">
                      <v:shadow on="t" color="black" opacity="22937f" origin=",.5" offset="0,.63889mm"/>
                      <v:textbox>
                        <w:txbxContent>
                          <w:p w14:paraId="78F3E6C6" w14:textId="77777777" w:rsidR="0010708C" w:rsidRPr="003C3579" w:rsidRDefault="0010708C" w:rsidP="0010708C">
                            <w:pPr>
                              <w:rPr>
                                <w:color w:val="000000" w:themeColor="text1"/>
                                <w:sz w:val="16"/>
                                <w:szCs w:val="16"/>
                                <w:lang w:val="en-US"/>
                              </w:rPr>
                            </w:pPr>
                            <w:r w:rsidRPr="003C3579">
                              <w:rPr>
                                <w:color w:val="000000" w:themeColor="text1"/>
                                <w:sz w:val="16"/>
                                <w:szCs w:val="16"/>
                                <w:lang w:val="en-US"/>
                              </w:rPr>
                              <w:t>Competitive pressure</w:t>
                            </w:r>
                          </w:p>
                          <w:p w14:paraId="3FE92574" w14:textId="77777777" w:rsidR="0010708C" w:rsidRPr="003C3579" w:rsidRDefault="0010708C" w:rsidP="0010708C">
                            <w:pPr>
                              <w:rPr>
                                <w:color w:val="000000" w:themeColor="text1"/>
                                <w:sz w:val="16"/>
                                <w:szCs w:val="16"/>
                                <w:lang w:val="en-US"/>
                              </w:rPr>
                            </w:pPr>
                            <w:r w:rsidRPr="003C3579">
                              <w:rPr>
                                <w:color w:val="000000" w:themeColor="text1"/>
                                <w:sz w:val="16"/>
                                <w:szCs w:val="16"/>
                                <w:lang w:val="en-US"/>
                              </w:rPr>
                              <w:t>Customer expectations</w:t>
                            </w:r>
                          </w:p>
                          <w:p w14:paraId="6E4E9FCA" w14:textId="77777777" w:rsidR="0010708C" w:rsidRPr="003C3579" w:rsidRDefault="0010708C" w:rsidP="0010708C">
                            <w:pPr>
                              <w:rPr>
                                <w:color w:val="000000" w:themeColor="text1"/>
                                <w:sz w:val="16"/>
                                <w:szCs w:val="16"/>
                                <w:lang w:val="en-US"/>
                              </w:rPr>
                            </w:pPr>
                            <w:r w:rsidRPr="003C3579">
                              <w:rPr>
                                <w:color w:val="000000" w:themeColor="text1"/>
                                <w:sz w:val="16"/>
                                <w:szCs w:val="16"/>
                                <w:lang w:val="en-US"/>
                              </w:rPr>
                              <w:t>Regulatory and institutional environment</w:t>
                            </w:r>
                          </w:p>
                          <w:p w14:paraId="5955019E" w14:textId="77777777" w:rsidR="0010708C" w:rsidRPr="003C3579" w:rsidRDefault="0010708C" w:rsidP="0010708C">
                            <w:pPr>
                              <w:rPr>
                                <w:sz w:val="16"/>
                                <w:szCs w:val="16"/>
                                <w:lang w:val="en-US"/>
                              </w:rPr>
                            </w:pPr>
                          </w:p>
                        </w:txbxContent>
                      </v:textbox>
                    </v:rect>
                  </v:group>
                  <v:group id="Group 25" o:spid="_x0000_s1053" style="position:absolute;left:48603;top:4969;width:10960;height:8203" coordorigin=",488" coordsize="12581,7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XGuyQAAAOIAAAAPAAAAZHJzL2Rvd25yZXYueG1sRI/NasJA&#10;FIX3Qt9huIXu6iRKWo2OIlLFhQjVQnF3yVyTYOZOyIxJfHtnIbg8nD+++bI3lWipcaVlBfEwAkGc&#10;WV1yruDvtPmcgHAeWWNlmRTcycFy8TaYY6ptx7/UHn0uwgi7FBUU3teplC4ryKAb2po4eBfbGPRB&#10;NrnUDXZh3FRyFEVf0mDJ4aHAmtYFZdfjzSjYdtitxvFPu79e1vfzKTn872NS6uO9X81AeOr9K/xs&#10;77SC7/FoOk0mSYAISAEH5OIBAAD//wMAUEsBAi0AFAAGAAgAAAAhANvh9svuAAAAhQEAABMAAAAA&#10;AAAAAAAAAAAAAAAAAFtDb250ZW50X1R5cGVzXS54bWxQSwECLQAUAAYACAAAACEAWvQsW78AAAAV&#10;AQAACwAAAAAAAAAAAAAAAAAfAQAAX3JlbHMvLnJlbHNQSwECLQAUAAYACAAAACEAG0lxrskAAADi&#10;AAAADwAAAAAAAAAAAAAAAAAHAgAAZHJzL2Rvd25yZXYueG1sUEsFBgAAAAADAAMAtwAAAP0CAAAA&#10;AA==&#10;">
                    <v:rect id="Rectangle 24" o:spid="_x0000_s1054" style="position:absolute;top:488;width:12581;height:19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ZqyzAAAAOIAAAAPAAAAZHJzL2Rvd25yZXYueG1sRI9Pa8JA&#10;FMTvgt9heYVeRDc2RU10ldJSqNiL/xBvj+xrEsy+Ddmtid/eFQo9DjPzG2ax6kwlrtS40rKC8SgC&#10;QZxZXXKu4LD/HM5AOI+ssbJMCm7kYLXs9xaYatvylq47n4sAYZeigsL7OpXSZQUZdCNbEwfvxzYG&#10;fZBNLnWDbYCbSr5E0UQaLDksFFjTe0HZZfdrFFTHNr9lp+Mp+dis5flbrwddUiv1/NS9zUF46vx/&#10;+K/9pRXEk+k4eY3jGB6Xwh2QyzsAAAD//wMAUEsBAi0AFAAGAAgAAAAhANvh9svuAAAAhQEAABMA&#10;AAAAAAAAAAAAAAAAAAAAAFtDb250ZW50X1R5cGVzXS54bWxQSwECLQAUAAYACAAAACEAWvQsW78A&#10;AAAVAQAACwAAAAAAAAAAAAAAAAAfAQAAX3JlbHMvLnJlbHNQSwECLQAUAAYACAAAACEA2EWasswA&#10;AADiAAAADwAAAAAAAAAAAAAAAAAHAgAAZHJzL2Rvd25yZXYueG1sUEsFBgAAAAADAAMAtwAAAAAD&#10;AAAAAA==&#10;" filled="f" strokecolor="black [3213]">
                      <v:shadow on="t" color="black" opacity="22937f" origin=",.5" offset="0,.63889mm"/>
                      <v:textbox>
                        <w:txbxContent>
                          <w:p w14:paraId="2D2BE058" w14:textId="77777777" w:rsidR="0010708C" w:rsidRPr="00FF5538" w:rsidRDefault="0010708C" w:rsidP="0010708C">
                            <w:pPr>
                              <w:rPr>
                                <w:b/>
                                <w:bCs/>
                                <w:color w:val="000000" w:themeColor="text1"/>
                                <w:sz w:val="16"/>
                                <w:szCs w:val="16"/>
                                <w:lang w:val="en-US"/>
                              </w:rPr>
                            </w:pPr>
                            <w:r w:rsidRPr="00FF5538">
                              <w:rPr>
                                <w:b/>
                                <w:bCs/>
                                <w:color w:val="000000" w:themeColor="text1"/>
                                <w:sz w:val="16"/>
                                <w:szCs w:val="16"/>
                                <w:lang w:val="en-US"/>
                              </w:rPr>
                              <w:t>Bank Perfomance</w:t>
                            </w:r>
                          </w:p>
                        </w:txbxContent>
                      </v:textbox>
                    </v:rect>
                    <v:rect id="Rectangle 24" o:spid="_x0000_s1055" style="position:absolute;top:2458;width:12581;height:18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9/52yQAAAOMAAAAPAAAAZHJzL2Rvd25yZXYueG1sRE9La8JA&#10;EL4L/odlhF5ENw1WTHQVaSlU9FIfiLchOybB7GzIbk38912h0ON871msOlOJOzWutKzgdRyBIM6s&#10;LjlXcDx8jmYgnEfWWFkmBQ9ysFr2ewtMtW35m+57n4sQwi5FBYX3dSqlywoy6Ma2Jg7c1TYGfTib&#10;XOoG2xBuKhlH0VQaLDk0FFjTe0HZbf9jFFSnNn9k59M5+dhu5GWnN8MuqZV6GXTrOQhPnf8X/7m/&#10;dJg/SaaTePYWJ/D8KQAgl78AAAD//wMAUEsBAi0AFAAGAAgAAAAhANvh9svuAAAAhQEAABMAAAAA&#10;AAAAAAAAAAAAAAAAAFtDb250ZW50X1R5cGVzXS54bWxQSwECLQAUAAYACAAAACEAWvQsW78AAAAV&#10;AQAACwAAAAAAAAAAAAAAAAAfAQAAX3JlbHMvLnJlbHNQSwECLQAUAAYACAAAACEAuff+dskAAADj&#10;AAAADwAAAAAAAAAAAAAAAAAHAgAAZHJzL2Rvd25yZXYueG1sUEsFBgAAAAADAAMAtwAAAP0CAAAA&#10;AA==&#10;" filled="f" strokecolor="black [3213]">
                      <v:shadow on="t" color="black" opacity="22937f" origin=",.5" offset="0,.63889mm"/>
                      <v:textbox>
                        <w:txbxContent>
                          <w:p w14:paraId="074A5090" w14:textId="77777777" w:rsidR="0010708C" w:rsidRPr="00FF5538" w:rsidRDefault="0010708C" w:rsidP="0010708C">
                            <w:pPr>
                              <w:rPr>
                                <w:b/>
                                <w:bCs/>
                                <w:color w:val="000000" w:themeColor="text1"/>
                                <w:sz w:val="16"/>
                                <w:szCs w:val="16"/>
                                <w:lang w:val="en-US"/>
                              </w:rPr>
                            </w:pPr>
                            <w:r w:rsidRPr="00FF5538">
                              <w:rPr>
                                <w:b/>
                                <w:bCs/>
                                <w:color w:val="000000" w:themeColor="text1"/>
                                <w:sz w:val="16"/>
                                <w:szCs w:val="16"/>
                                <w:lang w:val="en-US"/>
                              </w:rPr>
                              <w:t>Risk</w:t>
                            </w:r>
                          </w:p>
                        </w:txbxContent>
                      </v:textbox>
                    </v:rect>
                    <v:rect id="Rectangle 24" o:spid="_x0000_s1056" style="position:absolute;top:4289;width:12581;height:18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a54yQAAAOMAAAAPAAAAZHJzL2Rvd25yZXYueG1sRE9La8JA&#10;EL4L/Q/LCL2IblSqJnUVaREUe6kPpLchOyah2dmQ3Zr4712h4HG+98yXrSnFlWpXWFYwHEQgiFOr&#10;C84UHA/r/gyE88gaS8uk4EYOlouXzhwTbRv+puveZyKEsEtQQe59lUjp0pwMuoGtiAN3sbVBH846&#10;k7rGJoSbUo6iaCINFhwacqzoI6f0d/9nFJSnJrul59M5/txt5c+X3vbauFLqtduu3kF4av1T/O/e&#10;6DA/nr5F4/FsNIHHTwEAubgDAAD//wMAUEsBAi0AFAAGAAgAAAAhANvh9svuAAAAhQEAABMAAAAA&#10;AAAAAAAAAAAAAAAAAFtDb250ZW50X1R5cGVzXS54bWxQSwECLQAUAAYACAAAACEAWvQsW78AAAAV&#10;AQAACwAAAAAAAAAAAAAAAAAfAQAAX3JlbHMvLnJlbHNQSwECLQAUAAYACAAAACEAasWueMkAAADj&#10;AAAADwAAAAAAAAAAAAAAAAAHAgAAZHJzL2Rvd25yZXYueG1sUEsFBgAAAAADAAMAtwAAAP0CAAAA&#10;AA==&#10;" filled="f" strokecolor="black [3213]">
                      <v:shadow on="t" color="black" opacity="22937f" origin=",.5" offset="0,.63889mm"/>
                      <v:textbox>
                        <w:txbxContent>
                          <w:p w14:paraId="49014774" w14:textId="77777777" w:rsidR="0010708C" w:rsidRPr="00FF5538" w:rsidRDefault="0010708C" w:rsidP="0010708C">
                            <w:pPr>
                              <w:rPr>
                                <w:b/>
                                <w:bCs/>
                                <w:color w:val="000000" w:themeColor="text1"/>
                                <w:sz w:val="16"/>
                                <w:szCs w:val="16"/>
                                <w:lang w:val="en-US"/>
                              </w:rPr>
                            </w:pPr>
                            <w:r w:rsidRPr="00FF5538">
                              <w:rPr>
                                <w:b/>
                                <w:bCs/>
                                <w:color w:val="000000" w:themeColor="text1"/>
                                <w:sz w:val="16"/>
                                <w:szCs w:val="16"/>
                                <w:lang w:val="en-US"/>
                              </w:rPr>
                              <w:t>Stability</w:t>
                            </w:r>
                          </w:p>
                        </w:txbxContent>
                      </v:textbox>
                    </v:rect>
                    <v:rect id="Rectangle 24" o:spid="_x0000_s1057" style="position:absolute;top:6085;width:12581;height:18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qbFZyQAAAOIAAAAPAAAAZHJzL2Rvd25yZXYueG1sRE9Na8JA&#10;EL0L/odlBC+lbkxpiNFVSkuhob3UKuJtyI5JaHY2ZFeT/PvuoeDx8b43u8E04kadqy0rWC4iEMSF&#10;1TWXCg4/748pCOeRNTaWScFIDnbb6WSDmbY9f9Nt70sRQthlqKDyvs2kdEVFBt3CtsSBu9jOoA+w&#10;K6XusA/hppFxFCXSYM2hocKWXisqfvdXo6A59uVYnI6n1dtnLs9fOn8YVq1S89nwsgbhafB38b/7&#10;Qyt4WqbxcxKnYXO4FO6A3P4BAAD//wMAUEsBAi0AFAAGAAgAAAAhANvh9svuAAAAhQEAABMAAAAA&#10;AAAAAAAAAAAAAAAAAFtDb250ZW50X1R5cGVzXS54bWxQSwECLQAUAAYACAAAACEAWvQsW78AAAAV&#10;AQAACwAAAAAAAAAAAAAAAAAfAQAAX3JlbHMvLnJlbHNQSwECLQAUAAYACAAAACEA/amxWckAAADi&#10;AAAADwAAAAAAAAAAAAAAAAAHAgAAZHJzL2Rvd25yZXYueG1sUEsFBgAAAAADAAMAtwAAAP0CAAAA&#10;AA==&#10;" filled="f" strokecolor="black [3213]">
                      <v:shadow on="t" color="black" opacity="22937f" origin=",.5" offset="0,.63889mm"/>
                      <v:textbox>
                        <w:txbxContent>
                          <w:p w14:paraId="511F0E3F" w14:textId="77777777" w:rsidR="0010708C" w:rsidRPr="00FF5538" w:rsidRDefault="0010708C" w:rsidP="0010708C">
                            <w:pPr>
                              <w:rPr>
                                <w:b/>
                                <w:bCs/>
                                <w:color w:val="000000" w:themeColor="text1"/>
                                <w:sz w:val="16"/>
                                <w:szCs w:val="16"/>
                                <w:lang w:val="en-US"/>
                              </w:rPr>
                            </w:pPr>
                            <w:r w:rsidRPr="00FF5538">
                              <w:rPr>
                                <w:b/>
                                <w:bCs/>
                                <w:color w:val="000000" w:themeColor="text1"/>
                                <w:sz w:val="16"/>
                                <w:szCs w:val="16"/>
                                <w:lang w:val="en-US"/>
                              </w:rPr>
                              <w:t>Green Finance</w:t>
                            </w:r>
                          </w:p>
                        </w:txbxContent>
                      </v:textbox>
                    </v:rect>
                  </v:group>
                  <v:rect id="Rectangle 24" o:spid="_x0000_s1058" style="position:absolute;left:22297;top:16107;width:16249;height:24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YmLygAAAOIAAAAPAAAAZHJzL2Rvd25yZXYueG1sRE9Na8JA&#10;FLwL/oflCb2IbmxLWqOrSEuhopdqQ/D2yD6TYPZtyG5N/PfdQsHLwDBfzHLdm1pcqXWVZQWzaQSC&#10;OLe64kLB9/Fj8grCeWSNtWVScCMH69VwsMRE246/6HrwhQgl7BJUUHrfJFK6vCSDbmob4qCdbWvQ&#10;B9oWUrfYhXJTy8coiqXBisNCiQ29lZRfDj9GQZ12xS3P0mz+vtvK015vx/28Ueph1G8WIDz1/m7+&#10;T39qBc9xFL8EeIK/S+EOyNUvAAAA//8DAFBLAQItABQABgAIAAAAIQDb4fbL7gAAAIUBAAATAAAA&#10;AAAAAAAAAAAAAAAAAABbQ29udGVudF9UeXBlc10ueG1sUEsBAi0AFAAGAAgAAAAhAFr0LFu/AAAA&#10;FQEAAAsAAAAAAAAAAAAAAAAAHwEAAF9yZWxzLy5yZWxzUEsBAi0AFAAGAAgAAAAhAGxhiYvKAAAA&#10;4gAAAA8AAAAAAAAAAAAAAAAABwIAAGRycy9kb3ducmV2LnhtbFBLBQYAAAAAAwADALcAAAD+AgAA&#10;AAA=&#10;" filled="f" strokecolor="black [3213]">
                    <v:shadow on="t" color="black" opacity="22937f" origin=",.5" offset="0,.63889mm"/>
                    <v:textbox>
                      <w:txbxContent>
                        <w:p w14:paraId="2F727050" w14:textId="77777777" w:rsidR="0010708C" w:rsidRPr="00713C41" w:rsidRDefault="0010708C" w:rsidP="0010708C">
                          <w:pPr>
                            <w:jc w:val="center"/>
                            <w:rPr>
                              <w:caps/>
                              <w:color w:val="000000" w:themeColor="text1"/>
                              <w:sz w:val="20"/>
                              <w:szCs w:val="20"/>
                              <w:lang w:val="en-US"/>
                            </w:rPr>
                          </w:pPr>
                          <w:r>
                            <w:rPr>
                              <w:b/>
                              <w:bCs/>
                              <w:caps/>
                              <w:color w:val="000000" w:themeColor="text1"/>
                              <w:sz w:val="20"/>
                              <w:szCs w:val="20"/>
                              <w:lang w:val="en-US"/>
                            </w:rPr>
                            <w:t>Fintech</w:t>
                          </w:r>
                          <w:r w:rsidRPr="00713C41">
                            <w:rPr>
                              <w:b/>
                              <w:bCs/>
                              <w:caps/>
                              <w:color w:val="000000" w:themeColor="text1"/>
                              <w:sz w:val="20"/>
                              <w:szCs w:val="20"/>
                              <w:lang w:val="en-US"/>
                            </w:rPr>
                            <w:t xml:space="preserve"> Adoption</w:t>
                          </w:r>
                        </w:p>
                      </w:txbxContent>
                    </v:textbox>
                  </v:rect>
                  <v:group id="Group 27" o:spid="_x0000_s1059" style="position:absolute;left:14560;width:32004;height:13948" coordsize="32004,13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sNCywAAAOIAAAAPAAAAZHJzL2Rvd25yZXYueG1sRI9Ba8JA&#10;FITvhf6H5RW81U2ibTV1FREVD1KoFqS3R/aZBLNvQ3ZN4r93hUKPw8x8w8wWvalES40rLSuIhxEI&#10;4szqknMFP8fN6wSE88gaK8uk4EYOFvPnpxmm2nb8Te3B5yJA2KWooPC+TqV0WUEG3dDWxME728ag&#10;D7LJpW6wC3BTySSK3qXBksNCgTWtCsouh6tRsO2wW47idbu/nFe33+Pb12kfk1KDl375CcJT7//D&#10;f+2dVvAxHiXJdJqM4XEp3AE5vwMAAP//AwBQSwECLQAUAAYACAAAACEA2+H2y+4AAACFAQAAEwAA&#10;AAAAAAAAAAAAAAAAAAAAW0NvbnRlbnRfVHlwZXNdLnhtbFBLAQItABQABgAIAAAAIQBa9CxbvwAA&#10;ABUBAAALAAAAAAAAAAAAAAAAAB8BAABfcmVscy8ucmVsc1BLAQItABQABgAIAAAAIQCjPsNCywAA&#10;AOIAAAAPAAAAAAAAAAAAAAAAAAcCAABkcnMvZG93bnJldi54bWxQSwUGAAAAAAMAAwC3AAAA/wIA&#10;AAAA&#10;">
                    <v:group id="Group 25" o:spid="_x0000_s1060" style="position:absolute;left:703;top:1899;width:30302;height:10410" coordorigin=",-1565" coordsize="26728,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aXXyAAAAOMAAAAPAAAAZHJzL2Rvd25yZXYueG1sRE9fa8Iw&#10;EH8X9h3CDfY20+qM0hlFZBt7kMFUkL0dzdkWm0tpsrZ++0UY+Hi//7dcD7YWHbW+cqwhHScgiHNn&#10;Ki40HA/vzwsQPiAbrB2Thit5WK8eRkvMjOv5m7p9KEQMYZ+hhjKEJpPS5yVZ9GPXEEfu7FqLIZ5t&#10;IU2LfQy3tZwkiZIWK44NJTa0LSm/7H+tho8e+800fet2l/P2+nOYfZ12KWn99DhsXkEEGsJd/O/+&#10;NHF+oiZqOlcvCm4/RQDk6g8AAP//AwBQSwECLQAUAAYACAAAACEA2+H2y+4AAACFAQAAEwAAAAAA&#10;AAAAAAAAAAAAAAAAW0NvbnRlbnRfVHlwZXNdLnhtbFBLAQItABQABgAIAAAAIQBa9CxbvwAAABUB&#10;AAALAAAAAAAAAAAAAAAAAB8BAABfcmVscy8ucmVsc1BLAQItABQABgAIAAAAIQCXZaXXyAAAAOMA&#10;AAAPAAAAAAAAAAAAAAAAAAcCAABkcnMvZG93bnJldi54bWxQSwUGAAAAAAMAAwC3AAAA/AIAAAAA&#10;">
                      <v:rect id="Rectangle 24" o:spid="_x0000_s1061" style="position:absolute;top:73;width:12581;height:24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MlryAAAAOIAAAAPAAAAZHJzL2Rvd25yZXYueG1sRE/Pa8Iw&#10;FL4P/B/CE3YZM80OajujiCJM3GXdRHZ7NG9tWfNSmszW/94MBI8f3+/FarCNOFPna8ca1CQBQVw4&#10;U3Op4etz9zwH4QOywcYxabiQh9Vy9LDAzLieP+ich1LEEPYZaqhCaDMpfVGRRT9xLXHkflxnMUTY&#10;ldJ02Mdw28iXJJlKizXHhgpb2lRU/OZ/VkNz7MtLcTqe0u1hL7/fzf5pSFutH8fD+hVEoCHcxTf3&#10;m4nzlZqrVM2m8H8pYpDLKwAAAP//AwBQSwECLQAUAAYACAAAACEA2+H2y+4AAACFAQAAEwAAAAAA&#10;AAAAAAAAAAAAAAAAW0NvbnRlbnRfVHlwZXNdLnhtbFBLAQItABQABgAIAAAAIQBa9CxbvwAAABUB&#10;AAALAAAAAAAAAAAAAAAAAB8BAABfcmVscy8ucmVsc1BLAQItABQABgAIAAAAIQAvtMlryAAAAOIA&#10;AAAPAAAAAAAAAAAAAAAAAAcCAABkcnMvZG93bnJldi54bWxQSwUGAAAAAAMAAwC3AAAA/AIAAAAA&#10;" filled="f" strokecolor="black [3213]">
                        <v:shadow on="t" color="black" opacity="22937f" origin=",.5" offset="0,.63889mm"/>
                        <v:textbox>
                          <w:txbxContent>
                            <w:p w14:paraId="544B7657" w14:textId="77777777" w:rsidR="0010708C" w:rsidRPr="003C3579" w:rsidRDefault="0010708C" w:rsidP="0010708C">
                              <w:pPr>
                                <w:rPr>
                                  <w:color w:val="000000" w:themeColor="text1"/>
                                  <w:sz w:val="16"/>
                                  <w:szCs w:val="16"/>
                                  <w:lang w:val="en-US"/>
                                </w:rPr>
                              </w:pPr>
                              <w:r w:rsidRPr="003C3579">
                                <w:rPr>
                                  <w:b/>
                                  <w:bCs/>
                                  <w:color w:val="000000" w:themeColor="text1"/>
                                  <w:sz w:val="16"/>
                                  <w:szCs w:val="16"/>
                                  <w:lang w:val="en-US"/>
                                </w:rPr>
                                <w:t>Organizational &amp;Technological Readiness</w:t>
                              </w:r>
                            </w:p>
                          </w:txbxContent>
                        </v:textbox>
                      </v:rect>
                      <v:rect id="Rectangle 24" o:spid="_x0000_s1062" style="position:absolute;top:2458;width:12581;height:36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m6TDygAAAOIAAAAPAAAAZHJzL2Rvd25yZXYueG1sRI9Ba8JA&#10;FITvQv/D8oRexGyqUmJ0ldJSqNSLVgneHtlnEpp9G7JbE/99VxA8DjPzDbNc96YWF2pdZVnBSxSD&#10;IM6trrhQcPj5HCcgnEfWWFsmBVdysF49DZaYatvxji57X4gAYZeigtL7JpXS5SUZdJFtiIN3tq1B&#10;H2RbSN1iF+CmlpM4fpUGKw4LJTb0XlL+u/8zCupjV1zz7JjNP7438rTVm1E/b5R6HvZvCxCeev8I&#10;39tfWkEgJtNkNpnC7VK4A3L1DwAA//8DAFBLAQItABQABgAIAAAAIQDb4fbL7gAAAIUBAAATAAAA&#10;AAAAAAAAAAAAAAAAAABbQ29udGVudF9UeXBlc10ueG1sUEsBAi0AFAAGAAgAAAAhAFr0LFu/AAAA&#10;FQEAAAsAAAAAAAAAAAAAAAAAHwEAAF9yZWxzLy5yZWxzUEsBAi0AFAAGAAgAAAAhALmbpMPKAAAA&#10;4gAAAA8AAAAAAAAAAAAAAAAABwIAAGRycy9kb3ducmV2LnhtbFBLBQYAAAAAAwADALcAAAD+AgAA&#10;AAA=&#10;" filled="f" strokecolor="black [3213]">
                        <v:shadow on="t" color="black" opacity="22937f" origin=",.5" offset="0,.63889mm"/>
                        <v:textbox>
                          <w:txbxContent>
                            <w:p w14:paraId="6E07DA2B" w14:textId="77777777" w:rsidR="0010708C" w:rsidRPr="003C3579" w:rsidRDefault="0010708C" w:rsidP="0010708C">
                              <w:pPr>
                                <w:rPr>
                                  <w:color w:val="000000" w:themeColor="text1"/>
                                  <w:sz w:val="16"/>
                                  <w:szCs w:val="16"/>
                                  <w:lang w:val="en-US"/>
                                </w:rPr>
                              </w:pPr>
                              <w:r w:rsidRPr="003C3579">
                                <w:rPr>
                                  <w:color w:val="000000" w:themeColor="text1"/>
                                  <w:sz w:val="16"/>
                                  <w:szCs w:val="16"/>
                                  <w:lang w:val="en-US"/>
                                </w:rPr>
                                <w:t>Organizational Readiness</w:t>
                              </w:r>
                            </w:p>
                            <w:p w14:paraId="3E499969" w14:textId="77777777" w:rsidR="0010708C" w:rsidRPr="003C3579" w:rsidRDefault="0010708C" w:rsidP="0010708C">
                              <w:pPr>
                                <w:rPr>
                                  <w:color w:val="000000" w:themeColor="text1"/>
                                  <w:sz w:val="16"/>
                                  <w:szCs w:val="16"/>
                                  <w:lang w:val="en-US"/>
                                </w:rPr>
                              </w:pPr>
                              <w:r w:rsidRPr="003C3579">
                                <w:rPr>
                                  <w:color w:val="000000" w:themeColor="text1"/>
                                  <w:sz w:val="16"/>
                                  <w:szCs w:val="16"/>
                                  <w:lang w:val="en-US"/>
                                </w:rPr>
                                <w:t>Leadership</w:t>
                              </w:r>
                            </w:p>
                            <w:p w14:paraId="288F194D" w14:textId="77777777" w:rsidR="0010708C" w:rsidRPr="003C3579" w:rsidRDefault="0010708C" w:rsidP="0010708C">
                              <w:pPr>
                                <w:rPr>
                                  <w:color w:val="000000" w:themeColor="text1"/>
                                  <w:sz w:val="16"/>
                                  <w:szCs w:val="16"/>
                                  <w:lang w:val="en-US"/>
                                </w:rPr>
                              </w:pPr>
                              <w:r w:rsidRPr="003C3579">
                                <w:rPr>
                                  <w:color w:val="000000" w:themeColor="text1"/>
                                  <w:sz w:val="16"/>
                                  <w:szCs w:val="16"/>
                                  <w:lang w:val="en-US"/>
                                </w:rPr>
                                <w:t>Internal IT Knowledge</w:t>
                              </w:r>
                            </w:p>
                          </w:txbxContent>
                        </v:textbox>
                      </v:rect>
                      <v:rect id="Rectangle 24" o:spid="_x0000_s1063" style="position:absolute;top:-1565;width:26728;height:16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r7UyQAAAOMAAAAPAAAAZHJzL2Rvd25yZXYueG1sRE9La8JA&#10;EL4X/A/LCF6KbmJLNdFViqWg2IsvxNuQHZPQ7GzIbk38926h0ON875kvO1OJGzWutKwgHkUgiDOr&#10;S84VHA+fwykI55E1VpZJwZ0cLBe9pzmm2ra8o9ve5yKEsEtRQeF9nUrpsoIMupGtiQN3tY1BH84m&#10;l7rBNoSbSo6j6E0aLDk0FFjTqqDse/9jFFSnNr9n59M5+dhu5OVLb567pFZq0O/eZyA8df5f/Ode&#10;6zD/dTJ9GcdxlMDvTwEAuXgAAAD//wMAUEsBAi0AFAAGAAgAAAAhANvh9svuAAAAhQEAABMAAAAA&#10;AAAAAAAAAAAAAAAAAFtDb250ZW50X1R5cGVzXS54bWxQSwECLQAUAAYACAAAACEAWvQsW78AAAAV&#10;AQAACwAAAAAAAAAAAAAAAAAfAQAAX3JlbHMvLnJlbHNQSwECLQAUAAYACAAAACEA0qK+1MkAAADj&#10;AAAADwAAAAAAAAAAAAAAAAAHAgAAZHJzL2Rvd25yZXYueG1sUEsFBgAAAAADAAMAtwAAAP0CAAAA&#10;AA==&#10;" filled="f" strokecolor="black [3213]">
                        <v:shadow on="t" color="black" opacity="22937f" origin=",.5" offset="0,.63889mm"/>
                        <v:textbox>
                          <w:txbxContent>
                            <w:p w14:paraId="14CA75BE" w14:textId="77777777" w:rsidR="0010708C" w:rsidRPr="0090175A" w:rsidRDefault="0010708C" w:rsidP="0010708C">
                              <w:pPr>
                                <w:jc w:val="center"/>
                                <w:rPr>
                                  <w:caps/>
                                  <w:color w:val="000000" w:themeColor="text1"/>
                                  <w:sz w:val="16"/>
                                  <w:szCs w:val="16"/>
                                  <w:lang w:val="en-US"/>
                                </w:rPr>
                              </w:pPr>
                              <w:r w:rsidRPr="0090175A">
                                <w:rPr>
                                  <w:b/>
                                  <w:bCs/>
                                  <w:caps/>
                                  <w:color w:val="000000" w:themeColor="text1"/>
                                  <w:sz w:val="16"/>
                                  <w:szCs w:val="16"/>
                                  <w:lang w:val="en-US"/>
                                </w:rPr>
                                <w:t>Bank-Specific Determinants</w:t>
                              </w:r>
                            </w:p>
                          </w:txbxContent>
                        </v:textbox>
                      </v:rect>
                    </v:group>
                    <v:group id="Group 25" o:spid="_x0000_s1064" style="position:absolute;left:16740;top:4149;width:14269;height:8171" coordorigin=",662" coordsize="12581,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Rbj6ygAAAOIAAAAPAAAAZHJzL2Rvd25yZXYueG1sRI9Pa8JA&#10;FMTvBb/D8oTe6iamikRXEbGlBxH8A+LtkX0mwezbkN0m8dt3C4LHYWZ+wyxWvalES40rLSuIRxEI&#10;4szqknMF59PXxwyE88gaK8uk4EEOVsvB2wJTbTs+UHv0uQgQdikqKLyvUyldVpBBN7I1cfButjHo&#10;g2xyqRvsAtxUchxFU2mw5LBQYE2bgrL78dco+O6wWyfxtt3db5vH9TTZX3YxKfU+7NdzEJ56/wo/&#10;2z9aQRKPZ5Mo+ZzC/6VwB+TyDwAA//8DAFBLAQItABQABgAIAAAAIQDb4fbL7gAAAIUBAAATAAAA&#10;AAAAAAAAAAAAAAAAAABbQ29udGVudF9UeXBlc10ueG1sUEsBAi0AFAAGAAgAAAAhAFr0LFu/AAAA&#10;FQEAAAsAAAAAAAAAAAAAAAAAHwEAAF9yZWxzLy5yZWxzUEsBAi0AFAAGAAgAAAAhADtFuPrKAAAA&#10;4gAAAA8AAAAAAAAAAAAAAAAABwIAAGRycy9kb3ducmV2LnhtbFBLBQYAAAAAAwADALcAAAD+AgAA&#10;AAA=&#10;">
                      <v:rect id="Rectangle 24" o:spid="_x0000_s1065" style="position:absolute;top:662;width:12581;height:21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0GnyAAAAOMAAAAPAAAAZHJzL2Rvd25yZXYueG1sRE9La8JA&#10;EL4L/odlhF5Ed9tDNNFVpKVQaS/1gXgbsmMSzM6G7NbEf98tCD3O957lure1uFHrK8canqcKBHHu&#10;TMWFhsP+fTIH4QOywdoxabiTh/VqOFhiZlzH33TbhULEEPYZaihDaDIpfV6SRT91DXHkLq61GOLZ&#10;FtK02MVwW8sXpRJpseLYUGJDryXl192P1VAfu+Ken46n9O1zK89fZjvu00brp1G/WYAI1Id/8cP9&#10;YeL8RM3VLElVAn8/RQDk6hcAAP//AwBQSwECLQAUAAYACAAAACEA2+H2y+4AAACFAQAAEwAAAAAA&#10;AAAAAAAAAAAAAAAAW0NvbnRlbnRfVHlwZXNdLnhtbFBLAQItABQABgAIAAAAIQBa9CxbvwAAABUB&#10;AAALAAAAAAAAAAAAAAAAAB8BAABfcmVscy8ucmVsc1BLAQItABQABgAIAAAAIQDaV0GnyAAAAOMA&#10;AAAPAAAAAAAAAAAAAAAAAAcCAABkcnMvZG93bnJldi54bWxQSwUGAAAAAAMAAwC3AAAA/AIAAAAA&#10;" filled="f" strokecolor="black [3213]">
                        <v:shadow on="t" color="black" opacity="22937f" origin=",.5" offset="0,.63889mm"/>
                        <v:textbox>
                          <w:txbxContent>
                            <w:p w14:paraId="3613BA8A" w14:textId="77777777" w:rsidR="0010708C" w:rsidRPr="003C3579" w:rsidRDefault="0010708C" w:rsidP="0010708C">
                              <w:pPr>
                                <w:tabs>
                                  <w:tab w:val="left" w:pos="360"/>
                                </w:tabs>
                                <w:rPr>
                                  <w:b/>
                                  <w:bCs/>
                                  <w:color w:val="000000" w:themeColor="text1"/>
                                  <w:sz w:val="16"/>
                                  <w:szCs w:val="16"/>
                                  <w:lang w:val="en-US"/>
                                </w:rPr>
                              </w:pPr>
                              <w:r w:rsidRPr="003C3579">
                                <w:rPr>
                                  <w:b/>
                                  <w:bCs/>
                                  <w:color w:val="000000" w:themeColor="text1"/>
                                  <w:sz w:val="16"/>
                                  <w:szCs w:val="16"/>
                                  <w:lang w:val="en-US"/>
                                </w:rPr>
                                <w:t xml:space="preserve">Resources </w:t>
                              </w:r>
                            </w:p>
                            <w:p w14:paraId="2DE802AC" w14:textId="77777777" w:rsidR="0010708C" w:rsidRPr="003C3579" w:rsidRDefault="0010708C" w:rsidP="0010708C">
                              <w:pPr>
                                <w:rPr>
                                  <w:color w:val="000000" w:themeColor="text1"/>
                                  <w:sz w:val="16"/>
                                  <w:szCs w:val="16"/>
                                  <w:lang w:val="en-US"/>
                                </w:rPr>
                              </w:pPr>
                              <w:r w:rsidRPr="003C3579">
                                <w:rPr>
                                  <w:b/>
                                  <w:bCs/>
                                  <w:color w:val="000000" w:themeColor="text1"/>
                                  <w:sz w:val="16"/>
                                  <w:szCs w:val="16"/>
                                  <w:lang w:val="en-US"/>
                                </w:rPr>
                                <w:t>&amp; Strategic Capacity</w:t>
                              </w:r>
                            </w:p>
                          </w:txbxContent>
                        </v:textbox>
                      </v:rect>
                      <v:rect id="Rectangle 24" o:spid="_x0000_s1066" style="position:absolute;top:2832;width:12581;height:32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fOAzQAAAOMAAAAPAAAAZHJzL2Rvd25yZXYueG1sRI9BT8JA&#10;EIXvJvyHzZBwMbIVFEtlIQZjItGLKCHeJt2hbejONt2Fln/PHEw8zrw3732zWPWuVmdqQ+XZwP04&#10;AUWce1txYeDn++0uBRUissXaMxm4UIDVcnCzwMz6jr/ovI2FkhAOGRooY2wyrUNeksMw9g2xaAff&#10;OowytoW2LXYS7mo9SZKZdlixNJTY0Lqk/Lg9OQP1risu+X63n79+bPTvp93c9vPGmNGwf3kGFamP&#10;/+a/63cr+On0cfb0ME0FWn6SBejlFQAA//8DAFBLAQItABQABgAIAAAAIQDb4fbL7gAAAIUBAAAT&#10;AAAAAAAAAAAAAAAAAAAAAABbQ29udGVudF9UeXBlc10ueG1sUEsBAi0AFAAGAAgAAAAhAFr0LFu/&#10;AAAAFQEAAAsAAAAAAAAAAAAAAAAAHwEAAF9yZWxzLy5yZWxzUEsBAi0AFAAGAAgAAAAhAI6J84DN&#10;AAAA4wAAAA8AAAAAAAAAAAAAAAAABwIAAGRycy9kb3ducmV2LnhtbFBLBQYAAAAAAwADALcAAAAB&#10;AwAAAAA=&#10;" filled="f" strokecolor="black [3213]">
                        <v:shadow on="t" color="black" opacity="22937f" origin=",.5" offset="0,.63889mm"/>
                        <v:textbox>
                          <w:txbxContent>
                            <w:p w14:paraId="38BB3F5A" w14:textId="77777777" w:rsidR="0010708C" w:rsidRPr="003C3579" w:rsidRDefault="0010708C" w:rsidP="0010708C">
                              <w:pPr>
                                <w:rPr>
                                  <w:color w:val="000000" w:themeColor="text1"/>
                                  <w:sz w:val="16"/>
                                  <w:szCs w:val="16"/>
                                  <w:lang w:val="en-US"/>
                                </w:rPr>
                              </w:pPr>
                              <w:r w:rsidRPr="003C3579">
                                <w:rPr>
                                  <w:color w:val="000000" w:themeColor="text1"/>
                                  <w:sz w:val="16"/>
                                  <w:szCs w:val="16"/>
                                  <w:lang w:val="en-US"/>
                                </w:rPr>
                                <w:t>Financial Strength</w:t>
                              </w:r>
                            </w:p>
                            <w:p w14:paraId="027A2263" w14:textId="77777777" w:rsidR="0010708C" w:rsidRPr="003C3579" w:rsidRDefault="0010708C" w:rsidP="0010708C">
                              <w:pPr>
                                <w:rPr>
                                  <w:color w:val="000000" w:themeColor="text1"/>
                                  <w:sz w:val="16"/>
                                  <w:szCs w:val="16"/>
                                  <w:lang w:val="en-US"/>
                                </w:rPr>
                              </w:pPr>
                              <w:r w:rsidRPr="003C3579">
                                <w:rPr>
                                  <w:color w:val="000000" w:themeColor="text1"/>
                                  <w:sz w:val="16"/>
                                  <w:szCs w:val="16"/>
                                  <w:lang w:val="en-US"/>
                                </w:rPr>
                                <w:t>Resource Availability</w:t>
                              </w:r>
                            </w:p>
                            <w:p w14:paraId="2285D668" w14:textId="77777777" w:rsidR="0010708C" w:rsidRPr="003C3579" w:rsidRDefault="0010708C" w:rsidP="0010708C">
                              <w:pPr>
                                <w:rPr>
                                  <w:color w:val="000000" w:themeColor="text1"/>
                                  <w:sz w:val="16"/>
                                  <w:szCs w:val="16"/>
                                  <w:lang w:val="en-US"/>
                                </w:rPr>
                              </w:pPr>
                              <w:r w:rsidRPr="003C3579">
                                <w:rPr>
                                  <w:color w:val="000000" w:themeColor="text1"/>
                                  <w:sz w:val="16"/>
                                  <w:szCs w:val="16"/>
                                  <w:lang w:val="en-US"/>
                                </w:rPr>
                                <w:t>Strategic Capacity</w:t>
                              </w:r>
                            </w:p>
                          </w:txbxContent>
                        </v:textbox>
                      </v:rect>
                    </v:group>
                    <v:roundrect id="Rectangle: Rounded Corners 26" o:spid="_x0000_s1067" style="position:absolute;width:32004;height:1350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QL8ygAAAOEAAAAPAAAAZHJzL2Rvd25yZXYueG1sRI9Ba8JA&#10;FITvgv9heYIXqRsFNU1dRURpKfRgLG2Pj+xrNpp9G7Krpv++WxB6HGbmG2a57mwtrtT6yrGCyTgB&#10;QVw4XXGp4P24f0hB+ICssXZMCn7Iw3rV7y0x0+7GB7rmoRQRwj5DBSaEJpPSF4Ys+rFriKP37VqL&#10;Icq2lLrFW4TbWk6TZC4tVhwXDDa0NVSc84tVwPr0sTXNJ74+n96+dnKUhlmdKjUcdJsnEIG68B++&#10;t1+0gsdktpimiwn8PYpvQK5+AQAA//8DAFBLAQItABQABgAIAAAAIQDb4fbL7gAAAIUBAAATAAAA&#10;AAAAAAAAAAAAAAAAAABbQ29udGVudF9UeXBlc10ueG1sUEsBAi0AFAAGAAgAAAAhAFr0LFu/AAAA&#10;FQEAAAsAAAAAAAAAAAAAAAAAHwEAAF9yZWxzLy5yZWxzUEsBAi0AFAAGAAgAAAAhACJlAvzKAAAA&#10;4QAAAA8AAAAAAAAAAAAAAAAABwIAAGRycy9kb3ducmV2LnhtbFBLBQYAAAAAAwADALcAAAD+AgAA&#10;AAA=&#10;" filled="f" strokecolor="black [3213]">
                      <v:stroke dashstyle="dash"/>
                      <v:shadow on="t" color="black" opacity="22937f" origin=",.5" offset="0,.63889mm"/>
                    </v:roundrect>
                  </v:group>
                  <v:shape id="Straight Arrow Connector 34" o:spid="_x0000_s1068" type="#_x0000_t32" style="position:absolute;left:6289;top:12718;width:16442;height:477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dktxgAAAOMAAAAPAAAAZHJzL2Rvd25yZXYueG1sRE/NagIx&#10;EL4LfYcwhd40q3atbI0iolSoF7XU67CZZpduJmGT6vr2Rih4nO9/ZovONuJMbagdKxgOMhDEpdM1&#10;GwVfx01/CiJEZI2NY1JwpQCL+VNvhoV2F97T+RCNSCEcClRQxegLKUNZkcUwcJ44cT+utRjT2Rqp&#10;W7ykcNvIUZZNpMWaU0OFnlYVlb+HP6vAedN9fO/9eG0+dxtT+5MehZNSL8/d8h1EpC4+xP/urU7z&#10;J9O3YZa/5jncf0oAyPkNAAD//wMAUEsBAi0AFAAGAAgAAAAhANvh9svuAAAAhQEAABMAAAAAAAAA&#10;AAAAAAAAAAAAAFtDb250ZW50X1R5cGVzXS54bWxQSwECLQAUAAYACAAAACEAWvQsW78AAAAVAQAA&#10;CwAAAAAAAAAAAAAAAAAfAQAAX3JlbHMvLnJlbHNQSwECLQAUAAYACAAAACEAX6nZLcYAAADjAAAA&#10;DwAAAAAAAAAAAAAAAAAHAgAAZHJzL2Rvd25yZXYueG1sUEsFBgAAAAADAAMAtwAAAPoCAAAAAA==&#10;" strokecolor="black [3213]" strokeweight="2pt">
                    <v:stroke endarrow="block"/>
                    <v:shadow on="t" color="black" opacity="24903f" origin=",.5" offset="0,.55556mm"/>
                  </v:shape>
                  <v:shape id="Straight Arrow Connector 34" o:spid="_x0000_s1069" type="#_x0000_t32" style="position:absolute;left:38495;top:13182;width:16376;height:433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XpryQAAAOIAAAAPAAAAZHJzL2Rvd25yZXYueG1sRI9Na8JA&#10;EIbvQv/DMgVvdZOUapO6SmkRhPai9tDjJDtNgtnZkJ1q6q93DwWPL+8Xz3I9uk6daAitZwPpLAFF&#10;XHnbcm3g67B5eAYVBNli55kM/FGA9epussTC+jPv6LSXWsURDgUaaET6QutQNeQwzHxPHL0fPziU&#10;KIda2wHPcdx1OkuSuXbYcnxosKe3hqrj/tcZ6D9Tdu9Vffgo01KO28uilO/SmOn9+PoCSmiUW/i/&#10;vbUGHrM8z/L5U4SISBEH9OoKAAD//wMAUEsBAi0AFAAGAAgAAAAhANvh9svuAAAAhQEAABMAAAAA&#10;AAAAAAAAAAAAAAAAAFtDb250ZW50X1R5cGVzXS54bWxQSwECLQAUAAYACAAAACEAWvQsW78AAAAV&#10;AQAACwAAAAAAAAAAAAAAAAAfAQAAX3JlbHMvLnJlbHNQSwECLQAUAAYACAAAACEAhbl6a8kAAADi&#10;AAAADwAAAAAAAAAAAAAAAAAHAgAAZHJzL2Rvd25yZXYueG1sUEsFBgAAAAADAAMAtwAAAP0CAAAA&#10;AA==&#10;" strokecolor="black [3213]" strokeweight="2pt">
                    <v:stroke endarrow="block"/>
                    <v:shadow on="t" color="black" opacity="24903f" origin=",.5" offset="0,.55556mm"/>
                  </v:shape>
                </v:group>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35" o:spid="_x0000_s1070" type="#_x0000_t67" style="position:absolute;left:28416;top:14208;width:2752;height:2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EpgyQAAAOMAAAAPAAAAZHJzL2Rvd25yZXYueG1sRE/RTsMw&#10;DHxH2j9ERuKNpYUxdWXZhJBAIB42yj7Aa0xT1iQlCWv5e4w0aX7z3fnuvFyPthNHCrH1TkE+zUCQ&#10;q71uXaNg9/F0XYCICZ3GzjtS8EsR1qvJxRJL7Qf3TscqNYJNXCxRgUmpL6WMtSGLcep7csx9+mAx&#10;8RoaqQMObG47eZNlc2mxdZxgsKdHQ/Wh+rEcYp6bys/2r7dvX0XYDd/bfGO3Sl1djg/3IBKN6Sw+&#10;Xb9orn/HM88XxQz+f2IA5OoPAAD//wMAUEsBAi0AFAAGAAgAAAAhANvh9svuAAAAhQEAABMAAAAA&#10;AAAAAAAAAAAAAAAAAFtDb250ZW50X1R5cGVzXS54bWxQSwECLQAUAAYACAAAACEAWvQsW78AAAAV&#10;AQAACwAAAAAAAAAAAAAAAAAfAQAAX3JlbHMvLnJlbHNQSwECLQAUAAYACAAAACEAr4hKYMkAAADj&#10;AAAADwAAAAAAAAAAAAAAAAAHAgAAZHJzL2Rvd25yZXYueG1sUEsFBgAAAAADAAMAtwAAAP0CAAAA&#10;AA==&#10;" adj="10800" filled="f" strokecolor="black [3213]">
                  <v:shadow on="t" color="black" opacity="22937f" origin=",.5" offset="0,.63889mm"/>
                </v:shape>
                <w10:wrap type="square"/>
              </v:group>
            </w:pict>
          </mc:Fallback>
        </mc:AlternateContent>
      </w:r>
      <w:r>
        <w:rPr>
          <w:b/>
          <w:bCs/>
          <w:sz w:val="22"/>
          <w:szCs w:val="22"/>
          <w:lang w:val="en-US"/>
        </w:rPr>
        <w:t xml:space="preserve"> of Fintech adoption </w:t>
      </w:r>
      <w:r w:rsidRPr="0047370B">
        <w:rPr>
          <w:b/>
          <w:bCs/>
          <w:sz w:val="22"/>
          <w:szCs w:val="22"/>
          <w:lang w:val="en-US"/>
        </w:rPr>
        <w:t>determinants and impacts</w:t>
      </w:r>
    </w:p>
    <w:p w14:paraId="6F723B4F" w14:textId="2B6314B4" w:rsidR="0047370B" w:rsidRPr="00136BE2" w:rsidRDefault="0047370B" w:rsidP="00136BE2">
      <w:pPr>
        <w:tabs>
          <w:tab w:val="left" w:pos="360"/>
        </w:tabs>
        <w:spacing w:before="120"/>
        <w:jc w:val="both"/>
        <w:rPr>
          <w:sz w:val="22"/>
          <w:szCs w:val="22"/>
          <w:lang w:val="en-US"/>
        </w:rPr>
      </w:pPr>
    </w:p>
    <w:p w14:paraId="51525DA4" w14:textId="77777777" w:rsidR="0047370B" w:rsidRDefault="0047370B" w:rsidP="008C499C">
      <w:pPr>
        <w:tabs>
          <w:tab w:val="left" w:pos="360"/>
        </w:tabs>
        <w:spacing w:before="120"/>
        <w:jc w:val="both"/>
        <w:rPr>
          <w:sz w:val="22"/>
          <w:szCs w:val="22"/>
          <w:lang w:val="en-US"/>
        </w:rPr>
      </w:pPr>
    </w:p>
    <w:p w14:paraId="12906907" w14:textId="77777777" w:rsidR="0047370B" w:rsidRDefault="0047370B" w:rsidP="008C499C">
      <w:pPr>
        <w:tabs>
          <w:tab w:val="left" w:pos="360"/>
        </w:tabs>
        <w:spacing w:before="120"/>
        <w:jc w:val="both"/>
        <w:rPr>
          <w:sz w:val="22"/>
          <w:szCs w:val="22"/>
          <w:lang w:val="en-US"/>
        </w:rPr>
      </w:pPr>
    </w:p>
    <w:p w14:paraId="3CEE9993" w14:textId="5FDF3F68" w:rsidR="00722F5C" w:rsidRDefault="00136BE2" w:rsidP="008C499C">
      <w:pPr>
        <w:tabs>
          <w:tab w:val="left" w:pos="360"/>
        </w:tabs>
        <w:spacing w:before="120"/>
        <w:jc w:val="both"/>
        <w:rPr>
          <w:sz w:val="22"/>
          <w:szCs w:val="22"/>
          <w:lang w:val="en-US"/>
        </w:rPr>
      </w:pPr>
      <w:r w:rsidRPr="00136BE2">
        <w:rPr>
          <w:sz w:val="22"/>
          <w:szCs w:val="22"/>
          <w:lang w:val="en-US"/>
        </w:rPr>
        <w:t xml:space="preserve">Overall, the impact-focused evidence indicates that while </w:t>
      </w:r>
      <w:r w:rsidR="007356CA">
        <w:rPr>
          <w:sz w:val="22"/>
          <w:szCs w:val="22"/>
          <w:lang w:val="en-US"/>
        </w:rPr>
        <w:t>Fintech</w:t>
      </w:r>
      <w:r w:rsidRPr="00136BE2">
        <w:rPr>
          <w:sz w:val="22"/>
          <w:szCs w:val="22"/>
          <w:lang w:val="en-US"/>
        </w:rPr>
        <w:t xml:space="preserve"> adoption is frequently associated with improved performance and efficiency, its implications for risk and stability are context-dependent and influenced by both external conditions and bank-specific characteristics.</w:t>
      </w:r>
      <w:r w:rsidR="00D66282" w:rsidRPr="00D66282">
        <w:rPr>
          <w:sz w:val="22"/>
          <w:szCs w:val="22"/>
          <w:lang w:val="en-US"/>
        </w:rPr>
        <w:t xml:space="preserve"> </w:t>
      </w:r>
    </w:p>
    <w:p w14:paraId="4E31D8DD" w14:textId="019F8049" w:rsidR="004F435E" w:rsidRDefault="00D66282" w:rsidP="008C499C">
      <w:pPr>
        <w:tabs>
          <w:tab w:val="left" w:pos="360"/>
        </w:tabs>
        <w:spacing w:before="120"/>
        <w:jc w:val="both"/>
        <w:rPr>
          <w:sz w:val="22"/>
          <w:szCs w:val="22"/>
          <w:lang w:val="en-US"/>
        </w:rPr>
      </w:pPr>
      <w:r w:rsidRPr="00D66282">
        <w:rPr>
          <w:sz w:val="22"/>
          <w:szCs w:val="22"/>
          <w:lang w:val="en-US"/>
        </w:rPr>
        <w:t xml:space="preserve">Figure </w:t>
      </w:r>
      <w:r w:rsidR="00671955">
        <w:rPr>
          <w:sz w:val="22"/>
          <w:szCs w:val="22"/>
          <w:lang w:val="en-US"/>
        </w:rPr>
        <w:t>2</w:t>
      </w:r>
      <w:r w:rsidRPr="00D66282">
        <w:rPr>
          <w:sz w:val="22"/>
          <w:szCs w:val="22"/>
          <w:lang w:val="en-US"/>
        </w:rPr>
        <w:t xml:space="preserve"> illustrates </w:t>
      </w:r>
      <w:r w:rsidR="007356CA">
        <w:rPr>
          <w:sz w:val="22"/>
          <w:szCs w:val="22"/>
          <w:lang w:val="en-US"/>
        </w:rPr>
        <w:t>Fintech</w:t>
      </w:r>
      <w:r w:rsidRPr="00D66282">
        <w:rPr>
          <w:sz w:val="22"/>
          <w:szCs w:val="22"/>
          <w:lang w:val="en-US"/>
        </w:rPr>
        <w:t xml:space="preserve"> adoption as an intermediate strategic outcome shaped by the interaction between external determinants and bank-specific capabilities. External pressures create incentives and constraints for adoption, while their effects are mediated by banks’ internal readiness, resources, and governance contexts. </w:t>
      </w:r>
      <w:r w:rsidR="007356CA">
        <w:rPr>
          <w:sz w:val="22"/>
          <w:szCs w:val="22"/>
          <w:lang w:val="en-US"/>
        </w:rPr>
        <w:t>Fintech</w:t>
      </w:r>
      <w:r w:rsidRPr="00D66282">
        <w:rPr>
          <w:sz w:val="22"/>
          <w:szCs w:val="22"/>
          <w:lang w:val="en-US"/>
        </w:rPr>
        <w:t xml:space="preserve"> adoption subsequently influences bank performance, risk, and sustainability, with feedback effects that furthershape banks’ strategic capabilities ove</w:t>
      </w:r>
      <w:r>
        <w:rPr>
          <w:sz w:val="22"/>
          <w:szCs w:val="22"/>
          <w:lang w:val="en-US"/>
        </w:rPr>
        <w:t xml:space="preserve">r </w:t>
      </w:r>
      <w:r w:rsidRPr="00D66282">
        <w:rPr>
          <w:sz w:val="22"/>
          <w:szCs w:val="22"/>
          <w:lang w:val="en-US"/>
        </w:rPr>
        <w:t>time</w:t>
      </w:r>
    </w:p>
    <w:p w14:paraId="31844B25" w14:textId="4FA7AF7B" w:rsidR="004F52DB" w:rsidRPr="00BB5C3F" w:rsidRDefault="004F52DB" w:rsidP="00BB5C3F">
      <w:pPr>
        <w:tabs>
          <w:tab w:val="left" w:pos="360"/>
        </w:tabs>
        <w:spacing w:before="120"/>
        <w:jc w:val="both"/>
        <w:rPr>
          <w:b/>
          <w:sz w:val="22"/>
          <w:szCs w:val="22"/>
          <w:lang w:val="en-US"/>
        </w:rPr>
      </w:pPr>
      <w:r w:rsidRPr="009408F5">
        <w:rPr>
          <w:b/>
          <w:sz w:val="22"/>
          <w:szCs w:val="22"/>
        </w:rPr>
        <w:t xml:space="preserve">5. CONCLUSIONS </w:t>
      </w:r>
    </w:p>
    <w:p w14:paraId="27A240AE" w14:textId="77777777" w:rsidR="006F3D2D" w:rsidRDefault="006F3D2D" w:rsidP="00BB5C3F">
      <w:pPr>
        <w:tabs>
          <w:tab w:val="left" w:pos="360"/>
          <w:tab w:val="right" w:leader="hyphen" w:pos="9072"/>
        </w:tabs>
        <w:spacing w:before="120"/>
        <w:jc w:val="both"/>
        <w:rPr>
          <w:bCs/>
          <w:sz w:val="22"/>
          <w:szCs w:val="22"/>
          <w:lang w:val="en-US"/>
        </w:rPr>
      </w:pPr>
      <w:r w:rsidRPr="006F3D2D">
        <w:rPr>
          <w:bCs/>
          <w:sz w:val="22"/>
          <w:szCs w:val="22"/>
          <w:lang w:val="en-US"/>
        </w:rPr>
        <w:t>This study provides a systematic synthesis of recent empirical research on FinTech adoption in the banking sector, with a focus on bank-level determinants and post-adoption impacts. Based on a review of 22 peer-reviewed studies published between 2020 and 2025, the paper clarifies how external pressures and internal bank characteristics jointly shape FinTech adoption and its consequences.</w:t>
      </w:r>
    </w:p>
    <w:p w14:paraId="05AA27FC" w14:textId="725A2858" w:rsidR="006F3D2D" w:rsidRDefault="006F3D2D" w:rsidP="00BB5C3F">
      <w:pPr>
        <w:tabs>
          <w:tab w:val="left" w:pos="360"/>
          <w:tab w:val="right" w:leader="hyphen" w:pos="9072"/>
        </w:tabs>
        <w:spacing w:before="120"/>
        <w:jc w:val="both"/>
        <w:rPr>
          <w:bCs/>
          <w:sz w:val="22"/>
          <w:szCs w:val="22"/>
          <w:lang w:val="en-US"/>
        </w:rPr>
      </w:pPr>
      <w:r w:rsidRPr="006F3D2D">
        <w:rPr>
          <w:bCs/>
          <w:sz w:val="22"/>
          <w:szCs w:val="22"/>
          <w:lang w:val="en-US"/>
        </w:rPr>
        <w:t>The review indicates that FinTech adoption in banking should be understood as a strategic and organizational decision rather than a purely technological response. External factors such as competition, customer demand, and regulatory conditions create important incentives for adoption, but they do not fully explain differences in adoption behavior across banks. Instead, bank-specific determinants</w:t>
      </w:r>
      <w:r>
        <w:rPr>
          <w:bCs/>
          <w:sz w:val="22"/>
          <w:szCs w:val="22"/>
          <w:lang w:val="en-US"/>
        </w:rPr>
        <w:t xml:space="preserve">, </w:t>
      </w:r>
      <w:r w:rsidRPr="006F3D2D">
        <w:rPr>
          <w:bCs/>
          <w:sz w:val="22"/>
          <w:szCs w:val="22"/>
          <w:lang w:val="en-US"/>
        </w:rPr>
        <w:t>including organizational readiness, technological capability, resource availability, strategic capacity, and governance contexts</w:t>
      </w:r>
      <w:r>
        <w:rPr>
          <w:bCs/>
          <w:sz w:val="22"/>
          <w:szCs w:val="22"/>
          <w:lang w:val="en-US"/>
        </w:rPr>
        <w:t xml:space="preserve">, </w:t>
      </w:r>
      <w:r w:rsidRPr="006F3D2D">
        <w:rPr>
          <w:bCs/>
          <w:sz w:val="22"/>
          <w:szCs w:val="22"/>
          <w:lang w:val="en-US"/>
        </w:rPr>
        <w:t>play a central role in enabling adoption decisions.</w:t>
      </w:r>
    </w:p>
    <w:p w14:paraId="68DCACFC" w14:textId="77777777" w:rsidR="00BB5C3F" w:rsidRDefault="006F3D2D" w:rsidP="006F3D2D">
      <w:pPr>
        <w:tabs>
          <w:tab w:val="left" w:pos="360"/>
          <w:tab w:val="right" w:leader="hyphen" w:pos="9072"/>
        </w:tabs>
        <w:spacing w:before="120"/>
        <w:jc w:val="both"/>
        <w:rPr>
          <w:bCs/>
          <w:sz w:val="22"/>
          <w:szCs w:val="22"/>
          <w:lang w:val="en-US"/>
        </w:rPr>
      </w:pPr>
      <w:r w:rsidRPr="006F3D2D">
        <w:rPr>
          <w:bCs/>
          <w:sz w:val="22"/>
          <w:szCs w:val="22"/>
        </w:rPr>
        <w:t>With respect to outcomes, the evidence suggests that FinTech adoption is generally associated with improvements in bank performance, efficiency, and sustainability-related activities. However, its effects on risk and financial stability are more context-dependent. While some studies report risk-reducing effects, others highlight potential increases in risk-taking under certain institutional or governance conditions, underscoring the importance of regulatory oversight and internal control mechanisms.</w:t>
      </w:r>
    </w:p>
    <w:p w14:paraId="367F709C" w14:textId="77777777" w:rsidR="006F3D2D" w:rsidRDefault="006F3D2D" w:rsidP="006F3D2D">
      <w:pPr>
        <w:tabs>
          <w:tab w:val="left" w:pos="360"/>
          <w:tab w:val="right" w:leader="hyphen" w:pos="9072"/>
        </w:tabs>
        <w:spacing w:before="120"/>
        <w:jc w:val="both"/>
        <w:rPr>
          <w:bCs/>
          <w:sz w:val="22"/>
          <w:szCs w:val="22"/>
          <w:lang w:val="en-US"/>
        </w:rPr>
      </w:pPr>
      <w:r w:rsidRPr="006F3D2D">
        <w:rPr>
          <w:bCs/>
          <w:sz w:val="22"/>
          <w:szCs w:val="22"/>
        </w:rPr>
        <w:t>Overall, the findings highlight the need for integrated analytical perspectives that consider external environments, bank-specific capabilities, and governance contexts when examining FinTech adoption in banking. From a practical perspective, the results suggest that successful FinTech adoption requires not only technological investment but also adequate organizational capabilities and sound governance. For policymakers, the findings emphasize the importance of regulatory frameworks that support innovation while maintaining financial stability. Despite limitations related to data scope and regional coverage, this review provides a useful foundation for future research on FinTech adoption in banking, particularly in emerging and developing economies.</w:t>
      </w:r>
    </w:p>
    <w:p w14:paraId="4327C002" w14:textId="4014A53F" w:rsidR="00D519C8" w:rsidRPr="00D519C8" w:rsidRDefault="00D519C8" w:rsidP="006F3D2D">
      <w:pPr>
        <w:tabs>
          <w:tab w:val="left" w:pos="360"/>
          <w:tab w:val="right" w:leader="hyphen" w:pos="9072"/>
        </w:tabs>
        <w:spacing w:before="120"/>
        <w:jc w:val="both"/>
        <w:rPr>
          <w:bCs/>
          <w:sz w:val="22"/>
          <w:szCs w:val="22"/>
          <w:lang w:val="en-US"/>
        </w:rPr>
        <w:sectPr w:rsidR="00D519C8" w:rsidRPr="00D519C8" w:rsidSect="004F435E">
          <w:type w:val="continuous"/>
          <w:pgSz w:w="11909" w:h="16834"/>
          <w:pgMar w:top="1134" w:right="1134" w:bottom="1134" w:left="1418" w:header="720" w:footer="720" w:gutter="0"/>
          <w:cols w:num="2" w:space="720"/>
        </w:sectPr>
      </w:pPr>
    </w:p>
    <w:p w14:paraId="06942BFB" w14:textId="6D69077F" w:rsidR="00D3670C" w:rsidRDefault="00D3670C" w:rsidP="00166F5B">
      <w:pPr>
        <w:tabs>
          <w:tab w:val="left" w:pos="360"/>
          <w:tab w:val="right" w:pos="9072"/>
        </w:tabs>
        <w:spacing w:before="120" w:after="120"/>
        <w:jc w:val="both"/>
        <w:rPr>
          <w:i/>
          <w:sz w:val="22"/>
          <w:szCs w:val="22"/>
          <w:lang w:val="de-DE"/>
        </w:rPr>
      </w:pPr>
    </w:p>
    <w:p w14:paraId="1DAE0D0B" w14:textId="68C1DA6D" w:rsidR="00166F5B" w:rsidRPr="00722F5C" w:rsidRDefault="00BB5C3F" w:rsidP="00166F5B">
      <w:pPr>
        <w:tabs>
          <w:tab w:val="left" w:pos="360"/>
          <w:tab w:val="right" w:pos="9072"/>
        </w:tabs>
        <w:spacing w:before="120" w:after="120"/>
        <w:jc w:val="both"/>
        <w:rPr>
          <w:b/>
          <w:bCs/>
          <w:iCs/>
          <w:sz w:val="22"/>
          <w:szCs w:val="22"/>
          <w:lang w:val="de-DE"/>
        </w:rPr>
      </w:pPr>
      <w:r w:rsidRPr="00BB5C3F">
        <w:rPr>
          <w:b/>
          <w:bCs/>
          <w:iCs/>
          <w:sz w:val="22"/>
          <w:szCs w:val="22"/>
          <w:lang w:val="de-DE"/>
        </w:rPr>
        <w:t>REFERENCES</w:t>
      </w:r>
    </w:p>
    <w:p w14:paraId="2052089E" w14:textId="77777777" w:rsidR="009321C7" w:rsidRDefault="009321C7" w:rsidP="001649A5">
      <w:pPr>
        <w:tabs>
          <w:tab w:val="left" w:pos="360"/>
          <w:tab w:val="right" w:pos="9072"/>
        </w:tabs>
        <w:spacing w:before="120" w:after="120"/>
        <w:jc w:val="both"/>
        <w:rPr>
          <w:sz w:val="22"/>
          <w:szCs w:val="22"/>
          <w:lang w:val="en-US"/>
        </w:rPr>
      </w:pPr>
    </w:p>
    <w:p w14:paraId="23A27C5D" w14:textId="77777777" w:rsidR="004F435E" w:rsidRDefault="004F435E" w:rsidP="00360248">
      <w:pPr>
        <w:pStyle w:val="EndNoteBibliography"/>
        <w:ind w:left="720" w:hanging="720"/>
        <w:sectPr w:rsidR="004F435E" w:rsidSect="004F435E">
          <w:type w:val="continuous"/>
          <w:pgSz w:w="11909" w:h="16834"/>
          <w:pgMar w:top="1134" w:right="1134" w:bottom="1134" w:left="1418" w:header="720" w:footer="720" w:gutter="0"/>
          <w:cols w:num="2" w:space="720"/>
        </w:sectPr>
      </w:pPr>
    </w:p>
    <w:p w14:paraId="4F0B397F" w14:textId="77777777" w:rsidR="00F22F4A" w:rsidRPr="00E35C9E" w:rsidRDefault="009321C7" w:rsidP="00E35C9E">
      <w:pPr>
        <w:pStyle w:val="EndNoteBibliography"/>
        <w:tabs>
          <w:tab w:val="left" w:pos="284"/>
        </w:tabs>
        <w:rPr>
          <w:rFonts w:ascii="Times New Roman" w:hAnsi="Times New Roman" w:cs="Times New Roman"/>
          <w:b/>
          <w:noProof/>
          <w:sz w:val="20"/>
          <w:szCs w:val="20"/>
        </w:rPr>
      </w:pPr>
      <w:r w:rsidRPr="00E35C9E">
        <w:rPr>
          <w:rFonts w:ascii="Times New Roman" w:hAnsi="Times New Roman" w:cs="Times New Roman"/>
          <w:sz w:val="20"/>
          <w:szCs w:val="20"/>
        </w:rPr>
        <w:fldChar w:fldCharType="begin"/>
      </w:r>
      <w:r w:rsidRPr="00E35C9E">
        <w:rPr>
          <w:rFonts w:ascii="Times New Roman" w:hAnsi="Times New Roman" w:cs="Times New Roman"/>
          <w:sz w:val="20"/>
          <w:szCs w:val="20"/>
        </w:rPr>
        <w:instrText xml:space="preserve"> ADDIN EN.REFLIST </w:instrText>
      </w:r>
      <w:r w:rsidRPr="00E35C9E">
        <w:rPr>
          <w:rFonts w:ascii="Times New Roman" w:hAnsi="Times New Roman" w:cs="Times New Roman"/>
          <w:sz w:val="20"/>
          <w:szCs w:val="20"/>
        </w:rPr>
        <w:fldChar w:fldCharType="separate"/>
      </w:r>
      <w:r w:rsidR="00F22F4A" w:rsidRPr="00E35C9E">
        <w:rPr>
          <w:rFonts w:ascii="Times New Roman" w:hAnsi="Times New Roman" w:cs="Times New Roman"/>
          <w:noProof/>
          <w:sz w:val="20"/>
          <w:szCs w:val="20"/>
        </w:rPr>
        <w:t>1.</w:t>
      </w:r>
      <w:r w:rsidR="00F22F4A" w:rsidRPr="00E35C9E">
        <w:rPr>
          <w:rFonts w:ascii="Times New Roman" w:hAnsi="Times New Roman" w:cs="Times New Roman"/>
          <w:noProof/>
          <w:sz w:val="20"/>
          <w:szCs w:val="20"/>
        </w:rPr>
        <w:tab/>
        <w:t xml:space="preserve">P. Gomber, R. J. Kauffman, C. Parker, and B. W. Weber. On the fintech revolution: Interpreting the forces of innovation, disruption, and transformation in financial services, </w:t>
      </w:r>
      <w:r w:rsidR="00F22F4A" w:rsidRPr="00E35C9E">
        <w:rPr>
          <w:rFonts w:ascii="Times New Roman" w:hAnsi="Times New Roman" w:cs="Times New Roman"/>
          <w:i/>
          <w:noProof/>
          <w:sz w:val="20"/>
          <w:szCs w:val="20"/>
        </w:rPr>
        <w:t>Journal of management information systems</w:t>
      </w:r>
      <w:r w:rsidR="00F22F4A" w:rsidRPr="00E35C9E">
        <w:rPr>
          <w:rFonts w:ascii="Times New Roman" w:hAnsi="Times New Roman" w:cs="Times New Roman"/>
          <w:noProof/>
          <w:sz w:val="20"/>
          <w:szCs w:val="20"/>
        </w:rPr>
        <w:t>,</w:t>
      </w:r>
      <w:r w:rsidR="00F22F4A" w:rsidRPr="00E35C9E">
        <w:rPr>
          <w:rFonts w:ascii="Times New Roman" w:hAnsi="Times New Roman" w:cs="Times New Roman"/>
          <w:b/>
          <w:noProof/>
          <w:sz w:val="20"/>
          <w:szCs w:val="20"/>
        </w:rPr>
        <w:t xml:space="preserve"> 2018</w:t>
      </w:r>
      <w:r w:rsidR="00F22F4A" w:rsidRPr="00E35C9E">
        <w:rPr>
          <w:rFonts w:ascii="Times New Roman" w:hAnsi="Times New Roman" w:cs="Times New Roman"/>
          <w:noProof/>
          <w:sz w:val="20"/>
          <w:szCs w:val="20"/>
        </w:rPr>
        <w:t>,</w:t>
      </w:r>
      <w:r w:rsidR="00F22F4A" w:rsidRPr="00E35C9E">
        <w:rPr>
          <w:rFonts w:ascii="Times New Roman" w:hAnsi="Times New Roman" w:cs="Times New Roman"/>
          <w:i/>
          <w:noProof/>
          <w:sz w:val="20"/>
          <w:szCs w:val="20"/>
        </w:rPr>
        <w:t xml:space="preserve">  35 (1), </w:t>
      </w:r>
      <w:r w:rsidR="00F22F4A" w:rsidRPr="00E35C9E">
        <w:rPr>
          <w:rFonts w:ascii="Times New Roman" w:hAnsi="Times New Roman" w:cs="Times New Roman"/>
          <w:noProof/>
          <w:sz w:val="20"/>
          <w:szCs w:val="20"/>
        </w:rPr>
        <w:t xml:space="preserve"> 220-265</w:t>
      </w:r>
      <w:r w:rsidR="00F22F4A" w:rsidRPr="00E35C9E">
        <w:rPr>
          <w:rFonts w:ascii="Times New Roman" w:hAnsi="Times New Roman" w:cs="Times New Roman"/>
          <w:b/>
          <w:noProof/>
          <w:sz w:val="20"/>
          <w:szCs w:val="20"/>
        </w:rPr>
        <w:t>.</w:t>
      </w:r>
    </w:p>
    <w:p w14:paraId="6F7633A3" w14:textId="77777777" w:rsidR="00F22F4A" w:rsidRPr="00E35C9E" w:rsidRDefault="00F22F4A" w:rsidP="00E35C9E">
      <w:pPr>
        <w:pStyle w:val="EndNoteBibliography"/>
        <w:tabs>
          <w:tab w:val="left" w:pos="284"/>
        </w:tabs>
        <w:rPr>
          <w:rFonts w:ascii="Times New Roman" w:hAnsi="Times New Roman" w:cs="Times New Roman"/>
          <w:b/>
          <w:noProof/>
          <w:sz w:val="20"/>
          <w:szCs w:val="20"/>
        </w:rPr>
      </w:pPr>
      <w:r w:rsidRPr="00E35C9E">
        <w:rPr>
          <w:rFonts w:ascii="Times New Roman" w:hAnsi="Times New Roman" w:cs="Times New Roman"/>
          <w:noProof/>
          <w:sz w:val="20"/>
          <w:szCs w:val="20"/>
        </w:rPr>
        <w:t>2.</w:t>
      </w:r>
      <w:r w:rsidRPr="00E35C9E">
        <w:rPr>
          <w:rFonts w:ascii="Times New Roman" w:hAnsi="Times New Roman" w:cs="Times New Roman"/>
          <w:noProof/>
          <w:sz w:val="20"/>
          <w:szCs w:val="20"/>
        </w:rPr>
        <w:tab/>
        <w:t xml:space="preserve">X. Vives. Digital disruption in banking, </w:t>
      </w:r>
      <w:r w:rsidRPr="00E35C9E">
        <w:rPr>
          <w:rFonts w:ascii="Times New Roman" w:hAnsi="Times New Roman" w:cs="Times New Roman"/>
          <w:i/>
          <w:noProof/>
          <w:sz w:val="20"/>
          <w:szCs w:val="20"/>
        </w:rPr>
        <w:t>Annual Review of Financial Economics</w:t>
      </w:r>
      <w:r w:rsidRPr="00E35C9E">
        <w:rPr>
          <w:rFonts w:ascii="Times New Roman" w:hAnsi="Times New Roman" w:cs="Times New Roman"/>
          <w:noProof/>
          <w:sz w:val="20"/>
          <w:szCs w:val="20"/>
        </w:rPr>
        <w:t>,</w:t>
      </w:r>
      <w:r w:rsidRPr="00E35C9E">
        <w:rPr>
          <w:rFonts w:ascii="Times New Roman" w:hAnsi="Times New Roman" w:cs="Times New Roman"/>
          <w:b/>
          <w:noProof/>
          <w:sz w:val="20"/>
          <w:szCs w:val="20"/>
        </w:rPr>
        <w:t xml:space="preserve"> 2019</w:t>
      </w:r>
      <w:r w:rsidRPr="00E35C9E">
        <w:rPr>
          <w:rFonts w:ascii="Times New Roman" w:hAnsi="Times New Roman" w:cs="Times New Roman"/>
          <w:noProof/>
          <w:sz w:val="20"/>
          <w:szCs w:val="20"/>
        </w:rPr>
        <w:t>,</w:t>
      </w:r>
      <w:r w:rsidRPr="00E35C9E">
        <w:rPr>
          <w:rFonts w:ascii="Times New Roman" w:hAnsi="Times New Roman" w:cs="Times New Roman"/>
          <w:i/>
          <w:noProof/>
          <w:sz w:val="20"/>
          <w:szCs w:val="20"/>
        </w:rPr>
        <w:t xml:space="preserve">  11 (1), </w:t>
      </w:r>
      <w:r w:rsidRPr="00E35C9E">
        <w:rPr>
          <w:rFonts w:ascii="Times New Roman" w:hAnsi="Times New Roman" w:cs="Times New Roman"/>
          <w:noProof/>
          <w:sz w:val="20"/>
          <w:szCs w:val="20"/>
        </w:rPr>
        <w:t xml:space="preserve"> 243-272</w:t>
      </w:r>
      <w:r w:rsidRPr="00E35C9E">
        <w:rPr>
          <w:rFonts w:ascii="Times New Roman" w:hAnsi="Times New Roman" w:cs="Times New Roman"/>
          <w:b/>
          <w:noProof/>
          <w:sz w:val="20"/>
          <w:szCs w:val="20"/>
        </w:rPr>
        <w:t>.</w:t>
      </w:r>
    </w:p>
    <w:p w14:paraId="58A0B27A" w14:textId="77777777" w:rsidR="00F22F4A" w:rsidRPr="00E35C9E" w:rsidRDefault="00F22F4A" w:rsidP="00E35C9E">
      <w:pPr>
        <w:pStyle w:val="EndNoteBibliography"/>
        <w:tabs>
          <w:tab w:val="left" w:pos="284"/>
        </w:tabs>
        <w:rPr>
          <w:rFonts w:ascii="Times New Roman" w:hAnsi="Times New Roman" w:cs="Times New Roman"/>
          <w:b/>
          <w:noProof/>
          <w:sz w:val="20"/>
          <w:szCs w:val="20"/>
        </w:rPr>
      </w:pPr>
      <w:r w:rsidRPr="00E35C9E">
        <w:rPr>
          <w:rFonts w:ascii="Times New Roman" w:hAnsi="Times New Roman" w:cs="Times New Roman"/>
          <w:noProof/>
          <w:sz w:val="20"/>
          <w:szCs w:val="20"/>
        </w:rPr>
        <w:t>3.</w:t>
      </w:r>
      <w:r w:rsidRPr="00E35C9E">
        <w:rPr>
          <w:rFonts w:ascii="Times New Roman" w:hAnsi="Times New Roman" w:cs="Times New Roman"/>
          <w:noProof/>
          <w:sz w:val="20"/>
          <w:szCs w:val="20"/>
        </w:rPr>
        <w:tab/>
        <w:t xml:space="preserve">K. Gai, M. Qiu, and X. Sun. A survey on FinTech, </w:t>
      </w:r>
      <w:r w:rsidRPr="00E35C9E">
        <w:rPr>
          <w:rFonts w:ascii="Times New Roman" w:hAnsi="Times New Roman" w:cs="Times New Roman"/>
          <w:i/>
          <w:noProof/>
          <w:sz w:val="20"/>
          <w:szCs w:val="20"/>
        </w:rPr>
        <w:t>Journal of Network and Computer Applications</w:t>
      </w:r>
      <w:r w:rsidRPr="00E35C9E">
        <w:rPr>
          <w:rFonts w:ascii="Times New Roman" w:hAnsi="Times New Roman" w:cs="Times New Roman"/>
          <w:noProof/>
          <w:sz w:val="20"/>
          <w:szCs w:val="20"/>
        </w:rPr>
        <w:t>,</w:t>
      </w:r>
      <w:r w:rsidRPr="00E35C9E">
        <w:rPr>
          <w:rFonts w:ascii="Times New Roman" w:hAnsi="Times New Roman" w:cs="Times New Roman"/>
          <w:b/>
          <w:noProof/>
          <w:sz w:val="20"/>
          <w:szCs w:val="20"/>
        </w:rPr>
        <w:t xml:space="preserve"> 2018</w:t>
      </w:r>
      <w:r w:rsidRPr="00E35C9E">
        <w:rPr>
          <w:rFonts w:ascii="Times New Roman" w:hAnsi="Times New Roman" w:cs="Times New Roman"/>
          <w:noProof/>
          <w:sz w:val="20"/>
          <w:szCs w:val="20"/>
        </w:rPr>
        <w:t>,</w:t>
      </w:r>
      <w:r w:rsidRPr="00E35C9E">
        <w:rPr>
          <w:rFonts w:ascii="Times New Roman" w:hAnsi="Times New Roman" w:cs="Times New Roman"/>
          <w:i/>
          <w:noProof/>
          <w:sz w:val="20"/>
          <w:szCs w:val="20"/>
        </w:rPr>
        <w:t xml:space="preserve">  103 </w:t>
      </w:r>
      <w:r w:rsidRPr="00E35C9E">
        <w:rPr>
          <w:rFonts w:ascii="Times New Roman" w:hAnsi="Times New Roman" w:cs="Times New Roman"/>
          <w:noProof/>
          <w:sz w:val="20"/>
          <w:szCs w:val="20"/>
        </w:rPr>
        <w:t xml:space="preserve"> 262-273</w:t>
      </w:r>
      <w:r w:rsidRPr="00E35C9E">
        <w:rPr>
          <w:rFonts w:ascii="Times New Roman" w:hAnsi="Times New Roman" w:cs="Times New Roman"/>
          <w:b/>
          <w:noProof/>
          <w:sz w:val="20"/>
          <w:szCs w:val="20"/>
        </w:rPr>
        <w:t>.</w:t>
      </w:r>
    </w:p>
    <w:p w14:paraId="7C21D000" w14:textId="77777777" w:rsidR="00F22F4A" w:rsidRPr="00E35C9E" w:rsidRDefault="00F22F4A" w:rsidP="00E35C9E">
      <w:pPr>
        <w:pStyle w:val="EndNoteBibliography"/>
        <w:tabs>
          <w:tab w:val="left" w:pos="284"/>
        </w:tabs>
        <w:rPr>
          <w:rFonts w:ascii="Times New Roman" w:hAnsi="Times New Roman" w:cs="Times New Roman"/>
          <w:b/>
          <w:noProof/>
          <w:sz w:val="20"/>
          <w:szCs w:val="20"/>
        </w:rPr>
      </w:pPr>
      <w:r w:rsidRPr="00E35C9E">
        <w:rPr>
          <w:rFonts w:ascii="Times New Roman" w:hAnsi="Times New Roman" w:cs="Times New Roman"/>
          <w:noProof/>
          <w:sz w:val="20"/>
          <w:szCs w:val="20"/>
        </w:rPr>
        <w:t>4.</w:t>
      </w:r>
      <w:r w:rsidRPr="00E35C9E">
        <w:rPr>
          <w:rFonts w:ascii="Times New Roman" w:hAnsi="Times New Roman" w:cs="Times New Roman"/>
          <w:noProof/>
          <w:sz w:val="20"/>
          <w:szCs w:val="20"/>
        </w:rPr>
        <w:tab/>
        <w:t xml:space="preserve">F. Giglio. Fintech: A literature review, </w:t>
      </w:r>
      <w:r w:rsidRPr="00E35C9E">
        <w:rPr>
          <w:rFonts w:ascii="Times New Roman" w:hAnsi="Times New Roman" w:cs="Times New Roman"/>
          <w:i/>
          <w:noProof/>
          <w:sz w:val="20"/>
          <w:szCs w:val="20"/>
        </w:rPr>
        <w:t>European Research Studies Journal</w:t>
      </w:r>
      <w:r w:rsidRPr="00E35C9E">
        <w:rPr>
          <w:rFonts w:ascii="Times New Roman" w:hAnsi="Times New Roman" w:cs="Times New Roman"/>
          <w:noProof/>
          <w:sz w:val="20"/>
          <w:szCs w:val="20"/>
        </w:rPr>
        <w:t>,</w:t>
      </w:r>
      <w:r w:rsidRPr="00E35C9E">
        <w:rPr>
          <w:rFonts w:ascii="Times New Roman" w:hAnsi="Times New Roman" w:cs="Times New Roman"/>
          <w:b/>
          <w:noProof/>
          <w:sz w:val="20"/>
          <w:szCs w:val="20"/>
        </w:rPr>
        <w:t xml:space="preserve"> 2021</w:t>
      </w:r>
      <w:r w:rsidRPr="00E35C9E">
        <w:rPr>
          <w:rFonts w:ascii="Times New Roman" w:hAnsi="Times New Roman" w:cs="Times New Roman"/>
          <w:noProof/>
          <w:sz w:val="20"/>
          <w:szCs w:val="20"/>
        </w:rPr>
        <w:t>,</w:t>
      </w:r>
      <w:r w:rsidRPr="00E35C9E">
        <w:rPr>
          <w:rFonts w:ascii="Times New Roman" w:hAnsi="Times New Roman" w:cs="Times New Roman"/>
          <w:i/>
          <w:noProof/>
          <w:sz w:val="20"/>
          <w:szCs w:val="20"/>
        </w:rPr>
        <w:t xml:space="preserve">  24 (2B), </w:t>
      </w:r>
      <w:r w:rsidRPr="00E35C9E">
        <w:rPr>
          <w:rFonts w:ascii="Times New Roman" w:hAnsi="Times New Roman" w:cs="Times New Roman"/>
          <w:noProof/>
          <w:sz w:val="20"/>
          <w:szCs w:val="20"/>
        </w:rPr>
        <w:t xml:space="preserve"> 600-627</w:t>
      </w:r>
      <w:r w:rsidRPr="00E35C9E">
        <w:rPr>
          <w:rFonts w:ascii="Times New Roman" w:hAnsi="Times New Roman" w:cs="Times New Roman"/>
          <w:b/>
          <w:noProof/>
          <w:sz w:val="20"/>
          <w:szCs w:val="20"/>
        </w:rPr>
        <w:t>.</w:t>
      </w:r>
    </w:p>
    <w:p w14:paraId="77CD84F3" w14:textId="77777777" w:rsidR="00F22F4A" w:rsidRPr="00E35C9E" w:rsidRDefault="00F22F4A" w:rsidP="00E35C9E">
      <w:pPr>
        <w:pStyle w:val="EndNoteBibliography"/>
        <w:tabs>
          <w:tab w:val="left" w:pos="284"/>
        </w:tabs>
        <w:rPr>
          <w:rFonts w:ascii="Times New Roman" w:hAnsi="Times New Roman" w:cs="Times New Roman"/>
          <w:b/>
          <w:noProof/>
          <w:sz w:val="20"/>
          <w:szCs w:val="20"/>
        </w:rPr>
      </w:pPr>
      <w:r w:rsidRPr="00E35C9E">
        <w:rPr>
          <w:rFonts w:ascii="Times New Roman" w:hAnsi="Times New Roman" w:cs="Times New Roman"/>
          <w:noProof/>
          <w:sz w:val="20"/>
          <w:szCs w:val="20"/>
        </w:rPr>
        <w:t>5.</w:t>
      </w:r>
      <w:r w:rsidRPr="00E35C9E">
        <w:rPr>
          <w:rFonts w:ascii="Times New Roman" w:hAnsi="Times New Roman" w:cs="Times New Roman"/>
          <w:noProof/>
          <w:sz w:val="20"/>
          <w:szCs w:val="20"/>
        </w:rPr>
        <w:tab/>
        <w:t xml:space="preserve">I. Lee and Y. J. Shin. Fintech: Ecosystem, business models, investment decisions, and challenges, </w:t>
      </w:r>
      <w:r w:rsidRPr="00E35C9E">
        <w:rPr>
          <w:rFonts w:ascii="Times New Roman" w:hAnsi="Times New Roman" w:cs="Times New Roman"/>
          <w:i/>
          <w:noProof/>
          <w:sz w:val="20"/>
          <w:szCs w:val="20"/>
        </w:rPr>
        <w:t>Business horizons</w:t>
      </w:r>
      <w:r w:rsidRPr="00E35C9E">
        <w:rPr>
          <w:rFonts w:ascii="Times New Roman" w:hAnsi="Times New Roman" w:cs="Times New Roman"/>
          <w:noProof/>
          <w:sz w:val="20"/>
          <w:szCs w:val="20"/>
        </w:rPr>
        <w:t>,</w:t>
      </w:r>
      <w:r w:rsidRPr="00E35C9E">
        <w:rPr>
          <w:rFonts w:ascii="Times New Roman" w:hAnsi="Times New Roman" w:cs="Times New Roman"/>
          <w:b/>
          <w:noProof/>
          <w:sz w:val="20"/>
          <w:szCs w:val="20"/>
        </w:rPr>
        <w:t xml:space="preserve"> 2018</w:t>
      </w:r>
      <w:r w:rsidRPr="00E35C9E">
        <w:rPr>
          <w:rFonts w:ascii="Times New Roman" w:hAnsi="Times New Roman" w:cs="Times New Roman"/>
          <w:noProof/>
          <w:sz w:val="20"/>
          <w:szCs w:val="20"/>
        </w:rPr>
        <w:t>,</w:t>
      </w:r>
      <w:r w:rsidRPr="00E35C9E">
        <w:rPr>
          <w:rFonts w:ascii="Times New Roman" w:hAnsi="Times New Roman" w:cs="Times New Roman"/>
          <w:i/>
          <w:noProof/>
          <w:sz w:val="20"/>
          <w:szCs w:val="20"/>
        </w:rPr>
        <w:t xml:space="preserve">  61 (1), </w:t>
      </w:r>
      <w:r w:rsidRPr="00E35C9E">
        <w:rPr>
          <w:rFonts w:ascii="Times New Roman" w:hAnsi="Times New Roman" w:cs="Times New Roman"/>
          <w:noProof/>
          <w:sz w:val="20"/>
          <w:szCs w:val="20"/>
        </w:rPr>
        <w:t xml:space="preserve"> 35-46</w:t>
      </w:r>
      <w:r w:rsidRPr="00E35C9E">
        <w:rPr>
          <w:rFonts w:ascii="Times New Roman" w:hAnsi="Times New Roman" w:cs="Times New Roman"/>
          <w:b/>
          <w:noProof/>
          <w:sz w:val="20"/>
          <w:szCs w:val="20"/>
        </w:rPr>
        <w:t>.</w:t>
      </w:r>
    </w:p>
    <w:p w14:paraId="36C7DBBA" w14:textId="77777777" w:rsidR="00F22F4A" w:rsidRPr="00E35C9E" w:rsidRDefault="00F22F4A" w:rsidP="00E35C9E">
      <w:pPr>
        <w:pStyle w:val="EndNoteBibliography"/>
        <w:tabs>
          <w:tab w:val="left" w:pos="284"/>
        </w:tabs>
        <w:rPr>
          <w:rFonts w:ascii="Times New Roman" w:hAnsi="Times New Roman" w:cs="Times New Roman"/>
          <w:b/>
          <w:noProof/>
          <w:sz w:val="20"/>
          <w:szCs w:val="20"/>
        </w:rPr>
      </w:pPr>
      <w:r w:rsidRPr="00E35C9E">
        <w:rPr>
          <w:rFonts w:ascii="Times New Roman" w:hAnsi="Times New Roman" w:cs="Times New Roman"/>
          <w:noProof/>
          <w:sz w:val="20"/>
          <w:szCs w:val="20"/>
        </w:rPr>
        <w:t>6.</w:t>
      </w:r>
      <w:r w:rsidRPr="00E35C9E">
        <w:rPr>
          <w:rFonts w:ascii="Times New Roman" w:hAnsi="Times New Roman" w:cs="Times New Roman"/>
          <w:noProof/>
          <w:sz w:val="20"/>
          <w:szCs w:val="20"/>
        </w:rPr>
        <w:tab/>
        <w:t xml:space="preserve">S. Kayed, M. Alta’any, R. Meqbel, I. N. Khatatbeh, and A. Mahafzah. Bank FinTech and bank performance: evidence from an emerging market, </w:t>
      </w:r>
      <w:r w:rsidRPr="00E35C9E">
        <w:rPr>
          <w:rFonts w:ascii="Times New Roman" w:hAnsi="Times New Roman" w:cs="Times New Roman"/>
          <w:i/>
          <w:noProof/>
          <w:sz w:val="20"/>
          <w:szCs w:val="20"/>
        </w:rPr>
        <w:t>Journal of Financial Reporting and Accounting</w:t>
      </w:r>
      <w:r w:rsidRPr="00E35C9E">
        <w:rPr>
          <w:rFonts w:ascii="Times New Roman" w:hAnsi="Times New Roman" w:cs="Times New Roman"/>
          <w:noProof/>
          <w:sz w:val="20"/>
          <w:szCs w:val="20"/>
        </w:rPr>
        <w:t>,</w:t>
      </w:r>
      <w:r w:rsidRPr="00E35C9E">
        <w:rPr>
          <w:rFonts w:ascii="Times New Roman" w:hAnsi="Times New Roman" w:cs="Times New Roman"/>
          <w:b/>
          <w:noProof/>
          <w:sz w:val="20"/>
          <w:szCs w:val="20"/>
        </w:rPr>
        <w:t xml:space="preserve"> 2025</w:t>
      </w:r>
      <w:r w:rsidRPr="00E35C9E">
        <w:rPr>
          <w:rFonts w:ascii="Times New Roman" w:hAnsi="Times New Roman" w:cs="Times New Roman"/>
          <w:noProof/>
          <w:sz w:val="20"/>
          <w:szCs w:val="20"/>
        </w:rPr>
        <w:t>,</w:t>
      </w:r>
      <w:r w:rsidRPr="00E35C9E">
        <w:rPr>
          <w:rFonts w:ascii="Times New Roman" w:hAnsi="Times New Roman" w:cs="Times New Roman"/>
          <w:i/>
          <w:noProof/>
          <w:sz w:val="20"/>
          <w:szCs w:val="20"/>
        </w:rPr>
        <w:t xml:space="preserve">  23 (2), </w:t>
      </w:r>
      <w:r w:rsidRPr="00E35C9E">
        <w:rPr>
          <w:rFonts w:ascii="Times New Roman" w:hAnsi="Times New Roman" w:cs="Times New Roman"/>
          <w:noProof/>
          <w:sz w:val="20"/>
          <w:szCs w:val="20"/>
        </w:rPr>
        <w:t xml:space="preserve"> 518-535</w:t>
      </w:r>
      <w:r w:rsidRPr="00E35C9E">
        <w:rPr>
          <w:rFonts w:ascii="Times New Roman" w:hAnsi="Times New Roman" w:cs="Times New Roman"/>
          <w:b/>
          <w:noProof/>
          <w:sz w:val="20"/>
          <w:szCs w:val="20"/>
        </w:rPr>
        <w:t>.</w:t>
      </w:r>
    </w:p>
    <w:p w14:paraId="54A87F05" w14:textId="77777777" w:rsidR="00F22F4A" w:rsidRPr="00E35C9E" w:rsidRDefault="00F22F4A" w:rsidP="00E35C9E">
      <w:pPr>
        <w:pStyle w:val="EndNoteBibliography"/>
        <w:tabs>
          <w:tab w:val="left" w:pos="284"/>
        </w:tabs>
        <w:rPr>
          <w:rFonts w:ascii="Times New Roman" w:hAnsi="Times New Roman" w:cs="Times New Roman"/>
          <w:b/>
          <w:noProof/>
          <w:sz w:val="20"/>
          <w:szCs w:val="20"/>
        </w:rPr>
      </w:pPr>
      <w:r w:rsidRPr="00E35C9E">
        <w:rPr>
          <w:rFonts w:ascii="Times New Roman" w:hAnsi="Times New Roman" w:cs="Times New Roman"/>
          <w:noProof/>
          <w:sz w:val="20"/>
          <w:szCs w:val="20"/>
        </w:rPr>
        <w:t>7.</w:t>
      </w:r>
      <w:r w:rsidRPr="00E35C9E">
        <w:rPr>
          <w:rFonts w:ascii="Times New Roman" w:hAnsi="Times New Roman" w:cs="Times New Roman"/>
          <w:noProof/>
          <w:sz w:val="20"/>
          <w:szCs w:val="20"/>
        </w:rPr>
        <w:tab/>
        <w:t xml:space="preserve">T. T. T. Nguyen. The Impact of Fintech on Bank Profitability and Bank Stability in Emerging Country, </w:t>
      </w:r>
      <w:r w:rsidRPr="00E35C9E">
        <w:rPr>
          <w:rFonts w:ascii="Times New Roman" w:hAnsi="Times New Roman" w:cs="Times New Roman"/>
          <w:i/>
          <w:noProof/>
          <w:sz w:val="20"/>
          <w:szCs w:val="20"/>
        </w:rPr>
        <w:t>Journal of Organizational Behavior Research</w:t>
      </w:r>
      <w:r w:rsidRPr="00E35C9E">
        <w:rPr>
          <w:rFonts w:ascii="Times New Roman" w:hAnsi="Times New Roman" w:cs="Times New Roman"/>
          <w:noProof/>
          <w:sz w:val="20"/>
          <w:szCs w:val="20"/>
        </w:rPr>
        <w:t>,</w:t>
      </w:r>
      <w:r w:rsidRPr="00E35C9E">
        <w:rPr>
          <w:rFonts w:ascii="Times New Roman" w:hAnsi="Times New Roman" w:cs="Times New Roman"/>
          <w:b/>
          <w:noProof/>
          <w:sz w:val="20"/>
          <w:szCs w:val="20"/>
        </w:rPr>
        <w:t xml:space="preserve"> 2025</w:t>
      </w:r>
      <w:r w:rsidRPr="00E35C9E">
        <w:rPr>
          <w:rFonts w:ascii="Times New Roman" w:hAnsi="Times New Roman" w:cs="Times New Roman"/>
          <w:noProof/>
          <w:sz w:val="20"/>
          <w:szCs w:val="20"/>
        </w:rPr>
        <w:t>,</w:t>
      </w:r>
      <w:r w:rsidRPr="00E35C9E">
        <w:rPr>
          <w:rFonts w:ascii="Times New Roman" w:hAnsi="Times New Roman" w:cs="Times New Roman"/>
          <w:i/>
          <w:noProof/>
          <w:sz w:val="20"/>
          <w:szCs w:val="20"/>
        </w:rPr>
        <w:t xml:space="preserve">  10 (2-2025), </w:t>
      </w:r>
      <w:r w:rsidRPr="00E35C9E">
        <w:rPr>
          <w:rFonts w:ascii="Times New Roman" w:hAnsi="Times New Roman" w:cs="Times New Roman"/>
          <w:noProof/>
          <w:sz w:val="20"/>
          <w:szCs w:val="20"/>
        </w:rPr>
        <w:t xml:space="preserve"> 12-19</w:t>
      </w:r>
      <w:r w:rsidRPr="00E35C9E">
        <w:rPr>
          <w:rFonts w:ascii="Times New Roman" w:hAnsi="Times New Roman" w:cs="Times New Roman"/>
          <w:b/>
          <w:noProof/>
          <w:sz w:val="20"/>
          <w:szCs w:val="20"/>
        </w:rPr>
        <w:t>.</w:t>
      </w:r>
    </w:p>
    <w:p w14:paraId="143FBAAB" w14:textId="77777777" w:rsidR="00F22F4A" w:rsidRPr="00E35C9E" w:rsidRDefault="00F22F4A" w:rsidP="00E35C9E">
      <w:pPr>
        <w:pStyle w:val="EndNoteBibliography"/>
        <w:tabs>
          <w:tab w:val="left" w:pos="284"/>
        </w:tabs>
        <w:rPr>
          <w:rFonts w:ascii="Times New Roman" w:hAnsi="Times New Roman" w:cs="Times New Roman"/>
          <w:b/>
          <w:noProof/>
          <w:sz w:val="20"/>
          <w:szCs w:val="20"/>
        </w:rPr>
      </w:pPr>
      <w:r w:rsidRPr="00E35C9E">
        <w:rPr>
          <w:rFonts w:ascii="Times New Roman" w:hAnsi="Times New Roman" w:cs="Times New Roman"/>
          <w:noProof/>
          <w:sz w:val="20"/>
          <w:szCs w:val="20"/>
        </w:rPr>
        <w:t>8.</w:t>
      </w:r>
      <w:r w:rsidRPr="00E35C9E">
        <w:rPr>
          <w:rFonts w:ascii="Times New Roman" w:hAnsi="Times New Roman" w:cs="Times New Roman"/>
          <w:noProof/>
          <w:sz w:val="20"/>
          <w:szCs w:val="20"/>
        </w:rPr>
        <w:tab/>
        <w:t xml:space="preserve">F. D. Davis. Perceived usefulness, perceived ease of use, and user acceptance of information technology, </w:t>
      </w:r>
      <w:r w:rsidRPr="00E35C9E">
        <w:rPr>
          <w:rFonts w:ascii="Times New Roman" w:hAnsi="Times New Roman" w:cs="Times New Roman"/>
          <w:i/>
          <w:noProof/>
          <w:sz w:val="20"/>
          <w:szCs w:val="20"/>
        </w:rPr>
        <w:t>MIS quarterly</w:t>
      </w:r>
      <w:r w:rsidRPr="00E35C9E">
        <w:rPr>
          <w:rFonts w:ascii="Times New Roman" w:hAnsi="Times New Roman" w:cs="Times New Roman"/>
          <w:noProof/>
          <w:sz w:val="20"/>
          <w:szCs w:val="20"/>
        </w:rPr>
        <w:t>,</w:t>
      </w:r>
      <w:r w:rsidRPr="00E35C9E">
        <w:rPr>
          <w:rFonts w:ascii="Times New Roman" w:hAnsi="Times New Roman" w:cs="Times New Roman"/>
          <w:b/>
          <w:noProof/>
          <w:sz w:val="20"/>
          <w:szCs w:val="20"/>
        </w:rPr>
        <w:t xml:space="preserve"> 1989</w:t>
      </w:r>
      <w:r w:rsidRPr="00E35C9E">
        <w:rPr>
          <w:rFonts w:ascii="Times New Roman" w:hAnsi="Times New Roman" w:cs="Times New Roman"/>
          <w:noProof/>
          <w:sz w:val="20"/>
          <w:szCs w:val="20"/>
        </w:rPr>
        <w:t>,</w:t>
      </w:r>
      <w:r w:rsidRPr="00E35C9E">
        <w:rPr>
          <w:rFonts w:ascii="Times New Roman" w:hAnsi="Times New Roman" w:cs="Times New Roman"/>
          <w:i/>
          <w:noProof/>
          <w:sz w:val="20"/>
          <w:szCs w:val="20"/>
        </w:rPr>
        <w:t xml:space="preserve"> </w:t>
      </w:r>
      <w:r w:rsidRPr="00E35C9E">
        <w:rPr>
          <w:rFonts w:ascii="Times New Roman" w:hAnsi="Times New Roman" w:cs="Times New Roman"/>
          <w:noProof/>
          <w:sz w:val="20"/>
          <w:szCs w:val="20"/>
        </w:rPr>
        <w:t xml:space="preserve"> 319-340</w:t>
      </w:r>
      <w:r w:rsidRPr="00E35C9E">
        <w:rPr>
          <w:rFonts w:ascii="Times New Roman" w:hAnsi="Times New Roman" w:cs="Times New Roman"/>
          <w:b/>
          <w:noProof/>
          <w:sz w:val="20"/>
          <w:szCs w:val="20"/>
        </w:rPr>
        <w:t>.</w:t>
      </w:r>
    </w:p>
    <w:p w14:paraId="1D6B3D9D" w14:textId="77777777" w:rsidR="00F22F4A" w:rsidRPr="00E35C9E" w:rsidRDefault="00F22F4A" w:rsidP="00E35C9E">
      <w:pPr>
        <w:pStyle w:val="EndNoteBibliography"/>
        <w:tabs>
          <w:tab w:val="left" w:pos="284"/>
        </w:tabs>
        <w:rPr>
          <w:rFonts w:ascii="Times New Roman" w:hAnsi="Times New Roman" w:cs="Times New Roman"/>
          <w:b/>
          <w:noProof/>
          <w:sz w:val="20"/>
          <w:szCs w:val="20"/>
        </w:rPr>
      </w:pPr>
      <w:r w:rsidRPr="00E35C9E">
        <w:rPr>
          <w:rFonts w:ascii="Times New Roman" w:hAnsi="Times New Roman" w:cs="Times New Roman"/>
          <w:noProof/>
          <w:sz w:val="20"/>
          <w:szCs w:val="20"/>
        </w:rPr>
        <w:t>9.</w:t>
      </w:r>
      <w:r w:rsidRPr="00E35C9E">
        <w:rPr>
          <w:rFonts w:ascii="Times New Roman" w:hAnsi="Times New Roman" w:cs="Times New Roman"/>
          <w:noProof/>
          <w:sz w:val="20"/>
          <w:szCs w:val="20"/>
        </w:rPr>
        <w:tab/>
        <w:t xml:space="preserve">V. Venkatesh, M. G. Morris, G. B. Davis, and F. D. Davis. User acceptance of information technology: Toward a unified view, </w:t>
      </w:r>
      <w:r w:rsidRPr="00E35C9E">
        <w:rPr>
          <w:rFonts w:ascii="Times New Roman" w:hAnsi="Times New Roman" w:cs="Times New Roman"/>
          <w:i/>
          <w:noProof/>
          <w:sz w:val="20"/>
          <w:szCs w:val="20"/>
        </w:rPr>
        <w:t>MIS quarterly</w:t>
      </w:r>
      <w:r w:rsidRPr="00E35C9E">
        <w:rPr>
          <w:rFonts w:ascii="Times New Roman" w:hAnsi="Times New Roman" w:cs="Times New Roman"/>
          <w:noProof/>
          <w:sz w:val="20"/>
          <w:szCs w:val="20"/>
        </w:rPr>
        <w:t>,</w:t>
      </w:r>
      <w:r w:rsidRPr="00E35C9E">
        <w:rPr>
          <w:rFonts w:ascii="Times New Roman" w:hAnsi="Times New Roman" w:cs="Times New Roman"/>
          <w:b/>
          <w:noProof/>
          <w:sz w:val="20"/>
          <w:szCs w:val="20"/>
        </w:rPr>
        <w:t xml:space="preserve"> 2003</w:t>
      </w:r>
      <w:r w:rsidRPr="00E35C9E">
        <w:rPr>
          <w:rFonts w:ascii="Times New Roman" w:hAnsi="Times New Roman" w:cs="Times New Roman"/>
          <w:noProof/>
          <w:sz w:val="20"/>
          <w:szCs w:val="20"/>
        </w:rPr>
        <w:t>,</w:t>
      </w:r>
      <w:r w:rsidRPr="00E35C9E">
        <w:rPr>
          <w:rFonts w:ascii="Times New Roman" w:hAnsi="Times New Roman" w:cs="Times New Roman"/>
          <w:i/>
          <w:noProof/>
          <w:sz w:val="20"/>
          <w:szCs w:val="20"/>
        </w:rPr>
        <w:t xml:space="preserve"> </w:t>
      </w:r>
      <w:r w:rsidRPr="00E35C9E">
        <w:rPr>
          <w:rFonts w:ascii="Times New Roman" w:hAnsi="Times New Roman" w:cs="Times New Roman"/>
          <w:noProof/>
          <w:sz w:val="20"/>
          <w:szCs w:val="20"/>
        </w:rPr>
        <w:t xml:space="preserve"> 425-478</w:t>
      </w:r>
      <w:r w:rsidRPr="00E35C9E">
        <w:rPr>
          <w:rFonts w:ascii="Times New Roman" w:hAnsi="Times New Roman" w:cs="Times New Roman"/>
          <w:b/>
          <w:noProof/>
          <w:sz w:val="20"/>
          <w:szCs w:val="20"/>
        </w:rPr>
        <w:t>.</w:t>
      </w:r>
    </w:p>
    <w:p w14:paraId="6C3041A6" w14:textId="77777777" w:rsidR="00F22F4A" w:rsidRPr="00E35C9E" w:rsidRDefault="00F22F4A" w:rsidP="00E35C9E">
      <w:pPr>
        <w:pStyle w:val="EndNoteBibliography"/>
        <w:tabs>
          <w:tab w:val="left" w:pos="284"/>
        </w:tabs>
        <w:rPr>
          <w:rFonts w:ascii="Times New Roman" w:hAnsi="Times New Roman" w:cs="Times New Roman"/>
          <w:b/>
          <w:noProof/>
          <w:sz w:val="20"/>
          <w:szCs w:val="20"/>
        </w:rPr>
      </w:pPr>
      <w:r w:rsidRPr="00E35C9E">
        <w:rPr>
          <w:rFonts w:ascii="Times New Roman" w:hAnsi="Times New Roman" w:cs="Times New Roman"/>
          <w:noProof/>
          <w:sz w:val="20"/>
          <w:szCs w:val="20"/>
        </w:rPr>
        <w:t>10.</w:t>
      </w:r>
      <w:r w:rsidRPr="00E35C9E">
        <w:rPr>
          <w:rFonts w:ascii="Times New Roman" w:hAnsi="Times New Roman" w:cs="Times New Roman"/>
          <w:noProof/>
          <w:sz w:val="20"/>
          <w:szCs w:val="20"/>
        </w:rPr>
        <w:tab/>
        <w:t xml:space="preserve">K. Zhu, K. L. Kraemer, and S. Xu. The process of innovation assimilation by firms in different countries: a technology diffusion perspective on e-business, </w:t>
      </w:r>
      <w:r w:rsidRPr="00E35C9E">
        <w:rPr>
          <w:rFonts w:ascii="Times New Roman" w:hAnsi="Times New Roman" w:cs="Times New Roman"/>
          <w:i/>
          <w:noProof/>
          <w:sz w:val="20"/>
          <w:szCs w:val="20"/>
        </w:rPr>
        <w:t>Management science</w:t>
      </w:r>
      <w:r w:rsidRPr="00E35C9E">
        <w:rPr>
          <w:rFonts w:ascii="Times New Roman" w:hAnsi="Times New Roman" w:cs="Times New Roman"/>
          <w:noProof/>
          <w:sz w:val="20"/>
          <w:szCs w:val="20"/>
        </w:rPr>
        <w:t>,</w:t>
      </w:r>
      <w:r w:rsidRPr="00E35C9E">
        <w:rPr>
          <w:rFonts w:ascii="Times New Roman" w:hAnsi="Times New Roman" w:cs="Times New Roman"/>
          <w:b/>
          <w:noProof/>
          <w:sz w:val="20"/>
          <w:szCs w:val="20"/>
        </w:rPr>
        <w:t xml:space="preserve"> 2006</w:t>
      </w:r>
      <w:r w:rsidRPr="00E35C9E">
        <w:rPr>
          <w:rFonts w:ascii="Times New Roman" w:hAnsi="Times New Roman" w:cs="Times New Roman"/>
          <w:noProof/>
          <w:sz w:val="20"/>
          <w:szCs w:val="20"/>
        </w:rPr>
        <w:t>,</w:t>
      </w:r>
      <w:r w:rsidRPr="00E35C9E">
        <w:rPr>
          <w:rFonts w:ascii="Times New Roman" w:hAnsi="Times New Roman" w:cs="Times New Roman"/>
          <w:i/>
          <w:noProof/>
          <w:sz w:val="20"/>
          <w:szCs w:val="20"/>
        </w:rPr>
        <w:t xml:space="preserve">  52 (10), </w:t>
      </w:r>
      <w:r w:rsidRPr="00E35C9E">
        <w:rPr>
          <w:rFonts w:ascii="Times New Roman" w:hAnsi="Times New Roman" w:cs="Times New Roman"/>
          <w:noProof/>
          <w:sz w:val="20"/>
          <w:szCs w:val="20"/>
        </w:rPr>
        <w:t xml:space="preserve"> 1557-1576</w:t>
      </w:r>
      <w:r w:rsidRPr="00E35C9E">
        <w:rPr>
          <w:rFonts w:ascii="Times New Roman" w:hAnsi="Times New Roman" w:cs="Times New Roman"/>
          <w:b/>
          <w:noProof/>
          <w:sz w:val="20"/>
          <w:szCs w:val="20"/>
        </w:rPr>
        <w:t>.</w:t>
      </w:r>
    </w:p>
    <w:p w14:paraId="27563DBC" w14:textId="77777777" w:rsidR="00F22F4A" w:rsidRPr="00E35C9E" w:rsidRDefault="00F22F4A" w:rsidP="00E35C9E">
      <w:pPr>
        <w:pStyle w:val="EndNoteBibliography"/>
        <w:tabs>
          <w:tab w:val="left" w:pos="284"/>
        </w:tabs>
        <w:rPr>
          <w:rFonts w:ascii="Times New Roman" w:hAnsi="Times New Roman" w:cs="Times New Roman"/>
          <w:b/>
          <w:noProof/>
          <w:sz w:val="20"/>
          <w:szCs w:val="20"/>
        </w:rPr>
      </w:pPr>
      <w:r w:rsidRPr="00E35C9E">
        <w:rPr>
          <w:rFonts w:ascii="Times New Roman" w:hAnsi="Times New Roman" w:cs="Times New Roman"/>
          <w:noProof/>
          <w:sz w:val="20"/>
          <w:szCs w:val="20"/>
        </w:rPr>
        <w:t>11.</w:t>
      </w:r>
      <w:r w:rsidRPr="00E35C9E">
        <w:rPr>
          <w:rFonts w:ascii="Times New Roman" w:hAnsi="Times New Roman" w:cs="Times New Roman"/>
          <w:noProof/>
          <w:sz w:val="20"/>
          <w:szCs w:val="20"/>
        </w:rPr>
        <w:tab/>
        <w:t xml:space="preserve">M. A. Peteraf and J. B. Barney. Unraveling the resource‐based tangle, </w:t>
      </w:r>
      <w:r w:rsidRPr="00E35C9E">
        <w:rPr>
          <w:rFonts w:ascii="Times New Roman" w:hAnsi="Times New Roman" w:cs="Times New Roman"/>
          <w:i/>
          <w:noProof/>
          <w:sz w:val="20"/>
          <w:szCs w:val="20"/>
        </w:rPr>
        <w:t>Managerial and decision economics</w:t>
      </w:r>
      <w:r w:rsidRPr="00E35C9E">
        <w:rPr>
          <w:rFonts w:ascii="Times New Roman" w:hAnsi="Times New Roman" w:cs="Times New Roman"/>
          <w:noProof/>
          <w:sz w:val="20"/>
          <w:szCs w:val="20"/>
        </w:rPr>
        <w:t>,</w:t>
      </w:r>
      <w:r w:rsidRPr="00E35C9E">
        <w:rPr>
          <w:rFonts w:ascii="Times New Roman" w:hAnsi="Times New Roman" w:cs="Times New Roman"/>
          <w:b/>
          <w:noProof/>
          <w:sz w:val="20"/>
          <w:szCs w:val="20"/>
        </w:rPr>
        <w:t xml:space="preserve"> 2003</w:t>
      </w:r>
      <w:r w:rsidRPr="00E35C9E">
        <w:rPr>
          <w:rFonts w:ascii="Times New Roman" w:hAnsi="Times New Roman" w:cs="Times New Roman"/>
          <w:noProof/>
          <w:sz w:val="20"/>
          <w:szCs w:val="20"/>
        </w:rPr>
        <w:t>,</w:t>
      </w:r>
      <w:r w:rsidRPr="00E35C9E">
        <w:rPr>
          <w:rFonts w:ascii="Times New Roman" w:hAnsi="Times New Roman" w:cs="Times New Roman"/>
          <w:i/>
          <w:noProof/>
          <w:sz w:val="20"/>
          <w:szCs w:val="20"/>
        </w:rPr>
        <w:t xml:space="preserve">  24 (4), </w:t>
      </w:r>
      <w:r w:rsidRPr="00E35C9E">
        <w:rPr>
          <w:rFonts w:ascii="Times New Roman" w:hAnsi="Times New Roman" w:cs="Times New Roman"/>
          <w:noProof/>
          <w:sz w:val="20"/>
          <w:szCs w:val="20"/>
        </w:rPr>
        <w:t xml:space="preserve"> 309-323</w:t>
      </w:r>
      <w:r w:rsidRPr="00E35C9E">
        <w:rPr>
          <w:rFonts w:ascii="Times New Roman" w:hAnsi="Times New Roman" w:cs="Times New Roman"/>
          <w:b/>
          <w:noProof/>
          <w:sz w:val="20"/>
          <w:szCs w:val="20"/>
        </w:rPr>
        <w:t>.</w:t>
      </w:r>
    </w:p>
    <w:p w14:paraId="44D6E9E5" w14:textId="77777777" w:rsidR="00F22F4A" w:rsidRPr="00E35C9E" w:rsidRDefault="00F22F4A" w:rsidP="00E35C9E">
      <w:pPr>
        <w:pStyle w:val="EndNoteBibliography"/>
        <w:tabs>
          <w:tab w:val="left" w:pos="284"/>
        </w:tabs>
        <w:rPr>
          <w:rFonts w:ascii="Times New Roman" w:hAnsi="Times New Roman" w:cs="Times New Roman"/>
          <w:noProof/>
          <w:sz w:val="20"/>
          <w:szCs w:val="20"/>
        </w:rPr>
      </w:pPr>
      <w:r w:rsidRPr="00E35C9E">
        <w:rPr>
          <w:rFonts w:ascii="Times New Roman" w:hAnsi="Times New Roman" w:cs="Times New Roman"/>
          <w:noProof/>
          <w:sz w:val="20"/>
          <w:szCs w:val="20"/>
        </w:rPr>
        <w:t>12.</w:t>
      </w:r>
      <w:r w:rsidRPr="00E35C9E">
        <w:rPr>
          <w:rFonts w:ascii="Times New Roman" w:hAnsi="Times New Roman" w:cs="Times New Roman"/>
          <w:noProof/>
          <w:sz w:val="20"/>
          <w:szCs w:val="20"/>
        </w:rPr>
        <w:tab/>
        <w:t xml:space="preserve">H. W. Volberda, R. E. Morgan, P. Reinmoeller, M. A. Hitt, R. D. Ireland, and R. E. Hoskisson, </w:t>
      </w:r>
      <w:r w:rsidRPr="00E35C9E">
        <w:rPr>
          <w:rFonts w:ascii="Times New Roman" w:hAnsi="Times New Roman" w:cs="Times New Roman"/>
          <w:i/>
          <w:noProof/>
          <w:sz w:val="20"/>
          <w:szCs w:val="20"/>
        </w:rPr>
        <w:t>Strategic management: Competitiveness and globalization (concepts and cases)</w:t>
      </w:r>
      <w:r w:rsidRPr="00E35C9E">
        <w:rPr>
          <w:rFonts w:ascii="Times New Roman" w:hAnsi="Times New Roman" w:cs="Times New Roman"/>
          <w:noProof/>
          <w:sz w:val="20"/>
          <w:szCs w:val="20"/>
        </w:rPr>
        <w:t>, Cengage Learning,  2011.</w:t>
      </w:r>
    </w:p>
    <w:p w14:paraId="14ECCFD7" w14:textId="77777777" w:rsidR="00F22F4A" w:rsidRPr="00E35C9E" w:rsidRDefault="00F22F4A" w:rsidP="00E35C9E">
      <w:pPr>
        <w:pStyle w:val="EndNoteBibliography"/>
        <w:tabs>
          <w:tab w:val="left" w:pos="284"/>
        </w:tabs>
        <w:rPr>
          <w:rFonts w:ascii="Times New Roman" w:hAnsi="Times New Roman" w:cs="Times New Roman"/>
          <w:b/>
          <w:noProof/>
          <w:sz w:val="20"/>
          <w:szCs w:val="20"/>
        </w:rPr>
      </w:pPr>
      <w:r w:rsidRPr="00E35C9E">
        <w:rPr>
          <w:rFonts w:ascii="Times New Roman" w:hAnsi="Times New Roman" w:cs="Times New Roman"/>
          <w:noProof/>
          <w:sz w:val="20"/>
          <w:szCs w:val="20"/>
        </w:rPr>
        <w:t>13.</w:t>
      </w:r>
      <w:r w:rsidRPr="00E35C9E">
        <w:rPr>
          <w:rFonts w:ascii="Times New Roman" w:hAnsi="Times New Roman" w:cs="Times New Roman"/>
          <w:noProof/>
          <w:sz w:val="20"/>
          <w:szCs w:val="20"/>
        </w:rPr>
        <w:tab/>
        <w:t xml:space="preserve">J. Barney. Firm resources and sustained competitive advantage, </w:t>
      </w:r>
      <w:r w:rsidRPr="00E35C9E">
        <w:rPr>
          <w:rFonts w:ascii="Times New Roman" w:hAnsi="Times New Roman" w:cs="Times New Roman"/>
          <w:i/>
          <w:noProof/>
          <w:sz w:val="20"/>
          <w:szCs w:val="20"/>
        </w:rPr>
        <w:t>Journal of management</w:t>
      </w:r>
      <w:r w:rsidRPr="00E35C9E">
        <w:rPr>
          <w:rFonts w:ascii="Times New Roman" w:hAnsi="Times New Roman" w:cs="Times New Roman"/>
          <w:noProof/>
          <w:sz w:val="20"/>
          <w:szCs w:val="20"/>
        </w:rPr>
        <w:t>,</w:t>
      </w:r>
      <w:r w:rsidRPr="00E35C9E">
        <w:rPr>
          <w:rFonts w:ascii="Times New Roman" w:hAnsi="Times New Roman" w:cs="Times New Roman"/>
          <w:b/>
          <w:noProof/>
          <w:sz w:val="20"/>
          <w:szCs w:val="20"/>
        </w:rPr>
        <w:t xml:space="preserve"> 1991</w:t>
      </w:r>
      <w:r w:rsidRPr="00E35C9E">
        <w:rPr>
          <w:rFonts w:ascii="Times New Roman" w:hAnsi="Times New Roman" w:cs="Times New Roman"/>
          <w:noProof/>
          <w:sz w:val="20"/>
          <w:szCs w:val="20"/>
        </w:rPr>
        <w:t>,</w:t>
      </w:r>
      <w:r w:rsidRPr="00E35C9E">
        <w:rPr>
          <w:rFonts w:ascii="Times New Roman" w:hAnsi="Times New Roman" w:cs="Times New Roman"/>
          <w:i/>
          <w:noProof/>
          <w:sz w:val="20"/>
          <w:szCs w:val="20"/>
        </w:rPr>
        <w:t xml:space="preserve">  17 (1), </w:t>
      </w:r>
      <w:r w:rsidRPr="00E35C9E">
        <w:rPr>
          <w:rFonts w:ascii="Times New Roman" w:hAnsi="Times New Roman" w:cs="Times New Roman"/>
          <w:noProof/>
          <w:sz w:val="20"/>
          <w:szCs w:val="20"/>
        </w:rPr>
        <w:t xml:space="preserve"> 99-120</w:t>
      </w:r>
      <w:r w:rsidRPr="00E35C9E">
        <w:rPr>
          <w:rFonts w:ascii="Times New Roman" w:hAnsi="Times New Roman" w:cs="Times New Roman"/>
          <w:b/>
          <w:noProof/>
          <w:sz w:val="20"/>
          <w:szCs w:val="20"/>
        </w:rPr>
        <w:t>.</w:t>
      </w:r>
    </w:p>
    <w:p w14:paraId="5C56C66D" w14:textId="77777777" w:rsidR="00F22F4A" w:rsidRPr="00E35C9E" w:rsidRDefault="00F22F4A" w:rsidP="00E35C9E">
      <w:pPr>
        <w:pStyle w:val="EndNoteBibliography"/>
        <w:tabs>
          <w:tab w:val="left" w:pos="284"/>
        </w:tabs>
        <w:rPr>
          <w:rFonts w:ascii="Times New Roman" w:hAnsi="Times New Roman" w:cs="Times New Roman"/>
          <w:b/>
          <w:noProof/>
          <w:sz w:val="20"/>
          <w:szCs w:val="20"/>
        </w:rPr>
      </w:pPr>
      <w:r w:rsidRPr="00E35C9E">
        <w:rPr>
          <w:rFonts w:ascii="Times New Roman" w:hAnsi="Times New Roman" w:cs="Times New Roman"/>
          <w:noProof/>
          <w:sz w:val="20"/>
          <w:szCs w:val="20"/>
        </w:rPr>
        <w:t>14.</w:t>
      </w:r>
      <w:r w:rsidRPr="00E35C9E">
        <w:rPr>
          <w:rFonts w:ascii="Times New Roman" w:hAnsi="Times New Roman" w:cs="Times New Roman"/>
          <w:noProof/>
          <w:sz w:val="20"/>
          <w:szCs w:val="20"/>
        </w:rPr>
        <w:tab/>
        <w:t xml:space="preserve">D. J. Teece, G. Pisano, and A. Shuen. Dynamic capabilities and strategic management, </w:t>
      </w:r>
      <w:r w:rsidRPr="00E35C9E">
        <w:rPr>
          <w:rFonts w:ascii="Times New Roman" w:hAnsi="Times New Roman" w:cs="Times New Roman"/>
          <w:i/>
          <w:noProof/>
          <w:sz w:val="20"/>
          <w:szCs w:val="20"/>
        </w:rPr>
        <w:t>Strategic management journal</w:t>
      </w:r>
      <w:r w:rsidRPr="00E35C9E">
        <w:rPr>
          <w:rFonts w:ascii="Times New Roman" w:hAnsi="Times New Roman" w:cs="Times New Roman"/>
          <w:noProof/>
          <w:sz w:val="20"/>
          <w:szCs w:val="20"/>
        </w:rPr>
        <w:t>,</w:t>
      </w:r>
      <w:r w:rsidRPr="00E35C9E">
        <w:rPr>
          <w:rFonts w:ascii="Times New Roman" w:hAnsi="Times New Roman" w:cs="Times New Roman"/>
          <w:b/>
          <w:noProof/>
          <w:sz w:val="20"/>
          <w:szCs w:val="20"/>
        </w:rPr>
        <w:t xml:space="preserve"> 1997</w:t>
      </w:r>
      <w:r w:rsidRPr="00E35C9E">
        <w:rPr>
          <w:rFonts w:ascii="Times New Roman" w:hAnsi="Times New Roman" w:cs="Times New Roman"/>
          <w:noProof/>
          <w:sz w:val="20"/>
          <w:szCs w:val="20"/>
        </w:rPr>
        <w:t>,</w:t>
      </w:r>
      <w:r w:rsidRPr="00E35C9E">
        <w:rPr>
          <w:rFonts w:ascii="Times New Roman" w:hAnsi="Times New Roman" w:cs="Times New Roman"/>
          <w:i/>
          <w:noProof/>
          <w:sz w:val="20"/>
          <w:szCs w:val="20"/>
        </w:rPr>
        <w:t xml:space="preserve">  18 (7), </w:t>
      </w:r>
      <w:r w:rsidRPr="00E35C9E">
        <w:rPr>
          <w:rFonts w:ascii="Times New Roman" w:hAnsi="Times New Roman" w:cs="Times New Roman"/>
          <w:noProof/>
          <w:sz w:val="20"/>
          <w:szCs w:val="20"/>
        </w:rPr>
        <w:t xml:space="preserve"> 509-533</w:t>
      </w:r>
      <w:r w:rsidRPr="00E35C9E">
        <w:rPr>
          <w:rFonts w:ascii="Times New Roman" w:hAnsi="Times New Roman" w:cs="Times New Roman"/>
          <w:b/>
          <w:noProof/>
          <w:sz w:val="20"/>
          <w:szCs w:val="20"/>
        </w:rPr>
        <w:t>.</w:t>
      </w:r>
    </w:p>
    <w:p w14:paraId="0CBC5AFC" w14:textId="77777777" w:rsidR="00F22F4A" w:rsidRPr="00E35C9E" w:rsidRDefault="00F22F4A" w:rsidP="00E35C9E">
      <w:pPr>
        <w:pStyle w:val="EndNoteBibliography"/>
        <w:tabs>
          <w:tab w:val="left" w:pos="284"/>
        </w:tabs>
        <w:rPr>
          <w:rFonts w:ascii="Times New Roman" w:hAnsi="Times New Roman" w:cs="Times New Roman"/>
          <w:b/>
          <w:noProof/>
          <w:sz w:val="20"/>
          <w:szCs w:val="20"/>
        </w:rPr>
      </w:pPr>
      <w:r w:rsidRPr="00E35C9E">
        <w:rPr>
          <w:rFonts w:ascii="Times New Roman" w:hAnsi="Times New Roman" w:cs="Times New Roman"/>
          <w:noProof/>
          <w:sz w:val="20"/>
          <w:szCs w:val="20"/>
        </w:rPr>
        <w:t>15.</w:t>
      </w:r>
      <w:r w:rsidRPr="00E35C9E">
        <w:rPr>
          <w:rFonts w:ascii="Times New Roman" w:hAnsi="Times New Roman" w:cs="Times New Roman"/>
          <w:noProof/>
          <w:sz w:val="20"/>
          <w:szCs w:val="20"/>
        </w:rPr>
        <w:tab/>
        <w:t xml:space="preserve">Y. Li, R. Spigt, and L. Swinkels. The impact of FinTech start-ups on incumbent retail banks’ share prices, </w:t>
      </w:r>
      <w:r w:rsidRPr="00E35C9E">
        <w:rPr>
          <w:rFonts w:ascii="Times New Roman" w:hAnsi="Times New Roman" w:cs="Times New Roman"/>
          <w:i/>
          <w:noProof/>
          <w:sz w:val="20"/>
          <w:szCs w:val="20"/>
        </w:rPr>
        <w:t>Financial Innovation</w:t>
      </w:r>
      <w:r w:rsidRPr="00E35C9E">
        <w:rPr>
          <w:rFonts w:ascii="Times New Roman" w:hAnsi="Times New Roman" w:cs="Times New Roman"/>
          <w:noProof/>
          <w:sz w:val="20"/>
          <w:szCs w:val="20"/>
        </w:rPr>
        <w:t>,</w:t>
      </w:r>
      <w:r w:rsidRPr="00E35C9E">
        <w:rPr>
          <w:rFonts w:ascii="Times New Roman" w:hAnsi="Times New Roman" w:cs="Times New Roman"/>
          <w:b/>
          <w:noProof/>
          <w:sz w:val="20"/>
          <w:szCs w:val="20"/>
        </w:rPr>
        <w:t xml:space="preserve"> 2017</w:t>
      </w:r>
      <w:r w:rsidRPr="00E35C9E">
        <w:rPr>
          <w:rFonts w:ascii="Times New Roman" w:hAnsi="Times New Roman" w:cs="Times New Roman"/>
          <w:noProof/>
          <w:sz w:val="20"/>
          <w:szCs w:val="20"/>
        </w:rPr>
        <w:t>,</w:t>
      </w:r>
      <w:r w:rsidRPr="00E35C9E">
        <w:rPr>
          <w:rFonts w:ascii="Times New Roman" w:hAnsi="Times New Roman" w:cs="Times New Roman"/>
          <w:i/>
          <w:noProof/>
          <w:sz w:val="20"/>
          <w:szCs w:val="20"/>
        </w:rPr>
        <w:t xml:space="preserve">  3 (1), </w:t>
      </w:r>
      <w:r w:rsidRPr="00E35C9E">
        <w:rPr>
          <w:rFonts w:ascii="Times New Roman" w:hAnsi="Times New Roman" w:cs="Times New Roman"/>
          <w:noProof/>
          <w:sz w:val="20"/>
          <w:szCs w:val="20"/>
        </w:rPr>
        <w:t xml:space="preserve"> 26</w:t>
      </w:r>
      <w:r w:rsidRPr="00E35C9E">
        <w:rPr>
          <w:rFonts w:ascii="Times New Roman" w:hAnsi="Times New Roman" w:cs="Times New Roman"/>
          <w:b/>
          <w:noProof/>
          <w:sz w:val="20"/>
          <w:szCs w:val="20"/>
        </w:rPr>
        <w:t>.</w:t>
      </w:r>
    </w:p>
    <w:p w14:paraId="30C30170" w14:textId="77777777" w:rsidR="00F22F4A" w:rsidRPr="00E35C9E" w:rsidRDefault="00F22F4A" w:rsidP="00E35C9E">
      <w:pPr>
        <w:pStyle w:val="EndNoteBibliography"/>
        <w:tabs>
          <w:tab w:val="left" w:pos="284"/>
        </w:tabs>
        <w:rPr>
          <w:rFonts w:ascii="Times New Roman" w:hAnsi="Times New Roman" w:cs="Times New Roman"/>
          <w:b/>
          <w:noProof/>
          <w:sz w:val="20"/>
          <w:szCs w:val="20"/>
        </w:rPr>
      </w:pPr>
      <w:r w:rsidRPr="00E35C9E">
        <w:rPr>
          <w:rFonts w:ascii="Times New Roman" w:hAnsi="Times New Roman" w:cs="Times New Roman"/>
          <w:noProof/>
          <w:sz w:val="20"/>
          <w:szCs w:val="20"/>
        </w:rPr>
        <w:t>16.</w:t>
      </w:r>
      <w:r w:rsidRPr="00E35C9E">
        <w:rPr>
          <w:rFonts w:ascii="Times New Roman" w:hAnsi="Times New Roman" w:cs="Times New Roman"/>
          <w:noProof/>
          <w:sz w:val="20"/>
          <w:szCs w:val="20"/>
        </w:rPr>
        <w:tab/>
        <w:t xml:space="preserve">K. S. Warner and M. Wäger. Building dynamic capabilities for digital transformation: An ongoing process of strategic renewal, </w:t>
      </w:r>
      <w:r w:rsidRPr="00E35C9E">
        <w:rPr>
          <w:rFonts w:ascii="Times New Roman" w:hAnsi="Times New Roman" w:cs="Times New Roman"/>
          <w:i/>
          <w:noProof/>
          <w:sz w:val="20"/>
          <w:szCs w:val="20"/>
        </w:rPr>
        <w:t>Long range planning</w:t>
      </w:r>
      <w:r w:rsidRPr="00E35C9E">
        <w:rPr>
          <w:rFonts w:ascii="Times New Roman" w:hAnsi="Times New Roman" w:cs="Times New Roman"/>
          <w:noProof/>
          <w:sz w:val="20"/>
          <w:szCs w:val="20"/>
        </w:rPr>
        <w:t>,</w:t>
      </w:r>
      <w:r w:rsidRPr="00E35C9E">
        <w:rPr>
          <w:rFonts w:ascii="Times New Roman" w:hAnsi="Times New Roman" w:cs="Times New Roman"/>
          <w:b/>
          <w:noProof/>
          <w:sz w:val="20"/>
          <w:szCs w:val="20"/>
        </w:rPr>
        <w:t xml:space="preserve"> 2019</w:t>
      </w:r>
      <w:r w:rsidRPr="00E35C9E">
        <w:rPr>
          <w:rFonts w:ascii="Times New Roman" w:hAnsi="Times New Roman" w:cs="Times New Roman"/>
          <w:noProof/>
          <w:sz w:val="20"/>
          <w:szCs w:val="20"/>
        </w:rPr>
        <w:t>,</w:t>
      </w:r>
      <w:r w:rsidRPr="00E35C9E">
        <w:rPr>
          <w:rFonts w:ascii="Times New Roman" w:hAnsi="Times New Roman" w:cs="Times New Roman"/>
          <w:i/>
          <w:noProof/>
          <w:sz w:val="20"/>
          <w:szCs w:val="20"/>
        </w:rPr>
        <w:t xml:space="preserve">  52 (3), </w:t>
      </w:r>
      <w:r w:rsidRPr="00E35C9E">
        <w:rPr>
          <w:rFonts w:ascii="Times New Roman" w:hAnsi="Times New Roman" w:cs="Times New Roman"/>
          <w:noProof/>
          <w:sz w:val="20"/>
          <w:szCs w:val="20"/>
        </w:rPr>
        <w:t xml:space="preserve"> 326-349</w:t>
      </w:r>
      <w:r w:rsidRPr="00E35C9E">
        <w:rPr>
          <w:rFonts w:ascii="Times New Roman" w:hAnsi="Times New Roman" w:cs="Times New Roman"/>
          <w:b/>
          <w:noProof/>
          <w:sz w:val="20"/>
          <w:szCs w:val="20"/>
        </w:rPr>
        <w:t>.</w:t>
      </w:r>
    </w:p>
    <w:p w14:paraId="5BD490D2" w14:textId="77777777" w:rsidR="00F22F4A" w:rsidRPr="00E35C9E" w:rsidRDefault="00F22F4A" w:rsidP="00E35C9E">
      <w:pPr>
        <w:pStyle w:val="EndNoteBibliography"/>
        <w:tabs>
          <w:tab w:val="left" w:pos="284"/>
        </w:tabs>
        <w:rPr>
          <w:rFonts w:ascii="Times New Roman" w:hAnsi="Times New Roman" w:cs="Times New Roman"/>
          <w:noProof/>
          <w:sz w:val="20"/>
          <w:szCs w:val="20"/>
        </w:rPr>
      </w:pPr>
      <w:r w:rsidRPr="00E35C9E">
        <w:rPr>
          <w:rFonts w:ascii="Times New Roman" w:hAnsi="Times New Roman" w:cs="Times New Roman"/>
          <w:noProof/>
          <w:sz w:val="20"/>
          <w:szCs w:val="20"/>
        </w:rPr>
        <w:t>17.</w:t>
      </w:r>
      <w:r w:rsidRPr="00E35C9E">
        <w:rPr>
          <w:rFonts w:ascii="Times New Roman" w:hAnsi="Times New Roman" w:cs="Times New Roman"/>
          <w:noProof/>
          <w:sz w:val="20"/>
          <w:szCs w:val="20"/>
        </w:rPr>
        <w:tab/>
        <w:t xml:space="preserve">M. C. Jensen and W. H. Meckling, "Theory of the firm: Managerial behavior, agency costs and ownership structure," in </w:t>
      </w:r>
      <w:r w:rsidRPr="00E35C9E">
        <w:rPr>
          <w:rFonts w:ascii="Times New Roman" w:hAnsi="Times New Roman" w:cs="Times New Roman"/>
          <w:i/>
          <w:noProof/>
          <w:sz w:val="20"/>
          <w:szCs w:val="20"/>
        </w:rPr>
        <w:t>Corporate governance</w:t>
      </w:r>
      <w:r w:rsidRPr="00E35C9E">
        <w:rPr>
          <w:rFonts w:ascii="Times New Roman" w:hAnsi="Times New Roman" w:cs="Times New Roman"/>
          <w:noProof/>
          <w:sz w:val="20"/>
          <w:szCs w:val="20"/>
        </w:rPr>
        <w:t>: Gower, 2019, pp. 77-132.</w:t>
      </w:r>
    </w:p>
    <w:p w14:paraId="022E989A" w14:textId="77777777" w:rsidR="00F22F4A" w:rsidRPr="00E35C9E" w:rsidRDefault="00F22F4A" w:rsidP="00E35C9E">
      <w:pPr>
        <w:pStyle w:val="EndNoteBibliography"/>
        <w:tabs>
          <w:tab w:val="left" w:pos="284"/>
        </w:tabs>
        <w:rPr>
          <w:rFonts w:ascii="Times New Roman" w:hAnsi="Times New Roman" w:cs="Times New Roman"/>
          <w:b/>
          <w:noProof/>
          <w:sz w:val="20"/>
          <w:szCs w:val="20"/>
        </w:rPr>
      </w:pPr>
      <w:r w:rsidRPr="00E35C9E">
        <w:rPr>
          <w:rFonts w:ascii="Times New Roman" w:hAnsi="Times New Roman" w:cs="Times New Roman"/>
          <w:noProof/>
          <w:sz w:val="20"/>
          <w:szCs w:val="20"/>
        </w:rPr>
        <w:t>18.</w:t>
      </w:r>
      <w:r w:rsidRPr="00E35C9E">
        <w:rPr>
          <w:rFonts w:ascii="Times New Roman" w:hAnsi="Times New Roman" w:cs="Times New Roman"/>
          <w:noProof/>
          <w:sz w:val="20"/>
          <w:szCs w:val="20"/>
        </w:rPr>
        <w:tab/>
        <w:t xml:space="preserve">P. J. DiMaggio and W. W. Powell. The iron cage revisited: Institutional isomorphism and collective rationality in organizational fields, </w:t>
      </w:r>
      <w:r w:rsidRPr="00E35C9E">
        <w:rPr>
          <w:rFonts w:ascii="Times New Roman" w:hAnsi="Times New Roman" w:cs="Times New Roman"/>
          <w:i/>
          <w:noProof/>
          <w:sz w:val="20"/>
          <w:szCs w:val="20"/>
        </w:rPr>
        <w:t>American sociological review</w:t>
      </w:r>
      <w:r w:rsidRPr="00E35C9E">
        <w:rPr>
          <w:rFonts w:ascii="Times New Roman" w:hAnsi="Times New Roman" w:cs="Times New Roman"/>
          <w:noProof/>
          <w:sz w:val="20"/>
          <w:szCs w:val="20"/>
        </w:rPr>
        <w:t>,</w:t>
      </w:r>
      <w:r w:rsidRPr="00E35C9E">
        <w:rPr>
          <w:rFonts w:ascii="Times New Roman" w:hAnsi="Times New Roman" w:cs="Times New Roman"/>
          <w:b/>
          <w:noProof/>
          <w:sz w:val="20"/>
          <w:szCs w:val="20"/>
        </w:rPr>
        <w:t xml:space="preserve"> 1983</w:t>
      </w:r>
      <w:r w:rsidRPr="00E35C9E">
        <w:rPr>
          <w:rFonts w:ascii="Times New Roman" w:hAnsi="Times New Roman" w:cs="Times New Roman"/>
          <w:noProof/>
          <w:sz w:val="20"/>
          <w:szCs w:val="20"/>
        </w:rPr>
        <w:t>,</w:t>
      </w:r>
      <w:r w:rsidRPr="00E35C9E">
        <w:rPr>
          <w:rFonts w:ascii="Times New Roman" w:hAnsi="Times New Roman" w:cs="Times New Roman"/>
          <w:i/>
          <w:noProof/>
          <w:sz w:val="20"/>
          <w:szCs w:val="20"/>
        </w:rPr>
        <w:t xml:space="preserve">  48 (2), </w:t>
      </w:r>
      <w:r w:rsidRPr="00E35C9E">
        <w:rPr>
          <w:rFonts w:ascii="Times New Roman" w:hAnsi="Times New Roman" w:cs="Times New Roman"/>
          <w:noProof/>
          <w:sz w:val="20"/>
          <w:szCs w:val="20"/>
        </w:rPr>
        <w:t xml:space="preserve"> 147-160</w:t>
      </w:r>
      <w:r w:rsidRPr="00E35C9E">
        <w:rPr>
          <w:rFonts w:ascii="Times New Roman" w:hAnsi="Times New Roman" w:cs="Times New Roman"/>
          <w:b/>
          <w:noProof/>
          <w:sz w:val="20"/>
          <w:szCs w:val="20"/>
        </w:rPr>
        <w:t>.</w:t>
      </w:r>
    </w:p>
    <w:p w14:paraId="48E44165" w14:textId="77777777" w:rsidR="00F22F4A" w:rsidRPr="00E35C9E" w:rsidRDefault="00F22F4A" w:rsidP="00E35C9E">
      <w:pPr>
        <w:pStyle w:val="EndNoteBibliography"/>
        <w:tabs>
          <w:tab w:val="left" w:pos="284"/>
        </w:tabs>
        <w:rPr>
          <w:rFonts w:ascii="Times New Roman" w:hAnsi="Times New Roman" w:cs="Times New Roman"/>
          <w:b/>
          <w:noProof/>
          <w:sz w:val="20"/>
          <w:szCs w:val="20"/>
        </w:rPr>
      </w:pPr>
      <w:r w:rsidRPr="00E35C9E">
        <w:rPr>
          <w:rFonts w:ascii="Times New Roman" w:hAnsi="Times New Roman" w:cs="Times New Roman"/>
          <w:noProof/>
          <w:sz w:val="20"/>
          <w:szCs w:val="20"/>
        </w:rPr>
        <w:t>19.</w:t>
      </w:r>
      <w:r w:rsidRPr="00E35C9E">
        <w:rPr>
          <w:rFonts w:ascii="Times New Roman" w:hAnsi="Times New Roman" w:cs="Times New Roman"/>
          <w:noProof/>
          <w:sz w:val="20"/>
          <w:szCs w:val="20"/>
        </w:rPr>
        <w:tab/>
        <w:t xml:space="preserve">D. W. Arner, J. Barberis, and R. P. Buckey. FinTech, RegTech, and the reconceptualization of financial regulation, </w:t>
      </w:r>
      <w:r w:rsidRPr="00E35C9E">
        <w:rPr>
          <w:rFonts w:ascii="Times New Roman" w:hAnsi="Times New Roman" w:cs="Times New Roman"/>
          <w:i/>
          <w:noProof/>
          <w:sz w:val="20"/>
          <w:szCs w:val="20"/>
        </w:rPr>
        <w:t>Nw. J. Int'l L. &amp; Bus.</w:t>
      </w:r>
      <w:r w:rsidRPr="00E35C9E">
        <w:rPr>
          <w:rFonts w:ascii="Times New Roman" w:hAnsi="Times New Roman" w:cs="Times New Roman"/>
          <w:noProof/>
          <w:sz w:val="20"/>
          <w:szCs w:val="20"/>
        </w:rPr>
        <w:t>,</w:t>
      </w:r>
      <w:r w:rsidRPr="00E35C9E">
        <w:rPr>
          <w:rFonts w:ascii="Times New Roman" w:hAnsi="Times New Roman" w:cs="Times New Roman"/>
          <w:b/>
          <w:noProof/>
          <w:sz w:val="20"/>
          <w:szCs w:val="20"/>
        </w:rPr>
        <w:t xml:space="preserve"> 2016</w:t>
      </w:r>
      <w:r w:rsidRPr="00E35C9E">
        <w:rPr>
          <w:rFonts w:ascii="Times New Roman" w:hAnsi="Times New Roman" w:cs="Times New Roman"/>
          <w:noProof/>
          <w:sz w:val="20"/>
          <w:szCs w:val="20"/>
        </w:rPr>
        <w:t>,</w:t>
      </w:r>
      <w:r w:rsidRPr="00E35C9E">
        <w:rPr>
          <w:rFonts w:ascii="Times New Roman" w:hAnsi="Times New Roman" w:cs="Times New Roman"/>
          <w:i/>
          <w:noProof/>
          <w:sz w:val="20"/>
          <w:szCs w:val="20"/>
        </w:rPr>
        <w:t xml:space="preserve">  37 </w:t>
      </w:r>
      <w:r w:rsidRPr="00E35C9E">
        <w:rPr>
          <w:rFonts w:ascii="Times New Roman" w:hAnsi="Times New Roman" w:cs="Times New Roman"/>
          <w:noProof/>
          <w:sz w:val="20"/>
          <w:szCs w:val="20"/>
        </w:rPr>
        <w:t xml:space="preserve"> 371</w:t>
      </w:r>
      <w:r w:rsidRPr="00E35C9E">
        <w:rPr>
          <w:rFonts w:ascii="Times New Roman" w:hAnsi="Times New Roman" w:cs="Times New Roman"/>
          <w:b/>
          <w:noProof/>
          <w:sz w:val="20"/>
          <w:szCs w:val="20"/>
        </w:rPr>
        <w:t>.</w:t>
      </w:r>
    </w:p>
    <w:p w14:paraId="553A763F" w14:textId="77777777" w:rsidR="00F22F4A" w:rsidRPr="00E35C9E" w:rsidRDefault="00F22F4A" w:rsidP="00E35C9E">
      <w:pPr>
        <w:pStyle w:val="EndNoteBibliography"/>
        <w:tabs>
          <w:tab w:val="left" w:pos="284"/>
        </w:tabs>
        <w:rPr>
          <w:rFonts w:ascii="Times New Roman" w:hAnsi="Times New Roman" w:cs="Times New Roman"/>
          <w:b/>
          <w:noProof/>
          <w:sz w:val="20"/>
          <w:szCs w:val="20"/>
        </w:rPr>
      </w:pPr>
      <w:r w:rsidRPr="00E35C9E">
        <w:rPr>
          <w:rFonts w:ascii="Times New Roman" w:hAnsi="Times New Roman" w:cs="Times New Roman"/>
          <w:noProof/>
          <w:sz w:val="20"/>
          <w:szCs w:val="20"/>
        </w:rPr>
        <w:t>20.</w:t>
      </w:r>
      <w:r w:rsidRPr="00E35C9E">
        <w:rPr>
          <w:rFonts w:ascii="Times New Roman" w:hAnsi="Times New Roman" w:cs="Times New Roman"/>
          <w:noProof/>
          <w:sz w:val="20"/>
          <w:szCs w:val="20"/>
        </w:rPr>
        <w:tab/>
        <w:t xml:space="preserve">P. Luarn and H.-H. Lin. Toward an understanding of the behavioral intention to use mobile banking, </w:t>
      </w:r>
      <w:r w:rsidRPr="00E35C9E">
        <w:rPr>
          <w:rFonts w:ascii="Times New Roman" w:hAnsi="Times New Roman" w:cs="Times New Roman"/>
          <w:i/>
          <w:noProof/>
          <w:sz w:val="20"/>
          <w:szCs w:val="20"/>
        </w:rPr>
        <w:t>Computers in human behavior</w:t>
      </w:r>
      <w:r w:rsidRPr="00E35C9E">
        <w:rPr>
          <w:rFonts w:ascii="Times New Roman" w:hAnsi="Times New Roman" w:cs="Times New Roman"/>
          <w:noProof/>
          <w:sz w:val="20"/>
          <w:szCs w:val="20"/>
        </w:rPr>
        <w:t>,</w:t>
      </w:r>
      <w:r w:rsidRPr="00E35C9E">
        <w:rPr>
          <w:rFonts w:ascii="Times New Roman" w:hAnsi="Times New Roman" w:cs="Times New Roman"/>
          <w:b/>
          <w:noProof/>
          <w:sz w:val="20"/>
          <w:szCs w:val="20"/>
        </w:rPr>
        <w:t xml:space="preserve"> 2005</w:t>
      </w:r>
      <w:r w:rsidRPr="00E35C9E">
        <w:rPr>
          <w:rFonts w:ascii="Times New Roman" w:hAnsi="Times New Roman" w:cs="Times New Roman"/>
          <w:noProof/>
          <w:sz w:val="20"/>
          <w:szCs w:val="20"/>
        </w:rPr>
        <w:t>,</w:t>
      </w:r>
      <w:r w:rsidRPr="00E35C9E">
        <w:rPr>
          <w:rFonts w:ascii="Times New Roman" w:hAnsi="Times New Roman" w:cs="Times New Roman"/>
          <w:i/>
          <w:noProof/>
          <w:sz w:val="20"/>
          <w:szCs w:val="20"/>
        </w:rPr>
        <w:t xml:space="preserve">  21 (6), </w:t>
      </w:r>
      <w:r w:rsidRPr="00E35C9E">
        <w:rPr>
          <w:rFonts w:ascii="Times New Roman" w:hAnsi="Times New Roman" w:cs="Times New Roman"/>
          <w:noProof/>
          <w:sz w:val="20"/>
          <w:szCs w:val="20"/>
        </w:rPr>
        <w:t xml:space="preserve"> 873-891</w:t>
      </w:r>
      <w:r w:rsidRPr="00E35C9E">
        <w:rPr>
          <w:rFonts w:ascii="Times New Roman" w:hAnsi="Times New Roman" w:cs="Times New Roman"/>
          <w:b/>
          <w:noProof/>
          <w:sz w:val="20"/>
          <w:szCs w:val="20"/>
        </w:rPr>
        <w:t>.</w:t>
      </w:r>
    </w:p>
    <w:p w14:paraId="23EFFF48" w14:textId="77777777" w:rsidR="00F22F4A" w:rsidRPr="00E35C9E" w:rsidRDefault="00F22F4A" w:rsidP="00E35C9E">
      <w:pPr>
        <w:pStyle w:val="EndNoteBibliography"/>
        <w:tabs>
          <w:tab w:val="left" w:pos="284"/>
        </w:tabs>
        <w:rPr>
          <w:rFonts w:ascii="Times New Roman" w:hAnsi="Times New Roman" w:cs="Times New Roman"/>
          <w:b/>
          <w:noProof/>
          <w:sz w:val="20"/>
          <w:szCs w:val="20"/>
        </w:rPr>
      </w:pPr>
      <w:r w:rsidRPr="00E35C9E">
        <w:rPr>
          <w:rFonts w:ascii="Times New Roman" w:hAnsi="Times New Roman" w:cs="Times New Roman"/>
          <w:noProof/>
          <w:sz w:val="20"/>
          <w:szCs w:val="20"/>
        </w:rPr>
        <w:t>21.</w:t>
      </w:r>
      <w:r w:rsidRPr="00E35C9E">
        <w:rPr>
          <w:rFonts w:ascii="Times New Roman" w:hAnsi="Times New Roman" w:cs="Times New Roman"/>
          <w:noProof/>
          <w:sz w:val="20"/>
          <w:szCs w:val="20"/>
        </w:rPr>
        <w:tab/>
        <w:t xml:space="preserve">P. Jiraporn, S. M. Lee, K. J. Park, and H. Song. How do independent directors influence innovation productivity? A quasi-natural experiment, </w:t>
      </w:r>
      <w:r w:rsidRPr="00E35C9E">
        <w:rPr>
          <w:rFonts w:ascii="Times New Roman" w:hAnsi="Times New Roman" w:cs="Times New Roman"/>
          <w:i/>
          <w:noProof/>
          <w:sz w:val="20"/>
          <w:szCs w:val="20"/>
        </w:rPr>
        <w:t>Applied Economics Letters</w:t>
      </w:r>
      <w:r w:rsidRPr="00E35C9E">
        <w:rPr>
          <w:rFonts w:ascii="Times New Roman" w:hAnsi="Times New Roman" w:cs="Times New Roman"/>
          <w:noProof/>
          <w:sz w:val="20"/>
          <w:szCs w:val="20"/>
        </w:rPr>
        <w:t>,</w:t>
      </w:r>
      <w:r w:rsidRPr="00E35C9E">
        <w:rPr>
          <w:rFonts w:ascii="Times New Roman" w:hAnsi="Times New Roman" w:cs="Times New Roman"/>
          <w:b/>
          <w:noProof/>
          <w:sz w:val="20"/>
          <w:szCs w:val="20"/>
        </w:rPr>
        <w:t xml:space="preserve"> 2018</w:t>
      </w:r>
      <w:r w:rsidRPr="00E35C9E">
        <w:rPr>
          <w:rFonts w:ascii="Times New Roman" w:hAnsi="Times New Roman" w:cs="Times New Roman"/>
          <w:noProof/>
          <w:sz w:val="20"/>
          <w:szCs w:val="20"/>
        </w:rPr>
        <w:t>,</w:t>
      </w:r>
      <w:r w:rsidRPr="00E35C9E">
        <w:rPr>
          <w:rFonts w:ascii="Times New Roman" w:hAnsi="Times New Roman" w:cs="Times New Roman"/>
          <w:i/>
          <w:noProof/>
          <w:sz w:val="20"/>
          <w:szCs w:val="20"/>
        </w:rPr>
        <w:t xml:space="preserve">  25 (7), </w:t>
      </w:r>
      <w:r w:rsidRPr="00E35C9E">
        <w:rPr>
          <w:rFonts w:ascii="Times New Roman" w:hAnsi="Times New Roman" w:cs="Times New Roman"/>
          <w:noProof/>
          <w:sz w:val="20"/>
          <w:szCs w:val="20"/>
        </w:rPr>
        <w:t xml:space="preserve"> 435-441</w:t>
      </w:r>
      <w:r w:rsidRPr="00E35C9E">
        <w:rPr>
          <w:rFonts w:ascii="Times New Roman" w:hAnsi="Times New Roman" w:cs="Times New Roman"/>
          <w:b/>
          <w:noProof/>
          <w:sz w:val="20"/>
          <w:szCs w:val="20"/>
        </w:rPr>
        <w:t>.</w:t>
      </w:r>
    </w:p>
    <w:p w14:paraId="6600A0D2" w14:textId="77777777" w:rsidR="00F22F4A" w:rsidRPr="00E35C9E" w:rsidRDefault="00F22F4A" w:rsidP="00E35C9E">
      <w:pPr>
        <w:pStyle w:val="EndNoteBibliography"/>
        <w:tabs>
          <w:tab w:val="left" w:pos="284"/>
        </w:tabs>
        <w:rPr>
          <w:rFonts w:ascii="Times New Roman" w:hAnsi="Times New Roman" w:cs="Times New Roman"/>
          <w:b/>
          <w:noProof/>
          <w:sz w:val="20"/>
          <w:szCs w:val="20"/>
        </w:rPr>
      </w:pPr>
      <w:r w:rsidRPr="00E35C9E">
        <w:rPr>
          <w:rFonts w:ascii="Times New Roman" w:hAnsi="Times New Roman" w:cs="Times New Roman"/>
          <w:noProof/>
          <w:sz w:val="20"/>
          <w:szCs w:val="20"/>
        </w:rPr>
        <w:t>22.</w:t>
      </w:r>
      <w:r w:rsidRPr="00E35C9E">
        <w:rPr>
          <w:rFonts w:ascii="Times New Roman" w:hAnsi="Times New Roman" w:cs="Times New Roman"/>
          <w:noProof/>
          <w:sz w:val="20"/>
          <w:szCs w:val="20"/>
        </w:rPr>
        <w:tab/>
        <w:t xml:space="preserve">M. Mohammed, G. P. Japee, and E. Mohammed. FinTech and Institutional Disruption: A Systematic Literature Review on Innovations and Transformation in Finance, </w:t>
      </w:r>
      <w:r w:rsidRPr="00E35C9E">
        <w:rPr>
          <w:rFonts w:ascii="Times New Roman" w:hAnsi="Times New Roman" w:cs="Times New Roman"/>
          <w:i/>
          <w:noProof/>
          <w:sz w:val="20"/>
          <w:szCs w:val="20"/>
        </w:rPr>
        <w:t>Asian Journal of Economics, Business and Accounting</w:t>
      </w:r>
      <w:r w:rsidRPr="00E35C9E">
        <w:rPr>
          <w:rFonts w:ascii="Times New Roman" w:hAnsi="Times New Roman" w:cs="Times New Roman"/>
          <w:noProof/>
          <w:sz w:val="20"/>
          <w:szCs w:val="20"/>
        </w:rPr>
        <w:t>,</w:t>
      </w:r>
      <w:r w:rsidRPr="00E35C9E">
        <w:rPr>
          <w:rFonts w:ascii="Times New Roman" w:hAnsi="Times New Roman" w:cs="Times New Roman"/>
          <w:b/>
          <w:noProof/>
          <w:sz w:val="20"/>
          <w:szCs w:val="20"/>
        </w:rPr>
        <w:t xml:space="preserve"> 2025</w:t>
      </w:r>
      <w:r w:rsidRPr="00E35C9E">
        <w:rPr>
          <w:rFonts w:ascii="Times New Roman" w:hAnsi="Times New Roman" w:cs="Times New Roman"/>
          <w:noProof/>
          <w:sz w:val="20"/>
          <w:szCs w:val="20"/>
        </w:rPr>
        <w:t>,</w:t>
      </w:r>
      <w:r w:rsidRPr="00E35C9E">
        <w:rPr>
          <w:rFonts w:ascii="Times New Roman" w:hAnsi="Times New Roman" w:cs="Times New Roman"/>
          <w:i/>
          <w:noProof/>
          <w:sz w:val="20"/>
          <w:szCs w:val="20"/>
        </w:rPr>
        <w:t xml:space="preserve">  25 (12), </w:t>
      </w:r>
      <w:r w:rsidRPr="00E35C9E">
        <w:rPr>
          <w:rFonts w:ascii="Times New Roman" w:hAnsi="Times New Roman" w:cs="Times New Roman"/>
          <w:noProof/>
          <w:sz w:val="20"/>
          <w:szCs w:val="20"/>
        </w:rPr>
        <w:t xml:space="preserve"> 154-165</w:t>
      </w:r>
      <w:r w:rsidRPr="00E35C9E">
        <w:rPr>
          <w:rFonts w:ascii="Times New Roman" w:hAnsi="Times New Roman" w:cs="Times New Roman"/>
          <w:b/>
          <w:noProof/>
          <w:sz w:val="20"/>
          <w:szCs w:val="20"/>
        </w:rPr>
        <w:t>.</w:t>
      </w:r>
    </w:p>
    <w:p w14:paraId="7BE982AA" w14:textId="77777777" w:rsidR="00F22F4A" w:rsidRPr="00E35C9E" w:rsidRDefault="00F22F4A" w:rsidP="00E35C9E">
      <w:pPr>
        <w:pStyle w:val="EndNoteBibliography"/>
        <w:tabs>
          <w:tab w:val="left" w:pos="284"/>
        </w:tabs>
        <w:rPr>
          <w:rFonts w:ascii="Times New Roman" w:hAnsi="Times New Roman" w:cs="Times New Roman"/>
          <w:b/>
          <w:noProof/>
          <w:sz w:val="20"/>
          <w:szCs w:val="20"/>
        </w:rPr>
      </w:pPr>
      <w:r w:rsidRPr="00E35C9E">
        <w:rPr>
          <w:rFonts w:ascii="Times New Roman" w:hAnsi="Times New Roman" w:cs="Times New Roman"/>
          <w:noProof/>
          <w:sz w:val="20"/>
          <w:szCs w:val="20"/>
        </w:rPr>
        <w:t>23.</w:t>
      </w:r>
      <w:r w:rsidRPr="00E35C9E">
        <w:rPr>
          <w:rFonts w:ascii="Times New Roman" w:hAnsi="Times New Roman" w:cs="Times New Roman"/>
          <w:noProof/>
          <w:sz w:val="20"/>
          <w:szCs w:val="20"/>
        </w:rPr>
        <w:tab/>
        <w:t xml:space="preserve">P. Guo, M. Cheng, and Y. Shen. FinTech adoption and bank risk-taking: evidence from China, </w:t>
      </w:r>
      <w:r w:rsidRPr="00E35C9E">
        <w:rPr>
          <w:rFonts w:ascii="Times New Roman" w:hAnsi="Times New Roman" w:cs="Times New Roman"/>
          <w:i/>
          <w:noProof/>
          <w:sz w:val="20"/>
          <w:szCs w:val="20"/>
        </w:rPr>
        <w:t>Applied Economics Letters</w:t>
      </w:r>
      <w:r w:rsidRPr="00E35C9E">
        <w:rPr>
          <w:rFonts w:ascii="Times New Roman" w:hAnsi="Times New Roman" w:cs="Times New Roman"/>
          <w:noProof/>
          <w:sz w:val="20"/>
          <w:szCs w:val="20"/>
        </w:rPr>
        <w:t>,</w:t>
      </w:r>
      <w:r w:rsidRPr="00E35C9E">
        <w:rPr>
          <w:rFonts w:ascii="Times New Roman" w:hAnsi="Times New Roman" w:cs="Times New Roman"/>
          <w:b/>
          <w:noProof/>
          <w:sz w:val="20"/>
          <w:szCs w:val="20"/>
        </w:rPr>
        <w:t xml:space="preserve"> 2024</w:t>
      </w:r>
      <w:r w:rsidRPr="00E35C9E">
        <w:rPr>
          <w:rFonts w:ascii="Times New Roman" w:hAnsi="Times New Roman" w:cs="Times New Roman"/>
          <w:noProof/>
          <w:sz w:val="20"/>
          <w:szCs w:val="20"/>
        </w:rPr>
        <w:t>,</w:t>
      </w:r>
      <w:r w:rsidRPr="00E35C9E">
        <w:rPr>
          <w:rFonts w:ascii="Times New Roman" w:hAnsi="Times New Roman" w:cs="Times New Roman"/>
          <w:i/>
          <w:noProof/>
          <w:sz w:val="20"/>
          <w:szCs w:val="20"/>
        </w:rPr>
        <w:t xml:space="preserve">  31 (7), </w:t>
      </w:r>
      <w:r w:rsidRPr="00E35C9E">
        <w:rPr>
          <w:rFonts w:ascii="Times New Roman" w:hAnsi="Times New Roman" w:cs="Times New Roman"/>
          <w:noProof/>
          <w:sz w:val="20"/>
          <w:szCs w:val="20"/>
        </w:rPr>
        <w:t xml:space="preserve"> 594-602</w:t>
      </w:r>
      <w:r w:rsidRPr="00E35C9E">
        <w:rPr>
          <w:rFonts w:ascii="Times New Roman" w:hAnsi="Times New Roman" w:cs="Times New Roman"/>
          <w:b/>
          <w:noProof/>
          <w:sz w:val="20"/>
          <w:szCs w:val="20"/>
        </w:rPr>
        <w:t>.</w:t>
      </w:r>
    </w:p>
    <w:p w14:paraId="68B004BE" w14:textId="77777777" w:rsidR="00F22F4A" w:rsidRPr="00E35C9E" w:rsidRDefault="00F22F4A" w:rsidP="00E35C9E">
      <w:pPr>
        <w:pStyle w:val="EndNoteBibliography"/>
        <w:tabs>
          <w:tab w:val="left" w:pos="284"/>
        </w:tabs>
        <w:rPr>
          <w:rFonts w:ascii="Times New Roman" w:hAnsi="Times New Roman" w:cs="Times New Roman"/>
          <w:b/>
          <w:noProof/>
          <w:sz w:val="20"/>
          <w:szCs w:val="20"/>
        </w:rPr>
      </w:pPr>
      <w:r w:rsidRPr="00E35C9E">
        <w:rPr>
          <w:rFonts w:ascii="Times New Roman" w:hAnsi="Times New Roman" w:cs="Times New Roman"/>
          <w:noProof/>
          <w:sz w:val="20"/>
          <w:szCs w:val="20"/>
        </w:rPr>
        <w:t>24.</w:t>
      </w:r>
      <w:r w:rsidRPr="00E35C9E">
        <w:rPr>
          <w:rFonts w:ascii="Times New Roman" w:hAnsi="Times New Roman" w:cs="Times New Roman"/>
          <w:noProof/>
          <w:sz w:val="20"/>
          <w:szCs w:val="20"/>
        </w:rPr>
        <w:tab/>
        <w:t xml:space="preserve">A. I. Almubarak and A. A. Aljughaiman. Corporate governance and FinTech innovation: Evidence from Saudi banks, </w:t>
      </w:r>
      <w:r w:rsidRPr="00E35C9E">
        <w:rPr>
          <w:rFonts w:ascii="Times New Roman" w:hAnsi="Times New Roman" w:cs="Times New Roman"/>
          <w:i/>
          <w:noProof/>
          <w:sz w:val="20"/>
          <w:szCs w:val="20"/>
        </w:rPr>
        <w:t>Journal of Risk and Financial Management</w:t>
      </w:r>
      <w:r w:rsidRPr="00E35C9E">
        <w:rPr>
          <w:rFonts w:ascii="Times New Roman" w:hAnsi="Times New Roman" w:cs="Times New Roman"/>
          <w:noProof/>
          <w:sz w:val="20"/>
          <w:szCs w:val="20"/>
        </w:rPr>
        <w:t>,</w:t>
      </w:r>
      <w:r w:rsidRPr="00E35C9E">
        <w:rPr>
          <w:rFonts w:ascii="Times New Roman" w:hAnsi="Times New Roman" w:cs="Times New Roman"/>
          <w:b/>
          <w:noProof/>
          <w:sz w:val="20"/>
          <w:szCs w:val="20"/>
        </w:rPr>
        <w:t xml:space="preserve"> 2024</w:t>
      </w:r>
      <w:r w:rsidRPr="00E35C9E">
        <w:rPr>
          <w:rFonts w:ascii="Times New Roman" w:hAnsi="Times New Roman" w:cs="Times New Roman"/>
          <w:noProof/>
          <w:sz w:val="20"/>
          <w:szCs w:val="20"/>
        </w:rPr>
        <w:t>,</w:t>
      </w:r>
      <w:r w:rsidRPr="00E35C9E">
        <w:rPr>
          <w:rFonts w:ascii="Times New Roman" w:hAnsi="Times New Roman" w:cs="Times New Roman"/>
          <w:i/>
          <w:noProof/>
          <w:sz w:val="20"/>
          <w:szCs w:val="20"/>
        </w:rPr>
        <w:t xml:space="preserve">  17 (2), </w:t>
      </w:r>
      <w:r w:rsidRPr="00E35C9E">
        <w:rPr>
          <w:rFonts w:ascii="Times New Roman" w:hAnsi="Times New Roman" w:cs="Times New Roman"/>
          <w:noProof/>
          <w:sz w:val="20"/>
          <w:szCs w:val="20"/>
        </w:rPr>
        <w:t xml:space="preserve"> 48</w:t>
      </w:r>
      <w:r w:rsidRPr="00E35C9E">
        <w:rPr>
          <w:rFonts w:ascii="Times New Roman" w:hAnsi="Times New Roman" w:cs="Times New Roman"/>
          <w:b/>
          <w:noProof/>
          <w:sz w:val="20"/>
          <w:szCs w:val="20"/>
        </w:rPr>
        <w:t>.</w:t>
      </w:r>
    </w:p>
    <w:p w14:paraId="6245D250" w14:textId="77777777" w:rsidR="00F22F4A" w:rsidRPr="00E35C9E" w:rsidRDefault="00F22F4A" w:rsidP="00E35C9E">
      <w:pPr>
        <w:pStyle w:val="EndNoteBibliography"/>
        <w:tabs>
          <w:tab w:val="left" w:pos="284"/>
        </w:tabs>
        <w:rPr>
          <w:rFonts w:ascii="Times New Roman" w:hAnsi="Times New Roman" w:cs="Times New Roman"/>
          <w:b/>
          <w:noProof/>
          <w:sz w:val="20"/>
          <w:szCs w:val="20"/>
        </w:rPr>
      </w:pPr>
      <w:r w:rsidRPr="00E35C9E">
        <w:rPr>
          <w:rFonts w:ascii="Times New Roman" w:hAnsi="Times New Roman" w:cs="Times New Roman"/>
          <w:noProof/>
          <w:sz w:val="20"/>
          <w:szCs w:val="20"/>
        </w:rPr>
        <w:t>25.</w:t>
      </w:r>
      <w:r w:rsidRPr="00E35C9E">
        <w:rPr>
          <w:rFonts w:ascii="Times New Roman" w:hAnsi="Times New Roman" w:cs="Times New Roman"/>
          <w:noProof/>
          <w:sz w:val="20"/>
          <w:szCs w:val="20"/>
        </w:rPr>
        <w:tab/>
        <w:t xml:space="preserve">A. Chhaidar, M. Abdelhedi, and I. Abdelkafi. The effect of financial technology investment level on European banks’ profitability, </w:t>
      </w:r>
      <w:r w:rsidRPr="00E35C9E">
        <w:rPr>
          <w:rFonts w:ascii="Times New Roman" w:hAnsi="Times New Roman" w:cs="Times New Roman"/>
          <w:i/>
          <w:noProof/>
          <w:sz w:val="20"/>
          <w:szCs w:val="20"/>
        </w:rPr>
        <w:t>Journal of the Knowledge Economy</w:t>
      </w:r>
      <w:r w:rsidRPr="00E35C9E">
        <w:rPr>
          <w:rFonts w:ascii="Times New Roman" w:hAnsi="Times New Roman" w:cs="Times New Roman"/>
          <w:noProof/>
          <w:sz w:val="20"/>
          <w:szCs w:val="20"/>
        </w:rPr>
        <w:t>,</w:t>
      </w:r>
      <w:r w:rsidRPr="00E35C9E">
        <w:rPr>
          <w:rFonts w:ascii="Times New Roman" w:hAnsi="Times New Roman" w:cs="Times New Roman"/>
          <w:b/>
          <w:noProof/>
          <w:sz w:val="20"/>
          <w:szCs w:val="20"/>
        </w:rPr>
        <w:t xml:space="preserve"> 2023</w:t>
      </w:r>
      <w:r w:rsidRPr="00E35C9E">
        <w:rPr>
          <w:rFonts w:ascii="Times New Roman" w:hAnsi="Times New Roman" w:cs="Times New Roman"/>
          <w:noProof/>
          <w:sz w:val="20"/>
          <w:szCs w:val="20"/>
        </w:rPr>
        <w:t>,</w:t>
      </w:r>
      <w:r w:rsidRPr="00E35C9E">
        <w:rPr>
          <w:rFonts w:ascii="Times New Roman" w:hAnsi="Times New Roman" w:cs="Times New Roman"/>
          <w:i/>
          <w:noProof/>
          <w:sz w:val="20"/>
          <w:szCs w:val="20"/>
        </w:rPr>
        <w:t xml:space="preserve">  14 (3), </w:t>
      </w:r>
      <w:r w:rsidRPr="00E35C9E">
        <w:rPr>
          <w:rFonts w:ascii="Times New Roman" w:hAnsi="Times New Roman" w:cs="Times New Roman"/>
          <w:noProof/>
          <w:sz w:val="20"/>
          <w:szCs w:val="20"/>
        </w:rPr>
        <w:t xml:space="preserve"> 2959-2981</w:t>
      </w:r>
      <w:r w:rsidRPr="00E35C9E">
        <w:rPr>
          <w:rFonts w:ascii="Times New Roman" w:hAnsi="Times New Roman" w:cs="Times New Roman"/>
          <w:b/>
          <w:noProof/>
          <w:sz w:val="20"/>
          <w:szCs w:val="20"/>
        </w:rPr>
        <w:t>.</w:t>
      </w:r>
    </w:p>
    <w:p w14:paraId="088154BE" w14:textId="77777777" w:rsidR="00F22F4A" w:rsidRPr="00E35C9E" w:rsidRDefault="00F22F4A" w:rsidP="00E35C9E">
      <w:pPr>
        <w:pStyle w:val="EndNoteBibliography"/>
        <w:tabs>
          <w:tab w:val="left" w:pos="284"/>
        </w:tabs>
        <w:rPr>
          <w:rFonts w:ascii="Times New Roman" w:hAnsi="Times New Roman" w:cs="Times New Roman"/>
          <w:b/>
          <w:noProof/>
          <w:sz w:val="20"/>
          <w:szCs w:val="20"/>
        </w:rPr>
      </w:pPr>
      <w:r w:rsidRPr="00E35C9E">
        <w:rPr>
          <w:rFonts w:ascii="Times New Roman" w:hAnsi="Times New Roman" w:cs="Times New Roman"/>
          <w:noProof/>
          <w:sz w:val="20"/>
          <w:szCs w:val="20"/>
        </w:rPr>
        <w:t>26.</w:t>
      </w:r>
      <w:r w:rsidRPr="00E35C9E">
        <w:rPr>
          <w:rFonts w:ascii="Times New Roman" w:hAnsi="Times New Roman" w:cs="Times New Roman"/>
          <w:noProof/>
          <w:sz w:val="20"/>
          <w:szCs w:val="20"/>
        </w:rPr>
        <w:tab/>
        <w:t xml:space="preserve">A. A. Bani Atta. Adoption of fintech products through environmental regulations in Jordanian commercial banks, </w:t>
      </w:r>
      <w:r w:rsidRPr="00E35C9E">
        <w:rPr>
          <w:rFonts w:ascii="Times New Roman" w:hAnsi="Times New Roman" w:cs="Times New Roman"/>
          <w:i/>
          <w:noProof/>
          <w:sz w:val="20"/>
          <w:szCs w:val="20"/>
        </w:rPr>
        <w:t>Journal of Financial Reporting and Accounting</w:t>
      </w:r>
      <w:r w:rsidRPr="00E35C9E">
        <w:rPr>
          <w:rFonts w:ascii="Times New Roman" w:hAnsi="Times New Roman" w:cs="Times New Roman"/>
          <w:noProof/>
          <w:sz w:val="20"/>
          <w:szCs w:val="20"/>
        </w:rPr>
        <w:t>,</w:t>
      </w:r>
      <w:r w:rsidRPr="00E35C9E">
        <w:rPr>
          <w:rFonts w:ascii="Times New Roman" w:hAnsi="Times New Roman" w:cs="Times New Roman"/>
          <w:b/>
          <w:noProof/>
          <w:sz w:val="20"/>
          <w:szCs w:val="20"/>
        </w:rPr>
        <w:t xml:space="preserve"> 2025</w:t>
      </w:r>
      <w:r w:rsidRPr="00E35C9E">
        <w:rPr>
          <w:rFonts w:ascii="Times New Roman" w:hAnsi="Times New Roman" w:cs="Times New Roman"/>
          <w:noProof/>
          <w:sz w:val="20"/>
          <w:szCs w:val="20"/>
        </w:rPr>
        <w:t>,</w:t>
      </w:r>
      <w:r w:rsidRPr="00E35C9E">
        <w:rPr>
          <w:rFonts w:ascii="Times New Roman" w:hAnsi="Times New Roman" w:cs="Times New Roman"/>
          <w:i/>
          <w:noProof/>
          <w:sz w:val="20"/>
          <w:szCs w:val="20"/>
        </w:rPr>
        <w:t xml:space="preserve">  23 (2), </w:t>
      </w:r>
      <w:r w:rsidRPr="00E35C9E">
        <w:rPr>
          <w:rFonts w:ascii="Times New Roman" w:hAnsi="Times New Roman" w:cs="Times New Roman"/>
          <w:noProof/>
          <w:sz w:val="20"/>
          <w:szCs w:val="20"/>
        </w:rPr>
        <w:t xml:space="preserve"> 536-549</w:t>
      </w:r>
      <w:r w:rsidRPr="00E35C9E">
        <w:rPr>
          <w:rFonts w:ascii="Times New Roman" w:hAnsi="Times New Roman" w:cs="Times New Roman"/>
          <w:b/>
          <w:noProof/>
          <w:sz w:val="20"/>
          <w:szCs w:val="20"/>
        </w:rPr>
        <w:t>.</w:t>
      </w:r>
    </w:p>
    <w:p w14:paraId="3E12F9C2" w14:textId="77777777" w:rsidR="00F22F4A" w:rsidRPr="00E35C9E" w:rsidRDefault="00F22F4A" w:rsidP="00E35C9E">
      <w:pPr>
        <w:pStyle w:val="EndNoteBibliography"/>
        <w:tabs>
          <w:tab w:val="left" w:pos="284"/>
        </w:tabs>
        <w:rPr>
          <w:rFonts w:ascii="Times New Roman" w:hAnsi="Times New Roman" w:cs="Times New Roman"/>
          <w:b/>
          <w:noProof/>
          <w:sz w:val="20"/>
          <w:szCs w:val="20"/>
        </w:rPr>
      </w:pPr>
      <w:r w:rsidRPr="00E35C9E">
        <w:rPr>
          <w:rFonts w:ascii="Times New Roman" w:hAnsi="Times New Roman" w:cs="Times New Roman"/>
          <w:noProof/>
          <w:sz w:val="20"/>
          <w:szCs w:val="20"/>
        </w:rPr>
        <w:t>27.</w:t>
      </w:r>
      <w:r w:rsidRPr="00E35C9E">
        <w:rPr>
          <w:rFonts w:ascii="Times New Roman" w:hAnsi="Times New Roman" w:cs="Times New Roman"/>
          <w:noProof/>
          <w:sz w:val="20"/>
          <w:szCs w:val="20"/>
        </w:rPr>
        <w:tab/>
        <w:t xml:space="preserve">A. Alzghoul and O. Al-kasasbeh. The moderating role of information technology infrastructure in the relationship between fintech adoption and organizational competitiveness, </w:t>
      </w:r>
      <w:r w:rsidRPr="00E35C9E">
        <w:rPr>
          <w:rFonts w:ascii="Times New Roman" w:hAnsi="Times New Roman" w:cs="Times New Roman"/>
          <w:i/>
          <w:noProof/>
          <w:sz w:val="20"/>
          <w:szCs w:val="20"/>
        </w:rPr>
        <w:t>Investment Management &amp; Financial Innovations</w:t>
      </w:r>
      <w:r w:rsidRPr="00E35C9E">
        <w:rPr>
          <w:rFonts w:ascii="Times New Roman" w:hAnsi="Times New Roman" w:cs="Times New Roman"/>
          <w:noProof/>
          <w:sz w:val="20"/>
          <w:szCs w:val="20"/>
        </w:rPr>
        <w:t>,</w:t>
      </w:r>
      <w:r w:rsidRPr="00E35C9E">
        <w:rPr>
          <w:rFonts w:ascii="Times New Roman" w:hAnsi="Times New Roman" w:cs="Times New Roman"/>
          <w:b/>
          <w:noProof/>
          <w:sz w:val="20"/>
          <w:szCs w:val="20"/>
        </w:rPr>
        <w:t xml:space="preserve"> 2024</w:t>
      </w:r>
      <w:r w:rsidRPr="00E35C9E">
        <w:rPr>
          <w:rFonts w:ascii="Times New Roman" w:hAnsi="Times New Roman" w:cs="Times New Roman"/>
          <w:noProof/>
          <w:sz w:val="20"/>
          <w:szCs w:val="20"/>
        </w:rPr>
        <w:t>,</w:t>
      </w:r>
      <w:r w:rsidRPr="00E35C9E">
        <w:rPr>
          <w:rFonts w:ascii="Times New Roman" w:hAnsi="Times New Roman" w:cs="Times New Roman"/>
          <w:i/>
          <w:noProof/>
          <w:sz w:val="20"/>
          <w:szCs w:val="20"/>
        </w:rPr>
        <w:t xml:space="preserve">  21 (2), </w:t>
      </w:r>
      <w:r w:rsidRPr="00E35C9E">
        <w:rPr>
          <w:rFonts w:ascii="Times New Roman" w:hAnsi="Times New Roman" w:cs="Times New Roman"/>
          <w:noProof/>
          <w:sz w:val="20"/>
          <w:szCs w:val="20"/>
        </w:rPr>
        <w:t xml:space="preserve"> 155</w:t>
      </w:r>
      <w:r w:rsidRPr="00E35C9E">
        <w:rPr>
          <w:rFonts w:ascii="Times New Roman" w:hAnsi="Times New Roman" w:cs="Times New Roman"/>
          <w:b/>
          <w:noProof/>
          <w:sz w:val="20"/>
          <w:szCs w:val="20"/>
        </w:rPr>
        <w:t>.</w:t>
      </w:r>
    </w:p>
    <w:p w14:paraId="36FC7EC6" w14:textId="77777777" w:rsidR="00F22F4A" w:rsidRPr="00E35C9E" w:rsidRDefault="00F22F4A" w:rsidP="00E35C9E">
      <w:pPr>
        <w:pStyle w:val="EndNoteBibliography"/>
        <w:tabs>
          <w:tab w:val="left" w:pos="284"/>
        </w:tabs>
        <w:rPr>
          <w:rFonts w:ascii="Times New Roman" w:hAnsi="Times New Roman" w:cs="Times New Roman"/>
          <w:b/>
          <w:noProof/>
          <w:sz w:val="20"/>
          <w:szCs w:val="20"/>
        </w:rPr>
      </w:pPr>
      <w:r w:rsidRPr="00E35C9E">
        <w:rPr>
          <w:rFonts w:ascii="Times New Roman" w:hAnsi="Times New Roman" w:cs="Times New Roman"/>
          <w:noProof/>
          <w:sz w:val="20"/>
          <w:szCs w:val="20"/>
        </w:rPr>
        <w:t>28.</w:t>
      </w:r>
      <w:r w:rsidRPr="00E35C9E">
        <w:rPr>
          <w:rFonts w:ascii="Times New Roman" w:hAnsi="Times New Roman" w:cs="Times New Roman"/>
          <w:noProof/>
          <w:sz w:val="20"/>
          <w:szCs w:val="20"/>
        </w:rPr>
        <w:tab/>
        <w:t xml:space="preserve">A. Albuainain and S. Ashby. Enablers and barriers in FinTech adoption: A systematic literature review of customer adoption and its impact on bank performance, </w:t>
      </w:r>
      <w:r w:rsidRPr="00E35C9E">
        <w:rPr>
          <w:rFonts w:ascii="Times New Roman" w:hAnsi="Times New Roman" w:cs="Times New Roman"/>
          <w:i/>
          <w:noProof/>
          <w:sz w:val="20"/>
          <w:szCs w:val="20"/>
        </w:rPr>
        <w:t>FinTech</w:t>
      </w:r>
      <w:r w:rsidRPr="00E35C9E">
        <w:rPr>
          <w:rFonts w:ascii="Times New Roman" w:hAnsi="Times New Roman" w:cs="Times New Roman"/>
          <w:noProof/>
          <w:sz w:val="20"/>
          <w:szCs w:val="20"/>
        </w:rPr>
        <w:t>,</w:t>
      </w:r>
      <w:r w:rsidRPr="00E35C9E">
        <w:rPr>
          <w:rFonts w:ascii="Times New Roman" w:hAnsi="Times New Roman" w:cs="Times New Roman"/>
          <w:b/>
          <w:noProof/>
          <w:sz w:val="20"/>
          <w:szCs w:val="20"/>
        </w:rPr>
        <w:t xml:space="preserve"> 2025</w:t>
      </w:r>
      <w:r w:rsidRPr="00E35C9E">
        <w:rPr>
          <w:rFonts w:ascii="Times New Roman" w:hAnsi="Times New Roman" w:cs="Times New Roman"/>
          <w:noProof/>
          <w:sz w:val="20"/>
          <w:szCs w:val="20"/>
        </w:rPr>
        <w:t>,</w:t>
      </w:r>
      <w:r w:rsidRPr="00E35C9E">
        <w:rPr>
          <w:rFonts w:ascii="Times New Roman" w:hAnsi="Times New Roman" w:cs="Times New Roman"/>
          <w:i/>
          <w:noProof/>
          <w:sz w:val="20"/>
          <w:szCs w:val="20"/>
        </w:rPr>
        <w:t xml:space="preserve">  4 (3), </w:t>
      </w:r>
      <w:r w:rsidRPr="00E35C9E">
        <w:rPr>
          <w:rFonts w:ascii="Times New Roman" w:hAnsi="Times New Roman" w:cs="Times New Roman"/>
          <w:noProof/>
          <w:sz w:val="20"/>
          <w:szCs w:val="20"/>
        </w:rPr>
        <w:t xml:space="preserve"> 49</w:t>
      </w:r>
      <w:r w:rsidRPr="00E35C9E">
        <w:rPr>
          <w:rFonts w:ascii="Times New Roman" w:hAnsi="Times New Roman" w:cs="Times New Roman"/>
          <w:b/>
          <w:noProof/>
          <w:sz w:val="20"/>
          <w:szCs w:val="20"/>
        </w:rPr>
        <w:t>.</w:t>
      </w:r>
    </w:p>
    <w:p w14:paraId="111CE6AB" w14:textId="77777777" w:rsidR="00F22F4A" w:rsidRPr="00E35C9E" w:rsidRDefault="00F22F4A" w:rsidP="00E35C9E">
      <w:pPr>
        <w:pStyle w:val="EndNoteBibliography"/>
        <w:tabs>
          <w:tab w:val="left" w:pos="284"/>
        </w:tabs>
        <w:rPr>
          <w:rFonts w:ascii="Times New Roman" w:hAnsi="Times New Roman" w:cs="Times New Roman"/>
          <w:b/>
          <w:noProof/>
          <w:sz w:val="20"/>
          <w:szCs w:val="20"/>
        </w:rPr>
      </w:pPr>
      <w:r w:rsidRPr="00E35C9E">
        <w:rPr>
          <w:rFonts w:ascii="Times New Roman" w:hAnsi="Times New Roman" w:cs="Times New Roman"/>
          <w:noProof/>
          <w:sz w:val="20"/>
          <w:szCs w:val="20"/>
        </w:rPr>
        <w:t>29.</w:t>
      </w:r>
      <w:r w:rsidRPr="00E35C9E">
        <w:rPr>
          <w:rFonts w:ascii="Times New Roman" w:hAnsi="Times New Roman" w:cs="Times New Roman"/>
          <w:noProof/>
          <w:sz w:val="20"/>
          <w:szCs w:val="20"/>
        </w:rPr>
        <w:tab/>
        <w:t xml:space="preserve">W. Bian, S. Wang, and X. Xie. How valuable is FinTech adoption for traditional banks?, </w:t>
      </w:r>
      <w:r w:rsidRPr="00E35C9E">
        <w:rPr>
          <w:rFonts w:ascii="Times New Roman" w:hAnsi="Times New Roman" w:cs="Times New Roman"/>
          <w:i/>
          <w:noProof/>
          <w:sz w:val="20"/>
          <w:szCs w:val="20"/>
        </w:rPr>
        <w:t>European Financial Management</w:t>
      </w:r>
      <w:r w:rsidRPr="00E35C9E">
        <w:rPr>
          <w:rFonts w:ascii="Times New Roman" w:hAnsi="Times New Roman" w:cs="Times New Roman"/>
          <w:noProof/>
          <w:sz w:val="20"/>
          <w:szCs w:val="20"/>
        </w:rPr>
        <w:t>,</w:t>
      </w:r>
      <w:r w:rsidRPr="00E35C9E">
        <w:rPr>
          <w:rFonts w:ascii="Times New Roman" w:hAnsi="Times New Roman" w:cs="Times New Roman"/>
          <w:b/>
          <w:noProof/>
          <w:sz w:val="20"/>
          <w:szCs w:val="20"/>
        </w:rPr>
        <w:t xml:space="preserve"> 2024</w:t>
      </w:r>
      <w:r w:rsidRPr="00E35C9E">
        <w:rPr>
          <w:rFonts w:ascii="Times New Roman" w:hAnsi="Times New Roman" w:cs="Times New Roman"/>
          <w:noProof/>
          <w:sz w:val="20"/>
          <w:szCs w:val="20"/>
        </w:rPr>
        <w:t>,</w:t>
      </w:r>
      <w:r w:rsidRPr="00E35C9E">
        <w:rPr>
          <w:rFonts w:ascii="Times New Roman" w:hAnsi="Times New Roman" w:cs="Times New Roman"/>
          <w:i/>
          <w:noProof/>
          <w:sz w:val="20"/>
          <w:szCs w:val="20"/>
        </w:rPr>
        <w:t xml:space="preserve">  30 (3), </w:t>
      </w:r>
      <w:r w:rsidRPr="00E35C9E">
        <w:rPr>
          <w:rFonts w:ascii="Times New Roman" w:hAnsi="Times New Roman" w:cs="Times New Roman"/>
          <w:noProof/>
          <w:sz w:val="20"/>
          <w:szCs w:val="20"/>
        </w:rPr>
        <w:t xml:space="preserve"> 1065-1093</w:t>
      </w:r>
      <w:r w:rsidRPr="00E35C9E">
        <w:rPr>
          <w:rFonts w:ascii="Times New Roman" w:hAnsi="Times New Roman" w:cs="Times New Roman"/>
          <w:b/>
          <w:noProof/>
          <w:sz w:val="20"/>
          <w:szCs w:val="20"/>
        </w:rPr>
        <w:t>.</w:t>
      </w:r>
    </w:p>
    <w:p w14:paraId="06D3F597" w14:textId="77777777" w:rsidR="00F22F4A" w:rsidRPr="00E35C9E" w:rsidRDefault="00F22F4A" w:rsidP="00E35C9E">
      <w:pPr>
        <w:pStyle w:val="EndNoteBibliography"/>
        <w:tabs>
          <w:tab w:val="left" w:pos="284"/>
        </w:tabs>
        <w:rPr>
          <w:rFonts w:ascii="Times New Roman" w:hAnsi="Times New Roman" w:cs="Times New Roman"/>
          <w:i/>
          <w:noProof/>
          <w:sz w:val="20"/>
          <w:szCs w:val="20"/>
        </w:rPr>
      </w:pPr>
      <w:r w:rsidRPr="00E35C9E">
        <w:rPr>
          <w:rFonts w:ascii="Times New Roman" w:hAnsi="Times New Roman" w:cs="Times New Roman"/>
          <w:noProof/>
          <w:sz w:val="20"/>
          <w:szCs w:val="20"/>
        </w:rPr>
        <w:t>30.</w:t>
      </w:r>
      <w:r w:rsidRPr="00E35C9E">
        <w:rPr>
          <w:rFonts w:ascii="Times New Roman" w:hAnsi="Times New Roman" w:cs="Times New Roman"/>
          <w:noProof/>
          <w:sz w:val="20"/>
          <w:szCs w:val="20"/>
        </w:rPr>
        <w:tab/>
        <w:t xml:space="preserve">M. A. Al-Sharafi, I. Muhammed, S. Alzaeemi, M. A. Albashrawi, I. Chae, and Y. K. Dwivedi. Factors shaping FinTech adoption: A systematic review, key determinants, theoretical insights, conceptual framework and future research directions, </w:t>
      </w:r>
      <w:r w:rsidRPr="00E35C9E">
        <w:rPr>
          <w:rFonts w:ascii="Times New Roman" w:hAnsi="Times New Roman" w:cs="Times New Roman"/>
          <w:i/>
          <w:noProof/>
          <w:sz w:val="20"/>
          <w:szCs w:val="20"/>
        </w:rPr>
        <w:t>Information Discovery and Delivery</w:t>
      </w:r>
      <w:r w:rsidRPr="00E35C9E">
        <w:rPr>
          <w:rFonts w:ascii="Times New Roman" w:hAnsi="Times New Roman" w:cs="Times New Roman"/>
          <w:noProof/>
          <w:sz w:val="20"/>
          <w:szCs w:val="20"/>
        </w:rPr>
        <w:t>,</w:t>
      </w:r>
      <w:r w:rsidRPr="00E35C9E">
        <w:rPr>
          <w:rFonts w:ascii="Times New Roman" w:hAnsi="Times New Roman" w:cs="Times New Roman"/>
          <w:b/>
          <w:noProof/>
          <w:sz w:val="20"/>
          <w:szCs w:val="20"/>
        </w:rPr>
        <w:t xml:space="preserve"> 2025</w:t>
      </w:r>
      <w:r w:rsidRPr="00E35C9E">
        <w:rPr>
          <w:rFonts w:ascii="Times New Roman" w:hAnsi="Times New Roman" w:cs="Times New Roman"/>
          <w:noProof/>
          <w:sz w:val="20"/>
          <w:szCs w:val="20"/>
        </w:rPr>
        <w:t>,</w:t>
      </w:r>
      <w:r w:rsidRPr="00E35C9E">
        <w:rPr>
          <w:rFonts w:ascii="Times New Roman" w:hAnsi="Times New Roman" w:cs="Times New Roman"/>
          <w:i/>
          <w:noProof/>
          <w:sz w:val="20"/>
          <w:szCs w:val="20"/>
        </w:rPr>
        <w:t xml:space="preserve"> </w:t>
      </w:r>
    </w:p>
    <w:p w14:paraId="553F0575" w14:textId="77777777" w:rsidR="00F22F4A" w:rsidRPr="00E35C9E" w:rsidRDefault="00F22F4A" w:rsidP="00E35C9E">
      <w:pPr>
        <w:pStyle w:val="EndNoteBibliography"/>
        <w:tabs>
          <w:tab w:val="left" w:pos="284"/>
        </w:tabs>
        <w:rPr>
          <w:rFonts w:ascii="Times New Roman" w:hAnsi="Times New Roman" w:cs="Times New Roman"/>
          <w:b/>
          <w:noProof/>
          <w:sz w:val="20"/>
          <w:szCs w:val="20"/>
        </w:rPr>
      </w:pPr>
      <w:r w:rsidRPr="00E35C9E">
        <w:rPr>
          <w:rFonts w:ascii="Times New Roman" w:hAnsi="Times New Roman" w:cs="Times New Roman"/>
          <w:noProof/>
          <w:sz w:val="20"/>
          <w:szCs w:val="20"/>
        </w:rPr>
        <w:t>31.</w:t>
      </w:r>
      <w:r w:rsidRPr="00E35C9E">
        <w:rPr>
          <w:rFonts w:ascii="Times New Roman" w:hAnsi="Times New Roman" w:cs="Times New Roman"/>
          <w:noProof/>
          <w:sz w:val="20"/>
          <w:szCs w:val="20"/>
        </w:rPr>
        <w:tab/>
        <w:t xml:space="preserve">D. Urumsah, R. F. Ispridevi, A. Nurherwening, and W. Hardinto. Fintech adoption: Its determinants and organizational benefits in Indonesia, </w:t>
      </w:r>
      <w:r w:rsidRPr="00E35C9E">
        <w:rPr>
          <w:rFonts w:ascii="Times New Roman" w:hAnsi="Times New Roman" w:cs="Times New Roman"/>
          <w:i/>
          <w:noProof/>
          <w:sz w:val="20"/>
          <w:szCs w:val="20"/>
        </w:rPr>
        <w:t>Jurnal Akuntansi dan Auditing Indonesia</w:t>
      </w:r>
      <w:r w:rsidRPr="00E35C9E">
        <w:rPr>
          <w:rFonts w:ascii="Times New Roman" w:hAnsi="Times New Roman" w:cs="Times New Roman"/>
          <w:noProof/>
          <w:sz w:val="20"/>
          <w:szCs w:val="20"/>
        </w:rPr>
        <w:t>,</w:t>
      </w:r>
      <w:r w:rsidRPr="00E35C9E">
        <w:rPr>
          <w:rFonts w:ascii="Times New Roman" w:hAnsi="Times New Roman" w:cs="Times New Roman"/>
          <w:b/>
          <w:noProof/>
          <w:sz w:val="20"/>
          <w:szCs w:val="20"/>
        </w:rPr>
        <w:t xml:space="preserve"> 2022</w:t>
      </w:r>
      <w:r w:rsidRPr="00E35C9E">
        <w:rPr>
          <w:rFonts w:ascii="Times New Roman" w:hAnsi="Times New Roman" w:cs="Times New Roman"/>
          <w:noProof/>
          <w:sz w:val="20"/>
          <w:szCs w:val="20"/>
        </w:rPr>
        <w:t>,</w:t>
      </w:r>
      <w:r w:rsidRPr="00E35C9E">
        <w:rPr>
          <w:rFonts w:ascii="Times New Roman" w:hAnsi="Times New Roman" w:cs="Times New Roman"/>
          <w:i/>
          <w:noProof/>
          <w:sz w:val="20"/>
          <w:szCs w:val="20"/>
        </w:rPr>
        <w:t xml:space="preserve"> </w:t>
      </w:r>
      <w:r w:rsidRPr="00E35C9E">
        <w:rPr>
          <w:rFonts w:ascii="Times New Roman" w:hAnsi="Times New Roman" w:cs="Times New Roman"/>
          <w:noProof/>
          <w:sz w:val="20"/>
          <w:szCs w:val="20"/>
        </w:rPr>
        <w:t xml:space="preserve"> 88-101</w:t>
      </w:r>
      <w:r w:rsidRPr="00E35C9E">
        <w:rPr>
          <w:rFonts w:ascii="Times New Roman" w:hAnsi="Times New Roman" w:cs="Times New Roman"/>
          <w:b/>
          <w:noProof/>
          <w:sz w:val="20"/>
          <w:szCs w:val="20"/>
        </w:rPr>
        <w:t>.</w:t>
      </w:r>
    </w:p>
    <w:p w14:paraId="2840241E" w14:textId="77777777" w:rsidR="00F22F4A" w:rsidRPr="00E35C9E" w:rsidRDefault="00F22F4A" w:rsidP="00E35C9E">
      <w:pPr>
        <w:pStyle w:val="EndNoteBibliography"/>
        <w:tabs>
          <w:tab w:val="left" w:pos="284"/>
        </w:tabs>
        <w:rPr>
          <w:rFonts w:ascii="Times New Roman" w:hAnsi="Times New Roman" w:cs="Times New Roman"/>
          <w:b/>
          <w:noProof/>
          <w:sz w:val="20"/>
          <w:szCs w:val="20"/>
        </w:rPr>
      </w:pPr>
      <w:r w:rsidRPr="00E35C9E">
        <w:rPr>
          <w:rFonts w:ascii="Times New Roman" w:hAnsi="Times New Roman" w:cs="Times New Roman"/>
          <w:noProof/>
          <w:sz w:val="20"/>
          <w:szCs w:val="20"/>
        </w:rPr>
        <w:t>32.</w:t>
      </w:r>
      <w:r w:rsidRPr="00E35C9E">
        <w:rPr>
          <w:rFonts w:ascii="Times New Roman" w:hAnsi="Times New Roman" w:cs="Times New Roman"/>
          <w:noProof/>
          <w:sz w:val="20"/>
          <w:szCs w:val="20"/>
        </w:rPr>
        <w:tab/>
        <w:t xml:space="preserve">E. A. Firmansyah, M. Masri, M. Anshari, and M. H. A. Besar. Factors affecting fintech adoption: a systematic literature review, </w:t>
      </w:r>
      <w:r w:rsidRPr="00E35C9E">
        <w:rPr>
          <w:rFonts w:ascii="Times New Roman" w:hAnsi="Times New Roman" w:cs="Times New Roman"/>
          <w:i/>
          <w:noProof/>
          <w:sz w:val="20"/>
          <w:szCs w:val="20"/>
        </w:rPr>
        <w:t>FinTech</w:t>
      </w:r>
      <w:r w:rsidRPr="00E35C9E">
        <w:rPr>
          <w:rFonts w:ascii="Times New Roman" w:hAnsi="Times New Roman" w:cs="Times New Roman"/>
          <w:noProof/>
          <w:sz w:val="20"/>
          <w:szCs w:val="20"/>
        </w:rPr>
        <w:t>,</w:t>
      </w:r>
      <w:r w:rsidRPr="00E35C9E">
        <w:rPr>
          <w:rFonts w:ascii="Times New Roman" w:hAnsi="Times New Roman" w:cs="Times New Roman"/>
          <w:b/>
          <w:noProof/>
          <w:sz w:val="20"/>
          <w:szCs w:val="20"/>
        </w:rPr>
        <w:t xml:space="preserve"> 2022</w:t>
      </w:r>
      <w:r w:rsidRPr="00E35C9E">
        <w:rPr>
          <w:rFonts w:ascii="Times New Roman" w:hAnsi="Times New Roman" w:cs="Times New Roman"/>
          <w:noProof/>
          <w:sz w:val="20"/>
          <w:szCs w:val="20"/>
        </w:rPr>
        <w:t>,</w:t>
      </w:r>
      <w:r w:rsidRPr="00E35C9E">
        <w:rPr>
          <w:rFonts w:ascii="Times New Roman" w:hAnsi="Times New Roman" w:cs="Times New Roman"/>
          <w:i/>
          <w:noProof/>
          <w:sz w:val="20"/>
          <w:szCs w:val="20"/>
        </w:rPr>
        <w:t xml:space="preserve">  2 (1), </w:t>
      </w:r>
      <w:r w:rsidRPr="00E35C9E">
        <w:rPr>
          <w:rFonts w:ascii="Times New Roman" w:hAnsi="Times New Roman" w:cs="Times New Roman"/>
          <w:noProof/>
          <w:sz w:val="20"/>
          <w:szCs w:val="20"/>
        </w:rPr>
        <w:t xml:space="preserve"> 21-33</w:t>
      </w:r>
      <w:r w:rsidRPr="00E35C9E">
        <w:rPr>
          <w:rFonts w:ascii="Times New Roman" w:hAnsi="Times New Roman" w:cs="Times New Roman"/>
          <w:b/>
          <w:noProof/>
          <w:sz w:val="20"/>
          <w:szCs w:val="20"/>
        </w:rPr>
        <w:t>.</w:t>
      </w:r>
    </w:p>
    <w:p w14:paraId="23FB7D59" w14:textId="77777777" w:rsidR="00F22F4A" w:rsidRPr="00E35C9E" w:rsidRDefault="00F22F4A" w:rsidP="00E35C9E">
      <w:pPr>
        <w:pStyle w:val="EndNoteBibliography"/>
        <w:tabs>
          <w:tab w:val="left" w:pos="284"/>
        </w:tabs>
        <w:rPr>
          <w:rFonts w:ascii="Times New Roman" w:hAnsi="Times New Roman" w:cs="Times New Roman"/>
          <w:b/>
          <w:noProof/>
          <w:sz w:val="20"/>
          <w:szCs w:val="20"/>
        </w:rPr>
      </w:pPr>
      <w:r w:rsidRPr="00E35C9E">
        <w:rPr>
          <w:rFonts w:ascii="Times New Roman" w:hAnsi="Times New Roman" w:cs="Times New Roman"/>
          <w:noProof/>
          <w:sz w:val="20"/>
          <w:szCs w:val="20"/>
        </w:rPr>
        <w:t>33.</w:t>
      </w:r>
      <w:r w:rsidRPr="00E35C9E">
        <w:rPr>
          <w:rFonts w:ascii="Times New Roman" w:hAnsi="Times New Roman" w:cs="Times New Roman"/>
          <w:noProof/>
          <w:sz w:val="20"/>
          <w:szCs w:val="20"/>
        </w:rPr>
        <w:tab/>
        <w:t xml:space="preserve">J. Harasim. FinTechs, BigTechs and banks—when cooperation and when competition?, </w:t>
      </w:r>
      <w:r w:rsidRPr="00E35C9E">
        <w:rPr>
          <w:rFonts w:ascii="Times New Roman" w:hAnsi="Times New Roman" w:cs="Times New Roman"/>
          <w:i/>
          <w:noProof/>
          <w:sz w:val="20"/>
          <w:szCs w:val="20"/>
        </w:rPr>
        <w:t>Journal of Risk and Financial Management</w:t>
      </w:r>
      <w:r w:rsidRPr="00E35C9E">
        <w:rPr>
          <w:rFonts w:ascii="Times New Roman" w:hAnsi="Times New Roman" w:cs="Times New Roman"/>
          <w:noProof/>
          <w:sz w:val="20"/>
          <w:szCs w:val="20"/>
        </w:rPr>
        <w:t>,</w:t>
      </w:r>
      <w:r w:rsidRPr="00E35C9E">
        <w:rPr>
          <w:rFonts w:ascii="Times New Roman" w:hAnsi="Times New Roman" w:cs="Times New Roman"/>
          <w:b/>
          <w:noProof/>
          <w:sz w:val="20"/>
          <w:szCs w:val="20"/>
        </w:rPr>
        <w:t xml:space="preserve"> 2021</w:t>
      </w:r>
      <w:r w:rsidRPr="00E35C9E">
        <w:rPr>
          <w:rFonts w:ascii="Times New Roman" w:hAnsi="Times New Roman" w:cs="Times New Roman"/>
          <w:noProof/>
          <w:sz w:val="20"/>
          <w:szCs w:val="20"/>
        </w:rPr>
        <w:t>,</w:t>
      </w:r>
      <w:r w:rsidRPr="00E35C9E">
        <w:rPr>
          <w:rFonts w:ascii="Times New Roman" w:hAnsi="Times New Roman" w:cs="Times New Roman"/>
          <w:i/>
          <w:noProof/>
          <w:sz w:val="20"/>
          <w:szCs w:val="20"/>
        </w:rPr>
        <w:t xml:space="preserve">  14 (12), </w:t>
      </w:r>
      <w:r w:rsidRPr="00E35C9E">
        <w:rPr>
          <w:rFonts w:ascii="Times New Roman" w:hAnsi="Times New Roman" w:cs="Times New Roman"/>
          <w:noProof/>
          <w:sz w:val="20"/>
          <w:szCs w:val="20"/>
        </w:rPr>
        <w:t xml:space="preserve"> 614</w:t>
      </w:r>
      <w:r w:rsidRPr="00E35C9E">
        <w:rPr>
          <w:rFonts w:ascii="Times New Roman" w:hAnsi="Times New Roman" w:cs="Times New Roman"/>
          <w:b/>
          <w:noProof/>
          <w:sz w:val="20"/>
          <w:szCs w:val="20"/>
        </w:rPr>
        <w:t>.</w:t>
      </w:r>
    </w:p>
    <w:p w14:paraId="492C72D7" w14:textId="77777777" w:rsidR="00F22F4A" w:rsidRPr="00E35C9E" w:rsidRDefault="00F22F4A" w:rsidP="00E35C9E">
      <w:pPr>
        <w:pStyle w:val="EndNoteBibliography"/>
        <w:tabs>
          <w:tab w:val="left" w:pos="284"/>
        </w:tabs>
        <w:rPr>
          <w:rFonts w:ascii="Times New Roman" w:hAnsi="Times New Roman" w:cs="Times New Roman"/>
          <w:b/>
          <w:noProof/>
          <w:sz w:val="20"/>
          <w:szCs w:val="20"/>
        </w:rPr>
      </w:pPr>
      <w:r w:rsidRPr="00E35C9E">
        <w:rPr>
          <w:rFonts w:ascii="Times New Roman" w:hAnsi="Times New Roman" w:cs="Times New Roman"/>
          <w:noProof/>
          <w:sz w:val="20"/>
          <w:szCs w:val="20"/>
        </w:rPr>
        <w:t>34.</w:t>
      </w:r>
      <w:r w:rsidRPr="00E35C9E">
        <w:rPr>
          <w:rFonts w:ascii="Times New Roman" w:hAnsi="Times New Roman" w:cs="Times New Roman"/>
          <w:noProof/>
          <w:sz w:val="20"/>
          <w:szCs w:val="20"/>
        </w:rPr>
        <w:tab/>
        <w:t xml:space="preserve">N. Mirza, M. Umar, A. Afzal, and S. F. Firdousi. The role of fintech in promoting green finance, and profitability: Evidence from the banking sector in the euro zone, </w:t>
      </w:r>
      <w:r w:rsidRPr="00E35C9E">
        <w:rPr>
          <w:rFonts w:ascii="Times New Roman" w:hAnsi="Times New Roman" w:cs="Times New Roman"/>
          <w:i/>
          <w:noProof/>
          <w:sz w:val="20"/>
          <w:szCs w:val="20"/>
        </w:rPr>
        <w:t>Economic Analysis and Policy</w:t>
      </w:r>
      <w:r w:rsidRPr="00E35C9E">
        <w:rPr>
          <w:rFonts w:ascii="Times New Roman" w:hAnsi="Times New Roman" w:cs="Times New Roman"/>
          <w:noProof/>
          <w:sz w:val="20"/>
          <w:szCs w:val="20"/>
        </w:rPr>
        <w:t>,</w:t>
      </w:r>
      <w:r w:rsidRPr="00E35C9E">
        <w:rPr>
          <w:rFonts w:ascii="Times New Roman" w:hAnsi="Times New Roman" w:cs="Times New Roman"/>
          <w:b/>
          <w:noProof/>
          <w:sz w:val="20"/>
          <w:szCs w:val="20"/>
        </w:rPr>
        <w:t xml:space="preserve"> 2023</w:t>
      </w:r>
      <w:r w:rsidRPr="00E35C9E">
        <w:rPr>
          <w:rFonts w:ascii="Times New Roman" w:hAnsi="Times New Roman" w:cs="Times New Roman"/>
          <w:noProof/>
          <w:sz w:val="20"/>
          <w:szCs w:val="20"/>
        </w:rPr>
        <w:t>,</w:t>
      </w:r>
      <w:r w:rsidRPr="00E35C9E">
        <w:rPr>
          <w:rFonts w:ascii="Times New Roman" w:hAnsi="Times New Roman" w:cs="Times New Roman"/>
          <w:i/>
          <w:noProof/>
          <w:sz w:val="20"/>
          <w:szCs w:val="20"/>
        </w:rPr>
        <w:t xml:space="preserve">  78 </w:t>
      </w:r>
      <w:r w:rsidRPr="00E35C9E">
        <w:rPr>
          <w:rFonts w:ascii="Times New Roman" w:hAnsi="Times New Roman" w:cs="Times New Roman"/>
          <w:noProof/>
          <w:sz w:val="20"/>
          <w:szCs w:val="20"/>
        </w:rPr>
        <w:t xml:space="preserve"> 33-40</w:t>
      </w:r>
      <w:r w:rsidRPr="00E35C9E">
        <w:rPr>
          <w:rFonts w:ascii="Times New Roman" w:hAnsi="Times New Roman" w:cs="Times New Roman"/>
          <w:b/>
          <w:noProof/>
          <w:sz w:val="20"/>
          <w:szCs w:val="20"/>
        </w:rPr>
        <w:t>.</w:t>
      </w:r>
    </w:p>
    <w:p w14:paraId="4DE70E30" w14:textId="77777777" w:rsidR="00F22F4A" w:rsidRPr="00E35C9E" w:rsidRDefault="00F22F4A" w:rsidP="00E35C9E">
      <w:pPr>
        <w:pStyle w:val="EndNoteBibliography"/>
        <w:tabs>
          <w:tab w:val="left" w:pos="284"/>
        </w:tabs>
        <w:rPr>
          <w:rFonts w:ascii="Times New Roman" w:hAnsi="Times New Roman" w:cs="Times New Roman"/>
          <w:b/>
          <w:noProof/>
          <w:sz w:val="20"/>
          <w:szCs w:val="20"/>
        </w:rPr>
      </w:pPr>
      <w:r w:rsidRPr="00E35C9E">
        <w:rPr>
          <w:rFonts w:ascii="Times New Roman" w:hAnsi="Times New Roman" w:cs="Times New Roman"/>
          <w:noProof/>
          <w:sz w:val="20"/>
          <w:szCs w:val="20"/>
        </w:rPr>
        <w:t>35.</w:t>
      </w:r>
      <w:r w:rsidRPr="00E35C9E">
        <w:rPr>
          <w:rFonts w:ascii="Times New Roman" w:hAnsi="Times New Roman" w:cs="Times New Roman"/>
          <w:noProof/>
          <w:sz w:val="20"/>
          <w:szCs w:val="20"/>
        </w:rPr>
        <w:tab/>
        <w:t xml:space="preserve">H. H. Khan, S. Khan, and A. Ghafoor. Fintech adoption, the regulatory environment and bank stability: An empirical investigation from GCC economies, </w:t>
      </w:r>
      <w:r w:rsidRPr="00E35C9E">
        <w:rPr>
          <w:rFonts w:ascii="Times New Roman" w:hAnsi="Times New Roman" w:cs="Times New Roman"/>
          <w:i/>
          <w:noProof/>
          <w:sz w:val="20"/>
          <w:szCs w:val="20"/>
        </w:rPr>
        <w:t>Borsa Istanbul Review</w:t>
      </w:r>
      <w:r w:rsidRPr="00E35C9E">
        <w:rPr>
          <w:rFonts w:ascii="Times New Roman" w:hAnsi="Times New Roman" w:cs="Times New Roman"/>
          <w:noProof/>
          <w:sz w:val="20"/>
          <w:szCs w:val="20"/>
        </w:rPr>
        <w:t>,</w:t>
      </w:r>
      <w:r w:rsidRPr="00E35C9E">
        <w:rPr>
          <w:rFonts w:ascii="Times New Roman" w:hAnsi="Times New Roman" w:cs="Times New Roman"/>
          <w:b/>
          <w:noProof/>
          <w:sz w:val="20"/>
          <w:szCs w:val="20"/>
        </w:rPr>
        <w:t xml:space="preserve"> 2023</w:t>
      </w:r>
      <w:r w:rsidRPr="00E35C9E">
        <w:rPr>
          <w:rFonts w:ascii="Times New Roman" w:hAnsi="Times New Roman" w:cs="Times New Roman"/>
          <w:noProof/>
          <w:sz w:val="20"/>
          <w:szCs w:val="20"/>
        </w:rPr>
        <w:t>,</w:t>
      </w:r>
      <w:r w:rsidRPr="00E35C9E">
        <w:rPr>
          <w:rFonts w:ascii="Times New Roman" w:hAnsi="Times New Roman" w:cs="Times New Roman"/>
          <w:i/>
          <w:noProof/>
          <w:sz w:val="20"/>
          <w:szCs w:val="20"/>
        </w:rPr>
        <w:t xml:space="preserve">  23 (6), </w:t>
      </w:r>
      <w:r w:rsidRPr="00E35C9E">
        <w:rPr>
          <w:rFonts w:ascii="Times New Roman" w:hAnsi="Times New Roman" w:cs="Times New Roman"/>
          <w:noProof/>
          <w:sz w:val="20"/>
          <w:szCs w:val="20"/>
        </w:rPr>
        <w:t xml:space="preserve"> 1263-1281</w:t>
      </w:r>
      <w:r w:rsidRPr="00E35C9E">
        <w:rPr>
          <w:rFonts w:ascii="Times New Roman" w:hAnsi="Times New Roman" w:cs="Times New Roman"/>
          <w:b/>
          <w:noProof/>
          <w:sz w:val="20"/>
          <w:szCs w:val="20"/>
        </w:rPr>
        <w:t>.</w:t>
      </w:r>
    </w:p>
    <w:p w14:paraId="1EAFEA9C" w14:textId="77777777" w:rsidR="00F22F4A" w:rsidRPr="00E35C9E" w:rsidRDefault="00F22F4A" w:rsidP="00E35C9E">
      <w:pPr>
        <w:pStyle w:val="EndNoteBibliography"/>
        <w:tabs>
          <w:tab w:val="left" w:pos="284"/>
        </w:tabs>
        <w:rPr>
          <w:rFonts w:ascii="Times New Roman" w:hAnsi="Times New Roman" w:cs="Times New Roman"/>
          <w:b/>
          <w:noProof/>
          <w:sz w:val="20"/>
          <w:szCs w:val="20"/>
        </w:rPr>
      </w:pPr>
      <w:r w:rsidRPr="00E35C9E">
        <w:rPr>
          <w:rFonts w:ascii="Times New Roman" w:hAnsi="Times New Roman" w:cs="Times New Roman"/>
          <w:noProof/>
          <w:sz w:val="20"/>
          <w:szCs w:val="20"/>
        </w:rPr>
        <w:t>36.</w:t>
      </w:r>
      <w:r w:rsidRPr="00E35C9E">
        <w:rPr>
          <w:rFonts w:ascii="Times New Roman" w:hAnsi="Times New Roman" w:cs="Times New Roman"/>
          <w:noProof/>
          <w:sz w:val="20"/>
          <w:szCs w:val="20"/>
        </w:rPr>
        <w:tab/>
        <w:t xml:space="preserve">S. S. Yoon, H. Lee, and I. Oh. Differential impact of Fintech and GDP on bank performance: Global evidence, </w:t>
      </w:r>
      <w:r w:rsidRPr="00E35C9E">
        <w:rPr>
          <w:rFonts w:ascii="Times New Roman" w:hAnsi="Times New Roman" w:cs="Times New Roman"/>
          <w:i/>
          <w:noProof/>
          <w:sz w:val="20"/>
          <w:szCs w:val="20"/>
        </w:rPr>
        <w:t>Journal of risk and financial management</w:t>
      </w:r>
      <w:r w:rsidRPr="00E35C9E">
        <w:rPr>
          <w:rFonts w:ascii="Times New Roman" w:hAnsi="Times New Roman" w:cs="Times New Roman"/>
          <w:noProof/>
          <w:sz w:val="20"/>
          <w:szCs w:val="20"/>
        </w:rPr>
        <w:t>,</w:t>
      </w:r>
      <w:r w:rsidRPr="00E35C9E">
        <w:rPr>
          <w:rFonts w:ascii="Times New Roman" w:hAnsi="Times New Roman" w:cs="Times New Roman"/>
          <w:b/>
          <w:noProof/>
          <w:sz w:val="20"/>
          <w:szCs w:val="20"/>
        </w:rPr>
        <w:t xml:space="preserve"> 2023</w:t>
      </w:r>
      <w:r w:rsidRPr="00E35C9E">
        <w:rPr>
          <w:rFonts w:ascii="Times New Roman" w:hAnsi="Times New Roman" w:cs="Times New Roman"/>
          <w:noProof/>
          <w:sz w:val="20"/>
          <w:szCs w:val="20"/>
        </w:rPr>
        <w:t>,</w:t>
      </w:r>
      <w:r w:rsidRPr="00E35C9E">
        <w:rPr>
          <w:rFonts w:ascii="Times New Roman" w:hAnsi="Times New Roman" w:cs="Times New Roman"/>
          <w:i/>
          <w:noProof/>
          <w:sz w:val="20"/>
          <w:szCs w:val="20"/>
        </w:rPr>
        <w:t xml:space="preserve">  16 (7), </w:t>
      </w:r>
      <w:r w:rsidRPr="00E35C9E">
        <w:rPr>
          <w:rFonts w:ascii="Times New Roman" w:hAnsi="Times New Roman" w:cs="Times New Roman"/>
          <w:noProof/>
          <w:sz w:val="20"/>
          <w:szCs w:val="20"/>
        </w:rPr>
        <w:t xml:space="preserve"> 304</w:t>
      </w:r>
      <w:r w:rsidRPr="00E35C9E">
        <w:rPr>
          <w:rFonts w:ascii="Times New Roman" w:hAnsi="Times New Roman" w:cs="Times New Roman"/>
          <w:b/>
          <w:noProof/>
          <w:sz w:val="20"/>
          <w:szCs w:val="20"/>
        </w:rPr>
        <w:t>.</w:t>
      </w:r>
    </w:p>
    <w:p w14:paraId="3F17E510" w14:textId="77777777" w:rsidR="00F22F4A" w:rsidRPr="00E35C9E" w:rsidRDefault="00F22F4A" w:rsidP="00E35C9E">
      <w:pPr>
        <w:pStyle w:val="EndNoteBibliography"/>
        <w:tabs>
          <w:tab w:val="left" w:pos="284"/>
        </w:tabs>
        <w:rPr>
          <w:rFonts w:ascii="Times New Roman" w:hAnsi="Times New Roman" w:cs="Times New Roman"/>
          <w:b/>
          <w:noProof/>
          <w:sz w:val="20"/>
          <w:szCs w:val="20"/>
        </w:rPr>
      </w:pPr>
      <w:r w:rsidRPr="00E35C9E">
        <w:rPr>
          <w:rFonts w:ascii="Times New Roman" w:hAnsi="Times New Roman" w:cs="Times New Roman"/>
          <w:noProof/>
          <w:sz w:val="20"/>
          <w:szCs w:val="20"/>
        </w:rPr>
        <w:t>37.</w:t>
      </w:r>
      <w:r w:rsidRPr="00E35C9E">
        <w:rPr>
          <w:rFonts w:ascii="Times New Roman" w:hAnsi="Times New Roman" w:cs="Times New Roman"/>
          <w:noProof/>
          <w:sz w:val="20"/>
          <w:szCs w:val="20"/>
        </w:rPr>
        <w:tab/>
        <w:t xml:space="preserve">I. Hidayat-ur-Rehman and M. N. Hossain. The impacts of Fintech adoption, green finance and competitiveness on banks’ sustainable performance: digital transformation as moderator, </w:t>
      </w:r>
      <w:r w:rsidRPr="00E35C9E">
        <w:rPr>
          <w:rFonts w:ascii="Times New Roman" w:hAnsi="Times New Roman" w:cs="Times New Roman"/>
          <w:i/>
          <w:noProof/>
          <w:sz w:val="20"/>
          <w:szCs w:val="20"/>
        </w:rPr>
        <w:t>Asia-Pacific Journal of Business Administration</w:t>
      </w:r>
      <w:r w:rsidRPr="00E35C9E">
        <w:rPr>
          <w:rFonts w:ascii="Times New Roman" w:hAnsi="Times New Roman" w:cs="Times New Roman"/>
          <w:noProof/>
          <w:sz w:val="20"/>
          <w:szCs w:val="20"/>
        </w:rPr>
        <w:t>,</w:t>
      </w:r>
      <w:r w:rsidRPr="00E35C9E">
        <w:rPr>
          <w:rFonts w:ascii="Times New Roman" w:hAnsi="Times New Roman" w:cs="Times New Roman"/>
          <w:b/>
          <w:noProof/>
          <w:sz w:val="20"/>
          <w:szCs w:val="20"/>
        </w:rPr>
        <w:t xml:space="preserve"> 2025</w:t>
      </w:r>
      <w:r w:rsidRPr="00E35C9E">
        <w:rPr>
          <w:rFonts w:ascii="Times New Roman" w:hAnsi="Times New Roman" w:cs="Times New Roman"/>
          <w:noProof/>
          <w:sz w:val="20"/>
          <w:szCs w:val="20"/>
        </w:rPr>
        <w:t>,</w:t>
      </w:r>
      <w:r w:rsidRPr="00E35C9E">
        <w:rPr>
          <w:rFonts w:ascii="Times New Roman" w:hAnsi="Times New Roman" w:cs="Times New Roman"/>
          <w:i/>
          <w:noProof/>
          <w:sz w:val="20"/>
          <w:szCs w:val="20"/>
        </w:rPr>
        <w:t xml:space="preserve">  17 (4), </w:t>
      </w:r>
      <w:r w:rsidRPr="00E35C9E">
        <w:rPr>
          <w:rFonts w:ascii="Times New Roman" w:hAnsi="Times New Roman" w:cs="Times New Roman"/>
          <w:noProof/>
          <w:sz w:val="20"/>
          <w:szCs w:val="20"/>
        </w:rPr>
        <w:t xml:space="preserve"> 987-1020</w:t>
      </w:r>
      <w:r w:rsidRPr="00E35C9E">
        <w:rPr>
          <w:rFonts w:ascii="Times New Roman" w:hAnsi="Times New Roman" w:cs="Times New Roman"/>
          <w:b/>
          <w:noProof/>
          <w:sz w:val="20"/>
          <w:szCs w:val="20"/>
        </w:rPr>
        <w:t>.</w:t>
      </w:r>
    </w:p>
    <w:p w14:paraId="52C81DA9" w14:textId="77777777" w:rsidR="00F22F4A" w:rsidRPr="00E35C9E" w:rsidRDefault="00F22F4A" w:rsidP="00E35C9E">
      <w:pPr>
        <w:pStyle w:val="EndNoteBibliography"/>
        <w:tabs>
          <w:tab w:val="left" w:pos="284"/>
        </w:tabs>
        <w:rPr>
          <w:rFonts w:ascii="Times New Roman" w:hAnsi="Times New Roman" w:cs="Times New Roman"/>
          <w:b/>
          <w:noProof/>
          <w:sz w:val="20"/>
          <w:szCs w:val="20"/>
        </w:rPr>
      </w:pPr>
      <w:r w:rsidRPr="00E35C9E">
        <w:rPr>
          <w:rFonts w:ascii="Times New Roman" w:hAnsi="Times New Roman" w:cs="Times New Roman"/>
          <w:noProof/>
          <w:sz w:val="20"/>
          <w:szCs w:val="20"/>
        </w:rPr>
        <w:t>38.</w:t>
      </w:r>
      <w:r w:rsidRPr="00E35C9E">
        <w:rPr>
          <w:rFonts w:ascii="Times New Roman" w:hAnsi="Times New Roman" w:cs="Times New Roman"/>
          <w:noProof/>
          <w:sz w:val="20"/>
          <w:szCs w:val="20"/>
        </w:rPr>
        <w:tab/>
        <w:t xml:space="preserve">A. Alrsheedi and Y. H. P Iskandar. Key factors influencing fintech adoption among Saudi banks: a conceptual framework, </w:t>
      </w:r>
      <w:r w:rsidRPr="00E35C9E">
        <w:rPr>
          <w:rFonts w:ascii="Times New Roman" w:hAnsi="Times New Roman" w:cs="Times New Roman"/>
          <w:i/>
          <w:noProof/>
          <w:sz w:val="20"/>
          <w:szCs w:val="20"/>
        </w:rPr>
        <w:t>Humanities and Social Sciences Communications</w:t>
      </w:r>
      <w:r w:rsidRPr="00E35C9E">
        <w:rPr>
          <w:rFonts w:ascii="Times New Roman" w:hAnsi="Times New Roman" w:cs="Times New Roman"/>
          <w:noProof/>
          <w:sz w:val="20"/>
          <w:szCs w:val="20"/>
        </w:rPr>
        <w:t>,</w:t>
      </w:r>
      <w:r w:rsidRPr="00E35C9E">
        <w:rPr>
          <w:rFonts w:ascii="Times New Roman" w:hAnsi="Times New Roman" w:cs="Times New Roman"/>
          <w:b/>
          <w:noProof/>
          <w:sz w:val="20"/>
          <w:szCs w:val="20"/>
        </w:rPr>
        <w:t xml:space="preserve"> 2025</w:t>
      </w:r>
      <w:r w:rsidRPr="00E35C9E">
        <w:rPr>
          <w:rFonts w:ascii="Times New Roman" w:hAnsi="Times New Roman" w:cs="Times New Roman"/>
          <w:noProof/>
          <w:sz w:val="20"/>
          <w:szCs w:val="20"/>
        </w:rPr>
        <w:t>,</w:t>
      </w:r>
      <w:r w:rsidRPr="00E35C9E">
        <w:rPr>
          <w:rFonts w:ascii="Times New Roman" w:hAnsi="Times New Roman" w:cs="Times New Roman"/>
          <w:i/>
          <w:noProof/>
          <w:sz w:val="20"/>
          <w:szCs w:val="20"/>
        </w:rPr>
        <w:t xml:space="preserve">  12 (1), </w:t>
      </w:r>
      <w:r w:rsidRPr="00E35C9E">
        <w:rPr>
          <w:rFonts w:ascii="Times New Roman" w:hAnsi="Times New Roman" w:cs="Times New Roman"/>
          <w:noProof/>
          <w:sz w:val="20"/>
          <w:szCs w:val="20"/>
        </w:rPr>
        <w:t xml:space="preserve"> 1-11</w:t>
      </w:r>
      <w:r w:rsidRPr="00E35C9E">
        <w:rPr>
          <w:rFonts w:ascii="Times New Roman" w:hAnsi="Times New Roman" w:cs="Times New Roman"/>
          <w:b/>
          <w:noProof/>
          <w:sz w:val="20"/>
          <w:szCs w:val="20"/>
        </w:rPr>
        <w:t>.</w:t>
      </w:r>
    </w:p>
    <w:p w14:paraId="60A07E4B" w14:textId="77777777" w:rsidR="00F22F4A" w:rsidRPr="00E35C9E" w:rsidRDefault="00F22F4A" w:rsidP="00E35C9E">
      <w:pPr>
        <w:pStyle w:val="EndNoteBibliography"/>
        <w:tabs>
          <w:tab w:val="left" w:pos="284"/>
        </w:tabs>
        <w:rPr>
          <w:rFonts w:ascii="Times New Roman" w:hAnsi="Times New Roman" w:cs="Times New Roman"/>
          <w:b/>
          <w:noProof/>
          <w:sz w:val="20"/>
          <w:szCs w:val="20"/>
        </w:rPr>
      </w:pPr>
      <w:r w:rsidRPr="00E35C9E">
        <w:rPr>
          <w:rFonts w:ascii="Times New Roman" w:hAnsi="Times New Roman" w:cs="Times New Roman"/>
          <w:noProof/>
          <w:sz w:val="20"/>
          <w:szCs w:val="20"/>
        </w:rPr>
        <w:t>39.</w:t>
      </w:r>
      <w:r w:rsidRPr="00E35C9E">
        <w:rPr>
          <w:rFonts w:ascii="Times New Roman" w:hAnsi="Times New Roman" w:cs="Times New Roman"/>
          <w:noProof/>
          <w:sz w:val="20"/>
          <w:szCs w:val="20"/>
        </w:rPr>
        <w:tab/>
        <w:t xml:space="preserve">J. Zhao, X. Li, C.-H. Yu, S. Chen, and C.-C. Lee. Riding the FinTech innovation wave: FinTech, patents and bank performance, </w:t>
      </w:r>
      <w:r w:rsidRPr="00E35C9E">
        <w:rPr>
          <w:rFonts w:ascii="Times New Roman" w:hAnsi="Times New Roman" w:cs="Times New Roman"/>
          <w:i/>
          <w:noProof/>
          <w:sz w:val="20"/>
          <w:szCs w:val="20"/>
        </w:rPr>
        <w:t>Journal of International Money and Finance</w:t>
      </w:r>
      <w:r w:rsidRPr="00E35C9E">
        <w:rPr>
          <w:rFonts w:ascii="Times New Roman" w:hAnsi="Times New Roman" w:cs="Times New Roman"/>
          <w:noProof/>
          <w:sz w:val="20"/>
          <w:szCs w:val="20"/>
        </w:rPr>
        <w:t>,</w:t>
      </w:r>
      <w:r w:rsidRPr="00E35C9E">
        <w:rPr>
          <w:rFonts w:ascii="Times New Roman" w:hAnsi="Times New Roman" w:cs="Times New Roman"/>
          <w:b/>
          <w:noProof/>
          <w:sz w:val="20"/>
          <w:szCs w:val="20"/>
        </w:rPr>
        <w:t xml:space="preserve"> 2022</w:t>
      </w:r>
      <w:r w:rsidRPr="00E35C9E">
        <w:rPr>
          <w:rFonts w:ascii="Times New Roman" w:hAnsi="Times New Roman" w:cs="Times New Roman"/>
          <w:noProof/>
          <w:sz w:val="20"/>
          <w:szCs w:val="20"/>
        </w:rPr>
        <w:t>,</w:t>
      </w:r>
      <w:r w:rsidRPr="00E35C9E">
        <w:rPr>
          <w:rFonts w:ascii="Times New Roman" w:hAnsi="Times New Roman" w:cs="Times New Roman"/>
          <w:i/>
          <w:noProof/>
          <w:sz w:val="20"/>
          <w:szCs w:val="20"/>
        </w:rPr>
        <w:t xml:space="preserve">  122 </w:t>
      </w:r>
      <w:r w:rsidRPr="00E35C9E">
        <w:rPr>
          <w:rFonts w:ascii="Times New Roman" w:hAnsi="Times New Roman" w:cs="Times New Roman"/>
          <w:noProof/>
          <w:sz w:val="20"/>
          <w:szCs w:val="20"/>
        </w:rPr>
        <w:t xml:space="preserve"> 102552</w:t>
      </w:r>
      <w:r w:rsidRPr="00E35C9E">
        <w:rPr>
          <w:rFonts w:ascii="Times New Roman" w:hAnsi="Times New Roman" w:cs="Times New Roman"/>
          <w:b/>
          <w:noProof/>
          <w:sz w:val="20"/>
          <w:szCs w:val="20"/>
        </w:rPr>
        <w:t>.</w:t>
      </w:r>
    </w:p>
    <w:p w14:paraId="452AA9E0" w14:textId="77777777" w:rsidR="00F22F4A" w:rsidRPr="00E35C9E" w:rsidRDefault="00F22F4A" w:rsidP="00E35C9E">
      <w:pPr>
        <w:pStyle w:val="EndNoteBibliography"/>
        <w:tabs>
          <w:tab w:val="left" w:pos="284"/>
        </w:tabs>
        <w:rPr>
          <w:rFonts w:ascii="Times New Roman" w:hAnsi="Times New Roman" w:cs="Times New Roman"/>
          <w:b/>
          <w:noProof/>
          <w:sz w:val="20"/>
          <w:szCs w:val="20"/>
        </w:rPr>
      </w:pPr>
      <w:r w:rsidRPr="00E35C9E">
        <w:rPr>
          <w:rFonts w:ascii="Times New Roman" w:hAnsi="Times New Roman" w:cs="Times New Roman"/>
          <w:noProof/>
          <w:sz w:val="20"/>
          <w:szCs w:val="20"/>
        </w:rPr>
        <w:t>40.</w:t>
      </w:r>
      <w:r w:rsidRPr="00E35C9E">
        <w:rPr>
          <w:rFonts w:ascii="Times New Roman" w:hAnsi="Times New Roman" w:cs="Times New Roman"/>
          <w:noProof/>
          <w:sz w:val="20"/>
          <w:szCs w:val="20"/>
        </w:rPr>
        <w:tab/>
        <w:t xml:space="preserve">Q. Ni, L. Zhang, and C. Wu. Fintech and commercial bank risks–The moderating effect of financial regulation, </w:t>
      </w:r>
      <w:r w:rsidRPr="00E35C9E">
        <w:rPr>
          <w:rFonts w:ascii="Times New Roman" w:hAnsi="Times New Roman" w:cs="Times New Roman"/>
          <w:i/>
          <w:noProof/>
          <w:sz w:val="20"/>
          <w:szCs w:val="20"/>
        </w:rPr>
        <w:t>Finance Research Letters</w:t>
      </w:r>
      <w:r w:rsidRPr="00E35C9E">
        <w:rPr>
          <w:rFonts w:ascii="Times New Roman" w:hAnsi="Times New Roman" w:cs="Times New Roman"/>
          <w:noProof/>
          <w:sz w:val="20"/>
          <w:szCs w:val="20"/>
        </w:rPr>
        <w:t>,</w:t>
      </w:r>
      <w:r w:rsidRPr="00E35C9E">
        <w:rPr>
          <w:rFonts w:ascii="Times New Roman" w:hAnsi="Times New Roman" w:cs="Times New Roman"/>
          <w:b/>
          <w:noProof/>
          <w:sz w:val="20"/>
          <w:szCs w:val="20"/>
        </w:rPr>
        <w:t xml:space="preserve"> 2023</w:t>
      </w:r>
      <w:r w:rsidRPr="00E35C9E">
        <w:rPr>
          <w:rFonts w:ascii="Times New Roman" w:hAnsi="Times New Roman" w:cs="Times New Roman"/>
          <w:noProof/>
          <w:sz w:val="20"/>
          <w:szCs w:val="20"/>
        </w:rPr>
        <w:t>,</w:t>
      </w:r>
      <w:r w:rsidRPr="00E35C9E">
        <w:rPr>
          <w:rFonts w:ascii="Times New Roman" w:hAnsi="Times New Roman" w:cs="Times New Roman"/>
          <w:i/>
          <w:noProof/>
          <w:sz w:val="20"/>
          <w:szCs w:val="20"/>
        </w:rPr>
        <w:t xml:space="preserve">  58 </w:t>
      </w:r>
      <w:r w:rsidRPr="00E35C9E">
        <w:rPr>
          <w:rFonts w:ascii="Times New Roman" w:hAnsi="Times New Roman" w:cs="Times New Roman"/>
          <w:noProof/>
          <w:sz w:val="20"/>
          <w:szCs w:val="20"/>
        </w:rPr>
        <w:t xml:space="preserve"> 104536</w:t>
      </w:r>
      <w:r w:rsidRPr="00E35C9E">
        <w:rPr>
          <w:rFonts w:ascii="Times New Roman" w:hAnsi="Times New Roman" w:cs="Times New Roman"/>
          <w:b/>
          <w:noProof/>
          <w:sz w:val="20"/>
          <w:szCs w:val="20"/>
        </w:rPr>
        <w:t>.</w:t>
      </w:r>
    </w:p>
    <w:p w14:paraId="434E3D32" w14:textId="77777777" w:rsidR="00F22F4A" w:rsidRPr="00E35C9E" w:rsidRDefault="00F22F4A" w:rsidP="00E35C9E">
      <w:pPr>
        <w:pStyle w:val="EndNoteBibliography"/>
        <w:tabs>
          <w:tab w:val="left" w:pos="284"/>
        </w:tabs>
        <w:rPr>
          <w:rFonts w:ascii="Times New Roman" w:hAnsi="Times New Roman" w:cs="Times New Roman"/>
          <w:b/>
          <w:noProof/>
          <w:sz w:val="20"/>
          <w:szCs w:val="20"/>
        </w:rPr>
      </w:pPr>
      <w:r w:rsidRPr="00E35C9E">
        <w:rPr>
          <w:rFonts w:ascii="Times New Roman" w:hAnsi="Times New Roman" w:cs="Times New Roman"/>
          <w:noProof/>
          <w:sz w:val="20"/>
          <w:szCs w:val="20"/>
        </w:rPr>
        <w:t>41.</w:t>
      </w:r>
      <w:r w:rsidRPr="00E35C9E">
        <w:rPr>
          <w:rFonts w:ascii="Times New Roman" w:hAnsi="Times New Roman" w:cs="Times New Roman"/>
          <w:noProof/>
          <w:sz w:val="20"/>
          <w:szCs w:val="20"/>
        </w:rPr>
        <w:tab/>
        <w:t xml:space="preserve">A. Zhang, S. Wang, B. Liu, and P. Liu. How fintech impacts pre‐and post‐loan risk in Chinese commercial banks, </w:t>
      </w:r>
      <w:r w:rsidRPr="00E35C9E">
        <w:rPr>
          <w:rFonts w:ascii="Times New Roman" w:hAnsi="Times New Roman" w:cs="Times New Roman"/>
          <w:i/>
          <w:noProof/>
          <w:sz w:val="20"/>
          <w:szCs w:val="20"/>
        </w:rPr>
        <w:t>International Journal of Finance &amp; Economics</w:t>
      </w:r>
      <w:r w:rsidRPr="00E35C9E">
        <w:rPr>
          <w:rFonts w:ascii="Times New Roman" w:hAnsi="Times New Roman" w:cs="Times New Roman"/>
          <w:noProof/>
          <w:sz w:val="20"/>
          <w:szCs w:val="20"/>
        </w:rPr>
        <w:t>,</w:t>
      </w:r>
      <w:r w:rsidRPr="00E35C9E">
        <w:rPr>
          <w:rFonts w:ascii="Times New Roman" w:hAnsi="Times New Roman" w:cs="Times New Roman"/>
          <w:b/>
          <w:noProof/>
          <w:sz w:val="20"/>
          <w:szCs w:val="20"/>
        </w:rPr>
        <w:t xml:space="preserve"> 2022</w:t>
      </w:r>
      <w:r w:rsidRPr="00E35C9E">
        <w:rPr>
          <w:rFonts w:ascii="Times New Roman" w:hAnsi="Times New Roman" w:cs="Times New Roman"/>
          <w:noProof/>
          <w:sz w:val="20"/>
          <w:szCs w:val="20"/>
        </w:rPr>
        <w:t>,</w:t>
      </w:r>
      <w:r w:rsidRPr="00E35C9E">
        <w:rPr>
          <w:rFonts w:ascii="Times New Roman" w:hAnsi="Times New Roman" w:cs="Times New Roman"/>
          <w:i/>
          <w:noProof/>
          <w:sz w:val="20"/>
          <w:szCs w:val="20"/>
        </w:rPr>
        <w:t xml:space="preserve">  27 (2), </w:t>
      </w:r>
      <w:r w:rsidRPr="00E35C9E">
        <w:rPr>
          <w:rFonts w:ascii="Times New Roman" w:hAnsi="Times New Roman" w:cs="Times New Roman"/>
          <w:noProof/>
          <w:sz w:val="20"/>
          <w:szCs w:val="20"/>
        </w:rPr>
        <w:t xml:space="preserve"> 2514-2529</w:t>
      </w:r>
      <w:r w:rsidRPr="00E35C9E">
        <w:rPr>
          <w:rFonts w:ascii="Times New Roman" w:hAnsi="Times New Roman" w:cs="Times New Roman"/>
          <w:b/>
          <w:noProof/>
          <w:sz w:val="20"/>
          <w:szCs w:val="20"/>
        </w:rPr>
        <w:t>.</w:t>
      </w:r>
    </w:p>
    <w:p w14:paraId="6147689C" w14:textId="77777777" w:rsidR="00F22F4A" w:rsidRPr="00E35C9E" w:rsidRDefault="00F22F4A" w:rsidP="00E35C9E">
      <w:pPr>
        <w:pStyle w:val="EndNoteBibliography"/>
        <w:tabs>
          <w:tab w:val="left" w:pos="284"/>
        </w:tabs>
        <w:rPr>
          <w:rFonts w:ascii="Times New Roman" w:hAnsi="Times New Roman" w:cs="Times New Roman"/>
          <w:b/>
          <w:noProof/>
          <w:sz w:val="20"/>
          <w:szCs w:val="20"/>
        </w:rPr>
      </w:pPr>
      <w:r w:rsidRPr="00E35C9E">
        <w:rPr>
          <w:rFonts w:ascii="Times New Roman" w:hAnsi="Times New Roman" w:cs="Times New Roman"/>
          <w:noProof/>
          <w:sz w:val="20"/>
          <w:szCs w:val="20"/>
        </w:rPr>
        <w:t>42.</w:t>
      </w:r>
      <w:r w:rsidRPr="00E35C9E">
        <w:rPr>
          <w:rFonts w:ascii="Times New Roman" w:hAnsi="Times New Roman" w:cs="Times New Roman"/>
          <w:noProof/>
          <w:sz w:val="20"/>
          <w:szCs w:val="20"/>
        </w:rPr>
        <w:tab/>
        <w:t xml:space="preserve">Z. Qin and Z. Jing. Fintech Adoption and Credit Risk Mitigation: Evidence from Chinese Commercial Banks, </w:t>
      </w:r>
      <w:r w:rsidRPr="00E35C9E">
        <w:rPr>
          <w:rFonts w:ascii="Times New Roman" w:hAnsi="Times New Roman" w:cs="Times New Roman"/>
          <w:i/>
          <w:noProof/>
          <w:sz w:val="20"/>
          <w:szCs w:val="20"/>
        </w:rPr>
        <w:t>Sustainability</w:t>
      </w:r>
      <w:r w:rsidRPr="00E35C9E">
        <w:rPr>
          <w:rFonts w:ascii="Times New Roman" w:hAnsi="Times New Roman" w:cs="Times New Roman"/>
          <w:noProof/>
          <w:sz w:val="20"/>
          <w:szCs w:val="20"/>
        </w:rPr>
        <w:t>,</w:t>
      </w:r>
      <w:r w:rsidRPr="00E35C9E">
        <w:rPr>
          <w:rFonts w:ascii="Times New Roman" w:hAnsi="Times New Roman" w:cs="Times New Roman"/>
          <w:b/>
          <w:noProof/>
          <w:sz w:val="20"/>
          <w:szCs w:val="20"/>
        </w:rPr>
        <w:t xml:space="preserve"> 2025</w:t>
      </w:r>
      <w:r w:rsidRPr="00E35C9E">
        <w:rPr>
          <w:rFonts w:ascii="Times New Roman" w:hAnsi="Times New Roman" w:cs="Times New Roman"/>
          <w:noProof/>
          <w:sz w:val="20"/>
          <w:szCs w:val="20"/>
        </w:rPr>
        <w:t>,</w:t>
      </w:r>
      <w:r w:rsidRPr="00E35C9E">
        <w:rPr>
          <w:rFonts w:ascii="Times New Roman" w:hAnsi="Times New Roman" w:cs="Times New Roman"/>
          <w:i/>
          <w:noProof/>
          <w:sz w:val="20"/>
          <w:szCs w:val="20"/>
        </w:rPr>
        <w:t xml:space="preserve">  17 (22), </w:t>
      </w:r>
      <w:r w:rsidRPr="00E35C9E">
        <w:rPr>
          <w:rFonts w:ascii="Times New Roman" w:hAnsi="Times New Roman" w:cs="Times New Roman"/>
          <w:noProof/>
          <w:sz w:val="20"/>
          <w:szCs w:val="20"/>
        </w:rPr>
        <w:t xml:space="preserve"> 10294</w:t>
      </w:r>
      <w:r w:rsidRPr="00E35C9E">
        <w:rPr>
          <w:rFonts w:ascii="Times New Roman" w:hAnsi="Times New Roman" w:cs="Times New Roman"/>
          <w:b/>
          <w:noProof/>
          <w:sz w:val="20"/>
          <w:szCs w:val="20"/>
        </w:rPr>
        <w:t>.</w:t>
      </w:r>
    </w:p>
    <w:p w14:paraId="23EB1075" w14:textId="77777777" w:rsidR="00F22F4A" w:rsidRPr="00E35C9E" w:rsidRDefault="00F22F4A" w:rsidP="00E35C9E">
      <w:pPr>
        <w:pStyle w:val="EndNoteBibliography"/>
        <w:tabs>
          <w:tab w:val="left" w:pos="284"/>
        </w:tabs>
        <w:rPr>
          <w:rFonts w:ascii="Times New Roman" w:hAnsi="Times New Roman" w:cs="Times New Roman"/>
          <w:b/>
          <w:noProof/>
          <w:sz w:val="20"/>
          <w:szCs w:val="20"/>
        </w:rPr>
      </w:pPr>
      <w:r w:rsidRPr="00E35C9E">
        <w:rPr>
          <w:rFonts w:ascii="Times New Roman" w:hAnsi="Times New Roman" w:cs="Times New Roman"/>
          <w:noProof/>
          <w:sz w:val="20"/>
          <w:szCs w:val="20"/>
        </w:rPr>
        <w:t>43.</w:t>
      </w:r>
      <w:r w:rsidRPr="00E35C9E">
        <w:rPr>
          <w:rFonts w:ascii="Times New Roman" w:hAnsi="Times New Roman" w:cs="Times New Roman"/>
          <w:noProof/>
          <w:sz w:val="20"/>
          <w:szCs w:val="20"/>
        </w:rPr>
        <w:tab/>
        <w:t xml:space="preserve">M. He, G. Song, and Q. Chen. Fintech adoption, internal control quality and bank risk taking: Evidence from Chinese listed banks, </w:t>
      </w:r>
      <w:r w:rsidRPr="00E35C9E">
        <w:rPr>
          <w:rFonts w:ascii="Times New Roman" w:hAnsi="Times New Roman" w:cs="Times New Roman"/>
          <w:i/>
          <w:noProof/>
          <w:sz w:val="20"/>
          <w:szCs w:val="20"/>
        </w:rPr>
        <w:t>Finance Research Letters</w:t>
      </w:r>
      <w:r w:rsidRPr="00E35C9E">
        <w:rPr>
          <w:rFonts w:ascii="Times New Roman" w:hAnsi="Times New Roman" w:cs="Times New Roman"/>
          <w:noProof/>
          <w:sz w:val="20"/>
          <w:szCs w:val="20"/>
        </w:rPr>
        <w:t>,</w:t>
      </w:r>
      <w:r w:rsidRPr="00E35C9E">
        <w:rPr>
          <w:rFonts w:ascii="Times New Roman" w:hAnsi="Times New Roman" w:cs="Times New Roman"/>
          <w:b/>
          <w:noProof/>
          <w:sz w:val="20"/>
          <w:szCs w:val="20"/>
        </w:rPr>
        <w:t xml:space="preserve"> 2023</w:t>
      </w:r>
      <w:r w:rsidRPr="00E35C9E">
        <w:rPr>
          <w:rFonts w:ascii="Times New Roman" w:hAnsi="Times New Roman" w:cs="Times New Roman"/>
          <w:noProof/>
          <w:sz w:val="20"/>
          <w:szCs w:val="20"/>
        </w:rPr>
        <w:t>,</w:t>
      </w:r>
      <w:r w:rsidRPr="00E35C9E">
        <w:rPr>
          <w:rFonts w:ascii="Times New Roman" w:hAnsi="Times New Roman" w:cs="Times New Roman"/>
          <w:i/>
          <w:noProof/>
          <w:sz w:val="20"/>
          <w:szCs w:val="20"/>
        </w:rPr>
        <w:t xml:space="preserve">  57 </w:t>
      </w:r>
      <w:r w:rsidRPr="00E35C9E">
        <w:rPr>
          <w:rFonts w:ascii="Times New Roman" w:hAnsi="Times New Roman" w:cs="Times New Roman"/>
          <w:noProof/>
          <w:sz w:val="20"/>
          <w:szCs w:val="20"/>
        </w:rPr>
        <w:t xml:space="preserve"> 104235</w:t>
      </w:r>
      <w:r w:rsidRPr="00E35C9E">
        <w:rPr>
          <w:rFonts w:ascii="Times New Roman" w:hAnsi="Times New Roman" w:cs="Times New Roman"/>
          <w:b/>
          <w:noProof/>
          <w:sz w:val="20"/>
          <w:szCs w:val="20"/>
        </w:rPr>
        <w:t>.</w:t>
      </w:r>
    </w:p>
    <w:p w14:paraId="2548D491" w14:textId="77777777" w:rsidR="00F22F4A" w:rsidRPr="00E35C9E" w:rsidRDefault="00F22F4A" w:rsidP="00E35C9E">
      <w:pPr>
        <w:pStyle w:val="EndNoteBibliography"/>
        <w:tabs>
          <w:tab w:val="left" w:pos="284"/>
        </w:tabs>
        <w:rPr>
          <w:rFonts w:ascii="Times New Roman" w:hAnsi="Times New Roman" w:cs="Times New Roman"/>
          <w:b/>
          <w:noProof/>
          <w:sz w:val="20"/>
          <w:szCs w:val="20"/>
        </w:rPr>
      </w:pPr>
      <w:r w:rsidRPr="00E35C9E">
        <w:rPr>
          <w:rFonts w:ascii="Times New Roman" w:hAnsi="Times New Roman" w:cs="Times New Roman"/>
          <w:noProof/>
          <w:sz w:val="20"/>
          <w:szCs w:val="20"/>
        </w:rPr>
        <w:t>44.</w:t>
      </w:r>
      <w:r w:rsidRPr="00E35C9E">
        <w:rPr>
          <w:rFonts w:ascii="Times New Roman" w:hAnsi="Times New Roman" w:cs="Times New Roman"/>
          <w:noProof/>
          <w:sz w:val="20"/>
          <w:szCs w:val="20"/>
        </w:rPr>
        <w:tab/>
        <w:t xml:space="preserve">Y. Zhang, S. Ye, J. Liu, and L. Du. Impact of the development of FinTech by commercial banks on bank credit risk, </w:t>
      </w:r>
      <w:r w:rsidRPr="00E35C9E">
        <w:rPr>
          <w:rFonts w:ascii="Times New Roman" w:hAnsi="Times New Roman" w:cs="Times New Roman"/>
          <w:i/>
          <w:noProof/>
          <w:sz w:val="20"/>
          <w:szCs w:val="20"/>
        </w:rPr>
        <w:t>Finance Research Letters</w:t>
      </w:r>
      <w:r w:rsidRPr="00E35C9E">
        <w:rPr>
          <w:rFonts w:ascii="Times New Roman" w:hAnsi="Times New Roman" w:cs="Times New Roman"/>
          <w:noProof/>
          <w:sz w:val="20"/>
          <w:szCs w:val="20"/>
        </w:rPr>
        <w:t>,</w:t>
      </w:r>
      <w:r w:rsidRPr="00E35C9E">
        <w:rPr>
          <w:rFonts w:ascii="Times New Roman" w:hAnsi="Times New Roman" w:cs="Times New Roman"/>
          <w:b/>
          <w:noProof/>
          <w:sz w:val="20"/>
          <w:szCs w:val="20"/>
        </w:rPr>
        <w:t xml:space="preserve"> 2023</w:t>
      </w:r>
      <w:r w:rsidRPr="00E35C9E">
        <w:rPr>
          <w:rFonts w:ascii="Times New Roman" w:hAnsi="Times New Roman" w:cs="Times New Roman"/>
          <w:noProof/>
          <w:sz w:val="20"/>
          <w:szCs w:val="20"/>
        </w:rPr>
        <w:t>,</w:t>
      </w:r>
      <w:r w:rsidRPr="00E35C9E">
        <w:rPr>
          <w:rFonts w:ascii="Times New Roman" w:hAnsi="Times New Roman" w:cs="Times New Roman"/>
          <w:i/>
          <w:noProof/>
          <w:sz w:val="20"/>
          <w:szCs w:val="20"/>
        </w:rPr>
        <w:t xml:space="preserve">  55 </w:t>
      </w:r>
      <w:r w:rsidRPr="00E35C9E">
        <w:rPr>
          <w:rFonts w:ascii="Times New Roman" w:hAnsi="Times New Roman" w:cs="Times New Roman"/>
          <w:noProof/>
          <w:sz w:val="20"/>
          <w:szCs w:val="20"/>
        </w:rPr>
        <w:t xml:space="preserve"> 103857</w:t>
      </w:r>
      <w:r w:rsidRPr="00E35C9E">
        <w:rPr>
          <w:rFonts w:ascii="Times New Roman" w:hAnsi="Times New Roman" w:cs="Times New Roman"/>
          <w:b/>
          <w:noProof/>
          <w:sz w:val="20"/>
          <w:szCs w:val="20"/>
        </w:rPr>
        <w:t>.</w:t>
      </w:r>
    </w:p>
    <w:p w14:paraId="2BB7C428" w14:textId="77777777" w:rsidR="00F22F4A" w:rsidRPr="00E35C9E" w:rsidRDefault="00F22F4A" w:rsidP="00E35C9E">
      <w:pPr>
        <w:pStyle w:val="EndNoteBibliography"/>
        <w:tabs>
          <w:tab w:val="left" w:pos="284"/>
        </w:tabs>
        <w:rPr>
          <w:rFonts w:ascii="Times New Roman" w:hAnsi="Times New Roman" w:cs="Times New Roman"/>
          <w:b/>
          <w:noProof/>
          <w:sz w:val="20"/>
          <w:szCs w:val="20"/>
        </w:rPr>
      </w:pPr>
      <w:r w:rsidRPr="00E35C9E">
        <w:rPr>
          <w:rFonts w:ascii="Times New Roman" w:hAnsi="Times New Roman" w:cs="Times New Roman"/>
          <w:noProof/>
          <w:sz w:val="20"/>
          <w:szCs w:val="20"/>
        </w:rPr>
        <w:t>45.</w:t>
      </w:r>
      <w:r w:rsidRPr="00E35C9E">
        <w:rPr>
          <w:rFonts w:ascii="Times New Roman" w:hAnsi="Times New Roman" w:cs="Times New Roman"/>
          <w:noProof/>
          <w:sz w:val="20"/>
          <w:szCs w:val="20"/>
        </w:rPr>
        <w:tab/>
        <w:t xml:space="preserve">M. Cheng and Y. Qu. Does bank FinTech reduce credit risk? Evidence from China, </w:t>
      </w:r>
      <w:r w:rsidRPr="00E35C9E">
        <w:rPr>
          <w:rFonts w:ascii="Times New Roman" w:hAnsi="Times New Roman" w:cs="Times New Roman"/>
          <w:i/>
          <w:noProof/>
          <w:sz w:val="20"/>
          <w:szCs w:val="20"/>
        </w:rPr>
        <w:t>Pacific-basin finance journal</w:t>
      </w:r>
      <w:r w:rsidRPr="00E35C9E">
        <w:rPr>
          <w:rFonts w:ascii="Times New Roman" w:hAnsi="Times New Roman" w:cs="Times New Roman"/>
          <w:noProof/>
          <w:sz w:val="20"/>
          <w:szCs w:val="20"/>
        </w:rPr>
        <w:t>,</w:t>
      </w:r>
      <w:r w:rsidRPr="00E35C9E">
        <w:rPr>
          <w:rFonts w:ascii="Times New Roman" w:hAnsi="Times New Roman" w:cs="Times New Roman"/>
          <w:b/>
          <w:noProof/>
          <w:sz w:val="20"/>
          <w:szCs w:val="20"/>
        </w:rPr>
        <w:t xml:space="preserve"> 2020</w:t>
      </w:r>
      <w:r w:rsidRPr="00E35C9E">
        <w:rPr>
          <w:rFonts w:ascii="Times New Roman" w:hAnsi="Times New Roman" w:cs="Times New Roman"/>
          <w:noProof/>
          <w:sz w:val="20"/>
          <w:szCs w:val="20"/>
        </w:rPr>
        <w:t>,</w:t>
      </w:r>
      <w:r w:rsidRPr="00E35C9E">
        <w:rPr>
          <w:rFonts w:ascii="Times New Roman" w:hAnsi="Times New Roman" w:cs="Times New Roman"/>
          <w:i/>
          <w:noProof/>
          <w:sz w:val="20"/>
          <w:szCs w:val="20"/>
        </w:rPr>
        <w:t xml:space="preserve">  63 </w:t>
      </w:r>
      <w:r w:rsidRPr="00E35C9E">
        <w:rPr>
          <w:rFonts w:ascii="Times New Roman" w:hAnsi="Times New Roman" w:cs="Times New Roman"/>
          <w:noProof/>
          <w:sz w:val="20"/>
          <w:szCs w:val="20"/>
        </w:rPr>
        <w:t xml:space="preserve"> 101398</w:t>
      </w:r>
      <w:r w:rsidRPr="00E35C9E">
        <w:rPr>
          <w:rFonts w:ascii="Times New Roman" w:hAnsi="Times New Roman" w:cs="Times New Roman"/>
          <w:b/>
          <w:noProof/>
          <w:sz w:val="20"/>
          <w:szCs w:val="20"/>
        </w:rPr>
        <w:t>.</w:t>
      </w:r>
    </w:p>
    <w:p w14:paraId="259887C4" w14:textId="4BE85954" w:rsidR="00B06ADB" w:rsidRPr="00E35C9E" w:rsidRDefault="009321C7" w:rsidP="00E35C9E">
      <w:pPr>
        <w:pStyle w:val="EndNoteBibliography"/>
        <w:tabs>
          <w:tab w:val="left" w:pos="284"/>
        </w:tabs>
        <w:rPr>
          <w:rFonts w:ascii="Times New Roman" w:hAnsi="Times New Roman" w:cs="Times New Roman"/>
          <w:sz w:val="20"/>
          <w:szCs w:val="20"/>
        </w:rPr>
      </w:pPr>
      <w:r w:rsidRPr="00E35C9E">
        <w:rPr>
          <w:rFonts w:ascii="Times New Roman" w:hAnsi="Times New Roman" w:cs="Times New Roman"/>
          <w:sz w:val="20"/>
          <w:szCs w:val="20"/>
        </w:rPr>
        <w:fldChar w:fldCharType="end"/>
      </w:r>
    </w:p>
    <w:p w14:paraId="15A999CE" w14:textId="66BAC15A" w:rsidR="00B06ADB" w:rsidRPr="00B06ADB" w:rsidRDefault="00B06ADB" w:rsidP="00B06ADB">
      <w:pPr>
        <w:pStyle w:val="EndNoteBibliography"/>
        <w:ind w:left="284" w:hanging="284"/>
        <w:rPr>
          <w:rFonts w:ascii="Times New Roman" w:hAnsi="Times New Roman" w:cs="Times New Roman"/>
          <w:b/>
          <w:lang w:val="vi-VN"/>
        </w:rPr>
      </w:pPr>
      <w:r w:rsidRPr="00B06ADB">
        <w:rPr>
          <w:rFonts w:ascii="Times New Roman" w:hAnsi="Times New Roman" w:cs="Times New Roman"/>
          <w:i/>
          <w:lang w:val="de-DE"/>
        </w:rPr>
        <w:t>Liên hệ</w:t>
      </w:r>
      <w:r w:rsidRPr="00B06ADB">
        <w:rPr>
          <w:rFonts w:ascii="Times New Roman" w:hAnsi="Times New Roman" w:cs="Times New Roman"/>
          <w:lang w:val="de-DE"/>
        </w:rPr>
        <w:t xml:space="preserve">: </w:t>
      </w:r>
      <w:r w:rsidRPr="00B06ADB">
        <w:rPr>
          <w:rFonts w:ascii="Times New Roman" w:hAnsi="Times New Roman" w:cs="Times New Roman"/>
          <w:b/>
          <w:lang w:val="vi-VN"/>
        </w:rPr>
        <w:t>Phạm Thị Thúy Hằng</w:t>
      </w:r>
    </w:p>
    <w:p w14:paraId="267E2717" w14:textId="77777777" w:rsidR="00B06ADB" w:rsidRPr="00B06ADB" w:rsidRDefault="00B06ADB" w:rsidP="00B06ADB">
      <w:pPr>
        <w:pStyle w:val="EndNoteBibliography"/>
        <w:ind w:left="284" w:hanging="284"/>
        <w:rPr>
          <w:rFonts w:ascii="Times New Roman" w:hAnsi="Times New Roman" w:cs="Times New Roman"/>
          <w:lang w:val="de-DE"/>
        </w:rPr>
      </w:pPr>
      <w:r w:rsidRPr="00B06ADB">
        <w:rPr>
          <w:rFonts w:ascii="Times New Roman" w:hAnsi="Times New Roman" w:cs="Times New Roman"/>
          <w:lang w:val="de-DE"/>
        </w:rPr>
        <w:t>Trường Đại học Quy Nhơn</w:t>
      </w:r>
    </w:p>
    <w:p w14:paraId="50AE5A1F" w14:textId="77777777" w:rsidR="00B06ADB" w:rsidRPr="00B06ADB" w:rsidRDefault="00B06ADB" w:rsidP="00B06ADB">
      <w:pPr>
        <w:pStyle w:val="EndNoteBibliography"/>
        <w:ind w:left="284" w:hanging="284"/>
        <w:rPr>
          <w:rFonts w:ascii="Times New Roman" w:hAnsi="Times New Roman" w:cs="Times New Roman"/>
          <w:lang w:val="de-DE"/>
        </w:rPr>
      </w:pPr>
      <w:r w:rsidRPr="00B06ADB">
        <w:rPr>
          <w:rFonts w:ascii="Times New Roman" w:hAnsi="Times New Roman" w:cs="Times New Roman"/>
          <w:lang w:val="de-DE"/>
        </w:rPr>
        <w:t xml:space="preserve">170 An Dương Vương, TP. Quy Nhơn, </w:t>
      </w:r>
      <w:r w:rsidRPr="00B06ADB">
        <w:rPr>
          <w:rFonts w:ascii="Times New Roman" w:hAnsi="Times New Roman" w:cs="Times New Roman"/>
          <w:lang w:val="vi-VN"/>
        </w:rPr>
        <w:t>T</w:t>
      </w:r>
      <w:r w:rsidRPr="00B06ADB">
        <w:rPr>
          <w:rFonts w:ascii="Times New Roman" w:hAnsi="Times New Roman" w:cs="Times New Roman"/>
          <w:lang w:val="de-DE"/>
        </w:rPr>
        <w:t>ỉnh Bình Định, Việt Nam</w:t>
      </w:r>
    </w:p>
    <w:p w14:paraId="4BC43D04" w14:textId="77777777" w:rsidR="00B06ADB" w:rsidRPr="00B06ADB" w:rsidRDefault="00B06ADB" w:rsidP="00B06ADB">
      <w:pPr>
        <w:pStyle w:val="EndNoteBibliography"/>
        <w:ind w:left="284" w:hanging="284"/>
        <w:rPr>
          <w:rFonts w:ascii="Times New Roman" w:hAnsi="Times New Roman" w:cs="Times New Roman"/>
          <w:lang w:val="vi-VN"/>
        </w:rPr>
      </w:pPr>
      <w:r w:rsidRPr="00B06ADB">
        <w:rPr>
          <w:rFonts w:ascii="Times New Roman" w:hAnsi="Times New Roman" w:cs="Times New Roman"/>
          <w:lang w:val="vi-VN"/>
        </w:rPr>
        <w:t xml:space="preserve">Email: </w:t>
      </w:r>
      <w:hyperlink r:id="rId8" w:history="1">
        <w:r w:rsidRPr="00B06ADB">
          <w:rPr>
            <w:rStyle w:val="Hyperlink"/>
            <w:rFonts w:ascii="Times New Roman" w:hAnsi="Times New Roman" w:cs="Times New Roman"/>
            <w:lang w:val="vi-VN"/>
          </w:rPr>
          <w:t>phamthithuyhang@qnu.edu.vn</w:t>
        </w:r>
      </w:hyperlink>
    </w:p>
    <w:p w14:paraId="42658F8E" w14:textId="77777777" w:rsidR="00B06ADB" w:rsidRPr="00B06ADB" w:rsidRDefault="00B06ADB" w:rsidP="00B06ADB">
      <w:pPr>
        <w:pStyle w:val="EndNoteBibliography"/>
        <w:ind w:left="284" w:hanging="284"/>
        <w:rPr>
          <w:lang w:val="vi-VN"/>
        </w:rPr>
      </w:pPr>
      <w:r w:rsidRPr="00B06ADB">
        <w:rPr>
          <w:rFonts w:ascii="Times New Roman" w:hAnsi="Times New Roman" w:cs="Times New Roman"/>
          <w:lang w:val="vi-VN"/>
        </w:rPr>
        <w:t>Điện thoại: 0906401889</w:t>
      </w:r>
    </w:p>
    <w:p w14:paraId="5AE705C2" w14:textId="4D4110E7" w:rsidR="00E25FD3" w:rsidRPr="007A2D72" w:rsidRDefault="00CD3C67" w:rsidP="006F3D2D">
      <w:pPr>
        <w:tabs>
          <w:tab w:val="left" w:pos="360"/>
          <w:tab w:val="right" w:pos="9072"/>
        </w:tabs>
        <w:spacing w:before="120" w:after="120"/>
        <w:ind w:left="284" w:hanging="284"/>
        <w:jc w:val="both"/>
        <w:rPr>
          <w:sz w:val="22"/>
          <w:szCs w:val="22"/>
          <w:lang w:val="en-US"/>
        </w:rPr>
      </w:pPr>
      <w:r>
        <w:rPr>
          <w:sz w:val="22"/>
          <w:szCs w:val="22"/>
          <w:lang w:val="en-US"/>
        </w:rPr>
        <w:fldChar w:fldCharType="begin"/>
      </w:r>
      <w:r>
        <w:rPr>
          <w:sz w:val="22"/>
          <w:szCs w:val="22"/>
          <w:lang w:val="en-US"/>
        </w:rPr>
        <w:instrText xml:space="preserve"> ADDIN </w:instrText>
      </w:r>
      <w:r>
        <w:rPr>
          <w:sz w:val="22"/>
          <w:szCs w:val="22"/>
          <w:lang w:val="en-US"/>
        </w:rPr>
        <w:fldChar w:fldCharType="end"/>
      </w:r>
    </w:p>
    <w:sectPr w:rsidR="00E25FD3" w:rsidRPr="007A2D72" w:rsidSect="007A2ACD">
      <w:type w:val="continuous"/>
      <w:pgSz w:w="11909" w:h="16834"/>
      <w:pgMar w:top="1134" w:right="1134" w:bottom="113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805EA"/>
    <w:multiLevelType w:val="multilevel"/>
    <w:tmpl w:val="327AE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17397D"/>
    <w:multiLevelType w:val="multilevel"/>
    <w:tmpl w:val="7578F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9E63AC"/>
    <w:multiLevelType w:val="multilevel"/>
    <w:tmpl w:val="17800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7104D5"/>
    <w:multiLevelType w:val="multilevel"/>
    <w:tmpl w:val="280E2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1D4805"/>
    <w:multiLevelType w:val="multilevel"/>
    <w:tmpl w:val="76C62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333C7D"/>
    <w:multiLevelType w:val="multilevel"/>
    <w:tmpl w:val="9A1E1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CF0FA7"/>
    <w:multiLevelType w:val="multilevel"/>
    <w:tmpl w:val="72B05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B6475D"/>
    <w:multiLevelType w:val="multilevel"/>
    <w:tmpl w:val="08DE7F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F6275BC"/>
    <w:multiLevelType w:val="multilevel"/>
    <w:tmpl w:val="E21AA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4C62B3"/>
    <w:multiLevelType w:val="multilevel"/>
    <w:tmpl w:val="5D8E86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74666C"/>
    <w:multiLevelType w:val="multilevel"/>
    <w:tmpl w:val="1DC45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795496"/>
    <w:multiLevelType w:val="multilevel"/>
    <w:tmpl w:val="AE266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4A6EBD"/>
    <w:multiLevelType w:val="multilevel"/>
    <w:tmpl w:val="18AA9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075200"/>
    <w:multiLevelType w:val="multilevel"/>
    <w:tmpl w:val="2AE60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4267F6"/>
    <w:multiLevelType w:val="multilevel"/>
    <w:tmpl w:val="0694B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26791C"/>
    <w:multiLevelType w:val="multilevel"/>
    <w:tmpl w:val="D4788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F5229B"/>
    <w:multiLevelType w:val="multilevel"/>
    <w:tmpl w:val="7A9C1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64943D4"/>
    <w:multiLevelType w:val="multilevel"/>
    <w:tmpl w:val="B9346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5346A0"/>
    <w:multiLevelType w:val="multilevel"/>
    <w:tmpl w:val="60983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914940"/>
    <w:multiLevelType w:val="multilevel"/>
    <w:tmpl w:val="CB3C5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D483852"/>
    <w:multiLevelType w:val="multilevel"/>
    <w:tmpl w:val="AF70F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06A5445"/>
    <w:multiLevelType w:val="multilevel"/>
    <w:tmpl w:val="69B47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CF64B28"/>
    <w:multiLevelType w:val="multilevel"/>
    <w:tmpl w:val="ECC04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6607251">
    <w:abstractNumId w:val="16"/>
  </w:num>
  <w:num w:numId="2" w16cid:durableId="424764463">
    <w:abstractNumId w:val="14"/>
  </w:num>
  <w:num w:numId="3" w16cid:durableId="1391610947">
    <w:abstractNumId w:val="21"/>
  </w:num>
  <w:num w:numId="4" w16cid:durableId="1011763593">
    <w:abstractNumId w:val="15"/>
  </w:num>
  <w:num w:numId="5" w16cid:durableId="505024523">
    <w:abstractNumId w:val="8"/>
  </w:num>
  <w:num w:numId="6" w16cid:durableId="243296207">
    <w:abstractNumId w:val="9"/>
  </w:num>
  <w:num w:numId="7" w16cid:durableId="426275659">
    <w:abstractNumId w:val="13"/>
  </w:num>
  <w:num w:numId="8" w16cid:durableId="387340690">
    <w:abstractNumId w:val="19"/>
  </w:num>
  <w:num w:numId="9" w16cid:durableId="1244141311">
    <w:abstractNumId w:val="22"/>
  </w:num>
  <w:num w:numId="10" w16cid:durableId="1956984416">
    <w:abstractNumId w:val="18"/>
  </w:num>
  <w:num w:numId="11" w16cid:durableId="1968006811">
    <w:abstractNumId w:val="10"/>
  </w:num>
  <w:num w:numId="12" w16cid:durableId="907108562">
    <w:abstractNumId w:val="7"/>
  </w:num>
  <w:num w:numId="13" w16cid:durableId="1291207293">
    <w:abstractNumId w:val="1"/>
  </w:num>
  <w:num w:numId="14" w16cid:durableId="1419328236">
    <w:abstractNumId w:val="11"/>
  </w:num>
  <w:num w:numId="15" w16cid:durableId="1656689759">
    <w:abstractNumId w:val="12"/>
  </w:num>
  <w:num w:numId="16" w16cid:durableId="214781150">
    <w:abstractNumId w:val="3"/>
  </w:num>
  <w:num w:numId="17" w16cid:durableId="547108796">
    <w:abstractNumId w:val="2"/>
  </w:num>
  <w:num w:numId="18" w16cid:durableId="250697157">
    <w:abstractNumId w:val="6"/>
  </w:num>
  <w:num w:numId="19" w16cid:durableId="1735350458">
    <w:abstractNumId w:val="5"/>
  </w:num>
  <w:num w:numId="20" w16cid:durableId="1325818840">
    <w:abstractNumId w:val="0"/>
  </w:num>
  <w:num w:numId="21" w16cid:durableId="133184141">
    <w:abstractNumId w:val="20"/>
  </w:num>
  <w:num w:numId="22" w16cid:durableId="1800681674">
    <w:abstractNumId w:val="4"/>
  </w:num>
  <w:num w:numId="23" w16cid:durableId="58126030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IEEE QNU&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apx0v0s4rw2r6esw9dpwpd1wwvx05v0920r&quot;&gt;Fintech adoption&lt;record-ids&gt;&lt;item&gt;2&lt;/item&gt;&lt;item&gt;3&lt;/item&gt;&lt;item&gt;4&lt;/item&gt;&lt;item&gt;5&lt;/item&gt;&lt;item&gt;6&lt;/item&gt;&lt;item&gt;7&lt;/item&gt;&lt;item&gt;10&lt;/item&gt;&lt;item&gt;13&lt;/item&gt;&lt;item&gt;16&lt;/item&gt;&lt;item&gt;17&lt;/item&gt;&lt;item&gt;18&lt;/item&gt;&lt;item&gt;19&lt;/item&gt;&lt;item&gt;20&lt;/item&gt;&lt;item&gt;21&lt;/item&gt;&lt;item&gt;22&lt;/item&gt;&lt;item&gt;23&lt;/item&gt;&lt;item&gt;24&lt;/item&gt;&lt;item&gt;25&lt;/item&gt;&lt;item&gt;36&lt;/item&gt;&lt;item&gt;40&lt;/item&gt;&lt;item&gt;46&lt;/item&gt;&lt;item&gt;67&lt;/item&gt;&lt;item&gt;68&lt;/item&gt;&lt;item&gt;69&lt;/item&gt;&lt;item&gt;70&lt;/item&gt;&lt;item&gt;71&lt;/item&gt;&lt;item&gt;72&lt;/item&gt;&lt;item&gt;74&lt;/item&gt;&lt;item&gt;75&lt;/item&gt;&lt;item&gt;76&lt;/item&gt;&lt;item&gt;77&lt;/item&gt;&lt;item&gt;78&lt;/item&gt;&lt;item&gt;79&lt;/item&gt;&lt;item&gt;80&lt;/item&gt;&lt;item&gt;81&lt;/item&gt;&lt;item&gt;82&lt;/item&gt;&lt;item&gt;83&lt;/item&gt;&lt;item&gt;84&lt;/item&gt;&lt;item&gt;85&lt;/item&gt;&lt;item&gt;86&lt;/item&gt;&lt;item&gt;87&lt;/item&gt;&lt;item&gt;88&lt;/item&gt;&lt;item&gt;89&lt;/item&gt;&lt;item&gt;90&lt;/item&gt;&lt;item&gt;91&lt;/item&gt;&lt;item&gt;92&lt;/item&gt;&lt;item&gt;93&lt;/item&gt;&lt;item&gt;94&lt;/item&gt;&lt;item&gt;95&lt;/item&gt;&lt;item&gt;96&lt;/item&gt;&lt;item&gt;97&lt;/item&gt;&lt;/record-ids&gt;&lt;/item&gt;&lt;/Libraries&gt;"/>
  </w:docVars>
  <w:rsids>
    <w:rsidRoot w:val="00E25FD3"/>
    <w:rsid w:val="00000741"/>
    <w:rsid w:val="00002DA3"/>
    <w:rsid w:val="000035B1"/>
    <w:rsid w:val="0000473D"/>
    <w:rsid w:val="00004A4A"/>
    <w:rsid w:val="00007E8C"/>
    <w:rsid w:val="000103A9"/>
    <w:rsid w:val="0001436E"/>
    <w:rsid w:val="000150B5"/>
    <w:rsid w:val="00015CB7"/>
    <w:rsid w:val="00016F79"/>
    <w:rsid w:val="00016FC2"/>
    <w:rsid w:val="00017211"/>
    <w:rsid w:val="00020E3F"/>
    <w:rsid w:val="000254FB"/>
    <w:rsid w:val="0002574B"/>
    <w:rsid w:val="000262FC"/>
    <w:rsid w:val="00026451"/>
    <w:rsid w:val="0003109D"/>
    <w:rsid w:val="00031533"/>
    <w:rsid w:val="00031D54"/>
    <w:rsid w:val="00032D42"/>
    <w:rsid w:val="000341C3"/>
    <w:rsid w:val="00034969"/>
    <w:rsid w:val="00035A95"/>
    <w:rsid w:val="00036CD8"/>
    <w:rsid w:val="0004035D"/>
    <w:rsid w:val="00040EE4"/>
    <w:rsid w:val="00042498"/>
    <w:rsid w:val="00042A44"/>
    <w:rsid w:val="000433C6"/>
    <w:rsid w:val="000447F2"/>
    <w:rsid w:val="00045142"/>
    <w:rsid w:val="00053356"/>
    <w:rsid w:val="00053456"/>
    <w:rsid w:val="00053981"/>
    <w:rsid w:val="0005471F"/>
    <w:rsid w:val="00054A5C"/>
    <w:rsid w:val="0005669B"/>
    <w:rsid w:val="0006416E"/>
    <w:rsid w:val="0006553A"/>
    <w:rsid w:val="00065A22"/>
    <w:rsid w:val="000711C7"/>
    <w:rsid w:val="00071644"/>
    <w:rsid w:val="00071EBF"/>
    <w:rsid w:val="00071F7B"/>
    <w:rsid w:val="00073550"/>
    <w:rsid w:val="00074309"/>
    <w:rsid w:val="000743B3"/>
    <w:rsid w:val="00076874"/>
    <w:rsid w:val="000776BF"/>
    <w:rsid w:val="00077BCD"/>
    <w:rsid w:val="00081611"/>
    <w:rsid w:val="00082AFA"/>
    <w:rsid w:val="00083A75"/>
    <w:rsid w:val="00086329"/>
    <w:rsid w:val="00087480"/>
    <w:rsid w:val="00090B1E"/>
    <w:rsid w:val="00094899"/>
    <w:rsid w:val="00096199"/>
    <w:rsid w:val="00096DE7"/>
    <w:rsid w:val="000A319F"/>
    <w:rsid w:val="000A364F"/>
    <w:rsid w:val="000A38C0"/>
    <w:rsid w:val="000A55E9"/>
    <w:rsid w:val="000A748B"/>
    <w:rsid w:val="000B1585"/>
    <w:rsid w:val="000B2896"/>
    <w:rsid w:val="000B3E7A"/>
    <w:rsid w:val="000C08F5"/>
    <w:rsid w:val="000C2774"/>
    <w:rsid w:val="000C3C53"/>
    <w:rsid w:val="000C568F"/>
    <w:rsid w:val="000C72A8"/>
    <w:rsid w:val="000D04E2"/>
    <w:rsid w:val="000D0D51"/>
    <w:rsid w:val="000D3A5D"/>
    <w:rsid w:val="000E125F"/>
    <w:rsid w:val="000E1304"/>
    <w:rsid w:val="000E1F0B"/>
    <w:rsid w:val="000E2742"/>
    <w:rsid w:val="000E63B7"/>
    <w:rsid w:val="000F24CD"/>
    <w:rsid w:val="000F6CEC"/>
    <w:rsid w:val="00100580"/>
    <w:rsid w:val="0010145E"/>
    <w:rsid w:val="001024AC"/>
    <w:rsid w:val="00104257"/>
    <w:rsid w:val="00104A7E"/>
    <w:rsid w:val="00106644"/>
    <w:rsid w:val="0010708C"/>
    <w:rsid w:val="001072A2"/>
    <w:rsid w:val="00110E9F"/>
    <w:rsid w:val="001112E8"/>
    <w:rsid w:val="00111D36"/>
    <w:rsid w:val="00113444"/>
    <w:rsid w:val="00114FFC"/>
    <w:rsid w:val="00115C12"/>
    <w:rsid w:val="00116057"/>
    <w:rsid w:val="00117E8F"/>
    <w:rsid w:val="00120322"/>
    <w:rsid w:val="00120B95"/>
    <w:rsid w:val="00122547"/>
    <w:rsid w:val="0013002D"/>
    <w:rsid w:val="00132F0F"/>
    <w:rsid w:val="00135826"/>
    <w:rsid w:val="00136686"/>
    <w:rsid w:val="00136BE2"/>
    <w:rsid w:val="00136D2F"/>
    <w:rsid w:val="0013768E"/>
    <w:rsid w:val="00141DE5"/>
    <w:rsid w:val="001475C9"/>
    <w:rsid w:val="00151277"/>
    <w:rsid w:val="001512C9"/>
    <w:rsid w:val="001545BD"/>
    <w:rsid w:val="001551E0"/>
    <w:rsid w:val="001570D5"/>
    <w:rsid w:val="0015741C"/>
    <w:rsid w:val="00157899"/>
    <w:rsid w:val="00160AB4"/>
    <w:rsid w:val="00164404"/>
    <w:rsid w:val="001649A5"/>
    <w:rsid w:val="00164F5B"/>
    <w:rsid w:val="0016526C"/>
    <w:rsid w:val="00166F5B"/>
    <w:rsid w:val="00167770"/>
    <w:rsid w:val="00167C58"/>
    <w:rsid w:val="0017100A"/>
    <w:rsid w:val="00176761"/>
    <w:rsid w:val="001813A2"/>
    <w:rsid w:val="00182AB7"/>
    <w:rsid w:val="00183364"/>
    <w:rsid w:val="00183CD5"/>
    <w:rsid w:val="00185C26"/>
    <w:rsid w:val="001867C7"/>
    <w:rsid w:val="001868D0"/>
    <w:rsid w:val="0018798B"/>
    <w:rsid w:val="00190984"/>
    <w:rsid w:val="00192485"/>
    <w:rsid w:val="001926B2"/>
    <w:rsid w:val="00194B64"/>
    <w:rsid w:val="00196B17"/>
    <w:rsid w:val="001976B6"/>
    <w:rsid w:val="001A3267"/>
    <w:rsid w:val="001A36D5"/>
    <w:rsid w:val="001A69C3"/>
    <w:rsid w:val="001B4C3C"/>
    <w:rsid w:val="001B4ED8"/>
    <w:rsid w:val="001B5D1F"/>
    <w:rsid w:val="001B656C"/>
    <w:rsid w:val="001C1A24"/>
    <w:rsid w:val="001C3CF4"/>
    <w:rsid w:val="001C6169"/>
    <w:rsid w:val="001C7010"/>
    <w:rsid w:val="001D2545"/>
    <w:rsid w:val="001D3A56"/>
    <w:rsid w:val="001D5BD5"/>
    <w:rsid w:val="001D6D21"/>
    <w:rsid w:val="001D6D2B"/>
    <w:rsid w:val="001E3615"/>
    <w:rsid w:val="001E3AF5"/>
    <w:rsid w:val="001E5968"/>
    <w:rsid w:val="001E5D2A"/>
    <w:rsid w:val="001F17A8"/>
    <w:rsid w:val="001F18FA"/>
    <w:rsid w:val="001F30AB"/>
    <w:rsid w:val="001F3912"/>
    <w:rsid w:val="001F5276"/>
    <w:rsid w:val="001F5389"/>
    <w:rsid w:val="00201ADC"/>
    <w:rsid w:val="00202EC3"/>
    <w:rsid w:val="0020541A"/>
    <w:rsid w:val="0020786D"/>
    <w:rsid w:val="00211A67"/>
    <w:rsid w:val="00213052"/>
    <w:rsid w:val="002155BE"/>
    <w:rsid w:val="00215D6F"/>
    <w:rsid w:val="002169A7"/>
    <w:rsid w:val="0022108C"/>
    <w:rsid w:val="0022197F"/>
    <w:rsid w:val="00221C50"/>
    <w:rsid w:val="00221DC8"/>
    <w:rsid w:val="00222683"/>
    <w:rsid w:val="0022364D"/>
    <w:rsid w:val="0022597E"/>
    <w:rsid w:val="00225F9D"/>
    <w:rsid w:val="0022795F"/>
    <w:rsid w:val="00227DB0"/>
    <w:rsid w:val="00227E27"/>
    <w:rsid w:val="0023407E"/>
    <w:rsid w:val="00234783"/>
    <w:rsid w:val="00241C93"/>
    <w:rsid w:val="00250F95"/>
    <w:rsid w:val="0025213A"/>
    <w:rsid w:val="002521B0"/>
    <w:rsid w:val="00252901"/>
    <w:rsid w:val="00253CE8"/>
    <w:rsid w:val="002552E8"/>
    <w:rsid w:val="002553DF"/>
    <w:rsid w:val="00256897"/>
    <w:rsid w:val="00260344"/>
    <w:rsid w:val="00262554"/>
    <w:rsid w:val="0026301F"/>
    <w:rsid w:val="00263032"/>
    <w:rsid w:val="002631DF"/>
    <w:rsid w:val="00266853"/>
    <w:rsid w:val="00271F41"/>
    <w:rsid w:val="00271FE5"/>
    <w:rsid w:val="002723D1"/>
    <w:rsid w:val="002745B9"/>
    <w:rsid w:val="00277060"/>
    <w:rsid w:val="00277423"/>
    <w:rsid w:val="002774D5"/>
    <w:rsid w:val="00277898"/>
    <w:rsid w:val="00281517"/>
    <w:rsid w:val="0028377D"/>
    <w:rsid w:val="00284E13"/>
    <w:rsid w:val="00285085"/>
    <w:rsid w:val="00287A67"/>
    <w:rsid w:val="00290DAD"/>
    <w:rsid w:val="00290DED"/>
    <w:rsid w:val="0029140C"/>
    <w:rsid w:val="002925B5"/>
    <w:rsid w:val="00292E61"/>
    <w:rsid w:val="00294E8B"/>
    <w:rsid w:val="002951D6"/>
    <w:rsid w:val="002963D8"/>
    <w:rsid w:val="002966E0"/>
    <w:rsid w:val="002967BB"/>
    <w:rsid w:val="002A03AD"/>
    <w:rsid w:val="002A2D5D"/>
    <w:rsid w:val="002A7AEF"/>
    <w:rsid w:val="002A7F45"/>
    <w:rsid w:val="002B082F"/>
    <w:rsid w:val="002B0D15"/>
    <w:rsid w:val="002B2A2A"/>
    <w:rsid w:val="002B413B"/>
    <w:rsid w:val="002B4944"/>
    <w:rsid w:val="002B6B1D"/>
    <w:rsid w:val="002B6D50"/>
    <w:rsid w:val="002C0AA9"/>
    <w:rsid w:val="002C27B7"/>
    <w:rsid w:val="002C2D68"/>
    <w:rsid w:val="002C311A"/>
    <w:rsid w:val="002C3D02"/>
    <w:rsid w:val="002C3DE9"/>
    <w:rsid w:val="002C3FEB"/>
    <w:rsid w:val="002C5DD9"/>
    <w:rsid w:val="002C79DF"/>
    <w:rsid w:val="002D4844"/>
    <w:rsid w:val="002D7B82"/>
    <w:rsid w:val="002E0A07"/>
    <w:rsid w:val="002E3C68"/>
    <w:rsid w:val="002E3EE5"/>
    <w:rsid w:val="002E628B"/>
    <w:rsid w:val="002F29A7"/>
    <w:rsid w:val="002F2EE0"/>
    <w:rsid w:val="002F3358"/>
    <w:rsid w:val="002F391A"/>
    <w:rsid w:val="002F5A17"/>
    <w:rsid w:val="002F7EFF"/>
    <w:rsid w:val="00301450"/>
    <w:rsid w:val="00301B69"/>
    <w:rsid w:val="00301C01"/>
    <w:rsid w:val="00301C5B"/>
    <w:rsid w:val="0030282F"/>
    <w:rsid w:val="00305EC3"/>
    <w:rsid w:val="00307F08"/>
    <w:rsid w:val="00313E7E"/>
    <w:rsid w:val="00314A21"/>
    <w:rsid w:val="003154B5"/>
    <w:rsid w:val="00315AD9"/>
    <w:rsid w:val="003168F3"/>
    <w:rsid w:val="00316E70"/>
    <w:rsid w:val="003175A5"/>
    <w:rsid w:val="003200D3"/>
    <w:rsid w:val="003204B9"/>
    <w:rsid w:val="00322645"/>
    <w:rsid w:val="00323454"/>
    <w:rsid w:val="0032529E"/>
    <w:rsid w:val="0032763C"/>
    <w:rsid w:val="0033479F"/>
    <w:rsid w:val="003352AC"/>
    <w:rsid w:val="00335C6F"/>
    <w:rsid w:val="0033790A"/>
    <w:rsid w:val="00337F33"/>
    <w:rsid w:val="00342428"/>
    <w:rsid w:val="003440DC"/>
    <w:rsid w:val="003464E0"/>
    <w:rsid w:val="003473FE"/>
    <w:rsid w:val="0035258B"/>
    <w:rsid w:val="0035280E"/>
    <w:rsid w:val="00354C9B"/>
    <w:rsid w:val="00355AA6"/>
    <w:rsid w:val="00355AF8"/>
    <w:rsid w:val="00356752"/>
    <w:rsid w:val="00360248"/>
    <w:rsid w:val="0036226F"/>
    <w:rsid w:val="00364F22"/>
    <w:rsid w:val="00366333"/>
    <w:rsid w:val="00366C58"/>
    <w:rsid w:val="00366F5E"/>
    <w:rsid w:val="00370363"/>
    <w:rsid w:val="0037228A"/>
    <w:rsid w:val="0037397B"/>
    <w:rsid w:val="003770A2"/>
    <w:rsid w:val="003826E8"/>
    <w:rsid w:val="0038454A"/>
    <w:rsid w:val="003902D6"/>
    <w:rsid w:val="00396C75"/>
    <w:rsid w:val="00397436"/>
    <w:rsid w:val="003A07B8"/>
    <w:rsid w:val="003A2203"/>
    <w:rsid w:val="003A2580"/>
    <w:rsid w:val="003A7AF8"/>
    <w:rsid w:val="003B049E"/>
    <w:rsid w:val="003B051B"/>
    <w:rsid w:val="003B3E32"/>
    <w:rsid w:val="003B64C5"/>
    <w:rsid w:val="003B6AC3"/>
    <w:rsid w:val="003C1F92"/>
    <w:rsid w:val="003C3579"/>
    <w:rsid w:val="003C40A3"/>
    <w:rsid w:val="003C432D"/>
    <w:rsid w:val="003C464B"/>
    <w:rsid w:val="003C54C8"/>
    <w:rsid w:val="003C5981"/>
    <w:rsid w:val="003C5998"/>
    <w:rsid w:val="003D0549"/>
    <w:rsid w:val="003D0F6F"/>
    <w:rsid w:val="003D1905"/>
    <w:rsid w:val="003D1F5D"/>
    <w:rsid w:val="003D2BB7"/>
    <w:rsid w:val="003D2E29"/>
    <w:rsid w:val="003D63F5"/>
    <w:rsid w:val="003D6E45"/>
    <w:rsid w:val="003D6F25"/>
    <w:rsid w:val="003E179B"/>
    <w:rsid w:val="003E1936"/>
    <w:rsid w:val="003E25BC"/>
    <w:rsid w:val="003E466D"/>
    <w:rsid w:val="003E5C25"/>
    <w:rsid w:val="003F0DFA"/>
    <w:rsid w:val="003F26C4"/>
    <w:rsid w:val="003F3A58"/>
    <w:rsid w:val="003F3DFD"/>
    <w:rsid w:val="003F45A2"/>
    <w:rsid w:val="003F7470"/>
    <w:rsid w:val="00401452"/>
    <w:rsid w:val="00401966"/>
    <w:rsid w:val="00402FC0"/>
    <w:rsid w:val="0040336C"/>
    <w:rsid w:val="00403726"/>
    <w:rsid w:val="004106E3"/>
    <w:rsid w:val="00414774"/>
    <w:rsid w:val="00416C06"/>
    <w:rsid w:val="004174CF"/>
    <w:rsid w:val="004179D4"/>
    <w:rsid w:val="00421314"/>
    <w:rsid w:val="00424490"/>
    <w:rsid w:val="00426302"/>
    <w:rsid w:val="0042631B"/>
    <w:rsid w:val="00426695"/>
    <w:rsid w:val="00426AA7"/>
    <w:rsid w:val="004274B8"/>
    <w:rsid w:val="004323DE"/>
    <w:rsid w:val="00432807"/>
    <w:rsid w:val="00432A34"/>
    <w:rsid w:val="00433E9C"/>
    <w:rsid w:val="00440994"/>
    <w:rsid w:val="00440F7A"/>
    <w:rsid w:val="00440F9C"/>
    <w:rsid w:val="00442C48"/>
    <w:rsid w:val="00442E40"/>
    <w:rsid w:val="00443149"/>
    <w:rsid w:val="004434EC"/>
    <w:rsid w:val="00445AA0"/>
    <w:rsid w:val="00445DC1"/>
    <w:rsid w:val="00446F9C"/>
    <w:rsid w:val="004473EB"/>
    <w:rsid w:val="00447BF0"/>
    <w:rsid w:val="00450F08"/>
    <w:rsid w:val="00456B98"/>
    <w:rsid w:val="00456BE4"/>
    <w:rsid w:val="00457039"/>
    <w:rsid w:val="00461E42"/>
    <w:rsid w:val="00462E72"/>
    <w:rsid w:val="004640E4"/>
    <w:rsid w:val="004640F7"/>
    <w:rsid w:val="0046411D"/>
    <w:rsid w:val="0046461C"/>
    <w:rsid w:val="00465EDC"/>
    <w:rsid w:val="00466C85"/>
    <w:rsid w:val="004670B5"/>
    <w:rsid w:val="00470342"/>
    <w:rsid w:val="00472AC6"/>
    <w:rsid w:val="0047370B"/>
    <w:rsid w:val="00473CA8"/>
    <w:rsid w:val="00475534"/>
    <w:rsid w:val="00475685"/>
    <w:rsid w:val="004764CD"/>
    <w:rsid w:val="00476739"/>
    <w:rsid w:val="00481066"/>
    <w:rsid w:val="00482E2A"/>
    <w:rsid w:val="00490B92"/>
    <w:rsid w:val="004926BA"/>
    <w:rsid w:val="00494F74"/>
    <w:rsid w:val="00495182"/>
    <w:rsid w:val="00495F10"/>
    <w:rsid w:val="00497933"/>
    <w:rsid w:val="004A1338"/>
    <w:rsid w:val="004A26F0"/>
    <w:rsid w:val="004A454A"/>
    <w:rsid w:val="004A5234"/>
    <w:rsid w:val="004B0B57"/>
    <w:rsid w:val="004B18C7"/>
    <w:rsid w:val="004B2464"/>
    <w:rsid w:val="004B3974"/>
    <w:rsid w:val="004B5BEC"/>
    <w:rsid w:val="004B6378"/>
    <w:rsid w:val="004C2FB3"/>
    <w:rsid w:val="004C3AE1"/>
    <w:rsid w:val="004C4E72"/>
    <w:rsid w:val="004C5359"/>
    <w:rsid w:val="004C5E6F"/>
    <w:rsid w:val="004C6BE4"/>
    <w:rsid w:val="004D0039"/>
    <w:rsid w:val="004D21C5"/>
    <w:rsid w:val="004D24FA"/>
    <w:rsid w:val="004D5B4F"/>
    <w:rsid w:val="004D7B5F"/>
    <w:rsid w:val="004D7FA2"/>
    <w:rsid w:val="004E094E"/>
    <w:rsid w:val="004E0BBB"/>
    <w:rsid w:val="004E3A41"/>
    <w:rsid w:val="004E3BD6"/>
    <w:rsid w:val="004E492D"/>
    <w:rsid w:val="004E4B4D"/>
    <w:rsid w:val="004E65B2"/>
    <w:rsid w:val="004F06C2"/>
    <w:rsid w:val="004F0BF8"/>
    <w:rsid w:val="004F435E"/>
    <w:rsid w:val="004F52DB"/>
    <w:rsid w:val="004F5864"/>
    <w:rsid w:val="004F5BB2"/>
    <w:rsid w:val="004F692F"/>
    <w:rsid w:val="004F6A2C"/>
    <w:rsid w:val="00503AD8"/>
    <w:rsid w:val="00504792"/>
    <w:rsid w:val="00504CE1"/>
    <w:rsid w:val="0051095C"/>
    <w:rsid w:val="00510DD7"/>
    <w:rsid w:val="00511549"/>
    <w:rsid w:val="005136FC"/>
    <w:rsid w:val="00515CF2"/>
    <w:rsid w:val="00516BBA"/>
    <w:rsid w:val="00517C6D"/>
    <w:rsid w:val="00517DF6"/>
    <w:rsid w:val="00520A55"/>
    <w:rsid w:val="00520E9F"/>
    <w:rsid w:val="00521259"/>
    <w:rsid w:val="0052224A"/>
    <w:rsid w:val="00523E87"/>
    <w:rsid w:val="00524894"/>
    <w:rsid w:val="00525304"/>
    <w:rsid w:val="005255B8"/>
    <w:rsid w:val="00525A2A"/>
    <w:rsid w:val="005312BD"/>
    <w:rsid w:val="00531607"/>
    <w:rsid w:val="00532DCF"/>
    <w:rsid w:val="005336BE"/>
    <w:rsid w:val="00533C31"/>
    <w:rsid w:val="00534A58"/>
    <w:rsid w:val="005353E9"/>
    <w:rsid w:val="00536808"/>
    <w:rsid w:val="00537EC4"/>
    <w:rsid w:val="00540D79"/>
    <w:rsid w:val="00541D25"/>
    <w:rsid w:val="005453C1"/>
    <w:rsid w:val="00546305"/>
    <w:rsid w:val="0054697C"/>
    <w:rsid w:val="00550120"/>
    <w:rsid w:val="00550C4D"/>
    <w:rsid w:val="00550F62"/>
    <w:rsid w:val="00551791"/>
    <w:rsid w:val="005526C0"/>
    <w:rsid w:val="00555A07"/>
    <w:rsid w:val="005564DD"/>
    <w:rsid w:val="00556D30"/>
    <w:rsid w:val="005577C1"/>
    <w:rsid w:val="005647F7"/>
    <w:rsid w:val="00564E50"/>
    <w:rsid w:val="00565A5A"/>
    <w:rsid w:val="0056726D"/>
    <w:rsid w:val="00567B25"/>
    <w:rsid w:val="005728D1"/>
    <w:rsid w:val="00573253"/>
    <w:rsid w:val="00573A3A"/>
    <w:rsid w:val="0057568E"/>
    <w:rsid w:val="0057569A"/>
    <w:rsid w:val="00584403"/>
    <w:rsid w:val="005863C7"/>
    <w:rsid w:val="00587C8A"/>
    <w:rsid w:val="00590195"/>
    <w:rsid w:val="005907AF"/>
    <w:rsid w:val="00590C4F"/>
    <w:rsid w:val="00591DE2"/>
    <w:rsid w:val="00592840"/>
    <w:rsid w:val="00593D5D"/>
    <w:rsid w:val="00595047"/>
    <w:rsid w:val="005955D9"/>
    <w:rsid w:val="00595E3D"/>
    <w:rsid w:val="005A00F4"/>
    <w:rsid w:val="005A079E"/>
    <w:rsid w:val="005A1BD4"/>
    <w:rsid w:val="005A39A1"/>
    <w:rsid w:val="005A3E15"/>
    <w:rsid w:val="005A45B3"/>
    <w:rsid w:val="005A6752"/>
    <w:rsid w:val="005A6ACB"/>
    <w:rsid w:val="005A7529"/>
    <w:rsid w:val="005A7727"/>
    <w:rsid w:val="005B0984"/>
    <w:rsid w:val="005B2365"/>
    <w:rsid w:val="005B2AD0"/>
    <w:rsid w:val="005B55C3"/>
    <w:rsid w:val="005B6940"/>
    <w:rsid w:val="005C0D27"/>
    <w:rsid w:val="005C1F8D"/>
    <w:rsid w:val="005C4913"/>
    <w:rsid w:val="005C7777"/>
    <w:rsid w:val="005D2BC3"/>
    <w:rsid w:val="005D3609"/>
    <w:rsid w:val="005D3DCF"/>
    <w:rsid w:val="005D5E12"/>
    <w:rsid w:val="005D739A"/>
    <w:rsid w:val="005E07AD"/>
    <w:rsid w:val="005E13EE"/>
    <w:rsid w:val="005E1D63"/>
    <w:rsid w:val="005E26B9"/>
    <w:rsid w:val="005E2769"/>
    <w:rsid w:val="005E60BB"/>
    <w:rsid w:val="005E6AA0"/>
    <w:rsid w:val="005F0220"/>
    <w:rsid w:val="005F0C64"/>
    <w:rsid w:val="005F0EB6"/>
    <w:rsid w:val="005F25C5"/>
    <w:rsid w:val="005F4E28"/>
    <w:rsid w:val="005F5AEC"/>
    <w:rsid w:val="005F6D38"/>
    <w:rsid w:val="005F76D5"/>
    <w:rsid w:val="00604371"/>
    <w:rsid w:val="00605CAF"/>
    <w:rsid w:val="006109F8"/>
    <w:rsid w:val="00611F11"/>
    <w:rsid w:val="0061276C"/>
    <w:rsid w:val="0061302A"/>
    <w:rsid w:val="006131DB"/>
    <w:rsid w:val="00613679"/>
    <w:rsid w:val="00614057"/>
    <w:rsid w:val="006159FC"/>
    <w:rsid w:val="00616D2F"/>
    <w:rsid w:val="0062231B"/>
    <w:rsid w:val="00622880"/>
    <w:rsid w:val="006230E6"/>
    <w:rsid w:val="00623275"/>
    <w:rsid w:val="00630E9B"/>
    <w:rsid w:val="006313BF"/>
    <w:rsid w:val="00632A50"/>
    <w:rsid w:val="00632BC9"/>
    <w:rsid w:val="006333C5"/>
    <w:rsid w:val="006338E3"/>
    <w:rsid w:val="006339D9"/>
    <w:rsid w:val="00633DE5"/>
    <w:rsid w:val="00636C0C"/>
    <w:rsid w:val="00637CFE"/>
    <w:rsid w:val="00637DB0"/>
    <w:rsid w:val="00640744"/>
    <w:rsid w:val="00645343"/>
    <w:rsid w:val="006467D3"/>
    <w:rsid w:val="006512F9"/>
    <w:rsid w:val="006514C7"/>
    <w:rsid w:val="00651C30"/>
    <w:rsid w:val="00651CB6"/>
    <w:rsid w:val="006535B2"/>
    <w:rsid w:val="00654586"/>
    <w:rsid w:val="0065601A"/>
    <w:rsid w:val="006578BB"/>
    <w:rsid w:val="00657EEE"/>
    <w:rsid w:val="0066194D"/>
    <w:rsid w:val="00661F3C"/>
    <w:rsid w:val="00662461"/>
    <w:rsid w:val="00663DF4"/>
    <w:rsid w:val="006646FE"/>
    <w:rsid w:val="00664F04"/>
    <w:rsid w:val="006652EC"/>
    <w:rsid w:val="00665526"/>
    <w:rsid w:val="0066688B"/>
    <w:rsid w:val="00667528"/>
    <w:rsid w:val="0067116F"/>
    <w:rsid w:val="00671681"/>
    <w:rsid w:val="00671955"/>
    <w:rsid w:val="00672005"/>
    <w:rsid w:val="006724F6"/>
    <w:rsid w:val="00675715"/>
    <w:rsid w:val="00675ACE"/>
    <w:rsid w:val="00677270"/>
    <w:rsid w:val="00677489"/>
    <w:rsid w:val="006776E4"/>
    <w:rsid w:val="0068040A"/>
    <w:rsid w:val="006827ED"/>
    <w:rsid w:val="0068325F"/>
    <w:rsid w:val="00683688"/>
    <w:rsid w:val="006876CC"/>
    <w:rsid w:val="00690F08"/>
    <w:rsid w:val="00691109"/>
    <w:rsid w:val="00693345"/>
    <w:rsid w:val="006952AA"/>
    <w:rsid w:val="00696C23"/>
    <w:rsid w:val="00697079"/>
    <w:rsid w:val="006A12EE"/>
    <w:rsid w:val="006A2913"/>
    <w:rsid w:val="006A3582"/>
    <w:rsid w:val="006A4FB6"/>
    <w:rsid w:val="006A5B01"/>
    <w:rsid w:val="006B39BA"/>
    <w:rsid w:val="006B4954"/>
    <w:rsid w:val="006B5853"/>
    <w:rsid w:val="006B62F7"/>
    <w:rsid w:val="006C0340"/>
    <w:rsid w:val="006C14BF"/>
    <w:rsid w:val="006C1E6F"/>
    <w:rsid w:val="006C4588"/>
    <w:rsid w:val="006C4666"/>
    <w:rsid w:val="006C48CA"/>
    <w:rsid w:val="006C77C4"/>
    <w:rsid w:val="006D0BD4"/>
    <w:rsid w:val="006D0C7D"/>
    <w:rsid w:val="006D2F59"/>
    <w:rsid w:val="006D50B3"/>
    <w:rsid w:val="006D6189"/>
    <w:rsid w:val="006D78BD"/>
    <w:rsid w:val="006D7BA6"/>
    <w:rsid w:val="006E1737"/>
    <w:rsid w:val="006E24C8"/>
    <w:rsid w:val="006E56D4"/>
    <w:rsid w:val="006F1E93"/>
    <w:rsid w:val="006F25F8"/>
    <w:rsid w:val="006F3D2D"/>
    <w:rsid w:val="006F70CA"/>
    <w:rsid w:val="006F7B64"/>
    <w:rsid w:val="007002E9"/>
    <w:rsid w:val="00700765"/>
    <w:rsid w:val="00701FDE"/>
    <w:rsid w:val="00703303"/>
    <w:rsid w:val="007039D4"/>
    <w:rsid w:val="007059BB"/>
    <w:rsid w:val="00706628"/>
    <w:rsid w:val="007072EE"/>
    <w:rsid w:val="0070783C"/>
    <w:rsid w:val="007079EC"/>
    <w:rsid w:val="00710165"/>
    <w:rsid w:val="00710A44"/>
    <w:rsid w:val="00711ED5"/>
    <w:rsid w:val="007127AF"/>
    <w:rsid w:val="00712A63"/>
    <w:rsid w:val="007132B9"/>
    <w:rsid w:val="007136DE"/>
    <w:rsid w:val="00713C41"/>
    <w:rsid w:val="00713D27"/>
    <w:rsid w:val="00714490"/>
    <w:rsid w:val="00714A5D"/>
    <w:rsid w:val="00715D19"/>
    <w:rsid w:val="00722179"/>
    <w:rsid w:val="00722F5C"/>
    <w:rsid w:val="00724867"/>
    <w:rsid w:val="00725BC6"/>
    <w:rsid w:val="00726128"/>
    <w:rsid w:val="00726348"/>
    <w:rsid w:val="007277C3"/>
    <w:rsid w:val="00727B0D"/>
    <w:rsid w:val="0073213C"/>
    <w:rsid w:val="00732AAC"/>
    <w:rsid w:val="00732B1F"/>
    <w:rsid w:val="00734C51"/>
    <w:rsid w:val="00734FF2"/>
    <w:rsid w:val="007356CA"/>
    <w:rsid w:val="00740672"/>
    <w:rsid w:val="0074538B"/>
    <w:rsid w:val="007456D3"/>
    <w:rsid w:val="0074574D"/>
    <w:rsid w:val="00745896"/>
    <w:rsid w:val="007464B2"/>
    <w:rsid w:val="00747EE7"/>
    <w:rsid w:val="00753680"/>
    <w:rsid w:val="00756404"/>
    <w:rsid w:val="00757B6E"/>
    <w:rsid w:val="00760DD7"/>
    <w:rsid w:val="00761929"/>
    <w:rsid w:val="00762B80"/>
    <w:rsid w:val="00763205"/>
    <w:rsid w:val="00763F6E"/>
    <w:rsid w:val="00771AEA"/>
    <w:rsid w:val="00772FA8"/>
    <w:rsid w:val="00773310"/>
    <w:rsid w:val="007734B6"/>
    <w:rsid w:val="007744AC"/>
    <w:rsid w:val="0077460C"/>
    <w:rsid w:val="00783F9C"/>
    <w:rsid w:val="0078483F"/>
    <w:rsid w:val="007872F7"/>
    <w:rsid w:val="007924C5"/>
    <w:rsid w:val="007939C0"/>
    <w:rsid w:val="00794B0E"/>
    <w:rsid w:val="007959C9"/>
    <w:rsid w:val="007A035E"/>
    <w:rsid w:val="007A245C"/>
    <w:rsid w:val="007A2ACD"/>
    <w:rsid w:val="007A2D72"/>
    <w:rsid w:val="007A2EAD"/>
    <w:rsid w:val="007A3CEC"/>
    <w:rsid w:val="007B106D"/>
    <w:rsid w:val="007B3A2B"/>
    <w:rsid w:val="007B4E2A"/>
    <w:rsid w:val="007B5D84"/>
    <w:rsid w:val="007B69C8"/>
    <w:rsid w:val="007B6D56"/>
    <w:rsid w:val="007C314C"/>
    <w:rsid w:val="007C4434"/>
    <w:rsid w:val="007C5300"/>
    <w:rsid w:val="007D1E46"/>
    <w:rsid w:val="007D212A"/>
    <w:rsid w:val="007D4B4D"/>
    <w:rsid w:val="007D54E1"/>
    <w:rsid w:val="007D68F7"/>
    <w:rsid w:val="007D6D60"/>
    <w:rsid w:val="007E2282"/>
    <w:rsid w:val="007E4547"/>
    <w:rsid w:val="007E4917"/>
    <w:rsid w:val="007E6A89"/>
    <w:rsid w:val="007E77A5"/>
    <w:rsid w:val="007F17F8"/>
    <w:rsid w:val="007F43BB"/>
    <w:rsid w:val="007F4CD9"/>
    <w:rsid w:val="007F53F5"/>
    <w:rsid w:val="007F6EBC"/>
    <w:rsid w:val="00802E23"/>
    <w:rsid w:val="00807CCC"/>
    <w:rsid w:val="00812F61"/>
    <w:rsid w:val="00816059"/>
    <w:rsid w:val="008166A3"/>
    <w:rsid w:val="0081717F"/>
    <w:rsid w:val="00825DC8"/>
    <w:rsid w:val="00827DC9"/>
    <w:rsid w:val="00831554"/>
    <w:rsid w:val="00833560"/>
    <w:rsid w:val="00833633"/>
    <w:rsid w:val="00833975"/>
    <w:rsid w:val="00834B00"/>
    <w:rsid w:val="008360F0"/>
    <w:rsid w:val="0083629B"/>
    <w:rsid w:val="00841E4C"/>
    <w:rsid w:val="00841ED3"/>
    <w:rsid w:val="00843DBD"/>
    <w:rsid w:val="008454BF"/>
    <w:rsid w:val="008457AE"/>
    <w:rsid w:val="008460F6"/>
    <w:rsid w:val="00851DBF"/>
    <w:rsid w:val="0085799D"/>
    <w:rsid w:val="008632F7"/>
    <w:rsid w:val="00874286"/>
    <w:rsid w:val="008752F0"/>
    <w:rsid w:val="00880B70"/>
    <w:rsid w:val="00881007"/>
    <w:rsid w:val="00882211"/>
    <w:rsid w:val="0088297D"/>
    <w:rsid w:val="00885854"/>
    <w:rsid w:val="0089084F"/>
    <w:rsid w:val="0089419E"/>
    <w:rsid w:val="0089424F"/>
    <w:rsid w:val="008A04E1"/>
    <w:rsid w:val="008A0B01"/>
    <w:rsid w:val="008A0CE5"/>
    <w:rsid w:val="008A154E"/>
    <w:rsid w:val="008A407D"/>
    <w:rsid w:val="008A411A"/>
    <w:rsid w:val="008A4EFA"/>
    <w:rsid w:val="008A53B5"/>
    <w:rsid w:val="008A7735"/>
    <w:rsid w:val="008A798C"/>
    <w:rsid w:val="008B0536"/>
    <w:rsid w:val="008B0F65"/>
    <w:rsid w:val="008B24F4"/>
    <w:rsid w:val="008B52B4"/>
    <w:rsid w:val="008B5AD0"/>
    <w:rsid w:val="008B5EA0"/>
    <w:rsid w:val="008B6A33"/>
    <w:rsid w:val="008C03DE"/>
    <w:rsid w:val="008C0BAD"/>
    <w:rsid w:val="008C34DA"/>
    <w:rsid w:val="008C4481"/>
    <w:rsid w:val="008C499C"/>
    <w:rsid w:val="008C7B1F"/>
    <w:rsid w:val="008D014B"/>
    <w:rsid w:val="008D0B72"/>
    <w:rsid w:val="008D15C4"/>
    <w:rsid w:val="008D1CE2"/>
    <w:rsid w:val="008D25F5"/>
    <w:rsid w:val="008D35CE"/>
    <w:rsid w:val="008D3F7A"/>
    <w:rsid w:val="008D41D1"/>
    <w:rsid w:val="008D5452"/>
    <w:rsid w:val="008E02A7"/>
    <w:rsid w:val="008E0893"/>
    <w:rsid w:val="008E2E0B"/>
    <w:rsid w:val="008E4993"/>
    <w:rsid w:val="008E72FC"/>
    <w:rsid w:val="008F03F0"/>
    <w:rsid w:val="008F0486"/>
    <w:rsid w:val="008F3A53"/>
    <w:rsid w:val="008F450B"/>
    <w:rsid w:val="008F483A"/>
    <w:rsid w:val="008F4D6B"/>
    <w:rsid w:val="008F59B4"/>
    <w:rsid w:val="008F5A69"/>
    <w:rsid w:val="008F5B5A"/>
    <w:rsid w:val="008F6857"/>
    <w:rsid w:val="00901571"/>
    <w:rsid w:val="0090175A"/>
    <w:rsid w:val="00904D53"/>
    <w:rsid w:val="00911B18"/>
    <w:rsid w:val="00915DDE"/>
    <w:rsid w:val="009208A8"/>
    <w:rsid w:val="0092099A"/>
    <w:rsid w:val="00923EDD"/>
    <w:rsid w:val="00926293"/>
    <w:rsid w:val="00927901"/>
    <w:rsid w:val="00931EF0"/>
    <w:rsid w:val="009321C7"/>
    <w:rsid w:val="009327EA"/>
    <w:rsid w:val="00933CEC"/>
    <w:rsid w:val="00936915"/>
    <w:rsid w:val="00936F4D"/>
    <w:rsid w:val="009408F5"/>
    <w:rsid w:val="009446BC"/>
    <w:rsid w:val="00946645"/>
    <w:rsid w:val="009507FC"/>
    <w:rsid w:val="00952279"/>
    <w:rsid w:val="0095246C"/>
    <w:rsid w:val="00954238"/>
    <w:rsid w:val="009562E3"/>
    <w:rsid w:val="00956617"/>
    <w:rsid w:val="00957E6C"/>
    <w:rsid w:val="0096082B"/>
    <w:rsid w:val="00962E75"/>
    <w:rsid w:val="0097178D"/>
    <w:rsid w:val="009720EC"/>
    <w:rsid w:val="00974430"/>
    <w:rsid w:val="0097515D"/>
    <w:rsid w:val="00975E8B"/>
    <w:rsid w:val="009768AE"/>
    <w:rsid w:val="00977E32"/>
    <w:rsid w:val="0098220F"/>
    <w:rsid w:val="009837A6"/>
    <w:rsid w:val="00983CB4"/>
    <w:rsid w:val="0098412D"/>
    <w:rsid w:val="00984353"/>
    <w:rsid w:val="009844AD"/>
    <w:rsid w:val="009849FE"/>
    <w:rsid w:val="00985F97"/>
    <w:rsid w:val="009904AC"/>
    <w:rsid w:val="00990BED"/>
    <w:rsid w:val="009926BF"/>
    <w:rsid w:val="00994C95"/>
    <w:rsid w:val="00996739"/>
    <w:rsid w:val="009967C4"/>
    <w:rsid w:val="00996D17"/>
    <w:rsid w:val="009972B8"/>
    <w:rsid w:val="009972B9"/>
    <w:rsid w:val="0099747F"/>
    <w:rsid w:val="00997CF6"/>
    <w:rsid w:val="00997CFF"/>
    <w:rsid w:val="009A1473"/>
    <w:rsid w:val="009A15D6"/>
    <w:rsid w:val="009A2D22"/>
    <w:rsid w:val="009A4405"/>
    <w:rsid w:val="009A6FF8"/>
    <w:rsid w:val="009A7602"/>
    <w:rsid w:val="009B20C9"/>
    <w:rsid w:val="009B6352"/>
    <w:rsid w:val="009C03DE"/>
    <w:rsid w:val="009D00DE"/>
    <w:rsid w:val="009D085F"/>
    <w:rsid w:val="009D1CAA"/>
    <w:rsid w:val="009D374C"/>
    <w:rsid w:val="009D64EB"/>
    <w:rsid w:val="009D6CE3"/>
    <w:rsid w:val="009E2608"/>
    <w:rsid w:val="009E2D93"/>
    <w:rsid w:val="009E43DD"/>
    <w:rsid w:val="009E70A0"/>
    <w:rsid w:val="009F03D3"/>
    <w:rsid w:val="009F5E08"/>
    <w:rsid w:val="009F604F"/>
    <w:rsid w:val="009F680F"/>
    <w:rsid w:val="009F6C89"/>
    <w:rsid w:val="009F7468"/>
    <w:rsid w:val="009F7667"/>
    <w:rsid w:val="00A01243"/>
    <w:rsid w:val="00A02A29"/>
    <w:rsid w:val="00A02F5F"/>
    <w:rsid w:val="00A036C6"/>
    <w:rsid w:val="00A045B3"/>
    <w:rsid w:val="00A070B4"/>
    <w:rsid w:val="00A101B1"/>
    <w:rsid w:val="00A109FA"/>
    <w:rsid w:val="00A10C7B"/>
    <w:rsid w:val="00A117AE"/>
    <w:rsid w:val="00A11DC5"/>
    <w:rsid w:val="00A12A18"/>
    <w:rsid w:val="00A12F36"/>
    <w:rsid w:val="00A14145"/>
    <w:rsid w:val="00A14918"/>
    <w:rsid w:val="00A14C0A"/>
    <w:rsid w:val="00A200AD"/>
    <w:rsid w:val="00A20951"/>
    <w:rsid w:val="00A214A7"/>
    <w:rsid w:val="00A230DB"/>
    <w:rsid w:val="00A2507A"/>
    <w:rsid w:val="00A25256"/>
    <w:rsid w:val="00A30EDC"/>
    <w:rsid w:val="00A31C9C"/>
    <w:rsid w:val="00A35867"/>
    <w:rsid w:val="00A4034D"/>
    <w:rsid w:val="00A4248A"/>
    <w:rsid w:val="00A43D6F"/>
    <w:rsid w:val="00A52AF9"/>
    <w:rsid w:val="00A53CCF"/>
    <w:rsid w:val="00A54352"/>
    <w:rsid w:val="00A54B7B"/>
    <w:rsid w:val="00A56B1D"/>
    <w:rsid w:val="00A60606"/>
    <w:rsid w:val="00A617DE"/>
    <w:rsid w:val="00A658E2"/>
    <w:rsid w:val="00A67E9A"/>
    <w:rsid w:val="00A73890"/>
    <w:rsid w:val="00A7537E"/>
    <w:rsid w:val="00A77C92"/>
    <w:rsid w:val="00A80422"/>
    <w:rsid w:val="00A85C09"/>
    <w:rsid w:val="00A85F7E"/>
    <w:rsid w:val="00A911B2"/>
    <w:rsid w:val="00A92EDE"/>
    <w:rsid w:val="00A93DBB"/>
    <w:rsid w:val="00A95464"/>
    <w:rsid w:val="00A96FED"/>
    <w:rsid w:val="00AA068A"/>
    <w:rsid w:val="00AA188D"/>
    <w:rsid w:val="00AA41BA"/>
    <w:rsid w:val="00AA520C"/>
    <w:rsid w:val="00AA526B"/>
    <w:rsid w:val="00AA6BC4"/>
    <w:rsid w:val="00AA7D85"/>
    <w:rsid w:val="00AA7E80"/>
    <w:rsid w:val="00AB0A13"/>
    <w:rsid w:val="00AB0B5F"/>
    <w:rsid w:val="00AB2E57"/>
    <w:rsid w:val="00AB3406"/>
    <w:rsid w:val="00AB3B43"/>
    <w:rsid w:val="00AB4AC4"/>
    <w:rsid w:val="00AB596E"/>
    <w:rsid w:val="00AC06AC"/>
    <w:rsid w:val="00AC07C8"/>
    <w:rsid w:val="00AC0D45"/>
    <w:rsid w:val="00AC0FA4"/>
    <w:rsid w:val="00AC21F0"/>
    <w:rsid w:val="00AC424F"/>
    <w:rsid w:val="00AC618A"/>
    <w:rsid w:val="00AC641A"/>
    <w:rsid w:val="00AC6D83"/>
    <w:rsid w:val="00AD0ACD"/>
    <w:rsid w:val="00AD2DED"/>
    <w:rsid w:val="00AD3813"/>
    <w:rsid w:val="00AD45EA"/>
    <w:rsid w:val="00AD602B"/>
    <w:rsid w:val="00AD7198"/>
    <w:rsid w:val="00AD7537"/>
    <w:rsid w:val="00AD7A95"/>
    <w:rsid w:val="00AD7EB3"/>
    <w:rsid w:val="00AE5279"/>
    <w:rsid w:val="00AE7808"/>
    <w:rsid w:val="00AF1553"/>
    <w:rsid w:val="00AF24CF"/>
    <w:rsid w:val="00AF2993"/>
    <w:rsid w:val="00AF46B3"/>
    <w:rsid w:val="00B017BF"/>
    <w:rsid w:val="00B02027"/>
    <w:rsid w:val="00B02E4D"/>
    <w:rsid w:val="00B0480A"/>
    <w:rsid w:val="00B0636B"/>
    <w:rsid w:val="00B06ADB"/>
    <w:rsid w:val="00B07B46"/>
    <w:rsid w:val="00B1119A"/>
    <w:rsid w:val="00B116FF"/>
    <w:rsid w:val="00B11BAA"/>
    <w:rsid w:val="00B132B7"/>
    <w:rsid w:val="00B14498"/>
    <w:rsid w:val="00B1530C"/>
    <w:rsid w:val="00B20ECE"/>
    <w:rsid w:val="00B22263"/>
    <w:rsid w:val="00B23798"/>
    <w:rsid w:val="00B257B6"/>
    <w:rsid w:val="00B25AEB"/>
    <w:rsid w:val="00B27BD1"/>
    <w:rsid w:val="00B316B0"/>
    <w:rsid w:val="00B31BB1"/>
    <w:rsid w:val="00B3572D"/>
    <w:rsid w:val="00B36E8B"/>
    <w:rsid w:val="00B41C16"/>
    <w:rsid w:val="00B41CCE"/>
    <w:rsid w:val="00B434B9"/>
    <w:rsid w:val="00B458FE"/>
    <w:rsid w:val="00B45D28"/>
    <w:rsid w:val="00B472D2"/>
    <w:rsid w:val="00B521F1"/>
    <w:rsid w:val="00B52D5F"/>
    <w:rsid w:val="00B52EDC"/>
    <w:rsid w:val="00B5570C"/>
    <w:rsid w:val="00B55A2F"/>
    <w:rsid w:val="00B57CA8"/>
    <w:rsid w:val="00B6001F"/>
    <w:rsid w:val="00B619BD"/>
    <w:rsid w:val="00B62121"/>
    <w:rsid w:val="00B62999"/>
    <w:rsid w:val="00B6404C"/>
    <w:rsid w:val="00B65965"/>
    <w:rsid w:val="00B65BD2"/>
    <w:rsid w:val="00B66417"/>
    <w:rsid w:val="00B7033E"/>
    <w:rsid w:val="00B70C94"/>
    <w:rsid w:val="00B748BF"/>
    <w:rsid w:val="00B771EB"/>
    <w:rsid w:val="00B77B28"/>
    <w:rsid w:val="00B80149"/>
    <w:rsid w:val="00B809B1"/>
    <w:rsid w:val="00B80F4C"/>
    <w:rsid w:val="00B830F3"/>
    <w:rsid w:val="00B8375E"/>
    <w:rsid w:val="00B8575D"/>
    <w:rsid w:val="00B85C5B"/>
    <w:rsid w:val="00B85DC7"/>
    <w:rsid w:val="00B87C02"/>
    <w:rsid w:val="00B94680"/>
    <w:rsid w:val="00B959E0"/>
    <w:rsid w:val="00B96767"/>
    <w:rsid w:val="00B96D04"/>
    <w:rsid w:val="00BA07D5"/>
    <w:rsid w:val="00BA332B"/>
    <w:rsid w:val="00BA49ED"/>
    <w:rsid w:val="00BA5433"/>
    <w:rsid w:val="00BA58B9"/>
    <w:rsid w:val="00BA615E"/>
    <w:rsid w:val="00BB130C"/>
    <w:rsid w:val="00BB1CE4"/>
    <w:rsid w:val="00BB4497"/>
    <w:rsid w:val="00BB4577"/>
    <w:rsid w:val="00BB5C3F"/>
    <w:rsid w:val="00BB65C8"/>
    <w:rsid w:val="00BC0DB1"/>
    <w:rsid w:val="00BC23A7"/>
    <w:rsid w:val="00BC258B"/>
    <w:rsid w:val="00BC4F6F"/>
    <w:rsid w:val="00BC504A"/>
    <w:rsid w:val="00BC50CF"/>
    <w:rsid w:val="00BC52A7"/>
    <w:rsid w:val="00BC5B18"/>
    <w:rsid w:val="00BC7A9D"/>
    <w:rsid w:val="00BD0662"/>
    <w:rsid w:val="00BD168D"/>
    <w:rsid w:val="00BD17E3"/>
    <w:rsid w:val="00BD1B93"/>
    <w:rsid w:val="00BD261C"/>
    <w:rsid w:val="00BD3320"/>
    <w:rsid w:val="00BD3F95"/>
    <w:rsid w:val="00BD5915"/>
    <w:rsid w:val="00BE4437"/>
    <w:rsid w:val="00BF11C2"/>
    <w:rsid w:val="00BF33A1"/>
    <w:rsid w:val="00BF467F"/>
    <w:rsid w:val="00BF4A4A"/>
    <w:rsid w:val="00C01BCD"/>
    <w:rsid w:val="00C02568"/>
    <w:rsid w:val="00C0348F"/>
    <w:rsid w:val="00C036D2"/>
    <w:rsid w:val="00C03B21"/>
    <w:rsid w:val="00C05F39"/>
    <w:rsid w:val="00C06398"/>
    <w:rsid w:val="00C10E8A"/>
    <w:rsid w:val="00C11799"/>
    <w:rsid w:val="00C15AF9"/>
    <w:rsid w:val="00C1680F"/>
    <w:rsid w:val="00C17D85"/>
    <w:rsid w:val="00C205E7"/>
    <w:rsid w:val="00C23393"/>
    <w:rsid w:val="00C23F93"/>
    <w:rsid w:val="00C24938"/>
    <w:rsid w:val="00C30D78"/>
    <w:rsid w:val="00C31A73"/>
    <w:rsid w:val="00C32A17"/>
    <w:rsid w:val="00C32B6A"/>
    <w:rsid w:val="00C33D15"/>
    <w:rsid w:val="00C36A9D"/>
    <w:rsid w:val="00C36C0D"/>
    <w:rsid w:val="00C40153"/>
    <w:rsid w:val="00C436CC"/>
    <w:rsid w:val="00C448DB"/>
    <w:rsid w:val="00C449C6"/>
    <w:rsid w:val="00C45133"/>
    <w:rsid w:val="00C4703C"/>
    <w:rsid w:val="00C47CCD"/>
    <w:rsid w:val="00C501CC"/>
    <w:rsid w:val="00C51890"/>
    <w:rsid w:val="00C54480"/>
    <w:rsid w:val="00C55977"/>
    <w:rsid w:val="00C56D2B"/>
    <w:rsid w:val="00C62330"/>
    <w:rsid w:val="00C6250D"/>
    <w:rsid w:val="00C652DF"/>
    <w:rsid w:val="00C661F7"/>
    <w:rsid w:val="00C668A0"/>
    <w:rsid w:val="00C67778"/>
    <w:rsid w:val="00C71EE8"/>
    <w:rsid w:val="00C807A4"/>
    <w:rsid w:val="00C809CB"/>
    <w:rsid w:val="00C817D8"/>
    <w:rsid w:val="00C82427"/>
    <w:rsid w:val="00C83737"/>
    <w:rsid w:val="00C8391B"/>
    <w:rsid w:val="00C868DC"/>
    <w:rsid w:val="00C86937"/>
    <w:rsid w:val="00C916C6"/>
    <w:rsid w:val="00C967D0"/>
    <w:rsid w:val="00CA1DA6"/>
    <w:rsid w:val="00CA2792"/>
    <w:rsid w:val="00CA3A03"/>
    <w:rsid w:val="00CA40F7"/>
    <w:rsid w:val="00CA4778"/>
    <w:rsid w:val="00CA6092"/>
    <w:rsid w:val="00CA7688"/>
    <w:rsid w:val="00CB04F2"/>
    <w:rsid w:val="00CB329D"/>
    <w:rsid w:val="00CB4AFF"/>
    <w:rsid w:val="00CB6741"/>
    <w:rsid w:val="00CB7CD3"/>
    <w:rsid w:val="00CC0545"/>
    <w:rsid w:val="00CC13E3"/>
    <w:rsid w:val="00CC20C3"/>
    <w:rsid w:val="00CC215C"/>
    <w:rsid w:val="00CC48F7"/>
    <w:rsid w:val="00CC68E1"/>
    <w:rsid w:val="00CC79A7"/>
    <w:rsid w:val="00CD0D3B"/>
    <w:rsid w:val="00CD1AC5"/>
    <w:rsid w:val="00CD3C67"/>
    <w:rsid w:val="00CD3DC6"/>
    <w:rsid w:val="00CD6505"/>
    <w:rsid w:val="00CD7F5A"/>
    <w:rsid w:val="00CE15B5"/>
    <w:rsid w:val="00CE36B0"/>
    <w:rsid w:val="00CE397E"/>
    <w:rsid w:val="00CE5EA6"/>
    <w:rsid w:val="00CF018B"/>
    <w:rsid w:val="00CF02D9"/>
    <w:rsid w:val="00CF1145"/>
    <w:rsid w:val="00CF2167"/>
    <w:rsid w:val="00CF4870"/>
    <w:rsid w:val="00CF5EF8"/>
    <w:rsid w:val="00CF68DB"/>
    <w:rsid w:val="00CF6B8A"/>
    <w:rsid w:val="00CF7B49"/>
    <w:rsid w:val="00D008E1"/>
    <w:rsid w:val="00D04A00"/>
    <w:rsid w:val="00D07B38"/>
    <w:rsid w:val="00D07D2E"/>
    <w:rsid w:val="00D07E31"/>
    <w:rsid w:val="00D10CCB"/>
    <w:rsid w:val="00D15DE3"/>
    <w:rsid w:val="00D1680C"/>
    <w:rsid w:val="00D179C9"/>
    <w:rsid w:val="00D21D7B"/>
    <w:rsid w:val="00D22CB2"/>
    <w:rsid w:val="00D273AC"/>
    <w:rsid w:val="00D27410"/>
    <w:rsid w:val="00D30C27"/>
    <w:rsid w:val="00D31B7C"/>
    <w:rsid w:val="00D34727"/>
    <w:rsid w:val="00D34783"/>
    <w:rsid w:val="00D34D5D"/>
    <w:rsid w:val="00D358E2"/>
    <w:rsid w:val="00D3670C"/>
    <w:rsid w:val="00D3716D"/>
    <w:rsid w:val="00D37A91"/>
    <w:rsid w:val="00D37D37"/>
    <w:rsid w:val="00D434B6"/>
    <w:rsid w:val="00D4463A"/>
    <w:rsid w:val="00D4509C"/>
    <w:rsid w:val="00D46810"/>
    <w:rsid w:val="00D46E7C"/>
    <w:rsid w:val="00D47C3E"/>
    <w:rsid w:val="00D519C8"/>
    <w:rsid w:val="00D53900"/>
    <w:rsid w:val="00D53F36"/>
    <w:rsid w:val="00D54ACE"/>
    <w:rsid w:val="00D57E4A"/>
    <w:rsid w:val="00D60870"/>
    <w:rsid w:val="00D62BE2"/>
    <w:rsid w:val="00D63025"/>
    <w:rsid w:val="00D65515"/>
    <w:rsid w:val="00D66282"/>
    <w:rsid w:val="00D6633D"/>
    <w:rsid w:val="00D66348"/>
    <w:rsid w:val="00D71732"/>
    <w:rsid w:val="00D74A76"/>
    <w:rsid w:val="00D75D50"/>
    <w:rsid w:val="00D765BF"/>
    <w:rsid w:val="00D77ED8"/>
    <w:rsid w:val="00D811E6"/>
    <w:rsid w:val="00D85931"/>
    <w:rsid w:val="00D92078"/>
    <w:rsid w:val="00D9398D"/>
    <w:rsid w:val="00D97E22"/>
    <w:rsid w:val="00D97F7A"/>
    <w:rsid w:val="00DA1140"/>
    <w:rsid w:val="00DA1AE6"/>
    <w:rsid w:val="00DA242B"/>
    <w:rsid w:val="00DA2CE1"/>
    <w:rsid w:val="00DA3F2F"/>
    <w:rsid w:val="00DA49B1"/>
    <w:rsid w:val="00DA5C51"/>
    <w:rsid w:val="00DA6934"/>
    <w:rsid w:val="00DA73C8"/>
    <w:rsid w:val="00DB0E93"/>
    <w:rsid w:val="00DB13D9"/>
    <w:rsid w:val="00DB6E89"/>
    <w:rsid w:val="00DB7B8C"/>
    <w:rsid w:val="00DB7ECA"/>
    <w:rsid w:val="00DC0E15"/>
    <w:rsid w:val="00DC3536"/>
    <w:rsid w:val="00DC3EF4"/>
    <w:rsid w:val="00DD2687"/>
    <w:rsid w:val="00DD4AFB"/>
    <w:rsid w:val="00DD4D7D"/>
    <w:rsid w:val="00DD5D2D"/>
    <w:rsid w:val="00DD60E6"/>
    <w:rsid w:val="00DD7DE8"/>
    <w:rsid w:val="00DE1D5E"/>
    <w:rsid w:val="00DE21C8"/>
    <w:rsid w:val="00DE2306"/>
    <w:rsid w:val="00DE25C5"/>
    <w:rsid w:val="00DE3AC7"/>
    <w:rsid w:val="00DE3E0E"/>
    <w:rsid w:val="00DE516E"/>
    <w:rsid w:val="00DF0652"/>
    <w:rsid w:val="00DF0799"/>
    <w:rsid w:val="00DF2938"/>
    <w:rsid w:val="00DF32AB"/>
    <w:rsid w:val="00DF3EE5"/>
    <w:rsid w:val="00DF41CE"/>
    <w:rsid w:val="00DF464D"/>
    <w:rsid w:val="00DF4AC4"/>
    <w:rsid w:val="00DF5BA7"/>
    <w:rsid w:val="00DF6536"/>
    <w:rsid w:val="00E0240D"/>
    <w:rsid w:val="00E03EEF"/>
    <w:rsid w:val="00E1460D"/>
    <w:rsid w:val="00E15549"/>
    <w:rsid w:val="00E1687C"/>
    <w:rsid w:val="00E168C0"/>
    <w:rsid w:val="00E17819"/>
    <w:rsid w:val="00E20B17"/>
    <w:rsid w:val="00E21316"/>
    <w:rsid w:val="00E21CA7"/>
    <w:rsid w:val="00E22802"/>
    <w:rsid w:val="00E23AB6"/>
    <w:rsid w:val="00E25FD3"/>
    <w:rsid w:val="00E265B3"/>
    <w:rsid w:val="00E27462"/>
    <w:rsid w:val="00E30A75"/>
    <w:rsid w:val="00E32FEC"/>
    <w:rsid w:val="00E333A3"/>
    <w:rsid w:val="00E348AE"/>
    <w:rsid w:val="00E34B53"/>
    <w:rsid w:val="00E35C9E"/>
    <w:rsid w:val="00E414B8"/>
    <w:rsid w:val="00E4250E"/>
    <w:rsid w:val="00E50F0C"/>
    <w:rsid w:val="00E517DC"/>
    <w:rsid w:val="00E53086"/>
    <w:rsid w:val="00E560A2"/>
    <w:rsid w:val="00E60519"/>
    <w:rsid w:val="00E608A0"/>
    <w:rsid w:val="00E64AF7"/>
    <w:rsid w:val="00E66038"/>
    <w:rsid w:val="00E66281"/>
    <w:rsid w:val="00E72207"/>
    <w:rsid w:val="00E722FA"/>
    <w:rsid w:val="00E72C66"/>
    <w:rsid w:val="00E73355"/>
    <w:rsid w:val="00E74C2B"/>
    <w:rsid w:val="00E80557"/>
    <w:rsid w:val="00E80666"/>
    <w:rsid w:val="00E8197E"/>
    <w:rsid w:val="00E825CD"/>
    <w:rsid w:val="00E87099"/>
    <w:rsid w:val="00E92ED1"/>
    <w:rsid w:val="00E93841"/>
    <w:rsid w:val="00E94FAB"/>
    <w:rsid w:val="00E95120"/>
    <w:rsid w:val="00E962C5"/>
    <w:rsid w:val="00E96A6D"/>
    <w:rsid w:val="00EA11F4"/>
    <w:rsid w:val="00EA2724"/>
    <w:rsid w:val="00EA6A87"/>
    <w:rsid w:val="00EA73A2"/>
    <w:rsid w:val="00EB1140"/>
    <w:rsid w:val="00EB14FB"/>
    <w:rsid w:val="00EB1B4D"/>
    <w:rsid w:val="00EB2EED"/>
    <w:rsid w:val="00EB2FF6"/>
    <w:rsid w:val="00EB385F"/>
    <w:rsid w:val="00EC14B8"/>
    <w:rsid w:val="00EC265C"/>
    <w:rsid w:val="00EC26AF"/>
    <w:rsid w:val="00EC28D7"/>
    <w:rsid w:val="00EC40BA"/>
    <w:rsid w:val="00ED0A8D"/>
    <w:rsid w:val="00ED1415"/>
    <w:rsid w:val="00ED14D9"/>
    <w:rsid w:val="00ED292D"/>
    <w:rsid w:val="00ED324D"/>
    <w:rsid w:val="00ED38AF"/>
    <w:rsid w:val="00EE080C"/>
    <w:rsid w:val="00EE2AF0"/>
    <w:rsid w:val="00EE3032"/>
    <w:rsid w:val="00EE34E2"/>
    <w:rsid w:val="00EE3FBC"/>
    <w:rsid w:val="00EF07FD"/>
    <w:rsid w:val="00EF2BC4"/>
    <w:rsid w:val="00EF3E17"/>
    <w:rsid w:val="00EF4B9F"/>
    <w:rsid w:val="00EF4BCD"/>
    <w:rsid w:val="00F02C70"/>
    <w:rsid w:val="00F02EA1"/>
    <w:rsid w:val="00F03A11"/>
    <w:rsid w:val="00F04F28"/>
    <w:rsid w:val="00F05A2C"/>
    <w:rsid w:val="00F05A60"/>
    <w:rsid w:val="00F065E0"/>
    <w:rsid w:val="00F0670C"/>
    <w:rsid w:val="00F10554"/>
    <w:rsid w:val="00F11C23"/>
    <w:rsid w:val="00F12DFE"/>
    <w:rsid w:val="00F140CA"/>
    <w:rsid w:val="00F14CAD"/>
    <w:rsid w:val="00F15FB3"/>
    <w:rsid w:val="00F160FB"/>
    <w:rsid w:val="00F16E3E"/>
    <w:rsid w:val="00F2061D"/>
    <w:rsid w:val="00F209BC"/>
    <w:rsid w:val="00F22F4A"/>
    <w:rsid w:val="00F23332"/>
    <w:rsid w:val="00F23C7E"/>
    <w:rsid w:val="00F25BBE"/>
    <w:rsid w:val="00F26350"/>
    <w:rsid w:val="00F270D2"/>
    <w:rsid w:val="00F30216"/>
    <w:rsid w:val="00F339B9"/>
    <w:rsid w:val="00F35A17"/>
    <w:rsid w:val="00F35C41"/>
    <w:rsid w:val="00F36F30"/>
    <w:rsid w:val="00F37405"/>
    <w:rsid w:val="00F4065E"/>
    <w:rsid w:val="00F40B2B"/>
    <w:rsid w:val="00F41ACE"/>
    <w:rsid w:val="00F41D40"/>
    <w:rsid w:val="00F43881"/>
    <w:rsid w:val="00F439D6"/>
    <w:rsid w:val="00F46C9C"/>
    <w:rsid w:val="00F50353"/>
    <w:rsid w:val="00F50D9A"/>
    <w:rsid w:val="00F520D1"/>
    <w:rsid w:val="00F5345E"/>
    <w:rsid w:val="00F55AED"/>
    <w:rsid w:val="00F57B98"/>
    <w:rsid w:val="00F60A22"/>
    <w:rsid w:val="00F62C7A"/>
    <w:rsid w:val="00F66793"/>
    <w:rsid w:val="00F66B82"/>
    <w:rsid w:val="00F7158B"/>
    <w:rsid w:val="00F71C3C"/>
    <w:rsid w:val="00F751E8"/>
    <w:rsid w:val="00F75395"/>
    <w:rsid w:val="00F761EA"/>
    <w:rsid w:val="00F7621C"/>
    <w:rsid w:val="00F7688E"/>
    <w:rsid w:val="00F80A45"/>
    <w:rsid w:val="00F80BC4"/>
    <w:rsid w:val="00F81174"/>
    <w:rsid w:val="00F82851"/>
    <w:rsid w:val="00F90EC8"/>
    <w:rsid w:val="00F930D3"/>
    <w:rsid w:val="00F96186"/>
    <w:rsid w:val="00F968D9"/>
    <w:rsid w:val="00F97262"/>
    <w:rsid w:val="00F9763E"/>
    <w:rsid w:val="00FA367C"/>
    <w:rsid w:val="00FA4452"/>
    <w:rsid w:val="00FA640F"/>
    <w:rsid w:val="00FA7D72"/>
    <w:rsid w:val="00FB0E55"/>
    <w:rsid w:val="00FB178C"/>
    <w:rsid w:val="00FB1A88"/>
    <w:rsid w:val="00FB2F44"/>
    <w:rsid w:val="00FB3C1C"/>
    <w:rsid w:val="00FB4B3B"/>
    <w:rsid w:val="00FB664A"/>
    <w:rsid w:val="00FC2F0B"/>
    <w:rsid w:val="00FC43B0"/>
    <w:rsid w:val="00FC561B"/>
    <w:rsid w:val="00FC5FF6"/>
    <w:rsid w:val="00FC6105"/>
    <w:rsid w:val="00FC74C2"/>
    <w:rsid w:val="00FC77DF"/>
    <w:rsid w:val="00FC78F4"/>
    <w:rsid w:val="00FD27D6"/>
    <w:rsid w:val="00FD4568"/>
    <w:rsid w:val="00FD583A"/>
    <w:rsid w:val="00FD6276"/>
    <w:rsid w:val="00FD6A5C"/>
    <w:rsid w:val="00FD6AE2"/>
    <w:rsid w:val="00FD7D37"/>
    <w:rsid w:val="00FE0C53"/>
    <w:rsid w:val="00FE16E7"/>
    <w:rsid w:val="00FE1A80"/>
    <w:rsid w:val="00FE2315"/>
    <w:rsid w:val="00FE272C"/>
    <w:rsid w:val="00FE2E7D"/>
    <w:rsid w:val="00FE39CC"/>
    <w:rsid w:val="00FE39EB"/>
    <w:rsid w:val="00FE4D54"/>
    <w:rsid w:val="00FE6546"/>
    <w:rsid w:val="00FE69F0"/>
    <w:rsid w:val="00FF06FC"/>
    <w:rsid w:val="00FF2F04"/>
    <w:rsid w:val="00FF3935"/>
    <w:rsid w:val="00FF52BA"/>
    <w:rsid w:val="00FF53C7"/>
    <w:rsid w:val="00FF5538"/>
    <w:rsid w:val="00FF6012"/>
    <w:rsid w:val="00FF6EE7"/>
    <w:rsid w:val="00FF72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BA8BA"/>
  <w15:docId w15:val="{5ECECCB5-EE7F-41D0-98DC-B2C9474A4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F9C"/>
    <w:pPr>
      <w:spacing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pPr>
      <w:keepNext/>
      <w:keepLines/>
      <w:spacing w:before="400" w:after="120" w:line="276" w:lineRule="auto"/>
      <w:outlineLvl w:val="0"/>
    </w:pPr>
    <w:rPr>
      <w:rFonts w:ascii="Arial" w:eastAsia="Arial" w:hAnsi="Arial" w:cs="Arial"/>
      <w:sz w:val="40"/>
      <w:szCs w:val="40"/>
    </w:rPr>
  </w:style>
  <w:style w:type="paragraph" w:styleId="Heading2">
    <w:name w:val="heading 2"/>
    <w:basedOn w:val="Normal"/>
    <w:next w:val="Normal"/>
    <w:uiPriority w:val="9"/>
    <w:semiHidden/>
    <w:unhideWhenUsed/>
    <w:qFormat/>
    <w:pPr>
      <w:keepNext/>
      <w:keepLines/>
      <w:spacing w:before="360" w:after="120" w:line="276" w:lineRule="auto"/>
      <w:outlineLvl w:val="1"/>
    </w:pPr>
    <w:rPr>
      <w:rFonts w:ascii="Arial" w:eastAsia="Arial" w:hAnsi="Arial" w:cs="Arial"/>
      <w:sz w:val="32"/>
      <w:szCs w:val="32"/>
    </w:rPr>
  </w:style>
  <w:style w:type="paragraph" w:styleId="Heading3">
    <w:name w:val="heading 3"/>
    <w:basedOn w:val="Normal"/>
    <w:next w:val="Normal"/>
    <w:uiPriority w:val="9"/>
    <w:semiHidden/>
    <w:unhideWhenUsed/>
    <w:qFormat/>
    <w:pPr>
      <w:keepNext/>
      <w:keepLines/>
      <w:spacing w:before="320" w:after="80" w:line="276" w:lineRule="auto"/>
      <w:outlineLvl w:val="2"/>
    </w:pPr>
    <w:rPr>
      <w:rFonts w:ascii="Arial" w:eastAsia="Arial" w:hAnsi="Arial" w:cs="Arial"/>
      <w:color w:val="434343"/>
      <w:sz w:val="28"/>
      <w:szCs w:val="28"/>
    </w:rPr>
  </w:style>
  <w:style w:type="paragraph" w:styleId="Heading4">
    <w:name w:val="heading 4"/>
    <w:basedOn w:val="Normal"/>
    <w:next w:val="Normal"/>
    <w:uiPriority w:val="9"/>
    <w:semiHidden/>
    <w:unhideWhenUsed/>
    <w:qFormat/>
    <w:pPr>
      <w:keepNext/>
      <w:keepLines/>
      <w:spacing w:before="280" w:after="80" w:line="276" w:lineRule="auto"/>
      <w:outlineLvl w:val="3"/>
    </w:pPr>
    <w:rPr>
      <w:rFonts w:ascii="Arial" w:eastAsia="Arial" w:hAnsi="Arial" w:cs="Arial"/>
      <w:color w:val="666666"/>
    </w:rPr>
  </w:style>
  <w:style w:type="paragraph" w:styleId="Heading5">
    <w:name w:val="heading 5"/>
    <w:basedOn w:val="Normal"/>
    <w:next w:val="Normal"/>
    <w:uiPriority w:val="9"/>
    <w:semiHidden/>
    <w:unhideWhenUsed/>
    <w:qFormat/>
    <w:pPr>
      <w:keepNext/>
      <w:keepLines/>
      <w:spacing w:before="240" w:after="80" w:line="276" w:lineRule="auto"/>
      <w:outlineLvl w:val="4"/>
    </w:pPr>
    <w:rPr>
      <w:rFonts w:ascii="Arial" w:eastAsia="Arial" w:hAnsi="Arial" w:cs="Arial"/>
      <w:color w:val="666666"/>
      <w:sz w:val="22"/>
      <w:szCs w:val="22"/>
    </w:rPr>
  </w:style>
  <w:style w:type="paragraph" w:styleId="Heading6">
    <w:name w:val="heading 6"/>
    <w:basedOn w:val="Normal"/>
    <w:next w:val="Normal"/>
    <w:uiPriority w:val="9"/>
    <w:semiHidden/>
    <w:unhideWhenUsed/>
    <w:qFormat/>
    <w:pPr>
      <w:keepNext/>
      <w:keepLines/>
      <w:spacing w:before="240" w:after="80" w:line="276" w:lineRule="auto"/>
      <w:outlineLvl w:val="5"/>
    </w:pPr>
    <w:rPr>
      <w:rFonts w:ascii="Arial" w:eastAsia="Arial" w:hAnsi="Arial" w:cs="Arial"/>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line="276" w:lineRule="auto"/>
    </w:pPr>
    <w:rPr>
      <w:rFonts w:ascii="Arial" w:eastAsia="Arial" w:hAnsi="Arial" w:cs="Arial"/>
      <w:sz w:val="52"/>
      <w:szCs w:val="52"/>
    </w:rPr>
  </w:style>
  <w:style w:type="paragraph" w:styleId="Subtitle">
    <w:name w:val="Subtitle"/>
    <w:basedOn w:val="Normal"/>
    <w:next w:val="Normal"/>
    <w:uiPriority w:val="11"/>
    <w:qFormat/>
    <w:pPr>
      <w:keepNext/>
      <w:keepLines/>
      <w:spacing w:after="320" w:line="276" w:lineRule="auto"/>
    </w:pPr>
    <w:rPr>
      <w:rFonts w:ascii="Arial" w:eastAsia="Arial" w:hAnsi="Arial" w:cs="Arial"/>
      <w:color w:val="666666"/>
      <w:sz w:val="30"/>
      <w:szCs w:val="30"/>
    </w:rPr>
  </w:style>
  <w:style w:type="table" w:customStyle="1" w:styleId="9">
    <w:name w:val="9"/>
    <w:basedOn w:val="TableNormal"/>
    <w:tblPr>
      <w:tblStyleRowBandSize w:val="1"/>
      <w:tblStyleColBandSize w:val="1"/>
      <w:tblCellMar>
        <w:top w:w="100" w:type="dxa"/>
        <w:left w:w="100" w:type="dxa"/>
        <w:bottom w:w="100" w:type="dxa"/>
        <w:right w:w="100" w:type="dxa"/>
      </w:tblCellMar>
    </w:tblPr>
  </w:style>
  <w:style w:type="table" w:customStyle="1" w:styleId="8">
    <w:name w:val="8"/>
    <w:basedOn w:val="TableNormal"/>
    <w:tblPr>
      <w:tblStyleRowBandSize w:val="1"/>
      <w:tblStyleColBandSize w:val="1"/>
      <w:tblCellMar>
        <w:top w:w="100" w:type="dxa"/>
        <w:left w:w="100" w:type="dxa"/>
        <w:bottom w:w="100" w:type="dxa"/>
        <w:right w:w="100" w:type="dxa"/>
      </w:tblCellMar>
    </w:tblPr>
  </w:style>
  <w:style w:type="table" w:customStyle="1" w:styleId="7">
    <w:name w:val="7"/>
    <w:basedOn w:val="TableNormal"/>
    <w:tblPr>
      <w:tblStyleRowBandSize w:val="1"/>
      <w:tblStyleColBandSize w:val="1"/>
    </w:tblPr>
  </w:style>
  <w:style w:type="table" w:customStyle="1" w:styleId="6">
    <w:name w:val="6"/>
    <w:basedOn w:val="TableNormal"/>
    <w:tblPr>
      <w:tblStyleRowBandSize w:val="1"/>
      <w:tblStyleColBandSize w:val="1"/>
    </w:tblPr>
  </w:style>
  <w:style w:type="table" w:customStyle="1" w:styleId="5">
    <w:name w:val="5"/>
    <w:basedOn w:val="TableNormal"/>
    <w:tblPr>
      <w:tblStyleRowBandSize w:val="1"/>
      <w:tblStyleColBandSize w:val="1"/>
    </w:tblPr>
  </w:style>
  <w:style w:type="table" w:customStyle="1" w:styleId="4">
    <w:name w:val="4"/>
    <w:basedOn w:val="TableNormal"/>
    <w:tblPr>
      <w:tblStyleRowBandSize w:val="1"/>
      <w:tblStyleColBandSize w:val="1"/>
    </w:tblPr>
  </w:style>
  <w:style w:type="table" w:customStyle="1" w:styleId="3">
    <w:name w:val="3"/>
    <w:basedOn w:val="TableNormal"/>
    <w:tblPr>
      <w:tblStyleRowBandSize w:val="1"/>
      <w:tblStyleColBandSize w:val="1"/>
    </w:tblPr>
  </w:style>
  <w:style w:type="table" w:customStyle="1" w:styleId="2">
    <w:name w:val="2"/>
    <w:basedOn w:val="TableNormal"/>
    <w:tblPr>
      <w:tblStyleRowBandSize w:val="1"/>
      <w:tblStyleColBandSize w:val="1"/>
    </w:tblPr>
  </w:style>
  <w:style w:type="table" w:customStyle="1" w:styleId="1">
    <w:name w:val="1"/>
    <w:basedOn w:val="TableNormal"/>
    <w:tblPr>
      <w:tblStyleRowBandSize w:val="1"/>
      <w:tblStyleColBandSize w:val="1"/>
    </w:tblPr>
  </w:style>
  <w:style w:type="paragraph" w:styleId="CommentText">
    <w:name w:val="annotation text"/>
    <w:basedOn w:val="Normal"/>
    <w:link w:val="CommentTextChar"/>
    <w:uiPriority w:val="99"/>
    <w:semiHidden/>
    <w:unhideWhenUsed/>
    <w:rPr>
      <w:rFonts w:ascii="Arial" w:eastAsia="Arial" w:hAnsi="Arial" w:cs="Arial"/>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customStyle="1" w:styleId="EndNoteBibliographyTitle">
    <w:name w:val="EndNote Bibliography Title"/>
    <w:basedOn w:val="Normal"/>
    <w:link w:val="EndNoteBibliographyTitleChar"/>
    <w:rsid w:val="00974430"/>
    <w:pPr>
      <w:spacing w:line="276" w:lineRule="auto"/>
      <w:jc w:val="center"/>
    </w:pPr>
    <w:rPr>
      <w:rFonts w:ascii="Arial" w:eastAsia="Arial" w:hAnsi="Arial" w:cs="Arial"/>
      <w:sz w:val="22"/>
      <w:szCs w:val="22"/>
      <w:lang w:val="en-US"/>
    </w:rPr>
  </w:style>
  <w:style w:type="character" w:customStyle="1" w:styleId="EndNoteBibliographyTitleChar">
    <w:name w:val="EndNote Bibliography Title Char"/>
    <w:basedOn w:val="DefaultParagraphFont"/>
    <w:link w:val="EndNoteBibliographyTitle"/>
    <w:rsid w:val="00974430"/>
    <w:rPr>
      <w:lang w:val="en-US"/>
    </w:rPr>
  </w:style>
  <w:style w:type="paragraph" w:customStyle="1" w:styleId="EndNoteBibliography">
    <w:name w:val="EndNote Bibliography"/>
    <w:basedOn w:val="Normal"/>
    <w:link w:val="EndNoteBibliographyChar"/>
    <w:rsid w:val="00974430"/>
    <w:pPr>
      <w:jc w:val="both"/>
    </w:pPr>
    <w:rPr>
      <w:rFonts w:ascii="Arial" w:eastAsia="Arial" w:hAnsi="Arial" w:cs="Arial"/>
      <w:sz w:val="22"/>
      <w:szCs w:val="22"/>
      <w:lang w:val="en-US"/>
    </w:rPr>
  </w:style>
  <w:style w:type="character" w:customStyle="1" w:styleId="EndNoteBibliographyChar">
    <w:name w:val="EndNote Bibliography Char"/>
    <w:basedOn w:val="DefaultParagraphFont"/>
    <w:link w:val="EndNoteBibliography"/>
    <w:rsid w:val="00974430"/>
    <w:rPr>
      <w:lang w:val="en-US"/>
    </w:rPr>
  </w:style>
  <w:style w:type="character" w:styleId="Hyperlink">
    <w:name w:val="Hyperlink"/>
    <w:basedOn w:val="DefaultParagraphFont"/>
    <w:uiPriority w:val="99"/>
    <w:unhideWhenUsed/>
    <w:rsid w:val="002A2D5D"/>
    <w:rPr>
      <w:color w:val="0000FF" w:themeColor="hyperlink"/>
      <w:u w:val="single"/>
    </w:rPr>
  </w:style>
  <w:style w:type="character" w:customStyle="1" w:styleId="UnresolvedMention1">
    <w:name w:val="Unresolved Mention1"/>
    <w:basedOn w:val="DefaultParagraphFont"/>
    <w:uiPriority w:val="99"/>
    <w:semiHidden/>
    <w:unhideWhenUsed/>
    <w:rsid w:val="002A2D5D"/>
    <w:rPr>
      <w:color w:val="605E5C"/>
      <w:shd w:val="clear" w:color="auto" w:fill="E1DFDD"/>
    </w:rPr>
  </w:style>
  <w:style w:type="character" w:styleId="FollowedHyperlink">
    <w:name w:val="FollowedHyperlink"/>
    <w:basedOn w:val="DefaultParagraphFont"/>
    <w:uiPriority w:val="99"/>
    <w:semiHidden/>
    <w:unhideWhenUsed/>
    <w:rsid w:val="002A2D5D"/>
    <w:rPr>
      <w:color w:val="800080" w:themeColor="followedHyperlink"/>
      <w:u w:val="single"/>
    </w:rPr>
  </w:style>
  <w:style w:type="table" w:styleId="TableGrid">
    <w:name w:val="Table Grid"/>
    <w:basedOn w:val="TableNormal"/>
    <w:uiPriority w:val="39"/>
    <w:rsid w:val="000A55E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E39CC"/>
    <w:pPr>
      <w:spacing w:before="100" w:beforeAutospacing="1" w:after="100" w:afterAutospacing="1"/>
    </w:pPr>
  </w:style>
  <w:style w:type="paragraph" w:styleId="CommentSubject">
    <w:name w:val="annotation subject"/>
    <w:basedOn w:val="CommentText"/>
    <w:next w:val="CommentText"/>
    <w:link w:val="CommentSubjectChar"/>
    <w:uiPriority w:val="99"/>
    <w:semiHidden/>
    <w:unhideWhenUsed/>
    <w:rsid w:val="00551791"/>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55179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024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240D"/>
    <w:rPr>
      <w:rFonts w:ascii="Segoe UI" w:eastAsia="Times New Roman" w:hAnsi="Segoe UI" w:cs="Segoe UI"/>
      <w:sz w:val="18"/>
      <w:szCs w:val="18"/>
    </w:rPr>
  </w:style>
  <w:style w:type="paragraph" w:styleId="Revision">
    <w:name w:val="Revision"/>
    <w:hidden/>
    <w:uiPriority w:val="99"/>
    <w:semiHidden/>
    <w:rsid w:val="00DF464D"/>
    <w:pPr>
      <w:spacing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B434B9"/>
    <w:rPr>
      <w:color w:val="605E5C"/>
      <w:shd w:val="clear" w:color="auto" w:fill="E1DFDD"/>
    </w:rPr>
  </w:style>
  <w:style w:type="character" w:customStyle="1" w:styleId="Heading1Char">
    <w:name w:val="Heading 1 Char"/>
    <w:basedOn w:val="DefaultParagraphFont"/>
    <w:link w:val="Heading1"/>
    <w:uiPriority w:val="9"/>
    <w:rsid w:val="004F435E"/>
    <w:rPr>
      <w:sz w:val="40"/>
      <w:szCs w:val="40"/>
    </w:rPr>
  </w:style>
  <w:style w:type="paragraph" w:styleId="ListParagraph">
    <w:name w:val="List Paragraph"/>
    <w:basedOn w:val="Normal"/>
    <w:uiPriority w:val="34"/>
    <w:qFormat/>
    <w:rsid w:val="004F435E"/>
    <w:pPr>
      <w:spacing w:after="160" w:line="278" w:lineRule="auto"/>
      <w:ind w:left="720"/>
      <w:contextualSpacing/>
    </w:pPr>
    <w:rPr>
      <w:rFonts w:asciiTheme="minorHAnsi" w:eastAsiaTheme="minorHAnsi" w:hAnsiTheme="minorHAnsi" w:cstheme="minorBidi"/>
      <w:kern w:val="2"/>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10323">
      <w:bodyDiv w:val="1"/>
      <w:marLeft w:val="0"/>
      <w:marRight w:val="0"/>
      <w:marTop w:val="0"/>
      <w:marBottom w:val="0"/>
      <w:divBdr>
        <w:top w:val="none" w:sz="0" w:space="0" w:color="auto"/>
        <w:left w:val="none" w:sz="0" w:space="0" w:color="auto"/>
        <w:bottom w:val="none" w:sz="0" w:space="0" w:color="auto"/>
        <w:right w:val="none" w:sz="0" w:space="0" w:color="auto"/>
      </w:divBdr>
    </w:div>
    <w:div w:id="21253528">
      <w:bodyDiv w:val="1"/>
      <w:marLeft w:val="0"/>
      <w:marRight w:val="0"/>
      <w:marTop w:val="0"/>
      <w:marBottom w:val="0"/>
      <w:divBdr>
        <w:top w:val="none" w:sz="0" w:space="0" w:color="auto"/>
        <w:left w:val="none" w:sz="0" w:space="0" w:color="auto"/>
        <w:bottom w:val="none" w:sz="0" w:space="0" w:color="auto"/>
        <w:right w:val="none" w:sz="0" w:space="0" w:color="auto"/>
      </w:divBdr>
    </w:div>
    <w:div w:id="22901390">
      <w:bodyDiv w:val="1"/>
      <w:marLeft w:val="0"/>
      <w:marRight w:val="0"/>
      <w:marTop w:val="0"/>
      <w:marBottom w:val="0"/>
      <w:divBdr>
        <w:top w:val="none" w:sz="0" w:space="0" w:color="auto"/>
        <w:left w:val="none" w:sz="0" w:space="0" w:color="auto"/>
        <w:bottom w:val="none" w:sz="0" w:space="0" w:color="auto"/>
        <w:right w:val="none" w:sz="0" w:space="0" w:color="auto"/>
      </w:divBdr>
    </w:div>
    <w:div w:id="25982026">
      <w:bodyDiv w:val="1"/>
      <w:marLeft w:val="0"/>
      <w:marRight w:val="0"/>
      <w:marTop w:val="0"/>
      <w:marBottom w:val="0"/>
      <w:divBdr>
        <w:top w:val="none" w:sz="0" w:space="0" w:color="auto"/>
        <w:left w:val="none" w:sz="0" w:space="0" w:color="auto"/>
        <w:bottom w:val="none" w:sz="0" w:space="0" w:color="auto"/>
        <w:right w:val="none" w:sz="0" w:space="0" w:color="auto"/>
      </w:divBdr>
    </w:div>
    <w:div w:id="27218365">
      <w:bodyDiv w:val="1"/>
      <w:marLeft w:val="0"/>
      <w:marRight w:val="0"/>
      <w:marTop w:val="0"/>
      <w:marBottom w:val="0"/>
      <w:divBdr>
        <w:top w:val="none" w:sz="0" w:space="0" w:color="auto"/>
        <w:left w:val="none" w:sz="0" w:space="0" w:color="auto"/>
        <w:bottom w:val="none" w:sz="0" w:space="0" w:color="auto"/>
        <w:right w:val="none" w:sz="0" w:space="0" w:color="auto"/>
      </w:divBdr>
    </w:div>
    <w:div w:id="36202473">
      <w:bodyDiv w:val="1"/>
      <w:marLeft w:val="0"/>
      <w:marRight w:val="0"/>
      <w:marTop w:val="0"/>
      <w:marBottom w:val="0"/>
      <w:divBdr>
        <w:top w:val="none" w:sz="0" w:space="0" w:color="auto"/>
        <w:left w:val="none" w:sz="0" w:space="0" w:color="auto"/>
        <w:bottom w:val="none" w:sz="0" w:space="0" w:color="auto"/>
        <w:right w:val="none" w:sz="0" w:space="0" w:color="auto"/>
      </w:divBdr>
    </w:div>
    <w:div w:id="45683485">
      <w:bodyDiv w:val="1"/>
      <w:marLeft w:val="0"/>
      <w:marRight w:val="0"/>
      <w:marTop w:val="0"/>
      <w:marBottom w:val="0"/>
      <w:divBdr>
        <w:top w:val="none" w:sz="0" w:space="0" w:color="auto"/>
        <w:left w:val="none" w:sz="0" w:space="0" w:color="auto"/>
        <w:bottom w:val="none" w:sz="0" w:space="0" w:color="auto"/>
        <w:right w:val="none" w:sz="0" w:space="0" w:color="auto"/>
      </w:divBdr>
    </w:div>
    <w:div w:id="49115666">
      <w:bodyDiv w:val="1"/>
      <w:marLeft w:val="0"/>
      <w:marRight w:val="0"/>
      <w:marTop w:val="0"/>
      <w:marBottom w:val="0"/>
      <w:divBdr>
        <w:top w:val="none" w:sz="0" w:space="0" w:color="auto"/>
        <w:left w:val="none" w:sz="0" w:space="0" w:color="auto"/>
        <w:bottom w:val="none" w:sz="0" w:space="0" w:color="auto"/>
        <w:right w:val="none" w:sz="0" w:space="0" w:color="auto"/>
      </w:divBdr>
    </w:div>
    <w:div w:id="66465506">
      <w:bodyDiv w:val="1"/>
      <w:marLeft w:val="0"/>
      <w:marRight w:val="0"/>
      <w:marTop w:val="0"/>
      <w:marBottom w:val="0"/>
      <w:divBdr>
        <w:top w:val="none" w:sz="0" w:space="0" w:color="auto"/>
        <w:left w:val="none" w:sz="0" w:space="0" w:color="auto"/>
        <w:bottom w:val="none" w:sz="0" w:space="0" w:color="auto"/>
        <w:right w:val="none" w:sz="0" w:space="0" w:color="auto"/>
      </w:divBdr>
    </w:div>
    <w:div w:id="98376220">
      <w:bodyDiv w:val="1"/>
      <w:marLeft w:val="0"/>
      <w:marRight w:val="0"/>
      <w:marTop w:val="0"/>
      <w:marBottom w:val="0"/>
      <w:divBdr>
        <w:top w:val="none" w:sz="0" w:space="0" w:color="auto"/>
        <w:left w:val="none" w:sz="0" w:space="0" w:color="auto"/>
        <w:bottom w:val="none" w:sz="0" w:space="0" w:color="auto"/>
        <w:right w:val="none" w:sz="0" w:space="0" w:color="auto"/>
      </w:divBdr>
    </w:div>
    <w:div w:id="144788429">
      <w:bodyDiv w:val="1"/>
      <w:marLeft w:val="0"/>
      <w:marRight w:val="0"/>
      <w:marTop w:val="0"/>
      <w:marBottom w:val="0"/>
      <w:divBdr>
        <w:top w:val="none" w:sz="0" w:space="0" w:color="auto"/>
        <w:left w:val="none" w:sz="0" w:space="0" w:color="auto"/>
        <w:bottom w:val="none" w:sz="0" w:space="0" w:color="auto"/>
        <w:right w:val="none" w:sz="0" w:space="0" w:color="auto"/>
      </w:divBdr>
    </w:div>
    <w:div w:id="149368662">
      <w:bodyDiv w:val="1"/>
      <w:marLeft w:val="0"/>
      <w:marRight w:val="0"/>
      <w:marTop w:val="0"/>
      <w:marBottom w:val="0"/>
      <w:divBdr>
        <w:top w:val="none" w:sz="0" w:space="0" w:color="auto"/>
        <w:left w:val="none" w:sz="0" w:space="0" w:color="auto"/>
        <w:bottom w:val="none" w:sz="0" w:space="0" w:color="auto"/>
        <w:right w:val="none" w:sz="0" w:space="0" w:color="auto"/>
      </w:divBdr>
    </w:div>
    <w:div w:id="150995335">
      <w:bodyDiv w:val="1"/>
      <w:marLeft w:val="0"/>
      <w:marRight w:val="0"/>
      <w:marTop w:val="0"/>
      <w:marBottom w:val="0"/>
      <w:divBdr>
        <w:top w:val="none" w:sz="0" w:space="0" w:color="auto"/>
        <w:left w:val="none" w:sz="0" w:space="0" w:color="auto"/>
        <w:bottom w:val="none" w:sz="0" w:space="0" w:color="auto"/>
        <w:right w:val="none" w:sz="0" w:space="0" w:color="auto"/>
      </w:divBdr>
    </w:div>
    <w:div w:id="226497169">
      <w:bodyDiv w:val="1"/>
      <w:marLeft w:val="0"/>
      <w:marRight w:val="0"/>
      <w:marTop w:val="0"/>
      <w:marBottom w:val="0"/>
      <w:divBdr>
        <w:top w:val="none" w:sz="0" w:space="0" w:color="auto"/>
        <w:left w:val="none" w:sz="0" w:space="0" w:color="auto"/>
        <w:bottom w:val="none" w:sz="0" w:space="0" w:color="auto"/>
        <w:right w:val="none" w:sz="0" w:space="0" w:color="auto"/>
      </w:divBdr>
    </w:div>
    <w:div w:id="231357404">
      <w:bodyDiv w:val="1"/>
      <w:marLeft w:val="0"/>
      <w:marRight w:val="0"/>
      <w:marTop w:val="0"/>
      <w:marBottom w:val="0"/>
      <w:divBdr>
        <w:top w:val="none" w:sz="0" w:space="0" w:color="auto"/>
        <w:left w:val="none" w:sz="0" w:space="0" w:color="auto"/>
        <w:bottom w:val="none" w:sz="0" w:space="0" w:color="auto"/>
        <w:right w:val="none" w:sz="0" w:space="0" w:color="auto"/>
      </w:divBdr>
    </w:div>
    <w:div w:id="233587940">
      <w:bodyDiv w:val="1"/>
      <w:marLeft w:val="0"/>
      <w:marRight w:val="0"/>
      <w:marTop w:val="0"/>
      <w:marBottom w:val="0"/>
      <w:divBdr>
        <w:top w:val="none" w:sz="0" w:space="0" w:color="auto"/>
        <w:left w:val="none" w:sz="0" w:space="0" w:color="auto"/>
        <w:bottom w:val="none" w:sz="0" w:space="0" w:color="auto"/>
        <w:right w:val="none" w:sz="0" w:space="0" w:color="auto"/>
      </w:divBdr>
    </w:div>
    <w:div w:id="238254219">
      <w:bodyDiv w:val="1"/>
      <w:marLeft w:val="0"/>
      <w:marRight w:val="0"/>
      <w:marTop w:val="0"/>
      <w:marBottom w:val="0"/>
      <w:divBdr>
        <w:top w:val="none" w:sz="0" w:space="0" w:color="auto"/>
        <w:left w:val="none" w:sz="0" w:space="0" w:color="auto"/>
        <w:bottom w:val="none" w:sz="0" w:space="0" w:color="auto"/>
        <w:right w:val="none" w:sz="0" w:space="0" w:color="auto"/>
      </w:divBdr>
    </w:div>
    <w:div w:id="240260933">
      <w:bodyDiv w:val="1"/>
      <w:marLeft w:val="0"/>
      <w:marRight w:val="0"/>
      <w:marTop w:val="0"/>
      <w:marBottom w:val="0"/>
      <w:divBdr>
        <w:top w:val="none" w:sz="0" w:space="0" w:color="auto"/>
        <w:left w:val="none" w:sz="0" w:space="0" w:color="auto"/>
        <w:bottom w:val="none" w:sz="0" w:space="0" w:color="auto"/>
        <w:right w:val="none" w:sz="0" w:space="0" w:color="auto"/>
      </w:divBdr>
    </w:div>
    <w:div w:id="247541945">
      <w:bodyDiv w:val="1"/>
      <w:marLeft w:val="0"/>
      <w:marRight w:val="0"/>
      <w:marTop w:val="0"/>
      <w:marBottom w:val="0"/>
      <w:divBdr>
        <w:top w:val="none" w:sz="0" w:space="0" w:color="auto"/>
        <w:left w:val="none" w:sz="0" w:space="0" w:color="auto"/>
        <w:bottom w:val="none" w:sz="0" w:space="0" w:color="auto"/>
        <w:right w:val="none" w:sz="0" w:space="0" w:color="auto"/>
      </w:divBdr>
    </w:div>
    <w:div w:id="259336452">
      <w:bodyDiv w:val="1"/>
      <w:marLeft w:val="0"/>
      <w:marRight w:val="0"/>
      <w:marTop w:val="0"/>
      <w:marBottom w:val="0"/>
      <w:divBdr>
        <w:top w:val="none" w:sz="0" w:space="0" w:color="auto"/>
        <w:left w:val="none" w:sz="0" w:space="0" w:color="auto"/>
        <w:bottom w:val="none" w:sz="0" w:space="0" w:color="auto"/>
        <w:right w:val="none" w:sz="0" w:space="0" w:color="auto"/>
      </w:divBdr>
    </w:div>
    <w:div w:id="281036163">
      <w:bodyDiv w:val="1"/>
      <w:marLeft w:val="0"/>
      <w:marRight w:val="0"/>
      <w:marTop w:val="0"/>
      <w:marBottom w:val="0"/>
      <w:divBdr>
        <w:top w:val="none" w:sz="0" w:space="0" w:color="auto"/>
        <w:left w:val="none" w:sz="0" w:space="0" w:color="auto"/>
        <w:bottom w:val="none" w:sz="0" w:space="0" w:color="auto"/>
        <w:right w:val="none" w:sz="0" w:space="0" w:color="auto"/>
      </w:divBdr>
    </w:div>
    <w:div w:id="283000326">
      <w:bodyDiv w:val="1"/>
      <w:marLeft w:val="0"/>
      <w:marRight w:val="0"/>
      <w:marTop w:val="0"/>
      <w:marBottom w:val="0"/>
      <w:divBdr>
        <w:top w:val="none" w:sz="0" w:space="0" w:color="auto"/>
        <w:left w:val="none" w:sz="0" w:space="0" w:color="auto"/>
        <w:bottom w:val="none" w:sz="0" w:space="0" w:color="auto"/>
        <w:right w:val="none" w:sz="0" w:space="0" w:color="auto"/>
      </w:divBdr>
    </w:div>
    <w:div w:id="322008301">
      <w:bodyDiv w:val="1"/>
      <w:marLeft w:val="0"/>
      <w:marRight w:val="0"/>
      <w:marTop w:val="0"/>
      <w:marBottom w:val="0"/>
      <w:divBdr>
        <w:top w:val="none" w:sz="0" w:space="0" w:color="auto"/>
        <w:left w:val="none" w:sz="0" w:space="0" w:color="auto"/>
        <w:bottom w:val="none" w:sz="0" w:space="0" w:color="auto"/>
        <w:right w:val="none" w:sz="0" w:space="0" w:color="auto"/>
      </w:divBdr>
    </w:div>
    <w:div w:id="356661905">
      <w:bodyDiv w:val="1"/>
      <w:marLeft w:val="0"/>
      <w:marRight w:val="0"/>
      <w:marTop w:val="0"/>
      <w:marBottom w:val="0"/>
      <w:divBdr>
        <w:top w:val="none" w:sz="0" w:space="0" w:color="auto"/>
        <w:left w:val="none" w:sz="0" w:space="0" w:color="auto"/>
        <w:bottom w:val="none" w:sz="0" w:space="0" w:color="auto"/>
        <w:right w:val="none" w:sz="0" w:space="0" w:color="auto"/>
      </w:divBdr>
    </w:div>
    <w:div w:id="359820772">
      <w:bodyDiv w:val="1"/>
      <w:marLeft w:val="0"/>
      <w:marRight w:val="0"/>
      <w:marTop w:val="0"/>
      <w:marBottom w:val="0"/>
      <w:divBdr>
        <w:top w:val="none" w:sz="0" w:space="0" w:color="auto"/>
        <w:left w:val="none" w:sz="0" w:space="0" w:color="auto"/>
        <w:bottom w:val="none" w:sz="0" w:space="0" w:color="auto"/>
        <w:right w:val="none" w:sz="0" w:space="0" w:color="auto"/>
      </w:divBdr>
    </w:div>
    <w:div w:id="371535569">
      <w:bodyDiv w:val="1"/>
      <w:marLeft w:val="0"/>
      <w:marRight w:val="0"/>
      <w:marTop w:val="0"/>
      <w:marBottom w:val="0"/>
      <w:divBdr>
        <w:top w:val="none" w:sz="0" w:space="0" w:color="auto"/>
        <w:left w:val="none" w:sz="0" w:space="0" w:color="auto"/>
        <w:bottom w:val="none" w:sz="0" w:space="0" w:color="auto"/>
        <w:right w:val="none" w:sz="0" w:space="0" w:color="auto"/>
      </w:divBdr>
    </w:div>
    <w:div w:id="434905700">
      <w:bodyDiv w:val="1"/>
      <w:marLeft w:val="0"/>
      <w:marRight w:val="0"/>
      <w:marTop w:val="0"/>
      <w:marBottom w:val="0"/>
      <w:divBdr>
        <w:top w:val="none" w:sz="0" w:space="0" w:color="auto"/>
        <w:left w:val="none" w:sz="0" w:space="0" w:color="auto"/>
        <w:bottom w:val="none" w:sz="0" w:space="0" w:color="auto"/>
        <w:right w:val="none" w:sz="0" w:space="0" w:color="auto"/>
      </w:divBdr>
    </w:div>
    <w:div w:id="442648908">
      <w:bodyDiv w:val="1"/>
      <w:marLeft w:val="0"/>
      <w:marRight w:val="0"/>
      <w:marTop w:val="0"/>
      <w:marBottom w:val="0"/>
      <w:divBdr>
        <w:top w:val="none" w:sz="0" w:space="0" w:color="auto"/>
        <w:left w:val="none" w:sz="0" w:space="0" w:color="auto"/>
        <w:bottom w:val="none" w:sz="0" w:space="0" w:color="auto"/>
        <w:right w:val="none" w:sz="0" w:space="0" w:color="auto"/>
      </w:divBdr>
    </w:div>
    <w:div w:id="458768587">
      <w:bodyDiv w:val="1"/>
      <w:marLeft w:val="0"/>
      <w:marRight w:val="0"/>
      <w:marTop w:val="0"/>
      <w:marBottom w:val="0"/>
      <w:divBdr>
        <w:top w:val="none" w:sz="0" w:space="0" w:color="auto"/>
        <w:left w:val="none" w:sz="0" w:space="0" w:color="auto"/>
        <w:bottom w:val="none" w:sz="0" w:space="0" w:color="auto"/>
        <w:right w:val="none" w:sz="0" w:space="0" w:color="auto"/>
      </w:divBdr>
    </w:div>
    <w:div w:id="496729402">
      <w:bodyDiv w:val="1"/>
      <w:marLeft w:val="0"/>
      <w:marRight w:val="0"/>
      <w:marTop w:val="0"/>
      <w:marBottom w:val="0"/>
      <w:divBdr>
        <w:top w:val="none" w:sz="0" w:space="0" w:color="auto"/>
        <w:left w:val="none" w:sz="0" w:space="0" w:color="auto"/>
        <w:bottom w:val="none" w:sz="0" w:space="0" w:color="auto"/>
        <w:right w:val="none" w:sz="0" w:space="0" w:color="auto"/>
      </w:divBdr>
    </w:div>
    <w:div w:id="520705922">
      <w:bodyDiv w:val="1"/>
      <w:marLeft w:val="0"/>
      <w:marRight w:val="0"/>
      <w:marTop w:val="0"/>
      <w:marBottom w:val="0"/>
      <w:divBdr>
        <w:top w:val="none" w:sz="0" w:space="0" w:color="auto"/>
        <w:left w:val="none" w:sz="0" w:space="0" w:color="auto"/>
        <w:bottom w:val="none" w:sz="0" w:space="0" w:color="auto"/>
        <w:right w:val="none" w:sz="0" w:space="0" w:color="auto"/>
      </w:divBdr>
    </w:div>
    <w:div w:id="523634455">
      <w:bodyDiv w:val="1"/>
      <w:marLeft w:val="0"/>
      <w:marRight w:val="0"/>
      <w:marTop w:val="0"/>
      <w:marBottom w:val="0"/>
      <w:divBdr>
        <w:top w:val="none" w:sz="0" w:space="0" w:color="auto"/>
        <w:left w:val="none" w:sz="0" w:space="0" w:color="auto"/>
        <w:bottom w:val="none" w:sz="0" w:space="0" w:color="auto"/>
        <w:right w:val="none" w:sz="0" w:space="0" w:color="auto"/>
      </w:divBdr>
    </w:div>
    <w:div w:id="523835310">
      <w:bodyDiv w:val="1"/>
      <w:marLeft w:val="0"/>
      <w:marRight w:val="0"/>
      <w:marTop w:val="0"/>
      <w:marBottom w:val="0"/>
      <w:divBdr>
        <w:top w:val="none" w:sz="0" w:space="0" w:color="auto"/>
        <w:left w:val="none" w:sz="0" w:space="0" w:color="auto"/>
        <w:bottom w:val="none" w:sz="0" w:space="0" w:color="auto"/>
        <w:right w:val="none" w:sz="0" w:space="0" w:color="auto"/>
      </w:divBdr>
    </w:div>
    <w:div w:id="525098851">
      <w:bodyDiv w:val="1"/>
      <w:marLeft w:val="0"/>
      <w:marRight w:val="0"/>
      <w:marTop w:val="0"/>
      <w:marBottom w:val="0"/>
      <w:divBdr>
        <w:top w:val="none" w:sz="0" w:space="0" w:color="auto"/>
        <w:left w:val="none" w:sz="0" w:space="0" w:color="auto"/>
        <w:bottom w:val="none" w:sz="0" w:space="0" w:color="auto"/>
        <w:right w:val="none" w:sz="0" w:space="0" w:color="auto"/>
      </w:divBdr>
    </w:div>
    <w:div w:id="554125652">
      <w:bodyDiv w:val="1"/>
      <w:marLeft w:val="0"/>
      <w:marRight w:val="0"/>
      <w:marTop w:val="0"/>
      <w:marBottom w:val="0"/>
      <w:divBdr>
        <w:top w:val="none" w:sz="0" w:space="0" w:color="auto"/>
        <w:left w:val="none" w:sz="0" w:space="0" w:color="auto"/>
        <w:bottom w:val="none" w:sz="0" w:space="0" w:color="auto"/>
        <w:right w:val="none" w:sz="0" w:space="0" w:color="auto"/>
      </w:divBdr>
    </w:div>
    <w:div w:id="569118993">
      <w:bodyDiv w:val="1"/>
      <w:marLeft w:val="0"/>
      <w:marRight w:val="0"/>
      <w:marTop w:val="0"/>
      <w:marBottom w:val="0"/>
      <w:divBdr>
        <w:top w:val="none" w:sz="0" w:space="0" w:color="auto"/>
        <w:left w:val="none" w:sz="0" w:space="0" w:color="auto"/>
        <w:bottom w:val="none" w:sz="0" w:space="0" w:color="auto"/>
        <w:right w:val="none" w:sz="0" w:space="0" w:color="auto"/>
      </w:divBdr>
    </w:div>
    <w:div w:id="581526782">
      <w:bodyDiv w:val="1"/>
      <w:marLeft w:val="0"/>
      <w:marRight w:val="0"/>
      <w:marTop w:val="0"/>
      <w:marBottom w:val="0"/>
      <w:divBdr>
        <w:top w:val="none" w:sz="0" w:space="0" w:color="auto"/>
        <w:left w:val="none" w:sz="0" w:space="0" w:color="auto"/>
        <w:bottom w:val="none" w:sz="0" w:space="0" w:color="auto"/>
        <w:right w:val="none" w:sz="0" w:space="0" w:color="auto"/>
      </w:divBdr>
    </w:div>
    <w:div w:id="584461199">
      <w:bodyDiv w:val="1"/>
      <w:marLeft w:val="0"/>
      <w:marRight w:val="0"/>
      <w:marTop w:val="0"/>
      <w:marBottom w:val="0"/>
      <w:divBdr>
        <w:top w:val="none" w:sz="0" w:space="0" w:color="auto"/>
        <w:left w:val="none" w:sz="0" w:space="0" w:color="auto"/>
        <w:bottom w:val="none" w:sz="0" w:space="0" w:color="auto"/>
        <w:right w:val="none" w:sz="0" w:space="0" w:color="auto"/>
      </w:divBdr>
    </w:div>
    <w:div w:id="590043655">
      <w:bodyDiv w:val="1"/>
      <w:marLeft w:val="0"/>
      <w:marRight w:val="0"/>
      <w:marTop w:val="0"/>
      <w:marBottom w:val="0"/>
      <w:divBdr>
        <w:top w:val="none" w:sz="0" w:space="0" w:color="auto"/>
        <w:left w:val="none" w:sz="0" w:space="0" w:color="auto"/>
        <w:bottom w:val="none" w:sz="0" w:space="0" w:color="auto"/>
        <w:right w:val="none" w:sz="0" w:space="0" w:color="auto"/>
      </w:divBdr>
    </w:div>
    <w:div w:id="592401239">
      <w:bodyDiv w:val="1"/>
      <w:marLeft w:val="0"/>
      <w:marRight w:val="0"/>
      <w:marTop w:val="0"/>
      <w:marBottom w:val="0"/>
      <w:divBdr>
        <w:top w:val="none" w:sz="0" w:space="0" w:color="auto"/>
        <w:left w:val="none" w:sz="0" w:space="0" w:color="auto"/>
        <w:bottom w:val="none" w:sz="0" w:space="0" w:color="auto"/>
        <w:right w:val="none" w:sz="0" w:space="0" w:color="auto"/>
      </w:divBdr>
    </w:div>
    <w:div w:id="593368420">
      <w:bodyDiv w:val="1"/>
      <w:marLeft w:val="0"/>
      <w:marRight w:val="0"/>
      <w:marTop w:val="0"/>
      <w:marBottom w:val="0"/>
      <w:divBdr>
        <w:top w:val="none" w:sz="0" w:space="0" w:color="auto"/>
        <w:left w:val="none" w:sz="0" w:space="0" w:color="auto"/>
        <w:bottom w:val="none" w:sz="0" w:space="0" w:color="auto"/>
        <w:right w:val="none" w:sz="0" w:space="0" w:color="auto"/>
      </w:divBdr>
    </w:div>
    <w:div w:id="593904618">
      <w:bodyDiv w:val="1"/>
      <w:marLeft w:val="0"/>
      <w:marRight w:val="0"/>
      <w:marTop w:val="0"/>
      <w:marBottom w:val="0"/>
      <w:divBdr>
        <w:top w:val="none" w:sz="0" w:space="0" w:color="auto"/>
        <w:left w:val="none" w:sz="0" w:space="0" w:color="auto"/>
        <w:bottom w:val="none" w:sz="0" w:space="0" w:color="auto"/>
        <w:right w:val="none" w:sz="0" w:space="0" w:color="auto"/>
      </w:divBdr>
    </w:div>
    <w:div w:id="596641897">
      <w:bodyDiv w:val="1"/>
      <w:marLeft w:val="0"/>
      <w:marRight w:val="0"/>
      <w:marTop w:val="0"/>
      <w:marBottom w:val="0"/>
      <w:divBdr>
        <w:top w:val="none" w:sz="0" w:space="0" w:color="auto"/>
        <w:left w:val="none" w:sz="0" w:space="0" w:color="auto"/>
        <w:bottom w:val="none" w:sz="0" w:space="0" w:color="auto"/>
        <w:right w:val="none" w:sz="0" w:space="0" w:color="auto"/>
      </w:divBdr>
    </w:div>
    <w:div w:id="624383469">
      <w:bodyDiv w:val="1"/>
      <w:marLeft w:val="0"/>
      <w:marRight w:val="0"/>
      <w:marTop w:val="0"/>
      <w:marBottom w:val="0"/>
      <w:divBdr>
        <w:top w:val="none" w:sz="0" w:space="0" w:color="auto"/>
        <w:left w:val="none" w:sz="0" w:space="0" w:color="auto"/>
        <w:bottom w:val="none" w:sz="0" w:space="0" w:color="auto"/>
        <w:right w:val="none" w:sz="0" w:space="0" w:color="auto"/>
      </w:divBdr>
    </w:div>
    <w:div w:id="631440570">
      <w:bodyDiv w:val="1"/>
      <w:marLeft w:val="0"/>
      <w:marRight w:val="0"/>
      <w:marTop w:val="0"/>
      <w:marBottom w:val="0"/>
      <w:divBdr>
        <w:top w:val="none" w:sz="0" w:space="0" w:color="auto"/>
        <w:left w:val="none" w:sz="0" w:space="0" w:color="auto"/>
        <w:bottom w:val="none" w:sz="0" w:space="0" w:color="auto"/>
        <w:right w:val="none" w:sz="0" w:space="0" w:color="auto"/>
      </w:divBdr>
    </w:div>
    <w:div w:id="633602492">
      <w:bodyDiv w:val="1"/>
      <w:marLeft w:val="0"/>
      <w:marRight w:val="0"/>
      <w:marTop w:val="0"/>
      <w:marBottom w:val="0"/>
      <w:divBdr>
        <w:top w:val="none" w:sz="0" w:space="0" w:color="auto"/>
        <w:left w:val="none" w:sz="0" w:space="0" w:color="auto"/>
        <w:bottom w:val="none" w:sz="0" w:space="0" w:color="auto"/>
        <w:right w:val="none" w:sz="0" w:space="0" w:color="auto"/>
      </w:divBdr>
    </w:div>
    <w:div w:id="662659635">
      <w:bodyDiv w:val="1"/>
      <w:marLeft w:val="0"/>
      <w:marRight w:val="0"/>
      <w:marTop w:val="0"/>
      <w:marBottom w:val="0"/>
      <w:divBdr>
        <w:top w:val="none" w:sz="0" w:space="0" w:color="auto"/>
        <w:left w:val="none" w:sz="0" w:space="0" w:color="auto"/>
        <w:bottom w:val="none" w:sz="0" w:space="0" w:color="auto"/>
        <w:right w:val="none" w:sz="0" w:space="0" w:color="auto"/>
      </w:divBdr>
    </w:div>
    <w:div w:id="665984947">
      <w:bodyDiv w:val="1"/>
      <w:marLeft w:val="0"/>
      <w:marRight w:val="0"/>
      <w:marTop w:val="0"/>
      <w:marBottom w:val="0"/>
      <w:divBdr>
        <w:top w:val="none" w:sz="0" w:space="0" w:color="auto"/>
        <w:left w:val="none" w:sz="0" w:space="0" w:color="auto"/>
        <w:bottom w:val="none" w:sz="0" w:space="0" w:color="auto"/>
        <w:right w:val="none" w:sz="0" w:space="0" w:color="auto"/>
      </w:divBdr>
    </w:div>
    <w:div w:id="669873161">
      <w:bodyDiv w:val="1"/>
      <w:marLeft w:val="0"/>
      <w:marRight w:val="0"/>
      <w:marTop w:val="0"/>
      <w:marBottom w:val="0"/>
      <w:divBdr>
        <w:top w:val="none" w:sz="0" w:space="0" w:color="auto"/>
        <w:left w:val="none" w:sz="0" w:space="0" w:color="auto"/>
        <w:bottom w:val="none" w:sz="0" w:space="0" w:color="auto"/>
        <w:right w:val="none" w:sz="0" w:space="0" w:color="auto"/>
      </w:divBdr>
    </w:div>
    <w:div w:id="673843324">
      <w:bodyDiv w:val="1"/>
      <w:marLeft w:val="0"/>
      <w:marRight w:val="0"/>
      <w:marTop w:val="0"/>
      <w:marBottom w:val="0"/>
      <w:divBdr>
        <w:top w:val="none" w:sz="0" w:space="0" w:color="auto"/>
        <w:left w:val="none" w:sz="0" w:space="0" w:color="auto"/>
        <w:bottom w:val="none" w:sz="0" w:space="0" w:color="auto"/>
        <w:right w:val="none" w:sz="0" w:space="0" w:color="auto"/>
      </w:divBdr>
    </w:div>
    <w:div w:id="677273844">
      <w:bodyDiv w:val="1"/>
      <w:marLeft w:val="0"/>
      <w:marRight w:val="0"/>
      <w:marTop w:val="0"/>
      <w:marBottom w:val="0"/>
      <w:divBdr>
        <w:top w:val="none" w:sz="0" w:space="0" w:color="auto"/>
        <w:left w:val="none" w:sz="0" w:space="0" w:color="auto"/>
        <w:bottom w:val="none" w:sz="0" w:space="0" w:color="auto"/>
        <w:right w:val="none" w:sz="0" w:space="0" w:color="auto"/>
      </w:divBdr>
    </w:div>
    <w:div w:id="677391470">
      <w:bodyDiv w:val="1"/>
      <w:marLeft w:val="0"/>
      <w:marRight w:val="0"/>
      <w:marTop w:val="0"/>
      <w:marBottom w:val="0"/>
      <w:divBdr>
        <w:top w:val="none" w:sz="0" w:space="0" w:color="auto"/>
        <w:left w:val="none" w:sz="0" w:space="0" w:color="auto"/>
        <w:bottom w:val="none" w:sz="0" w:space="0" w:color="auto"/>
        <w:right w:val="none" w:sz="0" w:space="0" w:color="auto"/>
      </w:divBdr>
    </w:div>
    <w:div w:id="681857217">
      <w:bodyDiv w:val="1"/>
      <w:marLeft w:val="0"/>
      <w:marRight w:val="0"/>
      <w:marTop w:val="0"/>
      <w:marBottom w:val="0"/>
      <w:divBdr>
        <w:top w:val="none" w:sz="0" w:space="0" w:color="auto"/>
        <w:left w:val="none" w:sz="0" w:space="0" w:color="auto"/>
        <w:bottom w:val="none" w:sz="0" w:space="0" w:color="auto"/>
        <w:right w:val="none" w:sz="0" w:space="0" w:color="auto"/>
      </w:divBdr>
    </w:div>
    <w:div w:id="703142630">
      <w:bodyDiv w:val="1"/>
      <w:marLeft w:val="0"/>
      <w:marRight w:val="0"/>
      <w:marTop w:val="0"/>
      <w:marBottom w:val="0"/>
      <w:divBdr>
        <w:top w:val="none" w:sz="0" w:space="0" w:color="auto"/>
        <w:left w:val="none" w:sz="0" w:space="0" w:color="auto"/>
        <w:bottom w:val="none" w:sz="0" w:space="0" w:color="auto"/>
        <w:right w:val="none" w:sz="0" w:space="0" w:color="auto"/>
      </w:divBdr>
    </w:div>
    <w:div w:id="734427985">
      <w:bodyDiv w:val="1"/>
      <w:marLeft w:val="0"/>
      <w:marRight w:val="0"/>
      <w:marTop w:val="0"/>
      <w:marBottom w:val="0"/>
      <w:divBdr>
        <w:top w:val="none" w:sz="0" w:space="0" w:color="auto"/>
        <w:left w:val="none" w:sz="0" w:space="0" w:color="auto"/>
        <w:bottom w:val="none" w:sz="0" w:space="0" w:color="auto"/>
        <w:right w:val="none" w:sz="0" w:space="0" w:color="auto"/>
      </w:divBdr>
      <w:divsChild>
        <w:div w:id="1340474252">
          <w:marLeft w:val="5"/>
          <w:marRight w:val="0"/>
          <w:marTop w:val="0"/>
          <w:marBottom w:val="0"/>
          <w:divBdr>
            <w:top w:val="none" w:sz="0" w:space="0" w:color="auto"/>
            <w:left w:val="none" w:sz="0" w:space="0" w:color="auto"/>
            <w:bottom w:val="none" w:sz="0" w:space="0" w:color="auto"/>
            <w:right w:val="none" w:sz="0" w:space="0" w:color="auto"/>
          </w:divBdr>
        </w:div>
      </w:divsChild>
    </w:div>
    <w:div w:id="741877086">
      <w:bodyDiv w:val="1"/>
      <w:marLeft w:val="0"/>
      <w:marRight w:val="0"/>
      <w:marTop w:val="0"/>
      <w:marBottom w:val="0"/>
      <w:divBdr>
        <w:top w:val="none" w:sz="0" w:space="0" w:color="auto"/>
        <w:left w:val="none" w:sz="0" w:space="0" w:color="auto"/>
        <w:bottom w:val="none" w:sz="0" w:space="0" w:color="auto"/>
        <w:right w:val="none" w:sz="0" w:space="0" w:color="auto"/>
      </w:divBdr>
    </w:div>
    <w:div w:id="757216716">
      <w:bodyDiv w:val="1"/>
      <w:marLeft w:val="0"/>
      <w:marRight w:val="0"/>
      <w:marTop w:val="0"/>
      <w:marBottom w:val="0"/>
      <w:divBdr>
        <w:top w:val="none" w:sz="0" w:space="0" w:color="auto"/>
        <w:left w:val="none" w:sz="0" w:space="0" w:color="auto"/>
        <w:bottom w:val="none" w:sz="0" w:space="0" w:color="auto"/>
        <w:right w:val="none" w:sz="0" w:space="0" w:color="auto"/>
      </w:divBdr>
    </w:div>
    <w:div w:id="770124816">
      <w:bodyDiv w:val="1"/>
      <w:marLeft w:val="0"/>
      <w:marRight w:val="0"/>
      <w:marTop w:val="0"/>
      <w:marBottom w:val="0"/>
      <w:divBdr>
        <w:top w:val="none" w:sz="0" w:space="0" w:color="auto"/>
        <w:left w:val="none" w:sz="0" w:space="0" w:color="auto"/>
        <w:bottom w:val="none" w:sz="0" w:space="0" w:color="auto"/>
        <w:right w:val="none" w:sz="0" w:space="0" w:color="auto"/>
      </w:divBdr>
    </w:div>
    <w:div w:id="775753412">
      <w:bodyDiv w:val="1"/>
      <w:marLeft w:val="0"/>
      <w:marRight w:val="0"/>
      <w:marTop w:val="0"/>
      <w:marBottom w:val="0"/>
      <w:divBdr>
        <w:top w:val="none" w:sz="0" w:space="0" w:color="auto"/>
        <w:left w:val="none" w:sz="0" w:space="0" w:color="auto"/>
        <w:bottom w:val="none" w:sz="0" w:space="0" w:color="auto"/>
        <w:right w:val="none" w:sz="0" w:space="0" w:color="auto"/>
      </w:divBdr>
    </w:div>
    <w:div w:id="776876959">
      <w:bodyDiv w:val="1"/>
      <w:marLeft w:val="0"/>
      <w:marRight w:val="0"/>
      <w:marTop w:val="0"/>
      <w:marBottom w:val="0"/>
      <w:divBdr>
        <w:top w:val="none" w:sz="0" w:space="0" w:color="auto"/>
        <w:left w:val="none" w:sz="0" w:space="0" w:color="auto"/>
        <w:bottom w:val="none" w:sz="0" w:space="0" w:color="auto"/>
        <w:right w:val="none" w:sz="0" w:space="0" w:color="auto"/>
      </w:divBdr>
    </w:div>
    <w:div w:id="777607266">
      <w:bodyDiv w:val="1"/>
      <w:marLeft w:val="0"/>
      <w:marRight w:val="0"/>
      <w:marTop w:val="0"/>
      <w:marBottom w:val="0"/>
      <w:divBdr>
        <w:top w:val="none" w:sz="0" w:space="0" w:color="auto"/>
        <w:left w:val="none" w:sz="0" w:space="0" w:color="auto"/>
        <w:bottom w:val="none" w:sz="0" w:space="0" w:color="auto"/>
        <w:right w:val="none" w:sz="0" w:space="0" w:color="auto"/>
      </w:divBdr>
    </w:div>
    <w:div w:id="784009584">
      <w:bodyDiv w:val="1"/>
      <w:marLeft w:val="0"/>
      <w:marRight w:val="0"/>
      <w:marTop w:val="0"/>
      <w:marBottom w:val="0"/>
      <w:divBdr>
        <w:top w:val="none" w:sz="0" w:space="0" w:color="auto"/>
        <w:left w:val="none" w:sz="0" w:space="0" w:color="auto"/>
        <w:bottom w:val="none" w:sz="0" w:space="0" w:color="auto"/>
        <w:right w:val="none" w:sz="0" w:space="0" w:color="auto"/>
      </w:divBdr>
    </w:div>
    <w:div w:id="793907082">
      <w:bodyDiv w:val="1"/>
      <w:marLeft w:val="0"/>
      <w:marRight w:val="0"/>
      <w:marTop w:val="0"/>
      <w:marBottom w:val="0"/>
      <w:divBdr>
        <w:top w:val="none" w:sz="0" w:space="0" w:color="auto"/>
        <w:left w:val="none" w:sz="0" w:space="0" w:color="auto"/>
        <w:bottom w:val="none" w:sz="0" w:space="0" w:color="auto"/>
        <w:right w:val="none" w:sz="0" w:space="0" w:color="auto"/>
      </w:divBdr>
    </w:div>
    <w:div w:id="808548932">
      <w:bodyDiv w:val="1"/>
      <w:marLeft w:val="0"/>
      <w:marRight w:val="0"/>
      <w:marTop w:val="0"/>
      <w:marBottom w:val="0"/>
      <w:divBdr>
        <w:top w:val="none" w:sz="0" w:space="0" w:color="auto"/>
        <w:left w:val="none" w:sz="0" w:space="0" w:color="auto"/>
        <w:bottom w:val="none" w:sz="0" w:space="0" w:color="auto"/>
        <w:right w:val="none" w:sz="0" w:space="0" w:color="auto"/>
      </w:divBdr>
    </w:div>
    <w:div w:id="890385814">
      <w:bodyDiv w:val="1"/>
      <w:marLeft w:val="0"/>
      <w:marRight w:val="0"/>
      <w:marTop w:val="0"/>
      <w:marBottom w:val="0"/>
      <w:divBdr>
        <w:top w:val="none" w:sz="0" w:space="0" w:color="auto"/>
        <w:left w:val="none" w:sz="0" w:space="0" w:color="auto"/>
        <w:bottom w:val="none" w:sz="0" w:space="0" w:color="auto"/>
        <w:right w:val="none" w:sz="0" w:space="0" w:color="auto"/>
      </w:divBdr>
    </w:div>
    <w:div w:id="891119027">
      <w:bodyDiv w:val="1"/>
      <w:marLeft w:val="0"/>
      <w:marRight w:val="0"/>
      <w:marTop w:val="0"/>
      <w:marBottom w:val="0"/>
      <w:divBdr>
        <w:top w:val="none" w:sz="0" w:space="0" w:color="auto"/>
        <w:left w:val="none" w:sz="0" w:space="0" w:color="auto"/>
        <w:bottom w:val="none" w:sz="0" w:space="0" w:color="auto"/>
        <w:right w:val="none" w:sz="0" w:space="0" w:color="auto"/>
      </w:divBdr>
    </w:div>
    <w:div w:id="897403385">
      <w:bodyDiv w:val="1"/>
      <w:marLeft w:val="0"/>
      <w:marRight w:val="0"/>
      <w:marTop w:val="0"/>
      <w:marBottom w:val="0"/>
      <w:divBdr>
        <w:top w:val="none" w:sz="0" w:space="0" w:color="auto"/>
        <w:left w:val="none" w:sz="0" w:space="0" w:color="auto"/>
        <w:bottom w:val="none" w:sz="0" w:space="0" w:color="auto"/>
        <w:right w:val="none" w:sz="0" w:space="0" w:color="auto"/>
      </w:divBdr>
    </w:div>
    <w:div w:id="911309780">
      <w:bodyDiv w:val="1"/>
      <w:marLeft w:val="0"/>
      <w:marRight w:val="0"/>
      <w:marTop w:val="0"/>
      <w:marBottom w:val="0"/>
      <w:divBdr>
        <w:top w:val="none" w:sz="0" w:space="0" w:color="auto"/>
        <w:left w:val="none" w:sz="0" w:space="0" w:color="auto"/>
        <w:bottom w:val="none" w:sz="0" w:space="0" w:color="auto"/>
        <w:right w:val="none" w:sz="0" w:space="0" w:color="auto"/>
      </w:divBdr>
    </w:div>
    <w:div w:id="912004878">
      <w:bodyDiv w:val="1"/>
      <w:marLeft w:val="0"/>
      <w:marRight w:val="0"/>
      <w:marTop w:val="0"/>
      <w:marBottom w:val="0"/>
      <w:divBdr>
        <w:top w:val="none" w:sz="0" w:space="0" w:color="auto"/>
        <w:left w:val="none" w:sz="0" w:space="0" w:color="auto"/>
        <w:bottom w:val="none" w:sz="0" w:space="0" w:color="auto"/>
        <w:right w:val="none" w:sz="0" w:space="0" w:color="auto"/>
      </w:divBdr>
    </w:div>
    <w:div w:id="914975004">
      <w:bodyDiv w:val="1"/>
      <w:marLeft w:val="0"/>
      <w:marRight w:val="0"/>
      <w:marTop w:val="0"/>
      <w:marBottom w:val="0"/>
      <w:divBdr>
        <w:top w:val="none" w:sz="0" w:space="0" w:color="auto"/>
        <w:left w:val="none" w:sz="0" w:space="0" w:color="auto"/>
        <w:bottom w:val="none" w:sz="0" w:space="0" w:color="auto"/>
        <w:right w:val="none" w:sz="0" w:space="0" w:color="auto"/>
      </w:divBdr>
    </w:div>
    <w:div w:id="919095765">
      <w:bodyDiv w:val="1"/>
      <w:marLeft w:val="0"/>
      <w:marRight w:val="0"/>
      <w:marTop w:val="0"/>
      <w:marBottom w:val="0"/>
      <w:divBdr>
        <w:top w:val="none" w:sz="0" w:space="0" w:color="auto"/>
        <w:left w:val="none" w:sz="0" w:space="0" w:color="auto"/>
        <w:bottom w:val="none" w:sz="0" w:space="0" w:color="auto"/>
        <w:right w:val="none" w:sz="0" w:space="0" w:color="auto"/>
      </w:divBdr>
    </w:div>
    <w:div w:id="943726552">
      <w:bodyDiv w:val="1"/>
      <w:marLeft w:val="0"/>
      <w:marRight w:val="0"/>
      <w:marTop w:val="0"/>
      <w:marBottom w:val="0"/>
      <w:divBdr>
        <w:top w:val="none" w:sz="0" w:space="0" w:color="auto"/>
        <w:left w:val="none" w:sz="0" w:space="0" w:color="auto"/>
        <w:bottom w:val="none" w:sz="0" w:space="0" w:color="auto"/>
        <w:right w:val="none" w:sz="0" w:space="0" w:color="auto"/>
      </w:divBdr>
    </w:div>
    <w:div w:id="947201896">
      <w:bodyDiv w:val="1"/>
      <w:marLeft w:val="0"/>
      <w:marRight w:val="0"/>
      <w:marTop w:val="0"/>
      <w:marBottom w:val="0"/>
      <w:divBdr>
        <w:top w:val="none" w:sz="0" w:space="0" w:color="auto"/>
        <w:left w:val="none" w:sz="0" w:space="0" w:color="auto"/>
        <w:bottom w:val="none" w:sz="0" w:space="0" w:color="auto"/>
        <w:right w:val="none" w:sz="0" w:space="0" w:color="auto"/>
      </w:divBdr>
    </w:div>
    <w:div w:id="948705305">
      <w:bodyDiv w:val="1"/>
      <w:marLeft w:val="0"/>
      <w:marRight w:val="0"/>
      <w:marTop w:val="0"/>
      <w:marBottom w:val="0"/>
      <w:divBdr>
        <w:top w:val="none" w:sz="0" w:space="0" w:color="auto"/>
        <w:left w:val="none" w:sz="0" w:space="0" w:color="auto"/>
        <w:bottom w:val="none" w:sz="0" w:space="0" w:color="auto"/>
        <w:right w:val="none" w:sz="0" w:space="0" w:color="auto"/>
      </w:divBdr>
    </w:div>
    <w:div w:id="955067405">
      <w:bodyDiv w:val="1"/>
      <w:marLeft w:val="0"/>
      <w:marRight w:val="0"/>
      <w:marTop w:val="0"/>
      <w:marBottom w:val="0"/>
      <w:divBdr>
        <w:top w:val="none" w:sz="0" w:space="0" w:color="auto"/>
        <w:left w:val="none" w:sz="0" w:space="0" w:color="auto"/>
        <w:bottom w:val="none" w:sz="0" w:space="0" w:color="auto"/>
        <w:right w:val="none" w:sz="0" w:space="0" w:color="auto"/>
      </w:divBdr>
    </w:div>
    <w:div w:id="960771483">
      <w:bodyDiv w:val="1"/>
      <w:marLeft w:val="0"/>
      <w:marRight w:val="0"/>
      <w:marTop w:val="0"/>
      <w:marBottom w:val="0"/>
      <w:divBdr>
        <w:top w:val="none" w:sz="0" w:space="0" w:color="auto"/>
        <w:left w:val="none" w:sz="0" w:space="0" w:color="auto"/>
        <w:bottom w:val="none" w:sz="0" w:space="0" w:color="auto"/>
        <w:right w:val="none" w:sz="0" w:space="0" w:color="auto"/>
      </w:divBdr>
    </w:div>
    <w:div w:id="1002900998">
      <w:bodyDiv w:val="1"/>
      <w:marLeft w:val="0"/>
      <w:marRight w:val="0"/>
      <w:marTop w:val="0"/>
      <w:marBottom w:val="0"/>
      <w:divBdr>
        <w:top w:val="none" w:sz="0" w:space="0" w:color="auto"/>
        <w:left w:val="none" w:sz="0" w:space="0" w:color="auto"/>
        <w:bottom w:val="none" w:sz="0" w:space="0" w:color="auto"/>
        <w:right w:val="none" w:sz="0" w:space="0" w:color="auto"/>
      </w:divBdr>
      <w:divsChild>
        <w:div w:id="95179370">
          <w:marLeft w:val="5"/>
          <w:marRight w:val="0"/>
          <w:marTop w:val="0"/>
          <w:marBottom w:val="0"/>
          <w:divBdr>
            <w:top w:val="none" w:sz="0" w:space="0" w:color="auto"/>
            <w:left w:val="none" w:sz="0" w:space="0" w:color="auto"/>
            <w:bottom w:val="none" w:sz="0" w:space="0" w:color="auto"/>
            <w:right w:val="none" w:sz="0" w:space="0" w:color="auto"/>
          </w:divBdr>
        </w:div>
      </w:divsChild>
    </w:div>
    <w:div w:id="1053696900">
      <w:bodyDiv w:val="1"/>
      <w:marLeft w:val="0"/>
      <w:marRight w:val="0"/>
      <w:marTop w:val="0"/>
      <w:marBottom w:val="0"/>
      <w:divBdr>
        <w:top w:val="none" w:sz="0" w:space="0" w:color="auto"/>
        <w:left w:val="none" w:sz="0" w:space="0" w:color="auto"/>
        <w:bottom w:val="none" w:sz="0" w:space="0" w:color="auto"/>
        <w:right w:val="none" w:sz="0" w:space="0" w:color="auto"/>
      </w:divBdr>
    </w:div>
    <w:div w:id="1081027574">
      <w:bodyDiv w:val="1"/>
      <w:marLeft w:val="0"/>
      <w:marRight w:val="0"/>
      <w:marTop w:val="0"/>
      <w:marBottom w:val="0"/>
      <w:divBdr>
        <w:top w:val="none" w:sz="0" w:space="0" w:color="auto"/>
        <w:left w:val="none" w:sz="0" w:space="0" w:color="auto"/>
        <w:bottom w:val="none" w:sz="0" w:space="0" w:color="auto"/>
        <w:right w:val="none" w:sz="0" w:space="0" w:color="auto"/>
      </w:divBdr>
    </w:div>
    <w:div w:id="1101335087">
      <w:bodyDiv w:val="1"/>
      <w:marLeft w:val="0"/>
      <w:marRight w:val="0"/>
      <w:marTop w:val="0"/>
      <w:marBottom w:val="0"/>
      <w:divBdr>
        <w:top w:val="none" w:sz="0" w:space="0" w:color="auto"/>
        <w:left w:val="none" w:sz="0" w:space="0" w:color="auto"/>
        <w:bottom w:val="none" w:sz="0" w:space="0" w:color="auto"/>
        <w:right w:val="none" w:sz="0" w:space="0" w:color="auto"/>
      </w:divBdr>
    </w:div>
    <w:div w:id="1103383763">
      <w:bodyDiv w:val="1"/>
      <w:marLeft w:val="0"/>
      <w:marRight w:val="0"/>
      <w:marTop w:val="0"/>
      <w:marBottom w:val="0"/>
      <w:divBdr>
        <w:top w:val="none" w:sz="0" w:space="0" w:color="auto"/>
        <w:left w:val="none" w:sz="0" w:space="0" w:color="auto"/>
        <w:bottom w:val="none" w:sz="0" w:space="0" w:color="auto"/>
        <w:right w:val="none" w:sz="0" w:space="0" w:color="auto"/>
      </w:divBdr>
    </w:div>
    <w:div w:id="1113480304">
      <w:bodyDiv w:val="1"/>
      <w:marLeft w:val="0"/>
      <w:marRight w:val="0"/>
      <w:marTop w:val="0"/>
      <w:marBottom w:val="0"/>
      <w:divBdr>
        <w:top w:val="none" w:sz="0" w:space="0" w:color="auto"/>
        <w:left w:val="none" w:sz="0" w:space="0" w:color="auto"/>
        <w:bottom w:val="none" w:sz="0" w:space="0" w:color="auto"/>
        <w:right w:val="none" w:sz="0" w:space="0" w:color="auto"/>
      </w:divBdr>
    </w:div>
    <w:div w:id="1127746766">
      <w:bodyDiv w:val="1"/>
      <w:marLeft w:val="0"/>
      <w:marRight w:val="0"/>
      <w:marTop w:val="0"/>
      <w:marBottom w:val="0"/>
      <w:divBdr>
        <w:top w:val="none" w:sz="0" w:space="0" w:color="auto"/>
        <w:left w:val="none" w:sz="0" w:space="0" w:color="auto"/>
        <w:bottom w:val="none" w:sz="0" w:space="0" w:color="auto"/>
        <w:right w:val="none" w:sz="0" w:space="0" w:color="auto"/>
      </w:divBdr>
    </w:div>
    <w:div w:id="1128669527">
      <w:bodyDiv w:val="1"/>
      <w:marLeft w:val="0"/>
      <w:marRight w:val="0"/>
      <w:marTop w:val="0"/>
      <w:marBottom w:val="0"/>
      <w:divBdr>
        <w:top w:val="none" w:sz="0" w:space="0" w:color="auto"/>
        <w:left w:val="none" w:sz="0" w:space="0" w:color="auto"/>
        <w:bottom w:val="none" w:sz="0" w:space="0" w:color="auto"/>
        <w:right w:val="none" w:sz="0" w:space="0" w:color="auto"/>
      </w:divBdr>
    </w:div>
    <w:div w:id="1149445161">
      <w:bodyDiv w:val="1"/>
      <w:marLeft w:val="0"/>
      <w:marRight w:val="0"/>
      <w:marTop w:val="0"/>
      <w:marBottom w:val="0"/>
      <w:divBdr>
        <w:top w:val="none" w:sz="0" w:space="0" w:color="auto"/>
        <w:left w:val="none" w:sz="0" w:space="0" w:color="auto"/>
        <w:bottom w:val="none" w:sz="0" w:space="0" w:color="auto"/>
        <w:right w:val="none" w:sz="0" w:space="0" w:color="auto"/>
      </w:divBdr>
    </w:div>
    <w:div w:id="1163621147">
      <w:bodyDiv w:val="1"/>
      <w:marLeft w:val="0"/>
      <w:marRight w:val="0"/>
      <w:marTop w:val="0"/>
      <w:marBottom w:val="0"/>
      <w:divBdr>
        <w:top w:val="none" w:sz="0" w:space="0" w:color="auto"/>
        <w:left w:val="none" w:sz="0" w:space="0" w:color="auto"/>
        <w:bottom w:val="none" w:sz="0" w:space="0" w:color="auto"/>
        <w:right w:val="none" w:sz="0" w:space="0" w:color="auto"/>
      </w:divBdr>
    </w:div>
    <w:div w:id="1179080302">
      <w:bodyDiv w:val="1"/>
      <w:marLeft w:val="0"/>
      <w:marRight w:val="0"/>
      <w:marTop w:val="0"/>
      <w:marBottom w:val="0"/>
      <w:divBdr>
        <w:top w:val="none" w:sz="0" w:space="0" w:color="auto"/>
        <w:left w:val="none" w:sz="0" w:space="0" w:color="auto"/>
        <w:bottom w:val="none" w:sz="0" w:space="0" w:color="auto"/>
        <w:right w:val="none" w:sz="0" w:space="0" w:color="auto"/>
      </w:divBdr>
    </w:div>
    <w:div w:id="1185362848">
      <w:bodyDiv w:val="1"/>
      <w:marLeft w:val="0"/>
      <w:marRight w:val="0"/>
      <w:marTop w:val="0"/>
      <w:marBottom w:val="0"/>
      <w:divBdr>
        <w:top w:val="none" w:sz="0" w:space="0" w:color="auto"/>
        <w:left w:val="none" w:sz="0" w:space="0" w:color="auto"/>
        <w:bottom w:val="none" w:sz="0" w:space="0" w:color="auto"/>
        <w:right w:val="none" w:sz="0" w:space="0" w:color="auto"/>
      </w:divBdr>
    </w:div>
    <w:div w:id="1195189599">
      <w:bodyDiv w:val="1"/>
      <w:marLeft w:val="0"/>
      <w:marRight w:val="0"/>
      <w:marTop w:val="0"/>
      <w:marBottom w:val="0"/>
      <w:divBdr>
        <w:top w:val="none" w:sz="0" w:space="0" w:color="auto"/>
        <w:left w:val="none" w:sz="0" w:space="0" w:color="auto"/>
        <w:bottom w:val="none" w:sz="0" w:space="0" w:color="auto"/>
        <w:right w:val="none" w:sz="0" w:space="0" w:color="auto"/>
      </w:divBdr>
    </w:div>
    <w:div w:id="1197811914">
      <w:bodyDiv w:val="1"/>
      <w:marLeft w:val="0"/>
      <w:marRight w:val="0"/>
      <w:marTop w:val="0"/>
      <w:marBottom w:val="0"/>
      <w:divBdr>
        <w:top w:val="none" w:sz="0" w:space="0" w:color="auto"/>
        <w:left w:val="none" w:sz="0" w:space="0" w:color="auto"/>
        <w:bottom w:val="none" w:sz="0" w:space="0" w:color="auto"/>
        <w:right w:val="none" w:sz="0" w:space="0" w:color="auto"/>
      </w:divBdr>
    </w:div>
    <w:div w:id="1209144422">
      <w:bodyDiv w:val="1"/>
      <w:marLeft w:val="0"/>
      <w:marRight w:val="0"/>
      <w:marTop w:val="0"/>
      <w:marBottom w:val="0"/>
      <w:divBdr>
        <w:top w:val="none" w:sz="0" w:space="0" w:color="auto"/>
        <w:left w:val="none" w:sz="0" w:space="0" w:color="auto"/>
        <w:bottom w:val="none" w:sz="0" w:space="0" w:color="auto"/>
        <w:right w:val="none" w:sz="0" w:space="0" w:color="auto"/>
      </w:divBdr>
    </w:div>
    <w:div w:id="1214544487">
      <w:bodyDiv w:val="1"/>
      <w:marLeft w:val="0"/>
      <w:marRight w:val="0"/>
      <w:marTop w:val="0"/>
      <w:marBottom w:val="0"/>
      <w:divBdr>
        <w:top w:val="none" w:sz="0" w:space="0" w:color="auto"/>
        <w:left w:val="none" w:sz="0" w:space="0" w:color="auto"/>
        <w:bottom w:val="none" w:sz="0" w:space="0" w:color="auto"/>
        <w:right w:val="none" w:sz="0" w:space="0" w:color="auto"/>
      </w:divBdr>
    </w:div>
    <w:div w:id="1263028143">
      <w:bodyDiv w:val="1"/>
      <w:marLeft w:val="0"/>
      <w:marRight w:val="0"/>
      <w:marTop w:val="0"/>
      <w:marBottom w:val="0"/>
      <w:divBdr>
        <w:top w:val="none" w:sz="0" w:space="0" w:color="auto"/>
        <w:left w:val="none" w:sz="0" w:space="0" w:color="auto"/>
        <w:bottom w:val="none" w:sz="0" w:space="0" w:color="auto"/>
        <w:right w:val="none" w:sz="0" w:space="0" w:color="auto"/>
      </w:divBdr>
    </w:div>
    <w:div w:id="1303316388">
      <w:bodyDiv w:val="1"/>
      <w:marLeft w:val="0"/>
      <w:marRight w:val="0"/>
      <w:marTop w:val="0"/>
      <w:marBottom w:val="0"/>
      <w:divBdr>
        <w:top w:val="none" w:sz="0" w:space="0" w:color="auto"/>
        <w:left w:val="none" w:sz="0" w:space="0" w:color="auto"/>
        <w:bottom w:val="none" w:sz="0" w:space="0" w:color="auto"/>
        <w:right w:val="none" w:sz="0" w:space="0" w:color="auto"/>
      </w:divBdr>
    </w:div>
    <w:div w:id="1304235672">
      <w:bodyDiv w:val="1"/>
      <w:marLeft w:val="0"/>
      <w:marRight w:val="0"/>
      <w:marTop w:val="0"/>
      <w:marBottom w:val="0"/>
      <w:divBdr>
        <w:top w:val="none" w:sz="0" w:space="0" w:color="auto"/>
        <w:left w:val="none" w:sz="0" w:space="0" w:color="auto"/>
        <w:bottom w:val="none" w:sz="0" w:space="0" w:color="auto"/>
        <w:right w:val="none" w:sz="0" w:space="0" w:color="auto"/>
      </w:divBdr>
    </w:div>
    <w:div w:id="1305235056">
      <w:bodyDiv w:val="1"/>
      <w:marLeft w:val="0"/>
      <w:marRight w:val="0"/>
      <w:marTop w:val="0"/>
      <w:marBottom w:val="0"/>
      <w:divBdr>
        <w:top w:val="none" w:sz="0" w:space="0" w:color="auto"/>
        <w:left w:val="none" w:sz="0" w:space="0" w:color="auto"/>
        <w:bottom w:val="none" w:sz="0" w:space="0" w:color="auto"/>
        <w:right w:val="none" w:sz="0" w:space="0" w:color="auto"/>
      </w:divBdr>
    </w:div>
    <w:div w:id="1346328873">
      <w:bodyDiv w:val="1"/>
      <w:marLeft w:val="0"/>
      <w:marRight w:val="0"/>
      <w:marTop w:val="0"/>
      <w:marBottom w:val="0"/>
      <w:divBdr>
        <w:top w:val="none" w:sz="0" w:space="0" w:color="auto"/>
        <w:left w:val="none" w:sz="0" w:space="0" w:color="auto"/>
        <w:bottom w:val="none" w:sz="0" w:space="0" w:color="auto"/>
        <w:right w:val="none" w:sz="0" w:space="0" w:color="auto"/>
      </w:divBdr>
    </w:div>
    <w:div w:id="1366176028">
      <w:bodyDiv w:val="1"/>
      <w:marLeft w:val="0"/>
      <w:marRight w:val="0"/>
      <w:marTop w:val="0"/>
      <w:marBottom w:val="0"/>
      <w:divBdr>
        <w:top w:val="none" w:sz="0" w:space="0" w:color="auto"/>
        <w:left w:val="none" w:sz="0" w:space="0" w:color="auto"/>
        <w:bottom w:val="none" w:sz="0" w:space="0" w:color="auto"/>
        <w:right w:val="none" w:sz="0" w:space="0" w:color="auto"/>
      </w:divBdr>
    </w:div>
    <w:div w:id="1368527435">
      <w:bodyDiv w:val="1"/>
      <w:marLeft w:val="0"/>
      <w:marRight w:val="0"/>
      <w:marTop w:val="0"/>
      <w:marBottom w:val="0"/>
      <w:divBdr>
        <w:top w:val="none" w:sz="0" w:space="0" w:color="auto"/>
        <w:left w:val="none" w:sz="0" w:space="0" w:color="auto"/>
        <w:bottom w:val="none" w:sz="0" w:space="0" w:color="auto"/>
        <w:right w:val="none" w:sz="0" w:space="0" w:color="auto"/>
      </w:divBdr>
    </w:div>
    <w:div w:id="1383017933">
      <w:bodyDiv w:val="1"/>
      <w:marLeft w:val="0"/>
      <w:marRight w:val="0"/>
      <w:marTop w:val="0"/>
      <w:marBottom w:val="0"/>
      <w:divBdr>
        <w:top w:val="none" w:sz="0" w:space="0" w:color="auto"/>
        <w:left w:val="none" w:sz="0" w:space="0" w:color="auto"/>
        <w:bottom w:val="none" w:sz="0" w:space="0" w:color="auto"/>
        <w:right w:val="none" w:sz="0" w:space="0" w:color="auto"/>
      </w:divBdr>
    </w:div>
    <w:div w:id="1386831725">
      <w:bodyDiv w:val="1"/>
      <w:marLeft w:val="0"/>
      <w:marRight w:val="0"/>
      <w:marTop w:val="0"/>
      <w:marBottom w:val="0"/>
      <w:divBdr>
        <w:top w:val="none" w:sz="0" w:space="0" w:color="auto"/>
        <w:left w:val="none" w:sz="0" w:space="0" w:color="auto"/>
        <w:bottom w:val="none" w:sz="0" w:space="0" w:color="auto"/>
        <w:right w:val="none" w:sz="0" w:space="0" w:color="auto"/>
      </w:divBdr>
    </w:div>
    <w:div w:id="1411194612">
      <w:bodyDiv w:val="1"/>
      <w:marLeft w:val="0"/>
      <w:marRight w:val="0"/>
      <w:marTop w:val="0"/>
      <w:marBottom w:val="0"/>
      <w:divBdr>
        <w:top w:val="none" w:sz="0" w:space="0" w:color="auto"/>
        <w:left w:val="none" w:sz="0" w:space="0" w:color="auto"/>
        <w:bottom w:val="none" w:sz="0" w:space="0" w:color="auto"/>
        <w:right w:val="none" w:sz="0" w:space="0" w:color="auto"/>
      </w:divBdr>
    </w:div>
    <w:div w:id="1428229207">
      <w:bodyDiv w:val="1"/>
      <w:marLeft w:val="0"/>
      <w:marRight w:val="0"/>
      <w:marTop w:val="0"/>
      <w:marBottom w:val="0"/>
      <w:divBdr>
        <w:top w:val="none" w:sz="0" w:space="0" w:color="auto"/>
        <w:left w:val="none" w:sz="0" w:space="0" w:color="auto"/>
        <w:bottom w:val="none" w:sz="0" w:space="0" w:color="auto"/>
        <w:right w:val="none" w:sz="0" w:space="0" w:color="auto"/>
      </w:divBdr>
    </w:div>
    <w:div w:id="1429617162">
      <w:bodyDiv w:val="1"/>
      <w:marLeft w:val="0"/>
      <w:marRight w:val="0"/>
      <w:marTop w:val="0"/>
      <w:marBottom w:val="0"/>
      <w:divBdr>
        <w:top w:val="none" w:sz="0" w:space="0" w:color="auto"/>
        <w:left w:val="none" w:sz="0" w:space="0" w:color="auto"/>
        <w:bottom w:val="none" w:sz="0" w:space="0" w:color="auto"/>
        <w:right w:val="none" w:sz="0" w:space="0" w:color="auto"/>
      </w:divBdr>
    </w:div>
    <w:div w:id="1447580447">
      <w:bodyDiv w:val="1"/>
      <w:marLeft w:val="0"/>
      <w:marRight w:val="0"/>
      <w:marTop w:val="0"/>
      <w:marBottom w:val="0"/>
      <w:divBdr>
        <w:top w:val="none" w:sz="0" w:space="0" w:color="auto"/>
        <w:left w:val="none" w:sz="0" w:space="0" w:color="auto"/>
        <w:bottom w:val="none" w:sz="0" w:space="0" w:color="auto"/>
        <w:right w:val="none" w:sz="0" w:space="0" w:color="auto"/>
      </w:divBdr>
    </w:div>
    <w:div w:id="1474131562">
      <w:bodyDiv w:val="1"/>
      <w:marLeft w:val="0"/>
      <w:marRight w:val="0"/>
      <w:marTop w:val="0"/>
      <w:marBottom w:val="0"/>
      <w:divBdr>
        <w:top w:val="none" w:sz="0" w:space="0" w:color="auto"/>
        <w:left w:val="none" w:sz="0" w:space="0" w:color="auto"/>
        <w:bottom w:val="none" w:sz="0" w:space="0" w:color="auto"/>
        <w:right w:val="none" w:sz="0" w:space="0" w:color="auto"/>
      </w:divBdr>
    </w:div>
    <w:div w:id="1479834675">
      <w:bodyDiv w:val="1"/>
      <w:marLeft w:val="0"/>
      <w:marRight w:val="0"/>
      <w:marTop w:val="0"/>
      <w:marBottom w:val="0"/>
      <w:divBdr>
        <w:top w:val="none" w:sz="0" w:space="0" w:color="auto"/>
        <w:left w:val="none" w:sz="0" w:space="0" w:color="auto"/>
        <w:bottom w:val="none" w:sz="0" w:space="0" w:color="auto"/>
        <w:right w:val="none" w:sz="0" w:space="0" w:color="auto"/>
      </w:divBdr>
    </w:div>
    <w:div w:id="1481997372">
      <w:bodyDiv w:val="1"/>
      <w:marLeft w:val="0"/>
      <w:marRight w:val="0"/>
      <w:marTop w:val="0"/>
      <w:marBottom w:val="0"/>
      <w:divBdr>
        <w:top w:val="none" w:sz="0" w:space="0" w:color="auto"/>
        <w:left w:val="none" w:sz="0" w:space="0" w:color="auto"/>
        <w:bottom w:val="none" w:sz="0" w:space="0" w:color="auto"/>
        <w:right w:val="none" w:sz="0" w:space="0" w:color="auto"/>
      </w:divBdr>
    </w:div>
    <w:div w:id="1485124648">
      <w:bodyDiv w:val="1"/>
      <w:marLeft w:val="0"/>
      <w:marRight w:val="0"/>
      <w:marTop w:val="0"/>
      <w:marBottom w:val="0"/>
      <w:divBdr>
        <w:top w:val="none" w:sz="0" w:space="0" w:color="auto"/>
        <w:left w:val="none" w:sz="0" w:space="0" w:color="auto"/>
        <w:bottom w:val="none" w:sz="0" w:space="0" w:color="auto"/>
        <w:right w:val="none" w:sz="0" w:space="0" w:color="auto"/>
      </w:divBdr>
    </w:div>
    <w:div w:id="1487043412">
      <w:bodyDiv w:val="1"/>
      <w:marLeft w:val="0"/>
      <w:marRight w:val="0"/>
      <w:marTop w:val="0"/>
      <w:marBottom w:val="0"/>
      <w:divBdr>
        <w:top w:val="none" w:sz="0" w:space="0" w:color="auto"/>
        <w:left w:val="none" w:sz="0" w:space="0" w:color="auto"/>
        <w:bottom w:val="none" w:sz="0" w:space="0" w:color="auto"/>
        <w:right w:val="none" w:sz="0" w:space="0" w:color="auto"/>
      </w:divBdr>
    </w:div>
    <w:div w:id="1491285854">
      <w:bodyDiv w:val="1"/>
      <w:marLeft w:val="0"/>
      <w:marRight w:val="0"/>
      <w:marTop w:val="0"/>
      <w:marBottom w:val="0"/>
      <w:divBdr>
        <w:top w:val="none" w:sz="0" w:space="0" w:color="auto"/>
        <w:left w:val="none" w:sz="0" w:space="0" w:color="auto"/>
        <w:bottom w:val="none" w:sz="0" w:space="0" w:color="auto"/>
        <w:right w:val="none" w:sz="0" w:space="0" w:color="auto"/>
      </w:divBdr>
    </w:div>
    <w:div w:id="1502352845">
      <w:bodyDiv w:val="1"/>
      <w:marLeft w:val="0"/>
      <w:marRight w:val="0"/>
      <w:marTop w:val="0"/>
      <w:marBottom w:val="0"/>
      <w:divBdr>
        <w:top w:val="none" w:sz="0" w:space="0" w:color="auto"/>
        <w:left w:val="none" w:sz="0" w:space="0" w:color="auto"/>
        <w:bottom w:val="none" w:sz="0" w:space="0" w:color="auto"/>
        <w:right w:val="none" w:sz="0" w:space="0" w:color="auto"/>
      </w:divBdr>
    </w:div>
    <w:div w:id="1517891014">
      <w:bodyDiv w:val="1"/>
      <w:marLeft w:val="0"/>
      <w:marRight w:val="0"/>
      <w:marTop w:val="0"/>
      <w:marBottom w:val="0"/>
      <w:divBdr>
        <w:top w:val="none" w:sz="0" w:space="0" w:color="auto"/>
        <w:left w:val="none" w:sz="0" w:space="0" w:color="auto"/>
        <w:bottom w:val="none" w:sz="0" w:space="0" w:color="auto"/>
        <w:right w:val="none" w:sz="0" w:space="0" w:color="auto"/>
      </w:divBdr>
    </w:div>
    <w:div w:id="1518422980">
      <w:bodyDiv w:val="1"/>
      <w:marLeft w:val="0"/>
      <w:marRight w:val="0"/>
      <w:marTop w:val="0"/>
      <w:marBottom w:val="0"/>
      <w:divBdr>
        <w:top w:val="none" w:sz="0" w:space="0" w:color="auto"/>
        <w:left w:val="none" w:sz="0" w:space="0" w:color="auto"/>
        <w:bottom w:val="none" w:sz="0" w:space="0" w:color="auto"/>
        <w:right w:val="none" w:sz="0" w:space="0" w:color="auto"/>
      </w:divBdr>
    </w:div>
    <w:div w:id="1521167509">
      <w:bodyDiv w:val="1"/>
      <w:marLeft w:val="0"/>
      <w:marRight w:val="0"/>
      <w:marTop w:val="0"/>
      <w:marBottom w:val="0"/>
      <w:divBdr>
        <w:top w:val="none" w:sz="0" w:space="0" w:color="auto"/>
        <w:left w:val="none" w:sz="0" w:space="0" w:color="auto"/>
        <w:bottom w:val="none" w:sz="0" w:space="0" w:color="auto"/>
        <w:right w:val="none" w:sz="0" w:space="0" w:color="auto"/>
      </w:divBdr>
    </w:div>
    <w:div w:id="1521434230">
      <w:bodyDiv w:val="1"/>
      <w:marLeft w:val="0"/>
      <w:marRight w:val="0"/>
      <w:marTop w:val="0"/>
      <w:marBottom w:val="0"/>
      <w:divBdr>
        <w:top w:val="none" w:sz="0" w:space="0" w:color="auto"/>
        <w:left w:val="none" w:sz="0" w:space="0" w:color="auto"/>
        <w:bottom w:val="none" w:sz="0" w:space="0" w:color="auto"/>
        <w:right w:val="none" w:sz="0" w:space="0" w:color="auto"/>
      </w:divBdr>
    </w:div>
    <w:div w:id="1521506141">
      <w:bodyDiv w:val="1"/>
      <w:marLeft w:val="0"/>
      <w:marRight w:val="0"/>
      <w:marTop w:val="0"/>
      <w:marBottom w:val="0"/>
      <w:divBdr>
        <w:top w:val="none" w:sz="0" w:space="0" w:color="auto"/>
        <w:left w:val="none" w:sz="0" w:space="0" w:color="auto"/>
        <w:bottom w:val="none" w:sz="0" w:space="0" w:color="auto"/>
        <w:right w:val="none" w:sz="0" w:space="0" w:color="auto"/>
      </w:divBdr>
    </w:div>
    <w:div w:id="1537736791">
      <w:bodyDiv w:val="1"/>
      <w:marLeft w:val="0"/>
      <w:marRight w:val="0"/>
      <w:marTop w:val="0"/>
      <w:marBottom w:val="0"/>
      <w:divBdr>
        <w:top w:val="none" w:sz="0" w:space="0" w:color="auto"/>
        <w:left w:val="none" w:sz="0" w:space="0" w:color="auto"/>
        <w:bottom w:val="none" w:sz="0" w:space="0" w:color="auto"/>
        <w:right w:val="none" w:sz="0" w:space="0" w:color="auto"/>
      </w:divBdr>
    </w:div>
    <w:div w:id="1539781850">
      <w:bodyDiv w:val="1"/>
      <w:marLeft w:val="0"/>
      <w:marRight w:val="0"/>
      <w:marTop w:val="0"/>
      <w:marBottom w:val="0"/>
      <w:divBdr>
        <w:top w:val="none" w:sz="0" w:space="0" w:color="auto"/>
        <w:left w:val="none" w:sz="0" w:space="0" w:color="auto"/>
        <w:bottom w:val="none" w:sz="0" w:space="0" w:color="auto"/>
        <w:right w:val="none" w:sz="0" w:space="0" w:color="auto"/>
      </w:divBdr>
    </w:div>
    <w:div w:id="1544365724">
      <w:bodyDiv w:val="1"/>
      <w:marLeft w:val="0"/>
      <w:marRight w:val="0"/>
      <w:marTop w:val="0"/>
      <w:marBottom w:val="0"/>
      <w:divBdr>
        <w:top w:val="none" w:sz="0" w:space="0" w:color="auto"/>
        <w:left w:val="none" w:sz="0" w:space="0" w:color="auto"/>
        <w:bottom w:val="none" w:sz="0" w:space="0" w:color="auto"/>
        <w:right w:val="none" w:sz="0" w:space="0" w:color="auto"/>
      </w:divBdr>
    </w:div>
    <w:div w:id="1562985147">
      <w:bodyDiv w:val="1"/>
      <w:marLeft w:val="0"/>
      <w:marRight w:val="0"/>
      <w:marTop w:val="0"/>
      <w:marBottom w:val="0"/>
      <w:divBdr>
        <w:top w:val="none" w:sz="0" w:space="0" w:color="auto"/>
        <w:left w:val="none" w:sz="0" w:space="0" w:color="auto"/>
        <w:bottom w:val="none" w:sz="0" w:space="0" w:color="auto"/>
        <w:right w:val="none" w:sz="0" w:space="0" w:color="auto"/>
      </w:divBdr>
    </w:div>
    <w:div w:id="1564758855">
      <w:bodyDiv w:val="1"/>
      <w:marLeft w:val="0"/>
      <w:marRight w:val="0"/>
      <w:marTop w:val="0"/>
      <w:marBottom w:val="0"/>
      <w:divBdr>
        <w:top w:val="none" w:sz="0" w:space="0" w:color="auto"/>
        <w:left w:val="none" w:sz="0" w:space="0" w:color="auto"/>
        <w:bottom w:val="none" w:sz="0" w:space="0" w:color="auto"/>
        <w:right w:val="none" w:sz="0" w:space="0" w:color="auto"/>
      </w:divBdr>
    </w:div>
    <w:div w:id="1575240554">
      <w:bodyDiv w:val="1"/>
      <w:marLeft w:val="0"/>
      <w:marRight w:val="0"/>
      <w:marTop w:val="0"/>
      <w:marBottom w:val="0"/>
      <w:divBdr>
        <w:top w:val="none" w:sz="0" w:space="0" w:color="auto"/>
        <w:left w:val="none" w:sz="0" w:space="0" w:color="auto"/>
        <w:bottom w:val="none" w:sz="0" w:space="0" w:color="auto"/>
        <w:right w:val="none" w:sz="0" w:space="0" w:color="auto"/>
      </w:divBdr>
    </w:div>
    <w:div w:id="1577936829">
      <w:bodyDiv w:val="1"/>
      <w:marLeft w:val="0"/>
      <w:marRight w:val="0"/>
      <w:marTop w:val="0"/>
      <w:marBottom w:val="0"/>
      <w:divBdr>
        <w:top w:val="none" w:sz="0" w:space="0" w:color="auto"/>
        <w:left w:val="none" w:sz="0" w:space="0" w:color="auto"/>
        <w:bottom w:val="none" w:sz="0" w:space="0" w:color="auto"/>
        <w:right w:val="none" w:sz="0" w:space="0" w:color="auto"/>
      </w:divBdr>
    </w:div>
    <w:div w:id="1594821729">
      <w:bodyDiv w:val="1"/>
      <w:marLeft w:val="0"/>
      <w:marRight w:val="0"/>
      <w:marTop w:val="0"/>
      <w:marBottom w:val="0"/>
      <w:divBdr>
        <w:top w:val="none" w:sz="0" w:space="0" w:color="auto"/>
        <w:left w:val="none" w:sz="0" w:space="0" w:color="auto"/>
        <w:bottom w:val="none" w:sz="0" w:space="0" w:color="auto"/>
        <w:right w:val="none" w:sz="0" w:space="0" w:color="auto"/>
      </w:divBdr>
    </w:div>
    <w:div w:id="1615283730">
      <w:bodyDiv w:val="1"/>
      <w:marLeft w:val="0"/>
      <w:marRight w:val="0"/>
      <w:marTop w:val="0"/>
      <w:marBottom w:val="0"/>
      <w:divBdr>
        <w:top w:val="none" w:sz="0" w:space="0" w:color="auto"/>
        <w:left w:val="none" w:sz="0" w:space="0" w:color="auto"/>
        <w:bottom w:val="none" w:sz="0" w:space="0" w:color="auto"/>
        <w:right w:val="none" w:sz="0" w:space="0" w:color="auto"/>
      </w:divBdr>
    </w:div>
    <w:div w:id="1622609263">
      <w:bodyDiv w:val="1"/>
      <w:marLeft w:val="0"/>
      <w:marRight w:val="0"/>
      <w:marTop w:val="0"/>
      <w:marBottom w:val="0"/>
      <w:divBdr>
        <w:top w:val="none" w:sz="0" w:space="0" w:color="auto"/>
        <w:left w:val="none" w:sz="0" w:space="0" w:color="auto"/>
        <w:bottom w:val="none" w:sz="0" w:space="0" w:color="auto"/>
        <w:right w:val="none" w:sz="0" w:space="0" w:color="auto"/>
      </w:divBdr>
    </w:div>
    <w:div w:id="1623731076">
      <w:bodyDiv w:val="1"/>
      <w:marLeft w:val="0"/>
      <w:marRight w:val="0"/>
      <w:marTop w:val="0"/>
      <w:marBottom w:val="0"/>
      <w:divBdr>
        <w:top w:val="none" w:sz="0" w:space="0" w:color="auto"/>
        <w:left w:val="none" w:sz="0" w:space="0" w:color="auto"/>
        <w:bottom w:val="none" w:sz="0" w:space="0" w:color="auto"/>
        <w:right w:val="none" w:sz="0" w:space="0" w:color="auto"/>
      </w:divBdr>
    </w:div>
    <w:div w:id="1626425567">
      <w:bodyDiv w:val="1"/>
      <w:marLeft w:val="0"/>
      <w:marRight w:val="0"/>
      <w:marTop w:val="0"/>
      <w:marBottom w:val="0"/>
      <w:divBdr>
        <w:top w:val="none" w:sz="0" w:space="0" w:color="auto"/>
        <w:left w:val="none" w:sz="0" w:space="0" w:color="auto"/>
        <w:bottom w:val="none" w:sz="0" w:space="0" w:color="auto"/>
        <w:right w:val="none" w:sz="0" w:space="0" w:color="auto"/>
      </w:divBdr>
    </w:div>
    <w:div w:id="1658462633">
      <w:bodyDiv w:val="1"/>
      <w:marLeft w:val="0"/>
      <w:marRight w:val="0"/>
      <w:marTop w:val="0"/>
      <w:marBottom w:val="0"/>
      <w:divBdr>
        <w:top w:val="none" w:sz="0" w:space="0" w:color="auto"/>
        <w:left w:val="none" w:sz="0" w:space="0" w:color="auto"/>
        <w:bottom w:val="none" w:sz="0" w:space="0" w:color="auto"/>
        <w:right w:val="none" w:sz="0" w:space="0" w:color="auto"/>
      </w:divBdr>
    </w:div>
    <w:div w:id="1723484556">
      <w:bodyDiv w:val="1"/>
      <w:marLeft w:val="0"/>
      <w:marRight w:val="0"/>
      <w:marTop w:val="0"/>
      <w:marBottom w:val="0"/>
      <w:divBdr>
        <w:top w:val="none" w:sz="0" w:space="0" w:color="auto"/>
        <w:left w:val="none" w:sz="0" w:space="0" w:color="auto"/>
        <w:bottom w:val="none" w:sz="0" w:space="0" w:color="auto"/>
        <w:right w:val="none" w:sz="0" w:space="0" w:color="auto"/>
      </w:divBdr>
    </w:div>
    <w:div w:id="1736733214">
      <w:bodyDiv w:val="1"/>
      <w:marLeft w:val="0"/>
      <w:marRight w:val="0"/>
      <w:marTop w:val="0"/>
      <w:marBottom w:val="0"/>
      <w:divBdr>
        <w:top w:val="none" w:sz="0" w:space="0" w:color="auto"/>
        <w:left w:val="none" w:sz="0" w:space="0" w:color="auto"/>
        <w:bottom w:val="none" w:sz="0" w:space="0" w:color="auto"/>
        <w:right w:val="none" w:sz="0" w:space="0" w:color="auto"/>
      </w:divBdr>
    </w:div>
    <w:div w:id="1770657639">
      <w:bodyDiv w:val="1"/>
      <w:marLeft w:val="0"/>
      <w:marRight w:val="0"/>
      <w:marTop w:val="0"/>
      <w:marBottom w:val="0"/>
      <w:divBdr>
        <w:top w:val="none" w:sz="0" w:space="0" w:color="auto"/>
        <w:left w:val="none" w:sz="0" w:space="0" w:color="auto"/>
        <w:bottom w:val="none" w:sz="0" w:space="0" w:color="auto"/>
        <w:right w:val="none" w:sz="0" w:space="0" w:color="auto"/>
      </w:divBdr>
    </w:div>
    <w:div w:id="1782843104">
      <w:bodyDiv w:val="1"/>
      <w:marLeft w:val="0"/>
      <w:marRight w:val="0"/>
      <w:marTop w:val="0"/>
      <w:marBottom w:val="0"/>
      <w:divBdr>
        <w:top w:val="none" w:sz="0" w:space="0" w:color="auto"/>
        <w:left w:val="none" w:sz="0" w:space="0" w:color="auto"/>
        <w:bottom w:val="none" w:sz="0" w:space="0" w:color="auto"/>
        <w:right w:val="none" w:sz="0" w:space="0" w:color="auto"/>
      </w:divBdr>
    </w:div>
    <w:div w:id="1786149088">
      <w:bodyDiv w:val="1"/>
      <w:marLeft w:val="0"/>
      <w:marRight w:val="0"/>
      <w:marTop w:val="0"/>
      <w:marBottom w:val="0"/>
      <w:divBdr>
        <w:top w:val="none" w:sz="0" w:space="0" w:color="auto"/>
        <w:left w:val="none" w:sz="0" w:space="0" w:color="auto"/>
        <w:bottom w:val="none" w:sz="0" w:space="0" w:color="auto"/>
        <w:right w:val="none" w:sz="0" w:space="0" w:color="auto"/>
      </w:divBdr>
    </w:div>
    <w:div w:id="1798721660">
      <w:bodyDiv w:val="1"/>
      <w:marLeft w:val="0"/>
      <w:marRight w:val="0"/>
      <w:marTop w:val="0"/>
      <w:marBottom w:val="0"/>
      <w:divBdr>
        <w:top w:val="none" w:sz="0" w:space="0" w:color="auto"/>
        <w:left w:val="none" w:sz="0" w:space="0" w:color="auto"/>
        <w:bottom w:val="none" w:sz="0" w:space="0" w:color="auto"/>
        <w:right w:val="none" w:sz="0" w:space="0" w:color="auto"/>
      </w:divBdr>
    </w:div>
    <w:div w:id="1801219006">
      <w:bodyDiv w:val="1"/>
      <w:marLeft w:val="0"/>
      <w:marRight w:val="0"/>
      <w:marTop w:val="0"/>
      <w:marBottom w:val="0"/>
      <w:divBdr>
        <w:top w:val="none" w:sz="0" w:space="0" w:color="auto"/>
        <w:left w:val="none" w:sz="0" w:space="0" w:color="auto"/>
        <w:bottom w:val="none" w:sz="0" w:space="0" w:color="auto"/>
        <w:right w:val="none" w:sz="0" w:space="0" w:color="auto"/>
      </w:divBdr>
    </w:div>
    <w:div w:id="1806001423">
      <w:bodyDiv w:val="1"/>
      <w:marLeft w:val="0"/>
      <w:marRight w:val="0"/>
      <w:marTop w:val="0"/>
      <w:marBottom w:val="0"/>
      <w:divBdr>
        <w:top w:val="none" w:sz="0" w:space="0" w:color="auto"/>
        <w:left w:val="none" w:sz="0" w:space="0" w:color="auto"/>
        <w:bottom w:val="none" w:sz="0" w:space="0" w:color="auto"/>
        <w:right w:val="none" w:sz="0" w:space="0" w:color="auto"/>
      </w:divBdr>
    </w:div>
    <w:div w:id="1808548001">
      <w:bodyDiv w:val="1"/>
      <w:marLeft w:val="0"/>
      <w:marRight w:val="0"/>
      <w:marTop w:val="0"/>
      <w:marBottom w:val="0"/>
      <w:divBdr>
        <w:top w:val="none" w:sz="0" w:space="0" w:color="auto"/>
        <w:left w:val="none" w:sz="0" w:space="0" w:color="auto"/>
        <w:bottom w:val="none" w:sz="0" w:space="0" w:color="auto"/>
        <w:right w:val="none" w:sz="0" w:space="0" w:color="auto"/>
      </w:divBdr>
    </w:div>
    <w:div w:id="1843810446">
      <w:bodyDiv w:val="1"/>
      <w:marLeft w:val="0"/>
      <w:marRight w:val="0"/>
      <w:marTop w:val="0"/>
      <w:marBottom w:val="0"/>
      <w:divBdr>
        <w:top w:val="none" w:sz="0" w:space="0" w:color="auto"/>
        <w:left w:val="none" w:sz="0" w:space="0" w:color="auto"/>
        <w:bottom w:val="none" w:sz="0" w:space="0" w:color="auto"/>
        <w:right w:val="none" w:sz="0" w:space="0" w:color="auto"/>
      </w:divBdr>
    </w:div>
    <w:div w:id="1849249714">
      <w:bodyDiv w:val="1"/>
      <w:marLeft w:val="0"/>
      <w:marRight w:val="0"/>
      <w:marTop w:val="0"/>
      <w:marBottom w:val="0"/>
      <w:divBdr>
        <w:top w:val="none" w:sz="0" w:space="0" w:color="auto"/>
        <w:left w:val="none" w:sz="0" w:space="0" w:color="auto"/>
        <w:bottom w:val="none" w:sz="0" w:space="0" w:color="auto"/>
        <w:right w:val="none" w:sz="0" w:space="0" w:color="auto"/>
      </w:divBdr>
    </w:div>
    <w:div w:id="1849905498">
      <w:bodyDiv w:val="1"/>
      <w:marLeft w:val="0"/>
      <w:marRight w:val="0"/>
      <w:marTop w:val="0"/>
      <w:marBottom w:val="0"/>
      <w:divBdr>
        <w:top w:val="none" w:sz="0" w:space="0" w:color="auto"/>
        <w:left w:val="none" w:sz="0" w:space="0" w:color="auto"/>
        <w:bottom w:val="none" w:sz="0" w:space="0" w:color="auto"/>
        <w:right w:val="none" w:sz="0" w:space="0" w:color="auto"/>
      </w:divBdr>
    </w:div>
    <w:div w:id="1865166077">
      <w:bodyDiv w:val="1"/>
      <w:marLeft w:val="0"/>
      <w:marRight w:val="0"/>
      <w:marTop w:val="0"/>
      <w:marBottom w:val="0"/>
      <w:divBdr>
        <w:top w:val="none" w:sz="0" w:space="0" w:color="auto"/>
        <w:left w:val="none" w:sz="0" w:space="0" w:color="auto"/>
        <w:bottom w:val="none" w:sz="0" w:space="0" w:color="auto"/>
        <w:right w:val="none" w:sz="0" w:space="0" w:color="auto"/>
      </w:divBdr>
    </w:div>
    <w:div w:id="1880848923">
      <w:bodyDiv w:val="1"/>
      <w:marLeft w:val="0"/>
      <w:marRight w:val="0"/>
      <w:marTop w:val="0"/>
      <w:marBottom w:val="0"/>
      <w:divBdr>
        <w:top w:val="none" w:sz="0" w:space="0" w:color="auto"/>
        <w:left w:val="none" w:sz="0" w:space="0" w:color="auto"/>
        <w:bottom w:val="none" w:sz="0" w:space="0" w:color="auto"/>
        <w:right w:val="none" w:sz="0" w:space="0" w:color="auto"/>
      </w:divBdr>
    </w:div>
    <w:div w:id="1897549147">
      <w:bodyDiv w:val="1"/>
      <w:marLeft w:val="0"/>
      <w:marRight w:val="0"/>
      <w:marTop w:val="0"/>
      <w:marBottom w:val="0"/>
      <w:divBdr>
        <w:top w:val="none" w:sz="0" w:space="0" w:color="auto"/>
        <w:left w:val="none" w:sz="0" w:space="0" w:color="auto"/>
        <w:bottom w:val="none" w:sz="0" w:space="0" w:color="auto"/>
        <w:right w:val="none" w:sz="0" w:space="0" w:color="auto"/>
      </w:divBdr>
    </w:div>
    <w:div w:id="1912155932">
      <w:bodyDiv w:val="1"/>
      <w:marLeft w:val="0"/>
      <w:marRight w:val="0"/>
      <w:marTop w:val="0"/>
      <w:marBottom w:val="0"/>
      <w:divBdr>
        <w:top w:val="none" w:sz="0" w:space="0" w:color="auto"/>
        <w:left w:val="none" w:sz="0" w:space="0" w:color="auto"/>
        <w:bottom w:val="none" w:sz="0" w:space="0" w:color="auto"/>
        <w:right w:val="none" w:sz="0" w:space="0" w:color="auto"/>
      </w:divBdr>
    </w:div>
    <w:div w:id="1915621882">
      <w:bodyDiv w:val="1"/>
      <w:marLeft w:val="0"/>
      <w:marRight w:val="0"/>
      <w:marTop w:val="0"/>
      <w:marBottom w:val="0"/>
      <w:divBdr>
        <w:top w:val="none" w:sz="0" w:space="0" w:color="auto"/>
        <w:left w:val="none" w:sz="0" w:space="0" w:color="auto"/>
        <w:bottom w:val="none" w:sz="0" w:space="0" w:color="auto"/>
        <w:right w:val="none" w:sz="0" w:space="0" w:color="auto"/>
      </w:divBdr>
    </w:div>
    <w:div w:id="1959676212">
      <w:bodyDiv w:val="1"/>
      <w:marLeft w:val="0"/>
      <w:marRight w:val="0"/>
      <w:marTop w:val="0"/>
      <w:marBottom w:val="0"/>
      <w:divBdr>
        <w:top w:val="none" w:sz="0" w:space="0" w:color="auto"/>
        <w:left w:val="none" w:sz="0" w:space="0" w:color="auto"/>
        <w:bottom w:val="none" w:sz="0" w:space="0" w:color="auto"/>
        <w:right w:val="none" w:sz="0" w:space="0" w:color="auto"/>
      </w:divBdr>
    </w:div>
    <w:div w:id="1966962694">
      <w:bodyDiv w:val="1"/>
      <w:marLeft w:val="0"/>
      <w:marRight w:val="0"/>
      <w:marTop w:val="0"/>
      <w:marBottom w:val="0"/>
      <w:divBdr>
        <w:top w:val="none" w:sz="0" w:space="0" w:color="auto"/>
        <w:left w:val="none" w:sz="0" w:space="0" w:color="auto"/>
        <w:bottom w:val="none" w:sz="0" w:space="0" w:color="auto"/>
        <w:right w:val="none" w:sz="0" w:space="0" w:color="auto"/>
      </w:divBdr>
    </w:div>
    <w:div w:id="1972862201">
      <w:bodyDiv w:val="1"/>
      <w:marLeft w:val="0"/>
      <w:marRight w:val="0"/>
      <w:marTop w:val="0"/>
      <w:marBottom w:val="0"/>
      <w:divBdr>
        <w:top w:val="none" w:sz="0" w:space="0" w:color="auto"/>
        <w:left w:val="none" w:sz="0" w:space="0" w:color="auto"/>
        <w:bottom w:val="none" w:sz="0" w:space="0" w:color="auto"/>
        <w:right w:val="none" w:sz="0" w:space="0" w:color="auto"/>
      </w:divBdr>
    </w:div>
    <w:div w:id="1985891554">
      <w:bodyDiv w:val="1"/>
      <w:marLeft w:val="0"/>
      <w:marRight w:val="0"/>
      <w:marTop w:val="0"/>
      <w:marBottom w:val="0"/>
      <w:divBdr>
        <w:top w:val="none" w:sz="0" w:space="0" w:color="auto"/>
        <w:left w:val="none" w:sz="0" w:space="0" w:color="auto"/>
        <w:bottom w:val="none" w:sz="0" w:space="0" w:color="auto"/>
        <w:right w:val="none" w:sz="0" w:space="0" w:color="auto"/>
      </w:divBdr>
    </w:div>
    <w:div w:id="1993682275">
      <w:bodyDiv w:val="1"/>
      <w:marLeft w:val="0"/>
      <w:marRight w:val="0"/>
      <w:marTop w:val="0"/>
      <w:marBottom w:val="0"/>
      <w:divBdr>
        <w:top w:val="none" w:sz="0" w:space="0" w:color="auto"/>
        <w:left w:val="none" w:sz="0" w:space="0" w:color="auto"/>
        <w:bottom w:val="none" w:sz="0" w:space="0" w:color="auto"/>
        <w:right w:val="none" w:sz="0" w:space="0" w:color="auto"/>
      </w:divBdr>
    </w:div>
    <w:div w:id="2021590258">
      <w:bodyDiv w:val="1"/>
      <w:marLeft w:val="0"/>
      <w:marRight w:val="0"/>
      <w:marTop w:val="0"/>
      <w:marBottom w:val="0"/>
      <w:divBdr>
        <w:top w:val="none" w:sz="0" w:space="0" w:color="auto"/>
        <w:left w:val="none" w:sz="0" w:space="0" w:color="auto"/>
        <w:bottom w:val="none" w:sz="0" w:space="0" w:color="auto"/>
        <w:right w:val="none" w:sz="0" w:space="0" w:color="auto"/>
      </w:divBdr>
    </w:div>
    <w:div w:id="2040813748">
      <w:bodyDiv w:val="1"/>
      <w:marLeft w:val="0"/>
      <w:marRight w:val="0"/>
      <w:marTop w:val="0"/>
      <w:marBottom w:val="0"/>
      <w:divBdr>
        <w:top w:val="none" w:sz="0" w:space="0" w:color="auto"/>
        <w:left w:val="none" w:sz="0" w:space="0" w:color="auto"/>
        <w:bottom w:val="none" w:sz="0" w:space="0" w:color="auto"/>
        <w:right w:val="none" w:sz="0" w:space="0" w:color="auto"/>
      </w:divBdr>
    </w:div>
    <w:div w:id="2063745455">
      <w:bodyDiv w:val="1"/>
      <w:marLeft w:val="0"/>
      <w:marRight w:val="0"/>
      <w:marTop w:val="0"/>
      <w:marBottom w:val="0"/>
      <w:divBdr>
        <w:top w:val="none" w:sz="0" w:space="0" w:color="auto"/>
        <w:left w:val="none" w:sz="0" w:space="0" w:color="auto"/>
        <w:bottom w:val="none" w:sz="0" w:space="0" w:color="auto"/>
        <w:right w:val="none" w:sz="0" w:space="0" w:color="auto"/>
      </w:divBdr>
    </w:div>
    <w:div w:id="2075395544">
      <w:bodyDiv w:val="1"/>
      <w:marLeft w:val="0"/>
      <w:marRight w:val="0"/>
      <w:marTop w:val="0"/>
      <w:marBottom w:val="0"/>
      <w:divBdr>
        <w:top w:val="none" w:sz="0" w:space="0" w:color="auto"/>
        <w:left w:val="none" w:sz="0" w:space="0" w:color="auto"/>
        <w:bottom w:val="none" w:sz="0" w:space="0" w:color="auto"/>
        <w:right w:val="none" w:sz="0" w:space="0" w:color="auto"/>
      </w:divBdr>
    </w:div>
    <w:div w:id="2076852039">
      <w:bodyDiv w:val="1"/>
      <w:marLeft w:val="0"/>
      <w:marRight w:val="0"/>
      <w:marTop w:val="0"/>
      <w:marBottom w:val="0"/>
      <w:divBdr>
        <w:top w:val="none" w:sz="0" w:space="0" w:color="auto"/>
        <w:left w:val="none" w:sz="0" w:space="0" w:color="auto"/>
        <w:bottom w:val="none" w:sz="0" w:space="0" w:color="auto"/>
        <w:right w:val="none" w:sz="0" w:space="0" w:color="auto"/>
      </w:divBdr>
    </w:div>
    <w:div w:id="2136440196">
      <w:bodyDiv w:val="1"/>
      <w:marLeft w:val="0"/>
      <w:marRight w:val="0"/>
      <w:marTop w:val="0"/>
      <w:marBottom w:val="0"/>
      <w:divBdr>
        <w:top w:val="none" w:sz="0" w:space="0" w:color="auto"/>
        <w:left w:val="none" w:sz="0" w:space="0" w:color="auto"/>
        <w:bottom w:val="none" w:sz="0" w:space="0" w:color="auto"/>
        <w:right w:val="none" w:sz="0" w:space="0" w:color="auto"/>
      </w:divBdr>
    </w:div>
    <w:div w:id="21444933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hamthithuyhang@qnu.edu.vn" TargetMode="External"/><Relationship Id="rId3" Type="http://schemas.openxmlformats.org/officeDocument/2006/relationships/styles" Target="styles.xml"/><Relationship Id="rId7" Type="http://schemas.openxmlformats.org/officeDocument/2006/relationships/hyperlink" Target="mailto:phamthithuyhang@qnu.edu.v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hamthithuyhang@qnu.edu.v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513C2A-65A0-4257-B28E-3AD8A737C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5079</TotalTime>
  <Pages>14</Pages>
  <Words>21399</Words>
  <Characters>121976</Characters>
  <Application>Microsoft Office Word</Application>
  <DocSecurity>0</DocSecurity>
  <Lines>1016</Lines>
  <Paragraphs>286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MINH ANH</dc:creator>
  <cp:keywords/>
  <dc:description/>
  <cp:lastModifiedBy>Hang Pham</cp:lastModifiedBy>
  <cp:revision>41</cp:revision>
  <cp:lastPrinted>2025-02-07T10:06:00Z</cp:lastPrinted>
  <dcterms:created xsi:type="dcterms:W3CDTF">2025-02-12T01:10:00Z</dcterms:created>
  <dcterms:modified xsi:type="dcterms:W3CDTF">2026-02-05T07:20:00Z</dcterms:modified>
</cp:coreProperties>
</file>