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3DC0">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p>
    <w:p w14:paraId="152C9C76">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p>
    <w:p w14:paraId="6B7B06B3">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r>
        <w:rPr>
          <w:rFonts w:ascii="Arial Bold" w:hAnsi="Arial Bold" w:eastAsia="Calibri" w:cs="Arial Bold"/>
          <w:b/>
          <w:bCs/>
          <w:color w:val="222222"/>
          <w:sz w:val="32"/>
          <w:szCs w:val="32"/>
          <w:shd w:val="clear" w:color="auto" w:fill="FFFFFF"/>
        </w:rPr>
        <w:t xml:space="preserve">Sử dụng bài luận phản tư </w:t>
      </w:r>
    </w:p>
    <w:p w14:paraId="69BCE4D4">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r>
        <w:rPr>
          <w:rFonts w:ascii="Arial Bold" w:hAnsi="Arial Bold" w:eastAsia="Calibri" w:cs="Arial Bold"/>
          <w:b/>
          <w:bCs/>
          <w:color w:val="222222"/>
          <w:sz w:val="32"/>
          <w:szCs w:val="32"/>
          <w:shd w:val="clear" w:color="auto" w:fill="FFFFFF"/>
        </w:rPr>
        <w:t>để phát triển các kỹ năng tư duy bậc cao</w:t>
      </w:r>
    </w:p>
    <w:p w14:paraId="0EA39720">
      <w:pPr>
        <w:tabs>
          <w:tab w:val="left" w:pos="284"/>
          <w:tab w:val="left" w:pos="567"/>
        </w:tabs>
        <w:spacing w:after="0" w:line="240" w:lineRule="auto"/>
        <w:ind w:right="110" w:rightChars="50"/>
        <w:jc w:val="center"/>
        <w:rPr>
          <w:rFonts w:ascii="Times New Roman Bold" w:hAnsi="Times New Roman Bold" w:eastAsia=".AppleSystemUIFont Bold" w:cs="Times New Roman Bold"/>
          <w:b/>
          <w:bCs/>
          <w:color w:val="222222"/>
          <w:sz w:val="32"/>
          <w:szCs w:val="32"/>
          <w:shd w:val="clear" w:color="auto" w:fill="FFFFFF"/>
        </w:rPr>
      </w:pPr>
    </w:p>
    <w:p w14:paraId="34E94EA3">
      <w:pPr>
        <w:tabs>
          <w:tab w:val="left" w:pos="284"/>
          <w:tab w:val="left" w:pos="567"/>
        </w:tabs>
        <w:spacing w:after="0" w:line="240" w:lineRule="auto"/>
        <w:ind w:right="110" w:rightChars="50"/>
        <w:jc w:val="center"/>
        <w:rPr>
          <w:rFonts w:ascii="Times New Roman" w:hAnsi="Times New Roman Bold" w:eastAsia=".AppleSystemUIFont Bold" w:cs="Times New Roman Bold"/>
          <w:b/>
          <w:bCs/>
          <w:color w:val="222222"/>
          <w:sz w:val="24"/>
          <w:szCs w:val="24"/>
          <w:shd w:val="clear" w:color="auto" w:fill="FFFFFF"/>
        </w:rPr>
      </w:pPr>
      <w:r>
        <w:rPr>
          <w:rFonts w:ascii="Times New Roman" w:hAnsi="Times New Roman Bold" w:eastAsia=".AppleSystemUIFont Bold" w:cs="Times New Roman Bold"/>
          <w:b/>
          <w:bCs/>
          <w:color w:val="222222"/>
          <w:sz w:val="24"/>
          <w:szCs w:val="24"/>
          <w:shd w:val="clear" w:color="auto" w:fill="FFFFFF"/>
        </w:rPr>
        <w:t>Bùi Thị Huỳnh Hoa*</w:t>
      </w:r>
    </w:p>
    <w:p w14:paraId="757A9CE7">
      <w:pPr>
        <w:tabs>
          <w:tab w:val="left" w:pos="284"/>
          <w:tab w:val="left" w:pos="567"/>
        </w:tabs>
        <w:spacing w:after="0" w:line="240" w:lineRule="auto"/>
        <w:ind w:right="110" w:rightChars="50"/>
        <w:jc w:val="center"/>
        <w:rPr>
          <w:rFonts w:ascii="Times New Roman" w:hAnsi="Times New Roman Bold" w:eastAsia=".AppleSystemUIFont Bold" w:cs="Times New Roman Bold"/>
          <w:b/>
          <w:bCs/>
          <w:color w:val="222222"/>
          <w:sz w:val="24"/>
          <w:szCs w:val="24"/>
          <w:shd w:val="clear" w:color="auto" w:fill="FFFFFF"/>
          <w:lang w:val="vi-VN"/>
        </w:rPr>
      </w:pPr>
    </w:p>
    <w:p w14:paraId="7BE23403">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rPr>
      </w:pPr>
      <w:r>
        <w:rPr>
          <w:rFonts w:ascii="Times New Roman" w:hAnsi="Times New Roman" w:eastAsia=".AppleSystemUIFont Bold" w:cs="Times New Roman"/>
          <w:i/>
          <w:iCs/>
          <w:color w:val="222222"/>
          <w:shd w:val="clear" w:color="auto" w:fill="FFFFFF"/>
        </w:rPr>
        <w:t>Khoa Ngoại ngữ, Trường Đại học Quy Nhơn, Việt Nam</w:t>
      </w:r>
    </w:p>
    <w:p w14:paraId="2FF25F16">
      <w:pPr>
        <w:tabs>
          <w:tab w:val="left" w:pos="284"/>
          <w:tab w:val="left" w:pos="567"/>
        </w:tabs>
        <w:spacing w:after="0" w:line="240" w:lineRule="auto"/>
        <w:ind w:right="110" w:rightChars="50"/>
        <w:jc w:val="center"/>
        <w:rPr>
          <w:rFonts w:ascii="Times New Roman Regular" w:hAnsi="Times New Roman Regular" w:eastAsia=".AppleSystemUIFont Bold" w:cs="Times New Roman Regular"/>
          <w:i/>
          <w:iCs/>
          <w:color w:val="222222"/>
          <w:shd w:val="clear" w:color="auto" w:fill="FFFFFF"/>
          <w:lang w:val="vi-VN"/>
        </w:rPr>
      </w:pPr>
    </w:p>
    <w:p w14:paraId="00369C8C">
      <w:pPr>
        <w:tabs>
          <w:tab w:val="left" w:pos="284"/>
          <w:tab w:val="left" w:pos="567"/>
        </w:tabs>
        <w:spacing w:after="0" w:line="240" w:lineRule="auto"/>
        <w:ind w:right="110" w:rightChars="50"/>
        <w:jc w:val="center"/>
        <w:rPr>
          <w:rFonts w:ascii="Times New Roman" w:hAnsi="Times New Roman" w:eastAsia=".AppleSystemUIFont Bold" w:cs="Times New Roman"/>
          <w:bCs/>
          <w:i/>
          <w:color w:val="222222"/>
          <w:sz w:val="24"/>
          <w:szCs w:val="24"/>
          <w:shd w:val="clear" w:color="auto" w:fill="FFFFFF"/>
          <w:lang w:val="vi-VN"/>
        </w:rPr>
      </w:pPr>
      <w:r>
        <w:rPr>
          <w:rFonts w:ascii="Times New Roman" w:hAnsi="Times New Roman" w:eastAsia=".AppleSystemUIFont Bold" w:cs="Times New Roman"/>
          <w:bCs/>
          <w:i/>
          <w:color w:val="222222"/>
          <w:sz w:val="24"/>
          <w:szCs w:val="24"/>
          <w:shd w:val="clear" w:color="auto" w:fill="FFFFFF"/>
        </w:rPr>
        <w:t xml:space="preserve">Tác giả liên hệ chính. </w:t>
      </w:r>
      <w:r>
        <w:rPr>
          <w:rFonts w:ascii="Times New Roman" w:hAnsi="Times New Roman" w:eastAsia=".AppleSystemUIFont Bold" w:cs="Times New Roman"/>
          <w:bCs/>
          <w:i/>
          <w:color w:val="222222"/>
          <w:sz w:val="24"/>
          <w:szCs w:val="24"/>
          <w:shd w:val="clear" w:color="auto" w:fill="FFFFFF"/>
          <w:lang w:val="vi-VN"/>
        </w:rPr>
        <w:t>Email: buithihuynhhoa@qnu.edu.vn</w:t>
      </w:r>
    </w:p>
    <w:p w14:paraId="4A205A43">
      <w:pPr>
        <w:tabs>
          <w:tab w:val="left" w:pos="284"/>
          <w:tab w:val="left" w:pos="567"/>
        </w:tabs>
        <w:spacing w:after="0" w:line="240" w:lineRule="auto"/>
        <w:ind w:right="110" w:rightChars="50"/>
        <w:jc w:val="center"/>
        <w:rPr>
          <w:rFonts w:ascii="Times New Roman" w:hAnsi="Times New Roman" w:eastAsia=".AppleSystemUIFont Bold" w:cs="Times New Roman"/>
          <w:bCs/>
          <w:i/>
          <w:color w:val="222222"/>
          <w:sz w:val="24"/>
          <w:szCs w:val="24"/>
          <w:shd w:val="clear" w:color="auto" w:fill="FFFFFF"/>
          <w:lang w:val="vi-VN"/>
        </w:rPr>
      </w:pPr>
    </w:p>
    <w:p w14:paraId="5633870B">
      <w:pPr>
        <w:tabs>
          <w:tab w:val="left" w:pos="284"/>
          <w:tab w:val="left" w:pos="567"/>
        </w:tabs>
        <w:spacing w:after="0" w:line="240" w:lineRule="auto"/>
        <w:ind w:right="110" w:rightChars="50"/>
        <w:jc w:val="center"/>
        <w:rPr>
          <w:rFonts w:ascii="Times New Roman" w:hAnsi="Times New Roman" w:eastAsia=".AppleSystemUIFont Bold" w:cs="Times New Roman"/>
          <w:bCs/>
          <w:i/>
          <w:color w:val="222222"/>
          <w:szCs w:val="24"/>
          <w:shd w:val="clear" w:color="auto" w:fill="FFFFFF"/>
          <w:lang w:val="vi-VN"/>
        </w:rPr>
      </w:pPr>
      <w:r>
        <w:rPr>
          <w:rFonts w:ascii="Times New Roman" w:hAnsi="Times New Roman" w:eastAsia=".AppleSystemUIFont Bold" w:cs="Times New Roman"/>
          <w:bCs/>
          <w:i/>
          <w:color w:val="222222"/>
          <w:szCs w:val="24"/>
          <w:shd w:val="clear" w:color="auto" w:fill="FFFFFF"/>
          <w:lang w:val="vi-VN"/>
        </w:rPr>
        <w:t xml:space="preserve">Ngày nhận bài: ; Ngày sửa bài: </w:t>
      </w:r>
    </w:p>
    <w:p w14:paraId="11D09CE5">
      <w:pPr>
        <w:tabs>
          <w:tab w:val="left" w:pos="284"/>
          <w:tab w:val="left" w:pos="567"/>
        </w:tabs>
        <w:spacing w:after="0" w:line="240" w:lineRule="auto"/>
        <w:ind w:right="110" w:rightChars="50"/>
        <w:jc w:val="center"/>
        <w:rPr>
          <w:rFonts w:ascii="Times New Roman" w:hAnsi="Times New Roman" w:eastAsia=".AppleSystemUIFont Bold" w:cs="Times New Roman"/>
          <w:bCs/>
          <w:i/>
          <w:color w:val="222222"/>
          <w:szCs w:val="24"/>
          <w:shd w:val="clear" w:color="auto" w:fill="FFFFFF"/>
          <w:lang w:val="vi-VN"/>
        </w:rPr>
      </w:pPr>
      <w:r>
        <w:rPr>
          <w:rFonts w:ascii="Times New Roman" w:hAnsi="Times New Roman" w:eastAsia=".AppleSystemUIFont Bold" w:cs="Times New Roman"/>
          <w:bCs/>
          <w:i/>
          <w:color w:val="222222"/>
          <w:szCs w:val="24"/>
          <w:shd w:val="clear" w:color="auto" w:fill="FFFFFF"/>
          <w:lang w:val="vi-VN"/>
        </w:rPr>
        <w:t xml:space="preserve">Ngày nhận đăng: ; Ngày xuất bản: </w:t>
      </w:r>
    </w:p>
    <w:p w14:paraId="0B1FC640">
      <w:pPr>
        <w:tabs>
          <w:tab w:val="left" w:pos="284"/>
          <w:tab w:val="left" w:pos="567"/>
        </w:tabs>
        <w:spacing w:after="0" w:line="240" w:lineRule="auto"/>
        <w:ind w:right="110" w:rightChars="50"/>
        <w:jc w:val="center"/>
        <w:rPr>
          <w:rFonts w:ascii="Times New Roman" w:hAnsi="Times New Roman" w:eastAsia=".AppleSystemUIFont Bold" w:cs="Times New Roman"/>
          <w:bCs/>
          <w:i/>
          <w:color w:val="222222"/>
          <w:sz w:val="24"/>
          <w:szCs w:val="24"/>
          <w:shd w:val="clear" w:color="auto" w:fill="FFFFFF"/>
          <w:lang w:val="vi-VN"/>
        </w:rPr>
      </w:pPr>
    </w:p>
    <w:p w14:paraId="5D053C8C">
      <w:pPr>
        <w:tabs>
          <w:tab w:val="left" w:pos="284"/>
          <w:tab w:val="left" w:pos="567"/>
        </w:tabs>
        <w:spacing w:after="0" w:line="240" w:lineRule="auto"/>
        <w:ind w:right="110" w:rightChars="50"/>
        <w:jc w:val="center"/>
        <w:rPr>
          <w:rFonts w:ascii="Times New Roman" w:hAnsi="Times New Roman Regular" w:eastAsia=".AppleSystemUIFont Bold" w:cs="Times New Roman Regular"/>
          <w:i/>
          <w:iCs/>
          <w:color w:val="222222"/>
          <w:shd w:val="clear" w:color="auto" w:fill="FFFFFF"/>
        </w:rPr>
      </w:pPr>
    </w:p>
    <w:p w14:paraId="2CF0A2A6">
      <w:pPr>
        <w:tabs>
          <w:tab w:val="left" w:pos="284"/>
          <w:tab w:val="left" w:pos="567"/>
        </w:tabs>
        <w:spacing w:before="120" w:after="120" w:line="240" w:lineRule="auto"/>
        <w:rPr>
          <w:rFonts w:ascii="Times New Roman" w:hAnsi="Times New Roman" w:eastAsia=".AppleSystemUIFont Bold" w:cs="Times New Roman"/>
          <w:b/>
        </w:rPr>
      </w:pPr>
      <w:r>
        <w:rPr>
          <w:rFonts w:ascii="Times New Roman" w:hAnsi="Times New Roman" w:eastAsia=".AppleSystemUIFont Bold" w:cs="Times New Roman"/>
          <w:b/>
          <w:lang w:val="vi-VN"/>
        </w:rPr>
        <w:t>T</w:t>
      </w:r>
      <w:r>
        <w:rPr>
          <w:rFonts w:ascii="Times New Roman" w:hAnsi="Times New Roman" w:eastAsia=".AppleSystemUIFont Bold" w:cs="Times New Roman"/>
          <w:b/>
        </w:rPr>
        <w:t>ÓM TẮT</w:t>
      </w:r>
    </w:p>
    <w:p w14:paraId="269C8157">
      <w:pPr>
        <w:spacing w:before="120" w:after="120" w:line="276" w:lineRule="auto"/>
        <w:ind w:firstLine="562"/>
        <w:jc w:val="both"/>
        <w:rPr>
          <w:rFonts w:ascii="Times New Roman" w:hAnsi="Times New Roman" w:cs="Times New Roman"/>
          <w:sz w:val="20"/>
          <w:szCs w:val="20"/>
        </w:rPr>
      </w:pPr>
      <w:r>
        <w:rPr>
          <w:rFonts w:ascii="Times New Roman" w:hAnsi="Times New Roman" w:eastAsia=".AppleSystemUIFont Bold" w:cs="Times New Roman"/>
          <w:sz w:val="20"/>
          <w:szCs w:val="20"/>
        </w:rPr>
        <w:t>Ngôn ngữ học là một thành phần thiết yếu trong các chương trình đào tạo cử nhân chuyên ngành tiếng Anh tại Việt Nam. Tuy nhiên, cách thức triển khai hiệu quả các học phần lý thuyết này vẫn chưa nhận được sự quan tâm đầy đủ từ các nhà nghiên cứu và giảng dạy ngôn ngữ. Nghiên cứu này nhằm đóng góp vào lĩnh vực còn ít được khảo sát đó; cụ thể, nghiên cứu khám phá việc sử dụng bài luận phản tư để phát triển các kỹ năng tư duy bậc cao trong một học phần Hình thái học được giảng dạy trong môi trường học ngoại ngữ. Hai câu hỏi nghiên cứu được đặt ra là (1) mức độ tham gia của sinh viên trong hình thức đánh giá thay thế này đến đâu và (2) sinh viên có những nhận thức như thế nào về hình thức đánh giá đó. Bốn lớp học, với tổng cộng 137 sinh viên đại học, đã tham gia nghiên cứu trong thời gian mười tuần. Hai bộ dữ liệu được sử dụng gồm các bài luận phản tư định kỳ và bảng hỏi về nhận thức của sinh viên; cả hai đều được phân tích định lượng. Kết quả cho thấy, mặc dù được đánh giá là khó, nhưng bài luận phản tư đã kích thích sự tham gia tích cực của sinh viên trong suốt học kỳ, điều này có thể được lý giải bởi những lợi ích mà họ cảm nhận được từ hình thức đánh giá thay thế này. Nghiên cứu mang lại một số hàm ý thực tiễn cho việc giảng dạy các học phần lý thuyết theo hướng hấp dẫn hơn, qua đó hỗ trợ sự phát triển kỹ năng tư duy bậc cao của sinh viên.</w:t>
      </w:r>
    </w:p>
    <w:p w14:paraId="5D1AA193">
      <w:pPr>
        <w:spacing w:before="120" w:after="120" w:line="240" w:lineRule="auto"/>
        <w:jc w:val="both"/>
        <w:rPr>
          <w:rFonts w:ascii="Times New Roman" w:hAnsi="Times New Roman" w:eastAsia="Time" w:cs="Times New Roman"/>
          <w:i/>
          <w:iCs/>
          <w:sz w:val="20"/>
          <w:szCs w:val="20"/>
        </w:rPr>
      </w:pPr>
      <w:r>
        <w:rPr>
          <w:rFonts w:ascii="Times New Roman Bold" w:hAnsi="Times New Roman Bold" w:cs="Times New Roman Bold"/>
          <w:b/>
          <w:bCs/>
          <w:sz w:val="20"/>
          <w:szCs w:val="20"/>
        </w:rPr>
        <w:t>Từ khóa</w:t>
      </w:r>
      <w:r>
        <w:rPr>
          <w:rFonts w:ascii="Times New Roman" w:hAnsi="Times New Roman"/>
          <w:sz w:val="20"/>
          <w:szCs w:val="20"/>
        </w:rPr>
        <w:t xml:space="preserve">: </w:t>
      </w:r>
      <w:r>
        <w:rPr>
          <w:rFonts w:ascii="Times New Roman" w:hAnsi="Times New Roman" w:eastAsia="Time" w:cs="Times New Roman"/>
          <w:i/>
          <w:iCs/>
          <w:sz w:val="20"/>
          <w:szCs w:val="20"/>
        </w:rPr>
        <w:t xml:space="preserve">Ngôn ngữ học lý thuyết, tư duy phản biện, </w:t>
      </w:r>
      <w:r>
        <w:rPr>
          <w:rFonts w:ascii="Times New Roman" w:hAnsi="Times New Roman" w:eastAsia=".AppleSystemUIFont Bold" w:cs="Times New Roman"/>
          <w:i/>
          <w:iCs/>
          <w:sz w:val="20"/>
          <w:szCs w:val="20"/>
        </w:rPr>
        <w:t>kỹ năng tư duy bậc cao.</w:t>
      </w:r>
    </w:p>
    <w:p w14:paraId="61B55C5E">
      <w:pPr>
        <w:tabs>
          <w:tab w:val="left" w:pos="284"/>
          <w:tab w:val="left" w:pos="567"/>
        </w:tabs>
        <w:spacing w:before="120" w:after="120" w:line="240" w:lineRule="auto"/>
        <w:jc w:val="both"/>
        <w:rPr>
          <w:rFonts w:ascii="Times New Roman" w:hAnsi="Times New Roman" w:eastAsia=".AppleSystemUIFont Bold" w:cs="Times New Roman"/>
          <w:bCs/>
          <w:sz w:val="20"/>
          <w:szCs w:val="20"/>
        </w:rPr>
      </w:pPr>
    </w:p>
    <w:p w14:paraId="05A5656F">
      <w:pPr>
        <w:spacing w:after="0" w:line="240" w:lineRule="auto"/>
        <w:rPr>
          <w:rFonts w:ascii="Arial Bold" w:hAnsi="Arial Bold" w:eastAsia="Calibri" w:cs="Arial Bold"/>
          <w:b/>
          <w:bCs/>
          <w:color w:val="222222"/>
          <w:sz w:val="32"/>
          <w:szCs w:val="32"/>
          <w:shd w:val="clear" w:color="auto" w:fill="FFFFFF"/>
        </w:rPr>
      </w:pPr>
      <w:r>
        <w:rPr>
          <w:rFonts w:ascii="Arial Bold" w:hAnsi="Arial Bold" w:eastAsia="Calibri" w:cs="Arial Bold"/>
          <w:b/>
          <w:bCs/>
          <w:color w:val="222222"/>
          <w:sz w:val="32"/>
          <w:szCs w:val="32"/>
          <w:shd w:val="clear" w:color="auto" w:fill="FFFFFF"/>
        </w:rPr>
        <w:br w:type="page"/>
      </w:r>
    </w:p>
    <w:p w14:paraId="3530FA4A">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p>
    <w:p w14:paraId="32FEADBE">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p>
    <w:p w14:paraId="6F5C2916">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r>
        <w:rPr>
          <w:rFonts w:ascii="Arial Bold" w:hAnsi="Arial Bold" w:eastAsia="Calibri" w:cs="Arial Bold"/>
          <w:b/>
          <w:bCs/>
          <w:color w:val="222222"/>
          <w:sz w:val="32"/>
          <w:szCs w:val="32"/>
          <w:shd w:val="clear" w:color="auto" w:fill="FFFFFF"/>
        </w:rPr>
        <w:t>Using the reflective essay</w:t>
      </w:r>
    </w:p>
    <w:p w14:paraId="3DA133BE">
      <w:pPr>
        <w:tabs>
          <w:tab w:val="left" w:pos="284"/>
          <w:tab w:val="left" w:pos="567"/>
        </w:tabs>
        <w:spacing w:after="0" w:line="240" w:lineRule="auto"/>
        <w:ind w:right="110" w:rightChars="50"/>
        <w:jc w:val="center"/>
        <w:rPr>
          <w:rFonts w:ascii="Arial Bold" w:hAnsi="Arial Bold" w:eastAsia="Calibri" w:cs="Arial Bold"/>
          <w:b/>
          <w:bCs/>
          <w:color w:val="222222"/>
          <w:sz w:val="32"/>
          <w:szCs w:val="32"/>
          <w:shd w:val="clear" w:color="auto" w:fill="FFFFFF"/>
        </w:rPr>
      </w:pPr>
      <w:r>
        <w:rPr>
          <w:rFonts w:ascii="Arial Bold" w:hAnsi="Arial Bold" w:eastAsia="Calibri" w:cs="Arial Bold"/>
          <w:b/>
          <w:bCs/>
          <w:color w:val="222222"/>
          <w:sz w:val="32"/>
          <w:szCs w:val="32"/>
          <w:shd w:val="clear" w:color="auto" w:fill="FFFFFF"/>
        </w:rPr>
        <w:t>to promote higher-order thinking skills</w:t>
      </w:r>
    </w:p>
    <w:p w14:paraId="6C4AD883">
      <w:pPr>
        <w:tabs>
          <w:tab w:val="left" w:pos="284"/>
          <w:tab w:val="left" w:pos="567"/>
        </w:tabs>
        <w:spacing w:after="0" w:line="240" w:lineRule="auto"/>
        <w:ind w:right="110" w:rightChars="50"/>
        <w:jc w:val="center"/>
        <w:rPr>
          <w:rFonts w:ascii="Times New Roman Bold" w:hAnsi="Times New Roman Bold" w:eastAsia=".AppleSystemUIFont Bold" w:cs="Times New Roman Bold"/>
          <w:b/>
          <w:bCs/>
          <w:color w:val="222222"/>
          <w:sz w:val="32"/>
          <w:szCs w:val="32"/>
          <w:shd w:val="clear" w:color="auto" w:fill="FFFFFF"/>
        </w:rPr>
      </w:pPr>
    </w:p>
    <w:p w14:paraId="0E61074A">
      <w:pPr>
        <w:tabs>
          <w:tab w:val="left" w:pos="284"/>
          <w:tab w:val="left" w:pos="567"/>
        </w:tabs>
        <w:spacing w:after="0" w:line="240" w:lineRule="auto"/>
        <w:ind w:right="110" w:rightChars="50"/>
        <w:jc w:val="center"/>
        <w:rPr>
          <w:rFonts w:ascii="Times New Roman" w:hAnsi="Times New Roman Bold" w:eastAsia=".AppleSystemUIFont Bold" w:cs="Times New Roman Bold"/>
          <w:b/>
          <w:bCs/>
          <w:color w:val="222222"/>
          <w:sz w:val="24"/>
          <w:szCs w:val="24"/>
          <w:shd w:val="clear" w:color="auto" w:fill="FFFFFF"/>
        </w:rPr>
      </w:pPr>
      <w:r>
        <w:rPr>
          <w:rFonts w:ascii="Times New Roman" w:hAnsi="Times New Roman Bold" w:eastAsia=".AppleSystemUIFont Bold" w:cs="Times New Roman Bold"/>
          <w:b/>
          <w:bCs/>
          <w:color w:val="222222"/>
          <w:sz w:val="24"/>
          <w:szCs w:val="24"/>
          <w:shd w:val="clear" w:color="auto" w:fill="FFFFFF"/>
          <w:lang w:val="vi-VN"/>
        </w:rPr>
        <w:t>B</w:t>
      </w:r>
      <w:r>
        <w:rPr>
          <w:rFonts w:ascii="Times New Roman" w:hAnsi="Times New Roman Bold" w:eastAsia=".AppleSystemUIFont Bold" w:cs="Times New Roman Bold"/>
          <w:b/>
          <w:bCs/>
          <w:color w:val="222222"/>
          <w:sz w:val="24"/>
          <w:szCs w:val="24"/>
          <w:shd w:val="clear" w:color="auto" w:fill="FFFFFF"/>
        </w:rPr>
        <w:t>u</w:t>
      </w:r>
      <w:r>
        <w:rPr>
          <w:rFonts w:ascii="Times New Roman" w:hAnsi="Times New Roman Bold" w:eastAsia=".AppleSystemUIFont Bold" w:cs="Times New Roman Bold"/>
          <w:b/>
          <w:bCs/>
          <w:color w:val="222222"/>
          <w:sz w:val="24"/>
          <w:szCs w:val="24"/>
          <w:shd w:val="clear" w:color="auto" w:fill="FFFFFF"/>
          <w:lang w:val="vi-VN"/>
        </w:rPr>
        <w:t>i Th</w:t>
      </w:r>
      <w:r>
        <w:rPr>
          <w:rFonts w:ascii="Times New Roman" w:hAnsi="Times New Roman Bold" w:eastAsia=".AppleSystemUIFont Bold" w:cs="Times New Roman Bold"/>
          <w:b/>
          <w:bCs/>
          <w:color w:val="222222"/>
          <w:sz w:val="24"/>
          <w:szCs w:val="24"/>
          <w:shd w:val="clear" w:color="auto" w:fill="FFFFFF"/>
        </w:rPr>
        <w:t>i</w:t>
      </w:r>
      <w:r>
        <w:rPr>
          <w:rFonts w:ascii="Times New Roman" w:hAnsi="Times New Roman Bold" w:eastAsia=".AppleSystemUIFont Bold" w:cs="Times New Roman Bold"/>
          <w:b/>
          <w:bCs/>
          <w:color w:val="222222"/>
          <w:sz w:val="24"/>
          <w:szCs w:val="24"/>
          <w:shd w:val="clear" w:color="auto" w:fill="FFFFFF"/>
          <w:lang w:val="vi-VN"/>
        </w:rPr>
        <w:t xml:space="preserve"> Hu</w:t>
      </w:r>
      <w:r>
        <w:rPr>
          <w:rFonts w:ascii="Times New Roman" w:hAnsi="Times New Roman Bold" w:eastAsia=".AppleSystemUIFont Bold" w:cs="Times New Roman Bold"/>
          <w:b/>
          <w:bCs/>
          <w:color w:val="222222"/>
          <w:sz w:val="24"/>
          <w:szCs w:val="24"/>
          <w:shd w:val="clear" w:color="auto" w:fill="FFFFFF"/>
        </w:rPr>
        <w:t>y</w:t>
      </w:r>
      <w:r>
        <w:rPr>
          <w:rFonts w:ascii="Times New Roman" w:hAnsi="Times New Roman Bold" w:eastAsia=".AppleSystemUIFont Bold" w:cs="Times New Roman Bold"/>
          <w:b/>
          <w:bCs/>
          <w:color w:val="222222"/>
          <w:sz w:val="24"/>
          <w:szCs w:val="24"/>
          <w:shd w:val="clear" w:color="auto" w:fill="FFFFFF"/>
          <w:lang w:val="vi-VN"/>
        </w:rPr>
        <w:t>nh Hoa</w:t>
      </w:r>
      <w:r>
        <w:rPr>
          <w:rFonts w:ascii="Times New Roman" w:hAnsi="Times New Roman Bold" w:eastAsia=".AppleSystemUIFont Bold" w:cs="Times New Roman Bold"/>
          <w:b/>
          <w:bCs/>
          <w:color w:val="222222"/>
          <w:sz w:val="24"/>
          <w:szCs w:val="24"/>
          <w:shd w:val="clear" w:color="auto" w:fill="FFFFFF"/>
        </w:rPr>
        <w:t>*</w:t>
      </w:r>
    </w:p>
    <w:p w14:paraId="3B61525D">
      <w:pPr>
        <w:tabs>
          <w:tab w:val="left" w:pos="284"/>
          <w:tab w:val="left" w:pos="567"/>
        </w:tabs>
        <w:spacing w:after="0" w:line="240" w:lineRule="auto"/>
        <w:ind w:right="110" w:rightChars="50"/>
        <w:jc w:val="center"/>
        <w:rPr>
          <w:rFonts w:ascii="Times New Roman" w:hAnsi="Times New Roman Bold" w:eastAsia=".AppleSystemUIFont Bold" w:cs="Times New Roman Bold"/>
          <w:b/>
          <w:bCs/>
          <w:color w:val="222222"/>
          <w:sz w:val="24"/>
          <w:szCs w:val="24"/>
          <w:shd w:val="clear" w:color="auto" w:fill="FFFFFF"/>
          <w:lang w:val="vi-VN"/>
        </w:rPr>
      </w:pPr>
    </w:p>
    <w:p w14:paraId="1FA18145">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rPr>
      </w:pPr>
      <w:r>
        <w:rPr>
          <w:rFonts w:ascii="Times New Roman" w:hAnsi="Times New Roman" w:eastAsia=".AppleSystemUIFont Bold" w:cs="Times New Roman"/>
          <w:i/>
          <w:iCs/>
          <w:color w:val="222222"/>
          <w:shd w:val="clear" w:color="auto" w:fill="FFFFFF"/>
        </w:rPr>
        <w:t>Department of Foreign Languages, Quy Nhon University, Vietnam</w:t>
      </w:r>
    </w:p>
    <w:p w14:paraId="11E8F27C">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lang w:val="vi-VN"/>
        </w:rPr>
      </w:pPr>
    </w:p>
    <w:p w14:paraId="30AB3E4A">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lang w:val="vi-VN"/>
        </w:rPr>
      </w:pPr>
      <w:r>
        <w:rPr>
          <w:rFonts w:ascii="Times New Roman" w:hAnsi="Times New Roman" w:eastAsia=".AppleSystemUIFont Bold" w:cs="Times New Roman"/>
          <w:i/>
          <w:iCs/>
          <w:color w:val="222222"/>
          <w:shd w:val="clear" w:color="auto" w:fill="FFFFFF"/>
        </w:rPr>
        <w:t xml:space="preserve">Corresponding author. </w:t>
      </w:r>
      <w:r>
        <w:rPr>
          <w:rFonts w:ascii="Times New Roman" w:hAnsi="Times New Roman" w:eastAsia=".AppleSystemUIFont Bold" w:cs="Times New Roman"/>
          <w:i/>
          <w:iCs/>
          <w:color w:val="222222"/>
          <w:shd w:val="clear" w:color="auto" w:fill="FFFFFF"/>
          <w:lang w:val="vi-VN"/>
        </w:rPr>
        <w:t>Email:</w:t>
      </w:r>
      <w:r>
        <w:rPr>
          <w:rFonts w:ascii="Times New Roman" w:hAnsi="Times New Roman" w:cs="Times New Roman"/>
        </w:rPr>
        <w:t xml:space="preserve"> </w:t>
      </w:r>
      <w:r>
        <w:rPr>
          <w:rFonts w:ascii="Times New Roman" w:hAnsi="Times New Roman" w:eastAsia=".AppleSystemUIFont Bold" w:cs="Times New Roman"/>
          <w:i/>
          <w:iCs/>
          <w:color w:val="222222"/>
          <w:shd w:val="clear" w:color="auto" w:fill="FFFFFF"/>
          <w:lang w:val="vi-VN"/>
        </w:rPr>
        <w:t>buithihuynhhoa@qnu.edu.vn</w:t>
      </w:r>
    </w:p>
    <w:p w14:paraId="34815C0C">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lang w:val="vi-VN"/>
        </w:rPr>
      </w:pPr>
    </w:p>
    <w:p w14:paraId="61B516EB">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lang w:val="vi-VN"/>
        </w:rPr>
      </w:pPr>
      <w:r>
        <w:rPr>
          <w:rFonts w:ascii="Times New Roman" w:hAnsi="Times New Roman" w:eastAsia=".AppleSystemUIFont Bold" w:cs="Times New Roman"/>
          <w:i/>
          <w:iCs/>
          <w:color w:val="222222"/>
          <w:shd w:val="clear" w:color="auto" w:fill="FFFFFF"/>
        </w:rPr>
        <w:t>Received</w:t>
      </w:r>
      <w:r>
        <w:rPr>
          <w:rFonts w:ascii="Times New Roman" w:hAnsi="Times New Roman" w:eastAsia=".AppleSystemUIFont Bold" w:cs="Times New Roman"/>
          <w:i/>
          <w:iCs/>
          <w:color w:val="222222"/>
          <w:shd w:val="clear" w:color="auto" w:fill="FFFFFF"/>
          <w:lang w:val="vi-VN"/>
        </w:rPr>
        <w:t xml:space="preserve">: ; </w:t>
      </w:r>
      <w:r>
        <w:rPr>
          <w:rFonts w:ascii="Times New Roman" w:hAnsi="Times New Roman" w:eastAsia=".AppleSystemUIFont Bold" w:cs="Times New Roman"/>
          <w:i/>
          <w:iCs/>
          <w:color w:val="222222"/>
          <w:shd w:val="clear" w:color="auto" w:fill="FFFFFF"/>
        </w:rPr>
        <w:t>Revised</w:t>
      </w:r>
      <w:r>
        <w:rPr>
          <w:rFonts w:ascii="Times New Roman" w:hAnsi="Times New Roman" w:eastAsia=".AppleSystemUIFont Bold" w:cs="Times New Roman"/>
          <w:i/>
          <w:iCs/>
          <w:color w:val="222222"/>
          <w:shd w:val="clear" w:color="auto" w:fill="FFFFFF"/>
          <w:lang w:val="vi-VN"/>
        </w:rPr>
        <w:t xml:space="preserve">: </w:t>
      </w:r>
    </w:p>
    <w:p w14:paraId="7B3D180C">
      <w:pPr>
        <w:tabs>
          <w:tab w:val="left" w:pos="284"/>
          <w:tab w:val="left" w:pos="567"/>
        </w:tabs>
        <w:spacing w:after="0" w:line="240" w:lineRule="auto"/>
        <w:ind w:right="110" w:rightChars="50"/>
        <w:jc w:val="center"/>
        <w:rPr>
          <w:rFonts w:ascii="Times New Roman" w:hAnsi="Times New Roman" w:eastAsia=".AppleSystemUIFont Bold" w:cs="Times New Roman"/>
          <w:i/>
          <w:iCs/>
          <w:color w:val="222222"/>
          <w:shd w:val="clear" w:color="auto" w:fill="FFFFFF"/>
          <w:lang w:val="vi-VN"/>
        </w:rPr>
      </w:pPr>
      <w:r>
        <w:rPr>
          <w:rFonts w:ascii="Times New Roman" w:hAnsi="Times New Roman" w:eastAsia=".AppleSystemUIFont Bold" w:cs="Times New Roman"/>
          <w:i/>
          <w:iCs/>
          <w:color w:val="222222"/>
          <w:shd w:val="clear" w:color="auto" w:fill="FFFFFF"/>
        </w:rPr>
        <w:t>Accepted</w:t>
      </w:r>
      <w:r>
        <w:rPr>
          <w:rFonts w:ascii="Times New Roman" w:hAnsi="Times New Roman" w:eastAsia=".AppleSystemUIFont Bold" w:cs="Times New Roman"/>
          <w:i/>
          <w:iCs/>
          <w:color w:val="222222"/>
          <w:shd w:val="clear" w:color="auto" w:fill="FFFFFF"/>
          <w:lang w:val="vi-VN"/>
        </w:rPr>
        <w:t xml:space="preserve">: ; </w:t>
      </w:r>
      <w:r>
        <w:rPr>
          <w:rFonts w:ascii="Times New Roman" w:hAnsi="Times New Roman" w:eastAsia=".AppleSystemUIFont Bold" w:cs="Times New Roman"/>
          <w:i/>
          <w:iCs/>
          <w:color w:val="222222"/>
          <w:shd w:val="clear" w:color="auto" w:fill="FFFFFF"/>
        </w:rPr>
        <w:t>Published</w:t>
      </w:r>
      <w:r>
        <w:rPr>
          <w:rFonts w:ascii="Times New Roman" w:hAnsi="Times New Roman" w:eastAsia=".AppleSystemUIFont Bold" w:cs="Times New Roman"/>
          <w:i/>
          <w:iCs/>
          <w:color w:val="222222"/>
          <w:shd w:val="clear" w:color="auto" w:fill="FFFFFF"/>
          <w:lang w:val="vi-VN"/>
        </w:rPr>
        <w:t xml:space="preserve">: </w:t>
      </w:r>
    </w:p>
    <w:p w14:paraId="71D08D07">
      <w:pPr>
        <w:tabs>
          <w:tab w:val="left" w:pos="284"/>
          <w:tab w:val="left" w:pos="567"/>
        </w:tabs>
        <w:spacing w:after="0" w:line="240" w:lineRule="auto"/>
        <w:ind w:right="110" w:rightChars="50"/>
        <w:jc w:val="center"/>
        <w:rPr>
          <w:rFonts w:ascii="Times New Roman" w:hAnsi="Times New Roman Regular" w:eastAsia=".AppleSystemUIFont Bold" w:cs="Times New Roman Regular"/>
          <w:i/>
          <w:iCs/>
          <w:color w:val="222222"/>
          <w:shd w:val="clear" w:color="auto" w:fill="FFFFFF"/>
          <w:lang w:val="vi-VN"/>
        </w:rPr>
      </w:pPr>
    </w:p>
    <w:p w14:paraId="68BF2B5E">
      <w:pPr>
        <w:tabs>
          <w:tab w:val="left" w:pos="284"/>
          <w:tab w:val="left" w:pos="567"/>
        </w:tabs>
        <w:spacing w:before="120" w:after="120" w:line="240" w:lineRule="auto"/>
        <w:jc w:val="both"/>
        <w:rPr>
          <w:rFonts w:ascii=".AppleSystemUIFont Bold" w:hAnsi=".AppleSystemUIFont Bold" w:eastAsia=".AppleSystemUIFont Bold" w:cs=".AppleSystemUIFont Bold"/>
          <w:lang w:val="vi-VN"/>
        </w:rPr>
      </w:pPr>
    </w:p>
    <w:p w14:paraId="08EFAFA9">
      <w:pPr>
        <w:tabs>
          <w:tab w:val="left" w:pos="284"/>
          <w:tab w:val="left" w:pos="567"/>
        </w:tabs>
        <w:spacing w:before="120" w:after="120" w:line="240" w:lineRule="auto"/>
        <w:rPr>
          <w:rFonts w:ascii="Times New Roman" w:hAnsi="Times New Roman" w:eastAsia=".AppleSystemUIFont Bold" w:cs="Times New Roman"/>
          <w:b/>
          <w:lang w:val="vi-VN"/>
        </w:rPr>
      </w:pPr>
      <w:r>
        <w:rPr>
          <w:rFonts w:ascii="Times New Roman" w:hAnsi="Times New Roman" w:eastAsia=".AppleSystemUIFont Bold" w:cs="Times New Roman"/>
          <w:b/>
        </w:rPr>
        <w:t>A</w:t>
      </w:r>
      <w:r>
        <w:rPr>
          <w:rFonts w:ascii="Times New Roman" w:hAnsi="Times New Roman" w:eastAsia=".AppleSystemUIFont Bold" w:cs="Times New Roman"/>
          <w:b/>
          <w:lang w:val="vi-VN"/>
        </w:rPr>
        <w:t>BSTRACT</w:t>
      </w:r>
    </w:p>
    <w:p w14:paraId="6E329932">
      <w:pPr>
        <w:spacing w:before="120" w:after="120" w:line="240" w:lineRule="auto"/>
        <w:ind w:firstLine="567"/>
        <w:jc w:val="both"/>
        <w:rPr>
          <w:rFonts w:ascii="Times New Roman" w:hAnsi="Times New Roman" w:cs="Times New Roman"/>
          <w:sz w:val="20"/>
          <w:szCs w:val="20"/>
        </w:rPr>
      </w:pPr>
      <w:r>
        <w:rPr>
          <w:rFonts w:ascii="Times New Roman" w:hAnsi="Times New Roman" w:eastAsia=".AppleSystemUIFont Bold" w:cs="Times New Roman"/>
          <w:sz w:val="20"/>
          <w:szCs w:val="20"/>
        </w:rPr>
        <w:t>Linguistics represents an essential component in English-major degree programs in Vietnam. Still, how to effectively conduct these theoretical courses has not received sufficient attention from language practitioners and researchers. This study was aimed to contribute to this under-researched area; it explored the use of the reflective essays to promote higher-order thinking skills in a morphology course conducted in a foreign learning environment. Two research questions were (1) to what extent the students were involved in this alternative assessment and (2) what were the students’ perceptions of this means of assessment. Four classes, totaling 137 undergraduates, were involved in the study over a ten-week span. Two sets of data were the regular reflective essays and the students’ perceptions obtained through questionnaires; both were quantitatively analyzed. The findings indicated that although deemed as uneasy, the reflective essays triggered the students’ active engagement during the whole semester, which were likely to be attributed to the perceived benefits of this alternative assessment. The study holds some practical implications for the conducting of these theoretical subjects in an engaging manner which supports students’ development of high</w:t>
      </w:r>
      <w:r>
        <w:rPr>
          <w:rFonts w:hint="default" w:ascii="Times New Roman" w:hAnsi="Times New Roman" w:eastAsia=".AppleSystemUIFont Bold" w:cs="Times New Roman"/>
          <w:sz w:val="20"/>
          <w:szCs w:val="20"/>
          <w:lang w:val="vi-VN"/>
        </w:rPr>
        <w:t>er</w:t>
      </w:r>
      <w:r>
        <w:rPr>
          <w:rFonts w:ascii="Times New Roman" w:hAnsi="Times New Roman" w:eastAsia=".AppleSystemUIFont Bold" w:cs="Times New Roman"/>
          <w:sz w:val="20"/>
          <w:szCs w:val="20"/>
        </w:rPr>
        <w:t>-order thinking skills.</w:t>
      </w:r>
    </w:p>
    <w:p w14:paraId="262BF2D9">
      <w:pPr>
        <w:spacing w:before="120" w:after="120" w:line="240" w:lineRule="auto"/>
        <w:jc w:val="both"/>
        <w:rPr>
          <w:rFonts w:ascii="Times New Roman" w:hAnsi="Times New Roman" w:eastAsia="Time" w:cs="Times New Roman"/>
          <w:i/>
          <w:iCs/>
          <w:sz w:val="20"/>
          <w:szCs w:val="20"/>
        </w:rPr>
      </w:pPr>
      <w:r>
        <w:rPr>
          <w:rFonts w:ascii="Times New Roman Bold" w:hAnsi="Times New Roman Bold" w:cs="Times New Roman Bold"/>
          <w:b/>
          <w:bCs/>
          <w:sz w:val="20"/>
          <w:szCs w:val="20"/>
        </w:rPr>
        <w:t>Keywords</w:t>
      </w:r>
      <w:r>
        <w:rPr>
          <w:rFonts w:ascii="Times New Roman" w:hAnsi="Times New Roman"/>
          <w:sz w:val="20"/>
          <w:szCs w:val="20"/>
        </w:rPr>
        <w:t xml:space="preserve">: </w:t>
      </w:r>
      <w:r>
        <w:rPr>
          <w:rFonts w:ascii="Times New Roman" w:hAnsi="Times New Roman" w:eastAsia="Time" w:cs="Times New Roman"/>
          <w:i/>
          <w:iCs/>
          <w:sz w:val="20"/>
          <w:szCs w:val="20"/>
        </w:rPr>
        <w:t>Theoretical Linguistics, reflective thinking, higher-order thinking skills</w:t>
      </w:r>
    </w:p>
    <w:p w14:paraId="778C04F1">
      <w:pPr>
        <w:spacing w:before="120" w:after="120" w:line="240" w:lineRule="auto"/>
        <w:jc w:val="both"/>
        <w:rPr>
          <w:rFonts w:ascii="Time" w:hAnsi="Time" w:eastAsia="Time" w:cs="Time"/>
          <w:i/>
          <w:iCs/>
          <w:sz w:val="20"/>
          <w:szCs w:val="20"/>
        </w:rPr>
        <w:sectPr>
          <w:footerReference r:id="rId5" w:type="default"/>
          <w:pgSz w:w="12240" w:h="15840"/>
          <w:pgMar w:top="1138" w:right="1138" w:bottom="1138" w:left="1411" w:header="720" w:footer="720" w:gutter="0"/>
          <w:cols w:space="0" w:num="1"/>
          <w:docGrid w:linePitch="360" w:charSpace="0"/>
        </w:sectPr>
      </w:pPr>
    </w:p>
    <w:p w14:paraId="2E818301">
      <w:pPr>
        <w:numPr>
          <w:ilvl w:val="0"/>
          <w:numId w:val="1"/>
        </w:numPr>
        <w:tabs>
          <w:tab w:val="left" w:pos="567"/>
        </w:tabs>
        <w:spacing w:before="120" w:after="120" w:line="240" w:lineRule="auto"/>
        <w:jc w:val="both"/>
        <w:rPr>
          <w:rFonts w:ascii="Times New Roman" w:hAnsi="Times New Roman" w:cs="Times New Roman"/>
          <w:b/>
          <w:lang w:val="vi-VN"/>
        </w:rPr>
      </w:pPr>
      <w:r>
        <w:rPr>
          <w:rFonts w:ascii="Times New Roman" w:hAnsi="Times New Roman" w:cs="Times New Roman"/>
          <w:b/>
        </w:rPr>
        <w:t>I</w:t>
      </w:r>
      <w:r>
        <w:rPr>
          <w:rFonts w:ascii="Times New Roman" w:hAnsi="Times New Roman" w:cs="Times New Roman"/>
          <w:b/>
          <w:lang w:val="vi-VN"/>
        </w:rPr>
        <w:t>NTRODUCTION</w:t>
      </w:r>
    </w:p>
    <w:p w14:paraId="398B7E54">
      <w:pPr>
        <w:spacing w:before="120" w:after="120" w:line="240" w:lineRule="auto"/>
        <w:jc w:val="both"/>
        <w:rPr>
          <w:rFonts w:ascii="Times New Roman" w:hAnsi="Times New Roman" w:cs="Times New Roman"/>
          <w:lang w:val="vi-VN"/>
        </w:rPr>
      </w:pPr>
      <w:r>
        <w:rPr>
          <w:rFonts w:ascii="Times New Roman" w:hAnsi="Times New Roman" w:cs="Times New Roman"/>
        </w:rPr>
        <w:t xml:space="preserve">Linguistics plays a vital role in English-major undergraduate degree programs. Insights into how the target language works as a system at various levels from myriad perspectives provided through these courses are highly acknowledged as invaluable to prospective teachers of English as a foreign language, interpreters, translators, or tour guides. Johnston and </w:t>
      </w:r>
      <w:r>
        <w:rPr>
          <w:rFonts w:ascii="Times New Roman" w:hAnsi="Times New Roman" w:cs="Times New Roman"/>
          <w:color w:val="000000" w:themeColor="text1"/>
          <w14:textFill>
            <w14:solidFill>
              <w14:schemeClr w14:val="tx1"/>
            </w14:solidFill>
          </w14:textFill>
        </w:rPr>
        <w:t>Goettsc</w:t>
      </w:r>
      <w:r>
        <w:rPr>
          <w:rFonts w:ascii="Times New Roman" w:hAnsi="Times New Roman" w:cs="Times New Roman"/>
          <w:color w:val="000000" w:themeColor="text1"/>
          <w:lang w:val="vi-VN"/>
          <w14:textFill>
            <w14:solidFill>
              <w14:schemeClr w14:val="tx1"/>
            </w14:solidFill>
          </w14:textFill>
        </w:rPr>
        <w:t xml:space="preserve"> </w:t>
      </w:r>
      <w:r>
        <w:rPr>
          <w:rFonts w:ascii="Times New Roman" w:hAnsi="Times New Roman" w:cs="Times New Roman"/>
        </w:rPr>
        <w:t xml:space="preserve">talk of </w:t>
      </w:r>
      <w:r>
        <w:rPr>
          <w:rFonts w:ascii="Times New Roman" w:hAnsi="Times New Roman" w:cs="Times New Roman"/>
          <w:iCs/>
        </w:rPr>
        <w:t>language pedagogy, applied linguistics</w:t>
      </w:r>
      <w:r>
        <w:rPr>
          <w:rFonts w:ascii="Times New Roman" w:hAnsi="Times New Roman" w:cs="Times New Roman"/>
        </w:rPr>
        <w:t xml:space="preserve"> and </w:t>
      </w:r>
      <w:r>
        <w:rPr>
          <w:rFonts w:ascii="Times New Roman" w:hAnsi="Times New Roman" w:cs="Times New Roman"/>
          <w:iCs/>
        </w:rPr>
        <w:t>theoretical linguistics</w:t>
      </w:r>
      <w:r>
        <w:rPr>
          <w:rFonts w:ascii="Times New Roman" w:hAnsi="Times New Roman" w:cs="Times New Roman"/>
        </w:rPr>
        <w:t xml:space="preserve"> as the three pillars of language teaching. They state that ‘</w:t>
      </w:r>
      <w:r>
        <w:rPr>
          <w:rFonts w:ascii="Times New Roman" w:hAnsi="Times New Roman" w:cs="Times New Roman"/>
          <w:i/>
        </w:rPr>
        <w:t>f</w:t>
      </w:r>
      <w:r>
        <w:rPr>
          <w:rFonts w:ascii="Times New Roman" w:hAnsi="Times New Roman" w:cs="Times New Roman"/>
          <w:i/>
          <w:iCs/>
        </w:rPr>
        <w:t>uture</w:t>
      </w:r>
      <w:r>
        <w:rPr>
          <w:rFonts w:ascii="Times New Roman" w:hAnsi="Times New Roman" w:cs="Times New Roman"/>
        </w:rPr>
        <w:t xml:space="preserve"> </w:t>
      </w:r>
      <w:r>
        <w:rPr>
          <w:rFonts w:ascii="Times New Roman" w:hAnsi="Times New Roman" w:cs="Times New Roman"/>
          <w:i/>
          <w:iCs/>
        </w:rPr>
        <w:t>language teachers are usually required to take language teaching methodology courses, but language teaching takes much more than speaking a language and how to teach it: we need to know how language works as a system so we can make informed choices in our teaching.</w:t>
      </w:r>
      <w:r>
        <w:rPr>
          <w:rFonts w:ascii="Times New Roman Italic" w:hAnsi="Times New Roman Italic" w:eastAsia="Calibri" w:cs="Times New Roman"/>
          <w:i/>
          <w:iCs/>
          <w:vertAlign w:val="superscript"/>
          <w:lang w:val="vi-VN"/>
        </w:rPr>
        <w:t>1</w:t>
      </w:r>
      <w:r>
        <w:rPr>
          <w:rFonts w:ascii="Times New Roman" w:hAnsi="Times New Roman" w:cs="Times New Roman"/>
        </w:rPr>
        <w:t>Grabe</w:t>
      </w:r>
      <w:r>
        <w:rPr>
          <w:rFonts w:ascii="Times New Roman" w:hAnsi="Times New Roman" w:cs="Times New Roman"/>
          <w:lang w:val="vi-VN"/>
        </w:rPr>
        <w:t xml:space="preserve"> </w:t>
      </w:r>
      <w:r>
        <w:rPr>
          <w:rFonts w:ascii="Times New Roman" w:hAnsi="Times New Roman" w:cs="Times New Roman"/>
        </w:rPr>
        <w:t>also contend that an understanding of the principles underlying language as a formal system is fundamental to teachers so that they will be able to ‘</w:t>
      </w:r>
      <w:r>
        <w:rPr>
          <w:rFonts w:ascii="Times New Roman" w:hAnsi="Times New Roman" w:cs="Times New Roman"/>
          <w:i/>
          <w:iCs/>
        </w:rPr>
        <w:t>engage students in ways that can lead to student autonomy, empowerment, and reflective awareness of their learning</w:t>
      </w:r>
      <w:r>
        <w:rPr>
          <w:rFonts w:ascii="Times New Roman" w:hAnsi="Times New Roman" w:cs="Times New Roman"/>
        </w:rPr>
        <w:t>.</w:t>
      </w:r>
      <w:r>
        <w:rPr>
          <w:rFonts w:ascii="Times New Roman" w:hAnsi="Times New Roman" w:eastAsia="Calibri" w:cs="Times New Roman"/>
          <w:vertAlign w:val="superscript"/>
          <w:lang w:val="vi-VN"/>
        </w:rPr>
        <w:t>2</w:t>
      </w:r>
      <w:r>
        <w:rPr>
          <w:rFonts w:ascii="Times New Roman" w:hAnsi="Times New Roman" w:cs="Times New Roman"/>
        </w:rPr>
        <w:t xml:space="preserve"> Similarly, Rothman</w:t>
      </w:r>
      <w:r>
        <w:rPr>
          <w:rFonts w:ascii="Times New Roman" w:hAnsi="Times New Roman" w:cs="Times New Roman"/>
          <w:lang w:val="vi-VN"/>
        </w:rPr>
        <w:t xml:space="preserve"> </w:t>
      </w:r>
      <w:r>
        <w:rPr>
          <w:rFonts w:ascii="Times New Roman" w:hAnsi="Times New Roman" w:cs="Times New Roman"/>
        </w:rPr>
        <w:t>strongly supports that a theoretical knowledge about language is a prerequisite to effective teaching; he maintains: “</w:t>
      </w:r>
      <w:r>
        <w:rPr>
          <w:rFonts w:ascii="Times New Roman" w:hAnsi="Times New Roman" w:cs="Times New Roman"/>
          <w:i/>
          <w:iCs/>
        </w:rPr>
        <w:t>No one would deny that a language teacher who is more aware of the linguistic structures of the language s/he is teaching and key issues in the general understanding of adult language acquisition will make a more effective, empathetic teacher</w:t>
      </w:r>
      <w:r>
        <w:rPr>
          <w:rFonts w:ascii="Times New Roman" w:hAnsi="Times New Roman" w:cs="Times New Roman"/>
        </w:rPr>
        <w:t>”</w:t>
      </w:r>
      <w:r>
        <w:rPr>
          <w:rFonts w:ascii="Times New Roman" w:hAnsi="Times New Roman" w:cs="Times New Roman"/>
          <w:color w:val="000000" w:themeColor="text1"/>
          <w14:textFill>
            <w14:solidFill>
              <w14:schemeClr w14:val="tx1"/>
            </w14:solidFill>
          </w14:textFill>
        </w:rPr>
        <w:t>.</w:t>
      </w:r>
      <w:r>
        <w:rPr>
          <w:rFonts w:ascii="Times New Roman" w:hAnsi="Times New Roman" w:eastAsia="Calibri" w:cs="Times New Roman"/>
          <w:color w:val="000000" w:themeColor="text1"/>
          <w:vertAlign w:val="superscript"/>
          <w:lang w:val="vi-VN"/>
          <w14:textFill>
            <w14:solidFill>
              <w14:schemeClr w14:val="tx1"/>
            </w14:solidFill>
          </w14:textFill>
        </w:rPr>
        <w:t>3</w:t>
      </w:r>
    </w:p>
    <w:p w14:paraId="377A2280">
      <w:pPr>
        <w:spacing w:before="120" w:after="120" w:line="240" w:lineRule="auto"/>
        <w:jc w:val="both"/>
        <w:rPr>
          <w:rFonts w:ascii="Times New Roman" w:hAnsi="Times New Roman" w:cs="Times New Roman"/>
        </w:rPr>
      </w:pPr>
      <w:r>
        <w:rPr>
          <w:rFonts w:ascii="Times New Roman" w:hAnsi="Times New Roman" w:cs="Times New Roman"/>
        </w:rPr>
        <w:t>Despite the crucial role of these theoretical linguistics courses in English-major undergraduate degree programs, previous studies have indicated the teaching and learning of these courses in Vietnam have left much to be desired. First, a heavy reliance on course books designed by English native scholars for international or English-native students can possibly pose a big challenge to the undergraduates due to both the colossal volume of disciplinary matters covered and the lack of socially and culturally relevant appealing linguistic data and activities in these materials.</w:t>
      </w:r>
      <w:r>
        <w:rPr>
          <w:rFonts w:ascii="Times New Roman" w:hAnsi="Times New Roman" w:eastAsia="Calibri" w:cs="Times New Roman"/>
          <w:vertAlign w:val="superscript"/>
          <w:lang w:val="vi-VN"/>
        </w:rPr>
        <w:t>4</w:t>
      </w:r>
      <w:r>
        <w:rPr>
          <w:rFonts w:ascii="Times New Roman" w:hAnsi="Times New Roman" w:cs="Times New Roman"/>
        </w:rPr>
        <w:t xml:space="preserve"> Another problem identified was the predominantly teacher-centered class activities, where the students are ‘passive acceptors’</w:t>
      </w:r>
      <w:r>
        <w:rPr>
          <w:rFonts w:ascii="Times New Roman" w:hAnsi="Times New Roman" w:eastAsia="Calibri" w:cs="Times New Roman"/>
          <w:vertAlign w:val="superscript"/>
          <w:lang w:val="vi-VN"/>
        </w:rPr>
        <w:t>5</w:t>
      </w:r>
      <w:r>
        <w:rPr>
          <w:rFonts w:ascii="Times New Roman" w:hAnsi="Times New Roman" w:cs="Times New Roman"/>
          <w:color w:val="7030A0"/>
        </w:rPr>
        <w:t xml:space="preserve"> </w:t>
      </w:r>
      <w:r>
        <w:rPr>
          <w:rFonts w:ascii="Times New Roman" w:hAnsi="Times New Roman" w:cs="Times New Roman"/>
        </w:rPr>
        <w:t>of theoretical concepts and struggle with or feel terrified of uninteresting, unrealistic, and impractical tasks.</w:t>
      </w:r>
      <w:r>
        <w:rPr>
          <w:rFonts w:ascii="Times New Roman" w:hAnsi="Times New Roman" w:eastAsia="Calibri" w:cs="Times New Roman"/>
          <w:vertAlign w:val="superscript"/>
          <w:lang w:val="vi-VN"/>
        </w:rPr>
        <w:t>6,7</w:t>
      </w:r>
      <w:r>
        <w:rPr>
          <w:rFonts w:ascii="Times New Roman" w:hAnsi="Times New Roman" w:cs="Times New Roman"/>
        </w:rPr>
        <w:t xml:space="preserve"> The deepest concern revealed from most of the studies is that there is a focus on mostly low-order thinking skills (LOTS) in both class activities and assessment. The instructors do not care much about encouraging students to be analytical and critical in their learning, and keenly discover how to apply the subject domain knowledge and skills in their current English learning and in their future job. Conducting the theoretical courses in such manner may make the courses appear far from practical to students and as a result, demotivate students and negatively affect the students’ academic outcomes.</w:t>
      </w:r>
    </w:p>
    <w:p w14:paraId="638A5500">
      <w:pPr>
        <w:spacing w:before="120" w:after="120" w:line="240" w:lineRule="auto"/>
        <w:jc w:val="both"/>
        <w:rPr>
          <w:rFonts w:ascii="Times New Roman" w:hAnsi="Times New Roman" w:cs="Times New Roman"/>
        </w:rPr>
      </w:pPr>
      <w:r>
        <w:rPr>
          <w:rFonts w:ascii="Times New Roman" w:hAnsi="Times New Roman" w:cs="Times New Roman"/>
        </w:rPr>
        <w:t>Drawing upon insights from research into reflective writings,</w:t>
      </w:r>
      <w:r>
        <w:rPr>
          <w:rFonts w:ascii="Times New Roman" w:hAnsi="Times New Roman" w:eastAsia="Calibri" w:cs="Times New Roman"/>
          <w:vertAlign w:val="superscript"/>
          <w:lang w:val="vi-VN"/>
        </w:rPr>
        <w:t>8</w:t>
      </w:r>
      <w:r>
        <w:rPr>
          <w:rFonts w:ascii="Times New Roman" w:hAnsi="Times New Roman" w:cs="Times New Roman"/>
        </w:rPr>
        <w:t xml:space="preserve"> I addressed these problems by using the reflective essay as additional regular assessment in tandem with the available exercises in the main currently-in-use course-book and recommended references. This study took place at four classes of Morphology for English majors at public university. </w:t>
      </w:r>
    </w:p>
    <w:p w14:paraId="177E2777">
      <w:pPr>
        <w:spacing w:before="120" w:after="120" w:line="240" w:lineRule="auto"/>
        <w:jc w:val="both"/>
        <w:rPr>
          <w:rFonts w:ascii="Times New Roman" w:hAnsi="Times New Roman" w:cs="Times New Roman"/>
        </w:rPr>
        <w:sectPr>
          <w:type w:val="continuous"/>
          <w:pgSz w:w="12240" w:h="15840"/>
          <w:pgMar w:top="1138" w:right="1138" w:bottom="1138" w:left="1411" w:header="720" w:footer="720" w:gutter="0"/>
          <w:cols w:equalWidth="0" w:num="2">
            <w:col w:w="4633" w:space="425"/>
            <w:col w:w="4633"/>
          </w:cols>
          <w:docGrid w:linePitch="360" w:charSpace="0"/>
        </w:sectPr>
      </w:pPr>
      <w:r>
        <w:rPr>
          <w:rFonts w:ascii="Times New Roman" w:hAnsi="Times New Roman" w:cs="Times New Roman"/>
        </w:rPr>
        <w:t>This study was aimed to motivate students to increase deep learning and engagement among students outside class hours. It was designed to explore the use of the reflective essay as additional assessment to promote high</w:t>
      </w:r>
      <w:r>
        <w:rPr>
          <w:rFonts w:hint="default" w:ascii="Times New Roman" w:hAnsi="Times New Roman" w:cs="Times New Roman"/>
          <w:lang w:val="vi-VN"/>
        </w:rPr>
        <w:t>er</w:t>
      </w:r>
      <w:r>
        <w:rPr>
          <w:rFonts w:ascii="Times New Roman" w:hAnsi="Times New Roman" w:cs="Times New Roman"/>
        </w:rPr>
        <w:t>-order thinking skills. The two research questions were: (1) To what extent were the students involved in this alternative assessment? And (2) What were the students’ perceptions of this means of assessment?</w:t>
      </w:r>
    </w:p>
    <w:p w14:paraId="0D095DA6">
      <w:pPr>
        <w:tabs>
          <w:tab w:val="left" w:pos="284"/>
          <w:tab w:val="left" w:pos="567"/>
        </w:tabs>
        <w:spacing w:before="320" w:after="120" w:line="240" w:lineRule="auto"/>
        <w:rPr>
          <w:rFonts w:ascii="Times New Roman" w:hAnsi="Times New Roman" w:cs="Times New Roman"/>
          <w:b/>
          <w:highlight w:val="yellow"/>
          <w:lang w:val="vi-VN"/>
        </w:rPr>
      </w:pPr>
      <w:r>
        <w:rPr>
          <w:rFonts w:ascii="Times New Roman" w:hAnsi="Times New Roman" w:cs="Times New Roman"/>
          <w:b/>
          <w:highlight w:val="yellow"/>
        </w:rPr>
        <w:t>2. L</w:t>
      </w:r>
      <w:r>
        <w:rPr>
          <w:rFonts w:ascii="Times New Roman" w:hAnsi="Times New Roman" w:cs="Times New Roman"/>
          <w:b/>
          <w:highlight w:val="yellow"/>
          <w:lang w:val="vi-VN"/>
        </w:rPr>
        <w:t>ITERATURE REVIEW</w:t>
      </w:r>
    </w:p>
    <w:p w14:paraId="63F63D23">
      <w:pPr>
        <w:tabs>
          <w:tab w:val="left" w:pos="567"/>
        </w:tabs>
        <w:spacing w:before="120" w:after="120" w:line="240" w:lineRule="auto"/>
        <w:jc w:val="both"/>
        <w:rPr>
          <w:rFonts w:ascii="Times New Roman Italic" w:hAnsi="Times New Roman Italic" w:cs="Times New Roman Italic"/>
          <w:i/>
          <w:iCs/>
          <w:highlight w:val="yellow"/>
          <w:lang w:val="vi-VN"/>
        </w:rPr>
        <w:sectPr>
          <w:type w:val="continuous"/>
          <w:pgSz w:w="12240" w:h="15840"/>
          <w:pgMar w:top="1138" w:right="1138" w:bottom="1138" w:left="1411" w:header="720" w:footer="720" w:gutter="0"/>
          <w:cols w:equalWidth="0" w:num="2">
            <w:col w:w="4633" w:space="425"/>
            <w:col w:w="4633"/>
          </w:cols>
          <w:docGrid w:linePitch="360" w:charSpace="0"/>
        </w:sectPr>
      </w:pPr>
    </w:p>
    <w:p w14:paraId="1469D90C">
      <w:pPr>
        <w:tabs>
          <w:tab w:val="left" w:pos="567"/>
        </w:tabs>
        <w:spacing w:before="120" w:after="120" w:line="240" w:lineRule="auto"/>
        <w:jc w:val="both"/>
        <w:rPr>
          <w:rFonts w:ascii="Times New Roman" w:hAnsi="Times New Roman" w:eastAsia="Tim" w:cs="Times New Roman"/>
          <w:b/>
          <w:bCs/>
          <w:highlight w:val="yellow"/>
          <w:lang w:val="vi-VN"/>
        </w:rPr>
      </w:pPr>
      <w:r>
        <w:rPr>
          <w:rFonts w:ascii="Times New Roman" w:hAnsi="Times New Roman" w:eastAsia="Tim" w:cs="Times New Roman"/>
          <w:b/>
          <w:bCs/>
          <w:highlight w:val="yellow"/>
          <w:lang w:val="vi-VN"/>
        </w:rPr>
        <w:t xml:space="preserve">2.1. </w:t>
      </w:r>
      <w:r>
        <w:rPr>
          <w:rFonts w:ascii="Times New Roman" w:hAnsi="Times New Roman" w:eastAsia="Tim" w:cs="Times New Roman"/>
          <w:b/>
          <w:bCs/>
          <w:highlight w:val="yellow"/>
        </w:rPr>
        <w:t>Reflective writin</w:t>
      </w:r>
      <w:r>
        <w:rPr>
          <w:rFonts w:ascii="Times New Roman" w:hAnsi="Times New Roman" w:eastAsia="Tim" w:cs="Times New Roman"/>
          <w:b/>
          <w:bCs/>
          <w:highlight w:val="yellow"/>
          <w:lang w:val="vi-VN"/>
        </w:rPr>
        <w:t>g</w:t>
      </w:r>
    </w:p>
    <w:p w14:paraId="3BB85E34">
      <w:pPr>
        <w:tabs>
          <w:tab w:val="left" w:pos="567"/>
        </w:tabs>
        <w:spacing w:before="120" w:after="120" w:line="240" w:lineRule="auto"/>
        <w:jc w:val="both"/>
        <w:rPr>
          <w:rFonts w:ascii="Times New Roman" w:hAnsi="Times New Roman" w:cs="Times New Roman"/>
        </w:rPr>
      </w:pPr>
      <w:r>
        <w:rPr>
          <w:rFonts w:ascii="Times New Roman" w:hAnsi="Times New Roman" w:cs="Times New Roman"/>
        </w:rPr>
        <w:t>Dewey is commonly considered to be the first and most influential theorist of the concept of ‘</w:t>
      </w:r>
      <w:r>
        <w:rPr>
          <w:rFonts w:ascii="Times New Roman" w:hAnsi="Times New Roman" w:cs="Times New Roman"/>
          <w:i/>
        </w:rPr>
        <w:t>reflective thinking</w:t>
      </w:r>
      <w:r>
        <w:rPr>
          <w:rFonts w:ascii="Times New Roman" w:hAnsi="Times New Roman" w:cs="Times New Roman"/>
        </w:rPr>
        <w:t>’ as an aspect of learning and education. According to Dewey’ s reflection is a meaning-making process that transports a learner from one experience into another with deeper understanding of its connections to other experiences.</w:t>
      </w:r>
      <w:r>
        <w:rPr>
          <w:rFonts w:ascii="Times New Roman" w:hAnsi="Times New Roman" w:eastAsia="Calibri" w:cs="Times New Roman"/>
          <w:vertAlign w:val="superscript"/>
          <w:lang w:val="vi-VN"/>
        </w:rPr>
        <w:t>8</w:t>
      </w:r>
      <w:r>
        <w:rPr>
          <w:rFonts w:ascii="Times New Roman" w:hAnsi="Times New Roman" w:cs="Times New Roman"/>
        </w:rPr>
        <w:t xml:space="preserve"> It is the bridge that enables continuity of learning, and ensures the progress of the individual and, ultimately, society. The first fundamental element of experience is interaction. An experience essentially involves interaction between the self and the world, which could be an idea, another person, the material or natural world. Inextricably linked to the first element is continuity. A learner makes sense of each new experience based on the meaning perceived from their past experiences, as well as prior knowledge.</w:t>
      </w:r>
    </w:p>
    <w:p w14:paraId="2B02B740">
      <w:pPr>
        <w:spacing w:before="120" w:after="120" w:line="240" w:lineRule="auto"/>
        <w:jc w:val="both"/>
        <w:rPr>
          <w:rFonts w:ascii="Times New Roman" w:hAnsi="Times New Roman" w:cs="Times New Roman"/>
          <w:b/>
        </w:rPr>
      </w:pPr>
      <w:r>
        <w:rPr>
          <w:rFonts w:ascii="Times New Roman" w:hAnsi="Times New Roman" w:cs="Times New Roman"/>
        </w:rPr>
        <w:t>Various benefits of reflective practice have been identified and widely accepted in the literature. Reflective thinking is essential to both teacher’s and students’ learning. It is seen as ‘a</w:t>
      </w:r>
      <w:r>
        <w:rPr>
          <w:rFonts w:ascii="Times New Roman" w:hAnsi="Times New Roman" w:cs="Times New Roman"/>
          <w:i/>
        </w:rPr>
        <w:t xml:space="preserve"> standard toward which all teachers and students must strive</w:t>
      </w:r>
      <w:r>
        <w:rPr>
          <w:rFonts w:ascii="Times New Roman" w:hAnsi="Times New Roman" w:cs="Times New Roman"/>
        </w:rPr>
        <w:t>’;</w:t>
      </w:r>
      <w:r>
        <w:rPr>
          <w:rFonts w:ascii="Times New Roman" w:hAnsi="Times New Roman" w:eastAsia="Calibri" w:cs="Times New Roman"/>
          <w:vertAlign w:val="superscript"/>
          <w:lang w:val="vi-VN"/>
        </w:rPr>
        <w:t>9</w:t>
      </w:r>
      <w:r>
        <w:rPr>
          <w:rFonts w:ascii="Times New Roman" w:hAnsi="Times New Roman" w:cs="Times New Roman"/>
        </w:rPr>
        <w:t xml:space="preserve"> it is ‘perhaps the most essential piece of what makes us human, of what makes us learners</w:t>
      </w:r>
      <w:r>
        <w:rPr>
          <w:rFonts w:ascii="Times New Roman" w:hAnsi="Times New Roman" w:cs="Times New Roman"/>
          <w:lang w:val="vi-VN"/>
        </w:rPr>
        <w:t>’</w:t>
      </w:r>
      <w:r>
        <w:rPr>
          <w:rFonts w:ascii="Times New Roman" w:hAnsi="Times New Roman" w:cs="Times New Roman"/>
        </w:rPr>
        <w:t>.</w:t>
      </w:r>
      <w:r>
        <w:rPr>
          <w:rFonts w:ascii="Times New Roman" w:hAnsi="Times New Roman" w:eastAsia="Calibri" w:cs="Times New Roman"/>
          <w:vertAlign w:val="superscript"/>
          <w:lang w:val="vi-VN"/>
        </w:rPr>
        <w:t xml:space="preserve">9 </w:t>
      </w:r>
      <w:r>
        <w:rPr>
          <w:rFonts w:ascii="Times New Roman" w:hAnsi="Times New Roman" w:cs="Times New Roman"/>
        </w:rPr>
        <w:t>Self-development is reported as a practical outcome of reflective writing.</w:t>
      </w:r>
      <w:r>
        <w:rPr>
          <w:rFonts w:ascii="Times New Roman" w:hAnsi="Times New Roman" w:eastAsia="Calibri" w:cs="Times New Roman"/>
          <w:vertAlign w:val="superscript"/>
          <w:lang w:val="vi-VN"/>
        </w:rPr>
        <w:t>10</w:t>
      </w:r>
      <w:r>
        <w:rPr>
          <w:rFonts w:ascii="Times New Roman" w:hAnsi="Times New Roman" w:cs="Times New Roman"/>
        </w:rPr>
        <w:t xml:space="preserve"> Moon’s</w:t>
      </w:r>
      <w:r>
        <w:rPr>
          <w:rFonts w:ascii="Times New Roman" w:hAnsi="Times New Roman" w:cs="Times New Roman"/>
          <w:lang w:val="vi-VN"/>
        </w:rPr>
        <w:t xml:space="preserve"> </w:t>
      </w:r>
      <w:r>
        <w:rPr>
          <w:rFonts w:ascii="Times New Roman" w:hAnsi="Times New Roman" w:cs="Times New Roman"/>
        </w:rPr>
        <w:t>long list of outcomes includes critical review, emotion, and learning, blending theory and practice, supporting the awareness of knowledge development, and supporting continuing and personal development.</w:t>
      </w:r>
      <w:r>
        <w:rPr>
          <w:rFonts w:ascii="Times New Roman" w:hAnsi="Times New Roman" w:eastAsia="Calibri" w:cs="Times New Roman"/>
          <w:vertAlign w:val="superscript"/>
          <w:lang w:val="vi-VN"/>
        </w:rPr>
        <w:t>11</w:t>
      </w:r>
      <w:r>
        <w:rPr>
          <w:rFonts w:ascii="Times New Roman" w:hAnsi="Times New Roman" w:cs="Times New Roman"/>
        </w:rPr>
        <w:t xml:space="preserve"> In the nursing literature it is highlighted that reflective practice may be an effective means to reduce the perceived theory-practice gap.</w:t>
      </w:r>
      <w:r>
        <w:rPr>
          <w:rFonts w:ascii="Times New Roman" w:hAnsi="Times New Roman" w:eastAsia="Calibri" w:cs="Times New Roman"/>
          <w:vertAlign w:val="superscript"/>
          <w:lang w:val="vi-VN"/>
        </w:rPr>
        <w:t>12</w:t>
      </w:r>
      <w:r>
        <w:rPr>
          <w:rFonts w:ascii="Times New Roman" w:hAnsi="Times New Roman" w:cs="Times New Roman"/>
        </w:rPr>
        <w:t xml:space="preserve"> Reflective capacity has been highlighted as an essential aspect of self-regulated and lifelong learning in higher education.</w:t>
      </w:r>
      <w:r>
        <w:rPr>
          <w:rFonts w:ascii="Times New Roman" w:hAnsi="Times New Roman" w:eastAsia="Calibri" w:cs="Times New Roman"/>
          <w:vertAlign w:val="superscript"/>
          <w:lang w:val="vi-VN"/>
        </w:rPr>
        <w:t>13</w:t>
      </w:r>
      <w:r>
        <w:rPr>
          <w:rFonts w:ascii="Times New Roman" w:hAnsi="Times New Roman" w:cs="Times New Roman"/>
        </w:rPr>
        <w:t xml:space="preserve"> Fostering reflective capacity within education helps develop critical thinking skills, inform reasoning, enhance professionalism among trainees. Reflection is widely regarded as a means to encourage the development of the students’ higher-order cognitive skills, such as monitoring, inference, and perspective-taking. Other advantages of reflective writing include improving the learning outcomes and paving the way for transformative learning, self-confidence, engagement, and self-discovery; reflective writing was envisioned as helping to promote self-awareness in students given that critical, higher order, metacognitive skills were employed when writing reflectively.</w:t>
      </w:r>
      <w:r>
        <w:rPr>
          <w:rFonts w:ascii="Times New Roman" w:hAnsi="Times New Roman" w:eastAsia="Calibri" w:cs="Times New Roman"/>
          <w:vertAlign w:val="superscript"/>
          <w:lang w:val="vi-VN"/>
        </w:rPr>
        <w:t>14</w:t>
      </w:r>
      <w:r>
        <w:rPr>
          <w:rFonts w:ascii="Times New Roman" w:hAnsi="Times New Roman" w:cs="Times New Roman"/>
        </w:rPr>
        <w:t xml:space="preserve">  </w:t>
      </w:r>
    </w:p>
    <w:p w14:paraId="223CDB3B">
      <w:pPr>
        <w:tabs>
          <w:tab w:val="left" w:pos="567"/>
        </w:tabs>
        <w:spacing w:before="120" w:after="120" w:line="240" w:lineRule="auto"/>
        <w:jc w:val="both"/>
        <w:rPr>
          <w:rFonts w:ascii="Times New Roman" w:hAnsi="Times New Roman" w:cs="Times New Roman"/>
          <w:iCs/>
        </w:rPr>
      </w:pPr>
      <w:r>
        <w:rPr>
          <w:rFonts w:ascii="Times New Roman" w:hAnsi="Times New Roman" w:eastAsia="Tim" w:cs="Times New Roman"/>
          <w:b/>
          <w:bCs/>
          <w:iCs/>
        </w:rPr>
        <w:t>2.2.</w:t>
      </w:r>
      <w:r>
        <w:rPr>
          <w:rFonts w:ascii="Times New Roman" w:hAnsi="Times New Roman" w:cs="Times New Roman"/>
          <w:b/>
          <w:bCs/>
          <w:iCs/>
          <w:lang w:val="vi-VN"/>
        </w:rPr>
        <w:t xml:space="preserve"> </w:t>
      </w:r>
      <w:r>
        <w:rPr>
          <w:rFonts w:ascii="Times New Roman" w:hAnsi="Times New Roman" w:cs="Times New Roman"/>
          <w:b/>
          <w:iCs/>
        </w:rPr>
        <w:t>Higher-order thinking skills</w:t>
      </w:r>
    </w:p>
    <w:p w14:paraId="13B33D21">
      <w:pPr>
        <w:spacing w:before="120" w:after="120" w:line="240" w:lineRule="auto"/>
        <w:jc w:val="both"/>
        <w:rPr>
          <w:rFonts w:ascii="Times New Roman" w:hAnsi="Times New Roman" w:cs="Times New Roman"/>
        </w:rPr>
      </w:pPr>
      <w:r>
        <w:rPr>
          <w:rFonts w:ascii="Times New Roman" w:hAnsi="Times New Roman" w:cs="Times New Roman"/>
        </w:rPr>
        <w:t>Higher-order thinking skills (HOTS) is the concept of education reform and has been defined in different ways. Brookhart</w:t>
      </w:r>
      <w:r>
        <w:rPr>
          <w:rFonts w:ascii="Times New Roman" w:hAnsi="Times New Roman" w:cs="Times New Roman"/>
          <w:lang w:val="vi-VN"/>
        </w:rPr>
        <w:t xml:space="preserve"> </w:t>
      </w:r>
      <w:r>
        <w:rPr>
          <w:rFonts w:ascii="Times New Roman" w:hAnsi="Times New Roman" w:cs="Times New Roman"/>
        </w:rPr>
        <w:t>classifies the different definitions of HOTS into three major categories: HOTS as skills to transfer/apply what students have acquired or learnt into new contexts, HOTS as critical thinking skills, and HOTS as a holistic thinking performance ability to find and tackle a new challenge.</w:t>
      </w:r>
      <w:r>
        <w:rPr>
          <w:rFonts w:ascii="Times New Roman" w:hAnsi="Times New Roman" w:eastAsia="Calibri" w:cs="Times New Roman"/>
          <w:vertAlign w:val="superscript"/>
          <w:lang w:val="vi-VN"/>
        </w:rPr>
        <w:t>15</w:t>
      </w:r>
      <w:r>
        <w:rPr>
          <w:rFonts w:ascii="Times New Roman" w:hAnsi="Times New Roman" w:cs="Times New Roman"/>
        </w:rPr>
        <w:t xml:space="preserve"> Brookhart states that HOTS cover logic and reasoning skills, analysis, evaluation, creation, problem solving, and decision making.</w:t>
      </w:r>
      <w:r>
        <w:rPr>
          <w:rFonts w:ascii="Times New Roman" w:hAnsi="Times New Roman" w:eastAsia="Calibri" w:cs="Times New Roman"/>
          <w:vertAlign w:val="superscript"/>
          <w:lang w:val="vi-VN"/>
        </w:rPr>
        <w:t>15</w:t>
      </w:r>
      <w:r>
        <w:rPr>
          <w:rFonts w:ascii="Times New Roman" w:hAnsi="Times New Roman" w:cs="Times New Roman"/>
        </w:rPr>
        <w:t xml:space="preserve"> </w:t>
      </w:r>
    </w:p>
    <w:p w14:paraId="3F30F824">
      <w:pPr>
        <w:pStyle w:val="17"/>
        <w:numPr>
          <w:ilvl w:val="0"/>
          <w:numId w:val="2"/>
        </w:numPr>
        <w:tabs>
          <w:tab w:val="left" w:pos="284"/>
        </w:tabs>
        <w:spacing w:before="120" w:after="120" w:line="240" w:lineRule="auto"/>
        <w:ind w:left="0" w:firstLine="0"/>
        <w:jc w:val="both"/>
        <w:rPr>
          <w:rFonts w:ascii="Times New Roman" w:hAnsi="Times New Roman" w:cs="Times New Roman"/>
        </w:rPr>
      </w:pPr>
      <w:r>
        <w:rPr>
          <w:rFonts w:ascii="Times New Roman" w:hAnsi="Times New Roman" w:cs="Times New Roman"/>
        </w:rPr>
        <w:t>This study adopted Marzano’s taxonomy.</w:t>
      </w:r>
      <w:r>
        <w:rPr>
          <w:rFonts w:ascii="Times New Roman" w:hAnsi="Times New Roman" w:eastAsia="Calibri" w:cs="Times New Roman"/>
          <w:vertAlign w:val="superscript"/>
          <w:lang w:val="vi-VN"/>
        </w:rPr>
        <w:t>16</w:t>
      </w:r>
      <w:r>
        <w:rPr>
          <w:rFonts w:ascii="Times New Roman" w:hAnsi="Times New Roman" w:cs="Times New Roman"/>
        </w:rPr>
        <w:t xml:space="preserve"> The thinking ability model was firstly coined by Bloom in 1956, which was revised by </w:t>
      </w:r>
      <w:bookmarkStart w:id="0" w:name="_Hlk213946754"/>
      <w:r>
        <w:rPr>
          <w:rFonts w:ascii="Times New Roman" w:hAnsi="Times New Roman" w:cs="Times New Roman"/>
        </w:rPr>
        <w:t>Anderson</w:t>
      </w:r>
      <w:bookmarkEnd w:id="0"/>
      <w:r>
        <w:rPr>
          <w:rFonts w:ascii="Times New Roman" w:hAnsi="Times New Roman" w:cs="Times New Roman"/>
        </w:rPr>
        <w:t xml:space="preserve"> and Krathwohl and Marzano and Kendall.</w:t>
      </w:r>
      <w:r>
        <w:rPr>
          <w:rFonts w:ascii="Times New Roman" w:hAnsi="Times New Roman" w:eastAsia="Calibri" w:cs="Times New Roman"/>
          <w:vertAlign w:val="superscript"/>
          <w:lang w:val="vi-VN"/>
        </w:rPr>
        <w:t>16,17</w:t>
      </w:r>
      <w:r>
        <w:rPr>
          <w:rFonts w:ascii="Times New Roman" w:hAnsi="Times New Roman" w:cs="Times New Roman"/>
        </w:rPr>
        <w:t xml:space="preserve"> These taxonomies have been widely used by experts as a basis for curriculum design, describing learning objectives, assessment and/or targeting different levels of students’ thinking abilities. The revised Bloom taxonomy offers an operational definition of the distinction between lower- and higher-order thinking skills: LOTS is generally classified into the categories of understanding and retrieval, HOTS is the level at a higher level in the cognitive hierarchy - the level of analysis and utilization.</w:t>
      </w:r>
      <w:r>
        <w:rPr>
          <w:rFonts w:ascii="Times New Roman" w:hAnsi="Times New Roman" w:eastAsia="Calibri" w:cs="Times New Roman"/>
          <w:vertAlign w:val="superscript"/>
          <w:lang w:val="vi-VN"/>
        </w:rPr>
        <w:t>16</w:t>
      </w:r>
      <w:r>
        <w:rPr>
          <w:rFonts w:ascii="Times New Roman" w:hAnsi="Times New Roman" w:cs="Times New Roman"/>
        </w:rPr>
        <w:t xml:space="preserve"> Secondly, this framework not only distinguishes between the two but the hierarchy of the cognitive processes makes it a potential tool for designing tasks and providing effective feedback that focuses on progress towards higher-order thinking skills. This taxonomy categorizes human cognitive domain into six thinking levels</w:t>
      </w:r>
      <w:r>
        <w:rPr>
          <w:rFonts w:hint="default" w:ascii="Times New Roman" w:hAnsi="Times New Roman" w:cs="Times New Roman"/>
          <w:lang w:val="vi-VN"/>
        </w:rPr>
        <w:t>.</w:t>
      </w:r>
      <w:r>
        <w:rPr>
          <w:rFonts w:ascii="Times New Roman" w:hAnsi="Times New Roman" w:cs="Times New Roman"/>
        </w:rPr>
        <w:t xml:space="preserve"> </w:t>
      </w:r>
    </w:p>
    <w:p w14:paraId="54AC4708">
      <w:pPr>
        <w:spacing w:before="120" w:after="120" w:line="240" w:lineRule="auto"/>
        <w:jc w:val="both"/>
        <w:rPr>
          <w:rFonts w:ascii="Times New Roman" w:hAnsi="Times New Roman" w:cs="Times New Roman"/>
        </w:rPr>
      </w:pPr>
      <w:r>
        <w:rPr>
          <w:rFonts w:ascii="Times New Roman" w:hAnsi="Times New Roman" w:cs="Times New Roman"/>
        </w:rPr>
        <w:t>Literature has documented abundance of benefits of HOTS. Adult learners’ HOTS create self-regulated learners as well as improve learning outcomes</w:t>
      </w:r>
      <w:r>
        <w:rPr>
          <w:rFonts w:ascii="Times New Roman" w:hAnsi="Times New Roman" w:cs="Times New Roman"/>
          <w:lang w:val="vi-VN"/>
        </w:rPr>
        <w:t>.</w:t>
      </w:r>
      <w:r>
        <w:rPr>
          <w:rFonts w:ascii="Times New Roman" w:hAnsi="Times New Roman" w:eastAsia="Calibri" w:cs="Times New Roman"/>
          <w:vertAlign w:val="superscript"/>
          <w:lang w:val="vi-VN"/>
        </w:rPr>
        <w:t>18</w:t>
      </w:r>
      <w:r>
        <w:rPr>
          <w:rFonts w:ascii="Times New Roman" w:hAnsi="Times New Roman" w:cs="Times New Roman"/>
        </w:rPr>
        <w:t xml:space="preserve"> Several studies have shown that there is a positive relationship between HOTS and students’ academic abilities. Students who have HOTS ability will have better academic abilities than students who have LOTS.</w:t>
      </w:r>
      <w:r>
        <w:rPr>
          <w:rFonts w:ascii="Times New Roman" w:hAnsi="Times New Roman" w:eastAsia="Calibri" w:cs="Times New Roman"/>
          <w:vertAlign w:val="superscript"/>
          <w:lang w:val="vi-VN"/>
        </w:rPr>
        <w:t>19</w:t>
      </w:r>
      <w:r>
        <w:rPr>
          <w:rFonts w:ascii="Times New Roman" w:hAnsi="Times New Roman" w:cs="Times New Roman"/>
        </w:rPr>
        <w:t xml:space="preserve"> HOTS have a vital role in improving student learning ability, speed of learning, including the effectiveness of the learning process,</w:t>
      </w:r>
      <w:r>
        <w:rPr>
          <w:rFonts w:ascii="Times New Roman" w:hAnsi="Times New Roman" w:eastAsia="Calibri" w:cs="Times New Roman"/>
          <w:vertAlign w:val="superscript"/>
          <w:lang w:val="vi-VN"/>
        </w:rPr>
        <w:t>19</w:t>
      </w:r>
      <w:r>
        <w:rPr>
          <w:rFonts w:ascii="Times New Roman" w:hAnsi="Times New Roman" w:cs="Times New Roman"/>
        </w:rPr>
        <w:t xml:space="preserve"> which leads to an increase in student academic achievement and longer-lasting, more transferable knowledge.</w:t>
      </w:r>
      <w:r>
        <w:rPr>
          <w:rFonts w:ascii="Times New Roman" w:hAnsi="Times New Roman" w:eastAsia="Calibri" w:cs="Times New Roman"/>
          <w:vertAlign w:val="superscript"/>
          <w:lang w:val="vi-VN"/>
        </w:rPr>
        <w:t>20,21</w:t>
      </w:r>
      <w:r>
        <w:rPr>
          <w:rFonts w:ascii="Times New Roman" w:hAnsi="Times New Roman" w:cs="Times New Roman"/>
        </w:rPr>
        <w:t xml:space="preserve"> Brookhart</w:t>
      </w:r>
      <w:r>
        <w:rPr>
          <w:rFonts w:ascii="Times New Roman" w:hAnsi="Times New Roman" w:cs="Times New Roman"/>
          <w:lang w:val="vi-VN"/>
        </w:rPr>
        <w:t xml:space="preserve"> </w:t>
      </w:r>
      <w:r>
        <w:rPr>
          <w:rFonts w:ascii="Times New Roman" w:hAnsi="Times New Roman" w:cs="Times New Roman"/>
        </w:rPr>
        <w:t>asserts that holding students accountable for HOTS in learning enhances their motivation and learning results.</w:t>
      </w:r>
      <w:r>
        <w:rPr>
          <w:rFonts w:ascii="Times New Roman" w:hAnsi="Times New Roman" w:eastAsia="Calibri" w:cs="Times New Roman"/>
          <w:vertAlign w:val="superscript"/>
          <w:lang w:val="vi-VN"/>
        </w:rPr>
        <w:t>15</w:t>
      </w:r>
      <w:r>
        <w:rPr>
          <w:rFonts w:ascii="Times New Roman" w:hAnsi="Times New Roman" w:cs="Times New Roman"/>
        </w:rPr>
        <w:t xml:space="preserve"> In addition to developing high cognitive capacities, the development of HOTS is also responsible for developing all-round individuals, which empowers the learners in manipulating new knowledge to solve problems in novel situations they may face.</w:t>
      </w:r>
      <w:r>
        <w:rPr>
          <w:rFonts w:ascii="Times New Roman" w:hAnsi="Times New Roman" w:eastAsia="Calibri" w:cs="Times New Roman"/>
          <w:vertAlign w:val="superscript"/>
          <w:lang w:val="vi-VN"/>
        </w:rPr>
        <w:t>15,19</w:t>
      </w:r>
      <w:r>
        <w:rPr>
          <w:rFonts w:ascii="Times New Roman" w:hAnsi="Times New Roman" w:cs="Times New Roman"/>
        </w:rPr>
        <w:t xml:space="preserve"> </w:t>
      </w:r>
    </w:p>
    <w:p w14:paraId="702DE275">
      <w:pPr>
        <w:spacing w:before="120" w:after="120" w:line="240" w:lineRule="auto"/>
        <w:jc w:val="both"/>
        <w:rPr>
          <w:rFonts w:ascii="Times New Roman" w:hAnsi="Times New Roman" w:cs="Times New Roman"/>
        </w:rPr>
      </w:pPr>
      <w:r>
        <w:rPr>
          <w:rFonts w:ascii="Times New Roman" w:hAnsi="Times New Roman" w:cs="Times New Roman"/>
        </w:rPr>
        <w:t>Course design needs to specifically target HOTS because HOTS are teachable and learnable.</w:t>
      </w:r>
      <w:r>
        <w:rPr>
          <w:rFonts w:ascii="Times New Roman" w:hAnsi="Times New Roman" w:eastAsia="Calibri" w:cs="Times New Roman"/>
          <w:vertAlign w:val="superscript"/>
          <w:lang w:val="vi-VN"/>
        </w:rPr>
        <w:t>20,21</w:t>
      </w:r>
      <w:r>
        <w:rPr>
          <w:rFonts w:ascii="Times New Roman" w:hAnsi="Times New Roman" w:cs="Times New Roman"/>
        </w:rPr>
        <w:t xml:space="preserve">  To ensure successful integration of HOTS in teaching, careful consideration should be made in all aspects of teaching including teaching approach, teaching strategies, and assessment. Previous studies emphasize the alignment of learning goals, implementation of learning, and assessment towards a higher cognitive level</w:t>
      </w:r>
      <w:r>
        <w:rPr>
          <w:rFonts w:ascii="Times New Roman" w:hAnsi="Times New Roman" w:eastAsia="Calibri" w:cs="Times New Roman"/>
          <w:vertAlign w:val="superscript"/>
          <w:lang w:val="vi-VN"/>
        </w:rPr>
        <w:t>17</w:t>
      </w:r>
      <w:r>
        <w:rPr>
          <w:rFonts w:ascii="Times New Roman" w:hAnsi="Times New Roman" w:cs="Times New Roman"/>
        </w:rPr>
        <w:t xml:space="preserve">  in order to create a culture of thinking for the teacher in preparing his/her class and to maximize students’ HOTS.</w:t>
      </w:r>
      <w:r>
        <w:rPr>
          <w:rFonts w:ascii="Times New Roman" w:hAnsi="Times New Roman" w:eastAsia="Calibri" w:cs="Times New Roman"/>
          <w:vertAlign w:val="superscript"/>
          <w:lang w:val="vi-VN"/>
        </w:rPr>
        <w:t>22</w:t>
      </w:r>
      <w:r>
        <w:rPr>
          <w:rFonts w:ascii="Times New Roman" w:hAnsi="Times New Roman" w:cs="Times New Roman"/>
        </w:rPr>
        <w:t xml:space="preserve"> In other words, it is not only the learning strategy that triggers HOTS, but assessment must be able to trigger HOTS, which is alternative assessment. Standardized tests can only measure the mastery of the content of teaching materials. HOTS cannot develop if learning is oriented towards examinations.</w:t>
      </w:r>
      <w:r>
        <w:rPr>
          <w:rFonts w:ascii="Times New Roman" w:hAnsi="Times New Roman" w:eastAsia="Calibri" w:cs="Times New Roman"/>
          <w:vertAlign w:val="superscript"/>
          <w:lang w:val="vi-VN"/>
        </w:rPr>
        <w:t>23</w:t>
      </w:r>
      <w:r>
        <w:rPr>
          <w:rFonts w:ascii="Times New Roman" w:hAnsi="Times New Roman" w:cs="Times New Roman"/>
        </w:rPr>
        <w:t xml:space="preserve"> Repeated exposure to higher-order tasks is not sufficient.</w:t>
      </w:r>
      <w:r>
        <w:rPr>
          <w:rFonts w:ascii="Times New Roman" w:hAnsi="Times New Roman" w:eastAsia="Calibri" w:cs="Times New Roman"/>
          <w:vertAlign w:val="superscript"/>
          <w:lang w:val="vi-VN"/>
        </w:rPr>
        <w:t>21</w:t>
      </w:r>
      <w:r>
        <w:rPr>
          <w:rFonts w:ascii="Times New Roman" w:hAnsi="Times New Roman" w:cs="Times New Roman"/>
        </w:rPr>
        <w:t xml:space="preserve"> Some suggested alternative assessments include multiple choice, open ended problems, performance tests and portfolios.</w:t>
      </w:r>
      <w:r>
        <w:rPr>
          <w:rFonts w:ascii="Times New Roman" w:hAnsi="Times New Roman" w:eastAsia="Calibri" w:cs="Times New Roman"/>
          <w:vertAlign w:val="superscript"/>
          <w:lang w:val="vi-VN"/>
        </w:rPr>
        <w:t>20</w:t>
      </w:r>
      <w:r>
        <w:rPr>
          <w:rFonts w:ascii="Times New Roman" w:hAnsi="Times New Roman" w:cs="Times New Roman"/>
        </w:rPr>
        <w:t xml:space="preserve"> </w:t>
      </w:r>
    </w:p>
    <w:p w14:paraId="2B559991">
      <w:pPr>
        <w:spacing w:before="120" w:after="120" w:line="240" w:lineRule="auto"/>
        <w:jc w:val="both"/>
        <w:rPr>
          <w:rFonts w:ascii="Times New Roman" w:hAnsi="Times New Roman" w:cs="Times New Roman"/>
          <w:lang w:val="vi-VN"/>
        </w:rPr>
      </w:pPr>
      <w:r>
        <w:rPr>
          <w:rFonts w:ascii="Times New Roman" w:hAnsi="Times New Roman" w:cs="Times New Roman"/>
        </w:rPr>
        <w:t>HOTS questions or assignments have the following characteristics: a) the solution is not predictable or does not use a direct formula, b) it is not routine, c) it is an open solution, d) it requires more work in completing it.</w:t>
      </w:r>
      <w:r>
        <w:rPr>
          <w:rFonts w:ascii="Times New Roman" w:hAnsi="Times New Roman" w:eastAsia="Calibri" w:cs="Times New Roman"/>
          <w:vertAlign w:val="superscript"/>
          <w:lang w:val="vi-VN"/>
        </w:rPr>
        <w:t>24</w:t>
      </w:r>
      <w:r>
        <w:rPr>
          <w:rFonts w:ascii="Times New Roman" w:hAnsi="Times New Roman" w:cs="Times New Roman"/>
        </w:rPr>
        <w:t xml:space="preserve"> Assessment which only focuses on basic level, such as recalling factual knowledge, will only facilitate modest learning, but if the assessment emphasizes higher-order thinking level, it will make students learn more deeply.</w:t>
      </w:r>
      <w:r>
        <w:rPr>
          <w:rFonts w:ascii="Times New Roman" w:hAnsi="Times New Roman" w:eastAsia="Calibri" w:cs="Times New Roman"/>
          <w:vertAlign w:val="superscript"/>
          <w:lang w:val="vi-VN"/>
        </w:rPr>
        <w:t>25</w:t>
      </w:r>
      <w:r>
        <w:rPr>
          <w:rFonts w:ascii="Times New Roman" w:hAnsi="Times New Roman" w:cs="Times New Roman"/>
        </w:rPr>
        <w:t xml:space="preserve"> Then, when students are actively involved in learning that seeks to facilitate and awaken students’ HOTS, it should also be followed by an assessment that is also oriented towards HOTS.</w:t>
      </w:r>
      <w:r>
        <w:rPr>
          <w:rFonts w:ascii="Times New Roman" w:hAnsi="Times New Roman" w:eastAsia="Calibri" w:cs="Times New Roman"/>
          <w:vertAlign w:val="superscript"/>
          <w:lang w:val="vi-VN"/>
        </w:rPr>
        <w:t>26</w:t>
      </w:r>
    </w:p>
    <w:p w14:paraId="0DF11B48">
      <w:pPr>
        <w:spacing w:before="120" w:after="120" w:line="240" w:lineRule="auto"/>
        <w:jc w:val="both"/>
        <w:rPr>
          <w:rFonts w:ascii="Times New Roman" w:hAnsi="Times New Roman" w:cs="Times New Roman"/>
        </w:rPr>
      </w:pPr>
      <w:r>
        <w:rPr>
          <w:rFonts w:ascii="Times New Roman" w:hAnsi="Times New Roman" w:cs="Times New Roman"/>
        </w:rPr>
        <w:t>Research literature has indicated a number of teaching strategies to promote cognitive development. Direct instruction could effectively reduce ambiguity and confusion, but this strategy should be used sparingly. Teacher-centered presentations of information should be short (up to five minutes) and coupled with guided practice to teach subskills and knowledge.</w:t>
      </w:r>
      <w:r>
        <w:rPr>
          <w:rFonts w:ascii="Times New Roman" w:hAnsi="Times New Roman" w:eastAsia="Calibri" w:cs="Times New Roman"/>
          <w:vertAlign w:val="superscript"/>
          <w:lang w:val="vi-VN"/>
        </w:rPr>
        <w:t>27</w:t>
      </w:r>
      <w:r>
        <w:rPr>
          <w:rFonts w:ascii="Times New Roman" w:hAnsi="Times New Roman" w:cs="Times New Roman"/>
        </w:rPr>
        <w:t xml:space="preserve"> Regarding questioning strategies, questions can be in various forms like open-ended questions, alternatives and thought-provoking questions, questions requiring students’ explanation for their answers and examining their use of reasoning strategies or Socratic techniques for discussion.</w:t>
      </w:r>
      <w:r>
        <w:rPr>
          <w:rFonts w:ascii="Times New Roman" w:hAnsi="Times New Roman" w:eastAsia="Calibri" w:cs="Times New Roman"/>
          <w:vertAlign w:val="superscript"/>
          <w:lang w:val="vi-VN"/>
        </w:rPr>
        <w:t>28</w:t>
      </w:r>
      <w:r>
        <w:rPr>
          <w:rFonts w:ascii="Times New Roman" w:hAnsi="Times New Roman" w:cs="Times New Roman"/>
        </w:rPr>
        <w:t xml:space="preserve"> Teachers should play the role of a facilitator, giving the model for how to use HOTS in learning rather than a teacher of students.</w:t>
      </w:r>
      <w:r>
        <w:rPr>
          <w:rFonts w:ascii="Times New Roman" w:hAnsi="Times New Roman" w:eastAsia="Calibri" w:cs="Times New Roman"/>
          <w:vertAlign w:val="superscript"/>
          <w:lang w:val="vi-VN"/>
        </w:rPr>
        <w:t>28</w:t>
      </w:r>
      <w:r>
        <w:rPr>
          <w:rFonts w:ascii="Times New Roman" w:hAnsi="Times New Roman" w:cs="Times New Roman"/>
        </w:rPr>
        <w:t xml:space="preserve"> Sincere feedback should be given in time to inform learners of their progress. The features that make classroom environment support HOTS are: (i) reflections of real-life situations and contexts; (ii) collaboration among teachers, disciplines, students; (iii) encouragement of curiosity, exploration, and investigation, (iv) responsibility for learning vested in the learner; (v) failure viewed as a learning opportunity; and (vi) acknowledgement of effort, not just performance.</w:t>
      </w:r>
      <w:r>
        <w:rPr>
          <w:rFonts w:ascii="Times New Roman" w:hAnsi="Times New Roman" w:eastAsia="Calibri" w:cs="Times New Roman"/>
          <w:vertAlign w:val="superscript"/>
          <w:lang w:val="vi-VN"/>
        </w:rPr>
        <w:t>29</w:t>
      </w:r>
    </w:p>
    <w:p w14:paraId="75B05732">
      <w:pPr>
        <w:spacing w:before="120" w:after="120" w:line="240" w:lineRule="auto"/>
        <w:jc w:val="both"/>
        <w:rPr>
          <w:rFonts w:ascii="Times New Roman" w:hAnsi="Times New Roman" w:cs="Times New Roman"/>
        </w:rPr>
      </w:pPr>
      <w:r>
        <w:rPr>
          <w:rFonts w:ascii="Times New Roman" w:hAnsi="Times New Roman" w:cs="Times New Roman"/>
        </w:rPr>
        <w:t>King proposed a three-step procedure with a strong emphasis on teachers’ support to reduce ambiguities and confusion, and improve student’s attitudes about thinking tasks.</w:t>
      </w:r>
      <w:r>
        <w:rPr>
          <w:rFonts w:ascii="Times New Roman" w:hAnsi="Times New Roman" w:eastAsia="Calibri" w:cs="Times New Roman"/>
          <w:vertAlign w:val="superscript"/>
          <w:lang w:val="vi-VN"/>
        </w:rPr>
        <w:t>27</w:t>
      </w:r>
      <w:r>
        <w:rPr>
          <w:rFonts w:ascii="Times New Roman" w:hAnsi="Times New Roman" w:cs="Times New Roman"/>
        </w:rPr>
        <w:t xml:space="preserve"> During the first stage 1, Prerequisites, the teacher should ensure students’ mastery of the subject domain via instruction, with the use of lower order thinking skills. In Stage 2 – Bridges, the teacher provides the bridge to students’ higher levels of thinking. With teachers’ scaffolding, students will be guided to link prior learning to new contexts and tap into their own schemata. In Stage 3 – HOTS – the students could work on their own to apply the prior knowledge and skills to new and preferably real life contexts.</w:t>
      </w:r>
    </w:p>
    <w:p w14:paraId="5B581F1F">
      <w:pPr>
        <w:spacing w:before="120" w:after="120" w:line="240" w:lineRule="auto"/>
        <w:jc w:val="both"/>
        <w:rPr>
          <w:rFonts w:ascii="Times New Roman" w:hAnsi="Times New Roman" w:cs="Times New Roman"/>
          <w:b/>
        </w:rPr>
        <w:sectPr>
          <w:type w:val="continuous"/>
          <w:pgSz w:w="12240" w:h="15840"/>
          <w:pgMar w:top="1138" w:right="1138" w:bottom="1138" w:left="1411" w:header="720" w:footer="720" w:gutter="0"/>
          <w:cols w:equalWidth="0" w:num="2">
            <w:col w:w="4633" w:space="425"/>
            <w:col w:w="4633"/>
          </w:cols>
          <w:docGrid w:linePitch="360" w:charSpace="0"/>
        </w:sectPr>
      </w:pPr>
    </w:p>
    <w:p w14:paraId="797AA4B9">
      <w:pPr>
        <w:spacing w:before="240" w:after="120" w:line="240" w:lineRule="auto"/>
        <w:jc w:val="both"/>
        <w:rPr>
          <w:rFonts w:ascii="Times New Roman" w:hAnsi="Times New Roman" w:cs="Times New Roman"/>
          <w:b/>
          <w:highlight w:val="yellow"/>
          <w:lang w:val="vi-VN"/>
        </w:rPr>
      </w:pPr>
      <w:r>
        <w:rPr>
          <w:rFonts w:ascii="Times New Roman" w:hAnsi="Times New Roman" w:cs="Times New Roman"/>
          <w:b/>
          <w:highlight w:val="yellow"/>
        </w:rPr>
        <w:t>3. M</w:t>
      </w:r>
      <w:r>
        <w:rPr>
          <w:rFonts w:ascii="Times New Roman" w:hAnsi="Times New Roman" w:cs="Times New Roman"/>
          <w:b/>
          <w:highlight w:val="yellow"/>
          <w:lang w:val="vi-VN"/>
        </w:rPr>
        <w:t>ETHODOLOGY</w:t>
      </w:r>
    </w:p>
    <w:p w14:paraId="6C3235A2">
      <w:pPr>
        <w:spacing w:before="120" w:after="120" w:line="240" w:lineRule="auto"/>
        <w:jc w:val="both"/>
        <w:rPr>
          <w:rFonts w:ascii="Times New Roman" w:hAnsi="Times New Roman" w:cs="Times New Roman"/>
          <w:b/>
          <w:i/>
        </w:rPr>
        <w:sectPr>
          <w:type w:val="continuous"/>
          <w:pgSz w:w="12240" w:h="15840"/>
          <w:pgMar w:top="1138" w:right="1138" w:bottom="1138" w:left="1411" w:header="720" w:footer="720" w:gutter="0"/>
          <w:cols w:equalWidth="0" w:num="2">
            <w:col w:w="4633" w:space="425"/>
            <w:col w:w="4633"/>
          </w:cols>
          <w:docGrid w:linePitch="360" w:charSpace="0"/>
        </w:sectPr>
      </w:pPr>
    </w:p>
    <w:p w14:paraId="467E235A">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This study employed a mixed-methods descriptive design to explore the use of reflective essays as an optional formative assessment in a Morphology course for English majors. Quantitative data were used to examine student participation patterns and questionnaire responses, while qualitative data from open-ended questionnaire items were analyzed to gain insights into students’ learning processes and perceptions. The design was exploratory in nature and did not aim to establish causal relationships.</w:t>
      </w:r>
    </w:p>
    <w:p w14:paraId="71939B3C">
      <w:pPr>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3.2. Participants</w:t>
      </w:r>
    </w:p>
    <w:p w14:paraId="7D06F94D">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The participants were students from four intact undergraduate classes enrolled in a Morphology course at a public university: ENG A (n = 32), ENG C (n = 39), ENG K (n = 28), and ENG M (n = 38). These classes were relatively homogeneous in terms of academic background and prior exposure to linguistics. The students had limited experience with reflective writing during their first two years of study.</w:t>
      </w:r>
    </w:p>
    <w:p w14:paraId="6D185ECD">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Students’ English proficiency was estimated to be approximately at the B2 level, with C1 as the institutional graduation target, although many students had not yet reached this level. All participants had previously received instruction in paragraph and essay writing in academic English.</w:t>
      </w:r>
    </w:p>
    <w:p w14:paraId="11D9BE7D">
      <w:pPr>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3.3. Implementation of reflective essays</w:t>
      </w:r>
    </w:p>
    <w:p w14:paraId="320AA0DA">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The intervention was implemented over a ten-week period and consisted of biweekly homework tasks with two components:</w:t>
      </w:r>
    </w:p>
    <w:p w14:paraId="3F1218D7">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 Tests &amp; Quizzes, which focused on LOTS (remembering and understanding) and were completed through automatically graded multiple-choice questions.</w:t>
      </w:r>
    </w:p>
    <w:p w14:paraId="17F0A02B">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 Reflective essays, which were optional assignments designed to promote HOTS. These essays required students to analyze linguistic concepts, relate theory to examples or real-life language use, and articulate personal insights or evaluations. The reflective essay prompts were designed in accordance with Marzano’s taxonomy and assumed prior understanding of core concepts covered in each unit. Students submitted their essays online via Google Classroom.</w:t>
      </w:r>
    </w:p>
    <w:p w14:paraId="1DA71E31">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Reflective essays were manually assessed using a two-level rubric distinguishing between non-reflective and reflective responses. Non-reflective essays primarily reproduced definitions or classifications without evidence of analysis or synthesis, while reflective essays demonstrated engagement with higher-order cognitive processes. Scores ranged from 5 to 10, with 5 serving as a minimum pass score to encourage participation rather than penalize weaker attempts. Detailed, formative feedback was provided to support learning and improvement.</w:t>
      </w:r>
    </w:p>
    <w:p w14:paraId="78F044D9">
      <w:pPr>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3.4. Data collection</w:t>
      </w:r>
    </w:p>
    <w:p w14:paraId="4BAB2892">
      <w:pPr>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Two main sources of data were collected:</w:t>
      </w:r>
    </w:p>
    <w:p w14:paraId="3C2D2518">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Participation and performance data: The number of reflective essay submissions, scores, and feedback records were automatically stored in Google Classroom. Submission rates over the ten-week period were used as an indicator of student engagement.</w:t>
      </w:r>
    </w:p>
    <w:p w14:paraId="0C414DC0">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Questionnaire data: A 15-item questionnaire was administered via Google Forms in the final week of the course to capture students’ perceptions of the two types of homework tasks. The questionnaire included Likert-scale items addressing perceived interest, difficulty, cognitive benefits, and learning outcomes, as well as open-ended questions exploring students’ experiences when completing reflective essays.</w:t>
      </w:r>
    </w:p>
    <w:p w14:paraId="06BF5906">
      <w:pPr>
        <w:spacing w:before="120" w:after="120" w:line="240" w:lineRule="auto"/>
        <w:jc w:val="both"/>
        <w:rPr>
          <w:rFonts w:ascii="Times New Roman" w:hAnsi="Times New Roman" w:cs="Times New Roman"/>
          <w:lang w:val="vi-VN"/>
        </w:rPr>
      </w:pPr>
      <w:r>
        <w:rPr>
          <w:rFonts w:ascii="Times New Roman" w:hAnsi="Times New Roman" w:cs="Times New Roman"/>
          <w:color w:val="000000" w:themeColor="text1"/>
          <w:sz w:val="22"/>
          <w:szCs w:val="22"/>
          <w:highlight w:val="yellow"/>
          <w14:textFill>
            <w14:solidFill>
              <w14:schemeClr w14:val="tx1"/>
            </w14:solidFill>
          </w14:textFill>
        </w:rPr>
        <w:t>Completion of the questionnaire was voluntary and anonymous. Descriptive statistics were used to summarize quantitative responses, while qualitative responses were analyzed thematically to identify common patterns in students’ learning strategies and use of higher-order thinking skills.</w:t>
      </w:r>
    </w:p>
    <w:p w14:paraId="522CAB60">
      <w:pPr>
        <w:spacing w:before="120" w:after="120" w:line="240" w:lineRule="auto"/>
        <w:jc w:val="both"/>
        <w:rPr>
          <w:rFonts w:ascii="Times New Roman" w:hAnsi="Times New Roman" w:cs="Times New Roman"/>
          <w:lang w:val="vi-VN"/>
        </w:rPr>
      </w:pPr>
    </w:p>
    <w:p w14:paraId="6CCD4D6B">
      <w:pPr>
        <w:spacing w:before="120" w:after="120" w:line="240" w:lineRule="auto"/>
        <w:jc w:val="both"/>
        <w:rPr>
          <w:rFonts w:ascii="Times New Roman" w:hAnsi="Times New Roman" w:cs="Times New Roman"/>
          <w:lang w:val="vi-VN"/>
        </w:rPr>
        <w:sectPr>
          <w:type w:val="continuous"/>
          <w:pgSz w:w="12240" w:h="15840"/>
          <w:pgMar w:top="1138" w:right="1138" w:bottom="1138" w:left="1411" w:header="720" w:footer="720" w:gutter="0"/>
          <w:cols w:equalWidth="0" w:num="2">
            <w:col w:w="4633" w:space="425"/>
            <w:col w:w="4633"/>
          </w:cols>
          <w:docGrid w:linePitch="360" w:charSpace="0"/>
        </w:sectPr>
      </w:pPr>
    </w:p>
    <w:p w14:paraId="1396C989">
      <w:pPr>
        <w:numPr>
          <w:ilvl w:val="0"/>
          <w:numId w:val="3"/>
        </w:numPr>
        <w:tabs>
          <w:tab w:val="left" w:pos="567"/>
        </w:tabs>
        <w:spacing w:before="240" w:after="120" w:line="240" w:lineRule="auto"/>
        <w:jc w:val="both"/>
        <w:rPr>
          <w:rFonts w:ascii="Times New Roman" w:hAnsi="Times New Roman" w:cs="Times New Roman"/>
          <w:b/>
          <w:lang w:val="vi-VN"/>
        </w:rPr>
      </w:pPr>
      <w:r>
        <w:rPr>
          <w:rFonts w:ascii="Times New Roman" w:hAnsi="Times New Roman" w:cs="Times New Roman"/>
          <w:b/>
        </w:rPr>
        <w:t>F</w:t>
      </w:r>
      <w:r>
        <w:rPr>
          <w:rFonts w:ascii="Times New Roman" w:hAnsi="Times New Roman" w:cs="Times New Roman"/>
          <w:b/>
          <w:lang w:val="vi-VN"/>
        </w:rPr>
        <w:t>INDINGDS</w:t>
      </w:r>
    </w:p>
    <w:p w14:paraId="0CB3148D">
      <w:pPr>
        <w:tabs>
          <w:tab w:val="left" w:pos="567"/>
        </w:tabs>
        <w:spacing w:before="120" w:after="120" w:line="240" w:lineRule="auto"/>
        <w:jc w:val="both"/>
        <w:rPr>
          <w:rFonts w:ascii="Times New Roman" w:hAnsi="Times New Roman" w:cs="Times New Roman"/>
          <w:b/>
          <w:i/>
        </w:rPr>
        <w:sectPr>
          <w:type w:val="continuous"/>
          <w:pgSz w:w="12240" w:h="15840"/>
          <w:pgMar w:top="1138" w:right="1138" w:bottom="1138" w:left="1411" w:header="720" w:footer="720" w:gutter="0"/>
          <w:cols w:equalWidth="0" w:num="2">
            <w:col w:w="4633" w:space="425"/>
            <w:col w:w="4633"/>
          </w:cols>
          <w:docGrid w:linePitch="360" w:charSpace="0"/>
        </w:sectPr>
      </w:pPr>
    </w:p>
    <w:p w14:paraId="0F96C3DB">
      <w:pPr>
        <w:tabs>
          <w:tab w:val="left" w:pos="567"/>
        </w:tabs>
        <w:spacing w:before="120" w:after="120" w:line="240" w:lineRule="auto"/>
        <w:jc w:val="both"/>
        <w:rPr>
          <w:rFonts w:ascii="Times New Roman" w:hAnsi="Times New Roman" w:eastAsia="Tim" w:cs="Times New Roman"/>
          <w:b/>
          <w:iCs/>
        </w:rPr>
      </w:pPr>
      <w:r>
        <w:rPr>
          <w:rFonts w:ascii="Times New Roman" w:hAnsi="Times New Roman" w:eastAsia="Tim" w:cs="Times New Roman"/>
          <w:b/>
          <w:iCs/>
        </w:rPr>
        <w:t xml:space="preserve">4.1. Students’ Involvement </w:t>
      </w:r>
    </w:p>
    <w:p w14:paraId="25E45E6F">
      <w:pPr>
        <w:tabs>
          <w:tab w:val="left" w:pos="567"/>
        </w:tabs>
        <w:spacing w:before="120" w:after="120" w:line="240" w:lineRule="auto"/>
        <w:jc w:val="both"/>
        <w:rPr>
          <w:rFonts w:ascii="Times New Roman" w:hAnsi="Times New Roman" w:cs="Times New Roman"/>
        </w:rPr>
      </w:pPr>
      <w:r>
        <w:rPr>
          <w:rFonts w:ascii="Times New Roman" w:hAnsi="Times New Roman" w:cs="Times New Roman"/>
        </w:rPr>
        <w:t>Although optional, the students were actively involved in the reflective essays. The lowest rate of submissions was 60.25%, which occurred only once with Class M for the first essay. The subsequent weeks saw a gradual rise in this class as well as other classes. A drop of one or two occasionally may have been due to late submission or some other reason; however, the numbers of submission in all the classes steadily increased over five essays, as can be seen in Figure 1. This finding suggests a positive influence of using the reflective essay to get the students more engaged in learning.</w:t>
      </w:r>
    </w:p>
    <w:p w14:paraId="450792CE">
      <w:pPr>
        <w:tabs>
          <w:tab w:val="left" w:pos="567"/>
        </w:tabs>
        <w:spacing w:before="120" w:after="120" w:line="240" w:lineRule="auto"/>
        <w:jc w:val="center"/>
        <w:rPr>
          <w:rFonts w:ascii="Times New Roman" w:hAnsi="Times New Roman" w:cs="Times New Roman"/>
        </w:rPr>
      </w:pPr>
      <w:r>
        <w:rPr>
          <w:rFonts w:ascii="Times New Roman" w:hAnsi="Times New Roman" w:cs="Times New Roman"/>
        </w:rPr>
        <w:drawing>
          <wp:inline distT="0" distB="0" distL="0" distR="0">
            <wp:extent cx="2940685" cy="2040255"/>
            <wp:effectExtent l="6350" t="6350" r="2476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97B171">
      <w:pPr>
        <w:tabs>
          <w:tab w:val="left" w:pos="567"/>
        </w:tabs>
        <w:spacing w:before="120" w:after="240" w:line="240" w:lineRule="auto"/>
        <w:jc w:val="both"/>
        <w:rPr>
          <w:rFonts w:ascii="Times New Roman" w:hAnsi="Times New Roman" w:cs="Times New Roman"/>
          <w:sz w:val="20"/>
          <w:szCs w:val="20"/>
        </w:rPr>
      </w:pPr>
      <w:r>
        <w:rPr>
          <w:rFonts w:ascii="Times New Roman" w:hAnsi="Times New Roman" w:cs="Times New Roman"/>
          <w:b/>
          <w:sz w:val="20"/>
          <w:szCs w:val="20"/>
        </w:rPr>
        <w:t>Figure 1</w:t>
      </w:r>
      <w:r>
        <w:rPr>
          <w:rFonts w:ascii="Times New Roman" w:hAnsi="Times New Roman" w:cs="Times New Roman"/>
          <w:b/>
          <w:sz w:val="20"/>
          <w:szCs w:val="20"/>
          <w:lang w:val="vi-VN"/>
        </w:rPr>
        <w:t xml:space="preserve">. </w:t>
      </w:r>
      <w:r>
        <w:rPr>
          <w:rFonts w:ascii="Times New Roman" w:hAnsi="Times New Roman" w:cs="Times New Roman"/>
          <w:sz w:val="20"/>
          <w:szCs w:val="20"/>
        </w:rPr>
        <w:t>Numbers of submission over 4 classes.</w:t>
      </w:r>
    </w:p>
    <w:p w14:paraId="2C7F1644">
      <w:pPr>
        <w:tabs>
          <w:tab w:val="left" w:pos="567"/>
        </w:tabs>
        <w:spacing w:before="120" w:after="120" w:line="240" w:lineRule="auto"/>
        <w:jc w:val="both"/>
        <w:rPr>
          <w:rFonts w:ascii="Times New Roman" w:hAnsi="Times New Roman" w:eastAsia="Tim" w:cs="Times New Roman"/>
          <w:b/>
          <w:iCs/>
        </w:rPr>
      </w:pPr>
      <w:r>
        <w:rPr>
          <w:rFonts w:ascii="Times New Roman" w:hAnsi="Times New Roman" w:eastAsia="Tim" w:cs="Times New Roman"/>
          <w:b/>
          <w:iCs/>
        </w:rPr>
        <w:t>4.2. Students’ perceptions and experience</w:t>
      </w:r>
    </w:p>
    <w:p w14:paraId="2285FCDB">
      <w:pPr>
        <w:tabs>
          <w:tab w:val="left" w:pos="567"/>
        </w:tabs>
        <w:spacing w:before="120" w:after="120" w:line="240" w:lineRule="auto"/>
        <w:jc w:val="both"/>
        <w:rPr>
          <w:rFonts w:ascii="Times New Roman" w:hAnsi="Times New Roman" w:cs="Times New Roman"/>
        </w:rPr>
      </w:pPr>
      <w:r>
        <w:rPr>
          <w:rFonts w:ascii="Times New Roman" w:hAnsi="Times New Roman" w:cs="Times New Roman"/>
          <w:b/>
          <w:i/>
        </w:rPr>
        <w:t xml:space="preserve"> </w:t>
      </w:r>
      <w:r>
        <w:rPr>
          <w:rFonts w:ascii="Times New Roman" w:hAnsi="Times New Roman" w:cs="Times New Roman"/>
        </w:rPr>
        <w:t>The response rate to the questionnaire was 56.93%; 78 out of 137 students completed the questionnaire and they were from all four classes A, C, K, and M (18,2%, 33,8%, 20,8%, and 27,3%, respectively).</w:t>
      </w:r>
    </w:p>
    <w:p w14:paraId="09422259">
      <w:pPr>
        <w:spacing w:before="120" w:after="120" w:line="240" w:lineRule="auto"/>
        <w:jc w:val="both"/>
        <w:rPr>
          <w:rFonts w:ascii="Times New Roman" w:hAnsi="Times New Roman" w:cs="Times New Roman"/>
        </w:rPr>
      </w:pPr>
      <w:r>
        <w:rPr>
          <w:rFonts w:ascii="Times New Roman" w:hAnsi="Times New Roman" w:cs="Times New Roman"/>
        </w:rPr>
        <w:t>As regards interest, means for Tests &amp; Quizzes and Assignments were 3.19 and 3.08 on the 1-4 scale respectively, indicating most of the students were interested in both types of homework. A slight difference in mean between the two forms suggest the students generally preferred the Tests &amp; Quizzes. This finding came as no surprise because the Tests &amp; Quizzes were multiple choices and checked students’ LOTS, which took a shorter time to complete and were far easier. Figure 2 compares the students’ interest in them.</w:t>
      </w:r>
    </w:p>
    <w:p w14:paraId="492C5A11">
      <w:pPr>
        <w:spacing w:before="120" w:after="120" w:line="240" w:lineRule="auto"/>
        <w:jc w:val="both"/>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21000" cy="1940560"/>
            <wp:effectExtent l="6350" t="6350" r="1905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881EAF">
      <w:pPr>
        <w:spacing w:before="120" w:after="240" w:line="240" w:lineRule="auto"/>
        <w:jc w:val="both"/>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2.</w:t>
      </w:r>
      <w:r>
        <w:rPr>
          <w:rFonts w:ascii="Times New Roman" w:hAnsi="Times New Roman" w:cs="Times New Roman"/>
          <w:b/>
          <w:sz w:val="20"/>
          <w:szCs w:val="20"/>
          <w:lang w:val="vi-VN"/>
        </w:rPr>
        <w:t xml:space="preserve"> </w:t>
      </w:r>
      <w:r>
        <w:rPr>
          <w:rFonts w:ascii="Times New Roman" w:hAnsi="Times New Roman" w:cs="Times New Roman"/>
          <w:sz w:val="20"/>
          <w:szCs w:val="20"/>
        </w:rPr>
        <w:t xml:space="preserve">Students’ interest across two types of tasks. </w:t>
      </w:r>
    </w:p>
    <w:p w14:paraId="120DF79E">
      <w:pPr>
        <w:tabs>
          <w:tab w:val="left" w:pos="567"/>
        </w:tabs>
        <w:spacing w:before="240" w:after="120" w:line="240" w:lineRule="auto"/>
        <w:jc w:val="both"/>
        <w:rPr>
          <w:rFonts w:ascii="Times New Roman" w:hAnsi="Times New Roman" w:cs="Times New Roman"/>
        </w:rPr>
      </w:pPr>
      <w:r>
        <w:rPr>
          <w:rFonts w:ascii="Times New Roman" w:hAnsi="Times New Roman" w:cs="Times New Roman"/>
        </w:rPr>
        <w:t xml:space="preserve">Beside the positive finding, that approximately one-fourth (26.92%) indicated that they were not interested in tasks assigned. The reason was partly revealed from the informants’ answers to the questions concerning the level of difficulty of the tasks. On the 1-5 scale with 1 being ‘Very easy’ and 5 being ‘Very difficult’, Means for both Tests &amp; Quizzes and Assignments were above average (3.05 and 3.77, respectively). A majority of students indicated that both types of homework were neutral or difficult (Figure 3). It should be noted that up to 15.6% indicated that the essays were ‘Very difficult’, whereas this figure for Tests &amp; Quizzes was merely 1.3%. </w:t>
      </w:r>
    </w:p>
    <w:p w14:paraId="3CE12C49">
      <w:pPr>
        <w:tabs>
          <w:tab w:val="left" w:pos="567"/>
        </w:tabs>
        <w:spacing w:before="120" w:after="120" w:line="240" w:lineRule="auto"/>
        <w:jc w:val="both"/>
        <w:rPr>
          <w:rFonts w:ascii="Times New Roman" w:hAnsi="Times New Roman" w:cs="Times New Roman"/>
          <w:color w:val="5B9BD5" w:themeColor="accent1"/>
          <w14:textFill>
            <w14:solidFill>
              <w14:schemeClr w14:val="accent1"/>
            </w14:solidFill>
          </w14:textFill>
        </w:rPr>
      </w:pPr>
      <w:r>
        <w:rPr>
          <w:rFonts w:ascii="Times New Roman" w:hAnsi="Times New Roman" w:cs="Times New Roman"/>
          <w:color w:val="5B9BD5" w:themeColor="accent1"/>
          <w14:textFill>
            <w14:solidFill>
              <w14:schemeClr w14:val="accent1"/>
            </w14:solidFill>
          </w14:textFill>
        </w:rPr>
        <w:drawing>
          <wp:inline distT="0" distB="0" distL="0" distR="0">
            <wp:extent cx="2955290" cy="1830705"/>
            <wp:effectExtent l="6350" t="6350" r="1016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6CB5BA">
      <w:pPr>
        <w:tabs>
          <w:tab w:val="left" w:pos="567"/>
        </w:tabs>
        <w:spacing w:before="120" w:after="240" w:line="240" w:lineRule="auto"/>
        <w:jc w:val="both"/>
        <w:rPr>
          <w:rFonts w:ascii="Times New Roman" w:hAnsi="Times New Roman" w:cs="Times New Roman"/>
          <w:color w:val="5B9BD5" w:themeColor="accent1"/>
          <w:sz w:val="20"/>
          <w:szCs w:val="20"/>
          <w14:textFill>
            <w14:solidFill>
              <w14:schemeClr w14:val="accent1"/>
            </w14:solidFill>
          </w14:textFill>
        </w:rPr>
      </w:pPr>
      <w:r>
        <w:rPr>
          <w:rFonts w:ascii="Times New Roman" w:hAnsi="Times New Roman" w:cs="Times New Roman"/>
          <w:b/>
          <w:sz w:val="20"/>
          <w:szCs w:val="20"/>
        </w:rPr>
        <w:t>Figure 3</w:t>
      </w:r>
      <w:r>
        <w:rPr>
          <w:rFonts w:ascii="Times New Roman" w:hAnsi="Times New Roman" w:cs="Times New Roman"/>
          <w:b/>
          <w:sz w:val="20"/>
          <w:szCs w:val="20"/>
          <w:lang w:val="vi-VN"/>
        </w:rPr>
        <w:t xml:space="preserve">: </w:t>
      </w:r>
      <w:r>
        <w:rPr>
          <w:rFonts w:ascii="Times New Roman" w:hAnsi="Times New Roman" w:cs="Times New Roman"/>
          <w:sz w:val="20"/>
          <w:szCs w:val="20"/>
        </w:rPr>
        <w:t>Students’ perception of the difficulty levels across two tasks.</w:t>
      </w:r>
    </w:p>
    <w:p w14:paraId="568465CE">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Although mostly indicated as uneasy, the tasks did engage the students. This could be due to the benefits the students perceived when they finished the tasks. </w:t>
      </w:r>
    </w:p>
    <w:p w14:paraId="30426362">
      <w:pPr>
        <w:tabs>
          <w:tab w:val="left" w:pos="567"/>
        </w:tabs>
        <w:spacing w:before="120" w:after="120" w:line="240" w:lineRule="auto"/>
        <w:jc w:val="both"/>
        <w:rPr>
          <w:rFonts w:ascii="Times New Roman" w:hAnsi="Times New Roman" w:cs="Times New Roman"/>
        </w:rPr>
      </w:pPr>
      <w:r>
        <w:rPr>
          <w:rFonts w:ascii="Times New Roman" w:hAnsi="Times New Roman" w:cs="Times New Roman"/>
        </w:rPr>
        <w:t>From the perspective of Marzano’s taxonomy, the students tended to agree with the benefits of the tasks. The data reveals the fact that Tests &amp; Quizzes supported the development of LOTS (remembering, understanding) and Assignments triggered the use of HOTS – applying, analyzing, evaluating and creating. Figure 4 compares the skills perceived to be promoted when the students performed the tasks assigned.</w:t>
      </w:r>
    </w:p>
    <w:p w14:paraId="7DEB6E61">
      <w:pPr>
        <w:tabs>
          <w:tab w:val="left" w:pos="567"/>
        </w:tabs>
        <w:spacing w:before="120" w:after="120" w:line="240" w:lineRule="auto"/>
        <w:jc w:val="both"/>
        <w:rPr>
          <w:rFonts w:ascii="Times New Roman" w:hAnsi="Times New Roman" w:cs="Times New Roman"/>
        </w:rPr>
      </w:pPr>
      <w:r>
        <w:rPr>
          <w:rFonts w:ascii="Times New Roman" w:hAnsi="Times New Roman" w:cs="Times New Roman"/>
        </w:rPr>
        <w:drawing>
          <wp:inline distT="0" distB="0" distL="0" distR="0">
            <wp:extent cx="2930525" cy="2658745"/>
            <wp:effectExtent l="6350" t="6350" r="9525"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F67FE4">
      <w:pPr>
        <w:tabs>
          <w:tab w:val="left" w:pos="567"/>
        </w:tabs>
        <w:spacing w:before="120" w:after="240" w:line="240" w:lineRule="auto"/>
        <w:jc w:val="both"/>
        <w:rPr>
          <w:rFonts w:ascii="Times New Roman" w:hAnsi="Times New Roman" w:cs="Times New Roman"/>
        </w:rPr>
      </w:pPr>
      <w:r>
        <w:rPr>
          <w:rFonts w:ascii="Times New Roman" w:hAnsi="Times New Roman" w:cs="Times New Roman"/>
          <w:b/>
          <w:sz w:val="20"/>
          <w:szCs w:val="20"/>
        </w:rPr>
        <w:t>Figure 4.</w:t>
      </w:r>
      <w:r>
        <w:rPr>
          <w:rFonts w:ascii="Times New Roman" w:hAnsi="Times New Roman" w:cs="Times New Roman"/>
          <w:b/>
          <w:sz w:val="20"/>
          <w:szCs w:val="20"/>
          <w:lang w:val="vi-VN"/>
        </w:rPr>
        <w:t xml:space="preserve"> </w:t>
      </w:r>
      <w:r>
        <w:rPr>
          <w:rFonts w:ascii="Times New Roman" w:hAnsi="Times New Roman" w:cs="Times New Roman"/>
          <w:sz w:val="20"/>
          <w:szCs w:val="20"/>
        </w:rPr>
        <w:t>Benefits perceived across two tasks.</w:t>
      </w:r>
    </w:p>
    <w:p w14:paraId="4A952305">
      <w:pPr>
        <w:tabs>
          <w:tab w:val="left" w:pos="567"/>
        </w:tabs>
        <w:spacing w:before="120" w:after="120" w:line="240" w:lineRule="auto"/>
        <w:jc w:val="both"/>
        <w:rPr>
          <w:rFonts w:ascii="Times New Roman" w:hAnsi="Times New Roman" w:cs="Times New Roman"/>
        </w:rPr>
      </w:pPr>
      <w:r>
        <w:rPr>
          <w:rFonts w:ascii="Times New Roman" w:hAnsi="Times New Roman" w:cs="Times New Roman"/>
        </w:rPr>
        <w:t>The study also investigated to what extend the two types of task were perceived to have helped the students’ development in terms of the three broad learning outcomes – knowledge, skills, and attitude. The result is presented in Figure 5. Thus, both types were perceived to have supported the development in all three targeted areas. The proportions of the students agreed to these benefits were generally high, with 79.7%, 66.2%, and 54.1% for Tests &amp; Quizzes; 62.2%, 75.7%, and 60.8% for Essays. The results also unfold the students’ higher appreciation of the essays in developing their skills and especially attitudes than the Tests &amp; Quizzes.</w:t>
      </w:r>
    </w:p>
    <w:p w14:paraId="566D64CF">
      <w:pPr>
        <w:tabs>
          <w:tab w:val="left" w:pos="567"/>
        </w:tabs>
        <w:spacing w:before="120" w:after="120" w:line="240" w:lineRule="auto"/>
        <w:jc w:val="center"/>
        <w:rPr>
          <w:rFonts w:ascii="Times New Roman" w:hAnsi="Times New Roman" w:cs="Times New Roman"/>
        </w:rPr>
      </w:pPr>
      <w:r>
        <w:rPr>
          <w:rFonts w:ascii="Times New Roman" w:hAnsi="Times New Roman" w:cs="Times New Roman"/>
        </w:rPr>
        <w:drawing>
          <wp:inline distT="0" distB="0" distL="0" distR="0">
            <wp:extent cx="2945130" cy="2562860"/>
            <wp:effectExtent l="6350" t="6350" r="2032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C14BEA">
      <w:pPr>
        <w:tabs>
          <w:tab w:val="left" w:pos="567"/>
        </w:tabs>
        <w:spacing w:before="120" w:after="240" w:line="240" w:lineRule="auto"/>
        <w:jc w:val="both"/>
        <w:rPr>
          <w:rFonts w:ascii="Times New Roman" w:hAnsi="Times New Roman" w:cs="Times New Roman"/>
        </w:rPr>
      </w:pPr>
      <w:r>
        <w:rPr>
          <w:rFonts w:ascii="Times New Roman" w:hAnsi="Times New Roman" w:cs="Times New Roman"/>
          <w:b/>
          <w:sz w:val="20"/>
          <w:szCs w:val="20"/>
        </w:rPr>
        <w:t>Figure 5.</w:t>
      </w:r>
      <w:r>
        <w:rPr>
          <w:rFonts w:ascii="Times New Roman" w:hAnsi="Times New Roman" w:cs="Times New Roman"/>
          <w:b/>
          <w:sz w:val="20"/>
          <w:szCs w:val="20"/>
          <w:lang w:val="vi-VN"/>
        </w:rPr>
        <w:t xml:space="preserve"> </w:t>
      </w:r>
      <w:r>
        <w:rPr>
          <w:rFonts w:ascii="Times New Roman" w:hAnsi="Times New Roman" w:cs="Times New Roman"/>
          <w:sz w:val="20"/>
          <w:szCs w:val="20"/>
        </w:rPr>
        <w:t>Students’ perceived development of learning outcomes across two tasks.</w:t>
      </w:r>
    </w:p>
    <w:p w14:paraId="3B8A2D5E">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To explore how much the reflective essays triggered student-content interaction and student-student interaction, the students were asked to indicate if they discussed with their friends and referred the references in order to complete the essays. The result showed that less than half of the students (42.1%) said they did discuss with their classmates, leaving another larger half (57.9) not to have interacted with peers in order to complete the task (Figure 6). Contrary to student-student interaction, student-content interaction was far more common (Figure 7), which seems apparent, because unless the students had reviewed the concepts and searched for information from different sources, they could not have satisfactorily completed the essays.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396"/>
      </w:tblGrid>
      <w:tr w14:paraId="48445780">
        <w:trPr>
          <w:trHeight w:val="3843" w:hRule="atLeast"/>
        </w:trPr>
        <w:tc>
          <w:tcPr>
            <w:tcW w:w="2453" w:type="dxa"/>
            <w:tcBorders>
              <w:top w:val="nil"/>
              <w:left w:val="nil"/>
              <w:bottom w:val="nil"/>
              <w:right w:val="nil"/>
            </w:tcBorders>
          </w:tcPr>
          <w:p w14:paraId="3EFB556D">
            <w:pPr>
              <w:tabs>
                <w:tab w:val="left" w:pos="567"/>
              </w:tabs>
              <w:spacing w:before="120" w:after="120" w:line="240" w:lineRule="auto"/>
              <w:jc w:val="both"/>
              <w:rPr>
                <w:rFonts w:ascii="Times New Roman" w:hAnsi="Times New Roman" w:cs="Times New Roman"/>
                <w:i/>
              </w:rPr>
            </w:pPr>
            <w:r>
              <w:rPr>
                <w:rFonts w:ascii="Times New Roman" w:hAnsi="Times New Roman" w:cs="Times New Roman"/>
              </w:rPr>
              <w:drawing>
                <wp:inline distT="0" distB="0" distL="0" distR="0">
                  <wp:extent cx="1340485" cy="1696085"/>
                  <wp:effectExtent l="6350" t="6350" r="24765"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090E1D">
            <w:pPr>
              <w:tabs>
                <w:tab w:val="left" w:pos="567"/>
              </w:tabs>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Figure 6. </w:t>
            </w:r>
            <w:r>
              <w:rPr>
                <w:rFonts w:ascii="Times New Roman" w:hAnsi="Times New Roman" w:cs="Times New Roman"/>
                <w:sz w:val="20"/>
                <w:szCs w:val="20"/>
              </w:rPr>
              <w:t>Student-student interaction.</w:t>
            </w:r>
          </w:p>
        </w:tc>
        <w:tc>
          <w:tcPr>
            <w:tcW w:w="2396" w:type="dxa"/>
            <w:tcBorders>
              <w:top w:val="nil"/>
              <w:left w:val="nil"/>
              <w:bottom w:val="nil"/>
              <w:right w:val="nil"/>
            </w:tcBorders>
          </w:tcPr>
          <w:p w14:paraId="356F4E5F">
            <w:pPr>
              <w:tabs>
                <w:tab w:val="left" w:pos="567"/>
              </w:tabs>
              <w:spacing w:before="120" w:after="120" w:line="240" w:lineRule="auto"/>
              <w:jc w:val="both"/>
              <w:rPr>
                <w:rFonts w:ascii="Times New Roman" w:hAnsi="Times New Roman" w:cs="Times New Roman"/>
                <w:i/>
              </w:rPr>
            </w:pPr>
            <w:r>
              <w:rPr>
                <w:rFonts w:ascii="Times New Roman" w:hAnsi="Times New Roman" w:cs="Times New Roman"/>
              </w:rPr>
              <w:drawing>
                <wp:inline distT="0" distB="0" distL="0" distR="0">
                  <wp:extent cx="1466215" cy="1691005"/>
                  <wp:effectExtent l="6350" t="6350" r="26035" b="298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1E5234">
            <w:pPr>
              <w:tabs>
                <w:tab w:val="left" w:pos="567"/>
              </w:tabs>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Figure 7. </w:t>
            </w:r>
            <w:r>
              <w:rPr>
                <w:rFonts w:ascii="Times New Roman" w:hAnsi="Times New Roman" w:cs="Times New Roman"/>
                <w:sz w:val="20"/>
                <w:szCs w:val="20"/>
              </w:rPr>
              <w:t>Student-content interaction.</w:t>
            </w:r>
          </w:p>
        </w:tc>
      </w:tr>
    </w:tbl>
    <w:p w14:paraId="00DDB5B3">
      <w:pPr>
        <w:tabs>
          <w:tab w:val="left" w:pos="567"/>
        </w:tabs>
        <w:spacing w:before="120" w:after="120" w:line="240" w:lineRule="auto"/>
        <w:jc w:val="both"/>
        <w:rPr>
          <w:rFonts w:ascii="Times New Roman" w:hAnsi="Times New Roman" w:cs="Times New Roman"/>
        </w:rPr>
      </w:pPr>
      <w:r>
        <w:rPr>
          <w:rFonts w:ascii="Times New Roman" w:hAnsi="Times New Roman" w:cs="Times New Roman"/>
        </w:rPr>
        <w:t xml:space="preserve">To explore whether or not the reflective essays promoted the students’ employment of the HOTS, the students were asked to describe the process they usually went through in order to complete this task. Their short answers were analyzed in terms of actions. Two groups emerged: some tended to have proceeded through the steps the undergraduates are usually instructed to follow in academic writing courses; others were more research-oriented. </w:t>
      </w:r>
    </w:p>
    <w:p w14:paraId="54905297">
      <w:pPr>
        <w:tabs>
          <w:tab w:val="left" w:pos="567"/>
        </w:tabs>
        <w:spacing w:before="120" w:after="120" w:line="240" w:lineRule="auto"/>
        <w:jc w:val="both"/>
        <w:rPr>
          <w:rFonts w:ascii="Times New Roman" w:hAnsi="Times New Roman" w:cs="Times New Roman"/>
        </w:rPr>
      </w:pPr>
      <w:r>
        <w:rPr>
          <w:rFonts w:ascii="Times New Roman" w:hAnsi="Times New Roman" w:cs="Times New Roman"/>
        </w:rPr>
        <w:t>For the first group, the steps that they undertook were reading carefully the prompts, analyzing the prompts, making an outline, writing the draft, proofreading, and finally submitting. Some were also concerned with the three-part structure of the essay. For example,</w:t>
      </w:r>
    </w:p>
    <w:p w14:paraId="3FBD5E65">
      <w:pPr>
        <w:tabs>
          <w:tab w:val="left" w:pos="284"/>
        </w:tabs>
        <w:spacing w:before="120" w:after="120" w:line="240" w:lineRule="auto"/>
        <w:jc w:val="both"/>
        <w:rPr>
          <w:rFonts w:ascii="Times New Roman" w:hAnsi="Times New Roman" w:cs="Times New Roman"/>
        </w:rPr>
      </w:pPr>
      <w:r>
        <w:rPr>
          <w:rFonts w:ascii="Times New Roman" w:hAnsi="Times New Roman" w:cs="Times New Roman"/>
          <w:i/>
          <w:iCs/>
        </w:rPr>
        <w:t>Excerpt (1)</w:t>
      </w:r>
      <w:r>
        <w:rPr>
          <w:rFonts w:ascii="Times New Roman" w:hAnsi="Times New Roman" w:cs="Times New Roman"/>
        </w:rPr>
        <w:t>:  Bước 1: Đọc kĩ đề và yêu cầu của assignment Bước 2 Lên dàn ý cho chủ đề cần viết Bước 3 Viết câu chủ đề Bước 4 Viết phần giới thiệu Bước 5 Viết phần thân bài Bước 6 Viết kết luận. (Step 1: Read the prompt carefully and the requirements. Step 2: making an outline for the topic. Step 3: Writing the topic sentence. Step 4: Writing the introduction; Step 5: Writing the body. Step 6: Writing the conclusion.)</w:t>
      </w:r>
    </w:p>
    <w:p w14:paraId="5EDB3171">
      <w:pPr>
        <w:spacing w:before="120" w:after="120" w:line="240" w:lineRule="auto"/>
        <w:jc w:val="both"/>
        <w:rPr>
          <w:rFonts w:ascii="Times New Roman" w:hAnsi="Times New Roman" w:cs="Times New Roman"/>
        </w:rPr>
      </w:pPr>
      <w:r>
        <w:rPr>
          <w:rFonts w:ascii="Times New Roman" w:hAnsi="Times New Roman" w:cs="Times New Roman"/>
        </w:rPr>
        <w:t>For a predominant majority, the steps appeared to have been more research-oriented. The steps involved were reviewing the theory/ the technical concepts, searching the materials, analyzing and synthesizing the contents. For example,</w:t>
      </w:r>
    </w:p>
    <w:p w14:paraId="1A049358">
      <w:pPr>
        <w:spacing w:before="120" w:after="120" w:line="240" w:lineRule="auto"/>
        <w:jc w:val="both"/>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Em thường ôn bài giảng trên lớp, tham khảo một số tài liệu rồi sau đó bắt đầu hoàn thành bài assignment. (I usually reviewed the lessons instructed, referred some references, then began to complete the assignment.)  </w:t>
      </w:r>
    </w:p>
    <w:p w14:paraId="3C9561E6">
      <w:pPr>
        <w:tabs>
          <w:tab w:val="left" w:pos="284"/>
        </w:tabs>
        <w:spacing w:before="120" w:after="120" w:line="240" w:lineRule="auto"/>
        <w:jc w:val="both"/>
        <w:rPr>
          <w:rFonts w:ascii="Times New Roman" w:hAnsi="Times New Roman" w:cs="Times New Roman"/>
        </w:rPr>
      </w:pPr>
      <w:r>
        <w:rPr>
          <w:rFonts w:ascii="Times New Roman" w:hAnsi="Times New Roman" w:cs="Times New Roman"/>
          <w:i/>
          <w:iCs/>
        </w:rPr>
        <w:t xml:space="preserve">Excerpt </w:t>
      </w:r>
      <w:r>
        <w:rPr>
          <w:rFonts w:ascii="Times New Roman" w:hAnsi="Times New Roman" w:cs="Times New Roman"/>
        </w:rPr>
        <w:t>(3):  Em thường nghiên cứu lý thuyết, tìm tài liệu có liên quan và sau đó em sẽ kết hợp lại và hoàn thành bài. (I usually studied the theory, searched relevant materials, then I synthesized and completed the task.)</w:t>
      </w:r>
    </w:p>
    <w:p w14:paraId="49D9809B">
      <w:pPr>
        <w:tabs>
          <w:tab w:val="left" w:pos="0"/>
        </w:tabs>
        <w:spacing w:before="120" w:after="120" w:line="240" w:lineRule="auto"/>
        <w:jc w:val="both"/>
        <w:rPr>
          <w:rFonts w:ascii="Times New Roman" w:hAnsi="Times New Roman" w:cs="Times New Roman"/>
        </w:rPr>
      </w:pPr>
      <w:r>
        <w:rPr>
          <w:rFonts w:ascii="Times New Roman" w:hAnsi="Times New Roman" w:cs="Times New Roman"/>
        </w:rPr>
        <w:t xml:space="preserve">As revealed from the responses, in order to search for information, the students referred not only the textbook and/or the recommended references but also the resources on the Internet, including videos. </w:t>
      </w:r>
    </w:p>
    <w:p w14:paraId="3827A229">
      <w:pPr>
        <w:tabs>
          <w:tab w:val="left" w:pos="0"/>
        </w:tabs>
        <w:spacing w:before="120" w:after="120" w:line="240" w:lineRule="auto"/>
        <w:jc w:val="both"/>
        <w:rPr>
          <w:rFonts w:ascii="Times New Roman" w:hAnsi="Times New Roman" w:cs="Times New Roman"/>
        </w:rPr>
      </w:pPr>
      <w:r>
        <w:rPr>
          <w:rFonts w:ascii="Times New Roman" w:hAnsi="Times New Roman" w:cs="Times New Roman"/>
        </w:rPr>
        <w:t>Some students indicated that they discussed with their peers or raised questions in the class, too. For example,</w:t>
      </w:r>
    </w:p>
    <w:p w14:paraId="56319013">
      <w:pPr>
        <w:spacing w:before="120" w:after="120" w:line="240" w:lineRule="auto"/>
        <w:jc w:val="both"/>
        <w:rPr>
          <w:rFonts w:ascii="Times New Roman" w:hAnsi="Times New Roman" w:cs="Times New Roman"/>
          <w:b/>
        </w:rPr>
        <w:sectPr>
          <w:type w:val="continuous"/>
          <w:pgSz w:w="12240" w:h="15840"/>
          <w:pgMar w:top="1138" w:right="1138" w:bottom="1138" w:left="1411" w:header="720" w:footer="720" w:gutter="0"/>
          <w:cols w:equalWidth="0" w:num="2">
            <w:col w:w="4633" w:space="425"/>
            <w:col w:w="4633"/>
          </w:cols>
          <w:docGrid w:linePitch="360" w:charSpace="0"/>
        </w:sectPr>
      </w:pPr>
      <w:r>
        <w:rPr>
          <w:rFonts w:ascii="Times New Roman" w:hAnsi="Times New Roman" w:cs="Times New Roman"/>
          <w:i/>
          <w:iCs/>
        </w:rPr>
        <w:t>Excerpt</w:t>
      </w:r>
      <w:r>
        <w:rPr>
          <w:rFonts w:ascii="Times New Roman" w:hAnsi="Times New Roman" w:cs="Times New Roman"/>
        </w:rPr>
        <w:t xml:space="preserve"> (4) Đầu tiên tôi sẽ đọc đề 2 đến 3 lần để hiểu đề. Sau đó tôi sẽ phân tích đề bài xem đề bài yêu cầu làm gì. Tiếp theo tôi sẽ tiến hành làm bài. Nếu trong bài làm tôi không chắc chắn phần nào tôi sẽ mở lại bài cũ để xem. Nếu có câu nào tôi không hiểu tôi sẽ hỏi lại cô giáo vào đầu giờ học của buổi tiếp theo. Vì vậy tôi thường hay mở đề trước ngày thứ 5 để sáng thứ 5 có gì không hiểu tôi sẽ hỏi cô giáo. (First of all I read the prompts two or three times in order to understand. Then I analyzed the question to grasp the requirement. Then I proceeded to finish the task. If I was unsure of some issue during the completion, I reread the lesson. If there was anything I could not understand, I asked the lecturer at the beginning of the following class. Therefore, I usually check the assignment before Thursday so that I could ask the lecturer on Thursday.)</w:t>
      </w:r>
    </w:p>
    <w:p w14:paraId="278FA87E">
      <w:pPr>
        <w:numPr>
          <w:ilvl w:val="0"/>
          <w:numId w:val="3"/>
        </w:numPr>
        <w:tabs>
          <w:tab w:val="left" w:pos="567"/>
        </w:tabs>
        <w:spacing w:before="240" w:after="120" w:line="240" w:lineRule="auto"/>
        <w:jc w:val="both"/>
        <w:rPr>
          <w:rFonts w:ascii="Times New Roman" w:hAnsi="Times New Roman" w:cs="Times New Roman"/>
          <w:lang w:val="vi-VN"/>
        </w:rPr>
        <w:sectPr>
          <w:type w:val="continuous"/>
          <w:pgSz w:w="12240" w:h="15840"/>
          <w:pgMar w:top="1138" w:right="1138" w:bottom="1138" w:left="1411" w:header="720" w:footer="720" w:gutter="0"/>
          <w:cols w:equalWidth="0" w:num="2">
            <w:col w:w="4633" w:space="425"/>
            <w:col w:w="4633"/>
          </w:cols>
          <w:docGrid w:linePitch="360" w:charSpace="0"/>
        </w:sectPr>
      </w:pPr>
      <w:r>
        <w:rPr>
          <w:rFonts w:ascii="Times New Roman" w:hAnsi="Times New Roman" w:cs="Times New Roman"/>
          <w:b/>
        </w:rPr>
        <w:t>D</w:t>
      </w:r>
      <w:r>
        <w:rPr>
          <w:rFonts w:ascii="Times New Roman" w:hAnsi="Times New Roman" w:cs="Times New Roman"/>
          <w:b/>
          <w:lang w:val="vi-VN"/>
        </w:rPr>
        <w:t>ISCUSSION</w:t>
      </w:r>
    </w:p>
    <w:p w14:paraId="26C16643">
      <w:pPr>
        <w:tabs>
          <w:tab w:val="left" w:pos="567"/>
        </w:tabs>
        <w:spacing w:before="120" w:after="120" w:line="240" w:lineRule="auto"/>
        <w:jc w:val="both"/>
        <w:rPr>
          <w:rFonts w:ascii="Times New Roman" w:hAnsi="Times New Roman" w:cs="Times New Roman"/>
        </w:rPr>
      </w:pPr>
      <w:r>
        <w:rPr>
          <w:rFonts w:ascii="Times New Roman" w:hAnsi="Times New Roman" w:cs="Times New Roman"/>
          <w:lang w:val="vi-VN"/>
        </w:rPr>
        <w:t>B</w:t>
      </w:r>
      <w:r>
        <w:rPr>
          <w:rFonts w:ascii="Times New Roman" w:hAnsi="Times New Roman" w:cs="Times New Roman"/>
        </w:rPr>
        <w:t>ain,</w:t>
      </w:r>
      <w:r>
        <w:rPr>
          <w:rFonts w:ascii="Times New Roman" w:hAnsi="Times New Roman" w:cs="Times New Roman"/>
          <w:lang w:val="vi-VN"/>
        </w:rPr>
        <w:t xml:space="preserve"> </w:t>
      </w:r>
      <w:r>
        <w:rPr>
          <w:rFonts w:ascii="Times New Roman" w:hAnsi="Times New Roman" w:cs="Times New Roman"/>
        </w:rPr>
        <w:t>Ballantyne, Mills &amp; Nestor</w:t>
      </w:r>
      <w:r>
        <w:rPr>
          <w:rFonts w:ascii="Times New Roman" w:hAnsi="Times New Roman" w:cs="Times New Roman"/>
          <w:lang w:val="vi-VN"/>
        </w:rPr>
        <w:t xml:space="preserve"> </w:t>
      </w:r>
      <w:r>
        <w:rPr>
          <w:rFonts w:ascii="Times New Roman" w:hAnsi="Times New Roman" w:cs="Times New Roman"/>
        </w:rPr>
        <w:t>argue that reflective skills can be taught; nonetheless, they require practice and development over time.</w:t>
      </w:r>
      <w:r>
        <w:rPr>
          <w:rFonts w:ascii="Times New Roman" w:hAnsi="Times New Roman" w:eastAsia="Calibri" w:cs="Times New Roman"/>
          <w:vertAlign w:val="superscript"/>
          <w:lang w:val="vi-VN"/>
        </w:rPr>
        <w:t>30</w:t>
      </w:r>
      <w:r>
        <w:rPr>
          <w:rFonts w:ascii="Times New Roman" w:hAnsi="Times New Roman" w:cs="Times New Roman"/>
        </w:rPr>
        <w:t xml:space="preserve"> This study concerns reflective writing in foreign learning environment. It was sustained and supported by the potential and properties of modern technologies. These technology-facilitated writing activities were expected to result in increased motivation, participation and interaction, leading to students’ literacy development.</w:t>
      </w:r>
      <w:r>
        <w:rPr>
          <w:rFonts w:ascii="Times New Roman" w:hAnsi="Times New Roman" w:eastAsia="Calibri" w:cs="Times New Roman"/>
          <w:vertAlign w:val="superscript"/>
          <w:lang w:val="vi-VN"/>
        </w:rPr>
        <w:t>31</w:t>
      </w:r>
      <w:r>
        <w:rPr>
          <w:rFonts w:ascii="Times New Roman" w:hAnsi="Times New Roman" w:cs="Times New Roman"/>
        </w:rPr>
        <w:t xml:space="preserve"> </w:t>
      </w:r>
    </w:p>
    <w:p w14:paraId="647CDDCC">
      <w:pPr>
        <w:spacing w:before="120" w:after="120" w:line="240" w:lineRule="auto"/>
        <w:jc w:val="both"/>
        <w:rPr>
          <w:rFonts w:ascii="Times New Roman" w:hAnsi="Times New Roman" w:cs="Times New Roman"/>
        </w:rPr>
      </w:pPr>
      <w:r>
        <w:rPr>
          <w:rFonts w:ascii="Times New Roman" w:hAnsi="Times New Roman" w:cs="Times New Roman"/>
        </w:rPr>
        <w:t>This study set out with the aim of exploring the impact of implementing reflecti</w:t>
      </w:r>
      <w:r>
        <w:rPr>
          <w:rFonts w:hint="default" w:ascii="Times New Roman" w:hAnsi="Times New Roman" w:cs="Times New Roman"/>
          <w:lang w:val="vi-VN"/>
        </w:rPr>
        <w:t>ve</w:t>
      </w:r>
      <w:r>
        <w:rPr>
          <w:rFonts w:ascii="Times New Roman" w:hAnsi="Times New Roman" w:cs="Times New Roman"/>
        </w:rPr>
        <w:t xml:space="preserve"> writing to necessitate HOTS in the undergraduates enrolled in an English Morphology course conducted online. In this study, drawing on the notion of reflective writing and associated characteristics, we designed the assignments with an aim to engage the learners deeply in the process of learning – a fully engaging experience which is highly meaningful and deeply felt, with thoughts deeply elaborated and more contextualized</w:t>
      </w:r>
      <w:r>
        <w:rPr>
          <w:rFonts w:ascii="Times New Roman" w:hAnsi="Times New Roman" w:cs="Times New Roman"/>
          <w:lang w:val="vi-VN"/>
        </w:rPr>
        <w:t>.</w:t>
      </w:r>
      <w:r>
        <w:rPr>
          <w:rFonts w:ascii="Times New Roman" w:hAnsi="Times New Roman" w:eastAsia="Calibri" w:cs="Times New Roman"/>
          <w:vertAlign w:val="superscript"/>
          <w:lang w:val="vi-VN"/>
        </w:rPr>
        <w:t>32,33</w:t>
      </w:r>
      <w:r>
        <w:rPr>
          <w:rFonts w:ascii="Times New Roman" w:hAnsi="Times New Roman" w:cs="Times New Roman"/>
        </w:rPr>
        <w:t xml:space="preserve"> By drawing learner’s attention to their subjective experience of language use, we put them more in control of their own learning.</w:t>
      </w:r>
      <w:r>
        <w:rPr>
          <w:rFonts w:ascii="Times New Roman" w:hAnsi="Times New Roman" w:eastAsia="Calibri" w:cs="Times New Roman"/>
          <w:vertAlign w:val="superscript"/>
          <w:lang w:val="vi-VN"/>
        </w:rPr>
        <w:t>32</w:t>
      </w:r>
      <w:r>
        <w:rPr>
          <w:rFonts w:ascii="Times New Roman" w:hAnsi="Times New Roman" w:cs="Times New Roman"/>
        </w:rPr>
        <w:t xml:space="preserve"> The assignments were designed as tasks which were ‘difficult enough to require full attention, but easy enough to become absorbed in’</w:t>
      </w:r>
      <w:r>
        <w:rPr>
          <w:rFonts w:ascii="Times New Roman" w:hAnsi="Times New Roman" w:cs="Times New Roman"/>
          <w:lang w:val="vi-VN"/>
        </w:rPr>
        <w:t>.</w:t>
      </w:r>
      <w:r>
        <w:rPr>
          <w:rFonts w:ascii="Times New Roman" w:hAnsi="Times New Roman" w:eastAsia="Calibri" w:cs="Times New Roman"/>
          <w:vertAlign w:val="superscript"/>
          <w:lang w:val="vi-VN"/>
        </w:rPr>
        <w:t>32</w:t>
      </w:r>
      <w:r>
        <w:rPr>
          <w:rFonts w:ascii="Times New Roman" w:hAnsi="Times New Roman" w:cs="Times New Roman"/>
        </w:rPr>
        <w:t xml:space="preserve"> </w:t>
      </w:r>
    </w:p>
    <w:p w14:paraId="2555C390">
      <w:pPr>
        <w:spacing w:before="120" w:after="120" w:line="240" w:lineRule="auto"/>
        <w:jc w:val="both"/>
        <w:rPr>
          <w:rFonts w:ascii="Times New Roman" w:hAnsi="Times New Roman" w:cs="Times New Roman"/>
        </w:rPr>
      </w:pPr>
      <w:r>
        <w:rPr>
          <w:rFonts w:ascii="Times New Roman" w:hAnsi="Times New Roman" w:cs="Times New Roman"/>
        </w:rPr>
        <w:t>Many of the findings of this research are congruent with the literature. The most obvious finding to emerge from this study was that the reflective essays had a positive impact on the students’ learning skills and attitudes. Despite being optional rather compulsory, the assignments triggered a steadily increasing number submitted over a ten-week span, which indicated that the students were intrinsically motivated by the tasks. Their intrinsic motives must have been promoted by the encouraging teaching and learning environment with constructive and immediate feedback. According to Biggs, the students’ motives, ensuing learning strategies and teaching context are interrelated.</w:t>
      </w:r>
      <w:r>
        <w:rPr>
          <w:rFonts w:ascii="Times New Roman" w:hAnsi="Times New Roman" w:eastAsia="Calibri" w:cs="Times New Roman"/>
          <w:vertAlign w:val="superscript"/>
          <w:lang w:val="vi-VN"/>
        </w:rPr>
        <w:t>34</w:t>
      </w:r>
      <w:r>
        <w:rPr>
          <w:rFonts w:ascii="Times New Roman" w:hAnsi="Times New Roman" w:cs="Times New Roman"/>
        </w:rPr>
        <w:t xml:space="preserve"> Students’ interest in the subject areas for its own sake could strongly determine their commitment to work – their readiness to work hard and commit time to their study, as can be seen from the results. Also, it is essential to point out that this must have been partly enabled by technological advancements. As Garrison and Anderson argue, communication and Internet technologies provide a high degree of communicative potential through asynchronous interaction design options;</w:t>
      </w:r>
      <w:r>
        <w:rPr>
          <w:rFonts w:ascii="Times New Roman" w:hAnsi="Times New Roman" w:eastAsia="Calibri" w:cs="Times New Roman"/>
          <w:vertAlign w:val="superscript"/>
          <w:lang w:val="vi-VN"/>
        </w:rPr>
        <w:t>35</w:t>
      </w:r>
      <w:r>
        <w:rPr>
          <w:rFonts w:ascii="Times New Roman" w:hAnsi="Times New Roman" w:cs="Times New Roman"/>
        </w:rPr>
        <w:t xml:space="preserve"> therefore, the participants were able to maintain engagement in a learning community when and where they chose. </w:t>
      </w:r>
    </w:p>
    <w:p w14:paraId="1CC77CC0">
      <w:pPr>
        <w:spacing w:before="120" w:after="120" w:line="240" w:lineRule="auto"/>
        <w:jc w:val="both"/>
        <w:rPr>
          <w:rFonts w:ascii="Times New Roman" w:hAnsi="Times New Roman" w:cs="Times New Roman"/>
          <w:lang w:val="vi-VN"/>
        </w:rPr>
        <w:sectPr>
          <w:type w:val="continuous"/>
          <w:pgSz w:w="12240" w:h="15840"/>
          <w:pgMar w:top="1138" w:right="1138" w:bottom="1138" w:left="1411" w:header="720" w:footer="720" w:gutter="0"/>
          <w:cols w:equalWidth="0" w:num="2">
            <w:col w:w="4633" w:space="425"/>
            <w:col w:w="4633"/>
          </w:cols>
          <w:docGrid w:linePitch="360" w:charSpace="0"/>
        </w:sectPr>
      </w:pPr>
      <w:r>
        <w:rPr>
          <w:rFonts w:ascii="Times New Roman" w:hAnsi="Times New Roman" w:cs="Times New Roman"/>
        </w:rPr>
        <w:t>Another important finding was the positive impact of the reflective essays on students’ development of HOTS, which was partly dependent on a deep understanding of the domain contents mastered through the performance of Tests &amp; Quizzes with a focus on LOTS, a useful platform or starting point to progress to an in-depth comprehension of the content.</w:t>
      </w:r>
      <w:r>
        <w:rPr>
          <w:rFonts w:ascii="Times New Roman" w:hAnsi="Times New Roman" w:eastAsia="Calibri" w:cs="Times New Roman"/>
          <w:vertAlign w:val="superscript"/>
          <w:lang w:val="vi-VN"/>
        </w:rPr>
        <w:t>34</w:t>
      </w:r>
      <w:r>
        <w:rPr>
          <w:rFonts w:ascii="Times New Roman" w:hAnsi="Times New Roman" w:cs="Times New Roman"/>
        </w:rPr>
        <w:t xml:space="preserve"> The study revealed students’ active involvement in the learning process and continual engagement in HOTS.  These involved applying, analyzing, and reasoning, evaluating, creating, problem solving, and/or decision making.</w:t>
      </w:r>
      <w:r>
        <w:rPr>
          <w:rFonts w:ascii="Times New Roman" w:hAnsi="Times New Roman" w:eastAsia="Calibri" w:cs="Times New Roman"/>
          <w:vertAlign w:val="superscript"/>
          <w:lang w:val="vi-VN"/>
        </w:rPr>
        <w:t>15,16</w:t>
      </w:r>
      <w:r>
        <w:rPr>
          <w:rFonts w:ascii="Times New Roman" w:hAnsi="Times New Roman" w:cs="Times New Roman"/>
        </w:rPr>
        <w:t xml:space="preserve"> This result is consistent with that of previous studies which investigated the impact of teaching HOTS and/or exposing learners to tasks requiring HOTS.</w:t>
      </w:r>
      <w:r>
        <w:rPr>
          <w:rFonts w:ascii="Times New Roman" w:hAnsi="Times New Roman" w:eastAsia="Calibri" w:cs="Times New Roman"/>
          <w:vertAlign w:val="superscript"/>
          <w:lang w:val="vi-VN"/>
        </w:rPr>
        <w:t>15,19,20</w:t>
      </w:r>
      <w:r>
        <w:rPr>
          <w:rFonts w:ascii="Times New Roman" w:hAnsi="Times New Roman" w:cs="Times New Roman"/>
        </w:rPr>
        <w:t xml:space="preserve"> In the implementation, to trigger HOTS, we ensured alignment of course objectives, learning contents and assessment towards a higher cognitive level.</w:t>
      </w:r>
      <w:r>
        <w:rPr>
          <w:rFonts w:ascii="Times New Roman" w:hAnsi="Times New Roman" w:eastAsia="Calibri" w:cs="Times New Roman"/>
          <w:vertAlign w:val="superscript"/>
          <w:lang w:val="vi-VN"/>
        </w:rPr>
        <w:t>17</w:t>
      </w:r>
      <w:r>
        <w:rPr>
          <w:rFonts w:ascii="Times New Roman" w:hAnsi="Times New Roman" w:cs="Times New Roman"/>
        </w:rPr>
        <w:t xml:space="preserve"> Throughout the course, we attended to the features that made classroom environment support HOTS: (i) reflections of real-life situations and contexts; (ii) collaboration among instructor and students; (iii) encouragement of curiosity, exploration, and investigation, and (vi) acknowledgement of effort, not just performance.</w:t>
      </w:r>
      <w:r>
        <w:rPr>
          <w:rFonts w:ascii="Times New Roman" w:hAnsi="Times New Roman" w:eastAsia="Calibri" w:cs="Times New Roman"/>
          <w:vertAlign w:val="superscript"/>
          <w:lang w:val="vi-VN"/>
        </w:rPr>
        <w:t>28</w:t>
      </w:r>
      <w:r>
        <w:rPr>
          <w:rFonts w:ascii="Times New Roman" w:hAnsi="Times New Roman" w:cs="Times New Roman"/>
        </w:rPr>
        <w:t xml:space="preserve"> The success can also be attributed to that we also followed </w:t>
      </w:r>
      <w:r>
        <w:rPr>
          <w:rFonts w:ascii="Times New Roman" w:hAnsi="Times New Roman" w:cs="Times New Roman"/>
          <w:lang w:val="vi-VN"/>
        </w:rPr>
        <w:t xml:space="preserve">King’s </w:t>
      </w:r>
      <w:r>
        <w:rPr>
          <w:rFonts w:ascii="Times New Roman" w:hAnsi="Times New Roman" w:cs="Times New Roman"/>
        </w:rPr>
        <w:t>proposal of three-step procedure.</w:t>
      </w:r>
      <w:r>
        <w:rPr>
          <w:rFonts w:ascii="Times New Roman" w:hAnsi="Times New Roman" w:eastAsia="Calibri" w:cs="Times New Roman"/>
          <w:vertAlign w:val="superscript"/>
          <w:lang w:val="vi-VN"/>
        </w:rPr>
        <w:t>27</w:t>
      </w:r>
      <w:r>
        <w:rPr>
          <w:rFonts w:ascii="Times New Roman" w:hAnsi="Times New Roman" w:cs="Times New Roman"/>
        </w:rPr>
        <w:t xml:space="preserve"> Although assigning the reflective essays as optional, which meant the grades did not matter, we devoted time assessing, giving encouraging feedback both online and during class hours in order to reduce ambiguities and confusion, and to provide guidance as to how to write better reflective essays. We ensured students’ understanding of the domain contents via in-class instruction which focused on the use of LOTs. The Tests &amp; Quizzes served as the bridge to students’ higher levels of thinking. With the reflective essays, the students had an opportunity to link learnt concepts to previous or new real life contexts</w:t>
      </w:r>
      <w:r>
        <w:rPr>
          <w:rFonts w:ascii="Times New Roman" w:hAnsi="Times New Roman" w:cs="Times New Roman"/>
          <w:lang w:val="vi-VN"/>
        </w:rPr>
        <w:t>.</w:t>
      </w:r>
    </w:p>
    <w:p w14:paraId="2CA6AF59">
      <w:pPr>
        <w:spacing w:before="240" w:after="120" w:line="240" w:lineRule="auto"/>
        <w:jc w:val="both"/>
        <w:rPr>
          <w:rFonts w:ascii="Times New Roman" w:hAnsi="Times New Roman" w:cs="Times New Roman"/>
          <w:b/>
          <w:highlight w:val="yellow"/>
          <w:lang w:val="vi-VN"/>
        </w:rPr>
      </w:pPr>
      <w:r>
        <w:rPr>
          <w:rFonts w:ascii="Times New Roman" w:hAnsi="Times New Roman" w:cs="Times New Roman"/>
          <w:b/>
          <w:highlight w:val="yellow"/>
        </w:rPr>
        <w:t>6. C</w:t>
      </w:r>
      <w:r>
        <w:rPr>
          <w:rFonts w:ascii="Times New Roman" w:hAnsi="Times New Roman" w:cs="Times New Roman"/>
          <w:b/>
          <w:highlight w:val="yellow"/>
          <w:lang w:val="vi-VN"/>
        </w:rPr>
        <w:t>ONCLUSION</w:t>
      </w:r>
    </w:p>
    <w:p w14:paraId="74A13B44">
      <w:pPr>
        <w:spacing w:before="120" w:after="120" w:line="240" w:lineRule="auto"/>
        <w:jc w:val="both"/>
        <w:rPr>
          <w:rFonts w:ascii="Times New Roman" w:hAnsi="Times New Roman" w:cs="Times New Roman"/>
        </w:rPr>
        <w:sectPr>
          <w:type w:val="continuous"/>
          <w:pgSz w:w="12240" w:h="15840"/>
          <w:pgMar w:top="1138" w:right="1138" w:bottom="1138" w:left="1411" w:header="720" w:footer="720" w:gutter="0"/>
          <w:cols w:equalWidth="0" w:num="2">
            <w:col w:w="4633" w:space="425"/>
            <w:col w:w="4633"/>
          </w:cols>
          <w:docGrid w:linePitch="360" w:charSpace="0"/>
        </w:sectPr>
      </w:pPr>
    </w:p>
    <w:p w14:paraId="10C49705">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This study explored the use of reflective essays as an optional formative assessment to promote higher-order thinking skills (HOTS) in an undergraduate English Morphology course. Drawing on theories of reflective writing and cognitive taxonomies, the study examined students’ engagement with the task and their perceptions of its cognitive and affective benefits. The findings suggest that reflective essays can serve as a meaningful complement to traditional LOTS-oriented assessments by encouraging deeper engagement with theoretical content, fostering analytical and evaluative thinking, and supporting the development of learning skills and attitudes.</w:t>
      </w:r>
    </w:p>
    <w:p w14:paraId="1B9F6B0E">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Despite being optional, the reflective essays attracted sustained and, in most cases, increasing participation over the ten-week period. Questionnaire responses further indicated that students perceived the reflective tasks as cognitively demanding yet beneficial, particularly in terms of skill development and attitudinal growth. Together, these findings point to the pedagogical potential of reflective writing as a viable assessment approach in theoretically oriented linguistics courses, especially in EFL contexts where students often struggle to connect abstract concepts with authentic language use.</w:t>
      </w:r>
    </w:p>
    <w:p w14:paraId="4062CE97">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At the same time, the findings of this study must be interpreted in light of several limitations. First, the study relied primarily on descriptive statistics and self-reported perception data. Although these data provide valuable insights into students’ experiences, they do not allow for strong claims about the actual development of HOTS. Future research should incorporate direct measures of higher-order thinking, such as rubric-based content analysis of reflective essays, pre- and post-course comparisons, or independent coding by multiple raters to enhance analytical rigor and reliability.</w:t>
      </w:r>
    </w:p>
    <w:p w14:paraId="4B70756F">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Second, the absence of a control or comparison group limits the ability to attribute observed engagement or perceived benefits solely to the reflective essays. Subsequent studies could adopt quasi-experimental or comparative designs to examine differences between reflective and non-reflective assessment conditions.</w:t>
      </w:r>
    </w:p>
    <w:p w14:paraId="61CEAFAD">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Third, participation in the reflective essays was voluntary, which may have resulted in self-selection bias. More motivated or academically stronger students may have been more likely to engage consistently with the task. Future research may explore the impact of reflective writing when it is implemented as a required component of assessment, or examine differential effects across proficiency levels.</w:t>
      </w:r>
    </w:p>
    <w:p w14:paraId="27A1CBB0">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Fourth, while the study captured students’ general perceptions of cognitive engagement, it did not closely examine the processes through which students completed reflective essays. Longitudinal and qualitative approaches—such as think-aloud protocols, learning journals, or in-depth interviews—could yield richer insights into how reflective writing supports the development of higher-order thinking over time and what kinds of scaffolding are most effective.</w:t>
      </w:r>
    </w:p>
    <w:p w14:paraId="62953397">
      <w:pPr>
        <w:jc w:val="both"/>
        <w:rPr>
          <w:rFonts w:ascii="Times New Roman" w:hAnsi="Times New Roman" w:cs="Times New Roman"/>
          <w:color w:val="000000" w:themeColor="text1"/>
          <w:sz w:val="22"/>
          <w:szCs w:val="22"/>
          <w:highlight w:val="yellow"/>
          <w14:textFill>
            <w14:solidFill>
              <w14:schemeClr w14:val="tx1"/>
            </w14:solidFill>
          </w14:textFill>
        </w:rPr>
      </w:pPr>
      <w:r>
        <w:rPr>
          <w:rFonts w:ascii="Times New Roman" w:hAnsi="Times New Roman" w:cs="Times New Roman"/>
          <w:color w:val="000000" w:themeColor="text1"/>
          <w:sz w:val="22"/>
          <w:szCs w:val="22"/>
          <w:highlight w:val="yellow"/>
          <w14:textFill>
            <w14:solidFill>
              <w14:schemeClr w14:val="tx1"/>
            </w14:solidFill>
          </w14:textFill>
        </w:rPr>
        <w:t>Finally, the impact of reflective essays was assessed primarily in terms of engagement and perceived learning benefits. Further research could investigate their relationship with measurable academic outcomes, such as course performance or transfer of learning to other linguistics subjects.</w:t>
      </w:r>
    </w:p>
    <w:p w14:paraId="3FF1F6D3">
      <w:pPr>
        <w:spacing w:before="120" w:after="120" w:line="240" w:lineRule="auto"/>
        <w:jc w:val="both"/>
        <w:rPr>
          <w:rFonts w:ascii="Times New Roman" w:hAnsi="Times New Roman" w:cs="Times New Roman"/>
          <w:highlight w:val="yellow"/>
          <w:lang w:val="vi-VN"/>
        </w:rPr>
        <w:sectPr>
          <w:type w:val="continuous"/>
          <w:pgSz w:w="12240" w:h="15840"/>
          <w:pgMar w:top="1138" w:right="1138" w:bottom="1138" w:left="1411" w:header="720" w:footer="720" w:gutter="0"/>
          <w:cols w:equalWidth="0" w:num="2">
            <w:col w:w="4633" w:space="425"/>
            <w:col w:w="4633"/>
          </w:cols>
          <w:docGrid w:linePitch="360" w:charSpace="0"/>
        </w:sectPr>
      </w:pPr>
      <w:r>
        <w:rPr>
          <w:rFonts w:ascii="Times New Roman" w:hAnsi="Times New Roman" w:cs="Times New Roman"/>
          <w:color w:val="000000" w:themeColor="text1"/>
          <w:sz w:val="22"/>
          <w:szCs w:val="22"/>
          <w:highlight w:val="yellow"/>
          <w14:textFill>
            <w14:solidFill>
              <w14:schemeClr w14:val="tx1"/>
            </w14:solidFill>
          </w14:textFill>
        </w:rPr>
        <w:t>In sum, this study provides exploratory evidence that reflective essays, when thoughtfully designed and supported by formative feedback, can contribute to deeper learning and higher-order thinking in theoretical linguistics courses. With more rigorous research designs and analytical methods, future studies may further clarify the role of reflective writing as an effective pedagogical and assessment tool in EFL higher education.</w:t>
      </w:r>
    </w:p>
    <w:p w14:paraId="5B448218">
      <w:pPr>
        <w:spacing w:before="240" w:after="120" w:line="240" w:lineRule="auto"/>
        <w:rPr>
          <w:rFonts w:ascii="Times New Roman" w:hAnsi="Times New Roman" w:cs="Times New Roman"/>
          <w:b/>
          <w:lang w:val="vi-VN"/>
        </w:rPr>
      </w:pPr>
      <w:r>
        <w:rPr>
          <w:rFonts w:ascii="Times New Roman" w:hAnsi="Times New Roman" w:cs="Times New Roman"/>
          <w:b/>
        </w:rPr>
        <w:t>R</w:t>
      </w:r>
      <w:r>
        <w:rPr>
          <w:rFonts w:ascii="Times New Roman" w:hAnsi="Times New Roman" w:cs="Times New Roman"/>
          <w:b/>
          <w:lang w:val="vi-VN"/>
        </w:rPr>
        <w:t>EFERENCES</w:t>
      </w:r>
      <w:bookmarkStart w:id="1" w:name="_Hlk213768496"/>
    </w:p>
    <w:bookmarkEnd w:id="1"/>
    <w:p w14:paraId="74B53AAF">
      <w:pPr>
        <w:pStyle w:val="14"/>
        <w:numPr>
          <w:ilvl w:val="0"/>
          <w:numId w:val="4"/>
        </w:numPr>
        <w:spacing w:before="120" w:beforeAutospacing="0" w:after="120" w:afterAutospacing="0"/>
        <w:ind w:firstLine="0"/>
        <w:rPr>
          <w:b/>
          <w:sz w:val="20"/>
          <w:szCs w:val="20"/>
        </w:rPr>
        <w:sectPr>
          <w:type w:val="continuous"/>
          <w:pgSz w:w="12240" w:h="15840"/>
          <w:pgMar w:top="1138" w:right="1138" w:bottom="1138" w:left="1411" w:header="720" w:footer="720" w:gutter="0"/>
          <w:cols w:equalWidth="0" w:num="2">
            <w:col w:w="4633" w:space="425"/>
            <w:col w:w="4633"/>
          </w:cols>
          <w:docGrid w:linePitch="360" w:charSpace="0"/>
        </w:sectPr>
      </w:pPr>
    </w:p>
    <w:p w14:paraId="1DDCA3D4">
      <w:pPr>
        <w:pStyle w:val="14"/>
        <w:numPr>
          <w:ilvl w:val="3"/>
          <w:numId w:val="5"/>
        </w:numPr>
        <w:spacing w:before="120" w:beforeAutospacing="0" w:after="120" w:afterAutospacing="0"/>
        <w:ind w:left="360"/>
        <w:rPr>
          <w:sz w:val="20"/>
          <w:szCs w:val="20"/>
        </w:rPr>
      </w:pPr>
      <w:r>
        <w:rPr>
          <w:sz w:val="20"/>
          <w:szCs w:val="20"/>
        </w:rPr>
        <w:t xml:space="preserve">B. Johnston, K. Goettsch. In search of the knowledge base of language teaching: Explanations by experienced teachers, </w:t>
      </w:r>
      <w:r>
        <w:rPr>
          <w:rStyle w:val="8"/>
          <w:sz w:val="20"/>
          <w:szCs w:val="20"/>
        </w:rPr>
        <w:t>Canadian Modern Language Review</w:t>
      </w:r>
      <w:r>
        <w:rPr>
          <w:sz w:val="20"/>
          <w:szCs w:val="20"/>
        </w:rPr>
        <w:t xml:space="preserve">, </w:t>
      </w:r>
      <w:r>
        <w:rPr>
          <w:rStyle w:val="15"/>
          <w:sz w:val="20"/>
          <w:szCs w:val="20"/>
        </w:rPr>
        <w:t>2000</w:t>
      </w:r>
      <w:r>
        <w:rPr>
          <w:sz w:val="20"/>
          <w:szCs w:val="20"/>
        </w:rPr>
        <w:t xml:space="preserve">, </w:t>
      </w:r>
      <w:r>
        <w:rPr>
          <w:rStyle w:val="8"/>
          <w:sz w:val="20"/>
          <w:szCs w:val="20"/>
        </w:rPr>
        <w:t>56</w:t>
      </w:r>
      <w:r>
        <w:rPr>
          <w:sz w:val="20"/>
          <w:szCs w:val="20"/>
        </w:rPr>
        <w:t>(3), 437–468.</w:t>
      </w:r>
    </w:p>
    <w:p w14:paraId="3485B82F">
      <w:pPr>
        <w:pStyle w:val="14"/>
        <w:numPr>
          <w:ilvl w:val="3"/>
          <w:numId w:val="5"/>
        </w:numPr>
        <w:spacing w:before="120" w:beforeAutospacing="0" w:after="120" w:afterAutospacing="0"/>
        <w:ind w:left="360"/>
        <w:rPr>
          <w:sz w:val="20"/>
          <w:szCs w:val="20"/>
        </w:rPr>
      </w:pPr>
      <w:r>
        <w:rPr>
          <w:sz w:val="20"/>
          <w:szCs w:val="20"/>
          <w:lang w:val="de-DE"/>
        </w:rPr>
        <w:t xml:space="preserve">W. Grabe, F. L. Stoller, C. Tardy. </w:t>
      </w:r>
      <w:r>
        <w:rPr>
          <w:sz w:val="20"/>
          <w:szCs w:val="20"/>
        </w:rPr>
        <w:t xml:space="preserve">Disciplinary knowledge as a foundation for teacher preparation. </w:t>
      </w:r>
      <w:r>
        <w:rPr>
          <w:rStyle w:val="8"/>
          <w:sz w:val="20"/>
          <w:szCs w:val="20"/>
        </w:rPr>
        <w:t>The Sociopolitics of English Language Teaching</w:t>
      </w:r>
      <w:r>
        <w:rPr>
          <w:sz w:val="20"/>
          <w:szCs w:val="20"/>
        </w:rPr>
        <w:t>, Multilingual Matters, Clevedon, 2000.</w:t>
      </w:r>
    </w:p>
    <w:p w14:paraId="08F7B772">
      <w:pPr>
        <w:pStyle w:val="14"/>
        <w:numPr>
          <w:ilvl w:val="3"/>
          <w:numId w:val="5"/>
        </w:numPr>
        <w:spacing w:before="120" w:beforeAutospacing="0" w:after="120" w:afterAutospacing="0"/>
        <w:ind w:left="360"/>
        <w:rPr>
          <w:sz w:val="20"/>
          <w:szCs w:val="20"/>
        </w:rPr>
      </w:pPr>
      <w:r>
        <w:rPr>
          <w:sz w:val="20"/>
          <w:szCs w:val="20"/>
        </w:rPr>
        <w:t xml:space="preserve">J. Rothman. Theoretical linguistics meets pedagogical practice: Pronominal subject use in Spanish as a second language, </w:t>
      </w:r>
      <w:r>
        <w:rPr>
          <w:rStyle w:val="8"/>
          <w:sz w:val="20"/>
          <w:szCs w:val="20"/>
        </w:rPr>
        <w:t>Hispania</w:t>
      </w:r>
      <w:r>
        <w:rPr>
          <w:sz w:val="20"/>
          <w:szCs w:val="20"/>
        </w:rPr>
        <w:t xml:space="preserve">, </w:t>
      </w:r>
      <w:r>
        <w:rPr>
          <w:rStyle w:val="15"/>
          <w:sz w:val="20"/>
          <w:szCs w:val="20"/>
        </w:rPr>
        <w:t>2010</w:t>
      </w:r>
      <w:r>
        <w:rPr>
          <w:sz w:val="20"/>
          <w:szCs w:val="20"/>
        </w:rPr>
        <w:t>, 52–65.</w:t>
      </w:r>
    </w:p>
    <w:p w14:paraId="2245581F">
      <w:pPr>
        <w:pStyle w:val="14"/>
        <w:numPr>
          <w:ilvl w:val="3"/>
          <w:numId w:val="5"/>
        </w:numPr>
        <w:spacing w:before="120" w:beforeAutospacing="0" w:after="120" w:afterAutospacing="0"/>
        <w:ind w:left="360"/>
        <w:rPr>
          <w:sz w:val="20"/>
          <w:szCs w:val="20"/>
        </w:rPr>
      </w:pPr>
      <w:r>
        <w:rPr>
          <w:sz w:val="20"/>
          <w:szCs w:val="20"/>
          <w:lang w:val="de-DE"/>
        </w:rPr>
        <w:t>N. L. Trung, N. N. L. Ly. "</w:t>
      </w:r>
      <w:r>
        <w:rPr>
          <w:i/>
          <w:iCs/>
          <w:sz w:val="20"/>
          <w:szCs w:val="20"/>
          <w:lang w:val="de-DE"/>
        </w:rPr>
        <w:t>Thiết kế và biên soạn giáo trình lý thuyết dạy bằng ngoại ngữ." Tạp chí Khoa học ĐHQGHN, Ngoại ngữ</w:t>
      </w:r>
      <w:r>
        <w:rPr>
          <w:sz w:val="20"/>
          <w:szCs w:val="20"/>
          <w:lang w:val="de-DE"/>
        </w:rPr>
        <w:t xml:space="preserve">, </w:t>
      </w:r>
      <w:r>
        <w:rPr>
          <w:rFonts w:ascii="Times New Roman Bold" w:hAnsi="Times New Roman Bold" w:cs="Times New Roman Bold"/>
          <w:b/>
          <w:bCs/>
          <w:sz w:val="20"/>
          <w:szCs w:val="20"/>
          <w:lang w:val="de-DE"/>
        </w:rPr>
        <w:t>2003</w:t>
      </w:r>
      <w:r>
        <w:rPr>
          <w:sz w:val="20"/>
          <w:szCs w:val="20"/>
          <w:lang w:val="de-DE"/>
        </w:rPr>
        <w:t xml:space="preserve">, </w:t>
      </w:r>
      <w:r>
        <w:rPr>
          <w:i/>
          <w:iCs/>
          <w:sz w:val="20"/>
          <w:szCs w:val="20"/>
          <w:lang w:val="de-DE"/>
        </w:rPr>
        <w:t>XIX</w:t>
      </w:r>
      <w:r>
        <w:rPr>
          <w:sz w:val="20"/>
          <w:szCs w:val="20"/>
          <w:lang w:val="de-DE"/>
        </w:rPr>
        <w:t>(3), 53–63.</w:t>
      </w:r>
    </w:p>
    <w:p w14:paraId="59527095">
      <w:pPr>
        <w:pStyle w:val="14"/>
        <w:numPr>
          <w:ilvl w:val="3"/>
          <w:numId w:val="5"/>
        </w:numPr>
        <w:spacing w:before="120" w:beforeAutospacing="0" w:after="120" w:afterAutospacing="0"/>
        <w:ind w:left="360"/>
        <w:rPr>
          <w:sz w:val="20"/>
          <w:szCs w:val="20"/>
        </w:rPr>
      </w:pPr>
      <w:r>
        <w:rPr>
          <w:sz w:val="20"/>
          <w:szCs w:val="20"/>
        </w:rPr>
        <w:t>V.</w:t>
      </w:r>
      <w:r>
        <w:rPr>
          <w:sz w:val="20"/>
          <w:szCs w:val="20"/>
          <w:lang w:val="vi-VN"/>
        </w:rPr>
        <w:t xml:space="preserve"> </w:t>
      </w:r>
      <w:r>
        <w:rPr>
          <w:sz w:val="20"/>
          <w:szCs w:val="20"/>
        </w:rPr>
        <w:t>Forrester</w:t>
      </w:r>
      <w:r>
        <w:rPr>
          <w:sz w:val="20"/>
          <w:szCs w:val="20"/>
          <w:lang w:val="vi-VN"/>
        </w:rPr>
        <w:t>,</w:t>
      </w:r>
      <w:r>
        <w:rPr>
          <w:sz w:val="20"/>
          <w:szCs w:val="20"/>
        </w:rPr>
        <w:t xml:space="preserve"> </w:t>
      </w:r>
      <w:r>
        <w:rPr>
          <w:sz w:val="20"/>
          <w:szCs w:val="20"/>
          <w:lang w:val="vi-VN"/>
        </w:rPr>
        <w:t xml:space="preserve">J. </w:t>
      </w:r>
      <w:r>
        <w:rPr>
          <w:sz w:val="20"/>
          <w:szCs w:val="20"/>
        </w:rPr>
        <w:t>Chau</w:t>
      </w:r>
      <w:r>
        <w:rPr>
          <w:sz w:val="20"/>
          <w:szCs w:val="20"/>
          <w:lang w:val="vi-VN"/>
        </w:rPr>
        <w:t>.</w:t>
      </w:r>
      <w:r>
        <w:rPr>
          <w:sz w:val="20"/>
          <w:szCs w:val="20"/>
        </w:rPr>
        <w:t xml:space="preserve"> </w:t>
      </w:r>
      <w:r>
        <w:rPr>
          <w:i/>
          <w:iCs/>
          <w:sz w:val="20"/>
          <w:szCs w:val="20"/>
        </w:rPr>
        <w:t>Current develop`ents in problem based learning within the Hong Kong Institute of Education</w:t>
      </w:r>
      <w:r>
        <w:rPr>
          <w:sz w:val="20"/>
          <w:szCs w:val="20"/>
        </w:rPr>
        <w:t>, The First Asia Pacific Conference on Problem Based Learning, Hong Kong, 9–</w:t>
      </w:r>
      <w:bookmarkStart w:id="2" w:name="_GoBack"/>
      <w:r>
        <w:rPr>
          <w:sz w:val="20"/>
          <w:szCs w:val="20"/>
        </w:rPr>
        <w:t>1</w:t>
      </w:r>
      <w:bookmarkEnd w:id="2"/>
      <w:r>
        <w:rPr>
          <w:sz w:val="20"/>
          <w:szCs w:val="20"/>
        </w:rPr>
        <w:t xml:space="preserve">1 December 1999. </w:t>
      </w:r>
    </w:p>
    <w:p w14:paraId="4AB5DD5E">
      <w:pPr>
        <w:pStyle w:val="14"/>
        <w:numPr>
          <w:ilvl w:val="3"/>
          <w:numId w:val="5"/>
        </w:numPr>
        <w:spacing w:before="120" w:beforeAutospacing="0" w:after="120" w:afterAutospacing="0"/>
        <w:ind w:left="360"/>
        <w:rPr>
          <w:sz w:val="20"/>
          <w:szCs w:val="20"/>
        </w:rPr>
      </w:pPr>
      <w:r>
        <w:rPr>
          <w:sz w:val="20"/>
          <w:szCs w:val="20"/>
        </w:rPr>
        <w:t xml:space="preserve">Ho, S. T. K. </w:t>
      </w:r>
      <w:r>
        <w:rPr>
          <w:i/>
          <w:iCs/>
          <w:sz w:val="20"/>
          <w:szCs w:val="20"/>
        </w:rPr>
        <w:t>Peer teaching: A case study in an English morphology classroom.</w:t>
      </w:r>
      <w:r>
        <w:rPr>
          <w:sz w:val="20"/>
          <w:szCs w:val="20"/>
        </w:rPr>
        <w:t xml:space="preserve"> In </w:t>
      </w:r>
      <w:r>
        <w:rPr>
          <w:i/>
          <w:iCs/>
          <w:sz w:val="20"/>
          <w:szCs w:val="20"/>
        </w:rPr>
        <w:t>Kỷ yếu Hội thảo Khoa học Quốc gia 2017: Nghiên cứu và Giảng dạy Ngoại ngữ, Ngôn ngữ &amp; Quốc tế học tại Việt Nam</w:t>
      </w:r>
      <w:r>
        <w:rPr>
          <w:sz w:val="20"/>
          <w:szCs w:val="20"/>
        </w:rPr>
        <w:t xml:space="preserve"> (pp. 207–215). Hanoi, Vietnam, April 7, 2017</w:t>
      </w:r>
    </w:p>
    <w:p w14:paraId="3DFA45CD">
      <w:pPr>
        <w:pStyle w:val="14"/>
        <w:numPr>
          <w:ilvl w:val="3"/>
          <w:numId w:val="5"/>
        </w:numPr>
        <w:spacing w:before="120" w:beforeAutospacing="0" w:after="120" w:afterAutospacing="0"/>
        <w:ind w:left="360"/>
        <w:rPr>
          <w:sz w:val="20"/>
          <w:szCs w:val="20"/>
        </w:rPr>
      </w:pPr>
      <w:r>
        <w:rPr>
          <w:sz w:val="20"/>
          <w:szCs w:val="20"/>
        </w:rPr>
        <w:t>Nguyen, T. M. T., Nguyen, H. D., Nguyen, L. T. T., &amp; Doan, N. T</w:t>
      </w:r>
      <w:r>
        <w:rPr>
          <w:b/>
          <w:bCs/>
          <w:sz w:val="20"/>
          <w:szCs w:val="20"/>
        </w:rPr>
        <w:t>.</w:t>
      </w:r>
      <w:r>
        <w:rPr>
          <w:sz w:val="20"/>
          <w:szCs w:val="20"/>
        </w:rPr>
        <w:t xml:space="preserve"> Students' employment of high-order thinking skills in English Linguistics Courses: A case study at VNU-ULIS. </w:t>
      </w:r>
      <w:r>
        <w:rPr>
          <w:i/>
          <w:iCs/>
          <w:sz w:val="20"/>
          <w:szCs w:val="20"/>
        </w:rPr>
        <w:t>Proceedings of An ELT Conference on Innovative English Language Teaching for Provincial Universities</w:t>
      </w:r>
      <w:r>
        <w:rPr>
          <w:sz w:val="20"/>
          <w:szCs w:val="20"/>
        </w:rPr>
        <w:t xml:space="preserve">, </w:t>
      </w:r>
      <w:r>
        <w:rPr>
          <w:b/>
          <w:bCs/>
          <w:sz w:val="20"/>
          <w:szCs w:val="20"/>
        </w:rPr>
        <w:t>2015</w:t>
      </w:r>
      <w:r>
        <w:rPr>
          <w:sz w:val="20"/>
          <w:szCs w:val="20"/>
        </w:rPr>
        <w:t>, Quảng Bình University Press, 215–220.</w:t>
      </w:r>
    </w:p>
    <w:p w14:paraId="45549D78">
      <w:pPr>
        <w:pStyle w:val="14"/>
        <w:numPr>
          <w:ilvl w:val="3"/>
          <w:numId w:val="5"/>
        </w:numPr>
        <w:spacing w:before="120" w:beforeAutospacing="0" w:after="120" w:afterAutospacing="0"/>
        <w:ind w:left="360"/>
        <w:rPr>
          <w:sz w:val="20"/>
          <w:szCs w:val="20"/>
        </w:rPr>
      </w:pPr>
      <w:r>
        <w:rPr>
          <w:sz w:val="20"/>
          <w:szCs w:val="20"/>
        </w:rPr>
        <w:t xml:space="preserve">J. Dewey. </w:t>
      </w:r>
      <w:r>
        <w:rPr>
          <w:rStyle w:val="8"/>
          <w:sz w:val="20"/>
          <w:szCs w:val="20"/>
        </w:rPr>
        <w:t>How we think: A restatement of the relation of reflective thinking to the educative process</w:t>
      </w:r>
      <w:r>
        <w:rPr>
          <w:sz w:val="20"/>
          <w:szCs w:val="20"/>
        </w:rPr>
        <w:t>, Heath, Boston, 1933.</w:t>
      </w:r>
    </w:p>
    <w:p w14:paraId="5A29CFD2">
      <w:pPr>
        <w:pStyle w:val="14"/>
        <w:numPr>
          <w:ilvl w:val="3"/>
          <w:numId w:val="5"/>
        </w:numPr>
        <w:spacing w:before="120" w:beforeAutospacing="0" w:after="120" w:afterAutospacing="0"/>
        <w:ind w:left="360"/>
        <w:rPr>
          <w:sz w:val="20"/>
          <w:szCs w:val="20"/>
        </w:rPr>
      </w:pPr>
      <w:r>
        <w:rPr>
          <w:sz w:val="20"/>
          <w:szCs w:val="20"/>
        </w:rPr>
        <w:t>C</w:t>
      </w:r>
      <w:r>
        <w:rPr>
          <w:sz w:val="20"/>
          <w:szCs w:val="20"/>
          <w:lang w:val="vi-VN"/>
        </w:rPr>
        <w:t xml:space="preserve">. </w:t>
      </w:r>
      <w:r>
        <w:rPr>
          <w:sz w:val="20"/>
          <w:szCs w:val="20"/>
        </w:rPr>
        <w:t>Rodgers</w:t>
      </w:r>
      <w:r>
        <w:rPr>
          <w:sz w:val="20"/>
          <w:szCs w:val="20"/>
          <w:lang w:val="vi-VN"/>
        </w:rPr>
        <w:t>.</w:t>
      </w:r>
      <w:r>
        <w:rPr>
          <w:sz w:val="20"/>
          <w:szCs w:val="20"/>
        </w:rPr>
        <w:t xml:space="preserve"> Defining reflection: Another look at John Dewey and Reflective Thinking. </w:t>
      </w:r>
      <w:r>
        <w:rPr>
          <w:i/>
          <w:iCs/>
          <w:sz w:val="20"/>
          <w:szCs w:val="20"/>
        </w:rPr>
        <w:t>Teachers College Record</w:t>
      </w:r>
      <w:r>
        <w:rPr>
          <w:sz w:val="20"/>
          <w:szCs w:val="20"/>
        </w:rPr>
        <w:t xml:space="preserve">, </w:t>
      </w:r>
      <w:r>
        <w:rPr>
          <w:b/>
          <w:bCs/>
          <w:sz w:val="20"/>
          <w:szCs w:val="20"/>
        </w:rPr>
        <w:t>2002</w:t>
      </w:r>
      <w:r>
        <w:rPr>
          <w:sz w:val="20"/>
          <w:szCs w:val="20"/>
        </w:rPr>
        <w:t xml:space="preserve">, </w:t>
      </w:r>
      <w:r>
        <w:rPr>
          <w:i/>
          <w:iCs/>
          <w:sz w:val="20"/>
          <w:szCs w:val="20"/>
        </w:rPr>
        <w:t>104</w:t>
      </w:r>
      <w:r>
        <w:rPr>
          <w:sz w:val="20"/>
          <w:szCs w:val="20"/>
        </w:rPr>
        <w:t>(4), 842–866.</w:t>
      </w:r>
    </w:p>
    <w:p w14:paraId="11169338">
      <w:pPr>
        <w:pStyle w:val="14"/>
        <w:numPr>
          <w:ilvl w:val="3"/>
          <w:numId w:val="5"/>
        </w:numPr>
        <w:spacing w:before="120" w:beforeAutospacing="0" w:after="120" w:afterAutospacing="0"/>
        <w:ind w:left="360"/>
        <w:rPr>
          <w:sz w:val="20"/>
          <w:szCs w:val="20"/>
        </w:rPr>
      </w:pPr>
      <w:r>
        <w:rPr>
          <w:sz w:val="20"/>
          <w:szCs w:val="20"/>
        </w:rPr>
        <w:t xml:space="preserve">M. Watson. </w:t>
      </w:r>
      <w:r>
        <w:rPr>
          <w:rStyle w:val="8"/>
          <w:sz w:val="20"/>
          <w:szCs w:val="20"/>
        </w:rPr>
        <w:t>Building your portfolio: The CILIP guide</w:t>
      </w:r>
      <w:r>
        <w:rPr>
          <w:sz w:val="20"/>
          <w:szCs w:val="20"/>
        </w:rPr>
        <w:t>, Facet, London, 2008.</w:t>
      </w:r>
    </w:p>
    <w:p w14:paraId="2A1A7C59">
      <w:pPr>
        <w:pStyle w:val="14"/>
        <w:numPr>
          <w:ilvl w:val="3"/>
          <w:numId w:val="5"/>
        </w:numPr>
        <w:spacing w:before="120" w:beforeAutospacing="0" w:after="120" w:afterAutospacing="0"/>
        <w:ind w:left="360"/>
        <w:rPr>
          <w:sz w:val="20"/>
          <w:szCs w:val="20"/>
        </w:rPr>
      </w:pPr>
      <w:r>
        <w:rPr>
          <w:sz w:val="20"/>
          <w:szCs w:val="20"/>
        </w:rPr>
        <w:t xml:space="preserve">J. Moon. </w:t>
      </w:r>
      <w:r>
        <w:rPr>
          <w:rStyle w:val="8"/>
          <w:sz w:val="20"/>
          <w:szCs w:val="20"/>
        </w:rPr>
        <w:t>Learning journals: A handbook for reflective practice and professional development</w:t>
      </w:r>
      <w:r>
        <w:rPr>
          <w:sz w:val="20"/>
          <w:szCs w:val="20"/>
        </w:rPr>
        <w:t>, Routledge, London, 2006.</w:t>
      </w:r>
    </w:p>
    <w:p w14:paraId="5521343A">
      <w:pPr>
        <w:pStyle w:val="14"/>
        <w:numPr>
          <w:ilvl w:val="3"/>
          <w:numId w:val="5"/>
        </w:numPr>
        <w:spacing w:before="120" w:beforeAutospacing="0" w:after="120" w:afterAutospacing="0"/>
        <w:ind w:left="360"/>
        <w:rPr>
          <w:sz w:val="20"/>
          <w:szCs w:val="20"/>
        </w:rPr>
      </w:pPr>
      <w:r>
        <w:rPr>
          <w:sz w:val="20"/>
          <w:szCs w:val="20"/>
        </w:rPr>
        <w:t xml:space="preserve">J. Bailey. Reflective practice: Implementing theory, </w:t>
      </w:r>
      <w:r>
        <w:rPr>
          <w:rStyle w:val="8"/>
          <w:sz w:val="20"/>
          <w:szCs w:val="20"/>
        </w:rPr>
        <w:t>Nursing Standards</w:t>
      </w:r>
      <w:r>
        <w:rPr>
          <w:sz w:val="20"/>
          <w:szCs w:val="20"/>
        </w:rPr>
        <w:t xml:space="preserve">, </w:t>
      </w:r>
      <w:r>
        <w:rPr>
          <w:rStyle w:val="15"/>
          <w:sz w:val="20"/>
          <w:szCs w:val="20"/>
        </w:rPr>
        <w:t>1995</w:t>
      </w:r>
      <w:r>
        <w:rPr>
          <w:sz w:val="20"/>
          <w:szCs w:val="20"/>
        </w:rPr>
        <w:t xml:space="preserve">, </w:t>
      </w:r>
      <w:r>
        <w:rPr>
          <w:rStyle w:val="8"/>
          <w:sz w:val="20"/>
          <w:szCs w:val="20"/>
        </w:rPr>
        <w:t>9</w:t>
      </w:r>
      <w:r>
        <w:rPr>
          <w:sz w:val="20"/>
          <w:szCs w:val="20"/>
        </w:rPr>
        <w:t>, 29–31.</w:t>
      </w:r>
    </w:p>
    <w:p w14:paraId="75DD835D">
      <w:pPr>
        <w:pStyle w:val="14"/>
        <w:numPr>
          <w:ilvl w:val="3"/>
          <w:numId w:val="5"/>
        </w:numPr>
        <w:spacing w:before="120" w:beforeAutospacing="0" w:after="120" w:afterAutospacing="0"/>
        <w:ind w:left="360"/>
        <w:rPr>
          <w:sz w:val="20"/>
          <w:szCs w:val="20"/>
        </w:rPr>
      </w:pPr>
      <w:r>
        <w:rPr>
          <w:sz w:val="20"/>
          <w:szCs w:val="20"/>
        </w:rPr>
        <w:t xml:space="preserve">R. Rogers. Reflection in higher education: A concept analysis, </w:t>
      </w:r>
      <w:r>
        <w:rPr>
          <w:rStyle w:val="8"/>
          <w:sz w:val="20"/>
          <w:szCs w:val="20"/>
        </w:rPr>
        <w:t>Innovative Higher Education</w:t>
      </w:r>
      <w:r>
        <w:rPr>
          <w:sz w:val="20"/>
          <w:szCs w:val="20"/>
        </w:rPr>
        <w:t xml:space="preserve">, </w:t>
      </w:r>
      <w:r>
        <w:rPr>
          <w:rStyle w:val="15"/>
          <w:sz w:val="20"/>
          <w:szCs w:val="20"/>
        </w:rPr>
        <w:t>2001</w:t>
      </w:r>
      <w:r>
        <w:rPr>
          <w:sz w:val="20"/>
          <w:szCs w:val="20"/>
        </w:rPr>
        <w:t xml:space="preserve">, </w:t>
      </w:r>
      <w:r>
        <w:rPr>
          <w:rStyle w:val="8"/>
          <w:sz w:val="20"/>
          <w:szCs w:val="20"/>
        </w:rPr>
        <w:t>26</w:t>
      </w:r>
      <w:r>
        <w:rPr>
          <w:sz w:val="20"/>
          <w:szCs w:val="20"/>
        </w:rPr>
        <w:t>(1), 37–57.</w:t>
      </w:r>
    </w:p>
    <w:p w14:paraId="4E056F03">
      <w:pPr>
        <w:pStyle w:val="14"/>
        <w:numPr>
          <w:ilvl w:val="3"/>
          <w:numId w:val="5"/>
        </w:numPr>
        <w:spacing w:before="120" w:beforeAutospacing="0" w:after="120" w:afterAutospacing="0"/>
        <w:ind w:left="360"/>
        <w:rPr>
          <w:sz w:val="20"/>
          <w:szCs w:val="20"/>
        </w:rPr>
      </w:pPr>
      <w:r>
        <w:rPr>
          <w:sz w:val="20"/>
          <w:szCs w:val="20"/>
        </w:rPr>
        <w:t xml:space="preserve">A. Ramlal, D. S. Augustin. Engaging students in reflective writing: an action research project, </w:t>
      </w:r>
      <w:r>
        <w:rPr>
          <w:rStyle w:val="8"/>
          <w:sz w:val="20"/>
          <w:szCs w:val="20"/>
        </w:rPr>
        <w:t>Educational Action Research</w:t>
      </w:r>
      <w:r>
        <w:rPr>
          <w:sz w:val="20"/>
          <w:szCs w:val="20"/>
        </w:rPr>
        <w:t xml:space="preserve">, </w:t>
      </w:r>
      <w:r>
        <w:rPr>
          <w:rStyle w:val="15"/>
          <w:sz w:val="20"/>
          <w:szCs w:val="20"/>
        </w:rPr>
        <w:t>2019</w:t>
      </w:r>
      <w:r>
        <w:rPr>
          <w:rStyle w:val="15"/>
          <w:sz w:val="20"/>
          <w:szCs w:val="20"/>
          <w:lang w:val="vi-VN"/>
        </w:rPr>
        <w:t>,</w:t>
      </w:r>
      <w:r>
        <w:rPr>
          <w:rStyle w:val="15"/>
          <w:b w:val="0"/>
          <w:bCs w:val="0"/>
          <w:sz w:val="20"/>
          <w:szCs w:val="20"/>
          <w:lang w:val="vi-VN"/>
        </w:rPr>
        <w:t xml:space="preserve"> </w:t>
      </w:r>
      <w:r>
        <w:rPr>
          <w:rStyle w:val="15"/>
          <w:rFonts w:eastAsia="Tim"/>
          <w:b w:val="0"/>
          <w:bCs w:val="0"/>
          <w:i/>
          <w:iCs/>
          <w:sz w:val="20"/>
          <w:szCs w:val="20"/>
          <w:lang w:val="vi-VN"/>
        </w:rPr>
        <w:t>27</w:t>
      </w:r>
      <w:r>
        <w:rPr>
          <w:rStyle w:val="15"/>
          <w:b w:val="0"/>
          <w:bCs w:val="0"/>
          <w:sz w:val="20"/>
          <w:szCs w:val="20"/>
          <w:lang w:val="vi-VN"/>
        </w:rPr>
        <w:t>(4), 558–573.</w:t>
      </w:r>
    </w:p>
    <w:p w14:paraId="4180930B">
      <w:pPr>
        <w:pStyle w:val="14"/>
        <w:numPr>
          <w:ilvl w:val="3"/>
          <w:numId w:val="5"/>
        </w:numPr>
        <w:spacing w:before="120" w:beforeAutospacing="0" w:after="120" w:afterAutospacing="0"/>
        <w:ind w:left="360"/>
        <w:rPr>
          <w:sz w:val="20"/>
          <w:szCs w:val="20"/>
        </w:rPr>
      </w:pPr>
      <w:r>
        <w:rPr>
          <w:sz w:val="20"/>
          <w:szCs w:val="20"/>
        </w:rPr>
        <w:t xml:space="preserve">S. M. Brookhart. </w:t>
      </w:r>
      <w:r>
        <w:rPr>
          <w:rStyle w:val="8"/>
          <w:sz w:val="20"/>
          <w:szCs w:val="20"/>
        </w:rPr>
        <w:t>How to assess higher-order thinking skills in your classroom</w:t>
      </w:r>
      <w:r>
        <w:rPr>
          <w:sz w:val="20"/>
          <w:szCs w:val="20"/>
        </w:rPr>
        <w:t>, ASCD, Alexandria, VA, 2010.</w:t>
      </w:r>
    </w:p>
    <w:p w14:paraId="7C95D560">
      <w:pPr>
        <w:pStyle w:val="14"/>
        <w:numPr>
          <w:ilvl w:val="3"/>
          <w:numId w:val="5"/>
        </w:numPr>
        <w:spacing w:before="120" w:beforeAutospacing="0" w:after="120" w:afterAutospacing="0"/>
        <w:ind w:left="360"/>
        <w:rPr>
          <w:sz w:val="20"/>
          <w:szCs w:val="20"/>
        </w:rPr>
      </w:pPr>
      <w:r>
        <w:rPr>
          <w:sz w:val="20"/>
          <w:szCs w:val="20"/>
        </w:rPr>
        <w:t xml:space="preserve">R. J. Marzano, J. S. Kendall. </w:t>
      </w:r>
      <w:r>
        <w:rPr>
          <w:rStyle w:val="8"/>
          <w:sz w:val="20"/>
          <w:szCs w:val="20"/>
        </w:rPr>
        <w:t>The new taxonomy of educational objectives (2nd edition)</w:t>
      </w:r>
      <w:r>
        <w:rPr>
          <w:sz w:val="20"/>
          <w:szCs w:val="20"/>
        </w:rPr>
        <w:t>, Corwin Press, Thousand Oaks, CA, 2007.</w:t>
      </w:r>
    </w:p>
    <w:p w14:paraId="1B27AF8D">
      <w:pPr>
        <w:pStyle w:val="14"/>
        <w:numPr>
          <w:ilvl w:val="3"/>
          <w:numId w:val="5"/>
        </w:numPr>
        <w:spacing w:before="120" w:beforeAutospacing="0" w:after="120" w:afterAutospacing="0"/>
        <w:ind w:left="360"/>
        <w:rPr>
          <w:sz w:val="20"/>
          <w:szCs w:val="20"/>
        </w:rPr>
      </w:pPr>
      <w:r>
        <w:rPr>
          <w:sz w:val="20"/>
          <w:szCs w:val="20"/>
          <w:lang w:val="de-DE"/>
        </w:rPr>
        <w:t xml:space="preserve">L. W. Anderson, D. R. Krathwohl. </w:t>
      </w:r>
      <w:r>
        <w:rPr>
          <w:rStyle w:val="8"/>
          <w:sz w:val="20"/>
          <w:szCs w:val="20"/>
        </w:rPr>
        <w:t>A taxonomy for learning, teaching, and assessing: A revision of Bloom’s taxonomy of educational objectives</w:t>
      </w:r>
      <w:r>
        <w:rPr>
          <w:sz w:val="20"/>
          <w:szCs w:val="20"/>
        </w:rPr>
        <w:t>, Longman, New York, 2001.</w:t>
      </w:r>
    </w:p>
    <w:p w14:paraId="5C866872">
      <w:pPr>
        <w:pStyle w:val="14"/>
        <w:numPr>
          <w:ilvl w:val="3"/>
          <w:numId w:val="5"/>
        </w:numPr>
        <w:spacing w:before="120" w:beforeAutospacing="0" w:after="120" w:afterAutospacing="0"/>
        <w:ind w:left="360"/>
        <w:rPr>
          <w:sz w:val="20"/>
          <w:szCs w:val="20"/>
        </w:rPr>
      </w:pPr>
      <w:r>
        <w:rPr>
          <w:sz w:val="20"/>
          <w:szCs w:val="20"/>
        </w:rPr>
        <w:t xml:space="preserve">A. Bahri, A. D. Corebima. The contribution of learning motivation and metacognitive skill on cognitive learning outcome of students within different learning strategies, </w:t>
      </w:r>
      <w:r>
        <w:rPr>
          <w:rStyle w:val="8"/>
          <w:sz w:val="20"/>
          <w:szCs w:val="20"/>
        </w:rPr>
        <w:t>Journal of Baltic Science Education</w:t>
      </w:r>
      <w:r>
        <w:rPr>
          <w:sz w:val="20"/>
          <w:szCs w:val="20"/>
        </w:rPr>
        <w:t xml:space="preserve">, </w:t>
      </w:r>
      <w:r>
        <w:rPr>
          <w:rStyle w:val="15"/>
          <w:sz w:val="20"/>
          <w:szCs w:val="20"/>
        </w:rPr>
        <w:t>2015</w:t>
      </w:r>
      <w:r>
        <w:rPr>
          <w:sz w:val="20"/>
          <w:szCs w:val="20"/>
        </w:rPr>
        <w:t xml:space="preserve">, </w:t>
      </w:r>
      <w:r>
        <w:rPr>
          <w:rStyle w:val="8"/>
          <w:sz w:val="20"/>
          <w:szCs w:val="20"/>
        </w:rPr>
        <w:t>14</w:t>
      </w:r>
      <w:r>
        <w:rPr>
          <w:sz w:val="20"/>
          <w:szCs w:val="20"/>
        </w:rPr>
        <w:t>(4), 487–500.</w:t>
      </w:r>
    </w:p>
    <w:p w14:paraId="2B61CE68">
      <w:pPr>
        <w:pStyle w:val="14"/>
        <w:numPr>
          <w:ilvl w:val="3"/>
          <w:numId w:val="5"/>
        </w:numPr>
        <w:spacing w:before="120" w:beforeAutospacing="0" w:after="120" w:afterAutospacing="0"/>
        <w:ind w:left="360"/>
        <w:rPr>
          <w:sz w:val="20"/>
          <w:szCs w:val="20"/>
        </w:rPr>
      </w:pPr>
      <w:r>
        <w:rPr>
          <w:sz w:val="20"/>
          <w:szCs w:val="20"/>
        </w:rPr>
        <w:t xml:space="preserve">Y. M. Heong, W. B. Othman, J. B. M. Yunos, T. T. Kiong, R. Bin Hassan, M. M. B. Mohamad. The level of Marzano higher order thinking skills among technical education students, </w:t>
      </w:r>
      <w:r>
        <w:rPr>
          <w:rStyle w:val="8"/>
          <w:sz w:val="20"/>
          <w:szCs w:val="20"/>
        </w:rPr>
        <w:t>International Journal of Social Science and Humanity</w:t>
      </w:r>
      <w:r>
        <w:rPr>
          <w:sz w:val="20"/>
          <w:szCs w:val="20"/>
        </w:rPr>
        <w:t xml:space="preserve">, </w:t>
      </w:r>
      <w:r>
        <w:rPr>
          <w:rStyle w:val="15"/>
          <w:sz w:val="20"/>
          <w:szCs w:val="20"/>
        </w:rPr>
        <w:t>2011</w:t>
      </w:r>
      <w:r>
        <w:rPr>
          <w:sz w:val="20"/>
          <w:szCs w:val="20"/>
        </w:rPr>
        <w:t xml:space="preserve">, </w:t>
      </w:r>
      <w:r>
        <w:rPr>
          <w:rStyle w:val="8"/>
          <w:sz w:val="20"/>
          <w:szCs w:val="20"/>
        </w:rPr>
        <w:t>1</w:t>
      </w:r>
      <w:r>
        <w:rPr>
          <w:sz w:val="20"/>
          <w:szCs w:val="20"/>
        </w:rPr>
        <w:t>(2), 121–125.</w:t>
      </w:r>
    </w:p>
    <w:p w14:paraId="62384252">
      <w:pPr>
        <w:pStyle w:val="14"/>
        <w:numPr>
          <w:ilvl w:val="3"/>
          <w:numId w:val="5"/>
        </w:numPr>
        <w:spacing w:before="120" w:beforeAutospacing="0" w:after="120" w:afterAutospacing="0"/>
        <w:ind w:left="360"/>
        <w:rPr>
          <w:sz w:val="20"/>
          <w:szCs w:val="20"/>
        </w:rPr>
      </w:pPr>
      <w:r>
        <w:rPr>
          <w:sz w:val="20"/>
          <w:szCs w:val="20"/>
        </w:rPr>
        <w:t xml:space="preserve">T. M. T. Nguyen, L. T. T. Nguyen. Influence of explicit higher-order thinking skills instruction on students’ learning of linguistics, </w:t>
      </w:r>
      <w:r>
        <w:rPr>
          <w:rStyle w:val="8"/>
          <w:sz w:val="20"/>
          <w:szCs w:val="20"/>
        </w:rPr>
        <w:t>Thinking Skills and Creativity</w:t>
      </w:r>
      <w:r>
        <w:rPr>
          <w:sz w:val="20"/>
          <w:szCs w:val="20"/>
        </w:rPr>
        <w:t xml:space="preserve">, </w:t>
      </w:r>
      <w:r>
        <w:rPr>
          <w:rStyle w:val="15"/>
          <w:sz w:val="20"/>
          <w:szCs w:val="20"/>
        </w:rPr>
        <w:t>2017</w:t>
      </w:r>
      <w:r>
        <w:rPr>
          <w:rStyle w:val="15"/>
          <w:b w:val="0"/>
          <w:bCs w:val="0"/>
          <w:sz w:val="20"/>
          <w:szCs w:val="20"/>
          <w:lang w:val="vi-VN"/>
        </w:rPr>
        <w:t xml:space="preserve">, </w:t>
      </w:r>
      <w:r>
        <w:rPr>
          <w:rStyle w:val="15"/>
          <w:rFonts w:eastAsia="Tim"/>
          <w:b w:val="0"/>
          <w:bCs w:val="0"/>
          <w:i/>
          <w:iCs/>
          <w:sz w:val="20"/>
          <w:szCs w:val="20"/>
          <w:lang w:val="vi-VN"/>
        </w:rPr>
        <w:t>26</w:t>
      </w:r>
      <w:r>
        <w:rPr>
          <w:rStyle w:val="15"/>
          <w:b w:val="0"/>
          <w:bCs w:val="0"/>
          <w:sz w:val="20"/>
          <w:szCs w:val="20"/>
          <w:lang w:val="vi-VN"/>
        </w:rPr>
        <w:t>, 113-127.</w:t>
      </w:r>
    </w:p>
    <w:p w14:paraId="23553C20">
      <w:pPr>
        <w:pStyle w:val="14"/>
        <w:numPr>
          <w:ilvl w:val="3"/>
          <w:numId w:val="5"/>
        </w:numPr>
        <w:spacing w:before="120" w:beforeAutospacing="0" w:after="120" w:afterAutospacing="0"/>
        <w:ind w:left="360"/>
        <w:rPr>
          <w:sz w:val="20"/>
          <w:szCs w:val="20"/>
        </w:rPr>
      </w:pPr>
      <w:r>
        <w:rPr>
          <w:sz w:val="20"/>
          <w:szCs w:val="20"/>
        </w:rPr>
        <w:t xml:space="preserve">J. M. Dubas, S. A. Toledo. Taking higher order thinking seriously: Using Marzano’s taxonomy in the economics classroom, </w:t>
      </w:r>
      <w:r>
        <w:rPr>
          <w:rStyle w:val="8"/>
          <w:sz w:val="20"/>
          <w:szCs w:val="20"/>
        </w:rPr>
        <w:t>International Review of Economics Education</w:t>
      </w:r>
      <w:r>
        <w:rPr>
          <w:sz w:val="20"/>
          <w:szCs w:val="20"/>
        </w:rPr>
        <w:t xml:space="preserve">, </w:t>
      </w:r>
      <w:r>
        <w:rPr>
          <w:rStyle w:val="15"/>
          <w:sz w:val="20"/>
          <w:szCs w:val="20"/>
        </w:rPr>
        <w:t>2016</w:t>
      </w:r>
      <w:r>
        <w:rPr>
          <w:sz w:val="20"/>
          <w:szCs w:val="20"/>
        </w:rPr>
        <w:t xml:space="preserve">, </w:t>
      </w:r>
      <w:r>
        <w:rPr>
          <w:rStyle w:val="8"/>
          <w:sz w:val="20"/>
          <w:szCs w:val="20"/>
        </w:rPr>
        <w:t>21</w:t>
      </w:r>
      <w:r>
        <w:rPr>
          <w:sz w:val="20"/>
          <w:szCs w:val="20"/>
        </w:rPr>
        <w:t>, 12–20.</w:t>
      </w:r>
    </w:p>
    <w:p w14:paraId="17F06687">
      <w:pPr>
        <w:pStyle w:val="14"/>
        <w:numPr>
          <w:ilvl w:val="3"/>
          <w:numId w:val="5"/>
        </w:numPr>
        <w:spacing w:before="120" w:beforeAutospacing="0" w:after="120" w:afterAutospacing="0"/>
        <w:ind w:left="360"/>
        <w:rPr>
          <w:sz w:val="20"/>
          <w:szCs w:val="20"/>
        </w:rPr>
      </w:pPr>
      <w:r>
        <w:rPr>
          <w:sz w:val="20"/>
          <w:szCs w:val="20"/>
        </w:rPr>
        <w:t xml:space="preserve">J. L. Momsen, T. M. Long, S. A. Wyse, D. Ebert-May. Just the facts? Introductory undergraduate biology courses focus on low-level cognitive skills, </w:t>
      </w:r>
      <w:r>
        <w:rPr>
          <w:rStyle w:val="8"/>
          <w:sz w:val="20"/>
          <w:szCs w:val="20"/>
        </w:rPr>
        <w:t>CBE—Life Sciences Education</w:t>
      </w:r>
      <w:r>
        <w:rPr>
          <w:sz w:val="20"/>
          <w:szCs w:val="20"/>
        </w:rPr>
        <w:t xml:space="preserve">, </w:t>
      </w:r>
      <w:r>
        <w:rPr>
          <w:rStyle w:val="15"/>
          <w:sz w:val="20"/>
          <w:szCs w:val="20"/>
        </w:rPr>
        <w:t>2010</w:t>
      </w:r>
      <w:r>
        <w:rPr>
          <w:sz w:val="20"/>
          <w:szCs w:val="20"/>
        </w:rPr>
        <w:t xml:space="preserve">, </w:t>
      </w:r>
      <w:r>
        <w:rPr>
          <w:rStyle w:val="8"/>
          <w:sz w:val="20"/>
          <w:szCs w:val="20"/>
        </w:rPr>
        <w:t>9</w:t>
      </w:r>
      <w:r>
        <w:rPr>
          <w:sz w:val="20"/>
          <w:szCs w:val="20"/>
        </w:rPr>
        <w:t>(4), 435–440.</w:t>
      </w:r>
    </w:p>
    <w:p w14:paraId="7C9A06C8">
      <w:pPr>
        <w:pStyle w:val="14"/>
        <w:numPr>
          <w:ilvl w:val="3"/>
          <w:numId w:val="5"/>
        </w:numPr>
        <w:spacing w:before="120" w:beforeAutospacing="0" w:after="120" w:afterAutospacing="0"/>
        <w:ind w:left="360"/>
        <w:rPr>
          <w:sz w:val="20"/>
          <w:szCs w:val="20"/>
        </w:rPr>
      </w:pPr>
      <w:r>
        <w:rPr>
          <w:sz w:val="20"/>
          <w:szCs w:val="20"/>
        </w:rPr>
        <w:t xml:space="preserve">H. Jones. National curriculum tests and the teaching of thinking skills at primary schools—parallel or paradox?, </w:t>
      </w:r>
      <w:r>
        <w:rPr>
          <w:rStyle w:val="8"/>
          <w:sz w:val="20"/>
          <w:szCs w:val="20"/>
        </w:rPr>
        <w:t>Education 3–13</w:t>
      </w:r>
      <w:r>
        <w:rPr>
          <w:sz w:val="20"/>
          <w:szCs w:val="20"/>
        </w:rPr>
        <w:t xml:space="preserve">, </w:t>
      </w:r>
      <w:r>
        <w:rPr>
          <w:rStyle w:val="15"/>
          <w:sz w:val="20"/>
          <w:szCs w:val="20"/>
        </w:rPr>
        <w:t>2010</w:t>
      </w:r>
      <w:r>
        <w:rPr>
          <w:sz w:val="20"/>
          <w:szCs w:val="20"/>
        </w:rPr>
        <w:t xml:space="preserve">, </w:t>
      </w:r>
      <w:r>
        <w:rPr>
          <w:rStyle w:val="8"/>
          <w:sz w:val="20"/>
          <w:szCs w:val="20"/>
        </w:rPr>
        <w:t>38</w:t>
      </w:r>
      <w:r>
        <w:rPr>
          <w:sz w:val="20"/>
          <w:szCs w:val="20"/>
        </w:rPr>
        <w:t>(1), 69–86.</w:t>
      </w:r>
    </w:p>
    <w:p w14:paraId="3C031A45">
      <w:pPr>
        <w:pStyle w:val="14"/>
        <w:numPr>
          <w:ilvl w:val="3"/>
          <w:numId w:val="5"/>
        </w:numPr>
        <w:spacing w:before="120" w:beforeAutospacing="0" w:after="120" w:afterAutospacing="0"/>
        <w:ind w:left="360"/>
        <w:rPr>
          <w:sz w:val="20"/>
          <w:szCs w:val="20"/>
        </w:rPr>
      </w:pPr>
      <w:r>
        <w:rPr>
          <w:sz w:val="20"/>
          <w:szCs w:val="20"/>
        </w:rPr>
        <w:t xml:space="preserve">H. Retnawati, S. Munadi, J. Arlinwibowo, N. F. Wulandari, E. Sulistyaningsih. Teachers’ difficulties in implementing thematic teaching and learning in elementary schools, </w:t>
      </w:r>
      <w:r>
        <w:rPr>
          <w:rStyle w:val="8"/>
          <w:sz w:val="20"/>
          <w:szCs w:val="20"/>
        </w:rPr>
        <w:t>The New Education Review</w:t>
      </w:r>
      <w:r>
        <w:rPr>
          <w:sz w:val="20"/>
          <w:szCs w:val="20"/>
        </w:rPr>
        <w:t xml:space="preserve">, </w:t>
      </w:r>
      <w:r>
        <w:rPr>
          <w:rStyle w:val="15"/>
          <w:sz w:val="20"/>
          <w:szCs w:val="20"/>
        </w:rPr>
        <w:t>2017</w:t>
      </w:r>
      <w:r>
        <w:rPr>
          <w:sz w:val="20"/>
          <w:szCs w:val="20"/>
        </w:rPr>
        <w:t xml:space="preserve">, </w:t>
      </w:r>
      <w:r>
        <w:rPr>
          <w:rStyle w:val="8"/>
          <w:sz w:val="20"/>
          <w:szCs w:val="20"/>
        </w:rPr>
        <w:t>48</w:t>
      </w:r>
      <w:r>
        <w:rPr>
          <w:sz w:val="20"/>
          <w:szCs w:val="20"/>
        </w:rPr>
        <w:t>, 201–212.</w:t>
      </w:r>
    </w:p>
    <w:p w14:paraId="5E13AD65">
      <w:pPr>
        <w:pStyle w:val="14"/>
        <w:numPr>
          <w:ilvl w:val="3"/>
          <w:numId w:val="5"/>
        </w:numPr>
        <w:spacing w:before="120" w:beforeAutospacing="0" w:after="120" w:afterAutospacing="0"/>
        <w:ind w:left="360"/>
        <w:rPr>
          <w:sz w:val="20"/>
          <w:szCs w:val="20"/>
        </w:rPr>
      </w:pPr>
      <w:r>
        <w:rPr>
          <w:sz w:val="20"/>
          <w:szCs w:val="20"/>
          <w:lang w:val="de-DE"/>
        </w:rPr>
        <w:t xml:space="preserve">M. Weurlander, M. Söderberg, M. Scheja, H. Hult, A. Wernerson. </w:t>
      </w:r>
      <w:r>
        <w:rPr>
          <w:sz w:val="20"/>
          <w:szCs w:val="20"/>
        </w:rPr>
        <w:t xml:space="preserve">Exploring formative assessment as a tool for learning: students’ experiences of different methods of formative assessment, </w:t>
      </w:r>
      <w:r>
        <w:rPr>
          <w:rStyle w:val="8"/>
          <w:sz w:val="20"/>
          <w:szCs w:val="20"/>
        </w:rPr>
        <w:t>Assessment &amp; Evaluation in Higher Education</w:t>
      </w:r>
      <w:r>
        <w:rPr>
          <w:sz w:val="20"/>
          <w:szCs w:val="20"/>
        </w:rPr>
        <w:t xml:space="preserve">, </w:t>
      </w:r>
      <w:r>
        <w:rPr>
          <w:rStyle w:val="15"/>
          <w:sz w:val="20"/>
          <w:szCs w:val="20"/>
        </w:rPr>
        <w:t>2012</w:t>
      </w:r>
      <w:r>
        <w:rPr>
          <w:sz w:val="20"/>
          <w:szCs w:val="20"/>
        </w:rPr>
        <w:t xml:space="preserve">, </w:t>
      </w:r>
      <w:r>
        <w:rPr>
          <w:rStyle w:val="8"/>
          <w:sz w:val="20"/>
          <w:szCs w:val="20"/>
        </w:rPr>
        <w:t>37</w:t>
      </w:r>
      <w:r>
        <w:rPr>
          <w:sz w:val="20"/>
          <w:szCs w:val="20"/>
        </w:rPr>
        <w:t>(6), 747–760.</w:t>
      </w:r>
    </w:p>
    <w:p w14:paraId="33EFDDD9">
      <w:pPr>
        <w:pStyle w:val="14"/>
        <w:numPr>
          <w:ilvl w:val="3"/>
          <w:numId w:val="5"/>
        </w:numPr>
        <w:spacing w:before="120" w:beforeAutospacing="0" w:after="120" w:afterAutospacing="0"/>
        <w:ind w:left="360"/>
        <w:rPr>
          <w:sz w:val="20"/>
          <w:szCs w:val="20"/>
        </w:rPr>
      </w:pPr>
      <w:r>
        <w:rPr>
          <w:sz w:val="20"/>
          <w:szCs w:val="20"/>
        </w:rPr>
        <w:t xml:space="preserve">C. Anderson, D. Hounsell. Knowledge practices: ‘Doing the subject’ in undergraduate courses, </w:t>
      </w:r>
      <w:r>
        <w:rPr>
          <w:rStyle w:val="8"/>
          <w:sz w:val="20"/>
          <w:szCs w:val="20"/>
        </w:rPr>
        <w:t>Curriculum Journal</w:t>
      </w:r>
      <w:r>
        <w:rPr>
          <w:sz w:val="20"/>
          <w:szCs w:val="20"/>
        </w:rPr>
        <w:t xml:space="preserve">, </w:t>
      </w:r>
      <w:r>
        <w:rPr>
          <w:rStyle w:val="15"/>
          <w:sz w:val="20"/>
          <w:szCs w:val="20"/>
        </w:rPr>
        <w:t>2007</w:t>
      </w:r>
      <w:r>
        <w:rPr>
          <w:sz w:val="20"/>
          <w:szCs w:val="20"/>
        </w:rPr>
        <w:t xml:space="preserve">, </w:t>
      </w:r>
      <w:r>
        <w:rPr>
          <w:rStyle w:val="8"/>
          <w:sz w:val="20"/>
          <w:szCs w:val="20"/>
        </w:rPr>
        <w:t>18</w:t>
      </w:r>
      <w:r>
        <w:rPr>
          <w:sz w:val="20"/>
          <w:szCs w:val="20"/>
        </w:rPr>
        <w:t>(4), 463–478.</w:t>
      </w:r>
    </w:p>
    <w:p w14:paraId="141EA5BA">
      <w:pPr>
        <w:pStyle w:val="14"/>
        <w:numPr>
          <w:ilvl w:val="3"/>
          <w:numId w:val="5"/>
        </w:numPr>
        <w:spacing w:before="120" w:beforeAutospacing="0" w:after="120" w:afterAutospacing="0"/>
        <w:ind w:left="360"/>
        <w:rPr>
          <w:sz w:val="20"/>
          <w:szCs w:val="20"/>
        </w:rPr>
      </w:pPr>
      <w:r>
        <w:rPr>
          <w:sz w:val="20"/>
          <w:szCs w:val="20"/>
        </w:rPr>
        <w:t xml:space="preserve">Center for Advancement of Learning and Assessment. </w:t>
      </w:r>
      <w:r>
        <w:rPr>
          <w:i/>
          <w:iCs/>
          <w:sz w:val="20"/>
          <w:szCs w:val="20"/>
        </w:rPr>
        <w:t>Higher order thinking skills: Definitions, strategies, assessment</w:t>
      </w:r>
      <w:r>
        <w:rPr>
          <w:sz w:val="20"/>
          <w:szCs w:val="20"/>
        </w:rPr>
        <w:t>, Tallahassee, FL, 2011.</w:t>
      </w:r>
    </w:p>
    <w:p w14:paraId="76C88684">
      <w:pPr>
        <w:pStyle w:val="14"/>
        <w:numPr>
          <w:ilvl w:val="3"/>
          <w:numId w:val="5"/>
        </w:numPr>
        <w:spacing w:before="120" w:beforeAutospacing="0" w:after="120" w:afterAutospacing="0"/>
        <w:ind w:left="360"/>
        <w:rPr>
          <w:sz w:val="20"/>
          <w:szCs w:val="20"/>
        </w:rPr>
      </w:pPr>
      <w:r>
        <w:rPr>
          <w:sz w:val="20"/>
          <w:szCs w:val="20"/>
        </w:rPr>
        <w:t xml:space="preserve">ERIC Clearinghouse on Adult, Career, and Vocational Education. </w:t>
      </w:r>
      <w:r>
        <w:rPr>
          <w:i/>
          <w:iCs/>
          <w:sz w:val="20"/>
          <w:szCs w:val="20"/>
        </w:rPr>
        <w:t>Cognitive theory-based teaching and learning in vocational education. Information Series 349</w:t>
      </w:r>
      <w:r>
        <w:rPr>
          <w:sz w:val="20"/>
          <w:szCs w:val="20"/>
        </w:rPr>
        <w:t>, Columbus, 1992</w:t>
      </w:r>
      <w:r>
        <w:rPr>
          <w:sz w:val="20"/>
          <w:szCs w:val="20"/>
          <w:lang w:val="vi-VN"/>
        </w:rPr>
        <w:t>.</w:t>
      </w:r>
    </w:p>
    <w:p w14:paraId="05DD6DC4">
      <w:pPr>
        <w:pStyle w:val="14"/>
        <w:numPr>
          <w:ilvl w:val="3"/>
          <w:numId w:val="5"/>
        </w:numPr>
        <w:spacing w:before="120" w:beforeAutospacing="0" w:after="120" w:afterAutospacing="0"/>
        <w:ind w:left="360"/>
        <w:rPr>
          <w:sz w:val="20"/>
          <w:szCs w:val="20"/>
        </w:rPr>
      </w:pPr>
      <w:r>
        <w:rPr>
          <w:sz w:val="20"/>
          <w:szCs w:val="20"/>
        </w:rPr>
        <w:t xml:space="preserve">National Center for Research in Vocational Education. </w:t>
      </w:r>
      <w:r>
        <w:rPr>
          <w:i/>
          <w:iCs/>
          <w:sz w:val="20"/>
          <w:szCs w:val="20"/>
        </w:rPr>
        <w:t xml:space="preserve">Teaching and learning generic skills for the workplace, University of California, </w:t>
      </w:r>
      <w:r>
        <w:rPr>
          <w:sz w:val="20"/>
          <w:szCs w:val="20"/>
        </w:rPr>
        <w:t>Berkeley, 1990.</w:t>
      </w:r>
    </w:p>
    <w:p w14:paraId="1AC8BCC4">
      <w:pPr>
        <w:pStyle w:val="14"/>
        <w:numPr>
          <w:ilvl w:val="3"/>
          <w:numId w:val="5"/>
        </w:numPr>
        <w:spacing w:before="120" w:beforeAutospacing="0" w:after="120" w:afterAutospacing="0"/>
        <w:ind w:left="360"/>
        <w:rPr>
          <w:sz w:val="20"/>
          <w:szCs w:val="20"/>
        </w:rPr>
      </w:pPr>
      <w:r>
        <w:rPr>
          <w:sz w:val="20"/>
          <w:szCs w:val="20"/>
        </w:rPr>
        <w:t xml:space="preserve">J. D. Bain, R. Ballantyne, C. Mills, N. C. </w:t>
      </w:r>
      <w:r>
        <w:rPr>
          <w:sz w:val="20"/>
          <w:szCs w:val="20"/>
          <w:lang w:val="vi-VN"/>
        </w:rPr>
        <w:t>N</w:t>
      </w:r>
      <w:r>
        <w:rPr>
          <w:sz w:val="20"/>
          <w:szCs w:val="20"/>
        </w:rPr>
        <w:t xml:space="preserve">ester. </w:t>
      </w:r>
      <w:r>
        <w:rPr>
          <w:rStyle w:val="8"/>
          <w:sz w:val="20"/>
          <w:szCs w:val="20"/>
        </w:rPr>
        <w:t>Reflecting on practice: Student teachers’ perspectives</w:t>
      </w:r>
      <w:r>
        <w:rPr>
          <w:sz w:val="20"/>
          <w:szCs w:val="20"/>
        </w:rPr>
        <w:t>, Post Pressed, Flaxton, 2002.</w:t>
      </w:r>
    </w:p>
    <w:p w14:paraId="21FE6666">
      <w:pPr>
        <w:pStyle w:val="14"/>
        <w:numPr>
          <w:ilvl w:val="3"/>
          <w:numId w:val="5"/>
        </w:numPr>
        <w:spacing w:before="120" w:beforeAutospacing="0" w:after="120" w:afterAutospacing="0"/>
        <w:ind w:left="360"/>
        <w:rPr>
          <w:sz w:val="20"/>
          <w:szCs w:val="20"/>
        </w:rPr>
      </w:pPr>
      <w:r>
        <w:rPr>
          <w:sz w:val="20"/>
          <w:szCs w:val="20"/>
        </w:rPr>
        <w:t>J.</w:t>
      </w:r>
      <w:r>
        <w:rPr>
          <w:sz w:val="20"/>
          <w:szCs w:val="20"/>
          <w:lang w:val="vi-VN"/>
        </w:rPr>
        <w:t xml:space="preserve"> </w:t>
      </w:r>
      <w:r>
        <w:rPr>
          <w:sz w:val="20"/>
          <w:szCs w:val="20"/>
        </w:rPr>
        <w:t>Marciano</w:t>
      </w:r>
      <w:r>
        <w:rPr>
          <w:sz w:val="20"/>
          <w:szCs w:val="20"/>
          <w:lang w:val="vi-VN"/>
        </w:rPr>
        <w:t>.</w:t>
      </w:r>
      <w:r>
        <w:rPr>
          <w:sz w:val="20"/>
          <w:szCs w:val="20"/>
        </w:rPr>
        <w:t xml:space="preserve"> Becoming Facebook Friendly: Social Media and the Culturally Relevant Classroom. </w:t>
      </w:r>
      <w:r>
        <w:rPr>
          <w:i/>
          <w:iCs/>
          <w:sz w:val="20"/>
          <w:szCs w:val="20"/>
        </w:rPr>
        <w:t>English Journal</w:t>
      </w:r>
      <w:r>
        <w:rPr>
          <w:sz w:val="20"/>
          <w:szCs w:val="20"/>
        </w:rPr>
        <w:t xml:space="preserve">, </w:t>
      </w:r>
      <w:r>
        <w:rPr>
          <w:b/>
          <w:bCs/>
          <w:sz w:val="20"/>
          <w:szCs w:val="20"/>
        </w:rPr>
        <w:t>2015</w:t>
      </w:r>
      <w:r>
        <w:rPr>
          <w:sz w:val="20"/>
          <w:szCs w:val="20"/>
        </w:rPr>
        <w:t xml:space="preserve">, </w:t>
      </w:r>
      <w:r>
        <w:rPr>
          <w:i/>
          <w:iCs/>
          <w:sz w:val="20"/>
          <w:szCs w:val="20"/>
        </w:rPr>
        <w:t>104</w:t>
      </w:r>
      <w:r>
        <w:rPr>
          <w:sz w:val="20"/>
          <w:szCs w:val="20"/>
        </w:rPr>
        <w:t>(5), 73–78.</w:t>
      </w:r>
    </w:p>
    <w:p w14:paraId="37AB1D90">
      <w:pPr>
        <w:pStyle w:val="14"/>
        <w:numPr>
          <w:ilvl w:val="3"/>
          <w:numId w:val="5"/>
        </w:numPr>
        <w:spacing w:before="120" w:beforeAutospacing="0" w:after="120" w:afterAutospacing="0"/>
        <w:ind w:left="360"/>
        <w:rPr>
          <w:sz w:val="20"/>
          <w:szCs w:val="20"/>
        </w:rPr>
      </w:pPr>
      <w:r>
        <w:rPr>
          <w:sz w:val="20"/>
          <w:szCs w:val="20"/>
        </w:rPr>
        <w:t xml:space="preserve">J. Shaules. Deep learning: Unconscious cognition, the intuitive mind, and transformative language learning, </w:t>
      </w:r>
      <w:r>
        <w:rPr>
          <w:rStyle w:val="8"/>
          <w:sz w:val="20"/>
          <w:szCs w:val="20"/>
        </w:rPr>
        <w:t>Juntendo Journal of Global Studies</w:t>
      </w:r>
      <w:r>
        <w:rPr>
          <w:sz w:val="20"/>
          <w:szCs w:val="20"/>
        </w:rPr>
        <w:t xml:space="preserve">, </w:t>
      </w:r>
      <w:r>
        <w:rPr>
          <w:rStyle w:val="15"/>
          <w:sz w:val="20"/>
          <w:szCs w:val="20"/>
        </w:rPr>
        <w:t>2018</w:t>
      </w:r>
      <w:r>
        <w:rPr>
          <w:sz w:val="20"/>
          <w:szCs w:val="20"/>
        </w:rPr>
        <w:t xml:space="preserve">, </w:t>
      </w:r>
      <w:r>
        <w:rPr>
          <w:rStyle w:val="8"/>
          <w:sz w:val="20"/>
          <w:szCs w:val="20"/>
        </w:rPr>
        <w:t>3</w:t>
      </w:r>
      <w:r>
        <w:rPr>
          <w:sz w:val="20"/>
          <w:szCs w:val="20"/>
        </w:rPr>
        <w:t>, 1–16.</w:t>
      </w:r>
    </w:p>
    <w:p w14:paraId="3A99F43B">
      <w:pPr>
        <w:pStyle w:val="14"/>
        <w:numPr>
          <w:ilvl w:val="3"/>
          <w:numId w:val="5"/>
        </w:numPr>
        <w:spacing w:before="120" w:beforeAutospacing="0" w:after="120" w:afterAutospacing="0"/>
        <w:ind w:left="360"/>
        <w:rPr>
          <w:sz w:val="20"/>
          <w:szCs w:val="20"/>
        </w:rPr>
      </w:pPr>
      <w:r>
        <w:rPr>
          <w:sz w:val="20"/>
          <w:szCs w:val="20"/>
        </w:rPr>
        <w:t>J.</w:t>
      </w:r>
      <w:r>
        <w:rPr>
          <w:sz w:val="20"/>
          <w:szCs w:val="20"/>
          <w:lang w:val="vi-VN"/>
        </w:rPr>
        <w:t xml:space="preserve"> </w:t>
      </w:r>
      <w:r>
        <w:rPr>
          <w:sz w:val="20"/>
          <w:szCs w:val="20"/>
        </w:rPr>
        <w:t xml:space="preserve">Halbert, </w:t>
      </w:r>
      <w:r>
        <w:rPr>
          <w:sz w:val="20"/>
          <w:szCs w:val="20"/>
          <w:lang w:val="vi-VN"/>
        </w:rPr>
        <w:t xml:space="preserve">L. </w:t>
      </w:r>
      <w:r>
        <w:rPr>
          <w:sz w:val="20"/>
          <w:szCs w:val="20"/>
        </w:rPr>
        <w:t xml:space="preserve">Kaser. Deep learning: Inquiring communities of practice. </w:t>
      </w:r>
      <w:r>
        <w:rPr>
          <w:i/>
          <w:iCs/>
          <w:sz w:val="20"/>
          <w:szCs w:val="20"/>
        </w:rPr>
        <w:t>Education Canada</w:t>
      </w:r>
      <w:r>
        <w:rPr>
          <w:sz w:val="20"/>
          <w:szCs w:val="20"/>
        </w:rPr>
        <w:t xml:space="preserve">, </w:t>
      </w:r>
      <w:r>
        <w:rPr>
          <w:b/>
          <w:bCs/>
          <w:sz w:val="20"/>
          <w:szCs w:val="20"/>
        </w:rPr>
        <w:t>2006</w:t>
      </w:r>
      <w:r>
        <w:rPr>
          <w:sz w:val="20"/>
          <w:szCs w:val="20"/>
        </w:rPr>
        <w:t xml:space="preserve">, </w:t>
      </w:r>
      <w:r>
        <w:rPr>
          <w:i/>
          <w:iCs/>
          <w:sz w:val="20"/>
          <w:szCs w:val="20"/>
        </w:rPr>
        <w:t>46</w:t>
      </w:r>
      <w:r>
        <w:rPr>
          <w:sz w:val="20"/>
          <w:szCs w:val="20"/>
        </w:rPr>
        <w:t>(3), 43–45</w:t>
      </w:r>
    </w:p>
    <w:p w14:paraId="3F3B49E2">
      <w:pPr>
        <w:pStyle w:val="14"/>
        <w:numPr>
          <w:ilvl w:val="3"/>
          <w:numId w:val="5"/>
        </w:numPr>
        <w:spacing w:before="120" w:beforeAutospacing="0" w:after="120" w:afterAutospacing="0"/>
        <w:ind w:left="360"/>
        <w:rPr>
          <w:rFonts w:hint="eastAsia" w:ascii="Times Regular" w:hAnsi="Times Regular" w:cs="Times Regular"/>
          <w:sz w:val="20"/>
          <w:szCs w:val="20"/>
        </w:rPr>
      </w:pPr>
      <w:r>
        <w:rPr>
          <w:sz w:val="20"/>
          <w:szCs w:val="20"/>
        </w:rPr>
        <w:t xml:space="preserve">Hong Kong University. </w:t>
      </w:r>
      <w:r>
        <w:rPr>
          <w:rFonts w:hint="eastAsia" w:ascii="Tim" w:hAnsi="Tim" w:eastAsia="Tim" w:cs="Tim"/>
          <w:i/>
          <w:iCs/>
          <w:sz w:val="20"/>
          <w:szCs w:val="20"/>
        </w:rPr>
        <w:t>Why and how do Hong Kong students learn? Using the Learning and Study Process Questionnaire</w:t>
      </w:r>
      <w:r>
        <w:rPr>
          <w:sz w:val="20"/>
          <w:szCs w:val="20"/>
        </w:rPr>
        <w:t>s, Hong Kong, 1992.</w:t>
      </w:r>
    </w:p>
    <w:p w14:paraId="34A26535">
      <w:pPr>
        <w:pStyle w:val="14"/>
        <w:numPr>
          <w:ilvl w:val="3"/>
          <w:numId w:val="5"/>
        </w:numPr>
        <w:spacing w:before="120" w:beforeAutospacing="0" w:after="120" w:afterAutospacing="0"/>
        <w:ind w:left="360"/>
        <w:rPr>
          <w:rFonts w:hint="eastAsia" w:ascii="Times Regular" w:hAnsi="Times Regular" w:cs="Times Regular"/>
          <w:sz w:val="20"/>
          <w:szCs w:val="20"/>
        </w:rPr>
        <w:sectPr>
          <w:type w:val="continuous"/>
          <w:pgSz w:w="12240" w:h="15840"/>
          <w:pgMar w:top="1138" w:right="1138" w:bottom="1138" w:left="1411" w:header="720" w:footer="720" w:gutter="0"/>
          <w:cols w:equalWidth="0" w:num="2">
            <w:col w:w="4633" w:space="425"/>
            <w:col w:w="4633"/>
          </w:cols>
          <w:docGrid w:linePitch="360" w:charSpace="0"/>
        </w:sectPr>
      </w:pPr>
      <w:r>
        <w:rPr>
          <w:sz w:val="20"/>
          <w:szCs w:val="20"/>
        </w:rPr>
        <w:t xml:space="preserve">D. R. Garrison, T. Anderson. </w:t>
      </w:r>
      <w:r>
        <w:rPr>
          <w:rStyle w:val="8"/>
          <w:sz w:val="20"/>
          <w:szCs w:val="20"/>
        </w:rPr>
        <w:t>E-Learning in the 21st century: A framework for research and practice</w:t>
      </w:r>
      <w:r>
        <w:rPr>
          <w:sz w:val="20"/>
          <w:szCs w:val="20"/>
        </w:rPr>
        <w:t>, Routledge, London, 2003.</w:t>
      </w:r>
    </w:p>
    <w:p w14:paraId="4CCA4F74">
      <w:pPr>
        <w:spacing w:before="120" w:after="120" w:line="240" w:lineRule="auto"/>
        <w:jc w:val="both"/>
        <w:rPr>
          <w:rFonts w:ascii="Times Regular" w:hAnsi="Times Regular" w:cs="Times Regular"/>
          <w:sz w:val="20"/>
          <w:szCs w:val="20"/>
        </w:rPr>
      </w:pPr>
    </w:p>
    <w:p w14:paraId="0856F727">
      <w:pPr>
        <w:spacing w:before="120" w:after="120" w:line="240" w:lineRule="auto"/>
        <w:jc w:val="both"/>
        <w:rPr>
          <w:rFonts w:ascii="Times New Roman" w:hAnsi="Times New Roman" w:cs="Times New Roman"/>
          <w:b/>
        </w:rPr>
      </w:pPr>
      <w:r>
        <w:rPr>
          <w:rFonts w:ascii="Times New Roman" w:hAnsi="Times New Roman" w:cs="Times New Roman"/>
          <w:b/>
        </w:rPr>
        <w:t>Appendixes</w:t>
      </w:r>
    </w:p>
    <w:p w14:paraId="0B5436C3">
      <w:pPr>
        <w:spacing w:before="120" w:after="120" w:line="240" w:lineRule="auto"/>
        <w:jc w:val="both"/>
        <w:rPr>
          <w:rFonts w:ascii="Times New Roman" w:hAnsi="Times New Roman" w:cs="Times New Roman"/>
          <w:b/>
        </w:rPr>
      </w:pPr>
      <w:r>
        <w:rPr>
          <w:rFonts w:ascii="Times New Roman" w:hAnsi="Times New Roman" w:cs="Times New Roman"/>
          <w:b/>
        </w:rPr>
        <w:t>Appendix A: Reflection prompts</w:t>
      </w:r>
    </w:p>
    <w:p w14:paraId="38C59508">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1. Reflect on the roles of roots, stems, and affixes in shaping meaning. Describe how analyzing words into their morphemic parts has helped you guess or remember unfamiliar English words more effectively.</w:t>
      </w:r>
    </w:p>
    <w:p w14:paraId="0EF3249B">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2. After studying derivational and inflectional morphemes, discuss a time when you were unsure whether a form was grammatical or lexical. How has this distinction changed the way you view word families and grammatical patterns in English?</w:t>
      </w:r>
    </w:p>
    <w:p w14:paraId="20D019D7">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3. Compare your reactions to affixation and conversion as word-formation processes. Which one feels more natural or creative to you as a learner of English, and why?</w:t>
      </w:r>
    </w:p>
    <w:p w14:paraId="6A7C042D">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4. Reflect on how compounding differs between English and Vietnamese. How does understanding compound structure help you interpret long or unfamiliar English words?</w:t>
      </w:r>
    </w:p>
    <w:p w14:paraId="32B91F98">
      <w:pPr>
        <w:tabs>
          <w:tab w:val="left" w:pos="567"/>
        </w:tabs>
        <w:spacing w:before="120" w:after="120" w:line="240" w:lineRule="auto"/>
        <w:ind w:left="284" w:hanging="284"/>
        <w:jc w:val="both"/>
        <w:rPr>
          <w:rFonts w:ascii="Times New Roman" w:hAnsi="Times New Roman" w:cs="Times New Roman"/>
        </w:rPr>
      </w:pPr>
      <w:r>
        <w:rPr>
          <w:rFonts w:ascii="Times New Roman" w:hAnsi="Times New Roman" w:cs="Times New Roman"/>
        </w:rPr>
        <w:t>5. Write about how abbreviation processes (like clipping, blending, or acronymy) reflect modern communication styles. Have you noticed similar trends in Vietnamese? What does this reveal about language change and creativity?</w:t>
      </w:r>
    </w:p>
    <w:p w14:paraId="02FDDD9E">
      <w:pPr>
        <w:rPr>
          <w:rFonts w:ascii="Times New Roman" w:hAnsi="Times New Roman" w:cs="Times New Roman"/>
          <w:b/>
          <w:caps/>
          <w:lang w:val="vi-VN"/>
        </w:rPr>
      </w:pPr>
      <w:r>
        <w:rPr>
          <w:rFonts w:ascii="Times New Roman" w:hAnsi="Times New Roman" w:cs="Times New Roman"/>
          <w:b/>
        </w:rPr>
        <w:t xml:space="preserve">Appendix B: </w:t>
      </w:r>
      <w:r>
        <w:rPr>
          <w:rFonts w:ascii="Times New Roman" w:hAnsi="Times New Roman" w:cs="Times New Roman"/>
        </w:rPr>
        <w:t xml:space="preserve"> </w:t>
      </w:r>
      <w:r>
        <w:rPr>
          <w:rFonts w:ascii="Times New Roman" w:hAnsi="Times New Roman Bold" w:cs="Times New Roman Bold"/>
          <w:b/>
          <w:lang w:val="vi-VN"/>
        </w:rPr>
        <w:t>PHIẾU LẤY Ý KIẾN PHẢN HỒI</w:t>
      </w:r>
    </w:p>
    <w:p w14:paraId="602BB03E">
      <w:pPr>
        <w:spacing w:before="120" w:after="120" w:line="240" w:lineRule="auto"/>
        <w:rPr>
          <w:rFonts w:ascii="Times New Roman" w:hAnsi="Times New Roman" w:cs="Times New Roman"/>
          <w:lang w:val="vi-VN"/>
        </w:rPr>
      </w:pPr>
      <w:r>
        <w:rPr>
          <w:rFonts w:ascii="Times New Roman" w:hAnsi="Times New Roman" w:cs="Times New Roman"/>
          <w:lang w:val="vi-VN"/>
        </w:rPr>
        <w:t>https://docs.google.com/forms/d/1DE2fxuSgTCQeG86AgzHouuHDzcLn0yweu8FhdoSTLXc/edit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14:paraId="532B9D5F">
        <w:tc>
          <w:tcPr>
            <w:tcW w:w="9350" w:type="dxa"/>
            <w:tcBorders>
              <w:top w:val="nil"/>
              <w:left w:val="nil"/>
              <w:bottom w:val="nil"/>
              <w:right w:val="nil"/>
            </w:tcBorders>
            <w:shd w:val="clear" w:color="auto" w:fill="BEBEBE" w:themeFill="background1" w:themeFillShade="BF"/>
          </w:tcPr>
          <w:p w14:paraId="07151D0F">
            <w:pPr>
              <w:spacing w:before="120" w:after="120" w:line="240" w:lineRule="auto"/>
              <w:rPr>
                <w:rFonts w:ascii="Times New Roman" w:hAnsi="Times New Roman" w:cs="Times New Roman"/>
                <w:lang w:val="vi-VN"/>
              </w:rPr>
            </w:pPr>
            <w:r>
              <w:rPr>
                <w:rFonts w:ascii="Times New Roman" w:hAnsi="Times New Roman" w:cs="Times New Roman"/>
                <w:lang w:val="vi-VN"/>
              </w:rPr>
              <w:t>Bảng câu hỏi này nhằm lấy ý kiến phản hồi của các bạn về lớp Morphology, phục vụ mục đích thiết kế bài kiểm tra, thi và tổ chức các hoạt động dạy học, nâng cao hiệu quả, chất lượng dạy học bộ môn.</w:t>
            </w:r>
          </w:p>
          <w:p w14:paraId="50088D75">
            <w:pPr>
              <w:spacing w:before="120" w:after="120" w:line="240" w:lineRule="auto"/>
              <w:rPr>
                <w:rFonts w:ascii="Times New Roman" w:hAnsi="Times New Roman" w:cs="Times New Roman"/>
                <w:lang w:val="vi-VN"/>
              </w:rPr>
            </w:pPr>
            <w:r>
              <w:rPr>
                <w:rFonts w:ascii="Times New Roman" w:hAnsi="Times New Roman" w:cs="Times New Roman"/>
                <w:lang w:val="vi-VN"/>
              </w:rPr>
              <w:t>Mong các sinh viên đọc kỹ mỗi câu hỏi và trả lời.</w:t>
            </w:r>
          </w:p>
          <w:p w14:paraId="7327A681">
            <w:pPr>
              <w:spacing w:before="120" w:after="120" w:line="240" w:lineRule="auto"/>
              <w:rPr>
                <w:rFonts w:ascii="Times New Roman" w:hAnsi="Times New Roman" w:cs="Times New Roman"/>
                <w:lang w:val="vi-VN"/>
              </w:rPr>
            </w:pPr>
            <w:r>
              <w:rPr>
                <w:rFonts w:ascii="Times New Roman" w:hAnsi="Times New Roman" w:cs="Times New Roman"/>
                <w:lang w:val="vi-VN"/>
              </w:rPr>
              <w:t>Xin chân thành cám ơn thời gian và ý kiến của các em.</w:t>
            </w:r>
          </w:p>
        </w:tc>
      </w:tr>
    </w:tbl>
    <w:p w14:paraId="4B411EC0">
      <w:pPr>
        <w:spacing w:before="120" w:after="120" w:line="240" w:lineRule="auto"/>
        <w:rPr>
          <w:rFonts w:ascii="Times New Roman" w:hAnsi="Times New Roman" w:cs="Times New Roman"/>
          <w:lang w:val="vi-VN"/>
        </w:rPr>
      </w:pPr>
    </w:p>
    <w:p w14:paraId="1C459267">
      <w:pPr>
        <w:tabs>
          <w:tab w:val="left" w:pos="284"/>
          <w:tab w:val="left" w:pos="567"/>
        </w:tabs>
        <w:spacing w:before="120" w:after="120" w:line="240" w:lineRule="auto"/>
        <w:rPr>
          <w:rFonts w:ascii="Times New Roman" w:hAnsi="Times New Roman" w:cs="Times New Roman"/>
          <w:lang w:val="vi-VN"/>
        </w:rPr>
      </w:pPr>
      <w:r>
        <w:rPr>
          <w:rFonts w:ascii="Times New Roman" w:hAnsi="Times New Roman" w:cs="Times New Roman"/>
          <w:lang w:val="vi-VN"/>
        </w:rPr>
        <w:t xml:space="preserve">1. </w:t>
      </w:r>
      <w:r>
        <w:rPr>
          <w:rFonts w:ascii="Times New Roman" w:hAnsi="Times New Roman" w:cs="Times New Roman"/>
          <w:lang w:val="vi-VN"/>
        </w:rPr>
        <w:tab/>
      </w:r>
      <w:r>
        <w:rPr>
          <w:rFonts w:ascii="Times New Roman" w:hAnsi="Times New Roman" w:cs="Times New Roman"/>
          <w:lang w:val="vi-VN"/>
        </w:rPr>
        <w:t>Anh/Chị là sinh viên lớp:</w:t>
      </w:r>
    </w:p>
    <w:p w14:paraId="340E4D6A">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A</w:t>
      </w:r>
    </w:p>
    <w:p w14:paraId="23BCA6BD">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C</w:t>
      </w:r>
    </w:p>
    <w:p w14:paraId="1755623A">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 xml:space="preserve">K </w:t>
      </w:r>
    </w:p>
    <w:p w14:paraId="41A5FC13">
      <w:pPr>
        <w:tabs>
          <w:tab w:val="left" w:pos="284"/>
          <w:tab w:val="left" w:pos="567"/>
        </w:tabs>
        <w:spacing w:before="120" w:after="120" w:line="240" w:lineRule="auto"/>
        <w:ind w:left="284" w:firstLine="283"/>
        <w:rPr>
          <w:rFonts w:ascii="Times New Roman" w:hAnsi="Times New Roman" w:cs="Times New Roman"/>
          <w:lang w:val="vi-VN"/>
        </w:rPr>
      </w:pPr>
      <w:r>
        <w:rPr>
          <w:rFonts w:ascii="Times New Roman" w:hAnsi="Times New Roman" w:cs="Times New Roman"/>
          <w:lang w:val="vi-VN"/>
        </w:rPr>
        <w:t>M</w:t>
      </w:r>
    </w:p>
    <w:p w14:paraId="17C436CD">
      <w:pPr>
        <w:spacing w:before="120" w:after="120" w:line="240" w:lineRule="auto"/>
        <w:rPr>
          <w:rFonts w:ascii="Times New Roman" w:hAnsi="Times New Roman" w:cs="Times New Roman"/>
          <w:lang w:val="vi-VN"/>
        </w:rPr>
      </w:pPr>
      <w:r>
        <w:rPr>
          <w:rFonts w:ascii="Times New Roman" w:hAnsi="Times New Roman" w:cs="Times New Roman"/>
          <w:lang w:val="vi-VN"/>
        </w:rPr>
        <w:t xml:space="preserve">2. Anh/Chị có hứng thú với bài về nhà Tests &amp; Quizzes không? Thang 1- 4 </w:t>
      </w:r>
    </w:p>
    <w:p w14:paraId="5D771E67">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Hoàn toàn không hứng thú = 1; Không hứng thú = 2; Hứng thú = 3; Rất hứng thú = 4</w:t>
      </w:r>
    </w:p>
    <w:p w14:paraId="3DD63DA5">
      <w:pPr>
        <w:spacing w:before="120" w:after="120" w:line="240" w:lineRule="auto"/>
        <w:rPr>
          <w:rFonts w:ascii="Times New Roman" w:hAnsi="Times New Roman" w:cs="Times New Roman"/>
          <w:lang w:val="vi-VN"/>
        </w:rPr>
      </w:pPr>
      <w:r>
        <w:rPr>
          <w:rFonts w:ascii="Times New Roman" w:hAnsi="Times New Roman" w:cs="Times New Roman"/>
          <w:lang w:val="vi-VN"/>
        </w:rPr>
        <w:t xml:space="preserve">3. Anh/Chị có hứng thú với bài về nhà Assignment không? Thang 1- 4 </w:t>
      </w:r>
    </w:p>
    <w:p w14:paraId="5F07AFD1">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Hoàn toàn không hứng thú = 1; Không hứng thú = 2; Hứng thú = 3; Rất hứng thú = 4</w:t>
      </w:r>
    </w:p>
    <w:p w14:paraId="44F0CCB4">
      <w:pPr>
        <w:spacing w:before="120" w:after="120" w:line="240" w:lineRule="auto"/>
        <w:rPr>
          <w:rFonts w:ascii="Times New Roman" w:hAnsi="Times New Roman" w:cs="Times New Roman"/>
          <w:lang w:val="vi-VN"/>
        </w:rPr>
      </w:pPr>
      <w:r>
        <w:rPr>
          <w:rFonts w:ascii="Times New Roman" w:hAnsi="Times New Roman" w:cs="Times New Roman"/>
          <w:lang w:val="vi-VN"/>
        </w:rPr>
        <w:t xml:space="preserve">4. Anh/Chị đánh giá độ khó của các bài về nhà Tests &amp; Quizzes. Thang 1-5 </w:t>
      </w:r>
    </w:p>
    <w:p w14:paraId="64E9DED2">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Rất dễ = 1; Dễ = 2; Vừa sức = 3; Khó = 4; Rất khó =5</w:t>
      </w:r>
    </w:p>
    <w:p w14:paraId="7B15F86D">
      <w:pPr>
        <w:spacing w:before="120" w:after="120" w:line="240" w:lineRule="auto"/>
        <w:rPr>
          <w:rFonts w:ascii="Times New Roman" w:hAnsi="Times New Roman" w:cs="Times New Roman"/>
          <w:lang w:val="vi-VN"/>
        </w:rPr>
      </w:pPr>
      <w:r>
        <w:rPr>
          <w:rFonts w:ascii="Times New Roman" w:hAnsi="Times New Roman" w:cs="Times New Roman"/>
          <w:lang w:val="vi-VN"/>
        </w:rPr>
        <w:t xml:space="preserve">5. Anh/Chị đánh giá độ khó các bài về nhà Assignment. Thang 1-5 </w:t>
      </w:r>
    </w:p>
    <w:p w14:paraId="14E85B25">
      <w:pPr>
        <w:spacing w:before="120" w:after="120" w:line="240" w:lineRule="auto"/>
        <w:ind w:firstLine="720"/>
        <w:rPr>
          <w:rFonts w:ascii="Times New Roman" w:hAnsi="Times New Roman" w:cs="Times New Roman"/>
          <w:lang w:val="vi-VN"/>
        </w:rPr>
      </w:pPr>
      <w:r>
        <w:rPr>
          <w:rFonts w:ascii="Times New Roman" w:hAnsi="Times New Roman" w:cs="Times New Roman"/>
          <w:lang w:val="vi-VN"/>
        </w:rPr>
        <w:t>Rất dễ = 1; Dễ = 2; Vừa sức = 3; Khó = 4; Rất khó =5</w:t>
      </w:r>
    </w:p>
    <w:p w14:paraId="30FD637F">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6. Theo Anh/ Chị, hoàn thành các bài về nhà Tests&amp;Quizzes có (những) tác dụng gì?</w:t>
      </w:r>
    </w:p>
    <w:p w14:paraId="03DEDCCD">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nhớ thuộc lòng các khái niệm, thuật ngữ</w:t>
      </w:r>
    </w:p>
    <w:p w14:paraId="17C959E6">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hiểu các khái niệm, thuật ngữ</w:t>
      </w:r>
    </w:p>
    <w:p w14:paraId="228A9397">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áp dụng kiến thức bộ môn vào các vấn đề thực tiễn liên quan đến từ vựng</w:t>
      </w:r>
    </w:p>
    <w:p w14:paraId="394CC2D3">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phân tích các vấn đề thực tiễn liên quan đến từ vựng</w:t>
      </w:r>
    </w:p>
    <w:p w14:paraId="50DAF09E">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đánh giá các vấn đề thực tiễn liên quan đến từ vựng</w:t>
      </w:r>
    </w:p>
    <w:p w14:paraId="7A4DC0AD">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thực hiện các dự án liên quan đến từ vựng</w:t>
      </w:r>
    </w:p>
    <w:p w14:paraId="13E5A08A">
      <w:pPr>
        <w:tabs>
          <w:tab w:val="left" w:pos="284"/>
        </w:tabs>
        <w:spacing w:before="120" w:after="120" w:line="240" w:lineRule="auto"/>
        <w:ind w:firstLine="567"/>
        <w:rPr>
          <w:rFonts w:ascii="Times New Roman" w:hAnsi="Times New Roman" w:cs="Times New Roman"/>
          <w:lang w:val="vi-VN"/>
        </w:rPr>
      </w:pPr>
      <w:r>
        <w:rPr>
          <w:rFonts w:ascii="Times New Roman" w:hAnsi="Times New Roman" w:cs="Times New Roman"/>
          <w:lang w:val="vi-VN"/>
        </w:rPr>
        <w:t>Khác</w:t>
      </w:r>
    </w:p>
    <w:p w14:paraId="6B4C92FD">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7.</w:t>
      </w:r>
      <w:r>
        <w:rPr>
          <w:rFonts w:ascii="Times New Roman" w:hAnsi="Times New Roman" w:cs="Times New Roman"/>
          <w:lang w:val="vi-VN"/>
        </w:rPr>
        <w:tab/>
      </w:r>
      <w:r>
        <w:rPr>
          <w:rFonts w:ascii="Times New Roman" w:hAnsi="Times New Roman" w:cs="Times New Roman"/>
          <w:lang w:val="vi-VN"/>
        </w:rPr>
        <w:t>Theo Anh/ Chị, hoàn thành các bài về nhà Assignment có (những) tác dụng gì?</w:t>
      </w:r>
    </w:p>
    <w:p w14:paraId="73AFF156">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nhớ thuộc lòng các khái niệm, thuật ngữ</w:t>
      </w:r>
    </w:p>
    <w:p w14:paraId="3FCA7324">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hiểu các khái niệm, thuật ngữ</w:t>
      </w:r>
    </w:p>
    <w:p w14:paraId="54B01281">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áp dụng kiến thức bộ môn vào các vấn đề thực tiễn liên quan đến từ vựng</w:t>
      </w:r>
    </w:p>
    <w:p w14:paraId="01C2C452">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phân tích các vấn đề thực tiễn liên quan đến từ vựng</w:t>
      </w:r>
    </w:p>
    <w:p w14:paraId="27F22F05">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đánh giá các vấn đề thực tiễn liên quan đến từ vựng</w:t>
      </w:r>
    </w:p>
    <w:p w14:paraId="11029343">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thực hiện các dự án liên quan đến từ vựng</w:t>
      </w:r>
    </w:p>
    <w:p w14:paraId="2AD81D8D">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Khác</w:t>
      </w:r>
    </w:p>
    <w:p w14:paraId="3FF26424">
      <w:pPr>
        <w:tabs>
          <w:tab w:val="left" w:pos="284"/>
        </w:tabs>
        <w:spacing w:before="120" w:after="120" w:line="240" w:lineRule="auto"/>
        <w:rPr>
          <w:rFonts w:ascii="Times New Roman" w:hAnsi="Times New Roman" w:cs="Times New Roman"/>
          <w:lang w:val="vi-VN"/>
        </w:rPr>
      </w:pPr>
      <w:r>
        <w:rPr>
          <w:rFonts w:ascii="Times New Roman" w:hAnsi="Times New Roman" w:cs="Times New Roman"/>
          <w:lang w:val="vi-VN"/>
        </w:rPr>
        <w:t>8. Anh/Chị thích gì ở bài Tests &amp; Quizzes?</w:t>
      </w:r>
    </w:p>
    <w:p w14:paraId="50F8A294">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nắm, phát triển kiến thức bộ môn</w:t>
      </w:r>
    </w:p>
    <w:p w14:paraId="6D81D803">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rèn luyện, phát triển kỹ năng học chuyên ngành</w:t>
      </w:r>
    </w:p>
    <w:p w14:paraId="2948D989">
      <w:pPr>
        <w:spacing w:before="120" w:after="120" w:line="240" w:lineRule="auto"/>
        <w:ind w:firstLine="567"/>
        <w:rPr>
          <w:rFonts w:ascii="Times New Roman" w:hAnsi="Times New Roman" w:cs="Times New Roman"/>
          <w:lang w:val="vi-VN"/>
        </w:rPr>
      </w:pPr>
      <w:r>
        <w:rPr>
          <w:rFonts w:ascii="Times New Roman" w:hAnsi="Times New Roman" w:cs="Times New Roman"/>
          <w:lang w:val="vi-VN"/>
        </w:rPr>
        <w:t>Giúp bản thân rèn luyện, phát triển ý thức học chuyên ngành</w:t>
      </w:r>
    </w:p>
    <w:p w14:paraId="6ACE2CB7">
      <w:pPr>
        <w:tabs>
          <w:tab w:val="left" w:pos="284"/>
        </w:tabs>
        <w:spacing w:before="120" w:after="120" w:line="240" w:lineRule="auto"/>
        <w:rPr>
          <w:rFonts w:ascii="Times New Roman" w:hAnsi="Times New Roman" w:cs="Times New Roman"/>
        </w:rPr>
      </w:pPr>
      <w:r>
        <w:rPr>
          <w:rFonts w:ascii="Times New Roman" w:hAnsi="Times New Roman" w:cs="Times New Roman"/>
        </w:rPr>
        <w:t>9. Anh/Chị thích gì ở bài Assignment?</w:t>
      </w:r>
    </w:p>
    <w:p w14:paraId="0296616B">
      <w:pPr>
        <w:spacing w:before="120" w:after="120" w:line="240" w:lineRule="auto"/>
        <w:ind w:firstLine="567"/>
        <w:rPr>
          <w:rFonts w:ascii="Times New Roman" w:hAnsi="Times New Roman" w:cs="Times New Roman"/>
        </w:rPr>
      </w:pPr>
      <w:r>
        <w:rPr>
          <w:rFonts w:ascii="Times New Roman" w:hAnsi="Times New Roman" w:cs="Times New Roman"/>
        </w:rPr>
        <w:t>Giúp bản thân nắm, phát triển kiến thức bộ môn</w:t>
      </w:r>
    </w:p>
    <w:p w14:paraId="5E23FFF0">
      <w:pPr>
        <w:spacing w:before="120" w:after="120" w:line="240" w:lineRule="auto"/>
        <w:ind w:firstLine="567"/>
        <w:rPr>
          <w:rFonts w:ascii="Times New Roman" w:hAnsi="Times New Roman" w:cs="Times New Roman"/>
        </w:rPr>
      </w:pPr>
      <w:r>
        <w:rPr>
          <w:rFonts w:ascii="Times New Roman" w:hAnsi="Times New Roman" w:cs="Times New Roman"/>
        </w:rPr>
        <w:t>Giúp bản thân rèn luyện, phát triển kỹ năng học chuyên ngành</w:t>
      </w:r>
    </w:p>
    <w:p w14:paraId="261E91A1">
      <w:pPr>
        <w:spacing w:before="120" w:after="120" w:line="240" w:lineRule="auto"/>
        <w:ind w:firstLine="567"/>
        <w:rPr>
          <w:rFonts w:ascii="Times New Roman" w:hAnsi="Times New Roman" w:cs="Times New Roman"/>
        </w:rPr>
      </w:pPr>
      <w:r>
        <w:rPr>
          <w:rFonts w:ascii="Times New Roman" w:hAnsi="Times New Roman" w:cs="Times New Roman"/>
        </w:rPr>
        <w:t>Giúp bản thân rèn luyện, phát triển ý thức học chuyên ngành</w:t>
      </w:r>
    </w:p>
    <w:p w14:paraId="7DC58621">
      <w:pPr>
        <w:spacing w:before="120" w:after="120" w:line="240" w:lineRule="auto"/>
        <w:ind w:firstLine="567"/>
        <w:rPr>
          <w:rFonts w:ascii="Times New Roman" w:hAnsi="Times New Roman" w:cs="Times New Roman"/>
        </w:rPr>
      </w:pPr>
      <w:r>
        <w:rPr>
          <w:rFonts w:ascii="Times New Roman" w:hAnsi="Times New Roman" w:cs="Times New Roman"/>
        </w:rPr>
        <w:t>Khác</w:t>
      </w:r>
    </w:p>
    <w:p w14:paraId="1DB7AC7B">
      <w:pPr>
        <w:spacing w:before="120" w:after="120" w:line="240" w:lineRule="auto"/>
        <w:rPr>
          <w:rFonts w:ascii="Times New Roman" w:hAnsi="Times New Roman" w:cs="Times New Roman"/>
        </w:rPr>
      </w:pPr>
      <w:r>
        <w:rPr>
          <w:rFonts w:ascii="Times New Roman" w:hAnsi="Times New Roman" w:cs="Times New Roman"/>
        </w:rPr>
        <w:t>10. Anh/chị có thảo luận với bạn bè để hoàn thành bài assignment không?</w:t>
      </w:r>
    </w:p>
    <w:p w14:paraId="2A60B457">
      <w:pPr>
        <w:spacing w:before="120" w:after="120" w:line="240" w:lineRule="auto"/>
        <w:ind w:firstLine="567"/>
        <w:rPr>
          <w:rFonts w:ascii="Times New Roman" w:hAnsi="Times New Roman" w:cs="Times New Roman"/>
        </w:rPr>
      </w:pPr>
      <w:r>
        <w:rPr>
          <w:rFonts w:ascii="Times New Roman" w:hAnsi="Times New Roman" w:cs="Times New Roman"/>
        </w:rPr>
        <w:t>Có</w:t>
      </w:r>
    </w:p>
    <w:p w14:paraId="5AF33649">
      <w:pPr>
        <w:spacing w:before="120" w:after="120" w:line="240" w:lineRule="auto"/>
        <w:ind w:firstLine="567"/>
        <w:rPr>
          <w:rFonts w:ascii="Times New Roman" w:hAnsi="Times New Roman" w:cs="Times New Roman"/>
        </w:rPr>
      </w:pPr>
      <w:r>
        <w:rPr>
          <w:rFonts w:ascii="Times New Roman" w:hAnsi="Times New Roman" w:cs="Times New Roman"/>
        </w:rPr>
        <w:t>Không</w:t>
      </w:r>
    </w:p>
    <w:p w14:paraId="3F766FB4">
      <w:pPr>
        <w:spacing w:before="120" w:after="120" w:line="240" w:lineRule="auto"/>
        <w:rPr>
          <w:rFonts w:ascii="Times New Roman" w:hAnsi="Times New Roman" w:cs="Times New Roman"/>
        </w:rPr>
      </w:pPr>
      <w:r>
        <w:rPr>
          <w:rFonts w:ascii="Times New Roman" w:hAnsi="Times New Roman" w:cs="Times New Roman"/>
        </w:rPr>
        <w:t>11. Để hoàn thành bài assignment, anh/chị thường có các bước thế nào?</w:t>
      </w:r>
    </w:p>
    <w:p w14:paraId="3DA8166C">
      <w:pPr>
        <w:spacing w:before="120" w:after="120" w:line="240" w:lineRule="auto"/>
        <w:rPr>
          <w:rFonts w:ascii="Times New Roman" w:hAnsi="Times New Roman" w:cs="Times New Roman"/>
        </w:rPr>
      </w:pPr>
      <w:r>
        <w:rPr>
          <w:rFonts w:ascii="Times New Roman" w:hAnsi="Times New Roman" w:cs="Times New Roman"/>
        </w:rPr>
        <w:t>12. Anh/Chị có tham khảo tài liệu, ôn bài trước khi làm Assignment hay không?</w:t>
      </w:r>
    </w:p>
    <w:p w14:paraId="7470F264">
      <w:pPr>
        <w:spacing w:before="120" w:after="120" w:line="240" w:lineRule="auto"/>
        <w:ind w:firstLine="567"/>
        <w:rPr>
          <w:rFonts w:ascii="Times New Roman" w:hAnsi="Times New Roman" w:cs="Times New Roman"/>
        </w:rPr>
      </w:pPr>
      <w:r>
        <w:rPr>
          <w:rFonts w:ascii="Times New Roman" w:hAnsi="Times New Roman" w:cs="Times New Roman"/>
        </w:rPr>
        <w:t>Có</w:t>
      </w:r>
    </w:p>
    <w:p w14:paraId="2C0FD945">
      <w:pPr>
        <w:spacing w:before="120" w:after="120" w:line="240" w:lineRule="auto"/>
        <w:ind w:firstLine="567"/>
        <w:rPr>
          <w:rFonts w:ascii="Times New Roman" w:hAnsi="Times New Roman" w:cs="Times New Roman"/>
        </w:rPr>
      </w:pPr>
      <w:r>
        <w:rPr>
          <w:rFonts w:ascii="Times New Roman" w:hAnsi="Times New Roman" w:cs="Times New Roman"/>
        </w:rPr>
        <w:t>Không</w:t>
      </w:r>
    </w:p>
    <w:p w14:paraId="770EF81E">
      <w:pPr>
        <w:tabs>
          <w:tab w:val="left" w:pos="284"/>
        </w:tabs>
        <w:spacing w:before="120" w:after="120" w:line="240" w:lineRule="auto"/>
        <w:rPr>
          <w:rFonts w:ascii="Times New Roman" w:hAnsi="Times New Roman" w:cs="Times New Roman"/>
        </w:rPr>
      </w:pPr>
      <w:r>
        <w:rPr>
          <w:rFonts w:ascii="Times New Roman" w:hAnsi="Times New Roman" w:cs="Times New Roman"/>
        </w:rPr>
        <w:t>13.Loại tài liệu anh/chị tham khảo khi hoàn thành bài tập về nhà là:</w:t>
      </w:r>
    </w:p>
    <w:p w14:paraId="14517EC1">
      <w:pPr>
        <w:spacing w:before="120" w:after="120" w:line="240" w:lineRule="auto"/>
        <w:ind w:firstLine="567"/>
        <w:rPr>
          <w:rFonts w:ascii="Times New Roman" w:hAnsi="Times New Roman" w:cs="Times New Roman"/>
        </w:rPr>
      </w:pPr>
      <w:r>
        <w:rPr>
          <w:rFonts w:ascii="Times New Roman" w:hAnsi="Times New Roman" w:cs="Times New Roman"/>
        </w:rPr>
        <w:t xml:space="preserve">Tài liệu chính </w:t>
      </w:r>
    </w:p>
    <w:p w14:paraId="15785C4D">
      <w:pPr>
        <w:spacing w:before="120" w:after="120" w:line="240" w:lineRule="auto"/>
        <w:ind w:firstLine="567"/>
        <w:rPr>
          <w:rFonts w:ascii="Times New Roman" w:hAnsi="Times New Roman" w:cs="Times New Roman"/>
        </w:rPr>
      </w:pPr>
      <w:r>
        <w:rPr>
          <w:rFonts w:ascii="Times New Roman" w:hAnsi="Times New Roman" w:cs="Times New Roman"/>
        </w:rPr>
        <w:t>Tập bài giảng lưu hành nội bộ</w:t>
      </w:r>
    </w:p>
    <w:p w14:paraId="4579B390">
      <w:pPr>
        <w:spacing w:before="120" w:after="120" w:line="240" w:lineRule="auto"/>
        <w:ind w:firstLine="567"/>
        <w:rPr>
          <w:rFonts w:ascii="Times New Roman" w:hAnsi="Times New Roman" w:cs="Times New Roman"/>
        </w:rPr>
      </w:pPr>
      <w:r>
        <w:rPr>
          <w:rFonts w:ascii="Times New Roman" w:hAnsi="Times New Roman" w:cs="Times New Roman"/>
        </w:rPr>
        <w:t xml:space="preserve">Các tài liệu tham khảo khác được giảng viên giới thiệu </w:t>
      </w:r>
    </w:p>
    <w:p w14:paraId="68EA80FD">
      <w:pPr>
        <w:spacing w:before="120" w:after="120" w:line="240" w:lineRule="auto"/>
        <w:ind w:firstLine="567"/>
        <w:rPr>
          <w:rFonts w:ascii="Times New Roman" w:hAnsi="Times New Roman" w:cs="Times New Roman"/>
        </w:rPr>
      </w:pPr>
      <w:r>
        <w:rPr>
          <w:rFonts w:ascii="Times New Roman" w:hAnsi="Times New Roman" w:cs="Times New Roman"/>
        </w:rPr>
        <w:t>Các tài liệu, video trên Internet</w:t>
      </w:r>
    </w:p>
    <w:p w14:paraId="07635669">
      <w:pPr>
        <w:spacing w:before="120" w:after="120" w:line="240" w:lineRule="auto"/>
        <w:ind w:left="284" w:hanging="284"/>
        <w:rPr>
          <w:rFonts w:ascii="Times New Roman" w:hAnsi="Times New Roman" w:cs="Times New Roman"/>
        </w:rPr>
      </w:pPr>
      <w:r>
        <w:rPr>
          <w:rFonts w:ascii="Times New Roman" w:hAnsi="Times New Roman" w:cs="Times New Roman"/>
        </w:rPr>
        <w:t>14. Anh/chị muốn đề kiểm tra chính thức có tỷ lệ điểm giữa 2 phần trắc nghiệm khách quan (tương đương Tests &amp; Quizzes) và tự luận (tương đương reflective essay) là:</w:t>
      </w:r>
    </w:p>
    <w:p w14:paraId="08F6AE39">
      <w:pPr>
        <w:spacing w:before="120" w:after="120" w:line="240" w:lineRule="auto"/>
        <w:ind w:firstLine="567"/>
        <w:rPr>
          <w:rFonts w:ascii="Times New Roman" w:hAnsi="Times New Roman" w:cs="Times New Roman"/>
        </w:rPr>
      </w:pPr>
      <w:r>
        <w:rPr>
          <w:rFonts w:ascii="Times New Roman" w:hAnsi="Times New Roman" w:cs="Times New Roman"/>
        </w:rPr>
        <w:t>Trắc nghiệm 80%; Tự luận 20%</w:t>
      </w:r>
    </w:p>
    <w:p w14:paraId="7A867D65">
      <w:pPr>
        <w:spacing w:before="120" w:after="120" w:line="240" w:lineRule="auto"/>
        <w:ind w:firstLine="567"/>
        <w:rPr>
          <w:rFonts w:ascii="Times New Roman" w:hAnsi="Times New Roman" w:cs="Times New Roman"/>
        </w:rPr>
      </w:pPr>
      <w:r>
        <w:rPr>
          <w:rFonts w:ascii="Times New Roman" w:hAnsi="Times New Roman" w:cs="Times New Roman"/>
        </w:rPr>
        <w:t>Trắc nghiệm 60%; Tự luận 40%</w:t>
      </w:r>
    </w:p>
    <w:p w14:paraId="148590D8">
      <w:pPr>
        <w:spacing w:before="120" w:after="120" w:line="240" w:lineRule="auto"/>
        <w:ind w:firstLine="567"/>
        <w:rPr>
          <w:rFonts w:ascii="Times New Roman" w:hAnsi="Times New Roman" w:cs="Times New Roman"/>
        </w:rPr>
      </w:pPr>
      <w:r>
        <w:rPr>
          <w:rFonts w:ascii="Times New Roman" w:hAnsi="Times New Roman" w:cs="Times New Roman"/>
        </w:rPr>
        <w:t>Trắc nghiệm 50%; Tự luận 50%</w:t>
      </w:r>
    </w:p>
    <w:p w14:paraId="63125967">
      <w:pPr>
        <w:spacing w:before="120" w:after="120" w:line="240" w:lineRule="auto"/>
        <w:ind w:firstLine="567"/>
        <w:rPr>
          <w:rFonts w:ascii="Times New Roman" w:hAnsi="Times New Roman" w:cs="Times New Roman"/>
        </w:rPr>
      </w:pPr>
      <w:r>
        <w:rPr>
          <w:rFonts w:ascii="Times New Roman" w:hAnsi="Times New Roman" w:cs="Times New Roman"/>
        </w:rPr>
        <w:t>Khác</w:t>
      </w:r>
    </w:p>
    <w:p w14:paraId="51FCA154">
      <w:pPr>
        <w:tabs>
          <w:tab w:val="left" w:pos="284"/>
        </w:tabs>
        <w:spacing w:before="120" w:after="120" w:line="240" w:lineRule="auto"/>
        <w:ind w:left="284" w:hanging="284"/>
        <w:rPr>
          <w:rFonts w:ascii="Times New Roman" w:hAnsi="Times New Roman" w:cs="Times New Roman"/>
        </w:rPr>
      </w:pPr>
      <w:r>
        <w:rPr>
          <w:rFonts w:ascii="Times New Roman" w:hAnsi="Times New Roman" w:cs="Times New Roman"/>
        </w:rPr>
        <w:t xml:space="preserve">15. Anh/Chị có ý kiến gì khác liên quan đến hình thức làm bài Assignment không? </w:t>
      </w:r>
    </w:p>
    <w:p w14:paraId="63C5F658">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 </w:t>
      </w:r>
    </w:p>
    <w:p w14:paraId="3C887E36">
      <w:pPr>
        <w:spacing w:before="120" w:after="120" w:line="240" w:lineRule="auto"/>
        <w:ind w:firstLine="567"/>
        <w:jc w:val="both"/>
        <w:rPr>
          <w:rFonts w:ascii="Times New Roman" w:hAnsi="Times New Roman" w:cs="Times New Roman"/>
        </w:rPr>
      </w:pPr>
    </w:p>
    <w:p w14:paraId="5B5EBB34">
      <w:pPr>
        <w:spacing w:before="120" w:after="120" w:line="240" w:lineRule="auto"/>
        <w:ind w:firstLine="567"/>
        <w:jc w:val="both"/>
        <w:rPr>
          <w:rFonts w:ascii="Times New Roman" w:hAnsi="Times New Roman" w:cs="Times New Roman"/>
        </w:rPr>
      </w:pPr>
    </w:p>
    <w:sectPr>
      <w:type w:val="continuous"/>
      <w:pgSz w:w="12240" w:h="15840"/>
      <w:pgMar w:top="1138" w:right="1138" w:bottom="1138" w:left="1411" w:header="720" w:footer="720"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Arial Bold">
    <w:panose1 w:val="020B0704020202020204"/>
    <w:charset w:val="00"/>
    <w:family w:val="auto"/>
    <w:pitch w:val="default"/>
    <w:sig w:usb0="E0002AFF" w:usb1="C0007843"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AppleSystemUIFont Bold">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Time">
    <w:altName w:val="苹方-简"/>
    <w:panose1 w:val="00000000000000000000"/>
    <w:charset w:val="00"/>
    <w:family w:val="auto"/>
    <w:pitch w:val="default"/>
    <w:sig w:usb0="00000000" w:usb1="00000000" w:usb2="00000000" w:usb3="00000000" w:csb0="00000000" w:csb1="00000000"/>
  </w:font>
  <w:font w:name="Times New Roman Italic">
    <w:panose1 w:val="02020603050405020304"/>
    <w:charset w:val="00"/>
    <w:family w:val="auto"/>
    <w:pitch w:val="default"/>
    <w:sig w:usb0="E0002AEF" w:usb1="C0007841" w:usb2="00000009" w:usb3="00000000" w:csb0="400001FF" w:csb1="FFFF0000"/>
  </w:font>
  <w:font w:name="Tim">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Times Regular">
    <w:altName w:val="Times New Roman"/>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0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8D25">
    <w:pPr>
      <w:pStyle w:val="9"/>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Regular" w:hAnsi="Times New Roman Regular" w:cs="Times New Roman Regular"/>
                            </w:rPr>
                            <w:id w:val="224810821"/>
                          </w:sdtPr>
                          <w:sdtEndPr>
                            <w:rPr>
                              <w:rFonts w:ascii="Times New Roman Regular" w:hAnsi="Times New Roman Regular" w:cs="Times New Roman Regular"/>
                            </w:rPr>
                          </w:sdtEndPr>
                          <w:sdtContent>
                            <w:p w14:paraId="354BAAFA">
                              <w:pPr>
                                <w:pStyle w:val="9"/>
                                <w:jc w:val="cente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14</w:t>
                              </w:r>
                              <w:r>
                                <w:rPr>
                                  <w:rFonts w:ascii="Times New Roman Regular" w:hAnsi="Times New Roman Regular" w:cs="Times New Roman Regular"/>
                                </w:rPr>
                                <w:fldChar w:fldCharType="end"/>
                              </w:r>
                            </w:p>
                          </w:sdtContent>
                        </w:sdt>
                        <w:p w14:paraId="32EB1B5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PWp7QcbAgAAVAQAAA4A&#10;AAAAAAAAAQAgAAAAHwEAAGRycy9lMm9Eb2MueG1sUEsFBgAAAAAGAAYAWQEAAKwFAAAAAA==&#10;">
              <v:fill on="f" focussize="0,0"/>
              <v:stroke on="f" weight="0.5pt"/>
              <v:imagedata o:title=""/>
              <o:lock v:ext="edit" aspectratio="f"/>
              <v:textbox inset="0mm,0mm,0mm,0mm" style="mso-fit-shape-to-text:t;">
                <w:txbxContent>
                  <w:sdt>
                    <w:sdtPr>
                      <w:rPr>
                        <w:rFonts w:ascii="Times New Roman Regular" w:hAnsi="Times New Roman Regular" w:cs="Times New Roman Regular"/>
                      </w:rPr>
                      <w:id w:val="224810821"/>
                    </w:sdtPr>
                    <w:sdtEndPr>
                      <w:rPr>
                        <w:rFonts w:ascii="Times New Roman Regular" w:hAnsi="Times New Roman Regular" w:cs="Times New Roman Regular"/>
                      </w:rPr>
                    </w:sdtEndPr>
                    <w:sdtContent>
                      <w:p w14:paraId="354BAAFA">
                        <w:pPr>
                          <w:pStyle w:val="9"/>
                          <w:jc w:val="center"/>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14</w:t>
                        </w:r>
                        <w:r>
                          <w:rPr>
                            <w:rFonts w:ascii="Times New Roman Regular" w:hAnsi="Times New Roman Regular" w:cs="Times New Roman Regular"/>
                          </w:rPr>
                          <w:fldChar w:fldCharType="end"/>
                        </w:r>
                      </w:p>
                    </w:sdtContent>
                  </w:sdt>
                  <w:p w14:paraId="32EB1B5A"/>
                </w:txbxContent>
              </v:textbox>
            </v:shape>
          </w:pict>
        </mc:Fallback>
      </mc:AlternateContent>
    </w:r>
  </w:p>
  <w:p w14:paraId="24FA6EC7">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1FF2"/>
    <w:multiLevelType w:val="singleLevel"/>
    <w:tmpl w:val="FFFE1FF2"/>
    <w:lvl w:ilvl="0" w:tentative="0">
      <w:start w:val="1"/>
      <w:numFmt w:val="decimal"/>
      <w:suff w:val="space"/>
      <w:lvlText w:val="%1."/>
      <w:lvlJc w:val="left"/>
    </w:lvl>
  </w:abstractNum>
  <w:abstractNum w:abstractNumId="1">
    <w:nsid w:val="1DA2090E"/>
    <w:multiLevelType w:val="multilevel"/>
    <w:tmpl w:val="1DA2090E"/>
    <w:lvl w:ilvl="0" w:tentative="0">
      <w:start w:val="1"/>
      <w:numFmt w:val="decimal"/>
      <w:lvlText w:val="%1."/>
      <w:lvlJc w:val="left"/>
      <w:pPr>
        <w:ind w:left="720" w:hanging="360"/>
      </w:pPr>
      <w:rPr>
        <w:rFonts w:ascii="Times Regular" w:hAnsi="Times Regular" w:eastAsia="SimSun" w:cs="Times Regular"/>
        <w:sz w:val="20"/>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7FEA015"/>
    <w:multiLevelType w:val="singleLevel"/>
    <w:tmpl w:val="57FEA015"/>
    <w:lvl w:ilvl="0" w:tentative="0">
      <w:start w:val="1"/>
      <w:numFmt w:val="decimal"/>
      <w:lvlText w:val="%1."/>
      <w:lvlJc w:val="left"/>
      <w:pPr>
        <w:tabs>
          <w:tab w:val="left" w:pos="425"/>
        </w:tabs>
        <w:ind w:left="425" w:hanging="425"/>
      </w:pPr>
      <w:rPr>
        <w:rFonts w:hint="default" w:ascii="Times New Roman" w:hAnsi="Times New Roman" w:cs="Times New Roman"/>
        <w:b w:val="0"/>
        <w:bCs w:val="0"/>
        <w:caps w:val="0"/>
        <w:smallCaps/>
      </w:rPr>
    </w:lvl>
  </w:abstractNum>
  <w:abstractNum w:abstractNumId="3">
    <w:nsid w:val="63C12AE1"/>
    <w:multiLevelType w:val="multilevel"/>
    <w:tmpl w:val="63C12AE1"/>
    <w:lvl w:ilvl="0" w:tentative="0">
      <w:start w:val="2"/>
      <w:numFmt w:val="bullet"/>
      <w:lvlText w:val="-"/>
      <w:lvlJc w:val="left"/>
      <w:pPr>
        <w:ind w:left="720" w:hanging="360"/>
      </w:pPr>
      <w:rPr>
        <w:rFonts w:hint="default" w:ascii="Times New Roman" w:hAnsi="Times New Roman" w:cs="Times New Roman" w:eastAsiaTheme="minorHAnsi"/>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FEA28B6"/>
    <w:multiLevelType w:val="singleLevel"/>
    <w:tmpl w:val="6FEA28B6"/>
    <w:lvl w:ilvl="0" w:tentative="0">
      <w:start w:val="4"/>
      <w:numFmt w:val="decimal"/>
      <w:suff w:val="space"/>
      <w:lvlText w:val="%1."/>
      <w:lvlJc w:val="left"/>
      <w:rPr>
        <w:rFonts w:hint="default" w:ascii="Times New Roman Bold" w:hAnsi="Times New Roman Bold" w:cs="Times New Roman Bold"/>
        <w:b/>
        <w:bCs/>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DD"/>
    <w:rsid w:val="00001AC8"/>
    <w:rsid w:val="00005363"/>
    <w:rsid w:val="00007B0A"/>
    <w:rsid w:val="000109F0"/>
    <w:rsid w:val="00016978"/>
    <w:rsid w:val="0002509C"/>
    <w:rsid w:val="00025FA7"/>
    <w:rsid w:val="00026FB2"/>
    <w:rsid w:val="00052A31"/>
    <w:rsid w:val="0005361B"/>
    <w:rsid w:val="00053783"/>
    <w:rsid w:val="000633D1"/>
    <w:rsid w:val="00066A02"/>
    <w:rsid w:val="00066C8F"/>
    <w:rsid w:val="00072785"/>
    <w:rsid w:val="00077B43"/>
    <w:rsid w:val="00081967"/>
    <w:rsid w:val="000830D1"/>
    <w:rsid w:val="00090A0E"/>
    <w:rsid w:val="00094DE7"/>
    <w:rsid w:val="00095732"/>
    <w:rsid w:val="000A1566"/>
    <w:rsid w:val="000B09B1"/>
    <w:rsid w:val="000C403F"/>
    <w:rsid w:val="000C7670"/>
    <w:rsid w:val="000D0880"/>
    <w:rsid w:val="000D0A61"/>
    <w:rsid w:val="000D302D"/>
    <w:rsid w:val="000D5C63"/>
    <w:rsid w:val="000F0A9F"/>
    <w:rsid w:val="000F6D8B"/>
    <w:rsid w:val="001060E3"/>
    <w:rsid w:val="0011307E"/>
    <w:rsid w:val="00113547"/>
    <w:rsid w:val="001142DE"/>
    <w:rsid w:val="00127DD3"/>
    <w:rsid w:val="00135AFE"/>
    <w:rsid w:val="00136474"/>
    <w:rsid w:val="00137F12"/>
    <w:rsid w:val="00142D61"/>
    <w:rsid w:val="00145743"/>
    <w:rsid w:val="001571E2"/>
    <w:rsid w:val="001649CE"/>
    <w:rsid w:val="00171798"/>
    <w:rsid w:val="001724D7"/>
    <w:rsid w:val="0018523B"/>
    <w:rsid w:val="001A504E"/>
    <w:rsid w:val="001B1266"/>
    <w:rsid w:val="001B36F4"/>
    <w:rsid w:val="001B4BF1"/>
    <w:rsid w:val="001B50C3"/>
    <w:rsid w:val="001C0DE3"/>
    <w:rsid w:val="001C6224"/>
    <w:rsid w:val="001D156B"/>
    <w:rsid w:val="001D1D7C"/>
    <w:rsid w:val="001D2656"/>
    <w:rsid w:val="001D698A"/>
    <w:rsid w:val="001F20E0"/>
    <w:rsid w:val="001F412B"/>
    <w:rsid w:val="001F47CE"/>
    <w:rsid w:val="0022323B"/>
    <w:rsid w:val="00224560"/>
    <w:rsid w:val="002260D5"/>
    <w:rsid w:val="002476DC"/>
    <w:rsid w:val="00254EF9"/>
    <w:rsid w:val="00255483"/>
    <w:rsid w:val="002643F8"/>
    <w:rsid w:val="00281815"/>
    <w:rsid w:val="00295135"/>
    <w:rsid w:val="002A2904"/>
    <w:rsid w:val="002A3FD7"/>
    <w:rsid w:val="002A45FB"/>
    <w:rsid w:val="002A4D0C"/>
    <w:rsid w:val="002B3382"/>
    <w:rsid w:val="002B45E7"/>
    <w:rsid w:val="002D7E49"/>
    <w:rsid w:val="002E3F2D"/>
    <w:rsid w:val="002E55D9"/>
    <w:rsid w:val="002E6490"/>
    <w:rsid w:val="002E7EBD"/>
    <w:rsid w:val="002F02BC"/>
    <w:rsid w:val="002F26F9"/>
    <w:rsid w:val="00305C61"/>
    <w:rsid w:val="00312F4D"/>
    <w:rsid w:val="00313A3C"/>
    <w:rsid w:val="00314DB4"/>
    <w:rsid w:val="003178D8"/>
    <w:rsid w:val="00331019"/>
    <w:rsid w:val="00336468"/>
    <w:rsid w:val="00336A4C"/>
    <w:rsid w:val="00340F6E"/>
    <w:rsid w:val="00350FC3"/>
    <w:rsid w:val="00354ADA"/>
    <w:rsid w:val="00356270"/>
    <w:rsid w:val="003615D1"/>
    <w:rsid w:val="00364C2C"/>
    <w:rsid w:val="00375F2D"/>
    <w:rsid w:val="00377FD3"/>
    <w:rsid w:val="00385E39"/>
    <w:rsid w:val="0038602A"/>
    <w:rsid w:val="003946EE"/>
    <w:rsid w:val="003B3989"/>
    <w:rsid w:val="003B39E4"/>
    <w:rsid w:val="003B672A"/>
    <w:rsid w:val="003C18B8"/>
    <w:rsid w:val="003C561F"/>
    <w:rsid w:val="003C5DB3"/>
    <w:rsid w:val="003C73C3"/>
    <w:rsid w:val="003E0550"/>
    <w:rsid w:val="003E353D"/>
    <w:rsid w:val="003F6A40"/>
    <w:rsid w:val="003F6FB4"/>
    <w:rsid w:val="004019AE"/>
    <w:rsid w:val="00401E99"/>
    <w:rsid w:val="00402437"/>
    <w:rsid w:val="00422589"/>
    <w:rsid w:val="00451578"/>
    <w:rsid w:val="0045495D"/>
    <w:rsid w:val="00470E50"/>
    <w:rsid w:val="00472815"/>
    <w:rsid w:val="00475007"/>
    <w:rsid w:val="00477D2C"/>
    <w:rsid w:val="004843B4"/>
    <w:rsid w:val="00495486"/>
    <w:rsid w:val="00497BA9"/>
    <w:rsid w:val="004A5F1F"/>
    <w:rsid w:val="004A7E58"/>
    <w:rsid w:val="004B20DF"/>
    <w:rsid w:val="004B6164"/>
    <w:rsid w:val="004C05AD"/>
    <w:rsid w:val="004C0E0F"/>
    <w:rsid w:val="004C62E1"/>
    <w:rsid w:val="004E47DD"/>
    <w:rsid w:val="004F5DB5"/>
    <w:rsid w:val="004F67A5"/>
    <w:rsid w:val="0050791B"/>
    <w:rsid w:val="00510576"/>
    <w:rsid w:val="00532006"/>
    <w:rsid w:val="005337E5"/>
    <w:rsid w:val="00540365"/>
    <w:rsid w:val="00541235"/>
    <w:rsid w:val="005443D5"/>
    <w:rsid w:val="00546547"/>
    <w:rsid w:val="00547053"/>
    <w:rsid w:val="00555575"/>
    <w:rsid w:val="00564676"/>
    <w:rsid w:val="00565875"/>
    <w:rsid w:val="00570038"/>
    <w:rsid w:val="00570B6A"/>
    <w:rsid w:val="00570FD8"/>
    <w:rsid w:val="005851D1"/>
    <w:rsid w:val="00594E75"/>
    <w:rsid w:val="005A1313"/>
    <w:rsid w:val="005A1986"/>
    <w:rsid w:val="005A415E"/>
    <w:rsid w:val="005A76A2"/>
    <w:rsid w:val="005B399B"/>
    <w:rsid w:val="005B3AB2"/>
    <w:rsid w:val="005B5D79"/>
    <w:rsid w:val="005D4171"/>
    <w:rsid w:val="005F3823"/>
    <w:rsid w:val="005F3DC7"/>
    <w:rsid w:val="00601ACA"/>
    <w:rsid w:val="00604F57"/>
    <w:rsid w:val="00605444"/>
    <w:rsid w:val="00605E5A"/>
    <w:rsid w:val="00640337"/>
    <w:rsid w:val="00645309"/>
    <w:rsid w:val="00650144"/>
    <w:rsid w:val="006553E5"/>
    <w:rsid w:val="00670113"/>
    <w:rsid w:val="006717CE"/>
    <w:rsid w:val="00675A03"/>
    <w:rsid w:val="00680B6B"/>
    <w:rsid w:val="00681404"/>
    <w:rsid w:val="006832D9"/>
    <w:rsid w:val="00685A35"/>
    <w:rsid w:val="006A2DEF"/>
    <w:rsid w:val="006A4AD8"/>
    <w:rsid w:val="006B31F1"/>
    <w:rsid w:val="006B36DC"/>
    <w:rsid w:val="006B513E"/>
    <w:rsid w:val="006B602D"/>
    <w:rsid w:val="006C716A"/>
    <w:rsid w:val="006F1460"/>
    <w:rsid w:val="006F4A63"/>
    <w:rsid w:val="007132A0"/>
    <w:rsid w:val="00714D52"/>
    <w:rsid w:val="00723908"/>
    <w:rsid w:val="00730DC3"/>
    <w:rsid w:val="00734D7D"/>
    <w:rsid w:val="0073596D"/>
    <w:rsid w:val="007366E0"/>
    <w:rsid w:val="00736B67"/>
    <w:rsid w:val="0074103B"/>
    <w:rsid w:val="00743642"/>
    <w:rsid w:val="00753FB6"/>
    <w:rsid w:val="007669D7"/>
    <w:rsid w:val="00770CFF"/>
    <w:rsid w:val="007812FE"/>
    <w:rsid w:val="007816D8"/>
    <w:rsid w:val="007A0EC6"/>
    <w:rsid w:val="007A4D0A"/>
    <w:rsid w:val="007B2591"/>
    <w:rsid w:val="007C015B"/>
    <w:rsid w:val="007C137F"/>
    <w:rsid w:val="007C2495"/>
    <w:rsid w:val="007C531F"/>
    <w:rsid w:val="007D40C7"/>
    <w:rsid w:val="007E63D6"/>
    <w:rsid w:val="007E65B7"/>
    <w:rsid w:val="007F44F5"/>
    <w:rsid w:val="007F7420"/>
    <w:rsid w:val="007F743E"/>
    <w:rsid w:val="00801924"/>
    <w:rsid w:val="00822D12"/>
    <w:rsid w:val="0083510C"/>
    <w:rsid w:val="008367F4"/>
    <w:rsid w:val="00841F33"/>
    <w:rsid w:val="008524F8"/>
    <w:rsid w:val="008545D0"/>
    <w:rsid w:val="00861639"/>
    <w:rsid w:val="00886C02"/>
    <w:rsid w:val="00887B5B"/>
    <w:rsid w:val="00890F16"/>
    <w:rsid w:val="00892844"/>
    <w:rsid w:val="008971B1"/>
    <w:rsid w:val="008A6063"/>
    <w:rsid w:val="008B6B4A"/>
    <w:rsid w:val="008C1031"/>
    <w:rsid w:val="008C2D3B"/>
    <w:rsid w:val="008C5734"/>
    <w:rsid w:val="008C6A11"/>
    <w:rsid w:val="008D63EE"/>
    <w:rsid w:val="00900E60"/>
    <w:rsid w:val="0090351D"/>
    <w:rsid w:val="00904975"/>
    <w:rsid w:val="00905552"/>
    <w:rsid w:val="00906F3E"/>
    <w:rsid w:val="009142D3"/>
    <w:rsid w:val="00917978"/>
    <w:rsid w:val="0092079A"/>
    <w:rsid w:val="00925C29"/>
    <w:rsid w:val="00931622"/>
    <w:rsid w:val="009323FB"/>
    <w:rsid w:val="009349BF"/>
    <w:rsid w:val="009406C3"/>
    <w:rsid w:val="0094316B"/>
    <w:rsid w:val="00972CA6"/>
    <w:rsid w:val="00984FC8"/>
    <w:rsid w:val="00994032"/>
    <w:rsid w:val="00995AC5"/>
    <w:rsid w:val="0099659B"/>
    <w:rsid w:val="009A2DAA"/>
    <w:rsid w:val="009B003F"/>
    <w:rsid w:val="009B280A"/>
    <w:rsid w:val="009B3156"/>
    <w:rsid w:val="009B6854"/>
    <w:rsid w:val="009C02CA"/>
    <w:rsid w:val="009C6D67"/>
    <w:rsid w:val="009F21A2"/>
    <w:rsid w:val="009F4A99"/>
    <w:rsid w:val="009F5A56"/>
    <w:rsid w:val="00A0309F"/>
    <w:rsid w:val="00A03B58"/>
    <w:rsid w:val="00A1267D"/>
    <w:rsid w:val="00A16EA6"/>
    <w:rsid w:val="00A2116B"/>
    <w:rsid w:val="00A327CD"/>
    <w:rsid w:val="00A33DDF"/>
    <w:rsid w:val="00A34EF8"/>
    <w:rsid w:val="00A35FF5"/>
    <w:rsid w:val="00A47804"/>
    <w:rsid w:val="00A51792"/>
    <w:rsid w:val="00A52033"/>
    <w:rsid w:val="00A53A04"/>
    <w:rsid w:val="00A624BE"/>
    <w:rsid w:val="00A65510"/>
    <w:rsid w:val="00A83EAE"/>
    <w:rsid w:val="00A93638"/>
    <w:rsid w:val="00A954EC"/>
    <w:rsid w:val="00AB1E04"/>
    <w:rsid w:val="00AB248E"/>
    <w:rsid w:val="00AC3C58"/>
    <w:rsid w:val="00AD5886"/>
    <w:rsid w:val="00AD5C0E"/>
    <w:rsid w:val="00AD6F7C"/>
    <w:rsid w:val="00AF2357"/>
    <w:rsid w:val="00B14655"/>
    <w:rsid w:val="00B15A79"/>
    <w:rsid w:val="00B16280"/>
    <w:rsid w:val="00B24564"/>
    <w:rsid w:val="00B27421"/>
    <w:rsid w:val="00B3040F"/>
    <w:rsid w:val="00B45FEA"/>
    <w:rsid w:val="00B46C08"/>
    <w:rsid w:val="00B509F1"/>
    <w:rsid w:val="00B51D37"/>
    <w:rsid w:val="00B60A5C"/>
    <w:rsid w:val="00B6148A"/>
    <w:rsid w:val="00B64AEB"/>
    <w:rsid w:val="00B65696"/>
    <w:rsid w:val="00B73A26"/>
    <w:rsid w:val="00B73FEC"/>
    <w:rsid w:val="00B75794"/>
    <w:rsid w:val="00B8233F"/>
    <w:rsid w:val="00B859D6"/>
    <w:rsid w:val="00B935D7"/>
    <w:rsid w:val="00BB1779"/>
    <w:rsid w:val="00BB2033"/>
    <w:rsid w:val="00BB325F"/>
    <w:rsid w:val="00BC19C8"/>
    <w:rsid w:val="00BD1F7F"/>
    <w:rsid w:val="00BF0C70"/>
    <w:rsid w:val="00BF21F9"/>
    <w:rsid w:val="00BF361A"/>
    <w:rsid w:val="00BF3B0F"/>
    <w:rsid w:val="00BF3B11"/>
    <w:rsid w:val="00BF41B5"/>
    <w:rsid w:val="00C000B0"/>
    <w:rsid w:val="00C12FDA"/>
    <w:rsid w:val="00C13034"/>
    <w:rsid w:val="00C145F7"/>
    <w:rsid w:val="00C20902"/>
    <w:rsid w:val="00C40B29"/>
    <w:rsid w:val="00C43650"/>
    <w:rsid w:val="00C46E56"/>
    <w:rsid w:val="00C5426D"/>
    <w:rsid w:val="00C554BF"/>
    <w:rsid w:val="00C5744B"/>
    <w:rsid w:val="00C60669"/>
    <w:rsid w:val="00C6244E"/>
    <w:rsid w:val="00C676DB"/>
    <w:rsid w:val="00C81FFB"/>
    <w:rsid w:val="00C82EEA"/>
    <w:rsid w:val="00C926E0"/>
    <w:rsid w:val="00C94747"/>
    <w:rsid w:val="00C94DFF"/>
    <w:rsid w:val="00CA082F"/>
    <w:rsid w:val="00CB37A5"/>
    <w:rsid w:val="00CC45BB"/>
    <w:rsid w:val="00CC584B"/>
    <w:rsid w:val="00CD5DB5"/>
    <w:rsid w:val="00CE1BA0"/>
    <w:rsid w:val="00CE1D9B"/>
    <w:rsid w:val="00CF46FC"/>
    <w:rsid w:val="00CF6160"/>
    <w:rsid w:val="00D00711"/>
    <w:rsid w:val="00D0358D"/>
    <w:rsid w:val="00D07441"/>
    <w:rsid w:val="00D35C9C"/>
    <w:rsid w:val="00D417E8"/>
    <w:rsid w:val="00D42E0E"/>
    <w:rsid w:val="00D46D31"/>
    <w:rsid w:val="00D471AE"/>
    <w:rsid w:val="00D52A34"/>
    <w:rsid w:val="00D53873"/>
    <w:rsid w:val="00D635EA"/>
    <w:rsid w:val="00D64AA5"/>
    <w:rsid w:val="00D66942"/>
    <w:rsid w:val="00D76081"/>
    <w:rsid w:val="00D81D05"/>
    <w:rsid w:val="00D95610"/>
    <w:rsid w:val="00DA4532"/>
    <w:rsid w:val="00DB0B68"/>
    <w:rsid w:val="00DB63B5"/>
    <w:rsid w:val="00DC593C"/>
    <w:rsid w:val="00DD3E00"/>
    <w:rsid w:val="00DE2B61"/>
    <w:rsid w:val="00DE401B"/>
    <w:rsid w:val="00DE61EF"/>
    <w:rsid w:val="00E03C5D"/>
    <w:rsid w:val="00E20854"/>
    <w:rsid w:val="00E24C75"/>
    <w:rsid w:val="00E26CF5"/>
    <w:rsid w:val="00E31A7E"/>
    <w:rsid w:val="00E340A9"/>
    <w:rsid w:val="00E35F98"/>
    <w:rsid w:val="00E3774D"/>
    <w:rsid w:val="00E408DC"/>
    <w:rsid w:val="00E45E8B"/>
    <w:rsid w:val="00E476A7"/>
    <w:rsid w:val="00E54616"/>
    <w:rsid w:val="00E5580A"/>
    <w:rsid w:val="00E61544"/>
    <w:rsid w:val="00E82DCF"/>
    <w:rsid w:val="00E84F97"/>
    <w:rsid w:val="00E94B6D"/>
    <w:rsid w:val="00E956F1"/>
    <w:rsid w:val="00EB6291"/>
    <w:rsid w:val="00EB70BE"/>
    <w:rsid w:val="00EC4CD9"/>
    <w:rsid w:val="00EC4D9D"/>
    <w:rsid w:val="00EC776D"/>
    <w:rsid w:val="00ED235C"/>
    <w:rsid w:val="00F00C7D"/>
    <w:rsid w:val="00F06308"/>
    <w:rsid w:val="00F077C6"/>
    <w:rsid w:val="00F14018"/>
    <w:rsid w:val="00F155D1"/>
    <w:rsid w:val="00F15893"/>
    <w:rsid w:val="00F203CD"/>
    <w:rsid w:val="00F25C2D"/>
    <w:rsid w:val="00F25EDC"/>
    <w:rsid w:val="00F318D3"/>
    <w:rsid w:val="00F32DEE"/>
    <w:rsid w:val="00F61065"/>
    <w:rsid w:val="00F61079"/>
    <w:rsid w:val="00F6128F"/>
    <w:rsid w:val="00F65F35"/>
    <w:rsid w:val="00F6652F"/>
    <w:rsid w:val="00F71878"/>
    <w:rsid w:val="00F765E5"/>
    <w:rsid w:val="00F76983"/>
    <w:rsid w:val="00F76D59"/>
    <w:rsid w:val="00F77AEF"/>
    <w:rsid w:val="00F9402B"/>
    <w:rsid w:val="00FC5816"/>
    <w:rsid w:val="00FD08A4"/>
    <w:rsid w:val="00FD25B6"/>
    <w:rsid w:val="00FE71DE"/>
    <w:rsid w:val="00FE7CF5"/>
    <w:rsid w:val="00FF42EE"/>
    <w:rsid w:val="00FF4E8F"/>
    <w:rsid w:val="3DEF3CAB"/>
    <w:rsid w:val="5BE76922"/>
    <w:rsid w:val="5E368206"/>
    <w:rsid w:val="5F594BEB"/>
    <w:rsid w:val="5FF804D5"/>
    <w:rsid w:val="5FFF76F7"/>
    <w:rsid w:val="6AFE0662"/>
    <w:rsid w:val="75B754B8"/>
    <w:rsid w:val="77BFE6EA"/>
    <w:rsid w:val="7FC079DC"/>
    <w:rsid w:val="7FDF231C"/>
    <w:rsid w:val="7FDF907E"/>
    <w:rsid w:val="7FFFF1F1"/>
    <w:rsid w:val="915FCF9A"/>
    <w:rsid w:val="9D796A8E"/>
    <w:rsid w:val="AB95EF93"/>
    <w:rsid w:val="BFFED0BF"/>
    <w:rsid w:val="C73F659B"/>
    <w:rsid w:val="DCFA5E85"/>
    <w:rsid w:val="E6DF55F9"/>
    <w:rsid w:val="E77A57FE"/>
    <w:rsid w:val="EDFCE2DA"/>
    <w:rsid w:val="EF6F7D62"/>
    <w:rsid w:val="EFEF915A"/>
    <w:rsid w:val="FD53D74C"/>
    <w:rsid w:val="FDF7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20"/>
    <w:unhideWhenUsed/>
    <w:uiPriority w:val="99"/>
    <w:pPr>
      <w:spacing w:after="200" w:line="240" w:lineRule="auto"/>
    </w:pPr>
    <w:rPr>
      <w:rFonts w:ascii="Calibri" w:hAnsi="Calibri" w:eastAsia="Times New Roman" w:cs="Calibri"/>
      <w:sz w:val="20"/>
      <w:szCs w:val="20"/>
    </w:rPr>
  </w:style>
  <w:style w:type="paragraph" w:styleId="7">
    <w:name w:val="annotation subject"/>
    <w:basedOn w:val="6"/>
    <w:next w:val="6"/>
    <w:link w:val="31"/>
    <w:semiHidden/>
    <w:unhideWhenUsed/>
    <w:uiPriority w:val="99"/>
    <w:pPr>
      <w:spacing w:after="160"/>
    </w:pPr>
    <w:rPr>
      <w:rFonts w:asciiTheme="minorHAnsi" w:hAnsiTheme="minorHAnsi" w:eastAsiaTheme="minorHAnsi" w:cstheme="minorBidi"/>
      <w:b/>
      <w:bCs/>
    </w:rPr>
  </w:style>
  <w:style w:type="character" w:styleId="8">
    <w:name w:val="Emphasis"/>
    <w:basedOn w:val="2"/>
    <w:qFormat/>
    <w:uiPriority w:val="0"/>
    <w:rPr>
      <w:i/>
      <w:iCs/>
    </w:rPr>
  </w:style>
  <w:style w:type="paragraph" w:styleId="9">
    <w:name w:val="footer"/>
    <w:basedOn w:val="1"/>
    <w:link w:val="19"/>
    <w:unhideWhenUsed/>
    <w:uiPriority w:val="99"/>
    <w:pPr>
      <w:tabs>
        <w:tab w:val="center" w:pos="4680"/>
        <w:tab w:val="right" w:pos="9360"/>
      </w:tabs>
      <w:spacing w:after="0" w:line="240" w:lineRule="auto"/>
    </w:pPr>
  </w:style>
  <w:style w:type="character" w:styleId="10">
    <w:name w:val="footnote reference"/>
    <w:basedOn w:val="2"/>
    <w:semiHidden/>
    <w:unhideWhenUsed/>
    <w:uiPriority w:val="99"/>
    <w:rPr>
      <w:vertAlign w:val="superscript"/>
    </w:rPr>
  </w:style>
  <w:style w:type="paragraph" w:styleId="11">
    <w:name w:val="footnote text"/>
    <w:basedOn w:val="1"/>
    <w:link w:val="22"/>
    <w:semiHidden/>
    <w:unhideWhenUsed/>
    <w:uiPriority w:val="99"/>
    <w:pPr>
      <w:spacing w:after="0" w:line="240" w:lineRule="auto"/>
    </w:pPr>
    <w:rPr>
      <w:sz w:val="20"/>
      <w:szCs w:val="20"/>
    </w:rPr>
  </w:style>
  <w:style w:type="paragraph" w:styleId="12">
    <w:name w:val="header"/>
    <w:basedOn w:val="1"/>
    <w:link w:val="18"/>
    <w:unhideWhenUsed/>
    <w:uiPriority w:val="99"/>
    <w:pPr>
      <w:tabs>
        <w:tab w:val="center" w:pos="4680"/>
        <w:tab w:val="right" w:pos="9360"/>
      </w:tabs>
      <w:spacing w:after="0" w:line="240" w:lineRule="auto"/>
    </w:pPr>
  </w:style>
  <w:style w:type="character" w:styleId="13">
    <w:name w:val="Hyperlink"/>
    <w:basedOn w:val="2"/>
    <w:unhideWhenUsed/>
    <w:uiPriority w:val="99"/>
    <w:rPr>
      <w:color w:val="0563C1" w:themeColor="hyperlink"/>
      <w:u w:val="single"/>
      <w14:textFill>
        <w14:solidFill>
          <w14:schemeClr w14:val="hlink"/>
        </w14:solidFill>
      </w14:textFill>
    </w:rPr>
  </w:style>
  <w:style w:type="paragraph" w:styleId="14">
    <w:name w:val="Normal (Web)"/>
    <w:unhideWhenUsed/>
    <w:uiPriority w:val="99"/>
    <w:pPr>
      <w:spacing w:beforeAutospacing="1" w:afterAutospacing="1"/>
    </w:pPr>
    <w:rPr>
      <w:rFonts w:ascii="Times New Roman" w:hAnsi="Times New Roman" w:eastAsia="SimSun" w:cs="Times New Roman"/>
      <w:sz w:val="24"/>
      <w:szCs w:val="24"/>
      <w:lang w:val="en-US" w:eastAsia="zh-CN" w:bidi="ar-SA"/>
    </w:rPr>
  </w:style>
  <w:style w:type="character" w:styleId="15">
    <w:name w:val="Strong"/>
    <w:qFormat/>
    <w:uiPriority w:val="0"/>
    <w:rPr>
      <w:b/>
      <w:bCs/>
    </w:rPr>
  </w:style>
  <w:style w:type="table" w:styleId="16">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left="720"/>
      <w:contextualSpacing/>
    </w:pPr>
  </w:style>
  <w:style w:type="character" w:customStyle="1" w:styleId="18">
    <w:name w:val="Header Char"/>
    <w:basedOn w:val="2"/>
    <w:link w:val="12"/>
    <w:uiPriority w:val="99"/>
  </w:style>
  <w:style w:type="character" w:customStyle="1" w:styleId="19">
    <w:name w:val="Footer Char"/>
    <w:basedOn w:val="2"/>
    <w:link w:val="9"/>
    <w:uiPriority w:val="99"/>
  </w:style>
  <w:style w:type="character" w:customStyle="1" w:styleId="20">
    <w:name w:val="Comment Text Char"/>
    <w:basedOn w:val="2"/>
    <w:link w:val="6"/>
    <w:uiPriority w:val="99"/>
    <w:rPr>
      <w:rFonts w:ascii="Calibri" w:hAnsi="Calibri" w:eastAsia="Times New Roman" w:cs="Calibri"/>
      <w:sz w:val="20"/>
      <w:szCs w:val="20"/>
    </w:rPr>
  </w:style>
  <w:style w:type="character" w:customStyle="1" w:styleId="21">
    <w:name w:val="Balloon Text Char"/>
    <w:basedOn w:val="2"/>
    <w:link w:val="4"/>
    <w:semiHidden/>
    <w:uiPriority w:val="99"/>
    <w:rPr>
      <w:rFonts w:ascii="Segoe UI" w:hAnsi="Segoe UI" w:cs="Segoe UI"/>
      <w:sz w:val="18"/>
      <w:szCs w:val="18"/>
    </w:rPr>
  </w:style>
  <w:style w:type="character" w:customStyle="1" w:styleId="22">
    <w:name w:val="Footnote Text Char"/>
    <w:basedOn w:val="2"/>
    <w:link w:val="11"/>
    <w:semiHidden/>
    <w:uiPriority w:val="99"/>
    <w:rPr>
      <w:sz w:val="20"/>
      <w:szCs w:val="20"/>
    </w:rPr>
  </w:style>
  <w:style w:type="character" w:customStyle="1" w:styleId="23">
    <w:name w:val="authors"/>
    <w:basedOn w:val="2"/>
    <w:uiPriority w:val="0"/>
  </w:style>
  <w:style w:type="character" w:customStyle="1" w:styleId="24">
    <w:name w:val="Date1"/>
    <w:basedOn w:val="2"/>
    <w:uiPriority w:val="0"/>
  </w:style>
  <w:style w:type="character" w:customStyle="1" w:styleId="25">
    <w:name w:val="art_title"/>
    <w:basedOn w:val="2"/>
    <w:uiPriority w:val="0"/>
  </w:style>
  <w:style w:type="character" w:customStyle="1" w:styleId="26">
    <w:name w:val="serial_title"/>
    <w:basedOn w:val="2"/>
    <w:uiPriority w:val="0"/>
  </w:style>
  <w:style w:type="character" w:customStyle="1" w:styleId="27">
    <w:name w:val="volume_issue"/>
    <w:basedOn w:val="2"/>
    <w:uiPriority w:val="0"/>
  </w:style>
  <w:style w:type="character" w:customStyle="1" w:styleId="28">
    <w:name w:val="page_range"/>
    <w:basedOn w:val="2"/>
    <w:uiPriority w:val="0"/>
  </w:style>
  <w:style w:type="character" w:customStyle="1" w:styleId="29">
    <w:name w:val="doi_link"/>
    <w:basedOn w:val="2"/>
    <w:uiPriority w:val="0"/>
  </w:style>
  <w:style w:type="character" w:customStyle="1" w:styleId="30">
    <w:name w:val="Unresolved Mention1"/>
    <w:basedOn w:val="2"/>
    <w:semiHidden/>
    <w:unhideWhenUsed/>
    <w:uiPriority w:val="99"/>
    <w:rPr>
      <w:color w:val="605E5C"/>
      <w:shd w:val="clear" w:color="auto" w:fill="E1DFDD"/>
    </w:rPr>
  </w:style>
  <w:style w:type="character" w:customStyle="1" w:styleId="31">
    <w:name w:val="Comment Subject Char"/>
    <w:basedOn w:val="20"/>
    <w:link w:val="7"/>
    <w:semiHidden/>
    <w:uiPriority w:val="99"/>
    <w:rPr>
      <w:rFonts w:asciiTheme="minorHAnsi" w:hAnsiTheme="minorHAnsi" w:eastAsiaTheme="minorHAnsi" w:cstheme="minorBidi"/>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ENG 319A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Sheet1!$B$2:$B$7</c:f>
              <c:numCache>
                <c:formatCode>General</c:formatCode>
                <c:ptCount val="6"/>
                <c:pt idx="0">
                  <c:v>26</c:v>
                </c:pt>
                <c:pt idx="1">
                  <c:v>28</c:v>
                </c:pt>
                <c:pt idx="2">
                  <c:v>30</c:v>
                </c:pt>
                <c:pt idx="3">
                  <c:v>29</c:v>
                </c:pt>
                <c:pt idx="4">
                  <c:v>30</c:v>
                </c:pt>
              </c:numCache>
            </c:numRef>
          </c:val>
          <c:smooth val="0"/>
        </c:ser>
        <c:ser>
          <c:idx val="1"/>
          <c:order val="1"/>
          <c:tx>
            <c:strRef>
              <c:f>Sheet1!$C$1</c:f>
              <c:strCache>
                <c:ptCount val="1"/>
                <c:pt idx="0">
                  <c:v>ENG 319C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Sheet1!$C$2:$C$7</c:f>
              <c:numCache>
                <c:formatCode>General</c:formatCode>
                <c:ptCount val="6"/>
                <c:pt idx="0">
                  <c:v>33</c:v>
                </c:pt>
                <c:pt idx="1">
                  <c:v>34</c:v>
                </c:pt>
                <c:pt idx="2">
                  <c:v>33</c:v>
                </c:pt>
                <c:pt idx="3">
                  <c:v>34</c:v>
                </c:pt>
                <c:pt idx="4">
                  <c:v>32</c:v>
                </c:pt>
              </c:numCache>
            </c:numRef>
          </c:val>
          <c:smooth val="0"/>
        </c:ser>
        <c:ser>
          <c:idx val="2"/>
          <c:order val="2"/>
          <c:tx>
            <c:strRef>
              <c:f>Sheet1!$D$1</c:f>
              <c:strCache>
                <c:ptCount val="1"/>
                <c:pt idx="0">
                  <c:v>ENG 319K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Sheet1!$D$2:$D$7</c:f>
              <c:numCache>
                <c:formatCode>General</c:formatCode>
                <c:ptCount val="6"/>
                <c:pt idx="0">
                  <c:v>22</c:v>
                </c:pt>
                <c:pt idx="1">
                  <c:v>26</c:v>
                </c:pt>
                <c:pt idx="2">
                  <c:v>28</c:v>
                </c:pt>
                <c:pt idx="3">
                  <c:v>28</c:v>
                </c:pt>
                <c:pt idx="4">
                  <c:v>27</c:v>
                </c:pt>
              </c:numCache>
            </c:numRef>
          </c:val>
          <c:smooth val="0"/>
        </c:ser>
        <c:ser>
          <c:idx val="3"/>
          <c:order val="3"/>
          <c:tx>
            <c:strRef>
              <c:f>Sheet1!$E$1</c:f>
              <c:strCache>
                <c:ptCount val="1"/>
                <c:pt idx="0">
                  <c:v>ENG 319M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Sheet1!$A$2:$A$7</c:f>
              <c:strCache>
                <c:ptCount val="5"/>
                <c:pt idx="0">
                  <c:v>Essay 1</c:v>
                </c:pt>
                <c:pt idx="1">
                  <c:v>Essay 2</c:v>
                </c:pt>
                <c:pt idx="2">
                  <c:v>Essay 3</c:v>
                </c:pt>
                <c:pt idx="3">
                  <c:v>Essay 4</c:v>
                </c:pt>
                <c:pt idx="4">
                  <c:v>Essay 5</c:v>
                </c:pt>
              </c:strCache>
            </c:strRef>
          </c:cat>
          <c:val>
            <c:numRef>
              <c:f>Sheet1!$E$2:$E$7</c:f>
              <c:numCache>
                <c:formatCode>General</c:formatCode>
                <c:ptCount val="6"/>
                <c:pt idx="0">
                  <c:v>23</c:v>
                </c:pt>
                <c:pt idx="1">
                  <c:v>28</c:v>
                </c:pt>
                <c:pt idx="2">
                  <c:v>27</c:v>
                </c:pt>
                <c:pt idx="3">
                  <c:v>28</c:v>
                </c:pt>
                <c:pt idx="4">
                  <c:v>36</c:v>
                </c:pt>
              </c:numCache>
            </c:numRef>
          </c:val>
          <c:smooth val="0"/>
        </c:ser>
        <c:dLbls>
          <c:showLegendKey val="0"/>
          <c:showVal val="0"/>
          <c:showCatName val="0"/>
          <c:showSerName val="0"/>
          <c:showPercent val="0"/>
          <c:showBubbleSize val="0"/>
        </c:dLbls>
        <c:marker val="1"/>
        <c:smooth val="0"/>
        <c:axId val="1023596687"/>
        <c:axId val="1023599599"/>
      </c:lineChart>
      <c:catAx>
        <c:axId val="1023596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9599"/>
        <c:crosses val="autoZero"/>
        <c:auto val="1"/>
        <c:lblAlgn val="ctr"/>
        <c:lblOffset val="100"/>
        <c:noMultiLvlLbl val="0"/>
      </c:catAx>
      <c:valAx>
        <c:axId val="102359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3596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2</c:v>
                </c:pt>
                <c:pt idx="1">
                  <c:v>7</c:v>
                </c:pt>
                <c:pt idx="2">
                  <c:v>42</c:v>
                </c:pt>
                <c:pt idx="3">
                  <c:v>26</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Sheet1!$A$2:$A$5</c:f>
              <c:numCache>
                <c:formatCode>General</c:formatCode>
                <c:ptCount val="4"/>
                <c:pt idx="0">
                  <c:v>1</c:v>
                </c:pt>
                <c:pt idx="1">
                  <c:v>2</c:v>
                </c:pt>
                <c:pt idx="2">
                  <c:v>3</c:v>
                </c:pt>
                <c:pt idx="3">
                  <c:v>4</c:v>
                </c:pt>
              </c:numCache>
            </c:numRef>
          </c:cat>
          <c:val>
            <c:numRef>
              <c:f>Sheet1!$C$2:$C$5</c:f>
              <c:numCache>
                <c:formatCode>General</c:formatCode>
                <c:ptCount val="4"/>
                <c:pt idx="0">
                  <c:v>2</c:v>
                </c:pt>
                <c:pt idx="1">
                  <c:v>10</c:v>
                </c:pt>
                <c:pt idx="2">
                  <c:v>44</c:v>
                </c:pt>
                <c:pt idx="3">
                  <c:v>21</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Sheet1!$B$2:$B$6</c:f>
              <c:numCache>
                <c:formatCode>General</c:formatCode>
                <c:ptCount val="5"/>
                <c:pt idx="0">
                  <c:v>3</c:v>
                </c:pt>
                <c:pt idx="1">
                  <c:v>10</c:v>
                </c:pt>
                <c:pt idx="2">
                  <c:v>44</c:v>
                </c:pt>
                <c:pt idx="3">
                  <c:v>18</c:v>
                </c:pt>
                <c:pt idx="4">
                  <c:v>1</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numRef>
              <c:f>Sheet1!$A$2:$A$6</c:f>
              <c:numCache>
                <c:formatCode>General</c:formatCode>
                <c:ptCount val="5"/>
                <c:pt idx="0">
                  <c:v>1</c:v>
                </c:pt>
                <c:pt idx="1">
                  <c:v>2</c:v>
                </c:pt>
                <c:pt idx="2">
                  <c:v>3</c:v>
                </c:pt>
                <c:pt idx="3">
                  <c:v>4</c:v>
                </c:pt>
                <c:pt idx="4">
                  <c:v>5</c:v>
                </c:pt>
              </c:numCache>
            </c:numRef>
          </c:cat>
          <c:val>
            <c:numRef>
              <c:f>Sheet1!$C$2:$C$6</c:f>
              <c:numCache>
                <c:formatCode>General</c:formatCode>
                <c:ptCount val="5"/>
                <c:pt idx="0">
                  <c:v>0</c:v>
                </c:pt>
                <c:pt idx="1">
                  <c:v>4</c:v>
                </c:pt>
                <c:pt idx="2">
                  <c:v>21</c:v>
                </c:pt>
                <c:pt idx="3">
                  <c:v>40</c:v>
                </c:pt>
                <c:pt idx="4">
                  <c:v>12</c:v>
                </c:pt>
              </c:numCache>
            </c:numRef>
          </c:val>
        </c:ser>
        <c:dLbls>
          <c:showLegendKey val="0"/>
          <c:showVal val="0"/>
          <c:showCatName val="0"/>
          <c:showSerName val="0"/>
          <c:showPercent val="0"/>
          <c:showBubbleSize val="0"/>
        </c:dLbls>
        <c:gapWidth val="219"/>
        <c:overlap val="-27"/>
        <c:axId val="1020501583"/>
        <c:axId val="1020512399"/>
      </c:barChart>
      <c:catAx>
        <c:axId val="1020501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12399"/>
        <c:crosses val="autoZero"/>
        <c:auto val="1"/>
        <c:lblAlgn val="ctr"/>
        <c:lblOffset val="100"/>
        <c:noMultiLvlLbl val="0"/>
      </c:catAx>
      <c:valAx>
        <c:axId val="102051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0205015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Sheet1!$B$2:$B$8</c:f>
              <c:numCache>
                <c:formatCode>General</c:formatCode>
                <c:ptCount val="7"/>
                <c:pt idx="0">
                  <c:v>51</c:v>
                </c:pt>
                <c:pt idx="1">
                  <c:v>53</c:v>
                </c:pt>
                <c:pt idx="2">
                  <c:v>47</c:v>
                </c:pt>
                <c:pt idx="3">
                  <c:v>32</c:v>
                </c:pt>
                <c:pt idx="4">
                  <c:v>30</c:v>
                </c:pt>
                <c:pt idx="5">
                  <c:v>26</c:v>
                </c:pt>
                <c:pt idx="6">
                  <c:v>4</c:v>
                </c:pt>
              </c:numCache>
            </c:numRef>
          </c:val>
        </c:ser>
        <c:ser>
          <c:idx val="1"/>
          <c:order val="1"/>
          <c:tx>
            <c:strRef>
              <c:f>Sheet1!$C$1</c:f>
              <c:strCache>
                <c:ptCount val="1"/>
                <c:pt idx="0">
                  <c:v>Essays </c:v>
                </c:pt>
              </c:strCache>
            </c:strRef>
          </c:tx>
          <c:spPr>
            <a:solidFill>
              <a:schemeClr val="accent2"/>
            </a:solidFill>
            <a:ln>
              <a:noFill/>
            </a:ln>
            <a:effectLst/>
          </c:spPr>
          <c:invertIfNegative val="0"/>
          <c:dLbls>
            <c:delete val="1"/>
          </c:dLbls>
          <c:cat>
            <c:strRef>
              <c:f>Sheet1!$A$2:$A$8</c:f>
              <c:strCache>
                <c:ptCount val="7"/>
                <c:pt idx="0">
                  <c:v>Memorizing </c:v>
                </c:pt>
                <c:pt idx="1">
                  <c:v>Understanding</c:v>
                </c:pt>
                <c:pt idx="2">
                  <c:v>Applying </c:v>
                </c:pt>
                <c:pt idx="3">
                  <c:v>Analyzing</c:v>
                </c:pt>
                <c:pt idx="4">
                  <c:v>Evaluating</c:v>
                </c:pt>
                <c:pt idx="5">
                  <c:v>Creating</c:v>
                </c:pt>
                <c:pt idx="6">
                  <c:v>Others</c:v>
                </c:pt>
              </c:strCache>
            </c:strRef>
          </c:cat>
          <c:val>
            <c:numRef>
              <c:f>Sheet1!$C$2:$C$8</c:f>
              <c:numCache>
                <c:formatCode>General</c:formatCode>
                <c:ptCount val="7"/>
                <c:pt idx="0">
                  <c:v>21</c:v>
                </c:pt>
                <c:pt idx="1">
                  <c:v>28</c:v>
                </c:pt>
                <c:pt idx="2">
                  <c:v>62</c:v>
                </c:pt>
                <c:pt idx="3">
                  <c:v>54</c:v>
                </c:pt>
                <c:pt idx="4">
                  <c:v>52</c:v>
                </c:pt>
                <c:pt idx="5">
                  <c:v>35</c:v>
                </c:pt>
                <c:pt idx="6">
                  <c:v>4</c:v>
                </c:pt>
              </c:numCache>
            </c:numRef>
          </c:val>
        </c:ser>
        <c:dLbls>
          <c:showLegendKey val="0"/>
          <c:showVal val="0"/>
          <c:showCatName val="0"/>
          <c:showSerName val="0"/>
          <c:showPercent val="0"/>
          <c:showBubbleSize val="0"/>
        </c:dLbls>
        <c:gapWidth val="219"/>
        <c:overlap val="-27"/>
        <c:axId val="1868754767"/>
        <c:axId val="1868748111"/>
      </c:barChart>
      <c:catAx>
        <c:axId val="1868754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5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48111"/>
        <c:crosses val="autoZero"/>
        <c:auto val="1"/>
        <c:lblAlgn val="ctr"/>
        <c:lblOffset val="100"/>
        <c:noMultiLvlLbl val="0"/>
      </c:catAx>
      <c:valAx>
        <c:axId val="1868748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1868754767"/>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Tests &amp; Quizzes</c:v>
                </c:pt>
              </c:strCache>
            </c:strRef>
          </c:tx>
          <c:spPr>
            <a:solidFill>
              <a:schemeClr val="accent1"/>
            </a:solidFill>
            <a:ln>
              <a:noFill/>
            </a:ln>
            <a:effectLst/>
          </c:spPr>
          <c:invertIfNegative val="0"/>
          <c:dLbls>
            <c:delete val="1"/>
          </c:dLbls>
          <c:cat>
            <c:strRef>
              <c:f>Sheet1!$A$2:$A$5</c:f>
              <c:strCache>
                <c:ptCount val="3"/>
                <c:pt idx="0">
                  <c:v>Knowledge</c:v>
                </c:pt>
                <c:pt idx="1">
                  <c:v>Skills</c:v>
                </c:pt>
                <c:pt idx="2">
                  <c:v>Attitudes </c:v>
                </c:pt>
              </c:strCache>
            </c:strRef>
          </c:cat>
          <c:val>
            <c:numRef>
              <c:f>Sheet1!$B$2:$B$5</c:f>
              <c:numCache>
                <c:formatCode>General</c:formatCode>
                <c:ptCount val="4"/>
                <c:pt idx="0">
                  <c:v>59</c:v>
                </c:pt>
                <c:pt idx="1">
                  <c:v>49</c:v>
                </c:pt>
                <c:pt idx="2">
                  <c:v>40</c:v>
                </c:pt>
              </c:numCache>
            </c:numRef>
          </c:val>
        </c:ser>
        <c:ser>
          <c:idx val="1"/>
          <c:order val="1"/>
          <c:tx>
            <c:strRef>
              <c:f>Sheet1!$C$1</c:f>
              <c:strCache>
                <c:ptCount val="1"/>
                <c:pt idx="0">
                  <c:v>Essays</c:v>
                </c:pt>
              </c:strCache>
            </c:strRef>
          </c:tx>
          <c:spPr>
            <a:solidFill>
              <a:schemeClr val="accent2"/>
            </a:solidFill>
            <a:ln>
              <a:noFill/>
            </a:ln>
            <a:effectLst/>
          </c:spPr>
          <c:invertIfNegative val="0"/>
          <c:dLbls>
            <c:delete val="1"/>
          </c:dLbls>
          <c:cat>
            <c:strRef>
              <c:f>Sheet1!$A$2:$A$5</c:f>
              <c:strCache>
                <c:ptCount val="3"/>
                <c:pt idx="0">
                  <c:v>Knowledge</c:v>
                </c:pt>
                <c:pt idx="1">
                  <c:v>Skills</c:v>
                </c:pt>
                <c:pt idx="2">
                  <c:v>Attitudes </c:v>
                </c:pt>
              </c:strCache>
            </c:strRef>
          </c:cat>
          <c:val>
            <c:numRef>
              <c:f>Sheet1!$C$2:$C$5</c:f>
              <c:numCache>
                <c:formatCode>General</c:formatCode>
                <c:ptCount val="4"/>
                <c:pt idx="0">
                  <c:v>46</c:v>
                </c:pt>
                <c:pt idx="1">
                  <c:v>56</c:v>
                </c:pt>
                <c:pt idx="2">
                  <c:v>45</c:v>
                </c:pt>
              </c:numCache>
            </c:numRef>
          </c:val>
        </c:ser>
        <c:dLbls>
          <c:showLegendKey val="0"/>
          <c:showVal val="0"/>
          <c:showCatName val="0"/>
          <c:showSerName val="0"/>
          <c:showPercent val="0"/>
          <c:showBubbleSize val="0"/>
        </c:dLbls>
        <c:gapWidth val="219"/>
        <c:overlap val="-27"/>
        <c:axId val="56972991"/>
        <c:axId val="56963839"/>
      </c:barChart>
      <c:catAx>
        <c:axId val="56972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63839"/>
        <c:crosses val="autoZero"/>
        <c:auto val="1"/>
        <c:lblAlgn val="ctr"/>
        <c:lblOffset val="100"/>
        <c:noMultiLvlLbl val="0"/>
      </c:catAx>
      <c:valAx>
        <c:axId val="56963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crossAx val="5697299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223890808165276"/>
                  <c:y val="0.027932116620172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8173213440606"/>
                      <c:h val="0.171296296296296"/>
                    </c:manualLayout>
                  </c15:layout>
                </c:ext>
              </c:extLst>
            </c:dLbl>
            <c:dLbl>
              <c:idx val="1"/>
              <c:layout>
                <c:manualLayout>
                  <c:x val="0.223890796070525"/>
                  <c:y val="-0.0981481260387695"/>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20066256507336"/>
                      <c:h val="0.171296296296296"/>
                    </c:manualLayout>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Yes</c:v>
                </c:pt>
                <c:pt idx="1">
                  <c:v>No</c:v>
                </c:pt>
              </c:strCache>
            </c:strRef>
          </c:cat>
          <c:val>
            <c:numRef>
              <c:f>Sheet1!$B$2:$B$3</c:f>
              <c:numCache>
                <c:formatCode>General</c:formatCode>
                <c:ptCount val="2"/>
                <c:pt idx="0">
                  <c:v>42.1</c:v>
                </c:pt>
                <c:pt idx="1">
                  <c:v>57.9</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manualLayout>
          <c:xMode val="edge"/>
          <c:yMode val="edge"/>
          <c:x val="0.242884708152436"/>
          <c:y val="0.75131164742917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Sales</c:v>
                </c:pt>
              </c:strCache>
            </c:strRef>
          </c:tx>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manualLayout>
                  <c:x val="-0.0359160946148152"/>
                  <c:y val="-0.37073744592695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09614551754006"/>
                      <c:h val="0.188217291507269"/>
                    </c:manualLayout>
                  </c15:layout>
                </c:ext>
              </c:extLst>
            </c:dLbl>
            <c:dLbl>
              <c:idx val="1"/>
              <c:layout>
                <c:manualLayout>
                  <c:x val="0.00346470333477696"/>
                  <c:y val="0.1201224177505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Yes</c:v>
                </c:pt>
                <c:pt idx="1">
                  <c:v>No</c:v>
                </c:pt>
              </c:strCache>
            </c:strRef>
          </c:cat>
          <c:val>
            <c:numRef>
              <c:f>Sheet1!$B$2:$B$3</c:f>
              <c:numCache>
                <c:formatCode>General</c:formatCode>
                <c:ptCount val="2"/>
                <c:pt idx="0">
                  <c:v>97.4</c:v>
                </c:pt>
                <c:pt idx="1">
                  <c:v>2.6</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egendEntry>
        <c:idx val="1"/>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6876</Words>
  <Characters>39198</Characters>
  <Lines>326</Lines>
  <Paragraphs>91</Paragraphs>
  <TotalTime>6</TotalTime>
  <ScaleCrop>false</ScaleCrop>
  <LinksUpToDate>false</LinksUpToDate>
  <CharactersWithSpaces>45983</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2025-11-14T14:18:00Z</dcterms:created>
  <dc:creator>TTTH</dc:creator>
  <cp:lastModifiedBy>truongtrucvi</cp:lastModifiedBy>
  <dcterms:modified xsi:type="dcterms:W3CDTF">2026-02-02T18:48:02Z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39CB439FCECD0D23C5EA0169E6AD7A3C_42</vt:lpwstr>
  </property>
</Properties>
</file>