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810E1" w14:textId="48F86F86" w:rsidR="009100D3" w:rsidRPr="009100D3" w:rsidRDefault="009100D3" w:rsidP="009100D3">
      <w:pPr>
        <w:tabs>
          <w:tab w:val="right" w:leader="hyphen" w:pos="9072"/>
        </w:tabs>
        <w:jc w:val="center"/>
        <w:rPr>
          <w:rFonts w:ascii="Arial" w:hAnsi="Arial" w:cs="Arial"/>
          <w:b/>
          <w:sz w:val="32"/>
        </w:rPr>
      </w:pPr>
      <w:r w:rsidRPr="009100D3">
        <w:rPr>
          <w:rFonts w:ascii="Arial" w:hAnsi="Arial" w:cs="Arial"/>
          <w:b/>
          <w:sz w:val="28"/>
        </w:rPr>
        <w:t>Thiết kế và đánh giá đặc tính đo lường của hệ thống đo I–V cao áp có khả năng lập trình phục vụ nghiên cứu động học đánh thủng điện môi</w:t>
      </w:r>
    </w:p>
    <w:p w14:paraId="254BA13B" w14:textId="77777777" w:rsidR="00297F7D" w:rsidRPr="00234C54" w:rsidRDefault="00297F7D" w:rsidP="00297F7D">
      <w:pPr>
        <w:ind w:right="70"/>
        <w:jc w:val="center"/>
        <w:rPr>
          <w:b/>
          <w:szCs w:val="28"/>
        </w:rPr>
      </w:pPr>
    </w:p>
    <w:p w14:paraId="61751432" w14:textId="216F03F6" w:rsidR="00297F7D" w:rsidRPr="005712D9" w:rsidRDefault="00297F7D" w:rsidP="005712D9">
      <w:pPr>
        <w:ind w:right="68"/>
        <w:jc w:val="center"/>
        <w:rPr>
          <w:b/>
          <w:szCs w:val="22"/>
        </w:rPr>
      </w:pPr>
      <w:r>
        <w:rPr>
          <w:b/>
          <w:szCs w:val="22"/>
        </w:rPr>
        <w:t>Hu</w:t>
      </w:r>
      <w:r w:rsidRPr="00523EB1">
        <w:rPr>
          <w:b/>
          <w:szCs w:val="22"/>
        </w:rPr>
        <w:t>ỳnh</w:t>
      </w:r>
      <w:r>
        <w:rPr>
          <w:b/>
          <w:szCs w:val="22"/>
        </w:rPr>
        <w:t xml:space="preserve"> C</w:t>
      </w:r>
      <w:r w:rsidRPr="00523EB1">
        <w:rPr>
          <w:b/>
          <w:szCs w:val="22"/>
        </w:rPr>
        <w:t>ô</w:t>
      </w:r>
      <w:r>
        <w:rPr>
          <w:b/>
          <w:szCs w:val="22"/>
        </w:rPr>
        <w:t>ng T</w:t>
      </w:r>
      <w:r w:rsidRPr="00523EB1">
        <w:rPr>
          <w:b/>
          <w:szCs w:val="22"/>
        </w:rPr>
        <w:t>ú</w:t>
      </w:r>
      <w:r w:rsidR="005712D9">
        <w:rPr>
          <w:b/>
          <w:szCs w:val="22"/>
          <w:vertAlign w:val="superscript"/>
        </w:rPr>
        <w:t xml:space="preserve">1,* </w:t>
      </w:r>
      <w:r w:rsidR="005712D9">
        <w:rPr>
          <w:b/>
          <w:szCs w:val="22"/>
        </w:rPr>
        <w:t>, Nguyễn Văn Hào</w:t>
      </w:r>
      <w:r w:rsidR="005712D9" w:rsidRPr="005712D9">
        <w:rPr>
          <w:b/>
          <w:szCs w:val="22"/>
          <w:vertAlign w:val="superscript"/>
        </w:rPr>
        <w:t>2</w:t>
      </w:r>
    </w:p>
    <w:p w14:paraId="28D119E0" w14:textId="77777777" w:rsidR="003C665C" w:rsidRPr="003C665C" w:rsidRDefault="003C665C" w:rsidP="00297F7D">
      <w:pPr>
        <w:ind w:right="70"/>
        <w:jc w:val="center"/>
        <w:rPr>
          <w:szCs w:val="18"/>
        </w:rPr>
      </w:pPr>
    </w:p>
    <w:p w14:paraId="6A0AD0CC" w14:textId="77777777" w:rsidR="005712D9" w:rsidRDefault="005712D9" w:rsidP="005712D9">
      <w:pPr>
        <w:ind w:right="68"/>
        <w:jc w:val="center"/>
        <w:rPr>
          <w:i/>
          <w:sz w:val="22"/>
          <w:szCs w:val="22"/>
        </w:rPr>
      </w:pPr>
      <w:r w:rsidRPr="00974745">
        <w:rPr>
          <w:i/>
          <w:sz w:val="22"/>
          <w:szCs w:val="22"/>
          <w:vertAlign w:val="superscript"/>
        </w:rPr>
        <w:t>1</w:t>
      </w:r>
      <w:r>
        <w:rPr>
          <w:i/>
          <w:sz w:val="22"/>
          <w:szCs w:val="22"/>
        </w:rPr>
        <w:t>Ph</w:t>
      </w:r>
      <w:r w:rsidRPr="00523EB1">
        <w:rPr>
          <w:i/>
          <w:sz w:val="22"/>
          <w:szCs w:val="22"/>
        </w:rPr>
        <w:t>òng</w:t>
      </w:r>
      <w:r>
        <w:rPr>
          <w:i/>
          <w:sz w:val="22"/>
          <w:szCs w:val="22"/>
        </w:rPr>
        <w:t xml:space="preserve"> </w:t>
      </w:r>
      <w:r w:rsidRPr="00523EB1">
        <w:rPr>
          <w:i/>
          <w:sz w:val="22"/>
          <w:szCs w:val="22"/>
        </w:rPr>
        <w:t>Đào</w:t>
      </w:r>
      <w:r>
        <w:rPr>
          <w:i/>
          <w:sz w:val="22"/>
          <w:szCs w:val="22"/>
        </w:rPr>
        <w:t xml:space="preserve"> t</w:t>
      </w:r>
      <w:r w:rsidRPr="00523EB1">
        <w:rPr>
          <w:i/>
          <w:sz w:val="22"/>
          <w:szCs w:val="22"/>
        </w:rPr>
        <w:t>ạo</w:t>
      </w:r>
      <w:r>
        <w:rPr>
          <w:i/>
          <w:sz w:val="22"/>
          <w:szCs w:val="22"/>
        </w:rPr>
        <w:t>, Trư</w:t>
      </w:r>
      <w:r w:rsidRPr="00523EB1">
        <w:rPr>
          <w:i/>
          <w:sz w:val="22"/>
          <w:szCs w:val="22"/>
        </w:rPr>
        <w:t>ờng</w:t>
      </w:r>
      <w:r>
        <w:rPr>
          <w:i/>
          <w:sz w:val="22"/>
          <w:szCs w:val="22"/>
        </w:rPr>
        <w:t xml:space="preserve"> </w:t>
      </w:r>
      <w:r w:rsidRPr="00523EB1">
        <w:rPr>
          <w:i/>
          <w:sz w:val="22"/>
          <w:szCs w:val="22"/>
        </w:rPr>
        <w:t>Đại</w:t>
      </w:r>
      <w:r>
        <w:rPr>
          <w:i/>
          <w:sz w:val="22"/>
          <w:szCs w:val="22"/>
        </w:rPr>
        <w:t xml:space="preserve"> h</w:t>
      </w:r>
      <w:r w:rsidRPr="00523EB1">
        <w:rPr>
          <w:i/>
          <w:sz w:val="22"/>
          <w:szCs w:val="22"/>
        </w:rPr>
        <w:t>ọ</w:t>
      </w:r>
      <w:r>
        <w:rPr>
          <w:i/>
          <w:sz w:val="22"/>
          <w:szCs w:val="22"/>
        </w:rPr>
        <w:t>c Quy Nh</w:t>
      </w:r>
      <w:r w:rsidRPr="00523EB1">
        <w:rPr>
          <w:i/>
          <w:sz w:val="22"/>
          <w:szCs w:val="22"/>
        </w:rPr>
        <w:t>ơ</w:t>
      </w:r>
      <w:r>
        <w:rPr>
          <w:i/>
          <w:sz w:val="22"/>
          <w:szCs w:val="22"/>
        </w:rPr>
        <w:t>n, Vi</w:t>
      </w:r>
      <w:r w:rsidRPr="00D850D5">
        <w:rPr>
          <w:i/>
          <w:sz w:val="22"/>
          <w:szCs w:val="22"/>
        </w:rPr>
        <w:t>ệt</w:t>
      </w:r>
      <w:r>
        <w:rPr>
          <w:i/>
          <w:sz w:val="22"/>
          <w:szCs w:val="22"/>
        </w:rPr>
        <w:t xml:space="preserve"> Nam</w:t>
      </w:r>
    </w:p>
    <w:p w14:paraId="3BF90371" w14:textId="4D594BAA" w:rsidR="005712D9" w:rsidRDefault="005712D9" w:rsidP="005712D9">
      <w:pPr>
        <w:ind w:right="70"/>
        <w:jc w:val="center"/>
        <w:rPr>
          <w:i/>
          <w:sz w:val="22"/>
          <w:szCs w:val="22"/>
        </w:rPr>
      </w:pPr>
      <w:r w:rsidRPr="00CD173B">
        <w:rPr>
          <w:i/>
          <w:sz w:val="22"/>
          <w:szCs w:val="22"/>
          <w:vertAlign w:val="superscript"/>
        </w:rPr>
        <w:t>2</w:t>
      </w:r>
      <w:r>
        <w:rPr>
          <w:i/>
          <w:sz w:val="22"/>
          <w:szCs w:val="22"/>
        </w:rPr>
        <w:t xml:space="preserve">Khoa Kỹ thuật </w:t>
      </w:r>
      <w:r>
        <w:rPr>
          <w:i/>
          <w:sz w:val="22"/>
          <w:szCs w:val="22"/>
        </w:rPr>
        <w:t>và Công nghệ, Trường Đại học Quy Nhơn</w:t>
      </w:r>
      <w:r>
        <w:rPr>
          <w:i/>
          <w:sz w:val="22"/>
          <w:szCs w:val="22"/>
        </w:rPr>
        <w:t>, Việt Nam</w:t>
      </w:r>
    </w:p>
    <w:p w14:paraId="5A819DE2" w14:textId="77777777" w:rsidR="00297F7D" w:rsidRDefault="00297F7D" w:rsidP="00297F7D">
      <w:pPr>
        <w:ind w:right="70"/>
        <w:jc w:val="center"/>
        <w:rPr>
          <w:i/>
          <w:sz w:val="22"/>
          <w:szCs w:val="22"/>
        </w:rPr>
      </w:pPr>
    </w:p>
    <w:p w14:paraId="3992CC68" w14:textId="3C4A4961" w:rsidR="00297F7D" w:rsidRPr="00A1294C" w:rsidRDefault="00297F7D" w:rsidP="00297F7D">
      <w:pPr>
        <w:ind w:right="70"/>
        <w:jc w:val="center"/>
        <w:rPr>
          <w:i/>
          <w:sz w:val="22"/>
          <w:szCs w:val="22"/>
        </w:rPr>
      </w:pPr>
      <w:r>
        <w:rPr>
          <w:i/>
          <w:sz w:val="22"/>
          <w:szCs w:val="22"/>
        </w:rPr>
        <w:t>*</w:t>
      </w:r>
      <w:r w:rsidR="00CA610F">
        <w:rPr>
          <w:i/>
          <w:sz w:val="22"/>
          <w:szCs w:val="22"/>
        </w:rPr>
        <w:t xml:space="preserve">Tác giả liên hệ chính. </w:t>
      </w:r>
      <w:r>
        <w:rPr>
          <w:i/>
          <w:sz w:val="22"/>
          <w:szCs w:val="22"/>
        </w:rPr>
        <w:t xml:space="preserve">Email: </w:t>
      </w:r>
      <w:hyperlink r:id="rId8" w:history="1">
        <w:r w:rsidRPr="00A1294C">
          <w:rPr>
            <w:rStyle w:val="Hyperlink"/>
            <w:i/>
            <w:sz w:val="22"/>
            <w:szCs w:val="22"/>
            <w:u w:val="none"/>
          </w:rPr>
          <w:t>huynhcongtu@qnu.edu.vn</w:t>
        </w:r>
      </w:hyperlink>
    </w:p>
    <w:p w14:paraId="40C59CB3" w14:textId="77777777" w:rsidR="007134BB" w:rsidRDefault="007134BB" w:rsidP="007134BB">
      <w:pPr>
        <w:ind w:right="68" w:firstLine="431"/>
        <w:jc w:val="center"/>
        <w:rPr>
          <w:i/>
          <w:sz w:val="22"/>
        </w:rPr>
      </w:pPr>
    </w:p>
    <w:p w14:paraId="7364405D" w14:textId="77777777" w:rsidR="00297F7D" w:rsidRDefault="00297F7D" w:rsidP="00297F7D">
      <w:pPr>
        <w:ind w:right="70"/>
        <w:rPr>
          <w:i/>
          <w:sz w:val="22"/>
          <w:szCs w:val="22"/>
        </w:rPr>
      </w:pPr>
    </w:p>
    <w:p w14:paraId="68063754" w14:textId="77777777" w:rsidR="00297F7D" w:rsidRPr="003C753C" w:rsidRDefault="00297F7D" w:rsidP="00DC316C">
      <w:pPr>
        <w:tabs>
          <w:tab w:val="left" w:pos="360"/>
          <w:tab w:val="left" w:pos="540"/>
          <w:tab w:val="right" w:leader="hyphen" w:pos="9072"/>
        </w:tabs>
        <w:spacing w:after="240"/>
        <w:jc w:val="both"/>
        <w:rPr>
          <w:b/>
          <w:sz w:val="22"/>
          <w:szCs w:val="22"/>
          <w:lang w:val="vi-VN"/>
        </w:rPr>
      </w:pPr>
      <w:r w:rsidRPr="003C753C">
        <w:rPr>
          <w:b/>
          <w:sz w:val="22"/>
          <w:szCs w:val="22"/>
          <w:lang w:val="vi-VN"/>
        </w:rPr>
        <w:t>TÓM TẮT</w:t>
      </w:r>
    </w:p>
    <w:p w14:paraId="6278468C" w14:textId="655BF0C3" w:rsidR="00EC5690" w:rsidRPr="001029F1" w:rsidRDefault="001029F1" w:rsidP="00EC5690">
      <w:pPr>
        <w:spacing w:after="220"/>
        <w:jc w:val="both"/>
        <w:rPr>
          <w:sz w:val="20"/>
          <w:szCs w:val="20"/>
        </w:rPr>
      </w:pPr>
      <w:r w:rsidRPr="001029F1">
        <w:rPr>
          <w:sz w:val="20"/>
          <w:szCs w:val="20"/>
        </w:rPr>
        <w:t xml:space="preserve">Phân biệt chính xác giữa hiện tượng đánh thủng điện môi </w:t>
      </w:r>
      <w:r>
        <w:rPr>
          <w:sz w:val="20"/>
          <w:szCs w:val="20"/>
        </w:rPr>
        <w:t>thực</w:t>
      </w:r>
      <w:r w:rsidRPr="001029F1">
        <w:rPr>
          <w:sz w:val="20"/>
          <w:szCs w:val="20"/>
        </w:rPr>
        <w:t xml:space="preserve"> và các tín hiệu giả do cơ chế giới hạn dòng của thiết bị gây ra là một thách thức cơ bản trong đo lường độ tin cậy bán dẫn. Để giải quyết yêu cầu này, bài báo trình bày thiết kế và thẩm định đặc tính đo lường của một hệ thống đo I–V cao áp khả trình, được tối ưu hóa cho phân tích động học đánh thủng. Kiến trúc hệ thống tích hợp nguồn cao áp điều khiển dạng dốc với mô-đun thu thập dữ liệu hai kênh được cách ly về điện, đạt mức nhiễu nền hiệu dụng sau xử lý ở ngưỡng dưới nA (sub-nA), đảm bảo tính toàn vẹn</w:t>
      </w:r>
      <w:r>
        <w:rPr>
          <w:sz w:val="20"/>
          <w:szCs w:val="20"/>
        </w:rPr>
        <w:t xml:space="preserve"> tín hiệu trên toàn bộ dải động</w:t>
      </w:r>
      <w:r w:rsidR="00EC5690" w:rsidRPr="001B5F30">
        <w:rPr>
          <w:rFonts w:eastAsia="Georgia"/>
          <w:sz w:val="20"/>
          <w:szCs w:val="20"/>
        </w:rPr>
        <w:t>. Đóng góp trọng tâm là việc chuẩn hóa chiến lược phát hiện nhận biết giới hạn dòng: định vị điểm khởi phát đánh thủng cứng (HBD) tại cực đại độ dốc vi phân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00EC5690" w:rsidRPr="001B5F30">
        <w:rPr>
          <w:rFonts w:eastAsia="Georgia"/>
          <w:sz w:val="20"/>
          <w:szCs w:val="20"/>
        </w:rPr>
        <w:t>) và loại trừ vùng giới hạn dòng (CLR) giả tạo. Thực nghiệm trên tụ MOS Si/SiO</w:t>
      </w:r>
      <w:r w:rsidR="00EC5690" w:rsidRPr="001B5F30">
        <w:rPr>
          <w:rFonts w:eastAsia="Georgia"/>
          <w:sz w:val="20"/>
          <w:szCs w:val="20"/>
          <w:vertAlign w:val="subscript"/>
        </w:rPr>
        <w:t>2</w:t>
      </w:r>
      <w:r w:rsidR="00EC5690" w:rsidRPr="001B5F30">
        <w:rPr>
          <w:rFonts w:eastAsia="Georgia"/>
          <w:sz w:val="20"/>
          <w:szCs w:val="20"/>
        </w:rPr>
        <w:t xml:space="preserve"> 150 nm xác nhận khả năng phân giải cơ chế dẫn điệ</w:t>
      </w:r>
      <w:r w:rsidR="00EC5690">
        <w:rPr>
          <w:rFonts w:eastAsia="Georgia"/>
          <w:sz w:val="20"/>
          <w:szCs w:val="20"/>
        </w:rPr>
        <w:t>n Fowler–Nordheim/Poole–</w:t>
      </w:r>
      <w:r w:rsidR="00EC5690" w:rsidRPr="001B5F30">
        <w:rPr>
          <w:rFonts w:eastAsia="Georgia"/>
          <w:sz w:val="20"/>
          <w:szCs w:val="20"/>
        </w:rPr>
        <w:t>Frenkel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r>
          <m:rPr>
            <m:sty m:val="p"/>
          </m:rPr>
          <w:rPr>
            <w:rFonts w:ascii="Cambria Math" w:hAnsi="Cambria Math"/>
            <w:sz w:val="20"/>
            <w:szCs w:val="20"/>
          </w:rPr>
          <m:t>&gt;0.97</m:t>
        </m:r>
      </m:oMath>
      <w:r w:rsidR="00EC5690" w:rsidRPr="001B5F30">
        <w:rPr>
          <w:rFonts w:eastAsia="Georgia"/>
          <w:sz w:val="20"/>
          <w:szCs w:val="20"/>
        </w:rPr>
        <w:t>) và xác định trường đánh thủ</w:t>
      </w:r>
      <w:r w:rsidR="00EC5690">
        <w:rPr>
          <w:rFonts w:eastAsia="Georgia"/>
          <w:sz w:val="20"/>
          <w:szCs w:val="20"/>
        </w:rPr>
        <w:t xml:space="preserve">ng trung bình 6.38 </w:t>
      </w:r>
      <w:r w:rsidR="00EC5690" w:rsidRPr="001B5F30">
        <w:rPr>
          <w:rFonts w:eastAsia="Georgia"/>
          <w:sz w:val="20"/>
          <w:szCs w:val="20"/>
        </w:rPr>
        <w:t>MV/cm (biến thiên 15.7%), khẳng định độ tin cậy của hệ thống cho các nghiên cứu độ bền điện môi nghiêm ngặt.</w:t>
      </w:r>
      <w:bookmarkStart w:id="0" w:name="_GoBack"/>
      <w:bookmarkEnd w:id="0"/>
    </w:p>
    <w:p w14:paraId="0E0FE6F3" w14:textId="14A9B462" w:rsidR="00C716E0" w:rsidRDefault="00C716E0" w:rsidP="00C716E0">
      <w:pPr>
        <w:tabs>
          <w:tab w:val="right" w:leader="hyphen" w:pos="9072"/>
        </w:tabs>
        <w:spacing w:before="120" w:after="120"/>
        <w:ind w:firstLine="567"/>
        <w:jc w:val="both"/>
        <w:rPr>
          <w:sz w:val="20"/>
          <w:szCs w:val="20"/>
          <w:lang w:val="vi-VN"/>
        </w:rPr>
      </w:pPr>
    </w:p>
    <w:p w14:paraId="09D86CAD" w14:textId="1C9A3210" w:rsidR="00297F7D" w:rsidRPr="00896D8C" w:rsidRDefault="00297F7D" w:rsidP="003C665C">
      <w:pPr>
        <w:tabs>
          <w:tab w:val="right" w:leader="hyphen" w:pos="9072"/>
        </w:tabs>
        <w:spacing w:before="120" w:after="120"/>
        <w:jc w:val="both"/>
        <w:rPr>
          <w:b/>
          <w:i/>
          <w:sz w:val="20"/>
          <w:szCs w:val="20"/>
          <w:lang w:val="vi-VN"/>
        </w:rPr>
      </w:pPr>
      <w:r w:rsidRPr="00F32667">
        <w:rPr>
          <w:b/>
          <w:sz w:val="20"/>
          <w:szCs w:val="20"/>
          <w:lang w:val="vi-VN"/>
        </w:rPr>
        <w:t>Từ khóa:</w:t>
      </w:r>
      <w:r w:rsidRPr="00F32667">
        <w:rPr>
          <w:b/>
          <w:i/>
          <w:sz w:val="20"/>
          <w:szCs w:val="20"/>
          <w:lang w:val="vi-VN"/>
        </w:rPr>
        <w:t xml:space="preserve"> </w:t>
      </w:r>
      <w:r w:rsidR="00846095" w:rsidRPr="00846095">
        <w:rPr>
          <w:i/>
          <w:sz w:val="20"/>
          <w:szCs w:val="20"/>
          <w:lang w:val="vi-VN"/>
        </w:rPr>
        <w:t>Thiết bị đo lường cao áp</w:t>
      </w:r>
      <w:r w:rsidR="001D4E77" w:rsidRPr="00896D8C">
        <w:rPr>
          <w:i/>
          <w:sz w:val="20"/>
          <w:szCs w:val="20"/>
          <w:lang w:val="vi-VN"/>
        </w:rPr>
        <w:t>,</w:t>
      </w:r>
      <w:r w:rsidR="00846095" w:rsidRPr="00846095">
        <w:rPr>
          <w:i/>
          <w:sz w:val="20"/>
          <w:szCs w:val="20"/>
          <w:lang w:val="vi-VN"/>
        </w:rPr>
        <w:t xml:space="preserve"> </w:t>
      </w:r>
      <w:r w:rsidR="001D4E77" w:rsidRPr="00896D8C">
        <w:rPr>
          <w:i/>
          <w:sz w:val="20"/>
          <w:szCs w:val="20"/>
          <w:lang w:val="vi-VN"/>
        </w:rPr>
        <w:t>đ</w:t>
      </w:r>
      <w:r w:rsidR="00846095" w:rsidRPr="00846095">
        <w:rPr>
          <w:i/>
          <w:sz w:val="20"/>
          <w:szCs w:val="20"/>
          <w:lang w:val="vi-VN"/>
        </w:rPr>
        <w:t>ánh thủng điện môi</w:t>
      </w:r>
      <w:r w:rsidR="001D4E77" w:rsidRPr="00896D8C">
        <w:rPr>
          <w:i/>
          <w:sz w:val="20"/>
          <w:szCs w:val="20"/>
          <w:lang w:val="vi-VN"/>
        </w:rPr>
        <w:t>,</w:t>
      </w:r>
      <w:r w:rsidR="00846095" w:rsidRPr="00846095">
        <w:rPr>
          <w:i/>
          <w:sz w:val="20"/>
          <w:szCs w:val="20"/>
          <w:lang w:val="vi-VN"/>
        </w:rPr>
        <w:t xml:space="preserve"> </w:t>
      </w:r>
      <w:r w:rsidR="001D4E77" w:rsidRPr="00896D8C">
        <w:rPr>
          <w:i/>
          <w:sz w:val="20"/>
          <w:szCs w:val="20"/>
          <w:lang w:val="vi-VN"/>
        </w:rPr>
        <w:t>đ</w:t>
      </w:r>
      <w:r w:rsidR="00846095" w:rsidRPr="00846095">
        <w:rPr>
          <w:i/>
          <w:sz w:val="20"/>
          <w:szCs w:val="20"/>
          <w:lang w:val="vi-VN"/>
        </w:rPr>
        <w:t>ánh thủng giới hạn dòng</w:t>
      </w:r>
      <w:r w:rsidR="001D4E77" w:rsidRPr="00896D8C">
        <w:rPr>
          <w:i/>
          <w:sz w:val="20"/>
          <w:szCs w:val="20"/>
          <w:lang w:val="vi-VN"/>
        </w:rPr>
        <w:t>,</w:t>
      </w:r>
      <w:r w:rsidR="00846095" w:rsidRPr="00846095">
        <w:rPr>
          <w:i/>
          <w:sz w:val="20"/>
          <w:szCs w:val="20"/>
          <w:lang w:val="vi-VN"/>
        </w:rPr>
        <w:t xml:space="preserve"> </w:t>
      </w:r>
      <w:r w:rsidR="001D4E77" w:rsidRPr="00896D8C">
        <w:rPr>
          <w:i/>
          <w:sz w:val="20"/>
          <w:szCs w:val="20"/>
          <w:lang w:val="vi-VN"/>
        </w:rPr>
        <w:t>đ</w:t>
      </w:r>
      <w:r w:rsidR="00846095" w:rsidRPr="00846095">
        <w:rPr>
          <w:i/>
          <w:sz w:val="20"/>
          <w:szCs w:val="20"/>
          <w:lang w:val="vi-VN"/>
        </w:rPr>
        <w:t>ộ tin cậy MOS</w:t>
      </w:r>
      <w:r w:rsidR="001D4E77" w:rsidRPr="00896D8C">
        <w:rPr>
          <w:i/>
          <w:sz w:val="20"/>
          <w:szCs w:val="20"/>
          <w:lang w:val="vi-VN"/>
        </w:rPr>
        <w:t>,</w:t>
      </w:r>
      <w:r w:rsidR="00846095" w:rsidRPr="00846095">
        <w:rPr>
          <w:i/>
          <w:sz w:val="20"/>
          <w:szCs w:val="20"/>
          <w:lang w:val="vi-VN"/>
        </w:rPr>
        <w:t xml:space="preserve"> </w:t>
      </w:r>
      <w:r w:rsidR="001D4E77" w:rsidRPr="00896D8C">
        <w:rPr>
          <w:i/>
          <w:sz w:val="20"/>
          <w:szCs w:val="20"/>
          <w:lang w:val="vi-VN"/>
        </w:rPr>
        <w:t>k</w:t>
      </w:r>
      <w:r w:rsidR="00846095" w:rsidRPr="00846095">
        <w:rPr>
          <w:i/>
          <w:sz w:val="20"/>
          <w:szCs w:val="20"/>
          <w:lang w:val="vi-VN"/>
        </w:rPr>
        <w:t>iểm định đo lường.</w:t>
      </w:r>
    </w:p>
    <w:p w14:paraId="4ECDF14E" w14:textId="77777777" w:rsidR="00297F7D" w:rsidRPr="00297F7D" w:rsidRDefault="00297F7D" w:rsidP="0046281E">
      <w:pPr>
        <w:tabs>
          <w:tab w:val="left" w:pos="360"/>
          <w:tab w:val="right" w:leader="hyphen" w:pos="9072"/>
        </w:tabs>
        <w:spacing w:before="120" w:after="120"/>
        <w:jc w:val="both"/>
        <w:rPr>
          <w:b/>
          <w:sz w:val="22"/>
          <w:szCs w:val="20"/>
          <w:lang w:val="vi-VN"/>
        </w:rPr>
      </w:pPr>
    </w:p>
    <w:p w14:paraId="4DAF099D" w14:textId="77777777" w:rsidR="00523EB1" w:rsidRPr="00297F7D" w:rsidRDefault="0046281E" w:rsidP="00523EB1">
      <w:pPr>
        <w:tabs>
          <w:tab w:val="right" w:leader="hyphen" w:pos="9072"/>
        </w:tabs>
        <w:jc w:val="center"/>
        <w:rPr>
          <w:rFonts w:ascii="Arial" w:hAnsi="Arial" w:cs="Arial"/>
          <w:b/>
          <w:sz w:val="28"/>
          <w:szCs w:val="28"/>
          <w:lang w:val="vi-VN"/>
        </w:rPr>
      </w:pPr>
      <w:r w:rsidRPr="00297F7D">
        <w:rPr>
          <w:rFonts w:ascii="Arial" w:hAnsi="Arial" w:cs="Arial"/>
          <w:b/>
          <w:sz w:val="28"/>
          <w:szCs w:val="28"/>
          <w:lang w:val="vi-VN"/>
        </w:rPr>
        <w:br w:type="page"/>
      </w:r>
    </w:p>
    <w:p w14:paraId="4F10A26D" w14:textId="09FD0DB7" w:rsidR="000107C8" w:rsidRPr="00360A4B" w:rsidRDefault="00425068" w:rsidP="000C37AB">
      <w:pPr>
        <w:tabs>
          <w:tab w:val="left" w:pos="0"/>
          <w:tab w:val="right" w:leader="hyphen" w:pos="9355"/>
        </w:tabs>
        <w:jc w:val="center"/>
        <w:rPr>
          <w:b/>
          <w:sz w:val="28"/>
          <w:szCs w:val="32"/>
        </w:rPr>
      </w:pPr>
      <w:r w:rsidRPr="00425068">
        <w:rPr>
          <w:b/>
          <w:sz w:val="28"/>
          <w:szCs w:val="32"/>
        </w:rPr>
        <w:lastRenderedPageBreak/>
        <w:t>Design and metrological validation of a programmable high-voltage I–V measurement system for dielectric breakdown kinetics</w:t>
      </w:r>
    </w:p>
    <w:p w14:paraId="6B612E7F" w14:textId="77777777" w:rsidR="000C37AB" w:rsidRPr="000C37AB" w:rsidRDefault="000C37AB" w:rsidP="000107C8">
      <w:pPr>
        <w:ind w:right="68"/>
        <w:jc w:val="center"/>
        <w:rPr>
          <w:b/>
          <w:sz w:val="28"/>
          <w:szCs w:val="22"/>
        </w:rPr>
      </w:pPr>
    </w:p>
    <w:p w14:paraId="4C3419FF" w14:textId="78A2B609" w:rsidR="000107C8" w:rsidRPr="00165DCD" w:rsidRDefault="000107C8" w:rsidP="000107C8">
      <w:pPr>
        <w:ind w:right="68"/>
        <w:jc w:val="center"/>
        <w:rPr>
          <w:b/>
          <w:szCs w:val="22"/>
        </w:rPr>
      </w:pPr>
      <w:r>
        <w:rPr>
          <w:b/>
          <w:szCs w:val="22"/>
        </w:rPr>
        <w:t xml:space="preserve">Huynh Cong </w:t>
      </w:r>
      <w:r w:rsidR="000C37AB">
        <w:rPr>
          <w:b/>
          <w:szCs w:val="22"/>
        </w:rPr>
        <w:t>Tu</w:t>
      </w:r>
      <w:r w:rsidR="005712D9" w:rsidRPr="005712D9">
        <w:rPr>
          <w:b/>
          <w:szCs w:val="22"/>
          <w:vertAlign w:val="superscript"/>
        </w:rPr>
        <w:t>1,*</w:t>
      </w:r>
      <w:r w:rsidR="005712D9">
        <w:rPr>
          <w:b/>
          <w:szCs w:val="22"/>
        </w:rPr>
        <w:t>, Nguyen Van Hao</w:t>
      </w:r>
      <w:r w:rsidR="005712D9" w:rsidRPr="005712D9">
        <w:rPr>
          <w:b/>
          <w:szCs w:val="22"/>
          <w:vertAlign w:val="superscript"/>
        </w:rPr>
        <w:t>2</w:t>
      </w:r>
    </w:p>
    <w:p w14:paraId="05D622C8" w14:textId="77777777" w:rsidR="000107C8" w:rsidRPr="00DF1118" w:rsidRDefault="000107C8" w:rsidP="000107C8">
      <w:pPr>
        <w:ind w:right="68"/>
        <w:jc w:val="center"/>
        <w:rPr>
          <w:b/>
          <w:szCs w:val="22"/>
        </w:rPr>
      </w:pPr>
    </w:p>
    <w:p w14:paraId="03010FA7" w14:textId="75B83F35" w:rsidR="000107C8" w:rsidRDefault="005712D9" w:rsidP="000107C8">
      <w:pPr>
        <w:ind w:right="70"/>
        <w:jc w:val="center"/>
        <w:rPr>
          <w:i/>
          <w:sz w:val="22"/>
          <w:szCs w:val="22"/>
        </w:rPr>
      </w:pPr>
      <w:r w:rsidRPr="005712D9">
        <w:rPr>
          <w:i/>
          <w:sz w:val="22"/>
          <w:szCs w:val="22"/>
          <w:vertAlign w:val="superscript"/>
        </w:rPr>
        <w:t>1</w:t>
      </w:r>
      <w:r w:rsidR="000107C8" w:rsidRPr="00DF1118">
        <w:rPr>
          <w:i/>
          <w:sz w:val="22"/>
          <w:szCs w:val="22"/>
        </w:rPr>
        <w:t>Office of Academic Affairs, Quy Nhon University</w:t>
      </w:r>
      <w:r w:rsidR="00D850D5">
        <w:rPr>
          <w:i/>
          <w:sz w:val="22"/>
          <w:szCs w:val="22"/>
        </w:rPr>
        <w:t>, Vietnam</w:t>
      </w:r>
    </w:p>
    <w:p w14:paraId="1C956685" w14:textId="229CD57F" w:rsidR="005712D9" w:rsidRDefault="005712D9" w:rsidP="000107C8">
      <w:pPr>
        <w:ind w:right="70"/>
        <w:jc w:val="center"/>
        <w:rPr>
          <w:i/>
          <w:sz w:val="22"/>
          <w:szCs w:val="22"/>
        </w:rPr>
      </w:pPr>
      <w:r w:rsidRPr="005712D9">
        <w:rPr>
          <w:i/>
          <w:sz w:val="22"/>
          <w:szCs w:val="22"/>
          <w:vertAlign w:val="superscript"/>
        </w:rPr>
        <w:t>2</w:t>
      </w:r>
      <w:r w:rsidRPr="005712D9">
        <w:rPr>
          <w:i/>
          <w:sz w:val="22"/>
          <w:szCs w:val="22"/>
        </w:rPr>
        <w:t>Faculty of Engineering and Technology, Quy Nhon University, Vietnam</w:t>
      </w:r>
    </w:p>
    <w:p w14:paraId="5AC22799" w14:textId="77777777" w:rsidR="00F32667" w:rsidRDefault="00F32667" w:rsidP="000107C8">
      <w:pPr>
        <w:ind w:right="70"/>
        <w:rPr>
          <w:i/>
          <w:sz w:val="22"/>
          <w:szCs w:val="22"/>
        </w:rPr>
      </w:pPr>
    </w:p>
    <w:p w14:paraId="6575FFAF" w14:textId="3578859E" w:rsidR="00974745" w:rsidRDefault="00305E33" w:rsidP="004662C1">
      <w:pPr>
        <w:ind w:right="70"/>
        <w:jc w:val="center"/>
        <w:rPr>
          <w:i/>
          <w:sz w:val="22"/>
          <w:szCs w:val="22"/>
        </w:rPr>
      </w:pPr>
      <w:r>
        <w:rPr>
          <w:i/>
          <w:sz w:val="22"/>
          <w:szCs w:val="22"/>
        </w:rPr>
        <w:t>*</w:t>
      </w:r>
      <w:r w:rsidR="000C37AB">
        <w:rPr>
          <w:i/>
          <w:sz w:val="22"/>
          <w:szCs w:val="22"/>
        </w:rPr>
        <w:t xml:space="preserve">Corresponding author. </w:t>
      </w:r>
      <w:r w:rsidR="002610BF">
        <w:rPr>
          <w:i/>
          <w:sz w:val="22"/>
          <w:szCs w:val="22"/>
        </w:rPr>
        <w:t xml:space="preserve">Email: </w:t>
      </w:r>
      <w:hyperlink r:id="rId9" w:history="1">
        <w:r w:rsidR="007E5207" w:rsidRPr="00D80529">
          <w:rPr>
            <w:rStyle w:val="Hyperlink"/>
            <w:i/>
            <w:sz w:val="22"/>
            <w:szCs w:val="22"/>
          </w:rPr>
          <w:t>huynhcongtu@qnu.edu.vn</w:t>
        </w:r>
      </w:hyperlink>
    </w:p>
    <w:p w14:paraId="7ADECB04" w14:textId="77777777" w:rsidR="00305E33" w:rsidRDefault="00305E33" w:rsidP="00797114">
      <w:pPr>
        <w:ind w:right="70"/>
        <w:rPr>
          <w:i/>
          <w:sz w:val="22"/>
          <w:szCs w:val="22"/>
        </w:rPr>
      </w:pPr>
    </w:p>
    <w:p w14:paraId="544C8DBA" w14:textId="527A4080" w:rsidR="005A0F1C" w:rsidRDefault="005A0F1C" w:rsidP="00797114">
      <w:pPr>
        <w:ind w:right="70"/>
        <w:rPr>
          <w:i/>
          <w:sz w:val="22"/>
          <w:szCs w:val="22"/>
        </w:rPr>
      </w:pPr>
    </w:p>
    <w:p w14:paraId="501F4E9D" w14:textId="77777777" w:rsidR="00305E33" w:rsidRDefault="00305E33" w:rsidP="00797114">
      <w:pPr>
        <w:ind w:right="70"/>
        <w:rPr>
          <w:i/>
          <w:sz w:val="22"/>
          <w:szCs w:val="22"/>
        </w:rPr>
      </w:pPr>
    </w:p>
    <w:p w14:paraId="5C17C81B" w14:textId="77777777" w:rsidR="00B144CC" w:rsidRPr="005F7064" w:rsidRDefault="00B144CC" w:rsidP="00AA1FB9">
      <w:pPr>
        <w:tabs>
          <w:tab w:val="right" w:leader="hyphen" w:pos="9072"/>
        </w:tabs>
        <w:rPr>
          <w:b/>
          <w:sz w:val="20"/>
          <w:szCs w:val="20"/>
        </w:rPr>
        <w:sectPr w:rsidR="00B144CC" w:rsidRPr="005F7064" w:rsidSect="00FB0D40">
          <w:footerReference w:type="default" r:id="rId10"/>
          <w:pgSz w:w="11907" w:h="16840" w:code="9"/>
          <w:pgMar w:top="1134" w:right="1134" w:bottom="1134" w:left="1418" w:header="720" w:footer="425" w:gutter="0"/>
          <w:cols w:space="720"/>
          <w:docGrid w:linePitch="360"/>
        </w:sectPr>
      </w:pPr>
    </w:p>
    <w:p w14:paraId="1764A34E" w14:textId="77777777" w:rsidR="005F7064" w:rsidRPr="003C753C" w:rsidRDefault="002751C6" w:rsidP="007B2486">
      <w:pPr>
        <w:tabs>
          <w:tab w:val="left" w:pos="360"/>
          <w:tab w:val="left" w:pos="540"/>
          <w:tab w:val="right" w:leader="hyphen" w:pos="9072"/>
        </w:tabs>
        <w:spacing w:after="120"/>
        <w:jc w:val="both"/>
        <w:rPr>
          <w:b/>
          <w:sz w:val="22"/>
          <w:szCs w:val="22"/>
          <w:lang w:val="vi-VN"/>
        </w:rPr>
      </w:pPr>
      <w:r w:rsidRPr="002751C6">
        <w:rPr>
          <w:b/>
          <w:sz w:val="22"/>
          <w:szCs w:val="22"/>
          <w:lang w:val="vi-VN"/>
        </w:rPr>
        <w:lastRenderedPageBreak/>
        <w:t>ABSTRACT</w:t>
      </w:r>
    </w:p>
    <w:p w14:paraId="1838365A" w14:textId="77777777" w:rsidR="009C066D" w:rsidRPr="00C51B94" w:rsidRDefault="009C066D" w:rsidP="009C066D">
      <w:pPr>
        <w:spacing w:after="240"/>
        <w:jc w:val="both"/>
        <w:rPr>
          <w:sz w:val="20"/>
          <w:szCs w:val="20"/>
        </w:rPr>
      </w:pPr>
      <w:r w:rsidRPr="00C51B94">
        <w:rPr>
          <w:sz w:val="20"/>
          <w:szCs w:val="20"/>
        </w:rPr>
        <w:t>Accurate distinction between intrinsic dielectric breakdown and instrument-induced compliance artifacts is a fundamental challenge in semiconductor reliability metrology. Addressing this requirement, this paper presents the design and metrological verification of a programmable high-voltage (HV) I</w:t>
      </w:r>
      <w:r>
        <w:rPr>
          <w:sz w:val="20"/>
          <w:szCs w:val="20"/>
        </w:rPr>
        <w:t>–</w:t>
      </w:r>
      <w:r w:rsidRPr="00C51B94">
        <w:rPr>
          <w:sz w:val="20"/>
          <w:szCs w:val="20"/>
        </w:rPr>
        <w:t>V measurement system optimized for breakdown kinetics analysis. The architecture integrates a ramp-controlled HV source with a dual-channel, galvanically isolated data acquisition module, achieving an effective post-processed noise floor in the sub-nA range to ensure signal integrity across the full dynamic range. A central contribution is the validation of a compliance-aware detection strategy. By localizing the intrinsic Hard Breakdown (HBD) onset at the global maximum of the differential slope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C51B94">
        <w:rPr>
          <w:sz w:val="20"/>
          <w:szCs w:val="20"/>
        </w:rPr>
        <w:t>) and explicitly excluding the subsequent Compliance-Limited Region (CLR), this approach eliminates ambiguity in parameter reporting. Experimental verification on 150-nm Si/SiO</w:t>
      </w:r>
      <w:r w:rsidRPr="00C51B94">
        <w:rPr>
          <w:sz w:val="20"/>
          <w:szCs w:val="20"/>
          <w:vertAlign w:val="subscript"/>
        </w:rPr>
        <w:t>2</w:t>
      </w:r>
      <w:r>
        <w:rPr>
          <w:sz w:val="20"/>
          <w:szCs w:val="20"/>
        </w:rPr>
        <w:t xml:space="preserve"> </w:t>
      </w:r>
      <w:r w:rsidRPr="00C51B94">
        <w:rPr>
          <w:sz w:val="20"/>
          <w:szCs w:val="20"/>
        </w:rPr>
        <w:t>MOS capacitors demonstrates the system's capability to resolve field-dependent leakage, identifying mixed Fowler</w:t>
      </w:r>
      <w:r>
        <w:rPr>
          <w:sz w:val="20"/>
          <w:szCs w:val="20"/>
        </w:rPr>
        <w:t>–</w:t>
      </w:r>
      <w:r w:rsidRPr="00C51B94">
        <w:rPr>
          <w:sz w:val="20"/>
          <w:szCs w:val="20"/>
        </w:rPr>
        <w:t>Nordheim and Poole</w:t>
      </w:r>
      <w:r>
        <w:rPr>
          <w:sz w:val="20"/>
          <w:szCs w:val="20"/>
        </w:rPr>
        <w:t>–</w:t>
      </w:r>
      <w:r w:rsidRPr="00C51B94">
        <w:rPr>
          <w:sz w:val="20"/>
          <w:szCs w:val="20"/>
        </w:rPr>
        <w:t>Frenkel conduction mechanisms with high linearity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r>
          <m:rPr>
            <m:sty m:val="p"/>
          </m:rPr>
          <w:rPr>
            <w:rFonts w:ascii="Cambria Math" w:hAnsi="Cambria Math"/>
            <w:sz w:val="20"/>
            <w:szCs w:val="20"/>
          </w:rPr>
          <m:t>&gt;0.97</m:t>
        </m:r>
      </m:oMath>
      <w:r w:rsidRPr="00C51B94">
        <w:rPr>
          <w:sz w:val="20"/>
          <w:szCs w:val="20"/>
        </w:rPr>
        <w:t>) within a 2</w:t>
      </w:r>
      <w:r>
        <w:rPr>
          <w:sz w:val="20"/>
          <w:szCs w:val="20"/>
        </w:rPr>
        <w:t>–</w:t>
      </w:r>
      <w:r w:rsidRPr="00C51B94">
        <w:rPr>
          <w:sz w:val="20"/>
          <w:szCs w:val="20"/>
        </w:rPr>
        <w:t xml:space="preserve">7 MV/cm diagnostic window. Furthermore, the study reports a mean breakdown field of </w:t>
      </w:r>
      <m:oMath>
        <m:r>
          <m:rPr>
            <m:sty m:val="p"/>
          </m:rPr>
          <w:rPr>
            <w:rFonts w:ascii="Cambria Math" w:hAnsi="Cambria Math"/>
            <w:sz w:val="20"/>
            <w:szCs w:val="20"/>
          </w:rPr>
          <m:t>6.38</m:t>
        </m:r>
      </m:oMath>
      <w:r w:rsidRPr="00C51B94">
        <w:rPr>
          <w:sz w:val="20"/>
          <w:szCs w:val="20"/>
        </w:rPr>
        <w:t xml:space="preserve"> MV/cm with a coefficient of variation of </w:t>
      </w:r>
      <m:oMath>
        <m:r>
          <m:rPr>
            <m:sty m:val="p"/>
          </m:rPr>
          <w:rPr>
            <w:rFonts w:ascii="Cambria Math" w:hAnsi="Cambria Math"/>
            <w:sz w:val="20"/>
            <w:szCs w:val="20"/>
          </w:rPr>
          <m:t>15.7%</m:t>
        </m:r>
      </m:oMath>
      <w:r w:rsidRPr="00C51B94">
        <w:rPr>
          <w:sz w:val="20"/>
          <w:szCs w:val="20"/>
        </w:rPr>
        <w:t xml:space="preserve"> (</w:t>
      </w:r>
      <m:oMath>
        <m:r>
          <w:rPr>
            <w:rFonts w:ascii="Cambria Math" w:hAnsi="Cambria Math"/>
            <w:sz w:val="20"/>
            <w:szCs w:val="20"/>
          </w:rPr>
          <m:t>n</m:t>
        </m:r>
        <m:r>
          <m:rPr>
            <m:sty m:val="p"/>
          </m:rPr>
          <w:rPr>
            <w:rFonts w:ascii="Cambria Math" w:hAnsi="Cambria Math"/>
            <w:sz w:val="20"/>
            <w:szCs w:val="20"/>
          </w:rPr>
          <m:t>=6</m:t>
        </m:r>
      </m:oMath>
      <w:r w:rsidRPr="00C51B94">
        <w:rPr>
          <w:sz w:val="20"/>
          <w:szCs w:val="20"/>
        </w:rPr>
        <w:t>), validating the platform as a transparent and reproducible solution for rigorous dielectric integrity studies and failure analysis.</w:t>
      </w:r>
    </w:p>
    <w:p w14:paraId="1AC63A72" w14:textId="263C0BB8" w:rsidR="00FC4AB0" w:rsidRPr="00F32667" w:rsidRDefault="000107C8" w:rsidP="00813239">
      <w:pPr>
        <w:tabs>
          <w:tab w:val="right" w:leader="hyphen" w:pos="9072"/>
        </w:tabs>
        <w:spacing w:before="120" w:after="120"/>
        <w:jc w:val="both"/>
        <w:rPr>
          <w:sz w:val="22"/>
          <w:szCs w:val="22"/>
          <w:lang w:val="vi-VN"/>
        </w:rPr>
      </w:pPr>
      <w:r w:rsidRPr="002610BF">
        <w:rPr>
          <w:b/>
          <w:sz w:val="20"/>
          <w:szCs w:val="20"/>
        </w:rPr>
        <w:t>Keywords:</w:t>
      </w:r>
      <w:r w:rsidR="009044F5">
        <w:rPr>
          <w:i/>
          <w:sz w:val="20"/>
          <w:szCs w:val="20"/>
        </w:rPr>
        <w:t xml:space="preserve"> </w:t>
      </w:r>
      <w:r w:rsidR="00B91958" w:rsidRPr="00B91958">
        <w:rPr>
          <w:i/>
          <w:sz w:val="20"/>
          <w:szCs w:val="20"/>
        </w:rPr>
        <w:t>High-voltage instrumentation</w:t>
      </w:r>
      <w:r w:rsidR="00935D96">
        <w:rPr>
          <w:i/>
          <w:sz w:val="20"/>
          <w:szCs w:val="20"/>
        </w:rPr>
        <w:t>,</w:t>
      </w:r>
      <w:r w:rsidR="00B91958" w:rsidRPr="00B91958">
        <w:rPr>
          <w:i/>
          <w:sz w:val="20"/>
          <w:szCs w:val="20"/>
        </w:rPr>
        <w:t xml:space="preserve"> </w:t>
      </w:r>
      <w:r w:rsidR="00935D96">
        <w:rPr>
          <w:i/>
          <w:sz w:val="20"/>
          <w:szCs w:val="20"/>
        </w:rPr>
        <w:t>d</w:t>
      </w:r>
      <w:r w:rsidR="00B91958" w:rsidRPr="00B91958">
        <w:rPr>
          <w:i/>
          <w:sz w:val="20"/>
          <w:szCs w:val="20"/>
        </w:rPr>
        <w:t>ielectric breakdown</w:t>
      </w:r>
      <w:r w:rsidR="00935D96">
        <w:rPr>
          <w:i/>
          <w:sz w:val="20"/>
          <w:szCs w:val="20"/>
        </w:rPr>
        <w:t>,</w:t>
      </w:r>
      <w:r w:rsidR="00B91958" w:rsidRPr="00B91958">
        <w:rPr>
          <w:i/>
          <w:sz w:val="20"/>
          <w:szCs w:val="20"/>
        </w:rPr>
        <w:t xml:space="preserve"> </w:t>
      </w:r>
      <w:r w:rsidR="00935D96">
        <w:rPr>
          <w:i/>
          <w:sz w:val="20"/>
          <w:szCs w:val="20"/>
        </w:rPr>
        <w:t>c</w:t>
      </w:r>
      <w:r w:rsidR="00B91958" w:rsidRPr="00B91958">
        <w:rPr>
          <w:i/>
          <w:sz w:val="20"/>
          <w:szCs w:val="20"/>
        </w:rPr>
        <w:t>ompliance-limited breakdown</w:t>
      </w:r>
      <w:r w:rsidR="00935D96">
        <w:rPr>
          <w:i/>
          <w:sz w:val="20"/>
          <w:szCs w:val="20"/>
        </w:rPr>
        <w:t>,</w:t>
      </w:r>
      <w:r w:rsidR="00B91958" w:rsidRPr="00B91958">
        <w:rPr>
          <w:i/>
          <w:sz w:val="20"/>
          <w:szCs w:val="20"/>
        </w:rPr>
        <w:t xml:space="preserve"> MOS reliability</w:t>
      </w:r>
      <w:r w:rsidR="00935D96">
        <w:rPr>
          <w:i/>
          <w:sz w:val="20"/>
          <w:szCs w:val="20"/>
        </w:rPr>
        <w:t>,</w:t>
      </w:r>
      <w:r w:rsidR="00B91958" w:rsidRPr="00B91958">
        <w:rPr>
          <w:i/>
          <w:sz w:val="20"/>
          <w:szCs w:val="20"/>
        </w:rPr>
        <w:t xml:space="preserve"> </w:t>
      </w:r>
      <w:r w:rsidR="00935D96">
        <w:rPr>
          <w:i/>
          <w:sz w:val="20"/>
          <w:szCs w:val="20"/>
        </w:rPr>
        <w:t>m</w:t>
      </w:r>
      <w:r w:rsidR="00B91958" w:rsidRPr="00B91958">
        <w:rPr>
          <w:i/>
          <w:sz w:val="20"/>
          <w:szCs w:val="20"/>
        </w:rPr>
        <w:t>etrological verification.</w:t>
      </w:r>
    </w:p>
    <w:p w14:paraId="41BCDEDC" w14:textId="77777777" w:rsidR="00FC4AB0" w:rsidRPr="00F32667" w:rsidRDefault="00FC4AB0" w:rsidP="00DC3868">
      <w:pPr>
        <w:tabs>
          <w:tab w:val="left" w:pos="360"/>
          <w:tab w:val="right" w:leader="hyphen" w:pos="9072"/>
        </w:tabs>
        <w:jc w:val="both"/>
        <w:rPr>
          <w:sz w:val="22"/>
          <w:szCs w:val="22"/>
          <w:lang w:val="vi-VN"/>
        </w:rPr>
        <w:sectPr w:rsidR="00FC4AB0" w:rsidRPr="00F32667" w:rsidSect="00FC155D">
          <w:type w:val="continuous"/>
          <w:pgSz w:w="11907" w:h="16840" w:code="9"/>
          <w:pgMar w:top="1134" w:right="1134" w:bottom="1134" w:left="1418" w:header="720" w:footer="720" w:gutter="0"/>
          <w:cols w:space="720"/>
          <w:docGrid w:linePitch="360"/>
        </w:sectPr>
      </w:pPr>
    </w:p>
    <w:p w14:paraId="05BE87A6" w14:textId="77777777" w:rsidR="004449B1" w:rsidRPr="003F547F" w:rsidRDefault="0073121D" w:rsidP="00771D12">
      <w:pPr>
        <w:tabs>
          <w:tab w:val="left" w:pos="567"/>
          <w:tab w:val="right" w:leader="hyphen" w:pos="9072"/>
        </w:tabs>
        <w:spacing w:before="120"/>
        <w:jc w:val="both"/>
        <w:rPr>
          <w:sz w:val="22"/>
          <w:szCs w:val="22"/>
          <w:lang w:val="vi-VN"/>
        </w:rPr>
      </w:pPr>
      <w:r w:rsidRPr="004449B1">
        <w:rPr>
          <w:b/>
          <w:sz w:val="22"/>
          <w:szCs w:val="22"/>
          <w:lang w:val="vi-VN"/>
        </w:rPr>
        <w:lastRenderedPageBreak/>
        <w:t xml:space="preserve">1. </w:t>
      </w:r>
      <w:r w:rsidR="002751C6" w:rsidRPr="002751C6">
        <w:rPr>
          <w:b/>
          <w:sz w:val="22"/>
          <w:szCs w:val="22"/>
          <w:lang w:val="vi-VN"/>
        </w:rPr>
        <w:t>INTRODUCTION</w:t>
      </w:r>
    </w:p>
    <w:p w14:paraId="2F26C53A" w14:textId="3C1BC353" w:rsidR="00854702" w:rsidRDefault="007650AB" w:rsidP="00771D12">
      <w:pPr>
        <w:spacing w:before="120"/>
        <w:ind w:firstLine="567"/>
        <w:jc w:val="both"/>
        <w:rPr>
          <w:rFonts w:eastAsia="Georgia"/>
          <w:sz w:val="22"/>
          <w:szCs w:val="22"/>
        </w:rPr>
      </w:pPr>
      <w:r w:rsidRPr="00867AD1">
        <w:rPr>
          <w:rFonts w:eastAsia="Georgia"/>
          <w:sz w:val="22"/>
          <w:szCs w:val="22"/>
        </w:rPr>
        <w:t>The continuous scaling of metal-oxide-semiconductor (MOS) technologies imposes increasingly stringent requirements on the reliability of gate dielectrics.</w:t>
      </w:r>
      <w:r w:rsidR="003655F4">
        <w:rPr>
          <w:rFonts w:eastAsia="Georgia"/>
          <w:sz w:val="22"/>
          <w:szCs w:val="22"/>
        </w:rPr>
        <w:t xml:space="preserve"> </w:t>
      </w:r>
      <w:r w:rsidR="003655F4" w:rsidRPr="003655F4">
        <w:rPr>
          <w:rFonts w:eastAsia="Georgia"/>
          <w:sz w:val="22"/>
          <w:szCs w:val="22"/>
        </w:rPr>
        <w:t>This challenge is not limited to conventional Silicon devices but is even more critical in emerging wide-bandgap power devices like SiC MOSFETs, where gate oxide integrity remains a primary reliability concern</w:t>
      </w:r>
      <w:r w:rsidR="003655F4">
        <w:rPr>
          <w:rFonts w:eastAsia="Georgia"/>
          <w:sz w:val="22"/>
          <w:szCs w:val="22"/>
        </w:rPr>
        <w:t xml:space="preserve"> </w:t>
      </w:r>
      <w:r w:rsidR="001366BB" w:rsidRPr="001366BB">
        <w:rPr>
          <w:sz w:val="22"/>
          <w:vertAlign w:val="superscript"/>
        </w:rPr>
        <w:t>1</w:t>
      </w:r>
      <w:r w:rsidR="003655F4">
        <w:rPr>
          <w:rFonts w:eastAsia="Georgia"/>
          <w:sz w:val="22"/>
          <w:szCs w:val="22"/>
        </w:rPr>
        <w:t>.</w:t>
      </w:r>
      <w:r w:rsidRPr="00867AD1">
        <w:rPr>
          <w:rFonts w:eastAsia="Georgia"/>
          <w:sz w:val="22"/>
          <w:szCs w:val="22"/>
        </w:rPr>
        <w:t xml:space="preserve"> As device dimensions shrink, the electric field across the oxide layer intensifies, making the accurate characterization of dielectric breakdown (BD) mechanisms critical for predicting device lifetime</w:t>
      </w:r>
      <w:r w:rsidR="00771D12">
        <w:rPr>
          <w:rFonts w:eastAsia="Georgia"/>
          <w:sz w:val="22"/>
          <w:szCs w:val="22"/>
        </w:rPr>
        <w:t xml:space="preserve"> </w:t>
      </w:r>
      <w:r w:rsidR="001366BB" w:rsidRPr="001366BB">
        <w:rPr>
          <w:sz w:val="22"/>
          <w:vertAlign w:val="superscript"/>
        </w:rPr>
        <w:t>2</w:t>
      </w:r>
      <w:r w:rsidR="00E22139">
        <w:rPr>
          <w:sz w:val="22"/>
          <w:vertAlign w:val="superscript"/>
        </w:rPr>
        <w:t>-</w:t>
      </w:r>
      <w:r w:rsidR="001366BB" w:rsidRPr="001366BB">
        <w:rPr>
          <w:sz w:val="22"/>
          <w:vertAlign w:val="superscript"/>
        </w:rPr>
        <w:t>6</w:t>
      </w:r>
      <w:r w:rsidRPr="00867AD1">
        <w:rPr>
          <w:rFonts w:eastAsia="Georgia"/>
          <w:sz w:val="22"/>
          <w:szCs w:val="22"/>
        </w:rPr>
        <w:t>. Understanding the degradation kinetics</w:t>
      </w:r>
      <w:r w:rsidRPr="00867AD1">
        <w:rPr>
          <w:rFonts w:eastAsia="Georgia"/>
        </w:rPr>
        <w:t>—</w:t>
      </w:r>
      <w:r w:rsidRPr="00867AD1">
        <w:rPr>
          <w:rFonts w:eastAsia="Georgia"/>
          <w:sz w:val="22"/>
          <w:szCs w:val="22"/>
        </w:rPr>
        <w:t>ranging from trap-assisted tunneling in the pre-breakdown regime to the catastrophic hard breakdown (HBD) event</w:t>
      </w:r>
      <w:r>
        <w:rPr>
          <w:rFonts w:eastAsia="Georgia"/>
        </w:rPr>
        <w:t>—</w:t>
      </w:r>
      <w:r w:rsidRPr="00867AD1">
        <w:rPr>
          <w:rFonts w:eastAsia="Georgia"/>
          <w:sz w:val="22"/>
          <w:szCs w:val="22"/>
        </w:rPr>
        <w:t>necessitates precise current</w:t>
      </w:r>
      <w:r>
        <w:rPr>
          <w:rFonts w:eastAsia="Georgia"/>
        </w:rPr>
        <w:t>–</w:t>
      </w:r>
      <w:r w:rsidRPr="00867AD1">
        <w:rPr>
          <w:rFonts w:eastAsia="Georgia"/>
          <w:sz w:val="22"/>
          <w:szCs w:val="22"/>
        </w:rPr>
        <w:t>voltage (I</w:t>
      </w:r>
      <w:r>
        <w:rPr>
          <w:rFonts w:eastAsia="Georgia"/>
        </w:rPr>
        <w:t>–</w:t>
      </w:r>
      <w:r w:rsidRPr="00867AD1">
        <w:rPr>
          <w:rFonts w:eastAsia="Georgia"/>
          <w:sz w:val="22"/>
          <w:szCs w:val="22"/>
        </w:rPr>
        <w:t>V) and time-dependent dielectric breakdown (TDDB) measurements under high-field stress</w:t>
      </w:r>
      <w:r w:rsidR="00E22139">
        <w:rPr>
          <w:rFonts w:eastAsia="Georgia"/>
          <w:sz w:val="22"/>
          <w:szCs w:val="22"/>
        </w:rPr>
        <w:t xml:space="preserve"> </w:t>
      </w:r>
      <w:r w:rsidR="001366BB" w:rsidRPr="001366BB">
        <w:rPr>
          <w:sz w:val="22"/>
          <w:vertAlign w:val="superscript"/>
        </w:rPr>
        <w:t>5</w:t>
      </w:r>
      <w:r w:rsidR="00771D12">
        <w:rPr>
          <w:rFonts w:eastAsia="Georgia"/>
          <w:sz w:val="22"/>
          <w:szCs w:val="22"/>
        </w:rPr>
        <w:t>,</w:t>
      </w:r>
      <w:r w:rsidR="001366BB" w:rsidRPr="001366BB">
        <w:rPr>
          <w:sz w:val="22"/>
          <w:vertAlign w:val="superscript"/>
        </w:rPr>
        <w:t>7</w:t>
      </w:r>
      <w:r w:rsidRPr="00867AD1">
        <w:rPr>
          <w:rFonts w:eastAsia="Georgia"/>
          <w:sz w:val="22"/>
          <w:szCs w:val="22"/>
        </w:rPr>
        <w:t xml:space="preserve">. </w:t>
      </w:r>
      <w:r w:rsidR="00E92E76" w:rsidRPr="00E92E76">
        <w:rPr>
          <w:rFonts w:eastAsia="Georgia"/>
          <w:sz w:val="22"/>
          <w:szCs w:val="22"/>
        </w:rPr>
        <w:t xml:space="preserve">Conventionally, dielectric characterization is performed using commercial semiconductor parameter analyzers (SPAs), which are optimized for high-precision, general-purpose measurements. However, the centralized architecture of standard ATEs can present challenges when implementing highly specific, dynamic stress protocols tailored to </w:t>
      </w:r>
      <w:r w:rsidR="00E92E76" w:rsidRPr="00E92E76">
        <w:rPr>
          <w:rFonts w:eastAsia="Georgia"/>
          <w:sz w:val="22"/>
          <w:szCs w:val="22"/>
        </w:rPr>
        <w:lastRenderedPageBreak/>
        <w:t>breakdown kinetics, particularly regarding cost-efficiency and real-time feedback flexibility</w:t>
      </w:r>
      <w:r w:rsidR="00E92E76">
        <w:rPr>
          <w:rFonts w:eastAsia="Georgia"/>
          <w:sz w:val="22"/>
          <w:szCs w:val="22"/>
        </w:rPr>
        <w:t xml:space="preserve"> </w:t>
      </w:r>
      <w:r w:rsidR="001366BB" w:rsidRPr="001366BB">
        <w:rPr>
          <w:sz w:val="22"/>
          <w:vertAlign w:val="superscript"/>
        </w:rPr>
        <w:t>8</w:t>
      </w:r>
      <w:r w:rsidR="00E92E76" w:rsidRPr="00E92E76">
        <w:rPr>
          <w:rFonts w:eastAsia="Georgia"/>
          <w:sz w:val="22"/>
          <w:szCs w:val="22"/>
        </w:rPr>
        <w:t>. Consequently, the development of custom programmable instrumentation has emerged as a viable approach to bridge the gap between metrological rigour and the adaptability required for advanced reliability studies</w:t>
      </w:r>
      <w:r w:rsidRPr="00867AD1">
        <w:rPr>
          <w:rFonts w:eastAsia="Georgia"/>
          <w:sz w:val="22"/>
          <w:szCs w:val="22"/>
        </w:rPr>
        <w:t xml:space="preserve">. </w:t>
      </w:r>
    </w:p>
    <w:p w14:paraId="7ED081F4" w14:textId="41DECAC6" w:rsidR="0053066D" w:rsidRDefault="0053066D" w:rsidP="00771D12">
      <w:pPr>
        <w:spacing w:before="120"/>
        <w:ind w:firstLine="567"/>
        <w:jc w:val="both"/>
        <w:rPr>
          <w:rFonts w:eastAsia="Georgia"/>
          <w:sz w:val="22"/>
          <w:szCs w:val="22"/>
        </w:rPr>
      </w:pPr>
      <w:r w:rsidRPr="0053066D">
        <w:rPr>
          <w:rFonts w:eastAsia="Georgia"/>
          <w:sz w:val="22"/>
          <w:szCs w:val="22"/>
        </w:rPr>
        <w:t>A critical metrological aspect of high-voltage breakdown testing involves the interaction between the device under test (DUT) and the instrument's compliance setting. As demonstrated in studies regarding breakdown evolution, the external circuit impedance and power dissipation limits directly influence the stability and morphology of the resulting conducting filament</w:t>
      </w:r>
      <w:r>
        <w:rPr>
          <w:rFonts w:eastAsia="Georgia"/>
          <w:sz w:val="22"/>
          <w:szCs w:val="22"/>
        </w:rPr>
        <w:t xml:space="preserve"> </w:t>
      </w:r>
      <w:r w:rsidR="001366BB" w:rsidRPr="001366BB">
        <w:rPr>
          <w:sz w:val="22"/>
          <w:vertAlign w:val="superscript"/>
        </w:rPr>
        <w:t>9</w:t>
      </w:r>
      <w:r w:rsidR="00E22139">
        <w:rPr>
          <w:sz w:val="22"/>
          <w:vertAlign w:val="superscript"/>
        </w:rPr>
        <w:t>-</w:t>
      </w:r>
      <w:r w:rsidR="001366BB" w:rsidRPr="001366BB">
        <w:rPr>
          <w:sz w:val="22"/>
          <w:vertAlign w:val="superscript"/>
        </w:rPr>
        <w:t>11</w:t>
      </w:r>
      <w:r w:rsidRPr="0053066D">
        <w:rPr>
          <w:rFonts w:eastAsia="Georgia"/>
          <w:sz w:val="22"/>
          <w:szCs w:val="22"/>
        </w:rPr>
        <w:t>. Consequently, during a hard breakdown (HBD) event, the current rises abruptly until clamped by the compliance limit, yielding a measured transient that convolves the intrinsic breakdown mechanism with a subsequent Compliance-Limited Region (CLR)</w:t>
      </w:r>
      <w:r w:rsidR="002F1C8C">
        <w:rPr>
          <w:rFonts w:eastAsia="Georgia"/>
          <w:sz w:val="22"/>
          <w:szCs w:val="22"/>
        </w:rPr>
        <w:t xml:space="preserve"> </w:t>
      </w:r>
      <w:r w:rsidR="001366BB" w:rsidRPr="001366BB">
        <w:rPr>
          <w:sz w:val="22"/>
          <w:vertAlign w:val="superscript"/>
        </w:rPr>
        <w:t>12</w:t>
      </w:r>
      <w:r w:rsidRPr="0053066D">
        <w:rPr>
          <w:rFonts w:eastAsia="Georgia"/>
          <w:sz w:val="22"/>
          <w:szCs w:val="22"/>
        </w:rPr>
        <w:t xml:space="preserve">. Accurately distinguishing these regimes is essential for determining the true energy dissipated during failure. However, because general-purpose instrumentation typically captures the aggregate response, the automated separation of the intrinsic onset from compliance artifacts necessitates dedicated algorithmic post-processing to mitigate </w:t>
      </w:r>
      <w:r w:rsidRPr="0053066D">
        <w:rPr>
          <w:rFonts w:eastAsia="Georgia"/>
          <w:sz w:val="22"/>
          <w:szCs w:val="22"/>
        </w:rPr>
        <w:lastRenderedPageBreak/>
        <w:t>potential ambiguity in post-breakdown characterization</w:t>
      </w:r>
      <w:r>
        <w:rPr>
          <w:rFonts w:eastAsia="Georgia"/>
          <w:sz w:val="22"/>
          <w:szCs w:val="22"/>
        </w:rPr>
        <w:t>.</w:t>
      </w:r>
      <w:r w:rsidRPr="0053066D">
        <w:rPr>
          <w:rFonts w:eastAsia="Georgia"/>
          <w:sz w:val="22"/>
          <w:szCs w:val="22"/>
        </w:rPr>
        <w:t xml:space="preserve"> </w:t>
      </w:r>
    </w:p>
    <w:p w14:paraId="303A7765" w14:textId="5A92B2E4" w:rsidR="003655F4" w:rsidRDefault="003655F4" w:rsidP="00771D12">
      <w:pPr>
        <w:spacing w:before="120"/>
        <w:ind w:firstLine="567"/>
        <w:jc w:val="both"/>
        <w:rPr>
          <w:sz w:val="22"/>
          <w:szCs w:val="22"/>
        </w:rPr>
      </w:pPr>
      <w:r w:rsidRPr="003655F4">
        <w:rPr>
          <w:sz w:val="22"/>
          <w:szCs w:val="22"/>
        </w:rPr>
        <w:t xml:space="preserve">Recent developments in instrumentation have explored custom I–V tracers to address specific characterization needs, ranging from large-scale cryogenic CMOS analysis </w:t>
      </w:r>
      <w:r w:rsidR="001366BB" w:rsidRPr="001366BB">
        <w:rPr>
          <w:sz w:val="22"/>
          <w:vertAlign w:val="superscript"/>
        </w:rPr>
        <w:t>13</w:t>
      </w:r>
      <w:r>
        <w:rPr>
          <w:sz w:val="22"/>
          <w:szCs w:val="22"/>
        </w:rPr>
        <w:t xml:space="preserve"> </w:t>
      </w:r>
      <w:r w:rsidRPr="003655F4">
        <w:rPr>
          <w:sz w:val="22"/>
          <w:szCs w:val="22"/>
        </w:rPr>
        <w:t>to the rigorous evaluation of wide-bandgap power devices</w:t>
      </w:r>
      <w:r>
        <w:rPr>
          <w:sz w:val="22"/>
          <w:szCs w:val="22"/>
        </w:rPr>
        <w:t xml:space="preserve"> </w:t>
      </w:r>
      <w:r w:rsidRPr="003655F4">
        <w:rPr>
          <w:sz w:val="22"/>
          <w:szCs w:val="22"/>
        </w:rPr>
        <w:t xml:space="preserve"> </w:t>
      </w:r>
      <w:r w:rsidR="001366BB" w:rsidRPr="001366BB">
        <w:rPr>
          <w:sz w:val="22"/>
          <w:vertAlign w:val="superscript"/>
        </w:rPr>
        <w:t>14</w:t>
      </w:r>
      <w:r w:rsidRPr="003655F4">
        <w:rPr>
          <w:sz w:val="22"/>
          <w:szCs w:val="22"/>
        </w:rPr>
        <w:t xml:space="preserve">. Yet, many existing solutions prioritize cost reduction over metrological rigor, often lacking the dynamic range required to resolve low-level leakage currents—a critical parameter for modeling carrier trapping behavior </w:t>
      </w:r>
      <w:r>
        <w:rPr>
          <w:sz w:val="22"/>
          <w:szCs w:val="22"/>
        </w:rPr>
        <w:t xml:space="preserve"> </w:t>
      </w:r>
      <w:r w:rsidR="001366BB" w:rsidRPr="001366BB">
        <w:rPr>
          <w:sz w:val="22"/>
          <w:vertAlign w:val="superscript"/>
        </w:rPr>
        <w:t>14</w:t>
      </w:r>
      <w:r w:rsidRPr="003655F4">
        <w:rPr>
          <w:sz w:val="22"/>
          <w:szCs w:val="22"/>
        </w:rPr>
        <w:t xml:space="preserve">—while simultaneously handling high-energy breakdown transients common in high-voltage applications </w:t>
      </w:r>
      <w:r>
        <w:rPr>
          <w:sz w:val="22"/>
          <w:szCs w:val="22"/>
        </w:rPr>
        <w:t xml:space="preserve"> </w:t>
      </w:r>
      <w:r w:rsidR="001366BB" w:rsidRPr="001366BB">
        <w:rPr>
          <w:sz w:val="22"/>
          <w:vertAlign w:val="superscript"/>
        </w:rPr>
        <w:t>15</w:t>
      </w:r>
      <w:r w:rsidRPr="003655F4">
        <w:rPr>
          <w:sz w:val="22"/>
          <w:szCs w:val="22"/>
        </w:rPr>
        <w:t xml:space="preserve">. Furthermore, distinguishing valid breakdown events from system background noise often necessitates advanced data filtering and trigger validation algorithms </w:t>
      </w:r>
      <w:r w:rsidR="001366BB" w:rsidRPr="001366BB">
        <w:rPr>
          <w:sz w:val="22"/>
          <w:vertAlign w:val="superscript"/>
        </w:rPr>
        <w:t>16</w:t>
      </w:r>
      <w:r w:rsidRPr="003655F4">
        <w:rPr>
          <w:sz w:val="22"/>
          <w:szCs w:val="22"/>
        </w:rPr>
        <w:t>. Consequently, the integration of intelligent detection strategies capable of identifying the precise physical onset of breakdown, independent of hardware latency, remains an area requiring further advancement in measurement science.</w:t>
      </w:r>
    </w:p>
    <w:p w14:paraId="785F4547" w14:textId="77777777" w:rsidR="00771D12" w:rsidRDefault="007650AB" w:rsidP="00771D12">
      <w:pPr>
        <w:spacing w:before="120"/>
        <w:ind w:firstLine="567"/>
        <w:jc w:val="both"/>
        <w:rPr>
          <w:sz w:val="22"/>
          <w:szCs w:val="22"/>
        </w:rPr>
      </w:pPr>
      <w:r w:rsidRPr="00867AD1">
        <w:rPr>
          <w:sz w:val="22"/>
          <w:szCs w:val="22"/>
        </w:rPr>
        <w:t>This paper reports the design, implementation, and metrological validation of a programmable high-voltage I</w:t>
      </w:r>
      <w:r>
        <w:t>–</w:t>
      </w:r>
      <w:r w:rsidRPr="00867AD1">
        <w:rPr>
          <w:sz w:val="22"/>
          <w:szCs w:val="22"/>
        </w:rPr>
        <w:t>V measurement system optimized for dielectric breakdown kinetics. Unlike basic data loggers, the proposed architecture emphasizes measurement integrity through galvanic isolation and a high-dynamic-range sensing topology utilizing precision voltage dividers. A central contribution of this work is the development of a compliance-aware detection strategy that mathematically discriminates between the physical HBD event and the artifactual CLR. This ensures that reported breakdown parameters reflect true material limits rather than instrument constraints.</w:t>
      </w:r>
    </w:p>
    <w:p w14:paraId="167C022E" w14:textId="0964BACF" w:rsidR="007650AB" w:rsidRPr="00867AD1" w:rsidRDefault="007650AB" w:rsidP="0015560F">
      <w:pPr>
        <w:spacing w:before="120"/>
        <w:ind w:firstLine="567"/>
        <w:jc w:val="both"/>
        <w:rPr>
          <w:sz w:val="22"/>
          <w:szCs w:val="22"/>
        </w:rPr>
      </w:pPr>
      <w:r w:rsidRPr="00867AD1">
        <w:rPr>
          <w:sz w:val="22"/>
          <w:szCs w:val="22"/>
        </w:rPr>
        <w:t>The validation of the proposed system is performed on 150</w:t>
      </w:r>
      <w:r>
        <w:t xml:space="preserve"> </w:t>
      </w:r>
      <w:r w:rsidRPr="00867AD1">
        <w:rPr>
          <w:sz w:val="22"/>
          <w:szCs w:val="22"/>
        </w:rPr>
        <w:t>nm Si/SiO</w:t>
      </w:r>
      <w:r w:rsidRPr="00867AD1">
        <w:rPr>
          <w:vertAlign w:val="subscript"/>
        </w:rPr>
        <w:t>2</w:t>
      </w:r>
      <w:r w:rsidRPr="00867AD1">
        <w:rPr>
          <w:sz w:val="22"/>
          <w:szCs w:val="22"/>
        </w:rPr>
        <w:t xml:space="preserve"> MOS capacitors. The study demonstrates the instrument's capability to: (i) resolve pre-breakdown conduction mechanisms, including Fowler</w:t>
      </w:r>
      <w:r>
        <w:t>–</w:t>
      </w:r>
      <w:r w:rsidRPr="00867AD1">
        <w:rPr>
          <w:sz w:val="22"/>
          <w:szCs w:val="22"/>
        </w:rPr>
        <w:t>Nordheim (FN) and Poole</w:t>
      </w:r>
      <w:r>
        <w:t>–</w:t>
      </w:r>
      <w:r w:rsidRPr="00867AD1">
        <w:rPr>
          <w:sz w:val="22"/>
          <w:szCs w:val="22"/>
        </w:rPr>
        <w:t>Frenkel (PF) emission; and (ii) accurately extract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867AD1">
        <w:rPr>
          <w:sz w:val="22"/>
          <w:szCs w:val="22"/>
        </w:rPr>
        <w:t>) and charge-to-breakdown (</w:t>
      </w:r>
      <m:oMath>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oMath>
      <w:r w:rsidRPr="00867AD1">
        <w:rPr>
          <w:sz w:val="22"/>
          <w:szCs w:val="22"/>
        </w:rPr>
        <w:t>) by explicitly excluding compliance artifacts. By bridging the gap between flexible hardware design and rigorous metrological analysis, this work provides a transparent and robust platform for advanced dielectric reliability studies.</w:t>
      </w:r>
    </w:p>
    <w:p w14:paraId="1D1B45BE" w14:textId="7087A80E" w:rsidR="00492256" w:rsidRPr="00F56B12" w:rsidRDefault="00492256" w:rsidP="0015560F">
      <w:pPr>
        <w:spacing w:before="120" w:line="271" w:lineRule="auto"/>
        <w:jc w:val="both"/>
        <w:rPr>
          <w:b/>
          <w:sz w:val="22"/>
          <w:szCs w:val="22"/>
        </w:rPr>
      </w:pPr>
      <w:bookmarkStart w:id="1" w:name="materials_and_methods"/>
      <w:r w:rsidRPr="00F56B12">
        <w:rPr>
          <w:b/>
          <w:sz w:val="22"/>
          <w:szCs w:val="22"/>
        </w:rPr>
        <w:t>2. MATERIALS AND METHODS</w:t>
      </w:r>
      <w:bookmarkEnd w:id="1"/>
    </w:p>
    <w:p w14:paraId="73FA99AB" w14:textId="77777777" w:rsidR="0015560F" w:rsidRPr="00F56B12" w:rsidRDefault="0015560F" w:rsidP="0015560F">
      <w:pPr>
        <w:spacing w:before="120" w:line="330" w:lineRule="exact"/>
        <w:jc w:val="both"/>
        <w:rPr>
          <w:sz w:val="22"/>
          <w:szCs w:val="22"/>
        </w:rPr>
      </w:pPr>
      <w:r w:rsidRPr="00F56B12">
        <w:rPr>
          <w:b/>
          <w:sz w:val="22"/>
          <w:szCs w:val="22"/>
        </w:rPr>
        <w:t>2.1. Device under test (DUT) and dielectric physics</w:t>
      </w:r>
    </w:p>
    <w:p w14:paraId="6FE627FC" w14:textId="1AD56C8F" w:rsidR="0015560F" w:rsidRPr="00F56B12" w:rsidRDefault="0015560F" w:rsidP="00F56B12">
      <w:pPr>
        <w:spacing w:before="120"/>
        <w:ind w:firstLine="567"/>
        <w:jc w:val="both"/>
        <w:rPr>
          <w:sz w:val="22"/>
          <w:szCs w:val="22"/>
        </w:rPr>
      </w:pPr>
      <w:r w:rsidRPr="00F56B12">
        <w:rPr>
          <w:sz w:val="22"/>
          <w:szCs w:val="22"/>
        </w:rPr>
        <w:lastRenderedPageBreak/>
        <w:t>The measurement system was validated using planar Si/SiO</w:t>
      </w:r>
      <w:r w:rsidR="005D00A6" w:rsidRPr="00F56B12">
        <w:rPr>
          <w:sz w:val="22"/>
          <w:szCs w:val="22"/>
          <w:vertAlign w:val="subscript"/>
        </w:rPr>
        <w:t>2</w:t>
      </w:r>
      <w:r w:rsidRPr="00F56B12">
        <w:rPr>
          <w:sz w:val="22"/>
          <w:szCs w:val="22"/>
        </w:rPr>
        <w:t xml:space="preserve"> metal–oxide–semiconductor (MOS) capacitor structures featuring a nominal gate-oxide thickness of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F56B12">
        <w:rPr>
          <w:sz w:val="22"/>
          <w:szCs w:val="22"/>
        </w:rPr>
        <w:t xml:space="preserve"> nm and a lithographically defined effective active area of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=1.0×</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F56B12">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F56B12">
        <w:rPr>
          <w:sz w:val="22"/>
          <w:szCs w:val="22"/>
        </w:rPr>
        <w:t xml:space="preserve"> (nominally </w:t>
      </w:r>
      <m:oMath>
        <m:r>
          <m:rPr>
            <m:sty m:val="p"/>
          </m:rPr>
          <w:rPr>
            <w:rFonts w:ascii="Cambria Math" w:hAnsi="Cambria Math"/>
            <w:sz w:val="22"/>
            <w:szCs w:val="22"/>
          </w:rPr>
          <m:t>100×100</m:t>
        </m:r>
      </m:oMath>
      <w:r w:rsidRPr="00F56B12">
        <w:rPr>
          <w:sz w:val="22"/>
          <w:szCs w:val="22"/>
        </w:rPr>
        <w:t xml:space="preserve"> </w:t>
      </w:r>
      <m:oMath>
        <m:r>
          <w:rPr>
            <w:rFonts w:ascii="Cambria Math" w:hAnsi="Cambria Math"/>
            <w:sz w:val="22"/>
            <w:szCs w:val="22"/>
          </w:rPr>
          <m:t>μ</m:t>
        </m:r>
      </m:oMath>
      <w:r w:rsidRPr="00F56B12">
        <w:rPr>
          <w:sz w:val="22"/>
          <w:szCs w:val="22"/>
        </w:rPr>
        <w:t>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F56B12">
        <w:rPr>
          <w:sz w:val="22"/>
          <w:szCs w:val="22"/>
        </w:rPr>
        <w:t xml:space="preserve">). In gate-oxide reliability metrology, the oxide electric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oMath>
      <w:r w:rsidRPr="00F56B12">
        <w:rPr>
          <w:sz w:val="22"/>
          <w:szCs w:val="22"/>
        </w:rPr>
        <w:t xml:space="preserve"> serves as the primary stress variable</w:t>
      </w:r>
      <w:r w:rsidR="00D22446">
        <w:rPr>
          <w:sz w:val="22"/>
          <w:szCs w:val="22"/>
        </w:rPr>
        <w:t xml:space="preserve"> </w:t>
      </w:r>
      <w:r w:rsidR="001366BB" w:rsidRPr="001366BB">
        <w:rPr>
          <w:sz w:val="22"/>
          <w:vertAlign w:val="superscript"/>
        </w:rPr>
        <w:t>17</w:t>
      </w:r>
      <w:r w:rsidR="009A41BF">
        <w:rPr>
          <w:sz w:val="22"/>
          <w:szCs w:val="22"/>
        </w:rPr>
        <w:t xml:space="preserve">, </w:t>
      </w:r>
      <w:r w:rsidR="001366BB" w:rsidRPr="001366BB">
        <w:rPr>
          <w:sz w:val="22"/>
          <w:vertAlign w:val="superscript"/>
        </w:rPr>
        <w:t>18</w:t>
      </w:r>
      <w:r w:rsidRPr="00F56B12">
        <w:rPr>
          <w:sz w:val="22"/>
          <w:szCs w:val="22"/>
        </w:rPr>
        <w:t>. Within the pre-breakdown regime, where the oxide impedance dominates the external series network (</w:t>
      </w: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ox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F56B12">
        <w:rPr>
          <w:sz w:val="22"/>
          <w:szCs w:val="22"/>
        </w:rPr>
        <w:t>), the field is approximated by:</w:t>
      </w:r>
    </w:p>
    <w:p w14:paraId="6B98D9EB"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box>
                <m:boxPr>
                  <m:ctrlPr>
                    <w:rPr>
                      <w:rFonts w:ascii="Cambria Math" w:hAnsi="Cambria Math"/>
                      <w:sz w:val="22"/>
                      <w:szCs w:val="22"/>
                    </w:rPr>
                  </m:ctrlPr>
                </m:boxPr>
                <m:e>
                  <m:r>
                    <m:rPr>
                      <m:sty m:val="p"/>
                    </m:rPr>
                    <w:rPr>
                      <w:rFonts w:ascii="Cambria Math" w:hAnsi="Cambria Math"/>
                      <w:sz w:val="22"/>
                      <w:szCs w:val="22"/>
                    </w:rPr>
                    <m:t xml:space="preserve"> </m:t>
                  </m:r>
                </m:e>
              </m:box>
              <m:r>
                <m:rPr>
                  <m:sty m:val="p"/>
                </m:rPr>
                <w:rPr>
                  <w:rFonts w:ascii="Cambria Math" w:hAnsi="Cambria Math"/>
                  <w:sz w:val="22"/>
                  <w:szCs w:val="22"/>
                </w:rPr>
                <m:t>[V/cm],</m:t>
              </m:r>
              <m:r>
                <w:rPr>
                  <w:rFonts w:ascii="Cambria Math" w:hAnsi="Cambria Math"/>
                  <w:sz w:val="22"/>
                  <w:szCs w:val="22"/>
                </w:rPr>
                <m:t>#(1)</m:t>
              </m:r>
            </m:e>
          </m:eqArr>
        </m:oMath>
      </m:oMathPara>
    </w:p>
    <w:p w14:paraId="61ECF173" w14:textId="77777777" w:rsidR="0015560F" w:rsidRPr="00F56B12" w:rsidRDefault="0015560F" w:rsidP="0015560F">
      <w:pPr>
        <w:spacing w:before="120"/>
        <w:jc w:val="both"/>
        <w:rPr>
          <w:sz w:val="22"/>
          <w:szCs w:val="22"/>
        </w:rPr>
      </w:pPr>
      <w:r w:rsidRPr="00F56B12">
        <w:rPr>
          <w:sz w:val="22"/>
          <w:szCs w:val="22"/>
        </w:rPr>
        <w:t>and the current density is calculated as:</w:t>
      </w:r>
    </w:p>
    <w:p w14:paraId="59F7A3F7"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#(2)</m:t>
              </m:r>
            </m:e>
          </m:eqArr>
        </m:oMath>
      </m:oMathPara>
    </w:p>
    <w:p w14:paraId="0C5A16BF" w14:textId="2C9F86E9" w:rsidR="0015560F" w:rsidRPr="00F56B12" w:rsidRDefault="0015560F" w:rsidP="0015560F">
      <w:pPr>
        <w:spacing w:before="120"/>
        <w:jc w:val="both"/>
        <w:rPr>
          <w:sz w:val="22"/>
          <w:szCs w:val="22"/>
        </w:rPr>
      </w:pPr>
      <w:r w:rsidRPr="00F56B12">
        <w:rPr>
          <w:sz w:val="22"/>
          <w:szCs w:val="22"/>
        </w:rPr>
        <w:t>These definitions are applied consistently for both conduction-mechanism diagnostics and breakdown reporting. Metrologically, the measured I–V response is interpreted across three regimes: (i) pre-breakdown leakage governed by field-assisted transport; (ii) hard breakdown (HBD) onset associated with an abrupt collapse of dielectric impedance; and (iii) a Compliance-Limited Region (CLR), i.e., a post-breakdown trajectory governed primarily by the external limiting path and source compliance rather than intrinsic oxide physics. Because the CLR is instrument-dependent, explicitly separating the intrinsic HBD onset from this region is essential to ensure reported breakdown parameters remain material-relevant and comparable</w:t>
      </w:r>
      <w:r w:rsidR="000F6A9F">
        <w:rPr>
          <w:sz w:val="22"/>
          <w:szCs w:val="22"/>
        </w:rPr>
        <w:t xml:space="preserve"> </w:t>
      </w:r>
      <w:r w:rsidR="001366BB" w:rsidRPr="001366BB">
        <w:rPr>
          <w:sz w:val="22"/>
          <w:vertAlign w:val="superscript"/>
        </w:rPr>
        <w:t>19</w:t>
      </w:r>
      <w:r w:rsidRPr="00F56B12">
        <w:rPr>
          <w:sz w:val="22"/>
          <w:szCs w:val="22"/>
        </w:rPr>
        <w:t>.</w:t>
      </w:r>
    </w:p>
    <w:p w14:paraId="772752F5" w14:textId="77777777" w:rsidR="0015560F" w:rsidRPr="00F56B12" w:rsidRDefault="0015560F" w:rsidP="0015560F">
      <w:pPr>
        <w:spacing w:before="120" w:line="330" w:lineRule="exact"/>
        <w:jc w:val="both"/>
        <w:rPr>
          <w:sz w:val="22"/>
          <w:szCs w:val="22"/>
        </w:rPr>
      </w:pPr>
      <w:r w:rsidRPr="00F56B12">
        <w:rPr>
          <w:b/>
          <w:sz w:val="22"/>
          <w:szCs w:val="22"/>
        </w:rPr>
        <w:t>2.2. Measurement system architecture and data acquisition</w:t>
      </w:r>
    </w:p>
    <w:p w14:paraId="3AA67C56" w14:textId="0C56091C" w:rsidR="0015560F" w:rsidRPr="00F56B12" w:rsidRDefault="0015560F" w:rsidP="00F56B12">
      <w:pPr>
        <w:spacing w:before="120"/>
        <w:ind w:firstLine="567"/>
        <w:jc w:val="both"/>
        <w:rPr>
          <w:sz w:val="22"/>
          <w:szCs w:val="22"/>
        </w:rPr>
      </w:pPr>
      <w:r w:rsidRPr="00F56B12">
        <w:rPr>
          <w:sz w:val="22"/>
          <w:szCs w:val="22"/>
        </w:rPr>
        <w:t xml:space="preserve">The HV I–V tracer comprises a DC high-voltage source (G) with a series current-limiting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F56B12">
        <w:rPr>
          <w:sz w:val="22"/>
          <w:szCs w:val="22"/>
        </w:rPr>
        <w:t>, a contacting fixture housing the DUT (represented by the Si–SiO</w:t>
      </w:r>
      <w:r w:rsidRPr="00F56B12">
        <w:rPr>
          <w:sz w:val="22"/>
          <w:szCs w:val="22"/>
          <w:vertAlign w:val="subscript"/>
        </w:rPr>
        <w:t>2</w:t>
      </w:r>
      <w:r w:rsidRPr="00F56B12">
        <w:rPr>
          <w:sz w:val="22"/>
          <w:szCs w:val="22"/>
        </w:rPr>
        <w:t xml:space="preserve"> equivalent network), and a galvanically isolated two-channel oscilloscope operated in X–Y acquisition mode (Fig</w:t>
      </w:r>
      <w:r w:rsidR="00C07A52">
        <w:rPr>
          <w:sz w:val="22"/>
          <w:szCs w:val="22"/>
        </w:rPr>
        <w:t>ure</w:t>
      </w:r>
      <w:r w:rsidRPr="00F56B12">
        <w:rPr>
          <w:sz w:val="22"/>
          <w:szCs w:val="22"/>
        </w:rPr>
        <w:t xml:space="preserve"> 1). In the experiments, the stress was applied as a quasi-linear monotonic ramp by slowly adjusting the source control knob. Instead of assuming a nominal slew rate from the source setting, the effective ramp rate was quantified directly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F56B12">
        <w:rPr>
          <w:sz w:val="22"/>
          <w:szCs w:val="22"/>
        </w:rPr>
        <w:t xml:space="preserve"> trace in the pre-breakdown region, which also provides an internal consistency check of ramp monotonicity and repeatability.</w:t>
      </w:r>
    </w:p>
    <w:p w14:paraId="1FFCC87C" w14:textId="77777777" w:rsidR="0015560F" w:rsidRPr="00F56B12" w:rsidRDefault="0015560F" w:rsidP="00F56B12">
      <w:pPr>
        <w:spacing w:before="120"/>
        <w:ind w:firstLine="567"/>
        <w:jc w:val="both"/>
        <w:rPr>
          <w:sz w:val="22"/>
          <w:szCs w:val="22"/>
        </w:rPr>
      </w:pPr>
      <w:r w:rsidRPr="00F56B12">
        <w:rPr>
          <w:sz w:val="22"/>
          <w:szCs w:val="22"/>
        </w:rPr>
        <w:t>The instantaneous loop balance can be expressed in lumped form as:</w:t>
      </w:r>
    </w:p>
    <w:p w14:paraId="3FA3FD56"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r>
                <w:rPr>
                  <w:rFonts w:ascii="Cambria Math" w:hAnsi="Cambria Math"/>
                  <w:sz w:val="22"/>
                  <w:szCs w:val="22"/>
                </w:rPr>
                <m:t>#(3)</m:t>
              </m:r>
            </m:e>
          </m:eqArr>
        </m:oMath>
      </m:oMathPara>
    </w:p>
    <w:p w14:paraId="113AA03D" w14:textId="512D4688" w:rsidR="0015560F" w:rsidRPr="00F56B12" w:rsidRDefault="0015560F" w:rsidP="0015560F">
      <w:pPr>
        <w:spacing w:before="120"/>
        <w:jc w:val="both"/>
        <w:rPr>
          <w:sz w:val="22"/>
          <w:szCs w:val="22"/>
        </w:rPr>
      </w:pPr>
      <w:r w:rsidRPr="00F56B12">
        <w:rPr>
          <w:sz w:val="22"/>
          <w:szCs w:val="22"/>
        </w:rPr>
        <w:t xml:space="preserve">where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F56B12">
        <w:rPr>
          <w:sz w:val="22"/>
          <w:szCs w:val="22"/>
        </w:rPr>
        <w:t xml:space="preserve"> aggregates the contact, wiring, and fixture resistances within the contacting device (Fig</w:t>
      </w:r>
      <w:r w:rsidR="00C07A52">
        <w:rPr>
          <w:sz w:val="22"/>
          <w:szCs w:val="22"/>
        </w:rPr>
        <w:t>ure</w:t>
      </w:r>
      <w:r w:rsidRPr="00F56B12">
        <w:rPr>
          <w:sz w:val="22"/>
          <w:szCs w:val="22"/>
        </w:rPr>
        <w:t xml:space="preserve"> 1). In the pre-breakdown regime, the leakage current is sufficiently low such that </w:t>
      </w:r>
      <m:oMath>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F56B12">
        <w:rPr>
          <w:sz w:val="22"/>
          <w:szCs w:val="22"/>
        </w:rPr>
        <w:t xml:space="preserve">, justifying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F56B12">
        <w:rPr>
          <w:sz w:val="22"/>
          <w:szCs w:val="22"/>
        </w:rPr>
        <w:t xml:space="preserve"> for field extraction. After breakdown, the DUT impedance collapses and the voltage drop shifts predominantly to the external limiting path, producing the characteristic instrument-governed CLR trajectory.</w:t>
      </w:r>
    </w:p>
    <w:p w14:paraId="11220F64" w14:textId="77777777" w:rsidR="0015560F" w:rsidRPr="00F56B12" w:rsidRDefault="0015560F" w:rsidP="00F56B12">
      <w:pPr>
        <w:spacing w:before="120"/>
        <w:ind w:firstLine="567"/>
        <w:jc w:val="both"/>
        <w:rPr>
          <w:sz w:val="22"/>
          <w:szCs w:val="22"/>
        </w:rPr>
      </w:pPr>
      <w:r w:rsidRPr="00F56B12">
        <w:rPr>
          <w:i/>
          <w:sz w:val="22"/>
          <w:szCs w:val="22"/>
        </w:rPr>
        <w:t>Voltage channel (A1):</w:t>
      </w:r>
      <w:r w:rsidRPr="00F56B12">
        <w:rPr>
          <w:sz w:val="22"/>
          <w:szCs w:val="22"/>
        </w:rPr>
        <w:t xml:space="preserve"> The DUT voltage is acquired between nodes X4–X5 and scaled by a precision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1</m:t>
            </m:r>
          </m:sub>
        </m:sSub>
      </m:oMath>
      <w:r w:rsidRPr="00F56B12">
        <w:rPr>
          <w:sz w:val="22"/>
          <w:szCs w:val="22"/>
        </w:rPr>
        <w:t xml:space="preserve"> (1:10) prior to digitization on Channel A1, yielding:</w:t>
      </w:r>
    </w:p>
    <w:p w14:paraId="62B530E3"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r>
                <m:rPr>
                  <m:sty m:val="p"/>
                </m:rPr>
                <w:rPr>
                  <w:rFonts w:ascii="Cambria Math" w:hAnsi="Cambria Math"/>
                  <w:sz w:val="22"/>
                  <w:szCs w:val="22"/>
                </w:rPr>
                <m:t>=10.</m:t>
              </m:r>
              <m:r>
                <w:rPr>
                  <w:rFonts w:ascii="Cambria Math" w:hAnsi="Cambria Math"/>
                  <w:sz w:val="22"/>
                  <w:szCs w:val="22"/>
                </w:rPr>
                <m:t>#(4)</m:t>
              </m:r>
            </m:e>
          </m:eqArr>
        </m:oMath>
      </m:oMathPara>
    </w:p>
    <w:p w14:paraId="5C217231" w14:textId="77777777" w:rsidR="0015560F" w:rsidRPr="00F56B12" w:rsidRDefault="0015560F" w:rsidP="00F56B12">
      <w:pPr>
        <w:spacing w:before="120"/>
        <w:ind w:firstLine="567"/>
        <w:jc w:val="both"/>
        <w:rPr>
          <w:sz w:val="22"/>
          <w:szCs w:val="22"/>
        </w:rPr>
      </w:pPr>
      <w:r w:rsidRPr="00F56B12">
        <w:rPr>
          <w:i/>
          <w:sz w:val="22"/>
          <w:szCs w:val="22"/>
        </w:rPr>
        <w:t>Current channel (A2):</w:t>
      </w:r>
      <w:r w:rsidRPr="00F56B12">
        <w:rPr>
          <w:sz w:val="22"/>
          <w:szCs w:val="22"/>
        </w:rPr>
        <w:t xml:space="preserve"> The DUT current is reconstructed from a dedicated current-monitor node (X3 in Fig.~1) routed to Channel A2 through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2</m:t>
            </m:r>
          </m:sub>
        </m:sSub>
      </m:oMath>
      <w:r w:rsidRPr="00F56B12">
        <w:rPr>
          <w:sz w:val="22"/>
          <w:szCs w:val="22"/>
        </w:rPr>
        <w:t xml:space="preserve"> (1:100). Rather than relying on a single component-level assumption (e.g., a standalone shunt), the absolute current is obtained using an end-to-end calibrated transfer coefficient that captures the complete measurement chain (monitor node scaling, divider ratio, input loading, and digitizer scaling):</w:t>
      </w:r>
    </w:p>
    <w:p w14:paraId="0A26BA10"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I</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#(5)</m:t>
              </m:r>
            </m:e>
          </m:eqArr>
        </m:oMath>
      </m:oMathPara>
    </w:p>
    <w:p w14:paraId="0ABCBFBF" w14:textId="560140A8" w:rsidR="0015560F" w:rsidRPr="00F56B12" w:rsidRDefault="0015560F" w:rsidP="0015560F">
      <w:pPr>
        <w:spacing w:before="120"/>
        <w:jc w:val="both"/>
        <w:rPr>
          <w:sz w:val="22"/>
          <w:szCs w:val="22"/>
        </w:rPr>
      </w:pPr>
      <w:r w:rsidRPr="00F56B12">
        <w:rPr>
          <w:sz w:val="22"/>
          <w:szCs w:val="22"/>
        </w:rPr>
        <w:t>Both oscilloscope inputs present high impedance loading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=1</m:t>
        </m:r>
      </m:oMath>
      <w:r w:rsidRPr="00F56B12">
        <w:rPr>
          <w:sz w:val="22"/>
          <w:szCs w:val="22"/>
        </w:rPr>
        <w:t xml:space="preserve"> M</w:t>
      </w:r>
      <m:oMath>
        <m:r>
          <m:rPr>
            <m:sty m:val="p"/>
          </m:rPr>
          <w:rPr>
            <w:rFonts w:ascii="Cambria Math" w:hAnsi="Cambria Math"/>
            <w:sz w:val="22"/>
            <w:szCs w:val="22"/>
          </w:rPr>
          <m:t>Ω</m:t>
        </m:r>
      </m:oMath>
      <w:r w:rsidRPr="00F56B12">
        <w:rPr>
          <w:sz w:val="22"/>
          <w:szCs w:val="22"/>
        </w:rPr>
        <w:t>, Fig</w:t>
      </w:r>
      <w:r w:rsidR="00C07A52">
        <w:rPr>
          <w:sz w:val="22"/>
          <w:szCs w:val="22"/>
        </w:rPr>
        <w:t>ure</w:t>
      </w:r>
      <w:r w:rsidRPr="00F56B12">
        <w:rPr>
          <w:sz w:val="22"/>
          <w:szCs w:val="22"/>
        </w:rPr>
        <w:t xml:space="preserve"> 1), minimizing disturbance of the divider networks. The I–V characteristic is formed by pairing synchronous samples </w:t>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F56B12">
        <w:rPr>
          <w:sz w:val="22"/>
          <w:szCs w:val="22"/>
        </w:rPr>
        <w:t xml:space="preserve"> recorded during the ramp, with X–Y mode providing a direct visualization of the trajectory while the time-stamped traces are retained for subsequent parameter extraction.</w:t>
      </w:r>
    </w:p>
    <w:p w14:paraId="0614C441" w14:textId="77777777" w:rsidR="0015560F" w:rsidRPr="00F56B12" w:rsidRDefault="0015560F" w:rsidP="00F56B12">
      <w:pPr>
        <w:spacing w:before="120"/>
        <w:ind w:firstLine="567"/>
        <w:jc w:val="both"/>
        <w:rPr>
          <w:sz w:val="22"/>
          <w:szCs w:val="22"/>
        </w:rPr>
      </w:pPr>
      <w:r w:rsidRPr="00F56B12">
        <w:rPr>
          <w:i/>
          <w:sz w:val="22"/>
          <w:szCs w:val="22"/>
        </w:rPr>
        <w:t>Effective resolution and analysis decade:</w:t>
      </w:r>
      <w:r w:rsidRPr="00F56B12">
        <w:rPr>
          <w:sz w:val="22"/>
          <w:szCs w:val="22"/>
        </w:rPr>
        <w:t xml:space="preserve"> The leakage-analysis and regression reported in this study are confined to the current-density decade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F56B12">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F56B12">
        <w:rPr>
          <w:sz w:val="22"/>
          <w:szCs w:val="22"/>
        </w:rPr>
        <w:t xml:space="preserve">. With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F56B12">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F56B12">
        <w:rPr>
          <w:sz w:val="22"/>
          <w:szCs w:val="22"/>
        </w:rPr>
        <w:t xml:space="preserve">, this corresponds to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≈0.1</m:t>
        </m:r>
        <m:r>
          <m:rPr>
            <m:nor/>
          </m:rPr>
          <w:rPr>
            <w:sz w:val="22"/>
            <w:szCs w:val="22"/>
          </w:rPr>
          <m:t>–</m:t>
        </m:r>
        <m:r>
          <m:rPr>
            <m:sty m:val="p"/>
          </m:rPr>
          <w:rPr>
            <w:rFonts w:ascii="Cambria Math" w:hAnsi="Cambria Math"/>
            <w:sz w:val="22"/>
            <w:szCs w:val="22"/>
          </w:rPr>
          <m:t>1</m:t>
        </m:r>
      </m:oMath>
      <w:r w:rsidRPr="00F56B12">
        <w:rPr>
          <w:sz w:val="22"/>
          <w:szCs w:val="22"/>
        </w:rPr>
        <w:t xml:space="preserve"> nA. The instrument “floor” relevant to fitting is therefore defined as an effective post-processed resolution, obtained after synchronous acquisition and the same time-domain conditioning used in the analysis pipeline (Section 2.3), rather than the instantaneous peak-to-peak noise of raw, unfiltered traces. Under this definition, the effective regression floor was verified to be in the sub-nA range, ensuring that the selected best-decade window remains above the analysis-relevant floor.</w:t>
      </w:r>
    </w:p>
    <w:p w14:paraId="65B99820" w14:textId="77777777" w:rsidR="0015560F" w:rsidRPr="00F56B12" w:rsidRDefault="0015560F" w:rsidP="0015560F">
      <w:pPr>
        <w:spacing w:before="120" w:line="330" w:lineRule="exact"/>
        <w:jc w:val="both"/>
        <w:rPr>
          <w:sz w:val="22"/>
          <w:szCs w:val="22"/>
        </w:rPr>
      </w:pPr>
      <w:r w:rsidRPr="00F56B12">
        <w:rPr>
          <w:b/>
          <w:sz w:val="22"/>
          <w:szCs w:val="22"/>
        </w:rPr>
        <w:lastRenderedPageBreak/>
        <w:t>2.3. Compliance-Aware breakdown detection and parameter extraction</w:t>
      </w:r>
    </w:p>
    <w:p w14:paraId="1C0DEB67" w14:textId="7D92D676" w:rsidR="0015560F" w:rsidRPr="00F56B12" w:rsidRDefault="0015560F" w:rsidP="00F56B12">
      <w:pPr>
        <w:spacing w:before="120"/>
        <w:ind w:firstLine="567"/>
        <w:jc w:val="both"/>
        <w:rPr>
          <w:sz w:val="22"/>
          <w:szCs w:val="22"/>
        </w:rPr>
      </w:pPr>
      <w:r w:rsidRPr="00F56B12">
        <w:rPr>
          <w:sz w:val="22"/>
          <w:szCs w:val="22"/>
        </w:rPr>
        <w:t>Breakdown parameters are extracted automatically from the acquired time-series data to eliminate subjective manual interpretation and to prevent misidentifying CLR artifacts as intrinsic breakdown events</w:t>
      </w:r>
      <w:r w:rsidR="00885515">
        <w:rPr>
          <w:sz w:val="22"/>
          <w:szCs w:val="22"/>
        </w:rPr>
        <w:t xml:space="preserve"> </w:t>
      </w:r>
      <w:r w:rsidR="00885515" w:rsidRPr="00885515">
        <w:rPr>
          <w:sz w:val="22"/>
          <w:vertAlign w:val="superscript"/>
        </w:rPr>
        <w:t>20</w:t>
      </w:r>
      <w:r w:rsidRPr="00F56B12">
        <w:rPr>
          <w:sz w:val="22"/>
          <w:szCs w:val="22"/>
        </w:rPr>
        <w:t xml:space="preserve">. The detection pipeline first applies a 5-point moving median filter to suppress isolated spikes without distorting the breakdown edge. A valid breakdown event is then identified using a composite criterion: (i) the current must exceed a conservative threshold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th</m:t>
            </m:r>
          </m:sub>
        </m:sSub>
      </m:oMath>
      <w:r w:rsidRPr="00F56B12">
        <w:rPr>
          <w:sz w:val="22"/>
          <w:szCs w:val="22"/>
        </w:rPr>
        <w:t xml:space="preserve"> (set above the effective analysis floor), and (ii) within this gated segment, the intrinsic breakdown time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oMath>
      <w:r w:rsidRPr="00F56B12">
        <w:rPr>
          <w:sz w:val="22"/>
          <w:szCs w:val="22"/>
        </w:rPr>
        <w:t xml:space="preserve"> is localized at the global maximum of the differential slope:</w:t>
      </w:r>
    </w:p>
    <w:p w14:paraId="5D0C97D9"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num>
                <m:den>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den>
              </m:f>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=arg⁡</m:t>
              </m:r>
              <m:limLow>
                <m:limLowPr>
                  <m:ctrlPr>
                    <w:rPr>
                      <w:rFonts w:ascii="Cambria Math" w:hAnsi="Cambria Math"/>
                      <w:sz w:val="22"/>
                      <w:szCs w:val="22"/>
                    </w:rPr>
                  </m:ctrlPr>
                </m:limLowPr>
                <m:e>
                  <m:r>
                    <m:rPr>
                      <m:sty m:val="p"/>
                    </m:rPr>
                    <w:rPr>
                      <w:rFonts w:ascii="Cambria Math" w:hAnsi="Cambria Math"/>
                      <w:sz w:val="22"/>
                      <w:szCs w:val="22"/>
                    </w:rPr>
                    <m:t>max</m:t>
                  </m:r>
                </m:e>
                <m:lim>
                  <m:r>
                    <w:rPr>
                      <w:rFonts w:ascii="Cambria Math" w:hAnsi="Cambria Math"/>
                      <w:sz w:val="22"/>
                      <w:szCs w:val="22"/>
                    </w:rPr>
                    <m:t>i</m:t>
                  </m:r>
                </m:lim>
              </m:limLow>
              <m:r>
                <m:rPr>
                  <m:sty m:val="p"/>
                </m:rPr>
                <w:rPr>
                  <w:rFonts w:ascii="Cambria Math" w:hAnsi="Cambria Math"/>
                  <w:sz w:val="22"/>
                  <w:szCs w:val="22"/>
                </w:rPr>
                <m:t> </m:t>
              </m:r>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r>
                <w:rPr>
                  <w:rFonts w:ascii="Cambria Math" w:hAnsi="Cambria Math"/>
                  <w:sz w:val="22"/>
                  <w:szCs w:val="22"/>
                </w:rPr>
                <m:t>#(6)</m:t>
              </m:r>
            </m:e>
          </m:eqArr>
        </m:oMath>
      </m:oMathPara>
    </w:p>
    <w:p w14:paraId="472A39F8" w14:textId="77777777" w:rsidR="0015560F" w:rsidRPr="00F56B12" w:rsidRDefault="0015560F" w:rsidP="0015560F">
      <w:pPr>
        <w:spacing w:before="120"/>
        <w:jc w:val="both"/>
        <w:rPr>
          <w:sz w:val="22"/>
          <w:szCs w:val="22"/>
        </w:rPr>
      </w:pPr>
      <w:r w:rsidRPr="00F56B12">
        <w:rPr>
          <w:sz w:val="22"/>
          <w:szCs w:val="22"/>
        </w:rPr>
        <w:t>Accordingly, the breakdown voltage and field are reported as:</w:t>
      </w:r>
    </w:p>
    <w:p w14:paraId="39FECCA4"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r>
                <m:rPr>
                  <m:sty m:val="p"/>
                </m:rPr>
                <w:rPr>
                  <w:rFonts w:ascii="Cambria Math" w:hAnsi="Cambria Math"/>
                  <w:sz w:val="22"/>
                  <w:szCs w:val="22"/>
                </w:rPr>
                <m:t>.</m:t>
              </m:r>
              <m:r>
                <w:rPr>
                  <w:rFonts w:ascii="Cambria Math" w:hAnsi="Cambria Math"/>
                  <w:sz w:val="22"/>
                  <w:szCs w:val="22"/>
                </w:rPr>
                <m:t>#(7)</m:t>
              </m:r>
            </m:e>
          </m:eqArr>
        </m:oMath>
      </m:oMathPara>
    </w:p>
    <w:p w14:paraId="7EFD787B" w14:textId="77777777" w:rsidR="0015560F" w:rsidRPr="00F56B12" w:rsidRDefault="0015560F" w:rsidP="0015560F">
      <w:pPr>
        <w:spacing w:before="120"/>
        <w:jc w:val="both"/>
        <w:rPr>
          <w:sz w:val="22"/>
          <w:szCs w:val="22"/>
        </w:rPr>
      </w:pPr>
      <w:r w:rsidRPr="00F56B12">
        <w:rPr>
          <w:sz w:val="22"/>
          <w:szCs w:val="22"/>
        </w:rPr>
        <w:t xml:space="preserve">Importantly,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oMath>
      <w:r w:rsidRPr="00F56B12">
        <w:rPr>
          <w:sz w:val="22"/>
          <w:szCs w:val="22"/>
        </w:rPr>
        <w:t xml:space="preserve"> is extracted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F56B12">
        <w:rPr>
          <w:sz w:val="22"/>
          <w:szCs w:val="22"/>
        </w:rPr>
        <w:t xml:space="preserve"> (Channel A1 reconstruction) rather than the source command, avoiding ambiguity once series drops become non-negligible immediately after impedance collapse. Furthermore, the injected charge-to-breakdown is computed by integrating the current only up to the intrinsic failure point:</w:t>
      </w:r>
    </w:p>
    <w:p w14:paraId="5D03FCC5"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r>
                <m:rPr>
                  <m:sty m:val="p"/>
                </m:rPr>
                <w:rPr>
                  <w:rFonts w:ascii="Cambria Math" w:hAnsi="Cambria Math"/>
                  <w:sz w:val="22"/>
                  <w:szCs w:val="22"/>
                </w:rPr>
                <m:t>=</m:t>
              </m:r>
              <m:nary>
                <m:naryPr>
                  <m:limLoc m:val="subSup"/>
                  <m:grow m:val="1"/>
                  <m:ctrlPr>
                    <w:rPr>
                      <w:rFonts w:ascii="Cambria Math" w:hAnsi="Cambria Math"/>
                      <w:sz w:val="22"/>
                      <w:szCs w:val="22"/>
                    </w:rPr>
                  </m:ctrlPr>
                </m:naryPr>
                <m:sub>
                  <m:r>
                    <m:rPr>
                      <m:sty m:val="p"/>
                    </m:rPr>
                    <w:rPr>
                      <w:rFonts w:ascii="Cambria Math" w:hAnsi="Cambria Math"/>
                      <w:sz w:val="22"/>
                      <w:szCs w:val="22"/>
                    </w:rPr>
                    <m:t>0</m:t>
                  </m:r>
                </m:sub>
                <m:sup>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sup>
                <m:e>
                  <m:r>
                    <m:rPr>
                      <m:sty m:val="p"/>
                    </m:rPr>
                    <w:rPr>
                      <w:rFonts w:ascii="Cambria Math" w:hAnsi="Cambria Math"/>
                      <w:sz w:val="22"/>
                      <w:szCs w:val="22"/>
                    </w:rPr>
                    <m:t> </m:t>
                  </m:r>
                </m:e>
              </m:nary>
              <m:r>
                <m:rPr>
                  <m:sty m:val="p"/>
                </m:rPr>
                <w:rPr>
                  <w:rFonts w:ascii="Cambria Math" w:hAnsi="Cambria Math"/>
                  <w:sz w:val="22"/>
                  <w:szCs w:val="22"/>
                </w:rPr>
                <m:t> </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r>
                <w:rPr>
                  <w:rFonts w:ascii="Cambria Math" w:hAnsi="Cambria Math"/>
                  <w:sz w:val="22"/>
                  <w:szCs w:val="22"/>
                </w:rPr>
                <m:t>dt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r>
                    <m:rPr>
                      <m:sty m:val="p"/>
                    </m:rPr>
                    <w:rPr>
                      <w:rFonts w:ascii="Cambria Math" w:hAnsi="Cambria Math"/>
                      <w:sz w:val="22"/>
                      <w:szCs w:val="22"/>
                    </w:rPr>
                    <m:t>,dens</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#(8)</m:t>
              </m:r>
            </m:e>
          </m:eqArr>
        </m:oMath>
      </m:oMathPara>
    </w:p>
    <w:p w14:paraId="7D04F598" w14:textId="2E3A3152" w:rsidR="0015560F" w:rsidRPr="00F56B12" w:rsidRDefault="0015560F" w:rsidP="0015560F">
      <w:pPr>
        <w:spacing w:before="120"/>
        <w:jc w:val="both"/>
        <w:rPr>
          <w:sz w:val="22"/>
          <w:szCs w:val="22"/>
        </w:rPr>
      </w:pPr>
      <w:r w:rsidRPr="00F56B12">
        <w:rPr>
          <w:sz w:val="22"/>
          <w:szCs w:val="22"/>
        </w:rPr>
        <w:t>This definition strictly isolates the pre-breakdown stress history from the post-breakdown CLR, which is treated as an extrinsic, instrument-governed response</w:t>
      </w:r>
      <w:r w:rsidR="00C27B36">
        <w:rPr>
          <w:sz w:val="22"/>
          <w:szCs w:val="22"/>
        </w:rPr>
        <w:t xml:space="preserve"> </w:t>
      </w:r>
      <w:r w:rsidR="004614A7" w:rsidRPr="004614A7">
        <w:rPr>
          <w:sz w:val="22"/>
          <w:vertAlign w:val="superscript"/>
        </w:rPr>
        <w:t>21</w:t>
      </w:r>
      <w:r w:rsidRPr="00F56B12">
        <w:rPr>
          <w:sz w:val="22"/>
          <w:szCs w:val="22"/>
        </w:rPr>
        <w:t>.</w:t>
      </w:r>
    </w:p>
    <w:p w14:paraId="424EB4DD" w14:textId="77777777" w:rsidR="0015560F" w:rsidRPr="00F56B12" w:rsidRDefault="0015560F" w:rsidP="0015560F">
      <w:pPr>
        <w:spacing w:before="120" w:line="330" w:lineRule="exact"/>
        <w:jc w:val="both"/>
        <w:rPr>
          <w:sz w:val="22"/>
          <w:szCs w:val="22"/>
        </w:rPr>
      </w:pPr>
      <w:r w:rsidRPr="00F56B12">
        <w:rPr>
          <w:b/>
          <w:sz w:val="22"/>
          <w:szCs w:val="22"/>
        </w:rPr>
        <w:t>2.4. Conduction mechanism diagnostics</w:t>
      </w:r>
    </w:p>
    <w:p w14:paraId="607D6ACF" w14:textId="1C70B6F6" w:rsidR="0015560F" w:rsidRPr="00F56B12" w:rsidRDefault="0015560F" w:rsidP="00F56B12">
      <w:pPr>
        <w:spacing w:before="120"/>
        <w:ind w:firstLine="567"/>
        <w:jc w:val="both"/>
        <w:rPr>
          <w:sz w:val="22"/>
          <w:szCs w:val="22"/>
        </w:rPr>
      </w:pPr>
      <w:r w:rsidRPr="00F56B12">
        <w:rPr>
          <w:sz w:val="22"/>
          <w:szCs w:val="22"/>
        </w:rPr>
        <w:t xml:space="preserve">To verify that the tracer resolves physical charge transport rather than digitization artifacts, leakage data are analyzed within a standardized diagnostic window, typically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∈[2,7]</m:t>
        </m:r>
      </m:oMath>
      <w:r w:rsidRPr="00F56B12">
        <w:rPr>
          <w:sz w:val="22"/>
          <w:szCs w:val="22"/>
        </w:rPr>
        <w:t xml:space="preserve"> MV/cm, explicitly excluding CLR samples. The data are transformed into canonical Fowler–Nordheim (FN) coordinates</w:t>
      </w:r>
      <w:r w:rsidR="00686BC9">
        <w:rPr>
          <w:sz w:val="22"/>
          <w:szCs w:val="22"/>
        </w:rPr>
        <w:t xml:space="preserve"> </w:t>
      </w:r>
      <w:r w:rsidR="004614A7" w:rsidRPr="004614A7">
        <w:rPr>
          <w:sz w:val="22"/>
          <w:vertAlign w:val="superscript"/>
        </w:rPr>
        <w:t>22</w:t>
      </w:r>
      <w:r w:rsidRPr="00F56B12">
        <w:rPr>
          <w:sz w:val="22"/>
          <w:szCs w:val="22"/>
        </w:rPr>
        <w:t>:</w:t>
      </w:r>
    </w:p>
    <w:p w14:paraId="46776FF3" w14:textId="77777777" w:rsidR="0015560F" w:rsidRPr="00F56B12" w:rsidRDefault="00760A9E" w:rsidP="0015560F">
      <w:pPr>
        <w:spacing w:before="120"/>
        <w:jc w:val="both"/>
        <w:rPr>
          <w:sz w:val="22"/>
          <w:szCs w:val="22"/>
        </w:rPr>
      </w:pPr>
      <m:oMathPara>
        <m:oMath>
          <m:eqArr>
            <m:eqArrPr>
              <m:maxDist m:val="1"/>
              <m:ctrlPr>
                <w:rPr>
                  <w:rFonts w:ascii="Cambria Math" w:hAnsi="Cambria Math"/>
                  <w:sz w:val="22"/>
                  <w:szCs w:val="22"/>
                </w:rPr>
              </m:ctrlPr>
            </m:eqArrPr>
            <m:e>
              <m:r>
                <m:rPr>
                  <m:sty m:val="p"/>
                </m:rPr>
                <w:rPr>
                  <w:rFonts w:ascii="Cambria Math" w:hAnsi="Cambria Math"/>
                  <w:sz w:val="22"/>
                  <w:szCs w:val="22"/>
                </w:rPr>
                <m:t>ln⁡</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J</m:t>
                      </m:r>
                    </m:num>
                    <m:den>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den>
                  </m:f>
                </m:e>
              </m:d>
              <m:r>
                <m:rPr>
                  <m:sty m:val="p"/>
                </m:rPr>
                <w:rPr>
                  <w:rFonts w:ascii="Cambria Math" w:hAnsi="Cambria Math"/>
                  <w:sz w:val="22"/>
                  <w:szCs w:val="22"/>
                </w:rPr>
                <m:t>=ln⁡(</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num>
                <m:den>
                  <m:r>
                    <w:rPr>
                      <w:rFonts w:ascii="Cambria Math" w:hAnsi="Cambria Math"/>
                      <w:sz w:val="22"/>
                      <w:szCs w:val="22"/>
                    </w:rPr>
                    <m:t>E</m:t>
                  </m:r>
                </m:den>
              </m:f>
              <m:r>
                <m:rPr>
                  <m:sty m:val="p"/>
                </m:rPr>
                <w:rPr>
                  <w:rFonts w:ascii="Cambria Math" w:hAnsi="Cambria Math"/>
                  <w:sz w:val="22"/>
                  <w:szCs w:val="22"/>
                </w:rPr>
                <m:t>,</m:t>
              </m:r>
              <m:r>
                <w:rPr>
                  <w:rFonts w:ascii="Cambria Math" w:hAnsi="Cambria Math"/>
                  <w:sz w:val="22"/>
                  <w:szCs w:val="22"/>
                </w:rPr>
                <m:t>#(9)</m:t>
              </m:r>
            </m:e>
          </m:eqArr>
        </m:oMath>
      </m:oMathPara>
    </w:p>
    <w:p w14:paraId="6F0E9491" w14:textId="0A9FDDE0" w:rsidR="0015560F" w:rsidRPr="00F56B12" w:rsidRDefault="0015560F" w:rsidP="0015560F">
      <w:pPr>
        <w:spacing w:before="120"/>
        <w:jc w:val="both"/>
        <w:rPr>
          <w:sz w:val="22"/>
          <w:szCs w:val="22"/>
        </w:rPr>
      </w:pPr>
      <w:r w:rsidRPr="00F56B12">
        <w:rPr>
          <w:sz w:val="22"/>
          <w:szCs w:val="22"/>
        </w:rPr>
        <w:t xml:space="preserve">where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oMath>
      <w:r w:rsidRPr="00F56B12">
        <w:rPr>
          <w:sz w:val="22"/>
          <w:szCs w:val="22"/>
        </w:rPr>
        <w:t xml:space="preserve"> and </w:t>
      </w:r>
      <m:oMath>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oMath>
      <w:r w:rsidRPr="00F56B12">
        <w:rPr>
          <w:sz w:val="22"/>
          <w:szCs w:val="22"/>
        </w:rPr>
        <w:t xml:space="preserve"> are physical coefficients related to the effective barrier height and carrier mass (with </w:t>
      </w:r>
      <m:oMath>
        <m:r>
          <w:rPr>
            <w:rFonts w:ascii="Cambria Math" w:hAnsi="Cambria Math"/>
            <w:sz w:val="22"/>
            <w:szCs w:val="22"/>
          </w:rPr>
          <m:t>E</m:t>
        </m:r>
      </m:oMath>
      <w:r w:rsidRPr="00F56B12">
        <w:rPr>
          <w:sz w:val="22"/>
          <w:szCs w:val="22"/>
        </w:rPr>
        <w:t xml:space="preserve"> expressed in V/cm). In addition, Poole–Frenkel (PF) behavior is examined via the linearity of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F56B12">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00F7147F">
        <w:rPr>
          <w:sz w:val="22"/>
          <w:szCs w:val="22"/>
        </w:rPr>
        <w:t xml:space="preserve"> </w:t>
      </w:r>
      <w:r w:rsidR="004614A7" w:rsidRPr="004614A7">
        <w:rPr>
          <w:sz w:val="22"/>
          <w:vertAlign w:val="superscript"/>
        </w:rPr>
        <w:t>23</w:t>
      </w:r>
      <w:r w:rsidRPr="00F56B12">
        <w:rPr>
          <w:sz w:val="22"/>
          <w:szCs w:val="22"/>
        </w:rPr>
        <w:t xml:space="preserve">. For comparability across </w:t>
      </w:r>
      <w:r w:rsidRPr="00F56B12">
        <w:rPr>
          <w:sz w:val="22"/>
          <w:szCs w:val="22"/>
        </w:rPr>
        <w:lastRenderedPageBreak/>
        <w:t xml:space="preserve">devices and to avoid both floor-limited samples and near-breakdown fluctuations, regression is restricted to the most linear single-decade subset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F56B12">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F56B12">
        <w:rPr>
          <w:sz w:val="22"/>
          <w:szCs w:val="22"/>
        </w:rPr>
        <w:t xml:space="preserve"> (“best non-floor decade”). Within this window,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F56B12">
        <w:rPr>
          <w:sz w:val="22"/>
          <w:szCs w:val="22"/>
        </w:rPr>
        <w:t xml:space="preserve"> values are reported together with extracted slopes as objective metrics of transport-consistency. These linearizations are used as a metrological consistency check (confirming structured field dependence above the effective analysis floor), rather than as exclusive proof of a single microscopic transport mechanism.</w:t>
      </w:r>
    </w:p>
    <w:p w14:paraId="3DB4080B" w14:textId="30685397" w:rsidR="00D82B45" w:rsidRDefault="00D82B45" w:rsidP="0015560F">
      <w:pPr>
        <w:spacing w:before="120"/>
        <w:jc w:val="both"/>
        <w:rPr>
          <w:sz w:val="22"/>
          <w:szCs w:val="22"/>
        </w:rPr>
      </w:pPr>
      <w:r>
        <w:rPr>
          <w:noProof/>
          <w:sz w:val="22"/>
          <w:szCs w:val="22"/>
        </w:rPr>
        <w:drawing>
          <wp:inline distT="0" distB="0" distL="0" distR="0" wp14:anchorId="6C2A39DC" wp14:editId="5A86E247">
            <wp:extent cx="2880360" cy="2907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Sche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907030"/>
                    </a:xfrm>
                    <a:prstGeom prst="rect">
                      <a:avLst/>
                    </a:prstGeom>
                  </pic:spPr>
                </pic:pic>
              </a:graphicData>
            </a:graphic>
          </wp:inline>
        </w:drawing>
      </w:r>
    </w:p>
    <w:p w14:paraId="3FA42C6C" w14:textId="77777777" w:rsidR="00BC3035" w:rsidRPr="005364BF" w:rsidRDefault="00BC3035" w:rsidP="0015560F">
      <w:pPr>
        <w:spacing w:before="120"/>
        <w:jc w:val="both"/>
        <w:rPr>
          <w:sz w:val="18"/>
          <w:szCs w:val="18"/>
        </w:rPr>
      </w:pPr>
      <w:r w:rsidRPr="005364BF">
        <w:rPr>
          <w:rFonts w:eastAsia="Georgia"/>
          <w:b/>
          <w:sz w:val="18"/>
          <w:szCs w:val="18"/>
        </w:rPr>
        <w:t>Figure 1</w:t>
      </w:r>
      <w:r w:rsidRPr="005364BF">
        <w:rPr>
          <w:rFonts w:eastAsia="Georgia"/>
          <w:sz w:val="18"/>
          <w:szCs w:val="18"/>
        </w:rPr>
        <w:t>. Schematic diagram of the programmable high-voltage I–V measurement system. The setup integrates a computer-controlled high-voltage source, a contacting device housing the Si/SiO</w:t>
      </w:r>
      <w:r w:rsidRPr="005364BF">
        <w:rPr>
          <w:rFonts w:eastAsia="Georgia"/>
          <w:sz w:val="18"/>
          <w:szCs w:val="18"/>
          <w:vertAlign w:val="subscript"/>
        </w:rPr>
        <w:t>2</w:t>
      </w:r>
      <w:r w:rsidRPr="005364BF">
        <w:rPr>
          <w:sz w:val="18"/>
          <w:szCs w:val="18"/>
        </w:rPr>
        <w:t xml:space="preserve"> DUT (represented by its electrical equivalent circuit), and a galvanically isolated oscilloscope for data acquisition. Precision resistive dividers (</w:t>
      </w:r>
      <m:oMath>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D</m:t>
            </m:r>
            <m:r>
              <m:rPr>
                <m:sty m:val="p"/>
              </m:rPr>
              <w:rPr>
                <w:rFonts w:ascii="Cambria Math" w:hAnsi="Cambria Math"/>
                <w:sz w:val="18"/>
                <w:szCs w:val="18"/>
              </w:rPr>
              <m:t>1</m:t>
            </m:r>
          </m:sub>
        </m:sSub>
      </m:oMath>
      <w:r w:rsidRPr="005364BF">
        <w:rPr>
          <w:sz w:val="18"/>
          <w:szCs w:val="18"/>
        </w:rPr>
        <w:t xml:space="preserve"> and </w:t>
      </w:r>
      <m:oMath>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D</m:t>
            </m:r>
            <m:r>
              <m:rPr>
                <m:sty m:val="p"/>
              </m:rPr>
              <w:rPr>
                <w:rFonts w:ascii="Cambria Math" w:hAnsi="Cambria Math"/>
                <w:sz w:val="18"/>
                <w:szCs w:val="18"/>
              </w:rPr>
              <m:t>2</m:t>
            </m:r>
          </m:sub>
        </m:sSub>
      </m:oMath>
      <w:r w:rsidRPr="005364BF">
        <w:rPr>
          <w:sz w:val="18"/>
          <w:szCs w:val="18"/>
        </w:rPr>
        <w:t>) are utilized to scale the device voltage (</w:t>
      </w:r>
      <m:oMath>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A</m:t>
            </m:r>
            <m:r>
              <m:rPr>
                <m:sty m:val="p"/>
              </m:rPr>
              <w:rPr>
                <w:rFonts w:ascii="Cambria Math" w:hAnsi="Cambria Math"/>
                <w:sz w:val="18"/>
                <w:szCs w:val="18"/>
              </w:rPr>
              <m:t>1</m:t>
            </m:r>
          </m:sub>
        </m:sSub>
      </m:oMath>
      <w:r w:rsidRPr="005364BF">
        <w:rPr>
          <w:sz w:val="18"/>
          <w:szCs w:val="18"/>
        </w:rPr>
        <w:t>, 1:10 ratio) and current-sensing signal (</w:t>
      </w:r>
      <m:oMath>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A</m:t>
            </m:r>
            <m:r>
              <m:rPr>
                <m:sty m:val="p"/>
              </m:rPr>
              <w:rPr>
                <w:rFonts w:ascii="Cambria Math" w:hAnsi="Cambria Math"/>
                <w:sz w:val="18"/>
                <w:szCs w:val="18"/>
              </w:rPr>
              <m:t>2</m:t>
            </m:r>
          </m:sub>
        </m:sSub>
      </m:oMath>
      <w:r w:rsidRPr="005364BF">
        <w:rPr>
          <w:sz w:val="18"/>
          <w:szCs w:val="18"/>
        </w:rPr>
        <w:t>, 1:100 ratio) to match the digitizer's input range.</w:t>
      </w:r>
    </w:p>
    <w:p w14:paraId="13A88457" w14:textId="42019CE7" w:rsidR="0076197A" w:rsidRPr="007B544F" w:rsidRDefault="0076197A" w:rsidP="007B544F">
      <w:pPr>
        <w:spacing w:before="120"/>
        <w:jc w:val="both"/>
        <w:rPr>
          <w:b/>
          <w:sz w:val="22"/>
          <w:szCs w:val="22"/>
        </w:rPr>
      </w:pPr>
      <w:r w:rsidRPr="007B544F">
        <w:rPr>
          <w:b/>
          <w:sz w:val="22"/>
          <w:szCs w:val="22"/>
        </w:rPr>
        <w:t>3. RESULTS AND DISCUSSION</w:t>
      </w:r>
    </w:p>
    <w:p w14:paraId="71804D09" w14:textId="77777777" w:rsidR="007B544F" w:rsidRPr="007B544F" w:rsidRDefault="007B544F" w:rsidP="007B544F">
      <w:pPr>
        <w:spacing w:before="120" w:line="330" w:lineRule="exact"/>
        <w:jc w:val="both"/>
        <w:rPr>
          <w:sz w:val="22"/>
          <w:szCs w:val="22"/>
        </w:rPr>
      </w:pPr>
      <w:bookmarkStart w:id="2" w:name="simulation_guided_verification_of_2a710d"/>
      <w:r w:rsidRPr="007B544F">
        <w:rPr>
          <w:b/>
          <w:sz w:val="22"/>
          <w:szCs w:val="22"/>
        </w:rPr>
        <w:t>3.1. Simulation-Guided verification of the breakdown signature</w:t>
      </w:r>
    </w:p>
    <w:p w14:paraId="62183639" w14:textId="0DB76158" w:rsidR="007B544F" w:rsidRPr="007B544F" w:rsidRDefault="007B544F" w:rsidP="007B544F">
      <w:pPr>
        <w:spacing w:before="120"/>
        <w:ind w:firstLine="567"/>
        <w:jc w:val="both"/>
        <w:rPr>
          <w:sz w:val="22"/>
          <w:szCs w:val="22"/>
        </w:rPr>
      </w:pPr>
      <w:r w:rsidRPr="007B544F">
        <w:rPr>
          <w:sz w:val="22"/>
          <w:szCs w:val="22"/>
        </w:rPr>
        <w:t>Prior to experimental characterization, the expected electrical fingerprint of oxide breakdown under a monotonic voltage ramp was verified using a compact SPICE-level representation of the Si/SiO</w:t>
      </w:r>
      <w:r w:rsidRPr="007B544F">
        <w:rPr>
          <w:sz w:val="22"/>
          <w:szCs w:val="22"/>
          <w:vertAlign w:val="subscript"/>
        </w:rPr>
        <w:t xml:space="preserve">2 </w:t>
      </w:r>
      <w:r w:rsidRPr="007B544F">
        <w:rPr>
          <w:sz w:val="22"/>
          <w:szCs w:val="22"/>
        </w:rPr>
        <w:t>MOS structure coupled with the external limiting network</w:t>
      </w:r>
      <w:r w:rsidR="00BF258F">
        <w:rPr>
          <w:sz w:val="22"/>
          <w:szCs w:val="22"/>
        </w:rPr>
        <w:t xml:space="preserve"> </w:t>
      </w:r>
      <w:r w:rsidR="004614A7" w:rsidRPr="004614A7">
        <w:rPr>
          <w:sz w:val="22"/>
          <w:vertAlign w:val="superscript"/>
        </w:rPr>
        <w:t>24</w:t>
      </w:r>
      <w:r w:rsidR="00BF258F">
        <w:rPr>
          <w:sz w:val="22"/>
          <w:szCs w:val="22"/>
        </w:rPr>
        <w:t>,</w:t>
      </w:r>
      <w:r w:rsidR="004614A7" w:rsidRPr="004614A7">
        <w:rPr>
          <w:sz w:val="22"/>
          <w:vertAlign w:val="superscript"/>
        </w:rPr>
        <w:t>25</w:t>
      </w:r>
      <w:r w:rsidRPr="007B544F">
        <w:rPr>
          <w:sz w:val="22"/>
          <w:szCs w:val="22"/>
        </w:rPr>
        <w:t>. For clarity of signature identification, the pre-breakdown leakage branch in the model was deliberately minimized, ensuring that the transition is dominated by the impedance collapse event rather than by an assumed leakage law.</w:t>
      </w:r>
    </w:p>
    <w:p w14:paraId="55E50E89" w14:textId="3847F3BB" w:rsidR="007B544F" w:rsidRDefault="007B544F" w:rsidP="007B544F">
      <w:pPr>
        <w:spacing w:before="120"/>
        <w:ind w:firstLine="567"/>
        <w:jc w:val="both"/>
        <w:rPr>
          <w:sz w:val="22"/>
          <w:szCs w:val="22"/>
        </w:rPr>
      </w:pPr>
      <w:r w:rsidRPr="007B544F">
        <w:rPr>
          <w:sz w:val="22"/>
          <w:szCs w:val="22"/>
        </w:rPr>
        <w:t xml:space="preserve">The simulated I–V response (Figure 2) exhibits two clearly distinguished regimes: an initial </w:t>
      </w:r>
      <w:r w:rsidRPr="007B544F">
        <w:rPr>
          <w:sz w:val="22"/>
          <w:szCs w:val="22"/>
        </w:rPr>
        <w:lastRenderedPageBreak/>
        <w:t xml:space="preserve">high-impedance insulating region, followed by an abrupt hard breakdown (HBD) transition. Crucially, once the DUT collapses into a low-impedance state, the post-event current is no longer governed by intrinsic oxide transport. Instead, the trajectory transitions into a Compliance-Limited Region (CLR), where the measured current is determined primarily by the external protection path (specifically the 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7B544F">
        <w:rPr>
          <w:sz w:val="22"/>
          <w:szCs w:val="22"/>
        </w:rPr>
        <w:t>) and the continuing increase of the applied source voltage</w:t>
      </w:r>
      <w:r w:rsidR="00020EEE">
        <w:rPr>
          <w:sz w:val="22"/>
          <w:szCs w:val="22"/>
        </w:rPr>
        <w:t xml:space="preserve"> </w:t>
      </w:r>
      <w:r w:rsidR="004614A7" w:rsidRPr="004614A7">
        <w:rPr>
          <w:sz w:val="22"/>
          <w:vertAlign w:val="superscript"/>
        </w:rPr>
        <w:t>26</w:t>
      </w:r>
      <w:r w:rsidRPr="007B544F">
        <w:rPr>
          <w:sz w:val="22"/>
          <w:szCs w:val="22"/>
        </w:rPr>
        <w:t>.</w:t>
      </w:r>
    </w:p>
    <w:p w14:paraId="424CA9A7" w14:textId="36D2A70E" w:rsidR="007B544F" w:rsidRDefault="007B544F" w:rsidP="007B544F">
      <w:pPr>
        <w:spacing w:before="120"/>
        <w:jc w:val="both"/>
        <w:rPr>
          <w:sz w:val="22"/>
          <w:szCs w:val="22"/>
        </w:rPr>
      </w:pPr>
      <w:r>
        <w:rPr>
          <w:noProof/>
          <w:sz w:val="22"/>
          <w:szCs w:val="22"/>
        </w:rPr>
        <w:drawing>
          <wp:inline distT="0" distB="0" distL="0" distR="0" wp14:anchorId="41C448F1" wp14:editId="01911B58">
            <wp:extent cx="2880360" cy="200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V brea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002155"/>
                    </a:xfrm>
                    <a:prstGeom prst="rect">
                      <a:avLst/>
                    </a:prstGeom>
                  </pic:spPr>
                </pic:pic>
              </a:graphicData>
            </a:graphic>
          </wp:inline>
        </w:drawing>
      </w:r>
    </w:p>
    <w:p w14:paraId="0981F395" w14:textId="355A4C10" w:rsidR="007B544F" w:rsidRDefault="007B544F" w:rsidP="007B544F">
      <w:pPr>
        <w:spacing w:before="120"/>
        <w:jc w:val="both"/>
        <w:rPr>
          <w:sz w:val="18"/>
          <w:szCs w:val="18"/>
        </w:rPr>
      </w:pPr>
      <w:r w:rsidRPr="007B544F">
        <w:rPr>
          <w:b/>
          <w:sz w:val="18"/>
          <w:szCs w:val="18"/>
        </w:rPr>
        <w:t>Figure 2.</w:t>
      </w:r>
      <w:r w:rsidRPr="007B544F">
        <w:rPr>
          <w:sz w:val="18"/>
          <w:szCs w:val="18"/>
        </w:rPr>
        <w:t xml:space="preserve"> SPICE-simulated I–V characteristic illustrating the protection concept. A hard-breakdown transition occurs at an illustrative voltage </w:t>
      </w:r>
      <m:oMath>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bd</m:t>
            </m:r>
          </m:sub>
        </m:sSub>
        <m:r>
          <m:rPr>
            <m:sty m:val="p"/>
          </m:rPr>
          <w:rPr>
            <w:rFonts w:ascii="Cambria Math" w:hAnsi="Cambria Math"/>
            <w:sz w:val="18"/>
            <w:szCs w:val="18"/>
          </w:rPr>
          <m:t>≈179.7</m:t>
        </m:r>
      </m:oMath>
      <w:r w:rsidRPr="007B544F">
        <w:rPr>
          <w:sz w:val="18"/>
          <w:szCs w:val="18"/>
        </w:rPr>
        <w:t xml:space="preserve"> V, followed by a linear Compliance-Limited Region (CLR) governed by the external limiter (</w:t>
      </w:r>
      <m:oMath>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lim</m:t>
            </m:r>
          </m:sub>
        </m:sSub>
        <m:r>
          <m:rPr>
            <m:sty m:val="p"/>
          </m:rPr>
          <w:rPr>
            <w:rFonts w:ascii="Cambria Math" w:hAnsi="Cambria Math"/>
            <w:sz w:val="18"/>
            <w:szCs w:val="18"/>
          </w:rPr>
          <m:t>≈330</m:t>
        </m:r>
      </m:oMath>
      <w:r w:rsidRPr="007B544F">
        <w:rPr>
          <w:sz w:val="18"/>
          <w:szCs w:val="18"/>
        </w:rPr>
        <w:t xml:space="preserve"> k</w:t>
      </w:r>
      <m:oMath>
        <m:r>
          <m:rPr>
            <m:sty m:val="p"/>
          </m:rPr>
          <w:rPr>
            <w:rFonts w:ascii="Cambria Math" w:hAnsi="Cambria Math"/>
            <w:sz w:val="18"/>
            <w:szCs w:val="18"/>
          </w:rPr>
          <m:t>Ω</m:t>
        </m:r>
      </m:oMath>
      <w:r w:rsidRPr="007B544F">
        <w:rPr>
          <w:sz w:val="18"/>
          <w:szCs w:val="18"/>
        </w:rPr>
        <w:t>), distinct from intrinsic oxide physics.</w:t>
      </w:r>
    </w:p>
    <w:p w14:paraId="34E63BF9" w14:textId="77777777" w:rsidR="007B544F" w:rsidRPr="007B544F" w:rsidRDefault="007B544F" w:rsidP="007B544F">
      <w:pPr>
        <w:spacing w:before="120"/>
        <w:jc w:val="both"/>
        <w:rPr>
          <w:sz w:val="22"/>
          <w:szCs w:val="22"/>
        </w:rPr>
      </w:pPr>
      <w:r>
        <w:rPr>
          <w:noProof/>
          <w:sz w:val="22"/>
          <w:szCs w:val="22"/>
        </w:rPr>
        <w:drawing>
          <wp:inline distT="0" distB="0" distL="0" distR="0" wp14:anchorId="734BA806" wp14:editId="3879E2B2">
            <wp:extent cx="2880360"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ul_Transi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294890"/>
                    </a:xfrm>
                    <a:prstGeom prst="rect">
                      <a:avLst/>
                    </a:prstGeom>
                  </pic:spPr>
                </pic:pic>
              </a:graphicData>
            </a:graphic>
          </wp:inline>
        </w:drawing>
      </w:r>
    </w:p>
    <w:p w14:paraId="7F97880F" w14:textId="77777777" w:rsidR="007B544F" w:rsidRPr="007B544F" w:rsidRDefault="007B544F" w:rsidP="007B544F">
      <w:pPr>
        <w:spacing w:before="120"/>
        <w:jc w:val="both"/>
        <w:rPr>
          <w:sz w:val="18"/>
          <w:szCs w:val="18"/>
        </w:rPr>
      </w:pPr>
      <w:r w:rsidRPr="007B544F">
        <w:rPr>
          <w:b/>
          <w:sz w:val="18"/>
          <w:szCs w:val="18"/>
        </w:rPr>
        <w:t>Figure 3.</w:t>
      </w:r>
      <w:r w:rsidRPr="007B544F">
        <w:rPr>
          <w:sz w:val="18"/>
          <w:szCs w:val="18"/>
        </w:rPr>
        <w:t xml:space="preserve"> Simulated transient breakdown signatures. (a) </w:t>
      </w:r>
      <m:oMath>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DUT</m:t>
            </m:r>
          </m:sub>
        </m:sSub>
      </m:oMath>
      <w:r w:rsidRPr="007B544F">
        <w:rPr>
          <w:sz w:val="18"/>
          <w:szCs w:val="18"/>
        </w:rPr>
        <w:t xml:space="preserve"> follows </w:t>
      </w:r>
      <m:oMath>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source</m:t>
            </m:r>
          </m:sub>
        </m:sSub>
      </m:oMath>
      <w:r w:rsidRPr="007B544F">
        <w:rPr>
          <w:sz w:val="18"/>
          <w:szCs w:val="18"/>
        </w:rPr>
        <w:t xml:space="preserve"> up to breakdown, then collapses rapidly toward zero. (b) The post-event current surge is immediately clamped by </w:t>
      </w:r>
      <m:oMath>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lim</m:t>
            </m:r>
          </m:sub>
        </m:sSub>
      </m:oMath>
      <w:r w:rsidRPr="007B544F">
        <w:rPr>
          <w:sz w:val="18"/>
          <w:szCs w:val="18"/>
        </w:rPr>
        <w:t>, validating the limiter-governed CLR fingerprint used to separate intrinsic HBD onset from the instrument/network response.</w:t>
      </w:r>
    </w:p>
    <w:p w14:paraId="4F6B71D7" w14:textId="4380A935" w:rsidR="007B544F" w:rsidRDefault="007B544F" w:rsidP="007B544F">
      <w:pPr>
        <w:spacing w:before="120"/>
        <w:jc w:val="both"/>
        <w:rPr>
          <w:sz w:val="22"/>
          <w:szCs w:val="22"/>
        </w:rPr>
      </w:pPr>
      <w:r w:rsidRPr="007B544F">
        <w:rPr>
          <w:sz w:val="22"/>
          <w:szCs w:val="22"/>
        </w:rPr>
        <w:t xml:space="preserve">The transient waveforms presented in Figure 3 further elucidate this mechanism. As shown in Figure 3(a), the device voltage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oMath>
      <w:r w:rsidRPr="007B544F">
        <w:rPr>
          <w:sz w:val="22"/>
          <w:szCs w:val="22"/>
        </w:rPr>
        <w:t xml:space="preserve"> tracks the source ramp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7B544F">
        <w:rPr>
          <w:sz w:val="22"/>
          <w:szCs w:val="22"/>
        </w:rPr>
        <w:t xml:space="preserve"> up to the breakdown instant —simulated here at an illustrative threshold of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≈179.7</m:t>
        </m:r>
      </m:oMath>
      <w:r w:rsidRPr="007B544F">
        <w:rPr>
          <w:sz w:val="22"/>
          <w:szCs w:val="22"/>
        </w:rPr>
        <w:t xml:space="preserve"> V—before collapsing rapidly toward zero, indicating the loss of dielectric integrity. Concurrently (Figure 3(b)), the resulting current surge is immediately clamped by the external </w:t>
      </w:r>
      <w:r w:rsidRPr="007B544F">
        <w:rPr>
          <w:sz w:val="22"/>
          <w:szCs w:val="22"/>
        </w:rPr>
        <w:lastRenderedPageBreak/>
        <w:t>limiter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≈330</m:t>
        </m:r>
      </m:oMath>
      <w:r w:rsidRPr="007B544F">
        <w:rPr>
          <w:sz w:val="22"/>
          <w:szCs w:val="22"/>
        </w:rPr>
        <w:t xml:space="preserve"> k</w:t>
      </w:r>
      <m:oMath>
        <m:r>
          <m:rPr>
            <m:sty m:val="p"/>
          </m:rPr>
          <w:rPr>
            <w:rFonts w:ascii="Cambria Math" w:hAnsi="Cambria Math"/>
            <w:sz w:val="22"/>
            <w:szCs w:val="22"/>
          </w:rPr>
          <m:t>Ω</m:t>
        </m:r>
      </m:oMath>
      <w:r w:rsidRPr="007B544F">
        <w:rPr>
          <w:sz w:val="22"/>
          <w:szCs w:val="22"/>
        </w:rPr>
        <w:t xml:space="preserve">), validating the protection concept. This confirms that the post-breakdown segment represents an instrument/network-determined response rather than intrinsic material physics. Consequently, for all subsequent experimental analyses,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extracted at the intrinsic transition point (defined by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while the subsequent CLR is explicitly excluded from transport interpretation. Note that the breakdown threshold in the simulation is strictly illustrative for signature separation and is not tuned to match the specific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of the fabricated samples.</w:t>
      </w:r>
    </w:p>
    <w:p w14:paraId="1BDA56C6" w14:textId="77777777" w:rsidR="007B544F" w:rsidRPr="007B544F" w:rsidRDefault="007B544F" w:rsidP="007B544F">
      <w:pPr>
        <w:spacing w:before="120"/>
        <w:jc w:val="both"/>
        <w:rPr>
          <w:sz w:val="22"/>
          <w:szCs w:val="22"/>
        </w:rPr>
      </w:pPr>
      <w:r>
        <w:rPr>
          <w:noProof/>
          <w:sz w:val="22"/>
          <w:szCs w:val="22"/>
        </w:rPr>
        <w:drawing>
          <wp:inline distT="0" distB="0" distL="0" distR="0" wp14:anchorId="7D69B1BE" wp14:editId="5AD4C89F">
            <wp:extent cx="2880360" cy="4018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4018280"/>
                    </a:xfrm>
                    <a:prstGeom prst="rect">
                      <a:avLst/>
                    </a:prstGeom>
                  </pic:spPr>
                </pic:pic>
              </a:graphicData>
            </a:graphic>
          </wp:inline>
        </w:drawing>
      </w:r>
    </w:p>
    <w:p w14:paraId="223F9CA9" w14:textId="77777777" w:rsidR="007B544F" w:rsidRPr="007B544F" w:rsidRDefault="007B544F" w:rsidP="007B544F">
      <w:pPr>
        <w:spacing w:before="120"/>
        <w:jc w:val="both"/>
        <w:rPr>
          <w:sz w:val="18"/>
          <w:szCs w:val="18"/>
        </w:rPr>
      </w:pPr>
      <w:r w:rsidRPr="007B544F">
        <w:rPr>
          <w:b/>
          <w:sz w:val="18"/>
          <w:szCs w:val="18"/>
        </w:rPr>
        <w:t>Figure 4.</w:t>
      </w:r>
      <w:r w:rsidRPr="007B544F">
        <w:rPr>
          <w:sz w:val="18"/>
          <w:szCs w:val="18"/>
        </w:rPr>
        <w:t xml:space="preserve"> Baseline Si/SiO</w:t>
      </w:r>
      <w:r w:rsidRPr="007B544F">
        <w:rPr>
          <w:sz w:val="18"/>
          <w:szCs w:val="18"/>
          <w:vertAlign w:val="subscript"/>
        </w:rPr>
        <w:t>2</w:t>
      </w:r>
      <w:r w:rsidRPr="007B544F">
        <w:rPr>
          <w:sz w:val="18"/>
          <w:szCs w:val="18"/>
        </w:rPr>
        <w:t xml:space="preserve"> breakdown characteristics (</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ox</m:t>
            </m:r>
          </m:sub>
        </m:sSub>
        <m:r>
          <m:rPr>
            <m:sty m:val="p"/>
          </m:rPr>
          <w:rPr>
            <w:rFonts w:ascii="Cambria Math" w:hAnsi="Cambria Math"/>
            <w:sz w:val="18"/>
            <w:szCs w:val="18"/>
          </w:rPr>
          <m:t>=150</m:t>
        </m:r>
      </m:oMath>
      <w:r w:rsidRPr="007B544F">
        <w:rPr>
          <w:sz w:val="18"/>
          <w:szCs w:val="18"/>
        </w:rPr>
        <w:t xml:space="preserve"> nm) for samples M1–M6. (a) Linear </w:t>
      </w:r>
      <m:oMath>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E</m:t>
        </m:r>
      </m:oMath>
      <w:r w:rsidRPr="007B544F">
        <w:rPr>
          <w:sz w:val="18"/>
          <w:szCs w:val="18"/>
        </w:rPr>
        <w:t xml:space="preserve"> overlays; vertical dashed lines mark </w:t>
      </w:r>
      <m:oMath>
        <m:sSub>
          <m:sSubPr>
            <m:ctrlPr>
              <w:rPr>
                <w:rFonts w:ascii="Cambria Math" w:hAnsi="Cambria Math"/>
                <w:sz w:val="18"/>
                <w:szCs w:val="18"/>
              </w:rPr>
            </m:ctrlPr>
          </m:sSubPr>
          <m:e>
            <m:r>
              <w:rPr>
                <w:rFonts w:ascii="Cambria Math" w:hAnsi="Cambria Math"/>
                <w:sz w:val="18"/>
                <w:szCs w:val="18"/>
              </w:rPr>
              <m:t>E</m:t>
            </m:r>
          </m:e>
          <m:sub>
            <m:r>
              <w:rPr>
                <w:rFonts w:ascii="Cambria Math" w:hAnsi="Cambria Math"/>
                <w:sz w:val="18"/>
                <w:szCs w:val="18"/>
              </w:rPr>
              <m:t>bd</m:t>
            </m:r>
          </m:sub>
        </m:sSub>
      </m:oMath>
      <w:r w:rsidRPr="007B544F">
        <w:rPr>
          <w:sz w:val="18"/>
          <w:szCs w:val="18"/>
        </w:rPr>
        <w:t xml:space="preserve"> extracted at the intrinsic transition (global maximum of </w:t>
      </w:r>
      <m:oMath>
        <m:r>
          <m:rPr>
            <m:sty m:val="p"/>
          </m:rPr>
          <w:rPr>
            <w:rFonts w:ascii="Cambria Math" w:hAnsi="Cambria Math"/>
            <w:sz w:val="18"/>
            <w:szCs w:val="18"/>
          </w:rPr>
          <m:t>|</m:t>
        </m:r>
        <m:r>
          <w:rPr>
            <w:rFonts w:ascii="Cambria Math" w:hAnsi="Cambria Math"/>
            <w:sz w:val="18"/>
            <w:szCs w:val="18"/>
          </w:rPr>
          <m:t>dI</m:t>
        </m:r>
        <m:r>
          <m:rPr>
            <m:sty m:val="p"/>
          </m:rPr>
          <w:rPr>
            <w:rFonts w:ascii="Cambria Math" w:hAnsi="Cambria Math"/>
            <w:sz w:val="18"/>
            <w:szCs w:val="18"/>
          </w:rPr>
          <m:t>/</m:t>
        </m:r>
        <m:r>
          <w:rPr>
            <w:rFonts w:ascii="Cambria Math" w:hAnsi="Cambria Math"/>
            <w:sz w:val="18"/>
            <w:szCs w:val="18"/>
          </w:rPr>
          <m:t>dV</m:t>
        </m:r>
        <m:r>
          <m:rPr>
            <m:sty m:val="p"/>
          </m:rPr>
          <w:rPr>
            <w:rFonts w:ascii="Cambria Math" w:hAnsi="Cambria Math"/>
            <w:sz w:val="18"/>
            <w:szCs w:val="18"/>
          </w:rPr>
          <m:t>|</m:t>
        </m:r>
      </m:oMath>
      <w:r w:rsidRPr="007B544F">
        <w:rPr>
          <w:sz w:val="18"/>
          <w:szCs w:val="18"/>
        </w:rPr>
        <w:t xml:space="preserve">). The hatched high-field band denotes the Compliance-Limited Region (CLR) governed by the external limiter and thus excluded from physics-based analysis. (b) Semi-log </w:t>
      </w:r>
      <m:oMath>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E</m:t>
        </m:r>
      </m:oMath>
      <w:r w:rsidRPr="007B544F">
        <w:rPr>
          <w:sz w:val="18"/>
          <w:szCs w:val="18"/>
        </w:rPr>
        <w:t xml:space="preserve"> overlays highlighting the pre-breakdown leakage branch; resolution-limited floor points are shown for visualization but are excluded from fitting.</w:t>
      </w:r>
    </w:p>
    <w:p w14:paraId="40585209" w14:textId="77777777" w:rsidR="007B544F" w:rsidRPr="007B544F" w:rsidRDefault="007B544F" w:rsidP="007B544F">
      <w:pPr>
        <w:spacing w:before="120" w:line="330" w:lineRule="exact"/>
        <w:jc w:val="both"/>
        <w:rPr>
          <w:sz w:val="22"/>
          <w:szCs w:val="22"/>
        </w:rPr>
      </w:pPr>
      <w:r w:rsidRPr="007B544F">
        <w:rPr>
          <w:b/>
          <w:sz w:val="22"/>
          <w:szCs w:val="22"/>
        </w:rPr>
        <w:t>3.2. Experimental I–V characteristics of baseline Si/SiO</w:t>
      </w:r>
      <w:r w:rsidRPr="007B544F">
        <w:rPr>
          <w:b/>
          <w:sz w:val="22"/>
          <w:szCs w:val="22"/>
          <w:vertAlign w:val="subscript"/>
        </w:rPr>
        <w:t>2</w:t>
      </w:r>
      <w:r w:rsidRPr="007B544F">
        <w:rPr>
          <w:b/>
          <w:sz w:val="22"/>
          <w:szCs w:val="22"/>
        </w:rPr>
        <w:t xml:space="preserve"> devices</w:t>
      </w:r>
    </w:p>
    <w:p w14:paraId="174FF1A6" w14:textId="05A68411" w:rsidR="007B544F" w:rsidRDefault="007B544F" w:rsidP="007B544F">
      <w:pPr>
        <w:spacing w:before="120"/>
        <w:ind w:firstLine="567"/>
        <w:jc w:val="both"/>
        <w:rPr>
          <w:sz w:val="22"/>
          <w:szCs w:val="22"/>
        </w:rPr>
      </w:pPr>
      <w:r w:rsidRPr="007B544F">
        <w:rPr>
          <w:sz w:val="22"/>
          <w:szCs w:val="22"/>
        </w:rPr>
        <w:t xml:space="preserve">Figure 4 consolidates the experimental breakdown measurements of the baseline sample set (M1–M6). The characteristics are presented as linear </w:t>
      </w:r>
      <m:oMath>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4a) and semi-log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4b), with the oxide field computed consistently as </w:t>
      </w:r>
      <m:oMath>
        <m:r>
          <w:rPr>
            <w:rFonts w:ascii="Cambria Math" w:hAnsi="Cambria Math"/>
            <w:sz w:val="22"/>
            <w:szCs w:val="22"/>
          </w:rPr>
          <m:t>E</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oMath>
      <w:r w:rsidRPr="007B544F">
        <w:rPr>
          <w:sz w:val="22"/>
          <w:szCs w:val="22"/>
        </w:rPr>
        <w:t xml:space="preserv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7B544F">
        <w:rPr>
          <w:sz w:val="22"/>
          <w:szCs w:val="22"/>
        </w:rPr>
        <w:t xml:space="preserve"> nm). Across all devices, the traces exhibit the expected </w:t>
      </w:r>
      <w:r w:rsidRPr="007B544F">
        <w:rPr>
          <w:sz w:val="22"/>
          <w:szCs w:val="22"/>
        </w:rPr>
        <w:lastRenderedPageBreak/>
        <w:t>three-regime evolution: (i) field-dependent pre-breakdown leakage; (ii) abrupt impedance collapse at the breakdown onset; and (iii) a post-event trajectory corresponding to the limiter-governed CLR (indicated by the hatched region).</w:t>
      </w:r>
    </w:p>
    <w:p w14:paraId="70F620A1" w14:textId="77777777" w:rsidR="007B544F" w:rsidRPr="007B544F" w:rsidRDefault="007B544F" w:rsidP="007B544F">
      <w:pPr>
        <w:spacing w:before="120"/>
        <w:ind w:firstLine="567"/>
        <w:jc w:val="both"/>
        <w:rPr>
          <w:sz w:val="22"/>
          <w:szCs w:val="22"/>
        </w:rPr>
      </w:pPr>
      <w:r w:rsidRPr="007B544F">
        <w:rPr>
          <w:sz w:val="22"/>
          <w:szCs w:val="22"/>
        </w:rPr>
        <w:t>In the semi-log representation (Figure 4b), the data reveals a clear separation between quantization-limited noise at very low currents (appearing as a horizontal floor cluster) and the structured, field-dependent leakage branch that rises with increasing field prior to breakdown. To ensure metrological rigor, all conduction diagnostics and mechanism checks in this work are performed exclusively on non-floor samples–defined as data points that exceed the effective post-processed resolution threshold and remain strictly within the pre-breakdown regime.</w:t>
      </w:r>
    </w:p>
    <w:p w14:paraId="2D4EAA97" w14:textId="0B104058" w:rsidR="007B544F" w:rsidRDefault="007B544F" w:rsidP="007B544F">
      <w:pPr>
        <w:spacing w:before="120"/>
        <w:ind w:firstLine="567"/>
        <w:jc w:val="both"/>
        <w:rPr>
          <w:sz w:val="22"/>
          <w:szCs w:val="22"/>
        </w:rPr>
      </w:pPr>
      <w:r w:rsidRPr="007B544F">
        <w:rPr>
          <w:sz w:val="22"/>
          <w:szCs w:val="22"/>
        </w:rPr>
        <w:t xml:space="preserve">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operationally assigned to the intrinsic transition point corresponding to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The extracted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are marked by vertical dashed lines in Figure 4. This definition firmly anchors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to the onset of the physical impedance collapse, thereby avoiding bias from the subsequent limiter-governed segment which is excluded from material characterization.</w:t>
      </w:r>
    </w:p>
    <w:p w14:paraId="32D77F1A" w14:textId="77777777" w:rsidR="007B544F" w:rsidRPr="007B544F" w:rsidRDefault="007B544F" w:rsidP="007B544F">
      <w:pPr>
        <w:spacing w:before="120" w:line="330" w:lineRule="exact"/>
        <w:jc w:val="both"/>
        <w:rPr>
          <w:sz w:val="22"/>
          <w:szCs w:val="22"/>
        </w:rPr>
      </w:pPr>
      <w:r w:rsidRPr="007B544F">
        <w:rPr>
          <w:b/>
          <w:sz w:val="22"/>
          <w:szCs w:val="22"/>
        </w:rPr>
        <w:t>3.3. Pre-Breakdown conduction diagnostics</w:t>
      </w:r>
    </w:p>
    <w:p w14:paraId="1033DB3F" w14:textId="77777777" w:rsidR="007B544F" w:rsidRPr="007B544F" w:rsidRDefault="007B544F" w:rsidP="007B544F">
      <w:pPr>
        <w:spacing w:before="120"/>
        <w:ind w:firstLine="567"/>
        <w:jc w:val="both"/>
        <w:rPr>
          <w:sz w:val="22"/>
          <w:szCs w:val="22"/>
        </w:rPr>
      </w:pPr>
      <w:r w:rsidRPr="007B544F">
        <w:rPr>
          <w:sz w:val="22"/>
          <w:szCs w:val="22"/>
        </w:rPr>
        <w:t>To verify that the recorded pre-breakdown leakage exhibits structured field dependence—rather than being dominated by floor artifacts or post-breakdown limiting—conduction diagnostics were performed using Fowler–Nordheim (FN) and Poole–Frenkel (PF) coordinate linearizations (Figure 5). All transformations utilize magnitude quantities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oMath>
      <w:r w:rsidRPr="007B544F">
        <w:rPr>
          <w:sz w:val="22"/>
          <w:szCs w:val="22"/>
        </w:rPr>
        <w:t xml:space="preserve">, </w:t>
      </w:r>
      <m:oMath>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to facilitate polarity-invariant comparison.</w:t>
      </w:r>
    </w:p>
    <w:p w14:paraId="306EA859" w14:textId="77777777" w:rsidR="007B544F" w:rsidRPr="007B544F" w:rsidRDefault="007B544F" w:rsidP="007B544F">
      <w:pPr>
        <w:spacing w:before="120"/>
        <w:ind w:firstLine="567"/>
        <w:jc w:val="both"/>
        <w:rPr>
          <w:sz w:val="22"/>
          <w:szCs w:val="22"/>
        </w:rPr>
      </w:pPr>
      <w:r w:rsidRPr="007B544F">
        <w:rPr>
          <w:sz w:val="22"/>
          <w:szCs w:val="22"/>
        </w:rPr>
        <w:t xml:space="preserve">FN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r>
          <m:rPr>
            <m:sty m:val="p"/>
          </m:rPr>
          <w:rPr>
            <w:rFonts w:ascii="Cambria Math" w:hAnsi="Cambria Math"/>
            <w:sz w:val="22"/>
            <w:szCs w:val="22"/>
          </w:rPr>
          <m:t>)</m:t>
        </m:r>
      </m:oMath>
      <w:r w:rsidRPr="007B544F">
        <w:rPr>
          <w:sz w:val="22"/>
          <w:szCs w:val="22"/>
        </w:rPr>
        <w:t xml:space="preserve"> versus </w:t>
      </w:r>
      <m:oMath>
        <m:r>
          <m:rPr>
            <m:sty m:val="p"/>
          </m:rPr>
          <w:rPr>
            <w:rFonts w:ascii="Cambria Math" w:hAnsi="Cambria Math"/>
            <w:sz w:val="22"/>
            <w:szCs w:val="22"/>
          </w:rPr>
          <m:t>1/</m:t>
        </m:r>
        <m:r>
          <w:rPr>
            <w:rFonts w:ascii="Cambria Math" w:hAnsi="Cambria Math"/>
            <w:sz w:val="22"/>
            <w:szCs w:val="22"/>
          </w:rPr>
          <m:t>E</m:t>
        </m:r>
      </m:oMath>
      <w:r w:rsidRPr="007B544F">
        <w:rPr>
          <w:sz w:val="22"/>
          <w:szCs w:val="22"/>
        </w:rPr>
        <w:t xml:space="preserve">, while PF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Pr="007B544F">
        <w:rPr>
          <w:sz w:val="22"/>
          <w:szCs w:val="22"/>
        </w:rPr>
        <w:t xml:space="preserve">. Recognizing that both low-field data (floor-limited) and near-breakdown data (incipient instability) can distort regression analysis, a conservative “best non-floor decade” strategy is enforced. Specifically, for each sample, the regression subset is restricted to the most linear single-decade segment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7B54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7B544F">
        <w:rPr>
          <w:sz w:val="22"/>
          <w:szCs w:val="22"/>
        </w:rPr>
        <w:t>. Furthermore, the analysis is strictly limited to points that are (i) unequivocally pre-breakdown and (ii) non-floor (excluding quantization-limited zero/near-zero samples). This methodology ensures that the fitted slopes reflect resolvable leakage transport rather than digitizer limitations or CLR clipping.</w:t>
      </w:r>
    </w:p>
    <w:p w14:paraId="203D3B78" w14:textId="272001E1" w:rsidR="007B544F" w:rsidRDefault="007B544F" w:rsidP="007B544F">
      <w:pPr>
        <w:spacing w:before="120"/>
        <w:jc w:val="both"/>
        <w:rPr>
          <w:sz w:val="22"/>
          <w:szCs w:val="22"/>
        </w:rPr>
      </w:pPr>
      <w:r w:rsidRPr="007B544F">
        <w:rPr>
          <w:sz w:val="22"/>
          <w:szCs w:val="22"/>
        </w:rPr>
        <w:lastRenderedPageBreak/>
        <w:t xml:space="preserve">As illustrated in Figure 5, the resulting linearities are high, with coefficients of determination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7B544F">
        <w:rPr>
          <w:sz w:val="22"/>
          <w:szCs w:val="22"/>
        </w:rPr>
        <w:t xml:space="preserve"> ranging from 0.972 to 0.989 for FN and 0.992 to 0.997 for PF fits. It is emphasized that these linearizations serve primarily as metrological diagnostics to confirm signal integrity and consistency, rather than as exclusive proof of a single microscopic transport mechanism, given that multiple conduction models can appear quasi-linear over restricted field windows in thick oxides.</w:t>
      </w:r>
    </w:p>
    <w:p w14:paraId="11F4DA80" w14:textId="796F1818" w:rsidR="007B544F" w:rsidRPr="007B544F" w:rsidRDefault="007B544F" w:rsidP="007B544F">
      <w:pPr>
        <w:spacing w:before="120"/>
        <w:jc w:val="both"/>
        <w:rPr>
          <w:sz w:val="22"/>
          <w:szCs w:val="22"/>
        </w:rPr>
      </w:pPr>
      <w:r>
        <w:rPr>
          <w:noProof/>
          <w:sz w:val="22"/>
          <w:szCs w:val="22"/>
        </w:rPr>
        <w:drawing>
          <wp:inline distT="0" distB="0" distL="0" distR="0" wp14:anchorId="35FC4861" wp14:editId="7B0DBB81">
            <wp:extent cx="2880360" cy="404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4046855"/>
                    </a:xfrm>
                    <a:prstGeom prst="rect">
                      <a:avLst/>
                    </a:prstGeom>
                  </pic:spPr>
                </pic:pic>
              </a:graphicData>
            </a:graphic>
          </wp:inline>
        </w:drawing>
      </w:r>
    </w:p>
    <w:p w14:paraId="681F3BF7" w14:textId="77777777" w:rsidR="007B544F" w:rsidRPr="007B544F" w:rsidRDefault="007B544F" w:rsidP="007B544F">
      <w:pPr>
        <w:spacing w:before="120"/>
        <w:jc w:val="both"/>
        <w:rPr>
          <w:sz w:val="18"/>
          <w:szCs w:val="18"/>
        </w:rPr>
      </w:pPr>
      <w:r w:rsidRPr="007B544F">
        <w:rPr>
          <w:b/>
          <w:sz w:val="18"/>
          <w:szCs w:val="18"/>
        </w:rPr>
        <w:t>Figure 5.</w:t>
      </w:r>
      <w:r w:rsidRPr="007B544F">
        <w:rPr>
          <w:sz w:val="18"/>
          <w:szCs w:val="18"/>
        </w:rPr>
        <w:t xml:space="preserve"> Pre-breakdown conduction diagnostics for the baseline set (M1–M6). Linear fits are performed within the pre-breakdown window (2–7 MV/cm) using the “best non-floor decade” </w:t>
      </w:r>
      <m:oMath>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r>
          <m:rPr>
            <m:nor/>
          </m:rPr>
          <w:rPr>
            <w:sz w:val="18"/>
            <w:szCs w:val="18"/>
          </w:rPr>
          <m:t>–</m:t>
        </m:r>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r w:rsidRPr="007B544F">
        <w:rPr>
          <w:sz w:val="18"/>
          <w:szCs w:val="18"/>
        </w:rPr>
        <w:t xml:space="preserve"> A/cm</w:t>
      </w:r>
      <m:oMath>
        <m:sSup>
          <m:sSupPr>
            <m:ctrlPr>
              <w:rPr>
                <w:rFonts w:ascii="Cambria Math" w:hAnsi="Cambria Math"/>
                <w:sz w:val="18"/>
                <w:szCs w:val="18"/>
              </w:rPr>
            </m:ctrlPr>
          </m:sSupPr>
          <m:e>
            <m:r>
              <w:rPr>
                <w:rFonts w:ascii="Cambria Math" w:hAnsi="Cambria Math"/>
                <w:sz w:val="18"/>
                <w:szCs w:val="18"/>
              </w:rPr>
              <m:t xml:space="preserve"> </m:t>
            </m:r>
          </m:e>
          <m:sup>
            <m:r>
              <m:rPr>
                <m:sty m:val="p"/>
              </m:rPr>
              <w:rPr>
                <w:rFonts w:ascii="Cambria Math" w:hAnsi="Cambria Math"/>
                <w:sz w:val="18"/>
                <w:szCs w:val="18"/>
              </w:rPr>
              <m:t>2</m:t>
            </m:r>
          </m:sup>
        </m:sSup>
      </m:oMath>
      <w:r w:rsidRPr="007B544F">
        <w:rPr>
          <w:sz w:val="18"/>
          <w:szCs w:val="18"/>
        </w:rPr>
        <w:t xml:space="preserve">. (a) Fowler–Nordheim coordinates, </w:t>
      </w:r>
      <m:oMath>
        <m:r>
          <m:rPr>
            <m:sty m:val="p"/>
          </m:rPr>
          <w:rPr>
            <w:rFonts w:ascii="Cambria Math" w:hAnsi="Cambria Math"/>
            <w:sz w:val="18"/>
            <w:szCs w:val="18"/>
          </w:rPr>
          <m:t>ln⁡(</m:t>
        </m:r>
        <m:r>
          <w:rPr>
            <w:rFonts w:ascii="Cambria Math" w:hAnsi="Cambria Math"/>
            <w:sz w:val="18"/>
            <w:szCs w:val="18"/>
          </w:rPr>
          <m:t>J</m:t>
        </m:r>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E</m:t>
            </m:r>
          </m:e>
          <m:sup>
            <m:r>
              <m:rPr>
                <m:sty m:val="p"/>
              </m:rPr>
              <w:rPr>
                <w:rFonts w:ascii="Cambria Math" w:hAnsi="Cambria Math"/>
                <w:sz w:val="18"/>
                <w:szCs w:val="18"/>
              </w:rPr>
              <m:t>2</m:t>
            </m:r>
          </m:sup>
        </m:sSup>
        <m:r>
          <m:rPr>
            <m:sty m:val="p"/>
          </m:rPr>
          <w:rPr>
            <w:rFonts w:ascii="Cambria Math" w:hAnsi="Cambria Math"/>
            <w:sz w:val="18"/>
            <w:szCs w:val="18"/>
          </w:rPr>
          <m:t>)</m:t>
        </m:r>
      </m:oMath>
      <w:r w:rsidRPr="007B544F">
        <w:rPr>
          <w:sz w:val="18"/>
          <w:szCs w:val="18"/>
        </w:rPr>
        <w:t xml:space="preserve"> versus </w:t>
      </w:r>
      <m:oMath>
        <m:r>
          <m:rPr>
            <m:sty m:val="p"/>
          </m:rPr>
          <w:rPr>
            <w:rFonts w:ascii="Cambria Math" w:hAnsi="Cambria Math"/>
            <w:sz w:val="18"/>
            <w:szCs w:val="18"/>
          </w:rPr>
          <m:t>1/</m:t>
        </m:r>
        <m:r>
          <w:rPr>
            <w:rFonts w:ascii="Cambria Math" w:hAnsi="Cambria Math"/>
            <w:sz w:val="18"/>
            <w:szCs w:val="18"/>
          </w:rPr>
          <m:t>E</m:t>
        </m:r>
      </m:oMath>
      <w:r w:rsidRPr="007B544F">
        <w:rPr>
          <w:sz w:val="18"/>
          <w:szCs w:val="18"/>
        </w:rPr>
        <w:t xml:space="preserve">. (b) Poole–Frenkel coordinates, </w:t>
      </w:r>
      <m:oMath>
        <m:r>
          <m:rPr>
            <m:sty m:val="p"/>
          </m:rPr>
          <w:rPr>
            <w:rFonts w:ascii="Cambria Math" w:hAnsi="Cambria Math"/>
            <w:sz w:val="18"/>
            <w:szCs w:val="18"/>
          </w:rPr>
          <m:t>ln⁡(</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E</m:t>
        </m:r>
        <m:r>
          <m:rPr>
            <m:sty m:val="p"/>
          </m:rPr>
          <w:rPr>
            <w:rFonts w:ascii="Cambria Math" w:hAnsi="Cambria Math"/>
            <w:sz w:val="18"/>
            <w:szCs w:val="18"/>
          </w:rPr>
          <m:t>)</m:t>
        </m:r>
      </m:oMath>
      <w:r w:rsidRPr="007B544F">
        <w:rPr>
          <w:sz w:val="18"/>
          <w:szCs w:val="18"/>
        </w:rPr>
        <w:t xml:space="preserve"> versus </w:t>
      </w:r>
      <m:oMath>
        <m:rad>
          <m:radPr>
            <m:degHide m:val="1"/>
            <m:ctrlPr>
              <w:rPr>
                <w:rFonts w:ascii="Cambria Math" w:hAnsi="Cambria Math"/>
                <w:sz w:val="18"/>
                <w:szCs w:val="18"/>
              </w:rPr>
            </m:ctrlPr>
          </m:radPr>
          <m:deg/>
          <m:e>
            <m:r>
              <w:rPr>
                <w:rFonts w:ascii="Cambria Math" w:hAnsi="Cambria Math"/>
                <w:sz w:val="18"/>
                <w:szCs w:val="18"/>
              </w:rPr>
              <m:t>E</m:t>
            </m:r>
          </m:e>
        </m:rad>
      </m:oMath>
      <w:r w:rsidRPr="007B544F">
        <w:rPr>
          <w:sz w:val="18"/>
          <w:szCs w:val="18"/>
        </w:rPr>
        <w:t xml:space="preserve">. Solid lines represent regressions; </w:t>
      </w:r>
      <m:oMath>
        <m:sSup>
          <m:sSupPr>
            <m:ctrlPr>
              <w:rPr>
                <w:rFonts w:ascii="Cambria Math" w:hAnsi="Cambria Math"/>
                <w:sz w:val="18"/>
                <w:szCs w:val="18"/>
              </w:rPr>
            </m:ctrlPr>
          </m:sSupPr>
          <m:e>
            <m:r>
              <w:rPr>
                <w:rFonts w:ascii="Cambria Math" w:hAnsi="Cambria Math"/>
                <w:sz w:val="18"/>
                <w:szCs w:val="18"/>
              </w:rPr>
              <m:t>R</m:t>
            </m:r>
          </m:e>
          <m:sup>
            <m:r>
              <m:rPr>
                <m:sty m:val="p"/>
              </m:rPr>
              <w:rPr>
                <w:rFonts w:ascii="Cambria Math" w:hAnsi="Cambria Math"/>
                <w:sz w:val="18"/>
                <w:szCs w:val="18"/>
              </w:rPr>
              <m:t>2</m:t>
            </m:r>
          </m:sup>
        </m:sSup>
      </m:oMath>
      <w:r w:rsidRPr="007B544F">
        <w:rPr>
          <w:sz w:val="18"/>
          <w:szCs w:val="18"/>
        </w:rPr>
        <w:t xml:space="preserve"> values are reported in the legends.</w:t>
      </w:r>
    </w:p>
    <w:p w14:paraId="114C569D" w14:textId="77777777" w:rsidR="007B544F" w:rsidRPr="007B544F" w:rsidRDefault="007B544F" w:rsidP="007B544F">
      <w:pPr>
        <w:spacing w:before="120" w:line="330" w:lineRule="exact"/>
        <w:jc w:val="both"/>
        <w:rPr>
          <w:sz w:val="22"/>
          <w:szCs w:val="22"/>
        </w:rPr>
      </w:pPr>
      <w:r w:rsidRPr="007B544F">
        <w:rPr>
          <w:b/>
          <w:sz w:val="22"/>
          <w:szCs w:val="22"/>
        </w:rPr>
        <w:t>3.4. Breakdown statistics and consolidated baseline performance</w:t>
      </w:r>
    </w:p>
    <w:p w14:paraId="38A37D62" w14:textId="77777777" w:rsidR="007B544F" w:rsidRPr="007B544F" w:rsidRDefault="007B544F" w:rsidP="007B544F">
      <w:pPr>
        <w:spacing w:before="120"/>
        <w:ind w:firstLine="567"/>
        <w:jc w:val="both"/>
        <w:rPr>
          <w:sz w:val="22"/>
          <w:szCs w:val="22"/>
        </w:rPr>
      </w:pPr>
      <w:r w:rsidRPr="007B544F">
        <w:rPr>
          <w:sz w:val="22"/>
          <w:szCs w:val="22"/>
        </w:rPr>
        <w:t xml:space="preserve">For the baseline sample set, the extracted breakdown fields span a range of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=5.30–7.42</m:t>
        </m:r>
      </m:oMath>
      <w:r w:rsidRPr="007B544F">
        <w:rPr>
          <w:sz w:val="22"/>
          <w:szCs w:val="22"/>
        </w:rPr>
        <w:t xml:space="preserve"> MV/cm (Table 1), with a mean of 6.38 MV/cm and a standard deviation of 1.00 MV/cm (Coefficient of Variation </w:t>
      </w:r>
      <m:oMath>
        <m:r>
          <m:rPr>
            <m:sty m:val="p"/>
          </m:rPr>
          <w:rPr>
            <w:rFonts w:ascii="Cambria Math" w:hAnsi="Cambria Math"/>
            <w:sz w:val="22"/>
            <w:szCs w:val="22"/>
          </w:rPr>
          <m:t>≈15.7%</m:t>
        </m:r>
      </m:oMath>
      <w:r w:rsidRPr="007B544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7B544F">
        <w:rPr>
          <w:sz w:val="22"/>
          <w:szCs w:val="22"/>
        </w:rPr>
        <w:t>). This dispersion is consistent with the stochastic, “weakest-link” nature of dielectric breakdown in thick oxides and does not, by itself, indicate systematic drift within the measurement chain.</w:t>
      </w:r>
    </w:p>
    <w:p w14:paraId="730DE2DA" w14:textId="04D913D7" w:rsidR="007B544F" w:rsidRDefault="007B544F" w:rsidP="007B544F">
      <w:pPr>
        <w:spacing w:before="120"/>
        <w:ind w:firstLine="567"/>
        <w:jc w:val="both"/>
        <w:rPr>
          <w:sz w:val="22"/>
          <w:szCs w:val="22"/>
        </w:rPr>
      </w:pPr>
      <w:r w:rsidRPr="007B544F">
        <w:rPr>
          <w:sz w:val="22"/>
          <w:szCs w:val="22"/>
        </w:rPr>
        <w:t xml:space="preserve">Collectively, these baseline results establish a metrologically defensible reference envelope for the </w:t>
      </w:r>
      <w:r w:rsidRPr="007B544F">
        <w:rPr>
          <w:sz w:val="22"/>
          <w:szCs w:val="22"/>
        </w:rPr>
        <w:lastRenderedPageBreak/>
        <w:t>proposed system: (i) the intrinsic breakdown onset is cleanly separated from the limiter-governed CLR via the differential slope criterion; (ii) leakage is clearly resolved on a semi-log scale prior to breakdown, with explicit exclusion of floor-limited samples; and (iii) diagnostic fits achieve high linearity when a strict best-decade, non-floor selection strategy is enforced.</w:t>
      </w:r>
    </w:p>
    <w:p w14:paraId="645489B8" w14:textId="5134999D" w:rsidR="007B544F" w:rsidRDefault="007B544F" w:rsidP="007B544F">
      <w:pPr>
        <w:spacing w:after="240"/>
        <w:jc w:val="both"/>
        <w:rPr>
          <w:sz w:val="18"/>
          <w:szCs w:val="18"/>
        </w:rPr>
      </w:pPr>
      <w:r w:rsidRPr="007B544F">
        <w:rPr>
          <w:b/>
          <w:sz w:val="18"/>
          <w:szCs w:val="18"/>
        </w:rPr>
        <w:t>Table 1.</w:t>
      </w:r>
      <w:r w:rsidRPr="007B544F">
        <w:rPr>
          <w:sz w:val="18"/>
          <w:szCs w:val="18"/>
        </w:rPr>
        <w:t xml:space="preserve"> Breakdown field </w:t>
      </w:r>
      <m:oMath>
        <m:sSub>
          <m:sSubPr>
            <m:ctrlPr>
              <w:rPr>
                <w:rFonts w:ascii="Cambria Math" w:hAnsi="Cambria Math"/>
                <w:sz w:val="18"/>
                <w:szCs w:val="18"/>
              </w:rPr>
            </m:ctrlPr>
          </m:sSubPr>
          <m:e>
            <m:r>
              <w:rPr>
                <w:rFonts w:ascii="Cambria Math" w:hAnsi="Cambria Math"/>
                <w:sz w:val="18"/>
                <w:szCs w:val="18"/>
              </w:rPr>
              <m:t>E</m:t>
            </m:r>
          </m:e>
          <m:sub>
            <m:r>
              <w:rPr>
                <w:rFonts w:ascii="Cambria Math" w:hAnsi="Cambria Math"/>
                <w:sz w:val="18"/>
                <w:szCs w:val="18"/>
              </w:rPr>
              <m:t>bd</m:t>
            </m:r>
          </m:sub>
        </m:sSub>
      </m:oMath>
      <w:r w:rsidRPr="007B544F">
        <w:rPr>
          <w:sz w:val="18"/>
          <w:szCs w:val="18"/>
        </w:rPr>
        <w:t xml:space="preserve"> and pre-breakdown diagnostic slope parameters extracted in the 2–7 MV/cm window using non-floor leakage points (best decade </w:t>
      </w:r>
      <m:oMath>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r>
          <m:rPr>
            <m:nor/>
          </m:rPr>
          <w:rPr>
            <w:sz w:val="18"/>
            <w:szCs w:val="18"/>
          </w:rPr>
          <m:t>–</m:t>
        </m:r>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r w:rsidRPr="007B544F">
        <w:rPr>
          <w:sz w:val="18"/>
          <w:szCs w:val="18"/>
        </w:rPr>
        <w:t xml:space="preserve"> A/cm</w:t>
      </w:r>
      <m:oMath>
        <m:sSup>
          <m:sSupPr>
            <m:ctrlPr>
              <w:rPr>
                <w:rFonts w:ascii="Cambria Math" w:hAnsi="Cambria Math"/>
                <w:sz w:val="18"/>
                <w:szCs w:val="18"/>
              </w:rPr>
            </m:ctrlPr>
          </m:sSupPr>
          <m:e>
            <m:r>
              <w:rPr>
                <w:rFonts w:ascii="Cambria Math" w:hAnsi="Cambria Math"/>
                <w:sz w:val="18"/>
                <w:szCs w:val="18"/>
              </w:rPr>
              <m:t xml:space="preserve"> </m:t>
            </m:r>
          </m:e>
          <m:sup>
            <m:r>
              <m:rPr>
                <m:sty m:val="p"/>
              </m:rPr>
              <w:rPr>
                <w:rFonts w:ascii="Cambria Math" w:hAnsi="Cambria Math"/>
                <w:sz w:val="18"/>
                <w:szCs w:val="18"/>
              </w:rPr>
              <m:t>2</m:t>
            </m:r>
          </m:sup>
        </m:sSup>
      </m:oMath>
      <w:r w:rsidRPr="007B544F">
        <w:rPr>
          <w:sz w:val="18"/>
          <w:szCs w:val="18"/>
        </w:rPr>
        <w:t>).</w:t>
      </w:r>
      <w:r>
        <w:rPr>
          <w:sz w:val="18"/>
          <w:szCs w:val="18"/>
        </w:rPr>
        <w:t xml:space="preserve"> </w:t>
      </w:r>
      <w:r w:rsidRPr="007B544F">
        <w:rPr>
          <w:sz w:val="18"/>
          <w:szCs w:val="18"/>
        </w:rPr>
        <w:t xml:space="preserve">Note: The PF linearization is used as a consistency/shape descriptor within the selected field window; high </w:t>
      </w:r>
      <m:oMath>
        <m:sSup>
          <m:sSupPr>
            <m:ctrlPr>
              <w:rPr>
                <w:rFonts w:ascii="Cambria Math" w:hAnsi="Cambria Math"/>
                <w:sz w:val="18"/>
                <w:szCs w:val="18"/>
              </w:rPr>
            </m:ctrlPr>
          </m:sSupPr>
          <m:e>
            <m:r>
              <w:rPr>
                <w:rFonts w:ascii="Cambria Math" w:hAnsi="Cambria Math"/>
                <w:sz w:val="18"/>
                <w:szCs w:val="18"/>
              </w:rPr>
              <m:t>R</m:t>
            </m:r>
          </m:e>
          <m:sup>
            <m:r>
              <m:rPr>
                <m:sty m:val="p"/>
              </m:rPr>
              <w:rPr>
                <w:rFonts w:ascii="Cambria Math" w:hAnsi="Cambria Math"/>
                <w:sz w:val="18"/>
                <w:szCs w:val="18"/>
              </w:rPr>
              <m:t>2</m:t>
            </m:r>
          </m:sup>
        </m:sSup>
      </m:oMath>
      <w:r w:rsidRPr="007B544F">
        <w:rPr>
          <w:sz w:val="18"/>
          <w:szCs w:val="18"/>
        </w:rPr>
        <w:t xml:space="preserve"> is interpreted as repeatable field dependence in resolvable leakage data.</w:t>
      </w:r>
    </w:p>
    <w:tbl>
      <w:tblPr>
        <w:tblStyle w:val="TableGrid"/>
        <w:tblW w:w="4526" w:type="dxa"/>
        <w:tblLayout w:type="fixed"/>
        <w:tblLook w:val="0000" w:firstRow="0" w:lastRow="0" w:firstColumn="0" w:lastColumn="0" w:noHBand="0" w:noVBand="0"/>
      </w:tblPr>
      <w:tblGrid>
        <w:gridCol w:w="704"/>
        <w:gridCol w:w="992"/>
        <w:gridCol w:w="1200"/>
        <w:gridCol w:w="788"/>
        <w:gridCol w:w="842"/>
      </w:tblGrid>
      <w:tr w:rsidR="007B544F" w:rsidRPr="00C56379" w14:paraId="5444B10F" w14:textId="77777777" w:rsidTr="00760A9E">
        <w:tc>
          <w:tcPr>
            <w:tcW w:w="704" w:type="dxa"/>
          </w:tcPr>
          <w:p w14:paraId="1CA13BA5" w14:textId="77777777" w:rsidR="007B544F" w:rsidRPr="00C56379" w:rsidRDefault="007B544F" w:rsidP="00760A9E">
            <w:pPr>
              <w:spacing w:before="60" w:after="60"/>
              <w:ind w:hanging="115"/>
              <w:jc w:val="center"/>
              <w:rPr>
                <w:b/>
                <w:bCs/>
                <w:sz w:val="17"/>
                <w:szCs w:val="17"/>
              </w:rPr>
            </w:pPr>
            <w:r w:rsidRPr="00C56379">
              <w:rPr>
                <w:b/>
                <w:bCs/>
                <w:sz w:val="17"/>
                <w:szCs w:val="17"/>
              </w:rPr>
              <w:t>Sample</w:t>
            </w:r>
          </w:p>
        </w:tc>
        <w:tc>
          <w:tcPr>
            <w:tcW w:w="992" w:type="dxa"/>
          </w:tcPr>
          <w:p w14:paraId="7079DCA4" w14:textId="77777777" w:rsidR="007B544F" w:rsidRPr="00C56379" w:rsidRDefault="00760A9E" w:rsidP="00760A9E">
            <w:pPr>
              <w:spacing w:before="60" w:after="60"/>
              <w:jc w:val="center"/>
              <w:rPr>
                <w:b/>
                <w:bCs/>
                <w:sz w:val="17"/>
                <w:szCs w:val="17"/>
              </w:rPr>
            </w:pPr>
            <m:oMath>
              <m:sSub>
                <m:sSubPr>
                  <m:ctrlPr>
                    <w:rPr>
                      <w:rFonts w:ascii="Cambria Math" w:hAnsi="Cambria Math"/>
                      <w:b/>
                      <w:bCs/>
                      <w:sz w:val="17"/>
                      <w:szCs w:val="17"/>
                    </w:rPr>
                  </m:ctrlPr>
                </m:sSubPr>
                <m:e>
                  <m:r>
                    <m:rPr>
                      <m:sty m:val="b"/>
                    </m:rPr>
                    <w:rPr>
                      <w:rFonts w:ascii="Cambria Math" w:hAnsi="Cambria Math"/>
                      <w:sz w:val="17"/>
                      <w:szCs w:val="17"/>
                    </w:rPr>
                    <m:t>E</m:t>
                  </m:r>
                </m:e>
                <m:sub>
                  <m:r>
                    <m:rPr>
                      <m:sty m:val="b"/>
                    </m:rPr>
                    <w:rPr>
                      <w:rFonts w:ascii="Cambria Math" w:hAnsi="Cambria Math"/>
                      <w:sz w:val="17"/>
                      <w:szCs w:val="17"/>
                    </w:rPr>
                    <m:t>bd</m:t>
                  </m:r>
                </m:sub>
              </m:sSub>
            </m:oMath>
            <w:r w:rsidR="007B544F" w:rsidRPr="00C56379">
              <w:rPr>
                <w:b/>
                <w:bCs/>
                <w:sz w:val="17"/>
                <w:szCs w:val="17"/>
              </w:rPr>
              <w:t xml:space="preserve"> (MV/cm)</w:t>
            </w:r>
          </w:p>
        </w:tc>
        <w:tc>
          <w:tcPr>
            <w:tcW w:w="1200" w:type="dxa"/>
          </w:tcPr>
          <w:p w14:paraId="0E126629" w14:textId="77777777" w:rsidR="007B544F" w:rsidRPr="00C56379" w:rsidRDefault="007B544F" w:rsidP="00760A9E">
            <w:pPr>
              <w:spacing w:before="60" w:after="60"/>
              <w:jc w:val="center"/>
              <w:rPr>
                <w:b/>
                <w:bCs/>
                <w:sz w:val="18"/>
                <w:szCs w:val="18"/>
              </w:rPr>
            </w:pPr>
            <w:r w:rsidRPr="00C56379">
              <w:rPr>
                <w:b/>
                <w:bCs/>
                <w:sz w:val="18"/>
                <w:szCs w:val="18"/>
              </w:rPr>
              <w:t xml:space="preserve">Best decade </w:t>
            </w:r>
            <m:oMath>
              <m:r>
                <m:rPr>
                  <m:sty m:val="b"/>
                </m:rPr>
                <w:rPr>
                  <w:rFonts w:ascii="Cambria Math" w:hAnsi="Cambria Math"/>
                  <w:sz w:val="18"/>
                  <w:szCs w:val="18"/>
                </w:rPr>
                <m:t>|</m:t>
              </m:r>
              <m:r>
                <m:rPr>
                  <m:sty m:val="bi"/>
                </m:rPr>
                <w:rPr>
                  <w:rFonts w:ascii="Cambria Math" w:hAnsi="Cambria Math"/>
                  <w:sz w:val="18"/>
                  <w:szCs w:val="18"/>
                </w:rPr>
                <m:t>J</m:t>
              </m:r>
              <m:r>
                <m:rPr>
                  <m:sty m:val="b"/>
                </m:rPr>
                <w:rPr>
                  <w:rFonts w:ascii="Cambria Math" w:hAnsi="Cambria Math"/>
                  <w:sz w:val="18"/>
                  <w:szCs w:val="18"/>
                </w:rPr>
                <m:t>|</m:t>
              </m:r>
            </m:oMath>
            <w:r w:rsidRPr="00C56379">
              <w:rPr>
                <w:b/>
                <w:bCs/>
                <w:sz w:val="18"/>
                <w:szCs w:val="18"/>
              </w:rPr>
              <w:t xml:space="preserve"> (A/cm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2</m:t>
                  </m:r>
                </m:sup>
              </m:sSup>
            </m:oMath>
            <w:r w:rsidRPr="00C56379">
              <w:rPr>
                <w:b/>
                <w:bCs/>
                <w:sz w:val="18"/>
                <w:szCs w:val="18"/>
              </w:rPr>
              <w:t>)</w:t>
            </w:r>
          </w:p>
        </w:tc>
        <w:tc>
          <w:tcPr>
            <w:tcW w:w="788" w:type="dxa"/>
          </w:tcPr>
          <w:p w14:paraId="72E5D9A1" w14:textId="77777777" w:rsidR="007B544F" w:rsidRPr="00C56379" w:rsidRDefault="007B544F" w:rsidP="00760A9E">
            <w:pPr>
              <w:spacing w:before="60" w:after="60"/>
              <w:jc w:val="center"/>
              <w:rPr>
                <w:b/>
                <w:bCs/>
                <w:sz w:val="18"/>
                <w:szCs w:val="18"/>
              </w:rPr>
            </w:pPr>
            <w:r w:rsidRPr="00C56379">
              <w:rPr>
                <w:b/>
                <w:bCs/>
                <w:sz w:val="18"/>
                <w:szCs w:val="18"/>
              </w:rPr>
              <w:t xml:space="preserve">FN slope </w:t>
            </w:r>
            <m:oMath>
              <m:r>
                <m:rPr>
                  <m:sty m:val="bi"/>
                </m:rPr>
                <w:rPr>
                  <w:rFonts w:ascii="Cambria Math" w:hAnsi="Cambria Math"/>
                  <w:sz w:val="18"/>
                  <w:szCs w:val="18"/>
                </w:rPr>
                <m:t>B</m:t>
              </m:r>
            </m:oMath>
            <w:r w:rsidRPr="00C56379">
              <w:rPr>
                <w:b/>
                <w:bCs/>
                <w:sz w:val="18"/>
                <w:szCs w:val="18"/>
              </w:rPr>
              <w:t xml:space="preserve"> (</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8</m:t>
                  </m:r>
                </m:sup>
              </m:sSup>
            </m:oMath>
            <w:r w:rsidRPr="00C56379">
              <w:rPr>
                <w:b/>
                <w:bCs/>
                <w:sz w:val="18"/>
                <w:szCs w:val="18"/>
              </w:rPr>
              <w:t xml:space="preserve"> V/m)</w:t>
            </w:r>
          </w:p>
        </w:tc>
        <w:tc>
          <w:tcPr>
            <w:tcW w:w="842" w:type="dxa"/>
          </w:tcPr>
          <w:p w14:paraId="76DAF22A" w14:textId="77777777" w:rsidR="007B544F" w:rsidRPr="00C56379" w:rsidRDefault="007B544F" w:rsidP="00760A9E">
            <w:pPr>
              <w:spacing w:before="60" w:after="60"/>
              <w:jc w:val="center"/>
              <w:rPr>
                <w:b/>
                <w:bCs/>
                <w:sz w:val="18"/>
                <w:szCs w:val="18"/>
              </w:rPr>
            </w:pPr>
            <w:r w:rsidRPr="00C56379">
              <w:rPr>
                <w:b/>
                <w:bCs/>
                <w:sz w:val="18"/>
                <w:szCs w:val="18"/>
              </w:rPr>
              <w:t xml:space="preserve">PF slope </w:t>
            </w:r>
          </w:p>
          <w:p w14:paraId="48893F0D" w14:textId="77777777" w:rsidR="007B544F" w:rsidRPr="00C56379" w:rsidRDefault="007B544F" w:rsidP="00760A9E">
            <w:pPr>
              <w:spacing w:before="60" w:after="60"/>
              <w:jc w:val="center"/>
              <w:rPr>
                <w:b/>
                <w:bCs/>
                <w:sz w:val="18"/>
                <w:szCs w:val="18"/>
              </w:rPr>
            </w:pPr>
            <w:r w:rsidRPr="00C56379">
              <w:rPr>
                <w:b/>
                <w:bCs/>
                <w:sz w:val="18"/>
                <w:szCs w:val="18"/>
              </w:rPr>
              <w:t>(</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-4</m:t>
                  </m:r>
                </m:sup>
              </m:sSup>
            </m:oMath>
            <w:r w:rsidRPr="00C56379">
              <w:rPr>
                <w:b/>
                <w:bCs/>
                <w:sz w:val="18"/>
                <w:szCs w:val="18"/>
              </w:rPr>
              <w:t xml:space="preserve"> V</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box>
                <m:boxPr>
                  <m:ctrlPr>
                    <w:rPr>
                      <w:rFonts w:ascii="Cambria Math" w:hAnsi="Cambria Math"/>
                      <w:b/>
                      <w:bCs/>
                      <w:sz w:val="18"/>
                      <w:szCs w:val="18"/>
                    </w:rPr>
                  </m:ctrlPr>
                </m:boxPr>
                <m:e>
                  <m:r>
                    <m:rPr>
                      <m:sty m:val="b"/>
                    </m:rPr>
                    <w:rPr>
                      <w:rFonts w:ascii="Cambria Math" w:hAnsi="Cambria Math"/>
                      <w:sz w:val="18"/>
                      <w:szCs w:val="18"/>
                    </w:rPr>
                    <m:t xml:space="preserve"> </m:t>
                  </m:r>
                </m:e>
              </m:box>
              <m:r>
                <m:rPr>
                  <m:sty m:val="b"/>
                </m:rPr>
                <w:rPr>
                  <w:rFonts w:ascii="Cambria Math" w:hAnsi="Cambria Math"/>
                  <w:sz w:val="18"/>
                  <w:szCs w:val="18"/>
                </w:rPr>
                <m:t>⋅</m:t>
              </m:r>
            </m:oMath>
            <w:r w:rsidRPr="00C56379">
              <w:rPr>
                <w:b/>
                <w:bCs/>
                <w:sz w:val="18"/>
                <w:szCs w:val="18"/>
              </w:rPr>
              <w:t>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oMath>
            <w:r w:rsidRPr="00C56379">
              <w:rPr>
                <w:b/>
                <w:bCs/>
                <w:sz w:val="18"/>
                <w:szCs w:val="18"/>
              </w:rPr>
              <w:t>)</w:t>
            </w:r>
          </w:p>
        </w:tc>
      </w:tr>
      <w:tr w:rsidR="007B544F" w:rsidRPr="00C56379" w14:paraId="489C3066" w14:textId="77777777" w:rsidTr="00760A9E">
        <w:tc>
          <w:tcPr>
            <w:tcW w:w="704" w:type="dxa"/>
          </w:tcPr>
          <w:p w14:paraId="6A497665" w14:textId="77777777" w:rsidR="007B544F" w:rsidRPr="00C56379" w:rsidRDefault="007B544F" w:rsidP="00760A9E">
            <w:pPr>
              <w:spacing w:before="60" w:after="60"/>
              <w:jc w:val="center"/>
              <w:rPr>
                <w:sz w:val="18"/>
                <w:szCs w:val="18"/>
              </w:rPr>
            </w:pPr>
            <w:r w:rsidRPr="00C56379">
              <w:rPr>
                <w:sz w:val="18"/>
                <w:szCs w:val="18"/>
              </w:rPr>
              <w:t>M1</w:t>
            </w:r>
          </w:p>
        </w:tc>
        <w:tc>
          <w:tcPr>
            <w:tcW w:w="992" w:type="dxa"/>
          </w:tcPr>
          <w:p w14:paraId="1F4FFAC0" w14:textId="77777777" w:rsidR="007B544F" w:rsidRPr="00C56379" w:rsidRDefault="007B544F" w:rsidP="00760A9E">
            <w:pPr>
              <w:spacing w:before="60" w:after="60"/>
              <w:jc w:val="center"/>
              <w:rPr>
                <w:sz w:val="18"/>
                <w:szCs w:val="18"/>
              </w:rPr>
            </w:pPr>
            <w:r w:rsidRPr="00C56379">
              <w:rPr>
                <w:sz w:val="18"/>
                <w:szCs w:val="18"/>
              </w:rPr>
              <w:t>5.715</w:t>
            </w:r>
          </w:p>
        </w:tc>
        <w:tc>
          <w:tcPr>
            <w:tcW w:w="1200" w:type="dxa"/>
          </w:tcPr>
          <w:p w14:paraId="5A536D77" w14:textId="77777777" w:rsidR="007B544F" w:rsidRPr="00C56379" w:rsidRDefault="00760A9E" w:rsidP="00760A9E">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C56379">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9B66A4" w14:textId="77777777" w:rsidR="007B544F" w:rsidRPr="00C56379" w:rsidRDefault="007B544F" w:rsidP="00760A9E">
            <w:pPr>
              <w:spacing w:before="60" w:after="60"/>
              <w:jc w:val="center"/>
              <w:rPr>
                <w:sz w:val="18"/>
                <w:szCs w:val="18"/>
              </w:rPr>
            </w:pPr>
            <w:r w:rsidRPr="00C56379">
              <w:rPr>
                <w:sz w:val="18"/>
                <w:szCs w:val="18"/>
              </w:rPr>
              <w:t>6.873</w:t>
            </w:r>
          </w:p>
        </w:tc>
        <w:tc>
          <w:tcPr>
            <w:tcW w:w="842" w:type="dxa"/>
          </w:tcPr>
          <w:p w14:paraId="5DBD7772" w14:textId="77777777" w:rsidR="007B544F" w:rsidRPr="00C56379" w:rsidRDefault="007B544F" w:rsidP="00760A9E">
            <w:pPr>
              <w:spacing w:before="60" w:after="60"/>
              <w:jc w:val="center"/>
              <w:rPr>
                <w:sz w:val="18"/>
                <w:szCs w:val="18"/>
              </w:rPr>
            </w:pPr>
            <w:r w:rsidRPr="00C56379">
              <w:rPr>
                <w:sz w:val="18"/>
                <w:szCs w:val="18"/>
              </w:rPr>
              <w:t>-1.043</w:t>
            </w:r>
          </w:p>
        </w:tc>
      </w:tr>
      <w:tr w:rsidR="007B544F" w:rsidRPr="00C56379" w14:paraId="51D28542" w14:textId="77777777" w:rsidTr="00760A9E">
        <w:tc>
          <w:tcPr>
            <w:tcW w:w="704" w:type="dxa"/>
          </w:tcPr>
          <w:p w14:paraId="2AF986AF" w14:textId="77777777" w:rsidR="007B544F" w:rsidRPr="00C56379" w:rsidRDefault="007B544F" w:rsidP="00760A9E">
            <w:pPr>
              <w:spacing w:before="60" w:after="60"/>
              <w:jc w:val="center"/>
              <w:rPr>
                <w:sz w:val="18"/>
                <w:szCs w:val="18"/>
              </w:rPr>
            </w:pPr>
            <w:r w:rsidRPr="00C56379">
              <w:rPr>
                <w:sz w:val="18"/>
                <w:szCs w:val="18"/>
              </w:rPr>
              <w:t>M2</w:t>
            </w:r>
          </w:p>
        </w:tc>
        <w:tc>
          <w:tcPr>
            <w:tcW w:w="992" w:type="dxa"/>
          </w:tcPr>
          <w:p w14:paraId="41B0A1F2" w14:textId="77777777" w:rsidR="007B544F" w:rsidRPr="00C56379" w:rsidRDefault="007B544F" w:rsidP="00760A9E">
            <w:pPr>
              <w:spacing w:before="60" w:after="60"/>
              <w:jc w:val="center"/>
              <w:rPr>
                <w:sz w:val="18"/>
                <w:szCs w:val="18"/>
              </w:rPr>
            </w:pPr>
            <w:r w:rsidRPr="00C56379">
              <w:rPr>
                <w:sz w:val="18"/>
                <w:szCs w:val="18"/>
              </w:rPr>
              <w:t>7.423</w:t>
            </w:r>
          </w:p>
        </w:tc>
        <w:tc>
          <w:tcPr>
            <w:tcW w:w="1200" w:type="dxa"/>
          </w:tcPr>
          <w:p w14:paraId="3041877F" w14:textId="77777777" w:rsidR="007B544F" w:rsidRPr="00C56379" w:rsidRDefault="00760A9E" w:rsidP="00760A9E">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C56379">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5CF7F105" w14:textId="77777777" w:rsidR="007B544F" w:rsidRPr="00C56379" w:rsidRDefault="007B544F" w:rsidP="00760A9E">
            <w:pPr>
              <w:spacing w:before="60" w:after="60"/>
              <w:jc w:val="center"/>
              <w:rPr>
                <w:sz w:val="18"/>
                <w:szCs w:val="18"/>
              </w:rPr>
            </w:pPr>
            <w:r w:rsidRPr="00C56379">
              <w:rPr>
                <w:sz w:val="18"/>
                <w:szCs w:val="18"/>
              </w:rPr>
              <w:t>7.226</w:t>
            </w:r>
          </w:p>
        </w:tc>
        <w:tc>
          <w:tcPr>
            <w:tcW w:w="842" w:type="dxa"/>
          </w:tcPr>
          <w:p w14:paraId="2EE63D83" w14:textId="77777777" w:rsidR="007B544F" w:rsidRPr="00C56379" w:rsidRDefault="007B544F" w:rsidP="00760A9E">
            <w:pPr>
              <w:spacing w:before="60" w:after="60"/>
              <w:jc w:val="center"/>
              <w:rPr>
                <w:sz w:val="18"/>
                <w:szCs w:val="18"/>
              </w:rPr>
            </w:pPr>
            <w:r w:rsidRPr="00C56379">
              <w:rPr>
                <w:sz w:val="18"/>
                <w:szCs w:val="18"/>
              </w:rPr>
              <w:t>-0.990</w:t>
            </w:r>
          </w:p>
        </w:tc>
      </w:tr>
      <w:tr w:rsidR="007B544F" w:rsidRPr="00C56379" w14:paraId="626C36E2" w14:textId="77777777" w:rsidTr="00760A9E">
        <w:tc>
          <w:tcPr>
            <w:tcW w:w="704" w:type="dxa"/>
          </w:tcPr>
          <w:p w14:paraId="144F176F" w14:textId="77777777" w:rsidR="007B544F" w:rsidRPr="00C56379" w:rsidRDefault="007B544F" w:rsidP="00760A9E">
            <w:pPr>
              <w:spacing w:before="60" w:after="60"/>
              <w:jc w:val="center"/>
              <w:rPr>
                <w:sz w:val="18"/>
                <w:szCs w:val="18"/>
              </w:rPr>
            </w:pPr>
            <w:r w:rsidRPr="00C56379">
              <w:rPr>
                <w:sz w:val="18"/>
                <w:szCs w:val="18"/>
              </w:rPr>
              <w:t>M3</w:t>
            </w:r>
          </w:p>
        </w:tc>
        <w:tc>
          <w:tcPr>
            <w:tcW w:w="992" w:type="dxa"/>
          </w:tcPr>
          <w:p w14:paraId="3942CABA" w14:textId="77777777" w:rsidR="007B544F" w:rsidRPr="00C56379" w:rsidRDefault="007B544F" w:rsidP="00760A9E">
            <w:pPr>
              <w:spacing w:before="60" w:after="60"/>
              <w:jc w:val="center"/>
              <w:rPr>
                <w:sz w:val="18"/>
                <w:szCs w:val="18"/>
              </w:rPr>
            </w:pPr>
            <w:r w:rsidRPr="00C56379">
              <w:rPr>
                <w:sz w:val="18"/>
                <w:szCs w:val="18"/>
              </w:rPr>
              <w:t>7.090</w:t>
            </w:r>
          </w:p>
        </w:tc>
        <w:tc>
          <w:tcPr>
            <w:tcW w:w="1200" w:type="dxa"/>
          </w:tcPr>
          <w:p w14:paraId="52680D66" w14:textId="77777777" w:rsidR="007B544F" w:rsidRPr="00C56379" w:rsidRDefault="00760A9E" w:rsidP="00760A9E">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C56379">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CD6D4FF" w14:textId="77777777" w:rsidR="007B544F" w:rsidRPr="00C56379" w:rsidRDefault="007B544F" w:rsidP="00760A9E">
            <w:pPr>
              <w:spacing w:before="60" w:after="60"/>
              <w:jc w:val="center"/>
              <w:rPr>
                <w:sz w:val="18"/>
                <w:szCs w:val="18"/>
              </w:rPr>
            </w:pPr>
            <w:r w:rsidRPr="00C56379">
              <w:rPr>
                <w:sz w:val="18"/>
                <w:szCs w:val="18"/>
              </w:rPr>
              <w:t>9.130</w:t>
            </w:r>
          </w:p>
        </w:tc>
        <w:tc>
          <w:tcPr>
            <w:tcW w:w="842" w:type="dxa"/>
          </w:tcPr>
          <w:p w14:paraId="58B63DC3" w14:textId="77777777" w:rsidR="007B544F" w:rsidRPr="00C56379" w:rsidRDefault="007B544F" w:rsidP="00760A9E">
            <w:pPr>
              <w:spacing w:before="60" w:after="60"/>
              <w:jc w:val="center"/>
              <w:rPr>
                <w:sz w:val="18"/>
                <w:szCs w:val="18"/>
              </w:rPr>
            </w:pPr>
            <w:r w:rsidRPr="00C56379">
              <w:rPr>
                <w:sz w:val="18"/>
                <w:szCs w:val="18"/>
              </w:rPr>
              <w:t>-0.900</w:t>
            </w:r>
          </w:p>
        </w:tc>
      </w:tr>
      <w:tr w:rsidR="007B544F" w:rsidRPr="00C56379" w14:paraId="206482A2" w14:textId="77777777" w:rsidTr="00760A9E">
        <w:tc>
          <w:tcPr>
            <w:tcW w:w="704" w:type="dxa"/>
          </w:tcPr>
          <w:p w14:paraId="6C825C28" w14:textId="77777777" w:rsidR="007B544F" w:rsidRPr="00C56379" w:rsidRDefault="007B544F" w:rsidP="00760A9E">
            <w:pPr>
              <w:spacing w:before="60" w:after="60"/>
              <w:jc w:val="center"/>
              <w:rPr>
                <w:sz w:val="18"/>
                <w:szCs w:val="18"/>
              </w:rPr>
            </w:pPr>
            <w:r w:rsidRPr="00C56379">
              <w:rPr>
                <w:sz w:val="18"/>
                <w:szCs w:val="18"/>
              </w:rPr>
              <w:t>M4</w:t>
            </w:r>
          </w:p>
        </w:tc>
        <w:tc>
          <w:tcPr>
            <w:tcW w:w="992" w:type="dxa"/>
          </w:tcPr>
          <w:p w14:paraId="6016657D" w14:textId="77777777" w:rsidR="007B544F" w:rsidRPr="00C56379" w:rsidRDefault="007B544F" w:rsidP="00760A9E">
            <w:pPr>
              <w:spacing w:before="60" w:after="60"/>
              <w:jc w:val="center"/>
              <w:rPr>
                <w:sz w:val="18"/>
                <w:szCs w:val="18"/>
              </w:rPr>
            </w:pPr>
            <w:r w:rsidRPr="00C56379">
              <w:rPr>
                <w:sz w:val="18"/>
                <w:szCs w:val="18"/>
              </w:rPr>
              <w:t>5.298</w:t>
            </w:r>
          </w:p>
        </w:tc>
        <w:tc>
          <w:tcPr>
            <w:tcW w:w="1200" w:type="dxa"/>
          </w:tcPr>
          <w:p w14:paraId="56404918" w14:textId="77777777" w:rsidR="007B544F" w:rsidRPr="00C56379" w:rsidRDefault="00760A9E" w:rsidP="00760A9E">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C56379">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B411201" w14:textId="77777777" w:rsidR="007B544F" w:rsidRPr="00C56379" w:rsidRDefault="007B544F" w:rsidP="00760A9E">
            <w:pPr>
              <w:spacing w:before="60" w:after="60"/>
              <w:jc w:val="center"/>
              <w:rPr>
                <w:sz w:val="18"/>
                <w:szCs w:val="18"/>
              </w:rPr>
            </w:pPr>
            <w:r w:rsidRPr="00C56379">
              <w:rPr>
                <w:sz w:val="18"/>
                <w:szCs w:val="18"/>
              </w:rPr>
              <w:t>6.304</w:t>
            </w:r>
          </w:p>
        </w:tc>
        <w:tc>
          <w:tcPr>
            <w:tcW w:w="842" w:type="dxa"/>
          </w:tcPr>
          <w:p w14:paraId="0A5CACF9" w14:textId="77777777" w:rsidR="007B544F" w:rsidRPr="00C56379" w:rsidRDefault="007B544F" w:rsidP="00760A9E">
            <w:pPr>
              <w:spacing w:before="60" w:after="60"/>
              <w:jc w:val="center"/>
              <w:rPr>
                <w:sz w:val="18"/>
                <w:szCs w:val="18"/>
              </w:rPr>
            </w:pPr>
            <w:r w:rsidRPr="00C56379">
              <w:rPr>
                <w:sz w:val="18"/>
                <w:szCs w:val="18"/>
              </w:rPr>
              <w:t>-1.100</w:t>
            </w:r>
          </w:p>
        </w:tc>
      </w:tr>
      <w:tr w:rsidR="007B544F" w:rsidRPr="00C56379" w14:paraId="37ABBC26" w14:textId="77777777" w:rsidTr="00760A9E">
        <w:tc>
          <w:tcPr>
            <w:tcW w:w="704" w:type="dxa"/>
          </w:tcPr>
          <w:p w14:paraId="4AF440D7" w14:textId="77777777" w:rsidR="007B544F" w:rsidRPr="00C56379" w:rsidRDefault="007B544F" w:rsidP="00760A9E">
            <w:pPr>
              <w:spacing w:before="60" w:after="60"/>
              <w:jc w:val="center"/>
              <w:rPr>
                <w:sz w:val="18"/>
                <w:szCs w:val="18"/>
              </w:rPr>
            </w:pPr>
            <w:r w:rsidRPr="00C56379">
              <w:rPr>
                <w:sz w:val="18"/>
                <w:szCs w:val="18"/>
              </w:rPr>
              <w:t>M5</w:t>
            </w:r>
          </w:p>
        </w:tc>
        <w:tc>
          <w:tcPr>
            <w:tcW w:w="992" w:type="dxa"/>
          </w:tcPr>
          <w:p w14:paraId="17685698" w14:textId="77777777" w:rsidR="007B544F" w:rsidRPr="00C56379" w:rsidRDefault="007B544F" w:rsidP="00760A9E">
            <w:pPr>
              <w:spacing w:before="60" w:after="60"/>
              <w:jc w:val="center"/>
              <w:rPr>
                <w:sz w:val="18"/>
                <w:szCs w:val="18"/>
              </w:rPr>
            </w:pPr>
            <w:r w:rsidRPr="00C56379">
              <w:rPr>
                <w:sz w:val="18"/>
                <w:szCs w:val="18"/>
              </w:rPr>
              <w:t>7.340</w:t>
            </w:r>
          </w:p>
        </w:tc>
        <w:tc>
          <w:tcPr>
            <w:tcW w:w="1200" w:type="dxa"/>
          </w:tcPr>
          <w:p w14:paraId="18CEBA92" w14:textId="77777777" w:rsidR="007B544F" w:rsidRPr="00C56379" w:rsidRDefault="00760A9E" w:rsidP="00760A9E">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C56379">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D8331A" w14:textId="77777777" w:rsidR="007B544F" w:rsidRPr="00C56379" w:rsidRDefault="007B544F" w:rsidP="00760A9E">
            <w:pPr>
              <w:spacing w:before="60" w:after="60"/>
              <w:jc w:val="center"/>
              <w:rPr>
                <w:sz w:val="18"/>
                <w:szCs w:val="18"/>
              </w:rPr>
            </w:pPr>
            <w:r w:rsidRPr="00C56379">
              <w:rPr>
                <w:sz w:val="18"/>
                <w:szCs w:val="18"/>
              </w:rPr>
              <w:t>7.773</w:t>
            </w:r>
          </w:p>
        </w:tc>
        <w:tc>
          <w:tcPr>
            <w:tcW w:w="842" w:type="dxa"/>
          </w:tcPr>
          <w:p w14:paraId="7A2D51E5" w14:textId="77777777" w:rsidR="007B544F" w:rsidRPr="00C56379" w:rsidRDefault="007B544F" w:rsidP="00760A9E">
            <w:pPr>
              <w:spacing w:before="60" w:after="60"/>
              <w:jc w:val="center"/>
              <w:rPr>
                <w:sz w:val="18"/>
                <w:szCs w:val="18"/>
              </w:rPr>
            </w:pPr>
            <w:r w:rsidRPr="00C56379">
              <w:rPr>
                <w:sz w:val="18"/>
                <w:szCs w:val="18"/>
              </w:rPr>
              <w:t>-0.975</w:t>
            </w:r>
          </w:p>
        </w:tc>
      </w:tr>
      <w:tr w:rsidR="007B544F" w:rsidRPr="00C56379" w14:paraId="5701D845" w14:textId="77777777" w:rsidTr="00760A9E">
        <w:tc>
          <w:tcPr>
            <w:tcW w:w="704" w:type="dxa"/>
          </w:tcPr>
          <w:p w14:paraId="525DBE51" w14:textId="77777777" w:rsidR="007B544F" w:rsidRPr="00C56379" w:rsidRDefault="007B544F" w:rsidP="00760A9E">
            <w:pPr>
              <w:spacing w:before="60" w:after="60"/>
              <w:jc w:val="center"/>
              <w:rPr>
                <w:sz w:val="18"/>
                <w:szCs w:val="18"/>
              </w:rPr>
            </w:pPr>
            <w:r w:rsidRPr="00C56379">
              <w:rPr>
                <w:sz w:val="18"/>
                <w:szCs w:val="18"/>
              </w:rPr>
              <w:t>M6</w:t>
            </w:r>
          </w:p>
        </w:tc>
        <w:tc>
          <w:tcPr>
            <w:tcW w:w="992" w:type="dxa"/>
          </w:tcPr>
          <w:p w14:paraId="715B1253" w14:textId="77777777" w:rsidR="007B544F" w:rsidRPr="00C56379" w:rsidRDefault="007B544F" w:rsidP="00760A9E">
            <w:pPr>
              <w:spacing w:before="60" w:after="60"/>
              <w:jc w:val="center"/>
              <w:rPr>
                <w:sz w:val="18"/>
                <w:szCs w:val="18"/>
              </w:rPr>
            </w:pPr>
            <w:r w:rsidRPr="00C56379">
              <w:rPr>
                <w:sz w:val="18"/>
                <w:szCs w:val="18"/>
              </w:rPr>
              <w:t>5.423</w:t>
            </w:r>
          </w:p>
        </w:tc>
        <w:tc>
          <w:tcPr>
            <w:tcW w:w="1200" w:type="dxa"/>
          </w:tcPr>
          <w:p w14:paraId="4DDADF61" w14:textId="77777777" w:rsidR="007B544F" w:rsidRPr="00C56379" w:rsidRDefault="00760A9E" w:rsidP="00760A9E">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C56379">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60B8755C" w14:textId="77777777" w:rsidR="007B544F" w:rsidRPr="00C56379" w:rsidRDefault="007B544F" w:rsidP="00760A9E">
            <w:pPr>
              <w:spacing w:before="60" w:after="60"/>
              <w:jc w:val="center"/>
              <w:rPr>
                <w:sz w:val="18"/>
                <w:szCs w:val="18"/>
              </w:rPr>
            </w:pPr>
            <w:r w:rsidRPr="00C56379">
              <w:rPr>
                <w:sz w:val="18"/>
                <w:szCs w:val="18"/>
              </w:rPr>
              <w:t>6.591</w:t>
            </w:r>
          </w:p>
        </w:tc>
        <w:tc>
          <w:tcPr>
            <w:tcW w:w="842" w:type="dxa"/>
          </w:tcPr>
          <w:p w14:paraId="1F7B448F" w14:textId="77777777" w:rsidR="007B544F" w:rsidRPr="00C56379" w:rsidRDefault="007B544F" w:rsidP="00760A9E">
            <w:pPr>
              <w:spacing w:before="60" w:after="60"/>
              <w:jc w:val="center"/>
              <w:rPr>
                <w:sz w:val="18"/>
                <w:szCs w:val="18"/>
              </w:rPr>
            </w:pPr>
            <w:r w:rsidRPr="00C56379">
              <w:rPr>
                <w:sz w:val="18"/>
                <w:szCs w:val="18"/>
              </w:rPr>
              <w:t>-1.067</w:t>
            </w:r>
          </w:p>
        </w:tc>
      </w:tr>
    </w:tbl>
    <w:bookmarkEnd w:id="2"/>
    <w:p w14:paraId="3AB39E86" w14:textId="635B646C" w:rsidR="007F22D5" w:rsidRPr="00C32D99" w:rsidRDefault="00F76E92" w:rsidP="00783EA1">
      <w:pPr>
        <w:tabs>
          <w:tab w:val="left" w:pos="567"/>
          <w:tab w:val="right" w:leader="hyphen" w:pos="9072"/>
        </w:tabs>
        <w:spacing w:before="120" w:after="120"/>
        <w:jc w:val="both"/>
        <w:rPr>
          <w:b/>
          <w:bCs/>
          <w:sz w:val="22"/>
          <w:szCs w:val="22"/>
        </w:rPr>
      </w:pPr>
      <w:r>
        <w:rPr>
          <w:b/>
          <w:bCs/>
          <w:sz w:val="22"/>
          <w:szCs w:val="22"/>
        </w:rPr>
        <w:t>4</w:t>
      </w:r>
      <w:r w:rsidR="007F22D5" w:rsidRPr="00C32D99">
        <w:rPr>
          <w:b/>
          <w:bCs/>
          <w:sz w:val="22"/>
          <w:szCs w:val="22"/>
        </w:rPr>
        <w:t xml:space="preserve">. </w:t>
      </w:r>
      <w:r w:rsidR="00F52D87" w:rsidRPr="00C32D99">
        <w:rPr>
          <w:b/>
          <w:bCs/>
          <w:sz w:val="22"/>
          <w:szCs w:val="22"/>
        </w:rPr>
        <w:t>CONCLUSION</w:t>
      </w:r>
    </w:p>
    <w:p w14:paraId="27E7CC51" w14:textId="77777777" w:rsidR="00FB097F" w:rsidRPr="00FB097F" w:rsidRDefault="00FB097F" w:rsidP="00373AF3">
      <w:pPr>
        <w:spacing w:before="120"/>
        <w:ind w:firstLine="567"/>
        <w:jc w:val="both"/>
        <w:rPr>
          <w:sz w:val="22"/>
          <w:szCs w:val="22"/>
        </w:rPr>
      </w:pPr>
      <w:r w:rsidRPr="00FB097F">
        <w:rPr>
          <w:sz w:val="22"/>
          <w:szCs w:val="22"/>
        </w:rPr>
        <w:t>This paper has reported the design, implementation, and metrological validation of a programmable high-voltage I–V measurement system tailored for dielectric breakdown kinetics. By integrating a ramp-controlled high-voltage source with a galvanically isolated acquisition architecture, the platform achieves an effective post-processed noise floor in the sub-nA range. This sensitivity enables the simultaneous resolution of low-level pre-breakdown leakage currents and catastrophic breakdown transients within a single experimental setup.</w:t>
      </w:r>
    </w:p>
    <w:p w14:paraId="0295FE98" w14:textId="77777777" w:rsidR="00FB097F" w:rsidRPr="00FB097F" w:rsidRDefault="00FB097F" w:rsidP="00373AF3">
      <w:pPr>
        <w:spacing w:before="120"/>
        <w:ind w:firstLine="567"/>
        <w:jc w:val="both"/>
        <w:rPr>
          <w:sz w:val="22"/>
          <w:szCs w:val="22"/>
        </w:rPr>
      </w:pPr>
      <w:r w:rsidRPr="00FB097F">
        <w:rPr>
          <w:sz w:val="22"/>
          <w:szCs w:val="22"/>
        </w:rPr>
        <w:t>A central contribution of this work is the formalization of a compliance-aware detection strategy. By mathematically distinguishing the intrinsic Hard Breakdown (HBD) onset—localized at the global maximum of the differential slope—from the subsequent artifactual Compliance-Limited Region (CLR), the proposed framework eliminates the parameter ambiguity often associated with general-purpose instrumentation. Experimental verification on 150-nm Si/SiO</w:t>
      </w:r>
      <w:r w:rsidRPr="00FB097F">
        <w:rPr>
          <w:sz w:val="22"/>
          <w:szCs w:val="22"/>
          <w:vertAlign w:val="subscript"/>
        </w:rPr>
        <w:t>2</w:t>
      </w:r>
      <w:r w:rsidRPr="00FB097F">
        <w:rPr>
          <w:sz w:val="22"/>
          <w:szCs w:val="22"/>
        </w:rPr>
        <w:t xml:space="preserve"> MOS capacitors demonstrated the system's robustness, yielding a mean breakdown field of </w:t>
      </w:r>
      <m:oMath>
        <m:r>
          <m:rPr>
            <m:sty m:val="p"/>
          </m:rPr>
          <w:rPr>
            <w:rFonts w:ascii="Cambria Math" w:hAnsi="Cambria Math"/>
            <w:sz w:val="22"/>
            <w:szCs w:val="22"/>
          </w:rPr>
          <m:t>6.38</m:t>
        </m:r>
      </m:oMath>
      <w:r w:rsidRPr="00FB097F">
        <w:rPr>
          <w:sz w:val="22"/>
          <w:szCs w:val="22"/>
        </w:rPr>
        <w:t xml:space="preserve"> MV/cm with a coefficient of variation of </w:t>
      </w:r>
      <m:oMath>
        <m:r>
          <m:rPr>
            <m:sty m:val="p"/>
          </m:rPr>
          <w:rPr>
            <w:rFonts w:ascii="Cambria Math" w:hAnsi="Cambria Math"/>
            <w:sz w:val="22"/>
            <w:szCs w:val="22"/>
          </w:rPr>
          <m:t>15.7%</m:t>
        </m:r>
      </m:oMath>
      <w:r w:rsidRPr="00FB097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FB097F">
        <w:rPr>
          <w:sz w:val="22"/>
          <w:szCs w:val="22"/>
        </w:rPr>
        <w:t xml:space="preserve">), alongside high-linearity conduction diagnostics </w:t>
      </w:r>
      <w:r w:rsidRPr="00FB097F">
        <w:rPr>
          <w:sz w:val="22"/>
          <w:szCs w:val="22"/>
        </w:rPr>
        <w:lastRenderedPageBreak/>
        <w:t>(</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&gt;0.97</m:t>
        </m:r>
      </m:oMath>
      <w:r w:rsidRPr="00FB097F">
        <w:rPr>
          <w:sz w:val="22"/>
          <w:szCs w:val="22"/>
        </w:rPr>
        <w:t>) consistent with Fowler–Nordheim and Poole–Frenkel transport models.</w:t>
      </w:r>
    </w:p>
    <w:p w14:paraId="4F54C56A" w14:textId="77777777" w:rsidR="00FB097F" w:rsidRPr="00FB097F" w:rsidRDefault="00FB097F" w:rsidP="00373AF3">
      <w:pPr>
        <w:spacing w:before="120"/>
        <w:ind w:firstLine="567"/>
        <w:jc w:val="both"/>
        <w:rPr>
          <w:sz w:val="22"/>
          <w:szCs w:val="22"/>
        </w:rPr>
      </w:pPr>
      <w:r w:rsidRPr="00FB097F">
        <w:rPr>
          <w:sz w:val="22"/>
          <w:szCs w:val="22"/>
        </w:rPr>
        <w:t>Overall, the proposed hardware–software workflow provides a transparent, reproducible, and rigorous alternative to fixed-function commercial testers for reliability-oriented dielectric metrology. Future work will extend this architecture to support Time-Dependent Dielectric Breakdown (TDDB) protocols and to quantify the impact of laser-induced thermal modifications on gate-oxide integrity.</w:t>
      </w:r>
    </w:p>
    <w:p w14:paraId="34B46E10" w14:textId="24815F83" w:rsidR="005059C8" w:rsidRDefault="007F22D5" w:rsidP="003A6475">
      <w:pPr>
        <w:tabs>
          <w:tab w:val="left" w:pos="567"/>
          <w:tab w:val="right" w:leader="hyphen" w:pos="9072"/>
        </w:tabs>
        <w:spacing w:before="120" w:after="120"/>
        <w:jc w:val="both"/>
        <w:rPr>
          <w:sz w:val="22"/>
          <w:szCs w:val="22"/>
        </w:rPr>
      </w:pPr>
      <w:r w:rsidRPr="00E05B7F">
        <w:rPr>
          <w:b/>
          <w:bCs/>
          <w:sz w:val="22"/>
          <w:szCs w:val="22"/>
        </w:rPr>
        <w:t>Acknowledgment</w:t>
      </w:r>
    </w:p>
    <w:p w14:paraId="5636CAB6" w14:textId="2957217A" w:rsidR="007F22D5" w:rsidRDefault="005059C8" w:rsidP="007F22D5">
      <w:pPr>
        <w:tabs>
          <w:tab w:val="left" w:pos="567"/>
          <w:tab w:val="right" w:leader="hyphen" w:pos="9072"/>
        </w:tabs>
        <w:spacing w:after="120"/>
        <w:jc w:val="both"/>
        <w:rPr>
          <w:sz w:val="22"/>
          <w:szCs w:val="22"/>
        </w:rPr>
      </w:pPr>
      <w:r>
        <w:rPr>
          <w:i/>
          <w:sz w:val="22"/>
          <w:szCs w:val="22"/>
        </w:rPr>
        <w:tab/>
      </w:r>
      <w:r w:rsidR="00343562" w:rsidRPr="006535F1">
        <w:rPr>
          <w:i/>
          <w:sz w:val="22"/>
          <w:szCs w:val="22"/>
        </w:rPr>
        <w:t>The author expresses sincere thanks to colleagues and mentors who provided feedback and support during the research. No external funding was used in this study.</w:t>
      </w:r>
    </w:p>
    <w:p w14:paraId="2CEA20FA" w14:textId="77777777" w:rsidR="00C32D99" w:rsidRPr="00FA6BB2" w:rsidRDefault="00C32D99" w:rsidP="00E22139">
      <w:pPr>
        <w:tabs>
          <w:tab w:val="left" w:pos="360"/>
          <w:tab w:val="right" w:leader="hyphen" w:pos="9072"/>
        </w:tabs>
        <w:spacing w:before="120" w:after="120"/>
        <w:jc w:val="both"/>
        <w:rPr>
          <w:b/>
          <w:sz w:val="22"/>
          <w:szCs w:val="22"/>
        </w:rPr>
      </w:pPr>
      <w:r w:rsidRPr="005B3AC4">
        <w:rPr>
          <w:b/>
          <w:sz w:val="22"/>
          <w:szCs w:val="22"/>
        </w:rPr>
        <w:t>REFERENCES</w:t>
      </w:r>
    </w:p>
    <w:p w14:paraId="63323252" w14:textId="2152DCC2" w:rsidR="004614A7" w:rsidRPr="004614A7" w:rsidRDefault="003A6475" w:rsidP="00E22139">
      <w:pPr>
        <w:pStyle w:val="Bibliography"/>
        <w:jc w:val="both"/>
        <w:rPr>
          <w:sz w:val="20"/>
        </w:rPr>
      </w:pPr>
      <w:r>
        <w:rPr>
          <w:sz w:val="20"/>
        </w:rPr>
        <w:t>1</w:t>
      </w:r>
      <w:r>
        <w:rPr>
          <w:sz w:val="20"/>
        </w:rPr>
        <w:tab/>
        <w:t>J. Wang and X. Jiang.</w:t>
      </w:r>
      <w:r w:rsidR="004614A7" w:rsidRPr="004614A7">
        <w:rPr>
          <w:sz w:val="20"/>
        </w:rPr>
        <w:t xml:space="preserve"> Review and analysis of SiC MOSFETs’ ruggedness and reliability, </w:t>
      </w:r>
      <w:r w:rsidR="004614A7" w:rsidRPr="004614A7">
        <w:rPr>
          <w:i/>
          <w:iCs/>
          <w:sz w:val="20"/>
        </w:rPr>
        <w:t>IET Power Electronics</w:t>
      </w:r>
      <w:r w:rsidR="004614A7" w:rsidRPr="004614A7">
        <w:rPr>
          <w:sz w:val="20"/>
        </w:rPr>
        <w:t xml:space="preserve">, </w:t>
      </w:r>
      <w:r w:rsidR="004614A7" w:rsidRPr="003A6475">
        <w:rPr>
          <w:b/>
          <w:sz w:val="20"/>
        </w:rPr>
        <w:t>2020</w:t>
      </w:r>
      <w:r w:rsidR="004614A7" w:rsidRPr="004614A7">
        <w:rPr>
          <w:sz w:val="20"/>
        </w:rPr>
        <w:t xml:space="preserve">, </w:t>
      </w:r>
      <w:r w:rsidR="004614A7" w:rsidRPr="003A6475">
        <w:rPr>
          <w:bCs/>
          <w:i/>
          <w:sz w:val="20"/>
        </w:rPr>
        <w:t>13</w:t>
      </w:r>
      <w:r w:rsidR="004614A7" w:rsidRPr="004614A7">
        <w:rPr>
          <w:sz w:val="20"/>
        </w:rPr>
        <w:t>, 445–455.</w:t>
      </w:r>
    </w:p>
    <w:p w14:paraId="17C16E13" w14:textId="48B9A4D5" w:rsidR="004614A7" w:rsidRPr="004614A7" w:rsidRDefault="003A6475" w:rsidP="00E22139">
      <w:pPr>
        <w:pStyle w:val="Bibliography"/>
        <w:jc w:val="both"/>
        <w:rPr>
          <w:sz w:val="20"/>
        </w:rPr>
      </w:pPr>
      <w:r>
        <w:rPr>
          <w:sz w:val="20"/>
        </w:rPr>
        <w:t>2</w:t>
      </w:r>
      <w:r>
        <w:rPr>
          <w:sz w:val="20"/>
        </w:rPr>
        <w:tab/>
        <w:t>M. Wang.</w:t>
      </w:r>
      <w:r w:rsidR="004614A7" w:rsidRPr="004614A7">
        <w:rPr>
          <w:sz w:val="20"/>
        </w:rPr>
        <w:t xml:space="preserve"> A Review of Reliability in Gate-All-Around Nanosheet Devices, </w:t>
      </w:r>
      <w:r w:rsidR="004614A7" w:rsidRPr="004614A7">
        <w:rPr>
          <w:i/>
          <w:iCs/>
          <w:sz w:val="20"/>
        </w:rPr>
        <w:t>Micromachines</w:t>
      </w:r>
      <w:r w:rsidR="004614A7" w:rsidRPr="004614A7">
        <w:rPr>
          <w:sz w:val="20"/>
        </w:rPr>
        <w:t xml:space="preserve">, </w:t>
      </w:r>
      <w:r w:rsidR="004614A7" w:rsidRPr="003A6475">
        <w:rPr>
          <w:b/>
          <w:sz w:val="20"/>
        </w:rPr>
        <w:t>2024</w:t>
      </w:r>
      <w:r w:rsidR="004614A7" w:rsidRPr="004614A7">
        <w:rPr>
          <w:sz w:val="20"/>
        </w:rPr>
        <w:t xml:space="preserve">, </w:t>
      </w:r>
      <w:r w:rsidR="004614A7" w:rsidRPr="003A6475">
        <w:rPr>
          <w:bCs/>
          <w:i/>
          <w:sz w:val="20"/>
        </w:rPr>
        <w:t>15</w:t>
      </w:r>
      <w:r w:rsidR="004614A7" w:rsidRPr="004614A7">
        <w:rPr>
          <w:sz w:val="20"/>
        </w:rPr>
        <w:t>, 269.</w:t>
      </w:r>
    </w:p>
    <w:p w14:paraId="72A89329" w14:textId="7DDD85E9" w:rsidR="004614A7" w:rsidRPr="004614A7" w:rsidRDefault="004614A7" w:rsidP="00E22139">
      <w:pPr>
        <w:pStyle w:val="Bibliography"/>
        <w:jc w:val="both"/>
        <w:rPr>
          <w:sz w:val="20"/>
        </w:rPr>
      </w:pPr>
      <w:r w:rsidRPr="004614A7">
        <w:rPr>
          <w:sz w:val="20"/>
        </w:rPr>
        <w:t>3</w:t>
      </w:r>
      <w:r w:rsidRPr="004614A7">
        <w:rPr>
          <w:sz w:val="20"/>
        </w:rPr>
        <w:tab/>
      </w:r>
      <w:r w:rsidR="003A6475">
        <w:rPr>
          <w:sz w:val="20"/>
        </w:rPr>
        <w:t>D. A. Buchanan.</w:t>
      </w:r>
      <w:r w:rsidRPr="004614A7">
        <w:rPr>
          <w:sz w:val="20"/>
        </w:rPr>
        <w:t xml:space="preserve"> Scaling the gate dielectric: Materials, integration, and reliability, </w:t>
      </w:r>
      <w:r w:rsidRPr="004614A7">
        <w:rPr>
          <w:i/>
          <w:iCs/>
          <w:sz w:val="20"/>
        </w:rPr>
        <w:t>IBM Journal of Research and Development</w:t>
      </w:r>
      <w:r w:rsidRPr="004614A7">
        <w:rPr>
          <w:sz w:val="20"/>
        </w:rPr>
        <w:t xml:space="preserve">, </w:t>
      </w:r>
      <w:r w:rsidRPr="003A6475">
        <w:rPr>
          <w:b/>
          <w:sz w:val="20"/>
        </w:rPr>
        <w:t>1999</w:t>
      </w:r>
      <w:r w:rsidRPr="004614A7">
        <w:rPr>
          <w:sz w:val="20"/>
        </w:rPr>
        <w:t xml:space="preserve">, </w:t>
      </w:r>
      <w:r w:rsidRPr="003A6475">
        <w:rPr>
          <w:bCs/>
          <w:i/>
          <w:sz w:val="20"/>
        </w:rPr>
        <w:t>43</w:t>
      </w:r>
      <w:r w:rsidRPr="004614A7">
        <w:rPr>
          <w:sz w:val="20"/>
        </w:rPr>
        <w:t>, 245–264.</w:t>
      </w:r>
    </w:p>
    <w:p w14:paraId="482277F1" w14:textId="3370F915" w:rsidR="004614A7" w:rsidRPr="004614A7" w:rsidRDefault="004614A7" w:rsidP="00E22139">
      <w:pPr>
        <w:pStyle w:val="Bibliography"/>
        <w:jc w:val="both"/>
        <w:rPr>
          <w:sz w:val="20"/>
        </w:rPr>
      </w:pPr>
      <w:r w:rsidRPr="004614A7">
        <w:rPr>
          <w:sz w:val="20"/>
        </w:rPr>
        <w:t>4</w:t>
      </w:r>
      <w:r w:rsidRPr="004614A7">
        <w:rPr>
          <w:sz w:val="20"/>
        </w:rPr>
        <w:tab/>
        <w:t>J. Shen, C. Tan, R. Jiang,</w:t>
      </w:r>
      <w:r w:rsidR="003A6475">
        <w:rPr>
          <w:sz w:val="20"/>
        </w:rPr>
        <w:t xml:space="preserve"> W. Li, X. Fan, J. Li and J. Wu.</w:t>
      </w:r>
      <w:r w:rsidRPr="004614A7">
        <w:rPr>
          <w:sz w:val="20"/>
        </w:rPr>
        <w:t xml:space="preserve"> The TDDB Characteristics of Ultra-Thin Gate Oxide MOS Capacitors under Constant Voltage Stress and Substrate Hot-Carrier Injection, </w:t>
      </w:r>
      <w:r w:rsidRPr="004614A7">
        <w:rPr>
          <w:i/>
          <w:iCs/>
          <w:sz w:val="20"/>
        </w:rPr>
        <w:t>Advances in Condensed Matter Physics</w:t>
      </w:r>
      <w:r w:rsidRPr="004614A7">
        <w:rPr>
          <w:sz w:val="20"/>
        </w:rPr>
        <w:t xml:space="preserve">, </w:t>
      </w:r>
      <w:r w:rsidRPr="003A6475">
        <w:rPr>
          <w:b/>
          <w:sz w:val="20"/>
        </w:rPr>
        <w:t>2018</w:t>
      </w:r>
      <w:r w:rsidRPr="004614A7">
        <w:rPr>
          <w:sz w:val="20"/>
        </w:rPr>
        <w:t xml:space="preserve">, </w:t>
      </w:r>
      <w:r w:rsidRPr="003A6475">
        <w:rPr>
          <w:bCs/>
          <w:i/>
          <w:sz w:val="20"/>
        </w:rPr>
        <w:t>2018</w:t>
      </w:r>
      <w:r w:rsidRPr="004614A7">
        <w:rPr>
          <w:sz w:val="20"/>
        </w:rPr>
        <w:t>, 5483756.</w:t>
      </w:r>
    </w:p>
    <w:p w14:paraId="6D602FB1" w14:textId="1155BF60" w:rsidR="004614A7" w:rsidRPr="004614A7" w:rsidRDefault="004614A7" w:rsidP="00E22139">
      <w:pPr>
        <w:pStyle w:val="Bibliography"/>
        <w:jc w:val="both"/>
        <w:rPr>
          <w:sz w:val="20"/>
        </w:rPr>
      </w:pPr>
      <w:r w:rsidRPr="004614A7">
        <w:rPr>
          <w:sz w:val="20"/>
        </w:rPr>
        <w:t>5</w:t>
      </w:r>
      <w:r w:rsidRPr="004614A7">
        <w:rPr>
          <w:sz w:val="20"/>
        </w:rPr>
        <w:tab/>
        <w:t>S. Cha, D.</w:t>
      </w:r>
      <w:r w:rsidR="003A6475">
        <w:rPr>
          <w:sz w:val="20"/>
        </w:rPr>
        <w:t>-H. Kim, T. Liu and L. S. Milor.</w:t>
      </w:r>
      <w:r w:rsidRPr="004614A7">
        <w:rPr>
          <w:sz w:val="20"/>
        </w:rPr>
        <w:t xml:space="preserve"> The die-to-die calibrated combined model of negative bias temperature instability and gate oxide breakdown from device to system, </w:t>
      </w:r>
      <w:r w:rsidRPr="004614A7">
        <w:rPr>
          <w:i/>
          <w:iCs/>
          <w:sz w:val="20"/>
        </w:rPr>
        <w:t>Microelectronics Reliability</w:t>
      </w:r>
      <w:r w:rsidRPr="004614A7">
        <w:rPr>
          <w:sz w:val="20"/>
        </w:rPr>
        <w:t xml:space="preserve">, </w:t>
      </w:r>
      <w:r w:rsidRPr="003A6475">
        <w:rPr>
          <w:b/>
          <w:sz w:val="20"/>
        </w:rPr>
        <w:t>2015</w:t>
      </w:r>
      <w:r w:rsidRPr="004614A7">
        <w:rPr>
          <w:sz w:val="20"/>
        </w:rPr>
        <w:t xml:space="preserve">, </w:t>
      </w:r>
      <w:r w:rsidRPr="003A6475">
        <w:rPr>
          <w:bCs/>
          <w:i/>
          <w:sz w:val="20"/>
        </w:rPr>
        <w:t>55</w:t>
      </w:r>
      <w:r w:rsidRPr="004614A7">
        <w:rPr>
          <w:sz w:val="20"/>
        </w:rPr>
        <w:t>, 1404–1411.</w:t>
      </w:r>
    </w:p>
    <w:p w14:paraId="1E127CA8" w14:textId="17602042" w:rsidR="004614A7" w:rsidRPr="004614A7" w:rsidRDefault="004614A7" w:rsidP="00E22139">
      <w:pPr>
        <w:pStyle w:val="Bibliography"/>
        <w:jc w:val="both"/>
        <w:rPr>
          <w:sz w:val="20"/>
        </w:rPr>
      </w:pPr>
      <w:r w:rsidRPr="004614A7">
        <w:rPr>
          <w:sz w:val="20"/>
        </w:rPr>
        <w:t>6</w:t>
      </w:r>
      <w:r w:rsidRPr="004614A7">
        <w:rPr>
          <w:sz w:val="20"/>
        </w:rPr>
        <w:tab/>
        <w:t>F. Palumbo, C. Wen, S. Lombardo, S. Pazos, F. Aguirre, M.</w:t>
      </w:r>
      <w:r w:rsidR="00707292">
        <w:rPr>
          <w:sz w:val="20"/>
        </w:rPr>
        <w:t xml:space="preserve"> Eizenberg, F. Hui and M. Lanza.</w:t>
      </w:r>
      <w:r w:rsidRPr="004614A7">
        <w:rPr>
          <w:sz w:val="20"/>
        </w:rPr>
        <w:t xml:space="preserve"> A Review on Dielectric Breakdown in Thin Dielectrics: Silicon Dioxide, High-k, and Layered Dielectrics, </w:t>
      </w:r>
      <w:r w:rsidRPr="004614A7">
        <w:rPr>
          <w:i/>
          <w:iCs/>
          <w:sz w:val="20"/>
        </w:rPr>
        <w:t>Advanced Functional Materials</w:t>
      </w:r>
      <w:r w:rsidRPr="004614A7">
        <w:rPr>
          <w:sz w:val="20"/>
        </w:rPr>
        <w:t xml:space="preserve">, </w:t>
      </w:r>
      <w:r w:rsidRPr="00707292">
        <w:rPr>
          <w:b/>
          <w:sz w:val="20"/>
        </w:rPr>
        <w:t>2020</w:t>
      </w:r>
      <w:r w:rsidRPr="004614A7">
        <w:rPr>
          <w:sz w:val="20"/>
        </w:rPr>
        <w:t xml:space="preserve">, </w:t>
      </w:r>
      <w:r w:rsidRPr="00707292">
        <w:rPr>
          <w:bCs/>
          <w:i/>
          <w:sz w:val="20"/>
        </w:rPr>
        <w:t>30</w:t>
      </w:r>
      <w:r w:rsidRPr="004614A7">
        <w:rPr>
          <w:sz w:val="20"/>
        </w:rPr>
        <w:t>, 1900657.</w:t>
      </w:r>
    </w:p>
    <w:p w14:paraId="46450D7A" w14:textId="7CC90F87" w:rsidR="004614A7" w:rsidRPr="004614A7" w:rsidRDefault="00707292" w:rsidP="00E22139">
      <w:pPr>
        <w:pStyle w:val="Bibliography"/>
        <w:jc w:val="both"/>
        <w:rPr>
          <w:sz w:val="20"/>
        </w:rPr>
      </w:pPr>
      <w:r>
        <w:rPr>
          <w:sz w:val="20"/>
        </w:rPr>
        <w:t>7</w:t>
      </w:r>
      <w:r>
        <w:rPr>
          <w:sz w:val="20"/>
        </w:rPr>
        <w:tab/>
        <w:t>E. Rosenbaum and J. Wu.</w:t>
      </w:r>
      <w:r w:rsidR="004614A7" w:rsidRPr="004614A7">
        <w:rPr>
          <w:sz w:val="20"/>
        </w:rPr>
        <w:t xml:space="preserve"> Trap generation and breakdown processes in very thin gate oxides, </w:t>
      </w:r>
      <w:r w:rsidR="004614A7" w:rsidRPr="004614A7">
        <w:rPr>
          <w:i/>
          <w:iCs/>
          <w:sz w:val="20"/>
        </w:rPr>
        <w:t>Microelectronics Reliability</w:t>
      </w:r>
      <w:r w:rsidR="004614A7" w:rsidRPr="004614A7">
        <w:rPr>
          <w:sz w:val="20"/>
        </w:rPr>
        <w:t xml:space="preserve">, </w:t>
      </w:r>
      <w:r w:rsidR="004614A7" w:rsidRPr="00707292">
        <w:rPr>
          <w:b/>
          <w:sz w:val="20"/>
        </w:rPr>
        <w:t>2001</w:t>
      </w:r>
      <w:r w:rsidR="004614A7" w:rsidRPr="004614A7">
        <w:rPr>
          <w:sz w:val="20"/>
        </w:rPr>
        <w:t xml:space="preserve">, </w:t>
      </w:r>
      <w:r w:rsidR="004614A7" w:rsidRPr="00707292">
        <w:rPr>
          <w:bCs/>
          <w:i/>
          <w:sz w:val="20"/>
        </w:rPr>
        <w:t>41</w:t>
      </w:r>
      <w:r w:rsidR="004614A7" w:rsidRPr="004614A7">
        <w:rPr>
          <w:sz w:val="20"/>
        </w:rPr>
        <w:t>, 625–632.</w:t>
      </w:r>
    </w:p>
    <w:p w14:paraId="6222CFFE" w14:textId="77777777" w:rsidR="004614A7" w:rsidRPr="004614A7" w:rsidRDefault="004614A7" w:rsidP="00E22139">
      <w:pPr>
        <w:pStyle w:val="Bibliography"/>
        <w:jc w:val="both"/>
        <w:rPr>
          <w:sz w:val="20"/>
        </w:rPr>
      </w:pPr>
      <w:r w:rsidRPr="004614A7">
        <w:rPr>
          <w:sz w:val="20"/>
        </w:rPr>
        <w:t>8</w:t>
      </w:r>
      <w:r w:rsidRPr="004614A7">
        <w:rPr>
          <w:sz w:val="20"/>
        </w:rPr>
        <w:tab/>
        <w:t xml:space="preserve">B. Steinwender, S. Einspieler, M. Glavanovics, and W. Elmenreich, in </w:t>
      </w:r>
      <w:r w:rsidRPr="004614A7">
        <w:rPr>
          <w:i/>
          <w:iCs/>
          <w:sz w:val="20"/>
        </w:rPr>
        <w:t>2013 11th IEEE International Conference on Industrial Informatics (INDIN)</w:t>
      </w:r>
      <w:r w:rsidRPr="004614A7">
        <w:rPr>
          <w:sz w:val="20"/>
        </w:rPr>
        <w:t>, 2013, pp. 129–134.</w:t>
      </w:r>
    </w:p>
    <w:p w14:paraId="6C9238D5" w14:textId="234D926C" w:rsidR="004614A7" w:rsidRPr="004614A7" w:rsidRDefault="004614A7" w:rsidP="00E22139">
      <w:pPr>
        <w:pStyle w:val="Bibliography"/>
        <w:jc w:val="both"/>
        <w:rPr>
          <w:sz w:val="20"/>
        </w:rPr>
      </w:pPr>
      <w:r w:rsidRPr="004614A7">
        <w:rPr>
          <w:sz w:val="20"/>
        </w:rPr>
        <w:t>9</w:t>
      </w:r>
      <w:r w:rsidRPr="004614A7">
        <w:rPr>
          <w:sz w:val="20"/>
        </w:rPr>
        <w:tab/>
        <w:t>J. S. Suehle, B. Z</w:t>
      </w:r>
      <w:r w:rsidR="00707292">
        <w:rPr>
          <w:sz w:val="20"/>
        </w:rPr>
        <w:t>hu, Y. Chen and J. B. Bernstein.</w:t>
      </w:r>
      <w:r w:rsidRPr="004614A7">
        <w:rPr>
          <w:sz w:val="20"/>
        </w:rPr>
        <w:t xml:space="preserve"> Detailed study and projection of hard breakdown evolution in ultra-thin gate oxides, </w:t>
      </w:r>
      <w:r w:rsidRPr="004614A7">
        <w:rPr>
          <w:i/>
          <w:iCs/>
          <w:sz w:val="20"/>
        </w:rPr>
        <w:t>Microelectronics Reliability</w:t>
      </w:r>
      <w:r w:rsidRPr="004614A7">
        <w:rPr>
          <w:sz w:val="20"/>
        </w:rPr>
        <w:t xml:space="preserve">, </w:t>
      </w:r>
      <w:r w:rsidRPr="00707292">
        <w:rPr>
          <w:b/>
          <w:sz w:val="20"/>
        </w:rPr>
        <w:t>2005</w:t>
      </w:r>
      <w:r w:rsidRPr="004614A7">
        <w:rPr>
          <w:sz w:val="20"/>
        </w:rPr>
        <w:t xml:space="preserve">, </w:t>
      </w:r>
      <w:r w:rsidRPr="00707292">
        <w:rPr>
          <w:bCs/>
          <w:i/>
          <w:sz w:val="20"/>
        </w:rPr>
        <w:t>45</w:t>
      </w:r>
      <w:r w:rsidRPr="004614A7">
        <w:rPr>
          <w:sz w:val="20"/>
        </w:rPr>
        <w:t>, 419–426.</w:t>
      </w:r>
    </w:p>
    <w:p w14:paraId="409B435B" w14:textId="28E1D7FA" w:rsidR="004614A7" w:rsidRPr="004614A7" w:rsidRDefault="004614A7" w:rsidP="00E22139">
      <w:pPr>
        <w:pStyle w:val="Bibliography"/>
        <w:jc w:val="both"/>
        <w:rPr>
          <w:sz w:val="20"/>
        </w:rPr>
      </w:pPr>
      <w:r w:rsidRPr="004614A7">
        <w:rPr>
          <w:sz w:val="20"/>
        </w:rPr>
        <w:t>10</w:t>
      </w:r>
      <w:r w:rsidRPr="004614A7">
        <w:rPr>
          <w:sz w:val="20"/>
        </w:rPr>
        <w:tab/>
        <w:t>T. S. Lee, N. J. Lee, H. Abbas, H. H.</w:t>
      </w:r>
      <w:r w:rsidR="00707292">
        <w:rPr>
          <w:sz w:val="20"/>
        </w:rPr>
        <w:t xml:space="preserve"> Lee, T.-S. Yoon and C. J. Kang.</w:t>
      </w:r>
      <w:r w:rsidRPr="004614A7">
        <w:rPr>
          <w:sz w:val="20"/>
        </w:rPr>
        <w:t xml:space="preserve"> Compliance Current-Controlled Conducting Filament Formation in Tantalum Oxide-Based RRAM Devices with Different Top Electrodes, </w:t>
      </w:r>
      <w:r w:rsidRPr="004614A7">
        <w:rPr>
          <w:i/>
          <w:iCs/>
          <w:sz w:val="20"/>
        </w:rPr>
        <w:t xml:space="preserve">ACS </w:t>
      </w:r>
      <w:r w:rsidR="00254284" w:rsidRPr="00254284">
        <w:rPr>
          <w:i/>
          <w:iCs/>
          <w:sz w:val="20"/>
        </w:rPr>
        <w:t>Applied Electronic Materials</w:t>
      </w:r>
      <w:r w:rsidRPr="004614A7">
        <w:rPr>
          <w:sz w:val="20"/>
        </w:rPr>
        <w:t xml:space="preserve">, </w:t>
      </w:r>
      <w:r w:rsidRPr="00707292">
        <w:rPr>
          <w:b/>
          <w:sz w:val="20"/>
        </w:rPr>
        <w:t>2020</w:t>
      </w:r>
      <w:r w:rsidRPr="004614A7">
        <w:rPr>
          <w:sz w:val="20"/>
        </w:rPr>
        <w:t xml:space="preserve">, </w:t>
      </w:r>
      <w:r w:rsidRPr="00707292">
        <w:rPr>
          <w:bCs/>
          <w:i/>
          <w:sz w:val="20"/>
        </w:rPr>
        <w:t>2</w:t>
      </w:r>
      <w:r w:rsidRPr="004614A7">
        <w:rPr>
          <w:sz w:val="20"/>
        </w:rPr>
        <w:t>, 1154–1161.</w:t>
      </w:r>
    </w:p>
    <w:p w14:paraId="1F73DD31" w14:textId="5DB3A84C" w:rsidR="004614A7" w:rsidRPr="004614A7" w:rsidRDefault="004614A7" w:rsidP="00E22139">
      <w:pPr>
        <w:pStyle w:val="Bibliography"/>
        <w:jc w:val="both"/>
        <w:rPr>
          <w:sz w:val="20"/>
        </w:rPr>
      </w:pPr>
      <w:r w:rsidRPr="004614A7">
        <w:rPr>
          <w:sz w:val="20"/>
        </w:rPr>
        <w:lastRenderedPageBreak/>
        <w:t>11</w:t>
      </w:r>
      <w:r w:rsidRPr="004614A7">
        <w:rPr>
          <w:sz w:val="20"/>
        </w:rPr>
        <w:tab/>
        <w:t>J. Yao, L. Zh</w:t>
      </w:r>
      <w:r w:rsidR="00254284">
        <w:rPr>
          <w:sz w:val="20"/>
        </w:rPr>
        <w:t>ong, D. Natelson and J. M. Tour.</w:t>
      </w:r>
      <w:r w:rsidRPr="004614A7">
        <w:rPr>
          <w:sz w:val="20"/>
        </w:rPr>
        <w:t xml:space="preserve"> In situ imaging of the conducting filament in a silicon oxide resistive switch, </w:t>
      </w:r>
      <w:r w:rsidRPr="004614A7">
        <w:rPr>
          <w:i/>
          <w:iCs/>
          <w:sz w:val="20"/>
        </w:rPr>
        <w:t>Scientific Reports</w:t>
      </w:r>
      <w:r w:rsidRPr="004614A7">
        <w:rPr>
          <w:sz w:val="20"/>
        </w:rPr>
        <w:t xml:space="preserve">, </w:t>
      </w:r>
      <w:r w:rsidRPr="00254284">
        <w:rPr>
          <w:b/>
          <w:sz w:val="20"/>
        </w:rPr>
        <w:t>2012</w:t>
      </w:r>
      <w:r w:rsidRPr="004614A7">
        <w:rPr>
          <w:sz w:val="20"/>
        </w:rPr>
        <w:t xml:space="preserve">, </w:t>
      </w:r>
      <w:r w:rsidRPr="00254284">
        <w:rPr>
          <w:bCs/>
          <w:i/>
          <w:sz w:val="20"/>
        </w:rPr>
        <w:t>2</w:t>
      </w:r>
      <w:r w:rsidRPr="004614A7">
        <w:rPr>
          <w:sz w:val="20"/>
        </w:rPr>
        <w:t>, 242.</w:t>
      </w:r>
    </w:p>
    <w:p w14:paraId="3AF96031" w14:textId="42620551" w:rsidR="004614A7" w:rsidRPr="004614A7" w:rsidRDefault="004614A7" w:rsidP="00E22139">
      <w:pPr>
        <w:pStyle w:val="Bibliography"/>
        <w:jc w:val="both"/>
        <w:rPr>
          <w:sz w:val="20"/>
        </w:rPr>
      </w:pPr>
      <w:r w:rsidRPr="004614A7">
        <w:rPr>
          <w:sz w:val="20"/>
        </w:rPr>
        <w:t>12</w:t>
      </w:r>
      <w:r w:rsidRPr="004614A7">
        <w:rPr>
          <w:sz w:val="20"/>
        </w:rPr>
        <w:tab/>
        <w:t>P. R. Shrestha, D. M. Nminibapiel, J. P. Campbell, J. T. Ryan, D. Veksler</w:t>
      </w:r>
      <w:r w:rsidR="00254284">
        <w:rPr>
          <w:sz w:val="20"/>
        </w:rPr>
        <w:t>, H. Baumgart, and K. P. Cheung.</w:t>
      </w:r>
      <w:r w:rsidRPr="004614A7">
        <w:rPr>
          <w:sz w:val="20"/>
        </w:rPr>
        <w:t xml:space="preserve"> Analysis and Control of RRAM Overshoot Current, </w:t>
      </w:r>
      <w:r w:rsidRPr="004614A7">
        <w:rPr>
          <w:i/>
          <w:iCs/>
          <w:sz w:val="20"/>
        </w:rPr>
        <w:t>IEEE Transactions on Electron Devices</w:t>
      </w:r>
      <w:r w:rsidRPr="004614A7">
        <w:rPr>
          <w:sz w:val="20"/>
        </w:rPr>
        <w:t xml:space="preserve">, </w:t>
      </w:r>
      <w:r w:rsidRPr="00254284">
        <w:rPr>
          <w:b/>
          <w:sz w:val="20"/>
        </w:rPr>
        <w:t>2018</w:t>
      </w:r>
      <w:r w:rsidRPr="004614A7">
        <w:rPr>
          <w:sz w:val="20"/>
        </w:rPr>
        <w:t xml:space="preserve">, </w:t>
      </w:r>
      <w:r w:rsidRPr="00254284">
        <w:rPr>
          <w:bCs/>
          <w:i/>
          <w:sz w:val="20"/>
        </w:rPr>
        <w:t>65</w:t>
      </w:r>
      <w:r w:rsidRPr="004614A7">
        <w:rPr>
          <w:sz w:val="20"/>
        </w:rPr>
        <w:t>, 108–114.</w:t>
      </w:r>
    </w:p>
    <w:p w14:paraId="0BEC04E8" w14:textId="52F860FC" w:rsidR="004614A7" w:rsidRPr="004614A7" w:rsidRDefault="004614A7" w:rsidP="00E22139">
      <w:pPr>
        <w:pStyle w:val="Bibliography"/>
        <w:jc w:val="both"/>
        <w:rPr>
          <w:sz w:val="20"/>
        </w:rPr>
      </w:pPr>
      <w:r w:rsidRPr="004614A7">
        <w:rPr>
          <w:sz w:val="20"/>
        </w:rPr>
        <w:t>13</w:t>
      </w:r>
      <w:r w:rsidRPr="004614A7">
        <w:rPr>
          <w:sz w:val="20"/>
        </w:rPr>
        <w:tab/>
        <w:t>J. Eastoe, G. M. Noah, D. Dutta, A. Rossi, J. D. Fletcher, and A. Gomez-Saiz</w:t>
      </w:r>
      <w:r w:rsidR="00AB473C">
        <w:rPr>
          <w:sz w:val="20"/>
        </w:rPr>
        <w:t>.</w:t>
      </w:r>
      <w:r w:rsidRPr="004614A7">
        <w:rPr>
          <w:sz w:val="20"/>
        </w:rPr>
        <w:t xml:space="preserve"> Method for Efficient Large-Scale Cryogenic Characterization of CMOS Technologies, </w:t>
      </w:r>
      <w:r w:rsidRPr="004614A7">
        <w:rPr>
          <w:i/>
          <w:iCs/>
          <w:sz w:val="20"/>
        </w:rPr>
        <w:t>IEEE Transactions on Instrumentation and Measurement</w:t>
      </w:r>
      <w:r w:rsidRPr="004614A7">
        <w:rPr>
          <w:sz w:val="20"/>
        </w:rPr>
        <w:t xml:space="preserve">, </w:t>
      </w:r>
      <w:r w:rsidRPr="00AB473C">
        <w:rPr>
          <w:b/>
          <w:sz w:val="20"/>
        </w:rPr>
        <w:t>2025</w:t>
      </w:r>
      <w:r w:rsidRPr="004614A7">
        <w:rPr>
          <w:sz w:val="20"/>
        </w:rPr>
        <w:t xml:space="preserve">, </w:t>
      </w:r>
      <w:r w:rsidRPr="00AB473C">
        <w:rPr>
          <w:bCs/>
          <w:i/>
          <w:sz w:val="20"/>
        </w:rPr>
        <w:t>74</w:t>
      </w:r>
      <w:r w:rsidRPr="004614A7">
        <w:rPr>
          <w:sz w:val="20"/>
        </w:rPr>
        <w:t>, 1–10.</w:t>
      </w:r>
    </w:p>
    <w:p w14:paraId="7884E83B" w14:textId="5CBE6903" w:rsidR="004614A7" w:rsidRPr="004614A7" w:rsidRDefault="004614A7" w:rsidP="00E22139">
      <w:pPr>
        <w:pStyle w:val="Bibliography"/>
        <w:jc w:val="both"/>
        <w:rPr>
          <w:sz w:val="20"/>
        </w:rPr>
      </w:pPr>
      <w:r w:rsidRPr="004614A7">
        <w:rPr>
          <w:sz w:val="20"/>
        </w:rPr>
        <w:t>14</w:t>
      </w:r>
      <w:r w:rsidRPr="004614A7">
        <w:rPr>
          <w:sz w:val="20"/>
        </w:rPr>
        <w:tab/>
        <w:t>M. S. Nazir, A. Pampori, Y. H. Zarkob, A. Kar, and Y. S. Chauhan</w:t>
      </w:r>
      <w:r w:rsidR="00F956F0">
        <w:rPr>
          <w:sz w:val="20"/>
        </w:rPr>
        <w:t xml:space="preserve">. </w:t>
      </w:r>
      <w:r w:rsidR="00F956F0" w:rsidRPr="00B104AE">
        <w:rPr>
          <w:sz w:val="20"/>
        </w:rPr>
        <w:t>Characterization and Modeling of I-V, C-V and Trapping behavior of SiC Power MOSFETs</w:t>
      </w:r>
      <w:r w:rsidR="00F956F0">
        <w:rPr>
          <w:sz w:val="20"/>
        </w:rPr>
        <w:t>,</w:t>
      </w:r>
      <w:r w:rsidRPr="004614A7">
        <w:rPr>
          <w:sz w:val="20"/>
        </w:rPr>
        <w:t xml:space="preserve"> in </w:t>
      </w:r>
      <w:r w:rsidRPr="004614A7">
        <w:rPr>
          <w:i/>
          <w:iCs/>
          <w:sz w:val="20"/>
        </w:rPr>
        <w:t>2023 7th IEEE Electron Devices Technology &amp; Manufacturing Conference (EDTM)</w:t>
      </w:r>
      <w:r w:rsidRPr="004614A7">
        <w:rPr>
          <w:sz w:val="20"/>
        </w:rPr>
        <w:t>, 2023, pp. 1–3.</w:t>
      </w:r>
    </w:p>
    <w:p w14:paraId="1DCE293B" w14:textId="74666C0C" w:rsidR="004614A7" w:rsidRPr="004614A7" w:rsidRDefault="004614A7" w:rsidP="00E22139">
      <w:pPr>
        <w:pStyle w:val="Bibliography"/>
        <w:jc w:val="both"/>
        <w:rPr>
          <w:sz w:val="20"/>
        </w:rPr>
      </w:pPr>
      <w:r w:rsidRPr="004614A7">
        <w:rPr>
          <w:sz w:val="20"/>
        </w:rPr>
        <w:t>15</w:t>
      </w:r>
      <w:r w:rsidRPr="004614A7">
        <w:rPr>
          <w:sz w:val="20"/>
        </w:rPr>
        <w:tab/>
        <w:t>D. Xing, C. Xie, K. Wang, T. Liu, B. Hu, J. Wang, A. Ag</w:t>
      </w:r>
      <w:r w:rsidR="00F956F0">
        <w:rPr>
          <w:sz w:val="20"/>
        </w:rPr>
        <w:t xml:space="preserve">arwal, R. Singh, and S. Atcitty. </w:t>
      </w:r>
      <w:r w:rsidR="00F956F0" w:rsidRPr="00B104AE">
        <w:rPr>
          <w:sz w:val="20"/>
        </w:rPr>
        <w:t>3.3-kV SiC MOSFET Performance and Short-Circuit Capability</w:t>
      </w:r>
      <w:r w:rsidR="00F956F0">
        <w:rPr>
          <w:sz w:val="20"/>
        </w:rPr>
        <w:t>,</w:t>
      </w:r>
      <w:r w:rsidRPr="004614A7">
        <w:rPr>
          <w:sz w:val="20"/>
        </w:rPr>
        <w:t xml:space="preserve"> in </w:t>
      </w:r>
      <w:r w:rsidRPr="004614A7">
        <w:rPr>
          <w:i/>
          <w:iCs/>
          <w:sz w:val="20"/>
        </w:rPr>
        <w:t>2020 IEEE Workshop on Wide Bandgap Power Devices and Applications in Asia (WiPDA Asia)</w:t>
      </w:r>
      <w:r w:rsidRPr="004614A7">
        <w:rPr>
          <w:sz w:val="20"/>
        </w:rPr>
        <w:t>, 2020, pp. 1–6.</w:t>
      </w:r>
    </w:p>
    <w:p w14:paraId="09107169" w14:textId="4BAF62EC" w:rsidR="004614A7" w:rsidRPr="004614A7" w:rsidRDefault="004614A7" w:rsidP="00E22139">
      <w:pPr>
        <w:pStyle w:val="Bibliography"/>
        <w:jc w:val="both"/>
        <w:rPr>
          <w:sz w:val="20"/>
        </w:rPr>
      </w:pPr>
      <w:r w:rsidRPr="004614A7">
        <w:rPr>
          <w:sz w:val="20"/>
        </w:rPr>
        <w:t>16</w:t>
      </w:r>
      <w:r w:rsidRPr="004614A7">
        <w:rPr>
          <w:sz w:val="20"/>
        </w:rPr>
        <w:tab/>
        <w:t>J. Schmitz, H. P. Tuinhout, H. J.</w:t>
      </w:r>
      <w:r w:rsidR="00352CBE">
        <w:rPr>
          <w:sz w:val="20"/>
        </w:rPr>
        <w:t xml:space="preserve"> Kretschmann, and P. H. Woerlee.</w:t>
      </w:r>
      <w:r w:rsidRPr="004614A7">
        <w:rPr>
          <w:sz w:val="20"/>
        </w:rPr>
        <w:t xml:space="preserve"> Comparison of soft-breakdown triggers for large-area capacitors under constant voltage stress, </w:t>
      </w:r>
      <w:r w:rsidRPr="004614A7">
        <w:rPr>
          <w:i/>
          <w:iCs/>
          <w:sz w:val="20"/>
        </w:rPr>
        <w:t>IEEE Transactions on Device and Materials Reliability</w:t>
      </w:r>
      <w:r w:rsidRPr="004614A7">
        <w:rPr>
          <w:sz w:val="20"/>
        </w:rPr>
        <w:t xml:space="preserve">, </w:t>
      </w:r>
      <w:r w:rsidRPr="00F956F0">
        <w:rPr>
          <w:b/>
          <w:sz w:val="20"/>
        </w:rPr>
        <w:t>2001</w:t>
      </w:r>
      <w:r w:rsidRPr="004614A7">
        <w:rPr>
          <w:sz w:val="20"/>
        </w:rPr>
        <w:t xml:space="preserve">, </w:t>
      </w:r>
      <w:r w:rsidRPr="00F956F0">
        <w:rPr>
          <w:bCs/>
          <w:i/>
          <w:sz w:val="20"/>
        </w:rPr>
        <w:t>1</w:t>
      </w:r>
      <w:r w:rsidRPr="004614A7">
        <w:rPr>
          <w:sz w:val="20"/>
        </w:rPr>
        <w:t>, 150–157.</w:t>
      </w:r>
    </w:p>
    <w:p w14:paraId="56DB8CBB" w14:textId="18C82E3F" w:rsidR="004614A7" w:rsidRPr="004614A7" w:rsidRDefault="004614A7" w:rsidP="00E22139">
      <w:pPr>
        <w:pStyle w:val="Bibliography"/>
        <w:jc w:val="both"/>
        <w:rPr>
          <w:sz w:val="20"/>
        </w:rPr>
      </w:pPr>
      <w:r w:rsidRPr="004614A7">
        <w:rPr>
          <w:sz w:val="20"/>
        </w:rPr>
        <w:t>17</w:t>
      </w:r>
      <w:r w:rsidRPr="004614A7">
        <w:rPr>
          <w:sz w:val="20"/>
        </w:rPr>
        <w:tab/>
        <w:t>A. Padovani, P. La Torraca, J. Stran</w:t>
      </w:r>
      <w:r w:rsidR="00352CBE">
        <w:rPr>
          <w:sz w:val="20"/>
        </w:rPr>
        <w:t>d, L. Larcher and A. L. Shluger.</w:t>
      </w:r>
      <w:r w:rsidRPr="004614A7">
        <w:rPr>
          <w:sz w:val="20"/>
        </w:rPr>
        <w:t xml:space="preserve"> Dielectric breakdown of oxide films in electronic devices, </w:t>
      </w:r>
      <w:r w:rsidRPr="004614A7">
        <w:rPr>
          <w:i/>
          <w:iCs/>
          <w:sz w:val="20"/>
        </w:rPr>
        <w:t>Nature Reviews Materials</w:t>
      </w:r>
      <w:r w:rsidRPr="004614A7">
        <w:rPr>
          <w:sz w:val="20"/>
        </w:rPr>
        <w:t xml:space="preserve">, </w:t>
      </w:r>
      <w:r w:rsidRPr="00352CBE">
        <w:rPr>
          <w:b/>
          <w:sz w:val="20"/>
        </w:rPr>
        <w:t>2024</w:t>
      </w:r>
      <w:r w:rsidRPr="004614A7">
        <w:rPr>
          <w:sz w:val="20"/>
        </w:rPr>
        <w:t xml:space="preserve">, </w:t>
      </w:r>
      <w:r w:rsidRPr="00352CBE">
        <w:rPr>
          <w:bCs/>
          <w:i/>
          <w:sz w:val="20"/>
        </w:rPr>
        <w:t>9</w:t>
      </w:r>
      <w:r w:rsidRPr="004614A7">
        <w:rPr>
          <w:sz w:val="20"/>
        </w:rPr>
        <w:t>, 607–627.</w:t>
      </w:r>
    </w:p>
    <w:p w14:paraId="3FB2B5A1" w14:textId="39037485" w:rsidR="004614A7" w:rsidRPr="004614A7" w:rsidRDefault="004614A7" w:rsidP="00E22139">
      <w:pPr>
        <w:pStyle w:val="Bibliography"/>
        <w:jc w:val="both"/>
        <w:rPr>
          <w:sz w:val="20"/>
        </w:rPr>
      </w:pPr>
      <w:r w:rsidRPr="004614A7">
        <w:rPr>
          <w:sz w:val="20"/>
        </w:rPr>
        <w:t>18</w:t>
      </w:r>
      <w:r w:rsidRPr="004614A7">
        <w:rPr>
          <w:sz w:val="20"/>
        </w:rPr>
        <w:tab/>
      </w:r>
      <w:r w:rsidR="00352CBE">
        <w:rPr>
          <w:sz w:val="20"/>
        </w:rPr>
        <w:t>Hideki Satake and Akira Toriumi.</w:t>
      </w:r>
      <w:r w:rsidRPr="004614A7">
        <w:rPr>
          <w:sz w:val="20"/>
        </w:rPr>
        <w:t xml:space="preserve"> SiO</w:t>
      </w:r>
      <w:r w:rsidRPr="00352CBE">
        <w:rPr>
          <w:sz w:val="20"/>
          <w:vertAlign w:val="subscript"/>
        </w:rPr>
        <w:t>2</w:t>
      </w:r>
      <w:r w:rsidRPr="004614A7">
        <w:rPr>
          <w:sz w:val="20"/>
        </w:rPr>
        <w:t xml:space="preserve"> dielectric breakdown mechanism studied by the post-breakdown resistance statistics, </w:t>
      </w:r>
      <w:r w:rsidRPr="004614A7">
        <w:rPr>
          <w:i/>
          <w:iCs/>
          <w:sz w:val="20"/>
        </w:rPr>
        <w:t>Semiconductor Science and Technology</w:t>
      </w:r>
      <w:r w:rsidRPr="004614A7">
        <w:rPr>
          <w:sz w:val="20"/>
        </w:rPr>
        <w:t xml:space="preserve">, </w:t>
      </w:r>
      <w:r w:rsidRPr="00352CBE">
        <w:rPr>
          <w:b/>
          <w:sz w:val="20"/>
        </w:rPr>
        <w:t>2000</w:t>
      </w:r>
      <w:r w:rsidRPr="004614A7">
        <w:rPr>
          <w:sz w:val="20"/>
        </w:rPr>
        <w:t xml:space="preserve">, </w:t>
      </w:r>
      <w:r w:rsidRPr="00352CBE">
        <w:rPr>
          <w:bCs/>
          <w:i/>
          <w:sz w:val="20"/>
        </w:rPr>
        <w:t>15</w:t>
      </w:r>
      <w:r w:rsidRPr="004614A7">
        <w:rPr>
          <w:sz w:val="20"/>
        </w:rPr>
        <w:t>, 471.</w:t>
      </w:r>
    </w:p>
    <w:p w14:paraId="45EEB735" w14:textId="340DF628" w:rsidR="004614A7" w:rsidRPr="004614A7" w:rsidRDefault="004614A7" w:rsidP="00E22139">
      <w:pPr>
        <w:pStyle w:val="Bibliography"/>
        <w:jc w:val="both"/>
        <w:rPr>
          <w:sz w:val="20"/>
        </w:rPr>
      </w:pPr>
      <w:r w:rsidRPr="004614A7">
        <w:rPr>
          <w:sz w:val="20"/>
        </w:rPr>
        <w:t>19</w:t>
      </w:r>
      <w:r w:rsidRPr="004614A7">
        <w:rPr>
          <w:sz w:val="20"/>
        </w:rPr>
        <w:tab/>
        <w:t>T. Pompl, C.</w:t>
      </w:r>
      <w:r w:rsidR="00352CBE">
        <w:rPr>
          <w:sz w:val="20"/>
        </w:rPr>
        <w:t xml:space="preserve"> Engel, H. Wurzer and M. Kerber.</w:t>
      </w:r>
      <w:r w:rsidRPr="004614A7">
        <w:rPr>
          <w:sz w:val="20"/>
        </w:rPr>
        <w:t xml:space="preserve"> Soft breakdown and hard breakdown in ultra-thin oxides, </w:t>
      </w:r>
      <w:r w:rsidRPr="004614A7">
        <w:rPr>
          <w:i/>
          <w:iCs/>
          <w:sz w:val="20"/>
        </w:rPr>
        <w:t>Microelectronics Reliability</w:t>
      </w:r>
      <w:r w:rsidRPr="004614A7">
        <w:rPr>
          <w:sz w:val="20"/>
        </w:rPr>
        <w:t xml:space="preserve">, </w:t>
      </w:r>
      <w:r w:rsidRPr="00352CBE">
        <w:rPr>
          <w:b/>
          <w:sz w:val="20"/>
        </w:rPr>
        <w:t>2001</w:t>
      </w:r>
      <w:r w:rsidRPr="004614A7">
        <w:rPr>
          <w:sz w:val="20"/>
        </w:rPr>
        <w:t xml:space="preserve">, </w:t>
      </w:r>
      <w:r w:rsidRPr="00352CBE">
        <w:rPr>
          <w:bCs/>
          <w:i/>
          <w:sz w:val="20"/>
        </w:rPr>
        <w:t>41</w:t>
      </w:r>
      <w:r w:rsidRPr="004614A7">
        <w:rPr>
          <w:sz w:val="20"/>
        </w:rPr>
        <w:t>, 543–551.</w:t>
      </w:r>
    </w:p>
    <w:p w14:paraId="71F73E4C" w14:textId="6E2AC554" w:rsidR="004614A7" w:rsidRPr="004614A7" w:rsidRDefault="004614A7" w:rsidP="00E22139">
      <w:pPr>
        <w:pStyle w:val="Bibliography"/>
        <w:jc w:val="both"/>
        <w:rPr>
          <w:sz w:val="20"/>
        </w:rPr>
      </w:pPr>
      <w:r w:rsidRPr="004614A7">
        <w:rPr>
          <w:sz w:val="20"/>
        </w:rPr>
        <w:t>20</w:t>
      </w:r>
      <w:r w:rsidRPr="004614A7">
        <w:rPr>
          <w:sz w:val="20"/>
        </w:rPr>
        <w:tab/>
        <w:t xml:space="preserve">K. E. Falidas, M. B. Everding, A. E. Viegas, </w:t>
      </w:r>
      <w:r w:rsidR="00352CBE">
        <w:rPr>
          <w:sz w:val="20"/>
        </w:rPr>
        <w:t>M. Czernohorsky and J. Heitmann.</w:t>
      </w:r>
      <w:r w:rsidRPr="004614A7">
        <w:rPr>
          <w:sz w:val="20"/>
        </w:rPr>
        <w:t xml:space="preserve"> Automated reliability calculation of failure rate, lifetime extrapolation and prediction for embedded Metal-Insulator-Metal capacitors using an optimized Time-Dependent-Dielectric-Breakdown model, </w:t>
      </w:r>
      <w:r w:rsidRPr="004614A7">
        <w:rPr>
          <w:i/>
          <w:iCs/>
          <w:sz w:val="20"/>
        </w:rPr>
        <w:t>Microelectronics Reliability</w:t>
      </w:r>
      <w:r w:rsidRPr="004614A7">
        <w:rPr>
          <w:sz w:val="20"/>
        </w:rPr>
        <w:t xml:space="preserve">, </w:t>
      </w:r>
      <w:r w:rsidRPr="00352CBE">
        <w:rPr>
          <w:b/>
          <w:sz w:val="20"/>
        </w:rPr>
        <w:t>2023</w:t>
      </w:r>
      <w:r w:rsidRPr="004614A7">
        <w:rPr>
          <w:sz w:val="20"/>
        </w:rPr>
        <w:t xml:space="preserve">, </w:t>
      </w:r>
      <w:r w:rsidRPr="00352CBE">
        <w:rPr>
          <w:bCs/>
          <w:i/>
          <w:sz w:val="20"/>
        </w:rPr>
        <w:t>150</w:t>
      </w:r>
      <w:r w:rsidRPr="004614A7">
        <w:rPr>
          <w:sz w:val="20"/>
        </w:rPr>
        <w:t>, 115191.</w:t>
      </w:r>
    </w:p>
    <w:p w14:paraId="351DE5D7" w14:textId="1A8F7B18" w:rsidR="004614A7" w:rsidRPr="004614A7" w:rsidRDefault="004614A7" w:rsidP="00E22139">
      <w:pPr>
        <w:pStyle w:val="Bibliography"/>
        <w:jc w:val="both"/>
        <w:rPr>
          <w:sz w:val="20"/>
        </w:rPr>
      </w:pPr>
      <w:r w:rsidRPr="004614A7">
        <w:rPr>
          <w:sz w:val="20"/>
        </w:rPr>
        <w:t>21</w:t>
      </w:r>
      <w:r w:rsidRPr="004614A7">
        <w:rPr>
          <w:sz w:val="20"/>
        </w:rPr>
        <w:tab/>
        <w:t>J. Qian, L. Shi, M. Jin, M. Bhattacharya, A. Shimbori, H. Yu, S. Houshmand</w:t>
      </w:r>
      <w:r w:rsidR="00564E71">
        <w:rPr>
          <w:sz w:val="20"/>
        </w:rPr>
        <w:t>, M. H. White and A. K. Agarwal.</w:t>
      </w:r>
      <w:r w:rsidRPr="004614A7">
        <w:rPr>
          <w:sz w:val="20"/>
        </w:rPr>
        <w:t xml:space="preserve"> Modeling of Charge-to-Breakdown with an Electron Trapping Model for Analysis of Thermal Gate Oxide Failure Mechanism in SiC Power MOSFETs, </w:t>
      </w:r>
      <w:r w:rsidRPr="004614A7">
        <w:rPr>
          <w:i/>
          <w:iCs/>
          <w:sz w:val="20"/>
        </w:rPr>
        <w:t>Materials</w:t>
      </w:r>
      <w:r w:rsidRPr="004614A7">
        <w:rPr>
          <w:sz w:val="20"/>
        </w:rPr>
        <w:t xml:space="preserve">, </w:t>
      </w:r>
      <w:r w:rsidRPr="00564E71">
        <w:rPr>
          <w:b/>
          <w:sz w:val="20"/>
        </w:rPr>
        <w:t>2024</w:t>
      </w:r>
      <w:r w:rsidRPr="004614A7">
        <w:rPr>
          <w:sz w:val="20"/>
        </w:rPr>
        <w:t xml:space="preserve">, </w:t>
      </w:r>
      <w:r w:rsidRPr="00564E71">
        <w:rPr>
          <w:bCs/>
          <w:i/>
          <w:sz w:val="20"/>
        </w:rPr>
        <w:t>17</w:t>
      </w:r>
      <w:r w:rsidRPr="004614A7">
        <w:rPr>
          <w:sz w:val="20"/>
        </w:rPr>
        <w:t>, 1455.</w:t>
      </w:r>
    </w:p>
    <w:p w14:paraId="5707493D" w14:textId="116ECC73" w:rsidR="004614A7" w:rsidRPr="004614A7" w:rsidRDefault="00564E71" w:rsidP="00E22139">
      <w:pPr>
        <w:pStyle w:val="Bibliography"/>
        <w:jc w:val="both"/>
        <w:rPr>
          <w:sz w:val="20"/>
        </w:rPr>
      </w:pPr>
      <w:r>
        <w:rPr>
          <w:sz w:val="20"/>
        </w:rPr>
        <w:t>22</w:t>
      </w:r>
      <w:r>
        <w:rPr>
          <w:sz w:val="20"/>
        </w:rPr>
        <w:tab/>
        <w:t>M. Lenzlinger and E. H. Snow.</w:t>
      </w:r>
      <w:r w:rsidR="004614A7" w:rsidRPr="004614A7">
        <w:rPr>
          <w:sz w:val="20"/>
        </w:rPr>
        <w:t xml:space="preserve"> Fowler‐Nordheim Tunneling into Thermally Grown SiO</w:t>
      </w:r>
      <w:r w:rsidR="004614A7" w:rsidRPr="00564E71">
        <w:rPr>
          <w:sz w:val="20"/>
          <w:vertAlign w:val="subscript"/>
        </w:rPr>
        <w:t>2</w:t>
      </w:r>
      <w:r w:rsidR="004614A7" w:rsidRPr="004614A7">
        <w:rPr>
          <w:sz w:val="20"/>
        </w:rPr>
        <w:t xml:space="preserve">, </w:t>
      </w:r>
      <w:r w:rsidR="004614A7" w:rsidRPr="004614A7">
        <w:rPr>
          <w:i/>
          <w:iCs/>
          <w:sz w:val="20"/>
        </w:rPr>
        <w:t>Journal of Applied Physics</w:t>
      </w:r>
      <w:r w:rsidR="004614A7" w:rsidRPr="004614A7">
        <w:rPr>
          <w:sz w:val="20"/>
        </w:rPr>
        <w:t xml:space="preserve">, </w:t>
      </w:r>
      <w:r w:rsidR="004614A7" w:rsidRPr="00564E71">
        <w:rPr>
          <w:b/>
          <w:sz w:val="20"/>
        </w:rPr>
        <w:t>1969</w:t>
      </w:r>
      <w:r w:rsidR="004614A7" w:rsidRPr="004614A7">
        <w:rPr>
          <w:sz w:val="20"/>
        </w:rPr>
        <w:t xml:space="preserve">, </w:t>
      </w:r>
      <w:r w:rsidR="004614A7" w:rsidRPr="00564E71">
        <w:rPr>
          <w:bCs/>
          <w:i/>
          <w:sz w:val="20"/>
        </w:rPr>
        <w:t>40</w:t>
      </w:r>
      <w:r w:rsidR="004614A7" w:rsidRPr="004614A7">
        <w:rPr>
          <w:sz w:val="20"/>
        </w:rPr>
        <w:t>, 278–283.</w:t>
      </w:r>
    </w:p>
    <w:p w14:paraId="4D9184B9" w14:textId="4E3996CC" w:rsidR="004614A7" w:rsidRPr="004614A7" w:rsidRDefault="00564E71" w:rsidP="00E22139">
      <w:pPr>
        <w:pStyle w:val="Bibliography"/>
        <w:jc w:val="both"/>
        <w:rPr>
          <w:sz w:val="20"/>
        </w:rPr>
      </w:pPr>
      <w:r>
        <w:rPr>
          <w:sz w:val="20"/>
        </w:rPr>
        <w:t>23</w:t>
      </w:r>
      <w:r>
        <w:rPr>
          <w:sz w:val="20"/>
        </w:rPr>
        <w:tab/>
        <w:t>J. Frenkel.</w:t>
      </w:r>
      <w:r w:rsidR="004614A7" w:rsidRPr="004614A7">
        <w:rPr>
          <w:sz w:val="20"/>
        </w:rPr>
        <w:t xml:space="preserve"> On Pre-Breakdown Phenomena in Insulators and Electronic Semi-Conductors, </w:t>
      </w:r>
      <w:r w:rsidRPr="00564E71">
        <w:rPr>
          <w:i/>
          <w:iCs/>
          <w:sz w:val="20"/>
        </w:rPr>
        <w:t>Physical Review</w:t>
      </w:r>
      <w:r w:rsidR="004614A7" w:rsidRPr="004614A7">
        <w:rPr>
          <w:sz w:val="20"/>
        </w:rPr>
        <w:t xml:space="preserve">, </w:t>
      </w:r>
      <w:r w:rsidR="004614A7" w:rsidRPr="00564E71">
        <w:rPr>
          <w:b/>
          <w:sz w:val="20"/>
        </w:rPr>
        <w:t>1938</w:t>
      </w:r>
      <w:r w:rsidR="004614A7" w:rsidRPr="004614A7">
        <w:rPr>
          <w:sz w:val="20"/>
        </w:rPr>
        <w:t xml:space="preserve">, </w:t>
      </w:r>
      <w:r w:rsidR="004614A7" w:rsidRPr="00564E71">
        <w:rPr>
          <w:bCs/>
          <w:i/>
          <w:sz w:val="20"/>
        </w:rPr>
        <w:t>54</w:t>
      </w:r>
      <w:r w:rsidR="004614A7" w:rsidRPr="004614A7">
        <w:rPr>
          <w:sz w:val="20"/>
        </w:rPr>
        <w:t>, 647–648.</w:t>
      </w:r>
    </w:p>
    <w:p w14:paraId="629D85B2" w14:textId="7A527245" w:rsidR="004614A7" w:rsidRPr="004614A7" w:rsidRDefault="004614A7" w:rsidP="00E22139">
      <w:pPr>
        <w:pStyle w:val="Bibliography"/>
        <w:jc w:val="both"/>
        <w:rPr>
          <w:sz w:val="20"/>
        </w:rPr>
      </w:pPr>
      <w:r w:rsidRPr="004614A7">
        <w:rPr>
          <w:sz w:val="20"/>
        </w:rPr>
        <w:t>24</w:t>
      </w:r>
      <w:r w:rsidRPr="004614A7">
        <w:rPr>
          <w:sz w:val="20"/>
        </w:rPr>
        <w:tab/>
        <w:t>T. Pompl, C.</w:t>
      </w:r>
      <w:r w:rsidR="00564E71">
        <w:rPr>
          <w:sz w:val="20"/>
        </w:rPr>
        <w:t xml:space="preserve"> Engel, H. Wurzer and M. Kerber.</w:t>
      </w:r>
      <w:r w:rsidRPr="004614A7">
        <w:rPr>
          <w:sz w:val="20"/>
        </w:rPr>
        <w:t xml:space="preserve"> Soft breakdown and hard breakdown in ultra-thin oxides, </w:t>
      </w:r>
      <w:r w:rsidRPr="004614A7">
        <w:rPr>
          <w:i/>
          <w:iCs/>
          <w:sz w:val="20"/>
        </w:rPr>
        <w:t>Microelectronics Reliability</w:t>
      </w:r>
      <w:r w:rsidRPr="004614A7">
        <w:rPr>
          <w:sz w:val="20"/>
        </w:rPr>
        <w:t xml:space="preserve">, </w:t>
      </w:r>
      <w:r w:rsidRPr="00564E71">
        <w:rPr>
          <w:b/>
          <w:sz w:val="20"/>
        </w:rPr>
        <w:t>2001</w:t>
      </w:r>
      <w:r w:rsidRPr="004614A7">
        <w:rPr>
          <w:sz w:val="20"/>
        </w:rPr>
        <w:t xml:space="preserve">, </w:t>
      </w:r>
      <w:r w:rsidRPr="00564E71">
        <w:rPr>
          <w:bCs/>
          <w:i/>
          <w:sz w:val="20"/>
        </w:rPr>
        <w:t>41</w:t>
      </w:r>
      <w:r w:rsidRPr="004614A7">
        <w:rPr>
          <w:sz w:val="20"/>
        </w:rPr>
        <w:t>, 543–551.</w:t>
      </w:r>
    </w:p>
    <w:p w14:paraId="501EEB5C" w14:textId="076D66A0" w:rsidR="004614A7" w:rsidRPr="004614A7" w:rsidRDefault="004614A7" w:rsidP="00E22139">
      <w:pPr>
        <w:pStyle w:val="Bibliography"/>
        <w:jc w:val="both"/>
        <w:rPr>
          <w:sz w:val="20"/>
        </w:rPr>
      </w:pPr>
      <w:r w:rsidRPr="004614A7">
        <w:rPr>
          <w:sz w:val="20"/>
        </w:rPr>
        <w:lastRenderedPageBreak/>
        <w:t>25</w:t>
      </w:r>
      <w:r w:rsidRPr="004614A7">
        <w:rPr>
          <w:sz w:val="20"/>
        </w:rPr>
        <w:tab/>
        <w:t>A. Padovani, D. Z. Gao, A. L. Shluger and L. Larcher</w:t>
      </w:r>
      <w:r w:rsidR="00564E71">
        <w:rPr>
          <w:sz w:val="20"/>
        </w:rPr>
        <w:t>.</w:t>
      </w:r>
      <w:r w:rsidRPr="004614A7">
        <w:rPr>
          <w:sz w:val="20"/>
        </w:rPr>
        <w:t xml:space="preserve"> A microscopic mechanism of dielectric breakdown in SiO</w:t>
      </w:r>
      <w:r w:rsidRPr="00564E71">
        <w:rPr>
          <w:sz w:val="20"/>
          <w:vertAlign w:val="subscript"/>
        </w:rPr>
        <w:t>2</w:t>
      </w:r>
      <w:r w:rsidRPr="004614A7">
        <w:rPr>
          <w:sz w:val="20"/>
        </w:rPr>
        <w:t xml:space="preserve"> films: An insight from multi-scale modeling, </w:t>
      </w:r>
      <w:r w:rsidRPr="004614A7">
        <w:rPr>
          <w:i/>
          <w:iCs/>
          <w:sz w:val="20"/>
        </w:rPr>
        <w:t>Journal of Applied Physics</w:t>
      </w:r>
      <w:r w:rsidRPr="004614A7">
        <w:rPr>
          <w:sz w:val="20"/>
        </w:rPr>
        <w:t xml:space="preserve">, </w:t>
      </w:r>
      <w:r w:rsidRPr="00564E71">
        <w:rPr>
          <w:b/>
          <w:sz w:val="20"/>
        </w:rPr>
        <w:t>2017</w:t>
      </w:r>
      <w:r w:rsidRPr="004614A7">
        <w:rPr>
          <w:sz w:val="20"/>
        </w:rPr>
        <w:t xml:space="preserve">, </w:t>
      </w:r>
      <w:r w:rsidRPr="00564E71">
        <w:rPr>
          <w:bCs/>
          <w:i/>
          <w:sz w:val="20"/>
        </w:rPr>
        <w:t>121</w:t>
      </w:r>
      <w:r w:rsidRPr="004614A7">
        <w:rPr>
          <w:sz w:val="20"/>
        </w:rPr>
        <w:t>, 155101.</w:t>
      </w:r>
    </w:p>
    <w:p w14:paraId="4D37FF43" w14:textId="11A9D76F" w:rsidR="004614A7" w:rsidRPr="004614A7" w:rsidRDefault="004614A7" w:rsidP="00E22139">
      <w:pPr>
        <w:pStyle w:val="Bibliography"/>
        <w:jc w:val="both"/>
        <w:rPr>
          <w:sz w:val="20"/>
        </w:rPr>
      </w:pPr>
      <w:r w:rsidRPr="004614A7">
        <w:rPr>
          <w:sz w:val="20"/>
        </w:rPr>
        <w:lastRenderedPageBreak/>
        <w:t>26</w:t>
      </w:r>
      <w:r w:rsidRPr="004614A7">
        <w:rPr>
          <w:sz w:val="20"/>
        </w:rPr>
        <w:tab/>
        <w:t>F. Palumb</w:t>
      </w:r>
      <w:r w:rsidR="00564E71">
        <w:rPr>
          <w:sz w:val="20"/>
        </w:rPr>
        <w:t>o, S. Lombardo and M. Eizenberg.</w:t>
      </w:r>
      <w:r w:rsidRPr="004614A7">
        <w:rPr>
          <w:sz w:val="20"/>
        </w:rPr>
        <w:t xml:space="preserve"> Physical mechanism of progressive breakdown in gate oxides, </w:t>
      </w:r>
      <w:r w:rsidRPr="004614A7">
        <w:rPr>
          <w:i/>
          <w:iCs/>
          <w:sz w:val="20"/>
        </w:rPr>
        <w:t>Journal of Applied Physics</w:t>
      </w:r>
      <w:r w:rsidRPr="004614A7">
        <w:rPr>
          <w:sz w:val="20"/>
        </w:rPr>
        <w:t xml:space="preserve">, </w:t>
      </w:r>
      <w:r w:rsidRPr="00564E71">
        <w:rPr>
          <w:b/>
          <w:sz w:val="20"/>
        </w:rPr>
        <w:t>2014</w:t>
      </w:r>
      <w:r w:rsidRPr="004614A7">
        <w:rPr>
          <w:sz w:val="20"/>
        </w:rPr>
        <w:t xml:space="preserve">, </w:t>
      </w:r>
      <w:r w:rsidRPr="00564E71">
        <w:rPr>
          <w:bCs/>
          <w:i/>
          <w:sz w:val="20"/>
        </w:rPr>
        <w:t>115</w:t>
      </w:r>
      <w:r w:rsidRPr="004614A7">
        <w:rPr>
          <w:sz w:val="20"/>
        </w:rPr>
        <w:t>, 224101.</w:t>
      </w:r>
    </w:p>
    <w:p w14:paraId="143859FE" w14:textId="77777777" w:rsidR="005D7308" w:rsidRPr="00AC7627" w:rsidRDefault="005D7308" w:rsidP="00712AFB">
      <w:pPr>
        <w:tabs>
          <w:tab w:val="left" w:pos="360"/>
          <w:tab w:val="right" w:leader="hyphen" w:pos="9072"/>
        </w:tabs>
        <w:spacing w:before="120" w:after="120"/>
        <w:jc w:val="both"/>
        <w:rPr>
          <w:sz w:val="22"/>
          <w:szCs w:val="22"/>
        </w:rPr>
        <w:sectPr w:rsidR="005D7308" w:rsidRPr="00AC7627" w:rsidSect="00DF24AE">
          <w:type w:val="continuous"/>
          <w:pgSz w:w="11907" w:h="16840" w:code="9"/>
          <w:pgMar w:top="1134" w:right="850" w:bottom="1134" w:left="1418" w:header="720" w:footer="556" w:gutter="0"/>
          <w:cols w:num="2" w:space="567"/>
          <w:docGrid w:linePitch="360"/>
        </w:sectPr>
      </w:pPr>
    </w:p>
    <w:p w14:paraId="16D127BD" w14:textId="6E764D3C" w:rsidR="00C32D99" w:rsidRDefault="00C32D99" w:rsidP="00712AFB">
      <w:pPr>
        <w:tabs>
          <w:tab w:val="left" w:pos="360"/>
          <w:tab w:val="right" w:leader="hyphen" w:pos="9072"/>
        </w:tabs>
        <w:spacing w:before="120" w:after="120"/>
        <w:jc w:val="both"/>
        <w:rPr>
          <w:sz w:val="22"/>
          <w:szCs w:val="22"/>
        </w:rPr>
      </w:pPr>
    </w:p>
    <w:p w14:paraId="4420BB6C" w14:textId="77777777" w:rsidR="00117585" w:rsidRPr="00AC7627" w:rsidRDefault="00117585" w:rsidP="00712AFB">
      <w:pPr>
        <w:tabs>
          <w:tab w:val="left" w:pos="360"/>
          <w:tab w:val="right" w:leader="hyphen" w:pos="9072"/>
        </w:tabs>
        <w:spacing w:before="120" w:after="120"/>
        <w:jc w:val="both"/>
        <w:rPr>
          <w:sz w:val="22"/>
          <w:szCs w:val="22"/>
        </w:rPr>
      </w:pPr>
    </w:p>
    <w:p w14:paraId="70139994" w14:textId="77777777" w:rsidR="00C32D99" w:rsidRPr="00204068" w:rsidRDefault="00C32D99" w:rsidP="00C32D99">
      <w:pPr>
        <w:tabs>
          <w:tab w:val="left" w:pos="360"/>
          <w:tab w:val="right" w:leader="hyphen" w:pos="9072"/>
        </w:tabs>
        <w:spacing w:before="120" w:after="120"/>
        <w:jc w:val="both"/>
        <w:rPr>
          <w:b/>
          <w:sz w:val="22"/>
          <w:szCs w:val="22"/>
          <w:lang w:val="de-DE"/>
        </w:rPr>
      </w:pPr>
      <w:r w:rsidRPr="00204068">
        <w:rPr>
          <w:i/>
          <w:sz w:val="22"/>
          <w:szCs w:val="22"/>
          <w:lang w:val="de-DE"/>
        </w:rPr>
        <w:t>Liên hệ</w:t>
      </w:r>
      <w:r w:rsidRPr="00204068">
        <w:rPr>
          <w:sz w:val="22"/>
          <w:szCs w:val="22"/>
          <w:lang w:val="de-DE"/>
        </w:rPr>
        <w:t xml:space="preserve">: </w:t>
      </w:r>
      <w:r w:rsidRPr="00E5780D">
        <w:rPr>
          <w:b/>
          <w:sz w:val="22"/>
          <w:szCs w:val="22"/>
          <w:lang w:val="de-DE"/>
        </w:rPr>
        <w:t>Huỳnh Công Tú</w:t>
      </w:r>
    </w:p>
    <w:p w14:paraId="3AF7B08A"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Trường Đại học Quy Nhơn</w:t>
      </w:r>
    </w:p>
    <w:p w14:paraId="4B3C6131" w14:textId="36C1A4AF"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170 An Dương Vương,</w:t>
      </w:r>
      <w:r>
        <w:rPr>
          <w:sz w:val="22"/>
          <w:szCs w:val="22"/>
          <w:lang w:val="de-DE"/>
        </w:rPr>
        <w:t xml:space="preserve"> </w:t>
      </w:r>
      <w:r w:rsidR="00564E71">
        <w:rPr>
          <w:sz w:val="22"/>
          <w:szCs w:val="22"/>
          <w:lang w:val="de-DE"/>
        </w:rPr>
        <w:t>Phường Quy Nhơn Nam, tỉnh Gia Lai</w:t>
      </w:r>
    </w:p>
    <w:p w14:paraId="66698471"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 xml:space="preserve">Email: </w:t>
      </w:r>
      <w:hyperlink r:id="rId16" w:history="1">
        <w:r w:rsidRPr="002D34E6">
          <w:rPr>
            <w:rStyle w:val="Hyperlink"/>
            <w:sz w:val="22"/>
            <w:szCs w:val="22"/>
          </w:rPr>
          <w:t>huynhcongtu@qnu.edu.vn</w:t>
        </w:r>
      </w:hyperlink>
    </w:p>
    <w:p w14:paraId="790AD59D"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Điện thoại: 0903869026</w:t>
      </w:r>
    </w:p>
    <w:p w14:paraId="620DB12A" w14:textId="42528833" w:rsidR="00863A4E" w:rsidRDefault="00863A4E" w:rsidP="00235C35">
      <w:pPr>
        <w:tabs>
          <w:tab w:val="left" w:pos="360"/>
          <w:tab w:val="right" w:leader="hyphen" w:pos="9072"/>
        </w:tabs>
        <w:spacing w:before="120" w:after="120"/>
        <w:ind w:firstLine="798"/>
        <w:jc w:val="both"/>
        <w:rPr>
          <w:sz w:val="22"/>
          <w:szCs w:val="22"/>
        </w:rPr>
      </w:pPr>
    </w:p>
    <w:p w14:paraId="733FF49A" w14:textId="77979D3F" w:rsidR="00863A4E" w:rsidRDefault="00863A4E" w:rsidP="00235C35">
      <w:pPr>
        <w:tabs>
          <w:tab w:val="left" w:pos="360"/>
          <w:tab w:val="right" w:leader="hyphen" w:pos="9072"/>
        </w:tabs>
        <w:spacing w:before="120" w:after="120"/>
        <w:ind w:firstLine="798"/>
        <w:jc w:val="both"/>
        <w:rPr>
          <w:sz w:val="22"/>
          <w:szCs w:val="22"/>
        </w:rPr>
      </w:pPr>
    </w:p>
    <w:p w14:paraId="0E7869E8" w14:textId="3C83B20A" w:rsidR="00863A4E" w:rsidRDefault="00863A4E" w:rsidP="00235C35">
      <w:pPr>
        <w:tabs>
          <w:tab w:val="left" w:pos="360"/>
          <w:tab w:val="right" w:leader="hyphen" w:pos="9072"/>
        </w:tabs>
        <w:spacing w:before="120" w:after="120"/>
        <w:ind w:firstLine="798"/>
        <w:jc w:val="both"/>
        <w:rPr>
          <w:sz w:val="22"/>
          <w:szCs w:val="22"/>
        </w:rPr>
      </w:pPr>
    </w:p>
    <w:p w14:paraId="2351EB6C" w14:textId="18C15425" w:rsidR="00863A4E" w:rsidRDefault="00863A4E" w:rsidP="00235C35">
      <w:pPr>
        <w:tabs>
          <w:tab w:val="left" w:pos="360"/>
          <w:tab w:val="right" w:leader="hyphen" w:pos="9072"/>
        </w:tabs>
        <w:spacing w:before="120" w:after="120"/>
        <w:ind w:firstLine="798"/>
        <w:jc w:val="both"/>
        <w:rPr>
          <w:sz w:val="22"/>
          <w:szCs w:val="22"/>
        </w:rPr>
      </w:pPr>
    </w:p>
    <w:p w14:paraId="4BC5D4F9" w14:textId="7F8843DF" w:rsidR="00863A4E" w:rsidRDefault="00863A4E" w:rsidP="00235C35">
      <w:pPr>
        <w:tabs>
          <w:tab w:val="left" w:pos="360"/>
          <w:tab w:val="right" w:leader="hyphen" w:pos="9072"/>
        </w:tabs>
        <w:spacing w:before="120" w:after="120"/>
        <w:ind w:firstLine="798"/>
        <w:jc w:val="both"/>
        <w:rPr>
          <w:sz w:val="22"/>
          <w:szCs w:val="22"/>
        </w:rPr>
      </w:pPr>
    </w:p>
    <w:p w14:paraId="29A0C609" w14:textId="17DA2336" w:rsidR="00863A4E" w:rsidRDefault="00863A4E" w:rsidP="00235C35">
      <w:pPr>
        <w:tabs>
          <w:tab w:val="left" w:pos="360"/>
          <w:tab w:val="right" w:leader="hyphen" w:pos="9072"/>
        </w:tabs>
        <w:spacing w:before="120" w:after="120"/>
        <w:ind w:firstLine="798"/>
        <w:jc w:val="both"/>
        <w:rPr>
          <w:sz w:val="22"/>
          <w:szCs w:val="22"/>
        </w:rPr>
      </w:pPr>
    </w:p>
    <w:p w14:paraId="26857D39" w14:textId="6A21CCCB" w:rsidR="00863A4E" w:rsidRDefault="00863A4E" w:rsidP="00235C35">
      <w:pPr>
        <w:tabs>
          <w:tab w:val="left" w:pos="360"/>
          <w:tab w:val="right" w:leader="hyphen" w:pos="9072"/>
        </w:tabs>
        <w:spacing w:before="120" w:after="120"/>
        <w:ind w:firstLine="798"/>
        <w:jc w:val="both"/>
        <w:rPr>
          <w:sz w:val="22"/>
          <w:szCs w:val="22"/>
        </w:rPr>
      </w:pPr>
    </w:p>
    <w:p w14:paraId="2DBA86D3" w14:textId="67D328E3" w:rsidR="00863A4E" w:rsidRDefault="00863A4E" w:rsidP="00235C35">
      <w:pPr>
        <w:tabs>
          <w:tab w:val="left" w:pos="360"/>
          <w:tab w:val="right" w:leader="hyphen" w:pos="9072"/>
        </w:tabs>
        <w:spacing w:before="120" w:after="120"/>
        <w:ind w:firstLine="798"/>
        <w:jc w:val="both"/>
        <w:rPr>
          <w:sz w:val="22"/>
          <w:szCs w:val="22"/>
        </w:rPr>
      </w:pPr>
    </w:p>
    <w:p w14:paraId="2AD47D4F" w14:textId="34D8084E" w:rsidR="00863A4E" w:rsidRDefault="00863A4E" w:rsidP="00235C35">
      <w:pPr>
        <w:tabs>
          <w:tab w:val="left" w:pos="360"/>
          <w:tab w:val="right" w:leader="hyphen" w:pos="9072"/>
        </w:tabs>
        <w:spacing w:before="120" w:after="120"/>
        <w:ind w:firstLine="798"/>
        <w:jc w:val="both"/>
        <w:rPr>
          <w:sz w:val="22"/>
          <w:szCs w:val="22"/>
        </w:rPr>
      </w:pPr>
    </w:p>
    <w:p w14:paraId="5EC3728C" w14:textId="0B0E5960" w:rsidR="00863A4E" w:rsidRDefault="00863A4E" w:rsidP="00235C35">
      <w:pPr>
        <w:tabs>
          <w:tab w:val="left" w:pos="360"/>
          <w:tab w:val="right" w:leader="hyphen" w:pos="9072"/>
        </w:tabs>
        <w:spacing w:before="120" w:after="120"/>
        <w:ind w:firstLine="798"/>
        <w:jc w:val="both"/>
        <w:rPr>
          <w:sz w:val="22"/>
          <w:szCs w:val="22"/>
        </w:rPr>
      </w:pPr>
    </w:p>
    <w:p w14:paraId="40877CA9" w14:textId="28C62F7F" w:rsidR="00863A4E" w:rsidRDefault="00863A4E" w:rsidP="00235C35">
      <w:pPr>
        <w:tabs>
          <w:tab w:val="left" w:pos="360"/>
          <w:tab w:val="right" w:leader="hyphen" w:pos="9072"/>
        </w:tabs>
        <w:spacing w:before="120" w:after="120"/>
        <w:ind w:firstLine="798"/>
        <w:jc w:val="both"/>
        <w:rPr>
          <w:sz w:val="22"/>
          <w:szCs w:val="22"/>
        </w:rPr>
      </w:pPr>
    </w:p>
    <w:p w14:paraId="5618D548" w14:textId="11BB0333" w:rsidR="00863A4E" w:rsidRDefault="00863A4E" w:rsidP="00235C35">
      <w:pPr>
        <w:tabs>
          <w:tab w:val="left" w:pos="360"/>
          <w:tab w:val="right" w:leader="hyphen" w:pos="9072"/>
        </w:tabs>
        <w:spacing w:before="120" w:after="120"/>
        <w:ind w:firstLine="798"/>
        <w:jc w:val="both"/>
        <w:rPr>
          <w:sz w:val="22"/>
          <w:szCs w:val="22"/>
        </w:rPr>
      </w:pPr>
    </w:p>
    <w:p w14:paraId="4E767F69" w14:textId="3302CEB7" w:rsidR="00863A4E" w:rsidRDefault="00863A4E" w:rsidP="00235C35">
      <w:pPr>
        <w:tabs>
          <w:tab w:val="left" w:pos="360"/>
          <w:tab w:val="right" w:leader="hyphen" w:pos="9072"/>
        </w:tabs>
        <w:spacing w:before="120" w:after="120"/>
        <w:ind w:firstLine="798"/>
        <w:jc w:val="both"/>
        <w:rPr>
          <w:sz w:val="22"/>
          <w:szCs w:val="22"/>
        </w:rPr>
      </w:pPr>
    </w:p>
    <w:p w14:paraId="0DC107B8" w14:textId="4151CB07" w:rsidR="00863A4E" w:rsidRDefault="00863A4E" w:rsidP="00235C35">
      <w:pPr>
        <w:tabs>
          <w:tab w:val="left" w:pos="360"/>
          <w:tab w:val="right" w:leader="hyphen" w:pos="9072"/>
        </w:tabs>
        <w:spacing w:before="120" w:after="120"/>
        <w:ind w:firstLine="798"/>
        <w:jc w:val="both"/>
        <w:rPr>
          <w:sz w:val="22"/>
          <w:szCs w:val="22"/>
        </w:rPr>
      </w:pPr>
    </w:p>
    <w:p w14:paraId="79E69352" w14:textId="1DAEB172" w:rsidR="00863A4E" w:rsidRDefault="00863A4E" w:rsidP="00235C35">
      <w:pPr>
        <w:tabs>
          <w:tab w:val="left" w:pos="360"/>
          <w:tab w:val="right" w:leader="hyphen" w:pos="9072"/>
        </w:tabs>
        <w:spacing w:before="120" w:after="120"/>
        <w:ind w:firstLine="798"/>
        <w:jc w:val="both"/>
        <w:rPr>
          <w:sz w:val="22"/>
          <w:szCs w:val="22"/>
        </w:rPr>
      </w:pPr>
    </w:p>
    <w:p w14:paraId="589524CB" w14:textId="1C55E1F0" w:rsidR="00A72910" w:rsidRPr="00814A24" w:rsidRDefault="00A72910" w:rsidP="00A72910">
      <w:pPr>
        <w:tabs>
          <w:tab w:val="left" w:pos="360"/>
          <w:tab w:val="right" w:leader="hyphen" w:pos="9072"/>
        </w:tabs>
        <w:spacing w:before="120" w:after="120"/>
        <w:jc w:val="both"/>
        <w:rPr>
          <w:sz w:val="22"/>
          <w:szCs w:val="22"/>
        </w:rPr>
      </w:pPr>
    </w:p>
    <w:sectPr w:rsidR="00A72910" w:rsidRPr="00814A24"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A0E6F" w14:textId="77777777" w:rsidR="00341F5D" w:rsidRDefault="00341F5D" w:rsidP="00D8166A">
      <w:r>
        <w:separator/>
      </w:r>
    </w:p>
  </w:endnote>
  <w:endnote w:type="continuationSeparator" w:id="0">
    <w:p w14:paraId="009A9B18" w14:textId="77777777" w:rsidR="00341F5D" w:rsidRDefault="00341F5D"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3A391" w14:textId="40D2C6A4" w:rsidR="00760A9E" w:rsidRPr="00D8166A" w:rsidRDefault="00760A9E">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1029F1">
      <w:rPr>
        <w:noProof/>
        <w:sz w:val="22"/>
      </w:rPr>
      <w:t>1</w:t>
    </w:r>
    <w:r w:rsidRPr="00D8166A">
      <w:rPr>
        <w:noProof/>
        <w:sz w:val="22"/>
      </w:rPr>
      <w:fldChar w:fldCharType="end"/>
    </w:r>
  </w:p>
  <w:p w14:paraId="5246E224" w14:textId="77777777" w:rsidR="00760A9E" w:rsidRDefault="00760A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19414" w14:textId="77777777" w:rsidR="00341F5D" w:rsidRDefault="00341F5D" w:rsidP="00D8166A">
      <w:r>
        <w:separator/>
      </w:r>
    </w:p>
  </w:footnote>
  <w:footnote w:type="continuationSeparator" w:id="0">
    <w:p w14:paraId="0BBB0AC0" w14:textId="77777777" w:rsidR="00341F5D" w:rsidRDefault="00341F5D" w:rsidP="00D816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84C0B19"/>
    <w:multiLevelType w:val="hybridMultilevel"/>
    <w:tmpl w:val="C5224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35C13"/>
    <w:multiLevelType w:val="hybridMultilevel"/>
    <w:tmpl w:val="3642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7" w15:restartNumberingAfterBreak="0">
    <w:nsid w:val="24D12377"/>
    <w:multiLevelType w:val="hybridMultilevel"/>
    <w:tmpl w:val="A80C5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0372C69"/>
    <w:multiLevelType w:val="hybridMultilevel"/>
    <w:tmpl w:val="0C101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E4086"/>
    <w:multiLevelType w:val="hybridMultilevel"/>
    <w:tmpl w:val="CB6C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173A1"/>
    <w:multiLevelType w:val="multilevel"/>
    <w:tmpl w:val="8F02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63B6B"/>
    <w:multiLevelType w:val="hybridMultilevel"/>
    <w:tmpl w:val="C0505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563CA"/>
    <w:multiLevelType w:val="hybridMultilevel"/>
    <w:tmpl w:val="6598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4157E"/>
    <w:multiLevelType w:val="hybridMultilevel"/>
    <w:tmpl w:val="798C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38154F"/>
    <w:multiLevelType w:val="hybridMultilevel"/>
    <w:tmpl w:val="3598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60D14"/>
    <w:multiLevelType w:val="hybridMultilevel"/>
    <w:tmpl w:val="C248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6D1B36"/>
    <w:multiLevelType w:val="hybridMultilevel"/>
    <w:tmpl w:val="4EA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C61FF"/>
    <w:multiLevelType w:val="hybridMultilevel"/>
    <w:tmpl w:val="2424B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70B0700C"/>
    <w:multiLevelType w:val="hybridMultilevel"/>
    <w:tmpl w:val="93D4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9"/>
  </w:num>
  <w:num w:numId="4">
    <w:abstractNumId w:val="25"/>
  </w:num>
  <w:num w:numId="5">
    <w:abstractNumId w:val="12"/>
  </w:num>
  <w:num w:numId="6">
    <w:abstractNumId w:val="8"/>
  </w:num>
  <w:num w:numId="7">
    <w:abstractNumId w:val="5"/>
  </w:num>
  <w:num w:numId="8">
    <w:abstractNumId w:val="27"/>
  </w:num>
  <w:num w:numId="9">
    <w:abstractNumId w:val="10"/>
  </w:num>
  <w:num w:numId="10">
    <w:abstractNumId w:val="22"/>
  </w:num>
  <w:num w:numId="11">
    <w:abstractNumId w:val="1"/>
  </w:num>
  <w:num w:numId="12">
    <w:abstractNumId w:val="6"/>
  </w:num>
  <w:num w:numId="13">
    <w:abstractNumId w:val="26"/>
  </w:num>
  <w:num w:numId="14">
    <w:abstractNumId w:val="11"/>
  </w:num>
  <w:num w:numId="15">
    <w:abstractNumId w:val="3"/>
  </w:num>
  <w:num w:numId="16">
    <w:abstractNumId w:val="7"/>
  </w:num>
  <w:num w:numId="17">
    <w:abstractNumId w:val="17"/>
  </w:num>
  <w:num w:numId="18">
    <w:abstractNumId w:val="13"/>
  </w:num>
  <w:num w:numId="19">
    <w:abstractNumId w:val="24"/>
  </w:num>
  <w:num w:numId="20">
    <w:abstractNumId w:val="16"/>
  </w:num>
  <w:num w:numId="21">
    <w:abstractNumId w:val="23"/>
  </w:num>
  <w:num w:numId="22">
    <w:abstractNumId w:val="4"/>
  </w:num>
  <w:num w:numId="23">
    <w:abstractNumId w:val="28"/>
  </w:num>
  <w:num w:numId="24">
    <w:abstractNumId w:val="14"/>
  </w:num>
  <w:num w:numId="25">
    <w:abstractNumId w:val="15"/>
  </w:num>
  <w:num w:numId="26">
    <w:abstractNumId w:val="20"/>
  </w:num>
  <w:num w:numId="27">
    <w:abstractNumId w:val="18"/>
  </w:num>
  <w:num w:numId="28">
    <w:abstractNumId w:val="2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IE"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064B"/>
    <w:rsid w:val="000019E8"/>
    <w:rsid w:val="00002171"/>
    <w:rsid w:val="00003FB8"/>
    <w:rsid w:val="000072A5"/>
    <w:rsid w:val="0000734B"/>
    <w:rsid w:val="0000796A"/>
    <w:rsid w:val="000107C8"/>
    <w:rsid w:val="00013B4E"/>
    <w:rsid w:val="00013BF3"/>
    <w:rsid w:val="00015DDD"/>
    <w:rsid w:val="000170F5"/>
    <w:rsid w:val="00020AAF"/>
    <w:rsid w:val="00020EEE"/>
    <w:rsid w:val="00022F33"/>
    <w:rsid w:val="00023451"/>
    <w:rsid w:val="00023717"/>
    <w:rsid w:val="000241D3"/>
    <w:rsid w:val="00026F7B"/>
    <w:rsid w:val="00027558"/>
    <w:rsid w:val="00030751"/>
    <w:rsid w:val="0003100E"/>
    <w:rsid w:val="0003147D"/>
    <w:rsid w:val="00032C8B"/>
    <w:rsid w:val="00032DC9"/>
    <w:rsid w:val="0003498A"/>
    <w:rsid w:val="000363E3"/>
    <w:rsid w:val="00040BAB"/>
    <w:rsid w:val="00041310"/>
    <w:rsid w:val="00041839"/>
    <w:rsid w:val="00041995"/>
    <w:rsid w:val="0004565C"/>
    <w:rsid w:val="00054B5E"/>
    <w:rsid w:val="00055983"/>
    <w:rsid w:val="000603E3"/>
    <w:rsid w:val="00060AC6"/>
    <w:rsid w:val="000648B7"/>
    <w:rsid w:val="00071B23"/>
    <w:rsid w:val="00072230"/>
    <w:rsid w:val="00072B1F"/>
    <w:rsid w:val="00073A8F"/>
    <w:rsid w:val="00074757"/>
    <w:rsid w:val="00076079"/>
    <w:rsid w:val="000762C8"/>
    <w:rsid w:val="00077716"/>
    <w:rsid w:val="00077952"/>
    <w:rsid w:val="00082C87"/>
    <w:rsid w:val="0008763E"/>
    <w:rsid w:val="00087DF2"/>
    <w:rsid w:val="000913C6"/>
    <w:rsid w:val="00091FF6"/>
    <w:rsid w:val="0009214D"/>
    <w:rsid w:val="00092E5E"/>
    <w:rsid w:val="00094B47"/>
    <w:rsid w:val="00094FBE"/>
    <w:rsid w:val="000951E1"/>
    <w:rsid w:val="0009680D"/>
    <w:rsid w:val="00096AA5"/>
    <w:rsid w:val="000A0467"/>
    <w:rsid w:val="000A455B"/>
    <w:rsid w:val="000A4676"/>
    <w:rsid w:val="000B416C"/>
    <w:rsid w:val="000B466D"/>
    <w:rsid w:val="000B4D49"/>
    <w:rsid w:val="000B5D48"/>
    <w:rsid w:val="000B7106"/>
    <w:rsid w:val="000C01FF"/>
    <w:rsid w:val="000C1A55"/>
    <w:rsid w:val="000C2A92"/>
    <w:rsid w:val="000C37AB"/>
    <w:rsid w:val="000C5AD8"/>
    <w:rsid w:val="000D0807"/>
    <w:rsid w:val="000D33DA"/>
    <w:rsid w:val="000E3336"/>
    <w:rsid w:val="000E65DC"/>
    <w:rsid w:val="000F0883"/>
    <w:rsid w:val="000F163C"/>
    <w:rsid w:val="000F1DC1"/>
    <w:rsid w:val="000F2FD1"/>
    <w:rsid w:val="000F47E6"/>
    <w:rsid w:val="000F6A9F"/>
    <w:rsid w:val="001014F9"/>
    <w:rsid w:val="00101666"/>
    <w:rsid w:val="001029F1"/>
    <w:rsid w:val="0010437B"/>
    <w:rsid w:val="001053ED"/>
    <w:rsid w:val="00107A5A"/>
    <w:rsid w:val="001111BF"/>
    <w:rsid w:val="001135C6"/>
    <w:rsid w:val="001163FA"/>
    <w:rsid w:val="00116FFF"/>
    <w:rsid w:val="00117585"/>
    <w:rsid w:val="0011766C"/>
    <w:rsid w:val="00120B71"/>
    <w:rsid w:val="00124EC1"/>
    <w:rsid w:val="001254CD"/>
    <w:rsid w:val="00127DCD"/>
    <w:rsid w:val="00130DF3"/>
    <w:rsid w:val="0013621B"/>
    <w:rsid w:val="001366BB"/>
    <w:rsid w:val="00136860"/>
    <w:rsid w:val="001412B2"/>
    <w:rsid w:val="001417F1"/>
    <w:rsid w:val="00142BD7"/>
    <w:rsid w:val="00150852"/>
    <w:rsid w:val="0015093C"/>
    <w:rsid w:val="00150C33"/>
    <w:rsid w:val="00152347"/>
    <w:rsid w:val="001540C4"/>
    <w:rsid w:val="00154374"/>
    <w:rsid w:val="001543D8"/>
    <w:rsid w:val="001546C0"/>
    <w:rsid w:val="001551BE"/>
    <w:rsid w:val="0015560F"/>
    <w:rsid w:val="0015575B"/>
    <w:rsid w:val="00157B71"/>
    <w:rsid w:val="001628B4"/>
    <w:rsid w:val="00165D8F"/>
    <w:rsid w:val="00165DCD"/>
    <w:rsid w:val="001715D9"/>
    <w:rsid w:val="001753EE"/>
    <w:rsid w:val="001761CC"/>
    <w:rsid w:val="00176E9A"/>
    <w:rsid w:val="0018106F"/>
    <w:rsid w:val="00182D4A"/>
    <w:rsid w:val="001843C5"/>
    <w:rsid w:val="00184C4D"/>
    <w:rsid w:val="00194194"/>
    <w:rsid w:val="00194F4A"/>
    <w:rsid w:val="00196012"/>
    <w:rsid w:val="001A58CA"/>
    <w:rsid w:val="001A5CC5"/>
    <w:rsid w:val="001A5FDF"/>
    <w:rsid w:val="001A7726"/>
    <w:rsid w:val="001B2270"/>
    <w:rsid w:val="001B4480"/>
    <w:rsid w:val="001B45EF"/>
    <w:rsid w:val="001C080C"/>
    <w:rsid w:val="001C1520"/>
    <w:rsid w:val="001C458D"/>
    <w:rsid w:val="001C64A7"/>
    <w:rsid w:val="001C6679"/>
    <w:rsid w:val="001C6907"/>
    <w:rsid w:val="001D1640"/>
    <w:rsid w:val="001D2D47"/>
    <w:rsid w:val="001D4E77"/>
    <w:rsid w:val="001D5529"/>
    <w:rsid w:val="001D7FC6"/>
    <w:rsid w:val="001E075D"/>
    <w:rsid w:val="001E0C7D"/>
    <w:rsid w:val="001E2A5F"/>
    <w:rsid w:val="001E4EA4"/>
    <w:rsid w:val="001E4EE1"/>
    <w:rsid w:val="001E656F"/>
    <w:rsid w:val="001E7166"/>
    <w:rsid w:val="001E7478"/>
    <w:rsid w:val="001F0F11"/>
    <w:rsid w:val="001F10A4"/>
    <w:rsid w:val="001F4DE6"/>
    <w:rsid w:val="001F5A41"/>
    <w:rsid w:val="001F6F38"/>
    <w:rsid w:val="001F7B66"/>
    <w:rsid w:val="0020104D"/>
    <w:rsid w:val="00202BA7"/>
    <w:rsid w:val="00203A8E"/>
    <w:rsid w:val="00203FC8"/>
    <w:rsid w:val="00204068"/>
    <w:rsid w:val="002051FA"/>
    <w:rsid w:val="00206611"/>
    <w:rsid w:val="0020734C"/>
    <w:rsid w:val="00210F70"/>
    <w:rsid w:val="00211674"/>
    <w:rsid w:val="00211BA7"/>
    <w:rsid w:val="00211BF5"/>
    <w:rsid w:val="0021325D"/>
    <w:rsid w:val="00213380"/>
    <w:rsid w:val="0021484D"/>
    <w:rsid w:val="00215010"/>
    <w:rsid w:val="00216181"/>
    <w:rsid w:val="002224E5"/>
    <w:rsid w:val="00225117"/>
    <w:rsid w:val="0022572B"/>
    <w:rsid w:val="00227755"/>
    <w:rsid w:val="00234C54"/>
    <w:rsid w:val="00235C35"/>
    <w:rsid w:val="00236F26"/>
    <w:rsid w:val="002449E2"/>
    <w:rsid w:val="00250811"/>
    <w:rsid w:val="00254284"/>
    <w:rsid w:val="002577C3"/>
    <w:rsid w:val="0026097C"/>
    <w:rsid w:val="00260D4C"/>
    <w:rsid w:val="002610B7"/>
    <w:rsid w:val="002610BF"/>
    <w:rsid w:val="00261597"/>
    <w:rsid w:val="00271139"/>
    <w:rsid w:val="002751C6"/>
    <w:rsid w:val="00275362"/>
    <w:rsid w:val="00275552"/>
    <w:rsid w:val="00275A96"/>
    <w:rsid w:val="00276C63"/>
    <w:rsid w:val="00277434"/>
    <w:rsid w:val="00282946"/>
    <w:rsid w:val="00286341"/>
    <w:rsid w:val="00287A23"/>
    <w:rsid w:val="00287D1F"/>
    <w:rsid w:val="00290F2F"/>
    <w:rsid w:val="0029397F"/>
    <w:rsid w:val="00297F7D"/>
    <w:rsid w:val="002A1206"/>
    <w:rsid w:val="002A1F90"/>
    <w:rsid w:val="002A2FC2"/>
    <w:rsid w:val="002A3A3C"/>
    <w:rsid w:val="002A4DA5"/>
    <w:rsid w:val="002A5573"/>
    <w:rsid w:val="002A59AD"/>
    <w:rsid w:val="002B00C6"/>
    <w:rsid w:val="002B3F75"/>
    <w:rsid w:val="002B5987"/>
    <w:rsid w:val="002B784F"/>
    <w:rsid w:val="002C0664"/>
    <w:rsid w:val="002C0832"/>
    <w:rsid w:val="002C0A58"/>
    <w:rsid w:val="002C2405"/>
    <w:rsid w:val="002C6FEB"/>
    <w:rsid w:val="002C7BDA"/>
    <w:rsid w:val="002D274F"/>
    <w:rsid w:val="002D324A"/>
    <w:rsid w:val="002D3A33"/>
    <w:rsid w:val="002D5988"/>
    <w:rsid w:val="002E1729"/>
    <w:rsid w:val="002E26F6"/>
    <w:rsid w:val="002E3A8B"/>
    <w:rsid w:val="002E50E4"/>
    <w:rsid w:val="002E618A"/>
    <w:rsid w:val="002E626E"/>
    <w:rsid w:val="002E674D"/>
    <w:rsid w:val="002E7DF7"/>
    <w:rsid w:val="002F0BDB"/>
    <w:rsid w:val="002F1C8C"/>
    <w:rsid w:val="002F4B11"/>
    <w:rsid w:val="002F6BCC"/>
    <w:rsid w:val="00301448"/>
    <w:rsid w:val="00301698"/>
    <w:rsid w:val="00302DEB"/>
    <w:rsid w:val="0030513C"/>
    <w:rsid w:val="00305E33"/>
    <w:rsid w:val="003076F9"/>
    <w:rsid w:val="003120F6"/>
    <w:rsid w:val="00312339"/>
    <w:rsid w:val="003129F2"/>
    <w:rsid w:val="00313C62"/>
    <w:rsid w:val="003141DF"/>
    <w:rsid w:val="0031758B"/>
    <w:rsid w:val="00321444"/>
    <w:rsid w:val="00321CDA"/>
    <w:rsid w:val="00322359"/>
    <w:rsid w:val="00323A63"/>
    <w:rsid w:val="00323DF7"/>
    <w:rsid w:val="00325F76"/>
    <w:rsid w:val="0033025B"/>
    <w:rsid w:val="003309B7"/>
    <w:rsid w:val="00331A3A"/>
    <w:rsid w:val="003321AA"/>
    <w:rsid w:val="003331ED"/>
    <w:rsid w:val="00335CA7"/>
    <w:rsid w:val="00335E9E"/>
    <w:rsid w:val="003373E0"/>
    <w:rsid w:val="00337B22"/>
    <w:rsid w:val="00341F5D"/>
    <w:rsid w:val="003426DE"/>
    <w:rsid w:val="00343562"/>
    <w:rsid w:val="003442F0"/>
    <w:rsid w:val="00345643"/>
    <w:rsid w:val="00352CBE"/>
    <w:rsid w:val="00352DA5"/>
    <w:rsid w:val="0035501E"/>
    <w:rsid w:val="00356E04"/>
    <w:rsid w:val="00357828"/>
    <w:rsid w:val="00360282"/>
    <w:rsid w:val="00360A4B"/>
    <w:rsid w:val="003655F4"/>
    <w:rsid w:val="003723F9"/>
    <w:rsid w:val="00373AF3"/>
    <w:rsid w:val="0037403A"/>
    <w:rsid w:val="003740AE"/>
    <w:rsid w:val="00377620"/>
    <w:rsid w:val="003819DE"/>
    <w:rsid w:val="00384BB5"/>
    <w:rsid w:val="00384FCB"/>
    <w:rsid w:val="00386BE7"/>
    <w:rsid w:val="003878B7"/>
    <w:rsid w:val="00390C62"/>
    <w:rsid w:val="00393DC6"/>
    <w:rsid w:val="00393FD5"/>
    <w:rsid w:val="00394978"/>
    <w:rsid w:val="00397235"/>
    <w:rsid w:val="00397639"/>
    <w:rsid w:val="003A0201"/>
    <w:rsid w:val="003A0EEB"/>
    <w:rsid w:val="003A1A16"/>
    <w:rsid w:val="003A2F03"/>
    <w:rsid w:val="003A6475"/>
    <w:rsid w:val="003A795B"/>
    <w:rsid w:val="003B0061"/>
    <w:rsid w:val="003B1069"/>
    <w:rsid w:val="003B12AF"/>
    <w:rsid w:val="003B2308"/>
    <w:rsid w:val="003B33BD"/>
    <w:rsid w:val="003B4DBB"/>
    <w:rsid w:val="003B6FD0"/>
    <w:rsid w:val="003C164D"/>
    <w:rsid w:val="003C5AA2"/>
    <w:rsid w:val="003C665C"/>
    <w:rsid w:val="003C6B1E"/>
    <w:rsid w:val="003C70D5"/>
    <w:rsid w:val="003C753C"/>
    <w:rsid w:val="003D542C"/>
    <w:rsid w:val="003D6954"/>
    <w:rsid w:val="003D716A"/>
    <w:rsid w:val="003D7AA5"/>
    <w:rsid w:val="003E00C1"/>
    <w:rsid w:val="003E16CD"/>
    <w:rsid w:val="003E3C1E"/>
    <w:rsid w:val="003E4A34"/>
    <w:rsid w:val="003E5652"/>
    <w:rsid w:val="003E5B11"/>
    <w:rsid w:val="003F0587"/>
    <w:rsid w:val="003F274B"/>
    <w:rsid w:val="003F4D06"/>
    <w:rsid w:val="003F547F"/>
    <w:rsid w:val="003F5D63"/>
    <w:rsid w:val="003F688C"/>
    <w:rsid w:val="004006AC"/>
    <w:rsid w:val="00400C77"/>
    <w:rsid w:val="004026F3"/>
    <w:rsid w:val="00405AA5"/>
    <w:rsid w:val="00410308"/>
    <w:rsid w:val="00412CC7"/>
    <w:rsid w:val="004143F4"/>
    <w:rsid w:val="00416596"/>
    <w:rsid w:val="0042055A"/>
    <w:rsid w:val="0042124E"/>
    <w:rsid w:val="004216F7"/>
    <w:rsid w:val="00421C0F"/>
    <w:rsid w:val="00423C73"/>
    <w:rsid w:val="00424D60"/>
    <w:rsid w:val="00425068"/>
    <w:rsid w:val="0042638E"/>
    <w:rsid w:val="004279BE"/>
    <w:rsid w:val="00430FD6"/>
    <w:rsid w:val="00431C95"/>
    <w:rsid w:val="00436928"/>
    <w:rsid w:val="00440079"/>
    <w:rsid w:val="004406B7"/>
    <w:rsid w:val="00441787"/>
    <w:rsid w:val="00441B52"/>
    <w:rsid w:val="004447D3"/>
    <w:rsid w:val="004449B1"/>
    <w:rsid w:val="00444A52"/>
    <w:rsid w:val="00444E8B"/>
    <w:rsid w:val="0044510A"/>
    <w:rsid w:val="0045249D"/>
    <w:rsid w:val="00454377"/>
    <w:rsid w:val="0045559B"/>
    <w:rsid w:val="00456148"/>
    <w:rsid w:val="00456461"/>
    <w:rsid w:val="0046050A"/>
    <w:rsid w:val="004614A7"/>
    <w:rsid w:val="0046281E"/>
    <w:rsid w:val="00466286"/>
    <w:rsid w:val="004662C1"/>
    <w:rsid w:val="00466A4F"/>
    <w:rsid w:val="0047086E"/>
    <w:rsid w:val="0047317C"/>
    <w:rsid w:val="0047532E"/>
    <w:rsid w:val="00477F48"/>
    <w:rsid w:val="004800D6"/>
    <w:rsid w:val="004831EB"/>
    <w:rsid w:val="004842FB"/>
    <w:rsid w:val="0048607A"/>
    <w:rsid w:val="00486D86"/>
    <w:rsid w:val="00487F1C"/>
    <w:rsid w:val="00490DA0"/>
    <w:rsid w:val="004910B6"/>
    <w:rsid w:val="00492256"/>
    <w:rsid w:val="004938C6"/>
    <w:rsid w:val="004954A5"/>
    <w:rsid w:val="00496946"/>
    <w:rsid w:val="004A1E37"/>
    <w:rsid w:val="004A38A9"/>
    <w:rsid w:val="004A404C"/>
    <w:rsid w:val="004A4373"/>
    <w:rsid w:val="004A565B"/>
    <w:rsid w:val="004A67A5"/>
    <w:rsid w:val="004A79A2"/>
    <w:rsid w:val="004A7C8F"/>
    <w:rsid w:val="004B0FC2"/>
    <w:rsid w:val="004B16FB"/>
    <w:rsid w:val="004B1C4C"/>
    <w:rsid w:val="004B22ED"/>
    <w:rsid w:val="004B5604"/>
    <w:rsid w:val="004C040D"/>
    <w:rsid w:val="004C670E"/>
    <w:rsid w:val="004C7418"/>
    <w:rsid w:val="004D2C5B"/>
    <w:rsid w:val="004D4741"/>
    <w:rsid w:val="004D4C22"/>
    <w:rsid w:val="004E0C09"/>
    <w:rsid w:val="004E35C7"/>
    <w:rsid w:val="004E3A44"/>
    <w:rsid w:val="004E4DE0"/>
    <w:rsid w:val="004E58D8"/>
    <w:rsid w:val="004E615E"/>
    <w:rsid w:val="004E666E"/>
    <w:rsid w:val="004E6F45"/>
    <w:rsid w:val="004F11CC"/>
    <w:rsid w:val="005037E0"/>
    <w:rsid w:val="005055B3"/>
    <w:rsid w:val="005059C8"/>
    <w:rsid w:val="00507BBA"/>
    <w:rsid w:val="00511339"/>
    <w:rsid w:val="00511B6B"/>
    <w:rsid w:val="0051607E"/>
    <w:rsid w:val="00517C8E"/>
    <w:rsid w:val="00521665"/>
    <w:rsid w:val="00523EB1"/>
    <w:rsid w:val="005257E5"/>
    <w:rsid w:val="00527287"/>
    <w:rsid w:val="00527A5C"/>
    <w:rsid w:val="0053066D"/>
    <w:rsid w:val="0053070D"/>
    <w:rsid w:val="00534CF6"/>
    <w:rsid w:val="00535AAC"/>
    <w:rsid w:val="005364BF"/>
    <w:rsid w:val="00536600"/>
    <w:rsid w:val="00536CA4"/>
    <w:rsid w:val="00536E32"/>
    <w:rsid w:val="005417A9"/>
    <w:rsid w:val="0054332A"/>
    <w:rsid w:val="00543A69"/>
    <w:rsid w:val="00545D9F"/>
    <w:rsid w:val="0054791F"/>
    <w:rsid w:val="00552859"/>
    <w:rsid w:val="0055364A"/>
    <w:rsid w:val="0055417D"/>
    <w:rsid w:val="00554204"/>
    <w:rsid w:val="00554848"/>
    <w:rsid w:val="00555967"/>
    <w:rsid w:val="00557BEA"/>
    <w:rsid w:val="005605B0"/>
    <w:rsid w:val="0056226E"/>
    <w:rsid w:val="00564E71"/>
    <w:rsid w:val="0056502C"/>
    <w:rsid w:val="005650C6"/>
    <w:rsid w:val="005712D9"/>
    <w:rsid w:val="00571E11"/>
    <w:rsid w:val="00572102"/>
    <w:rsid w:val="00576625"/>
    <w:rsid w:val="00576698"/>
    <w:rsid w:val="00576C8B"/>
    <w:rsid w:val="0057777C"/>
    <w:rsid w:val="00577C5E"/>
    <w:rsid w:val="00577FD4"/>
    <w:rsid w:val="0058060D"/>
    <w:rsid w:val="00581958"/>
    <w:rsid w:val="00581DBA"/>
    <w:rsid w:val="005842F6"/>
    <w:rsid w:val="00584A94"/>
    <w:rsid w:val="005866CF"/>
    <w:rsid w:val="00586752"/>
    <w:rsid w:val="00590871"/>
    <w:rsid w:val="00593DC5"/>
    <w:rsid w:val="00596D03"/>
    <w:rsid w:val="005A0F1C"/>
    <w:rsid w:val="005A43F9"/>
    <w:rsid w:val="005A496A"/>
    <w:rsid w:val="005A68F5"/>
    <w:rsid w:val="005B1AF0"/>
    <w:rsid w:val="005B23C8"/>
    <w:rsid w:val="005B3105"/>
    <w:rsid w:val="005B3AC4"/>
    <w:rsid w:val="005C2616"/>
    <w:rsid w:val="005C265F"/>
    <w:rsid w:val="005C3D10"/>
    <w:rsid w:val="005C48BA"/>
    <w:rsid w:val="005D00A6"/>
    <w:rsid w:val="005D030C"/>
    <w:rsid w:val="005D2A79"/>
    <w:rsid w:val="005D3548"/>
    <w:rsid w:val="005D4F06"/>
    <w:rsid w:val="005D6D23"/>
    <w:rsid w:val="005D6FDA"/>
    <w:rsid w:val="005D7308"/>
    <w:rsid w:val="005E0729"/>
    <w:rsid w:val="005E0A54"/>
    <w:rsid w:val="005E0B60"/>
    <w:rsid w:val="005E0DF1"/>
    <w:rsid w:val="005E1B3E"/>
    <w:rsid w:val="005E2E84"/>
    <w:rsid w:val="005E357B"/>
    <w:rsid w:val="005E7385"/>
    <w:rsid w:val="005E7A36"/>
    <w:rsid w:val="005F0140"/>
    <w:rsid w:val="005F1DA9"/>
    <w:rsid w:val="005F2E51"/>
    <w:rsid w:val="005F4E83"/>
    <w:rsid w:val="005F5BAA"/>
    <w:rsid w:val="005F7064"/>
    <w:rsid w:val="006005CA"/>
    <w:rsid w:val="00600819"/>
    <w:rsid w:val="0060257C"/>
    <w:rsid w:val="00602CDF"/>
    <w:rsid w:val="0060427B"/>
    <w:rsid w:val="00604F1B"/>
    <w:rsid w:val="0060631E"/>
    <w:rsid w:val="006114DA"/>
    <w:rsid w:val="006115D3"/>
    <w:rsid w:val="00613DC7"/>
    <w:rsid w:val="0061549A"/>
    <w:rsid w:val="00616712"/>
    <w:rsid w:val="00622651"/>
    <w:rsid w:val="00622788"/>
    <w:rsid w:val="00622AD8"/>
    <w:rsid w:val="006230FB"/>
    <w:rsid w:val="006231F2"/>
    <w:rsid w:val="00625EBC"/>
    <w:rsid w:val="00627B05"/>
    <w:rsid w:val="00627FC7"/>
    <w:rsid w:val="00631881"/>
    <w:rsid w:val="00632B57"/>
    <w:rsid w:val="00632F2F"/>
    <w:rsid w:val="00633E6B"/>
    <w:rsid w:val="00634B58"/>
    <w:rsid w:val="00635DBD"/>
    <w:rsid w:val="00637F86"/>
    <w:rsid w:val="006408A0"/>
    <w:rsid w:val="00644191"/>
    <w:rsid w:val="00645D33"/>
    <w:rsid w:val="0065158F"/>
    <w:rsid w:val="0065269D"/>
    <w:rsid w:val="00653416"/>
    <w:rsid w:val="006535F1"/>
    <w:rsid w:val="00654C80"/>
    <w:rsid w:val="00655EF4"/>
    <w:rsid w:val="00656C5E"/>
    <w:rsid w:val="00656CB2"/>
    <w:rsid w:val="006611F0"/>
    <w:rsid w:val="00662D8C"/>
    <w:rsid w:val="006630E7"/>
    <w:rsid w:val="0066434F"/>
    <w:rsid w:val="00664982"/>
    <w:rsid w:val="00665F89"/>
    <w:rsid w:val="00665FAC"/>
    <w:rsid w:val="00666905"/>
    <w:rsid w:val="00670EE7"/>
    <w:rsid w:val="006714F0"/>
    <w:rsid w:val="006746CF"/>
    <w:rsid w:val="006758A1"/>
    <w:rsid w:val="00676C0B"/>
    <w:rsid w:val="006770D3"/>
    <w:rsid w:val="00680A86"/>
    <w:rsid w:val="00681612"/>
    <w:rsid w:val="00681668"/>
    <w:rsid w:val="0068307D"/>
    <w:rsid w:val="00686BC9"/>
    <w:rsid w:val="00686D32"/>
    <w:rsid w:val="00687192"/>
    <w:rsid w:val="00690E10"/>
    <w:rsid w:val="00691A89"/>
    <w:rsid w:val="00692717"/>
    <w:rsid w:val="00693BCA"/>
    <w:rsid w:val="006961FE"/>
    <w:rsid w:val="0069668F"/>
    <w:rsid w:val="00696AAE"/>
    <w:rsid w:val="006A0438"/>
    <w:rsid w:val="006A3FE1"/>
    <w:rsid w:val="006A51C2"/>
    <w:rsid w:val="006A5F88"/>
    <w:rsid w:val="006B3980"/>
    <w:rsid w:val="006B3FDF"/>
    <w:rsid w:val="006B6C73"/>
    <w:rsid w:val="006C029F"/>
    <w:rsid w:val="006C155D"/>
    <w:rsid w:val="006C3D3A"/>
    <w:rsid w:val="006C3F9E"/>
    <w:rsid w:val="006C5FC5"/>
    <w:rsid w:val="006C6779"/>
    <w:rsid w:val="006C73C0"/>
    <w:rsid w:val="006C74E3"/>
    <w:rsid w:val="006D3244"/>
    <w:rsid w:val="006D3FA0"/>
    <w:rsid w:val="006D60B0"/>
    <w:rsid w:val="006D69CA"/>
    <w:rsid w:val="006D7FBF"/>
    <w:rsid w:val="006E1C31"/>
    <w:rsid w:val="006E3EC1"/>
    <w:rsid w:val="006E4616"/>
    <w:rsid w:val="006E54C5"/>
    <w:rsid w:val="006E7FD9"/>
    <w:rsid w:val="006F40A3"/>
    <w:rsid w:val="006F4D69"/>
    <w:rsid w:val="006F6255"/>
    <w:rsid w:val="006F7191"/>
    <w:rsid w:val="00701320"/>
    <w:rsid w:val="007015A5"/>
    <w:rsid w:val="00702F16"/>
    <w:rsid w:val="007056AB"/>
    <w:rsid w:val="00707292"/>
    <w:rsid w:val="007072D8"/>
    <w:rsid w:val="007101C6"/>
    <w:rsid w:val="00710AA8"/>
    <w:rsid w:val="00712AFB"/>
    <w:rsid w:val="007134BB"/>
    <w:rsid w:val="00713DDF"/>
    <w:rsid w:val="00716103"/>
    <w:rsid w:val="00717848"/>
    <w:rsid w:val="00722FA8"/>
    <w:rsid w:val="00725477"/>
    <w:rsid w:val="00725486"/>
    <w:rsid w:val="00726663"/>
    <w:rsid w:val="0073121D"/>
    <w:rsid w:val="00733378"/>
    <w:rsid w:val="00742C6C"/>
    <w:rsid w:val="00744E1D"/>
    <w:rsid w:val="0075687A"/>
    <w:rsid w:val="0076035A"/>
    <w:rsid w:val="00760A9E"/>
    <w:rsid w:val="0076197A"/>
    <w:rsid w:val="00762DBC"/>
    <w:rsid w:val="00762FAF"/>
    <w:rsid w:val="007643C1"/>
    <w:rsid w:val="007650AB"/>
    <w:rsid w:val="00766B93"/>
    <w:rsid w:val="00767E4D"/>
    <w:rsid w:val="007705BC"/>
    <w:rsid w:val="00771189"/>
    <w:rsid w:val="00771797"/>
    <w:rsid w:val="00771D12"/>
    <w:rsid w:val="00773742"/>
    <w:rsid w:val="0078076B"/>
    <w:rsid w:val="0078344B"/>
    <w:rsid w:val="00783EA1"/>
    <w:rsid w:val="007848EF"/>
    <w:rsid w:val="0078497D"/>
    <w:rsid w:val="00784F1E"/>
    <w:rsid w:val="0078702E"/>
    <w:rsid w:val="00795887"/>
    <w:rsid w:val="00795DF3"/>
    <w:rsid w:val="00797114"/>
    <w:rsid w:val="007A0DB4"/>
    <w:rsid w:val="007A35CD"/>
    <w:rsid w:val="007A36B7"/>
    <w:rsid w:val="007A40E2"/>
    <w:rsid w:val="007A7E45"/>
    <w:rsid w:val="007B0863"/>
    <w:rsid w:val="007B2486"/>
    <w:rsid w:val="007B4BDE"/>
    <w:rsid w:val="007B544F"/>
    <w:rsid w:val="007B64E2"/>
    <w:rsid w:val="007B6EFB"/>
    <w:rsid w:val="007C008D"/>
    <w:rsid w:val="007C0C35"/>
    <w:rsid w:val="007C50EC"/>
    <w:rsid w:val="007C5A02"/>
    <w:rsid w:val="007D01C7"/>
    <w:rsid w:val="007D0771"/>
    <w:rsid w:val="007D3FFE"/>
    <w:rsid w:val="007D5078"/>
    <w:rsid w:val="007D57E5"/>
    <w:rsid w:val="007D58E0"/>
    <w:rsid w:val="007D6C0B"/>
    <w:rsid w:val="007E2EF1"/>
    <w:rsid w:val="007E5207"/>
    <w:rsid w:val="007E6023"/>
    <w:rsid w:val="007E65AE"/>
    <w:rsid w:val="007F050C"/>
    <w:rsid w:val="007F1825"/>
    <w:rsid w:val="007F1C72"/>
    <w:rsid w:val="007F22D5"/>
    <w:rsid w:val="007F3FFF"/>
    <w:rsid w:val="007F5458"/>
    <w:rsid w:val="007F6104"/>
    <w:rsid w:val="0080161C"/>
    <w:rsid w:val="00806F9E"/>
    <w:rsid w:val="0081122E"/>
    <w:rsid w:val="00813239"/>
    <w:rsid w:val="00813EBE"/>
    <w:rsid w:val="00814A24"/>
    <w:rsid w:val="00817EBC"/>
    <w:rsid w:val="00820161"/>
    <w:rsid w:val="0082243A"/>
    <w:rsid w:val="00823089"/>
    <w:rsid w:val="00823790"/>
    <w:rsid w:val="00824F43"/>
    <w:rsid w:val="0082532B"/>
    <w:rsid w:val="008272F0"/>
    <w:rsid w:val="00831FBB"/>
    <w:rsid w:val="00833BAF"/>
    <w:rsid w:val="008354BB"/>
    <w:rsid w:val="0084044C"/>
    <w:rsid w:val="00842094"/>
    <w:rsid w:val="008447C2"/>
    <w:rsid w:val="00845998"/>
    <w:rsid w:val="00846095"/>
    <w:rsid w:val="00846487"/>
    <w:rsid w:val="008466F4"/>
    <w:rsid w:val="0084720F"/>
    <w:rsid w:val="0085044F"/>
    <w:rsid w:val="00850A40"/>
    <w:rsid w:val="00854702"/>
    <w:rsid w:val="0085590D"/>
    <w:rsid w:val="00855E00"/>
    <w:rsid w:val="0085777D"/>
    <w:rsid w:val="00862B02"/>
    <w:rsid w:val="00863A4E"/>
    <w:rsid w:val="00871082"/>
    <w:rsid w:val="00871314"/>
    <w:rsid w:val="00872B5D"/>
    <w:rsid w:val="00873D54"/>
    <w:rsid w:val="0088158A"/>
    <w:rsid w:val="00881CDC"/>
    <w:rsid w:val="0088298E"/>
    <w:rsid w:val="008848C0"/>
    <w:rsid w:val="00885515"/>
    <w:rsid w:val="00886A98"/>
    <w:rsid w:val="00893FD4"/>
    <w:rsid w:val="008962EA"/>
    <w:rsid w:val="00896D8C"/>
    <w:rsid w:val="0089766F"/>
    <w:rsid w:val="00897BD5"/>
    <w:rsid w:val="008A13A4"/>
    <w:rsid w:val="008A1D1C"/>
    <w:rsid w:val="008A28AF"/>
    <w:rsid w:val="008A2E8A"/>
    <w:rsid w:val="008A4978"/>
    <w:rsid w:val="008A70E8"/>
    <w:rsid w:val="008A77E1"/>
    <w:rsid w:val="008B300A"/>
    <w:rsid w:val="008B7476"/>
    <w:rsid w:val="008B792B"/>
    <w:rsid w:val="008C0AA5"/>
    <w:rsid w:val="008D223F"/>
    <w:rsid w:val="008D23AE"/>
    <w:rsid w:val="008D4F71"/>
    <w:rsid w:val="008D4F87"/>
    <w:rsid w:val="008D5CEC"/>
    <w:rsid w:val="008D7C49"/>
    <w:rsid w:val="008E026F"/>
    <w:rsid w:val="008E11CC"/>
    <w:rsid w:val="008E3B86"/>
    <w:rsid w:val="008E4448"/>
    <w:rsid w:val="008E4CD3"/>
    <w:rsid w:val="008E636B"/>
    <w:rsid w:val="008F15D9"/>
    <w:rsid w:val="008F1653"/>
    <w:rsid w:val="008F7C6F"/>
    <w:rsid w:val="009013F2"/>
    <w:rsid w:val="0090161B"/>
    <w:rsid w:val="009044F5"/>
    <w:rsid w:val="00906D5B"/>
    <w:rsid w:val="00907C82"/>
    <w:rsid w:val="009100D3"/>
    <w:rsid w:val="0091144E"/>
    <w:rsid w:val="00911908"/>
    <w:rsid w:val="00911A70"/>
    <w:rsid w:val="0091377B"/>
    <w:rsid w:val="00917999"/>
    <w:rsid w:val="00920C6F"/>
    <w:rsid w:val="00922957"/>
    <w:rsid w:val="0092390F"/>
    <w:rsid w:val="00925170"/>
    <w:rsid w:val="00927E12"/>
    <w:rsid w:val="00927F70"/>
    <w:rsid w:val="00934CCB"/>
    <w:rsid w:val="00935D96"/>
    <w:rsid w:val="009360F6"/>
    <w:rsid w:val="00936E2C"/>
    <w:rsid w:val="009444CE"/>
    <w:rsid w:val="00946B64"/>
    <w:rsid w:val="00946BDF"/>
    <w:rsid w:val="00946DBF"/>
    <w:rsid w:val="00947B73"/>
    <w:rsid w:val="0095044E"/>
    <w:rsid w:val="009508CB"/>
    <w:rsid w:val="00950C33"/>
    <w:rsid w:val="009515BF"/>
    <w:rsid w:val="00951F62"/>
    <w:rsid w:val="00953508"/>
    <w:rsid w:val="00953F64"/>
    <w:rsid w:val="00954ECD"/>
    <w:rsid w:val="00956D82"/>
    <w:rsid w:val="0096057F"/>
    <w:rsid w:val="00960A5D"/>
    <w:rsid w:val="00964C46"/>
    <w:rsid w:val="009653F3"/>
    <w:rsid w:val="0096557F"/>
    <w:rsid w:val="00965F7A"/>
    <w:rsid w:val="009733ED"/>
    <w:rsid w:val="009745B8"/>
    <w:rsid w:val="00974745"/>
    <w:rsid w:val="00977B8A"/>
    <w:rsid w:val="00980B76"/>
    <w:rsid w:val="00982460"/>
    <w:rsid w:val="00982A49"/>
    <w:rsid w:val="00983460"/>
    <w:rsid w:val="009842FA"/>
    <w:rsid w:val="00984615"/>
    <w:rsid w:val="009913C6"/>
    <w:rsid w:val="00991B0B"/>
    <w:rsid w:val="00992D64"/>
    <w:rsid w:val="009931E8"/>
    <w:rsid w:val="009947B6"/>
    <w:rsid w:val="00995263"/>
    <w:rsid w:val="00995ABB"/>
    <w:rsid w:val="00996BDC"/>
    <w:rsid w:val="009A1010"/>
    <w:rsid w:val="009A1BE1"/>
    <w:rsid w:val="009A249D"/>
    <w:rsid w:val="009A41BF"/>
    <w:rsid w:val="009A44B3"/>
    <w:rsid w:val="009A5006"/>
    <w:rsid w:val="009B18A6"/>
    <w:rsid w:val="009B4144"/>
    <w:rsid w:val="009B5CB5"/>
    <w:rsid w:val="009B7750"/>
    <w:rsid w:val="009B7996"/>
    <w:rsid w:val="009B7D95"/>
    <w:rsid w:val="009C066D"/>
    <w:rsid w:val="009C11CB"/>
    <w:rsid w:val="009C671C"/>
    <w:rsid w:val="009C720C"/>
    <w:rsid w:val="009D207A"/>
    <w:rsid w:val="009D46E6"/>
    <w:rsid w:val="009D4A54"/>
    <w:rsid w:val="009D6B20"/>
    <w:rsid w:val="009E0165"/>
    <w:rsid w:val="009E05AC"/>
    <w:rsid w:val="009E2411"/>
    <w:rsid w:val="009E34C5"/>
    <w:rsid w:val="009E383C"/>
    <w:rsid w:val="009E702D"/>
    <w:rsid w:val="009F109A"/>
    <w:rsid w:val="009F1418"/>
    <w:rsid w:val="009F1441"/>
    <w:rsid w:val="009F3969"/>
    <w:rsid w:val="009F5EC0"/>
    <w:rsid w:val="009F6180"/>
    <w:rsid w:val="00A00A51"/>
    <w:rsid w:val="00A0134C"/>
    <w:rsid w:val="00A036A2"/>
    <w:rsid w:val="00A04798"/>
    <w:rsid w:val="00A04CF9"/>
    <w:rsid w:val="00A068CC"/>
    <w:rsid w:val="00A07933"/>
    <w:rsid w:val="00A10E06"/>
    <w:rsid w:val="00A1294C"/>
    <w:rsid w:val="00A129B2"/>
    <w:rsid w:val="00A13272"/>
    <w:rsid w:val="00A13F51"/>
    <w:rsid w:val="00A15B4C"/>
    <w:rsid w:val="00A15E8C"/>
    <w:rsid w:val="00A17A6B"/>
    <w:rsid w:val="00A17A9D"/>
    <w:rsid w:val="00A20166"/>
    <w:rsid w:val="00A23942"/>
    <w:rsid w:val="00A24EFB"/>
    <w:rsid w:val="00A2599E"/>
    <w:rsid w:val="00A27115"/>
    <w:rsid w:val="00A2766A"/>
    <w:rsid w:val="00A3006B"/>
    <w:rsid w:val="00A3183A"/>
    <w:rsid w:val="00A33B98"/>
    <w:rsid w:val="00A34B6F"/>
    <w:rsid w:val="00A37A3F"/>
    <w:rsid w:val="00A41701"/>
    <w:rsid w:val="00A42FE0"/>
    <w:rsid w:val="00A5564B"/>
    <w:rsid w:val="00A5623D"/>
    <w:rsid w:val="00A56603"/>
    <w:rsid w:val="00A57C54"/>
    <w:rsid w:val="00A603FC"/>
    <w:rsid w:val="00A60547"/>
    <w:rsid w:val="00A61B12"/>
    <w:rsid w:val="00A62897"/>
    <w:rsid w:val="00A634DC"/>
    <w:rsid w:val="00A64453"/>
    <w:rsid w:val="00A65253"/>
    <w:rsid w:val="00A66CDF"/>
    <w:rsid w:val="00A67455"/>
    <w:rsid w:val="00A6767D"/>
    <w:rsid w:val="00A72910"/>
    <w:rsid w:val="00A7479D"/>
    <w:rsid w:val="00A74AA8"/>
    <w:rsid w:val="00A7548B"/>
    <w:rsid w:val="00A772D6"/>
    <w:rsid w:val="00A829D8"/>
    <w:rsid w:val="00A8518A"/>
    <w:rsid w:val="00A869B0"/>
    <w:rsid w:val="00A93060"/>
    <w:rsid w:val="00A9552E"/>
    <w:rsid w:val="00A96EDD"/>
    <w:rsid w:val="00A97EF4"/>
    <w:rsid w:val="00AA06C7"/>
    <w:rsid w:val="00AA1FB9"/>
    <w:rsid w:val="00AA29C2"/>
    <w:rsid w:val="00AB23FB"/>
    <w:rsid w:val="00AB319C"/>
    <w:rsid w:val="00AB3A21"/>
    <w:rsid w:val="00AB473C"/>
    <w:rsid w:val="00AC0815"/>
    <w:rsid w:val="00AC38BF"/>
    <w:rsid w:val="00AC446F"/>
    <w:rsid w:val="00AC4F92"/>
    <w:rsid w:val="00AC7627"/>
    <w:rsid w:val="00AD01F6"/>
    <w:rsid w:val="00AD04F0"/>
    <w:rsid w:val="00AD055C"/>
    <w:rsid w:val="00AD17F1"/>
    <w:rsid w:val="00AD1CD2"/>
    <w:rsid w:val="00AE0712"/>
    <w:rsid w:val="00AE102E"/>
    <w:rsid w:val="00AE2018"/>
    <w:rsid w:val="00AE220D"/>
    <w:rsid w:val="00AE355F"/>
    <w:rsid w:val="00AE3DF1"/>
    <w:rsid w:val="00AE62D5"/>
    <w:rsid w:val="00AF0A3F"/>
    <w:rsid w:val="00AF3C45"/>
    <w:rsid w:val="00AF4570"/>
    <w:rsid w:val="00AF649B"/>
    <w:rsid w:val="00B00FC7"/>
    <w:rsid w:val="00B01C01"/>
    <w:rsid w:val="00B02891"/>
    <w:rsid w:val="00B03842"/>
    <w:rsid w:val="00B038DE"/>
    <w:rsid w:val="00B03CD5"/>
    <w:rsid w:val="00B073EF"/>
    <w:rsid w:val="00B102D1"/>
    <w:rsid w:val="00B12BC6"/>
    <w:rsid w:val="00B1306F"/>
    <w:rsid w:val="00B139D6"/>
    <w:rsid w:val="00B144CC"/>
    <w:rsid w:val="00B224BC"/>
    <w:rsid w:val="00B2303B"/>
    <w:rsid w:val="00B23B27"/>
    <w:rsid w:val="00B23B37"/>
    <w:rsid w:val="00B23C35"/>
    <w:rsid w:val="00B30149"/>
    <w:rsid w:val="00B30795"/>
    <w:rsid w:val="00B30AEA"/>
    <w:rsid w:val="00B31023"/>
    <w:rsid w:val="00B32B20"/>
    <w:rsid w:val="00B34EBC"/>
    <w:rsid w:val="00B35E49"/>
    <w:rsid w:val="00B40235"/>
    <w:rsid w:val="00B40C8D"/>
    <w:rsid w:val="00B4199B"/>
    <w:rsid w:val="00B4236E"/>
    <w:rsid w:val="00B43799"/>
    <w:rsid w:val="00B52DD2"/>
    <w:rsid w:val="00B530B5"/>
    <w:rsid w:val="00B53F3D"/>
    <w:rsid w:val="00B548C1"/>
    <w:rsid w:val="00B558C4"/>
    <w:rsid w:val="00B64C9C"/>
    <w:rsid w:val="00B65397"/>
    <w:rsid w:val="00B654DC"/>
    <w:rsid w:val="00B6657B"/>
    <w:rsid w:val="00B71476"/>
    <w:rsid w:val="00B719D5"/>
    <w:rsid w:val="00B76707"/>
    <w:rsid w:val="00B77464"/>
    <w:rsid w:val="00B84A52"/>
    <w:rsid w:val="00B87AC5"/>
    <w:rsid w:val="00B91958"/>
    <w:rsid w:val="00B92FEB"/>
    <w:rsid w:val="00B94514"/>
    <w:rsid w:val="00B95463"/>
    <w:rsid w:val="00B95C46"/>
    <w:rsid w:val="00B96AFA"/>
    <w:rsid w:val="00B9776C"/>
    <w:rsid w:val="00BA0767"/>
    <w:rsid w:val="00BA1802"/>
    <w:rsid w:val="00BA3AFE"/>
    <w:rsid w:val="00BA553E"/>
    <w:rsid w:val="00BA67BE"/>
    <w:rsid w:val="00BA69B5"/>
    <w:rsid w:val="00BB0E01"/>
    <w:rsid w:val="00BB6BF5"/>
    <w:rsid w:val="00BC3035"/>
    <w:rsid w:val="00BC3E39"/>
    <w:rsid w:val="00BC5B35"/>
    <w:rsid w:val="00BD210E"/>
    <w:rsid w:val="00BD36F2"/>
    <w:rsid w:val="00BE0485"/>
    <w:rsid w:val="00BE0514"/>
    <w:rsid w:val="00BE10DB"/>
    <w:rsid w:val="00BE281E"/>
    <w:rsid w:val="00BF258F"/>
    <w:rsid w:val="00C02525"/>
    <w:rsid w:val="00C02B6D"/>
    <w:rsid w:val="00C0370D"/>
    <w:rsid w:val="00C07A52"/>
    <w:rsid w:val="00C10BD5"/>
    <w:rsid w:val="00C12B64"/>
    <w:rsid w:val="00C14580"/>
    <w:rsid w:val="00C14623"/>
    <w:rsid w:val="00C20E8A"/>
    <w:rsid w:val="00C22AC4"/>
    <w:rsid w:val="00C25687"/>
    <w:rsid w:val="00C27B36"/>
    <w:rsid w:val="00C3262E"/>
    <w:rsid w:val="00C32AB1"/>
    <w:rsid w:val="00C32D99"/>
    <w:rsid w:val="00C365ED"/>
    <w:rsid w:val="00C46471"/>
    <w:rsid w:val="00C50F17"/>
    <w:rsid w:val="00C56379"/>
    <w:rsid w:val="00C57071"/>
    <w:rsid w:val="00C571AE"/>
    <w:rsid w:val="00C57672"/>
    <w:rsid w:val="00C57CF5"/>
    <w:rsid w:val="00C611EB"/>
    <w:rsid w:val="00C626B6"/>
    <w:rsid w:val="00C7022D"/>
    <w:rsid w:val="00C716E0"/>
    <w:rsid w:val="00C743C3"/>
    <w:rsid w:val="00C80FBB"/>
    <w:rsid w:val="00C81D94"/>
    <w:rsid w:val="00C83105"/>
    <w:rsid w:val="00C86F49"/>
    <w:rsid w:val="00C913CC"/>
    <w:rsid w:val="00C92AE0"/>
    <w:rsid w:val="00C9579E"/>
    <w:rsid w:val="00C95CEE"/>
    <w:rsid w:val="00C96C6F"/>
    <w:rsid w:val="00C97FC1"/>
    <w:rsid w:val="00CA610F"/>
    <w:rsid w:val="00CA61F9"/>
    <w:rsid w:val="00CA73BA"/>
    <w:rsid w:val="00CA7515"/>
    <w:rsid w:val="00CA781A"/>
    <w:rsid w:val="00CA7FB4"/>
    <w:rsid w:val="00CB0103"/>
    <w:rsid w:val="00CB0F51"/>
    <w:rsid w:val="00CB1E91"/>
    <w:rsid w:val="00CB54FA"/>
    <w:rsid w:val="00CB6BEF"/>
    <w:rsid w:val="00CB7A14"/>
    <w:rsid w:val="00CC269D"/>
    <w:rsid w:val="00CC3D4E"/>
    <w:rsid w:val="00CC5267"/>
    <w:rsid w:val="00CC631F"/>
    <w:rsid w:val="00CD1093"/>
    <w:rsid w:val="00CD173B"/>
    <w:rsid w:val="00CD1D68"/>
    <w:rsid w:val="00CD310F"/>
    <w:rsid w:val="00CD34F3"/>
    <w:rsid w:val="00CD4467"/>
    <w:rsid w:val="00CD49A5"/>
    <w:rsid w:val="00CD581D"/>
    <w:rsid w:val="00CD6CD7"/>
    <w:rsid w:val="00CD71E7"/>
    <w:rsid w:val="00CE1CE9"/>
    <w:rsid w:val="00CE2FC2"/>
    <w:rsid w:val="00CE49F6"/>
    <w:rsid w:val="00CE6CB6"/>
    <w:rsid w:val="00CF0567"/>
    <w:rsid w:val="00CF092A"/>
    <w:rsid w:val="00CF3056"/>
    <w:rsid w:val="00CF314C"/>
    <w:rsid w:val="00CF33C7"/>
    <w:rsid w:val="00CF3D04"/>
    <w:rsid w:val="00CF3D52"/>
    <w:rsid w:val="00CF3D6E"/>
    <w:rsid w:val="00CF3E3A"/>
    <w:rsid w:val="00CF4CBC"/>
    <w:rsid w:val="00CF6279"/>
    <w:rsid w:val="00CF6B0E"/>
    <w:rsid w:val="00D02330"/>
    <w:rsid w:val="00D027A7"/>
    <w:rsid w:val="00D05166"/>
    <w:rsid w:val="00D106F3"/>
    <w:rsid w:val="00D163AF"/>
    <w:rsid w:val="00D17263"/>
    <w:rsid w:val="00D22446"/>
    <w:rsid w:val="00D2573E"/>
    <w:rsid w:val="00D273B3"/>
    <w:rsid w:val="00D27BB4"/>
    <w:rsid w:val="00D32288"/>
    <w:rsid w:val="00D34A4C"/>
    <w:rsid w:val="00D3654F"/>
    <w:rsid w:val="00D37559"/>
    <w:rsid w:val="00D37A6A"/>
    <w:rsid w:val="00D47DC0"/>
    <w:rsid w:val="00D50935"/>
    <w:rsid w:val="00D52CB9"/>
    <w:rsid w:val="00D56941"/>
    <w:rsid w:val="00D60601"/>
    <w:rsid w:val="00D62ACD"/>
    <w:rsid w:val="00D6326B"/>
    <w:rsid w:val="00D63DD0"/>
    <w:rsid w:val="00D65966"/>
    <w:rsid w:val="00D677A7"/>
    <w:rsid w:val="00D70913"/>
    <w:rsid w:val="00D73A56"/>
    <w:rsid w:val="00D7575F"/>
    <w:rsid w:val="00D7617E"/>
    <w:rsid w:val="00D80EAA"/>
    <w:rsid w:val="00D8166A"/>
    <w:rsid w:val="00D82B45"/>
    <w:rsid w:val="00D850D5"/>
    <w:rsid w:val="00D8552C"/>
    <w:rsid w:val="00D9014A"/>
    <w:rsid w:val="00D913C0"/>
    <w:rsid w:val="00D94895"/>
    <w:rsid w:val="00D96EBC"/>
    <w:rsid w:val="00D97545"/>
    <w:rsid w:val="00DA21DE"/>
    <w:rsid w:val="00DA5FA5"/>
    <w:rsid w:val="00DA64A8"/>
    <w:rsid w:val="00DB0EA4"/>
    <w:rsid w:val="00DB179F"/>
    <w:rsid w:val="00DB3668"/>
    <w:rsid w:val="00DB49AE"/>
    <w:rsid w:val="00DB5810"/>
    <w:rsid w:val="00DB5EAB"/>
    <w:rsid w:val="00DB67B9"/>
    <w:rsid w:val="00DB6E6D"/>
    <w:rsid w:val="00DB7684"/>
    <w:rsid w:val="00DB78F7"/>
    <w:rsid w:val="00DC2072"/>
    <w:rsid w:val="00DC23EC"/>
    <w:rsid w:val="00DC2689"/>
    <w:rsid w:val="00DC316C"/>
    <w:rsid w:val="00DC367C"/>
    <w:rsid w:val="00DC3868"/>
    <w:rsid w:val="00DC3EFE"/>
    <w:rsid w:val="00DC454A"/>
    <w:rsid w:val="00DC4C9B"/>
    <w:rsid w:val="00DC60DA"/>
    <w:rsid w:val="00DC6420"/>
    <w:rsid w:val="00DD1922"/>
    <w:rsid w:val="00DE09D2"/>
    <w:rsid w:val="00DE5D52"/>
    <w:rsid w:val="00DE7BEF"/>
    <w:rsid w:val="00DF01CE"/>
    <w:rsid w:val="00DF04F4"/>
    <w:rsid w:val="00DF1118"/>
    <w:rsid w:val="00DF1183"/>
    <w:rsid w:val="00DF24AE"/>
    <w:rsid w:val="00DF385B"/>
    <w:rsid w:val="00DF4250"/>
    <w:rsid w:val="00DF662D"/>
    <w:rsid w:val="00E03CC4"/>
    <w:rsid w:val="00E0446D"/>
    <w:rsid w:val="00E05B7F"/>
    <w:rsid w:val="00E06DE0"/>
    <w:rsid w:val="00E070DD"/>
    <w:rsid w:val="00E10AEE"/>
    <w:rsid w:val="00E11DCA"/>
    <w:rsid w:val="00E12F9D"/>
    <w:rsid w:val="00E13180"/>
    <w:rsid w:val="00E179E9"/>
    <w:rsid w:val="00E22139"/>
    <w:rsid w:val="00E2507A"/>
    <w:rsid w:val="00E2511E"/>
    <w:rsid w:val="00E27110"/>
    <w:rsid w:val="00E331E9"/>
    <w:rsid w:val="00E33233"/>
    <w:rsid w:val="00E37030"/>
    <w:rsid w:val="00E37BBE"/>
    <w:rsid w:val="00E447D8"/>
    <w:rsid w:val="00E44DD2"/>
    <w:rsid w:val="00E53E45"/>
    <w:rsid w:val="00E541FC"/>
    <w:rsid w:val="00E563AA"/>
    <w:rsid w:val="00E5654C"/>
    <w:rsid w:val="00E5780D"/>
    <w:rsid w:val="00E61A76"/>
    <w:rsid w:val="00E63119"/>
    <w:rsid w:val="00E64304"/>
    <w:rsid w:val="00E6520A"/>
    <w:rsid w:val="00E65F80"/>
    <w:rsid w:val="00E664A3"/>
    <w:rsid w:val="00E6758C"/>
    <w:rsid w:val="00E707A6"/>
    <w:rsid w:val="00E71AE0"/>
    <w:rsid w:val="00E741BE"/>
    <w:rsid w:val="00E7463A"/>
    <w:rsid w:val="00E758D9"/>
    <w:rsid w:val="00E7687E"/>
    <w:rsid w:val="00E81EE9"/>
    <w:rsid w:val="00E822DA"/>
    <w:rsid w:val="00E83685"/>
    <w:rsid w:val="00E8541A"/>
    <w:rsid w:val="00E85A9E"/>
    <w:rsid w:val="00E865DD"/>
    <w:rsid w:val="00E92E76"/>
    <w:rsid w:val="00E932DD"/>
    <w:rsid w:val="00E94664"/>
    <w:rsid w:val="00E95345"/>
    <w:rsid w:val="00E959B2"/>
    <w:rsid w:val="00E95A8C"/>
    <w:rsid w:val="00E96C26"/>
    <w:rsid w:val="00E978A1"/>
    <w:rsid w:val="00EA21D3"/>
    <w:rsid w:val="00EA2EC9"/>
    <w:rsid w:val="00EA30F0"/>
    <w:rsid w:val="00EB0B3B"/>
    <w:rsid w:val="00EB1249"/>
    <w:rsid w:val="00EB16EE"/>
    <w:rsid w:val="00EB38F4"/>
    <w:rsid w:val="00EB48EF"/>
    <w:rsid w:val="00EB5B32"/>
    <w:rsid w:val="00EB673C"/>
    <w:rsid w:val="00EC1591"/>
    <w:rsid w:val="00EC1A57"/>
    <w:rsid w:val="00EC2951"/>
    <w:rsid w:val="00EC54FC"/>
    <w:rsid w:val="00EC5690"/>
    <w:rsid w:val="00EC5845"/>
    <w:rsid w:val="00EC7669"/>
    <w:rsid w:val="00ED1E18"/>
    <w:rsid w:val="00ED2900"/>
    <w:rsid w:val="00ED4311"/>
    <w:rsid w:val="00ED5271"/>
    <w:rsid w:val="00ED6CF9"/>
    <w:rsid w:val="00ED7EEB"/>
    <w:rsid w:val="00EE1BCC"/>
    <w:rsid w:val="00EE2052"/>
    <w:rsid w:val="00EE2374"/>
    <w:rsid w:val="00EF2205"/>
    <w:rsid w:val="00EF3FB5"/>
    <w:rsid w:val="00EF5C2A"/>
    <w:rsid w:val="00EF5C9F"/>
    <w:rsid w:val="00F11A6F"/>
    <w:rsid w:val="00F13E04"/>
    <w:rsid w:val="00F14370"/>
    <w:rsid w:val="00F14C6D"/>
    <w:rsid w:val="00F14EEC"/>
    <w:rsid w:val="00F216C3"/>
    <w:rsid w:val="00F2197E"/>
    <w:rsid w:val="00F220EB"/>
    <w:rsid w:val="00F2681B"/>
    <w:rsid w:val="00F2688C"/>
    <w:rsid w:val="00F26B88"/>
    <w:rsid w:val="00F31626"/>
    <w:rsid w:val="00F31705"/>
    <w:rsid w:val="00F32667"/>
    <w:rsid w:val="00F326A1"/>
    <w:rsid w:val="00F33CEB"/>
    <w:rsid w:val="00F34517"/>
    <w:rsid w:val="00F35E92"/>
    <w:rsid w:val="00F41158"/>
    <w:rsid w:val="00F42169"/>
    <w:rsid w:val="00F42BA2"/>
    <w:rsid w:val="00F42CBE"/>
    <w:rsid w:val="00F44B60"/>
    <w:rsid w:val="00F5052A"/>
    <w:rsid w:val="00F5067A"/>
    <w:rsid w:val="00F51585"/>
    <w:rsid w:val="00F51C25"/>
    <w:rsid w:val="00F52D87"/>
    <w:rsid w:val="00F52EB3"/>
    <w:rsid w:val="00F54967"/>
    <w:rsid w:val="00F54F84"/>
    <w:rsid w:val="00F55400"/>
    <w:rsid w:val="00F561C0"/>
    <w:rsid w:val="00F56B12"/>
    <w:rsid w:val="00F56B67"/>
    <w:rsid w:val="00F5791C"/>
    <w:rsid w:val="00F57ADE"/>
    <w:rsid w:val="00F604A6"/>
    <w:rsid w:val="00F6414E"/>
    <w:rsid w:val="00F66320"/>
    <w:rsid w:val="00F70F26"/>
    <w:rsid w:val="00F7147F"/>
    <w:rsid w:val="00F7344D"/>
    <w:rsid w:val="00F74334"/>
    <w:rsid w:val="00F76E92"/>
    <w:rsid w:val="00F775E9"/>
    <w:rsid w:val="00F8268E"/>
    <w:rsid w:val="00F848BA"/>
    <w:rsid w:val="00F8754F"/>
    <w:rsid w:val="00F91FB1"/>
    <w:rsid w:val="00F956F0"/>
    <w:rsid w:val="00F95CF3"/>
    <w:rsid w:val="00F96459"/>
    <w:rsid w:val="00F96497"/>
    <w:rsid w:val="00FA090F"/>
    <w:rsid w:val="00FA28F4"/>
    <w:rsid w:val="00FA40D0"/>
    <w:rsid w:val="00FA6BB2"/>
    <w:rsid w:val="00FA7F78"/>
    <w:rsid w:val="00FB097F"/>
    <w:rsid w:val="00FB0D40"/>
    <w:rsid w:val="00FB172F"/>
    <w:rsid w:val="00FB1A80"/>
    <w:rsid w:val="00FB29B9"/>
    <w:rsid w:val="00FB3D38"/>
    <w:rsid w:val="00FB5B9D"/>
    <w:rsid w:val="00FB5BD4"/>
    <w:rsid w:val="00FB5C39"/>
    <w:rsid w:val="00FC0433"/>
    <w:rsid w:val="00FC155D"/>
    <w:rsid w:val="00FC3928"/>
    <w:rsid w:val="00FC4AB0"/>
    <w:rsid w:val="00FC51D7"/>
    <w:rsid w:val="00FC5678"/>
    <w:rsid w:val="00FC5B97"/>
    <w:rsid w:val="00FC7F3B"/>
    <w:rsid w:val="00FD0349"/>
    <w:rsid w:val="00FD1263"/>
    <w:rsid w:val="00FD1681"/>
    <w:rsid w:val="00FD2A8C"/>
    <w:rsid w:val="00FE0C92"/>
    <w:rsid w:val="00FE3A05"/>
    <w:rsid w:val="00FE5210"/>
    <w:rsid w:val="00FE79A8"/>
    <w:rsid w:val="00FE7F41"/>
    <w:rsid w:val="00FF13F8"/>
    <w:rsid w:val="00FF25F0"/>
    <w:rsid w:val="00FF3745"/>
    <w:rsid w:val="00FF3DBA"/>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0A2E7"/>
  <w15:docId w15:val="{B9A31FCF-96C9-4A05-A3CB-B0710896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character" w:styleId="PlaceholderText">
    <w:name w:val="Placeholder Text"/>
    <w:basedOn w:val="DefaultParagraphFont"/>
    <w:uiPriority w:val="99"/>
    <w:semiHidden/>
    <w:rsid w:val="00713DDF"/>
    <w:rPr>
      <w:color w:val="808080"/>
    </w:rPr>
  </w:style>
  <w:style w:type="paragraph" w:styleId="Caption">
    <w:name w:val="caption"/>
    <w:basedOn w:val="Normal"/>
    <w:next w:val="Normal"/>
    <w:unhideWhenUsed/>
    <w:qFormat/>
    <w:rsid w:val="005D6D23"/>
    <w:pPr>
      <w:spacing w:after="200"/>
    </w:pPr>
    <w:rPr>
      <w:b/>
      <w:bCs/>
      <w:color w:val="4F81BD" w:themeColor="accent1"/>
      <w:sz w:val="18"/>
      <w:szCs w:val="18"/>
    </w:rPr>
  </w:style>
  <w:style w:type="paragraph" w:styleId="ListParagraph">
    <w:name w:val="List Paragraph"/>
    <w:basedOn w:val="Normal"/>
    <w:uiPriority w:val="34"/>
    <w:qFormat/>
    <w:rsid w:val="003426DE"/>
    <w:pPr>
      <w:ind w:left="720"/>
      <w:contextualSpacing/>
    </w:pPr>
  </w:style>
  <w:style w:type="paragraph" w:customStyle="1" w:styleId="TableParagraph">
    <w:name w:val="Table Paragraph"/>
    <w:basedOn w:val="Normal"/>
    <w:uiPriority w:val="1"/>
    <w:qFormat/>
    <w:rsid w:val="00D94895"/>
    <w:pPr>
      <w:widowControl w:val="0"/>
      <w:autoSpaceDE w:val="0"/>
      <w:autoSpaceDN w:val="0"/>
      <w:jc w:val="center"/>
    </w:pPr>
    <w:rPr>
      <w:sz w:val="22"/>
      <w:szCs w:val="22"/>
    </w:rPr>
  </w:style>
  <w:style w:type="paragraph" w:styleId="Bibliography">
    <w:name w:val="Bibliography"/>
    <w:basedOn w:val="Normal"/>
    <w:next w:val="Normal"/>
    <w:uiPriority w:val="37"/>
    <w:unhideWhenUsed/>
    <w:rsid w:val="00A72910"/>
    <w:pPr>
      <w:tabs>
        <w:tab w:val="left" w:pos="264"/>
      </w:tabs>
      <w:ind w:left="264" w:hanging="264"/>
    </w:pPr>
  </w:style>
  <w:style w:type="character" w:styleId="Emphasis">
    <w:name w:val="Emphasis"/>
    <w:basedOn w:val="DefaultParagraphFont"/>
    <w:uiPriority w:val="20"/>
    <w:qFormat/>
    <w:rsid w:val="004938C6"/>
    <w:rPr>
      <w:i/>
      <w:iCs/>
    </w:rPr>
  </w:style>
  <w:style w:type="paragraph" w:styleId="NormalWeb">
    <w:name w:val="Normal (Web)"/>
    <w:basedOn w:val="Normal"/>
    <w:uiPriority w:val="99"/>
    <w:semiHidden/>
    <w:unhideWhenUsed/>
    <w:rsid w:val="00A64453"/>
    <w:pPr>
      <w:spacing w:before="100" w:beforeAutospacing="1" w:after="100" w:afterAutospacing="1"/>
    </w:pPr>
  </w:style>
  <w:style w:type="table" w:customStyle="1" w:styleId="NormalGrid">
    <w:name w:val="Normal Grid"/>
    <w:basedOn w:val="TableNormal"/>
    <w:uiPriority w:val="39"/>
    <w:rsid w:val="00D60601"/>
    <w:rPr>
      <w:rFonts w:ascii="Georgia" w:eastAsiaTheme="minorHAnsi" w:hAnsiTheme="minorHAnsi" w:cstheme="minorBidi"/>
      <w:sz w:val="22"/>
      <w:szCs w:val="22"/>
      <w:lang w:val="en-IE"/>
    </w:rPr>
    <w:tblPr>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071">
      <w:bodyDiv w:val="1"/>
      <w:marLeft w:val="0"/>
      <w:marRight w:val="0"/>
      <w:marTop w:val="0"/>
      <w:marBottom w:val="0"/>
      <w:divBdr>
        <w:top w:val="none" w:sz="0" w:space="0" w:color="auto"/>
        <w:left w:val="none" w:sz="0" w:space="0" w:color="auto"/>
        <w:bottom w:val="none" w:sz="0" w:space="0" w:color="auto"/>
        <w:right w:val="none" w:sz="0" w:space="0" w:color="auto"/>
      </w:divBdr>
    </w:div>
    <w:div w:id="21365995">
      <w:bodyDiv w:val="1"/>
      <w:marLeft w:val="0"/>
      <w:marRight w:val="0"/>
      <w:marTop w:val="0"/>
      <w:marBottom w:val="0"/>
      <w:divBdr>
        <w:top w:val="none" w:sz="0" w:space="0" w:color="auto"/>
        <w:left w:val="none" w:sz="0" w:space="0" w:color="auto"/>
        <w:bottom w:val="none" w:sz="0" w:space="0" w:color="auto"/>
        <w:right w:val="none" w:sz="0" w:space="0" w:color="auto"/>
      </w:divBdr>
    </w:div>
    <w:div w:id="103699543">
      <w:bodyDiv w:val="1"/>
      <w:marLeft w:val="0"/>
      <w:marRight w:val="0"/>
      <w:marTop w:val="0"/>
      <w:marBottom w:val="0"/>
      <w:divBdr>
        <w:top w:val="none" w:sz="0" w:space="0" w:color="auto"/>
        <w:left w:val="none" w:sz="0" w:space="0" w:color="auto"/>
        <w:bottom w:val="none" w:sz="0" w:space="0" w:color="auto"/>
        <w:right w:val="none" w:sz="0" w:space="0" w:color="auto"/>
      </w:divBdr>
    </w:div>
    <w:div w:id="123499962">
      <w:bodyDiv w:val="1"/>
      <w:marLeft w:val="0"/>
      <w:marRight w:val="0"/>
      <w:marTop w:val="0"/>
      <w:marBottom w:val="0"/>
      <w:divBdr>
        <w:top w:val="none" w:sz="0" w:space="0" w:color="auto"/>
        <w:left w:val="none" w:sz="0" w:space="0" w:color="auto"/>
        <w:bottom w:val="none" w:sz="0" w:space="0" w:color="auto"/>
        <w:right w:val="none" w:sz="0" w:space="0" w:color="auto"/>
      </w:divBdr>
    </w:div>
    <w:div w:id="164630920">
      <w:bodyDiv w:val="1"/>
      <w:marLeft w:val="0"/>
      <w:marRight w:val="0"/>
      <w:marTop w:val="0"/>
      <w:marBottom w:val="0"/>
      <w:divBdr>
        <w:top w:val="none" w:sz="0" w:space="0" w:color="auto"/>
        <w:left w:val="none" w:sz="0" w:space="0" w:color="auto"/>
        <w:bottom w:val="none" w:sz="0" w:space="0" w:color="auto"/>
        <w:right w:val="none" w:sz="0" w:space="0" w:color="auto"/>
      </w:divBdr>
    </w:div>
    <w:div w:id="327563629">
      <w:bodyDiv w:val="1"/>
      <w:marLeft w:val="0"/>
      <w:marRight w:val="0"/>
      <w:marTop w:val="0"/>
      <w:marBottom w:val="0"/>
      <w:divBdr>
        <w:top w:val="none" w:sz="0" w:space="0" w:color="auto"/>
        <w:left w:val="none" w:sz="0" w:space="0" w:color="auto"/>
        <w:bottom w:val="none" w:sz="0" w:space="0" w:color="auto"/>
        <w:right w:val="none" w:sz="0" w:space="0" w:color="auto"/>
      </w:divBdr>
    </w:div>
    <w:div w:id="332875678">
      <w:bodyDiv w:val="1"/>
      <w:marLeft w:val="0"/>
      <w:marRight w:val="0"/>
      <w:marTop w:val="0"/>
      <w:marBottom w:val="0"/>
      <w:divBdr>
        <w:top w:val="none" w:sz="0" w:space="0" w:color="auto"/>
        <w:left w:val="none" w:sz="0" w:space="0" w:color="auto"/>
        <w:bottom w:val="none" w:sz="0" w:space="0" w:color="auto"/>
        <w:right w:val="none" w:sz="0" w:space="0" w:color="auto"/>
      </w:divBdr>
    </w:div>
    <w:div w:id="343553946">
      <w:bodyDiv w:val="1"/>
      <w:marLeft w:val="0"/>
      <w:marRight w:val="0"/>
      <w:marTop w:val="0"/>
      <w:marBottom w:val="0"/>
      <w:divBdr>
        <w:top w:val="none" w:sz="0" w:space="0" w:color="auto"/>
        <w:left w:val="none" w:sz="0" w:space="0" w:color="auto"/>
        <w:bottom w:val="none" w:sz="0" w:space="0" w:color="auto"/>
        <w:right w:val="none" w:sz="0" w:space="0" w:color="auto"/>
      </w:divBdr>
    </w:div>
    <w:div w:id="585958463">
      <w:bodyDiv w:val="1"/>
      <w:marLeft w:val="0"/>
      <w:marRight w:val="0"/>
      <w:marTop w:val="0"/>
      <w:marBottom w:val="0"/>
      <w:divBdr>
        <w:top w:val="none" w:sz="0" w:space="0" w:color="auto"/>
        <w:left w:val="none" w:sz="0" w:space="0" w:color="auto"/>
        <w:bottom w:val="none" w:sz="0" w:space="0" w:color="auto"/>
        <w:right w:val="none" w:sz="0" w:space="0" w:color="auto"/>
      </w:divBdr>
    </w:div>
    <w:div w:id="627782811">
      <w:bodyDiv w:val="1"/>
      <w:marLeft w:val="0"/>
      <w:marRight w:val="0"/>
      <w:marTop w:val="0"/>
      <w:marBottom w:val="0"/>
      <w:divBdr>
        <w:top w:val="none" w:sz="0" w:space="0" w:color="auto"/>
        <w:left w:val="none" w:sz="0" w:space="0" w:color="auto"/>
        <w:bottom w:val="none" w:sz="0" w:space="0" w:color="auto"/>
        <w:right w:val="none" w:sz="0" w:space="0" w:color="auto"/>
      </w:divBdr>
    </w:div>
    <w:div w:id="673462660">
      <w:bodyDiv w:val="1"/>
      <w:marLeft w:val="0"/>
      <w:marRight w:val="0"/>
      <w:marTop w:val="0"/>
      <w:marBottom w:val="0"/>
      <w:divBdr>
        <w:top w:val="none" w:sz="0" w:space="0" w:color="auto"/>
        <w:left w:val="none" w:sz="0" w:space="0" w:color="auto"/>
        <w:bottom w:val="none" w:sz="0" w:space="0" w:color="auto"/>
        <w:right w:val="none" w:sz="0" w:space="0" w:color="auto"/>
      </w:divBdr>
    </w:div>
    <w:div w:id="717047614">
      <w:bodyDiv w:val="1"/>
      <w:marLeft w:val="0"/>
      <w:marRight w:val="0"/>
      <w:marTop w:val="0"/>
      <w:marBottom w:val="0"/>
      <w:divBdr>
        <w:top w:val="none" w:sz="0" w:space="0" w:color="auto"/>
        <w:left w:val="none" w:sz="0" w:space="0" w:color="auto"/>
        <w:bottom w:val="none" w:sz="0" w:space="0" w:color="auto"/>
        <w:right w:val="none" w:sz="0" w:space="0" w:color="auto"/>
      </w:divBdr>
    </w:div>
    <w:div w:id="832260966">
      <w:bodyDiv w:val="1"/>
      <w:marLeft w:val="0"/>
      <w:marRight w:val="0"/>
      <w:marTop w:val="0"/>
      <w:marBottom w:val="0"/>
      <w:divBdr>
        <w:top w:val="none" w:sz="0" w:space="0" w:color="auto"/>
        <w:left w:val="none" w:sz="0" w:space="0" w:color="auto"/>
        <w:bottom w:val="none" w:sz="0" w:space="0" w:color="auto"/>
        <w:right w:val="none" w:sz="0" w:space="0" w:color="auto"/>
      </w:divBdr>
    </w:div>
    <w:div w:id="862590904">
      <w:bodyDiv w:val="1"/>
      <w:marLeft w:val="0"/>
      <w:marRight w:val="0"/>
      <w:marTop w:val="0"/>
      <w:marBottom w:val="0"/>
      <w:divBdr>
        <w:top w:val="none" w:sz="0" w:space="0" w:color="auto"/>
        <w:left w:val="none" w:sz="0" w:space="0" w:color="auto"/>
        <w:bottom w:val="none" w:sz="0" w:space="0" w:color="auto"/>
        <w:right w:val="none" w:sz="0" w:space="0" w:color="auto"/>
      </w:divBdr>
    </w:div>
    <w:div w:id="862982940">
      <w:bodyDiv w:val="1"/>
      <w:marLeft w:val="0"/>
      <w:marRight w:val="0"/>
      <w:marTop w:val="0"/>
      <w:marBottom w:val="0"/>
      <w:divBdr>
        <w:top w:val="none" w:sz="0" w:space="0" w:color="auto"/>
        <w:left w:val="none" w:sz="0" w:space="0" w:color="auto"/>
        <w:bottom w:val="none" w:sz="0" w:space="0" w:color="auto"/>
        <w:right w:val="none" w:sz="0" w:space="0" w:color="auto"/>
      </w:divBdr>
    </w:div>
    <w:div w:id="913320234">
      <w:bodyDiv w:val="1"/>
      <w:marLeft w:val="0"/>
      <w:marRight w:val="0"/>
      <w:marTop w:val="0"/>
      <w:marBottom w:val="0"/>
      <w:divBdr>
        <w:top w:val="none" w:sz="0" w:space="0" w:color="auto"/>
        <w:left w:val="none" w:sz="0" w:space="0" w:color="auto"/>
        <w:bottom w:val="none" w:sz="0" w:space="0" w:color="auto"/>
        <w:right w:val="none" w:sz="0" w:space="0" w:color="auto"/>
      </w:divBdr>
    </w:div>
    <w:div w:id="957491633">
      <w:bodyDiv w:val="1"/>
      <w:marLeft w:val="0"/>
      <w:marRight w:val="0"/>
      <w:marTop w:val="0"/>
      <w:marBottom w:val="0"/>
      <w:divBdr>
        <w:top w:val="none" w:sz="0" w:space="0" w:color="auto"/>
        <w:left w:val="none" w:sz="0" w:space="0" w:color="auto"/>
        <w:bottom w:val="none" w:sz="0" w:space="0" w:color="auto"/>
        <w:right w:val="none" w:sz="0" w:space="0" w:color="auto"/>
      </w:divBdr>
    </w:div>
    <w:div w:id="985549689">
      <w:bodyDiv w:val="1"/>
      <w:marLeft w:val="0"/>
      <w:marRight w:val="0"/>
      <w:marTop w:val="0"/>
      <w:marBottom w:val="0"/>
      <w:divBdr>
        <w:top w:val="none" w:sz="0" w:space="0" w:color="auto"/>
        <w:left w:val="none" w:sz="0" w:space="0" w:color="auto"/>
        <w:bottom w:val="none" w:sz="0" w:space="0" w:color="auto"/>
        <w:right w:val="none" w:sz="0" w:space="0" w:color="auto"/>
      </w:divBdr>
    </w:div>
    <w:div w:id="1094938603">
      <w:bodyDiv w:val="1"/>
      <w:marLeft w:val="0"/>
      <w:marRight w:val="0"/>
      <w:marTop w:val="0"/>
      <w:marBottom w:val="0"/>
      <w:divBdr>
        <w:top w:val="none" w:sz="0" w:space="0" w:color="auto"/>
        <w:left w:val="none" w:sz="0" w:space="0" w:color="auto"/>
        <w:bottom w:val="none" w:sz="0" w:space="0" w:color="auto"/>
        <w:right w:val="none" w:sz="0" w:space="0" w:color="auto"/>
      </w:divBdr>
    </w:div>
    <w:div w:id="1167133818">
      <w:bodyDiv w:val="1"/>
      <w:marLeft w:val="0"/>
      <w:marRight w:val="0"/>
      <w:marTop w:val="0"/>
      <w:marBottom w:val="0"/>
      <w:divBdr>
        <w:top w:val="none" w:sz="0" w:space="0" w:color="auto"/>
        <w:left w:val="none" w:sz="0" w:space="0" w:color="auto"/>
        <w:bottom w:val="none" w:sz="0" w:space="0" w:color="auto"/>
        <w:right w:val="none" w:sz="0" w:space="0" w:color="auto"/>
      </w:divBdr>
    </w:div>
    <w:div w:id="1230113992">
      <w:bodyDiv w:val="1"/>
      <w:marLeft w:val="0"/>
      <w:marRight w:val="0"/>
      <w:marTop w:val="0"/>
      <w:marBottom w:val="0"/>
      <w:divBdr>
        <w:top w:val="none" w:sz="0" w:space="0" w:color="auto"/>
        <w:left w:val="none" w:sz="0" w:space="0" w:color="auto"/>
        <w:bottom w:val="none" w:sz="0" w:space="0" w:color="auto"/>
        <w:right w:val="none" w:sz="0" w:space="0" w:color="auto"/>
      </w:divBdr>
    </w:div>
    <w:div w:id="1255746395">
      <w:bodyDiv w:val="1"/>
      <w:marLeft w:val="0"/>
      <w:marRight w:val="0"/>
      <w:marTop w:val="0"/>
      <w:marBottom w:val="0"/>
      <w:divBdr>
        <w:top w:val="none" w:sz="0" w:space="0" w:color="auto"/>
        <w:left w:val="none" w:sz="0" w:space="0" w:color="auto"/>
        <w:bottom w:val="none" w:sz="0" w:space="0" w:color="auto"/>
        <w:right w:val="none" w:sz="0" w:space="0" w:color="auto"/>
      </w:divBdr>
    </w:div>
    <w:div w:id="1284770622">
      <w:bodyDiv w:val="1"/>
      <w:marLeft w:val="0"/>
      <w:marRight w:val="0"/>
      <w:marTop w:val="0"/>
      <w:marBottom w:val="0"/>
      <w:divBdr>
        <w:top w:val="none" w:sz="0" w:space="0" w:color="auto"/>
        <w:left w:val="none" w:sz="0" w:space="0" w:color="auto"/>
        <w:bottom w:val="none" w:sz="0" w:space="0" w:color="auto"/>
        <w:right w:val="none" w:sz="0" w:space="0" w:color="auto"/>
      </w:divBdr>
    </w:div>
    <w:div w:id="1315910526">
      <w:bodyDiv w:val="1"/>
      <w:marLeft w:val="0"/>
      <w:marRight w:val="0"/>
      <w:marTop w:val="0"/>
      <w:marBottom w:val="0"/>
      <w:divBdr>
        <w:top w:val="none" w:sz="0" w:space="0" w:color="auto"/>
        <w:left w:val="none" w:sz="0" w:space="0" w:color="auto"/>
        <w:bottom w:val="none" w:sz="0" w:space="0" w:color="auto"/>
        <w:right w:val="none" w:sz="0" w:space="0" w:color="auto"/>
      </w:divBdr>
    </w:div>
    <w:div w:id="1389454405">
      <w:bodyDiv w:val="1"/>
      <w:marLeft w:val="0"/>
      <w:marRight w:val="0"/>
      <w:marTop w:val="0"/>
      <w:marBottom w:val="0"/>
      <w:divBdr>
        <w:top w:val="none" w:sz="0" w:space="0" w:color="auto"/>
        <w:left w:val="none" w:sz="0" w:space="0" w:color="auto"/>
        <w:bottom w:val="none" w:sz="0" w:space="0" w:color="auto"/>
        <w:right w:val="none" w:sz="0" w:space="0" w:color="auto"/>
      </w:divBdr>
    </w:div>
    <w:div w:id="1401169920">
      <w:bodyDiv w:val="1"/>
      <w:marLeft w:val="0"/>
      <w:marRight w:val="0"/>
      <w:marTop w:val="0"/>
      <w:marBottom w:val="0"/>
      <w:divBdr>
        <w:top w:val="none" w:sz="0" w:space="0" w:color="auto"/>
        <w:left w:val="none" w:sz="0" w:space="0" w:color="auto"/>
        <w:bottom w:val="none" w:sz="0" w:space="0" w:color="auto"/>
        <w:right w:val="none" w:sz="0" w:space="0" w:color="auto"/>
      </w:divBdr>
    </w:div>
    <w:div w:id="1482504484">
      <w:bodyDiv w:val="1"/>
      <w:marLeft w:val="0"/>
      <w:marRight w:val="0"/>
      <w:marTop w:val="0"/>
      <w:marBottom w:val="0"/>
      <w:divBdr>
        <w:top w:val="none" w:sz="0" w:space="0" w:color="auto"/>
        <w:left w:val="none" w:sz="0" w:space="0" w:color="auto"/>
        <w:bottom w:val="none" w:sz="0" w:space="0" w:color="auto"/>
        <w:right w:val="none" w:sz="0" w:space="0" w:color="auto"/>
      </w:divBdr>
    </w:div>
    <w:div w:id="1491092253">
      <w:bodyDiv w:val="1"/>
      <w:marLeft w:val="0"/>
      <w:marRight w:val="0"/>
      <w:marTop w:val="0"/>
      <w:marBottom w:val="0"/>
      <w:divBdr>
        <w:top w:val="none" w:sz="0" w:space="0" w:color="auto"/>
        <w:left w:val="none" w:sz="0" w:space="0" w:color="auto"/>
        <w:bottom w:val="none" w:sz="0" w:space="0" w:color="auto"/>
        <w:right w:val="none" w:sz="0" w:space="0" w:color="auto"/>
      </w:divBdr>
    </w:div>
    <w:div w:id="1493065729">
      <w:bodyDiv w:val="1"/>
      <w:marLeft w:val="0"/>
      <w:marRight w:val="0"/>
      <w:marTop w:val="0"/>
      <w:marBottom w:val="0"/>
      <w:divBdr>
        <w:top w:val="none" w:sz="0" w:space="0" w:color="auto"/>
        <w:left w:val="none" w:sz="0" w:space="0" w:color="auto"/>
        <w:bottom w:val="none" w:sz="0" w:space="0" w:color="auto"/>
        <w:right w:val="none" w:sz="0" w:space="0" w:color="auto"/>
      </w:divBdr>
    </w:div>
    <w:div w:id="1501310344">
      <w:bodyDiv w:val="1"/>
      <w:marLeft w:val="0"/>
      <w:marRight w:val="0"/>
      <w:marTop w:val="0"/>
      <w:marBottom w:val="0"/>
      <w:divBdr>
        <w:top w:val="none" w:sz="0" w:space="0" w:color="auto"/>
        <w:left w:val="none" w:sz="0" w:space="0" w:color="auto"/>
        <w:bottom w:val="none" w:sz="0" w:space="0" w:color="auto"/>
        <w:right w:val="none" w:sz="0" w:space="0" w:color="auto"/>
      </w:divBdr>
    </w:div>
    <w:div w:id="1570310048">
      <w:bodyDiv w:val="1"/>
      <w:marLeft w:val="0"/>
      <w:marRight w:val="0"/>
      <w:marTop w:val="0"/>
      <w:marBottom w:val="0"/>
      <w:divBdr>
        <w:top w:val="none" w:sz="0" w:space="0" w:color="auto"/>
        <w:left w:val="none" w:sz="0" w:space="0" w:color="auto"/>
        <w:bottom w:val="none" w:sz="0" w:space="0" w:color="auto"/>
        <w:right w:val="none" w:sz="0" w:space="0" w:color="auto"/>
      </w:divBdr>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751584257">
      <w:bodyDiv w:val="1"/>
      <w:marLeft w:val="0"/>
      <w:marRight w:val="0"/>
      <w:marTop w:val="0"/>
      <w:marBottom w:val="0"/>
      <w:divBdr>
        <w:top w:val="none" w:sz="0" w:space="0" w:color="auto"/>
        <w:left w:val="none" w:sz="0" w:space="0" w:color="auto"/>
        <w:bottom w:val="none" w:sz="0" w:space="0" w:color="auto"/>
        <w:right w:val="none" w:sz="0" w:space="0" w:color="auto"/>
      </w:divBdr>
    </w:div>
    <w:div w:id="1860197769">
      <w:bodyDiv w:val="1"/>
      <w:marLeft w:val="0"/>
      <w:marRight w:val="0"/>
      <w:marTop w:val="0"/>
      <w:marBottom w:val="0"/>
      <w:divBdr>
        <w:top w:val="none" w:sz="0" w:space="0" w:color="auto"/>
        <w:left w:val="none" w:sz="0" w:space="0" w:color="auto"/>
        <w:bottom w:val="none" w:sz="0" w:space="0" w:color="auto"/>
        <w:right w:val="none" w:sz="0" w:space="0" w:color="auto"/>
      </w:divBdr>
    </w:div>
    <w:div w:id="1874264951">
      <w:bodyDiv w:val="1"/>
      <w:marLeft w:val="0"/>
      <w:marRight w:val="0"/>
      <w:marTop w:val="0"/>
      <w:marBottom w:val="0"/>
      <w:divBdr>
        <w:top w:val="none" w:sz="0" w:space="0" w:color="auto"/>
        <w:left w:val="none" w:sz="0" w:space="0" w:color="auto"/>
        <w:bottom w:val="none" w:sz="0" w:space="0" w:color="auto"/>
        <w:right w:val="none" w:sz="0" w:space="0" w:color="auto"/>
      </w:divBdr>
    </w:div>
    <w:div w:id="1955166297">
      <w:bodyDiv w:val="1"/>
      <w:marLeft w:val="0"/>
      <w:marRight w:val="0"/>
      <w:marTop w:val="0"/>
      <w:marBottom w:val="0"/>
      <w:divBdr>
        <w:top w:val="none" w:sz="0" w:space="0" w:color="auto"/>
        <w:left w:val="none" w:sz="0" w:space="0" w:color="auto"/>
        <w:bottom w:val="none" w:sz="0" w:space="0" w:color="auto"/>
        <w:right w:val="none" w:sz="0" w:space="0" w:color="auto"/>
      </w:divBdr>
    </w:div>
    <w:div w:id="1991060162">
      <w:bodyDiv w:val="1"/>
      <w:marLeft w:val="0"/>
      <w:marRight w:val="0"/>
      <w:marTop w:val="0"/>
      <w:marBottom w:val="0"/>
      <w:divBdr>
        <w:top w:val="none" w:sz="0" w:space="0" w:color="auto"/>
        <w:left w:val="none" w:sz="0" w:space="0" w:color="auto"/>
        <w:bottom w:val="none" w:sz="0" w:space="0" w:color="auto"/>
        <w:right w:val="none" w:sz="0" w:space="0" w:color="auto"/>
      </w:divBdr>
    </w:div>
    <w:div w:id="2002275309">
      <w:bodyDiv w:val="1"/>
      <w:marLeft w:val="0"/>
      <w:marRight w:val="0"/>
      <w:marTop w:val="0"/>
      <w:marBottom w:val="0"/>
      <w:divBdr>
        <w:top w:val="none" w:sz="0" w:space="0" w:color="auto"/>
        <w:left w:val="none" w:sz="0" w:space="0" w:color="auto"/>
        <w:bottom w:val="none" w:sz="0" w:space="0" w:color="auto"/>
        <w:right w:val="none" w:sz="0" w:space="0" w:color="auto"/>
      </w:divBdr>
    </w:div>
    <w:div w:id="2031490052">
      <w:bodyDiv w:val="1"/>
      <w:marLeft w:val="0"/>
      <w:marRight w:val="0"/>
      <w:marTop w:val="0"/>
      <w:marBottom w:val="0"/>
      <w:divBdr>
        <w:top w:val="none" w:sz="0" w:space="0" w:color="auto"/>
        <w:left w:val="none" w:sz="0" w:space="0" w:color="auto"/>
        <w:bottom w:val="none" w:sz="0" w:space="0" w:color="auto"/>
        <w:right w:val="none" w:sz="0" w:space="0" w:color="auto"/>
      </w:divBdr>
    </w:div>
    <w:div w:id="206911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ynhcongtu@qnu.edu.v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uynhcongtu@qnu.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uynhcongtu@qnu.edu.vn"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1DAB6-6D6C-427A-8054-35491DF3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54</TotalTime>
  <Pages>9</Pages>
  <Words>4873</Words>
  <Characters>27779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32587</CharactersWithSpaces>
  <SharedDoc>false</SharedDoc>
  <HLinks>
    <vt:vector size="18" baseType="variant">
      <vt:variant>
        <vt:i4>983162</vt:i4>
      </vt:variant>
      <vt:variant>
        <vt:i4>9</vt:i4>
      </vt:variant>
      <vt:variant>
        <vt:i4>0</vt:i4>
      </vt:variant>
      <vt:variant>
        <vt:i4>5</vt:i4>
      </vt:variant>
      <vt:variant>
        <vt:lpwstr>mailto:emailtacgia@qnu.edu.vn</vt:lpwstr>
      </vt:variant>
      <vt:variant>
        <vt:lpwstr/>
      </vt:variant>
      <vt:variant>
        <vt:i4>5570653</vt:i4>
      </vt:variant>
      <vt:variant>
        <vt:i4>6</vt:i4>
      </vt:variant>
      <vt:variant>
        <vt:i4>0</vt:i4>
      </vt:variant>
      <vt:variant>
        <vt:i4>5</vt:i4>
      </vt:variant>
      <vt:variant>
        <vt:lpwstr>http://vanban.chinhphu.vn/portal/page/portal/chinhphu/hethongvanban?class_id=1&amp;mode=detail&amp;document_id=35816</vt:lpwstr>
      </vt:variant>
      <vt:variant>
        <vt:lpwstr/>
      </vt:variant>
      <vt:variant>
        <vt:i4>262242</vt:i4>
      </vt:variant>
      <vt:variant>
        <vt:i4>0</vt:i4>
      </vt:variant>
      <vt:variant>
        <vt:i4>0</vt:i4>
      </vt:variant>
      <vt:variant>
        <vt:i4>5</vt:i4>
      </vt:variant>
      <vt:variant>
        <vt:lpwstr>mailto:huynhcongtu@qnu.edu.vn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creator>Trung Nguyen</dc:creator>
  <cp:lastModifiedBy>Hucotu</cp:lastModifiedBy>
  <cp:revision>15</cp:revision>
  <cp:lastPrinted>2021-10-28T23:23:00Z</cp:lastPrinted>
  <dcterms:created xsi:type="dcterms:W3CDTF">2026-02-01T04:56:00Z</dcterms:created>
  <dcterms:modified xsi:type="dcterms:W3CDTF">2026-02-01T05:54:00Z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id="25YebicM"/&gt;&lt;style id="http://www.zotero.org/styles/royal-society-of-chemistry-full-authors-titles" hasBibliography="1" bibliographyStyleHasBeenSet="1"/&gt;&lt;prefs&gt;&lt;pref name="fieldType" value="Field"</vt:lpwstr>
  </property>
  <property fmtid="{D5CDD505-2E9C-101B-9397-08002B2CF9AE}" pid="3" name="ZOTERO_PREF_2">
    <vt:lpwstr>/&gt;&lt;/prefs&gt;&lt;/data&gt;</vt:lpwstr>
  </property>
</Properties>
</file>