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08CC" w14:textId="77777777" w:rsidR="00D9661B" w:rsidRDefault="00D9661B">
      <w:pPr>
        <w:pStyle w:val="ListParagraph"/>
        <w:ind w:left="0"/>
        <w:rPr>
          <w:rFonts w:ascii="Times New Roman" w:hAnsi="Times New Roman"/>
          <w:b/>
          <w:sz w:val="26"/>
          <w:szCs w:val="26"/>
          <w:u w:val="single"/>
        </w:rPr>
      </w:pPr>
    </w:p>
    <w:p w14:paraId="442D621C" w14:textId="77777777" w:rsidR="00D9661B" w:rsidRDefault="00000000">
      <w:pPr>
        <w:pStyle w:val="ListParagraph"/>
        <w:spacing w:before="120" w:after="120"/>
        <w:ind w:left="0"/>
        <w:contextualSpacing w:val="0"/>
        <w:rPr>
          <w:rFonts w:ascii="Times New Roman" w:hAnsi="Times New Roman"/>
          <w:b/>
          <w:iCs/>
          <w:sz w:val="26"/>
          <w:szCs w:val="26"/>
        </w:rPr>
      </w:pPr>
      <w:r>
        <w:rPr>
          <w:rFonts w:ascii="Times New Roman" w:hAnsi="Times New Roman"/>
          <w:b/>
          <w:iCs/>
          <w:sz w:val="26"/>
          <w:szCs w:val="26"/>
        </w:rPr>
        <w:t>Nội dung giải trình chỉnh sửa</w:t>
      </w:r>
    </w:p>
    <w:p w14:paraId="1C19AA82" w14:textId="77777777" w:rsidR="00D9661B" w:rsidRDefault="00000000">
      <w:pPr>
        <w:pStyle w:val="ListParagraph"/>
        <w:spacing w:before="120" w:after="120"/>
        <w:ind w:left="0"/>
        <w:contextualSpacing w:val="0"/>
        <w:rPr>
          <w:rFonts w:ascii="Times New Roman" w:hAnsi="Times New Roman"/>
          <w:b/>
          <w:iCs/>
          <w:sz w:val="26"/>
          <w:szCs w:val="26"/>
        </w:rPr>
      </w:pPr>
      <w:r>
        <w:rPr>
          <w:rFonts w:ascii="Times New Roman" w:hAnsi="Times New Roman"/>
          <w:b/>
          <w:iCs/>
          <w:sz w:val="26"/>
          <w:szCs w:val="26"/>
        </w:rPr>
        <w:t>Nhóm tác giả cảm ơn PB và hoàn toàn đồng ý và chỉnh sửa theo góp ý của phản biện</w:t>
      </w:r>
    </w:p>
    <w:tbl>
      <w:tblPr>
        <w:tblStyle w:val="TableGrid"/>
        <w:tblW w:w="9498" w:type="dxa"/>
        <w:tblInd w:w="-5" w:type="dxa"/>
        <w:tblLook w:val="04A0" w:firstRow="1" w:lastRow="0" w:firstColumn="1" w:lastColumn="0" w:noHBand="0" w:noVBand="1"/>
      </w:tblPr>
      <w:tblGrid>
        <w:gridCol w:w="708"/>
        <w:gridCol w:w="4679"/>
        <w:gridCol w:w="4111"/>
      </w:tblGrid>
      <w:tr w:rsidR="00D9661B" w14:paraId="7AA28649" w14:textId="77777777" w:rsidTr="0076273A">
        <w:trPr>
          <w:trHeight w:val="454"/>
        </w:trPr>
        <w:tc>
          <w:tcPr>
            <w:tcW w:w="708" w:type="dxa"/>
            <w:vAlign w:val="center"/>
          </w:tcPr>
          <w:p w14:paraId="1FAF0B01" w14:textId="77777777" w:rsidR="00D9661B" w:rsidRDefault="00000000">
            <w:pPr>
              <w:pStyle w:val="ListParagraph"/>
              <w:spacing w:before="120" w:after="120" w:line="240" w:lineRule="auto"/>
              <w:ind w:left="0"/>
              <w:contextualSpacing w:val="0"/>
              <w:rPr>
                <w:rFonts w:ascii="Times New Roman" w:hAnsi="Times New Roman"/>
                <w:b/>
                <w:sz w:val="26"/>
                <w:szCs w:val="26"/>
              </w:rPr>
            </w:pPr>
            <w:r>
              <w:rPr>
                <w:rFonts w:ascii="Times New Roman" w:hAnsi="Times New Roman"/>
                <w:b/>
                <w:sz w:val="26"/>
                <w:szCs w:val="26"/>
              </w:rPr>
              <w:t>STT</w:t>
            </w:r>
          </w:p>
        </w:tc>
        <w:tc>
          <w:tcPr>
            <w:tcW w:w="4679" w:type="dxa"/>
            <w:vAlign w:val="center"/>
          </w:tcPr>
          <w:p w14:paraId="1945EDAC" w14:textId="77777777" w:rsidR="00D9661B" w:rsidRDefault="00000000">
            <w:pPr>
              <w:pStyle w:val="ListParagraph"/>
              <w:spacing w:before="120" w:after="120" w:line="240" w:lineRule="auto"/>
              <w:ind w:left="0"/>
              <w:contextualSpacing w:val="0"/>
              <w:rPr>
                <w:rFonts w:ascii="Times New Roman" w:hAnsi="Times New Roman"/>
                <w:b/>
                <w:sz w:val="26"/>
                <w:szCs w:val="26"/>
              </w:rPr>
            </w:pPr>
            <w:r>
              <w:rPr>
                <w:rFonts w:ascii="Times New Roman" w:hAnsi="Times New Roman"/>
                <w:b/>
                <w:sz w:val="26"/>
                <w:szCs w:val="26"/>
              </w:rPr>
              <w:t>Ý kiến của phản biện</w:t>
            </w:r>
          </w:p>
        </w:tc>
        <w:tc>
          <w:tcPr>
            <w:tcW w:w="4111" w:type="dxa"/>
            <w:vAlign w:val="center"/>
          </w:tcPr>
          <w:p w14:paraId="2ABB9DD4" w14:textId="77777777" w:rsidR="00D9661B" w:rsidRDefault="00000000">
            <w:pPr>
              <w:pStyle w:val="ListParagraph"/>
              <w:spacing w:before="120" w:after="120" w:line="240" w:lineRule="auto"/>
              <w:ind w:left="0"/>
              <w:contextualSpacing w:val="0"/>
              <w:rPr>
                <w:rFonts w:ascii="Times New Roman" w:hAnsi="Times New Roman"/>
                <w:b/>
                <w:sz w:val="26"/>
                <w:szCs w:val="26"/>
              </w:rPr>
            </w:pPr>
            <w:r>
              <w:rPr>
                <w:rFonts w:ascii="Times New Roman" w:hAnsi="Times New Roman"/>
                <w:b/>
                <w:sz w:val="26"/>
                <w:szCs w:val="26"/>
              </w:rPr>
              <w:t>Giải trình của nhóm tác giả</w:t>
            </w:r>
          </w:p>
        </w:tc>
      </w:tr>
      <w:tr w:rsidR="008566B0" w:rsidRPr="00F75EEF" w14:paraId="649C63F6" w14:textId="77777777" w:rsidTr="0076273A">
        <w:trPr>
          <w:trHeight w:val="454"/>
        </w:trPr>
        <w:tc>
          <w:tcPr>
            <w:tcW w:w="708" w:type="dxa"/>
          </w:tcPr>
          <w:p w14:paraId="4806882B" w14:textId="77777777" w:rsidR="008566B0" w:rsidRDefault="008566B0" w:rsidP="008566B0">
            <w:pPr>
              <w:pStyle w:val="ListParagraph"/>
              <w:numPr>
                <w:ilvl w:val="0"/>
                <w:numId w:val="1"/>
              </w:numPr>
              <w:spacing w:before="120" w:after="120" w:line="240" w:lineRule="auto"/>
              <w:ind w:left="227" w:firstLine="0"/>
              <w:contextualSpacing w:val="0"/>
              <w:jc w:val="center"/>
              <w:rPr>
                <w:rFonts w:ascii="Times New Roman" w:hAnsi="Times New Roman"/>
                <w:b/>
                <w:sz w:val="24"/>
                <w:szCs w:val="24"/>
              </w:rPr>
            </w:pPr>
          </w:p>
        </w:tc>
        <w:tc>
          <w:tcPr>
            <w:tcW w:w="4679" w:type="dxa"/>
            <w:vAlign w:val="center"/>
          </w:tcPr>
          <w:p w14:paraId="199E700F" w14:textId="6C87CBD1" w:rsidR="00F75EEF" w:rsidRDefault="00F75EEF" w:rsidP="00BC14B2">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Ý kiến của phản biện 1:</w:t>
            </w:r>
          </w:p>
          <w:p w14:paraId="3DA2B7F5" w14:textId="499EC99D" w:rsidR="00353589" w:rsidRPr="00353589" w:rsidRDefault="008566B0" w:rsidP="00BC14B2">
            <w:pPr>
              <w:spacing w:before="120" w:after="120" w:line="240" w:lineRule="auto"/>
              <w:jc w:val="both"/>
              <w:rPr>
                <w:rFonts w:ascii="Times New Roman" w:hAnsi="Times New Roman"/>
                <w:sz w:val="26"/>
                <w:szCs w:val="26"/>
              </w:rPr>
            </w:pPr>
            <w:r>
              <w:rPr>
                <w:rFonts w:ascii="Times New Roman" w:hAnsi="Times New Roman"/>
                <w:sz w:val="26"/>
                <w:szCs w:val="26"/>
                <w:lang w:val="vi-VN"/>
              </w:rPr>
              <w:t xml:space="preserve">- </w:t>
            </w:r>
            <w:r w:rsidR="00353589" w:rsidRPr="00F56802">
              <w:rPr>
                <w:rFonts w:ascii="Times New Roman" w:hAnsi="Times New Roman"/>
                <w:sz w:val="26"/>
                <w:szCs w:val="26"/>
              </w:rPr>
              <w:t>Chưa nhất quán trong việc xác định khoảng thời gian nghiên cứu</w:t>
            </w:r>
          </w:p>
        </w:tc>
        <w:tc>
          <w:tcPr>
            <w:tcW w:w="4111" w:type="dxa"/>
            <w:vAlign w:val="center"/>
          </w:tcPr>
          <w:p w14:paraId="56202EFB" w14:textId="34B69391" w:rsidR="008566B0" w:rsidRDefault="00BC14B2" w:rsidP="00BC14B2">
            <w:pPr>
              <w:pStyle w:val="ListParagraph"/>
              <w:spacing w:before="120" w:after="120" w:line="240" w:lineRule="auto"/>
              <w:ind w:left="0"/>
              <w:contextualSpacing w:val="0"/>
              <w:jc w:val="both"/>
              <w:rPr>
                <w:rFonts w:ascii="Times New Roman" w:hAnsi="Times New Roman"/>
                <w:sz w:val="26"/>
                <w:szCs w:val="26"/>
                <w:lang w:val="vi-VN"/>
              </w:rPr>
            </w:pPr>
            <w:r>
              <w:rPr>
                <w:rFonts w:ascii="Times New Roman" w:hAnsi="Times New Roman"/>
                <w:sz w:val="26"/>
                <w:szCs w:val="26"/>
                <w:lang w:val="vi-VN"/>
              </w:rPr>
              <w:t xml:space="preserve">- </w:t>
            </w:r>
            <w:r w:rsidR="008566B0" w:rsidRPr="00F75EEF">
              <w:rPr>
                <w:rFonts w:ascii="Times New Roman" w:hAnsi="Times New Roman"/>
                <w:sz w:val="26"/>
                <w:szCs w:val="26"/>
                <w:lang w:val="vi-VN"/>
              </w:rPr>
              <w:t>Đã bổ sung và bôi đỏ trong bài</w:t>
            </w:r>
          </w:p>
          <w:p w14:paraId="2677FFC8" w14:textId="1B5EB1B2" w:rsidR="00B60EC7" w:rsidRPr="00864142" w:rsidRDefault="00B60EC7" w:rsidP="00BC14B2">
            <w:pPr>
              <w:pStyle w:val="ListParagraph"/>
              <w:spacing w:before="120" w:after="120" w:line="240" w:lineRule="auto"/>
              <w:ind w:left="0"/>
              <w:contextualSpacing w:val="0"/>
              <w:jc w:val="both"/>
              <w:rPr>
                <w:rFonts w:ascii="Times New Roman" w:hAnsi="Times New Roman"/>
                <w:sz w:val="26"/>
                <w:szCs w:val="26"/>
              </w:rPr>
            </w:pPr>
          </w:p>
        </w:tc>
      </w:tr>
      <w:tr w:rsidR="008566B0" w:rsidRPr="00F75EEF" w14:paraId="7FB17808" w14:textId="77777777" w:rsidTr="0076273A">
        <w:trPr>
          <w:trHeight w:val="454"/>
        </w:trPr>
        <w:tc>
          <w:tcPr>
            <w:tcW w:w="708" w:type="dxa"/>
          </w:tcPr>
          <w:p w14:paraId="5EB3B912" w14:textId="77777777" w:rsidR="008566B0" w:rsidRPr="00B60EC7" w:rsidRDefault="008566B0" w:rsidP="008566B0">
            <w:pPr>
              <w:pStyle w:val="ListParagraph"/>
              <w:numPr>
                <w:ilvl w:val="0"/>
                <w:numId w:val="1"/>
              </w:numPr>
              <w:spacing w:before="120" w:after="120" w:line="240" w:lineRule="auto"/>
              <w:ind w:left="227" w:firstLine="0"/>
              <w:contextualSpacing w:val="0"/>
              <w:jc w:val="center"/>
              <w:rPr>
                <w:rFonts w:ascii="Times New Roman" w:hAnsi="Times New Roman"/>
                <w:b/>
                <w:sz w:val="24"/>
                <w:szCs w:val="24"/>
                <w:lang w:val="vi-VN"/>
              </w:rPr>
            </w:pPr>
          </w:p>
        </w:tc>
        <w:tc>
          <w:tcPr>
            <w:tcW w:w="4679" w:type="dxa"/>
            <w:vAlign w:val="center"/>
          </w:tcPr>
          <w:p w14:paraId="0ECAB9F2" w14:textId="07BBBBF1" w:rsidR="00F75EEF" w:rsidRDefault="00F75EEF" w:rsidP="00BC14B2">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sidR="00353589">
              <w:rPr>
                <w:rFonts w:ascii="Times New Roman" w:hAnsi="Times New Roman"/>
                <w:sz w:val="26"/>
                <w:szCs w:val="26"/>
              </w:rPr>
              <w:t>1</w:t>
            </w:r>
            <w:r>
              <w:rPr>
                <w:rFonts w:ascii="Times New Roman" w:hAnsi="Times New Roman"/>
                <w:sz w:val="26"/>
                <w:szCs w:val="26"/>
                <w:lang w:val="vi-VN"/>
              </w:rPr>
              <w:t>:</w:t>
            </w:r>
          </w:p>
          <w:p w14:paraId="2FCFC62D" w14:textId="0F0DDEB3" w:rsidR="008566B0" w:rsidRPr="00353589" w:rsidRDefault="008566B0" w:rsidP="00BC14B2">
            <w:pPr>
              <w:pStyle w:val="ListParagraph"/>
              <w:spacing w:before="120" w:after="120" w:line="240" w:lineRule="auto"/>
              <w:ind w:left="0"/>
              <w:contextualSpacing w:val="0"/>
              <w:jc w:val="both"/>
              <w:rPr>
                <w:rFonts w:ascii="Times New Roman" w:hAnsi="Times New Roman"/>
                <w:sz w:val="26"/>
                <w:szCs w:val="26"/>
              </w:rPr>
            </w:pPr>
            <w:r w:rsidRPr="00B60EC7">
              <w:rPr>
                <w:rFonts w:ascii="Times New Roman" w:hAnsi="Times New Roman"/>
                <w:sz w:val="26"/>
                <w:szCs w:val="26"/>
                <w:lang w:val="vi-VN"/>
              </w:rPr>
              <w:t xml:space="preserve">- </w:t>
            </w:r>
            <w:r w:rsidR="00353589" w:rsidRPr="00353589">
              <w:rPr>
                <w:rFonts w:ascii="Times New Roman" w:hAnsi="Times New Roman"/>
                <w:sz w:val="26"/>
                <w:szCs w:val="26"/>
                <w:lang w:val="vi-VN"/>
              </w:rPr>
              <w:t>Phần “Cơ sở lý thuyết” cho rằng lý thuyết danh mục đầu tư truyền thống “được xây dựng trên giả định rằng mối quan hệ giữa các tài sản là tương đối ổn định theo thời gian”. Cách diễn đạt này chưa thật sự chính xác về mặt lý thuyết, vì Markowitz giả định kỳ vọng lợi nhuận và hiệp phương sai là cho trước (tĩnh) trong khuôn khổ mô hình, chứ không trực tiếp khẳng định mối quan hệ giữa các tài sản là ổn định theo thời gian trong thực tế. Cách diễn giải hiện tại có xu hướng đơn giản hóa và diễn dịch quá mức giả định ban đầu của mô hình.</w:t>
            </w:r>
          </w:p>
        </w:tc>
        <w:tc>
          <w:tcPr>
            <w:tcW w:w="4111" w:type="dxa"/>
            <w:vAlign w:val="center"/>
          </w:tcPr>
          <w:p w14:paraId="77FA7F40" w14:textId="7147905D" w:rsidR="00864142" w:rsidRDefault="00864142" w:rsidP="00864142">
            <w:pPr>
              <w:pStyle w:val="ListParagraph"/>
              <w:spacing w:before="120" w:after="120" w:line="240" w:lineRule="auto"/>
              <w:ind w:left="0"/>
              <w:contextualSpacing w:val="0"/>
              <w:jc w:val="both"/>
              <w:rPr>
                <w:rFonts w:ascii="Times New Roman" w:hAnsi="Times New Roman"/>
                <w:sz w:val="26"/>
                <w:szCs w:val="26"/>
                <w:lang w:val="vi-VN"/>
              </w:rPr>
            </w:pPr>
            <w:r>
              <w:rPr>
                <w:rFonts w:ascii="Times New Roman" w:hAnsi="Times New Roman"/>
                <w:sz w:val="26"/>
                <w:szCs w:val="26"/>
                <w:lang w:val="vi-VN"/>
              </w:rPr>
              <w:t xml:space="preserve">- </w:t>
            </w:r>
            <w:r w:rsidRPr="00F75EEF">
              <w:rPr>
                <w:rFonts w:ascii="Times New Roman" w:hAnsi="Times New Roman"/>
                <w:sz w:val="26"/>
                <w:szCs w:val="26"/>
                <w:lang w:val="vi-VN"/>
              </w:rPr>
              <w:t xml:space="preserve">Đã </w:t>
            </w:r>
            <w:r w:rsidR="0076273A" w:rsidRPr="003075BE">
              <w:rPr>
                <w:rFonts w:ascii="Times New Roman" w:hAnsi="Times New Roman"/>
                <w:color w:val="000000" w:themeColor="text1"/>
                <w:sz w:val="26"/>
                <w:szCs w:val="26"/>
              </w:rPr>
              <w:t>chỉnh sửa cách diễn đạt</w:t>
            </w:r>
            <w:r w:rsidR="0076273A">
              <w:rPr>
                <w:rFonts w:ascii="Times New Roman" w:hAnsi="Times New Roman"/>
                <w:color w:val="000000" w:themeColor="text1"/>
                <w:sz w:val="26"/>
                <w:szCs w:val="26"/>
              </w:rPr>
              <w:t xml:space="preserve"> </w:t>
            </w:r>
            <w:r w:rsidR="0076273A" w:rsidRPr="003075BE">
              <w:rPr>
                <w:rFonts w:ascii="Times New Roman" w:hAnsi="Times New Roman"/>
                <w:color w:val="000000" w:themeColor="text1"/>
                <w:sz w:val="26"/>
                <w:szCs w:val="26"/>
              </w:rPr>
              <w:t>nhằm làm rõ bản chất tĩnh của mô hình</w:t>
            </w:r>
            <w:r w:rsidR="0076273A">
              <w:rPr>
                <w:rFonts w:ascii="Times New Roman" w:hAnsi="Times New Roman"/>
                <w:color w:val="000000" w:themeColor="text1"/>
                <w:sz w:val="26"/>
                <w:szCs w:val="26"/>
              </w:rPr>
              <w:t>.</w:t>
            </w:r>
          </w:p>
          <w:p w14:paraId="50F26FA2" w14:textId="1AD3CBA3" w:rsidR="008566B0" w:rsidRPr="00864142" w:rsidRDefault="008566B0" w:rsidP="00BC14B2">
            <w:pPr>
              <w:pStyle w:val="ListParagraph"/>
              <w:spacing w:before="120" w:after="120" w:line="240" w:lineRule="auto"/>
              <w:ind w:left="0"/>
              <w:contextualSpacing w:val="0"/>
              <w:jc w:val="both"/>
              <w:rPr>
                <w:rFonts w:ascii="Times New Roman" w:hAnsi="Times New Roman"/>
                <w:sz w:val="26"/>
                <w:szCs w:val="26"/>
              </w:rPr>
            </w:pPr>
          </w:p>
        </w:tc>
      </w:tr>
      <w:tr w:rsidR="008566B0" w:rsidRPr="00F75EEF" w14:paraId="2CD0C49B" w14:textId="77777777" w:rsidTr="0076273A">
        <w:trPr>
          <w:trHeight w:val="454"/>
        </w:trPr>
        <w:tc>
          <w:tcPr>
            <w:tcW w:w="708" w:type="dxa"/>
            <w:vAlign w:val="center"/>
          </w:tcPr>
          <w:p w14:paraId="5656D778" w14:textId="77777777" w:rsidR="008566B0" w:rsidRPr="00B60EC7" w:rsidRDefault="008566B0" w:rsidP="008566B0">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6A6014FE" w14:textId="338238CF" w:rsidR="00F75EEF" w:rsidRDefault="00F75EEF" w:rsidP="00F75EEF">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sidR="00353589">
              <w:rPr>
                <w:rFonts w:ascii="Times New Roman" w:hAnsi="Times New Roman"/>
                <w:sz w:val="26"/>
                <w:szCs w:val="26"/>
              </w:rPr>
              <w:t>1</w:t>
            </w:r>
            <w:r>
              <w:rPr>
                <w:rFonts w:ascii="Times New Roman" w:hAnsi="Times New Roman"/>
                <w:sz w:val="26"/>
                <w:szCs w:val="26"/>
                <w:lang w:val="vi-VN"/>
              </w:rPr>
              <w:t>:</w:t>
            </w:r>
          </w:p>
          <w:p w14:paraId="5C950D81" w14:textId="17226D6A" w:rsidR="008566B0" w:rsidRPr="001D56DD" w:rsidRDefault="008566B0" w:rsidP="00BC14B2">
            <w:pPr>
              <w:pStyle w:val="ListParagraph"/>
              <w:spacing w:before="120" w:after="120" w:line="240" w:lineRule="auto"/>
              <w:ind w:left="0"/>
              <w:contextualSpacing w:val="0"/>
              <w:jc w:val="both"/>
              <w:rPr>
                <w:rFonts w:ascii="Times New Roman" w:hAnsi="Times New Roman"/>
                <w:color w:val="EE0000"/>
                <w:sz w:val="26"/>
                <w:szCs w:val="26"/>
                <w:lang w:val="vi-VN"/>
              </w:rPr>
            </w:pPr>
            <w:r w:rsidRPr="00353589">
              <w:rPr>
                <w:rFonts w:ascii="Times New Roman" w:hAnsi="Times New Roman"/>
                <w:sz w:val="26"/>
                <w:szCs w:val="26"/>
                <w:lang w:val="vi-VN"/>
              </w:rPr>
              <w:t xml:space="preserve">- </w:t>
            </w:r>
            <w:r w:rsidR="00353589" w:rsidRPr="00353589">
              <w:rPr>
                <w:rFonts w:ascii="Times New Roman" w:hAnsi="Times New Roman"/>
                <w:sz w:val="26"/>
                <w:szCs w:val="26"/>
                <w:lang w:val="vi-VN"/>
              </w:rPr>
              <w:t>Một số đoạn tổng quan nghiên cứu còn thiên về liệt kê, thiếu đối chiếu phê phán để làm nổi bật đóng góp mới của bài viết</w:t>
            </w:r>
            <w:r w:rsidRPr="00353589">
              <w:rPr>
                <w:rFonts w:ascii="Times New Roman" w:hAnsi="Times New Roman"/>
                <w:sz w:val="26"/>
                <w:szCs w:val="26"/>
                <w:lang w:val="vi-VN"/>
              </w:rPr>
              <w:t>.</w:t>
            </w:r>
          </w:p>
        </w:tc>
        <w:tc>
          <w:tcPr>
            <w:tcW w:w="4111" w:type="dxa"/>
            <w:vAlign w:val="center"/>
          </w:tcPr>
          <w:p w14:paraId="203A5480" w14:textId="77777777" w:rsidR="00353589" w:rsidRDefault="00353589" w:rsidP="00353589">
            <w:pPr>
              <w:pStyle w:val="ListParagraph"/>
              <w:spacing w:before="120" w:after="120" w:line="240" w:lineRule="auto"/>
              <w:ind w:left="0"/>
              <w:contextualSpacing w:val="0"/>
              <w:jc w:val="both"/>
              <w:rPr>
                <w:rFonts w:ascii="Times New Roman" w:hAnsi="Times New Roman"/>
                <w:sz w:val="26"/>
                <w:szCs w:val="26"/>
                <w:lang w:val="vi-VN"/>
              </w:rPr>
            </w:pPr>
            <w:r>
              <w:rPr>
                <w:rFonts w:ascii="Times New Roman" w:hAnsi="Times New Roman"/>
                <w:sz w:val="26"/>
                <w:szCs w:val="26"/>
                <w:lang w:val="vi-VN"/>
              </w:rPr>
              <w:t xml:space="preserve">- </w:t>
            </w:r>
            <w:r w:rsidRPr="00F75EEF">
              <w:rPr>
                <w:rFonts w:ascii="Times New Roman" w:hAnsi="Times New Roman"/>
                <w:sz w:val="26"/>
                <w:szCs w:val="26"/>
                <w:lang w:val="vi-VN"/>
              </w:rPr>
              <w:t>Đã bổ sung và bôi đỏ trong bài</w:t>
            </w:r>
          </w:p>
          <w:p w14:paraId="5D33F1D1" w14:textId="4A37FB1D" w:rsidR="001D56DD" w:rsidRPr="00864142" w:rsidRDefault="001D56DD" w:rsidP="00BC14B2">
            <w:pPr>
              <w:pStyle w:val="ListParagraph"/>
              <w:spacing w:before="120" w:after="120" w:line="240" w:lineRule="auto"/>
              <w:ind w:left="0"/>
              <w:contextualSpacing w:val="0"/>
              <w:jc w:val="both"/>
              <w:rPr>
                <w:rFonts w:ascii="Times New Roman" w:hAnsi="Times New Roman"/>
                <w:sz w:val="26"/>
                <w:szCs w:val="26"/>
              </w:rPr>
            </w:pPr>
          </w:p>
        </w:tc>
      </w:tr>
      <w:tr w:rsidR="002A39AA" w:rsidRPr="00F75EEF" w14:paraId="22D6EF04" w14:textId="77777777" w:rsidTr="0076273A">
        <w:trPr>
          <w:trHeight w:val="454"/>
        </w:trPr>
        <w:tc>
          <w:tcPr>
            <w:tcW w:w="708" w:type="dxa"/>
            <w:vAlign w:val="center"/>
          </w:tcPr>
          <w:p w14:paraId="60133471" w14:textId="77777777" w:rsidR="002A39AA" w:rsidRPr="00B60EC7" w:rsidRDefault="002A39AA"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434A3C59" w14:textId="77777777" w:rsidR="00864142" w:rsidRDefault="00864142" w:rsidP="00864142">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Pr>
                <w:rFonts w:ascii="Times New Roman" w:hAnsi="Times New Roman"/>
                <w:sz w:val="26"/>
                <w:szCs w:val="26"/>
              </w:rPr>
              <w:t>1</w:t>
            </w:r>
            <w:r>
              <w:rPr>
                <w:rFonts w:ascii="Times New Roman" w:hAnsi="Times New Roman"/>
                <w:sz w:val="26"/>
                <w:szCs w:val="26"/>
                <w:lang w:val="vi-VN"/>
              </w:rPr>
              <w:t>:</w:t>
            </w:r>
          </w:p>
          <w:p w14:paraId="5BCFAD7D" w14:textId="2E11E00A" w:rsidR="002A39AA" w:rsidRPr="00B60EC7" w:rsidRDefault="002A39AA" w:rsidP="00BC14B2">
            <w:pPr>
              <w:pStyle w:val="ListParagraph"/>
              <w:spacing w:before="120" w:after="120" w:line="240" w:lineRule="auto"/>
              <w:ind w:left="0"/>
              <w:contextualSpacing w:val="0"/>
              <w:jc w:val="both"/>
              <w:rPr>
                <w:rFonts w:ascii="Times New Roman" w:hAnsi="Times New Roman"/>
                <w:sz w:val="26"/>
                <w:szCs w:val="26"/>
                <w:lang w:val="vi-VN"/>
              </w:rPr>
            </w:pPr>
            <w:r w:rsidRPr="00B60EC7">
              <w:rPr>
                <w:rFonts w:ascii="Times New Roman" w:hAnsi="Times New Roman"/>
                <w:sz w:val="26"/>
                <w:szCs w:val="26"/>
                <w:lang w:val="vi-VN"/>
              </w:rPr>
              <w:t xml:space="preserve">- </w:t>
            </w:r>
            <w:r w:rsidR="00353589" w:rsidRPr="00353589">
              <w:rPr>
                <w:rFonts w:ascii="Times New Roman" w:hAnsi="Times New Roman"/>
                <w:sz w:val="26"/>
                <w:szCs w:val="26"/>
                <w:lang w:val="vi-VN"/>
              </w:rPr>
              <w:t>Mục 4.1: Dữ liệu theo ngày từ 08/2015</w:t>
            </w:r>
            <w:r w:rsidR="00353589">
              <w:rPr>
                <w:rFonts w:ascii="Times New Roman" w:hAnsi="Times New Roman"/>
                <w:sz w:val="26"/>
                <w:szCs w:val="26"/>
              </w:rPr>
              <w:t>-</w:t>
            </w:r>
            <w:r w:rsidR="00353589" w:rsidRPr="00353589">
              <w:rPr>
                <w:rFonts w:ascii="Times New Roman" w:hAnsi="Times New Roman"/>
                <w:sz w:val="26"/>
                <w:szCs w:val="26"/>
                <w:lang w:val="vi-VN"/>
              </w:rPr>
              <w:t>08/2025 được cho là có 2.383 quan sát, con số này không phù hợp về mặt logic với chuỗi dữ liệu hằng ngày kéo dài 10 năm (kể cả đã loại trừ ngày nghỉ). Bài viết không giải thích rõ cách xử lý ngày giao dịch, làm dấy lên nghi ngờ về tính chính xác của dữ liệu. chưa ghi lí d</w:t>
            </w:r>
            <w:r w:rsidR="00353589">
              <w:rPr>
                <w:rFonts w:ascii="Times New Roman" w:hAnsi="Times New Roman"/>
                <w:sz w:val="26"/>
                <w:szCs w:val="26"/>
              </w:rPr>
              <w:t>o</w:t>
            </w:r>
            <w:r w:rsidRPr="00B60EC7">
              <w:rPr>
                <w:rFonts w:ascii="Times New Roman" w:hAnsi="Times New Roman"/>
                <w:sz w:val="26"/>
                <w:szCs w:val="26"/>
                <w:lang w:val="vi-VN"/>
              </w:rPr>
              <w:t>.</w:t>
            </w:r>
          </w:p>
        </w:tc>
        <w:tc>
          <w:tcPr>
            <w:tcW w:w="4111" w:type="dxa"/>
            <w:vAlign w:val="center"/>
          </w:tcPr>
          <w:p w14:paraId="493F7777" w14:textId="5E933FD4" w:rsidR="002A39AA" w:rsidRPr="00C15258" w:rsidRDefault="00864142"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lang w:val="vi-VN"/>
              </w:rPr>
              <w:t xml:space="preserve">- </w:t>
            </w:r>
            <w:r w:rsidRPr="00F75EEF">
              <w:rPr>
                <w:rFonts w:ascii="Times New Roman" w:hAnsi="Times New Roman"/>
                <w:sz w:val="26"/>
                <w:szCs w:val="26"/>
                <w:lang w:val="vi-VN"/>
              </w:rPr>
              <w:t>Đã bổ sung và bôi đỏ trong bài</w:t>
            </w:r>
          </w:p>
        </w:tc>
      </w:tr>
      <w:tr w:rsidR="002A39AA" w:rsidRPr="00F75EEF" w14:paraId="3AAE2BBF" w14:textId="77777777" w:rsidTr="0076273A">
        <w:trPr>
          <w:trHeight w:val="454"/>
        </w:trPr>
        <w:tc>
          <w:tcPr>
            <w:tcW w:w="708" w:type="dxa"/>
            <w:vAlign w:val="center"/>
          </w:tcPr>
          <w:p w14:paraId="2A9C3DAD" w14:textId="77777777" w:rsidR="002A39AA" w:rsidRPr="00B60EC7" w:rsidRDefault="002A39AA"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6DD5C54E" w14:textId="02F06E43" w:rsidR="00F75EEF" w:rsidRDefault="00F75EEF" w:rsidP="00F75EEF">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sidR="00353589">
              <w:rPr>
                <w:rFonts w:ascii="Times New Roman" w:hAnsi="Times New Roman"/>
                <w:sz w:val="26"/>
                <w:szCs w:val="26"/>
              </w:rPr>
              <w:t>1</w:t>
            </w:r>
            <w:r>
              <w:rPr>
                <w:rFonts w:ascii="Times New Roman" w:hAnsi="Times New Roman"/>
                <w:sz w:val="26"/>
                <w:szCs w:val="26"/>
                <w:lang w:val="vi-VN"/>
              </w:rPr>
              <w:t>:</w:t>
            </w:r>
          </w:p>
          <w:p w14:paraId="46F6EBCA" w14:textId="0FE95F05" w:rsidR="002A39AA" w:rsidRPr="00B60EC7" w:rsidRDefault="00353589" w:rsidP="00BC14B2">
            <w:pPr>
              <w:pStyle w:val="ListParagraph"/>
              <w:spacing w:before="120" w:after="120" w:line="240" w:lineRule="auto"/>
              <w:ind w:left="0"/>
              <w:contextualSpacing w:val="0"/>
              <w:jc w:val="both"/>
              <w:rPr>
                <w:rFonts w:ascii="Times New Roman" w:hAnsi="Times New Roman"/>
                <w:sz w:val="26"/>
                <w:szCs w:val="26"/>
                <w:lang w:val="vi-VN"/>
              </w:rPr>
            </w:pPr>
            <w:r w:rsidRPr="00353589">
              <w:rPr>
                <w:rFonts w:ascii="Times New Roman" w:hAnsi="Times New Roman"/>
                <w:sz w:val="26"/>
                <w:szCs w:val="26"/>
                <w:lang w:val="vi-VN"/>
              </w:rPr>
              <w:t xml:space="preserve">Trong phần 4.1 và 4.3, Copula được mô tả là công cụ phân tích mối quan hệ “đặc biệt trong các giai đoạn rủi ro cao” và “khi biến động cực đoan xảy ra”, dễ gây hiểu nhầm rằng mô hình có tính động theo thời gian. Tuy nhiên, các Copula được sử dụng (Gaussian, t, Clayton, Gumbel, Frank, SJC) </w:t>
            </w:r>
            <w:r w:rsidRPr="00353589">
              <w:rPr>
                <w:rFonts w:ascii="Times New Roman" w:hAnsi="Times New Roman"/>
                <w:sz w:val="26"/>
                <w:szCs w:val="26"/>
                <w:lang w:val="vi-VN"/>
              </w:rPr>
              <w:lastRenderedPageBreak/>
              <w:t>đều là copula tĩnh, không phản ánh sự thay đổi phụ thuộc theo thời gian nếu không có mở rộng động. Điều này cũng chưa hoàn toàn phù hợp với lập luận lý thuyết được trình bày ở phần đầu: “mô hình Copula… có thể thay đổi trong các điều kiện khác nhau”.</w:t>
            </w:r>
          </w:p>
        </w:tc>
        <w:tc>
          <w:tcPr>
            <w:tcW w:w="4111" w:type="dxa"/>
            <w:vAlign w:val="center"/>
          </w:tcPr>
          <w:p w14:paraId="09C08B57" w14:textId="3B2D51C4" w:rsidR="009F3F02" w:rsidRPr="00864142" w:rsidRDefault="00864142"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lang w:val="vi-VN"/>
              </w:rPr>
              <w:lastRenderedPageBreak/>
              <w:t xml:space="preserve">- </w:t>
            </w:r>
            <w:r w:rsidR="0076273A">
              <w:rPr>
                <w:rFonts w:ascii="Times New Roman" w:hAnsi="Times New Roman"/>
                <w:color w:val="000000" w:themeColor="text1"/>
                <w:sz w:val="26"/>
                <w:szCs w:val="26"/>
              </w:rPr>
              <w:t xml:space="preserve">Nhóm </w:t>
            </w:r>
            <w:r w:rsidR="0076273A" w:rsidRPr="00B97D6F">
              <w:rPr>
                <w:rFonts w:ascii="Times New Roman" w:hAnsi="Times New Roman"/>
                <w:color w:val="000000" w:themeColor="text1"/>
                <w:sz w:val="26"/>
                <w:szCs w:val="26"/>
              </w:rPr>
              <w:t xml:space="preserve">đã chỉnh sửa nội dung nhằm làm rõ rằng Copula được sử dụng để mô hình hóa cấu trúc phụ thuộc phi tuyến và phụ thuộc đuôi theo trạng thái thị trường (đặc biệt là các trạng thái cực đoan), chứ không phải phụ thuộc động theo thời gian. Đồng thời, bài viết cũng nhấn mạnh rằng tính </w:t>
            </w:r>
            <w:r w:rsidR="0076273A" w:rsidRPr="00B97D6F">
              <w:rPr>
                <w:rFonts w:ascii="Times New Roman" w:hAnsi="Times New Roman"/>
                <w:color w:val="000000" w:themeColor="text1"/>
                <w:sz w:val="26"/>
                <w:szCs w:val="26"/>
              </w:rPr>
              <w:lastRenderedPageBreak/>
              <w:t>động của rủi ro được phản ánh thông qua mô hình GARCH (biến động theo thời gian) và khuôn khổ CoVaR (rủi ro có điều kiện theo trạng thái thị trường).</w:t>
            </w:r>
          </w:p>
        </w:tc>
      </w:tr>
      <w:tr w:rsidR="00353589" w:rsidRPr="00F75EEF" w14:paraId="125972BB" w14:textId="77777777" w:rsidTr="0076273A">
        <w:trPr>
          <w:trHeight w:val="454"/>
        </w:trPr>
        <w:tc>
          <w:tcPr>
            <w:tcW w:w="708" w:type="dxa"/>
            <w:vAlign w:val="center"/>
          </w:tcPr>
          <w:p w14:paraId="1AB56A55" w14:textId="77777777" w:rsidR="00353589" w:rsidRPr="00B60EC7" w:rsidRDefault="00353589"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5C93C8AB" w14:textId="77777777" w:rsidR="00353589" w:rsidRDefault="00353589" w:rsidP="00353589">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Pr>
                <w:rFonts w:ascii="Times New Roman" w:hAnsi="Times New Roman"/>
                <w:sz w:val="26"/>
                <w:szCs w:val="26"/>
              </w:rPr>
              <w:t>1</w:t>
            </w:r>
            <w:r>
              <w:rPr>
                <w:rFonts w:ascii="Times New Roman" w:hAnsi="Times New Roman"/>
                <w:sz w:val="26"/>
                <w:szCs w:val="26"/>
                <w:lang w:val="vi-VN"/>
              </w:rPr>
              <w:t>:</w:t>
            </w:r>
          </w:p>
          <w:p w14:paraId="3CBCEBE9" w14:textId="63AD6D00" w:rsidR="00353589" w:rsidRDefault="00353589" w:rsidP="00F75EEF">
            <w:pPr>
              <w:spacing w:before="120" w:after="120" w:line="240" w:lineRule="auto"/>
              <w:jc w:val="both"/>
              <w:rPr>
                <w:rFonts w:ascii="Times New Roman" w:hAnsi="Times New Roman"/>
                <w:sz w:val="26"/>
                <w:szCs w:val="26"/>
                <w:lang w:val="vi-VN"/>
              </w:rPr>
            </w:pPr>
            <w:r w:rsidRPr="00353589">
              <w:rPr>
                <w:rFonts w:ascii="Times New Roman" w:hAnsi="Times New Roman"/>
                <w:sz w:val="26"/>
                <w:szCs w:val="26"/>
                <w:lang w:val="vi-VN"/>
              </w:rPr>
              <w:t>Mục 4.5 cho rằng các chỉ số ESG của S&amp;P Global “đại diện cho tiêu chí đánh giá mức độ ổn định của một doanh nghiệp”. Cách diễn giải này không chính xác về mặt học thuật, vì ESG là bộ tiêu chí môi trường – xã hội – quản trị. Các chỉ số S&amp;P ESG là chỉ số thị trường, phản ánh hiệu suất danh mục cổ phiếu được sàng lọc theo tiêu chí ESG, không phải thước đo trực tiếp “mức độ ổn định của một doanh nghiệp”.</w:t>
            </w:r>
          </w:p>
        </w:tc>
        <w:tc>
          <w:tcPr>
            <w:tcW w:w="4111" w:type="dxa"/>
            <w:vAlign w:val="center"/>
          </w:tcPr>
          <w:p w14:paraId="400DF6AC" w14:textId="77777777" w:rsidR="00864142" w:rsidRDefault="00864142" w:rsidP="00864142">
            <w:pPr>
              <w:pStyle w:val="ListParagraph"/>
              <w:spacing w:before="120" w:after="120" w:line="240" w:lineRule="auto"/>
              <w:ind w:left="0"/>
              <w:contextualSpacing w:val="0"/>
              <w:jc w:val="both"/>
              <w:rPr>
                <w:rFonts w:ascii="Times New Roman" w:hAnsi="Times New Roman"/>
                <w:sz w:val="26"/>
                <w:szCs w:val="26"/>
                <w:lang w:val="vi-VN"/>
              </w:rPr>
            </w:pPr>
            <w:r>
              <w:rPr>
                <w:rFonts w:ascii="Times New Roman" w:hAnsi="Times New Roman"/>
                <w:sz w:val="26"/>
                <w:szCs w:val="26"/>
                <w:lang w:val="vi-VN"/>
              </w:rPr>
              <w:t xml:space="preserve">- </w:t>
            </w:r>
            <w:r w:rsidRPr="00F75EEF">
              <w:rPr>
                <w:rFonts w:ascii="Times New Roman" w:hAnsi="Times New Roman"/>
                <w:sz w:val="26"/>
                <w:szCs w:val="26"/>
                <w:lang w:val="vi-VN"/>
              </w:rPr>
              <w:t>Đã bổ sung và bôi đỏ trong bài</w:t>
            </w:r>
          </w:p>
          <w:p w14:paraId="36B329DA" w14:textId="2683D4A2" w:rsidR="00353589" w:rsidRPr="00864142" w:rsidRDefault="00353589" w:rsidP="00BC14B2">
            <w:pPr>
              <w:pStyle w:val="ListParagraph"/>
              <w:spacing w:before="120" w:after="120" w:line="240" w:lineRule="auto"/>
              <w:ind w:left="0"/>
              <w:contextualSpacing w:val="0"/>
              <w:jc w:val="both"/>
              <w:rPr>
                <w:rFonts w:ascii="Times New Roman" w:hAnsi="Times New Roman"/>
                <w:sz w:val="26"/>
                <w:szCs w:val="26"/>
              </w:rPr>
            </w:pPr>
          </w:p>
        </w:tc>
      </w:tr>
      <w:tr w:rsidR="00353589" w:rsidRPr="00F75EEF" w14:paraId="4FDCE067" w14:textId="77777777" w:rsidTr="0076273A">
        <w:trPr>
          <w:trHeight w:val="454"/>
        </w:trPr>
        <w:tc>
          <w:tcPr>
            <w:tcW w:w="708" w:type="dxa"/>
            <w:vAlign w:val="center"/>
          </w:tcPr>
          <w:p w14:paraId="3120B45B" w14:textId="77777777" w:rsidR="00353589" w:rsidRPr="00B60EC7" w:rsidRDefault="00353589"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003985BC" w14:textId="77777777" w:rsidR="00864142" w:rsidRDefault="00864142" w:rsidP="00864142">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Pr>
                <w:rFonts w:ascii="Times New Roman" w:hAnsi="Times New Roman"/>
                <w:sz w:val="26"/>
                <w:szCs w:val="26"/>
              </w:rPr>
              <w:t>1</w:t>
            </w:r>
            <w:r>
              <w:rPr>
                <w:rFonts w:ascii="Times New Roman" w:hAnsi="Times New Roman"/>
                <w:sz w:val="26"/>
                <w:szCs w:val="26"/>
                <w:lang w:val="vi-VN"/>
              </w:rPr>
              <w:t>:</w:t>
            </w:r>
          </w:p>
          <w:p w14:paraId="4EB3CBB1" w14:textId="500BC902" w:rsidR="00353589" w:rsidRDefault="00353589" w:rsidP="00353589">
            <w:pPr>
              <w:spacing w:before="120" w:after="120" w:line="240" w:lineRule="auto"/>
              <w:jc w:val="both"/>
              <w:rPr>
                <w:rFonts w:ascii="Times New Roman" w:hAnsi="Times New Roman"/>
                <w:sz w:val="26"/>
                <w:szCs w:val="26"/>
                <w:lang w:val="vi-VN"/>
              </w:rPr>
            </w:pPr>
            <w:r w:rsidRPr="00353589">
              <w:rPr>
                <w:rFonts w:ascii="Times New Roman" w:hAnsi="Times New Roman"/>
                <w:sz w:val="26"/>
                <w:szCs w:val="26"/>
                <w:lang w:val="vi-VN"/>
              </w:rPr>
              <w:t>Chưa thống nhất giữa mô hình được trình bày và mô hình được ước lượng. Phần phương pháp (mục 4.1–4.4) mô tả sử dụng ARMA–GARCH(1,1). Tuy nhiên, Bảng 4 lại trình bày kết quả ARFIMA–GARCH, đồng thời có tới GARCH(2,1) (β₁ và β₂).</w:t>
            </w:r>
          </w:p>
        </w:tc>
        <w:tc>
          <w:tcPr>
            <w:tcW w:w="4111" w:type="dxa"/>
            <w:vAlign w:val="center"/>
          </w:tcPr>
          <w:p w14:paraId="53D51855" w14:textId="77777777" w:rsidR="00864142" w:rsidRDefault="00864142" w:rsidP="00864142">
            <w:pPr>
              <w:pStyle w:val="ListParagraph"/>
              <w:spacing w:before="120" w:after="120" w:line="240" w:lineRule="auto"/>
              <w:ind w:left="0"/>
              <w:contextualSpacing w:val="0"/>
              <w:jc w:val="both"/>
              <w:rPr>
                <w:rFonts w:ascii="Times New Roman" w:hAnsi="Times New Roman"/>
                <w:sz w:val="26"/>
                <w:szCs w:val="26"/>
                <w:lang w:val="vi-VN"/>
              </w:rPr>
            </w:pPr>
            <w:r>
              <w:rPr>
                <w:rFonts w:ascii="Times New Roman" w:hAnsi="Times New Roman"/>
                <w:sz w:val="26"/>
                <w:szCs w:val="26"/>
                <w:lang w:val="vi-VN"/>
              </w:rPr>
              <w:t xml:space="preserve">- </w:t>
            </w:r>
            <w:r w:rsidRPr="00F75EEF">
              <w:rPr>
                <w:rFonts w:ascii="Times New Roman" w:hAnsi="Times New Roman"/>
                <w:sz w:val="26"/>
                <w:szCs w:val="26"/>
                <w:lang w:val="vi-VN"/>
              </w:rPr>
              <w:t>Đã bổ sung và bôi đỏ trong bài</w:t>
            </w:r>
          </w:p>
          <w:p w14:paraId="629A2DD3" w14:textId="2A812524" w:rsidR="00353589" w:rsidRPr="00864142" w:rsidRDefault="00353589" w:rsidP="00BC14B2">
            <w:pPr>
              <w:pStyle w:val="ListParagraph"/>
              <w:spacing w:before="120" w:after="120" w:line="240" w:lineRule="auto"/>
              <w:ind w:left="0"/>
              <w:contextualSpacing w:val="0"/>
              <w:jc w:val="both"/>
              <w:rPr>
                <w:rFonts w:ascii="Times New Roman" w:hAnsi="Times New Roman"/>
                <w:sz w:val="26"/>
                <w:szCs w:val="26"/>
              </w:rPr>
            </w:pPr>
          </w:p>
        </w:tc>
      </w:tr>
      <w:tr w:rsidR="00353589" w:rsidRPr="00F75EEF" w14:paraId="35EC3478" w14:textId="77777777" w:rsidTr="0076273A">
        <w:trPr>
          <w:trHeight w:val="454"/>
        </w:trPr>
        <w:tc>
          <w:tcPr>
            <w:tcW w:w="708" w:type="dxa"/>
            <w:vAlign w:val="center"/>
          </w:tcPr>
          <w:p w14:paraId="4D544378" w14:textId="77777777" w:rsidR="00353589" w:rsidRPr="00B60EC7" w:rsidRDefault="00353589"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75A9E5A0" w14:textId="77777777" w:rsidR="00864142" w:rsidRDefault="00864142" w:rsidP="00864142">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Pr>
                <w:rFonts w:ascii="Times New Roman" w:hAnsi="Times New Roman"/>
                <w:sz w:val="26"/>
                <w:szCs w:val="26"/>
              </w:rPr>
              <w:t>1</w:t>
            </w:r>
            <w:r>
              <w:rPr>
                <w:rFonts w:ascii="Times New Roman" w:hAnsi="Times New Roman"/>
                <w:sz w:val="26"/>
                <w:szCs w:val="26"/>
                <w:lang w:val="vi-VN"/>
              </w:rPr>
              <w:t>:</w:t>
            </w:r>
          </w:p>
          <w:p w14:paraId="34AD30EE" w14:textId="26ADE6DC" w:rsidR="00353589" w:rsidRPr="00353589" w:rsidRDefault="00353589" w:rsidP="00353589">
            <w:pPr>
              <w:spacing w:before="120" w:after="120" w:line="240" w:lineRule="auto"/>
              <w:jc w:val="both"/>
              <w:rPr>
                <w:rFonts w:ascii="Times New Roman" w:hAnsi="Times New Roman"/>
                <w:sz w:val="26"/>
                <w:szCs w:val="26"/>
                <w:lang w:val="vi-VN"/>
              </w:rPr>
            </w:pPr>
            <w:r w:rsidRPr="00353589">
              <w:rPr>
                <w:rFonts w:ascii="Times New Roman" w:hAnsi="Times New Roman"/>
                <w:sz w:val="26"/>
                <w:szCs w:val="26"/>
                <w:lang w:val="vi-VN"/>
              </w:rPr>
              <w:t>Mục 5.4 ghi “Ước lượng ARFIMA–GARCH”, nhưng trong phần diễn giải lại liên tục sử dụng thuật ngữ “ARMA–GARCH” và bảng kết quả chỉ trình bày ARMA (AR, MA) mà không có tham số sai phân phân số (d).</w:t>
            </w:r>
          </w:p>
        </w:tc>
        <w:tc>
          <w:tcPr>
            <w:tcW w:w="4111" w:type="dxa"/>
            <w:vAlign w:val="center"/>
          </w:tcPr>
          <w:p w14:paraId="29AA8693" w14:textId="77777777" w:rsidR="00864142" w:rsidRDefault="00864142" w:rsidP="00864142">
            <w:pPr>
              <w:pStyle w:val="ListParagraph"/>
              <w:spacing w:before="120" w:after="120" w:line="240" w:lineRule="auto"/>
              <w:ind w:left="0"/>
              <w:contextualSpacing w:val="0"/>
              <w:jc w:val="both"/>
              <w:rPr>
                <w:rFonts w:ascii="Times New Roman" w:hAnsi="Times New Roman"/>
                <w:sz w:val="26"/>
                <w:szCs w:val="26"/>
                <w:lang w:val="vi-VN"/>
              </w:rPr>
            </w:pPr>
            <w:r>
              <w:rPr>
                <w:rFonts w:ascii="Times New Roman" w:hAnsi="Times New Roman"/>
                <w:sz w:val="26"/>
                <w:szCs w:val="26"/>
                <w:lang w:val="vi-VN"/>
              </w:rPr>
              <w:t xml:space="preserve">- </w:t>
            </w:r>
            <w:r w:rsidRPr="00F75EEF">
              <w:rPr>
                <w:rFonts w:ascii="Times New Roman" w:hAnsi="Times New Roman"/>
                <w:sz w:val="26"/>
                <w:szCs w:val="26"/>
                <w:lang w:val="vi-VN"/>
              </w:rPr>
              <w:t>Đã bổ sung và bôi đỏ trong bài</w:t>
            </w:r>
          </w:p>
          <w:p w14:paraId="733AE83C" w14:textId="377AAB33" w:rsidR="00353589" w:rsidRPr="00864142" w:rsidRDefault="00353589" w:rsidP="00BC14B2">
            <w:pPr>
              <w:pStyle w:val="ListParagraph"/>
              <w:spacing w:before="120" w:after="120" w:line="240" w:lineRule="auto"/>
              <w:ind w:left="0"/>
              <w:contextualSpacing w:val="0"/>
              <w:jc w:val="both"/>
              <w:rPr>
                <w:rFonts w:ascii="Times New Roman" w:hAnsi="Times New Roman"/>
                <w:sz w:val="26"/>
                <w:szCs w:val="26"/>
              </w:rPr>
            </w:pPr>
          </w:p>
        </w:tc>
      </w:tr>
      <w:tr w:rsidR="00353589" w:rsidRPr="00F75EEF" w14:paraId="0EAC9B8F" w14:textId="77777777" w:rsidTr="0076273A">
        <w:trPr>
          <w:trHeight w:val="454"/>
        </w:trPr>
        <w:tc>
          <w:tcPr>
            <w:tcW w:w="708" w:type="dxa"/>
            <w:vAlign w:val="center"/>
          </w:tcPr>
          <w:p w14:paraId="6AAAE88E" w14:textId="77777777" w:rsidR="00353589" w:rsidRPr="00B60EC7" w:rsidRDefault="00353589"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71E641B1" w14:textId="77777777" w:rsidR="00864142" w:rsidRPr="00160279" w:rsidRDefault="00864142" w:rsidP="00864142">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 xml:space="preserve">Ý kiến của phản biện </w:t>
            </w:r>
            <w:r w:rsidRPr="00160279">
              <w:rPr>
                <w:rFonts w:ascii="Times New Roman" w:hAnsi="Times New Roman"/>
                <w:sz w:val="26"/>
                <w:szCs w:val="26"/>
              </w:rPr>
              <w:t>1</w:t>
            </w:r>
            <w:r w:rsidRPr="00160279">
              <w:rPr>
                <w:rFonts w:ascii="Times New Roman" w:hAnsi="Times New Roman"/>
                <w:sz w:val="26"/>
                <w:szCs w:val="26"/>
                <w:lang w:val="vi-VN"/>
              </w:rPr>
              <w:t>:</w:t>
            </w:r>
          </w:p>
          <w:p w14:paraId="39A87244" w14:textId="2C716C8C" w:rsidR="00353589" w:rsidRPr="00353589" w:rsidRDefault="00353589" w:rsidP="00353589">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Diễn giải hệ số ARMA chưa thuyết phục về mặt kinh tế. Một số hệ số AR và MA trong Bảng 4 có giá trị tuyệt đối lớn hơn 1, đặc biệt ở chuỗi VNI, nhưng bài viết không kiểm tra hay thảo luận điều kiện ổn định và khả nghịch của mô hình. Việc này tiềm ẩn nguy cơ mô hình không dừng hoặc không hội tụ, trong khi lại được sử dụng để chuẩn hóa phần dư cho Copula và CoVaR.</w:t>
            </w:r>
          </w:p>
        </w:tc>
        <w:tc>
          <w:tcPr>
            <w:tcW w:w="4111" w:type="dxa"/>
            <w:vAlign w:val="center"/>
          </w:tcPr>
          <w:p w14:paraId="0E347D03" w14:textId="3F42DBA5" w:rsidR="00353589" w:rsidRPr="00864142" w:rsidRDefault="00864142"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lang w:val="vi-VN"/>
              </w:rPr>
              <w:t xml:space="preserve">- </w:t>
            </w:r>
            <w:r w:rsidR="00160279">
              <w:rPr>
                <w:rFonts w:ascii="Times New Roman" w:hAnsi="Times New Roman"/>
                <w:sz w:val="26"/>
                <w:szCs w:val="26"/>
              </w:rPr>
              <w:t>Nhóm</w:t>
            </w:r>
            <w:r w:rsidR="00160279" w:rsidRPr="00160279">
              <w:rPr>
                <w:rFonts w:ascii="Times New Roman" w:hAnsi="Times New Roman"/>
                <w:sz w:val="26"/>
                <w:szCs w:val="26"/>
              </w:rPr>
              <w:t xml:space="preserve"> đã xem xét lại và thấy số AR và MA </w:t>
            </w:r>
            <w:r w:rsidR="00160279">
              <w:rPr>
                <w:rFonts w:ascii="Times New Roman" w:hAnsi="Times New Roman"/>
                <w:sz w:val="26"/>
                <w:szCs w:val="26"/>
              </w:rPr>
              <w:t>không</w:t>
            </w:r>
            <w:r w:rsidR="00160279" w:rsidRPr="00160279">
              <w:rPr>
                <w:rFonts w:ascii="Times New Roman" w:hAnsi="Times New Roman"/>
                <w:sz w:val="26"/>
                <w:szCs w:val="26"/>
              </w:rPr>
              <w:t xml:space="preserve"> còn phù hợp trong việc phân tích đề tài nên đã lược bỏ</w:t>
            </w:r>
            <w:r w:rsidR="00160279">
              <w:rPr>
                <w:rFonts w:ascii="Times New Roman" w:hAnsi="Times New Roman"/>
                <w:sz w:val="26"/>
                <w:szCs w:val="26"/>
              </w:rPr>
              <w:t>.</w:t>
            </w:r>
          </w:p>
        </w:tc>
      </w:tr>
      <w:tr w:rsidR="00353589" w:rsidRPr="00F75EEF" w14:paraId="39B1D562" w14:textId="77777777" w:rsidTr="0076273A">
        <w:trPr>
          <w:trHeight w:val="454"/>
        </w:trPr>
        <w:tc>
          <w:tcPr>
            <w:tcW w:w="708" w:type="dxa"/>
            <w:vAlign w:val="center"/>
          </w:tcPr>
          <w:p w14:paraId="001F761F" w14:textId="77777777" w:rsidR="00353589" w:rsidRPr="00B60EC7" w:rsidRDefault="00353589"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24C05116" w14:textId="77777777" w:rsidR="00864142" w:rsidRPr="00160279" w:rsidRDefault="00864142" w:rsidP="00864142">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 xml:space="preserve">Ý kiến của phản biện </w:t>
            </w:r>
            <w:r w:rsidRPr="00160279">
              <w:rPr>
                <w:rFonts w:ascii="Times New Roman" w:hAnsi="Times New Roman"/>
                <w:sz w:val="26"/>
                <w:szCs w:val="26"/>
              </w:rPr>
              <w:t>1</w:t>
            </w:r>
            <w:r w:rsidRPr="00160279">
              <w:rPr>
                <w:rFonts w:ascii="Times New Roman" w:hAnsi="Times New Roman"/>
                <w:sz w:val="26"/>
                <w:szCs w:val="26"/>
                <w:lang w:val="vi-VN"/>
              </w:rPr>
              <w:t>:</w:t>
            </w:r>
          </w:p>
          <w:p w14:paraId="52032B46" w14:textId="492FCCD1" w:rsidR="00353589" w:rsidRPr="00353589" w:rsidRDefault="00353589" w:rsidP="00353589">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Tác giả diễn giải kết quả Granger chưa thận trọng khi kết luận rằng “ESG quốc tế dẫn dắt VNI” dựa trên kiểm định Granger. Tuy nhiên, Granger chỉ phản ánh quan hệ dự báo, không phải quan hệ nhân quả kinh tế. Bài viết cũng không trình bày độ trễ tối ưu, không kiểm tra tính ổn định cấu trúc, trong khi dữ liệu trải dài qua nhiều giai đoạn khủng hoảng. Do đó, kết luận về vai trò “nguồn dẫn dắt” của ESG là mạnh hơn bằng chứng thực nghiệm cho phép.</w:t>
            </w:r>
          </w:p>
        </w:tc>
        <w:tc>
          <w:tcPr>
            <w:tcW w:w="4111" w:type="dxa"/>
            <w:vAlign w:val="center"/>
          </w:tcPr>
          <w:p w14:paraId="5E9FF61E" w14:textId="25C2DA71" w:rsidR="00353589" w:rsidRPr="00864142" w:rsidRDefault="00160279"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rPr>
              <w:t>- Nhóm tác giả đã kiểm tra, bổ sung phần giải thích trong bài nghiên cứu.</w:t>
            </w:r>
          </w:p>
        </w:tc>
      </w:tr>
      <w:tr w:rsidR="00353589" w:rsidRPr="00F75EEF" w14:paraId="44E0B431" w14:textId="77777777" w:rsidTr="0076273A">
        <w:trPr>
          <w:trHeight w:val="454"/>
        </w:trPr>
        <w:tc>
          <w:tcPr>
            <w:tcW w:w="708" w:type="dxa"/>
            <w:vAlign w:val="center"/>
          </w:tcPr>
          <w:p w14:paraId="492845D3" w14:textId="77777777" w:rsidR="00353589" w:rsidRPr="00B60EC7" w:rsidRDefault="00353589"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78380824" w14:textId="77777777" w:rsidR="00864142" w:rsidRDefault="00864142" w:rsidP="00864142">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Pr>
                <w:rFonts w:ascii="Times New Roman" w:hAnsi="Times New Roman"/>
                <w:sz w:val="26"/>
                <w:szCs w:val="26"/>
              </w:rPr>
              <w:t>1</w:t>
            </w:r>
            <w:r>
              <w:rPr>
                <w:rFonts w:ascii="Times New Roman" w:hAnsi="Times New Roman"/>
                <w:sz w:val="26"/>
                <w:szCs w:val="26"/>
                <w:lang w:val="vi-VN"/>
              </w:rPr>
              <w:t>:</w:t>
            </w:r>
          </w:p>
          <w:p w14:paraId="290B872C" w14:textId="752AC943" w:rsidR="00353589" w:rsidRPr="00353589" w:rsidRDefault="00353589" w:rsidP="00353589">
            <w:pPr>
              <w:spacing w:before="120" w:after="120" w:line="240" w:lineRule="auto"/>
              <w:jc w:val="both"/>
              <w:rPr>
                <w:rFonts w:ascii="Times New Roman" w:hAnsi="Times New Roman"/>
                <w:sz w:val="26"/>
                <w:szCs w:val="26"/>
                <w:lang w:val="vi-VN"/>
              </w:rPr>
            </w:pPr>
            <w:r w:rsidRPr="00353589">
              <w:rPr>
                <w:rFonts w:ascii="Times New Roman" w:hAnsi="Times New Roman"/>
                <w:sz w:val="26"/>
                <w:szCs w:val="26"/>
                <w:lang w:val="vi-VN"/>
              </w:rPr>
              <w:t>Mặc dù bài viết nhấn mạnh tính “thay đổi theo thời gian” của mối quan hệ ESG–VNI, nhưng các Copula được ước lượng đều là Copula tĩnh, không có tham số động (time-varying copula).</w:t>
            </w:r>
          </w:p>
        </w:tc>
        <w:tc>
          <w:tcPr>
            <w:tcW w:w="4111" w:type="dxa"/>
            <w:vAlign w:val="center"/>
          </w:tcPr>
          <w:p w14:paraId="48D9AA01" w14:textId="77777777" w:rsidR="00353589" w:rsidRDefault="00864142"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lang w:val="vi-VN"/>
              </w:rPr>
              <w:t xml:space="preserve">- </w:t>
            </w:r>
            <w:r w:rsidR="0076273A">
              <w:rPr>
                <w:rFonts w:ascii="Times New Roman" w:hAnsi="Times New Roman"/>
                <w:sz w:val="26"/>
                <w:szCs w:val="26"/>
              </w:rPr>
              <w:t>Nhóm</w:t>
            </w:r>
            <w:r w:rsidR="0076273A" w:rsidRPr="007552DB">
              <w:rPr>
                <w:rFonts w:ascii="Times New Roman" w:hAnsi="Times New Roman"/>
                <w:sz w:val="26"/>
                <w:szCs w:val="26"/>
              </w:rPr>
              <w:t xml:space="preserve"> xin làm rõ rằng thuật ngữ “thay đổi theo thời gian” được sử dụng trong bài viết không nhằm chỉ các copula động theo thời gian. Các copula được ước lượng trong nghiên cứu đều là copula tĩnh và không được thiết kế để mô hình hóa sự thay đổi phụ thuộc thông qua các tham số động.</w:t>
            </w:r>
          </w:p>
          <w:p w14:paraId="3A4D5C74" w14:textId="11AB9F04" w:rsidR="0076273A" w:rsidRPr="00864142" w:rsidRDefault="0076273A"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rPr>
              <w:t xml:space="preserve">- </w:t>
            </w:r>
            <w:r w:rsidRPr="007552DB">
              <w:rPr>
                <w:rFonts w:ascii="Times New Roman" w:hAnsi="Times New Roman"/>
                <w:sz w:val="26"/>
                <w:szCs w:val="26"/>
              </w:rPr>
              <w:t>Trong nghiên cứu này, sự khác biệt được nhấn mạnh là sự thay đổi của mối quan hệ giữa ESG và VN-Index theo trạng thái thị trường, đặc biệt trong các điều kiện cực đoan (downside và upside), được phản ánh thông qua phụ thuộc phi tuyến và phụ thuộc đuôi của copula tĩnh. Các đặc điểm động theo thời gian của rủi ro được nắm bắt bởi mô hình GARCH và khuôn khổ CoVaR.</w:t>
            </w:r>
          </w:p>
        </w:tc>
      </w:tr>
      <w:tr w:rsidR="00353589" w:rsidRPr="00F75EEF" w14:paraId="08D97AA6" w14:textId="77777777" w:rsidTr="0076273A">
        <w:trPr>
          <w:trHeight w:val="454"/>
        </w:trPr>
        <w:tc>
          <w:tcPr>
            <w:tcW w:w="708" w:type="dxa"/>
            <w:vAlign w:val="center"/>
          </w:tcPr>
          <w:p w14:paraId="52FEF078" w14:textId="77777777" w:rsidR="00353589" w:rsidRPr="00B60EC7" w:rsidRDefault="00353589"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1C26ED17" w14:textId="77777777" w:rsidR="00864142" w:rsidRPr="00160279" w:rsidRDefault="00864142" w:rsidP="00864142">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 xml:space="preserve">Ý kiến của phản biện </w:t>
            </w:r>
            <w:r w:rsidRPr="00160279">
              <w:rPr>
                <w:rFonts w:ascii="Times New Roman" w:hAnsi="Times New Roman"/>
                <w:sz w:val="26"/>
                <w:szCs w:val="26"/>
              </w:rPr>
              <w:t>1</w:t>
            </w:r>
            <w:r w:rsidRPr="00160279">
              <w:rPr>
                <w:rFonts w:ascii="Times New Roman" w:hAnsi="Times New Roman"/>
                <w:sz w:val="26"/>
                <w:szCs w:val="26"/>
                <w:lang w:val="vi-VN"/>
              </w:rPr>
              <w:t>:</w:t>
            </w:r>
          </w:p>
          <w:p w14:paraId="195C1AF1" w14:textId="1B1A6033" w:rsidR="00353589" w:rsidRPr="00353589" w:rsidRDefault="00353589" w:rsidP="00353589">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Bài viết quy ước ΔCoVaR &lt; 0 là “ESG giúp giảm rủi ro hệ thống”, nhưng không phân tích độ lớn kinh tế (economic significance), cũng không so sánh giữa các khu vực ESG, khiến hàm ý chính sách còn chung chung.</w:t>
            </w:r>
          </w:p>
        </w:tc>
        <w:tc>
          <w:tcPr>
            <w:tcW w:w="4111" w:type="dxa"/>
            <w:vAlign w:val="center"/>
          </w:tcPr>
          <w:p w14:paraId="1FDA29A4" w14:textId="77777777" w:rsidR="00353589" w:rsidRDefault="00864142"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lang w:val="vi-VN"/>
              </w:rPr>
              <w:t xml:space="preserve">- </w:t>
            </w:r>
            <w:r w:rsidR="0076273A" w:rsidRPr="0076273A">
              <w:rPr>
                <w:rFonts w:ascii="Times New Roman" w:hAnsi="Times New Roman"/>
                <w:sz w:val="26"/>
                <w:szCs w:val="26"/>
                <w:lang w:val="vi-VN"/>
              </w:rPr>
              <w:t>Trên cơ sở góp ý của phản biện, bài viết đã được chỉnh sửa để bổ sung phân tích về độ lớn kinh tế của ΔCoVaR, qua đó làm rõ mức độ thay đổi rủi ro hệ thống của VN-Index khi chịu tác động từ các thị trường ESG.</w:t>
            </w:r>
          </w:p>
          <w:p w14:paraId="7D823FE0" w14:textId="0FAD157B" w:rsidR="0076273A" w:rsidRPr="0076273A" w:rsidRDefault="0076273A"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rPr>
              <w:t xml:space="preserve">- </w:t>
            </w:r>
            <w:r w:rsidRPr="00AB128E">
              <w:rPr>
                <w:rFonts w:ascii="Times New Roman" w:hAnsi="Times New Roman"/>
                <w:sz w:val="26"/>
                <w:szCs w:val="26"/>
              </w:rPr>
              <w:t>Đồng thời, nghiên cứu cũng đã bổ sung so sánh giữa các khu vực ESG khác nhau (Global, USA, Europe và Australia), cho thấy mức độ lan tỏa rủi ro không đồng nhất giữa các thị trường.</w:t>
            </w:r>
          </w:p>
        </w:tc>
      </w:tr>
      <w:tr w:rsidR="00353589" w:rsidRPr="00F75EEF" w14:paraId="0B67D4CD" w14:textId="77777777" w:rsidTr="0076273A">
        <w:trPr>
          <w:trHeight w:val="454"/>
        </w:trPr>
        <w:tc>
          <w:tcPr>
            <w:tcW w:w="708" w:type="dxa"/>
            <w:vAlign w:val="center"/>
          </w:tcPr>
          <w:p w14:paraId="4861C51A" w14:textId="77777777" w:rsidR="00353589" w:rsidRPr="00B60EC7" w:rsidRDefault="00353589"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6E7BDF54" w14:textId="73300184" w:rsidR="00864142" w:rsidRDefault="00864142" w:rsidP="00864142">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Pr>
                <w:rFonts w:ascii="Times New Roman" w:hAnsi="Times New Roman"/>
                <w:sz w:val="26"/>
                <w:szCs w:val="26"/>
              </w:rPr>
              <w:t>2</w:t>
            </w:r>
            <w:r>
              <w:rPr>
                <w:rFonts w:ascii="Times New Roman" w:hAnsi="Times New Roman"/>
                <w:sz w:val="26"/>
                <w:szCs w:val="26"/>
                <w:lang w:val="vi-VN"/>
              </w:rPr>
              <w:t>:</w:t>
            </w:r>
          </w:p>
          <w:p w14:paraId="678FF5D3" w14:textId="77777777" w:rsidR="00353589" w:rsidRPr="00353589" w:rsidRDefault="00353589" w:rsidP="00353589">
            <w:pPr>
              <w:spacing w:before="120" w:after="120" w:line="240" w:lineRule="auto"/>
              <w:jc w:val="both"/>
              <w:rPr>
                <w:rFonts w:ascii="Times New Roman" w:hAnsi="Times New Roman"/>
                <w:sz w:val="26"/>
                <w:szCs w:val="26"/>
                <w:lang w:val="vi-VN"/>
              </w:rPr>
            </w:pPr>
            <w:r w:rsidRPr="00353589">
              <w:rPr>
                <w:rFonts w:ascii="Times New Roman" w:hAnsi="Times New Roman"/>
                <w:sz w:val="26"/>
                <w:szCs w:val="26"/>
                <w:lang w:val="vi-VN"/>
              </w:rPr>
              <w:lastRenderedPageBreak/>
              <w:t>Còn một số lỗi hình thức:</w:t>
            </w:r>
          </w:p>
          <w:p w14:paraId="18D69AC3" w14:textId="247D252B" w:rsidR="00353589" w:rsidRPr="00353589" w:rsidRDefault="00353589" w:rsidP="00353589">
            <w:pPr>
              <w:spacing w:before="120" w:after="120" w:line="240" w:lineRule="auto"/>
              <w:jc w:val="both"/>
              <w:rPr>
                <w:rFonts w:ascii="Times New Roman" w:hAnsi="Times New Roman"/>
                <w:sz w:val="26"/>
                <w:szCs w:val="26"/>
                <w:lang w:val="vi-VN"/>
              </w:rPr>
            </w:pPr>
            <w:r w:rsidRPr="00353589">
              <w:rPr>
                <w:rFonts w:ascii="Times New Roman" w:hAnsi="Times New Roman"/>
                <w:sz w:val="26"/>
                <w:szCs w:val="26"/>
                <w:lang w:val="vi-VN"/>
              </w:rPr>
              <w:t xml:space="preserve">+ Từ khóa tiếng Việt có lỗi chính tả: “Đa dang hóa” → “Đa dạng hóa”. </w:t>
            </w:r>
          </w:p>
          <w:p w14:paraId="69D34DCF" w14:textId="0B0D9E43" w:rsidR="00353589" w:rsidRPr="00353589" w:rsidRDefault="00353589" w:rsidP="00353589">
            <w:pPr>
              <w:spacing w:before="120" w:after="120" w:line="240" w:lineRule="auto"/>
              <w:jc w:val="both"/>
              <w:rPr>
                <w:rFonts w:ascii="Times New Roman" w:hAnsi="Times New Roman"/>
                <w:sz w:val="26"/>
                <w:szCs w:val="26"/>
                <w:lang w:val="vi-VN"/>
              </w:rPr>
            </w:pPr>
            <w:r w:rsidRPr="00353589">
              <w:rPr>
                <w:rFonts w:ascii="Times New Roman" w:hAnsi="Times New Roman"/>
                <w:sz w:val="26"/>
                <w:szCs w:val="26"/>
                <w:lang w:val="vi-VN"/>
              </w:rPr>
              <w:t xml:space="preserve">+ Ký hiệu toán học trình bày chưa thống nhất (VaR, CoVaR, q). </w:t>
            </w:r>
          </w:p>
        </w:tc>
        <w:tc>
          <w:tcPr>
            <w:tcW w:w="4111" w:type="dxa"/>
            <w:vAlign w:val="center"/>
          </w:tcPr>
          <w:p w14:paraId="26AD1A26" w14:textId="77777777" w:rsidR="00864142" w:rsidRDefault="00864142" w:rsidP="00864142">
            <w:pPr>
              <w:pStyle w:val="ListParagraph"/>
              <w:spacing w:before="120" w:after="120" w:line="240" w:lineRule="auto"/>
              <w:ind w:left="0"/>
              <w:contextualSpacing w:val="0"/>
              <w:jc w:val="both"/>
              <w:rPr>
                <w:rFonts w:ascii="Times New Roman" w:hAnsi="Times New Roman"/>
                <w:sz w:val="26"/>
                <w:szCs w:val="26"/>
                <w:lang w:val="vi-VN"/>
              </w:rPr>
            </w:pPr>
            <w:r>
              <w:rPr>
                <w:rFonts w:ascii="Times New Roman" w:hAnsi="Times New Roman"/>
                <w:sz w:val="26"/>
                <w:szCs w:val="26"/>
                <w:lang w:val="vi-VN"/>
              </w:rPr>
              <w:lastRenderedPageBreak/>
              <w:t xml:space="preserve">- </w:t>
            </w:r>
            <w:r w:rsidRPr="00F75EEF">
              <w:rPr>
                <w:rFonts w:ascii="Times New Roman" w:hAnsi="Times New Roman"/>
                <w:sz w:val="26"/>
                <w:szCs w:val="26"/>
                <w:lang w:val="vi-VN"/>
              </w:rPr>
              <w:t>Đã bổ sung và bôi đỏ trong bài</w:t>
            </w:r>
          </w:p>
          <w:p w14:paraId="6A5CF675" w14:textId="78068430" w:rsidR="00353589" w:rsidRPr="00864142" w:rsidRDefault="00353589" w:rsidP="00BC14B2">
            <w:pPr>
              <w:pStyle w:val="ListParagraph"/>
              <w:spacing w:before="120" w:after="120" w:line="240" w:lineRule="auto"/>
              <w:ind w:left="0"/>
              <w:contextualSpacing w:val="0"/>
              <w:jc w:val="both"/>
              <w:rPr>
                <w:rFonts w:ascii="Times New Roman" w:hAnsi="Times New Roman"/>
                <w:sz w:val="26"/>
                <w:szCs w:val="26"/>
              </w:rPr>
            </w:pPr>
          </w:p>
        </w:tc>
      </w:tr>
      <w:tr w:rsidR="00353589" w:rsidRPr="00F75EEF" w14:paraId="2529BD85" w14:textId="77777777" w:rsidTr="0076273A">
        <w:trPr>
          <w:trHeight w:val="454"/>
        </w:trPr>
        <w:tc>
          <w:tcPr>
            <w:tcW w:w="708" w:type="dxa"/>
            <w:vAlign w:val="center"/>
          </w:tcPr>
          <w:p w14:paraId="795B674C" w14:textId="77777777" w:rsidR="00353589" w:rsidRPr="00B60EC7" w:rsidRDefault="00353589"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13B70DC8" w14:textId="491F0465" w:rsidR="00864142" w:rsidRPr="00160279" w:rsidRDefault="00864142" w:rsidP="00864142">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 xml:space="preserve">Ý kiến của phản biện </w:t>
            </w:r>
            <w:r w:rsidRPr="00160279">
              <w:rPr>
                <w:rFonts w:ascii="Times New Roman" w:hAnsi="Times New Roman"/>
                <w:sz w:val="26"/>
                <w:szCs w:val="26"/>
              </w:rPr>
              <w:t>2</w:t>
            </w:r>
            <w:r w:rsidRPr="00160279">
              <w:rPr>
                <w:rFonts w:ascii="Times New Roman" w:hAnsi="Times New Roman"/>
                <w:sz w:val="26"/>
                <w:szCs w:val="26"/>
                <w:lang w:val="vi-VN"/>
              </w:rPr>
              <w:t>:</w:t>
            </w:r>
          </w:p>
          <w:p w14:paraId="11FC1372" w14:textId="77777777" w:rsidR="00353589" w:rsidRPr="00160279" w:rsidRDefault="00353589" w:rsidP="00353589">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Kiểm tra lại Bảng 4 (Panel A): Vui lòng kiểm tra lại quá trình ước lượng ARFIMA cho chuỗi VNI. Hệ số MA(2) = 1.0523 là bất thường. giải thích</w:t>
            </w:r>
          </w:p>
          <w:p w14:paraId="0E82C33A" w14:textId="77777777" w:rsidR="00353589" w:rsidRPr="00160279" w:rsidRDefault="00353589" w:rsidP="00353589">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 Kiểm tra tính vững: Tác giả nên thực hiện thêm một phân tích độ nhạy.</w:t>
            </w:r>
          </w:p>
          <w:p w14:paraId="49882E22" w14:textId="77777777" w:rsidR="00353589" w:rsidRPr="00160279" w:rsidRDefault="00353589" w:rsidP="00353589">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 Bài báo dùng dữ liệu dài (2015-2025) với nhiều biến động nhưng lại dùng Copula tĩnh. Xem xét bổ sung Copula động. giải thích lí do tsao chỉ dùng tĩnh</w:t>
            </w:r>
          </w:p>
          <w:p w14:paraId="4296C17A" w14:textId="085EB2AF" w:rsidR="00353589" w:rsidRPr="00353589" w:rsidRDefault="00353589" w:rsidP="00353589">
            <w:pPr>
              <w:spacing w:before="120" w:after="120" w:line="240" w:lineRule="auto"/>
              <w:jc w:val="both"/>
              <w:rPr>
                <w:rFonts w:ascii="Times New Roman" w:hAnsi="Times New Roman"/>
                <w:sz w:val="26"/>
                <w:szCs w:val="26"/>
                <w:lang w:val="vi-VN"/>
              </w:rPr>
            </w:pPr>
            <w:r w:rsidRPr="00160279">
              <w:rPr>
                <w:rFonts w:ascii="Times New Roman" w:hAnsi="Times New Roman"/>
                <w:sz w:val="26"/>
                <w:szCs w:val="26"/>
                <w:lang w:val="vi-VN"/>
              </w:rPr>
              <w:t>- Làm rõ quy trình ước lượng CoVaR.</w:t>
            </w:r>
          </w:p>
        </w:tc>
        <w:tc>
          <w:tcPr>
            <w:tcW w:w="4111" w:type="dxa"/>
            <w:vAlign w:val="center"/>
          </w:tcPr>
          <w:p w14:paraId="79EB3A0A" w14:textId="555EB5CE" w:rsidR="00160279" w:rsidRPr="00160279" w:rsidRDefault="00160279" w:rsidP="00160279">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rPr>
              <w:t xml:space="preserve">- Nhóm tác giả đã kiểm tra, bổ sung phần giải thích trong bài nghiên cứu </w:t>
            </w:r>
          </w:p>
          <w:p w14:paraId="2C892A55" w14:textId="5A9BCE22" w:rsidR="00353589" w:rsidRPr="00864142" w:rsidRDefault="00353589" w:rsidP="00BC14B2">
            <w:pPr>
              <w:pStyle w:val="ListParagraph"/>
              <w:spacing w:before="120" w:after="120" w:line="240" w:lineRule="auto"/>
              <w:ind w:left="0"/>
              <w:contextualSpacing w:val="0"/>
              <w:jc w:val="both"/>
              <w:rPr>
                <w:rFonts w:ascii="Times New Roman" w:hAnsi="Times New Roman"/>
                <w:sz w:val="26"/>
                <w:szCs w:val="26"/>
              </w:rPr>
            </w:pPr>
          </w:p>
        </w:tc>
      </w:tr>
    </w:tbl>
    <w:p w14:paraId="46D11F7E" w14:textId="77777777" w:rsidR="00D9661B" w:rsidRPr="008566B0" w:rsidRDefault="00D9661B">
      <w:pPr>
        <w:spacing w:after="0" w:line="336" w:lineRule="auto"/>
        <w:jc w:val="both"/>
        <w:rPr>
          <w:rFonts w:ascii="Times New Roman" w:hAnsi="Times New Roman"/>
          <w:sz w:val="8"/>
          <w:szCs w:val="8"/>
          <w:lang w:val="vi-VN"/>
        </w:rPr>
      </w:pPr>
    </w:p>
    <w:p w14:paraId="5FB20E32" w14:textId="77777777" w:rsidR="00D9661B" w:rsidRPr="008566B0" w:rsidRDefault="00D9661B">
      <w:pPr>
        <w:spacing w:after="0" w:line="240" w:lineRule="auto"/>
        <w:rPr>
          <w:rFonts w:ascii="Times New Roman" w:hAnsi="Times New Roman"/>
          <w:sz w:val="2"/>
          <w:szCs w:val="2"/>
          <w:lang w:val="vi-VN"/>
        </w:rPr>
      </w:pPr>
    </w:p>
    <w:p w14:paraId="4CD783CF" w14:textId="77777777" w:rsidR="00D9661B" w:rsidRPr="008566B0" w:rsidRDefault="00D9661B">
      <w:pPr>
        <w:rPr>
          <w:rFonts w:ascii="Times New Roman" w:hAnsi="Times New Roman"/>
          <w:sz w:val="2"/>
          <w:szCs w:val="2"/>
          <w:lang w:val="vi-VN"/>
        </w:rPr>
      </w:pPr>
    </w:p>
    <w:sectPr w:rsidR="00D9661B" w:rsidRPr="008566B0">
      <w:footerReference w:type="default" r:id="rId9"/>
      <w:pgSz w:w="11907" w:h="16840"/>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2C0A" w14:textId="77777777" w:rsidR="002A2DB6" w:rsidRDefault="002A2DB6">
      <w:pPr>
        <w:spacing w:line="240" w:lineRule="auto"/>
      </w:pPr>
      <w:r>
        <w:separator/>
      </w:r>
    </w:p>
  </w:endnote>
  <w:endnote w:type="continuationSeparator" w:id="0">
    <w:p w14:paraId="171A977A" w14:textId="77777777" w:rsidR="002A2DB6" w:rsidRDefault="002A2D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1187"/>
      <w:docPartObj>
        <w:docPartGallery w:val="AutoText"/>
      </w:docPartObj>
    </w:sdtPr>
    <w:sdtContent>
      <w:p w14:paraId="1CA17DFF" w14:textId="77777777" w:rsidR="00D9661B" w:rsidRDefault="00000000">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572FF" w14:textId="77777777" w:rsidR="002A2DB6" w:rsidRDefault="002A2DB6">
      <w:pPr>
        <w:spacing w:after="0"/>
      </w:pPr>
      <w:r>
        <w:separator/>
      </w:r>
    </w:p>
  </w:footnote>
  <w:footnote w:type="continuationSeparator" w:id="0">
    <w:p w14:paraId="4C857147" w14:textId="77777777" w:rsidR="002A2DB6" w:rsidRDefault="002A2D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83724"/>
    <w:multiLevelType w:val="multilevel"/>
    <w:tmpl w:val="57383724"/>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011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801"/>
    <w:rsid w:val="000027D2"/>
    <w:rsid w:val="00003AFF"/>
    <w:rsid w:val="00003CE8"/>
    <w:rsid w:val="000118E5"/>
    <w:rsid w:val="000132FA"/>
    <w:rsid w:val="000138F7"/>
    <w:rsid w:val="00016233"/>
    <w:rsid w:val="00022AA8"/>
    <w:rsid w:val="000264DC"/>
    <w:rsid w:val="0003473F"/>
    <w:rsid w:val="00036F34"/>
    <w:rsid w:val="000737AD"/>
    <w:rsid w:val="0008032C"/>
    <w:rsid w:val="00082891"/>
    <w:rsid w:val="00093AF2"/>
    <w:rsid w:val="000B24F2"/>
    <w:rsid w:val="000C418B"/>
    <w:rsid w:val="000C494C"/>
    <w:rsid w:val="000C4C42"/>
    <w:rsid w:val="000D04C1"/>
    <w:rsid w:val="000E1986"/>
    <w:rsid w:val="000E3229"/>
    <w:rsid w:val="000F30DF"/>
    <w:rsid w:val="001152AC"/>
    <w:rsid w:val="00120330"/>
    <w:rsid w:val="001268EF"/>
    <w:rsid w:val="001271E4"/>
    <w:rsid w:val="00127AC0"/>
    <w:rsid w:val="00133AE0"/>
    <w:rsid w:val="0014683F"/>
    <w:rsid w:val="001508D0"/>
    <w:rsid w:val="00152E2E"/>
    <w:rsid w:val="00154E28"/>
    <w:rsid w:val="001560B7"/>
    <w:rsid w:val="00160279"/>
    <w:rsid w:val="001610E8"/>
    <w:rsid w:val="0016728B"/>
    <w:rsid w:val="0018414C"/>
    <w:rsid w:val="0018544B"/>
    <w:rsid w:val="0019560D"/>
    <w:rsid w:val="001B1AEC"/>
    <w:rsid w:val="001C62EC"/>
    <w:rsid w:val="001D3BAE"/>
    <w:rsid w:val="001D4672"/>
    <w:rsid w:val="001D56DD"/>
    <w:rsid w:val="001F2A55"/>
    <w:rsid w:val="001F459F"/>
    <w:rsid w:val="00202276"/>
    <w:rsid w:val="002045F2"/>
    <w:rsid w:val="00211F36"/>
    <w:rsid w:val="0021647D"/>
    <w:rsid w:val="002177E0"/>
    <w:rsid w:val="00225C00"/>
    <w:rsid w:val="0024361B"/>
    <w:rsid w:val="0026244F"/>
    <w:rsid w:val="00262AE3"/>
    <w:rsid w:val="0027446F"/>
    <w:rsid w:val="00280489"/>
    <w:rsid w:val="0028181A"/>
    <w:rsid w:val="00295046"/>
    <w:rsid w:val="002A049D"/>
    <w:rsid w:val="002A126D"/>
    <w:rsid w:val="002A2283"/>
    <w:rsid w:val="002A2DB6"/>
    <w:rsid w:val="002A39AA"/>
    <w:rsid w:val="002B4587"/>
    <w:rsid w:val="002B592A"/>
    <w:rsid w:val="002C2801"/>
    <w:rsid w:val="002C6D1C"/>
    <w:rsid w:val="002E1C9F"/>
    <w:rsid w:val="002E6104"/>
    <w:rsid w:val="002F01AA"/>
    <w:rsid w:val="002F3973"/>
    <w:rsid w:val="002F6377"/>
    <w:rsid w:val="003001B3"/>
    <w:rsid w:val="00304B76"/>
    <w:rsid w:val="00310A21"/>
    <w:rsid w:val="00311117"/>
    <w:rsid w:val="00313982"/>
    <w:rsid w:val="00324B2E"/>
    <w:rsid w:val="00333734"/>
    <w:rsid w:val="00352884"/>
    <w:rsid w:val="00353589"/>
    <w:rsid w:val="00361EEA"/>
    <w:rsid w:val="0036290E"/>
    <w:rsid w:val="00362F1D"/>
    <w:rsid w:val="0037014B"/>
    <w:rsid w:val="00384C1A"/>
    <w:rsid w:val="00384EC1"/>
    <w:rsid w:val="003868E3"/>
    <w:rsid w:val="003972AA"/>
    <w:rsid w:val="003A1EA1"/>
    <w:rsid w:val="003A3985"/>
    <w:rsid w:val="003A3AF7"/>
    <w:rsid w:val="003A70CE"/>
    <w:rsid w:val="003E032C"/>
    <w:rsid w:val="003E5318"/>
    <w:rsid w:val="003F1D15"/>
    <w:rsid w:val="003F4673"/>
    <w:rsid w:val="003F554D"/>
    <w:rsid w:val="003F731F"/>
    <w:rsid w:val="004151ED"/>
    <w:rsid w:val="00415348"/>
    <w:rsid w:val="00416CD1"/>
    <w:rsid w:val="00421854"/>
    <w:rsid w:val="004265B9"/>
    <w:rsid w:val="004305AF"/>
    <w:rsid w:val="00434334"/>
    <w:rsid w:val="004371E4"/>
    <w:rsid w:val="0047142B"/>
    <w:rsid w:val="0047196D"/>
    <w:rsid w:val="0047339A"/>
    <w:rsid w:val="00484CB7"/>
    <w:rsid w:val="00491203"/>
    <w:rsid w:val="004A3EA9"/>
    <w:rsid w:val="004B6D2C"/>
    <w:rsid w:val="004D7AB5"/>
    <w:rsid w:val="004F38A1"/>
    <w:rsid w:val="004F63F5"/>
    <w:rsid w:val="00501FFD"/>
    <w:rsid w:val="00503BCF"/>
    <w:rsid w:val="005073F4"/>
    <w:rsid w:val="0051409D"/>
    <w:rsid w:val="00523267"/>
    <w:rsid w:val="00553587"/>
    <w:rsid w:val="00576F5A"/>
    <w:rsid w:val="00577A83"/>
    <w:rsid w:val="0058212F"/>
    <w:rsid w:val="005955E4"/>
    <w:rsid w:val="005A1296"/>
    <w:rsid w:val="005A698B"/>
    <w:rsid w:val="005C0832"/>
    <w:rsid w:val="005E3507"/>
    <w:rsid w:val="005E767E"/>
    <w:rsid w:val="005F7E1C"/>
    <w:rsid w:val="00604019"/>
    <w:rsid w:val="00611345"/>
    <w:rsid w:val="00640D88"/>
    <w:rsid w:val="00653872"/>
    <w:rsid w:val="00654497"/>
    <w:rsid w:val="0067203B"/>
    <w:rsid w:val="006753D9"/>
    <w:rsid w:val="00683769"/>
    <w:rsid w:val="00685BDC"/>
    <w:rsid w:val="00686544"/>
    <w:rsid w:val="0069276D"/>
    <w:rsid w:val="006A305E"/>
    <w:rsid w:val="006B1F1E"/>
    <w:rsid w:val="006B5226"/>
    <w:rsid w:val="006F0567"/>
    <w:rsid w:val="0071259F"/>
    <w:rsid w:val="00712EDF"/>
    <w:rsid w:val="007161F5"/>
    <w:rsid w:val="00720FC7"/>
    <w:rsid w:val="007239C2"/>
    <w:rsid w:val="0073082C"/>
    <w:rsid w:val="007338A1"/>
    <w:rsid w:val="00733C10"/>
    <w:rsid w:val="007347E7"/>
    <w:rsid w:val="00746435"/>
    <w:rsid w:val="00747DBB"/>
    <w:rsid w:val="007536BF"/>
    <w:rsid w:val="0076273A"/>
    <w:rsid w:val="00773319"/>
    <w:rsid w:val="00775B6F"/>
    <w:rsid w:val="0078114E"/>
    <w:rsid w:val="00784C61"/>
    <w:rsid w:val="00796DEE"/>
    <w:rsid w:val="007A4273"/>
    <w:rsid w:val="007A4E91"/>
    <w:rsid w:val="007A7CED"/>
    <w:rsid w:val="007B0C5F"/>
    <w:rsid w:val="007D4ED1"/>
    <w:rsid w:val="007E2572"/>
    <w:rsid w:val="007E2FA8"/>
    <w:rsid w:val="007E48F7"/>
    <w:rsid w:val="007E59A8"/>
    <w:rsid w:val="007E5B3B"/>
    <w:rsid w:val="007E72AF"/>
    <w:rsid w:val="007F4E38"/>
    <w:rsid w:val="007F610D"/>
    <w:rsid w:val="007F7204"/>
    <w:rsid w:val="00802116"/>
    <w:rsid w:val="008063A5"/>
    <w:rsid w:val="00806749"/>
    <w:rsid w:val="00816E30"/>
    <w:rsid w:val="00817A50"/>
    <w:rsid w:val="00824625"/>
    <w:rsid w:val="00831EBC"/>
    <w:rsid w:val="00836073"/>
    <w:rsid w:val="0084427E"/>
    <w:rsid w:val="00847008"/>
    <w:rsid w:val="00847F91"/>
    <w:rsid w:val="008566B0"/>
    <w:rsid w:val="00860C2D"/>
    <w:rsid w:val="00864142"/>
    <w:rsid w:val="00867C42"/>
    <w:rsid w:val="00874E7F"/>
    <w:rsid w:val="00896BD3"/>
    <w:rsid w:val="008B1198"/>
    <w:rsid w:val="008B4831"/>
    <w:rsid w:val="008B55B4"/>
    <w:rsid w:val="008B6EBF"/>
    <w:rsid w:val="008C00BD"/>
    <w:rsid w:val="008C65B5"/>
    <w:rsid w:val="008E5B54"/>
    <w:rsid w:val="008E63F2"/>
    <w:rsid w:val="008E731E"/>
    <w:rsid w:val="008F2E25"/>
    <w:rsid w:val="008F5B13"/>
    <w:rsid w:val="00903EC0"/>
    <w:rsid w:val="00911875"/>
    <w:rsid w:val="00916CBA"/>
    <w:rsid w:val="009201D6"/>
    <w:rsid w:val="0092211A"/>
    <w:rsid w:val="00933C68"/>
    <w:rsid w:val="0093750B"/>
    <w:rsid w:val="00937653"/>
    <w:rsid w:val="009417C6"/>
    <w:rsid w:val="00956A76"/>
    <w:rsid w:val="00964998"/>
    <w:rsid w:val="00971E1B"/>
    <w:rsid w:val="00973295"/>
    <w:rsid w:val="00973C82"/>
    <w:rsid w:val="0099713C"/>
    <w:rsid w:val="00997170"/>
    <w:rsid w:val="009B55CC"/>
    <w:rsid w:val="009C49F1"/>
    <w:rsid w:val="009D0662"/>
    <w:rsid w:val="009F3F02"/>
    <w:rsid w:val="00A10FF5"/>
    <w:rsid w:val="00A1384D"/>
    <w:rsid w:val="00A4685C"/>
    <w:rsid w:val="00A51654"/>
    <w:rsid w:val="00A5537A"/>
    <w:rsid w:val="00A6269F"/>
    <w:rsid w:val="00A64E2E"/>
    <w:rsid w:val="00A66D14"/>
    <w:rsid w:val="00A84731"/>
    <w:rsid w:val="00AA121B"/>
    <w:rsid w:val="00AA7455"/>
    <w:rsid w:val="00AB2188"/>
    <w:rsid w:val="00AB504A"/>
    <w:rsid w:val="00AD0552"/>
    <w:rsid w:val="00AE2E80"/>
    <w:rsid w:val="00AE7870"/>
    <w:rsid w:val="00AF5567"/>
    <w:rsid w:val="00AF7039"/>
    <w:rsid w:val="00AF7494"/>
    <w:rsid w:val="00B006FA"/>
    <w:rsid w:val="00B12298"/>
    <w:rsid w:val="00B237D6"/>
    <w:rsid w:val="00B24BE8"/>
    <w:rsid w:val="00B25C57"/>
    <w:rsid w:val="00B27233"/>
    <w:rsid w:val="00B27950"/>
    <w:rsid w:val="00B35D30"/>
    <w:rsid w:val="00B50615"/>
    <w:rsid w:val="00B55D4F"/>
    <w:rsid w:val="00B60EC7"/>
    <w:rsid w:val="00B706D5"/>
    <w:rsid w:val="00B711DD"/>
    <w:rsid w:val="00B81A01"/>
    <w:rsid w:val="00B86F00"/>
    <w:rsid w:val="00BA2D3F"/>
    <w:rsid w:val="00BA695C"/>
    <w:rsid w:val="00BC149F"/>
    <w:rsid w:val="00BC14B2"/>
    <w:rsid w:val="00BC5B7D"/>
    <w:rsid w:val="00BD76FE"/>
    <w:rsid w:val="00BD7C09"/>
    <w:rsid w:val="00BE2C55"/>
    <w:rsid w:val="00BF6DAC"/>
    <w:rsid w:val="00C11DE8"/>
    <w:rsid w:val="00C15258"/>
    <w:rsid w:val="00C23408"/>
    <w:rsid w:val="00C25896"/>
    <w:rsid w:val="00C4190F"/>
    <w:rsid w:val="00C41F6C"/>
    <w:rsid w:val="00C4535D"/>
    <w:rsid w:val="00C50D41"/>
    <w:rsid w:val="00C60499"/>
    <w:rsid w:val="00C61EB2"/>
    <w:rsid w:val="00CA1EBF"/>
    <w:rsid w:val="00CA4E1C"/>
    <w:rsid w:val="00CC1017"/>
    <w:rsid w:val="00CC53A3"/>
    <w:rsid w:val="00CC59A1"/>
    <w:rsid w:val="00CC7702"/>
    <w:rsid w:val="00CD3B86"/>
    <w:rsid w:val="00CD4049"/>
    <w:rsid w:val="00CD454C"/>
    <w:rsid w:val="00CE50FC"/>
    <w:rsid w:val="00D04BB0"/>
    <w:rsid w:val="00D1369E"/>
    <w:rsid w:val="00D20C09"/>
    <w:rsid w:val="00D21CB2"/>
    <w:rsid w:val="00D22071"/>
    <w:rsid w:val="00D23DE1"/>
    <w:rsid w:val="00D33189"/>
    <w:rsid w:val="00D35541"/>
    <w:rsid w:val="00D53668"/>
    <w:rsid w:val="00D55CF6"/>
    <w:rsid w:val="00D57CB2"/>
    <w:rsid w:val="00D57F5C"/>
    <w:rsid w:val="00D57FC8"/>
    <w:rsid w:val="00D63C8E"/>
    <w:rsid w:val="00D72740"/>
    <w:rsid w:val="00D759EB"/>
    <w:rsid w:val="00D87FFA"/>
    <w:rsid w:val="00D9661B"/>
    <w:rsid w:val="00D9741C"/>
    <w:rsid w:val="00DA4367"/>
    <w:rsid w:val="00DA46D6"/>
    <w:rsid w:val="00DB29E7"/>
    <w:rsid w:val="00DB7857"/>
    <w:rsid w:val="00DB7ADC"/>
    <w:rsid w:val="00DC06E8"/>
    <w:rsid w:val="00DC07FA"/>
    <w:rsid w:val="00DD3590"/>
    <w:rsid w:val="00DD7001"/>
    <w:rsid w:val="00DE06E1"/>
    <w:rsid w:val="00DE0EE9"/>
    <w:rsid w:val="00DF0ADA"/>
    <w:rsid w:val="00DF10E1"/>
    <w:rsid w:val="00DF1C01"/>
    <w:rsid w:val="00DF5A79"/>
    <w:rsid w:val="00DF652F"/>
    <w:rsid w:val="00E04F45"/>
    <w:rsid w:val="00E05B36"/>
    <w:rsid w:val="00E1216D"/>
    <w:rsid w:val="00E21E9F"/>
    <w:rsid w:val="00E22C7B"/>
    <w:rsid w:val="00E23739"/>
    <w:rsid w:val="00E353F5"/>
    <w:rsid w:val="00E5710F"/>
    <w:rsid w:val="00E65923"/>
    <w:rsid w:val="00EA2F13"/>
    <w:rsid w:val="00EB3F4C"/>
    <w:rsid w:val="00EC2845"/>
    <w:rsid w:val="00EC303B"/>
    <w:rsid w:val="00ED790B"/>
    <w:rsid w:val="00EE41DC"/>
    <w:rsid w:val="00EF29AE"/>
    <w:rsid w:val="00F22399"/>
    <w:rsid w:val="00F247E4"/>
    <w:rsid w:val="00F30275"/>
    <w:rsid w:val="00F32ADA"/>
    <w:rsid w:val="00F3458E"/>
    <w:rsid w:val="00F35849"/>
    <w:rsid w:val="00F374E9"/>
    <w:rsid w:val="00F41E51"/>
    <w:rsid w:val="00F437CA"/>
    <w:rsid w:val="00F47645"/>
    <w:rsid w:val="00F53B20"/>
    <w:rsid w:val="00F6152E"/>
    <w:rsid w:val="00F65646"/>
    <w:rsid w:val="00F65BF8"/>
    <w:rsid w:val="00F75EEF"/>
    <w:rsid w:val="00F77882"/>
    <w:rsid w:val="00F80C6B"/>
    <w:rsid w:val="00F81C92"/>
    <w:rsid w:val="00F83F51"/>
    <w:rsid w:val="00F92EAE"/>
    <w:rsid w:val="00FA5BBF"/>
    <w:rsid w:val="00FA6A52"/>
    <w:rsid w:val="00FC5384"/>
    <w:rsid w:val="00FD1031"/>
    <w:rsid w:val="00FE19EB"/>
    <w:rsid w:val="00FE1AAE"/>
    <w:rsid w:val="00FF24A8"/>
    <w:rsid w:val="00FF2FAA"/>
    <w:rsid w:val="00FF36FA"/>
    <w:rsid w:val="00FF474F"/>
    <w:rsid w:val="69BB1BC3"/>
    <w:rsid w:val="6B5C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DD604"/>
  <w15:docId w15:val="{6EBF29CD-08C1-4970-B8B7-546F64FC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1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rPr>
      <w:sz w:val="22"/>
      <w:szCs w:val="22"/>
    </w:rPr>
  </w:style>
  <w:style w:type="character" w:customStyle="1" w:styleId="FooterChar">
    <w:name w:val="Footer Char"/>
    <w:basedOn w:val="DefaultParagraphFont"/>
    <w:link w:val="Footer"/>
    <w:uiPriority w:val="99"/>
    <w:qFormat/>
    <w:rPr>
      <w:sz w:val="22"/>
      <w:szCs w:val="22"/>
    </w:rPr>
  </w:style>
  <w:style w:type="table" w:customStyle="1" w:styleId="TableGrid1">
    <w:name w:val="Table Grid1"/>
    <w:basedOn w:val="TableNormal"/>
    <w:uiPriority w:val="59"/>
    <w:qFormat/>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semiHidden/>
  </w:style>
  <w:style w:type="character" w:customStyle="1" w:styleId="IntenseReference1">
    <w:name w:val="Intense Reference1"/>
    <w:basedOn w:val="DefaultParagraphFont"/>
    <w:uiPriority w:val="32"/>
    <w:qFormat/>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D3737-7B54-4620-88B2-62B28D54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KBCA</dc:creator>
  <cp:lastModifiedBy>Admin</cp:lastModifiedBy>
  <cp:revision>5</cp:revision>
  <cp:lastPrinted>2026-02-04T07:42:00Z</cp:lastPrinted>
  <dcterms:created xsi:type="dcterms:W3CDTF">2026-02-04T15:04:00Z</dcterms:created>
  <dcterms:modified xsi:type="dcterms:W3CDTF">2026-02-06T09:41:00Z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f7a83e258c44b20749fb18303e99335ae33279b78e5747ce086a22fffb7c5c74</vt:lpwstr>
  </property>
  <property fmtid="{D5CDD505-2E9C-101B-9397-08002B2CF9AE}" pid="3" name="KSOProductBuildVer">
    <vt:lpwstr>1033-12.2.0.23155</vt:lpwstr>
  </property>
  <property fmtid="{D5CDD505-2E9C-101B-9397-08002B2CF9AE}" pid="4" name="ICV">
    <vt:lpwstr>BE4DDC68F6B14AB2BE1F0CEA588F0D5D_12</vt:lpwstr>
  </property>
</Properties>
</file>